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8525A" w14:textId="77777777" w:rsidR="009517FE" w:rsidRPr="00104A8B" w:rsidRDefault="009517FE" w:rsidP="009517FE">
      <w:pPr>
        <w:spacing w:before="7560" w:after="240" w:line="259" w:lineRule="auto"/>
        <w:jc w:val="right"/>
        <w:rPr>
          <w:rFonts w:ascii="Arial Narrow" w:hAnsi="Arial Narrow"/>
          <w:sz w:val="42"/>
          <w:szCs w:val="42"/>
        </w:rPr>
      </w:pPr>
      <w:bookmarkStart w:id="0" w:name="_Toc500938167"/>
      <w:bookmarkStart w:id="1" w:name="_Toc500947015"/>
      <w:bookmarkStart w:id="2" w:name="_Toc501547024"/>
      <w:bookmarkStart w:id="3" w:name="_Toc501547379"/>
      <w:bookmarkStart w:id="4" w:name="_Toc505005664"/>
      <w:bookmarkStart w:id="5" w:name="_Toc505153755"/>
      <w:bookmarkStart w:id="6" w:name="_Toc508283423"/>
      <w:bookmarkStart w:id="7" w:name="_Toc510081779"/>
      <w:bookmarkStart w:id="8" w:name="_Toc511812216"/>
      <w:bookmarkStart w:id="9" w:name="_Toc512240154"/>
      <w:bookmarkStart w:id="10" w:name="_Toc513192151"/>
      <w:bookmarkStart w:id="11" w:name="_Toc514832413"/>
      <w:bookmarkStart w:id="12" w:name="_Toc514837957"/>
      <w:r w:rsidRPr="00104A8B">
        <w:rPr>
          <w:rFonts w:ascii="Arial Narrow" w:hAnsi="Arial Narrow"/>
          <w:sz w:val="42"/>
          <w:szCs w:val="42"/>
        </w:rPr>
        <w:t>Standing Committee on Justice and Community Safety (Legislative Scrutiny Role)</w:t>
      </w:r>
    </w:p>
    <w:p w14:paraId="426C2747" w14:textId="6161FE34" w:rsidR="000B0846" w:rsidRPr="00104A8B" w:rsidRDefault="000B0846" w:rsidP="003F68A7">
      <w:pPr>
        <w:pStyle w:val="Heading1"/>
        <w:spacing w:before="2200"/>
      </w:pPr>
      <w:r w:rsidRPr="00104A8B">
        <w:t>S</w:t>
      </w:r>
      <w:r w:rsidR="00907785" w:rsidRPr="00104A8B">
        <w:t xml:space="preserve">crutiny Report </w:t>
      </w:r>
      <w:bookmarkEnd w:id="0"/>
      <w:bookmarkEnd w:id="1"/>
      <w:bookmarkEnd w:id="2"/>
      <w:bookmarkEnd w:id="3"/>
      <w:bookmarkEnd w:id="4"/>
      <w:bookmarkEnd w:id="5"/>
      <w:bookmarkEnd w:id="6"/>
      <w:bookmarkEnd w:id="7"/>
      <w:bookmarkEnd w:id="8"/>
      <w:bookmarkEnd w:id="9"/>
      <w:bookmarkEnd w:id="10"/>
      <w:bookmarkEnd w:id="11"/>
      <w:bookmarkEnd w:id="12"/>
      <w:r w:rsidR="00A03DAF">
        <w:t>9</w:t>
      </w:r>
    </w:p>
    <w:p w14:paraId="4A2BADCD" w14:textId="362F928D" w:rsidR="00D4210F" w:rsidRPr="00104A8B" w:rsidRDefault="00A03DAF" w:rsidP="003F68A7">
      <w:pPr>
        <w:spacing w:before="1800" w:after="240"/>
        <w:jc w:val="right"/>
        <w:rPr>
          <w:sz w:val="24"/>
          <w:szCs w:val="24"/>
        </w:rPr>
      </w:pPr>
      <w:r>
        <w:rPr>
          <w:sz w:val="24"/>
          <w:szCs w:val="24"/>
        </w:rPr>
        <w:t>28 SEPTEMBER</w:t>
      </w:r>
      <w:r w:rsidR="00F477D0">
        <w:rPr>
          <w:sz w:val="24"/>
          <w:szCs w:val="24"/>
        </w:rPr>
        <w:t xml:space="preserve"> 2021</w:t>
      </w:r>
    </w:p>
    <w:p w14:paraId="08B7779B" w14:textId="77777777" w:rsidR="00D4210F" w:rsidRPr="00104A8B" w:rsidRDefault="00D4210F" w:rsidP="00D4210F">
      <w:r w:rsidRPr="00104A8B">
        <w:br w:type="page"/>
      </w:r>
    </w:p>
    <w:p w14:paraId="01741887" w14:textId="77777777" w:rsidR="000B0846" w:rsidRPr="00104A8B" w:rsidRDefault="000B0846" w:rsidP="000B0846">
      <w:pPr>
        <w:spacing w:before="1800" w:after="240"/>
        <w:jc w:val="right"/>
      </w:pPr>
    </w:p>
    <w:p w14:paraId="5DDDB4C1" w14:textId="77777777" w:rsidR="00AE4D51" w:rsidRPr="00104A8B" w:rsidRDefault="00AE4D51" w:rsidP="00AC094E">
      <w:pPr>
        <w:pStyle w:val="Heading2"/>
        <w:rPr>
          <w:rFonts w:asciiTheme="minorHAnsi" w:hAnsiTheme="minorHAnsi"/>
        </w:rPr>
        <w:sectPr w:rsidR="00AE4D51" w:rsidRPr="00104A8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bookmarkStart w:id="13" w:name="_Toc500938168"/>
      <w:bookmarkStart w:id="14" w:name="_Toc500947016"/>
    </w:p>
    <w:p w14:paraId="1D6C356C" w14:textId="77777777" w:rsidR="002A185D" w:rsidRPr="00104A8B" w:rsidRDefault="002A185D" w:rsidP="00AC094E">
      <w:pPr>
        <w:pStyle w:val="Heading2"/>
        <w:rPr>
          <w:rFonts w:asciiTheme="minorHAnsi" w:hAnsiTheme="minorHAnsi"/>
        </w:rPr>
      </w:pPr>
      <w:bookmarkStart w:id="15" w:name="_Toc502671580"/>
      <w:bookmarkStart w:id="16" w:name="_Toc502671759"/>
      <w:bookmarkStart w:id="17" w:name="_Toc502671864"/>
      <w:bookmarkStart w:id="18" w:name="_Toc502672797"/>
      <w:bookmarkStart w:id="19" w:name="_Toc514768035"/>
      <w:bookmarkStart w:id="20" w:name="_Toc514837958"/>
      <w:bookmarkStart w:id="21" w:name="_Toc518297244"/>
      <w:bookmarkStart w:id="22" w:name="_Toc519069302"/>
      <w:bookmarkStart w:id="23" w:name="_Toc519069363"/>
      <w:bookmarkStart w:id="24" w:name="_Toc519520730"/>
      <w:bookmarkStart w:id="25" w:name="_Toc520188709"/>
      <w:bookmarkStart w:id="26" w:name="_Toc521054226"/>
      <w:bookmarkStart w:id="27" w:name="_Toc521054313"/>
      <w:bookmarkStart w:id="28" w:name="_Toc521054385"/>
      <w:bookmarkStart w:id="29" w:name="_Toc523753608"/>
      <w:bookmarkStart w:id="30" w:name="_Toc523814157"/>
      <w:bookmarkStart w:id="31" w:name="_Toc523900448"/>
      <w:bookmarkStart w:id="32" w:name="_Toc526855809"/>
      <w:bookmarkStart w:id="33" w:name="_Toc528155835"/>
      <w:bookmarkStart w:id="34" w:name="_Toc528157194"/>
      <w:bookmarkStart w:id="35" w:name="_Toc528310847"/>
      <w:bookmarkStart w:id="36" w:name="_Toc529974526"/>
      <w:bookmarkStart w:id="37" w:name="_Toc530039421"/>
      <w:bookmarkStart w:id="38" w:name="_Toc536527669"/>
      <w:bookmarkStart w:id="39" w:name="_Toc536527832"/>
      <w:bookmarkStart w:id="40" w:name="_Toc536615370"/>
      <w:bookmarkStart w:id="41" w:name="_Toc172148"/>
      <w:bookmarkStart w:id="42" w:name="_Toc506073"/>
      <w:bookmarkStart w:id="43" w:name="_Toc945917"/>
      <w:bookmarkStart w:id="44" w:name="_Toc965807"/>
      <w:bookmarkStart w:id="45" w:name="_Toc2839571"/>
      <w:bookmarkStart w:id="46" w:name="_Toc2850231"/>
      <w:bookmarkStart w:id="47" w:name="_Toc3271208"/>
      <w:bookmarkStart w:id="48" w:name="_Toc4588269"/>
      <w:bookmarkStart w:id="49" w:name="_Toc4652915"/>
      <w:bookmarkStart w:id="50" w:name="_Toc5003657"/>
      <w:bookmarkStart w:id="51" w:name="_Toc6211030"/>
      <w:bookmarkStart w:id="52" w:name="_Toc9499988"/>
      <w:bookmarkStart w:id="53" w:name="_Toc14266110"/>
      <w:bookmarkStart w:id="54" w:name="_Toc14334599"/>
      <w:bookmarkStart w:id="55" w:name="_Toc14775949"/>
      <w:bookmarkStart w:id="56" w:name="_Toc15285027"/>
      <w:bookmarkStart w:id="57" w:name="_Toc15630647"/>
      <w:bookmarkStart w:id="58" w:name="_Toc18415319"/>
      <w:bookmarkStart w:id="59" w:name="_Toc18487687"/>
      <w:bookmarkStart w:id="60" w:name="_Toc19708390"/>
      <w:bookmarkStart w:id="61" w:name="_Toc20131679"/>
      <w:bookmarkStart w:id="62" w:name="_Toc21595437"/>
      <w:bookmarkStart w:id="63" w:name="_Toc22025438"/>
      <w:bookmarkStart w:id="64" w:name="_Toc24463701"/>
      <w:bookmarkStart w:id="65" w:name="_Toc24617698"/>
      <w:bookmarkStart w:id="66" w:name="_Toc25050770"/>
      <w:bookmarkStart w:id="67" w:name="_Toc31202134"/>
      <w:bookmarkStart w:id="68" w:name="_Toc31202255"/>
      <w:bookmarkStart w:id="69" w:name="_Toc32390195"/>
      <w:bookmarkStart w:id="70" w:name="_Toc32566836"/>
      <w:bookmarkStart w:id="71" w:name="_Toc35437926"/>
      <w:bookmarkStart w:id="72" w:name="_Toc38270536"/>
      <w:bookmarkStart w:id="73" w:name="_Toc38362387"/>
      <w:bookmarkStart w:id="74" w:name="_Toc38441868"/>
      <w:bookmarkStart w:id="75" w:name="_Toc38442375"/>
      <w:bookmarkStart w:id="76" w:name="_Toc38976313"/>
      <w:bookmarkStart w:id="77" w:name="_Toc40693084"/>
      <w:bookmarkStart w:id="78" w:name="_Toc40693225"/>
      <w:bookmarkStart w:id="79" w:name="_Toc41570911"/>
      <w:bookmarkStart w:id="80" w:name="_Toc42874993"/>
      <w:bookmarkStart w:id="81" w:name="_Toc44074210"/>
      <w:bookmarkStart w:id="82" w:name="_Toc44317221"/>
      <w:bookmarkStart w:id="83" w:name="_Toc44323924"/>
      <w:bookmarkStart w:id="84" w:name="_Toc80105323"/>
      <w:bookmarkStart w:id="85" w:name="_Toc80347167"/>
      <w:bookmarkStart w:id="86" w:name="_Toc80613163"/>
      <w:bookmarkStart w:id="87" w:name="_Toc80613253"/>
      <w:bookmarkStart w:id="88" w:name="_Toc80701760"/>
      <w:bookmarkStart w:id="89" w:name="_Toc83302215"/>
      <w:bookmarkStart w:id="90" w:name="_Toc83639595"/>
      <w:bookmarkStart w:id="91" w:name="_Toc500938169"/>
      <w:bookmarkStart w:id="92" w:name="_Toc500947017"/>
      <w:bookmarkStart w:id="93" w:name="_Toc501547026"/>
      <w:bookmarkStart w:id="94" w:name="_Toc501547381"/>
      <w:bookmarkStart w:id="95" w:name="_Toc505005665"/>
      <w:bookmarkStart w:id="96" w:name="_Toc505153756"/>
      <w:bookmarkStart w:id="97" w:name="_Toc508283424"/>
      <w:bookmarkStart w:id="98" w:name="_Toc510081780"/>
      <w:bookmarkStart w:id="99" w:name="_Toc511812217"/>
      <w:bookmarkStart w:id="100" w:name="_Toc512240155"/>
      <w:bookmarkStart w:id="101" w:name="_Toc513192152"/>
      <w:bookmarkStart w:id="102" w:name="_Toc514832414"/>
      <w:bookmarkEnd w:id="13"/>
      <w:bookmarkEnd w:id="14"/>
      <w:r w:rsidRPr="00104A8B">
        <w:rPr>
          <w:rFonts w:asciiTheme="minorHAnsi" w:hAnsiTheme="minorHAnsi"/>
        </w:rPr>
        <w:lastRenderedPageBreak/>
        <w:t>The Committee</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5B4A1EFD" w14:textId="77777777" w:rsidR="000B0846" w:rsidRPr="00104A8B" w:rsidRDefault="000B0846" w:rsidP="002A185D">
      <w:pPr>
        <w:pStyle w:val="Heading3"/>
        <w:rPr>
          <w:rFonts w:asciiTheme="minorHAnsi" w:hAnsiTheme="minorHAnsi"/>
        </w:rPr>
      </w:pPr>
      <w:bookmarkStart w:id="103" w:name="_Toc514837959"/>
      <w:bookmarkStart w:id="104" w:name="_Toc514943593"/>
      <w:bookmarkStart w:id="105" w:name="_Toc515352036"/>
      <w:bookmarkStart w:id="106" w:name="_Toc518297245"/>
      <w:bookmarkStart w:id="107" w:name="_Toc519069303"/>
      <w:bookmarkStart w:id="108" w:name="_Toc519069364"/>
      <w:bookmarkStart w:id="109" w:name="_Toc519520731"/>
      <w:bookmarkStart w:id="110" w:name="_Toc520188710"/>
      <w:bookmarkStart w:id="111" w:name="_Toc521054227"/>
      <w:bookmarkStart w:id="112" w:name="_Toc521054314"/>
      <w:bookmarkStart w:id="113" w:name="_Toc521054386"/>
      <w:bookmarkStart w:id="114" w:name="_Toc523753609"/>
      <w:bookmarkStart w:id="115" w:name="_Toc523814158"/>
      <w:bookmarkStart w:id="116" w:name="_Toc523900449"/>
      <w:bookmarkStart w:id="117" w:name="_Toc526855810"/>
      <w:bookmarkStart w:id="118" w:name="_Toc528155836"/>
      <w:bookmarkStart w:id="119" w:name="_Toc528157195"/>
      <w:bookmarkStart w:id="120" w:name="_Toc528310848"/>
      <w:bookmarkStart w:id="121" w:name="_Toc529974527"/>
      <w:bookmarkStart w:id="122" w:name="_Toc530039422"/>
      <w:bookmarkStart w:id="123" w:name="_Toc536527670"/>
      <w:bookmarkStart w:id="124" w:name="_Toc536527833"/>
      <w:bookmarkStart w:id="125" w:name="_Toc536615371"/>
      <w:bookmarkStart w:id="126" w:name="_Toc172149"/>
      <w:bookmarkStart w:id="127" w:name="_Toc506074"/>
      <w:bookmarkStart w:id="128" w:name="_Toc945918"/>
      <w:bookmarkStart w:id="129" w:name="_Toc965808"/>
      <w:bookmarkStart w:id="130" w:name="_Toc2839572"/>
      <w:bookmarkStart w:id="131" w:name="_Toc2850232"/>
      <w:bookmarkStart w:id="132" w:name="_Toc3271209"/>
      <w:bookmarkStart w:id="133" w:name="_Toc4588270"/>
      <w:bookmarkStart w:id="134" w:name="_Toc4652916"/>
      <w:bookmarkStart w:id="135" w:name="_Toc5003658"/>
      <w:bookmarkStart w:id="136" w:name="_Toc6211031"/>
      <w:bookmarkStart w:id="137" w:name="_Toc9499989"/>
      <w:bookmarkStart w:id="138" w:name="_Toc14266111"/>
      <w:bookmarkStart w:id="139" w:name="_Toc14334600"/>
      <w:bookmarkStart w:id="140" w:name="_Toc14775950"/>
      <w:bookmarkStart w:id="141" w:name="_Toc15285028"/>
      <w:bookmarkStart w:id="142" w:name="_Toc15630648"/>
      <w:bookmarkStart w:id="143" w:name="_Toc18415320"/>
      <w:bookmarkStart w:id="144" w:name="_Toc18487688"/>
      <w:bookmarkStart w:id="145" w:name="_Toc19708391"/>
      <w:bookmarkStart w:id="146" w:name="_Toc20131680"/>
      <w:bookmarkStart w:id="147" w:name="_Toc21595438"/>
      <w:bookmarkStart w:id="148" w:name="_Toc22025439"/>
      <w:bookmarkStart w:id="149" w:name="_Toc24463702"/>
      <w:bookmarkStart w:id="150" w:name="_Toc24617699"/>
      <w:bookmarkStart w:id="151" w:name="_Toc25050771"/>
      <w:bookmarkStart w:id="152" w:name="_Toc31202135"/>
      <w:bookmarkStart w:id="153" w:name="_Toc31202256"/>
      <w:bookmarkStart w:id="154" w:name="_Toc32390196"/>
      <w:bookmarkStart w:id="155" w:name="_Toc32566837"/>
      <w:bookmarkStart w:id="156" w:name="_Toc35437927"/>
      <w:bookmarkStart w:id="157" w:name="_Toc38270537"/>
      <w:bookmarkStart w:id="158" w:name="_Toc38362388"/>
      <w:bookmarkStart w:id="159" w:name="_Toc38441869"/>
      <w:bookmarkStart w:id="160" w:name="_Toc38442376"/>
      <w:bookmarkStart w:id="161" w:name="_Toc38976314"/>
      <w:bookmarkStart w:id="162" w:name="_Toc40693085"/>
      <w:bookmarkStart w:id="163" w:name="_Toc40693226"/>
      <w:bookmarkStart w:id="164" w:name="_Toc41570912"/>
      <w:bookmarkStart w:id="165" w:name="_Toc42874994"/>
      <w:bookmarkStart w:id="166" w:name="_Toc44074211"/>
      <w:bookmarkStart w:id="167" w:name="_Toc44317222"/>
      <w:bookmarkStart w:id="168" w:name="_Toc44323925"/>
      <w:bookmarkStart w:id="169" w:name="_Toc80105324"/>
      <w:bookmarkStart w:id="170" w:name="_Toc80347168"/>
      <w:bookmarkStart w:id="171" w:name="_Toc80613164"/>
      <w:bookmarkStart w:id="172" w:name="_Toc80613254"/>
      <w:bookmarkStart w:id="173" w:name="_Toc80701761"/>
      <w:bookmarkStart w:id="174" w:name="_Toc83302216"/>
      <w:bookmarkStart w:id="175" w:name="_Toc83639596"/>
      <w:r w:rsidRPr="00104A8B">
        <w:rPr>
          <w:rFonts w:asciiTheme="minorHAnsi" w:hAnsiTheme="minorHAnsi"/>
        </w:rPr>
        <w:t>C</w:t>
      </w:r>
      <w:r w:rsidR="00474136" w:rsidRPr="00104A8B">
        <w:rPr>
          <w:rFonts w:asciiTheme="minorHAnsi" w:hAnsiTheme="minorHAnsi"/>
        </w:rPr>
        <w:t>ommittee Membership</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4593B6F0" w14:textId="77777777" w:rsidR="000B0846" w:rsidRPr="00104A8B" w:rsidRDefault="00E41D9C" w:rsidP="009C4F5B">
      <w:pPr>
        <w:pStyle w:val="ListParagraph"/>
        <w:ind w:left="0"/>
      </w:pPr>
      <w:r>
        <w:t>Mr Jeremy Hanson MLA</w:t>
      </w:r>
      <w:r w:rsidR="00A919BD" w:rsidRPr="00104A8B">
        <w:t xml:space="preserve"> </w:t>
      </w:r>
      <w:r w:rsidR="000B0846" w:rsidRPr="00104A8B">
        <w:t>(Chair)</w:t>
      </w:r>
    </w:p>
    <w:p w14:paraId="4EDDE5A9" w14:textId="77777777" w:rsidR="000B0846" w:rsidRPr="00104A8B" w:rsidRDefault="00E41D9C" w:rsidP="009C4F5B">
      <w:pPr>
        <w:pStyle w:val="ListParagraph"/>
        <w:ind w:left="0"/>
      </w:pPr>
      <w:r>
        <w:t>Dr Marisa Pa</w:t>
      </w:r>
      <w:r w:rsidR="00F825FE">
        <w:t>t</w:t>
      </w:r>
      <w:r>
        <w:t>erson</w:t>
      </w:r>
      <w:r w:rsidR="0009718B">
        <w:t xml:space="preserve"> MLA</w:t>
      </w:r>
      <w:r w:rsidR="000B0846" w:rsidRPr="00104A8B">
        <w:t xml:space="preserve"> (Deputy Chair)</w:t>
      </w:r>
    </w:p>
    <w:p w14:paraId="31C06162" w14:textId="77777777" w:rsidR="000B0846" w:rsidRPr="00104A8B" w:rsidRDefault="00E41D9C" w:rsidP="009C4F5B">
      <w:pPr>
        <w:pStyle w:val="ListParagraph"/>
        <w:spacing w:after="360"/>
        <w:ind w:left="0"/>
      </w:pPr>
      <w:r>
        <w:t>Ms Jo Clay</w:t>
      </w:r>
      <w:r w:rsidR="003C4A44">
        <w:t xml:space="preserve"> ML</w:t>
      </w:r>
      <w:r w:rsidR="000B0846" w:rsidRPr="00104A8B">
        <w:t>A</w:t>
      </w:r>
    </w:p>
    <w:p w14:paraId="3C64B00A" w14:textId="77777777" w:rsidR="000B0846" w:rsidRPr="00104A8B" w:rsidRDefault="000B0846" w:rsidP="002A185D">
      <w:pPr>
        <w:pStyle w:val="Heading3"/>
        <w:rPr>
          <w:rFonts w:asciiTheme="minorHAnsi" w:hAnsiTheme="minorHAnsi"/>
        </w:rPr>
      </w:pPr>
      <w:bookmarkStart w:id="176" w:name="_Toc500938170"/>
      <w:bookmarkStart w:id="177" w:name="_Toc500947018"/>
      <w:bookmarkStart w:id="178" w:name="_Toc501547027"/>
      <w:bookmarkStart w:id="179" w:name="_Toc501547382"/>
      <w:bookmarkStart w:id="180" w:name="_Toc505005666"/>
      <w:bookmarkStart w:id="181" w:name="_Toc505153757"/>
      <w:bookmarkStart w:id="182" w:name="_Toc508283425"/>
      <w:bookmarkStart w:id="183" w:name="_Toc510081781"/>
      <w:bookmarkStart w:id="184" w:name="_Toc511812218"/>
      <w:bookmarkStart w:id="185" w:name="_Toc512240156"/>
      <w:bookmarkStart w:id="186" w:name="_Toc513192153"/>
      <w:bookmarkStart w:id="187" w:name="_Toc514832415"/>
      <w:bookmarkStart w:id="188" w:name="_Toc514837960"/>
      <w:bookmarkStart w:id="189" w:name="_Toc514943594"/>
      <w:bookmarkStart w:id="190" w:name="_Toc515352037"/>
      <w:bookmarkStart w:id="191" w:name="_Toc518297246"/>
      <w:bookmarkStart w:id="192" w:name="_Toc519069304"/>
      <w:bookmarkStart w:id="193" w:name="_Toc519069365"/>
      <w:bookmarkStart w:id="194" w:name="_Toc519520732"/>
      <w:bookmarkStart w:id="195" w:name="_Toc520188711"/>
      <w:bookmarkStart w:id="196" w:name="_Toc521054228"/>
      <w:bookmarkStart w:id="197" w:name="_Toc521054315"/>
      <w:bookmarkStart w:id="198" w:name="_Toc521054387"/>
      <w:bookmarkStart w:id="199" w:name="_Toc523753610"/>
      <w:bookmarkStart w:id="200" w:name="_Toc523814159"/>
      <w:bookmarkStart w:id="201" w:name="_Toc523900450"/>
      <w:bookmarkStart w:id="202" w:name="_Toc526855811"/>
      <w:bookmarkStart w:id="203" w:name="_Toc528155837"/>
      <w:bookmarkStart w:id="204" w:name="_Toc528157196"/>
      <w:bookmarkStart w:id="205" w:name="_Toc528310849"/>
      <w:bookmarkStart w:id="206" w:name="_Toc529974528"/>
      <w:bookmarkStart w:id="207" w:name="_Toc530039423"/>
      <w:bookmarkStart w:id="208" w:name="_Toc536527671"/>
      <w:bookmarkStart w:id="209" w:name="_Toc536527834"/>
      <w:bookmarkStart w:id="210" w:name="_Toc536615372"/>
      <w:bookmarkStart w:id="211" w:name="_Toc172150"/>
      <w:bookmarkStart w:id="212" w:name="_Toc506075"/>
      <w:bookmarkStart w:id="213" w:name="_Toc945919"/>
      <w:bookmarkStart w:id="214" w:name="_Toc965809"/>
      <w:bookmarkStart w:id="215" w:name="_Toc2839573"/>
      <w:bookmarkStart w:id="216" w:name="_Toc2850233"/>
      <w:bookmarkStart w:id="217" w:name="_Toc3271210"/>
      <w:bookmarkStart w:id="218" w:name="_Toc4588271"/>
      <w:bookmarkStart w:id="219" w:name="_Toc4652917"/>
      <w:bookmarkStart w:id="220" w:name="_Toc5003659"/>
      <w:bookmarkStart w:id="221" w:name="_Toc6211032"/>
      <w:bookmarkStart w:id="222" w:name="_Toc9499990"/>
      <w:bookmarkStart w:id="223" w:name="_Toc14266112"/>
      <w:bookmarkStart w:id="224" w:name="_Toc14334601"/>
      <w:bookmarkStart w:id="225" w:name="_Toc14775951"/>
      <w:bookmarkStart w:id="226" w:name="_Toc15285029"/>
      <w:bookmarkStart w:id="227" w:name="_Toc15630649"/>
      <w:bookmarkStart w:id="228" w:name="_Toc18415321"/>
      <w:bookmarkStart w:id="229" w:name="_Toc18487689"/>
      <w:bookmarkStart w:id="230" w:name="_Toc19708392"/>
      <w:bookmarkStart w:id="231" w:name="_Toc20131681"/>
      <w:bookmarkStart w:id="232" w:name="_Toc21595439"/>
      <w:bookmarkStart w:id="233" w:name="_Toc22025440"/>
      <w:bookmarkStart w:id="234" w:name="_Toc24463703"/>
      <w:bookmarkStart w:id="235" w:name="_Toc24617700"/>
      <w:bookmarkStart w:id="236" w:name="_Toc25050772"/>
      <w:bookmarkStart w:id="237" w:name="_Toc31202136"/>
      <w:bookmarkStart w:id="238" w:name="_Toc31202257"/>
      <w:bookmarkStart w:id="239" w:name="_Toc32390197"/>
      <w:bookmarkStart w:id="240" w:name="_Toc32566838"/>
      <w:bookmarkStart w:id="241" w:name="_Toc35437928"/>
      <w:bookmarkStart w:id="242" w:name="_Toc38270538"/>
      <w:bookmarkStart w:id="243" w:name="_Toc38362389"/>
      <w:bookmarkStart w:id="244" w:name="_Toc38441870"/>
      <w:bookmarkStart w:id="245" w:name="_Toc38442377"/>
      <w:bookmarkStart w:id="246" w:name="_Toc38976315"/>
      <w:bookmarkStart w:id="247" w:name="_Toc40693086"/>
      <w:bookmarkStart w:id="248" w:name="_Toc40693227"/>
      <w:bookmarkStart w:id="249" w:name="_Toc41570913"/>
      <w:bookmarkStart w:id="250" w:name="_Toc42874995"/>
      <w:bookmarkStart w:id="251" w:name="_Toc44074212"/>
      <w:bookmarkStart w:id="252" w:name="_Toc44317223"/>
      <w:bookmarkStart w:id="253" w:name="_Toc44323926"/>
      <w:bookmarkStart w:id="254" w:name="_Toc80105325"/>
      <w:bookmarkStart w:id="255" w:name="_Toc80347169"/>
      <w:bookmarkStart w:id="256" w:name="_Toc80613165"/>
      <w:bookmarkStart w:id="257" w:name="_Toc80613255"/>
      <w:bookmarkStart w:id="258" w:name="_Toc80701762"/>
      <w:bookmarkStart w:id="259" w:name="_Toc83302217"/>
      <w:bookmarkStart w:id="260" w:name="_Toc83639597"/>
      <w:r w:rsidRPr="00104A8B">
        <w:rPr>
          <w:rFonts w:asciiTheme="minorHAnsi" w:hAnsiTheme="minorHAnsi"/>
        </w:rPr>
        <w:t>S</w:t>
      </w:r>
      <w:bookmarkEnd w:id="176"/>
      <w:r w:rsidR="00474136" w:rsidRPr="00104A8B">
        <w:rPr>
          <w:rFonts w:asciiTheme="minorHAnsi" w:hAnsiTheme="minorHAnsi"/>
        </w:rPr>
        <w:t>ecretariat</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7DC23563" w14:textId="77777777" w:rsidR="005D7839" w:rsidRDefault="00E41D9C" w:rsidP="009C4F5B">
      <w:pPr>
        <w:pStyle w:val="ListParagraph"/>
        <w:ind w:left="0"/>
      </w:pPr>
      <w:r>
        <w:t xml:space="preserve">Ms Julia Agostino </w:t>
      </w:r>
      <w:r w:rsidR="005D7839">
        <w:t>(Secretary)</w:t>
      </w:r>
    </w:p>
    <w:p w14:paraId="1E871B4A" w14:textId="77777777" w:rsidR="000B0846" w:rsidRPr="00104A8B" w:rsidRDefault="00BA64E2" w:rsidP="009C4F5B">
      <w:pPr>
        <w:pStyle w:val="ListParagraph"/>
        <w:ind w:left="0"/>
      </w:pPr>
      <w:r>
        <w:t xml:space="preserve">Ms </w:t>
      </w:r>
      <w:r w:rsidR="00773157">
        <w:t>Anne Shannon</w:t>
      </w:r>
      <w:r>
        <w:t xml:space="preserve"> </w:t>
      </w:r>
      <w:r w:rsidR="000B0846" w:rsidRPr="00104A8B">
        <w:t>(Assistant Secretary)</w:t>
      </w:r>
    </w:p>
    <w:p w14:paraId="402EB755" w14:textId="77777777" w:rsidR="000B0846" w:rsidRPr="00104A8B" w:rsidRDefault="000B0846" w:rsidP="009C4F5B">
      <w:pPr>
        <w:pStyle w:val="ListParagraph"/>
        <w:ind w:left="0"/>
      </w:pPr>
      <w:r w:rsidRPr="00104A8B">
        <w:t>Mr Stephen Argument (Legal Adviser—Subordinate Legislation)</w:t>
      </w:r>
    </w:p>
    <w:p w14:paraId="5B3BFC5D" w14:textId="77777777" w:rsidR="000B0846" w:rsidRDefault="000B0846" w:rsidP="009C4F5B">
      <w:pPr>
        <w:pStyle w:val="ListParagraph"/>
        <w:spacing w:after="360"/>
        <w:ind w:left="0"/>
      </w:pPr>
      <w:r w:rsidRPr="00104A8B">
        <w:t>Mr Daniel Stewart (Legal Adviser—Bills)</w:t>
      </w:r>
    </w:p>
    <w:p w14:paraId="274D5660" w14:textId="77777777" w:rsidR="000B0846" w:rsidRPr="00104A8B" w:rsidRDefault="000B0846" w:rsidP="002A185D">
      <w:pPr>
        <w:pStyle w:val="Heading3"/>
        <w:rPr>
          <w:rFonts w:asciiTheme="minorHAnsi" w:hAnsiTheme="minorHAnsi"/>
        </w:rPr>
      </w:pPr>
      <w:bookmarkStart w:id="261" w:name="_Toc500938171"/>
      <w:bookmarkStart w:id="262" w:name="_Toc500947019"/>
      <w:bookmarkStart w:id="263" w:name="_Toc501547028"/>
      <w:bookmarkStart w:id="264" w:name="_Toc501547383"/>
      <w:bookmarkStart w:id="265" w:name="_Toc505005667"/>
      <w:bookmarkStart w:id="266" w:name="_Toc505153758"/>
      <w:bookmarkStart w:id="267" w:name="_Toc508283426"/>
      <w:bookmarkStart w:id="268" w:name="_Toc510081782"/>
      <w:bookmarkStart w:id="269" w:name="_Toc511812219"/>
      <w:bookmarkStart w:id="270" w:name="_Toc512240157"/>
      <w:bookmarkStart w:id="271" w:name="_Toc513192154"/>
      <w:bookmarkStart w:id="272" w:name="_Toc514832416"/>
      <w:bookmarkStart w:id="273" w:name="_Toc514837961"/>
      <w:bookmarkStart w:id="274" w:name="_Toc514943595"/>
      <w:bookmarkStart w:id="275" w:name="_Toc515352038"/>
      <w:bookmarkStart w:id="276" w:name="_Toc518297247"/>
      <w:bookmarkStart w:id="277" w:name="_Toc519069305"/>
      <w:bookmarkStart w:id="278" w:name="_Toc519069366"/>
      <w:bookmarkStart w:id="279" w:name="_Toc519520733"/>
      <w:bookmarkStart w:id="280" w:name="_Toc520188712"/>
      <w:bookmarkStart w:id="281" w:name="_Toc521054229"/>
      <w:bookmarkStart w:id="282" w:name="_Toc521054316"/>
      <w:bookmarkStart w:id="283" w:name="_Toc521054388"/>
      <w:bookmarkStart w:id="284" w:name="_Toc523753611"/>
      <w:bookmarkStart w:id="285" w:name="_Toc523814160"/>
      <w:bookmarkStart w:id="286" w:name="_Toc523900451"/>
      <w:bookmarkStart w:id="287" w:name="_Toc526855812"/>
      <w:bookmarkStart w:id="288" w:name="_Toc528155838"/>
      <w:bookmarkStart w:id="289" w:name="_Toc528157197"/>
      <w:bookmarkStart w:id="290" w:name="_Toc528310850"/>
      <w:bookmarkStart w:id="291" w:name="_Toc529974529"/>
      <w:bookmarkStart w:id="292" w:name="_Toc530039424"/>
      <w:bookmarkStart w:id="293" w:name="_Toc536527672"/>
      <w:bookmarkStart w:id="294" w:name="_Toc536527835"/>
      <w:bookmarkStart w:id="295" w:name="_Toc536615373"/>
      <w:bookmarkStart w:id="296" w:name="_Toc172151"/>
      <w:bookmarkStart w:id="297" w:name="_Toc506076"/>
      <w:bookmarkStart w:id="298" w:name="_Toc945920"/>
      <w:bookmarkStart w:id="299" w:name="_Toc965810"/>
      <w:bookmarkStart w:id="300" w:name="_Toc2839574"/>
      <w:bookmarkStart w:id="301" w:name="_Toc2850234"/>
      <w:bookmarkStart w:id="302" w:name="_Toc3271211"/>
      <w:bookmarkStart w:id="303" w:name="_Toc4588272"/>
      <w:bookmarkStart w:id="304" w:name="_Toc4652918"/>
      <w:bookmarkStart w:id="305" w:name="_Toc5003660"/>
      <w:bookmarkStart w:id="306" w:name="_Toc6211033"/>
      <w:bookmarkStart w:id="307" w:name="_Toc9499991"/>
      <w:bookmarkStart w:id="308" w:name="_Toc14266113"/>
      <w:bookmarkStart w:id="309" w:name="_Toc14334602"/>
      <w:bookmarkStart w:id="310" w:name="_Toc14775952"/>
      <w:bookmarkStart w:id="311" w:name="_Toc15285030"/>
      <w:bookmarkStart w:id="312" w:name="_Toc15630650"/>
      <w:bookmarkStart w:id="313" w:name="_Toc18415322"/>
      <w:bookmarkStart w:id="314" w:name="_Toc18487690"/>
      <w:bookmarkStart w:id="315" w:name="_Toc19708393"/>
      <w:bookmarkStart w:id="316" w:name="_Toc20131682"/>
      <w:bookmarkStart w:id="317" w:name="_Toc21595440"/>
      <w:bookmarkStart w:id="318" w:name="_Toc22025441"/>
      <w:bookmarkStart w:id="319" w:name="_Toc24463704"/>
      <w:bookmarkStart w:id="320" w:name="_Toc24617701"/>
      <w:bookmarkStart w:id="321" w:name="_Toc25050773"/>
      <w:bookmarkStart w:id="322" w:name="_Toc31202137"/>
      <w:bookmarkStart w:id="323" w:name="_Toc31202258"/>
      <w:bookmarkStart w:id="324" w:name="_Toc32390198"/>
      <w:bookmarkStart w:id="325" w:name="_Toc32566839"/>
      <w:bookmarkStart w:id="326" w:name="_Toc35437929"/>
      <w:bookmarkStart w:id="327" w:name="_Toc38270539"/>
      <w:bookmarkStart w:id="328" w:name="_Toc38362390"/>
      <w:bookmarkStart w:id="329" w:name="_Toc38441871"/>
      <w:bookmarkStart w:id="330" w:name="_Toc38442378"/>
      <w:bookmarkStart w:id="331" w:name="_Toc38976316"/>
      <w:bookmarkStart w:id="332" w:name="_Toc40693087"/>
      <w:bookmarkStart w:id="333" w:name="_Toc40693228"/>
      <w:bookmarkStart w:id="334" w:name="_Toc41570914"/>
      <w:bookmarkStart w:id="335" w:name="_Toc42874996"/>
      <w:bookmarkStart w:id="336" w:name="_Toc44074213"/>
      <w:bookmarkStart w:id="337" w:name="_Toc44317224"/>
      <w:bookmarkStart w:id="338" w:name="_Toc44323927"/>
      <w:bookmarkStart w:id="339" w:name="_Toc80105326"/>
      <w:bookmarkStart w:id="340" w:name="_Toc80347170"/>
      <w:bookmarkStart w:id="341" w:name="_Toc80613166"/>
      <w:bookmarkStart w:id="342" w:name="_Toc80613256"/>
      <w:bookmarkStart w:id="343" w:name="_Toc80701763"/>
      <w:bookmarkStart w:id="344" w:name="_Toc83302218"/>
      <w:bookmarkStart w:id="345" w:name="_Toc83639598"/>
      <w:r w:rsidRPr="00104A8B">
        <w:rPr>
          <w:rFonts w:asciiTheme="minorHAnsi" w:hAnsiTheme="minorHAnsi"/>
        </w:rPr>
        <w:t>C</w:t>
      </w:r>
      <w:r w:rsidR="00474136" w:rsidRPr="00104A8B">
        <w:rPr>
          <w:rFonts w:asciiTheme="minorHAnsi" w:hAnsiTheme="minorHAnsi"/>
        </w:rPr>
        <w:t>ontact Information</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5CF76B81" w14:textId="77777777" w:rsidR="000B0846" w:rsidRPr="00104A8B" w:rsidRDefault="000B0846" w:rsidP="009C4F5B">
      <w:pPr>
        <w:pStyle w:val="ListParagraph"/>
        <w:tabs>
          <w:tab w:val="left" w:pos="1260"/>
        </w:tabs>
        <w:ind w:left="0"/>
      </w:pPr>
      <w:r w:rsidRPr="00104A8B">
        <w:t>Telephone</w:t>
      </w:r>
      <w:r w:rsidRPr="00104A8B">
        <w:tab/>
        <w:t xml:space="preserve">02 6205 </w:t>
      </w:r>
      <w:r w:rsidR="00415478">
        <w:t>0</w:t>
      </w:r>
      <w:r w:rsidR="00BE6460">
        <w:t>171</w:t>
      </w:r>
    </w:p>
    <w:p w14:paraId="1AE40A68" w14:textId="77777777" w:rsidR="000B0846" w:rsidRPr="00104A8B" w:rsidRDefault="000B0846" w:rsidP="009C4F5B">
      <w:pPr>
        <w:pStyle w:val="ListParagraph"/>
        <w:tabs>
          <w:tab w:val="left" w:pos="1260"/>
        </w:tabs>
        <w:ind w:left="0"/>
      </w:pPr>
      <w:r w:rsidRPr="00104A8B">
        <w:t>Facsimile</w:t>
      </w:r>
      <w:r w:rsidRPr="00104A8B">
        <w:tab/>
        <w:t>02 6205 3109</w:t>
      </w:r>
    </w:p>
    <w:p w14:paraId="397009C1" w14:textId="77777777" w:rsidR="000B0846" w:rsidRPr="00104A8B" w:rsidRDefault="000B0846" w:rsidP="009C4F5B">
      <w:pPr>
        <w:pStyle w:val="ListParagraph"/>
        <w:tabs>
          <w:tab w:val="left" w:pos="1260"/>
        </w:tabs>
        <w:ind w:left="0"/>
      </w:pPr>
      <w:r w:rsidRPr="00104A8B">
        <w:t>Post</w:t>
      </w:r>
      <w:r w:rsidRPr="00104A8B">
        <w:tab/>
        <w:t>GPO Box 1020, CANBERRA ACT 2601</w:t>
      </w:r>
    </w:p>
    <w:p w14:paraId="1A330004" w14:textId="77777777" w:rsidR="000B0846" w:rsidRPr="00104A8B" w:rsidRDefault="000B0846" w:rsidP="009C4F5B">
      <w:pPr>
        <w:pStyle w:val="ListParagraph"/>
        <w:tabs>
          <w:tab w:val="left" w:pos="1260"/>
        </w:tabs>
        <w:ind w:left="0"/>
      </w:pPr>
      <w:r w:rsidRPr="00104A8B">
        <w:t>Email</w:t>
      </w:r>
      <w:r w:rsidRPr="00104A8B">
        <w:tab/>
        <w:t>scrutiny@parliament.act.gov.au</w:t>
      </w:r>
    </w:p>
    <w:p w14:paraId="31945732" w14:textId="77777777" w:rsidR="000B0846" w:rsidRPr="00104A8B" w:rsidRDefault="000B0846" w:rsidP="009C4F5B">
      <w:pPr>
        <w:pStyle w:val="ListParagraph"/>
        <w:tabs>
          <w:tab w:val="left" w:pos="1260"/>
        </w:tabs>
        <w:spacing w:after="360"/>
        <w:ind w:left="0"/>
      </w:pPr>
      <w:r w:rsidRPr="00104A8B">
        <w:t>Website</w:t>
      </w:r>
      <w:r w:rsidRPr="00104A8B">
        <w:tab/>
        <w:t>www.parliament.act.gov.au</w:t>
      </w:r>
    </w:p>
    <w:p w14:paraId="22E1E66B" w14:textId="77777777" w:rsidR="000B0846" w:rsidRPr="00104A8B" w:rsidRDefault="000B0846" w:rsidP="002A185D">
      <w:pPr>
        <w:pStyle w:val="Heading3"/>
        <w:rPr>
          <w:rFonts w:asciiTheme="minorHAnsi" w:hAnsiTheme="minorHAnsi"/>
        </w:rPr>
      </w:pPr>
      <w:bookmarkStart w:id="346" w:name="_Toc500938172"/>
      <w:bookmarkStart w:id="347" w:name="_Toc500947020"/>
      <w:bookmarkStart w:id="348" w:name="_Toc501547029"/>
      <w:bookmarkStart w:id="349" w:name="_Toc501547384"/>
      <w:bookmarkStart w:id="350" w:name="_Toc505005668"/>
      <w:bookmarkStart w:id="351" w:name="_Toc505153759"/>
      <w:bookmarkStart w:id="352" w:name="_Toc508283427"/>
      <w:bookmarkStart w:id="353" w:name="_Toc510081783"/>
      <w:bookmarkStart w:id="354" w:name="_Toc511812220"/>
      <w:bookmarkStart w:id="355" w:name="_Toc512240158"/>
      <w:bookmarkStart w:id="356" w:name="_Toc513192155"/>
      <w:bookmarkStart w:id="357" w:name="_Toc514832417"/>
      <w:bookmarkStart w:id="358" w:name="_Toc514837962"/>
      <w:bookmarkStart w:id="359" w:name="_Toc514943596"/>
      <w:bookmarkStart w:id="360" w:name="_Toc515352039"/>
      <w:bookmarkStart w:id="361" w:name="_Toc518297248"/>
      <w:bookmarkStart w:id="362" w:name="_Toc519069306"/>
      <w:bookmarkStart w:id="363" w:name="_Toc519069367"/>
      <w:bookmarkStart w:id="364" w:name="_Toc519520734"/>
      <w:bookmarkStart w:id="365" w:name="_Toc520188713"/>
      <w:bookmarkStart w:id="366" w:name="_Toc521054230"/>
      <w:bookmarkStart w:id="367" w:name="_Toc521054317"/>
      <w:bookmarkStart w:id="368" w:name="_Toc521054389"/>
      <w:bookmarkStart w:id="369" w:name="_Toc523753612"/>
      <w:bookmarkStart w:id="370" w:name="_Toc523814161"/>
      <w:bookmarkStart w:id="371" w:name="_Toc523900452"/>
      <w:bookmarkStart w:id="372" w:name="_Toc526855813"/>
      <w:bookmarkStart w:id="373" w:name="_Toc528155839"/>
      <w:bookmarkStart w:id="374" w:name="_Toc528157198"/>
      <w:bookmarkStart w:id="375" w:name="_Toc528310851"/>
      <w:bookmarkStart w:id="376" w:name="_Toc529974530"/>
      <w:bookmarkStart w:id="377" w:name="_Toc530039425"/>
      <w:bookmarkStart w:id="378" w:name="_Toc536527673"/>
      <w:bookmarkStart w:id="379" w:name="_Toc536527836"/>
      <w:bookmarkStart w:id="380" w:name="_Toc536615374"/>
      <w:bookmarkStart w:id="381" w:name="_Toc172152"/>
      <w:bookmarkStart w:id="382" w:name="_Toc506077"/>
      <w:bookmarkStart w:id="383" w:name="_Toc945921"/>
      <w:bookmarkStart w:id="384" w:name="_Toc965811"/>
      <w:bookmarkStart w:id="385" w:name="_Toc2839575"/>
      <w:bookmarkStart w:id="386" w:name="_Toc2850235"/>
      <w:bookmarkStart w:id="387" w:name="_Toc3271212"/>
      <w:bookmarkStart w:id="388" w:name="_Toc4588273"/>
      <w:bookmarkStart w:id="389" w:name="_Toc4652919"/>
      <w:bookmarkStart w:id="390" w:name="_Toc5003661"/>
      <w:bookmarkStart w:id="391" w:name="_Toc6211034"/>
      <w:bookmarkStart w:id="392" w:name="_Toc9499992"/>
      <w:bookmarkStart w:id="393" w:name="_Toc14266114"/>
      <w:bookmarkStart w:id="394" w:name="_Toc14334603"/>
      <w:bookmarkStart w:id="395" w:name="_Toc14775953"/>
      <w:bookmarkStart w:id="396" w:name="_Toc15285031"/>
      <w:bookmarkStart w:id="397" w:name="_Toc15630651"/>
      <w:bookmarkStart w:id="398" w:name="_Toc18415323"/>
      <w:bookmarkStart w:id="399" w:name="_Toc18487691"/>
      <w:bookmarkStart w:id="400" w:name="_Toc19708394"/>
      <w:bookmarkStart w:id="401" w:name="_Toc20131683"/>
      <w:bookmarkStart w:id="402" w:name="_Toc21595441"/>
      <w:bookmarkStart w:id="403" w:name="_Toc22025442"/>
      <w:bookmarkStart w:id="404" w:name="_Toc24463705"/>
      <w:bookmarkStart w:id="405" w:name="_Toc24617702"/>
      <w:bookmarkStart w:id="406" w:name="_Toc25050774"/>
      <w:bookmarkStart w:id="407" w:name="_Toc31202138"/>
      <w:bookmarkStart w:id="408" w:name="_Toc31202259"/>
      <w:bookmarkStart w:id="409" w:name="_Toc32390199"/>
      <w:bookmarkStart w:id="410" w:name="_Toc32566840"/>
      <w:bookmarkStart w:id="411" w:name="_Toc35437930"/>
      <w:bookmarkStart w:id="412" w:name="_Toc38270540"/>
      <w:bookmarkStart w:id="413" w:name="_Toc38362391"/>
      <w:bookmarkStart w:id="414" w:name="_Toc38441872"/>
      <w:bookmarkStart w:id="415" w:name="_Toc38442379"/>
      <w:bookmarkStart w:id="416" w:name="_Toc38976317"/>
      <w:bookmarkStart w:id="417" w:name="_Toc40693088"/>
      <w:bookmarkStart w:id="418" w:name="_Toc40693229"/>
      <w:bookmarkStart w:id="419" w:name="_Toc41570915"/>
      <w:bookmarkStart w:id="420" w:name="_Toc42874997"/>
      <w:bookmarkStart w:id="421" w:name="_Toc44074214"/>
      <w:bookmarkStart w:id="422" w:name="_Toc44317225"/>
      <w:bookmarkStart w:id="423" w:name="_Toc44323928"/>
      <w:bookmarkStart w:id="424" w:name="_Toc80105327"/>
      <w:bookmarkStart w:id="425" w:name="_Toc80347171"/>
      <w:bookmarkStart w:id="426" w:name="_Toc80613167"/>
      <w:bookmarkStart w:id="427" w:name="_Toc80613257"/>
      <w:bookmarkStart w:id="428" w:name="_Toc80701764"/>
      <w:bookmarkStart w:id="429" w:name="_Toc83302219"/>
      <w:bookmarkStart w:id="430" w:name="_Toc83639599"/>
      <w:r w:rsidRPr="00104A8B">
        <w:rPr>
          <w:rFonts w:asciiTheme="minorHAnsi" w:hAnsiTheme="minorHAnsi"/>
        </w:rPr>
        <w:t>R</w:t>
      </w:r>
      <w:r w:rsidR="00474136" w:rsidRPr="00104A8B">
        <w:rPr>
          <w:rFonts w:asciiTheme="minorHAnsi" w:hAnsiTheme="minorHAnsi"/>
        </w:rPr>
        <w:t>ole of Committee</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4F5154C3" w14:textId="77777777" w:rsidR="000B0846" w:rsidRPr="00104A8B" w:rsidRDefault="000B0846" w:rsidP="000B0846">
      <w:r w:rsidRPr="00104A8B">
        <w:t>The Committee examines all Bills and subordinate legislation presented to the Assembly. It does not make any comments on the policy aspects of the legislation. The Committee’s terms of reference contain principles of scrutiny that enable it to operate in the best traditions of totally non-partisan, non-political technical scrutiny of legislation. These traditions have been adopted, without exception, by all scrutiny committees in Australia. Non-partisan, non-policy scrutiny allows the Committee to help the Assembly pass into law Acts and subordinate legislation which comply with the ideals set out in its terms of reference.</w:t>
      </w:r>
    </w:p>
    <w:p w14:paraId="7E2D9806" w14:textId="77777777" w:rsidR="00045F75" w:rsidRPr="00104A8B" w:rsidRDefault="00652A64" w:rsidP="00AC094E">
      <w:pPr>
        <w:pStyle w:val="Heading2"/>
        <w:rPr>
          <w:rFonts w:asciiTheme="minorHAnsi" w:hAnsiTheme="minorHAnsi"/>
        </w:rPr>
      </w:pPr>
      <w:r w:rsidRPr="00104A8B">
        <w:rPr>
          <w:rFonts w:asciiTheme="minorHAnsi" w:hAnsiTheme="minorHAnsi"/>
        </w:rPr>
        <w:br w:type="page"/>
      </w:r>
      <w:bookmarkStart w:id="431" w:name="_Toc500938173"/>
      <w:bookmarkStart w:id="432" w:name="_Toc500947021"/>
      <w:bookmarkStart w:id="433" w:name="_Toc501547030"/>
      <w:bookmarkStart w:id="434" w:name="_Toc501547385"/>
      <w:bookmarkStart w:id="435" w:name="_Toc505005669"/>
      <w:bookmarkStart w:id="436" w:name="_Toc505153760"/>
      <w:bookmarkStart w:id="437" w:name="_Toc508283428"/>
      <w:bookmarkStart w:id="438" w:name="_Toc510081784"/>
      <w:bookmarkStart w:id="439" w:name="_Toc511812221"/>
      <w:bookmarkStart w:id="440" w:name="_Toc512240159"/>
      <w:bookmarkStart w:id="441" w:name="_Toc513192156"/>
      <w:bookmarkStart w:id="442" w:name="_Toc514832418"/>
      <w:bookmarkStart w:id="443" w:name="_Toc514837963"/>
      <w:bookmarkStart w:id="444" w:name="_Toc518297249"/>
      <w:bookmarkStart w:id="445" w:name="_Toc519069307"/>
      <w:bookmarkStart w:id="446" w:name="_Toc519069368"/>
      <w:bookmarkStart w:id="447" w:name="_Toc519520735"/>
      <w:bookmarkStart w:id="448" w:name="_Toc520188714"/>
      <w:bookmarkStart w:id="449" w:name="_Toc521054231"/>
      <w:bookmarkStart w:id="450" w:name="_Toc521054318"/>
      <w:bookmarkStart w:id="451" w:name="_Toc521054390"/>
      <w:bookmarkStart w:id="452" w:name="_Toc523753613"/>
      <w:bookmarkStart w:id="453" w:name="_Toc523814162"/>
      <w:bookmarkStart w:id="454" w:name="_Toc523900453"/>
      <w:bookmarkStart w:id="455" w:name="_Toc526855814"/>
      <w:bookmarkStart w:id="456" w:name="_Toc528155840"/>
      <w:bookmarkStart w:id="457" w:name="_Toc528157199"/>
      <w:bookmarkStart w:id="458" w:name="_Toc528310852"/>
      <w:bookmarkStart w:id="459" w:name="_Toc529974531"/>
      <w:bookmarkStart w:id="460" w:name="_Toc530039426"/>
      <w:bookmarkStart w:id="461" w:name="_Toc536527674"/>
      <w:bookmarkStart w:id="462" w:name="_Toc536527837"/>
      <w:bookmarkStart w:id="463" w:name="_Toc536615375"/>
      <w:bookmarkStart w:id="464" w:name="_Toc172153"/>
      <w:bookmarkStart w:id="465" w:name="_Toc506078"/>
      <w:bookmarkStart w:id="466" w:name="_Toc945922"/>
      <w:bookmarkStart w:id="467" w:name="_Toc965812"/>
      <w:bookmarkStart w:id="468" w:name="_Toc2839576"/>
      <w:bookmarkStart w:id="469" w:name="_Toc2850236"/>
      <w:bookmarkStart w:id="470" w:name="_Toc3271213"/>
      <w:bookmarkStart w:id="471" w:name="_Toc4588274"/>
      <w:bookmarkStart w:id="472" w:name="_Toc4652920"/>
      <w:bookmarkStart w:id="473" w:name="_Toc5003662"/>
      <w:bookmarkStart w:id="474" w:name="_Toc6211035"/>
      <w:bookmarkStart w:id="475" w:name="_Toc9499993"/>
      <w:bookmarkStart w:id="476" w:name="_Toc14266115"/>
      <w:bookmarkStart w:id="477" w:name="_Toc14334604"/>
      <w:bookmarkStart w:id="478" w:name="_Toc14775954"/>
      <w:bookmarkStart w:id="479" w:name="_Toc15285032"/>
      <w:bookmarkStart w:id="480" w:name="_Toc15630652"/>
      <w:bookmarkStart w:id="481" w:name="_Toc18415324"/>
      <w:bookmarkStart w:id="482" w:name="_Toc18487692"/>
      <w:bookmarkStart w:id="483" w:name="_Toc19708395"/>
      <w:bookmarkStart w:id="484" w:name="_Toc20131684"/>
      <w:bookmarkStart w:id="485" w:name="_Toc21595442"/>
      <w:bookmarkStart w:id="486" w:name="_Toc22025443"/>
      <w:bookmarkStart w:id="487" w:name="_Toc24463706"/>
      <w:bookmarkStart w:id="488" w:name="_Toc24617703"/>
      <w:bookmarkStart w:id="489" w:name="_Toc25050775"/>
      <w:bookmarkStart w:id="490" w:name="_Toc31202139"/>
      <w:bookmarkStart w:id="491" w:name="_Toc31202260"/>
      <w:bookmarkStart w:id="492" w:name="_Toc32390200"/>
      <w:bookmarkStart w:id="493" w:name="_Toc32566841"/>
      <w:bookmarkStart w:id="494" w:name="_Toc35437931"/>
      <w:bookmarkStart w:id="495" w:name="_Toc38270541"/>
      <w:bookmarkStart w:id="496" w:name="_Toc38362392"/>
      <w:bookmarkStart w:id="497" w:name="_Toc38441873"/>
      <w:bookmarkStart w:id="498" w:name="_Toc38442380"/>
      <w:bookmarkStart w:id="499" w:name="_Toc38976318"/>
      <w:bookmarkStart w:id="500" w:name="_Toc40693089"/>
      <w:bookmarkStart w:id="501" w:name="_Toc40693230"/>
      <w:bookmarkStart w:id="502" w:name="_Toc41570916"/>
      <w:bookmarkStart w:id="503" w:name="_Toc42874998"/>
      <w:bookmarkStart w:id="504" w:name="_Toc44074215"/>
      <w:bookmarkStart w:id="505" w:name="_Toc44317226"/>
      <w:bookmarkStart w:id="506" w:name="_Toc44323929"/>
      <w:bookmarkStart w:id="507" w:name="_Toc80105328"/>
      <w:bookmarkStart w:id="508" w:name="_Toc80347172"/>
      <w:bookmarkStart w:id="509" w:name="_Toc80613168"/>
      <w:bookmarkStart w:id="510" w:name="_Toc80613258"/>
      <w:bookmarkStart w:id="511" w:name="_Toc80701765"/>
      <w:bookmarkStart w:id="512" w:name="_Toc83302220"/>
      <w:bookmarkStart w:id="513" w:name="_Toc83639600"/>
      <w:r w:rsidR="00045F75" w:rsidRPr="00104A8B">
        <w:rPr>
          <w:rFonts w:asciiTheme="minorHAnsi" w:hAnsiTheme="minorHAnsi"/>
        </w:rPr>
        <w:lastRenderedPageBreak/>
        <w:t>Resolution of Appointment</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362E208E" w14:textId="10AB8ACF" w:rsidR="001D271A" w:rsidRPr="00697120" w:rsidRDefault="001D271A" w:rsidP="001D271A">
      <w:pPr>
        <w:keepNext/>
        <w:keepLines/>
        <w:tabs>
          <w:tab w:val="left" w:pos="567"/>
        </w:tabs>
        <w:spacing w:before="60" w:after="60"/>
        <w:ind w:left="1701" w:hanging="567"/>
        <w:rPr>
          <w:rFonts w:ascii="Calibri" w:hAnsi="Calibri"/>
        </w:rPr>
      </w:pPr>
      <w:r w:rsidRPr="00697120">
        <w:rPr>
          <w:rFonts w:ascii="Calibri" w:hAnsi="Calibri"/>
        </w:rPr>
        <w:t>(10)</w:t>
      </w:r>
      <w:r w:rsidRPr="00697120">
        <w:rPr>
          <w:rFonts w:ascii="Calibri" w:hAnsi="Calibri"/>
        </w:rPr>
        <w:tab/>
      </w:r>
      <w:proofErr w:type="gramStart"/>
      <w:r w:rsidRPr="00697120">
        <w:rPr>
          <w:rFonts w:ascii="Calibri" w:hAnsi="Calibri"/>
        </w:rPr>
        <w:t>the</w:t>
      </w:r>
      <w:proofErr w:type="gramEnd"/>
      <w:r w:rsidRPr="00697120">
        <w:rPr>
          <w:rFonts w:ascii="Calibri" w:hAnsi="Calibri"/>
        </w:rPr>
        <w:t xml:space="preserve"> Standing Committee on Justice and Community Safety is also to perform a legislative scrutiny role of bills and subordinate legislation by:</w:t>
      </w:r>
    </w:p>
    <w:p w14:paraId="22A3C386" w14:textId="77777777" w:rsidR="001D271A" w:rsidRPr="00697120" w:rsidRDefault="001D271A" w:rsidP="001D271A">
      <w:pPr>
        <w:keepNext/>
        <w:keepLines/>
        <w:tabs>
          <w:tab w:val="left" w:pos="567"/>
        </w:tabs>
        <w:spacing w:before="60" w:after="60"/>
        <w:ind w:left="2268" w:hanging="567"/>
        <w:rPr>
          <w:rFonts w:ascii="Calibri" w:hAnsi="Calibri"/>
        </w:rPr>
      </w:pPr>
      <w:r w:rsidRPr="00697120">
        <w:rPr>
          <w:rFonts w:ascii="Calibri" w:hAnsi="Calibri"/>
        </w:rPr>
        <w:t>(a)</w:t>
      </w:r>
      <w:r w:rsidRPr="00697120">
        <w:rPr>
          <w:rFonts w:ascii="Calibri" w:hAnsi="Calibri"/>
        </w:rPr>
        <w:tab/>
      </w:r>
      <w:proofErr w:type="gramStart"/>
      <w:r w:rsidRPr="00697120">
        <w:rPr>
          <w:rFonts w:ascii="Calibri" w:hAnsi="Calibri"/>
        </w:rPr>
        <w:t>considering</w:t>
      </w:r>
      <w:proofErr w:type="gramEnd"/>
      <w:r w:rsidRPr="00697120">
        <w:rPr>
          <w:rFonts w:ascii="Calibri" w:hAnsi="Calibri"/>
        </w:rPr>
        <w:t xml:space="preserve"> whether the clauses of bills (and amendments proposed by the Government to its own bills) introduced into the Assembly:</w:t>
      </w:r>
    </w:p>
    <w:p w14:paraId="7F90C0A5" w14:textId="77777777" w:rsidR="001D271A" w:rsidRPr="00697120" w:rsidRDefault="001D271A" w:rsidP="001D271A">
      <w:pPr>
        <w:keepNext/>
        <w:keepLines/>
        <w:spacing w:before="60" w:after="60"/>
        <w:ind w:left="2835" w:hanging="567"/>
        <w:rPr>
          <w:rFonts w:ascii="Calibri" w:hAnsi="Calibri"/>
        </w:rPr>
      </w:pPr>
      <w:r w:rsidRPr="00697120">
        <w:rPr>
          <w:rFonts w:ascii="Calibri" w:hAnsi="Calibri"/>
        </w:rPr>
        <w:t>(</w:t>
      </w:r>
      <w:proofErr w:type="spellStart"/>
      <w:r w:rsidRPr="00697120">
        <w:rPr>
          <w:rFonts w:ascii="Calibri" w:hAnsi="Calibri"/>
        </w:rPr>
        <w:t>i</w:t>
      </w:r>
      <w:proofErr w:type="spellEnd"/>
      <w:r w:rsidRPr="00697120">
        <w:rPr>
          <w:rFonts w:ascii="Calibri" w:hAnsi="Calibri"/>
        </w:rPr>
        <w:t>)</w:t>
      </w:r>
      <w:r w:rsidRPr="00697120">
        <w:rPr>
          <w:rFonts w:ascii="Calibri" w:hAnsi="Calibri"/>
        </w:rPr>
        <w:tab/>
      </w:r>
      <w:proofErr w:type="gramStart"/>
      <w:r w:rsidRPr="00697120">
        <w:rPr>
          <w:rFonts w:ascii="Calibri" w:hAnsi="Calibri"/>
        </w:rPr>
        <w:t>unduly</w:t>
      </w:r>
      <w:proofErr w:type="gramEnd"/>
      <w:r w:rsidRPr="00697120">
        <w:rPr>
          <w:rFonts w:ascii="Calibri" w:hAnsi="Calibri"/>
        </w:rPr>
        <w:t xml:space="preserve"> trespass on personal rights and liberties;</w:t>
      </w:r>
    </w:p>
    <w:p w14:paraId="6F3B7964" w14:textId="77777777" w:rsidR="001D271A" w:rsidRPr="00697120" w:rsidRDefault="001D271A" w:rsidP="001D271A">
      <w:pPr>
        <w:spacing w:before="60" w:after="60"/>
        <w:ind w:left="2835" w:hanging="567"/>
        <w:rPr>
          <w:rFonts w:ascii="Calibri" w:hAnsi="Calibri"/>
        </w:rPr>
      </w:pPr>
      <w:r w:rsidRPr="00697120">
        <w:rPr>
          <w:rFonts w:ascii="Calibri" w:hAnsi="Calibri"/>
        </w:rPr>
        <w:t>(ii)</w:t>
      </w:r>
      <w:r w:rsidRPr="00697120">
        <w:rPr>
          <w:rFonts w:ascii="Calibri" w:hAnsi="Calibri"/>
        </w:rPr>
        <w:tab/>
      </w:r>
      <w:proofErr w:type="gramStart"/>
      <w:r w:rsidRPr="00697120">
        <w:rPr>
          <w:rFonts w:ascii="Calibri" w:hAnsi="Calibri"/>
        </w:rPr>
        <w:t>make</w:t>
      </w:r>
      <w:proofErr w:type="gramEnd"/>
      <w:r w:rsidRPr="00697120">
        <w:rPr>
          <w:rFonts w:ascii="Calibri" w:hAnsi="Calibri"/>
        </w:rPr>
        <w:t xml:space="preserve"> rights, liberties and/or obligations unduly dependent upon insufficiently defined administrative powers;</w:t>
      </w:r>
    </w:p>
    <w:p w14:paraId="57ACF07B" w14:textId="77777777" w:rsidR="001D271A" w:rsidRPr="00697120" w:rsidRDefault="001D271A" w:rsidP="001D271A">
      <w:pPr>
        <w:spacing w:before="60" w:after="60"/>
        <w:ind w:left="2835" w:hanging="567"/>
        <w:rPr>
          <w:rFonts w:ascii="Calibri" w:hAnsi="Calibri"/>
        </w:rPr>
      </w:pPr>
      <w:r w:rsidRPr="00697120">
        <w:rPr>
          <w:rFonts w:ascii="Calibri" w:hAnsi="Calibri"/>
        </w:rPr>
        <w:t>(iii)</w:t>
      </w:r>
      <w:r w:rsidRPr="00697120">
        <w:rPr>
          <w:rFonts w:ascii="Calibri" w:hAnsi="Calibri"/>
        </w:rPr>
        <w:tab/>
      </w:r>
      <w:proofErr w:type="gramStart"/>
      <w:r w:rsidRPr="00697120">
        <w:rPr>
          <w:rFonts w:ascii="Calibri" w:hAnsi="Calibri"/>
        </w:rPr>
        <w:t>make</w:t>
      </w:r>
      <w:proofErr w:type="gramEnd"/>
      <w:r w:rsidRPr="00697120">
        <w:rPr>
          <w:rFonts w:ascii="Calibri" w:hAnsi="Calibri"/>
        </w:rPr>
        <w:t xml:space="preserve"> rights, liberties and/or obligations unduly dependent upon non-reviewable decisions;</w:t>
      </w:r>
    </w:p>
    <w:p w14:paraId="209281F7" w14:textId="77777777" w:rsidR="001D271A" w:rsidRPr="00697120" w:rsidRDefault="001D271A" w:rsidP="001D271A">
      <w:pPr>
        <w:spacing w:before="60" w:after="60"/>
        <w:ind w:left="2835" w:hanging="567"/>
        <w:rPr>
          <w:rFonts w:ascii="Calibri" w:hAnsi="Calibri"/>
        </w:rPr>
      </w:pPr>
      <w:r w:rsidRPr="00697120">
        <w:rPr>
          <w:rFonts w:ascii="Calibri" w:hAnsi="Calibri"/>
        </w:rPr>
        <w:t>(iv)</w:t>
      </w:r>
      <w:r w:rsidRPr="00697120">
        <w:rPr>
          <w:rFonts w:ascii="Calibri" w:hAnsi="Calibri"/>
        </w:rPr>
        <w:tab/>
      </w:r>
      <w:proofErr w:type="gramStart"/>
      <w:r w:rsidRPr="00697120">
        <w:rPr>
          <w:rFonts w:ascii="Calibri" w:hAnsi="Calibri"/>
        </w:rPr>
        <w:t>inappropriately</w:t>
      </w:r>
      <w:proofErr w:type="gramEnd"/>
      <w:r w:rsidRPr="00697120">
        <w:rPr>
          <w:rFonts w:ascii="Calibri" w:hAnsi="Calibri"/>
        </w:rPr>
        <w:t xml:space="preserve"> delegate legislative powers; or</w:t>
      </w:r>
    </w:p>
    <w:p w14:paraId="2F90AE0F" w14:textId="77777777" w:rsidR="001D271A" w:rsidRPr="00697120" w:rsidRDefault="001D271A" w:rsidP="001D271A">
      <w:pPr>
        <w:spacing w:before="60" w:after="60"/>
        <w:ind w:left="2835" w:hanging="567"/>
        <w:rPr>
          <w:rFonts w:ascii="Calibri" w:hAnsi="Calibri"/>
        </w:rPr>
      </w:pPr>
      <w:r w:rsidRPr="00697120">
        <w:rPr>
          <w:rFonts w:ascii="Calibri" w:hAnsi="Calibri"/>
        </w:rPr>
        <w:t>(v)</w:t>
      </w:r>
      <w:r w:rsidRPr="00697120">
        <w:rPr>
          <w:rFonts w:ascii="Calibri" w:hAnsi="Calibri"/>
        </w:rPr>
        <w:tab/>
      </w:r>
      <w:proofErr w:type="gramStart"/>
      <w:r w:rsidRPr="00697120">
        <w:rPr>
          <w:rFonts w:ascii="Calibri" w:hAnsi="Calibri"/>
        </w:rPr>
        <w:t>insufficiently</w:t>
      </w:r>
      <w:proofErr w:type="gramEnd"/>
      <w:r w:rsidRPr="00697120">
        <w:rPr>
          <w:rFonts w:ascii="Calibri" w:hAnsi="Calibri"/>
        </w:rPr>
        <w:t xml:space="preserve"> subject the exercise of legislative power to parliamentary scrutiny; and</w:t>
      </w:r>
    </w:p>
    <w:p w14:paraId="5C723A4F" w14:textId="77777777" w:rsidR="001D271A" w:rsidRPr="00697120" w:rsidRDefault="001D271A" w:rsidP="001D271A">
      <w:pPr>
        <w:spacing w:before="60" w:after="60"/>
        <w:ind w:left="2835" w:hanging="567"/>
        <w:rPr>
          <w:rFonts w:ascii="Calibri" w:hAnsi="Calibri"/>
        </w:rPr>
      </w:pPr>
      <w:r w:rsidRPr="00697120">
        <w:rPr>
          <w:rFonts w:ascii="Calibri" w:hAnsi="Calibri"/>
        </w:rPr>
        <w:t>(vi)</w:t>
      </w:r>
      <w:r w:rsidRPr="00697120">
        <w:rPr>
          <w:rFonts w:ascii="Calibri" w:hAnsi="Calibri"/>
        </w:rPr>
        <w:tab/>
      </w:r>
      <w:proofErr w:type="gramStart"/>
      <w:r w:rsidRPr="00697120">
        <w:rPr>
          <w:rFonts w:ascii="Calibri" w:hAnsi="Calibri"/>
        </w:rPr>
        <w:t>consider</w:t>
      </w:r>
      <w:proofErr w:type="gramEnd"/>
      <w:r w:rsidRPr="00697120">
        <w:rPr>
          <w:rFonts w:ascii="Calibri" w:hAnsi="Calibri"/>
        </w:rPr>
        <w:t xml:space="preserve"> whether any explanatory statement associated with legislation meets the technical or stylistic standards expected by the Assembly;</w:t>
      </w:r>
    </w:p>
    <w:p w14:paraId="2533BFC5" w14:textId="77777777"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(b)</w:t>
      </w:r>
      <w:r w:rsidRPr="00697120">
        <w:rPr>
          <w:rFonts w:ascii="Calibri" w:hAnsi="Calibri"/>
        </w:rPr>
        <w:tab/>
      </w:r>
      <w:proofErr w:type="gramStart"/>
      <w:r w:rsidRPr="00697120">
        <w:rPr>
          <w:rFonts w:ascii="Calibri" w:hAnsi="Calibri"/>
        </w:rPr>
        <w:t>reporting</w:t>
      </w:r>
      <w:proofErr w:type="gramEnd"/>
      <w:r w:rsidRPr="00697120">
        <w:rPr>
          <w:rFonts w:ascii="Calibri" w:hAnsi="Calibri"/>
        </w:rPr>
        <w:t xml:space="preserve"> to the Legislative Assembly about human rights issues raised by bills presented to the Assembly pursuant to section 38 of the </w:t>
      </w:r>
      <w:r w:rsidRPr="00697120">
        <w:rPr>
          <w:rFonts w:ascii="Calibri" w:hAnsi="Calibri"/>
          <w:i/>
        </w:rPr>
        <w:t>Human Rights Act 2004</w:t>
      </w:r>
      <w:r w:rsidRPr="00697120">
        <w:rPr>
          <w:rFonts w:ascii="Calibri" w:hAnsi="Calibri"/>
        </w:rPr>
        <w:t xml:space="preserve">; </w:t>
      </w:r>
    </w:p>
    <w:p w14:paraId="4D509E97" w14:textId="77777777"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(c)</w:t>
      </w:r>
      <w:r w:rsidRPr="00697120">
        <w:rPr>
          <w:rFonts w:ascii="Calibri" w:hAnsi="Calibri"/>
        </w:rPr>
        <w:tab/>
      </w:r>
      <w:proofErr w:type="gramStart"/>
      <w:r w:rsidRPr="00697120">
        <w:rPr>
          <w:rFonts w:ascii="Calibri" w:hAnsi="Calibri"/>
        </w:rPr>
        <w:t>considering</w:t>
      </w:r>
      <w:proofErr w:type="gramEnd"/>
      <w:r w:rsidRPr="00697120">
        <w:rPr>
          <w:rFonts w:ascii="Calibri" w:hAnsi="Calibri"/>
        </w:rPr>
        <w:t xml:space="preserve"> whether any instrument of a legislative nature made under an Act which is subject to disallowance and/or disapproval by the Assembly (including a regulation, rule or by-law):</w:t>
      </w:r>
    </w:p>
    <w:p w14:paraId="28E0DF46" w14:textId="77777777" w:rsidR="001D271A" w:rsidRPr="00697120" w:rsidRDefault="001D271A" w:rsidP="001D271A">
      <w:pPr>
        <w:spacing w:before="60" w:after="60"/>
        <w:ind w:left="2835" w:hanging="567"/>
        <w:rPr>
          <w:rFonts w:ascii="Calibri" w:hAnsi="Calibri"/>
        </w:rPr>
      </w:pPr>
      <w:r w:rsidRPr="00697120">
        <w:rPr>
          <w:rFonts w:ascii="Calibri" w:hAnsi="Calibri"/>
        </w:rPr>
        <w:t>(</w:t>
      </w:r>
      <w:proofErr w:type="spellStart"/>
      <w:proofErr w:type="gramStart"/>
      <w:r w:rsidRPr="00697120">
        <w:rPr>
          <w:rFonts w:ascii="Calibri" w:hAnsi="Calibri"/>
        </w:rPr>
        <w:t>i</w:t>
      </w:r>
      <w:proofErr w:type="spellEnd"/>
      <w:proofErr w:type="gramEnd"/>
      <w:r w:rsidRPr="00697120">
        <w:rPr>
          <w:rFonts w:ascii="Calibri" w:hAnsi="Calibri"/>
        </w:rPr>
        <w:t>)</w:t>
      </w:r>
      <w:r w:rsidRPr="00697120">
        <w:rPr>
          <w:rFonts w:ascii="Calibri" w:hAnsi="Calibri"/>
        </w:rPr>
        <w:tab/>
        <w:t>is in accord with the general objects of the Act under which it is made;</w:t>
      </w:r>
    </w:p>
    <w:p w14:paraId="55E240CB" w14:textId="77777777" w:rsidR="001D271A" w:rsidRPr="00697120" w:rsidRDefault="001D271A" w:rsidP="001D271A">
      <w:pPr>
        <w:spacing w:before="60" w:after="60"/>
        <w:ind w:left="2835" w:hanging="567"/>
        <w:rPr>
          <w:rFonts w:ascii="Calibri" w:hAnsi="Calibri"/>
        </w:rPr>
      </w:pPr>
      <w:r w:rsidRPr="00697120">
        <w:rPr>
          <w:rFonts w:ascii="Calibri" w:hAnsi="Calibri"/>
        </w:rPr>
        <w:t>(ii)</w:t>
      </w:r>
      <w:r w:rsidRPr="00697120">
        <w:rPr>
          <w:rFonts w:ascii="Calibri" w:hAnsi="Calibri"/>
        </w:rPr>
        <w:tab/>
      </w:r>
      <w:proofErr w:type="gramStart"/>
      <w:r w:rsidRPr="00697120">
        <w:rPr>
          <w:rFonts w:ascii="Calibri" w:hAnsi="Calibri"/>
        </w:rPr>
        <w:t>unduly</w:t>
      </w:r>
      <w:proofErr w:type="gramEnd"/>
      <w:r w:rsidRPr="00697120">
        <w:rPr>
          <w:rFonts w:ascii="Calibri" w:hAnsi="Calibri"/>
        </w:rPr>
        <w:t xml:space="preserve"> trespasses on rights previously established by law;</w:t>
      </w:r>
    </w:p>
    <w:p w14:paraId="63DC86B5" w14:textId="77777777" w:rsidR="001D271A" w:rsidRPr="00697120" w:rsidRDefault="001D271A" w:rsidP="001D271A">
      <w:pPr>
        <w:spacing w:before="60" w:after="60"/>
        <w:ind w:left="2835" w:hanging="567"/>
        <w:rPr>
          <w:rFonts w:ascii="Calibri" w:hAnsi="Calibri"/>
        </w:rPr>
      </w:pPr>
      <w:r w:rsidRPr="00697120">
        <w:rPr>
          <w:rFonts w:ascii="Calibri" w:hAnsi="Calibri"/>
        </w:rPr>
        <w:t>(iii)</w:t>
      </w:r>
      <w:r w:rsidRPr="00697120">
        <w:rPr>
          <w:rFonts w:ascii="Calibri" w:hAnsi="Calibri"/>
        </w:rPr>
        <w:tab/>
      </w:r>
      <w:proofErr w:type="gramStart"/>
      <w:r w:rsidRPr="00697120">
        <w:rPr>
          <w:rFonts w:ascii="Calibri" w:hAnsi="Calibri"/>
        </w:rPr>
        <w:t>makes</w:t>
      </w:r>
      <w:proofErr w:type="gramEnd"/>
      <w:r w:rsidRPr="00697120">
        <w:rPr>
          <w:rFonts w:ascii="Calibri" w:hAnsi="Calibri"/>
        </w:rPr>
        <w:t xml:space="preserve"> rights, liberties and/or obligations unduly dependent upon non-reviewable decisions; or</w:t>
      </w:r>
    </w:p>
    <w:p w14:paraId="1E28BB3A" w14:textId="77777777" w:rsidR="001D271A" w:rsidRPr="00697120" w:rsidRDefault="001D271A" w:rsidP="001D271A">
      <w:pPr>
        <w:spacing w:before="60" w:after="60"/>
        <w:ind w:left="2835" w:hanging="567"/>
        <w:rPr>
          <w:rFonts w:ascii="Calibri" w:hAnsi="Calibri"/>
        </w:rPr>
      </w:pPr>
      <w:r w:rsidRPr="00697120">
        <w:rPr>
          <w:rFonts w:ascii="Calibri" w:hAnsi="Calibri"/>
        </w:rPr>
        <w:t>(iv)</w:t>
      </w:r>
      <w:r w:rsidRPr="00697120">
        <w:rPr>
          <w:rFonts w:ascii="Calibri" w:hAnsi="Calibri"/>
        </w:rPr>
        <w:tab/>
      </w:r>
      <w:proofErr w:type="gramStart"/>
      <w:r w:rsidRPr="00697120">
        <w:rPr>
          <w:rFonts w:ascii="Calibri" w:hAnsi="Calibri"/>
        </w:rPr>
        <w:t>contains</w:t>
      </w:r>
      <w:proofErr w:type="gramEnd"/>
      <w:r w:rsidRPr="00697120">
        <w:rPr>
          <w:rFonts w:ascii="Calibri" w:hAnsi="Calibri"/>
        </w:rPr>
        <w:t xml:space="preserve"> matter which in the opinion of the Committee should properly be dealt with in an Act of the Legislative Assembly; and</w:t>
      </w:r>
    </w:p>
    <w:p w14:paraId="1BA36202" w14:textId="77777777"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(d)</w:t>
      </w:r>
      <w:r w:rsidRPr="00697120">
        <w:rPr>
          <w:rFonts w:ascii="Calibri" w:hAnsi="Calibri"/>
        </w:rPr>
        <w:tab/>
      </w:r>
      <w:proofErr w:type="gramStart"/>
      <w:r w:rsidRPr="00697120">
        <w:rPr>
          <w:rFonts w:ascii="Calibri" w:hAnsi="Calibri"/>
        </w:rPr>
        <w:t>consider</w:t>
      </w:r>
      <w:proofErr w:type="gramEnd"/>
      <w:r w:rsidRPr="00697120">
        <w:rPr>
          <w:rFonts w:ascii="Calibri" w:hAnsi="Calibri"/>
        </w:rPr>
        <w:t xml:space="preserve"> whether any explanatory statement or explanatory memorandum associated with legislation and any regulatory impact statement meets the technical or stylistic standards expected by the Assembly;</w:t>
      </w:r>
    </w:p>
    <w:p w14:paraId="65F3BA92" w14:textId="77777777" w:rsidR="00126D9A" w:rsidRPr="00104A8B" w:rsidRDefault="00126D9A">
      <w:r w:rsidRPr="00104A8B">
        <w:br w:type="page"/>
      </w:r>
    </w:p>
    <w:p w14:paraId="569E46BB" w14:textId="5FB1887D" w:rsidR="005A0F3D" w:rsidRDefault="00D447D3" w:rsidP="005A0F3D">
      <w:pPr>
        <w:pStyle w:val="TOCHeading"/>
        <w:keepNext w:val="0"/>
        <w:keepLines w:val="0"/>
        <w:spacing w:before="120" w:after="360" w:line="500" w:lineRule="exact"/>
        <w:outlineLvl w:val="1"/>
        <w:rPr>
          <w:rFonts w:asciiTheme="minorHAnsi" w:eastAsiaTheme="minorEastAsia" w:hAnsiTheme="minorHAnsi" w:cstheme="minorBidi"/>
          <w:b/>
          <w:noProof/>
          <w:sz w:val="22"/>
          <w:szCs w:val="22"/>
          <w:lang w:eastAsia="en-AU"/>
        </w:rPr>
      </w:pPr>
      <w:bookmarkStart w:id="514" w:name="_Toc514837964"/>
      <w:r w:rsidRPr="00104A8B">
        <w:rPr>
          <w:rFonts w:asciiTheme="minorHAnsi" w:eastAsia="Times New Roman" w:hAnsiTheme="minorHAnsi" w:cs="Times New Roman"/>
          <w:smallCaps/>
          <w:spacing w:val="20"/>
          <w:kern w:val="42"/>
          <w:sz w:val="44"/>
          <w:szCs w:val="44"/>
        </w:rPr>
        <w:lastRenderedPageBreak/>
        <w:t>Table of Contents</w:t>
      </w:r>
      <w:bookmarkEnd w:id="514"/>
      <w:r w:rsidR="00CD5AD5" w:rsidRPr="00104A8B">
        <w:rPr>
          <w:rFonts w:asciiTheme="minorHAnsi" w:hAnsiTheme="minorHAnsi"/>
        </w:rPr>
        <w:fldChar w:fldCharType="begin"/>
      </w:r>
      <w:r w:rsidR="00562E8A" w:rsidRPr="00104A8B">
        <w:rPr>
          <w:rFonts w:asciiTheme="minorHAnsi" w:hAnsiTheme="minorHAnsi"/>
        </w:rPr>
        <w:instrText xml:space="preserve"> TOC \h \z \u \t "Heading 2,1,Heading 3,2,Heading 4,3" </w:instrText>
      </w:r>
      <w:r w:rsidR="00CD5AD5" w:rsidRPr="00104A8B">
        <w:rPr>
          <w:rFonts w:asciiTheme="minorHAnsi" w:hAnsiTheme="minorHAnsi"/>
        </w:rPr>
        <w:fldChar w:fldCharType="separate"/>
      </w:r>
    </w:p>
    <w:p w14:paraId="0A534C7A" w14:textId="77777777" w:rsidR="005A0F3D" w:rsidRDefault="00F50385">
      <w:pPr>
        <w:pStyle w:val="TOC1"/>
        <w:rPr>
          <w:rFonts w:asciiTheme="minorHAnsi" w:eastAsiaTheme="minorEastAsia" w:hAnsiTheme="minorHAnsi" w:cstheme="minorBidi"/>
          <w:bCs w:val="0"/>
          <w:smallCaps w:val="0"/>
          <w:spacing w:val="0"/>
          <w:sz w:val="22"/>
          <w:szCs w:val="22"/>
          <w:lang w:eastAsia="en-AU"/>
        </w:rPr>
      </w:pPr>
      <w:hyperlink w:anchor="_Toc83639601" w:history="1">
        <w:r w:rsidR="005A0F3D" w:rsidRPr="002716A5">
          <w:rPr>
            <w:rStyle w:val="Hyperlink"/>
            <w:rFonts w:eastAsia="Calibri"/>
            <w:lang w:eastAsia="en-AU"/>
          </w:rPr>
          <w:t>Bills</w:t>
        </w:r>
        <w:r w:rsidR="005A0F3D">
          <w:rPr>
            <w:webHidden/>
          </w:rPr>
          <w:tab/>
        </w:r>
        <w:r w:rsidR="005A0F3D">
          <w:rPr>
            <w:webHidden/>
          </w:rPr>
          <w:fldChar w:fldCharType="begin"/>
        </w:r>
        <w:r w:rsidR="005A0F3D">
          <w:rPr>
            <w:webHidden/>
          </w:rPr>
          <w:instrText xml:space="preserve"> PAGEREF _Toc83639601 \h </w:instrText>
        </w:r>
        <w:r w:rsidR="005A0F3D">
          <w:rPr>
            <w:webHidden/>
          </w:rPr>
        </w:r>
        <w:r w:rsidR="005A0F3D">
          <w:rPr>
            <w:webHidden/>
          </w:rPr>
          <w:fldChar w:fldCharType="separate"/>
        </w:r>
        <w:r w:rsidR="00964EA9">
          <w:rPr>
            <w:webHidden/>
          </w:rPr>
          <w:t>1</w:t>
        </w:r>
        <w:r w:rsidR="005A0F3D">
          <w:rPr>
            <w:webHidden/>
          </w:rPr>
          <w:fldChar w:fldCharType="end"/>
        </w:r>
      </w:hyperlink>
    </w:p>
    <w:p w14:paraId="38A9ABBA" w14:textId="77777777" w:rsidR="005A0F3D" w:rsidRDefault="00F50385">
      <w:pPr>
        <w:pStyle w:val="TOC2"/>
        <w:rPr>
          <w:rFonts w:asciiTheme="minorHAnsi" w:eastAsiaTheme="minorEastAsia" w:hAnsiTheme="minorHAnsi" w:cstheme="minorBidi"/>
          <w:b w:val="0"/>
          <w:noProof/>
          <w:sz w:val="22"/>
          <w:szCs w:val="22"/>
          <w:lang w:eastAsia="en-AU"/>
        </w:rPr>
      </w:pPr>
      <w:hyperlink w:anchor="_Toc83639602" w:history="1">
        <w:r w:rsidR="005A0F3D" w:rsidRPr="002716A5">
          <w:rPr>
            <w:rStyle w:val="Hyperlink"/>
            <w:rFonts w:eastAsia="Calibri"/>
            <w:noProof/>
            <w:lang w:eastAsia="en-AU"/>
          </w:rPr>
          <w:t>Bill—No Comment</w:t>
        </w:r>
        <w:r w:rsidR="005A0F3D">
          <w:rPr>
            <w:noProof/>
            <w:webHidden/>
          </w:rPr>
          <w:tab/>
        </w:r>
        <w:r w:rsidR="005A0F3D">
          <w:rPr>
            <w:noProof/>
            <w:webHidden/>
          </w:rPr>
          <w:fldChar w:fldCharType="begin"/>
        </w:r>
        <w:r w:rsidR="005A0F3D">
          <w:rPr>
            <w:noProof/>
            <w:webHidden/>
          </w:rPr>
          <w:instrText xml:space="preserve"> PAGEREF _Toc83639602 \h </w:instrText>
        </w:r>
        <w:r w:rsidR="005A0F3D">
          <w:rPr>
            <w:noProof/>
            <w:webHidden/>
          </w:rPr>
        </w:r>
        <w:r w:rsidR="005A0F3D">
          <w:rPr>
            <w:noProof/>
            <w:webHidden/>
          </w:rPr>
          <w:fldChar w:fldCharType="separate"/>
        </w:r>
        <w:r w:rsidR="00964EA9">
          <w:rPr>
            <w:noProof/>
            <w:webHidden/>
          </w:rPr>
          <w:t>1</w:t>
        </w:r>
        <w:r w:rsidR="005A0F3D">
          <w:rPr>
            <w:noProof/>
            <w:webHidden/>
          </w:rPr>
          <w:fldChar w:fldCharType="end"/>
        </w:r>
      </w:hyperlink>
    </w:p>
    <w:p w14:paraId="602DDC61" w14:textId="77777777" w:rsidR="005A0F3D" w:rsidRDefault="00F50385">
      <w:pPr>
        <w:pStyle w:val="TOC3"/>
        <w:rPr>
          <w:rFonts w:eastAsiaTheme="minorEastAsia"/>
          <w:b w:val="0"/>
          <w:smallCaps w:val="0"/>
          <w:lang w:eastAsia="en-AU"/>
        </w:rPr>
      </w:pPr>
      <w:hyperlink w:anchor="_Toc83639603" w:history="1">
        <w:r w:rsidR="005A0F3D" w:rsidRPr="002716A5">
          <w:rPr>
            <w:rStyle w:val="Hyperlink"/>
          </w:rPr>
          <w:t>Financial Management Amendment Bill 2021</w:t>
        </w:r>
        <w:r w:rsidR="005A0F3D">
          <w:rPr>
            <w:webHidden/>
          </w:rPr>
          <w:tab/>
        </w:r>
        <w:r w:rsidR="005A0F3D">
          <w:rPr>
            <w:webHidden/>
          </w:rPr>
          <w:fldChar w:fldCharType="begin"/>
        </w:r>
        <w:r w:rsidR="005A0F3D">
          <w:rPr>
            <w:webHidden/>
          </w:rPr>
          <w:instrText xml:space="preserve"> PAGEREF _Toc83639603 \h </w:instrText>
        </w:r>
        <w:r w:rsidR="005A0F3D">
          <w:rPr>
            <w:webHidden/>
          </w:rPr>
        </w:r>
        <w:r w:rsidR="005A0F3D">
          <w:rPr>
            <w:webHidden/>
          </w:rPr>
          <w:fldChar w:fldCharType="separate"/>
        </w:r>
        <w:r w:rsidR="00964EA9">
          <w:rPr>
            <w:webHidden/>
          </w:rPr>
          <w:t>1</w:t>
        </w:r>
        <w:r w:rsidR="005A0F3D">
          <w:rPr>
            <w:webHidden/>
          </w:rPr>
          <w:fldChar w:fldCharType="end"/>
        </w:r>
      </w:hyperlink>
    </w:p>
    <w:p w14:paraId="5A6C5EF6" w14:textId="77777777" w:rsidR="005A0F3D" w:rsidRDefault="00F50385">
      <w:pPr>
        <w:pStyle w:val="TOC2"/>
        <w:rPr>
          <w:rFonts w:asciiTheme="minorHAnsi" w:eastAsiaTheme="minorEastAsia" w:hAnsiTheme="minorHAnsi" w:cstheme="minorBidi"/>
          <w:b w:val="0"/>
          <w:noProof/>
          <w:sz w:val="22"/>
          <w:szCs w:val="22"/>
          <w:lang w:eastAsia="en-AU"/>
        </w:rPr>
      </w:pPr>
      <w:hyperlink w:anchor="_Toc83639604" w:history="1">
        <w:r w:rsidR="005A0F3D" w:rsidRPr="002716A5">
          <w:rPr>
            <w:rStyle w:val="Hyperlink"/>
            <w:noProof/>
          </w:rPr>
          <w:t>Bill—Comment</w:t>
        </w:r>
        <w:r w:rsidR="005A0F3D">
          <w:rPr>
            <w:noProof/>
            <w:webHidden/>
          </w:rPr>
          <w:tab/>
        </w:r>
        <w:r w:rsidR="005A0F3D">
          <w:rPr>
            <w:noProof/>
            <w:webHidden/>
          </w:rPr>
          <w:fldChar w:fldCharType="begin"/>
        </w:r>
        <w:r w:rsidR="005A0F3D">
          <w:rPr>
            <w:noProof/>
            <w:webHidden/>
          </w:rPr>
          <w:instrText xml:space="preserve"> PAGEREF _Toc83639604 \h </w:instrText>
        </w:r>
        <w:r w:rsidR="005A0F3D">
          <w:rPr>
            <w:noProof/>
            <w:webHidden/>
          </w:rPr>
        </w:r>
        <w:r w:rsidR="005A0F3D">
          <w:rPr>
            <w:noProof/>
            <w:webHidden/>
          </w:rPr>
          <w:fldChar w:fldCharType="separate"/>
        </w:r>
        <w:r w:rsidR="00964EA9">
          <w:rPr>
            <w:noProof/>
            <w:webHidden/>
          </w:rPr>
          <w:t>1</w:t>
        </w:r>
        <w:r w:rsidR="005A0F3D">
          <w:rPr>
            <w:noProof/>
            <w:webHidden/>
          </w:rPr>
          <w:fldChar w:fldCharType="end"/>
        </w:r>
      </w:hyperlink>
    </w:p>
    <w:p w14:paraId="0A83E886" w14:textId="77777777" w:rsidR="005A0F3D" w:rsidRDefault="00F50385">
      <w:pPr>
        <w:pStyle w:val="TOC3"/>
        <w:rPr>
          <w:rFonts w:eastAsiaTheme="minorEastAsia"/>
          <w:b w:val="0"/>
          <w:smallCaps w:val="0"/>
          <w:lang w:eastAsia="en-AU"/>
        </w:rPr>
      </w:pPr>
      <w:hyperlink w:anchor="_Toc83639605" w:history="1">
        <w:r w:rsidR="005A0F3D" w:rsidRPr="002716A5">
          <w:rPr>
            <w:rStyle w:val="Hyperlink"/>
          </w:rPr>
          <w:t>Operational Efficiencies (COVID-19) Legislation Amendment Bill 2021</w:t>
        </w:r>
        <w:r w:rsidR="005A0F3D">
          <w:rPr>
            <w:webHidden/>
          </w:rPr>
          <w:tab/>
        </w:r>
        <w:r w:rsidR="005A0F3D">
          <w:rPr>
            <w:webHidden/>
          </w:rPr>
          <w:fldChar w:fldCharType="begin"/>
        </w:r>
        <w:r w:rsidR="005A0F3D">
          <w:rPr>
            <w:webHidden/>
          </w:rPr>
          <w:instrText xml:space="preserve"> PAGEREF _Toc83639605 \h </w:instrText>
        </w:r>
        <w:r w:rsidR="005A0F3D">
          <w:rPr>
            <w:webHidden/>
          </w:rPr>
        </w:r>
        <w:r w:rsidR="005A0F3D">
          <w:rPr>
            <w:webHidden/>
          </w:rPr>
          <w:fldChar w:fldCharType="separate"/>
        </w:r>
        <w:r w:rsidR="00964EA9">
          <w:rPr>
            <w:webHidden/>
          </w:rPr>
          <w:t>1</w:t>
        </w:r>
        <w:r w:rsidR="005A0F3D">
          <w:rPr>
            <w:webHidden/>
          </w:rPr>
          <w:fldChar w:fldCharType="end"/>
        </w:r>
      </w:hyperlink>
    </w:p>
    <w:p w14:paraId="017C1867" w14:textId="77777777" w:rsidR="005A0F3D" w:rsidRDefault="00F50385">
      <w:pPr>
        <w:pStyle w:val="TOC2"/>
        <w:rPr>
          <w:rFonts w:asciiTheme="minorHAnsi" w:eastAsiaTheme="minorEastAsia" w:hAnsiTheme="minorHAnsi" w:cstheme="minorBidi"/>
          <w:b w:val="0"/>
          <w:noProof/>
          <w:sz w:val="22"/>
          <w:szCs w:val="22"/>
          <w:lang w:eastAsia="en-AU"/>
        </w:rPr>
      </w:pPr>
      <w:hyperlink w:anchor="_Toc83639606" w:history="1">
        <w:r w:rsidR="005A0F3D" w:rsidRPr="002716A5">
          <w:rPr>
            <w:rStyle w:val="Hyperlink"/>
            <w:rFonts w:eastAsia="Calibri"/>
            <w:noProof/>
            <w:lang w:eastAsia="en-AU"/>
          </w:rPr>
          <w:t>Proposed amendments</w:t>
        </w:r>
        <w:r w:rsidR="005A0F3D">
          <w:rPr>
            <w:noProof/>
            <w:webHidden/>
          </w:rPr>
          <w:tab/>
        </w:r>
        <w:r w:rsidR="005A0F3D">
          <w:rPr>
            <w:noProof/>
            <w:webHidden/>
          </w:rPr>
          <w:fldChar w:fldCharType="begin"/>
        </w:r>
        <w:r w:rsidR="005A0F3D">
          <w:rPr>
            <w:noProof/>
            <w:webHidden/>
          </w:rPr>
          <w:instrText xml:space="preserve"> PAGEREF _Toc83639606 \h </w:instrText>
        </w:r>
        <w:r w:rsidR="005A0F3D">
          <w:rPr>
            <w:noProof/>
            <w:webHidden/>
          </w:rPr>
        </w:r>
        <w:r w:rsidR="005A0F3D">
          <w:rPr>
            <w:noProof/>
            <w:webHidden/>
          </w:rPr>
          <w:fldChar w:fldCharType="separate"/>
        </w:r>
        <w:r w:rsidR="00964EA9">
          <w:rPr>
            <w:noProof/>
            <w:webHidden/>
          </w:rPr>
          <w:t>3</w:t>
        </w:r>
        <w:r w:rsidR="005A0F3D">
          <w:rPr>
            <w:noProof/>
            <w:webHidden/>
          </w:rPr>
          <w:fldChar w:fldCharType="end"/>
        </w:r>
      </w:hyperlink>
    </w:p>
    <w:p w14:paraId="10C0D1FB" w14:textId="77777777" w:rsidR="005A0F3D" w:rsidRDefault="00F50385">
      <w:pPr>
        <w:pStyle w:val="TOC3"/>
        <w:rPr>
          <w:rFonts w:eastAsiaTheme="minorEastAsia"/>
          <w:b w:val="0"/>
          <w:smallCaps w:val="0"/>
          <w:lang w:eastAsia="en-AU"/>
        </w:rPr>
      </w:pPr>
      <w:hyperlink w:anchor="_Toc83639607" w:history="1">
        <w:r w:rsidR="005A0F3D" w:rsidRPr="002716A5">
          <w:rPr>
            <w:rStyle w:val="Hyperlink"/>
          </w:rPr>
          <w:t>Operational Efficiencies (COVID-19) Legislation Amendment Bill 2021</w:t>
        </w:r>
        <w:r w:rsidR="005A0F3D">
          <w:rPr>
            <w:webHidden/>
          </w:rPr>
          <w:tab/>
        </w:r>
        <w:r w:rsidR="005A0F3D">
          <w:rPr>
            <w:webHidden/>
          </w:rPr>
          <w:fldChar w:fldCharType="begin"/>
        </w:r>
        <w:r w:rsidR="005A0F3D">
          <w:rPr>
            <w:webHidden/>
          </w:rPr>
          <w:instrText xml:space="preserve"> PAGEREF _Toc83639607 \h </w:instrText>
        </w:r>
        <w:r w:rsidR="005A0F3D">
          <w:rPr>
            <w:webHidden/>
          </w:rPr>
        </w:r>
        <w:r w:rsidR="005A0F3D">
          <w:rPr>
            <w:webHidden/>
          </w:rPr>
          <w:fldChar w:fldCharType="separate"/>
        </w:r>
        <w:r w:rsidR="00964EA9">
          <w:rPr>
            <w:webHidden/>
          </w:rPr>
          <w:t>3</w:t>
        </w:r>
        <w:r w:rsidR="005A0F3D">
          <w:rPr>
            <w:webHidden/>
          </w:rPr>
          <w:fldChar w:fldCharType="end"/>
        </w:r>
      </w:hyperlink>
    </w:p>
    <w:p w14:paraId="50444441" w14:textId="77777777" w:rsidR="005A0F3D" w:rsidRDefault="00F50385">
      <w:pPr>
        <w:pStyle w:val="TOC1"/>
        <w:rPr>
          <w:rFonts w:asciiTheme="minorHAnsi" w:eastAsiaTheme="minorEastAsia" w:hAnsiTheme="minorHAnsi" w:cstheme="minorBidi"/>
          <w:bCs w:val="0"/>
          <w:smallCaps w:val="0"/>
          <w:spacing w:val="0"/>
          <w:sz w:val="22"/>
          <w:szCs w:val="22"/>
          <w:lang w:eastAsia="en-AU"/>
        </w:rPr>
      </w:pPr>
      <w:hyperlink w:anchor="_Toc83639608" w:history="1">
        <w:r w:rsidR="005A0F3D" w:rsidRPr="002716A5">
          <w:rPr>
            <w:rStyle w:val="Hyperlink"/>
            <w:rFonts w:eastAsia="Calibri"/>
            <w:lang w:eastAsia="en-AU"/>
          </w:rPr>
          <w:t>Subordinate Legislation</w:t>
        </w:r>
        <w:r w:rsidR="005A0F3D">
          <w:rPr>
            <w:webHidden/>
          </w:rPr>
          <w:tab/>
        </w:r>
        <w:r w:rsidR="005A0F3D">
          <w:rPr>
            <w:webHidden/>
          </w:rPr>
          <w:fldChar w:fldCharType="begin"/>
        </w:r>
        <w:r w:rsidR="005A0F3D">
          <w:rPr>
            <w:webHidden/>
          </w:rPr>
          <w:instrText xml:space="preserve"> PAGEREF _Toc83639608 \h </w:instrText>
        </w:r>
        <w:r w:rsidR="005A0F3D">
          <w:rPr>
            <w:webHidden/>
          </w:rPr>
        </w:r>
        <w:r w:rsidR="005A0F3D">
          <w:rPr>
            <w:webHidden/>
          </w:rPr>
          <w:fldChar w:fldCharType="separate"/>
        </w:r>
        <w:r w:rsidR="00964EA9">
          <w:rPr>
            <w:webHidden/>
          </w:rPr>
          <w:t>3</w:t>
        </w:r>
        <w:r w:rsidR="005A0F3D">
          <w:rPr>
            <w:webHidden/>
          </w:rPr>
          <w:fldChar w:fldCharType="end"/>
        </w:r>
      </w:hyperlink>
    </w:p>
    <w:p w14:paraId="65FB4E2F" w14:textId="77777777" w:rsidR="005A0F3D" w:rsidRDefault="00F50385">
      <w:pPr>
        <w:pStyle w:val="TOC2"/>
        <w:rPr>
          <w:rFonts w:asciiTheme="minorHAnsi" w:eastAsiaTheme="minorEastAsia" w:hAnsiTheme="minorHAnsi" w:cstheme="minorBidi"/>
          <w:b w:val="0"/>
          <w:noProof/>
          <w:sz w:val="22"/>
          <w:szCs w:val="22"/>
          <w:lang w:eastAsia="en-AU"/>
        </w:rPr>
      </w:pPr>
      <w:hyperlink w:anchor="_Toc83639609" w:history="1">
        <w:r w:rsidR="005A0F3D" w:rsidRPr="002716A5">
          <w:rPr>
            <w:rStyle w:val="Hyperlink"/>
            <w:noProof/>
          </w:rPr>
          <w:t>Disallowable Instruments—No comment</w:t>
        </w:r>
        <w:r w:rsidR="005A0F3D">
          <w:rPr>
            <w:noProof/>
            <w:webHidden/>
          </w:rPr>
          <w:tab/>
        </w:r>
        <w:r w:rsidR="005A0F3D">
          <w:rPr>
            <w:noProof/>
            <w:webHidden/>
          </w:rPr>
          <w:fldChar w:fldCharType="begin"/>
        </w:r>
        <w:r w:rsidR="005A0F3D">
          <w:rPr>
            <w:noProof/>
            <w:webHidden/>
          </w:rPr>
          <w:instrText xml:space="preserve"> PAGEREF _Toc83639609 \h </w:instrText>
        </w:r>
        <w:r w:rsidR="005A0F3D">
          <w:rPr>
            <w:noProof/>
            <w:webHidden/>
          </w:rPr>
        </w:r>
        <w:r w:rsidR="005A0F3D">
          <w:rPr>
            <w:noProof/>
            <w:webHidden/>
          </w:rPr>
          <w:fldChar w:fldCharType="separate"/>
        </w:r>
        <w:r w:rsidR="00964EA9">
          <w:rPr>
            <w:noProof/>
            <w:webHidden/>
          </w:rPr>
          <w:t>3</w:t>
        </w:r>
        <w:r w:rsidR="005A0F3D">
          <w:rPr>
            <w:noProof/>
            <w:webHidden/>
          </w:rPr>
          <w:fldChar w:fldCharType="end"/>
        </w:r>
      </w:hyperlink>
    </w:p>
    <w:p w14:paraId="74F35E0D" w14:textId="77777777" w:rsidR="005A0F3D" w:rsidRDefault="00F50385">
      <w:pPr>
        <w:pStyle w:val="TOC2"/>
        <w:rPr>
          <w:rFonts w:asciiTheme="minorHAnsi" w:eastAsiaTheme="minorEastAsia" w:hAnsiTheme="minorHAnsi" w:cstheme="minorBidi"/>
          <w:b w:val="0"/>
          <w:noProof/>
          <w:sz w:val="22"/>
          <w:szCs w:val="22"/>
          <w:lang w:eastAsia="en-AU"/>
        </w:rPr>
      </w:pPr>
      <w:hyperlink w:anchor="_Toc83639610" w:history="1">
        <w:r w:rsidR="005A0F3D" w:rsidRPr="002716A5">
          <w:rPr>
            <w:rStyle w:val="Hyperlink"/>
            <w:rFonts w:eastAsia="Calibri"/>
            <w:noProof/>
            <w:lang w:eastAsia="en-AU"/>
          </w:rPr>
          <w:t>Disallowable Instruments—Comment</w:t>
        </w:r>
        <w:r w:rsidR="005A0F3D">
          <w:rPr>
            <w:noProof/>
            <w:webHidden/>
          </w:rPr>
          <w:tab/>
        </w:r>
        <w:r w:rsidR="005A0F3D">
          <w:rPr>
            <w:noProof/>
            <w:webHidden/>
          </w:rPr>
          <w:fldChar w:fldCharType="begin"/>
        </w:r>
        <w:r w:rsidR="005A0F3D">
          <w:rPr>
            <w:noProof/>
            <w:webHidden/>
          </w:rPr>
          <w:instrText xml:space="preserve"> PAGEREF _Toc83639610 \h </w:instrText>
        </w:r>
        <w:r w:rsidR="005A0F3D">
          <w:rPr>
            <w:noProof/>
            <w:webHidden/>
          </w:rPr>
        </w:r>
        <w:r w:rsidR="005A0F3D">
          <w:rPr>
            <w:noProof/>
            <w:webHidden/>
          </w:rPr>
          <w:fldChar w:fldCharType="separate"/>
        </w:r>
        <w:r w:rsidR="00964EA9">
          <w:rPr>
            <w:noProof/>
            <w:webHidden/>
          </w:rPr>
          <w:t>4</w:t>
        </w:r>
        <w:r w:rsidR="005A0F3D">
          <w:rPr>
            <w:noProof/>
            <w:webHidden/>
          </w:rPr>
          <w:fldChar w:fldCharType="end"/>
        </w:r>
      </w:hyperlink>
    </w:p>
    <w:p w14:paraId="376C1807" w14:textId="77777777" w:rsidR="005A0F3D" w:rsidRDefault="00F50385">
      <w:pPr>
        <w:pStyle w:val="TOC2"/>
        <w:rPr>
          <w:rFonts w:asciiTheme="minorHAnsi" w:eastAsiaTheme="minorEastAsia" w:hAnsiTheme="minorHAnsi" w:cstheme="minorBidi"/>
          <w:b w:val="0"/>
          <w:noProof/>
          <w:sz w:val="22"/>
          <w:szCs w:val="22"/>
          <w:lang w:eastAsia="en-AU"/>
        </w:rPr>
      </w:pPr>
      <w:hyperlink w:anchor="_Toc83639611" w:history="1">
        <w:r w:rsidR="005A0F3D" w:rsidRPr="002716A5">
          <w:rPr>
            <w:rStyle w:val="Hyperlink"/>
            <w:rFonts w:eastAsia="Calibri"/>
            <w:noProof/>
            <w:lang w:eastAsia="en-AU"/>
          </w:rPr>
          <w:t>Subordinate Laws—Comment</w:t>
        </w:r>
        <w:r w:rsidR="005A0F3D">
          <w:rPr>
            <w:noProof/>
            <w:webHidden/>
          </w:rPr>
          <w:tab/>
        </w:r>
        <w:r w:rsidR="005A0F3D">
          <w:rPr>
            <w:noProof/>
            <w:webHidden/>
          </w:rPr>
          <w:fldChar w:fldCharType="begin"/>
        </w:r>
        <w:r w:rsidR="005A0F3D">
          <w:rPr>
            <w:noProof/>
            <w:webHidden/>
          </w:rPr>
          <w:instrText xml:space="preserve"> PAGEREF _Toc83639611 \h </w:instrText>
        </w:r>
        <w:r w:rsidR="005A0F3D">
          <w:rPr>
            <w:noProof/>
            <w:webHidden/>
          </w:rPr>
        </w:r>
        <w:r w:rsidR="005A0F3D">
          <w:rPr>
            <w:noProof/>
            <w:webHidden/>
          </w:rPr>
          <w:fldChar w:fldCharType="separate"/>
        </w:r>
        <w:r w:rsidR="00964EA9">
          <w:rPr>
            <w:noProof/>
            <w:webHidden/>
          </w:rPr>
          <w:t>13</w:t>
        </w:r>
        <w:r w:rsidR="005A0F3D">
          <w:rPr>
            <w:noProof/>
            <w:webHidden/>
          </w:rPr>
          <w:fldChar w:fldCharType="end"/>
        </w:r>
      </w:hyperlink>
    </w:p>
    <w:p w14:paraId="48E28F65" w14:textId="77777777" w:rsidR="005A0F3D" w:rsidRDefault="00F50385">
      <w:pPr>
        <w:pStyle w:val="TOC2"/>
        <w:rPr>
          <w:rFonts w:asciiTheme="minorHAnsi" w:eastAsiaTheme="minorEastAsia" w:hAnsiTheme="minorHAnsi" w:cstheme="minorBidi"/>
          <w:b w:val="0"/>
          <w:noProof/>
          <w:sz w:val="22"/>
          <w:szCs w:val="22"/>
          <w:lang w:eastAsia="en-AU"/>
        </w:rPr>
      </w:pPr>
      <w:hyperlink w:anchor="_Toc83639612" w:history="1">
        <w:r w:rsidR="005A0F3D" w:rsidRPr="002716A5">
          <w:rPr>
            <w:rStyle w:val="Hyperlink"/>
            <w:rFonts w:eastAsia="Calibri"/>
            <w:noProof/>
            <w:lang w:eastAsia="en-AU"/>
          </w:rPr>
          <w:t>National Regulation—Comment</w:t>
        </w:r>
        <w:r w:rsidR="005A0F3D">
          <w:rPr>
            <w:noProof/>
            <w:webHidden/>
          </w:rPr>
          <w:tab/>
        </w:r>
        <w:r w:rsidR="005A0F3D">
          <w:rPr>
            <w:noProof/>
            <w:webHidden/>
          </w:rPr>
          <w:fldChar w:fldCharType="begin"/>
        </w:r>
        <w:r w:rsidR="005A0F3D">
          <w:rPr>
            <w:noProof/>
            <w:webHidden/>
          </w:rPr>
          <w:instrText xml:space="preserve"> PAGEREF _Toc83639612 \h </w:instrText>
        </w:r>
        <w:r w:rsidR="005A0F3D">
          <w:rPr>
            <w:noProof/>
            <w:webHidden/>
          </w:rPr>
        </w:r>
        <w:r w:rsidR="005A0F3D">
          <w:rPr>
            <w:noProof/>
            <w:webHidden/>
          </w:rPr>
          <w:fldChar w:fldCharType="separate"/>
        </w:r>
        <w:r w:rsidR="00964EA9">
          <w:rPr>
            <w:noProof/>
            <w:webHidden/>
          </w:rPr>
          <w:t>14</w:t>
        </w:r>
        <w:r w:rsidR="005A0F3D">
          <w:rPr>
            <w:noProof/>
            <w:webHidden/>
          </w:rPr>
          <w:fldChar w:fldCharType="end"/>
        </w:r>
      </w:hyperlink>
    </w:p>
    <w:p w14:paraId="36A40124" w14:textId="77777777" w:rsidR="005A0F3D" w:rsidRDefault="00F50385">
      <w:pPr>
        <w:pStyle w:val="TOC1"/>
        <w:rPr>
          <w:rFonts w:asciiTheme="minorHAnsi" w:eastAsiaTheme="minorEastAsia" w:hAnsiTheme="minorHAnsi" w:cstheme="minorBidi"/>
          <w:bCs w:val="0"/>
          <w:smallCaps w:val="0"/>
          <w:spacing w:val="0"/>
          <w:sz w:val="22"/>
          <w:szCs w:val="22"/>
          <w:lang w:eastAsia="en-AU"/>
        </w:rPr>
      </w:pPr>
      <w:hyperlink w:anchor="_Toc83639613" w:history="1">
        <w:r w:rsidR="005A0F3D" w:rsidRPr="002716A5">
          <w:rPr>
            <w:rStyle w:val="Hyperlink"/>
            <w:rFonts w:eastAsia="Calibri"/>
            <w:lang w:eastAsia="en-AU"/>
          </w:rPr>
          <w:t>Responses</w:t>
        </w:r>
        <w:r w:rsidR="005A0F3D">
          <w:rPr>
            <w:webHidden/>
          </w:rPr>
          <w:tab/>
        </w:r>
        <w:r w:rsidR="005A0F3D">
          <w:rPr>
            <w:webHidden/>
          </w:rPr>
          <w:fldChar w:fldCharType="begin"/>
        </w:r>
        <w:r w:rsidR="005A0F3D">
          <w:rPr>
            <w:webHidden/>
          </w:rPr>
          <w:instrText xml:space="preserve"> PAGEREF _Toc83639613 \h </w:instrText>
        </w:r>
        <w:r w:rsidR="005A0F3D">
          <w:rPr>
            <w:webHidden/>
          </w:rPr>
        </w:r>
        <w:r w:rsidR="005A0F3D">
          <w:rPr>
            <w:webHidden/>
          </w:rPr>
          <w:fldChar w:fldCharType="separate"/>
        </w:r>
        <w:r w:rsidR="00964EA9">
          <w:rPr>
            <w:webHidden/>
          </w:rPr>
          <w:t>18</w:t>
        </w:r>
        <w:r w:rsidR="005A0F3D">
          <w:rPr>
            <w:webHidden/>
          </w:rPr>
          <w:fldChar w:fldCharType="end"/>
        </w:r>
      </w:hyperlink>
    </w:p>
    <w:p w14:paraId="4CCC87B0" w14:textId="77777777" w:rsidR="005A0F3D" w:rsidRDefault="00F50385">
      <w:pPr>
        <w:pStyle w:val="TOC2"/>
        <w:rPr>
          <w:rFonts w:asciiTheme="minorHAnsi" w:eastAsiaTheme="minorEastAsia" w:hAnsiTheme="minorHAnsi" w:cstheme="minorBidi"/>
          <w:b w:val="0"/>
          <w:noProof/>
          <w:sz w:val="22"/>
          <w:szCs w:val="22"/>
          <w:lang w:eastAsia="en-AU"/>
        </w:rPr>
      </w:pPr>
      <w:hyperlink w:anchor="_Toc83639614" w:history="1">
        <w:r w:rsidR="005A0F3D" w:rsidRPr="002716A5">
          <w:rPr>
            <w:rStyle w:val="Hyperlink"/>
            <w:noProof/>
            <w:lang w:eastAsia="en-AU"/>
          </w:rPr>
          <w:t>Government responses</w:t>
        </w:r>
        <w:r w:rsidR="005A0F3D">
          <w:rPr>
            <w:noProof/>
            <w:webHidden/>
          </w:rPr>
          <w:tab/>
        </w:r>
        <w:r w:rsidR="005A0F3D">
          <w:rPr>
            <w:noProof/>
            <w:webHidden/>
          </w:rPr>
          <w:fldChar w:fldCharType="begin"/>
        </w:r>
        <w:r w:rsidR="005A0F3D">
          <w:rPr>
            <w:noProof/>
            <w:webHidden/>
          </w:rPr>
          <w:instrText xml:space="preserve"> PAGEREF _Toc83639614 \h </w:instrText>
        </w:r>
        <w:r w:rsidR="005A0F3D">
          <w:rPr>
            <w:noProof/>
            <w:webHidden/>
          </w:rPr>
        </w:r>
        <w:r w:rsidR="005A0F3D">
          <w:rPr>
            <w:noProof/>
            <w:webHidden/>
          </w:rPr>
          <w:fldChar w:fldCharType="separate"/>
        </w:r>
        <w:r w:rsidR="00964EA9">
          <w:rPr>
            <w:noProof/>
            <w:webHidden/>
          </w:rPr>
          <w:t>18</w:t>
        </w:r>
        <w:r w:rsidR="005A0F3D">
          <w:rPr>
            <w:noProof/>
            <w:webHidden/>
          </w:rPr>
          <w:fldChar w:fldCharType="end"/>
        </w:r>
      </w:hyperlink>
    </w:p>
    <w:p w14:paraId="5D7E3AF6" w14:textId="77777777" w:rsidR="005A0F3D" w:rsidRDefault="00F50385">
      <w:pPr>
        <w:pStyle w:val="TOC2"/>
        <w:rPr>
          <w:rFonts w:asciiTheme="minorHAnsi" w:eastAsiaTheme="minorEastAsia" w:hAnsiTheme="minorHAnsi" w:cstheme="minorBidi"/>
          <w:b w:val="0"/>
          <w:noProof/>
          <w:sz w:val="22"/>
          <w:szCs w:val="22"/>
          <w:lang w:eastAsia="en-AU"/>
        </w:rPr>
      </w:pPr>
      <w:hyperlink w:anchor="_Toc83639615" w:history="1">
        <w:r w:rsidR="005A0F3D" w:rsidRPr="002716A5">
          <w:rPr>
            <w:rStyle w:val="Hyperlink"/>
            <w:noProof/>
          </w:rPr>
          <w:t>Private Members’ responses</w:t>
        </w:r>
        <w:r w:rsidR="005A0F3D">
          <w:rPr>
            <w:noProof/>
            <w:webHidden/>
          </w:rPr>
          <w:tab/>
        </w:r>
        <w:r w:rsidR="005A0F3D">
          <w:rPr>
            <w:noProof/>
            <w:webHidden/>
          </w:rPr>
          <w:fldChar w:fldCharType="begin"/>
        </w:r>
        <w:r w:rsidR="005A0F3D">
          <w:rPr>
            <w:noProof/>
            <w:webHidden/>
          </w:rPr>
          <w:instrText xml:space="preserve"> PAGEREF _Toc83639615 \h </w:instrText>
        </w:r>
        <w:r w:rsidR="005A0F3D">
          <w:rPr>
            <w:noProof/>
            <w:webHidden/>
          </w:rPr>
        </w:r>
        <w:r w:rsidR="005A0F3D">
          <w:rPr>
            <w:noProof/>
            <w:webHidden/>
          </w:rPr>
          <w:fldChar w:fldCharType="separate"/>
        </w:r>
        <w:r w:rsidR="00964EA9">
          <w:rPr>
            <w:noProof/>
            <w:webHidden/>
          </w:rPr>
          <w:t>18</w:t>
        </w:r>
        <w:r w:rsidR="005A0F3D">
          <w:rPr>
            <w:noProof/>
            <w:webHidden/>
          </w:rPr>
          <w:fldChar w:fldCharType="end"/>
        </w:r>
      </w:hyperlink>
    </w:p>
    <w:p w14:paraId="4EA8C8E8" w14:textId="77777777" w:rsidR="005A0F3D" w:rsidRDefault="00F50385">
      <w:pPr>
        <w:pStyle w:val="TOC1"/>
        <w:rPr>
          <w:rFonts w:asciiTheme="minorHAnsi" w:eastAsiaTheme="minorEastAsia" w:hAnsiTheme="minorHAnsi" w:cstheme="minorBidi"/>
          <w:bCs w:val="0"/>
          <w:smallCaps w:val="0"/>
          <w:spacing w:val="0"/>
          <w:sz w:val="22"/>
          <w:szCs w:val="22"/>
          <w:lang w:eastAsia="en-AU"/>
        </w:rPr>
      </w:pPr>
      <w:hyperlink w:anchor="_Toc83639616" w:history="1">
        <w:r w:rsidR="005A0F3D" w:rsidRPr="002716A5">
          <w:rPr>
            <w:rStyle w:val="Hyperlink"/>
          </w:rPr>
          <w:t>Outstanding Responses</w:t>
        </w:r>
        <w:r w:rsidR="005A0F3D">
          <w:rPr>
            <w:webHidden/>
          </w:rPr>
          <w:tab/>
        </w:r>
        <w:r w:rsidR="005A0F3D">
          <w:rPr>
            <w:webHidden/>
          </w:rPr>
          <w:fldChar w:fldCharType="begin"/>
        </w:r>
        <w:r w:rsidR="005A0F3D">
          <w:rPr>
            <w:webHidden/>
          </w:rPr>
          <w:instrText xml:space="preserve"> PAGEREF _Toc83639616 \h </w:instrText>
        </w:r>
        <w:r w:rsidR="005A0F3D">
          <w:rPr>
            <w:webHidden/>
          </w:rPr>
        </w:r>
        <w:r w:rsidR="005A0F3D">
          <w:rPr>
            <w:webHidden/>
          </w:rPr>
          <w:fldChar w:fldCharType="separate"/>
        </w:r>
        <w:r w:rsidR="00964EA9">
          <w:rPr>
            <w:webHidden/>
          </w:rPr>
          <w:t>19</w:t>
        </w:r>
        <w:r w:rsidR="005A0F3D">
          <w:rPr>
            <w:webHidden/>
          </w:rPr>
          <w:fldChar w:fldCharType="end"/>
        </w:r>
      </w:hyperlink>
    </w:p>
    <w:p w14:paraId="3C304872" w14:textId="77777777" w:rsidR="005A0F3D" w:rsidRDefault="00F50385">
      <w:pPr>
        <w:pStyle w:val="TOC2"/>
        <w:rPr>
          <w:rFonts w:asciiTheme="minorHAnsi" w:eastAsiaTheme="minorEastAsia" w:hAnsiTheme="minorHAnsi" w:cstheme="minorBidi"/>
          <w:b w:val="0"/>
          <w:noProof/>
          <w:sz w:val="22"/>
          <w:szCs w:val="22"/>
          <w:lang w:eastAsia="en-AU"/>
        </w:rPr>
      </w:pPr>
      <w:hyperlink w:anchor="_Toc83639617" w:history="1">
        <w:r w:rsidR="005A0F3D" w:rsidRPr="002716A5">
          <w:rPr>
            <w:rStyle w:val="Hyperlink"/>
            <w:noProof/>
          </w:rPr>
          <w:t>Bills/Subordinate Legislation</w:t>
        </w:r>
        <w:r w:rsidR="005A0F3D">
          <w:rPr>
            <w:noProof/>
            <w:webHidden/>
          </w:rPr>
          <w:tab/>
        </w:r>
        <w:r w:rsidR="005A0F3D">
          <w:rPr>
            <w:noProof/>
            <w:webHidden/>
          </w:rPr>
          <w:fldChar w:fldCharType="begin"/>
        </w:r>
        <w:r w:rsidR="005A0F3D">
          <w:rPr>
            <w:noProof/>
            <w:webHidden/>
          </w:rPr>
          <w:instrText xml:space="preserve"> PAGEREF _Toc83639617 \h </w:instrText>
        </w:r>
        <w:r w:rsidR="005A0F3D">
          <w:rPr>
            <w:noProof/>
            <w:webHidden/>
          </w:rPr>
        </w:r>
        <w:r w:rsidR="005A0F3D">
          <w:rPr>
            <w:noProof/>
            <w:webHidden/>
          </w:rPr>
          <w:fldChar w:fldCharType="separate"/>
        </w:r>
        <w:r w:rsidR="00964EA9">
          <w:rPr>
            <w:noProof/>
            <w:webHidden/>
          </w:rPr>
          <w:t>19</w:t>
        </w:r>
        <w:r w:rsidR="005A0F3D">
          <w:rPr>
            <w:noProof/>
            <w:webHidden/>
          </w:rPr>
          <w:fldChar w:fldCharType="end"/>
        </w:r>
      </w:hyperlink>
    </w:p>
    <w:p w14:paraId="303AA9A2" w14:textId="77777777" w:rsidR="00351AD0" w:rsidRPr="00104A8B" w:rsidRDefault="00CD5AD5" w:rsidP="00EF123A">
      <w:pPr>
        <w:pStyle w:val="TOC1"/>
      </w:pPr>
      <w:r w:rsidRPr="00104A8B">
        <w:fldChar w:fldCharType="end"/>
      </w:r>
    </w:p>
    <w:p w14:paraId="558A7308" w14:textId="77777777" w:rsidR="00351AD0" w:rsidRPr="00104A8B" w:rsidRDefault="00351AD0" w:rsidP="00351AD0">
      <w:pPr>
        <w:sectPr w:rsidR="00351AD0" w:rsidRPr="00104A8B" w:rsidSect="00E8247B">
          <w:headerReference w:type="even" r:id="rId15"/>
          <w:headerReference w:type="default" r:id="rId16"/>
          <w:footerReference w:type="even" r:id="rId17"/>
          <w:footerReference w:type="default" r:id="rId18"/>
          <w:headerReference w:type="first" r:id="rId19"/>
          <w:pgSz w:w="11906" w:h="16838"/>
          <w:pgMar w:top="1440" w:right="1440" w:bottom="1440" w:left="1440" w:header="708" w:footer="708" w:gutter="0"/>
          <w:pgNumType w:fmt="lowerRoman" w:start="1"/>
          <w:cols w:space="708"/>
          <w:docGrid w:linePitch="360"/>
        </w:sectPr>
      </w:pPr>
    </w:p>
    <w:p w14:paraId="3B6BE92D" w14:textId="77777777" w:rsidR="00632981" w:rsidRPr="00104A8B" w:rsidRDefault="00632981">
      <w:pPr>
        <w:sectPr w:rsidR="00632981" w:rsidRPr="00104A8B" w:rsidSect="00351AD0">
          <w:headerReference w:type="even" r:id="rId20"/>
          <w:headerReference w:type="default" r:id="rId21"/>
          <w:footerReference w:type="even" r:id="rId22"/>
          <w:headerReference w:type="first" r:id="rId23"/>
          <w:type w:val="continuous"/>
          <w:pgSz w:w="11906" w:h="16838"/>
          <w:pgMar w:top="1440" w:right="1440" w:bottom="1440" w:left="1440" w:header="708" w:footer="708" w:gutter="0"/>
          <w:cols w:space="708"/>
          <w:docGrid w:linePitch="360"/>
        </w:sectPr>
      </w:pPr>
    </w:p>
    <w:p w14:paraId="35DD3313" w14:textId="77777777" w:rsidR="00D20076" w:rsidRPr="00104A8B" w:rsidRDefault="00D20076" w:rsidP="00D20076">
      <w:pPr>
        <w:pStyle w:val="Heading2"/>
        <w:rPr>
          <w:rFonts w:asciiTheme="minorHAnsi" w:eastAsia="Calibri" w:hAnsiTheme="minorHAnsi"/>
          <w:lang w:eastAsia="en-AU"/>
        </w:rPr>
      </w:pPr>
      <w:bookmarkStart w:id="515" w:name="_Toc83639601"/>
      <w:bookmarkStart w:id="516" w:name="_Toc501448810"/>
      <w:bookmarkStart w:id="517" w:name="_Toc514837969"/>
      <w:r>
        <w:rPr>
          <w:rFonts w:asciiTheme="minorHAnsi" w:eastAsia="Calibri" w:hAnsiTheme="minorHAnsi"/>
          <w:lang w:eastAsia="en-AU"/>
        </w:rPr>
        <w:lastRenderedPageBreak/>
        <w:t>Bills</w:t>
      </w:r>
      <w:bookmarkEnd w:id="515"/>
    </w:p>
    <w:p w14:paraId="2D3D9BE3" w14:textId="603C9268" w:rsidR="00A03DAF" w:rsidRDefault="00D85AA2" w:rsidP="00A03DAF">
      <w:pPr>
        <w:pStyle w:val="Heading3"/>
        <w:rPr>
          <w:rFonts w:eastAsia="Calibri"/>
          <w:lang w:eastAsia="en-AU"/>
        </w:rPr>
      </w:pPr>
      <w:bookmarkStart w:id="518" w:name="_Toc83639602"/>
      <w:bookmarkStart w:id="519" w:name="_Toc35437939"/>
      <w:r>
        <w:rPr>
          <w:rFonts w:eastAsia="Calibri"/>
          <w:lang w:eastAsia="en-AU"/>
        </w:rPr>
        <w:t>Bill</w:t>
      </w:r>
      <w:r w:rsidR="00A03DAF">
        <w:rPr>
          <w:rFonts w:eastAsia="Calibri"/>
          <w:lang w:eastAsia="en-AU"/>
        </w:rPr>
        <w:t>—No Comment</w:t>
      </w:r>
      <w:bookmarkEnd w:id="518"/>
      <w:r w:rsidR="00A03DAF">
        <w:rPr>
          <w:rFonts w:eastAsia="Calibri"/>
          <w:lang w:eastAsia="en-AU"/>
        </w:rPr>
        <w:t xml:space="preserve"> </w:t>
      </w:r>
    </w:p>
    <w:p w14:paraId="2F9224D7" w14:textId="77777777" w:rsidR="00A03DAF" w:rsidRDefault="00A03DAF" w:rsidP="00A03DAF">
      <w:r>
        <w:t>The Committee has examined the following bill and offers no further comment:</w:t>
      </w:r>
    </w:p>
    <w:p w14:paraId="149C09A0" w14:textId="77777777" w:rsidR="00A03DAF" w:rsidRDefault="00A03DAF" w:rsidP="00A03DAF">
      <w:pPr>
        <w:pStyle w:val="Heading4"/>
        <w:pBdr>
          <w:bottom w:val="single" w:sz="6" w:space="1" w:color="000000"/>
        </w:pBdr>
        <w:rPr>
          <w:rFonts w:eastAsia="Times New Roman"/>
        </w:rPr>
      </w:pPr>
      <w:bookmarkStart w:id="520" w:name="_Toc83639603"/>
      <w:r>
        <w:rPr>
          <w:rFonts w:eastAsia="Times New Roman"/>
          <w:b w:val="0"/>
        </w:rPr>
        <w:t>Financial Management Amendment Bill 2021</w:t>
      </w:r>
      <w:bookmarkEnd w:id="520"/>
    </w:p>
    <w:p w14:paraId="4129F779" w14:textId="77777777" w:rsidR="00A03DAF" w:rsidRDefault="00A03DAF" w:rsidP="00A03DAF">
      <w:pPr>
        <w:rPr>
          <w:rFonts w:ascii="Calibri" w:eastAsia="Calibri" w:hAnsi="Calibri" w:cs="Calibri"/>
          <w:color w:val="000000"/>
          <w:szCs w:val="20"/>
          <w:lang w:eastAsia="en-AU"/>
        </w:rPr>
      </w:pPr>
      <w:r>
        <w:rPr>
          <w:rFonts w:ascii="Calibri" w:eastAsia="Calibri" w:hAnsi="Calibri" w:cs="Calibri"/>
          <w:color w:val="000000"/>
          <w:szCs w:val="20"/>
          <w:lang w:eastAsia="en-AU"/>
        </w:rPr>
        <w:t xml:space="preserve">This Bill amends the </w:t>
      </w:r>
      <w:r>
        <w:rPr>
          <w:rFonts w:ascii="Calibri" w:eastAsia="Calibri" w:hAnsi="Calibri" w:cs="Calibri"/>
          <w:i/>
          <w:color w:val="000000"/>
          <w:szCs w:val="20"/>
          <w:lang w:eastAsia="en-AU"/>
        </w:rPr>
        <w:t>Financial Management Act 1996</w:t>
      </w:r>
      <w:r>
        <w:rPr>
          <w:rFonts w:ascii="Calibri" w:eastAsia="Calibri" w:hAnsi="Calibri" w:cs="Calibri"/>
          <w:color w:val="000000"/>
          <w:szCs w:val="20"/>
          <w:lang w:eastAsia="en-AU"/>
        </w:rPr>
        <w:t xml:space="preserve"> to increase the amounts that can be paid prior to the passage of the 2021-22 appropriation bills and under the Treasurer’s advance, and to extend the timeframes for the 2020-21 consolidated annual financial statements.</w:t>
      </w:r>
    </w:p>
    <w:p w14:paraId="01FD1D93" w14:textId="59ED2386" w:rsidR="00F9213C" w:rsidRDefault="00417022" w:rsidP="00F9213C">
      <w:pPr>
        <w:pStyle w:val="Heading3"/>
      </w:pPr>
      <w:bookmarkStart w:id="521" w:name="_Toc83639604"/>
      <w:r>
        <w:t>Bill</w:t>
      </w:r>
      <w:r w:rsidR="00F9213C" w:rsidRPr="00103E7B">
        <w:t>—</w:t>
      </w:r>
      <w:r w:rsidR="00F477D0">
        <w:t>C</w:t>
      </w:r>
      <w:r w:rsidR="00F9213C" w:rsidRPr="00103E7B">
        <w:t>omment</w:t>
      </w:r>
      <w:bookmarkEnd w:id="521"/>
    </w:p>
    <w:p w14:paraId="66643052" w14:textId="52FBF2A0" w:rsidR="00F9213C" w:rsidRDefault="00F477D0" w:rsidP="00F9213C">
      <w:pPr>
        <w:widowControl w:val="0"/>
        <w:tabs>
          <w:tab w:val="left" w:pos="1276"/>
        </w:tabs>
        <w:rPr>
          <w:rFonts w:ascii="Calibri" w:hAnsi="Calibri" w:cs="Calibri"/>
          <w:color w:val="000000"/>
        </w:rPr>
      </w:pPr>
      <w:r>
        <w:t xml:space="preserve">The Committee </w:t>
      </w:r>
      <w:r w:rsidR="00A03DAF">
        <w:t>has examined the following bill</w:t>
      </w:r>
      <w:r>
        <w:t xml:space="preserve"> a</w:t>
      </w:r>
      <w:r w:rsidR="00A03DAF">
        <w:t>nd offers these comments on it</w:t>
      </w:r>
      <w:r>
        <w:t>:</w:t>
      </w:r>
    </w:p>
    <w:p w14:paraId="13186CDA" w14:textId="77777777" w:rsidR="00A03DAF" w:rsidRDefault="00A03DAF" w:rsidP="00A03DAF">
      <w:pPr>
        <w:pStyle w:val="Heading4"/>
        <w:pBdr>
          <w:bottom w:val="single" w:sz="6" w:space="1" w:color="000000"/>
        </w:pBdr>
        <w:rPr>
          <w:rFonts w:eastAsia="Times New Roman"/>
        </w:rPr>
      </w:pPr>
      <w:bookmarkStart w:id="522" w:name="_Toc83639605"/>
      <w:bookmarkStart w:id="523" w:name="_Toc338841796"/>
      <w:bookmarkStart w:id="524" w:name="_Hlk496454859"/>
      <w:bookmarkStart w:id="525" w:name="_Toc514837978"/>
      <w:bookmarkStart w:id="526" w:name="_Toc526855824"/>
      <w:bookmarkStart w:id="527" w:name="_Toc338841795"/>
      <w:bookmarkStart w:id="528" w:name="_Hlk483295725"/>
      <w:bookmarkEnd w:id="516"/>
      <w:bookmarkEnd w:id="517"/>
      <w:bookmarkEnd w:id="519"/>
      <w:r>
        <w:rPr>
          <w:rFonts w:eastAsia="Times New Roman"/>
          <w:b w:val="0"/>
        </w:rPr>
        <w:t>Operational Efficiencies (COVID-19) Legislation Amendment Bill 2021</w:t>
      </w:r>
      <w:bookmarkEnd w:id="522"/>
    </w:p>
    <w:p w14:paraId="2B149A13" w14:textId="77777777" w:rsidR="00A03DAF" w:rsidRDefault="00A03DAF" w:rsidP="00A03DAF">
      <w:pPr>
        <w:rPr>
          <w:lang w:val="en-US"/>
        </w:rPr>
      </w:pPr>
      <w:r>
        <w:rPr>
          <w:lang w:val="en-US"/>
        </w:rPr>
        <w:t>This Bill will amend various Acts to permanently adopt certain legislative measures taken during the COVID-19 emergency and to temporarily extend measures put in place to assist the business activities of incorporated associations.</w:t>
      </w:r>
    </w:p>
    <w:p w14:paraId="50678B31" w14:textId="3AE2D176" w:rsidR="00A03DAF" w:rsidRDefault="00A03DAF" w:rsidP="00A03DAF">
      <w:pPr>
        <w:widowControl w:val="0"/>
        <w:tabs>
          <w:tab w:val="left" w:pos="1276"/>
        </w:tabs>
        <w:rPr>
          <w:rFonts w:ascii="Calibri" w:eastAsia="Calibri" w:hAnsi="Calibri" w:cs="Calibri"/>
          <w:b/>
          <w:bCs/>
          <w:i/>
          <w:color w:val="000000"/>
          <w:szCs w:val="20"/>
          <w:lang w:eastAsia="en-AU"/>
        </w:rPr>
      </w:pPr>
      <w:r>
        <w:rPr>
          <w:rFonts w:ascii="Calibri" w:eastAsia="Calibri" w:hAnsi="Calibri" w:cs="Calibri"/>
          <w:b/>
          <w:bCs/>
          <w:i/>
          <w:color w:val="000000"/>
          <w:szCs w:val="20"/>
          <w:lang w:eastAsia="en-AU"/>
        </w:rPr>
        <w:t>Do any provisions of the Bill amount to an undue trespass on personal rights and liberties?—</w:t>
      </w:r>
      <w:r>
        <w:rPr>
          <w:b/>
          <w:i/>
          <w:lang w:val="en-US"/>
        </w:rPr>
        <w:t>Committee Resolution of Appointment paragraph (10</w:t>
      </w:r>
      <w:proofErr w:type="gramStart"/>
      <w:r>
        <w:rPr>
          <w:b/>
          <w:i/>
          <w:lang w:val="en-US"/>
        </w:rPr>
        <w:t>)(</w:t>
      </w:r>
      <w:proofErr w:type="gramEnd"/>
      <w:r>
        <w:rPr>
          <w:b/>
          <w:i/>
          <w:lang w:val="en-US"/>
        </w:rPr>
        <w:t>a)(</w:t>
      </w:r>
      <w:proofErr w:type="spellStart"/>
      <w:r>
        <w:rPr>
          <w:b/>
          <w:i/>
          <w:lang w:val="en-US"/>
        </w:rPr>
        <w:t>i</w:t>
      </w:r>
      <w:proofErr w:type="spellEnd"/>
      <w:r>
        <w:rPr>
          <w:b/>
          <w:i/>
          <w:lang w:val="en-US"/>
        </w:rPr>
        <w:t xml:space="preserve"> </w:t>
      </w:r>
    </w:p>
    <w:p w14:paraId="2F53AACC" w14:textId="77777777" w:rsidR="00A03DAF" w:rsidRDefault="00A03DAF" w:rsidP="00A03DAF">
      <w:pPr>
        <w:widowControl w:val="0"/>
        <w:tabs>
          <w:tab w:val="left" w:pos="1276"/>
        </w:tabs>
        <w:rPr>
          <w:rFonts w:ascii="Calibri" w:eastAsia="Calibri" w:hAnsi="Calibri" w:cs="Calibri"/>
          <w:b/>
          <w:bCs/>
          <w:i/>
          <w:color w:val="000000"/>
          <w:szCs w:val="20"/>
          <w:lang w:eastAsia="en-AU"/>
        </w:rPr>
      </w:pPr>
      <w:r>
        <w:rPr>
          <w:rFonts w:ascii="Calibri" w:eastAsia="Calibri" w:hAnsi="Calibri" w:cs="Calibri"/>
          <w:b/>
          <w:bCs/>
          <w:color w:val="000000"/>
          <w:szCs w:val="20"/>
          <w:lang w:eastAsia="en-AU"/>
        </w:rPr>
        <w:t xml:space="preserve">Report under section 38 of the </w:t>
      </w:r>
      <w:r>
        <w:rPr>
          <w:rFonts w:ascii="Calibri" w:eastAsia="Calibri" w:hAnsi="Calibri" w:cs="Calibri"/>
          <w:b/>
          <w:bCs/>
          <w:i/>
          <w:color w:val="000000"/>
          <w:szCs w:val="20"/>
          <w:lang w:eastAsia="en-AU"/>
        </w:rPr>
        <w:t xml:space="preserve">Human Rights Act 2004 </w:t>
      </w:r>
      <w:r>
        <w:rPr>
          <w:rFonts w:ascii="Calibri" w:eastAsia="Calibri" w:hAnsi="Calibri" w:cs="Calibri"/>
          <w:b/>
          <w:bCs/>
          <w:color w:val="000000"/>
          <w:szCs w:val="20"/>
          <w:lang w:eastAsia="en-AU"/>
        </w:rPr>
        <w:t>(HRA)</w:t>
      </w:r>
    </w:p>
    <w:p w14:paraId="37CC1F57" w14:textId="77777777" w:rsidR="00A03DAF" w:rsidRDefault="00A03DAF" w:rsidP="00A03DAF">
      <w:pPr>
        <w:pStyle w:val="Heading5"/>
        <w:rPr>
          <w:rFonts w:eastAsia="Times New Roman"/>
          <w:lang w:eastAsia="en-US"/>
        </w:rPr>
      </w:pPr>
      <w:r>
        <w:t>Right to recognition and equality before the law (section 8 HRA)</w:t>
      </w:r>
    </w:p>
    <w:p w14:paraId="2CDB0E2B" w14:textId="77777777" w:rsidR="00A03DAF" w:rsidRDefault="00A03DAF" w:rsidP="00A03DAF">
      <w:pPr>
        <w:pStyle w:val="Heading5"/>
      </w:pPr>
      <w:r>
        <w:t>Right to privacy and reputation (section 12 HRA)</w:t>
      </w:r>
    </w:p>
    <w:p w14:paraId="6ABB5EFC" w14:textId="77777777" w:rsidR="00A03DAF" w:rsidRDefault="00A03DAF" w:rsidP="00A03DAF">
      <w:pPr>
        <w:pStyle w:val="Heading5"/>
      </w:pPr>
      <w:r>
        <w:t>Right to freedom of movement (section 13 HRA)</w:t>
      </w:r>
    </w:p>
    <w:p w14:paraId="3137E1CF" w14:textId="77777777" w:rsidR="00A03DAF" w:rsidRDefault="00A03DAF" w:rsidP="00A03DAF">
      <w:pPr>
        <w:pStyle w:val="Heading5"/>
      </w:pPr>
      <w:r>
        <w:t>Right to liberty and security of person (section 18 HRA)</w:t>
      </w:r>
    </w:p>
    <w:p w14:paraId="47DE8A21" w14:textId="77777777" w:rsidR="00A03DAF" w:rsidRDefault="00A03DAF" w:rsidP="00A03DAF">
      <w:pPr>
        <w:pStyle w:val="Heading5"/>
      </w:pPr>
      <w:r>
        <w:t>Rights in criminal proceedings (section 22 HRA)</w:t>
      </w:r>
    </w:p>
    <w:p w14:paraId="3F65FC37" w14:textId="77777777" w:rsidR="00A03DAF" w:rsidRDefault="00A03DAF" w:rsidP="00A03DAF">
      <w:pPr>
        <w:pStyle w:val="Heading5"/>
      </w:pPr>
      <w:r>
        <w:t xml:space="preserve">Right to work and other work-related rights (section 27B HRA) </w:t>
      </w:r>
    </w:p>
    <w:p w14:paraId="468996DB" w14:textId="716871C1" w:rsidR="00A03DAF" w:rsidRDefault="00A03DAF" w:rsidP="00A03DAF">
      <w:r>
        <w:t xml:space="preserve">The Bill will amend the </w:t>
      </w:r>
      <w:r>
        <w:rPr>
          <w:i/>
        </w:rPr>
        <w:t>Human Rights Commission Act 2005</w:t>
      </w:r>
      <w:r>
        <w:t xml:space="preserve"> to make permanent the Commission’s jurisdiction to deal with complaints concerning the treatment of vulnerable persons. This jurisdiction potentially limits the protection of privacy provided by section 12 of the HRA by authorising the Commission to access and share information of a personal and sensitive nature in the conduct of complaint-handling functions. The Bill may also limit rights in criminal proceedings protected by section 22 of the HRA by amending the common-law privilege against self-incrimination in compelling the provision of information as part of the Commission’s investigations.</w:t>
      </w:r>
    </w:p>
    <w:p w14:paraId="276D3756" w14:textId="4EE0F56B" w:rsidR="00A03DAF" w:rsidRDefault="00A03DAF" w:rsidP="00A03DAF">
      <w:r>
        <w:t xml:space="preserve">The Bill’s amendments to the </w:t>
      </w:r>
      <w:r>
        <w:rPr>
          <w:i/>
        </w:rPr>
        <w:t>Public Trustee and Guardian Act</w:t>
      </w:r>
      <w:r>
        <w:t xml:space="preserve"> </w:t>
      </w:r>
      <w:r>
        <w:rPr>
          <w:i/>
        </w:rPr>
        <w:t>1985</w:t>
      </w:r>
      <w:r>
        <w:t xml:space="preserve"> may also potentially limit the protection of privacy, as well as the right to work protected by section 27B of the HRA, right to freedom of movement protected by section 13 of the HRA and right to liberty and security of person protected by section 18 of the HRA. The amendments make permanent the ability of the Public </w:t>
      </w:r>
      <w:r>
        <w:lastRenderedPageBreak/>
        <w:t>Trustee and Guardian to more broadly delegate guardianship and management functions to any staff member, subject to limitations on the range of functions able to be delegated and specific matters that must be satisfied before the delegation is permitted.</w:t>
      </w:r>
    </w:p>
    <w:p w14:paraId="23F0A7AD" w14:textId="77777777" w:rsidR="00A03DAF" w:rsidRDefault="00A03DAF" w:rsidP="00A03DAF">
      <w:r>
        <w:t xml:space="preserve">The Bill will also amend the </w:t>
      </w:r>
      <w:r>
        <w:rPr>
          <w:i/>
        </w:rPr>
        <w:t>Taxation Administration Act 1999</w:t>
      </w:r>
      <w:r>
        <w:t xml:space="preserve"> to make permanent the ability of the Minister to provide by legislative instrument for rebate, deferral and exemption schemes. The establishment and eligibility for such schemes may limit the right to equality before the law protected by section 8 of the HRA. Authorising requirements to provide information to the Commissioner to determine eligibility for such schemes may limit the protection of privacy provided by section 12 of the HRA.</w:t>
      </w:r>
    </w:p>
    <w:p w14:paraId="625D4B9F" w14:textId="77777777" w:rsidR="00A03DAF" w:rsidRDefault="00A03DAF" w:rsidP="00A03DAF">
      <w:r>
        <w:t>The explanatory statement accompanying the Bill recognises these potential limitations and provides a statement of why they should be considered reasonable using the framework set out in section 28 of the HRA. The Committee refers that statement to the Assembly.</w:t>
      </w:r>
    </w:p>
    <w:p w14:paraId="302B004F" w14:textId="77777777" w:rsidR="00A03DAF" w:rsidRDefault="00A03DAF" w:rsidP="00A03DAF">
      <w:pPr>
        <w:pStyle w:val="Bodycopy"/>
        <w:spacing w:line="280" w:lineRule="exact"/>
        <w:rPr>
          <w:b/>
          <w:bCs/>
        </w:rPr>
      </w:pPr>
      <w:r>
        <w:rPr>
          <w:b/>
          <w:bCs/>
        </w:rPr>
        <w:t>The Committee draws this matter to the attention of the Assembly, but does not require a response from the Minister.</w:t>
      </w:r>
    </w:p>
    <w:p w14:paraId="7CB79F9A" w14:textId="77777777" w:rsidR="00A03DAF" w:rsidRDefault="00A03DAF" w:rsidP="00A03DAF">
      <w:pPr>
        <w:pStyle w:val="Heading5"/>
      </w:pPr>
      <w:r>
        <w:t>Retrospective operation</w:t>
      </w:r>
    </w:p>
    <w:p w14:paraId="2B72CD09" w14:textId="661BC4D5" w:rsidR="00A03DAF" w:rsidRDefault="00A03DAF" w:rsidP="00A03DAF">
      <w:r>
        <w:t xml:space="preserve">Part 2 of the Bill will commence on the earlier of the day after notification of the Bill or 8 October 2021. Therefore, the Bill may have retrospective effect if it is not passed and notified until after 8 October 2021. The explanatory statement accompanying the Bill justifies this potential retrospective operation as ensuring that current provisions of the </w:t>
      </w:r>
      <w:r>
        <w:rPr>
          <w:i/>
        </w:rPr>
        <w:t xml:space="preserve">Associations Incorporation Act 1991, </w:t>
      </w:r>
      <w:r>
        <w:t>which are due to expire on the 8 October 2021, will continue to operate. This will allow associations to continue to meet using alternative methods and to allow timeframes to be extended for the duration of the Covid-19 emergency period. The explanatory statement provides the assurance that any retrospective operation will not be to the disadvantage of any person by adversely affecting their rights, or imposing liabilities.</w:t>
      </w:r>
    </w:p>
    <w:p w14:paraId="6E308FEF" w14:textId="77777777" w:rsidR="00A03DAF" w:rsidRDefault="00A03DAF" w:rsidP="00A03DAF">
      <w:pPr>
        <w:pStyle w:val="Bodycopy"/>
        <w:spacing w:line="280" w:lineRule="exact"/>
        <w:rPr>
          <w:b/>
          <w:bCs/>
        </w:rPr>
      </w:pPr>
      <w:r>
        <w:rPr>
          <w:b/>
          <w:bCs/>
        </w:rPr>
        <w:t>The Committee draws this matter to the attention of the Assembly, but does not require a response from the Minister.</w:t>
      </w:r>
    </w:p>
    <w:p w14:paraId="580EB078" w14:textId="525AFFE3" w:rsidR="00A03DAF" w:rsidRDefault="00A03DAF" w:rsidP="00A03DAF">
      <w:pPr>
        <w:pStyle w:val="Bodycopy"/>
        <w:rPr>
          <w:b/>
          <w:bCs/>
          <w:i/>
        </w:rPr>
      </w:pPr>
      <w:r>
        <w:rPr>
          <w:b/>
          <w:bCs/>
          <w:i/>
        </w:rPr>
        <w:t>Do any provisions of the Bill inappropriately delegate legislative powers?—</w:t>
      </w:r>
      <w:r>
        <w:rPr>
          <w:b/>
          <w:i/>
          <w:lang w:val="en-US"/>
        </w:rPr>
        <w:t>Committee Resolution of Appointment paragraph (10</w:t>
      </w:r>
      <w:proofErr w:type="gramStart"/>
      <w:r>
        <w:rPr>
          <w:b/>
          <w:i/>
          <w:lang w:val="en-US"/>
        </w:rPr>
        <w:t>)(</w:t>
      </w:r>
      <w:proofErr w:type="gramEnd"/>
      <w:r>
        <w:rPr>
          <w:b/>
          <w:i/>
          <w:lang w:val="en-US"/>
        </w:rPr>
        <w:t>a)(iv)</w:t>
      </w:r>
    </w:p>
    <w:p w14:paraId="4694D41E" w14:textId="77777777" w:rsidR="00A03DAF" w:rsidRDefault="00A03DAF" w:rsidP="00A03DAF">
      <w:r>
        <w:t xml:space="preserve">The amendments to the Taxation Administration Act will allow the Minister to create rebate, deferral and exemption schemes through the making of a legislative instrument and without, as currently provided for, having to be satisfied that such a scheme is reasonable and necessary to provide an economic response to a COVID-19 emergency. The explanatory statement accompanying the Bill refers to the importance of a consistent set of powers to implement rebates, referrals and exemptions without having to rely on particular powers under various Acts. The amendments will also provide greater flexibility to facilitate future revenue measures in a timely and efficient manner. The explanatory statement also notes that, under the Act, a disallowable instrument setting up a scheme under the amended provisions must be accompanied by a human rights compatibility statement. This will ensure consideration by this Committee of any impact on human rights based on the circumstances of the instrument. The Committee draws these statements to the attention of the Assembly. </w:t>
      </w:r>
    </w:p>
    <w:p w14:paraId="569A6BA6" w14:textId="77777777" w:rsidR="00A03DAF" w:rsidRDefault="00A03DAF" w:rsidP="00A03DAF">
      <w:pPr>
        <w:pStyle w:val="Bodycopy"/>
        <w:spacing w:line="280" w:lineRule="exact"/>
        <w:rPr>
          <w:b/>
          <w:bCs/>
        </w:rPr>
      </w:pPr>
      <w:r>
        <w:rPr>
          <w:b/>
          <w:bCs/>
        </w:rPr>
        <w:t>The Committee draws this matter to the attention of the Assembly, but does not require a response from the Minister.</w:t>
      </w:r>
    </w:p>
    <w:p w14:paraId="44CC73B0" w14:textId="08B4FF52" w:rsidR="00632220" w:rsidRDefault="005B4AED" w:rsidP="00632220">
      <w:pPr>
        <w:pStyle w:val="Heading3"/>
        <w:rPr>
          <w:rFonts w:eastAsia="Calibri"/>
          <w:lang w:eastAsia="en-AU"/>
        </w:rPr>
      </w:pPr>
      <w:bookmarkStart w:id="529" w:name="_Toc83639606"/>
      <w:r>
        <w:rPr>
          <w:rFonts w:eastAsia="Calibri"/>
          <w:lang w:eastAsia="en-AU"/>
        </w:rPr>
        <w:lastRenderedPageBreak/>
        <w:t>Proposed amendments</w:t>
      </w:r>
      <w:bookmarkEnd w:id="529"/>
    </w:p>
    <w:p w14:paraId="64459EA7" w14:textId="77777777" w:rsidR="005B4AED" w:rsidRPr="005B4AED" w:rsidRDefault="005B4AED" w:rsidP="005B4AED">
      <w:pPr>
        <w:pStyle w:val="Heading4"/>
        <w:rPr>
          <w:rFonts w:eastAsia="Times New Roman"/>
          <w:b w:val="0"/>
        </w:rPr>
      </w:pPr>
      <w:bookmarkStart w:id="530" w:name="_Toc83639607"/>
      <w:r w:rsidRPr="005B4AED">
        <w:rPr>
          <w:rFonts w:eastAsia="Times New Roman"/>
          <w:b w:val="0"/>
        </w:rPr>
        <w:t>Operational Efficiencies (COVID-19) Legislation Amendment Bill 2021</w:t>
      </w:r>
      <w:bookmarkEnd w:id="530"/>
    </w:p>
    <w:p w14:paraId="5DE45EB5" w14:textId="4733423B" w:rsidR="005B4AED" w:rsidRDefault="005B4AED" w:rsidP="005B4AED">
      <w:r>
        <w:t xml:space="preserve">On 20 September 2021, the Committee received a letter from the Attorney-General setting out proposed Government amendments to the Operational Efficiencies (COVID-19) Legislation Amendment Bill 2021. These proposed amendments provide for the amendment of the </w:t>
      </w:r>
      <w:r>
        <w:rPr>
          <w:i/>
        </w:rPr>
        <w:t>Children and Young People Act 2008</w:t>
      </w:r>
      <w:r>
        <w:t xml:space="preserve">, reintroducing Covid-19 measures introduced by the </w:t>
      </w:r>
      <w:r>
        <w:rPr>
          <w:i/>
        </w:rPr>
        <w:t>COVID-19 Emergency Response Act 2020</w:t>
      </w:r>
      <w:r>
        <w:t xml:space="preserve"> and </w:t>
      </w:r>
      <w:r>
        <w:rPr>
          <w:i/>
        </w:rPr>
        <w:t>COVID-19 Emergency Response Legislation Amendment Act 2020</w:t>
      </w:r>
      <w:r>
        <w:t xml:space="preserve"> which expired on 8 April 2021.</w:t>
      </w:r>
    </w:p>
    <w:p w14:paraId="1D123121" w14:textId="76F70660" w:rsidR="005B4AED" w:rsidRDefault="005B4AED" w:rsidP="005B4AED">
      <w:r>
        <w:t xml:space="preserve">The proposed amendments will allow the director-general to declare an emergency exists in a detention place (currently the </w:t>
      </w:r>
      <w:proofErr w:type="spellStart"/>
      <w:r>
        <w:t>Bimberi</w:t>
      </w:r>
      <w:proofErr w:type="spellEnd"/>
      <w:r>
        <w:t xml:space="preserve"> Youth Justice Centre) which threatens order and security or the safety of persons and which relates to a COVID-19 emergency. Such a declaration can extend for as long as a COVID-19 emergency continues and the director-general believes there are reasonable grounds for the declaration. A review of whether there are reasonable grounds for the declaration must be carried out every 28 days, and the first annual report after the declaration ends must set out any measures taken in response to the emergency.</w:t>
      </w:r>
    </w:p>
    <w:p w14:paraId="5DF37DA0" w14:textId="77777777" w:rsidR="005B4AED" w:rsidRDefault="005B4AED" w:rsidP="005B4AED">
      <w:r>
        <w:t xml:space="preserve">An emergency declaration empowers the director-general to restrict activities within the detention place, access to and within the detention place, and communication with young detainees. Any restrictions must be necessary and reasonable in the circumstances. The proposed amendments may therefore limit the </w:t>
      </w:r>
      <w:r>
        <w:rPr>
          <w:sz w:val="23"/>
          <w:szCs w:val="23"/>
        </w:rPr>
        <w:t>right to liberty and security of person protected by section 18 of the HRA and the right to humane treatment when deprived of liberty protected by section 19 of the HRA. The supplementary explanatory statement provided to the Committee includes recognition of these potential limitations and provides a justification for why they can be considered reasonable using the framework set out in section 28 of the HRA. The Committee draws this statement to the attention of the Assembly and has no further comments.</w:t>
      </w:r>
    </w:p>
    <w:p w14:paraId="61275DA2" w14:textId="77777777" w:rsidR="005B4AED" w:rsidRDefault="005B4AED" w:rsidP="005B4AED">
      <w:pPr>
        <w:pStyle w:val="Bodycopy"/>
        <w:spacing w:line="280" w:lineRule="exact"/>
        <w:rPr>
          <w:b/>
          <w:bCs/>
        </w:rPr>
      </w:pPr>
      <w:r>
        <w:rPr>
          <w:b/>
          <w:bCs/>
        </w:rPr>
        <w:t>The Committee draws this matter to the attention of the Assembly, but does not require a response from the Minister.</w:t>
      </w:r>
    </w:p>
    <w:p w14:paraId="481AB9D3" w14:textId="77777777" w:rsidR="008024FC" w:rsidRPr="00104A8B" w:rsidRDefault="008024FC" w:rsidP="0037018E">
      <w:pPr>
        <w:pStyle w:val="Heading2"/>
        <w:rPr>
          <w:rFonts w:asciiTheme="minorHAnsi" w:eastAsia="Calibri" w:hAnsiTheme="minorHAnsi"/>
          <w:lang w:eastAsia="en-AU"/>
        </w:rPr>
      </w:pPr>
      <w:bookmarkStart w:id="531" w:name="_Toc83639608"/>
      <w:r>
        <w:rPr>
          <w:rFonts w:asciiTheme="minorHAnsi" w:eastAsia="Calibri" w:hAnsiTheme="minorHAnsi"/>
          <w:lang w:eastAsia="en-AU"/>
        </w:rPr>
        <w:t>Subordinate Legislation</w:t>
      </w:r>
      <w:bookmarkEnd w:id="531"/>
    </w:p>
    <w:p w14:paraId="4457B6DC" w14:textId="77777777" w:rsidR="003D65DF" w:rsidRPr="00D87E25" w:rsidRDefault="003D65DF" w:rsidP="00861B17">
      <w:pPr>
        <w:pStyle w:val="Heading3"/>
      </w:pPr>
      <w:bookmarkStart w:id="532" w:name="_Toc83639609"/>
      <w:bookmarkStart w:id="533" w:name="_Hlk504463130"/>
      <w:bookmarkEnd w:id="523"/>
      <w:bookmarkEnd w:id="524"/>
      <w:r w:rsidRPr="00D87E25">
        <w:t>Disallowable Instruments—No comment</w:t>
      </w:r>
      <w:bookmarkEnd w:id="532"/>
    </w:p>
    <w:p w14:paraId="740EDC47" w14:textId="77777777" w:rsidR="003D65DF" w:rsidRPr="001C3BD7" w:rsidRDefault="003D65DF" w:rsidP="00F97501">
      <w:pPr>
        <w:pStyle w:val="Paper"/>
        <w:spacing w:before="240" w:after="240" w:line="280" w:lineRule="exact"/>
        <w:rPr>
          <w:rFonts w:ascii="Calibri" w:hAnsi="Calibri"/>
          <w:sz w:val="22"/>
          <w:szCs w:val="22"/>
        </w:rPr>
      </w:pPr>
      <w:bookmarkStart w:id="534" w:name="_Hlk520740695"/>
      <w:r w:rsidRPr="00EE7EB9">
        <w:rPr>
          <w:rFonts w:ascii="Calibri" w:hAnsi="Calibri"/>
          <w:sz w:val="22"/>
          <w:szCs w:val="22"/>
        </w:rPr>
        <w:t>The Committee has examined the following disallowable instruments and has no comments on them:</w:t>
      </w:r>
      <w:bookmarkEnd w:id="534"/>
    </w:p>
    <w:p w14:paraId="5F475F77" w14:textId="77777777" w:rsidR="00C874F7" w:rsidRDefault="00C874F7" w:rsidP="005D6E99">
      <w:pPr>
        <w:pStyle w:val="Bodycopy"/>
        <w:numPr>
          <w:ilvl w:val="0"/>
          <w:numId w:val="25"/>
        </w:numPr>
        <w:tabs>
          <w:tab w:val="left" w:pos="720"/>
        </w:tabs>
        <w:spacing w:before="160" w:after="160" w:line="280" w:lineRule="exact"/>
        <w:rPr>
          <w:b/>
        </w:rPr>
      </w:pPr>
      <w:r>
        <w:rPr>
          <w:b/>
        </w:rPr>
        <w:t xml:space="preserve">Disallowable Instrument DI2021-190 being the Animal Welfare (Overnight Animal Boarding Establishments) Mandatory Code of Practice 2021 made under section 23 of the </w:t>
      </w:r>
      <w:r>
        <w:rPr>
          <w:i/>
        </w:rPr>
        <w:t>Animal Welfare Act 1992</w:t>
      </w:r>
      <w:r>
        <w:rPr>
          <w:b/>
        </w:rPr>
        <w:t xml:space="preserve"> revokes DI2008-247 and approves the Code of Practice for Overnight Animal Boarding Establishments as a mandatory code of practice under the Act.</w:t>
      </w:r>
    </w:p>
    <w:p w14:paraId="5026385D" w14:textId="01406193" w:rsidR="00C874F7" w:rsidRDefault="00C874F7" w:rsidP="005D6E99">
      <w:pPr>
        <w:pStyle w:val="Bodycopy"/>
        <w:numPr>
          <w:ilvl w:val="0"/>
          <w:numId w:val="25"/>
        </w:numPr>
        <w:tabs>
          <w:tab w:val="left" w:pos="720"/>
        </w:tabs>
        <w:spacing w:before="160" w:after="160" w:line="280" w:lineRule="exact"/>
        <w:rPr>
          <w:b/>
        </w:rPr>
      </w:pPr>
      <w:r>
        <w:rPr>
          <w:b/>
        </w:rPr>
        <w:t xml:space="preserve">Disallowable Instrument DI2021-191 being the Long Service Leave (Portable Schemes) Mental Health Community Coalition ACT Employer Declaration 2021 made under section 12 of the </w:t>
      </w:r>
      <w:r>
        <w:rPr>
          <w:i/>
        </w:rPr>
        <w:t>Long Service Leave (Portable Schemes) Act 2009</w:t>
      </w:r>
      <w:r>
        <w:rPr>
          <w:b/>
        </w:rPr>
        <w:t xml:space="preserve"> declares the Mental Health Community Coalition to be an employer for the community sector industry.</w:t>
      </w:r>
    </w:p>
    <w:p w14:paraId="654D2358" w14:textId="77777777" w:rsidR="00C874F7" w:rsidRDefault="00C874F7" w:rsidP="005D6E99">
      <w:pPr>
        <w:pStyle w:val="Bodycopy"/>
        <w:keepLines/>
        <w:numPr>
          <w:ilvl w:val="0"/>
          <w:numId w:val="25"/>
        </w:numPr>
        <w:tabs>
          <w:tab w:val="left" w:pos="720"/>
        </w:tabs>
        <w:spacing w:before="160" w:after="160" w:line="280" w:lineRule="exact"/>
        <w:rPr>
          <w:b/>
        </w:rPr>
      </w:pPr>
      <w:r>
        <w:rPr>
          <w:b/>
        </w:rPr>
        <w:lastRenderedPageBreak/>
        <w:t xml:space="preserve">Disallowable Instrument DI2021-192 being the Animal Welfare (Sale of Animals in the ACT other than Stock and Commercial Scale Poultry) Mandatory Code of Practice 2021 made under section 23 of the </w:t>
      </w:r>
      <w:r>
        <w:rPr>
          <w:i/>
        </w:rPr>
        <w:t>Animal Welfare Act 1992</w:t>
      </w:r>
      <w:r>
        <w:rPr>
          <w:b/>
        </w:rPr>
        <w:t xml:space="preserve"> revokes DI1993-139 and DI2013-223 and approves the Code of Practice for the Sale of Animals in the ACT other than Stock and Commercial Scale Poultry as a mandatory code of practice under the Act.</w:t>
      </w:r>
    </w:p>
    <w:p w14:paraId="5B51E5D2" w14:textId="77777777" w:rsidR="00C874F7" w:rsidRDefault="00C874F7" w:rsidP="005D6E99">
      <w:pPr>
        <w:pStyle w:val="Bodycopy"/>
        <w:numPr>
          <w:ilvl w:val="0"/>
          <w:numId w:val="25"/>
        </w:numPr>
        <w:tabs>
          <w:tab w:val="left" w:pos="720"/>
        </w:tabs>
        <w:spacing w:before="160" w:after="160" w:line="280" w:lineRule="exact"/>
        <w:rPr>
          <w:b/>
        </w:rPr>
      </w:pPr>
      <w:r>
        <w:rPr>
          <w:b/>
        </w:rPr>
        <w:t xml:space="preserve">Disallowable Instrument DI2021-193 being the Board of Senior Secondary Studies Appointment 2021 (No 2) made under section 8 of the </w:t>
      </w:r>
      <w:r>
        <w:rPr>
          <w:i/>
        </w:rPr>
        <w:t>Board of Senior Secondary Studies Act 1997</w:t>
      </w:r>
      <w:r>
        <w:rPr>
          <w:b/>
        </w:rPr>
        <w:t xml:space="preserve"> appoints a specified person as a member of the ACT Board of Senior Secondary Studies, after consultation with the Australian National University.</w:t>
      </w:r>
    </w:p>
    <w:p w14:paraId="6FEA96FB" w14:textId="77777777" w:rsidR="00C874F7" w:rsidRDefault="00C874F7" w:rsidP="005D6E99">
      <w:pPr>
        <w:pStyle w:val="Bodycopy"/>
        <w:numPr>
          <w:ilvl w:val="0"/>
          <w:numId w:val="25"/>
        </w:numPr>
        <w:tabs>
          <w:tab w:val="left" w:pos="720"/>
        </w:tabs>
        <w:spacing w:before="160" w:after="160" w:line="280" w:lineRule="exact"/>
        <w:rPr>
          <w:b/>
        </w:rPr>
      </w:pPr>
      <w:r>
        <w:rPr>
          <w:b/>
        </w:rPr>
        <w:t xml:space="preserve">Disallowable Instrument DI2021-194 being the Animal Welfare (Animal Day Care Establishments) Mandatory Code of Practice 2021 made under section 23 of the </w:t>
      </w:r>
      <w:r>
        <w:rPr>
          <w:i/>
        </w:rPr>
        <w:t>Animal Welfare Act 1992</w:t>
      </w:r>
      <w:r>
        <w:rPr>
          <w:b/>
        </w:rPr>
        <w:t xml:space="preserve"> approves the Code of Practice for Animal Day Care Establishments as a mandatory code of practice under the Act.</w:t>
      </w:r>
    </w:p>
    <w:p w14:paraId="15AF1864" w14:textId="77777777" w:rsidR="00C874F7" w:rsidRDefault="00C874F7" w:rsidP="005D6E99">
      <w:pPr>
        <w:pStyle w:val="Bodycopy"/>
        <w:numPr>
          <w:ilvl w:val="0"/>
          <w:numId w:val="25"/>
        </w:numPr>
        <w:tabs>
          <w:tab w:val="left" w:pos="720"/>
        </w:tabs>
        <w:spacing w:before="160" w:after="160" w:line="280" w:lineRule="exact"/>
        <w:rPr>
          <w:b/>
        </w:rPr>
      </w:pPr>
      <w:r>
        <w:rPr>
          <w:b/>
        </w:rPr>
        <w:t xml:space="preserve">Disallowable Instrument DI2021-200 being the Board of Senior Secondary Studies Appointment 2021 (No 3) made under section 8 of the </w:t>
      </w:r>
      <w:r>
        <w:rPr>
          <w:i/>
        </w:rPr>
        <w:t>Board of Senior Secondary Studies Act 1997</w:t>
      </w:r>
      <w:r>
        <w:rPr>
          <w:b/>
        </w:rPr>
        <w:t xml:space="preserve"> appoints a specified person as a member of the ACT Board of Senior Secondary Studies, after consultation with the Association of Independent Schools.</w:t>
      </w:r>
    </w:p>
    <w:p w14:paraId="79477BE2" w14:textId="77777777" w:rsidR="00C874F7" w:rsidRDefault="00C874F7" w:rsidP="005D6E99">
      <w:pPr>
        <w:pStyle w:val="Bodycopy"/>
        <w:numPr>
          <w:ilvl w:val="0"/>
          <w:numId w:val="25"/>
        </w:numPr>
        <w:tabs>
          <w:tab w:val="left" w:pos="720"/>
        </w:tabs>
        <w:spacing w:before="160" w:after="160" w:line="280" w:lineRule="exact"/>
        <w:rPr>
          <w:b/>
        </w:rPr>
      </w:pPr>
      <w:r>
        <w:rPr>
          <w:b/>
        </w:rPr>
        <w:t xml:space="preserve">Disallowable Instrument DI2021-202 being the Working with Vulnerable People Background Checking (Fees) Determination 2021 (No 1) made under section 68 of the </w:t>
      </w:r>
      <w:r>
        <w:rPr>
          <w:i/>
        </w:rPr>
        <w:t>Working with Vulnerable People (Background Checking) Act 2011</w:t>
      </w:r>
      <w:r>
        <w:rPr>
          <w:b/>
        </w:rPr>
        <w:t xml:space="preserve"> revokes DI2019-176 and determines the fees for services provided by the Working with Vulnerable People Screening Unit.</w:t>
      </w:r>
    </w:p>
    <w:p w14:paraId="5BF87FEE" w14:textId="77777777" w:rsidR="00052319" w:rsidRPr="00103E7B" w:rsidRDefault="003379D7" w:rsidP="00861B17">
      <w:pPr>
        <w:pStyle w:val="Heading3"/>
        <w:spacing w:before="360"/>
        <w:rPr>
          <w:rFonts w:eastAsia="Calibri"/>
          <w:lang w:eastAsia="en-AU"/>
        </w:rPr>
      </w:pPr>
      <w:bookmarkStart w:id="535" w:name="_Toc83639610"/>
      <w:r w:rsidRPr="00103E7B">
        <w:rPr>
          <w:rFonts w:eastAsia="Calibri"/>
          <w:lang w:eastAsia="en-AU"/>
        </w:rPr>
        <w:t>Disallowable Instrument</w:t>
      </w:r>
      <w:r w:rsidR="00BA3E19" w:rsidRPr="00103E7B">
        <w:rPr>
          <w:rFonts w:eastAsia="Calibri"/>
          <w:lang w:eastAsia="en-AU"/>
        </w:rPr>
        <w:t>s</w:t>
      </w:r>
      <w:r w:rsidR="00052319" w:rsidRPr="00103E7B">
        <w:rPr>
          <w:rFonts w:eastAsia="Calibri"/>
          <w:lang w:eastAsia="en-AU"/>
        </w:rPr>
        <w:t>—Comment</w:t>
      </w:r>
      <w:bookmarkEnd w:id="535"/>
    </w:p>
    <w:p w14:paraId="6750AC3E" w14:textId="77777777" w:rsidR="00052319" w:rsidRDefault="00052319" w:rsidP="003379D7">
      <w:pPr>
        <w:rPr>
          <w:spacing w:val="-2"/>
        </w:rPr>
      </w:pPr>
      <w:r w:rsidRPr="003C60E7">
        <w:rPr>
          <w:spacing w:val="-2"/>
        </w:rPr>
        <w:t>The Committee has examined the fo</w:t>
      </w:r>
      <w:r w:rsidR="003379D7" w:rsidRPr="003C60E7">
        <w:rPr>
          <w:spacing w:val="-2"/>
        </w:rPr>
        <w:t>llowing disallowable instrument</w:t>
      </w:r>
      <w:r w:rsidR="00BA3E19">
        <w:rPr>
          <w:spacing w:val="-2"/>
        </w:rPr>
        <w:t>s</w:t>
      </w:r>
      <w:r w:rsidRPr="003C60E7">
        <w:rPr>
          <w:spacing w:val="-2"/>
        </w:rPr>
        <w:t xml:space="preserve"> and offers these comments on </w:t>
      </w:r>
      <w:r w:rsidR="00BA3E19">
        <w:rPr>
          <w:spacing w:val="-2"/>
        </w:rPr>
        <w:t>them</w:t>
      </w:r>
      <w:r w:rsidRPr="003C60E7">
        <w:rPr>
          <w:spacing w:val="-2"/>
        </w:rPr>
        <w:t>:</w:t>
      </w:r>
    </w:p>
    <w:p w14:paraId="1CECBE1D" w14:textId="2ACD92B6" w:rsidR="006505B3" w:rsidRDefault="00C874F7" w:rsidP="00396EC3">
      <w:pPr>
        <w:pStyle w:val="Heading4nonumber"/>
        <w:spacing w:before="220" w:after="220" w:line="280" w:lineRule="exact"/>
        <w:rPr>
          <w:sz w:val="22"/>
          <w:szCs w:val="22"/>
        </w:rPr>
      </w:pPr>
      <w:r>
        <w:rPr>
          <w:sz w:val="22"/>
          <w:szCs w:val="22"/>
        </w:rPr>
        <w:t>Are these disallowable instruments?</w:t>
      </w:r>
    </w:p>
    <w:p w14:paraId="2EBEFBD8" w14:textId="77777777" w:rsidR="00833E3C" w:rsidRPr="00842199" w:rsidRDefault="00833E3C" w:rsidP="005D6E99">
      <w:pPr>
        <w:pStyle w:val="Bodycopy"/>
        <w:numPr>
          <w:ilvl w:val="0"/>
          <w:numId w:val="25"/>
        </w:numPr>
        <w:tabs>
          <w:tab w:val="clear" w:pos="1276"/>
          <w:tab w:val="left" w:pos="360"/>
          <w:tab w:val="left" w:pos="4410"/>
        </w:tabs>
        <w:spacing w:before="160" w:after="160" w:line="280" w:lineRule="exact"/>
        <w:rPr>
          <w:b/>
        </w:rPr>
      </w:pPr>
      <w:r>
        <w:rPr>
          <w:b/>
        </w:rPr>
        <w:t>Disallowable Instrument</w:t>
      </w:r>
      <w:r w:rsidRPr="00451C85">
        <w:rPr>
          <w:b/>
        </w:rPr>
        <w:t xml:space="preserve"> </w:t>
      </w:r>
      <w:r>
        <w:rPr>
          <w:b/>
        </w:rPr>
        <w:t>DI2021-186</w:t>
      </w:r>
      <w:r w:rsidRPr="00451C85">
        <w:rPr>
          <w:b/>
        </w:rPr>
        <w:t xml:space="preserve"> being the </w:t>
      </w:r>
      <w:r>
        <w:rPr>
          <w:b/>
        </w:rPr>
        <w:t xml:space="preserve">Racing Appeals Tribunal Appointment 2021 (No 1) made under section 40 and Schedule 1, section 1.1 of the </w:t>
      </w:r>
      <w:r>
        <w:rPr>
          <w:i/>
        </w:rPr>
        <w:t>Racing Act 1999</w:t>
      </w:r>
      <w:r w:rsidRPr="00236BDD">
        <w:rPr>
          <w:b/>
        </w:rPr>
        <w:t xml:space="preserve"> </w:t>
      </w:r>
      <w:r>
        <w:rPr>
          <w:b/>
        </w:rPr>
        <w:t>appoints specified persons as president, deputy president and members of the Racing Appeals Tribunal.</w:t>
      </w:r>
    </w:p>
    <w:p w14:paraId="6FD054B9" w14:textId="77777777" w:rsidR="00833E3C" w:rsidRPr="00842199" w:rsidRDefault="00833E3C" w:rsidP="005D6E99">
      <w:pPr>
        <w:pStyle w:val="Bodycopy"/>
        <w:numPr>
          <w:ilvl w:val="0"/>
          <w:numId w:val="25"/>
        </w:numPr>
        <w:tabs>
          <w:tab w:val="clear" w:pos="1276"/>
          <w:tab w:val="left" w:pos="360"/>
          <w:tab w:val="left" w:pos="4410"/>
        </w:tabs>
        <w:spacing w:before="160" w:after="160" w:line="280" w:lineRule="exact"/>
        <w:rPr>
          <w:b/>
        </w:rPr>
      </w:pPr>
      <w:r>
        <w:rPr>
          <w:b/>
        </w:rPr>
        <w:t>Disallowable Instrument</w:t>
      </w:r>
      <w:r w:rsidRPr="00451C85">
        <w:rPr>
          <w:b/>
        </w:rPr>
        <w:t xml:space="preserve"> </w:t>
      </w:r>
      <w:r>
        <w:rPr>
          <w:b/>
        </w:rPr>
        <w:t>DI2021-187</w:t>
      </w:r>
      <w:r w:rsidRPr="00451C85">
        <w:rPr>
          <w:b/>
        </w:rPr>
        <w:t xml:space="preserve"> being the </w:t>
      </w:r>
      <w:r>
        <w:rPr>
          <w:b/>
        </w:rPr>
        <w:t xml:space="preserve">Racing Appeals Tribunal Appointment 2021 (No 2) made under section 40 and Schedule 1, section 1.1 of the </w:t>
      </w:r>
      <w:r>
        <w:rPr>
          <w:i/>
        </w:rPr>
        <w:t>Racing Act 1999</w:t>
      </w:r>
      <w:r w:rsidRPr="00236BDD">
        <w:rPr>
          <w:b/>
        </w:rPr>
        <w:t xml:space="preserve"> </w:t>
      </w:r>
      <w:r>
        <w:rPr>
          <w:b/>
        </w:rPr>
        <w:t>appoints specified persons as members of the Racing Appeals Tribunal.</w:t>
      </w:r>
    </w:p>
    <w:p w14:paraId="264F3372" w14:textId="77777777" w:rsidR="00833E3C" w:rsidRDefault="00833E3C" w:rsidP="00833E3C">
      <w:pPr>
        <w:widowControl w:val="0"/>
        <w:tabs>
          <w:tab w:val="left" w:pos="1276"/>
        </w:tabs>
        <w:rPr>
          <w:rFonts w:ascii="Calibri" w:hAnsi="Calibri" w:cs="Calibri"/>
          <w:color w:val="000000"/>
        </w:rPr>
      </w:pPr>
      <w:r>
        <w:rPr>
          <w:rFonts w:ascii="Calibri" w:hAnsi="Calibri" w:cs="Calibri"/>
          <w:color w:val="000000"/>
        </w:rPr>
        <w:t xml:space="preserve">The instruments mentioned above appoint specified persons as members of the Racing Appeals Tribunal, under section 40 of the </w:t>
      </w:r>
      <w:r>
        <w:rPr>
          <w:rFonts w:ascii="Calibri" w:hAnsi="Calibri" w:cs="Calibri"/>
          <w:i/>
          <w:iCs/>
          <w:color w:val="000000"/>
        </w:rPr>
        <w:t>Racing Act 1999</w:t>
      </w:r>
      <w:r>
        <w:rPr>
          <w:rFonts w:ascii="Calibri" w:hAnsi="Calibri" w:cs="Calibri"/>
          <w:color w:val="000000"/>
        </w:rPr>
        <w:t>.  Included in the first instrument mentioned above is the appointment of a president and deputy president of the Tribunal.</w:t>
      </w:r>
    </w:p>
    <w:p w14:paraId="4775682B" w14:textId="06A6C41C" w:rsidR="00833E3C" w:rsidRDefault="00833E3C" w:rsidP="00833E3C">
      <w:pPr>
        <w:widowControl w:val="0"/>
        <w:tabs>
          <w:tab w:val="left" w:pos="1276"/>
        </w:tabs>
        <w:rPr>
          <w:rFonts w:ascii="Calibri" w:hAnsi="Calibri" w:cs="Calibri"/>
          <w:color w:val="000000"/>
        </w:rPr>
      </w:pPr>
      <w:r>
        <w:rPr>
          <w:rFonts w:ascii="Calibri" w:hAnsi="Calibri" w:cs="Calibri"/>
          <w:color w:val="000000"/>
        </w:rPr>
        <w:t>The Committee notes, with approval, that the explanatory statement for the first instrument addresses the requirement in sub-item 1.1(2) of Schedule 1 to the Racing Act that the president and deputy preside</w:t>
      </w:r>
      <w:r w:rsidR="003F1627">
        <w:rPr>
          <w:rFonts w:ascii="Calibri" w:hAnsi="Calibri" w:cs="Calibri"/>
          <w:color w:val="000000"/>
        </w:rPr>
        <w:t>nt be lawyers of not less than five</w:t>
      </w:r>
      <w:r>
        <w:rPr>
          <w:rFonts w:ascii="Calibri" w:hAnsi="Calibri" w:cs="Calibri"/>
          <w:color w:val="000000"/>
        </w:rPr>
        <w:t xml:space="preserve"> years standing.  The Committee also notes, with approval, that the explanatory statements for both instruments address, for all the specified persons, the ineligibility issues set out in sub-item 1.1(3) of Schedule 1.</w:t>
      </w:r>
    </w:p>
    <w:p w14:paraId="7E2A0598" w14:textId="77777777" w:rsidR="00833E3C" w:rsidRPr="0051101D" w:rsidRDefault="00833E3C" w:rsidP="000D3223">
      <w:pPr>
        <w:keepLines/>
        <w:widowControl w:val="0"/>
        <w:tabs>
          <w:tab w:val="left" w:pos="1276"/>
        </w:tabs>
        <w:rPr>
          <w:rFonts w:ascii="Calibri" w:hAnsi="Calibri" w:cs="Calibri"/>
          <w:color w:val="000000"/>
          <w:lang w:val="en-US"/>
        </w:rPr>
      </w:pPr>
      <w:bookmarkStart w:id="536" w:name="_Hlk83125062"/>
      <w:r w:rsidRPr="0051101D">
        <w:rPr>
          <w:rFonts w:ascii="Calibri" w:hAnsi="Calibri" w:cs="Calibri"/>
          <w:color w:val="000000"/>
          <w:lang w:val="en-US"/>
        </w:rPr>
        <w:lastRenderedPageBreak/>
        <w:t xml:space="preserve">The </w:t>
      </w:r>
      <w:r>
        <w:rPr>
          <w:rFonts w:ascii="Calibri" w:hAnsi="Calibri" w:cs="Calibri"/>
          <w:color w:val="000000"/>
          <w:lang w:val="en-US"/>
        </w:rPr>
        <w:t xml:space="preserve">Committee notes that the various </w:t>
      </w:r>
      <w:r w:rsidRPr="0051101D">
        <w:rPr>
          <w:rFonts w:ascii="Calibri" w:hAnsi="Calibri" w:cs="Calibri"/>
          <w:color w:val="000000"/>
          <w:lang w:val="en-US"/>
        </w:rPr>
        <w:t>appointment</w:t>
      </w:r>
      <w:r>
        <w:rPr>
          <w:rFonts w:ascii="Calibri" w:hAnsi="Calibri" w:cs="Calibri"/>
          <w:color w:val="000000"/>
          <w:lang w:val="en-US"/>
        </w:rPr>
        <w:t>s are</w:t>
      </w:r>
      <w:r w:rsidRPr="0051101D">
        <w:rPr>
          <w:rFonts w:ascii="Calibri" w:hAnsi="Calibri" w:cs="Calibri"/>
          <w:color w:val="000000"/>
          <w:lang w:val="en-US"/>
        </w:rPr>
        <w:t xml:space="preserve"> made by disallowable instrument, bringing </w:t>
      </w:r>
      <w:r>
        <w:rPr>
          <w:rFonts w:ascii="Calibri" w:hAnsi="Calibri" w:cs="Calibri"/>
          <w:color w:val="000000"/>
          <w:lang w:val="en-US"/>
        </w:rPr>
        <w:t xml:space="preserve">the instruments in question </w:t>
      </w:r>
      <w:r w:rsidRPr="0051101D">
        <w:rPr>
          <w:rFonts w:ascii="Calibri" w:hAnsi="Calibri" w:cs="Calibri"/>
          <w:color w:val="000000"/>
          <w:lang w:val="en-US"/>
        </w:rPr>
        <w:t>within the Committee’s scrutiny role.</w:t>
      </w:r>
    </w:p>
    <w:p w14:paraId="2D259F77" w14:textId="77777777" w:rsidR="00833E3C" w:rsidRPr="0051101D" w:rsidRDefault="00833E3C" w:rsidP="00833E3C">
      <w:pPr>
        <w:keepLines/>
        <w:rPr>
          <w:rFonts w:ascii="Calibri" w:eastAsia="Calibri" w:hAnsi="Calibri" w:cs="Calibri"/>
          <w:lang w:val="en-US"/>
        </w:rPr>
      </w:pPr>
      <w:r w:rsidRPr="0051101D">
        <w:rPr>
          <w:rFonts w:ascii="Calibri" w:eastAsia="Calibri" w:hAnsi="Calibri" w:cs="Calibri"/>
          <w:lang w:val="en-US"/>
        </w:rPr>
        <w:t xml:space="preserve">The Committee notes that section 227 of the </w:t>
      </w:r>
      <w:r w:rsidRPr="0051101D">
        <w:rPr>
          <w:rFonts w:ascii="Calibri" w:eastAsia="Calibri" w:hAnsi="Calibri" w:cs="Calibri"/>
          <w:i/>
          <w:lang w:val="en-US"/>
        </w:rPr>
        <w:t>Legislation Act 2001</w:t>
      </w:r>
      <w:r w:rsidRPr="0051101D">
        <w:rPr>
          <w:rFonts w:ascii="Calibri" w:eastAsia="Calibri" w:hAnsi="Calibri" w:cs="Calibri"/>
          <w:lang w:val="en-US"/>
        </w:rPr>
        <w:t xml:space="preserve"> deals generally with the making of appointments to statutory positions by Ministers.  It provides:</w:t>
      </w:r>
    </w:p>
    <w:p w14:paraId="17636CD4" w14:textId="77777777" w:rsidR="00833E3C" w:rsidRPr="0051101D" w:rsidRDefault="00833E3C" w:rsidP="00833E3C">
      <w:pPr>
        <w:keepNext/>
        <w:keepLines/>
        <w:tabs>
          <w:tab w:val="left" w:pos="1350"/>
        </w:tabs>
        <w:ind w:left="1354" w:hanging="994"/>
        <w:rPr>
          <w:rFonts w:ascii="Calibri" w:eastAsia="Calibri" w:hAnsi="Calibri" w:cs="Calibri"/>
          <w:b/>
          <w:lang w:val="en-US"/>
        </w:rPr>
      </w:pPr>
      <w:r w:rsidRPr="0051101D">
        <w:rPr>
          <w:rFonts w:ascii="Calibri" w:eastAsia="Calibri" w:hAnsi="Calibri" w:cs="Calibri"/>
          <w:b/>
          <w:lang w:val="en-US"/>
        </w:rPr>
        <w:t>227</w:t>
      </w:r>
      <w:r w:rsidRPr="0051101D">
        <w:rPr>
          <w:rFonts w:ascii="Calibri" w:eastAsia="Calibri" w:hAnsi="Calibri" w:cs="Calibri"/>
          <w:b/>
          <w:lang w:val="en-US"/>
        </w:rPr>
        <w:tab/>
        <w:t>Application—div 19.3.3</w:t>
      </w:r>
    </w:p>
    <w:p w14:paraId="5C52B743" w14:textId="77777777" w:rsidR="00833E3C" w:rsidRPr="0051101D" w:rsidRDefault="00833E3C" w:rsidP="005D6E99">
      <w:pPr>
        <w:keepLines/>
        <w:numPr>
          <w:ilvl w:val="0"/>
          <w:numId w:val="26"/>
        </w:numPr>
        <w:tabs>
          <w:tab w:val="left" w:pos="810"/>
          <w:tab w:val="left" w:pos="1350"/>
        </w:tabs>
        <w:ind w:hanging="547"/>
        <w:rPr>
          <w:rFonts w:ascii="Calibri" w:eastAsia="Calibri" w:hAnsi="Calibri" w:cs="Calibri"/>
        </w:rPr>
      </w:pPr>
      <w:r w:rsidRPr="0051101D">
        <w:rPr>
          <w:rFonts w:ascii="Calibri" w:eastAsia="Calibri" w:hAnsi="Calibri" w:cs="Calibri"/>
        </w:rPr>
        <w:t>This division applies if a Minister has the power under an Act to appoint a person to a statutory position.</w:t>
      </w:r>
    </w:p>
    <w:p w14:paraId="6C4D72A8" w14:textId="77777777" w:rsidR="00833E3C" w:rsidRPr="0051101D" w:rsidRDefault="00833E3C" w:rsidP="005D6E99">
      <w:pPr>
        <w:keepLines/>
        <w:numPr>
          <w:ilvl w:val="0"/>
          <w:numId w:val="26"/>
        </w:numPr>
        <w:tabs>
          <w:tab w:val="left" w:pos="810"/>
          <w:tab w:val="left" w:pos="1350"/>
        </w:tabs>
        <w:ind w:hanging="547"/>
        <w:rPr>
          <w:rFonts w:ascii="Calibri" w:eastAsia="Calibri" w:hAnsi="Calibri" w:cs="Calibri"/>
        </w:rPr>
      </w:pPr>
      <w:r w:rsidRPr="0051101D">
        <w:rPr>
          <w:rFonts w:ascii="Calibri" w:eastAsia="Calibri" w:hAnsi="Calibri" w:cs="Calibri"/>
        </w:rPr>
        <w:t>However, this division does not apply to an appointment of—</w:t>
      </w:r>
    </w:p>
    <w:p w14:paraId="723497C1" w14:textId="77777777" w:rsidR="00833E3C" w:rsidRPr="0051101D" w:rsidRDefault="00833E3C" w:rsidP="005D6E99">
      <w:pPr>
        <w:numPr>
          <w:ilvl w:val="1"/>
          <w:numId w:val="26"/>
        </w:numPr>
        <w:tabs>
          <w:tab w:val="left" w:pos="0"/>
          <w:tab w:val="left" w:pos="1350"/>
        </w:tabs>
        <w:ind w:left="1890"/>
        <w:rPr>
          <w:rFonts w:ascii="Calibri" w:hAnsi="Calibri" w:cs="Calibri"/>
        </w:rPr>
      </w:pPr>
      <w:r w:rsidRPr="0051101D">
        <w:rPr>
          <w:rFonts w:ascii="Calibri" w:hAnsi="Calibri" w:cs="Calibri"/>
        </w:rPr>
        <w:t>a public servant to a statutory position (whether or not the Act under which the appointment is made requires that the appointee be a public servant); or</w:t>
      </w:r>
    </w:p>
    <w:p w14:paraId="66AEC9B6" w14:textId="77777777" w:rsidR="00833E3C" w:rsidRPr="0051101D" w:rsidRDefault="00833E3C" w:rsidP="005D6E99">
      <w:pPr>
        <w:numPr>
          <w:ilvl w:val="1"/>
          <w:numId w:val="26"/>
        </w:numPr>
        <w:tabs>
          <w:tab w:val="left" w:pos="0"/>
          <w:tab w:val="left" w:pos="1350"/>
        </w:tabs>
        <w:ind w:left="1890"/>
        <w:rPr>
          <w:rFonts w:ascii="Calibri" w:hAnsi="Calibri" w:cs="Calibri"/>
        </w:rPr>
      </w:pPr>
      <w:r w:rsidRPr="0051101D">
        <w:rPr>
          <w:rFonts w:ascii="Calibri" w:hAnsi="Calibri" w:cs="Calibri"/>
        </w:rPr>
        <w:t>a person to, or to act in, a statutory position for not longer than 6 months, unless the appointment is of the person to, or to act in, the position for a 2nd or subsequent consecutive period; or</w:t>
      </w:r>
    </w:p>
    <w:p w14:paraId="5A7D3C08" w14:textId="77777777" w:rsidR="00833E3C" w:rsidRPr="0051101D" w:rsidRDefault="00833E3C" w:rsidP="005D6E99">
      <w:pPr>
        <w:numPr>
          <w:ilvl w:val="1"/>
          <w:numId w:val="26"/>
        </w:numPr>
        <w:tabs>
          <w:tab w:val="left" w:pos="0"/>
          <w:tab w:val="left" w:pos="1350"/>
        </w:tabs>
        <w:ind w:left="1890"/>
        <w:rPr>
          <w:rFonts w:ascii="Calibri" w:hAnsi="Calibri" w:cs="Calibri"/>
        </w:rPr>
      </w:pPr>
      <w:proofErr w:type="gramStart"/>
      <w:r w:rsidRPr="0051101D">
        <w:rPr>
          <w:rFonts w:ascii="Calibri" w:hAnsi="Calibri" w:cs="Calibri"/>
        </w:rPr>
        <w:t>a</w:t>
      </w:r>
      <w:proofErr w:type="gramEnd"/>
      <w:r w:rsidRPr="0051101D">
        <w:rPr>
          <w:rFonts w:ascii="Calibri" w:hAnsi="Calibri" w:cs="Calibri"/>
        </w:rPr>
        <w:t xml:space="preserve"> person to a statutory position if the only function of the position is to advise the Minister.</w:t>
      </w:r>
    </w:p>
    <w:p w14:paraId="1174F4D9" w14:textId="77777777" w:rsidR="00833E3C" w:rsidRPr="0051101D" w:rsidRDefault="00833E3C" w:rsidP="00833E3C">
      <w:pPr>
        <w:keepLines/>
        <w:rPr>
          <w:rFonts w:ascii="Calibri" w:eastAsia="Calibri" w:hAnsi="Calibri" w:cs="Calibri"/>
          <w:lang w:val="en-US"/>
        </w:rPr>
      </w:pPr>
      <w:r w:rsidRPr="0051101D">
        <w:rPr>
          <w:rFonts w:ascii="Calibri" w:eastAsia="Calibri" w:hAnsi="Calibri" w:cs="Calibri"/>
          <w:lang w:val="en-US"/>
        </w:rPr>
        <w:t xml:space="preserve">In the light of paragraph 227(2)(a) of the </w:t>
      </w:r>
      <w:r w:rsidRPr="00861B17">
        <w:rPr>
          <w:rFonts w:ascii="Calibri" w:eastAsia="Calibri" w:hAnsi="Calibri" w:cs="Calibri"/>
          <w:lang w:val="en-US"/>
        </w:rPr>
        <w:t>Legislation Act</w:t>
      </w:r>
      <w:r w:rsidRPr="0051101D">
        <w:rPr>
          <w:rFonts w:ascii="Calibri" w:eastAsia="Calibri" w:hAnsi="Calibri" w:cs="Calibri"/>
          <w:lang w:val="en-US"/>
        </w:rPr>
        <w:t xml:space="preserve">, the Committee has consistently maintained that instruments of appointment should clearly state that the </w:t>
      </w:r>
      <w:r>
        <w:rPr>
          <w:rFonts w:ascii="Calibri" w:eastAsia="Calibri" w:hAnsi="Calibri" w:cs="Calibri"/>
          <w:lang w:val="en-US"/>
        </w:rPr>
        <w:t xml:space="preserve">relevant </w:t>
      </w:r>
      <w:r w:rsidRPr="0051101D">
        <w:rPr>
          <w:rFonts w:ascii="Calibri" w:eastAsia="Calibri" w:hAnsi="Calibri" w:cs="Calibri"/>
          <w:lang w:val="en-US"/>
        </w:rPr>
        <w:t xml:space="preserve">appointee is </w:t>
      </w:r>
      <w:r w:rsidRPr="0051101D">
        <w:rPr>
          <w:rFonts w:ascii="Calibri" w:eastAsia="Calibri" w:hAnsi="Calibri" w:cs="Calibri"/>
          <w:u w:val="single"/>
          <w:lang w:val="en-US"/>
        </w:rPr>
        <w:t>not</w:t>
      </w:r>
      <w:r w:rsidRPr="0051101D">
        <w:rPr>
          <w:rFonts w:ascii="Calibri" w:eastAsia="Calibri" w:hAnsi="Calibri" w:cs="Calibri"/>
          <w:lang w:val="en-US"/>
        </w:rPr>
        <w:t xml:space="preserve"> a public servant, in order to make clear that, in fact, the appointment should be made by way of disallowable instrument. In its document titled</w:t>
      </w:r>
      <w:r w:rsidRPr="00020720">
        <w:rPr>
          <w:rFonts w:ascii="Calibri" w:eastAsia="Calibri" w:hAnsi="Calibri" w:cs="Calibri"/>
          <w:color w:val="2F5496" w:themeColor="accent5" w:themeShade="BF"/>
          <w:lang w:val="en-US"/>
        </w:rPr>
        <w:t xml:space="preserve"> </w:t>
      </w:r>
      <w:hyperlink r:id="rId24" w:history="1">
        <w:r w:rsidRPr="00020720">
          <w:rPr>
            <w:rFonts w:ascii="Calibri" w:eastAsia="Calibri" w:hAnsi="Calibri" w:cs="Calibri"/>
            <w:i/>
            <w:color w:val="3657D2"/>
            <w:lang w:val="en-US"/>
          </w:rPr>
          <w:t>Subordinate legislation—Technical and stylistic standards—Tips/Traps</w:t>
        </w:r>
      </w:hyperlink>
      <w:r w:rsidRPr="0051101D">
        <w:rPr>
          <w:rFonts w:ascii="Calibri" w:eastAsia="Calibri" w:hAnsi="Calibri" w:cs="Calibri"/>
          <w:color w:val="000000"/>
          <w:lang w:val="en-US"/>
        </w:rPr>
        <w:t>,</w:t>
      </w:r>
      <w:r w:rsidRPr="0051101D">
        <w:rPr>
          <w:rFonts w:ascii="Calibri" w:eastAsia="Calibri" w:hAnsi="Calibri" w:cs="Calibri"/>
          <w:vertAlign w:val="superscript"/>
          <w:lang w:val="en-US"/>
        </w:rPr>
        <w:footnoteReference w:id="1"/>
      </w:r>
      <w:r w:rsidRPr="0051101D">
        <w:rPr>
          <w:rFonts w:ascii="Calibri" w:eastAsia="Calibri" w:hAnsi="Calibri" w:cs="Calibri"/>
          <w:lang w:val="en-US"/>
        </w:rPr>
        <w:t xml:space="preserve"> the Committee stated:</w:t>
      </w:r>
    </w:p>
    <w:p w14:paraId="4EE1D890" w14:textId="77777777" w:rsidR="00833E3C" w:rsidRPr="0051101D" w:rsidRDefault="00833E3C" w:rsidP="00833E3C">
      <w:pPr>
        <w:keepLines/>
        <w:ind w:left="360"/>
        <w:rPr>
          <w:rFonts w:ascii="Calibri" w:eastAsia="Calibri" w:hAnsi="Calibri" w:cs="Calibri"/>
          <w:lang w:val="en-US"/>
        </w:rPr>
      </w:pPr>
      <w:r w:rsidRPr="0051101D">
        <w:rPr>
          <w:rFonts w:ascii="Calibri" w:eastAsia="Calibri" w:hAnsi="Calibri" w:cs="Calibri"/>
          <w:lang w:val="en-US"/>
        </w:rPr>
        <w:t>Under paragraph 227(2</w:t>
      </w:r>
      <w:proofErr w:type="gramStart"/>
      <w:r w:rsidRPr="0051101D">
        <w:rPr>
          <w:rFonts w:ascii="Calibri" w:eastAsia="Calibri" w:hAnsi="Calibri" w:cs="Calibri"/>
          <w:lang w:val="en-US"/>
        </w:rPr>
        <w:t>)(</w:t>
      </w:r>
      <w:proofErr w:type="gramEnd"/>
      <w:r w:rsidRPr="0051101D">
        <w:rPr>
          <w:rFonts w:ascii="Calibri" w:eastAsia="Calibri" w:hAnsi="Calibri" w:cs="Calibri"/>
          <w:lang w:val="en-US"/>
        </w:rPr>
        <w:t xml:space="preserve">a) of the </w:t>
      </w:r>
      <w:r w:rsidRPr="0051101D">
        <w:rPr>
          <w:rFonts w:ascii="Calibri" w:eastAsia="Calibri" w:hAnsi="Calibri" w:cs="Calibri"/>
          <w:i/>
          <w:lang w:val="en-US"/>
        </w:rPr>
        <w:t>Legislation Act 2001</w:t>
      </w:r>
      <w:r w:rsidRPr="0051101D">
        <w:rPr>
          <w:rFonts w:ascii="Calibri" w:eastAsia="Calibri" w:hAnsi="Calibri" w:cs="Calibri"/>
          <w:lang w:val="en-US"/>
        </w:rPr>
        <w:t>, an instrument of appointment is not disallowable if it appoints a public servant. As a result, it assists the Committee (and the Legislative Assembly), if the explanatory statement for an instrument of appointment contains a statement to the effect that “the person appointed is not a public servant”.</w:t>
      </w:r>
    </w:p>
    <w:p w14:paraId="493DDAD6" w14:textId="77777777" w:rsidR="00833E3C" w:rsidRPr="0051101D" w:rsidRDefault="00833E3C" w:rsidP="00833E3C">
      <w:pPr>
        <w:keepLines/>
        <w:rPr>
          <w:rFonts w:ascii="Calibri" w:eastAsia="Calibri" w:hAnsi="Calibri" w:cs="Calibri"/>
          <w:lang w:val="en-US"/>
        </w:rPr>
      </w:pPr>
      <w:r w:rsidRPr="0051101D">
        <w:rPr>
          <w:rFonts w:ascii="Calibri" w:eastAsia="Calibri" w:hAnsi="Calibri" w:cs="Calibri"/>
          <w:lang w:val="en-US"/>
        </w:rPr>
        <w:t>The Committee notes that the explanatory statement</w:t>
      </w:r>
      <w:r>
        <w:rPr>
          <w:rFonts w:ascii="Calibri" w:eastAsia="Calibri" w:hAnsi="Calibri" w:cs="Calibri"/>
          <w:lang w:val="en-US"/>
        </w:rPr>
        <w:t>s</w:t>
      </w:r>
      <w:r w:rsidRPr="0051101D">
        <w:rPr>
          <w:rFonts w:ascii="Calibri" w:eastAsia="Calibri" w:hAnsi="Calibri" w:cs="Calibri"/>
          <w:lang w:val="en-US"/>
        </w:rPr>
        <w:t xml:space="preserve"> for the instrument</w:t>
      </w:r>
      <w:r>
        <w:rPr>
          <w:rFonts w:ascii="Calibri" w:eastAsia="Calibri" w:hAnsi="Calibri" w:cs="Calibri"/>
          <w:lang w:val="en-US"/>
        </w:rPr>
        <w:t>s</w:t>
      </w:r>
      <w:r w:rsidRPr="0051101D">
        <w:rPr>
          <w:rFonts w:ascii="Calibri" w:eastAsia="Calibri" w:hAnsi="Calibri" w:cs="Calibri"/>
          <w:lang w:val="en-US"/>
        </w:rPr>
        <w:t xml:space="preserve"> mentioned above contain no such statement.</w:t>
      </w:r>
    </w:p>
    <w:p w14:paraId="65012B5E" w14:textId="77777777" w:rsidR="00833E3C" w:rsidRPr="0051101D" w:rsidRDefault="00833E3C" w:rsidP="00833E3C">
      <w:pPr>
        <w:keepLines/>
        <w:rPr>
          <w:rFonts w:ascii="Calibri" w:eastAsia="Calibri" w:hAnsi="Calibri" w:cs="Calibri"/>
          <w:b/>
          <w:lang w:val="en-US"/>
        </w:rPr>
      </w:pPr>
      <w:bookmarkStart w:id="537" w:name="_Hlk15381749"/>
      <w:r w:rsidRPr="0051101D">
        <w:rPr>
          <w:rFonts w:ascii="Calibri" w:eastAsia="Calibri" w:hAnsi="Calibri" w:cs="Calibri"/>
          <w:b/>
          <w:lang w:val="en-US"/>
        </w:rPr>
        <w:t>The Committee draws the attention of the Legislative Assembly to the instrument</w:t>
      </w:r>
      <w:r>
        <w:rPr>
          <w:rFonts w:ascii="Calibri" w:eastAsia="Calibri" w:hAnsi="Calibri" w:cs="Calibri"/>
          <w:b/>
          <w:lang w:val="en-US"/>
        </w:rPr>
        <w:t>s</w:t>
      </w:r>
      <w:r w:rsidRPr="0051101D">
        <w:rPr>
          <w:rFonts w:ascii="Calibri" w:eastAsia="Calibri" w:hAnsi="Calibri" w:cs="Calibri"/>
          <w:b/>
          <w:lang w:val="en-US"/>
        </w:rPr>
        <w:t xml:space="preserve"> mentioned above, under principle (10</w:t>
      </w:r>
      <w:proofErr w:type="gramStart"/>
      <w:r w:rsidRPr="0051101D">
        <w:rPr>
          <w:rFonts w:ascii="Calibri" w:eastAsia="Calibri" w:hAnsi="Calibri" w:cs="Calibri"/>
          <w:b/>
          <w:lang w:val="en-US"/>
        </w:rPr>
        <w:t>)(</w:t>
      </w:r>
      <w:proofErr w:type="gramEnd"/>
      <w:r w:rsidRPr="0051101D">
        <w:rPr>
          <w:rFonts w:ascii="Calibri" w:eastAsia="Calibri" w:hAnsi="Calibri" w:cs="Calibri"/>
          <w:b/>
          <w:lang w:val="en-US"/>
        </w:rPr>
        <w:t>d) of the Committee’s terms of reference, on the basis that the explanatory statement</w:t>
      </w:r>
      <w:r>
        <w:rPr>
          <w:rFonts w:ascii="Calibri" w:eastAsia="Calibri" w:hAnsi="Calibri" w:cs="Calibri"/>
          <w:b/>
          <w:lang w:val="en-US"/>
        </w:rPr>
        <w:t>s</w:t>
      </w:r>
      <w:r w:rsidRPr="0051101D">
        <w:rPr>
          <w:rFonts w:ascii="Calibri" w:eastAsia="Calibri" w:hAnsi="Calibri" w:cs="Calibri"/>
          <w:b/>
          <w:lang w:val="en-US"/>
        </w:rPr>
        <w:t xml:space="preserve"> for the instrument</w:t>
      </w:r>
      <w:r>
        <w:rPr>
          <w:rFonts w:ascii="Calibri" w:eastAsia="Calibri" w:hAnsi="Calibri" w:cs="Calibri"/>
          <w:b/>
          <w:lang w:val="en-US"/>
        </w:rPr>
        <w:t>s</w:t>
      </w:r>
      <w:r w:rsidRPr="0051101D">
        <w:rPr>
          <w:rFonts w:ascii="Calibri" w:eastAsia="Calibri" w:hAnsi="Calibri" w:cs="Calibri"/>
          <w:b/>
          <w:lang w:val="en-US"/>
        </w:rPr>
        <w:t xml:space="preserve"> do not meet the technical or stylistic standards expected by the Committee.</w:t>
      </w:r>
    </w:p>
    <w:bookmarkEnd w:id="537"/>
    <w:p w14:paraId="78E99700" w14:textId="77777777" w:rsidR="00833E3C" w:rsidRDefault="00833E3C" w:rsidP="00833E3C">
      <w:pPr>
        <w:widowControl w:val="0"/>
        <w:tabs>
          <w:tab w:val="left" w:pos="1276"/>
        </w:tabs>
        <w:rPr>
          <w:rFonts w:ascii="Calibri" w:hAnsi="Calibri" w:cs="Calibri"/>
          <w:b/>
          <w:bCs/>
          <w:color w:val="000000"/>
          <w:lang w:val="en-US"/>
        </w:rPr>
      </w:pPr>
      <w:r w:rsidRPr="0051101D">
        <w:rPr>
          <w:rFonts w:ascii="Calibri" w:hAnsi="Calibri" w:cs="Calibri"/>
          <w:b/>
          <w:bCs/>
          <w:color w:val="000000"/>
          <w:lang w:val="en-US"/>
        </w:rPr>
        <w:t>The Committee seeks the Minister’s confirmation that the person</w:t>
      </w:r>
      <w:r>
        <w:rPr>
          <w:rFonts w:ascii="Calibri" w:hAnsi="Calibri" w:cs="Calibri"/>
          <w:b/>
          <w:bCs/>
          <w:color w:val="000000"/>
          <w:lang w:val="en-US"/>
        </w:rPr>
        <w:t>s</w:t>
      </w:r>
      <w:r w:rsidRPr="0051101D">
        <w:rPr>
          <w:rFonts w:ascii="Calibri" w:hAnsi="Calibri" w:cs="Calibri"/>
          <w:b/>
          <w:bCs/>
          <w:color w:val="000000"/>
          <w:lang w:val="en-US"/>
        </w:rPr>
        <w:t xml:space="preserve"> appointed by the instrument</w:t>
      </w:r>
      <w:r>
        <w:rPr>
          <w:rFonts w:ascii="Calibri" w:hAnsi="Calibri" w:cs="Calibri"/>
          <w:b/>
          <w:bCs/>
          <w:color w:val="000000"/>
          <w:lang w:val="en-US"/>
        </w:rPr>
        <w:t>s</w:t>
      </w:r>
      <w:r w:rsidRPr="0051101D">
        <w:rPr>
          <w:rFonts w:ascii="Calibri" w:hAnsi="Calibri" w:cs="Calibri"/>
          <w:b/>
          <w:bCs/>
          <w:color w:val="000000"/>
          <w:lang w:val="en-US"/>
        </w:rPr>
        <w:t xml:space="preserve"> mentioned above </w:t>
      </w:r>
      <w:r>
        <w:rPr>
          <w:rFonts w:ascii="Calibri" w:hAnsi="Calibri" w:cs="Calibri"/>
          <w:b/>
          <w:bCs/>
          <w:color w:val="000000"/>
          <w:lang w:val="en-US"/>
        </w:rPr>
        <w:t>are</w:t>
      </w:r>
      <w:r w:rsidRPr="0051101D">
        <w:rPr>
          <w:rFonts w:ascii="Calibri" w:hAnsi="Calibri" w:cs="Calibri"/>
          <w:b/>
          <w:bCs/>
          <w:color w:val="000000"/>
          <w:lang w:val="en-US"/>
        </w:rPr>
        <w:t xml:space="preserve"> </w:t>
      </w:r>
      <w:r w:rsidRPr="0051101D">
        <w:rPr>
          <w:rFonts w:ascii="Calibri" w:hAnsi="Calibri" w:cs="Calibri"/>
          <w:b/>
          <w:bCs/>
          <w:color w:val="000000"/>
          <w:u w:val="single"/>
          <w:lang w:val="en-US"/>
        </w:rPr>
        <w:t>not</w:t>
      </w:r>
      <w:r w:rsidRPr="0051101D">
        <w:rPr>
          <w:rFonts w:ascii="Calibri" w:hAnsi="Calibri" w:cs="Calibri"/>
          <w:b/>
          <w:bCs/>
          <w:color w:val="000000"/>
          <w:lang w:val="en-US"/>
        </w:rPr>
        <w:t xml:space="preserve"> public servant</w:t>
      </w:r>
      <w:r>
        <w:rPr>
          <w:rFonts w:ascii="Calibri" w:hAnsi="Calibri" w:cs="Calibri"/>
          <w:b/>
          <w:bCs/>
          <w:color w:val="000000"/>
          <w:lang w:val="en-US"/>
        </w:rPr>
        <w:t>s</w:t>
      </w:r>
      <w:r w:rsidRPr="0051101D">
        <w:rPr>
          <w:rFonts w:ascii="Calibri" w:hAnsi="Calibri" w:cs="Calibri"/>
          <w:b/>
          <w:bCs/>
          <w:color w:val="000000"/>
          <w:lang w:val="en-US"/>
        </w:rPr>
        <w:t>.</w:t>
      </w:r>
    </w:p>
    <w:p w14:paraId="3452E3BF" w14:textId="109FFEFD" w:rsidR="00833E3C" w:rsidRDefault="00833E3C" w:rsidP="00833E3C">
      <w:pPr>
        <w:widowControl w:val="0"/>
        <w:tabs>
          <w:tab w:val="left" w:pos="1276"/>
        </w:tabs>
        <w:rPr>
          <w:rFonts w:ascii="Calibri" w:hAnsi="Calibri" w:cs="Calibri"/>
          <w:b/>
          <w:bCs/>
          <w:color w:val="000000"/>
          <w:lang w:val="en-US"/>
        </w:rPr>
      </w:pPr>
      <w:r>
        <w:rPr>
          <w:rFonts w:ascii="Calibri" w:hAnsi="Calibri" w:cs="Calibri"/>
          <w:b/>
          <w:bCs/>
          <w:color w:val="000000"/>
          <w:lang w:val="en-US"/>
        </w:rPr>
        <w:t>This comment requires a response from the Minister.</w:t>
      </w:r>
      <w:r w:rsidRPr="00672739">
        <w:rPr>
          <w:rFonts w:ascii="Calibri" w:hAnsi="Calibri" w:cs="Calibri"/>
          <w:b/>
          <w:bCs/>
          <w:color w:val="000000"/>
          <w:lang w:val="en-US"/>
        </w:rPr>
        <w:t xml:space="preserve"> The Committee would be grateful if the Minister could respond </w:t>
      </w:r>
      <w:r w:rsidR="0005767A">
        <w:rPr>
          <w:rFonts w:ascii="Calibri" w:hAnsi="Calibri" w:cs="Calibri"/>
          <w:b/>
          <w:bCs/>
          <w:color w:val="000000"/>
          <w:lang w:val="en-US"/>
        </w:rPr>
        <w:t>before 11 November</w:t>
      </w:r>
      <w:r w:rsidR="00EE26AA">
        <w:rPr>
          <w:rFonts w:ascii="Calibri" w:hAnsi="Calibri" w:cs="Calibri"/>
          <w:b/>
          <w:bCs/>
          <w:color w:val="000000"/>
          <w:lang w:val="en-US"/>
        </w:rPr>
        <w:t xml:space="preserve"> 2021</w:t>
      </w:r>
      <w:r w:rsidRPr="00672739">
        <w:rPr>
          <w:rFonts w:ascii="Calibri" w:hAnsi="Calibri" w:cs="Calibri"/>
          <w:b/>
          <w:bCs/>
          <w:color w:val="000000"/>
          <w:lang w:val="en-US"/>
        </w:rPr>
        <w:t xml:space="preserve">, when the Legislative Assembly’s capacity to move to disallow the </w:t>
      </w:r>
      <w:r>
        <w:rPr>
          <w:rFonts w:ascii="Calibri" w:hAnsi="Calibri" w:cs="Calibri"/>
          <w:b/>
          <w:bCs/>
          <w:color w:val="000000"/>
          <w:lang w:val="en-US"/>
        </w:rPr>
        <w:t>instruments</w:t>
      </w:r>
      <w:r w:rsidR="00EE26AA">
        <w:rPr>
          <w:rFonts w:ascii="Calibri" w:hAnsi="Calibri" w:cs="Calibri"/>
          <w:b/>
          <w:bCs/>
          <w:color w:val="000000"/>
          <w:lang w:val="en-US"/>
        </w:rPr>
        <w:t xml:space="preserve"> will expire.</w:t>
      </w:r>
    </w:p>
    <w:bookmarkEnd w:id="536"/>
    <w:p w14:paraId="652E2195" w14:textId="77777777" w:rsidR="00020720" w:rsidRPr="00BA1DB3" w:rsidRDefault="00020720" w:rsidP="00861B17">
      <w:pPr>
        <w:pStyle w:val="Heading4nonumber"/>
        <w:rPr>
          <w:sz w:val="22"/>
          <w:szCs w:val="22"/>
        </w:rPr>
      </w:pPr>
      <w:r w:rsidRPr="00BA1DB3">
        <w:rPr>
          <w:sz w:val="22"/>
          <w:szCs w:val="22"/>
        </w:rPr>
        <w:lastRenderedPageBreak/>
        <w:t>Human rights issues</w:t>
      </w:r>
    </w:p>
    <w:p w14:paraId="35CB3130" w14:textId="77777777" w:rsidR="00020720" w:rsidRPr="00842199" w:rsidRDefault="00020720" w:rsidP="005D6E99">
      <w:pPr>
        <w:pStyle w:val="Bodycopy"/>
        <w:keepNext/>
        <w:keepLines/>
        <w:numPr>
          <w:ilvl w:val="0"/>
          <w:numId w:val="25"/>
        </w:numPr>
        <w:tabs>
          <w:tab w:val="clear" w:pos="1276"/>
          <w:tab w:val="left" w:pos="360"/>
        </w:tabs>
        <w:spacing w:before="160" w:after="160" w:line="280" w:lineRule="exact"/>
        <w:rPr>
          <w:b/>
        </w:rPr>
      </w:pPr>
      <w:r>
        <w:rPr>
          <w:b/>
        </w:rPr>
        <w:t>Disallowable Instrument</w:t>
      </w:r>
      <w:r w:rsidRPr="00451C85">
        <w:rPr>
          <w:b/>
        </w:rPr>
        <w:t xml:space="preserve"> </w:t>
      </w:r>
      <w:r>
        <w:rPr>
          <w:b/>
        </w:rPr>
        <w:t>DI2021-188</w:t>
      </w:r>
      <w:r w:rsidRPr="00451C85">
        <w:rPr>
          <w:b/>
        </w:rPr>
        <w:t xml:space="preserve"> being the </w:t>
      </w:r>
      <w:r>
        <w:rPr>
          <w:b/>
        </w:rPr>
        <w:t xml:space="preserve">Road Transport (General) Application of Road Transport Legislation Declaration 2021 (No 7) made under section 13 of the </w:t>
      </w:r>
      <w:r>
        <w:rPr>
          <w:i/>
        </w:rPr>
        <w:t>Road Transport (General) Act 1999</w:t>
      </w:r>
      <w:r w:rsidRPr="00236BDD">
        <w:rPr>
          <w:b/>
        </w:rPr>
        <w:t xml:space="preserve"> </w:t>
      </w:r>
      <w:r>
        <w:rPr>
          <w:b/>
        </w:rPr>
        <w:t>provides that certain parts of the road transport legislation do not apply to a designated vehicle, or the driver of a designated vehicle, participating in a special stage of the Innate Motorsport Test Day.</w:t>
      </w:r>
    </w:p>
    <w:p w14:paraId="4F2AD308" w14:textId="77777777" w:rsidR="00020720" w:rsidRPr="00842199" w:rsidRDefault="00020720" w:rsidP="005D6E99">
      <w:pPr>
        <w:pStyle w:val="Bodycopy"/>
        <w:numPr>
          <w:ilvl w:val="0"/>
          <w:numId w:val="25"/>
        </w:numPr>
        <w:tabs>
          <w:tab w:val="clear" w:pos="1276"/>
          <w:tab w:val="left" w:pos="360"/>
        </w:tabs>
        <w:spacing w:before="160" w:after="160" w:line="280" w:lineRule="exact"/>
        <w:rPr>
          <w:b/>
        </w:rPr>
      </w:pPr>
      <w:r>
        <w:rPr>
          <w:b/>
        </w:rPr>
        <w:t>Disallowable Instrument</w:t>
      </w:r>
      <w:r w:rsidRPr="00451C85">
        <w:rPr>
          <w:b/>
        </w:rPr>
        <w:t xml:space="preserve"> </w:t>
      </w:r>
      <w:r>
        <w:rPr>
          <w:b/>
        </w:rPr>
        <w:t>DI2021-199</w:t>
      </w:r>
      <w:r w:rsidRPr="00451C85">
        <w:rPr>
          <w:b/>
        </w:rPr>
        <w:t xml:space="preserve"> being the </w:t>
      </w:r>
      <w:r>
        <w:rPr>
          <w:b/>
        </w:rPr>
        <w:t xml:space="preserve">Road Transport (General) Application of Road Transport Legislation Declaration 2021 (No 8) made under section 13 of the </w:t>
      </w:r>
      <w:r>
        <w:rPr>
          <w:i/>
        </w:rPr>
        <w:t>Road Transport (General) Act 1999</w:t>
      </w:r>
      <w:r w:rsidRPr="00236BDD">
        <w:rPr>
          <w:b/>
        </w:rPr>
        <w:t xml:space="preserve"> </w:t>
      </w:r>
      <w:r>
        <w:rPr>
          <w:b/>
        </w:rPr>
        <w:t>provides that certain parts of the road transport legislation do not apply to a designated vehicle, or the driver of a designated vehicle, participating in a special stage of the Innate Motorsport Test Day.</w:t>
      </w:r>
    </w:p>
    <w:p w14:paraId="38EEB685" w14:textId="77777777" w:rsidR="00020720" w:rsidRDefault="00020720" w:rsidP="00020720">
      <w:pPr>
        <w:widowControl w:val="0"/>
        <w:tabs>
          <w:tab w:val="left" w:pos="1276"/>
        </w:tabs>
        <w:rPr>
          <w:rFonts w:ascii="Calibri" w:hAnsi="Calibri" w:cs="Calibri"/>
          <w:color w:val="000000"/>
        </w:rPr>
      </w:pPr>
      <w:r>
        <w:rPr>
          <w:rFonts w:ascii="Calibri" w:hAnsi="Calibri" w:cs="Calibri"/>
          <w:color w:val="000000"/>
        </w:rPr>
        <w:t>The instruments mentioned above, both made under section 13 of the</w:t>
      </w:r>
      <w:r w:rsidRPr="00B51F05">
        <w:rPr>
          <w:rFonts w:ascii="Calibri" w:hAnsi="Calibri" w:cs="Calibri"/>
          <w:color w:val="000000"/>
        </w:rPr>
        <w:t xml:space="preserve"> </w:t>
      </w:r>
      <w:r w:rsidRPr="00B51F05">
        <w:rPr>
          <w:rFonts w:ascii="Calibri" w:hAnsi="Calibri" w:cs="Calibri"/>
          <w:i/>
          <w:iCs/>
          <w:color w:val="000000"/>
        </w:rPr>
        <w:t>Road Transport (General) Act 1999</w:t>
      </w:r>
      <w:r>
        <w:rPr>
          <w:rFonts w:ascii="Calibri" w:hAnsi="Calibri" w:cs="Calibri"/>
          <w:color w:val="000000"/>
        </w:rPr>
        <w:t>,</w:t>
      </w:r>
      <w:r w:rsidRPr="00B51F05">
        <w:rPr>
          <w:rFonts w:ascii="Calibri" w:hAnsi="Calibri" w:cs="Calibri"/>
          <w:i/>
          <w:iCs/>
          <w:color w:val="000000"/>
        </w:rPr>
        <w:t xml:space="preserve"> </w:t>
      </w:r>
      <w:r w:rsidRPr="00B51F05">
        <w:rPr>
          <w:rFonts w:ascii="Calibri" w:hAnsi="Calibri" w:cs="Calibri"/>
          <w:color w:val="000000"/>
        </w:rPr>
        <w:t>provides that certain parts of the road transport legislation do not apply to a designated vehicle, or the driver of a designated vehicle, participating in a special stage of the Innate Motorsport Test Day.</w:t>
      </w:r>
      <w:r>
        <w:rPr>
          <w:rFonts w:ascii="Calibri" w:hAnsi="Calibri" w:cs="Calibri"/>
          <w:color w:val="000000"/>
        </w:rPr>
        <w:t xml:space="preserve">  The first instrument mentioned above relates to an event that was scheduled for 15 July 2021.  The explanatory statement for the second instrument mentioned above indicates that that event was cancelled, due to weather conditions, and re-scheduled, for 28 July 2021.  Further, it indicates that the second instrument allows for further postponement and re-scheduling, up to 8 September 2021.</w:t>
      </w:r>
    </w:p>
    <w:p w14:paraId="38DCD346" w14:textId="1A00AB57" w:rsidR="00020720" w:rsidRDefault="00020720" w:rsidP="00020720">
      <w:pPr>
        <w:widowControl w:val="0"/>
        <w:tabs>
          <w:tab w:val="left" w:pos="1276"/>
        </w:tabs>
        <w:rPr>
          <w:rFonts w:ascii="Calibri" w:hAnsi="Calibri" w:cs="Calibri"/>
          <w:color w:val="000000"/>
        </w:rPr>
      </w:pPr>
      <w:r>
        <w:rPr>
          <w:rFonts w:ascii="Calibri" w:hAnsi="Calibri" w:cs="Calibri"/>
          <w:color w:val="000000"/>
        </w:rPr>
        <w:t xml:space="preserve">The Committee notes that, similar to the explanatory statements for similar instruments, relating to similar events, the explanatory statements for both instruments contain a discussion of potential human rights implications involved in the instruments.  In both instances, the human right in question is the right set out in section 13 of the </w:t>
      </w:r>
      <w:r>
        <w:rPr>
          <w:rFonts w:ascii="Calibri" w:hAnsi="Calibri" w:cs="Calibri"/>
          <w:i/>
          <w:iCs/>
          <w:color w:val="000000"/>
        </w:rPr>
        <w:t>Human Rights Act 2004</w:t>
      </w:r>
      <w:r w:rsidR="000D3223">
        <w:rPr>
          <w:rFonts w:ascii="Calibri" w:hAnsi="Calibri" w:cs="Calibri"/>
          <w:color w:val="000000"/>
        </w:rPr>
        <w:t>—</w:t>
      </w:r>
      <w:r>
        <w:rPr>
          <w:rFonts w:ascii="Calibri" w:hAnsi="Calibri" w:cs="Calibri"/>
          <w:color w:val="000000"/>
        </w:rPr>
        <w:t xml:space="preserve">the </w:t>
      </w:r>
      <w:r w:rsidRPr="007924D1">
        <w:rPr>
          <w:rFonts w:ascii="Calibri" w:hAnsi="Calibri" w:cs="Calibri"/>
          <w:color w:val="000000"/>
        </w:rPr>
        <w:t>right to move freely within the ACT</w:t>
      </w:r>
      <w:r>
        <w:rPr>
          <w:rFonts w:ascii="Calibri" w:hAnsi="Calibri" w:cs="Calibri"/>
          <w:color w:val="000000"/>
        </w:rPr>
        <w:t xml:space="preserve">.  The Committee notes that, in each case, the potential limitation of this right is explained and justified, by reference to section 28 of the Human Rights Act. </w:t>
      </w:r>
    </w:p>
    <w:p w14:paraId="0AA1FECC" w14:textId="77777777" w:rsidR="00020720" w:rsidRPr="002A3DCD" w:rsidRDefault="00020720" w:rsidP="00020720">
      <w:pPr>
        <w:pStyle w:val="Bodycopy"/>
        <w:spacing w:before="220" w:after="220" w:line="280" w:lineRule="exact"/>
        <w:rPr>
          <w:b/>
        </w:rPr>
      </w:pPr>
      <w:r w:rsidRPr="002A3DCD">
        <w:rPr>
          <w:b/>
        </w:rPr>
        <w:t>The Committee draws the attention of the Legislative Assembly to the discussion of human rights issues in the explanatory statements for the instruments mentioned above.</w:t>
      </w:r>
    </w:p>
    <w:p w14:paraId="03B88DD6" w14:textId="77777777" w:rsidR="00020720" w:rsidRPr="002A3DCD" w:rsidRDefault="00020720" w:rsidP="00020720">
      <w:pPr>
        <w:pStyle w:val="Bodycopy"/>
        <w:spacing w:before="220" w:after="220" w:line="280" w:lineRule="exact"/>
        <w:rPr>
          <w:b/>
        </w:rPr>
      </w:pPr>
      <w:r w:rsidRPr="002A3DCD">
        <w:rPr>
          <w:b/>
        </w:rPr>
        <w:t>This comment does not require a response from the Minister.</w:t>
      </w:r>
    </w:p>
    <w:p w14:paraId="3E217F99" w14:textId="77777777" w:rsidR="00FA7A2E" w:rsidRPr="00BA1DB3" w:rsidRDefault="00FA7A2E" w:rsidP="00861B17">
      <w:pPr>
        <w:pStyle w:val="Heading4nonumber"/>
        <w:rPr>
          <w:sz w:val="22"/>
          <w:szCs w:val="22"/>
        </w:rPr>
      </w:pPr>
      <w:r w:rsidRPr="00BA1DB3">
        <w:rPr>
          <w:sz w:val="22"/>
          <w:szCs w:val="22"/>
        </w:rPr>
        <w:t>COVID-19-related instrument / Retrospectivity</w:t>
      </w:r>
    </w:p>
    <w:p w14:paraId="2628DF09" w14:textId="77777777" w:rsidR="00FA7A2E" w:rsidRDefault="00FA7A2E" w:rsidP="005D6E99">
      <w:pPr>
        <w:pStyle w:val="Bodycopy"/>
        <w:numPr>
          <w:ilvl w:val="0"/>
          <w:numId w:val="25"/>
        </w:numPr>
        <w:tabs>
          <w:tab w:val="clear" w:pos="1276"/>
          <w:tab w:val="left" w:pos="360"/>
        </w:tabs>
        <w:spacing w:before="160" w:after="160" w:line="280" w:lineRule="exact"/>
        <w:rPr>
          <w:b/>
        </w:rPr>
      </w:pPr>
      <w:r>
        <w:rPr>
          <w:b/>
        </w:rPr>
        <w:t>Disallowable Instrument</w:t>
      </w:r>
      <w:r w:rsidRPr="00451C85">
        <w:rPr>
          <w:b/>
        </w:rPr>
        <w:t xml:space="preserve"> </w:t>
      </w:r>
      <w:r>
        <w:rPr>
          <w:b/>
        </w:rPr>
        <w:t>DI2021-189</w:t>
      </w:r>
      <w:r w:rsidRPr="00451C85">
        <w:rPr>
          <w:b/>
        </w:rPr>
        <w:t xml:space="preserve"> being the </w:t>
      </w:r>
      <w:r>
        <w:rPr>
          <w:b/>
        </w:rPr>
        <w:t xml:space="preserve">Liquor (COVID-19 Emergency Response—Permit Fee Waiver) Declaration 2021 (No 2) section 35 of the </w:t>
      </w:r>
      <w:r>
        <w:rPr>
          <w:i/>
        </w:rPr>
        <w:t>Liquor Regulation 2010</w:t>
      </w:r>
      <w:r w:rsidRPr="00236BDD">
        <w:rPr>
          <w:b/>
        </w:rPr>
        <w:t xml:space="preserve"> </w:t>
      </w:r>
      <w:r>
        <w:rPr>
          <w:b/>
        </w:rPr>
        <w:t>waives specified application fees to support licensees selling liquor for consumption on premises and liquor permit-holders with disrupted events for the period 1 July to 31 August 2021.</w:t>
      </w:r>
    </w:p>
    <w:p w14:paraId="09011691" w14:textId="53D115C3" w:rsidR="00FA7A2E" w:rsidRDefault="00FA7A2E" w:rsidP="00861B17">
      <w:pPr>
        <w:pStyle w:val="Bodycopy"/>
        <w:tabs>
          <w:tab w:val="clear" w:pos="1276"/>
          <w:tab w:val="left" w:pos="720"/>
        </w:tabs>
        <w:spacing w:before="220" w:after="220" w:line="280" w:lineRule="exact"/>
        <w:rPr>
          <w:bCs/>
        </w:rPr>
      </w:pPr>
      <w:r>
        <w:rPr>
          <w:bCs/>
        </w:rPr>
        <w:t xml:space="preserve">This instrument, made under section 35 of the </w:t>
      </w:r>
      <w:r>
        <w:rPr>
          <w:bCs/>
          <w:i/>
          <w:iCs/>
        </w:rPr>
        <w:t>Liquor Regulation 2010</w:t>
      </w:r>
      <w:r>
        <w:rPr>
          <w:bCs/>
        </w:rPr>
        <w:t xml:space="preserve">, waives certain application fees, for licensees under the </w:t>
      </w:r>
      <w:r>
        <w:rPr>
          <w:bCs/>
          <w:i/>
          <w:iCs/>
        </w:rPr>
        <w:t>Liquor Act 2010</w:t>
      </w:r>
      <w:r>
        <w:rPr>
          <w:bCs/>
        </w:rPr>
        <w:t xml:space="preserve">.  Section 35 of the Liquor Regulation expressly allows the Commissioner for Fair Trading to waive or reduce fees in relation to licences or permits, if the Commissioner </w:t>
      </w:r>
      <w:r w:rsidRPr="00E14D41">
        <w:rPr>
          <w:bCs/>
        </w:rPr>
        <w:t xml:space="preserve">considers </w:t>
      </w:r>
      <w:r>
        <w:rPr>
          <w:bCs/>
        </w:rPr>
        <w:t xml:space="preserve">that </w:t>
      </w:r>
      <w:r w:rsidRPr="00E14D41">
        <w:rPr>
          <w:bCs/>
        </w:rPr>
        <w:t xml:space="preserve">the waiver or reduction </w:t>
      </w:r>
      <w:r>
        <w:rPr>
          <w:bCs/>
        </w:rPr>
        <w:t>“</w:t>
      </w:r>
      <w:r w:rsidRPr="00E14D41">
        <w:rPr>
          <w:bCs/>
        </w:rPr>
        <w:t>is appropriate because of the financial impact of the COVID-19 emergency on the business carried on under the licence or permit</w:t>
      </w:r>
      <w:r>
        <w:rPr>
          <w:bCs/>
        </w:rPr>
        <w:t>”.  The explanatory statement for the instrument indicates that the fees waiver effected by the instrument relates to face mask requirements, imposed by a public health face m</w:t>
      </w:r>
      <w:r w:rsidR="00861B17">
        <w:rPr>
          <w:bCs/>
        </w:rPr>
        <w:t>asks direction, declared on 30 </w:t>
      </w:r>
      <w:r>
        <w:rPr>
          <w:bCs/>
        </w:rPr>
        <w:t xml:space="preserve">June 2021.  The Committee notes that section 4 of the instrument provides that the waiver expires on 31 August 2021. </w:t>
      </w:r>
    </w:p>
    <w:p w14:paraId="09CB784B" w14:textId="77777777" w:rsidR="00FA7A2E" w:rsidRDefault="00FA7A2E" w:rsidP="00861B17">
      <w:pPr>
        <w:pStyle w:val="Bodycopy"/>
        <w:tabs>
          <w:tab w:val="clear" w:pos="1276"/>
          <w:tab w:val="left" w:pos="720"/>
        </w:tabs>
        <w:spacing w:before="220" w:after="220" w:line="280" w:lineRule="exact"/>
        <w:rPr>
          <w:bCs/>
        </w:rPr>
      </w:pPr>
      <w:r>
        <w:rPr>
          <w:bCs/>
        </w:rPr>
        <w:lastRenderedPageBreak/>
        <w:t>The Committee notes that the instrument was made on 20 July 2021 and notified on the ACT Legislation Register on 22 July 2021.  However, section 2 of the instrument provides that the instrument “is taken to have commenced on 1 July 2021”.  This means that the instrument has a retrospective effect.</w:t>
      </w:r>
    </w:p>
    <w:p w14:paraId="5DD290E3" w14:textId="77777777" w:rsidR="00FA7A2E" w:rsidRDefault="00FA7A2E" w:rsidP="00861B17">
      <w:pPr>
        <w:pStyle w:val="Bodycopy"/>
        <w:tabs>
          <w:tab w:val="clear" w:pos="1276"/>
          <w:tab w:val="left" w:pos="720"/>
        </w:tabs>
        <w:spacing w:before="220" w:after="220" w:line="280" w:lineRule="exact"/>
        <w:rPr>
          <w:bCs/>
        </w:rPr>
      </w:pPr>
      <w:r>
        <w:rPr>
          <w:bCs/>
        </w:rPr>
        <w:t xml:space="preserve">The Committee notes, with approval, that the explanatory statement for the instrument addresses the retrospectivity issue, by reference to the limitations on retrospective commencement of statutory instruments, set out in section 76 of the </w:t>
      </w:r>
      <w:r>
        <w:rPr>
          <w:bCs/>
          <w:i/>
          <w:iCs/>
        </w:rPr>
        <w:t>Legislation Act 2001</w:t>
      </w:r>
      <w:r>
        <w:rPr>
          <w:bCs/>
        </w:rPr>
        <w:t>.  In short, the explanatory statement states that the retrospectivity is “non-prejudicial”, for the purposes of section 76.</w:t>
      </w:r>
    </w:p>
    <w:p w14:paraId="720D44C8" w14:textId="77777777" w:rsidR="00FA7A2E" w:rsidRDefault="00FA7A2E" w:rsidP="00861B17">
      <w:pPr>
        <w:pStyle w:val="Bodycopy"/>
        <w:tabs>
          <w:tab w:val="clear" w:pos="1276"/>
          <w:tab w:val="left" w:pos="720"/>
        </w:tabs>
        <w:spacing w:before="220" w:after="220" w:line="280" w:lineRule="exact"/>
        <w:rPr>
          <w:b/>
        </w:rPr>
      </w:pPr>
      <w:r>
        <w:rPr>
          <w:b/>
        </w:rPr>
        <w:t>This comment does not require a response from the Minister.</w:t>
      </w:r>
    </w:p>
    <w:p w14:paraId="7FAE392F" w14:textId="77777777" w:rsidR="00861B17" w:rsidRPr="00BA1DB3" w:rsidRDefault="00861B17" w:rsidP="00861B17">
      <w:pPr>
        <w:pStyle w:val="Heading4nonumber"/>
        <w:rPr>
          <w:sz w:val="22"/>
          <w:szCs w:val="22"/>
        </w:rPr>
      </w:pPr>
      <w:r w:rsidRPr="00BA1DB3">
        <w:rPr>
          <w:sz w:val="22"/>
          <w:szCs w:val="22"/>
        </w:rPr>
        <w:t>Human rights issues</w:t>
      </w:r>
    </w:p>
    <w:p w14:paraId="59D4BA81" w14:textId="77777777" w:rsidR="00861B17" w:rsidRPr="00842199" w:rsidRDefault="00861B17" w:rsidP="005D6E99">
      <w:pPr>
        <w:pStyle w:val="Bodycopy"/>
        <w:keepLines/>
        <w:numPr>
          <w:ilvl w:val="0"/>
          <w:numId w:val="25"/>
        </w:numPr>
        <w:tabs>
          <w:tab w:val="clear" w:pos="1276"/>
          <w:tab w:val="left" w:pos="360"/>
        </w:tabs>
        <w:spacing w:before="160" w:after="160" w:line="280" w:lineRule="exact"/>
        <w:rPr>
          <w:b/>
        </w:rPr>
      </w:pPr>
      <w:r>
        <w:rPr>
          <w:b/>
        </w:rPr>
        <w:t>Disallowable Instrument</w:t>
      </w:r>
      <w:r w:rsidRPr="00451C85">
        <w:rPr>
          <w:b/>
        </w:rPr>
        <w:t xml:space="preserve"> </w:t>
      </w:r>
      <w:r>
        <w:rPr>
          <w:b/>
        </w:rPr>
        <w:t>DI2021-195</w:t>
      </w:r>
      <w:r w:rsidRPr="00451C85">
        <w:rPr>
          <w:b/>
        </w:rPr>
        <w:t xml:space="preserve"> being the </w:t>
      </w:r>
      <w:r>
        <w:rPr>
          <w:b/>
        </w:rPr>
        <w:t xml:space="preserve">Public Place Names (Yarralumla) Determination 2021 made under section 3 of the </w:t>
      </w:r>
      <w:r>
        <w:rPr>
          <w:i/>
        </w:rPr>
        <w:t>Public Place Names Act 1989</w:t>
      </w:r>
      <w:r w:rsidRPr="00236BDD">
        <w:rPr>
          <w:b/>
        </w:rPr>
        <w:t xml:space="preserve"> </w:t>
      </w:r>
      <w:r>
        <w:rPr>
          <w:b/>
        </w:rPr>
        <w:t>determines the name of a public place in the Division of Yarralumla.</w:t>
      </w:r>
    </w:p>
    <w:p w14:paraId="5103DF92" w14:textId="77777777" w:rsidR="00861B17" w:rsidRPr="00F64B21" w:rsidRDefault="00861B17" w:rsidP="00861B17">
      <w:pPr>
        <w:pStyle w:val="Bodycopy"/>
        <w:tabs>
          <w:tab w:val="clear" w:pos="1276"/>
          <w:tab w:val="left" w:pos="720"/>
        </w:tabs>
        <w:spacing w:before="220" w:after="220" w:line="280" w:lineRule="exact"/>
        <w:rPr>
          <w:bCs/>
        </w:rPr>
      </w:pPr>
      <w:r>
        <w:rPr>
          <w:bCs/>
        </w:rPr>
        <w:t xml:space="preserve">This instrument, made under section 3 of the </w:t>
      </w:r>
      <w:r>
        <w:rPr>
          <w:bCs/>
          <w:i/>
          <w:iCs/>
        </w:rPr>
        <w:t>Place Names Act 1989</w:t>
      </w:r>
      <w:r>
        <w:rPr>
          <w:bCs/>
        </w:rPr>
        <w:t xml:space="preserve">, names a public place in Yarralumla.  The Committee notes that, similar to explanatory statements for similar instruments, the explanatory statement for the instrument discusses potential human rights implications for the instrument.  The particular human right identified is the right to privacy and reputation, set out in section 12 of the </w:t>
      </w:r>
      <w:r>
        <w:rPr>
          <w:bCs/>
          <w:i/>
          <w:iCs/>
        </w:rPr>
        <w:t>Human Rights Act 2004</w:t>
      </w:r>
      <w:r>
        <w:rPr>
          <w:bCs/>
        </w:rPr>
        <w:t xml:space="preserve">.  The explanatory statement states that this right is not engaged, because the instrument does not name the public place in question after a person.  </w:t>
      </w:r>
    </w:p>
    <w:p w14:paraId="1CA4D5C8" w14:textId="77777777" w:rsidR="00861B17" w:rsidRPr="002A3DCD" w:rsidRDefault="00861B17" w:rsidP="00861B17">
      <w:pPr>
        <w:pStyle w:val="Bodycopy"/>
        <w:spacing w:before="220" w:after="220" w:line="280" w:lineRule="exact"/>
        <w:rPr>
          <w:b/>
        </w:rPr>
      </w:pPr>
      <w:r w:rsidRPr="002A3DCD">
        <w:rPr>
          <w:b/>
        </w:rPr>
        <w:t>The Committee draws the attention of the Legislative Assembly to the discussion of human rights issues in the explanatory statement for th</w:t>
      </w:r>
      <w:r>
        <w:rPr>
          <w:b/>
        </w:rPr>
        <w:t>is</w:t>
      </w:r>
      <w:r w:rsidRPr="002A3DCD">
        <w:rPr>
          <w:b/>
        </w:rPr>
        <w:t xml:space="preserve"> instrument.</w:t>
      </w:r>
    </w:p>
    <w:p w14:paraId="7AAA2927" w14:textId="77777777" w:rsidR="00861B17" w:rsidRPr="002A3DCD" w:rsidRDefault="00861B17" w:rsidP="00861B17">
      <w:pPr>
        <w:pStyle w:val="Bodycopy"/>
        <w:spacing w:before="220" w:after="220" w:line="280" w:lineRule="exact"/>
        <w:rPr>
          <w:b/>
        </w:rPr>
      </w:pPr>
      <w:r w:rsidRPr="002A3DCD">
        <w:rPr>
          <w:b/>
        </w:rPr>
        <w:t>This comment does not require a response from the Minister.</w:t>
      </w:r>
    </w:p>
    <w:p w14:paraId="738243A7" w14:textId="42E8FF2A" w:rsidR="00861B17" w:rsidRPr="00BA1DB3" w:rsidRDefault="00861B17" w:rsidP="00861B17">
      <w:pPr>
        <w:pStyle w:val="Heading4nonumber"/>
        <w:rPr>
          <w:sz w:val="22"/>
          <w:szCs w:val="22"/>
        </w:rPr>
      </w:pPr>
      <w:bookmarkStart w:id="538" w:name="_Hlk83125779"/>
      <w:r w:rsidRPr="00BA1DB3">
        <w:rPr>
          <w:sz w:val="22"/>
          <w:szCs w:val="22"/>
        </w:rPr>
        <w:t>Are these disallowable instruments</w:t>
      </w:r>
      <w:bookmarkEnd w:id="538"/>
      <w:r w:rsidRPr="00BA1DB3">
        <w:rPr>
          <w:sz w:val="22"/>
          <w:szCs w:val="22"/>
        </w:rPr>
        <w:t>?</w:t>
      </w:r>
    </w:p>
    <w:p w14:paraId="676A46F1" w14:textId="77777777" w:rsidR="00861B17" w:rsidRPr="00842199" w:rsidRDefault="00861B17" w:rsidP="005D6E99">
      <w:pPr>
        <w:pStyle w:val="Bodycopy"/>
        <w:numPr>
          <w:ilvl w:val="0"/>
          <w:numId w:val="25"/>
        </w:numPr>
        <w:tabs>
          <w:tab w:val="clear" w:pos="1276"/>
          <w:tab w:val="left" w:pos="360"/>
        </w:tabs>
        <w:spacing w:before="160" w:after="160" w:line="280" w:lineRule="exact"/>
        <w:rPr>
          <w:b/>
        </w:rPr>
      </w:pPr>
      <w:r>
        <w:rPr>
          <w:b/>
        </w:rPr>
        <w:t>Disallowable Instrument</w:t>
      </w:r>
      <w:r w:rsidRPr="00451C85">
        <w:rPr>
          <w:b/>
        </w:rPr>
        <w:t xml:space="preserve"> </w:t>
      </w:r>
      <w:r>
        <w:rPr>
          <w:b/>
        </w:rPr>
        <w:t>DI2021-196</w:t>
      </w:r>
      <w:r w:rsidRPr="00451C85">
        <w:rPr>
          <w:b/>
        </w:rPr>
        <w:t xml:space="preserve"> being the </w:t>
      </w:r>
      <w:r>
        <w:rPr>
          <w:b/>
        </w:rPr>
        <w:t xml:space="preserve">ACT Teacher Quality Institute Board Appointment 2021 (No 1) made under sections 14 and 15 of the </w:t>
      </w:r>
      <w:r>
        <w:rPr>
          <w:i/>
        </w:rPr>
        <w:t xml:space="preserve">ACT Teacher Quality Institute Act 2010 </w:t>
      </w:r>
      <w:r>
        <w:rPr>
          <w:b/>
        </w:rPr>
        <w:t xml:space="preserve">and sections 78 and 79 of the </w:t>
      </w:r>
      <w:r>
        <w:rPr>
          <w:i/>
        </w:rPr>
        <w:t>Financial Management Act 1996</w:t>
      </w:r>
      <w:r w:rsidRPr="00236BDD">
        <w:rPr>
          <w:b/>
        </w:rPr>
        <w:t xml:space="preserve"> </w:t>
      </w:r>
      <w:r>
        <w:rPr>
          <w:b/>
        </w:rPr>
        <w:t xml:space="preserve">appoints a specified person as a member of the </w:t>
      </w:r>
      <w:bookmarkStart w:id="539" w:name="_Hlk83124981"/>
      <w:r>
        <w:rPr>
          <w:b/>
        </w:rPr>
        <w:t>Board of the ACT Teacher Quality Institute</w:t>
      </w:r>
      <w:bookmarkEnd w:id="539"/>
      <w:r>
        <w:rPr>
          <w:b/>
        </w:rPr>
        <w:t>.</w:t>
      </w:r>
    </w:p>
    <w:p w14:paraId="73306D54" w14:textId="77777777" w:rsidR="00861B17" w:rsidRPr="00842199" w:rsidRDefault="00861B17" w:rsidP="005D6E99">
      <w:pPr>
        <w:pStyle w:val="Bodycopy"/>
        <w:numPr>
          <w:ilvl w:val="0"/>
          <w:numId w:val="25"/>
        </w:numPr>
        <w:tabs>
          <w:tab w:val="clear" w:pos="1276"/>
          <w:tab w:val="left" w:pos="360"/>
        </w:tabs>
        <w:spacing w:before="160" w:after="160" w:line="280" w:lineRule="exact"/>
        <w:rPr>
          <w:b/>
        </w:rPr>
      </w:pPr>
      <w:r>
        <w:rPr>
          <w:b/>
        </w:rPr>
        <w:t>Disallowable Instrument</w:t>
      </w:r>
      <w:r w:rsidRPr="00451C85">
        <w:rPr>
          <w:b/>
        </w:rPr>
        <w:t xml:space="preserve"> </w:t>
      </w:r>
      <w:r>
        <w:rPr>
          <w:b/>
        </w:rPr>
        <w:t>DI2021-197</w:t>
      </w:r>
      <w:r w:rsidRPr="00451C85">
        <w:rPr>
          <w:b/>
        </w:rPr>
        <w:t xml:space="preserve"> being the </w:t>
      </w:r>
      <w:r>
        <w:rPr>
          <w:b/>
        </w:rPr>
        <w:t xml:space="preserve">ACT Teacher Quality Institute Board Appointment 2021 (No 2) made under sections 14 and 15 of the </w:t>
      </w:r>
      <w:r>
        <w:rPr>
          <w:i/>
        </w:rPr>
        <w:t>ACT Teacher Quality Institute Act 2010</w:t>
      </w:r>
      <w:r>
        <w:rPr>
          <w:b/>
        </w:rPr>
        <w:t xml:space="preserve"> and sections 78 and 79 of the</w:t>
      </w:r>
      <w:r>
        <w:rPr>
          <w:i/>
        </w:rPr>
        <w:t xml:space="preserve"> Financial Management Act 1996</w:t>
      </w:r>
      <w:r w:rsidRPr="00236BDD">
        <w:rPr>
          <w:b/>
        </w:rPr>
        <w:t xml:space="preserve"> </w:t>
      </w:r>
      <w:r>
        <w:rPr>
          <w:b/>
        </w:rPr>
        <w:t>appoints a specified person as a member of the Board of the ACT Teacher Quality Institute.</w:t>
      </w:r>
    </w:p>
    <w:p w14:paraId="23DF314B" w14:textId="77777777" w:rsidR="00861B17" w:rsidRDefault="00861B17" w:rsidP="00861B17">
      <w:pPr>
        <w:pStyle w:val="Bodycopy"/>
        <w:tabs>
          <w:tab w:val="clear" w:pos="1276"/>
          <w:tab w:val="left" w:pos="720"/>
        </w:tabs>
        <w:spacing w:before="220" w:after="220" w:line="280" w:lineRule="exact"/>
        <w:rPr>
          <w:bCs/>
        </w:rPr>
      </w:pPr>
      <w:r>
        <w:rPr>
          <w:bCs/>
        </w:rPr>
        <w:t xml:space="preserve">Each of the instruments mentioned above appoints a specified person as a member of the </w:t>
      </w:r>
      <w:r w:rsidRPr="00200C58">
        <w:rPr>
          <w:bCs/>
        </w:rPr>
        <w:t>Board of the ACT Teacher Quality Institute</w:t>
      </w:r>
      <w:r>
        <w:rPr>
          <w:bCs/>
        </w:rPr>
        <w:t xml:space="preserve">, under </w:t>
      </w:r>
      <w:r w:rsidRPr="00200C58">
        <w:rPr>
          <w:bCs/>
        </w:rPr>
        <w:t xml:space="preserve">sections 14 and 15 of the </w:t>
      </w:r>
      <w:r w:rsidRPr="00200C58">
        <w:rPr>
          <w:bCs/>
          <w:i/>
          <w:iCs/>
        </w:rPr>
        <w:t>ACT Teacher Quality Institute Act 2010</w:t>
      </w:r>
      <w:r w:rsidRPr="00200C58">
        <w:rPr>
          <w:bCs/>
        </w:rPr>
        <w:t xml:space="preserve"> and sections 78 and 79 of the </w:t>
      </w:r>
      <w:r w:rsidRPr="00200C58">
        <w:rPr>
          <w:bCs/>
          <w:i/>
          <w:iCs/>
        </w:rPr>
        <w:t>Financial Management Act 1996</w:t>
      </w:r>
      <w:r>
        <w:rPr>
          <w:bCs/>
        </w:rPr>
        <w:t>.</w:t>
      </w:r>
    </w:p>
    <w:p w14:paraId="4472D4CD" w14:textId="77777777" w:rsidR="00861B17" w:rsidRPr="0051101D" w:rsidRDefault="00861B17" w:rsidP="00861B17">
      <w:pPr>
        <w:widowControl w:val="0"/>
        <w:tabs>
          <w:tab w:val="left" w:pos="1276"/>
        </w:tabs>
        <w:rPr>
          <w:rFonts w:ascii="Calibri" w:hAnsi="Calibri" w:cs="Calibri"/>
          <w:color w:val="000000"/>
          <w:lang w:val="en-US"/>
        </w:rPr>
      </w:pPr>
      <w:bookmarkStart w:id="540" w:name="_Hlk83127036"/>
      <w:r w:rsidRPr="0051101D">
        <w:rPr>
          <w:rFonts w:ascii="Calibri" w:hAnsi="Calibri" w:cs="Calibri"/>
          <w:color w:val="000000"/>
          <w:lang w:val="en-US"/>
        </w:rPr>
        <w:t xml:space="preserve">The </w:t>
      </w:r>
      <w:r>
        <w:rPr>
          <w:rFonts w:ascii="Calibri" w:hAnsi="Calibri" w:cs="Calibri"/>
          <w:color w:val="000000"/>
          <w:lang w:val="en-US"/>
        </w:rPr>
        <w:t xml:space="preserve">Committee notes that both </w:t>
      </w:r>
      <w:r w:rsidRPr="0051101D">
        <w:rPr>
          <w:rFonts w:ascii="Calibri" w:hAnsi="Calibri" w:cs="Calibri"/>
          <w:color w:val="000000"/>
          <w:lang w:val="en-US"/>
        </w:rPr>
        <w:t>appointment</w:t>
      </w:r>
      <w:r>
        <w:rPr>
          <w:rFonts w:ascii="Calibri" w:hAnsi="Calibri" w:cs="Calibri"/>
          <w:color w:val="000000"/>
          <w:lang w:val="en-US"/>
        </w:rPr>
        <w:t>s are</w:t>
      </w:r>
      <w:r w:rsidRPr="0051101D">
        <w:rPr>
          <w:rFonts w:ascii="Calibri" w:hAnsi="Calibri" w:cs="Calibri"/>
          <w:color w:val="000000"/>
          <w:lang w:val="en-US"/>
        </w:rPr>
        <w:t xml:space="preserve"> made by disallowable instrument, bringing </w:t>
      </w:r>
      <w:r>
        <w:rPr>
          <w:rFonts w:ascii="Calibri" w:hAnsi="Calibri" w:cs="Calibri"/>
          <w:color w:val="000000"/>
          <w:lang w:val="en-US"/>
        </w:rPr>
        <w:t xml:space="preserve">the instruments in question </w:t>
      </w:r>
      <w:r w:rsidRPr="0051101D">
        <w:rPr>
          <w:rFonts w:ascii="Calibri" w:hAnsi="Calibri" w:cs="Calibri"/>
          <w:color w:val="000000"/>
          <w:lang w:val="en-US"/>
        </w:rPr>
        <w:t>within the Committee’s scrutiny role.</w:t>
      </w:r>
    </w:p>
    <w:p w14:paraId="045A8C0D" w14:textId="77777777" w:rsidR="00861B17" w:rsidRPr="0051101D" w:rsidRDefault="00861B17" w:rsidP="00861B17">
      <w:pPr>
        <w:keepLines/>
        <w:rPr>
          <w:rFonts w:ascii="Calibri" w:eastAsia="Calibri" w:hAnsi="Calibri" w:cs="Calibri"/>
          <w:lang w:val="en-US"/>
        </w:rPr>
      </w:pPr>
      <w:r w:rsidRPr="0051101D">
        <w:rPr>
          <w:rFonts w:ascii="Calibri" w:eastAsia="Calibri" w:hAnsi="Calibri" w:cs="Calibri"/>
          <w:lang w:val="en-US"/>
        </w:rPr>
        <w:t xml:space="preserve">The Committee notes that section 227 of the </w:t>
      </w:r>
      <w:r w:rsidRPr="0051101D">
        <w:rPr>
          <w:rFonts w:ascii="Calibri" w:eastAsia="Calibri" w:hAnsi="Calibri" w:cs="Calibri"/>
          <w:i/>
          <w:lang w:val="en-US"/>
        </w:rPr>
        <w:t>Legislation Act 2001</w:t>
      </w:r>
      <w:r w:rsidRPr="0051101D">
        <w:rPr>
          <w:rFonts w:ascii="Calibri" w:eastAsia="Calibri" w:hAnsi="Calibri" w:cs="Calibri"/>
          <w:lang w:val="en-US"/>
        </w:rPr>
        <w:t xml:space="preserve"> deals generally with the making of appointments to statutory positions by Ministers.  It provides:</w:t>
      </w:r>
    </w:p>
    <w:p w14:paraId="20BB7E74" w14:textId="77777777" w:rsidR="00861B17" w:rsidRPr="0051101D" w:rsidRDefault="00861B17" w:rsidP="00861B17">
      <w:pPr>
        <w:keepNext/>
        <w:keepLines/>
        <w:tabs>
          <w:tab w:val="left" w:pos="1350"/>
        </w:tabs>
        <w:ind w:left="1354" w:hanging="994"/>
        <w:rPr>
          <w:rFonts w:ascii="Calibri" w:eastAsia="Calibri" w:hAnsi="Calibri" w:cs="Calibri"/>
          <w:b/>
          <w:lang w:val="en-US"/>
        </w:rPr>
      </w:pPr>
      <w:r w:rsidRPr="0051101D">
        <w:rPr>
          <w:rFonts w:ascii="Calibri" w:eastAsia="Calibri" w:hAnsi="Calibri" w:cs="Calibri"/>
          <w:b/>
          <w:lang w:val="en-US"/>
        </w:rPr>
        <w:lastRenderedPageBreak/>
        <w:t>227</w:t>
      </w:r>
      <w:r w:rsidRPr="0051101D">
        <w:rPr>
          <w:rFonts w:ascii="Calibri" w:eastAsia="Calibri" w:hAnsi="Calibri" w:cs="Calibri"/>
          <w:b/>
          <w:lang w:val="en-US"/>
        </w:rPr>
        <w:tab/>
        <w:t>Application—div 19.3.3</w:t>
      </w:r>
    </w:p>
    <w:p w14:paraId="53EEF6AA" w14:textId="77777777" w:rsidR="00861B17" w:rsidRPr="0051101D" w:rsidRDefault="00861B17" w:rsidP="005D6E99">
      <w:pPr>
        <w:keepLines/>
        <w:numPr>
          <w:ilvl w:val="0"/>
          <w:numId w:val="28"/>
        </w:numPr>
        <w:tabs>
          <w:tab w:val="left" w:pos="810"/>
          <w:tab w:val="left" w:pos="1350"/>
        </w:tabs>
        <w:rPr>
          <w:rFonts w:ascii="Calibri" w:eastAsia="Calibri" w:hAnsi="Calibri" w:cs="Calibri"/>
        </w:rPr>
      </w:pPr>
      <w:r w:rsidRPr="0051101D">
        <w:rPr>
          <w:rFonts w:ascii="Calibri" w:eastAsia="Calibri" w:hAnsi="Calibri" w:cs="Calibri"/>
        </w:rPr>
        <w:t>This division applies if a Minister has the power under an Act to appoint a person to a statutory position.</w:t>
      </w:r>
    </w:p>
    <w:p w14:paraId="1179BF63" w14:textId="77777777" w:rsidR="00861B17" w:rsidRPr="0051101D" w:rsidRDefault="00861B17" w:rsidP="005D6E99">
      <w:pPr>
        <w:keepLines/>
        <w:numPr>
          <w:ilvl w:val="0"/>
          <w:numId w:val="28"/>
        </w:numPr>
        <w:tabs>
          <w:tab w:val="left" w:pos="810"/>
          <w:tab w:val="left" w:pos="1350"/>
        </w:tabs>
        <w:rPr>
          <w:rFonts w:ascii="Calibri" w:eastAsia="Calibri" w:hAnsi="Calibri" w:cs="Calibri"/>
        </w:rPr>
      </w:pPr>
      <w:r w:rsidRPr="0051101D">
        <w:rPr>
          <w:rFonts w:ascii="Calibri" w:eastAsia="Calibri" w:hAnsi="Calibri" w:cs="Calibri"/>
        </w:rPr>
        <w:t>However, this division does not apply to an appointment of—</w:t>
      </w:r>
    </w:p>
    <w:p w14:paraId="06AFF476" w14:textId="77777777" w:rsidR="00861B17" w:rsidRPr="0051101D" w:rsidRDefault="00861B17" w:rsidP="005D6E99">
      <w:pPr>
        <w:numPr>
          <w:ilvl w:val="0"/>
          <w:numId w:val="29"/>
        </w:numPr>
        <w:tabs>
          <w:tab w:val="left" w:pos="0"/>
          <w:tab w:val="left" w:pos="1350"/>
        </w:tabs>
        <w:ind w:left="1890"/>
        <w:rPr>
          <w:rFonts w:ascii="Calibri" w:hAnsi="Calibri" w:cs="Calibri"/>
        </w:rPr>
      </w:pPr>
      <w:r w:rsidRPr="0051101D">
        <w:rPr>
          <w:rFonts w:ascii="Calibri" w:hAnsi="Calibri" w:cs="Calibri"/>
        </w:rPr>
        <w:t>a public servant to a statutory position (whether or not the Act under which the appointment is made requires that the appointee be a public servant); or</w:t>
      </w:r>
    </w:p>
    <w:p w14:paraId="27420EE3" w14:textId="77777777" w:rsidR="00861B17" w:rsidRPr="0051101D" w:rsidRDefault="00861B17" w:rsidP="005D6E99">
      <w:pPr>
        <w:numPr>
          <w:ilvl w:val="0"/>
          <w:numId w:val="29"/>
        </w:numPr>
        <w:tabs>
          <w:tab w:val="left" w:pos="0"/>
          <w:tab w:val="left" w:pos="1350"/>
        </w:tabs>
        <w:ind w:left="1890"/>
        <w:rPr>
          <w:rFonts w:ascii="Calibri" w:hAnsi="Calibri" w:cs="Calibri"/>
        </w:rPr>
      </w:pPr>
      <w:r w:rsidRPr="0051101D">
        <w:rPr>
          <w:rFonts w:ascii="Calibri" w:hAnsi="Calibri" w:cs="Calibri"/>
        </w:rPr>
        <w:t>a person to, or to act in, a statutory position for not longer than 6 months, unless the appointment is of the person to, or to act in, the position for a 2nd or subsequent consecutive period; or</w:t>
      </w:r>
    </w:p>
    <w:p w14:paraId="2C41E0E6" w14:textId="77777777" w:rsidR="00861B17" w:rsidRPr="0051101D" w:rsidRDefault="00861B17" w:rsidP="005D6E99">
      <w:pPr>
        <w:numPr>
          <w:ilvl w:val="0"/>
          <w:numId w:val="29"/>
        </w:numPr>
        <w:tabs>
          <w:tab w:val="left" w:pos="0"/>
          <w:tab w:val="left" w:pos="1350"/>
        </w:tabs>
        <w:ind w:left="1890"/>
        <w:rPr>
          <w:rFonts w:ascii="Calibri" w:hAnsi="Calibri" w:cs="Calibri"/>
        </w:rPr>
      </w:pPr>
      <w:proofErr w:type="gramStart"/>
      <w:r w:rsidRPr="0051101D">
        <w:rPr>
          <w:rFonts w:ascii="Calibri" w:hAnsi="Calibri" w:cs="Calibri"/>
        </w:rPr>
        <w:t>a</w:t>
      </w:r>
      <w:proofErr w:type="gramEnd"/>
      <w:r w:rsidRPr="0051101D">
        <w:rPr>
          <w:rFonts w:ascii="Calibri" w:hAnsi="Calibri" w:cs="Calibri"/>
        </w:rPr>
        <w:t xml:space="preserve"> person to a statutory position if the only function of the position is to advise the Minister.</w:t>
      </w:r>
    </w:p>
    <w:p w14:paraId="765DA780" w14:textId="77777777" w:rsidR="00861B17" w:rsidRPr="0051101D" w:rsidRDefault="00861B17" w:rsidP="00861B17">
      <w:pPr>
        <w:keepLines/>
        <w:rPr>
          <w:rFonts w:ascii="Calibri" w:eastAsia="Calibri" w:hAnsi="Calibri" w:cs="Calibri"/>
          <w:lang w:val="en-US"/>
        </w:rPr>
      </w:pPr>
      <w:r w:rsidRPr="0051101D">
        <w:rPr>
          <w:rFonts w:ascii="Calibri" w:eastAsia="Calibri" w:hAnsi="Calibri" w:cs="Calibri"/>
          <w:lang w:val="en-US"/>
        </w:rPr>
        <w:t>In the light of paragraph 227(2)(a) of the</w:t>
      </w:r>
      <w:r w:rsidRPr="00861B17">
        <w:rPr>
          <w:rFonts w:ascii="Calibri" w:eastAsia="Calibri" w:hAnsi="Calibri" w:cs="Calibri"/>
          <w:lang w:val="en-US"/>
        </w:rPr>
        <w:t xml:space="preserve"> Legislation Act</w:t>
      </w:r>
      <w:r w:rsidRPr="0051101D">
        <w:rPr>
          <w:rFonts w:ascii="Calibri" w:eastAsia="Calibri" w:hAnsi="Calibri" w:cs="Calibri"/>
          <w:lang w:val="en-US"/>
        </w:rPr>
        <w:t xml:space="preserve">, the Committee has consistently maintained that instruments of appointment should clearly state that the </w:t>
      </w:r>
      <w:r>
        <w:rPr>
          <w:rFonts w:ascii="Calibri" w:eastAsia="Calibri" w:hAnsi="Calibri" w:cs="Calibri"/>
          <w:lang w:val="en-US"/>
        </w:rPr>
        <w:t xml:space="preserve">relevant </w:t>
      </w:r>
      <w:r w:rsidRPr="0051101D">
        <w:rPr>
          <w:rFonts w:ascii="Calibri" w:eastAsia="Calibri" w:hAnsi="Calibri" w:cs="Calibri"/>
          <w:lang w:val="en-US"/>
        </w:rPr>
        <w:t xml:space="preserve">appointee is </w:t>
      </w:r>
      <w:r w:rsidRPr="0051101D">
        <w:rPr>
          <w:rFonts w:ascii="Calibri" w:eastAsia="Calibri" w:hAnsi="Calibri" w:cs="Calibri"/>
          <w:u w:val="single"/>
          <w:lang w:val="en-US"/>
        </w:rPr>
        <w:t>not</w:t>
      </w:r>
      <w:r w:rsidRPr="0051101D">
        <w:rPr>
          <w:rFonts w:ascii="Calibri" w:eastAsia="Calibri" w:hAnsi="Calibri" w:cs="Calibri"/>
          <w:lang w:val="en-US"/>
        </w:rPr>
        <w:t xml:space="preserve"> a public servant, in order to make clear that, in fact, the appointment should be made by way of disallowable instrument. In its document titled </w:t>
      </w:r>
      <w:hyperlink r:id="rId25" w:history="1">
        <w:r w:rsidRPr="00861B17">
          <w:rPr>
            <w:rFonts w:ascii="Calibri" w:eastAsia="Calibri" w:hAnsi="Calibri" w:cs="Calibri"/>
            <w:i/>
            <w:color w:val="3657D2"/>
            <w:lang w:val="en-US"/>
          </w:rPr>
          <w:t>Subordinate legislation—Technical and stylistic standards—Tips/Traps</w:t>
        </w:r>
      </w:hyperlink>
      <w:r w:rsidRPr="0051101D">
        <w:rPr>
          <w:rFonts w:ascii="Calibri" w:eastAsia="Calibri" w:hAnsi="Calibri" w:cs="Calibri"/>
          <w:color w:val="000000"/>
          <w:lang w:val="en-US"/>
        </w:rPr>
        <w:t>,</w:t>
      </w:r>
      <w:r w:rsidRPr="0051101D">
        <w:rPr>
          <w:rFonts w:ascii="Calibri" w:eastAsia="Calibri" w:hAnsi="Calibri" w:cs="Calibri"/>
          <w:vertAlign w:val="superscript"/>
          <w:lang w:val="en-US"/>
        </w:rPr>
        <w:footnoteReference w:id="2"/>
      </w:r>
      <w:r w:rsidRPr="0051101D">
        <w:rPr>
          <w:rFonts w:ascii="Calibri" w:eastAsia="Calibri" w:hAnsi="Calibri" w:cs="Calibri"/>
          <w:lang w:val="en-US"/>
        </w:rPr>
        <w:t xml:space="preserve"> the Committee stated:</w:t>
      </w:r>
    </w:p>
    <w:p w14:paraId="01EFD270" w14:textId="77777777" w:rsidR="00861B17" w:rsidRPr="0051101D" w:rsidRDefault="00861B17" w:rsidP="00861B17">
      <w:pPr>
        <w:keepLines/>
        <w:ind w:left="360"/>
        <w:rPr>
          <w:rFonts w:ascii="Calibri" w:eastAsia="Calibri" w:hAnsi="Calibri" w:cs="Calibri"/>
          <w:lang w:val="en-US"/>
        </w:rPr>
      </w:pPr>
      <w:r w:rsidRPr="0051101D">
        <w:rPr>
          <w:rFonts w:ascii="Calibri" w:eastAsia="Calibri" w:hAnsi="Calibri" w:cs="Calibri"/>
          <w:lang w:val="en-US"/>
        </w:rPr>
        <w:t>Under paragraph 227(2</w:t>
      </w:r>
      <w:proofErr w:type="gramStart"/>
      <w:r w:rsidRPr="0051101D">
        <w:rPr>
          <w:rFonts w:ascii="Calibri" w:eastAsia="Calibri" w:hAnsi="Calibri" w:cs="Calibri"/>
          <w:lang w:val="en-US"/>
        </w:rPr>
        <w:t>)(</w:t>
      </w:r>
      <w:proofErr w:type="gramEnd"/>
      <w:r w:rsidRPr="0051101D">
        <w:rPr>
          <w:rFonts w:ascii="Calibri" w:eastAsia="Calibri" w:hAnsi="Calibri" w:cs="Calibri"/>
          <w:lang w:val="en-US"/>
        </w:rPr>
        <w:t xml:space="preserve">a) of the </w:t>
      </w:r>
      <w:r w:rsidRPr="0051101D">
        <w:rPr>
          <w:rFonts w:ascii="Calibri" w:eastAsia="Calibri" w:hAnsi="Calibri" w:cs="Calibri"/>
          <w:i/>
          <w:lang w:val="en-US"/>
        </w:rPr>
        <w:t>Legislation Act 2001</w:t>
      </w:r>
      <w:r w:rsidRPr="0051101D">
        <w:rPr>
          <w:rFonts w:ascii="Calibri" w:eastAsia="Calibri" w:hAnsi="Calibri" w:cs="Calibri"/>
          <w:lang w:val="en-US"/>
        </w:rPr>
        <w:t>, an instrument of appointment is not disallowable if it appoints a public servant. As a result, it assists the Committee (and the Legislative Assembly), if the explanatory statement for an instrument of appointment contains a statement to the effect that “the person appointed is not a public servant”.</w:t>
      </w:r>
    </w:p>
    <w:p w14:paraId="6868CCC1" w14:textId="77777777" w:rsidR="00861B17" w:rsidRPr="0051101D" w:rsidRDefault="00861B17" w:rsidP="00861B17">
      <w:pPr>
        <w:keepLines/>
        <w:rPr>
          <w:rFonts w:ascii="Calibri" w:eastAsia="Calibri" w:hAnsi="Calibri" w:cs="Calibri"/>
          <w:lang w:val="en-US"/>
        </w:rPr>
      </w:pPr>
      <w:r w:rsidRPr="0051101D">
        <w:rPr>
          <w:rFonts w:ascii="Calibri" w:eastAsia="Calibri" w:hAnsi="Calibri" w:cs="Calibri"/>
          <w:lang w:val="en-US"/>
        </w:rPr>
        <w:t>The Committee notes that the explanatory statement</w:t>
      </w:r>
      <w:r>
        <w:rPr>
          <w:rFonts w:ascii="Calibri" w:eastAsia="Calibri" w:hAnsi="Calibri" w:cs="Calibri"/>
          <w:lang w:val="en-US"/>
        </w:rPr>
        <w:t>s</w:t>
      </w:r>
      <w:r w:rsidRPr="0051101D">
        <w:rPr>
          <w:rFonts w:ascii="Calibri" w:eastAsia="Calibri" w:hAnsi="Calibri" w:cs="Calibri"/>
          <w:lang w:val="en-US"/>
        </w:rPr>
        <w:t xml:space="preserve"> for the instrument</w:t>
      </w:r>
      <w:r>
        <w:rPr>
          <w:rFonts w:ascii="Calibri" w:eastAsia="Calibri" w:hAnsi="Calibri" w:cs="Calibri"/>
          <w:lang w:val="en-US"/>
        </w:rPr>
        <w:t>s</w:t>
      </w:r>
      <w:r w:rsidRPr="0051101D">
        <w:rPr>
          <w:rFonts w:ascii="Calibri" w:eastAsia="Calibri" w:hAnsi="Calibri" w:cs="Calibri"/>
          <w:lang w:val="en-US"/>
        </w:rPr>
        <w:t xml:space="preserve"> mentioned above contain no such statement.</w:t>
      </w:r>
    </w:p>
    <w:p w14:paraId="1783FF8E" w14:textId="77777777" w:rsidR="00861B17" w:rsidRPr="0051101D" w:rsidRDefault="00861B17" w:rsidP="00861B17">
      <w:pPr>
        <w:keepLines/>
        <w:rPr>
          <w:rFonts w:ascii="Calibri" w:eastAsia="Calibri" w:hAnsi="Calibri" w:cs="Calibri"/>
          <w:b/>
          <w:lang w:val="en-US"/>
        </w:rPr>
      </w:pPr>
      <w:r w:rsidRPr="0051101D">
        <w:rPr>
          <w:rFonts w:ascii="Calibri" w:eastAsia="Calibri" w:hAnsi="Calibri" w:cs="Calibri"/>
          <w:b/>
          <w:lang w:val="en-US"/>
        </w:rPr>
        <w:t>The Committee draws the attention of the Legislative Assembly to the instrument</w:t>
      </w:r>
      <w:r>
        <w:rPr>
          <w:rFonts w:ascii="Calibri" w:eastAsia="Calibri" w:hAnsi="Calibri" w:cs="Calibri"/>
          <w:b/>
          <w:lang w:val="en-US"/>
        </w:rPr>
        <w:t>s</w:t>
      </w:r>
      <w:r w:rsidRPr="0051101D">
        <w:rPr>
          <w:rFonts w:ascii="Calibri" w:eastAsia="Calibri" w:hAnsi="Calibri" w:cs="Calibri"/>
          <w:b/>
          <w:lang w:val="en-US"/>
        </w:rPr>
        <w:t xml:space="preserve"> mentioned above, under principle (10</w:t>
      </w:r>
      <w:proofErr w:type="gramStart"/>
      <w:r w:rsidRPr="0051101D">
        <w:rPr>
          <w:rFonts w:ascii="Calibri" w:eastAsia="Calibri" w:hAnsi="Calibri" w:cs="Calibri"/>
          <w:b/>
          <w:lang w:val="en-US"/>
        </w:rPr>
        <w:t>)(</w:t>
      </w:r>
      <w:proofErr w:type="gramEnd"/>
      <w:r w:rsidRPr="0051101D">
        <w:rPr>
          <w:rFonts w:ascii="Calibri" w:eastAsia="Calibri" w:hAnsi="Calibri" w:cs="Calibri"/>
          <w:b/>
          <w:lang w:val="en-US"/>
        </w:rPr>
        <w:t>d) of the Committee’s terms of reference, on the basis that the explanatory statement</w:t>
      </w:r>
      <w:r>
        <w:rPr>
          <w:rFonts w:ascii="Calibri" w:eastAsia="Calibri" w:hAnsi="Calibri" w:cs="Calibri"/>
          <w:b/>
          <w:lang w:val="en-US"/>
        </w:rPr>
        <w:t>s</w:t>
      </w:r>
      <w:r w:rsidRPr="0051101D">
        <w:rPr>
          <w:rFonts w:ascii="Calibri" w:eastAsia="Calibri" w:hAnsi="Calibri" w:cs="Calibri"/>
          <w:b/>
          <w:lang w:val="en-US"/>
        </w:rPr>
        <w:t xml:space="preserve"> for the instrument</w:t>
      </w:r>
      <w:r>
        <w:rPr>
          <w:rFonts w:ascii="Calibri" w:eastAsia="Calibri" w:hAnsi="Calibri" w:cs="Calibri"/>
          <w:b/>
          <w:lang w:val="en-US"/>
        </w:rPr>
        <w:t>s</w:t>
      </w:r>
      <w:r w:rsidRPr="0051101D">
        <w:rPr>
          <w:rFonts w:ascii="Calibri" w:eastAsia="Calibri" w:hAnsi="Calibri" w:cs="Calibri"/>
          <w:b/>
          <w:lang w:val="en-US"/>
        </w:rPr>
        <w:t xml:space="preserve"> do not meet the technical or stylistic standards expected by the Committee.</w:t>
      </w:r>
    </w:p>
    <w:p w14:paraId="3DEFA33B" w14:textId="77777777" w:rsidR="00861B17" w:rsidRDefault="00861B17" w:rsidP="00861B17">
      <w:pPr>
        <w:widowControl w:val="0"/>
        <w:tabs>
          <w:tab w:val="left" w:pos="1276"/>
        </w:tabs>
        <w:rPr>
          <w:rFonts w:ascii="Calibri" w:hAnsi="Calibri" w:cs="Calibri"/>
          <w:b/>
          <w:bCs/>
          <w:color w:val="000000"/>
          <w:lang w:val="en-US"/>
        </w:rPr>
      </w:pPr>
      <w:r w:rsidRPr="0051101D">
        <w:rPr>
          <w:rFonts w:ascii="Calibri" w:hAnsi="Calibri" w:cs="Calibri"/>
          <w:b/>
          <w:bCs/>
          <w:color w:val="000000"/>
          <w:lang w:val="en-US"/>
        </w:rPr>
        <w:t>The Committee seeks the Minister’s confirmation that the person</w:t>
      </w:r>
      <w:r>
        <w:rPr>
          <w:rFonts w:ascii="Calibri" w:hAnsi="Calibri" w:cs="Calibri"/>
          <w:b/>
          <w:bCs/>
          <w:color w:val="000000"/>
          <w:lang w:val="en-US"/>
        </w:rPr>
        <w:t>s</w:t>
      </w:r>
      <w:r w:rsidRPr="0051101D">
        <w:rPr>
          <w:rFonts w:ascii="Calibri" w:hAnsi="Calibri" w:cs="Calibri"/>
          <w:b/>
          <w:bCs/>
          <w:color w:val="000000"/>
          <w:lang w:val="en-US"/>
        </w:rPr>
        <w:t xml:space="preserve"> appointed by the instrument</w:t>
      </w:r>
      <w:r>
        <w:rPr>
          <w:rFonts w:ascii="Calibri" w:hAnsi="Calibri" w:cs="Calibri"/>
          <w:b/>
          <w:bCs/>
          <w:color w:val="000000"/>
          <w:lang w:val="en-US"/>
        </w:rPr>
        <w:t>s</w:t>
      </w:r>
      <w:r w:rsidRPr="0051101D">
        <w:rPr>
          <w:rFonts w:ascii="Calibri" w:hAnsi="Calibri" w:cs="Calibri"/>
          <w:b/>
          <w:bCs/>
          <w:color w:val="000000"/>
          <w:lang w:val="en-US"/>
        </w:rPr>
        <w:t xml:space="preserve"> mentioned above </w:t>
      </w:r>
      <w:r>
        <w:rPr>
          <w:rFonts w:ascii="Calibri" w:hAnsi="Calibri" w:cs="Calibri"/>
          <w:b/>
          <w:bCs/>
          <w:color w:val="000000"/>
          <w:lang w:val="en-US"/>
        </w:rPr>
        <w:t>are</w:t>
      </w:r>
      <w:r w:rsidRPr="0051101D">
        <w:rPr>
          <w:rFonts w:ascii="Calibri" w:hAnsi="Calibri" w:cs="Calibri"/>
          <w:b/>
          <w:bCs/>
          <w:color w:val="000000"/>
          <w:lang w:val="en-US"/>
        </w:rPr>
        <w:t xml:space="preserve"> </w:t>
      </w:r>
      <w:r w:rsidRPr="0051101D">
        <w:rPr>
          <w:rFonts w:ascii="Calibri" w:hAnsi="Calibri" w:cs="Calibri"/>
          <w:b/>
          <w:bCs/>
          <w:color w:val="000000"/>
          <w:u w:val="single"/>
          <w:lang w:val="en-US"/>
        </w:rPr>
        <w:t>not</w:t>
      </w:r>
      <w:r w:rsidRPr="0051101D">
        <w:rPr>
          <w:rFonts w:ascii="Calibri" w:hAnsi="Calibri" w:cs="Calibri"/>
          <w:b/>
          <w:bCs/>
          <w:color w:val="000000"/>
          <w:lang w:val="en-US"/>
        </w:rPr>
        <w:t xml:space="preserve"> public servant</w:t>
      </w:r>
      <w:r>
        <w:rPr>
          <w:rFonts w:ascii="Calibri" w:hAnsi="Calibri" w:cs="Calibri"/>
          <w:b/>
          <w:bCs/>
          <w:color w:val="000000"/>
          <w:lang w:val="en-US"/>
        </w:rPr>
        <w:t>s</w:t>
      </w:r>
      <w:r w:rsidRPr="0051101D">
        <w:rPr>
          <w:rFonts w:ascii="Calibri" w:hAnsi="Calibri" w:cs="Calibri"/>
          <w:b/>
          <w:bCs/>
          <w:color w:val="000000"/>
          <w:lang w:val="en-US"/>
        </w:rPr>
        <w:t>.</w:t>
      </w:r>
    </w:p>
    <w:p w14:paraId="2D55F490" w14:textId="30556317" w:rsidR="00861B17" w:rsidRDefault="00861B17" w:rsidP="00861B17">
      <w:pPr>
        <w:widowControl w:val="0"/>
        <w:tabs>
          <w:tab w:val="left" w:pos="1276"/>
        </w:tabs>
        <w:rPr>
          <w:rFonts w:ascii="Calibri" w:hAnsi="Calibri" w:cs="Calibri"/>
          <w:b/>
          <w:bCs/>
          <w:color w:val="000000"/>
          <w:lang w:val="en-US"/>
        </w:rPr>
      </w:pPr>
      <w:r>
        <w:rPr>
          <w:rFonts w:ascii="Calibri" w:hAnsi="Calibri" w:cs="Calibri"/>
          <w:b/>
          <w:bCs/>
          <w:color w:val="000000"/>
          <w:lang w:val="en-US"/>
        </w:rPr>
        <w:t>This comment requires a response from the Minister.</w:t>
      </w:r>
      <w:r w:rsidRPr="00672739">
        <w:rPr>
          <w:rFonts w:ascii="Calibri" w:hAnsi="Calibri" w:cs="Calibri"/>
          <w:b/>
          <w:bCs/>
          <w:color w:val="000000"/>
          <w:lang w:val="en-US"/>
        </w:rPr>
        <w:t xml:space="preserve"> The Committee would be grateful if the Minister could respond </w:t>
      </w:r>
      <w:r w:rsidR="0005767A">
        <w:rPr>
          <w:rFonts w:ascii="Calibri" w:hAnsi="Calibri" w:cs="Calibri"/>
          <w:b/>
          <w:bCs/>
          <w:color w:val="000000"/>
          <w:lang w:val="en-US"/>
        </w:rPr>
        <w:t>before 11 November</w:t>
      </w:r>
      <w:r w:rsidR="009D12CA">
        <w:rPr>
          <w:rFonts w:ascii="Calibri" w:hAnsi="Calibri" w:cs="Calibri"/>
          <w:b/>
          <w:bCs/>
          <w:color w:val="000000"/>
          <w:lang w:val="en-US"/>
        </w:rPr>
        <w:t xml:space="preserve"> 2021</w:t>
      </w:r>
      <w:r w:rsidRPr="00672739">
        <w:rPr>
          <w:rFonts w:ascii="Calibri" w:hAnsi="Calibri" w:cs="Calibri"/>
          <w:b/>
          <w:bCs/>
          <w:color w:val="000000"/>
          <w:lang w:val="en-US"/>
        </w:rPr>
        <w:t xml:space="preserve">, when the Legislative Assembly’s capacity to move to disallow the </w:t>
      </w:r>
      <w:r>
        <w:rPr>
          <w:rFonts w:ascii="Calibri" w:hAnsi="Calibri" w:cs="Calibri"/>
          <w:b/>
          <w:bCs/>
          <w:color w:val="000000"/>
          <w:lang w:val="en-US"/>
        </w:rPr>
        <w:t>instruments</w:t>
      </w:r>
      <w:r w:rsidR="009D12CA">
        <w:rPr>
          <w:rFonts w:ascii="Calibri" w:hAnsi="Calibri" w:cs="Calibri"/>
          <w:b/>
          <w:bCs/>
          <w:color w:val="000000"/>
          <w:lang w:val="en-US"/>
        </w:rPr>
        <w:t xml:space="preserve"> will expire.</w:t>
      </w:r>
    </w:p>
    <w:bookmarkEnd w:id="540"/>
    <w:p w14:paraId="7C149D90" w14:textId="77777777" w:rsidR="00510101" w:rsidRPr="00BA1DB3" w:rsidRDefault="00510101" w:rsidP="00510101">
      <w:pPr>
        <w:pStyle w:val="Heading4nonumber"/>
        <w:rPr>
          <w:bCs/>
          <w:sz w:val="22"/>
          <w:szCs w:val="22"/>
        </w:rPr>
      </w:pPr>
      <w:r w:rsidRPr="00BA1DB3">
        <w:rPr>
          <w:sz w:val="22"/>
          <w:szCs w:val="22"/>
        </w:rPr>
        <w:lastRenderedPageBreak/>
        <w:t>Human rights issues</w:t>
      </w:r>
    </w:p>
    <w:p w14:paraId="3DEDA203" w14:textId="77777777" w:rsidR="00510101" w:rsidRPr="00842199" w:rsidRDefault="00510101" w:rsidP="005D6E99">
      <w:pPr>
        <w:pStyle w:val="Bodycopy"/>
        <w:keepLines/>
        <w:numPr>
          <w:ilvl w:val="0"/>
          <w:numId w:val="25"/>
        </w:numPr>
        <w:tabs>
          <w:tab w:val="clear" w:pos="1276"/>
          <w:tab w:val="left" w:pos="360"/>
        </w:tabs>
        <w:spacing w:before="160" w:after="160" w:line="280" w:lineRule="exact"/>
        <w:rPr>
          <w:b/>
        </w:rPr>
      </w:pPr>
      <w:r>
        <w:rPr>
          <w:b/>
        </w:rPr>
        <w:t>Disallowable Instrument</w:t>
      </w:r>
      <w:r w:rsidRPr="00451C85">
        <w:rPr>
          <w:b/>
        </w:rPr>
        <w:t xml:space="preserve"> </w:t>
      </w:r>
      <w:r>
        <w:rPr>
          <w:b/>
        </w:rPr>
        <w:t>DI2021-198</w:t>
      </w:r>
      <w:r w:rsidRPr="00451C85">
        <w:rPr>
          <w:b/>
        </w:rPr>
        <w:t xml:space="preserve"> being the </w:t>
      </w:r>
      <w:r>
        <w:rPr>
          <w:b/>
        </w:rPr>
        <w:t xml:space="preserve">Animal Diseases (Endemic Diseases) Declaration 2021 made under section 16 of the </w:t>
      </w:r>
      <w:r>
        <w:rPr>
          <w:i/>
        </w:rPr>
        <w:t>Animal Diseases Act 2005</w:t>
      </w:r>
      <w:r w:rsidRPr="00236BDD">
        <w:rPr>
          <w:b/>
        </w:rPr>
        <w:t xml:space="preserve"> </w:t>
      </w:r>
      <w:r>
        <w:rPr>
          <w:b/>
        </w:rPr>
        <w:t>revokes DI2018-34 and updates the list of declared endemic diseases in the ACT to consider the Memorandum of Understanding (Collaborative cooperation on cross-border biosecurity management) between ACT and NSW.</w:t>
      </w:r>
    </w:p>
    <w:p w14:paraId="606D1AF0" w14:textId="77777777" w:rsidR="00510101" w:rsidRDefault="00510101" w:rsidP="00510101">
      <w:pPr>
        <w:pStyle w:val="Bodycopy"/>
        <w:tabs>
          <w:tab w:val="left" w:pos="720"/>
        </w:tabs>
        <w:spacing w:before="220" w:after="220" w:line="280" w:lineRule="exact"/>
        <w:rPr>
          <w:bCs/>
        </w:rPr>
      </w:pPr>
      <w:r>
        <w:rPr>
          <w:bCs/>
        </w:rPr>
        <w:t xml:space="preserve">This instrument, made under section 16 of the </w:t>
      </w:r>
      <w:r>
        <w:rPr>
          <w:bCs/>
          <w:i/>
          <w:iCs/>
        </w:rPr>
        <w:t>Animal Diseases Act 2005</w:t>
      </w:r>
      <w:r>
        <w:rPr>
          <w:bCs/>
        </w:rPr>
        <w:t>, declares certain diseases to be endemic diseases, for that Act.  The explanatory statement for the instrument indicates that the effect of the instrument is to “update” the list of endemic diseases, “</w:t>
      </w:r>
      <w:r w:rsidRPr="0085521B">
        <w:rPr>
          <w:bCs/>
        </w:rPr>
        <w:t>to consider the Memorandum of Understanding (Collaborative cooperation on cross-border biosecurity management) between ACT and NSW.</w:t>
      </w:r>
      <w:r>
        <w:rPr>
          <w:bCs/>
        </w:rPr>
        <w:t>”</w:t>
      </w:r>
    </w:p>
    <w:p w14:paraId="54AF5ED3" w14:textId="5F7F39AC" w:rsidR="00510101" w:rsidRDefault="00510101" w:rsidP="00510101">
      <w:pPr>
        <w:pStyle w:val="Bodycopy"/>
        <w:tabs>
          <w:tab w:val="left" w:pos="720"/>
        </w:tabs>
        <w:spacing w:before="220" w:after="220" w:line="280" w:lineRule="exact"/>
        <w:rPr>
          <w:bCs/>
        </w:rPr>
      </w:pPr>
      <w:r>
        <w:rPr>
          <w:bCs/>
        </w:rPr>
        <w:t xml:space="preserve">The Committee notes that the explanatory statement for the instrument states that “[t]here </w:t>
      </w:r>
      <w:r w:rsidRPr="00A43552">
        <w:rPr>
          <w:bCs/>
        </w:rPr>
        <w:t>are no human rights implications arising from the declaration of endemic diseases</w:t>
      </w:r>
      <w:r>
        <w:rPr>
          <w:bCs/>
        </w:rPr>
        <w:t>” and that “[t]</w:t>
      </w:r>
      <w:r w:rsidRPr="00A43552">
        <w:rPr>
          <w:bCs/>
        </w:rPr>
        <w:t xml:space="preserve">he instrument does not engage any rights under the </w:t>
      </w:r>
      <w:r w:rsidRPr="00A43552">
        <w:rPr>
          <w:bCs/>
          <w:i/>
          <w:iCs/>
        </w:rPr>
        <w:t>Human Rights Act 2004</w:t>
      </w:r>
      <w:r w:rsidR="000A15A8" w:rsidRPr="00D932F4">
        <w:rPr>
          <w:bCs/>
          <w:iCs/>
        </w:rPr>
        <w:t>”</w:t>
      </w:r>
      <w:r w:rsidRPr="00D932F4">
        <w:rPr>
          <w:bCs/>
        </w:rPr>
        <w:t>.</w:t>
      </w:r>
    </w:p>
    <w:p w14:paraId="66D5A53C" w14:textId="77777777" w:rsidR="00510101" w:rsidRPr="002A3DCD" w:rsidRDefault="00510101" w:rsidP="00510101">
      <w:pPr>
        <w:pStyle w:val="Bodycopy"/>
        <w:spacing w:before="220" w:after="220" w:line="280" w:lineRule="exact"/>
        <w:rPr>
          <w:b/>
        </w:rPr>
      </w:pPr>
      <w:r w:rsidRPr="002A3DCD">
        <w:rPr>
          <w:b/>
        </w:rPr>
        <w:t>The Committee draws the attention of the Legislative Assembly to the discussion of human rights issues in the explanatory statement for th</w:t>
      </w:r>
      <w:r>
        <w:rPr>
          <w:b/>
        </w:rPr>
        <w:t>is</w:t>
      </w:r>
      <w:r w:rsidRPr="002A3DCD">
        <w:rPr>
          <w:b/>
        </w:rPr>
        <w:t xml:space="preserve"> instrument.</w:t>
      </w:r>
    </w:p>
    <w:p w14:paraId="2D30CDCF" w14:textId="77777777" w:rsidR="00510101" w:rsidRPr="002A3DCD" w:rsidRDefault="00510101" w:rsidP="00510101">
      <w:pPr>
        <w:pStyle w:val="Bodycopy"/>
        <w:spacing w:before="220" w:after="220" w:line="280" w:lineRule="exact"/>
        <w:rPr>
          <w:b/>
        </w:rPr>
      </w:pPr>
      <w:r w:rsidRPr="002A3DCD">
        <w:rPr>
          <w:b/>
        </w:rPr>
        <w:t>This comment does not require a response from the Minister.</w:t>
      </w:r>
    </w:p>
    <w:p w14:paraId="39ADB0AE" w14:textId="77777777" w:rsidR="00977E3A" w:rsidRPr="00BA1DB3" w:rsidRDefault="00977E3A" w:rsidP="00977E3A">
      <w:pPr>
        <w:pStyle w:val="Heading4nonumber"/>
        <w:rPr>
          <w:bCs/>
          <w:sz w:val="22"/>
          <w:szCs w:val="22"/>
        </w:rPr>
      </w:pPr>
      <w:r w:rsidRPr="00BA1DB3">
        <w:rPr>
          <w:sz w:val="22"/>
          <w:szCs w:val="22"/>
        </w:rPr>
        <w:t>Is this a disallowable instrument?</w:t>
      </w:r>
      <w:r w:rsidRPr="00BA1DB3">
        <w:rPr>
          <w:bCs/>
          <w:sz w:val="22"/>
          <w:szCs w:val="22"/>
        </w:rPr>
        <w:t xml:space="preserve">  </w:t>
      </w:r>
    </w:p>
    <w:p w14:paraId="575FCA3E" w14:textId="77777777" w:rsidR="00977E3A" w:rsidRPr="00842199" w:rsidRDefault="00977E3A" w:rsidP="005D6E99">
      <w:pPr>
        <w:pStyle w:val="Bodycopy"/>
        <w:numPr>
          <w:ilvl w:val="0"/>
          <w:numId w:val="25"/>
        </w:numPr>
        <w:tabs>
          <w:tab w:val="clear" w:pos="1276"/>
          <w:tab w:val="left" w:pos="360"/>
        </w:tabs>
        <w:spacing w:before="160" w:after="160" w:line="280" w:lineRule="exact"/>
        <w:rPr>
          <w:b/>
        </w:rPr>
      </w:pPr>
      <w:r>
        <w:rPr>
          <w:b/>
        </w:rPr>
        <w:t>Disallowable Instrument</w:t>
      </w:r>
      <w:r w:rsidRPr="00451C85">
        <w:rPr>
          <w:b/>
        </w:rPr>
        <w:t xml:space="preserve"> </w:t>
      </w:r>
      <w:r>
        <w:rPr>
          <w:b/>
        </w:rPr>
        <w:t>DI2021-201</w:t>
      </w:r>
      <w:r w:rsidRPr="00451C85">
        <w:rPr>
          <w:b/>
        </w:rPr>
        <w:t xml:space="preserve"> being the </w:t>
      </w:r>
      <w:r>
        <w:rPr>
          <w:b/>
        </w:rPr>
        <w:t xml:space="preserve">Public Trustee and Guardian (Investment Board) Appointment 2021 (No 2) made under paragraph </w:t>
      </w:r>
      <w:bookmarkStart w:id="541" w:name="_Hlk83126910"/>
      <w:r>
        <w:rPr>
          <w:b/>
        </w:rPr>
        <w:t>48(1</w:t>
      </w:r>
      <w:proofErr w:type="gramStart"/>
      <w:r>
        <w:rPr>
          <w:b/>
        </w:rPr>
        <w:t>)(</w:t>
      </w:r>
      <w:proofErr w:type="gramEnd"/>
      <w:r>
        <w:rPr>
          <w:b/>
        </w:rPr>
        <w:t xml:space="preserve">b) of the </w:t>
      </w:r>
      <w:r>
        <w:rPr>
          <w:i/>
        </w:rPr>
        <w:t>Public Trustee and Guardian Act 1985</w:t>
      </w:r>
      <w:r w:rsidRPr="00236BDD">
        <w:rPr>
          <w:b/>
        </w:rPr>
        <w:t xml:space="preserve"> </w:t>
      </w:r>
      <w:bookmarkEnd w:id="541"/>
      <w:r>
        <w:rPr>
          <w:b/>
        </w:rPr>
        <w:t>appoints specified persons as members of the Public Trustee and Guardian Investment Board.</w:t>
      </w:r>
    </w:p>
    <w:p w14:paraId="10DE8DDC" w14:textId="147E7B48" w:rsidR="00977E3A" w:rsidRDefault="00977E3A" w:rsidP="00977E3A">
      <w:pPr>
        <w:pStyle w:val="Bodycopy"/>
        <w:tabs>
          <w:tab w:val="left" w:pos="720"/>
        </w:tabs>
        <w:spacing w:before="220" w:after="220" w:line="280" w:lineRule="exact"/>
        <w:rPr>
          <w:bCs/>
        </w:rPr>
      </w:pPr>
      <w:r>
        <w:rPr>
          <w:bCs/>
        </w:rPr>
        <w:t xml:space="preserve">This instrument appoints three specified persons to the Public Trustee and Guardian Investment Board, under </w:t>
      </w:r>
      <w:r w:rsidRPr="00A43552">
        <w:rPr>
          <w:bCs/>
        </w:rPr>
        <w:t>48(1</w:t>
      </w:r>
      <w:proofErr w:type="gramStart"/>
      <w:r w:rsidRPr="00A43552">
        <w:rPr>
          <w:bCs/>
        </w:rPr>
        <w:t>)(</w:t>
      </w:r>
      <w:proofErr w:type="gramEnd"/>
      <w:r w:rsidRPr="00A43552">
        <w:rPr>
          <w:bCs/>
        </w:rPr>
        <w:t xml:space="preserve">b) of the </w:t>
      </w:r>
      <w:r w:rsidRPr="00A43552">
        <w:rPr>
          <w:bCs/>
          <w:i/>
          <w:iCs/>
        </w:rPr>
        <w:t>Public Trustee and Guardian Act 1985</w:t>
      </w:r>
      <w:r>
        <w:rPr>
          <w:bCs/>
        </w:rPr>
        <w:t xml:space="preserve">.  The explanatory statement for the instrument indicates that two of the specified persons are </w:t>
      </w:r>
      <w:r>
        <w:rPr>
          <w:bCs/>
          <w:i/>
          <w:iCs/>
        </w:rPr>
        <w:t>re</w:t>
      </w:r>
      <w:r>
        <w:rPr>
          <w:bCs/>
        </w:rPr>
        <w:t>-appointed to the Board.</w:t>
      </w:r>
    </w:p>
    <w:p w14:paraId="44F4E286" w14:textId="77777777" w:rsidR="00977E3A" w:rsidRPr="0051101D" w:rsidRDefault="00977E3A" w:rsidP="00977E3A">
      <w:pPr>
        <w:widowControl w:val="0"/>
        <w:tabs>
          <w:tab w:val="left" w:pos="1276"/>
        </w:tabs>
        <w:rPr>
          <w:rFonts w:ascii="Calibri" w:hAnsi="Calibri" w:cs="Calibri"/>
          <w:color w:val="000000"/>
          <w:lang w:val="en-US"/>
        </w:rPr>
      </w:pPr>
      <w:r w:rsidRPr="0051101D">
        <w:rPr>
          <w:rFonts w:ascii="Calibri" w:hAnsi="Calibri" w:cs="Calibri"/>
          <w:color w:val="000000"/>
          <w:lang w:val="en-US"/>
        </w:rPr>
        <w:t xml:space="preserve">The </w:t>
      </w:r>
      <w:r>
        <w:rPr>
          <w:rFonts w:ascii="Calibri" w:hAnsi="Calibri" w:cs="Calibri"/>
          <w:color w:val="000000"/>
          <w:lang w:val="en-US"/>
        </w:rPr>
        <w:t xml:space="preserve">Committee notes that the </w:t>
      </w:r>
      <w:r w:rsidRPr="0051101D">
        <w:rPr>
          <w:rFonts w:ascii="Calibri" w:hAnsi="Calibri" w:cs="Calibri"/>
          <w:color w:val="000000"/>
          <w:lang w:val="en-US"/>
        </w:rPr>
        <w:t>appointment</w:t>
      </w:r>
      <w:r>
        <w:rPr>
          <w:rFonts w:ascii="Calibri" w:hAnsi="Calibri" w:cs="Calibri"/>
          <w:color w:val="000000"/>
          <w:lang w:val="en-US"/>
        </w:rPr>
        <w:t>s are</w:t>
      </w:r>
      <w:r w:rsidRPr="0051101D">
        <w:rPr>
          <w:rFonts w:ascii="Calibri" w:hAnsi="Calibri" w:cs="Calibri"/>
          <w:color w:val="000000"/>
          <w:lang w:val="en-US"/>
        </w:rPr>
        <w:t xml:space="preserve"> made by disallowable instrument, bringing </w:t>
      </w:r>
      <w:r>
        <w:rPr>
          <w:rFonts w:ascii="Calibri" w:hAnsi="Calibri" w:cs="Calibri"/>
          <w:color w:val="000000"/>
          <w:lang w:val="en-US"/>
        </w:rPr>
        <w:t xml:space="preserve">the instruments </w:t>
      </w:r>
      <w:r w:rsidRPr="0051101D">
        <w:rPr>
          <w:rFonts w:ascii="Calibri" w:hAnsi="Calibri" w:cs="Calibri"/>
          <w:color w:val="000000"/>
          <w:lang w:val="en-US"/>
        </w:rPr>
        <w:t>within the Committee’s scrutiny role.</w:t>
      </w:r>
    </w:p>
    <w:p w14:paraId="01A311F7" w14:textId="77777777" w:rsidR="00977E3A" w:rsidRPr="0051101D" w:rsidRDefault="00977E3A" w:rsidP="00977E3A">
      <w:pPr>
        <w:keepLines/>
        <w:rPr>
          <w:rFonts w:ascii="Calibri" w:eastAsia="Calibri" w:hAnsi="Calibri" w:cs="Calibri"/>
          <w:lang w:val="en-US"/>
        </w:rPr>
      </w:pPr>
      <w:r w:rsidRPr="0051101D">
        <w:rPr>
          <w:rFonts w:ascii="Calibri" w:eastAsia="Calibri" w:hAnsi="Calibri" w:cs="Calibri"/>
          <w:lang w:val="en-US"/>
        </w:rPr>
        <w:t xml:space="preserve">The Committee notes that section 227 of the </w:t>
      </w:r>
      <w:r w:rsidRPr="0051101D">
        <w:rPr>
          <w:rFonts w:ascii="Calibri" w:eastAsia="Calibri" w:hAnsi="Calibri" w:cs="Calibri"/>
          <w:i/>
          <w:lang w:val="en-US"/>
        </w:rPr>
        <w:t>Legislation Act 2001</w:t>
      </w:r>
      <w:r w:rsidRPr="0051101D">
        <w:rPr>
          <w:rFonts w:ascii="Calibri" w:eastAsia="Calibri" w:hAnsi="Calibri" w:cs="Calibri"/>
          <w:lang w:val="en-US"/>
        </w:rPr>
        <w:t xml:space="preserve"> deals generally with the making of appointments to statutory positions by Ministers.  It provides:</w:t>
      </w:r>
    </w:p>
    <w:p w14:paraId="67F4D7B1" w14:textId="77777777" w:rsidR="00977E3A" w:rsidRPr="0051101D" w:rsidRDefault="00977E3A" w:rsidP="00977E3A">
      <w:pPr>
        <w:keepNext/>
        <w:keepLines/>
        <w:tabs>
          <w:tab w:val="left" w:pos="1350"/>
        </w:tabs>
        <w:ind w:left="1354" w:hanging="994"/>
        <w:rPr>
          <w:rFonts w:ascii="Calibri" w:eastAsia="Calibri" w:hAnsi="Calibri" w:cs="Calibri"/>
          <w:b/>
          <w:lang w:val="en-US"/>
        </w:rPr>
      </w:pPr>
      <w:r w:rsidRPr="0051101D">
        <w:rPr>
          <w:rFonts w:ascii="Calibri" w:eastAsia="Calibri" w:hAnsi="Calibri" w:cs="Calibri"/>
          <w:b/>
          <w:lang w:val="en-US"/>
        </w:rPr>
        <w:t>227</w:t>
      </w:r>
      <w:r w:rsidRPr="0051101D">
        <w:rPr>
          <w:rFonts w:ascii="Calibri" w:eastAsia="Calibri" w:hAnsi="Calibri" w:cs="Calibri"/>
          <w:b/>
          <w:lang w:val="en-US"/>
        </w:rPr>
        <w:tab/>
        <w:t>Application—div 19.3.3</w:t>
      </w:r>
    </w:p>
    <w:p w14:paraId="37038C86" w14:textId="77777777" w:rsidR="00977E3A" w:rsidRPr="0051101D" w:rsidRDefault="00977E3A" w:rsidP="005D6E99">
      <w:pPr>
        <w:keepLines/>
        <w:numPr>
          <w:ilvl w:val="0"/>
          <w:numId w:val="30"/>
        </w:numPr>
        <w:tabs>
          <w:tab w:val="left" w:pos="810"/>
          <w:tab w:val="left" w:pos="1350"/>
        </w:tabs>
        <w:rPr>
          <w:rFonts w:ascii="Calibri" w:eastAsia="Calibri" w:hAnsi="Calibri" w:cs="Calibri"/>
        </w:rPr>
      </w:pPr>
      <w:r w:rsidRPr="0051101D">
        <w:rPr>
          <w:rFonts w:ascii="Calibri" w:eastAsia="Calibri" w:hAnsi="Calibri" w:cs="Calibri"/>
        </w:rPr>
        <w:t>This division applies if a Minister has the power under an Act to appoint a person to a statutory position.</w:t>
      </w:r>
    </w:p>
    <w:p w14:paraId="1E32D336" w14:textId="77777777" w:rsidR="00977E3A" w:rsidRPr="0051101D" w:rsidRDefault="00977E3A" w:rsidP="005D6E99">
      <w:pPr>
        <w:keepLines/>
        <w:numPr>
          <w:ilvl w:val="0"/>
          <w:numId w:val="30"/>
        </w:numPr>
        <w:tabs>
          <w:tab w:val="left" w:pos="810"/>
          <w:tab w:val="left" w:pos="1350"/>
        </w:tabs>
        <w:rPr>
          <w:rFonts w:ascii="Calibri" w:eastAsia="Calibri" w:hAnsi="Calibri" w:cs="Calibri"/>
        </w:rPr>
      </w:pPr>
      <w:r w:rsidRPr="0051101D">
        <w:rPr>
          <w:rFonts w:ascii="Calibri" w:eastAsia="Calibri" w:hAnsi="Calibri" w:cs="Calibri"/>
        </w:rPr>
        <w:t>However, this division does not apply to an appointment of—</w:t>
      </w:r>
    </w:p>
    <w:p w14:paraId="1EDD92FD" w14:textId="77777777" w:rsidR="00977E3A" w:rsidRPr="0051101D" w:rsidRDefault="00977E3A" w:rsidP="005D6E99">
      <w:pPr>
        <w:numPr>
          <w:ilvl w:val="1"/>
          <w:numId w:val="27"/>
        </w:numPr>
        <w:tabs>
          <w:tab w:val="left" w:pos="0"/>
          <w:tab w:val="left" w:pos="1350"/>
        </w:tabs>
        <w:ind w:left="1890"/>
        <w:rPr>
          <w:rFonts w:ascii="Calibri" w:hAnsi="Calibri" w:cs="Calibri"/>
        </w:rPr>
      </w:pPr>
      <w:r w:rsidRPr="0051101D">
        <w:rPr>
          <w:rFonts w:ascii="Calibri" w:hAnsi="Calibri" w:cs="Calibri"/>
        </w:rPr>
        <w:t>a public servant to a statutory position (whether or not the Act under which the appointment is made requires that the appointee be a public servant); or</w:t>
      </w:r>
    </w:p>
    <w:p w14:paraId="355CBB9E" w14:textId="77777777" w:rsidR="00977E3A" w:rsidRPr="0051101D" w:rsidRDefault="00977E3A" w:rsidP="005D6E99">
      <w:pPr>
        <w:numPr>
          <w:ilvl w:val="1"/>
          <w:numId w:val="27"/>
        </w:numPr>
        <w:tabs>
          <w:tab w:val="left" w:pos="0"/>
          <w:tab w:val="left" w:pos="1350"/>
        </w:tabs>
        <w:ind w:left="1890"/>
        <w:rPr>
          <w:rFonts w:ascii="Calibri" w:hAnsi="Calibri" w:cs="Calibri"/>
        </w:rPr>
      </w:pPr>
      <w:r w:rsidRPr="0051101D">
        <w:rPr>
          <w:rFonts w:ascii="Calibri" w:hAnsi="Calibri" w:cs="Calibri"/>
        </w:rPr>
        <w:t>a person to, or to act in, a statutory position for not longer than 6 months, unless the appointment is of the person to, or to act in, the position for a 2nd or subsequent consecutive period; or</w:t>
      </w:r>
    </w:p>
    <w:p w14:paraId="41966FB8" w14:textId="77777777" w:rsidR="00977E3A" w:rsidRPr="0051101D" w:rsidRDefault="00977E3A" w:rsidP="005D6E99">
      <w:pPr>
        <w:numPr>
          <w:ilvl w:val="1"/>
          <w:numId w:val="27"/>
        </w:numPr>
        <w:tabs>
          <w:tab w:val="left" w:pos="0"/>
          <w:tab w:val="left" w:pos="1350"/>
        </w:tabs>
        <w:ind w:left="1890"/>
        <w:rPr>
          <w:rFonts w:ascii="Calibri" w:hAnsi="Calibri" w:cs="Calibri"/>
        </w:rPr>
      </w:pPr>
      <w:proofErr w:type="gramStart"/>
      <w:r w:rsidRPr="0051101D">
        <w:rPr>
          <w:rFonts w:ascii="Calibri" w:hAnsi="Calibri" w:cs="Calibri"/>
        </w:rPr>
        <w:lastRenderedPageBreak/>
        <w:t>a</w:t>
      </w:r>
      <w:proofErr w:type="gramEnd"/>
      <w:r w:rsidRPr="0051101D">
        <w:rPr>
          <w:rFonts w:ascii="Calibri" w:hAnsi="Calibri" w:cs="Calibri"/>
        </w:rPr>
        <w:t xml:space="preserve"> person to a statutory position if the only function of the position is to advise the Minister.</w:t>
      </w:r>
    </w:p>
    <w:p w14:paraId="4348BF15" w14:textId="77777777" w:rsidR="00977E3A" w:rsidRPr="0051101D" w:rsidRDefault="00977E3A" w:rsidP="00977E3A">
      <w:pPr>
        <w:keepLines/>
        <w:rPr>
          <w:rFonts w:ascii="Calibri" w:eastAsia="Calibri" w:hAnsi="Calibri" w:cs="Calibri"/>
          <w:lang w:val="en-US"/>
        </w:rPr>
      </w:pPr>
      <w:r w:rsidRPr="0051101D">
        <w:rPr>
          <w:rFonts w:ascii="Calibri" w:eastAsia="Calibri" w:hAnsi="Calibri" w:cs="Calibri"/>
          <w:lang w:val="en-US"/>
        </w:rPr>
        <w:t xml:space="preserve">In the light of paragraph 227(2)(a) of the </w:t>
      </w:r>
      <w:r w:rsidRPr="00977E3A">
        <w:rPr>
          <w:rFonts w:ascii="Calibri" w:eastAsia="Calibri" w:hAnsi="Calibri" w:cs="Calibri"/>
          <w:lang w:val="en-US"/>
        </w:rPr>
        <w:t>Legislation Act</w:t>
      </w:r>
      <w:r w:rsidRPr="0051101D">
        <w:rPr>
          <w:rFonts w:ascii="Calibri" w:eastAsia="Calibri" w:hAnsi="Calibri" w:cs="Calibri"/>
          <w:lang w:val="en-US"/>
        </w:rPr>
        <w:t xml:space="preserve">, the Committee has consistently maintained that instruments of appointment should clearly state that the </w:t>
      </w:r>
      <w:r>
        <w:rPr>
          <w:rFonts w:ascii="Calibri" w:eastAsia="Calibri" w:hAnsi="Calibri" w:cs="Calibri"/>
          <w:lang w:val="en-US"/>
        </w:rPr>
        <w:t xml:space="preserve">relevant </w:t>
      </w:r>
      <w:r w:rsidRPr="0051101D">
        <w:rPr>
          <w:rFonts w:ascii="Calibri" w:eastAsia="Calibri" w:hAnsi="Calibri" w:cs="Calibri"/>
          <w:lang w:val="en-US"/>
        </w:rPr>
        <w:t xml:space="preserve">appointee is </w:t>
      </w:r>
      <w:r w:rsidRPr="0051101D">
        <w:rPr>
          <w:rFonts w:ascii="Calibri" w:eastAsia="Calibri" w:hAnsi="Calibri" w:cs="Calibri"/>
          <w:u w:val="single"/>
          <w:lang w:val="en-US"/>
        </w:rPr>
        <w:t>not</w:t>
      </w:r>
      <w:r w:rsidRPr="0051101D">
        <w:rPr>
          <w:rFonts w:ascii="Calibri" w:eastAsia="Calibri" w:hAnsi="Calibri" w:cs="Calibri"/>
          <w:lang w:val="en-US"/>
        </w:rPr>
        <w:t xml:space="preserve"> a public servant, in order to make clear that, in fact, the appointment should be made by way of disallowable instrument. In its document titled </w:t>
      </w:r>
      <w:hyperlink r:id="rId26" w:history="1">
        <w:r w:rsidRPr="00FE5B3A">
          <w:rPr>
            <w:rFonts w:ascii="Calibri" w:eastAsia="Calibri" w:hAnsi="Calibri" w:cs="Calibri"/>
            <w:i/>
            <w:color w:val="3657D2"/>
            <w:lang w:val="en-US"/>
          </w:rPr>
          <w:t>Subordinate legislation—Technical and stylistic standards—Tips/Traps</w:t>
        </w:r>
      </w:hyperlink>
      <w:r w:rsidRPr="0051101D">
        <w:rPr>
          <w:rFonts w:ascii="Calibri" w:eastAsia="Calibri" w:hAnsi="Calibri" w:cs="Calibri"/>
          <w:color w:val="000000"/>
          <w:lang w:val="en-US"/>
        </w:rPr>
        <w:t>,</w:t>
      </w:r>
      <w:r w:rsidRPr="0051101D">
        <w:rPr>
          <w:rFonts w:ascii="Calibri" w:eastAsia="Calibri" w:hAnsi="Calibri" w:cs="Calibri"/>
          <w:vertAlign w:val="superscript"/>
          <w:lang w:val="en-US"/>
        </w:rPr>
        <w:footnoteReference w:id="3"/>
      </w:r>
      <w:r w:rsidRPr="0051101D">
        <w:rPr>
          <w:rFonts w:ascii="Calibri" w:eastAsia="Calibri" w:hAnsi="Calibri" w:cs="Calibri"/>
          <w:lang w:val="en-US"/>
        </w:rPr>
        <w:t xml:space="preserve"> the Committee stated:</w:t>
      </w:r>
    </w:p>
    <w:p w14:paraId="58D76F48" w14:textId="77777777" w:rsidR="00977E3A" w:rsidRPr="0051101D" w:rsidRDefault="00977E3A" w:rsidP="00977E3A">
      <w:pPr>
        <w:keepLines/>
        <w:ind w:left="360"/>
        <w:rPr>
          <w:rFonts w:ascii="Calibri" w:eastAsia="Calibri" w:hAnsi="Calibri" w:cs="Calibri"/>
          <w:lang w:val="en-US"/>
        </w:rPr>
      </w:pPr>
      <w:r w:rsidRPr="0051101D">
        <w:rPr>
          <w:rFonts w:ascii="Calibri" w:eastAsia="Calibri" w:hAnsi="Calibri" w:cs="Calibri"/>
          <w:lang w:val="en-US"/>
        </w:rPr>
        <w:t>Under paragraph 227(2</w:t>
      </w:r>
      <w:proofErr w:type="gramStart"/>
      <w:r w:rsidRPr="0051101D">
        <w:rPr>
          <w:rFonts w:ascii="Calibri" w:eastAsia="Calibri" w:hAnsi="Calibri" w:cs="Calibri"/>
          <w:lang w:val="en-US"/>
        </w:rPr>
        <w:t>)(</w:t>
      </w:r>
      <w:proofErr w:type="gramEnd"/>
      <w:r w:rsidRPr="0051101D">
        <w:rPr>
          <w:rFonts w:ascii="Calibri" w:eastAsia="Calibri" w:hAnsi="Calibri" w:cs="Calibri"/>
          <w:lang w:val="en-US"/>
        </w:rPr>
        <w:t xml:space="preserve">a) of the </w:t>
      </w:r>
      <w:r w:rsidRPr="0051101D">
        <w:rPr>
          <w:rFonts w:ascii="Calibri" w:eastAsia="Calibri" w:hAnsi="Calibri" w:cs="Calibri"/>
          <w:i/>
          <w:lang w:val="en-US"/>
        </w:rPr>
        <w:t>Legislation Act 2001</w:t>
      </w:r>
      <w:r w:rsidRPr="0051101D">
        <w:rPr>
          <w:rFonts w:ascii="Calibri" w:eastAsia="Calibri" w:hAnsi="Calibri" w:cs="Calibri"/>
          <w:lang w:val="en-US"/>
        </w:rPr>
        <w:t>, an instrument of appointment is not disallowable if it appoints a public servant. As a result, it assists the Committee (and the Legislative Assembly), if the explanatory statement for an instrument of appointment contains a statement to the effect that “the person appointed is not a public servant”.</w:t>
      </w:r>
    </w:p>
    <w:p w14:paraId="5BD4F126" w14:textId="77777777" w:rsidR="00977E3A" w:rsidRPr="0051101D" w:rsidRDefault="00977E3A" w:rsidP="00977E3A">
      <w:pPr>
        <w:keepLines/>
        <w:rPr>
          <w:rFonts w:ascii="Calibri" w:eastAsia="Calibri" w:hAnsi="Calibri" w:cs="Calibri"/>
          <w:lang w:val="en-US"/>
        </w:rPr>
      </w:pPr>
      <w:r w:rsidRPr="0051101D">
        <w:rPr>
          <w:rFonts w:ascii="Calibri" w:eastAsia="Calibri" w:hAnsi="Calibri" w:cs="Calibri"/>
          <w:lang w:val="en-US"/>
        </w:rPr>
        <w:t>The Committee notes that the explanatory statement for th</w:t>
      </w:r>
      <w:r>
        <w:rPr>
          <w:rFonts w:ascii="Calibri" w:eastAsia="Calibri" w:hAnsi="Calibri" w:cs="Calibri"/>
          <w:lang w:val="en-US"/>
        </w:rPr>
        <w:t xml:space="preserve">is </w:t>
      </w:r>
      <w:r w:rsidRPr="0051101D">
        <w:rPr>
          <w:rFonts w:ascii="Calibri" w:eastAsia="Calibri" w:hAnsi="Calibri" w:cs="Calibri"/>
          <w:lang w:val="en-US"/>
        </w:rPr>
        <w:t>instrument contain</w:t>
      </w:r>
      <w:r>
        <w:rPr>
          <w:rFonts w:ascii="Calibri" w:eastAsia="Calibri" w:hAnsi="Calibri" w:cs="Calibri"/>
          <w:lang w:val="en-US"/>
        </w:rPr>
        <w:t>s</w:t>
      </w:r>
      <w:r w:rsidRPr="0051101D">
        <w:rPr>
          <w:rFonts w:ascii="Calibri" w:eastAsia="Calibri" w:hAnsi="Calibri" w:cs="Calibri"/>
          <w:lang w:val="en-US"/>
        </w:rPr>
        <w:t xml:space="preserve"> no such statement.</w:t>
      </w:r>
    </w:p>
    <w:p w14:paraId="13343066" w14:textId="36735321" w:rsidR="00977E3A" w:rsidRPr="0051101D" w:rsidRDefault="00977E3A" w:rsidP="00977E3A">
      <w:pPr>
        <w:keepLines/>
        <w:rPr>
          <w:rFonts w:ascii="Calibri" w:eastAsia="Calibri" w:hAnsi="Calibri" w:cs="Calibri"/>
          <w:b/>
          <w:lang w:val="en-US"/>
        </w:rPr>
      </w:pPr>
      <w:r w:rsidRPr="0051101D">
        <w:rPr>
          <w:rFonts w:ascii="Calibri" w:eastAsia="Calibri" w:hAnsi="Calibri" w:cs="Calibri"/>
          <w:b/>
          <w:lang w:val="en-US"/>
        </w:rPr>
        <w:t>The Committee draws the attention of the Legislative Assembly to th</w:t>
      </w:r>
      <w:r>
        <w:rPr>
          <w:rFonts w:ascii="Calibri" w:eastAsia="Calibri" w:hAnsi="Calibri" w:cs="Calibri"/>
          <w:b/>
          <w:lang w:val="en-US"/>
        </w:rPr>
        <w:t xml:space="preserve">is </w:t>
      </w:r>
      <w:bookmarkStart w:id="542" w:name="_Hlk83140995"/>
      <w:r w:rsidR="00FE5B3A">
        <w:rPr>
          <w:rFonts w:ascii="Calibri" w:eastAsia="Calibri" w:hAnsi="Calibri" w:cs="Calibri"/>
          <w:b/>
          <w:lang w:val="en-US"/>
        </w:rPr>
        <w:t>instrument, under principle </w:t>
      </w:r>
      <w:r w:rsidRPr="0051101D">
        <w:rPr>
          <w:rFonts w:ascii="Calibri" w:eastAsia="Calibri" w:hAnsi="Calibri" w:cs="Calibri"/>
          <w:b/>
          <w:lang w:val="en-US"/>
        </w:rPr>
        <w:t>(10</w:t>
      </w:r>
      <w:proofErr w:type="gramStart"/>
      <w:r w:rsidRPr="0051101D">
        <w:rPr>
          <w:rFonts w:ascii="Calibri" w:eastAsia="Calibri" w:hAnsi="Calibri" w:cs="Calibri"/>
          <w:b/>
          <w:lang w:val="en-US"/>
        </w:rPr>
        <w:t>)(</w:t>
      </w:r>
      <w:proofErr w:type="gramEnd"/>
      <w:r w:rsidRPr="0051101D">
        <w:rPr>
          <w:rFonts w:ascii="Calibri" w:eastAsia="Calibri" w:hAnsi="Calibri" w:cs="Calibri"/>
          <w:b/>
          <w:lang w:val="en-US"/>
        </w:rPr>
        <w:t>d) of the Committee’s terms of reference, on the basis that the explanatory statement for the instrument do</w:t>
      </w:r>
      <w:r>
        <w:rPr>
          <w:rFonts w:ascii="Calibri" w:eastAsia="Calibri" w:hAnsi="Calibri" w:cs="Calibri"/>
          <w:b/>
          <w:lang w:val="en-US"/>
        </w:rPr>
        <w:t>es</w:t>
      </w:r>
      <w:r w:rsidRPr="0051101D">
        <w:rPr>
          <w:rFonts w:ascii="Calibri" w:eastAsia="Calibri" w:hAnsi="Calibri" w:cs="Calibri"/>
          <w:b/>
          <w:lang w:val="en-US"/>
        </w:rPr>
        <w:t xml:space="preserve"> not meet the technical or stylistic standards expected by the Committee</w:t>
      </w:r>
      <w:bookmarkEnd w:id="542"/>
      <w:r w:rsidRPr="0051101D">
        <w:rPr>
          <w:rFonts w:ascii="Calibri" w:eastAsia="Calibri" w:hAnsi="Calibri" w:cs="Calibri"/>
          <w:b/>
          <w:lang w:val="en-US"/>
        </w:rPr>
        <w:t>.</w:t>
      </w:r>
    </w:p>
    <w:p w14:paraId="54317A9E" w14:textId="77777777" w:rsidR="00977E3A" w:rsidRDefault="00977E3A" w:rsidP="00977E3A">
      <w:pPr>
        <w:widowControl w:val="0"/>
        <w:tabs>
          <w:tab w:val="left" w:pos="1276"/>
        </w:tabs>
        <w:rPr>
          <w:rFonts w:ascii="Calibri" w:hAnsi="Calibri" w:cs="Calibri"/>
          <w:b/>
          <w:bCs/>
          <w:color w:val="000000"/>
          <w:lang w:val="en-US"/>
        </w:rPr>
      </w:pPr>
      <w:r w:rsidRPr="0051101D">
        <w:rPr>
          <w:rFonts w:ascii="Calibri" w:hAnsi="Calibri" w:cs="Calibri"/>
          <w:b/>
          <w:bCs/>
          <w:color w:val="000000"/>
          <w:lang w:val="en-US"/>
        </w:rPr>
        <w:t>The Committee seeks the Minister’s confirmation that the person</w:t>
      </w:r>
      <w:r>
        <w:rPr>
          <w:rFonts w:ascii="Calibri" w:hAnsi="Calibri" w:cs="Calibri"/>
          <w:b/>
          <w:bCs/>
          <w:color w:val="000000"/>
          <w:lang w:val="en-US"/>
        </w:rPr>
        <w:t>s</w:t>
      </w:r>
      <w:r w:rsidRPr="0051101D">
        <w:rPr>
          <w:rFonts w:ascii="Calibri" w:hAnsi="Calibri" w:cs="Calibri"/>
          <w:b/>
          <w:bCs/>
          <w:color w:val="000000"/>
          <w:lang w:val="en-US"/>
        </w:rPr>
        <w:t xml:space="preserve"> appointed by th</w:t>
      </w:r>
      <w:r>
        <w:rPr>
          <w:rFonts w:ascii="Calibri" w:hAnsi="Calibri" w:cs="Calibri"/>
          <w:b/>
          <w:bCs/>
          <w:color w:val="000000"/>
          <w:lang w:val="en-US"/>
        </w:rPr>
        <w:t>is</w:t>
      </w:r>
      <w:r w:rsidRPr="0051101D">
        <w:rPr>
          <w:rFonts w:ascii="Calibri" w:hAnsi="Calibri" w:cs="Calibri"/>
          <w:b/>
          <w:bCs/>
          <w:color w:val="000000"/>
          <w:lang w:val="en-US"/>
        </w:rPr>
        <w:t xml:space="preserve"> instrument </w:t>
      </w:r>
      <w:r>
        <w:rPr>
          <w:rFonts w:ascii="Calibri" w:hAnsi="Calibri" w:cs="Calibri"/>
          <w:b/>
          <w:bCs/>
          <w:color w:val="000000"/>
          <w:lang w:val="en-US"/>
        </w:rPr>
        <w:t>are</w:t>
      </w:r>
      <w:r w:rsidRPr="0051101D">
        <w:rPr>
          <w:rFonts w:ascii="Calibri" w:hAnsi="Calibri" w:cs="Calibri"/>
          <w:b/>
          <w:bCs/>
          <w:color w:val="000000"/>
          <w:lang w:val="en-US"/>
        </w:rPr>
        <w:t xml:space="preserve"> </w:t>
      </w:r>
      <w:r w:rsidRPr="0051101D">
        <w:rPr>
          <w:rFonts w:ascii="Calibri" w:hAnsi="Calibri" w:cs="Calibri"/>
          <w:b/>
          <w:bCs/>
          <w:color w:val="000000"/>
          <w:u w:val="single"/>
          <w:lang w:val="en-US"/>
        </w:rPr>
        <w:t>not</w:t>
      </w:r>
      <w:r w:rsidRPr="0051101D">
        <w:rPr>
          <w:rFonts w:ascii="Calibri" w:hAnsi="Calibri" w:cs="Calibri"/>
          <w:b/>
          <w:bCs/>
          <w:color w:val="000000"/>
          <w:lang w:val="en-US"/>
        </w:rPr>
        <w:t xml:space="preserve"> public servant</w:t>
      </w:r>
      <w:r>
        <w:rPr>
          <w:rFonts w:ascii="Calibri" w:hAnsi="Calibri" w:cs="Calibri"/>
          <w:b/>
          <w:bCs/>
          <w:color w:val="000000"/>
          <w:lang w:val="en-US"/>
        </w:rPr>
        <w:t>s</w:t>
      </w:r>
      <w:r w:rsidRPr="0051101D">
        <w:rPr>
          <w:rFonts w:ascii="Calibri" w:hAnsi="Calibri" w:cs="Calibri"/>
          <w:b/>
          <w:bCs/>
          <w:color w:val="000000"/>
          <w:lang w:val="en-US"/>
        </w:rPr>
        <w:t>.</w:t>
      </w:r>
    </w:p>
    <w:p w14:paraId="0939D6C5" w14:textId="242BD6BB" w:rsidR="00977E3A" w:rsidRDefault="00977E3A" w:rsidP="00977E3A">
      <w:pPr>
        <w:widowControl w:val="0"/>
        <w:tabs>
          <w:tab w:val="left" w:pos="1276"/>
        </w:tabs>
        <w:rPr>
          <w:rFonts w:ascii="Calibri" w:hAnsi="Calibri" w:cs="Calibri"/>
          <w:b/>
          <w:bCs/>
          <w:color w:val="000000"/>
          <w:lang w:val="en-US"/>
        </w:rPr>
      </w:pPr>
      <w:r>
        <w:rPr>
          <w:rFonts w:ascii="Calibri" w:hAnsi="Calibri" w:cs="Calibri"/>
          <w:b/>
          <w:bCs/>
          <w:color w:val="000000"/>
          <w:lang w:val="en-US"/>
        </w:rPr>
        <w:t>This comment requires a response from the Minister.</w:t>
      </w:r>
      <w:r w:rsidRPr="00672739">
        <w:t xml:space="preserve"> </w:t>
      </w:r>
      <w:bookmarkStart w:id="543" w:name="_Hlk83139914"/>
      <w:r w:rsidRPr="00672739">
        <w:rPr>
          <w:rFonts w:ascii="Calibri" w:hAnsi="Calibri" w:cs="Calibri"/>
          <w:b/>
          <w:bCs/>
          <w:color w:val="000000"/>
          <w:lang w:val="en-US"/>
        </w:rPr>
        <w:t xml:space="preserve">The Committee would be grateful if the Minister could respond </w:t>
      </w:r>
      <w:r w:rsidR="0005767A">
        <w:rPr>
          <w:rFonts w:ascii="Calibri" w:hAnsi="Calibri" w:cs="Calibri"/>
          <w:b/>
          <w:bCs/>
          <w:color w:val="000000"/>
          <w:lang w:val="en-US"/>
        </w:rPr>
        <w:t>before 11 November</w:t>
      </w:r>
      <w:r>
        <w:rPr>
          <w:rFonts w:ascii="Calibri" w:hAnsi="Calibri" w:cs="Calibri"/>
          <w:b/>
          <w:bCs/>
          <w:color w:val="000000"/>
          <w:lang w:val="en-US"/>
        </w:rPr>
        <w:t xml:space="preserve"> 2021</w:t>
      </w:r>
      <w:r w:rsidRPr="00672739">
        <w:rPr>
          <w:rFonts w:ascii="Calibri" w:hAnsi="Calibri" w:cs="Calibri"/>
          <w:b/>
          <w:bCs/>
          <w:color w:val="000000"/>
          <w:lang w:val="en-US"/>
        </w:rPr>
        <w:t xml:space="preserve">, when the Legislative Assembly’s capacity to move to disallow the </w:t>
      </w:r>
      <w:r>
        <w:rPr>
          <w:rFonts w:ascii="Calibri" w:hAnsi="Calibri" w:cs="Calibri"/>
          <w:b/>
          <w:bCs/>
          <w:color w:val="000000"/>
          <w:lang w:val="en-US"/>
        </w:rPr>
        <w:t>instrument will expire.</w:t>
      </w:r>
    </w:p>
    <w:bookmarkEnd w:id="543"/>
    <w:p w14:paraId="6E358F15" w14:textId="77777777" w:rsidR="000D3223" w:rsidRPr="00BA1DB3" w:rsidRDefault="000D3223" w:rsidP="000D3223">
      <w:pPr>
        <w:pStyle w:val="Heading4nonumber"/>
        <w:rPr>
          <w:bCs/>
          <w:sz w:val="22"/>
          <w:szCs w:val="22"/>
        </w:rPr>
      </w:pPr>
      <w:r w:rsidRPr="00BA1DB3">
        <w:rPr>
          <w:sz w:val="22"/>
          <w:szCs w:val="22"/>
        </w:rPr>
        <w:t>COVID-19-related instrument</w:t>
      </w:r>
    </w:p>
    <w:p w14:paraId="17BEF95D" w14:textId="77777777" w:rsidR="000D3223" w:rsidRDefault="000D3223" w:rsidP="005D6E99">
      <w:pPr>
        <w:pStyle w:val="Bodycopy"/>
        <w:numPr>
          <w:ilvl w:val="0"/>
          <w:numId w:val="25"/>
        </w:numPr>
        <w:tabs>
          <w:tab w:val="clear" w:pos="1276"/>
          <w:tab w:val="left" w:pos="360"/>
        </w:tabs>
        <w:spacing w:before="160" w:after="160" w:line="280" w:lineRule="exact"/>
        <w:rPr>
          <w:b/>
        </w:rPr>
      </w:pPr>
      <w:r>
        <w:rPr>
          <w:b/>
        </w:rPr>
        <w:t>Disallowable Instrument</w:t>
      </w:r>
      <w:r w:rsidRPr="00451C85">
        <w:rPr>
          <w:b/>
        </w:rPr>
        <w:t xml:space="preserve"> </w:t>
      </w:r>
      <w:r>
        <w:rPr>
          <w:b/>
        </w:rPr>
        <w:t>DI2021-214</w:t>
      </w:r>
      <w:r w:rsidRPr="00451C85">
        <w:rPr>
          <w:b/>
        </w:rPr>
        <w:t xml:space="preserve"> being the </w:t>
      </w:r>
      <w:r>
        <w:rPr>
          <w:b/>
        </w:rPr>
        <w:t xml:space="preserve">Gaming Machine (Emergency Community Purpose Contribution—Local Live Performance Industry) Declaration 2021 section 166A of the </w:t>
      </w:r>
      <w:r w:rsidRPr="00603AA4">
        <w:rPr>
          <w:i/>
        </w:rPr>
        <w:t>Gaming Machine Act 2004</w:t>
      </w:r>
      <w:r w:rsidRPr="00236BDD">
        <w:rPr>
          <w:b/>
        </w:rPr>
        <w:t xml:space="preserve"> </w:t>
      </w:r>
      <w:r>
        <w:rPr>
          <w:b/>
        </w:rPr>
        <w:t xml:space="preserve">revokes DI2020-252 and extends the period of time, by three months, that clubs can claim contributions made to or for the local live performance industry as community purpose contributions. </w:t>
      </w:r>
    </w:p>
    <w:p w14:paraId="14712B72" w14:textId="3088DFA8" w:rsidR="000D3223" w:rsidRDefault="000D3223" w:rsidP="000D3223">
      <w:pPr>
        <w:pStyle w:val="Bodycopy"/>
        <w:tabs>
          <w:tab w:val="clear" w:pos="1276"/>
          <w:tab w:val="left" w:pos="720"/>
        </w:tabs>
        <w:spacing w:before="220" w:after="220" w:line="280" w:lineRule="exact"/>
      </w:pPr>
      <w:r>
        <w:rPr>
          <w:bCs/>
        </w:rPr>
        <w:t xml:space="preserve">This instrument is made under section 166A of the </w:t>
      </w:r>
      <w:r>
        <w:rPr>
          <w:bCs/>
          <w:i/>
          <w:iCs/>
        </w:rPr>
        <w:t>Gaming Machine Act 2004</w:t>
      </w:r>
      <w:r>
        <w:rPr>
          <w:bCs/>
        </w:rPr>
        <w:t xml:space="preserve">, which gives the Minister the power to declare, in the context of the COVID-19 pandemic, that </w:t>
      </w:r>
      <w:r w:rsidRPr="001F60A4">
        <w:rPr>
          <w:bCs/>
        </w:rPr>
        <w:t xml:space="preserve">a </w:t>
      </w:r>
      <w:r>
        <w:rPr>
          <w:bCs/>
        </w:rPr>
        <w:t xml:space="preserve">contribution by a holder of a </w:t>
      </w:r>
      <w:r w:rsidRPr="001F60A4">
        <w:rPr>
          <w:bCs/>
        </w:rPr>
        <w:t>licen</w:t>
      </w:r>
      <w:r>
        <w:rPr>
          <w:bCs/>
        </w:rPr>
        <w:t>ce under the Act</w:t>
      </w:r>
      <w:r w:rsidRPr="001F60A4">
        <w:rPr>
          <w:bCs/>
        </w:rPr>
        <w:t xml:space="preserve"> that is a club is a </w:t>
      </w:r>
      <w:r>
        <w:rPr>
          <w:bCs/>
        </w:rPr>
        <w:t>“</w:t>
      </w:r>
      <w:r w:rsidRPr="001F60A4">
        <w:rPr>
          <w:bCs/>
        </w:rPr>
        <w:t>community purpose contribution</w:t>
      </w:r>
      <w:r>
        <w:rPr>
          <w:bCs/>
        </w:rPr>
        <w:t>”, for the Act.  The Committee notes that the explanatory statement for the instrument</w:t>
      </w:r>
      <w:r w:rsidRPr="000D19C3">
        <w:t xml:space="preserve"> </w:t>
      </w:r>
      <w:r>
        <w:t>states that the instrument …..</w:t>
      </w:r>
    </w:p>
    <w:p w14:paraId="549C72E7" w14:textId="77777777" w:rsidR="000D3223" w:rsidRDefault="000D3223" w:rsidP="000D3223">
      <w:pPr>
        <w:pStyle w:val="Bodycopy"/>
        <w:tabs>
          <w:tab w:val="clear" w:pos="1276"/>
          <w:tab w:val="left" w:pos="720"/>
        </w:tabs>
        <w:spacing w:before="220" w:after="220" w:line="280" w:lineRule="exact"/>
        <w:ind w:left="360"/>
        <w:rPr>
          <w:bCs/>
        </w:rPr>
      </w:pPr>
      <w:r>
        <w:rPr>
          <w:bCs/>
        </w:rPr>
        <w:t xml:space="preserve"> …. </w:t>
      </w:r>
      <w:r w:rsidRPr="000D19C3">
        <w:rPr>
          <w:bCs/>
        </w:rPr>
        <w:t>provides for contributions made to, or for the benefit of, a member of the local live performance industry for the purpose of providing music or other live entertainment (other than sport) for club members and patrons, to be community purpose contributions for the purpose of providing relief or assistance to the community in relation to a COVID-19 emergency.</w:t>
      </w:r>
      <w:r>
        <w:rPr>
          <w:bCs/>
        </w:rPr>
        <w:t xml:space="preserve"> </w:t>
      </w:r>
    </w:p>
    <w:p w14:paraId="10F0F47E" w14:textId="34A24124" w:rsidR="000D3223" w:rsidRDefault="000D3223" w:rsidP="00C17A6F">
      <w:pPr>
        <w:pStyle w:val="Bodycopy"/>
        <w:keepLines/>
        <w:tabs>
          <w:tab w:val="clear" w:pos="1276"/>
          <w:tab w:val="left" w:pos="720"/>
        </w:tabs>
        <w:spacing w:before="220" w:after="220" w:line="280" w:lineRule="exact"/>
        <w:rPr>
          <w:bCs/>
        </w:rPr>
      </w:pPr>
      <w:r>
        <w:rPr>
          <w:bCs/>
        </w:rPr>
        <w:lastRenderedPageBreak/>
        <w:t xml:space="preserve">The explanatory statement also indicates that the effect of the instrument is to extend the effect of an earlier instrument – </w:t>
      </w:r>
      <w:r w:rsidRPr="000D19C3">
        <w:rPr>
          <w:bCs/>
        </w:rPr>
        <w:t>the Gaming Machine (Emergency Community Purpose Contribution</w:t>
      </w:r>
      <w:r>
        <w:rPr>
          <w:bCs/>
        </w:rPr>
        <w:t>—</w:t>
      </w:r>
      <w:r w:rsidRPr="000D19C3">
        <w:rPr>
          <w:bCs/>
        </w:rPr>
        <w:t>Local Live Performance Industry) Declaration 2020 [DI2020-252]</w:t>
      </w:r>
      <w:r>
        <w:rPr>
          <w:bCs/>
        </w:rPr>
        <w:t xml:space="preserve"> – to 30 November 2021.</w:t>
      </w:r>
    </w:p>
    <w:p w14:paraId="06E040D2" w14:textId="77777777" w:rsidR="000D3223" w:rsidRDefault="000D3223" w:rsidP="000D3223">
      <w:pPr>
        <w:pStyle w:val="Bodycopy"/>
        <w:tabs>
          <w:tab w:val="clear" w:pos="1276"/>
          <w:tab w:val="left" w:pos="720"/>
        </w:tabs>
        <w:spacing w:before="220" w:after="220" w:line="280" w:lineRule="exact"/>
        <w:rPr>
          <w:b/>
        </w:rPr>
      </w:pPr>
      <w:r>
        <w:rPr>
          <w:b/>
        </w:rPr>
        <w:t>This comment does not require a response from the Minister.</w:t>
      </w:r>
    </w:p>
    <w:p w14:paraId="5C965DD9" w14:textId="77777777" w:rsidR="000D3223" w:rsidRPr="00BA1DB3" w:rsidRDefault="000D3223" w:rsidP="000D3223">
      <w:pPr>
        <w:pStyle w:val="Heading4nonumber"/>
        <w:rPr>
          <w:bCs/>
          <w:sz w:val="22"/>
          <w:szCs w:val="22"/>
        </w:rPr>
      </w:pPr>
      <w:r w:rsidRPr="00BA1DB3">
        <w:rPr>
          <w:sz w:val="22"/>
          <w:szCs w:val="22"/>
        </w:rPr>
        <w:t>COVID-19-related instrument / Human rights issues</w:t>
      </w:r>
    </w:p>
    <w:p w14:paraId="0F9B22BB" w14:textId="77777777" w:rsidR="000D3223" w:rsidRPr="00BA4287" w:rsidRDefault="000D3223" w:rsidP="005D6E99">
      <w:pPr>
        <w:pStyle w:val="Bodycopy"/>
        <w:keepLines/>
        <w:numPr>
          <w:ilvl w:val="0"/>
          <w:numId w:val="25"/>
        </w:numPr>
        <w:tabs>
          <w:tab w:val="clear" w:pos="1276"/>
          <w:tab w:val="left" w:pos="360"/>
        </w:tabs>
        <w:spacing w:before="160" w:after="160" w:line="280" w:lineRule="exact"/>
        <w:rPr>
          <w:bCs/>
        </w:rPr>
      </w:pPr>
      <w:r>
        <w:rPr>
          <w:b/>
        </w:rPr>
        <w:t>Disallowable Instrument</w:t>
      </w:r>
      <w:r w:rsidRPr="00451C85">
        <w:rPr>
          <w:b/>
        </w:rPr>
        <w:t xml:space="preserve"> </w:t>
      </w:r>
      <w:r>
        <w:rPr>
          <w:b/>
        </w:rPr>
        <w:t>DI2021-216</w:t>
      </w:r>
      <w:r w:rsidRPr="00451C85">
        <w:rPr>
          <w:b/>
        </w:rPr>
        <w:t xml:space="preserve"> being the </w:t>
      </w:r>
      <w:r>
        <w:rPr>
          <w:b/>
        </w:rPr>
        <w:t xml:space="preserve">Residential Tenancies (COVID-19 Emergency Response) Declaration 2021 (No 3) made under section 156 of the </w:t>
      </w:r>
      <w:r w:rsidRPr="00603AA4">
        <w:rPr>
          <w:i/>
        </w:rPr>
        <w:t>Residential Tenancies Act 1997</w:t>
      </w:r>
      <w:r w:rsidRPr="00236BDD">
        <w:rPr>
          <w:b/>
        </w:rPr>
        <w:t xml:space="preserve"> </w:t>
      </w:r>
      <w:r>
        <w:rPr>
          <w:b/>
        </w:rPr>
        <w:t xml:space="preserve">revokes DI2021-166 and introduces a moratorium on evictions for those who are in quarantine and those who are unable to meet their commitments under a residential tenancy agreement. </w:t>
      </w:r>
    </w:p>
    <w:p w14:paraId="4D900BB1" w14:textId="3DF1F516" w:rsidR="000D3223" w:rsidRDefault="000D3223" w:rsidP="000D3223">
      <w:pPr>
        <w:pStyle w:val="Bodycopy"/>
        <w:keepLines/>
        <w:tabs>
          <w:tab w:val="clear" w:pos="1276"/>
          <w:tab w:val="left" w:pos="720"/>
        </w:tabs>
        <w:spacing w:before="220" w:after="220" w:line="280" w:lineRule="exact"/>
        <w:rPr>
          <w:bCs/>
        </w:rPr>
      </w:pPr>
      <w:r w:rsidRPr="00BA4287">
        <w:rPr>
          <w:bCs/>
        </w:rPr>
        <w:t xml:space="preserve">This instrument is made </w:t>
      </w:r>
      <w:r>
        <w:rPr>
          <w:bCs/>
        </w:rPr>
        <w:t xml:space="preserve">under section 156 of the </w:t>
      </w:r>
      <w:r>
        <w:rPr>
          <w:bCs/>
          <w:i/>
          <w:iCs/>
        </w:rPr>
        <w:t>Residential Tenancies Act 1997</w:t>
      </w:r>
      <w:r>
        <w:rPr>
          <w:bCs/>
        </w:rPr>
        <w:t xml:space="preserve">, which gives the Minister the power to make certain declarations, in relation to the COVID-19 pandemic.  </w:t>
      </w:r>
      <w:bookmarkStart w:id="544" w:name="_Hlk83131171"/>
      <w:r>
        <w:rPr>
          <w:bCs/>
        </w:rPr>
        <w:t>The Committee notes that the explanatory statement for the instrument indicates that the effect of the instrument</w:t>
      </w:r>
      <w:r w:rsidRPr="00B66741">
        <w:t xml:space="preserve"> </w:t>
      </w:r>
      <w:r>
        <w:t xml:space="preserve">is to “[introduce] </w:t>
      </w:r>
      <w:r w:rsidRPr="00B66741">
        <w:rPr>
          <w:bCs/>
        </w:rPr>
        <w:t>a moratorium on evictions for those in our community who are in quarantine and for those who are unable to meet their commitments under a residential tenancy agreement due to the impact of coronavirus (COVID-19).</w:t>
      </w:r>
      <w:r>
        <w:rPr>
          <w:bCs/>
        </w:rPr>
        <w:t>”  Under section 3 of the instrument, the moratorium operates until</w:t>
      </w:r>
      <w:r w:rsidR="00AC6022">
        <w:rPr>
          <w:bCs/>
        </w:rPr>
        <w:t xml:space="preserve"> the earlier of</w:t>
      </w:r>
      <w:r>
        <w:rPr>
          <w:bCs/>
        </w:rPr>
        <w:t>:</w:t>
      </w:r>
    </w:p>
    <w:p w14:paraId="2A1D6223" w14:textId="4E0587F7" w:rsidR="000D3223" w:rsidRPr="00894A5B" w:rsidRDefault="008D3D7B" w:rsidP="008D3D7B">
      <w:pPr>
        <w:pStyle w:val="Apara"/>
        <w:tabs>
          <w:tab w:val="clear" w:pos="1400"/>
          <w:tab w:val="clear" w:pos="1600"/>
        </w:tabs>
        <w:spacing w:before="220" w:after="220" w:line="280" w:lineRule="exact"/>
        <w:ind w:left="900" w:hanging="540"/>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z w:val="22"/>
          <w:szCs w:val="22"/>
        </w:rPr>
        <w:tab/>
      </w:r>
      <w:proofErr w:type="gramStart"/>
      <w:r w:rsidR="000D3223" w:rsidRPr="00894A5B">
        <w:rPr>
          <w:rFonts w:asciiTheme="minorHAnsi" w:hAnsiTheme="minorHAnsi" w:cstheme="minorHAnsi"/>
          <w:sz w:val="22"/>
          <w:szCs w:val="22"/>
        </w:rPr>
        <w:t>the</w:t>
      </w:r>
      <w:proofErr w:type="gramEnd"/>
      <w:r w:rsidR="000D3223" w:rsidRPr="00894A5B">
        <w:rPr>
          <w:rFonts w:asciiTheme="minorHAnsi" w:hAnsiTheme="minorHAnsi" w:cstheme="minorHAnsi"/>
          <w:sz w:val="22"/>
          <w:szCs w:val="22"/>
        </w:rPr>
        <w:t xml:space="preserve"> day the transitional period ends; or</w:t>
      </w:r>
    </w:p>
    <w:p w14:paraId="444AB494" w14:textId="1625556D" w:rsidR="000D3223" w:rsidRPr="00894A5B" w:rsidRDefault="008D3D7B" w:rsidP="008D3D7B">
      <w:pPr>
        <w:pStyle w:val="Apara"/>
        <w:tabs>
          <w:tab w:val="clear" w:pos="1400"/>
          <w:tab w:val="clear" w:pos="1600"/>
        </w:tabs>
        <w:spacing w:before="220" w:after="220" w:line="280" w:lineRule="exact"/>
        <w:ind w:left="900" w:hanging="540"/>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r>
      <w:proofErr w:type="gramStart"/>
      <w:r w:rsidR="000D3223" w:rsidRPr="00894A5B">
        <w:rPr>
          <w:rFonts w:asciiTheme="minorHAnsi" w:hAnsiTheme="minorHAnsi" w:cstheme="minorHAnsi"/>
          <w:sz w:val="22"/>
          <w:szCs w:val="22"/>
        </w:rPr>
        <w:t>the</w:t>
      </w:r>
      <w:proofErr w:type="gramEnd"/>
      <w:r w:rsidR="000D3223" w:rsidRPr="00894A5B">
        <w:rPr>
          <w:rFonts w:asciiTheme="minorHAnsi" w:hAnsiTheme="minorHAnsi" w:cstheme="minorHAnsi"/>
          <w:sz w:val="22"/>
          <w:szCs w:val="22"/>
        </w:rPr>
        <w:t xml:space="preserve"> day mentioned in the Act, section 156(3).</w:t>
      </w:r>
    </w:p>
    <w:p w14:paraId="00FE5FC5" w14:textId="2EE361C3" w:rsidR="000D3223" w:rsidRPr="00ED5BD5" w:rsidRDefault="000D3223" w:rsidP="000D3223">
      <w:pPr>
        <w:pStyle w:val="Bodycopy"/>
        <w:keepLines/>
        <w:tabs>
          <w:tab w:val="clear" w:pos="1276"/>
          <w:tab w:val="left" w:pos="720"/>
        </w:tabs>
        <w:spacing w:before="220" w:after="220" w:line="280" w:lineRule="exact"/>
      </w:pPr>
      <w:r>
        <w:rPr>
          <w:rFonts w:asciiTheme="minorHAnsi" w:hAnsiTheme="minorHAnsi" w:cstheme="minorHAnsi"/>
          <w:bCs/>
          <w:szCs w:val="22"/>
        </w:rPr>
        <w:t>“Transitional period” is defined in section 5 o</w:t>
      </w:r>
      <w:r w:rsidR="00F97084">
        <w:rPr>
          <w:rFonts w:asciiTheme="minorHAnsi" w:hAnsiTheme="minorHAnsi" w:cstheme="minorHAnsi"/>
          <w:bCs/>
          <w:szCs w:val="22"/>
        </w:rPr>
        <w:t>f the instrument as the period:</w:t>
      </w:r>
    </w:p>
    <w:p w14:paraId="39ACBF6A" w14:textId="74386B2D" w:rsidR="000D3223" w:rsidRPr="00894A5B" w:rsidRDefault="008D3D7B" w:rsidP="008D3D7B">
      <w:pPr>
        <w:pStyle w:val="Apara"/>
        <w:tabs>
          <w:tab w:val="clear" w:pos="1400"/>
          <w:tab w:val="clear" w:pos="1600"/>
          <w:tab w:val="num" w:pos="900"/>
        </w:tabs>
        <w:spacing w:before="220" w:after="220" w:line="280" w:lineRule="exact"/>
        <w:ind w:left="900" w:hanging="540"/>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z w:val="22"/>
          <w:szCs w:val="22"/>
        </w:rPr>
        <w:tab/>
      </w:r>
      <w:proofErr w:type="gramStart"/>
      <w:r w:rsidR="000D3223" w:rsidRPr="00894A5B">
        <w:rPr>
          <w:rFonts w:asciiTheme="minorHAnsi" w:hAnsiTheme="minorHAnsi" w:cstheme="minorHAnsi"/>
          <w:sz w:val="22"/>
          <w:szCs w:val="22"/>
        </w:rPr>
        <w:t>beginning</w:t>
      </w:r>
      <w:proofErr w:type="gramEnd"/>
      <w:r w:rsidR="000D3223" w:rsidRPr="00894A5B">
        <w:rPr>
          <w:rFonts w:asciiTheme="minorHAnsi" w:hAnsiTheme="minorHAnsi" w:cstheme="minorHAnsi"/>
          <w:sz w:val="22"/>
          <w:szCs w:val="22"/>
        </w:rPr>
        <w:t xml:space="preserve"> on the day after the moratorium period ends; and </w:t>
      </w:r>
    </w:p>
    <w:p w14:paraId="33381DDA" w14:textId="28E8886E" w:rsidR="000D3223" w:rsidRPr="00894A5B" w:rsidRDefault="008D3D7B" w:rsidP="008D3D7B">
      <w:pPr>
        <w:pStyle w:val="Apara"/>
        <w:tabs>
          <w:tab w:val="clear" w:pos="1400"/>
          <w:tab w:val="clear" w:pos="1600"/>
          <w:tab w:val="num" w:pos="900"/>
        </w:tabs>
        <w:spacing w:before="220" w:after="220" w:line="280" w:lineRule="exact"/>
        <w:ind w:left="900" w:hanging="540"/>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r>
      <w:proofErr w:type="gramStart"/>
      <w:r w:rsidR="000D3223" w:rsidRPr="00894A5B">
        <w:rPr>
          <w:rFonts w:asciiTheme="minorHAnsi" w:hAnsiTheme="minorHAnsi" w:cstheme="minorHAnsi"/>
          <w:sz w:val="22"/>
          <w:szCs w:val="22"/>
        </w:rPr>
        <w:t>ending</w:t>
      </w:r>
      <w:proofErr w:type="gramEnd"/>
      <w:r w:rsidR="000D3223" w:rsidRPr="00894A5B">
        <w:rPr>
          <w:rFonts w:asciiTheme="minorHAnsi" w:hAnsiTheme="minorHAnsi" w:cstheme="minorHAnsi"/>
          <w:sz w:val="22"/>
          <w:szCs w:val="22"/>
        </w:rPr>
        <w:t>—</w:t>
      </w:r>
    </w:p>
    <w:p w14:paraId="0ADDF90F" w14:textId="4E08CFEE" w:rsidR="000D3223" w:rsidRPr="00894A5B" w:rsidRDefault="008D3D7B" w:rsidP="008D3D7B">
      <w:pPr>
        <w:pStyle w:val="aDefsubpara"/>
        <w:tabs>
          <w:tab w:val="clear" w:pos="2140"/>
          <w:tab w:val="right" w:pos="1170"/>
          <w:tab w:val="left" w:pos="1440"/>
          <w:tab w:val="right" w:pos="9000"/>
        </w:tabs>
        <w:spacing w:before="220" w:after="220" w:line="280" w:lineRule="exact"/>
        <w:ind w:left="1440" w:hanging="540"/>
        <w:rPr>
          <w:rFonts w:asciiTheme="minorHAnsi" w:hAnsiTheme="minorHAnsi" w:cstheme="minorHAnsi"/>
          <w:sz w:val="22"/>
          <w:szCs w:val="22"/>
        </w:rPr>
      </w:pPr>
      <w:r>
        <w:rPr>
          <w:rFonts w:asciiTheme="minorHAnsi" w:hAnsiTheme="minorHAnsi" w:cstheme="minorHAnsi"/>
          <w:sz w:val="22"/>
          <w:szCs w:val="22"/>
        </w:rPr>
        <w:tab/>
        <w:t>(</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w:t>
      </w:r>
      <w:r>
        <w:rPr>
          <w:rFonts w:asciiTheme="minorHAnsi" w:hAnsiTheme="minorHAnsi" w:cstheme="minorHAnsi"/>
          <w:sz w:val="22"/>
          <w:szCs w:val="22"/>
        </w:rPr>
        <w:tab/>
      </w:r>
      <w:proofErr w:type="gramStart"/>
      <w:r w:rsidR="000D3223" w:rsidRPr="00894A5B">
        <w:rPr>
          <w:rFonts w:asciiTheme="minorHAnsi" w:hAnsiTheme="minorHAnsi" w:cstheme="minorHAnsi"/>
          <w:sz w:val="22"/>
          <w:szCs w:val="22"/>
        </w:rPr>
        <w:t>on</w:t>
      </w:r>
      <w:proofErr w:type="gramEnd"/>
      <w:r w:rsidR="000D3223" w:rsidRPr="00894A5B">
        <w:rPr>
          <w:rFonts w:asciiTheme="minorHAnsi" w:hAnsiTheme="minorHAnsi" w:cstheme="minorHAnsi"/>
          <w:sz w:val="22"/>
          <w:szCs w:val="22"/>
        </w:rPr>
        <w:t xml:space="preserve"> the day 12 weeks after the moratorium period ends; or</w:t>
      </w:r>
    </w:p>
    <w:p w14:paraId="00A86528" w14:textId="5AE153FB" w:rsidR="000D3223" w:rsidRPr="00894A5B" w:rsidRDefault="008D3D7B" w:rsidP="008D3D7B">
      <w:pPr>
        <w:pStyle w:val="aDefsubpara"/>
        <w:tabs>
          <w:tab w:val="clear" w:pos="2140"/>
          <w:tab w:val="right" w:pos="1170"/>
          <w:tab w:val="left" w:pos="1440"/>
          <w:tab w:val="right" w:pos="9000"/>
        </w:tabs>
        <w:spacing w:before="220" w:after="220" w:line="280" w:lineRule="exact"/>
        <w:ind w:left="1440" w:hanging="540"/>
        <w:rPr>
          <w:rFonts w:asciiTheme="minorHAnsi" w:hAnsiTheme="minorHAnsi" w:cstheme="minorHAnsi"/>
          <w:sz w:val="22"/>
          <w:szCs w:val="22"/>
        </w:rPr>
      </w:pPr>
      <w:r>
        <w:rPr>
          <w:rFonts w:asciiTheme="minorHAnsi" w:hAnsiTheme="minorHAnsi" w:cstheme="minorHAnsi"/>
          <w:sz w:val="22"/>
          <w:szCs w:val="22"/>
        </w:rPr>
        <w:tab/>
        <w:t>(ii)</w:t>
      </w:r>
      <w:r>
        <w:rPr>
          <w:rFonts w:asciiTheme="minorHAnsi" w:hAnsiTheme="minorHAnsi" w:cstheme="minorHAnsi"/>
          <w:sz w:val="22"/>
          <w:szCs w:val="22"/>
        </w:rPr>
        <w:tab/>
      </w:r>
      <w:proofErr w:type="gramStart"/>
      <w:r w:rsidR="000D3223" w:rsidRPr="00894A5B">
        <w:rPr>
          <w:rFonts w:asciiTheme="minorHAnsi" w:hAnsiTheme="minorHAnsi" w:cstheme="minorHAnsi"/>
          <w:sz w:val="22"/>
          <w:szCs w:val="22"/>
        </w:rPr>
        <w:t>if</w:t>
      </w:r>
      <w:proofErr w:type="gramEnd"/>
      <w:r w:rsidR="000D3223" w:rsidRPr="00894A5B">
        <w:rPr>
          <w:rFonts w:asciiTheme="minorHAnsi" w:hAnsiTheme="minorHAnsi" w:cstheme="minorHAnsi"/>
          <w:sz w:val="22"/>
          <w:szCs w:val="22"/>
        </w:rPr>
        <w:t xml:space="preserve"> the period is extended under section 6—at the end of the extended period.</w:t>
      </w:r>
    </w:p>
    <w:p w14:paraId="573D658E" w14:textId="77777777" w:rsidR="000D3223" w:rsidRDefault="000D3223" w:rsidP="008D3D7B">
      <w:pPr>
        <w:pStyle w:val="Bodycopy"/>
        <w:keepLines/>
        <w:tabs>
          <w:tab w:val="clear" w:pos="1276"/>
          <w:tab w:val="left" w:pos="720"/>
        </w:tabs>
        <w:spacing w:before="220" w:after="220" w:line="280" w:lineRule="exact"/>
        <w:rPr>
          <w:rFonts w:asciiTheme="minorHAnsi" w:hAnsiTheme="minorHAnsi" w:cstheme="minorHAnsi"/>
          <w:bCs/>
          <w:szCs w:val="22"/>
        </w:rPr>
      </w:pPr>
      <w:r>
        <w:rPr>
          <w:rFonts w:asciiTheme="minorHAnsi" w:hAnsiTheme="minorHAnsi" w:cstheme="minorHAnsi"/>
          <w:bCs/>
          <w:szCs w:val="22"/>
        </w:rPr>
        <w:t>“Moratorium period” is also defined in section 5 of the instrument as the period:</w:t>
      </w:r>
    </w:p>
    <w:p w14:paraId="696DD100" w14:textId="306FB418" w:rsidR="000D3223" w:rsidRPr="000A297E" w:rsidRDefault="008D3D7B" w:rsidP="008D3D7B">
      <w:pPr>
        <w:pStyle w:val="Apara"/>
        <w:tabs>
          <w:tab w:val="clear" w:pos="1400"/>
          <w:tab w:val="clear" w:pos="1600"/>
          <w:tab w:val="num" w:pos="900"/>
        </w:tabs>
        <w:spacing w:before="220" w:after="220" w:line="280" w:lineRule="exact"/>
        <w:ind w:left="900" w:hanging="540"/>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z w:val="22"/>
          <w:szCs w:val="22"/>
        </w:rPr>
        <w:tab/>
      </w:r>
      <w:proofErr w:type="gramStart"/>
      <w:r w:rsidR="000D3223" w:rsidRPr="000A297E">
        <w:rPr>
          <w:rFonts w:asciiTheme="minorHAnsi" w:hAnsiTheme="minorHAnsi" w:cstheme="minorHAnsi"/>
          <w:sz w:val="22"/>
          <w:szCs w:val="22"/>
        </w:rPr>
        <w:t>beginning</w:t>
      </w:r>
      <w:proofErr w:type="gramEnd"/>
      <w:r w:rsidR="000D3223" w:rsidRPr="000A297E">
        <w:rPr>
          <w:rFonts w:asciiTheme="minorHAnsi" w:hAnsiTheme="minorHAnsi" w:cstheme="minorHAnsi"/>
          <w:sz w:val="22"/>
          <w:szCs w:val="22"/>
        </w:rPr>
        <w:t xml:space="preserve"> on the notification day; and</w:t>
      </w:r>
    </w:p>
    <w:p w14:paraId="34F7DF31" w14:textId="485CBDC2" w:rsidR="000D3223" w:rsidRPr="000A297E" w:rsidRDefault="008D3D7B" w:rsidP="008D3D7B">
      <w:pPr>
        <w:pStyle w:val="Apara"/>
        <w:tabs>
          <w:tab w:val="clear" w:pos="1400"/>
          <w:tab w:val="clear" w:pos="1600"/>
          <w:tab w:val="num" w:pos="900"/>
        </w:tabs>
        <w:spacing w:before="220" w:after="220" w:line="280" w:lineRule="exact"/>
        <w:ind w:left="900" w:hanging="540"/>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r>
      <w:proofErr w:type="gramStart"/>
      <w:r w:rsidR="000D3223" w:rsidRPr="000A297E">
        <w:rPr>
          <w:rFonts w:asciiTheme="minorHAnsi" w:hAnsiTheme="minorHAnsi" w:cstheme="minorHAnsi"/>
          <w:sz w:val="22"/>
          <w:szCs w:val="22"/>
        </w:rPr>
        <w:t>ending</w:t>
      </w:r>
      <w:proofErr w:type="gramEnd"/>
      <w:r w:rsidR="000D3223" w:rsidRPr="000A297E">
        <w:rPr>
          <w:rFonts w:asciiTheme="minorHAnsi" w:hAnsiTheme="minorHAnsi" w:cstheme="minorHAnsi"/>
          <w:sz w:val="22"/>
          <w:szCs w:val="22"/>
        </w:rPr>
        <w:t>—</w:t>
      </w:r>
    </w:p>
    <w:p w14:paraId="243A2DC0" w14:textId="59728133" w:rsidR="000D3223" w:rsidRPr="008D3D7B" w:rsidRDefault="008D3D7B" w:rsidP="008D3D7B">
      <w:pPr>
        <w:pStyle w:val="aDefsubpara"/>
        <w:tabs>
          <w:tab w:val="clear" w:pos="2140"/>
          <w:tab w:val="right" w:pos="1170"/>
          <w:tab w:val="left" w:pos="1440"/>
          <w:tab w:val="right" w:pos="9000"/>
        </w:tabs>
        <w:spacing w:before="220" w:after="220" w:line="280" w:lineRule="exact"/>
        <w:ind w:left="1440" w:hanging="540"/>
        <w:rPr>
          <w:rFonts w:asciiTheme="minorHAnsi" w:hAnsiTheme="minorHAnsi" w:cstheme="minorHAnsi"/>
          <w:sz w:val="22"/>
          <w:szCs w:val="22"/>
        </w:rPr>
      </w:pPr>
      <w:r>
        <w:rPr>
          <w:rFonts w:asciiTheme="minorHAnsi" w:hAnsiTheme="minorHAnsi" w:cstheme="minorHAnsi"/>
          <w:sz w:val="22"/>
          <w:szCs w:val="22"/>
        </w:rPr>
        <w:tab/>
        <w:t>(</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w:t>
      </w:r>
      <w:r>
        <w:rPr>
          <w:rFonts w:asciiTheme="minorHAnsi" w:hAnsiTheme="minorHAnsi" w:cstheme="minorHAnsi"/>
          <w:sz w:val="22"/>
          <w:szCs w:val="22"/>
        </w:rPr>
        <w:tab/>
      </w:r>
      <w:proofErr w:type="gramStart"/>
      <w:r w:rsidR="000D3223" w:rsidRPr="008D3D7B">
        <w:rPr>
          <w:rFonts w:asciiTheme="minorHAnsi" w:hAnsiTheme="minorHAnsi" w:cstheme="minorHAnsi"/>
          <w:sz w:val="22"/>
          <w:szCs w:val="22"/>
        </w:rPr>
        <w:t>on</w:t>
      </w:r>
      <w:proofErr w:type="gramEnd"/>
      <w:r w:rsidR="000D3223" w:rsidRPr="008D3D7B">
        <w:rPr>
          <w:rFonts w:asciiTheme="minorHAnsi" w:hAnsiTheme="minorHAnsi" w:cstheme="minorHAnsi"/>
          <w:sz w:val="22"/>
          <w:szCs w:val="22"/>
        </w:rPr>
        <w:t xml:space="preserve"> the day 12 weeks after the notification day; or</w:t>
      </w:r>
    </w:p>
    <w:p w14:paraId="66F9D525" w14:textId="021F7766" w:rsidR="000D3223" w:rsidRPr="008D3D7B" w:rsidRDefault="008D3D7B" w:rsidP="008D3D7B">
      <w:pPr>
        <w:pStyle w:val="aDefsubpara"/>
        <w:tabs>
          <w:tab w:val="clear" w:pos="2140"/>
          <w:tab w:val="right" w:pos="1170"/>
          <w:tab w:val="left" w:pos="1440"/>
          <w:tab w:val="right" w:pos="9000"/>
        </w:tabs>
        <w:spacing w:before="220" w:after="220" w:line="280" w:lineRule="exact"/>
        <w:ind w:left="1440" w:hanging="540"/>
        <w:rPr>
          <w:rFonts w:asciiTheme="minorHAnsi" w:hAnsiTheme="minorHAnsi" w:cstheme="minorHAnsi"/>
          <w:sz w:val="22"/>
          <w:szCs w:val="22"/>
        </w:rPr>
      </w:pPr>
      <w:r>
        <w:rPr>
          <w:rFonts w:asciiTheme="minorHAnsi" w:hAnsiTheme="minorHAnsi" w:cstheme="minorHAnsi"/>
          <w:sz w:val="22"/>
          <w:szCs w:val="22"/>
        </w:rPr>
        <w:tab/>
        <w:t>(ii)</w:t>
      </w:r>
      <w:r>
        <w:rPr>
          <w:rFonts w:asciiTheme="minorHAnsi" w:hAnsiTheme="minorHAnsi" w:cstheme="minorHAnsi"/>
          <w:sz w:val="22"/>
          <w:szCs w:val="22"/>
        </w:rPr>
        <w:tab/>
      </w:r>
      <w:proofErr w:type="gramStart"/>
      <w:r w:rsidR="000D3223" w:rsidRPr="008D3D7B">
        <w:rPr>
          <w:rFonts w:asciiTheme="minorHAnsi" w:hAnsiTheme="minorHAnsi" w:cstheme="minorHAnsi"/>
          <w:sz w:val="22"/>
          <w:szCs w:val="22"/>
        </w:rPr>
        <w:t>if</w:t>
      </w:r>
      <w:proofErr w:type="gramEnd"/>
      <w:r w:rsidR="000D3223" w:rsidRPr="008D3D7B">
        <w:rPr>
          <w:rFonts w:asciiTheme="minorHAnsi" w:hAnsiTheme="minorHAnsi" w:cstheme="minorHAnsi"/>
          <w:sz w:val="22"/>
          <w:szCs w:val="22"/>
        </w:rPr>
        <w:t xml:space="preserve"> the period is extended under section 6—at the end of the extended period.</w:t>
      </w:r>
    </w:p>
    <w:p w14:paraId="03B9DEA5" w14:textId="77777777" w:rsidR="000D3223" w:rsidRDefault="000D3223" w:rsidP="000D3223">
      <w:pPr>
        <w:pStyle w:val="Bodycopy"/>
        <w:keepLines/>
        <w:tabs>
          <w:tab w:val="clear" w:pos="1276"/>
          <w:tab w:val="left" w:pos="720"/>
        </w:tabs>
        <w:spacing w:before="220" w:after="220" w:line="280" w:lineRule="exact"/>
        <w:rPr>
          <w:rFonts w:asciiTheme="minorHAnsi" w:hAnsiTheme="minorHAnsi" w:cstheme="minorHAnsi"/>
          <w:bCs/>
          <w:szCs w:val="22"/>
        </w:rPr>
      </w:pPr>
      <w:r>
        <w:rPr>
          <w:rFonts w:asciiTheme="minorHAnsi" w:hAnsiTheme="minorHAnsi" w:cstheme="minorHAnsi"/>
          <w:bCs/>
          <w:szCs w:val="22"/>
        </w:rPr>
        <w:t>Section 6 of the instrument gives the Minister the power to extend the moratorium period or the transitional period by not more than 12 weeks.</w:t>
      </w:r>
    </w:p>
    <w:p w14:paraId="0C9F1572" w14:textId="77777777" w:rsidR="000D3223" w:rsidRDefault="000D3223" w:rsidP="000D3223">
      <w:pPr>
        <w:pStyle w:val="Bodycopy"/>
        <w:keepLines/>
        <w:tabs>
          <w:tab w:val="clear" w:pos="1276"/>
          <w:tab w:val="left" w:pos="720"/>
        </w:tabs>
        <w:spacing w:before="220" w:after="220" w:line="280" w:lineRule="exact"/>
        <w:rPr>
          <w:rFonts w:asciiTheme="minorHAnsi" w:hAnsiTheme="minorHAnsi" w:cstheme="minorHAnsi"/>
          <w:bCs/>
          <w:szCs w:val="22"/>
        </w:rPr>
      </w:pPr>
      <w:r>
        <w:rPr>
          <w:rFonts w:asciiTheme="minorHAnsi" w:hAnsiTheme="minorHAnsi" w:cstheme="minorHAnsi"/>
          <w:bCs/>
          <w:szCs w:val="22"/>
        </w:rPr>
        <w:t>Subsection 156(3) of the Residential Tenancies Act (</w:t>
      </w:r>
      <w:proofErr w:type="spellStart"/>
      <w:r>
        <w:rPr>
          <w:rFonts w:asciiTheme="minorHAnsi" w:hAnsiTheme="minorHAnsi" w:cstheme="minorHAnsi"/>
          <w:bCs/>
          <w:szCs w:val="22"/>
        </w:rPr>
        <w:t>ie</w:t>
      </w:r>
      <w:proofErr w:type="spellEnd"/>
      <w:r>
        <w:rPr>
          <w:rFonts w:asciiTheme="minorHAnsi" w:hAnsiTheme="minorHAnsi" w:cstheme="minorHAnsi"/>
          <w:bCs/>
          <w:szCs w:val="22"/>
        </w:rPr>
        <w:t xml:space="preserve"> the alternative mechanism for determining the end of the moratorium) provides that a declaration expires on:</w:t>
      </w:r>
    </w:p>
    <w:p w14:paraId="4E065E0D" w14:textId="0C34331D" w:rsidR="000D3223" w:rsidRPr="003D2251" w:rsidRDefault="008D3D7B" w:rsidP="008D3D7B">
      <w:pPr>
        <w:pStyle w:val="Apara"/>
        <w:tabs>
          <w:tab w:val="clear" w:pos="1400"/>
          <w:tab w:val="clear" w:pos="1600"/>
        </w:tabs>
        <w:spacing w:before="220" w:after="220" w:line="280" w:lineRule="exact"/>
        <w:ind w:left="900" w:hanging="540"/>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z w:val="22"/>
          <w:szCs w:val="22"/>
        </w:rPr>
        <w:tab/>
      </w:r>
      <w:proofErr w:type="gramStart"/>
      <w:r w:rsidR="000D3223" w:rsidRPr="003D2251">
        <w:rPr>
          <w:rFonts w:asciiTheme="minorHAnsi" w:hAnsiTheme="minorHAnsi" w:cstheme="minorHAnsi"/>
          <w:sz w:val="22"/>
          <w:szCs w:val="22"/>
        </w:rPr>
        <w:t>the</w:t>
      </w:r>
      <w:proofErr w:type="gramEnd"/>
      <w:r w:rsidR="000D3223" w:rsidRPr="003D2251">
        <w:rPr>
          <w:rFonts w:asciiTheme="minorHAnsi" w:hAnsiTheme="minorHAnsi" w:cstheme="minorHAnsi"/>
          <w:sz w:val="22"/>
          <w:szCs w:val="22"/>
        </w:rPr>
        <w:t xml:space="preserve"> first day no COVID-19 emergency is in force (the declaration end date); or</w:t>
      </w:r>
    </w:p>
    <w:p w14:paraId="6552F5EE" w14:textId="499995B6" w:rsidR="000D3223" w:rsidRPr="003D2251" w:rsidRDefault="008D3D7B" w:rsidP="008D3D7B">
      <w:pPr>
        <w:pStyle w:val="Apara"/>
        <w:tabs>
          <w:tab w:val="clear" w:pos="1400"/>
          <w:tab w:val="clear" w:pos="1600"/>
          <w:tab w:val="num" w:pos="900"/>
        </w:tabs>
        <w:spacing w:before="220" w:after="220" w:line="280" w:lineRule="exact"/>
        <w:ind w:left="900" w:hanging="540"/>
        <w:rPr>
          <w:rFonts w:asciiTheme="minorHAnsi" w:hAnsiTheme="minorHAnsi" w:cstheme="minorHAnsi"/>
          <w:sz w:val="22"/>
          <w:szCs w:val="22"/>
        </w:rPr>
      </w:pPr>
      <w:r>
        <w:rPr>
          <w:rFonts w:asciiTheme="minorHAnsi" w:hAnsiTheme="minorHAnsi" w:cstheme="minorHAnsi"/>
          <w:sz w:val="22"/>
          <w:szCs w:val="22"/>
        </w:rPr>
        <w:lastRenderedPageBreak/>
        <w:t>(b)</w:t>
      </w:r>
      <w:r>
        <w:rPr>
          <w:rFonts w:asciiTheme="minorHAnsi" w:hAnsiTheme="minorHAnsi" w:cstheme="minorHAnsi"/>
          <w:sz w:val="22"/>
          <w:szCs w:val="22"/>
        </w:rPr>
        <w:tab/>
      </w:r>
      <w:proofErr w:type="gramStart"/>
      <w:r w:rsidR="000D3223" w:rsidRPr="003D2251">
        <w:rPr>
          <w:rFonts w:asciiTheme="minorHAnsi" w:hAnsiTheme="minorHAnsi" w:cstheme="minorHAnsi"/>
          <w:sz w:val="22"/>
          <w:szCs w:val="22"/>
        </w:rPr>
        <w:t>if</w:t>
      </w:r>
      <w:proofErr w:type="gramEnd"/>
      <w:r w:rsidR="000D3223" w:rsidRPr="003D2251">
        <w:rPr>
          <w:rFonts w:asciiTheme="minorHAnsi" w:hAnsiTheme="minorHAnsi" w:cstheme="minorHAnsi"/>
          <w:sz w:val="22"/>
          <w:szCs w:val="22"/>
        </w:rPr>
        <w:t xml:space="preserve"> the Minister considers that the effect of the COVID-19 pandemic justifies a later day, being a day not later than 3 months after the declaration end date—a later day notified by the Minister before the declaration end date.</w:t>
      </w:r>
    </w:p>
    <w:p w14:paraId="3AB1AA2A" w14:textId="77777777" w:rsidR="000D3223" w:rsidRDefault="000D3223" w:rsidP="000D3223">
      <w:pPr>
        <w:pStyle w:val="Bodycopy"/>
        <w:keepLines/>
        <w:tabs>
          <w:tab w:val="clear" w:pos="1276"/>
          <w:tab w:val="left" w:pos="720"/>
        </w:tabs>
        <w:spacing w:before="220" w:after="220" w:line="280" w:lineRule="exact"/>
        <w:rPr>
          <w:bCs/>
        </w:rPr>
      </w:pPr>
      <w:r w:rsidRPr="00BA4287">
        <w:rPr>
          <w:bCs/>
        </w:rPr>
        <w:t>The</w:t>
      </w:r>
      <w:r>
        <w:rPr>
          <w:bCs/>
        </w:rPr>
        <w:t xml:space="preserve"> Committee notes that the explanatory statement for the </w:t>
      </w:r>
      <w:r w:rsidRPr="00BA4287">
        <w:rPr>
          <w:bCs/>
        </w:rPr>
        <w:t>instrument</w:t>
      </w:r>
      <w:r>
        <w:rPr>
          <w:bCs/>
        </w:rPr>
        <w:t xml:space="preserve"> discusses potential human rights implications of the instrument.  The human rights discussed are the right to protection of family and children, under section 11 of the </w:t>
      </w:r>
      <w:r>
        <w:rPr>
          <w:bCs/>
          <w:i/>
          <w:iCs/>
        </w:rPr>
        <w:t xml:space="preserve">Human Rights Act 2004 </w:t>
      </w:r>
      <w:r>
        <w:rPr>
          <w:bCs/>
        </w:rPr>
        <w:t xml:space="preserve">and the right to privacy and home, under section 12 of the </w:t>
      </w:r>
      <w:r w:rsidRPr="00574927">
        <w:rPr>
          <w:bCs/>
        </w:rPr>
        <w:t>Human Rights Act</w:t>
      </w:r>
      <w:r>
        <w:rPr>
          <w:bCs/>
        </w:rPr>
        <w:t xml:space="preserve">.  The Committee notes that the explanatory statement states that the measures implemented by the instrument promote both those rights.  The explanatory statement goes on to state that the right to privacy may also be engaged by the possibility that tenants may be required to provide information </w:t>
      </w:r>
      <w:r w:rsidRPr="00574927">
        <w:rPr>
          <w:bCs/>
        </w:rPr>
        <w:t>to their real estate agents or landlords</w:t>
      </w:r>
      <w:r>
        <w:rPr>
          <w:bCs/>
        </w:rPr>
        <w:t>, in order</w:t>
      </w:r>
      <w:r w:rsidRPr="00574927">
        <w:rPr>
          <w:bCs/>
        </w:rPr>
        <w:t xml:space="preserve"> to demonstrate a loss of income and/or that they have been diagnosed with, or are caring for someone who has COVID-19</w:t>
      </w:r>
      <w:r>
        <w:rPr>
          <w:bCs/>
        </w:rPr>
        <w:t>, under section 19 of the instrument</w:t>
      </w:r>
      <w:r w:rsidRPr="00574927">
        <w:rPr>
          <w:bCs/>
        </w:rPr>
        <w:t>.</w:t>
      </w:r>
      <w:r>
        <w:rPr>
          <w:bCs/>
        </w:rPr>
        <w:t xml:space="preserve">  The explanatory statement states that t</w:t>
      </w:r>
      <w:r w:rsidRPr="00574927">
        <w:rPr>
          <w:bCs/>
        </w:rPr>
        <w:t xml:space="preserve">he right to privacy may be further limited by </w:t>
      </w:r>
      <w:r>
        <w:rPr>
          <w:bCs/>
        </w:rPr>
        <w:t>sections</w:t>
      </w:r>
      <w:r w:rsidRPr="00574927">
        <w:rPr>
          <w:bCs/>
        </w:rPr>
        <w:t xml:space="preserve"> 22 and 23 </w:t>
      </w:r>
      <w:r>
        <w:rPr>
          <w:bCs/>
        </w:rPr>
        <w:t xml:space="preserve">of the instrument, under which </w:t>
      </w:r>
      <w:r w:rsidRPr="00574927">
        <w:rPr>
          <w:bCs/>
        </w:rPr>
        <w:t>tenants</w:t>
      </w:r>
      <w:r>
        <w:rPr>
          <w:bCs/>
        </w:rPr>
        <w:t xml:space="preserve"> may be required </w:t>
      </w:r>
      <w:r w:rsidRPr="00574927">
        <w:rPr>
          <w:bCs/>
        </w:rPr>
        <w:t xml:space="preserve">to provide personal information from ACT Health to their real estate agents, landlords and/or </w:t>
      </w:r>
      <w:r>
        <w:rPr>
          <w:bCs/>
        </w:rPr>
        <w:t xml:space="preserve">the ACT Civil and Administrative Tribunal, in order to </w:t>
      </w:r>
      <w:r w:rsidRPr="00574927">
        <w:rPr>
          <w:bCs/>
        </w:rPr>
        <w:t>demonstrate that they are subject to a COVID-19 public health direction to quarantine or self-isolate and</w:t>
      </w:r>
      <w:r>
        <w:rPr>
          <w:bCs/>
        </w:rPr>
        <w:t>,</w:t>
      </w:r>
      <w:r w:rsidRPr="00574927">
        <w:rPr>
          <w:bCs/>
        </w:rPr>
        <w:t xml:space="preserve"> for that reason</w:t>
      </w:r>
      <w:r>
        <w:rPr>
          <w:bCs/>
        </w:rPr>
        <w:t>,</w:t>
      </w:r>
      <w:r w:rsidRPr="00574927">
        <w:rPr>
          <w:bCs/>
        </w:rPr>
        <w:t xml:space="preserve"> are unable to comply with a notice to vacate, a termination and possession order or a warrant for eviction. </w:t>
      </w:r>
    </w:p>
    <w:p w14:paraId="4CD9ED04" w14:textId="77777777" w:rsidR="000D3223" w:rsidRDefault="000D3223" w:rsidP="000D3223">
      <w:pPr>
        <w:pStyle w:val="Bodycopy"/>
        <w:keepLines/>
        <w:tabs>
          <w:tab w:val="clear" w:pos="1276"/>
          <w:tab w:val="left" w:pos="720"/>
        </w:tabs>
        <w:spacing w:before="220" w:after="220" w:line="280" w:lineRule="exact"/>
        <w:rPr>
          <w:bCs/>
        </w:rPr>
      </w:pPr>
      <w:r>
        <w:rPr>
          <w:bCs/>
        </w:rPr>
        <w:t>The Committee notes that the explanatory statement concludes:</w:t>
      </w:r>
    </w:p>
    <w:p w14:paraId="5F669189" w14:textId="77777777" w:rsidR="000D3223" w:rsidRPr="006602D5" w:rsidRDefault="000D3223" w:rsidP="008D3D7B">
      <w:pPr>
        <w:shd w:val="clear" w:color="auto" w:fill="FFFFFF"/>
        <w:ind w:left="360"/>
        <w:rPr>
          <w:rFonts w:cstheme="minorHAnsi"/>
        </w:rPr>
      </w:pPr>
      <w:r w:rsidRPr="006602D5">
        <w:rPr>
          <w:rFonts w:cstheme="minorHAnsi"/>
        </w:rPr>
        <w:t xml:space="preserve">These limitations are reasonable and proportionate in accordance with the test in section 28 of the </w:t>
      </w:r>
      <w:r>
        <w:rPr>
          <w:rFonts w:cstheme="minorHAnsi"/>
        </w:rPr>
        <w:t>[</w:t>
      </w:r>
      <w:r w:rsidRPr="006602D5">
        <w:rPr>
          <w:rFonts w:cstheme="minorHAnsi"/>
        </w:rPr>
        <w:t>H</w:t>
      </w:r>
      <w:r>
        <w:rPr>
          <w:rFonts w:cstheme="minorHAnsi"/>
        </w:rPr>
        <w:t xml:space="preserve">uman Rights Act]. </w:t>
      </w:r>
      <w:r w:rsidRPr="006602D5">
        <w:rPr>
          <w:rFonts w:cstheme="minorHAnsi"/>
        </w:rPr>
        <w:t>The measures in the Declaration have an important purpose, which is to mitigate the risk of homelessness arising from financial stress due to the COVID-19 pandemic and to prevent a person or people from being required to vacate a property when they are under a direction to self-isolate or quarantine.</w:t>
      </w:r>
      <w:r>
        <w:rPr>
          <w:rFonts w:cstheme="minorHAnsi"/>
        </w:rPr>
        <w:t xml:space="preserve"> </w:t>
      </w:r>
      <w:r w:rsidRPr="006602D5">
        <w:rPr>
          <w:rFonts w:cstheme="minorHAnsi"/>
        </w:rPr>
        <w:t xml:space="preserve">The limitation on the right to privacy is necessary as landlords may reasonably expect tenants to demonstrate that protections under the Declaration apply because the tenant is COVID-19 impacted. This ensures that landlords may otherwise exercise their normal statutory rights under residential tenancy law if circumstances extraneous to the pandemic permit. There are no other reasonably available and less restrictive alternatives that would not require the tenant to provide personal information to a third party. </w:t>
      </w:r>
    </w:p>
    <w:p w14:paraId="7CEA21DD" w14:textId="77777777" w:rsidR="000D3223" w:rsidRPr="00101FFE" w:rsidRDefault="000D3223" w:rsidP="000D3223">
      <w:pPr>
        <w:pStyle w:val="Bodycopy"/>
        <w:spacing w:before="220" w:after="220" w:line="280" w:lineRule="exact"/>
        <w:rPr>
          <w:bCs/>
        </w:rPr>
      </w:pPr>
      <w:r w:rsidRPr="00101FFE">
        <w:rPr>
          <w:bCs/>
        </w:rPr>
        <w:t>The</w:t>
      </w:r>
      <w:r>
        <w:rPr>
          <w:bCs/>
        </w:rPr>
        <w:t xml:space="preserve"> Committee also notes that the explanatory statement also addresses (at page 2) potential arguments about the (arguable) retrospective operation of the instrument. </w:t>
      </w:r>
    </w:p>
    <w:p w14:paraId="3D22071C" w14:textId="77777777" w:rsidR="000D3223" w:rsidRPr="002A3DCD" w:rsidRDefault="000D3223" w:rsidP="000D3223">
      <w:pPr>
        <w:pStyle w:val="Bodycopy"/>
        <w:spacing w:before="220" w:after="220" w:line="280" w:lineRule="exact"/>
        <w:rPr>
          <w:b/>
        </w:rPr>
      </w:pPr>
      <w:r w:rsidRPr="002A3DCD">
        <w:rPr>
          <w:b/>
        </w:rPr>
        <w:t>The Committee draws the attention of the Legislative Assembly to the discussion of human rights issues in the explanatory statement for th</w:t>
      </w:r>
      <w:r>
        <w:rPr>
          <w:b/>
        </w:rPr>
        <w:t>is</w:t>
      </w:r>
      <w:r w:rsidRPr="002A3DCD">
        <w:rPr>
          <w:b/>
        </w:rPr>
        <w:t xml:space="preserve"> instrument.</w:t>
      </w:r>
    </w:p>
    <w:bookmarkEnd w:id="544"/>
    <w:p w14:paraId="5D777F55" w14:textId="77777777" w:rsidR="000D3223" w:rsidRPr="002A3DCD" w:rsidRDefault="000D3223" w:rsidP="000D3223">
      <w:pPr>
        <w:pStyle w:val="Bodycopy"/>
        <w:spacing w:before="220" w:after="220" w:line="280" w:lineRule="exact"/>
        <w:rPr>
          <w:b/>
        </w:rPr>
      </w:pPr>
      <w:r w:rsidRPr="002A3DCD">
        <w:rPr>
          <w:b/>
        </w:rPr>
        <w:t>This comment does not require a response from the Minister.</w:t>
      </w:r>
    </w:p>
    <w:p w14:paraId="4C4F5283" w14:textId="77777777" w:rsidR="00950DD7" w:rsidRPr="00BA1DB3" w:rsidRDefault="00950DD7" w:rsidP="00950DD7">
      <w:pPr>
        <w:pStyle w:val="Heading4nonumber"/>
        <w:rPr>
          <w:bCs/>
          <w:sz w:val="22"/>
          <w:szCs w:val="22"/>
        </w:rPr>
      </w:pPr>
      <w:bookmarkStart w:id="545" w:name="_Hlk83134132"/>
      <w:r w:rsidRPr="00BA1DB3">
        <w:rPr>
          <w:sz w:val="22"/>
          <w:szCs w:val="22"/>
        </w:rPr>
        <w:t>COVID-19-related instrument / Human rights issues</w:t>
      </w:r>
    </w:p>
    <w:bookmarkEnd w:id="545"/>
    <w:p w14:paraId="1A1D51B8" w14:textId="77777777" w:rsidR="00950DD7" w:rsidRPr="00842199" w:rsidRDefault="00950DD7" w:rsidP="005D6E99">
      <w:pPr>
        <w:pStyle w:val="Bodycopy"/>
        <w:numPr>
          <w:ilvl w:val="0"/>
          <w:numId w:val="25"/>
        </w:numPr>
        <w:tabs>
          <w:tab w:val="clear" w:pos="1276"/>
          <w:tab w:val="left" w:pos="360"/>
        </w:tabs>
        <w:spacing w:before="160" w:after="160" w:line="280" w:lineRule="exact"/>
        <w:rPr>
          <w:b/>
        </w:rPr>
      </w:pPr>
      <w:r>
        <w:rPr>
          <w:b/>
        </w:rPr>
        <w:t>Disallowable Instrument</w:t>
      </w:r>
      <w:r w:rsidRPr="00451C85">
        <w:rPr>
          <w:b/>
        </w:rPr>
        <w:t xml:space="preserve"> </w:t>
      </w:r>
      <w:r>
        <w:rPr>
          <w:b/>
        </w:rPr>
        <w:t>DI2021-218</w:t>
      </w:r>
      <w:r w:rsidRPr="00451C85">
        <w:rPr>
          <w:b/>
        </w:rPr>
        <w:t xml:space="preserve"> being the </w:t>
      </w:r>
      <w:r>
        <w:rPr>
          <w:b/>
        </w:rPr>
        <w:t xml:space="preserve">Leases (Commercial and Retail) COVID-19 Emergency Response Declaration 2021 made under Section 177 of the </w:t>
      </w:r>
      <w:r w:rsidRPr="00603AA4">
        <w:rPr>
          <w:i/>
        </w:rPr>
        <w:t>Leases (Commercial and Retail) Act 2001</w:t>
      </w:r>
      <w:r w:rsidRPr="00236BDD">
        <w:rPr>
          <w:b/>
        </w:rPr>
        <w:t xml:space="preserve"> </w:t>
      </w:r>
      <w:r>
        <w:rPr>
          <w:b/>
        </w:rPr>
        <w:t xml:space="preserve">requires good faith negotiations between landlord and tenant, having regard to the overarching and leasing principles set out in the National Cabinet Code of Conduct prior to a landlord terminating the lease or taking adverse action for a prescribed breach. </w:t>
      </w:r>
    </w:p>
    <w:p w14:paraId="71D4C96C" w14:textId="3895CE4B" w:rsidR="00950DD7" w:rsidRDefault="00950DD7" w:rsidP="00950DD7">
      <w:pPr>
        <w:pStyle w:val="Bodycopy"/>
        <w:keepLines/>
        <w:tabs>
          <w:tab w:val="clear" w:pos="1276"/>
          <w:tab w:val="left" w:pos="720"/>
        </w:tabs>
        <w:spacing w:before="220" w:after="220" w:line="280" w:lineRule="exact"/>
        <w:rPr>
          <w:bCs/>
        </w:rPr>
      </w:pPr>
      <w:r w:rsidRPr="00BA4287">
        <w:rPr>
          <w:bCs/>
        </w:rPr>
        <w:t xml:space="preserve">This instrument is made </w:t>
      </w:r>
      <w:r>
        <w:rPr>
          <w:bCs/>
        </w:rPr>
        <w:t xml:space="preserve">under section 156 of the </w:t>
      </w:r>
      <w:r>
        <w:rPr>
          <w:bCs/>
          <w:i/>
          <w:iCs/>
        </w:rPr>
        <w:t>Residential Tenancies Act 1997</w:t>
      </w:r>
      <w:r>
        <w:rPr>
          <w:bCs/>
        </w:rPr>
        <w:t>, which gives the Minister the power to make certain declarations, in relation to the COVID-19 pandemic.</w:t>
      </w:r>
    </w:p>
    <w:p w14:paraId="0B401C50" w14:textId="37BE199E" w:rsidR="00950DD7" w:rsidRDefault="00950DD7" w:rsidP="00950DD7">
      <w:pPr>
        <w:pStyle w:val="Bodycopy"/>
        <w:keepLines/>
        <w:tabs>
          <w:tab w:val="clear" w:pos="1276"/>
          <w:tab w:val="left" w:pos="720"/>
        </w:tabs>
        <w:spacing w:before="220" w:after="220" w:line="280" w:lineRule="exact"/>
        <w:rPr>
          <w:bCs/>
        </w:rPr>
      </w:pPr>
      <w:r>
        <w:rPr>
          <w:bCs/>
        </w:rPr>
        <w:lastRenderedPageBreak/>
        <w:t xml:space="preserve">The Committee notes that the explanatory statement for the instrument indicates that the effect of the instrument is to extend the operation of two previous declarations – the </w:t>
      </w:r>
      <w:r w:rsidRPr="00BA4287">
        <w:rPr>
          <w:bCs/>
        </w:rPr>
        <w:t xml:space="preserve">Leases (Commercial and Retail) COVID-19 Emergency Response Declaration 2020 </w:t>
      </w:r>
      <w:r>
        <w:rPr>
          <w:bCs/>
        </w:rPr>
        <w:t>[</w:t>
      </w:r>
      <w:r w:rsidRPr="00BA4287">
        <w:rPr>
          <w:bCs/>
        </w:rPr>
        <w:t>DI2020-92</w:t>
      </w:r>
      <w:r>
        <w:rPr>
          <w:bCs/>
        </w:rPr>
        <w:t>]</w:t>
      </w:r>
      <w:r w:rsidRPr="00BA4287">
        <w:rPr>
          <w:bCs/>
        </w:rPr>
        <w:t xml:space="preserve"> and </w:t>
      </w:r>
      <w:r>
        <w:rPr>
          <w:bCs/>
        </w:rPr>
        <w:t xml:space="preserve">the </w:t>
      </w:r>
      <w:r w:rsidRPr="00BA4287">
        <w:rPr>
          <w:bCs/>
        </w:rPr>
        <w:t xml:space="preserve">Leases (Commercial and Retail) COVID-19 Emergency Response Declaration 2020 (No. 2) </w:t>
      </w:r>
      <w:r>
        <w:rPr>
          <w:bCs/>
        </w:rPr>
        <w:t>[</w:t>
      </w:r>
      <w:r w:rsidRPr="00BA4287">
        <w:rPr>
          <w:bCs/>
        </w:rPr>
        <w:t>DI2020-283</w:t>
      </w:r>
      <w:r>
        <w:rPr>
          <w:bCs/>
        </w:rPr>
        <w:t>] – which “</w:t>
      </w:r>
      <w:r w:rsidRPr="00BA4287">
        <w:rPr>
          <w:bCs/>
        </w:rPr>
        <w:t>introduced the requirement for good faith negotiations between parties having regard to the overarching principles and leasing principles set out in National Cabinet’s Code of Conduct for small to medium enterprises (SMEs), prior to a landlord terminating a commercial lease or taking adverse action against an impacted tenant for a prescribed breach.</w:t>
      </w:r>
      <w:r>
        <w:rPr>
          <w:bCs/>
        </w:rPr>
        <w:t>”  Under section 3 of the instrument, this instrument extends the operation of the relevant measures until:</w:t>
      </w:r>
    </w:p>
    <w:p w14:paraId="358AE814" w14:textId="1AC998F2" w:rsidR="00950DD7" w:rsidRPr="00B66741" w:rsidRDefault="000129E3" w:rsidP="000129E3">
      <w:pPr>
        <w:pStyle w:val="Apara"/>
        <w:tabs>
          <w:tab w:val="clear" w:pos="1400"/>
          <w:tab w:val="clear" w:pos="1600"/>
          <w:tab w:val="num" w:pos="900"/>
        </w:tabs>
        <w:spacing w:before="220" w:after="220" w:line="280" w:lineRule="exact"/>
        <w:ind w:left="900" w:hanging="540"/>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z w:val="22"/>
          <w:szCs w:val="22"/>
        </w:rPr>
        <w:tab/>
      </w:r>
      <w:proofErr w:type="gramStart"/>
      <w:r w:rsidR="00950DD7" w:rsidRPr="00B66741">
        <w:rPr>
          <w:rFonts w:asciiTheme="minorHAnsi" w:hAnsiTheme="minorHAnsi" w:cstheme="minorHAnsi"/>
          <w:sz w:val="22"/>
          <w:szCs w:val="22"/>
        </w:rPr>
        <w:t>the</w:t>
      </w:r>
      <w:proofErr w:type="gramEnd"/>
      <w:r w:rsidR="00950DD7" w:rsidRPr="00B66741">
        <w:rPr>
          <w:rFonts w:asciiTheme="minorHAnsi" w:hAnsiTheme="minorHAnsi" w:cstheme="minorHAnsi"/>
          <w:sz w:val="22"/>
          <w:szCs w:val="22"/>
        </w:rPr>
        <w:t xml:space="preserve"> first day no COVID-19 emergency is in force; or</w:t>
      </w:r>
    </w:p>
    <w:p w14:paraId="2CF617E4" w14:textId="42FD415F" w:rsidR="00950DD7" w:rsidRPr="003A0328" w:rsidRDefault="000129E3" w:rsidP="000129E3">
      <w:pPr>
        <w:pStyle w:val="Apara"/>
        <w:tabs>
          <w:tab w:val="clear" w:pos="1400"/>
          <w:tab w:val="num" w:pos="900"/>
          <w:tab w:val="num" w:pos="1600"/>
        </w:tabs>
        <w:spacing w:before="220" w:after="220" w:line="280" w:lineRule="exact"/>
        <w:ind w:left="900" w:hanging="540"/>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r>
      <w:proofErr w:type="gramStart"/>
      <w:r w:rsidR="00950DD7" w:rsidRPr="003A0328">
        <w:rPr>
          <w:rFonts w:asciiTheme="minorHAnsi" w:hAnsiTheme="minorHAnsi" w:cstheme="minorHAnsi"/>
          <w:sz w:val="22"/>
          <w:szCs w:val="22"/>
        </w:rPr>
        <w:t>if</w:t>
      </w:r>
      <w:proofErr w:type="gramEnd"/>
      <w:r w:rsidR="00950DD7" w:rsidRPr="003A0328">
        <w:rPr>
          <w:rFonts w:asciiTheme="minorHAnsi" w:hAnsiTheme="minorHAnsi" w:cstheme="minorHAnsi"/>
          <w:sz w:val="22"/>
          <w:szCs w:val="22"/>
        </w:rPr>
        <w:t xml:space="preserve"> a later day is notified by the Minister under the </w:t>
      </w:r>
      <w:hyperlink r:id="rId27" w:tooltip="Leases (Commercial and Retail) Act 2001" w:history="1">
        <w:r w:rsidR="00950DD7" w:rsidRPr="003A0328">
          <w:rPr>
            <w:rFonts w:asciiTheme="minorHAnsi" w:hAnsiTheme="minorHAnsi" w:cstheme="minorHAnsi"/>
            <w:sz w:val="22"/>
            <w:szCs w:val="22"/>
          </w:rPr>
          <w:t>Act</w:t>
        </w:r>
      </w:hyperlink>
      <w:r w:rsidR="00950DD7" w:rsidRPr="003A0328">
        <w:rPr>
          <w:rFonts w:asciiTheme="minorHAnsi" w:hAnsiTheme="minorHAnsi" w:cstheme="minorHAnsi"/>
          <w:sz w:val="22"/>
          <w:szCs w:val="22"/>
        </w:rPr>
        <w:t>, section 177(3)(b)—that day.</w:t>
      </w:r>
    </w:p>
    <w:p w14:paraId="77FF4A62" w14:textId="77777777" w:rsidR="00950DD7" w:rsidRPr="003A0328" w:rsidRDefault="00950DD7" w:rsidP="000129E3">
      <w:pPr>
        <w:pStyle w:val="aNote"/>
        <w:spacing w:before="220" w:after="220" w:line="280" w:lineRule="exact"/>
        <w:ind w:left="1260" w:hanging="900"/>
        <w:jc w:val="left"/>
        <w:rPr>
          <w:rFonts w:asciiTheme="minorHAnsi" w:hAnsiTheme="minorHAnsi" w:cstheme="minorHAnsi"/>
        </w:rPr>
      </w:pPr>
      <w:r w:rsidRPr="003A0328">
        <w:rPr>
          <w:rFonts w:asciiTheme="minorHAnsi" w:hAnsiTheme="minorHAnsi" w:cstheme="minorHAnsi"/>
          <w:i/>
        </w:rPr>
        <w:t>Note</w:t>
      </w:r>
      <w:r w:rsidRPr="003A0328">
        <w:rPr>
          <w:rFonts w:asciiTheme="minorHAnsi" w:hAnsiTheme="minorHAnsi" w:cstheme="minorHAnsi"/>
          <w:i/>
        </w:rPr>
        <w:tab/>
      </w:r>
      <w:r w:rsidRPr="003A0328">
        <w:rPr>
          <w:rFonts w:asciiTheme="minorHAnsi" w:hAnsiTheme="minorHAnsi" w:cstheme="minorHAnsi"/>
        </w:rPr>
        <w:t xml:space="preserve">The Minister may notify a day (not later than 3 months after the COVID-19 emergency ends) under the </w:t>
      </w:r>
      <w:hyperlink r:id="rId28" w:tooltip="Leases (Commercial and Retail) Act 2001" w:history="1">
        <w:r w:rsidRPr="003A0328">
          <w:rPr>
            <w:rFonts w:asciiTheme="minorHAnsi" w:hAnsiTheme="minorHAnsi" w:cstheme="minorHAnsi"/>
          </w:rPr>
          <w:t>Act</w:t>
        </w:r>
      </w:hyperlink>
      <w:r w:rsidRPr="003A0328">
        <w:rPr>
          <w:rFonts w:asciiTheme="minorHAnsi" w:hAnsiTheme="minorHAnsi" w:cstheme="minorHAnsi"/>
        </w:rPr>
        <w:t>, s 177(3)(b) if the Minister considers the effect of the COVID-19 pandemic justifies this instrument being in force for a period after the COVID-19 emergency ends.</w:t>
      </w:r>
    </w:p>
    <w:p w14:paraId="17D59986" w14:textId="77777777" w:rsidR="00950DD7" w:rsidRDefault="00950DD7" w:rsidP="00950DD7">
      <w:pPr>
        <w:pStyle w:val="Bodycopy"/>
        <w:keepLines/>
        <w:tabs>
          <w:tab w:val="clear" w:pos="1276"/>
          <w:tab w:val="left" w:pos="720"/>
        </w:tabs>
        <w:spacing w:before="220" w:after="220" w:line="280" w:lineRule="exact"/>
        <w:rPr>
          <w:bCs/>
        </w:rPr>
      </w:pPr>
      <w:r w:rsidRPr="00BA4287">
        <w:rPr>
          <w:bCs/>
        </w:rPr>
        <w:t>The</w:t>
      </w:r>
      <w:r>
        <w:rPr>
          <w:bCs/>
        </w:rPr>
        <w:t xml:space="preserve"> Committee notes that, like the explanatory statements for the previous instruments, the explanatory statement for this </w:t>
      </w:r>
      <w:r w:rsidRPr="00BA4287">
        <w:rPr>
          <w:bCs/>
        </w:rPr>
        <w:t>instrument</w:t>
      </w:r>
      <w:r>
        <w:rPr>
          <w:bCs/>
        </w:rPr>
        <w:t xml:space="preserve"> discusses potential human rights implications of the instrument.  The human right discussed is the right to privacy, under section 12 of the </w:t>
      </w:r>
      <w:r>
        <w:rPr>
          <w:bCs/>
          <w:i/>
          <w:iCs/>
        </w:rPr>
        <w:t xml:space="preserve">Human Rights Act </w:t>
      </w:r>
      <w:r w:rsidRPr="003A0328">
        <w:rPr>
          <w:bCs/>
          <w:i/>
          <w:iCs/>
        </w:rPr>
        <w:t>2004</w:t>
      </w:r>
      <w:r>
        <w:rPr>
          <w:bCs/>
        </w:rPr>
        <w:t>.  The Committee notes that the explanatory statement for the instrument concludes that …</w:t>
      </w:r>
    </w:p>
    <w:p w14:paraId="786F7055" w14:textId="77777777" w:rsidR="00950DD7" w:rsidRPr="003A0328" w:rsidRDefault="00950DD7" w:rsidP="000129E3">
      <w:pPr>
        <w:pStyle w:val="Bodycopy"/>
        <w:keepLines/>
        <w:tabs>
          <w:tab w:val="clear" w:pos="1276"/>
          <w:tab w:val="left" w:pos="9000"/>
        </w:tabs>
        <w:spacing w:before="220" w:after="220" w:line="280" w:lineRule="exact"/>
        <w:ind w:left="360"/>
        <w:rPr>
          <w:bCs/>
          <w:szCs w:val="22"/>
        </w:rPr>
      </w:pPr>
      <w:r>
        <w:rPr>
          <w:szCs w:val="22"/>
        </w:rPr>
        <w:t xml:space="preserve"> … </w:t>
      </w:r>
      <w:proofErr w:type="gramStart"/>
      <w:r w:rsidRPr="003A0328">
        <w:rPr>
          <w:szCs w:val="22"/>
        </w:rPr>
        <w:t>there</w:t>
      </w:r>
      <w:proofErr w:type="gramEnd"/>
      <w:r w:rsidRPr="003A0328">
        <w:rPr>
          <w:szCs w:val="22"/>
        </w:rPr>
        <w:t xml:space="preserve"> is no limitation of the right to privacy because there are no legal requirements for tenants to provide information, and tenants retain control as to what information is to be shared.</w:t>
      </w:r>
    </w:p>
    <w:p w14:paraId="66357818" w14:textId="77777777" w:rsidR="00950DD7" w:rsidRPr="002A3DCD" w:rsidRDefault="00950DD7" w:rsidP="00950DD7">
      <w:pPr>
        <w:pStyle w:val="Bodycopy"/>
        <w:spacing w:before="220" w:after="220" w:line="280" w:lineRule="exact"/>
        <w:rPr>
          <w:b/>
        </w:rPr>
      </w:pPr>
      <w:r w:rsidRPr="002A3DCD">
        <w:rPr>
          <w:b/>
        </w:rPr>
        <w:t>The Committee draws the attention of the Legislative Assembly to the discussion of human rights issues in the explanatory statement for th</w:t>
      </w:r>
      <w:r>
        <w:rPr>
          <w:b/>
        </w:rPr>
        <w:t>is</w:t>
      </w:r>
      <w:r w:rsidRPr="002A3DCD">
        <w:rPr>
          <w:b/>
        </w:rPr>
        <w:t xml:space="preserve"> instrument.</w:t>
      </w:r>
    </w:p>
    <w:p w14:paraId="2C4D1D71" w14:textId="77777777" w:rsidR="00950DD7" w:rsidRDefault="00950DD7" w:rsidP="00950DD7">
      <w:pPr>
        <w:pStyle w:val="Bodycopy"/>
        <w:spacing w:before="220" w:after="220" w:line="280" w:lineRule="exact"/>
        <w:rPr>
          <w:b/>
        </w:rPr>
      </w:pPr>
      <w:r>
        <w:rPr>
          <w:b/>
        </w:rPr>
        <w:t>This comment does not require a response from the Minister.</w:t>
      </w:r>
    </w:p>
    <w:p w14:paraId="4C1D8118" w14:textId="77777777" w:rsidR="006505B3" w:rsidRPr="00310CFA" w:rsidRDefault="006505B3" w:rsidP="00310CFA">
      <w:pPr>
        <w:pStyle w:val="Heading3"/>
        <w:rPr>
          <w:rFonts w:eastAsia="Calibri"/>
          <w:lang w:eastAsia="en-AU"/>
        </w:rPr>
      </w:pPr>
      <w:bookmarkStart w:id="546" w:name="_Toc338841798"/>
      <w:bookmarkStart w:id="547" w:name="_Hlk489262200"/>
      <w:bookmarkStart w:id="548" w:name="_Toc83639611"/>
      <w:bookmarkStart w:id="549" w:name="_Hlk20217519"/>
      <w:r w:rsidRPr="00310CFA">
        <w:rPr>
          <w:rFonts w:eastAsia="Calibri"/>
          <w:lang w:eastAsia="en-AU"/>
        </w:rPr>
        <w:t>Subordinate Laws</w:t>
      </w:r>
      <w:bookmarkStart w:id="550" w:name="_Hlk20475358"/>
      <w:r w:rsidRPr="00310CFA">
        <w:rPr>
          <w:rFonts w:eastAsia="Calibri"/>
          <w:lang w:eastAsia="en-AU"/>
        </w:rPr>
        <w:t>—Comment</w:t>
      </w:r>
      <w:bookmarkEnd w:id="546"/>
      <w:bookmarkEnd w:id="547"/>
      <w:bookmarkEnd w:id="550"/>
      <w:bookmarkEnd w:id="548"/>
    </w:p>
    <w:p w14:paraId="22EE5A0D" w14:textId="77777777" w:rsidR="006505B3" w:rsidRDefault="006505B3" w:rsidP="006505B3">
      <w:pPr>
        <w:widowControl w:val="0"/>
        <w:tabs>
          <w:tab w:val="left" w:pos="1276"/>
        </w:tabs>
        <w:spacing w:before="120" w:after="120" w:line="300" w:lineRule="exact"/>
        <w:rPr>
          <w:rFonts w:ascii="Calibri" w:hAnsi="Calibri" w:cs="Calibri"/>
          <w:color w:val="000000"/>
        </w:rPr>
      </w:pPr>
      <w:bookmarkStart w:id="551" w:name="_Hlk494963165"/>
      <w:bookmarkEnd w:id="549"/>
      <w:r w:rsidRPr="00987942">
        <w:rPr>
          <w:rFonts w:ascii="Calibri" w:hAnsi="Calibri" w:cs="Calibri"/>
          <w:color w:val="000000"/>
        </w:rPr>
        <w:t xml:space="preserve">The Committee </w:t>
      </w:r>
      <w:bookmarkEnd w:id="551"/>
      <w:r w:rsidRPr="00987942">
        <w:rPr>
          <w:rFonts w:ascii="Calibri" w:hAnsi="Calibri" w:cs="Calibri"/>
          <w:color w:val="000000"/>
        </w:rPr>
        <w:t>has examined the following subordinate law</w:t>
      </w:r>
      <w:r>
        <w:rPr>
          <w:rFonts w:ascii="Calibri" w:hAnsi="Calibri" w:cs="Calibri"/>
          <w:color w:val="000000"/>
        </w:rPr>
        <w:t>s</w:t>
      </w:r>
      <w:r w:rsidRPr="00987942">
        <w:rPr>
          <w:rFonts w:ascii="Calibri" w:hAnsi="Calibri" w:cs="Calibri"/>
          <w:color w:val="000000"/>
        </w:rPr>
        <w:t xml:space="preserve"> and offers these comments on</w:t>
      </w:r>
      <w:r>
        <w:rPr>
          <w:rFonts w:ascii="Calibri" w:hAnsi="Calibri" w:cs="Calibri"/>
          <w:color w:val="000000"/>
        </w:rPr>
        <w:t xml:space="preserve"> them:</w:t>
      </w:r>
    </w:p>
    <w:p w14:paraId="71B7E6DF" w14:textId="77777777" w:rsidR="00AE4275" w:rsidRPr="00BA1DB3" w:rsidRDefault="00AE4275" w:rsidP="00AE4275">
      <w:pPr>
        <w:pStyle w:val="Heading4nonumber"/>
        <w:rPr>
          <w:sz w:val="22"/>
          <w:szCs w:val="22"/>
        </w:rPr>
      </w:pPr>
      <w:r w:rsidRPr="00BA1DB3">
        <w:rPr>
          <w:sz w:val="22"/>
          <w:szCs w:val="22"/>
        </w:rPr>
        <w:t>Retrospectivity / Human rights issues</w:t>
      </w:r>
    </w:p>
    <w:p w14:paraId="3720E86E" w14:textId="77777777" w:rsidR="00AE4275" w:rsidRDefault="00AE4275" w:rsidP="005D6E99">
      <w:pPr>
        <w:pStyle w:val="Bodycopy"/>
        <w:numPr>
          <w:ilvl w:val="0"/>
          <w:numId w:val="25"/>
        </w:numPr>
        <w:tabs>
          <w:tab w:val="clear" w:pos="1276"/>
          <w:tab w:val="left" w:pos="360"/>
        </w:tabs>
        <w:spacing w:before="160" w:after="160" w:line="280" w:lineRule="exact"/>
        <w:rPr>
          <w:b/>
        </w:rPr>
      </w:pPr>
      <w:r>
        <w:rPr>
          <w:b/>
        </w:rPr>
        <w:t>Subordinate Law</w:t>
      </w:r>
      <w:r w:rsidRPr="00451C85">
        <w:rPr>
          <w:b/>
        </w:rPr>
        <w:t xml:space="preserve"> </w:t>
      </w:r>
      <w:r>
        <w:rPr>
          <w:b/>
        </w:rPr>
        <w:t>SL2021-18</w:t>
      </w:r>
      <w:r w:rsidRPr="00451C85">
        <w:rPr>
          <w:b/>
        </w:rPr>
        <w:t xml:space="preserve"> being the </w:t>
      </w:r>
      <w:r>
        <w:rPr>
          <w:b/>
        </w:rPr>
        <w:t xml:space="preserve">Road Transport (Vehicle Registration) Amendment Regulation 2021 (No 1) made under section 26 of the </w:t>
      </w:r>
      <w:r>
        <w:rPr>
          <w:i/>
        </w:rPr>
        <w:t>Road Transport (Driver Licensing) Act 1999,</w:t>
      </w:r>
      <w:r>
        <w:rPr>
          <w:b/>
        </w:rPr>
        <w:t xml:space="preserve"> section 233 of the</w:t>
      </w:r>
      <w:r>
        <w:rPr>
          <w:i/>
        </w:rPr>
        <w:t xml:space="preserve"> Road Transport (General) Act 1999</w:t>
      </w:r>
      <w:r>
        <w:rPr>
          <w:b/>
        </w:rPr>
        <w:t xml:space="preserve"> and section 13 of the</w:t>
      </w:r>
      <w:r>
        <w:rPr>
          <w:i/>
        </w:rPr>
        <w:t xml:space="preserve"> Road Transport (Vehicle Registration) Act 1999</w:t>
      </w:r>
      <w:r w:rsidRPr="00236BDD">
        <w:rPr>
          <w:b/>
        </w:rPr>
        <w:t xml:space="preserve"> </w:t>
      </w:r>
      <w:r>
        <w:rPr>
          <w:b/>
        </w:rPr>
        <w:t>provides for the consideration and registration of vehicles that are approved to be imported and supplied to market under specified Commonwealth legislation.</w:t>
      </w:r>
    </w:p>
    <w:p w14:paraId="0481A1B3" w14:textId="77777777" w:rsidR="00AE4275" w:rsidRDefault="00AE4275" w:rsidP="00BA1DB3">
      <w:pPr>
        <w:pStyle w:val="Bodycopy"/>
        <w:tabs>
          <w:tab w:val="clear" w:pos="1276"/>
          <w:tab w:val="left" w:pos="720"/>
        </w:tabs>
        <w:spacing w:before="220" w:after="220" w:line="280" w:lineRule="exact"/>
        <w:rPr>
          <w:bCs/>
        </w:rPr>
      </w:pPr>
      <w:r>
        <w:rPr>
          <w:bCs/>
        </w:rPr>
        <w:t>This subordinate law amends various road transport regulations.  The explanatory statement for the subordinate law states:</w:t>
      </w:r>
    </w:p>
    <w:p w14:paraId="7C250C6B" w14:textId="77777777" w:rsidR="00AE4275" w:rsidRPr="00B40F20" w:rsidRDefault="00AE4275" w:rsidP="00BA1DB3">
      <w:pPr>
        <w:ind w:left="360"/>
        <w:rPr>
          <w:rFonts w:cstheme="minorHAnsi"/>
        </w:rPr>
      </w:pPr>
      <w:r w:rsidRPr="00B40F20">
        <w:rPr>
          <w:rFonts w:cstheme="minorHAnsi"/>
        </w:rPr>
        <w:t xml:space="preserve">The purpose of this Regulation is to provide for the consideration and registration of vehicles approved to be imported and supplied to market under the </w:t>
      </w:r>
      <w:r w:rsidRPr="00B40F20">
        <w:rPr>
          <w:rFonts w:cstheme="minorHAnsi"/>
          <w:i/>
          <w:iCs/>
        </w:rPr>
        <w:t>Road Vehicle Standards Act 2018</w:t>
      </w:r>
      <w:r w:rsidRPr="00B40F20">
        <w:rPr>
          <w:rFonts w:cstheme="minorHAnsi"/>
        </w:rPr>
        <w:t xml:space="preserve"> (</w:t>
      </w:r>
      <w:proofErr w:type="spellStart"/>
      <w:r w:rsidRPr="00B40F20">
        <w:rPr>
          <w:rFonts w:cstheme="minorHAnsi"/>
        </w:rPr>
        <w:t>Cth</w:t>
      </w:r>
      <w:proofErr w:type="spellEnd"/>
      <w:r w:rsidRPr="00B40F20">
        <w:rPr>
          <w:rFonts w:cstheme="minorHAnsi"/>
        </w:rPr>
        <w:t xml:space="preserve">) (RVSA), the </w:t>
      </w:r>
      <w:r w:rsidRPr="00B40F20">
        <w:rPr>
          <w:rFonts w:cstheme="minorHAnsi"/>
          <w:i/>
          <w:iCs/>
        </w:rPr>
        <w:t>Road Vehicle Standards (Consequential and Transitional Provisions) Act 2018</w:t>
      </w:r>
      <w:r w:rsidRPr="00B40F20">
        <w:rPr>
          <w:rFonts w:cstheme="minorHAnsi"/>
        </w:rPr>
        <w:t xml:space="preserve"> (</w:t>
      </w:r>
      <w:proofErr w:type="spellStart"/>
      <w:r w:rsidRPr="00B40F20">
        <w:rPr>
          <w:rFonts w:cstheme="minorHAnsi"/>
        </w:rPr>
        <w:t>Cth</w:t>
      </w:r>
      <w:proofErr w:type="spellEnd"/>
      <w:r w:rsidRPr="00B40F20">
        <w:rPr>
          <w:rFonts w:cstheme="minorHAnsi"/>
        </w:rPr>
        <w:t xml:space="preserve">) that commenced on 1 July 2021.  This regulation also takes account of the repeal of the </w:t>
      </w:r>
      <w:r w:rsidRPr="00B40F20">
        <w:rPr>
          <w:rFonts w:cstheme="minorHAnsi"/>
          <w:i/>
          <w:iCs/>
        </w:rPr>
        <w:t>Motor Vehicle Standards Act 1989</w:t>
      </w:r>
      <w:r w:rsidRPr="00B40F20">
        <w:rPr>
          <w:rFonts w:cstheme="minorHAnsi"/>
        </w:rPr>
        <w:t xml:space="preserve"> (</w:t>
      </w:r>
      <w:proofErr w:type="spellStart"/>
      <w:r w:rsidRPr="00B40F20">
        <w:rPr>
          <w:rFonts w:cstheme="minorHAnsi"/>
        </w:rPr>
        <w:t>Cth</w:t>
      </w:r>
      <w:proofErr w:type="spellEnd"/>
      <w:r w:rsidRPr="00B40F20">
        <w:rPr>
          <w:rFonts w:cstheme="minorHAnsi"/>
        </w:rPr>
        <w:t>) (MVSA).</w:t>
      </w:r>
    </w:p>
    <w:p w14:paraId="345A4E25" w14:textId="09C814EF" w:rsidR="00AE4275" w:rsidRDefault="00AE4275" w:rsidP="00BA1DB3">
      <w:pPr>
        <w:pStyle w:val="Bodycopy"/>
        <w:tabs>
          <w:tab w:val="clear" w:pos="1276"/>
          <w:tab w:val="left" w:pos="720"/>
        </w:tabs>
        <w:spacing w:before="220" w:after="220" w:line="280" w:lineRule="exact"/>
        <w:rPr>
          <w:rFonts w:asciiTheme="minorHAnsi" w:hAnsiTheme="minorHAnsi" w:cstheme="minorHAnsi"/>
          <w:bCs/>
          <w:szCs w:val="22"/>
        </w:rPr>
      </w:pPr>
      <w:r>
        <w:rPr>
          <w:rFonts w:asciiTheme="minorHAnsi" w:hAnsiTheme="minorHAnsi" w:cstheme="minorHAnsi"/>
          <w:bCs/>
          <w:szCs w:val="22"/>
        </w:rPr>
        <w:lastRenderedPageBreak/>
        <w:t>The subordinate law was notified on the ACT Legislation Register on 9 August 2021.  Section 2 of the subordinate law provides that (in large part) the subordinate law “</w:t>
      </w:r>
      <w:r w:rsidR="00BA1DB3">
        <w:rPr>
          <w:rFonts w:asciiTheme="minorHAnsi" w:hAnsiTheme="minorHAnsi" w:cstheme="minorHAnsi"/>
          <w:bCs/>
          <w:szCs w:val="22"/>
        </w:rPr>
        <w:t>is taken to have commenced on 1 </w:t>
      </w:r>
      <w:r>
        <w:rPr>
          <w:rFonts w:asciiTheme="minorHAnsi" w:hAnsiTheme="minorHAnsi" w:cstheme="minorHAnsi"/>
          <w:bCs/>
          <w:szCs w:val="22"/>
        </w:rPr>
        <w:t>July 2021”.  This means that the subordinate law has retrospective effect.  The Committee notes, with approval, that this issue is addressed in the explanatory statement for the subordinate law:</w:t>
      </w:r>
    </w:p>
    <w:p w14:paraId="0774C33A" w14:textId="77777777" w:rsidR="00AE4275" w:rsidRDefault="00AE4275" w:rsidP="00BA1DB3">
      <w:pPr>
        <w:pStyle w:val="Bodycopy"/>
        <w:tabs>
          <w:tab w:val="clear" w:pos="1276"/>
          <w:tab w:val="left" w:pos="9000"/>
        </w:tabs>
        <w:spacing w:before="220" w:after="220" w:line="280" w:lineRule="exact"/>
        <w:ind w:left="360"/>
        <w:rPr>
          <w:rFonts w:asciiTheme="minorHAnsi" w:hAnsiTheme="minorHAnsi" w:cstheme="minorHAnsi"/>
          <w:bCs/>
          <w:szCs w:val="22"/>
        </w:rPr>
      </w:pPr>
      <w:r w:rsidRPr="00711CC9">
        <w:rPr>
          <w:rFonts w:asciiTheme="minorHAnsi" w:hAnsiTheme="minorHAnsi" w:cstheme="minorHAnsi"/>
          <w:bCs/>
          <w:szCs w:val="22"/>
        </w:rPr>
        <w:t>Taking the amendment regulation to have commenced on 1 July 2021 is not considered to be prejudicial to any person.  It is not considered to operate to the disadvantage of any person who has purchased a road vehicle approved for supply to market under the RVSA and has applied for registration of that vehicle in the ACT.  It serves to legitimise the registration of those vehicles for which applications for registration have been considered and granted by the road transport authority from 1 July 2021 to the day after notification of the amendment regulation on the ACT Legislation Register.</w:t>
      </w:r>
    </w:p>
    <w:p w14:paraId="25723D1F" w14:textId="5BD7D1E4" w:rsidR="00AE4275" w:rsidRPr="00B40F20" w:rsidRDefault="00AE4275" w:rsidP="00BA1DB3">
      <w:pPr>
        <w:pStyle w:val="Bodycopy"/>
        <w:tabs>
          <w:tab w:val="left" w:pos="720"/>
        </w:tabs>
        <w:spacing w:before="220" w:after="220" w:line="280" w:lineRule="exact"/>
        <w:rPr>
          <w:rFonts w:asciiTheme="minorHAnsi" w:hAnsiTheme="minorHAnsi" w:cstheme="minorHAnsi"/>
          <w:bCs/>
          <w:szCs w:val="22"/>
        </w:rPr>
      </w:pPr>
      <w:r>
        <w:rPr>
          <w:rFonts w:asciiTheme="minorHAnsi" w:hAnsiTheme="minorHAnsi" w:cstheme="minorHAnsi"/>
          <w:bCs/>
          <w:szCs w:val="22"/>
        </w:rPr>
        <w:t>The Committee notes that the explanatory statement for the subordinate law goes on to discuss possible human rights implications of the subordinate law, stating that “[t]</w:t>
      </w:r>
      <w:r w:rsidRPr="00711CC9">
        <w:rPr>
          <w:rFonts w:asciiTheme="minorHAnsi" w:hAnsiTheme="minorHAnsi" w:cstheme="minorHAnsi"/>
          <w:bCs/>
          <w:szCs w:val="22"/>
        </w:rPr>
        <w:t>here are not considered to be any human rights implications arising from this amendment regulation</w:t>
      </w:r>
      <w:r>
        <w:rPr>
          <w:rFonts w:asciiTheme="minorHAnsi" w:hAnsiTheme="minorHAnsi" w:cstheme="minorHAnsi"/>
          <w:bCs/>
          <w:szCs w:val="22"/>
        </w:rPr>
        <w:t>”, on the basis that “[t]</w:t>
      </w:r>
      <w:r w:rsidRPr="00711CC9">
        <w:rPr>
          <w:rFonts w:asciiTheme="minorHAnsi" w:hAnsiTheme="minorHAnsi" w:cstheme="minorHAnsi"/>
          <w:bCs/>
          <w:szCs w:val="22"/>
        </w:rPr>
        <w:t>he amendments</w:t>
      </w:r>
      <w:r>
        <w:rPr>
          <w:rFonts w:asciiTheme="minorHAnsi" w:hAnsiTheme="minorHAnsi" w:cstheme="minorHAnsi"/>
          <w:bCs/>
          <w:szCs w:val="22"/>
        </w:rPr>
        <w:t xml:space="preserve"> …</w:t>
      </w:r>
      <w:r w:rsidRPr="00711CC9">
        <w:rPr>
          <w:rFonts w:asciiTheme="minorHAnsi" w:hAnsiTheme="minorHAnsi" w:cstheme="minorHAnsi"/>
          <w:bCs/>
          <w:szCs w:val="22"/>
        </w:rPr>
        <w:t xml:space="preserve"> are technical amendments to align provisions with Commonwealth legislation</w:t>
      </w:r>
      <w:r>
        <w:rPr>
          <w:rFonts w:asciiTheme="minorHAnsi" w:hAnsiTheme="minorHAnsi" w:cstheme="minorHAnsi"/>
          <w:bCs/>
          <w:szCs w:val="22"/>
        </w:rPr>
        <w:t>” and “</w:t>
      </w:r>
      <w:r w:rsidRPr="00711CC9">
        <w:rPr>
          <w:rFonts w:asciiTheme="minorHAnsi" w:hAnsiTheme="minorHAnsi" w:cstheme="minorHAnsi"/>
          <w:bCs/>
          <w:szCs w:val="22"/>
        </w:rPr>
        <w:t>allow for additional pathways to use a registerable vehicle and do not remove existing pathways to use a registerable vehicle</w:t>
      </w:r>
      <w:r>
        <w:rPr>
          <w:rFonts w:asciiTheme="minorHAnsi" w:hAnsiTheme="minorHAnsi" w:cstheme="minorHAnsi"/>
          <w:bCs/>
          <w:szCs w:val="22"/>
        </w:rPr>
        <w:t>”.</w:t>
      </w:r>
    </w:p>
    <w:p w14:paraId="2A9F98D1" w14:textId="77777777" w:rsidR="00AE4275" w:rsidRPr="00524E25" w:rsidRDefault="00AE4275" w:rsidP="00BA1DB3">
      <w:pPr>
        <w:pStyle w:val="Bodycopy"/>
        <w:spacing w:before="220" w:after="220" w:line="280" w:lineRule="exact"/>
        <w:rPr>
          <w:rFonts w:asciiTheme="minorHAnsi" w:hAnsiTheme="minorHAnsi" w:cstheme="minorHAnsi"/>
          <w:b/>
          <w:szCs w:val="22"/>
        </w:rPr>
      </w:pPr>
      <w:r w:rsidRPr="00524E25">
        <w:rPr>
          <w:rFonts w:asciiTheme="minorHAnsi" w:hAnsiTheme="minorHAnsi" w:cstheme="minorHAnsi"/>
          <w:b/>
          <w:szCs w:val="22"/>
        </w:rPr>
        <w:t xml:space="preserve">The Committee draws the attention of the Legislative Assembly to the discussion of human rights issues in the explanatory statement for this </w:t>
      </w:r>
      <w:r>
        <w:rPr>
          <w:rFonts w:asciiTheme="minorHAnsi" w:hAnsiTheme="minorHAnsi" w:cstheme="minorHAnsi"/>
          <w:b/>
          <w:szCs w:val="22"/>
        </w:rPr>
        <w:t>subordinate law</w:t>
      </w:r>
      <w:r w:rsidRPr="00524E25">
        <w:rPr>
          <w:rFonts w:asciiTheme="minorHAnsi" w:hAnsiTheme="minorHAnsi" w:cstheme="minorHAnsi"/>
          <w:b/>
          <w:szCs w:val="22"/>
        </w:rPr>
        <w:t>.</w:t>
      </w:r>
    </w:p>
    <w:p w14:paraId="47B65980" w14:textId="77777777" w:rsidR="00AE4275" w:rsidRDefault="00AE4275" w:rsidP="00BA1DB3">
      <w:pPr>
        <w:rPr>
          <w:rFonts w:cstheme="minorHAnsi"/>
          <w:b/>
        </w:rPr>
      </w:pPr>
      <w:r w:rsidRPr="00524E25">
        <w:rPr>
          <w:rFonts w:cstheme="minorHAnsi"/>
          <w:b/>
        </w:rPr>
        <w:t>This comment does not require a response from the Minister.</w:t>
      </w:r>
    </w:p>
    <w:p w14:paraId="39945998" w14:textId="77777777" w:rsidR="00AE4275" w:rsidRPr="00BA1DB3" w:rsidRDefault="00AE4275" w:rsidP="00BA1DB3">
      <w:pPr>
        <w:pStyle w:val="Heading4nonumber"/>
        <w:rPr>
          <w:sz w:val="22"/>
        </w:rPr>
      </w:pPr>
      <w:r w:rsidRPr="00BA1DB3">
        <w:rPr>
          <w:sz w:val="22"/>
        </w:rPr>
        <w:t>COVID-19-related subordinate law</w:t>
      </w:r>
    </w:p>
    <w:p w14:paraId="0B3DEABF" w14:textId="77777777" w:rsidR="00AE4275" w:rsidRPr="00842199" w:rsidRDefault="00AE4275" w:rsidP="005D6E99">
      <w:pPr>
        <w:pStyle w:val="Bodycopy"/>
        <w:keepLines/>
        <w:numPr>
          <w:ilvl w:val="0"/>
          <w:numId w:val="25"/>
        </w:numPr>
        <w:tabs>
          <w:tab w:val="clear" w:pos="1276"/>
          <w:tab w:val="left" w:pos="360"/>
        </w:tabs>
        <w:spacing w:before="160" w:after="160" w:line="280" w:lineRule="exact"/>
        <w:rPr>
          <w:b/>
        </w:rPr>
      </w:pPr>
      <w:r>
        <w:rPr>
          <w:b/>
        </w:rPr>
        <w:t>Subordinate Law</w:t>
      </w:r>
      <w:r w:rsidRPr="00451C85">
        <w:rPr>
          <w:b/>
        </w:rPr>
        <w:t xml:space="preserve"> </w:t>
      </w:r>
      <w:r>
        <w:rPr>
          <w:b/>
        </w:rPr>
        <w:t>SL2021-19</w:t>
      </w:r>
      <w:r w:rsidRPr="00451C85">
        <w:rPr>
          <w:b/>
        </w:rPr>
        <w:t xml:space="preserve"> being the </w:t>
      </w:r>
      <w:r>
        <w:rPr>
          <w:b/>
        </w:rPr>
        <w:t xml:space="preserve">Medicines, Poisons and Therapeutic Goods Amendment Regulation 2021 (No 1) made under section 184 of the </w:t>
      </w:r>
      <w:r>
        <w:rPr>
          <w:i/>
        </w:rPr>
        <w:t>Medicines, Poisons and Therapeutic Goods Act 2008</w:t>
      </w:r>
      <w:r w:rsidRPr="00236BDD">
        <w:rPr>
          <w:b/>
        </w:rPr>
        <w:t xml:space="preserve"> </w:t>
      </w:r>
      <w:r>
        <w:rPr>
          <w:b/>
        </w:rPr>
        <w:t>supports the expansion of the COVID-19 vaccinating workforce at ACT Government-operated vaccination clinics.</w:t>
      </w:r>
    </w:p>
    <w:p w14:paraId="616362A6" w14:textId="77777777" w:rsidR="00AE4275" w:rsidRDefault="00AE4275" w:rsidP="001A3394">
      <w:pPr>
        <w:pStyle w:val="Bodycopy"/>
        <w:tabs>
          <w:tab w:val="left" w:pos="720"/>
        </w:tabs>
        <w:spacing w:before="220" w:after="220" w:line="280" w:lineRule="exact"/>
        <w:rPr>
          <w:bCs/>
        </w:rPr>
      </w:pPr>
      <w:r>
        <w:rPr>
          <w:bCs/>
        </w:rPr>
        <w:t xml:space="preserve">The Committee notes that this subordinate law, made under section 84 of the </w:t>
      </w:r>
      <w:r w:rsidRPr="0000293E">
        <w:rPr>
          <w:bCs/>
          <w:i/>
          <w:iCs/>
        </w:rPr>
        <w:t>Medicines, Poisons and Therapeutic Goods Act 2008</w:t>
      </w:r>
      <w:r w:rsidRPr="0000293E">
        <w:rPr>
          <w:bCs/>
        </w:rPr>
        <w:t xml:space="preserve">, </w:t>
      </w:r>
      <w:r>
        <w:rPr>
          <w:bCs/>
        </w:rPr>
        <w:t>is made in the context of the COVID-19 pandemic.  The Committee notes that the explanatory statement for the subordinate law states:</w:t>
      </w:r>
    </w:p>
    <w:p w14:paraId="3CCC5C29" w14:textId="77777777" w:rsidR="00AE4275" w:rsidRPr="0000293E" w:rsidRDefault="00AE4275" w:rsidP="00BA1DB3">
      <w:pPr>
        <w:autoSpaceDE w:val="0"/>
        <w:autoSpaceDN w:val="0"/>
        <w:adjustRightInd w:val="0"/>
        <w:ind w:left="360"/>
        <w:rPr>
          <w:rFonts w:cstheme="minorHAnsi"/>
        </w:rPr>
      </w:pPr>
      <w:r w:rsidRPr="0000293E">
        <w:rPr>
          <w:rFonts w:cstheme="minorHAnsi"/>
        </w:rPr>
        <w:t xml:space="preserve">The intent of this amendment regulation is to support expansion of the COVID-19 vaccinating workforce at ACT Government operated vaccination clinics, to ensure the ACT has sufficient authorised immunisers to meet the forecast increase in supply and demand for COVID-19 vaccines and meet vaccination targets set out by the Australian Government </w:t>
      </w:r>
      <w:r w:rsidRPr="0000293E">
        <w:rPr>
          <w:rFonts w:cstheme="minorHAnsi"/>
          <w:i/>
          <w:iCs/>
        </w:rPr>
        <w:t>Vaccination Allocation Horizons</w:t>
      </w:r>
      <w:r w:rsidRPr="0000293E">
        <w:rPr>
          <w:rFonts w:cstheme="minorHAnsi"/>
        </w:rPr>
        <w:t xml:space="preserve">. </w:t>
      </w:r>
    </w:p>
    <w:p w14:paraId="06F87347" w14:textId="77777777" w:rsidR="00AE4275" w:rsidRDefault="00AE4275" w:rsidP="00BA1DB3">
      <w:pPr>
        <w:pStyle w:val="Bodycopy"/>
        <w:tabs>
          <w:tab w:val="left" w:pos="720"/>
        </w:tabs>
        <w:spacing w:before="220" w:after="220" w:line="280" w:lineRule="exact"/>
        <w:rPr>
          <w:rFonts w:asciiTheme="minorHAnsi" w:hAnsiTheme="minorHAnsi" w:cstheme="minorHAnsi"/>
          <w:b/>
          <w:szCs w:val="22"/>
        </w:rPr>
      </w:pPr>
      <w:r>
        <w:rPr>
          <w:rFonts w:asciiTheme="minorHAnsi" w:hAnsiTheme="minorHAnsi" w:cstheme="minorHAnsi"/>
          <w:b/>
          <w:szCs w:val="22"/>
        </w:rPr>
        <w:t>This comment does not require a response from the Minister.</w:t>
      </w:r>
    </w:p>
    <w:p w14:paraId="57A0AF9F" w14:textId="291DD1C8" w:rsidR="006505B3" w:rsidRPr="00310CFA" w:rsidRDefault="007139F1" w:rsidP="00805AD5">
      <w:pPr>
        <w:pStyle w:val="Heading3"/>
        <w:rPr>
          <w:rFonts w:eastAsia="Calibri"/>
          <w:lang w:eastAsia="en-AU"/>
        </w:rPr>
      </w:pPr>
      <w:bookmarkStart w:id="552" w:name="_Toc83639612"/>
      <w:r>
        <w:rPr>
          <w:rFonts w:eastAsia="Calibri"/>
          <w:lang w:eastAsia="en-AU"/>
        </w:rPr>
        <w:t>National Regulation</w:t>
      </w:r>
      <w:r w:rsidR="006505B3" w:rsidRPr="00310CFA">
        <w:rPr>
          <w:rFonts w:eastAsia="Calibri"/>
          <w:lang w:eastAsia="en-AU"/>
        </w:rPr>
        <w:t>—Comment</w:t>
      </w:r>
      <w:bookmarkEnd w:id="552"/>
    </w:p>
    <w:p w14:paraId="4A7E4DDD" w14:textId="0438B63F" w:rsidR="006505B3" w:rsidRPr="003F6A7E" w:rsidRDefault="006505B3" w:rsidP="00BA1DB3">
      <w:pPr>
        <w:pStyle w:val="Bodycopy"/>
        <w:keepLines/>
        <w:spacing w:line="280" w:lineRule="exact"/>
        <w:rPr>
          <w:bCs/>
        </w:rPr>
      </w:pPr>
      <w:r>
        <w:rPr>
          <w:bCs/>
        </w:rPr>
        <w:t>The Commit</w:t>
      </w:r>
      <w:r w:rsidR="007B5FDC">
        <w:rPr>
          <w:bCs/>
        </w:rPr>
        <w:t>tee has examined the following national r</w:t>
      </w:r>
      <w:r>
        <w:rPr>
          <w:bCs/>
        </w:rPr>
        <w:t xml:space="preserve">egulation and offers these comments on </w:t>
      </w:r>
      <w:r w:rsidR="007139F1">
        <w:rPr>
          <w:bCs/>
        </w:rPr>
        <w:t>it</w:t>
      </w:r>
      <w:r>
        <w:rPr>
          <w:bCs/>
        </w:rPr>
        <w:t>:</w:t>
      </w:r>
    </w:p>
    <w:bookmarkEnd w:id="533"/>
    <w:p w14:paraId="7D8DBCAF" w14:textId="77777777" w:rsidR="00BA1DB3" w:rsidRPr="00BA1DB3" w:rsidRDefault="00BA1DB3" w:rsidP="00BA1DB3">
      <w:pPr>
        <w:pStyle w:val="Heading4nonumber"/>
        <w:rPr>
          <w:sz w:val="22"/>
          <w:szCs w:val="22"/>
        </w:rPr>
      </w:pPr>
      <w:r w:rsidRPr="00BA1DB3">
        <w:rPr>
          <w:sz w:val="22"/>
          <w:szCs w:val="22"/>
        </w:rPr>
        <w:t>Retrospective effect / Positive comment (provision of explanatory material) / Human rights issues</w:t>
      </w:r>
    </w:p>
    <w:p w14:paraId="418C9211" w14:textId="77777777" w:rsidR="00BA1DB3" w:rsidRDefault="00BA1DB3" w:rsidP="005D6E99">
      <w:pPr>
        <w:pStyle w:val="Bodycopy"/>
        <w:keepLines/>
        <w:numPr>
          <w:ilvl w:val="0"/>
          <w:numId w:val="25"/>
        </w:numPr>
        <w:tabs>
          <w:tab w:val="clear" w:pos="1276"/>
          <w:tab w:val="left" w:pos="360"/>
        </w:tabs>
        <w:spacing w:before="160" w:after="160" w:line="280" w:lineRule="exact"/>
        <w:rPr>
          <w:b/>
        </w:rPr>
      </w:pPr>
      <w:r w:rsidRPr="000C7350">
        <w:rPr>
          <w:b/>
        </w:rPr>
        <w:t xml:space="preserve">Heavy Vehicle National Law as applied by the </w:t>
      </w:r>
      <w:r w:rsidRPr="00105E68">
        <w:rPr>
          <w:b/>
          <w:i/>
        </w:rPr>
        <w:t>Heavy Vehicle National Law Act 2012</w:t>
      </w:r>
      <w:r w:rsidRPr="000C7350">
        <w:rPr>
          <w:b/>
        </w:rPr>
        <w:t xml:space="preserve"> (Qld) and by the law of States and Territories—Heavy Vehicle National Legislation Amendment Regulation 2021 (2021 No 42), together with an explanatory statement.</w:t>
      </w:r>
    </w:p>
    <w:p w14:paraId="48CC5FD5" w14:textId="546FF911" w:rsidR="00BA1DB3" w:rsidRDefault="00BA1DB3" w:rsidP="001A3394">
      <w:r w:rsidRPr="00596BCC">
        <w:lastRenderedPageBreak/>
        <w:t xml:space="preserve">This National Regulation </w:t>
      </w:r>
      <w:r>
        <w:t xml:space="preserve">was tabled in the Legislative Assembly on </w:t>
      </w:r>
      <w:r w:rsidRPr="00BA1DB3">
        <w:t>16 September 2021</w:t>
      </w:r>
      <w:r>
        <w:t xml:space="preserve">.  It was made under section 730 of the Heavy Vehicle National Law, set out as the Schedule to the </w:t>
      </w:r>
      <w:r>
        <w:rPr>
          <w:i/>
          <w:iCs/>
        </w:rPr>
        <w:t xml:space="preserve">Heavy Vehicle National Law Act 2012 </w:t>
      </w:r>
      <w:r>
        <w:t xml:space="preserve">(Qld), which applies in the ACT under section 7 of the </w:t>
      </w:r>
      <w:r>
        <w:rPr>
          <w:i/>
          <w:iCs/>
        </w:rPr>
        <w:t>Heavy Vehicle National Law (ACT) Act 2013</w:t>
      </w:r>
      <w:r>
        <w:t xml:space="preserve">.  Under section 7, the law set out in the Queensland Act applies, in the ACT, “as amended from time to time”.  The Heavy Vehicle National Law appears on the ACT Legislation Register, as the </w:t>
      </w:r>
      <w:r w:rsidRPr="002F534C">
        <w:t>Heavy Vehicle National Law</w:t>
      </w:r>
      <w:r>
        <w:t xml:space="preserve"> (ACT), at </w:t>
      </w:r>
      <w:hyperlink r:id="rId29" w:history="1">
        <w:r w:rsidRPr="00BA1DB3">
          <w:rPr>
            <w:rStyle w:val="Hyperlink"/>
            <w:bCs/>
          </w:rPr>
          <w:t>https://www.legislation.act.gov.au/a/db_49155/</w:t>
        </w:r>
      </w:hyperlink>
      <w:r>
        <w:t>.</w:t>
      </w:r>
    </w:p>
    <w:p w14:paraId="6385370F" w14:textId="77777777" w:rsidR="00BA1DB3" w:rsidRDefault="00BA1DB3" w:rsidP="001A3394">
      <w:pPr>
        <w:pStyle w:val="Bodycopy"/>
        <w:spacing w:before="220" w:after="220" w:line="280" w:lineRule="exact"/>
        <w:rPr>
          <w:bCs/>
        </w:rPr>
      </w:pPr>
      <w:r>
        <w:rPr>
          <w:bCs/>
        </w:rPr>
        <w:t>Section 730 provides (in part):</w:t>
      </w:r>
    </w:p>
    <w:p w14:paraId="089E1BA3" w14:textId="33472A33" w:rsidR="00BA1DB3" w:rsidRPr="002F534C" w:rsidRDefault="00BA1DB3" w:rsidP="001A3394">
      <w:pPr>
        <w:shd w:val="clear" w:color="auto" w:fill="FFFFFF"/>
        <w:tabs>
          <w:tab w:val="left" w:pos="1350"/>
        </w:tabs>
        <w:ind w:left="1350" w:hanging="990"/>
        <w:rPr>
          <w:rFonts w:cstheme="minorHAnsi"/>
          <w:color w:val="000000"/>
        </w:rPr>
      </w:pPr>
      <w:bookmarkStart w:id="553" w:name="sec.730"/>
      <w:bookmarkEnd w:id="553"/>
      <w:r w:rsidRPr="002F534C">
        <w:rPr>
          <w:rFonts w:cstheme="minorHAnsi"/>
          <w:b/>
          <w:bCs/>
          <w:color w:val="000000"/>
        </w:rPr>
        <w:t>730</w:t>
      </w:r>
      <w:r>
        <w:rPr>
          <w:rFonts w:cstheme="minorHAnsi"/>
          <w:b/>
          <w:bCs/>
          <w:color w:val="000000"/>
        </w:rPr>
        <w:tab/>
      </w:r>
      <w:r w:rsidRPr="002F534C">
        <w:rPr>
          <w:rFonts w:cstheme="minorHAnsi"/>
          <w:b/>
          <w:bCs/>
          <w:color w:val="000000"/>
        </w:rPr>
        <w:t>National regulations</w:t>
      </w:r>
    </w:p>
    <w:p w14:paraId="3496DFE2" w14:textId="3AD9F35E" w:rsidR="00BA1DB3" w:rsidRPr="002F534C" w:rsidRDefault="00BA1DB3" w:rsidP="001A3394">
      <w:pPr>
        <w:shd w:val="clear" w:color="auto" w:fill="FFFFFF"/>
        <w:tabs>
          <w:tab w:val="left" w:pos="810"/>
          <w:tab w:val="left" w:pos="1350"/>
        </w:tabs>
        <w:ind w:left="1350" w:hanging="990"/>
        <w:rPr>
          <w:rFonts w:cstheme="minorHAnsi"/>
          <w:color w:val="000000"/>
        </w:rPr>
      </w:pPr>
      <w:r>
        <w:rPr>
          <w:rFonts w:cstheme="minorHAnsi"/>
          <w:color w:val="000000"/>
        </w:rPr>
        <w:tab/>
      </w:r>
      <w:r w:rsidRPr="002F534C">
        <w:rPr>
          <w:rFonts w:cstheme="minorHAnsi"/>
          <w:color w:val="000000"/>
        </w:rPr>
        <w:t>(1)</w:t>
      </w:r>
      <w:r>
        <w:rPr>
          <w:rFonts w:cstheme="minorHAnsi"/>
          <w:color w:val="000000"/>
        </w:rPr>
        <w:tab/>
      </w:r>
      <w:r w:rsidRPr="002F534C">
        <w:rPr>
          <w:rFonts w:cstheme="minorHAnsi"/>
          <w:color w:val="000000"/>
        </w:rPr>
        <w:t>For the purposes of this section, the designated authority is the Queensland Governor acting with the advice of the Executive Council of Queensland and on the unanimous recommendation of the responsible Ministers.</w:t>
      </w:r>
    </w:p>
    <w:p w14:paraId="1B17A643" w14:textId="565A2FDE" w:rsidR="00BA1DB3" w:rsidRDefault="00BA1DB3" w:rsidP="001A3394">
      <w:pPr>
        <w:shd w:val="clear" w:color="auto" w:fill="FFFFFF"/>
        <w:tabs>
          <w:tab w:val="left" w:pos="810"/>
          <w:tab w:val="left" w:pos="1350"/>
        </w:tabs>
        <w:ind w:left="1350" w:hanging="990"/>
        <w:rPr>
          <w:rFonts w:cstheme="minorHAnsi"/>
          <w:color w:val="000000"/>
        </w:rPr>
      </w:pPr>
      <w:r>
        <w:rPr>
          <w:rFonts w:cstheme="minorHAnsi"/>
          <w:color w:val="000000"/>
        </w:rPr>
        <w:tab/>
      </w:r>
      <w:r w:rsidRPr="002F534C">
        <w:rPr>
          <w:rFonts w:cstheme="minorHAnsi"/>
          <w:color w:val="000000"/>
        </w:rPr>
        <w:t>(2)</w:t>
      </w:r>
      <w:r>
        <w:rPr>
          <w:rFonts w:cstheme="minorHAnsi"/>
          <w:color w:val="000000"/>
        </w:rPr>
        <w:tab/>
      </w:r>
      <w:r w:rsidRPr="002F534C">
        <w:rPr>
          <w:rFonts w:cstheme="minorHAnsi"/>
          <w:color w:val="000000"/>
        </w:rPr>
        <w:t>The designated authority may make regulations for the purposes of this Law.</w:t>
      </w:r>
    </w:p>
    <w:p w14:paraId="755224EA" w14:textId="77777777" w:rsidR="00BA1DB3" w:rsidRDefault="00BA1DB3" w:rsidP="001A3394">
      <w:pPr>
        <w:shd w:val="clear" w:color="auto" w:fill="FFFFFF"/>
        <w:rPr>
          <w:rFonts w:cstheme="minorHAnsi"/>
        </w:rPr>
      </w:pPr>
      <w:bookmarkStart w:id="554" w:name="sec.733"/>
      <w:bookmarkEnd w:id="554"/>
      <w:r>
        <w:rPr>
          <w:rFonts w:cstheme="minorHAnsi"/>
        </w:rPr>
        <w:t>Section 733 of the Heavy Vehicle National Law sets out publication requirements for National Regulations:</w:t>
      </w:r>
    </w:p>
    <w:p w14:paraId="6B5F1745" w14:textId="1262EB8A" w:rsidR="00BA1DB3" w:rsidRPr="00BA1DB3" w:rsidRDefault="00DF5EFF" w:rsidP="001A3394">
      <w:pPr>
        <w:shd w:val="clear" w:color="auto" w:fill="FFFFFF"/>
        <w:tabs>
          <w:tab w:val="left" w:pos="1350"/>
        </w:tabs>
        <w:ind w:left="1350" w:hanging="990"/>
        <w:rPr>
          <w:rFonts w:cstheme="minorHAnsi"/>
          <w:b/>
          <w:bCs/>
          <w:color w:val="000000"/>
        </w:rPr>
      </w:pPr>
      <w:r>
        <w:rPr>
          <w:rFonts w:cstheme="minorHAnsi"/>
          <w:b/>
          <w:bCs/>
          <w:color w:val="000000"/>
        </w:rPr>
        <w:t>733</w:t>
      </w:r>
      <w:r>
        <w:rPr>
          <w:rFonts w:cstheme="minorHAnsi"/>
          <w:b/>
          <w:bCs/>
          <w:color w:val="000000"/>
        </w:rPr>
        <w:tab/>
      </w:r>
      <w:r w:rsidR="00BA1DB3" w:rsidRPr="00BA1DB3">
        <w:rPr>
          <w:rFonts w:cstheme="minorHAnsi"/>
          <w:b/>
          <w:bCs/>
          <w:color w:val="000000"/>
        </w:rPr>
        <w:t>Publication of national regulations</w:t>
      </w:r>
    </w:p>
    <w:p w14:paraId="3A0CB26B" w14:textId="680DA847" w:rsidR="00BA1DB3" w:rsidRPr="00BA1DB3" w:rsidRDefault="00BA1DB3" w:rsidP="001A3394">
      <w:pPr>
        <w:shd w:val="clear" w:color="auto" w:fill="FFFFFF"/>
        <w:tabs>
          <w:tab w:val="left" w:pos="810"/>
          <w:tab w:val="left" w:pos="1350"/>
        </w:tabs>
        <w:ind w:left="1350" w:hanging="990"/>
        <w:rPr>
          <w:rFonts w:cstheme="minorHAnsi"/>
          <w:color w:val="000000"/>
        </w:rPr>
      </w:pPr>
      <w:r>
        <w:rPr>
          <w:rFonts w:cstheme="minorHAnsi"/>
          <w:color w:val="000000"/>
        </w:rPr>
        <w:tab/>
      </w:r>
      <w:r w:rsidRPr="00BA1DB3">
        <w:rPr>
          <w:rFonts w:cstheme="minorHAnsi"/>
          <w:color w:val="000000"/>
        </w:rPr>
        <w:t>(1)</w:t>
      </w:r>
      <w:r>
        <w:rPr>
          <w:rFonts w:cstheme="minorHAnsi"/>
          <w:color w:val="000000"/>
        </w:rPr>
        <w:tab/>
      </w:r>
      <w:r w:rsidRPr="00BA1DB3">
        <w:rPr>
          <w:rFonts w:cstheme="minorHAnsi"/>
          <w:color w:val="000000"/>
        </w:rPr>
        <w:t>The national regulations are to be published on the NSW legislation website in accordance with Part 6A of the </w:t>
      </w:r>
      <w:hyperlink r:id="rId30" w:anchor="/view/act/1987/15" w:history="1">
        <w:r w:rsidRPr="00BA1DB3">
          <w:rPr>
            <w:rFonts w:cstheme="minorHAnsi"/>
            <w:color w:val="000000"/>
          </w:rPr>
          <w:t>Interpretation Act 1987</w:t>
        </w:r>
      </w:hyperlink>
      <w:r w:rsidRPr="00BA1DB3">
        <w:rPr>
          <w:rFonts w:cstheme="minorHAnsi"/>
          <w:color w:val="000000"/>
        </w:rPr>
        <w:t> of New South Wales.</w:t>
      </w:r>
    </w:p>
    <w:p w14:paraId="1425928F" w14:textId="11A88ABF" w:rsidR="00BA1DB3" w:rsidRPr="00BA1DB3" w:rsidRDefault="00BA1DB3" w:rsidP="001A3394">
      <w:pPr>
        <w:shd w:val="clear" w:color="auto" w:fill="FFFFFF"/>
        <w:tabs>
          <w:tab w:val="left" w:pos="810"/>
          <w:tab w:val="left" w:pos="1350"/>
        </w:tabs>
        <w:ind w:left="1350" w:hanging="990"/>
        <w:rPr>
          <w:rFonts w:cstheme="minorHAnsi"/>
          <w:color w:val="000000"/>
        </w:rPr>
      </w:pPr>
      <w:r>
        <w:rPr>
          <w:rFonts w:cstheme="minorHAnsi"/>
          <w:color w:val="000000"/>
        </w:rPr>
        <w:tab/>
      </w:r>
      <w:r w:rsidRPr="00BA1DB3">
        <w:rPr>
          <w:rFonts w:cstheme="minorHAnsi"/>
          <w:color w:val="000000"/>
        </w:rPr>
        <w:t>(2)</w:t>
      </w:r>
      <w:r>
        <w:rPr>
          <w:rFonts w:cstheme="minorHAnsi"/>
          <w:color w:val="000000"/>
        </w:rPr>
        <w:tab/>
      </w:r>
      <w:r w:rsidRPr="00BA1DB3">
        <w:rPr>
          <w:rFonts w:cstheme="minorHAnsi"/>
          <w:color w:val="000000"/>
        </w:rPr>
        <w:t>A regulation commences on the day or days specified in the regulation for its commencement (being not earlier than the date it is published).</w:t>
      </w:r>
    </w:p>
    <w:p w14:paraId="007429B5" w14:textId="1161D7B8" w:rsidR="00BA1DB3" w:rsidRDefault="00BA1DB3" w:rsidP="001A3394">
      <w:pPr>
        <w:shd w:val="clear" w:color="auto" w:fill="FFFFFF"/>
        <w:ind w:left="11" w:hanging="11"/>
        <w:rPr>
          <w:rFonts w:cstheme="minorHAnsi"/>
        </w:rPr>
      </w:pPr>
      <w:r>
        <w:rPr>
          <w:rFonts w:cstheme="minorHAnsi"/>
        </w:rPr>
        <w:t>The Committee notes that the explanatory statement for these National Regulations states that they were published on the NSW Legislation Register on 12 Fe</w:t>
      </w:r>
      <w:r w:rsidR="00DF5EFF">
        <w:rPr>
          <w:rFonts w:cstheme="minorHAnsi"/>
        </w:rPr>
        <w:t>bruary 2021 and commenced on 22 </w:t>
      </w:r>
      <w:r>
        <w:rPr>
          <w:rFonts w:cstheme="minorHAnsi"/>
        </w:rPr>
        <w:t>February 2021.</w:t>
      </w:r>
    </w:p>
    <w:p w14:paraId="0370A93F" w14:textId="77777777" w:rsidR="00BA1DB3" w:rsidRDefault="00BA1DB3" w:rsidP="001A3394">
      <w:pPr>
        <w:shd w:val="clear" w:color="auto" w:fill="FFFFFF"/>
        <w:ind w:left="11" w:hanging="11"/>
        <w:rPr>
          <w:rFonts w:cstheme="minorHAnsi"/>
        </w:rPr>
      </w:pPr>
      <w:r>
        <w:rPr>
          <w:rFonts w:cstheme="minorHAnsi"/>
        </w:rPr>
        <w:t xml:space="preserve">Section 734 of the </w:t>
      </w:r>
      <w:r w:rsidRPr="002F1302">
        <w:rPr>
          <w:rFonts w:cstheme="minorHAnsi"/>
        </w:rPr>
        <w:t>Heavy Vehicle National Law sets out</w:t>
      </w:r>
      <w:r>
        <w:rPr>
          <w:rFonts w:cstheme="minorHAnsi"/>
        </w:rPr>
        <w:t xml:space="preserve"> the mechanism for parliamentary scrutiny of </w:t>
      </w:r>
      <w:r w:rsidRPr="002F1302">
        <w:rPr>
          <w:rFonts w:cstheme="minorHAnsi"/>
        </w:rPr>
        <w:t>National Regulations:</w:t>
      </w:r>
      <w:r>
        <w:rPr>
          <w:rFonts w:cstheme="minorHAnsi"/>
        </w:rPr>
        <w:t xml:space="preserve"> </w:t>
      </w:r>
    </w:p>
    <w:p w14:paraId="14199AFA" w14:textId="52E2D91C" w:rsidR="00BA1DB3" w:rsidRPr="002F534C" w:rsidRDefault="00BA1DB3" w:rsidP="001A3394">
      <w:pPr>
        <w:shd w:val="clear" w:color="auto" w:fill="FFFFFF"/>
        <w:tabs>
          <w:tab w:val="left" w:pos="1350"/>
        </w:tabs>
        <w:ind w:left="1350" w:hanging="990"/>
        <w:rPr>
          <w:rFonts w:cstheme="minorHAnsi"/>
          <w:b/>
          <w:bCs/>
        </w:rPr>
      </w:pPr>
      <w:bookmarkStart w:id="555" w:name="sec.734"/>
      <w:bookmarkEnd w:id="555"/>
      <w:r w:rsidRPr="002F534C">
        <w:rPr>
          <w:rFonts w:cstheme="minorHAnsi"/>
          <w:b/>
          <w:bCs/>
        </w:rPr>
        <w:t>734</w:t>
      </w:r>
      <w:r w:rsidR="00DF5EFF">
        <w:rPr>
          <w:rFonts w:cstheme="minorHAnsi"/>
          <w:b/>
          <w:bCs/>
        </w:rPr>
        <w:tab/>
      </w:r>
      <w:r w:rsidRPr="002F534C">
        <w:rPr>
          <w:rFonts w:cstheme="minorHAnsi"/>
          <w:b/>
          <w:bCs/>
        </w:rPr>
        <w:t>Scrutiny of national regulations</w:t>
      </w:r>
    </w:p>
    <w:p w14:paraId="355B1390" w14:textId="66085F2F" w:rsidR="00BA1DB3" w:rsidRPr="00DF5EFF" w:rsidRDefault="00DF5EFF" w:rsidP="001A3394">
      <w:pPr>
        <w:shd w:val="clear" w:color="auto" w:fill="FFFFFF"/>
        <w:tabs>
          <w:tab w:val="left" w:pos="810"/>
          <w:tab w:val="left" w:pos="1350"/>
        </w:tabs>
        <w:ind w:left="1350" w:hanging="990"/>
        <w:rPr>
          <w:rFonts w:cstheme="minorHAnsi"/>
          <w:color w:val="000000"/>
        </w:rPr>
      </w:pPr>
      <w:r w:rsidRPr="00DF5EFF">
        <w:rPr>
          <w:rFonts w:cstheme="minorHAnsi"/>
          <w:color w:val="000000"/>
        </w:rPr>
        <w:tab/>
      </w:r>
      <w:r w:rsidR="00BA1DB3" w:rsidRPr="00DF5EFF">
        <w:rPr>
          <w:rFonts w:cstheme="minorHAnsi"/>
          <w:color w:val="000000"/>
        </w:rPr>
        <w:t>(1)</w:t>
      </w:r>
      <w:r w:rsidRPr="00DF5EFF">
        <w:rPr>
          <w:rFonts w:cstheme="minorHAnsi"/>
          <w:color w:val="000000"/>
        </w:rPr>
        <w:tab/>
      </w:r>
      <w:r w:rsidR="00BA1DB3" w:rsidRPr="00DF5EFF">
        <w:rPr>
          <w:rFonts w:cstheme="minorHAnsi"/>
          <w:color w:val="000000"/>
        </w:rPr>
        <w:t>The responsible Minister for a participating jurisdiction is to refer any adverse report about a national regulation from a legislation scrutiny body for that jurisdiction to the responsible Ministers for consideration and advice.</w:t>
      </w:r>
    </w:p>
    <w:p w14:paraId="020A525D" w14:textId="6A387CD1" w:rsidR="00BA1DB3" w:rsidRPr="00DF5EFF" w:rsidRDefault="00DF5EFF" w:rsidP="001A3394">
      <w:pPr>
        <w:shd w:val="clear" w:color="auto" w:fill="FFFFFF"/>
        <w:tabs>
          <w:tab w:val="left" w:pos="810"/>
          <w:tab w:val="left" w:pos="1350"/>
        </w:tabs>
        <w:ind w:left="1350" w:hanging="990"/>
        <w:rPr>
          <w:rFonts w:cstheme="minorHAnsi"/>
          <w:color w:val="000000"/>
        </w:rPr>
      </w:pPr>
      <w:r w:rsidRPr="00DF5EFF">
        <w:rPr>
          <w:rFonts w:cstheme="minorHAnsi"/>
          <w:color w:val="000000"/>
        </w:rPr>
        <w:tab/>
      </w:r>
      <w:r w:rsidR="00BA1DB3" w:rsidRPr="00DF5EFF">
        <w:rPr>
          <w:rFonts w:cstheme="minorHAnsi"/>
          <w:color w:val="000000"/>
        </w:rPr>
        <w:t>(2)</w:t>
      </w:r>
      <w:r w:rsidRPr="00DF5EFF">
        <w:rPr>
          <w:rFonts w:cstheme="minorHAnsi"/>
          <w:color w:val="000000"/>
        </w:rPr>
        <w:tab/>
      </w:r>
      <w:r w:rsidR="00BA1DB3" w:rsidRPr="00DF5EFF">
        <w:rPr>
          <w:rFonts w:cstheme="minorHAnsi"/>
          <w:color w:val="000000"/>
        </w:rPr>
        <w:t>The responsible Ministers are to prepare advice on the adverse report and provide a report to the relevant responsible Minister about the issues raised.</w:t>
      </w:r>
    </w:p>
    <w:p w14:paraId="610677AD" w14:textId="1419499A" w:rsidR="00BA1DB3" w:rsidRPr="00DF5EFF" w:rsidRDefault="00DF5EFF" w:rsidP="001A3394">
      <w:pPr>
        <w:shd w:val="clear" w:color="auto" w:fill="FFFFFF"/>
        <w:tabs>
          <w:tab w:val="left" w:pos="810"/>
          <w:tab w:val="left" w:pos="1350"/>
        </w:tabs>
        <w:ind w:left="1350" w:hanging="990"/>
        <w:rPr>
          <w:rFonts w:cstheme="minorHAnsi"/>
          <w:color w:val="000000"/>
        </w:rPr>
      </w:pPr>
      <w:r w:rsidRPr="00DF5EFF">
        <w:rPr>
          <w:rFonts w:cstheme="minorHAnsi"/>
          <w:color w:val="000000"/>
        </w:rPr>
        <w:tab/>
      </w:r>
      <w:r w:rsidR="00BA1DB3" w:rsidRPr="00DF5EFF">
        <w:rPr>
          <w:rFonts w:cstheme="minorHAnsi"/>
          <w:color w:val="000000"/>
        </w:rPr>
        <w:t>(3)</w:t>
      </w:r>
      <w:r w:rsidRPr="00DF5EFF">
        <w:rPr>
          <w:rFonts w:cstheme="minorHAnsi"/>
          <w:color w:val="000000"/>
        </w:rPr>
        <w:tab/>
      </w:r>
      <w:r w:rsidR="00BA1DB3" w:rsidRPr="00DF5EFF">
        <w:rPr>
          <w:rFonts w:cstheme="minorHAnsi"/>
          <w:color w:val="000000"/>
        </w:rPr>
        <w:t>The report by the responsible Ministers is to be provided to the responsible Minister in sufficient time to ensure the responsible Minister can provide the response to the relevant scrutiny body within a period that is appropriate in the circumstances.</w:t>
      </w:r>
    </w:p>
    <w:p w14:paraId="502A0309" w14:textId="29294D19" w:rsidR="00BA1DB3" w:rsidRPr="00DF5EFF" w:rsidRDefault="00DF5EFF" w:rsidP="001A3394">
      <w:pPr>
        <w:shd w:val="clear" w:color="auto" w:fill="FFFFFF"/>
        <w:tabs>
          <w:tab w:val="left" w:pos="810"/>
          <w:tab w:val="left" w:pos="1350"/>
        </w:tabs>
        <w:ind w:left="1350" w:hanging="990"/>
        <w:rPr>
          <w:rFonts w:cstheme="minorHAnsi"/>
          <w:color w:val="000000"/>
        </w:rPr>
      </w:pPr>
      <w:r w:rsidRPr="00DF5EFF">
        <w:rPr>
          <w:rFonts w:cstheme="minorHAnsi"/>
          <w:color w:val="000000"/>
        </w:rPr>
        <w:tab/>
      </w:r>
      <w:r w:rsidR="00BA1DB3" w:rsidRPr="00DF5EFF">
        <w:rPr>
          <w:rFonts w:cstheme="minorHAnsi"/>
          <w:color w:val="000000"/>
        </w:rPr>
        <w:t>(4)</w:t>
      </w:r>
      <w:r w:rsidRPr="00DF5EFF">
        <w:rPr>
          <w:rFonts w:cstheme="minorHAnsi"/>
          <w:color w:val="000000"/>
        </w:rPr>
        <w:tab/>
      </w:r>
      <w:r w:rsidR="00BA1DB3" w:rsidRPr="00DF5EFF">
        <w:rPr>
          <w:rFonts w:cstheme="minorHAnsi"/>
          <w:color w:val="000000"/>
        </w:rPr>
        <w:t>Subsections (1) to (3) do not affect any legislative or other arrangements regarding scrutiny and disallowance in jurisdictions and do not limit a responsible Minister’s ability to respond independently to any issues raised by a legislation scrutiny body.</w:t>
      </w:r>
    </w:p>
    <w:p w14:paraId="76C36348" w14:textId="1E78BA72" w:rsidR="00BA1DB3" w:rsidRPr="00DF5EFF" w:rsidRDefault="00DF5EFF" w:rsidP="001A3394">
      <w:pPr>
        <w:shd w:val="clear" w:color="auto" w:fill="FFFFFF"/>
        <w:tabs>
          <w:tab w:val="left" w:pos="810"/>
          <w:tab w:val="left" w:pos="1350"/>
        </w:tabs>
        <w:ind w:left="1350" w:hanging="990"/>
        <w:rPr>
          <w:rFonts w:cstheme="minorHAnsi"/>
          <w:color w:val="000000"/>
        </w:rPr>
      </w:pPr>
      <w:r w:rsidRPr="00DF5EFF">
        <w:rPr>
          <w:rFonts w:cstheme="minorHAnsi"/>
          <w:color w:val="000000"/>
        </w:rPr>
        <w:lastRenderedPageBreak/>
        <w:tab/>
      </w:r>
      <w:r w:rsidR="00BA1DB3" w:rsidRPr="00DF5EFF">
        <w:rPr>
          <w:rFonts w:cstheme="minorHAnsi"/>
          <w:color w:val="000000"/>
        </w:rPr>
        <w:t>(5)</w:t>
      </w:r>
      <w:r>
        <w:rPr>
          <w:rFonts w:cstheme="minorHAnsi"/>
          <w:color w:val="000000"/>
        </w:rPr>
        <w:tab/>
      </w:r>
      <w:r w:rsidR="00BA1DB3" w:rsidRPr="00DF5EFF">
        <w:rPr>
          <w:rFonts w:cstheme="minorHAnsi"/>
          <w:color w:val="000000"/>
        </w:rPr>
        <w:t>In this section—</w:t>
      </w:r>
    </w:p>
    <w:p w14:paraId="40C4BA64" w14:textId="449D74EE" w:rsidR="00BA1DB3" w:rsidRDefault="00BA1DB3" w:rsidP="001A3394">
      <w:pPr>
        <w:shd w:val="clear" w:color="auto" w:fill="FFFFFF"/>
        <w:tabs>
          <w:tab w:val="left" w:pos="1350"/>
        </w:tabs>
        <w:ind w:left="1350"/>
        <w:rPr>
          <w:rFonts w:cstheme="minorHAnsi"/>
        </w:rPr>
      </w:pPr>
      <w:bookmarkStart w:id="556" w:name="sec.734-ssec.5-def.legislationscrutinybo"/>
      <w:bookmarkEnd w:id="556"/>
      <w:proofErr w:type="gramStart"/>
      <w:r w:rsidRPr="00DF5EFF">
        <w:rPr>
          <w:rFonts w:cstheme="minorHAnsi"/>
          <w:b/>
          <w:i/>
          <w:iCs/>
        </w:rPr>
        <w:t>legislation</w:t>
      </w:r>
      <w:proofErr w:type="gramEnd"/>
      <w:r w:rsidRPr="00DF5EFF">
        <w:rPr>
          <w:rFonts w:cstheme="minorHAnsi"/>
          <w:b/>
          <w:i/>
          <w:iCs/>
        </w:rPr>
        <w:t xml:space="preserve"> scrutiny body</w:t>
      </w:r>
      <w:r w:rsidR="00DF5EFF">
        <w:rPr>
          <w:rFonts w:cstheme="minorHAnsi"/>
        </w:rPr>
        <w:t xml:space="preserve"> </w:t>
      </w:r>
      <w:r w:rsidRPr="002F534C">
        <w:rPr>
          <w:rFonts w:cstheme="minorHAnsi"/>
        </w:rPr>
        <w:t>means a parliamentary committee (or other parliamentary body) whose functions include the scrutiny of regulations and other subordinate legislation.</w:t>
      </w:r>
    </w:p>
    <w:p w14:paraId="562F6445" w14:textId="77777777" w:rsidR="00BA1DB3" w:rsidRPr="002F534C" w:rsidRDefault="00BA1DB3" w:rsidP="001A3394">
      <w:pPr>
        <w:shd w:val="clear" w:color="auto" w:fill="FFFFFF"/>
        <w:rPr>
          <w:rFonts w:cstheme="minorHAnsi"/>
        </w:rPr>
      </w:pPr>
      <w:r>
        <w:rPr>
          <w:rFonts w:cstheme="minorHAnsi"/>
        </w:rPr>
        <w:t xml:space="preserve">Section 8 of the </w:t>
      </w:r>
      <w:r w:rsidRPr="002F1302">
        <w:rPr>
          <w:rFonts w:cstheme="minorHAnsi"/>
          <w:i/>
          <w:iCs/>
        </w:rPr>
        <w:t>Heavy Vehicle National Law (ACT) Act 2013</w:t>
      </w:r>
      <w:r>
        <w:rPr>
          <w:rFonts w:cstheme="minorHAnsi"/>
        </w:rPr>
        <w:t xml:space="preserve"> is the key to the Committee’s scrutiny jurisdiction, in relation to this National Regulation: </w:t>
      </w:r>
    </w:p>
    <w:p w14:paraId="73269204" w14:textId="73F0489F" w:rsidR="00BA1DB3" w:rsidRPr="002F1302" w:rsidRDefault="00DF5EFF" w:rsidP="001A3394">
      <w:pPr>
        <w:tabs>
          <w:tab w:val="left" w:pos="1350"/>
        </w:tabs>
        <w:ind w:left="1350" w:hanging="990"/>
        <w:rPr>
          <w:rFonts w:cstheme="minorHAnsi"/>
          <w:color w:val="000000" w:themeColor="text1"/>
        </w:rPr>
      </w:pPr>
      <w:r>
        <w:rPr>
          <w:rFonts w:cstheme="minorHAnsi"/>
          <w:b/>
          <w:bCs/>
          <w:color w:val="000000" w:themeColor="text1"/>
        </w:rPr>
        <w:t>8</w:t>
      </w:r>
      <w:r>
        <w:rPr>
          <w:rFonts w:cstheme="minorHAnsi"/>
          <w:b/>
          <w:bCs/>
          <w:color w:val="000000" w:themeColor="text1"/>
        </w:rPr>
        <w:tab/>
      </w:r>
      <w:r w:rsidR="00BA1DB3" w:rsidRPr="002F1302">
        <w:rPr>
          <w:rFonts w:cstheme="minorHAnsi"/>
          <w:b/>
          <w:bCs/>
          <w:color w:val="000000" w:themeColor="text1"/>
        </w:rPr>
        <w:t>Exclusion of Legislation Act</w:t>
      </w:r>
    </w:p>
    <w:p w14:paraId="29BC9353" w14:textId="4A5308FD" w:rsidR="00BA1DB3" w:rsidRPr="00DF5EFF" w:rsidRDefault="00DF5EFF" w:rsidP="001A3394">
      <w:pPr>
        <w:shd w:val="clear" w:color="auto" w:fill="FFFFFF"/>
        <w:tabs>
          <w:tab w:val="left" w:pos="810"/>
          <w:tab w:val="left" w:pos="1350"/>
        </w:tabs>
        <w:ind w:left="1350" w:hanging="990"/>
        <w:rPr>
          <w:rFonts w:cstheme="minorHAnsi"/>
          <w:color w:val="000000"/>
        </w:rPr>
      </w:pPr>
      <w:r>
        <w:rPr>
          <w:rFonts w:cstheme="minorHAnsi"/>
          <w:color w:val="000000"/>
        </w:rPr>
        <w:tab/>
      </w:r>
      <w:r w:rsidR="00BA1DB3" w:rsidRPr="00DF5EFF">
        <w:rPr>
          <w:rFonts w:cstheme="minorHAnsi"/>
          <w:color w:val="000000"/>
        </w:rPr>
        <w:t>(1)</w:t>
      </w:r>
      <w:r>
        <w:rPr>
          <w:rFonts w:cstheme="minorHAnsi"/>
          <w:color w:val="000000"/>
        </w:rPr>
        <w:tab/>
      </w:r>
      <w:r w:rsidR="00BA1DB3" w:rsidRPr="00DF5EFF">
        <w:rPr>
          <w:rFonts w:cstheme="minorHAnsi"/>
          <w:color w:val="000000"/>
        </w:rPr>
        <w:t>The Legislation Act does not apply to the Heavy Vehicle National Law (ACT).</w:t>
      </w:r>
    </w:p>
    <w:p w14:paraId="426C91F9" w14:textId="03C2F7AA" w:rsidR="00BA1DB3" w:rsidRPr="00DF5EFF" w:rsidRDefault="00DF5EFF" w:rsidP="001A3394">
      <w:pPr>
        <w:shd w:val="clear" w:color="auto" w:fill="FFFFFF"/>
        <w:tabs>
          <w:tab w:val="left" w:pos="810"/>
          <w:tab w:val="left" w:pos="1350"/>
        </w:tabs>
        <w:ind w:left="1350" w:hanging="990"/>
        <w:rPr>
          <w:rFonts w:cstheme="minorHAnsi"/>
          <w:color w:val="000000"/>
        </w:rPr>
      </w:pPr>
      <w:r>
        <w:rPr>
          <w:rFonts w:cstheme="minorHAnsi"/>
          <w:color w:val="000000"/>
        </w:rPr>
        <w:tab/>
      </w:r>
      <w:r w:rsidR="00BA1DB3" w:rsidRPr="00DF5EFF">
        <w:rPr>
          <w:rFonts w:cstheme="minorHAnsi"/>
          <w:color w:val="000000"/>
        </w:rPr>
        <w:t>(2)</w:t>
      </w:r>
      <w:r>
        <w:rPr>
          <w:rFonts w:cstheme="minorHAnsi"/>
          <w:color w:val="000000"/>
        </w:rPr>
        <w:tab/>
      </w:r>
      <w:r w:rsidR="00BA1DB3" w:rsidRPr="00DF5EFF">
        <w:rPr>
          <w:rFonts w:cstheme="minorHAnsi"/>
          <w:color w:val="000000"/>
        </w:rPr>
        <w:t>However,</w:t>
      </w:r>
      <w:r>
        <w:rPr>
          <w:rFonts w:cstheme="minorHAnsi"/>
          <w:color w:val="000000"/>
        </w:rPr>
        <w:t xml:space="preserve"> </w:t>
      </w:r>
      <w:r w:rsidR="00BA1DB3" w:rsidRPr="00DF5EFF">
        <w:rPr>
          <w:rFonts w:cstheme="minorHAnsi"/>
          <w:color w:val="000000"/>
        </w:rPr>
        <w:t>the</w:t>
      </w:r>
      <w:r>
        <w:rPr>
          <w:rFonts w:cstheme="minorHAnsi"/>
          <w:color w:val="000000"/>
        </w:rPr>
        <w:t xml:space="preserve"> </w:t>
      </w:r>
      <w:r w:rsidR="00BA1DB3" w:rsidRPr="00DF5EFF">
        <w:rPr>
          <w:rFonts w:cstheme="minorHAnsi"/>
          <w:color w:val="000000"/>
        </w:rPr>
        <w:t>Legislation Act, chapter 7 (Presentation, amendment and disallowance of subordinate laws and disallowable instruments) applies to a national regulation as if—</w:t>
      </w:r>
    </w:p>
    <w:p w14:paraId="5A28C77C" w14:textId="328352F9" w:rsidR="00BA1DB3" w:rsidRPr="002F1302" w:rsidRDefault="00DF5EFF" w:rsidP="001A3394">
      <w:pPr>
        <w:tabs>
          <w:tab w:val="left" w:pos="1350"/>
          <w:tab w:val="left" w:pos="1890"/>
        </w:tabs>
        <w:ind w:left="1890" w:hanging="1530"/>
        <w:rPr>
          <w:rFonts w:cstheme="minorHAnsi"/>
          <w:color w:val="000000" w:themeColor="text1"/>
        </w:rPr>
      </w:pPr>
      <w:r>
        <w:rPr>
          <w:rFonts w:cstheme="minorHAnsi"/>
          <w:color w:val="000000" w:themeColor="text1"/>
        </w:rPr>
        <w:tab/>
      </w:r>
      <w:r w:rsidR="00BA1DB3" w:rsidRPr="002F1302">
        <w:rPr>
          <w:rFonts w:cstheme="minorHAnsi"/>
          <w:color w:val="000000" w:themeColor="text1"/>
        </w:rPr>
        <w:t>(a)</w:t>
      </w:r>
      <w:r>
        <w:rPr>
          <w:rFonts w:cstheme="minorHAnsi"/>
          <w:color w:val="000000" w:themeColor="text1"/>
        </w:rPr>
        <w:tab/>
      </w:r>
      <w:proofErr w:type="gramStart"/>
      <w:r w:rsidR="00BA1DB3" w:rsidRPr="002F1302">
        <w:rPr>
          <w:rFonts w:cstheme="minorHAnsi"/>
          <w:color w:val="000000" w:themeColor="text1"/>
        </w:rPr>
        <w:t>a</w:t>
      </w:r>
      <w:proofErr w:type="gramEnd"/>
      <w:r w:rsidR="00BA1DB3" w:rsidRPr="002F1302">
        <w:rPr>
          <w:rFonts w:cstheme="minorHAnsi"/>
          <w:color w:val="000000" w:themeColor="text1"/>
        </w:rPr>
        <w:t xml:space="preserve"> reference to a subordinate law were a reference to a national regulation; and</w:t>
      </w:r>
    </w:p>
    <w:p w14:paraId="6979CB91" w14:textId="62CBF283" w:rsidR="00BA1DB3" w:rsidRPr="002F1302" w:rsidRDefault="00DF5EFF" w:rsidP="001A3394">
      <w:pPr>
        <w:tabs>
          <w:tab w:val="left" w:pos="1350"/>
          <w:tab w:val="left" w:pos="1890"/>
        </w:tabs>
        <w:ind w:left="1890" w:hanging="1530"/>
        <w:rPr>
          <w:rFonts w:cstheme="minorHAnsi"/>
          <w:color w:val="000000" w:themeColor="text1"/>
        </w:rPr>
      </w:pPr>
      <w:r>
        <w:rPr>
          <w:rFonts w:cstheme="minorHAnsi"/>
          <w:color w:val="000000" w:themeColor="text1"/>
        </w:rPr>
        <w:tab/>
      </w:r>
      <w:r w:rsidR="00BA1DB3" w:rsidRPr="002F1302">
        <w:rPr>
          <w:rFonts w:cstheme="minorHAnsi"/>
          <w:color w:val="000000" w:themeColor="text1"/>
        </w:rPr>
        <w:t>(b)</w:t>
      </w:r>
      <w:r>
        <w:rPr>
          <w:rFonts w:cstheme="minorHAnsi"/>
          <w:color w:val="000000" w:themeColor="text1"/>
        </w:rPr>
        <w:tab/>
      </w:r>
      <w:proofErr w:type="gramStart"/>
      <w:r w:rsidR="00BA1DB3" w:rsidRPr="002F1302">
        <w:rPr>
          <w:rFonts w:cstheme="minorHAnsi"/>
          <w:color w:val="000000" w:themeColor="text1"/>
        </w:rPr>
        <w:t>a</w:t>
      </w:r>
      <w:proofErr w:type="gramEnd"/>
      <w:r w:rsidR="00BA1DB3" w:rsidRPr="002F1302">
        <w:rPr>
          <w:rFonts w:cstheme="minorHAnsi"/>
          <w:color w:val="000000" w:themeColor="text1"/>
        </w:rPr>
        <w:t xml:space="preserve"> reference in the Legislation Act</w:t>
      </w:r>
      <w:r>
        <w:rPr>
          <w:rFonts w:cstheme="minorHAnsi"/>
          <w:color w:val="000000" w:themeColor="text1"/>
        </w:rPr>
        <w:t xml:space="preserve"> </w:t>
      </w:r>
      <w:r w:rsidR="00BA1DB3" w:rsidRPr="002F1302">
        <w:rPr>
          <w:rFonts w:cstheme="minorHAnsi"/>
          <w:color w:val="000000" w:themeColor="text1"/>
        </w:rPr>
        <w:t>section</w:t>
      </w:r>
      <w:r>
        <w:rPr>
          <w:rFonts w:cstheme="minorHAnsi"/>
          <w:color w:val="000000" w:themeColor="text1"/>
        </w:rPr>
        <w:t xml:space="preserve"> </w:t>
      </w:r>
      <w:r w:rsidR="00BA1DB3" w:rsidRPr="002F1302">
        <w:rPr>
          <w:rFonts w:cstheme="minorHAnsi"/>
          <w:color w:val="000000" w:themeColor="text1"/>
        </w:rPr>
        <w:t>64(1) (Presentation of subordinate laws and disallowable instruments) to—</w:t>
      </w:r>
    </w:p>
    <w:p w14:paraId="00836C9F" w14:textId="629D528F" w:rsidR="00BA1DB3" w:rsidRPr="002F1302" w:rsidRDefault="00DF5EFF" w:rsidP="001A3394">
      <w:pPr>
        <w:tabs>
          <w:tab w:val="right" w:pos="2160"/>
          <w:tab w:val="left" w:pos="2430"/>
        </w:tabs>
        <w:ind w:left="2430" w:hanging="2070"/>
        <w:rPr>
          <w:rFonts w:cstheme="minorHAnsi"/>
          <w:color w:val="000000" w:themeColor="text1"/>
        </w:rPr>
      </w:pPr>
      <w:r>
        <w:rPr>
          <w:rFonts w:cstheme="minorHAnsi"/>
          <w:color w:val="000000" w:themeColor="text1"/>
        </w:rPr>
        <w:tab/>
      </w:r>
      <w:r w:rsidR="00BA1DB3" w:rsidRPr="002F1302">
        <w:rPr>
          <w:rFonts w:cstheme="minorHAnsi"/>
          <w:color w:val="000000" w:themeColor="text1"/>
        </w:rPr>
        <w:t>(</w:t>
      </w:r>
      <w:proofErr w:type="spellStart"/>
      <w:r w:rsidR="00BA1DB3" w:rsidRPr="002F1302">
        <w:rPr>
          <w:rFonts w:cstheme="minorHAnsi"/>
          <w:color w:val="000000" w:themeColor="text1"/>
        </w:rPr>
        <w:t>i</w:t>
      </w:r>
      <w:proofErr w:type="spellEnd"/>
      <w:r w:rsidR="00BA1DB3" w:rsidRPr="002F1302">
        <w:rPr>
          <w:rFonts w:cstheme="minorHAnsi"/>
          <w:color w:val="000000" w:themeColor="text1"/>
        </w:rPr>
        <w:t>)</w:t>
      </w:r>
      <w:r>
        <w:rPr>
          <w:rFonts w:cstheme="minorHAnsi"/>
          <w:color w:val="000000" w:themeColor="text1"/>
        </w:rPr>
        <w:tab/>
        <w:t>‘</w:t>
      </w:r>
      <w:r w:rsidR="00BA1DB3" w:rsidRPr="002F1302">
        <w:rPr>
          <w:rFonts w:cstheme="minorHAnsi"/>
          <w:color w:val="000000" w:themeColor="text1"/>
        </w:rPr>
        <w:t>6 sitting days</w:t>
      </w:r>
      <w:r>
        <w:rPr>
          <w:rFonts w:cstheme="minorHAnsi"/>
          <w:color w:val="000000" w:themeColor="text1"/>
        </w:rPr>
        <w:t>’</w:t>
      </w:r>
      <w:r w:rsidR="00BA1DB3" w:rsidRPr="002F1302">
        <w:rPr>
          <w:rFonts w:cstheme="minorHAnsi"/>
          <w:color w:val="000000" w:themeColor="text1"/>
        </w:rPr>
        <w:t xml:space="preserve"> were a reference to ‘20 sitt</w:t>
      </w:r>
      <w:r>
        <w:rPr>
          <w:rFonts w:cstheme="minorHAnsi"/>
          <w:color w:val="000000" w:themeColor="text1"/>
        </w:rPr>
        <w:t>ing days’</w:t>
      </w:r>
      <w:r w:rsidR="00BA1DB3" w:rsidRPr="002F1302">
        <w:rPr>
          <w:rFonts w:cstheme="minorHAnsi"/>
          <w:color w:val="000000" w:themeColor="text1"/>
        </w:rPr>
        <w:t>; and</w:t>
      </w:r>
    </w:p>
    <w:p w14:paraId="4CEAB54D" w14:textId="7D66970E" w:rsidR="00BA1DB3" w:rsidRPr="002F1302" w:rsidRDefault="00DF5EFF" w:rsidP="001A3394">
      <w:pPr>
        <w:tabs>
          <w:tab w:val="right" w:pos="2160"/>
          <w:tab w:val="left" w:pos="2430"/>
        </w:tabs>
        <w:ind w:left="2430" w:hanging="2070"/>
        <w:rPr>
          <w:rFonts w:cstheme="minorHAnsi"/>
          <w:color w:val="000000" w:themeColor="text1"/>
        </w:rPr>
      </w:pPr>
      <w:r>
        <w:rPr>
          <w:rFonts w:cstheme="minorHAnsi"/>
          <w:color w:val="000000" w:themeColor="text1"/>
        </w:rPr>
        <w:tab/>
      </w:r>
      <w:r w:rsidR="00BA1DB3" w:rsidRPr="002F1302">
        <w:rPr>
          <w:rFonts w:cstheme="minorHAnsi"/>
          <w:color w:val="000000" w:themeColor="text1"/>
        </w:rPr>
        <w:t>(ii)</w:t>
      </w:r>
      <w:r>
        <w:rPr>
          <w:rFonts w:cstheme="minorHAnsi"/>
          <w:color w:val="000000" w:themeColor="text1"/>
        </w:rPr>
        <w:tab/>
      </w:r>
      <w:r w:rsidR="00BA1DB3" w:rsidRPr="002F1302">
        <w:rPr>
          <w:rFonts w:cstheme="minorHAnsi"/>
          <w:color w:val="000000" w:themeColor="text1"/>
        </w:rPr>
        <w:t>‘notification day</w:t>
      </w:r>
      <w:r>
        <w:rPr>
          <w:rFonts w:cstheme="minorHAnsi"/>
          <w:color w:val="000000" w:themeColor="text1"/>
        </w:rPr>
        <w:t xml:space="preserve">’ were a reference to ‘published’ as mentioned in the </w:t>
      </w:r>
      <w:r w:rsidR="00BA1DB3" w:rsidRPr="002F1302">
        <w:rPr>
          <w:rFonts w:cstheme="minorHAnsi"/>
          <w:i/>
          <w:iCs/>
          <w:color w:val="000000" w:themeColor="text1"/>
        </w:rPr>
        <w:t>H</w:t>
      </w:r>
      <w:r>
        <w:rPr>
          <w:rFonts w:cstheme="minorHAnsi"/>
          <w:i/>
          <w:iCs/>
          <w:color w:val="000000" w:themeColor="text1"/>
        </w:rPr>
        <w:t>eavy Vehicle National Law (ACT)</w:t>
      </w:r>
      <w:r w:rsidR="00BA1DB3" w:rsidRPr="002F1302">
        <w:rPr>
          <w:rFonts w:cstheme="minorHAnsi"/>
          <w:color w:val="000000" w:themeColor="text1"/>
        </w:rPr>
        <w:t>, section 733(1) (Publication of national regulations); and</w:t>
      </w:r>
    </w:p>
    <w:p w14:paraId="633A24E3" w14:textId="3D55C742" w:rsidR="00BA1DB3" w:rsidRPr="002F1302" w:rsidRDefault="00DF5EFF" w:rsidP="001A3394">
      <w:pPr>
        <w:tabs>
          <w:tab w:val="left" w:pos="1350"/>
          <w:tab w:val="left" w:pos="1890"/>
        </w:tabs>
        <w:ind w:left="1890" w:hanging="1530"/>
        <w:rPr>
          <w:rFonts w:cstheme="minorHAnsi"/>
          <w:color w:val="000000" w:themeColor="text1"/>
        </w:rPr>
      </w:pPr>
      <w:r>
        <w:rPr>
          <w:rFonts w:cstheme="minorHAnsi"/>
          <w:color w:val="000000" w:themeColor="text1"/>
        </w:rPr>
        <w:tab/>
      </w:r>
      <w:r w:rsidR="00BA1DB3" w:rsidRPr="002F1302">
        <w:rPr>
          <w:rFonts w:cstheme="minorHAnsi"/>
          <w:color w:val="000000" w:themeColor="text1"/>
        </w:rPr>
        <w:t>(c)</w:t>
      </w:r>
      <w:r>
        <w:rPr>
          <w:rFonts w:cstheme="minorHAnsi"/>
          <w:color w:val="000000" w:themeColor="text1"/>
        </w:rPr>
        <w:tab/>
      </w:r>
      <w:proofErr w:type="gramStart"/>
      <w:r w:rsidR="00BA1DB3" w:rsidRPr="002F1302">
        <w:rPr>
          <w:rFonts w:cstheme="minorHAnsi"/>
          <w:color w:val="000000" w:themeColor="text1"/>
        </w:rPr>
        <w:t>any</w:t>
      </w:r>
      <w:proofErr w:type="gramEnd"/>
      <w:r w:rsidR="00BA1DB3" w:rsidRPr="002F1302">
        <w:rPr>
          <w:rFonts w:cstheme="minorHAnsi"/>
          <w:color w:val="000000" w:themeColor="text1"/>
        </w:rPr>
        <w:t xml:space="preserve"> other necessary changes were made.</w:t>
      </w:r>
    </w:p>
    <w:p w14:paraId="48A5FC92" w14:textId="724DEEE9" w:rsidR="00BA1DB3" w:rsidRPr="00DF5EFF" w:rsidRDefault="00DF5EFF" w:rsidP="001A3394">
      <w:pPr>
        <w:shd w:val="clear" w:color="auto" w:fill="FFFFFF"/>
        <w:tabs>
          <w:tab w:val="left" w:pos="810"/>
          <w:tab w:val="left" w:pos="1350"/>
        </w:tabs>
        <w:ind w:left="1350" w:hanging="990"/>
        <w:rPr>
          <w:rFonts w:cstheme="minorHAnsi"/>
          <w:color w:val="000000"/>
        </w:rPr>
      </w:pPr>
      <w:r>
        <w:rPr>
          <w:rFonts w:cstheme="minorHAnsi"/>
          <w:color w:val="000000"/>
        </w:rPr>
        <w:tab/>
      </w:r>
      <w:r w:rsidR="00BA1DB3" w:rsidRPr="00DF5EFF">
        <w:rPr>
          <w:rFonts w:cstheme="minorHAnsi"/>
          <w:color w:val="000000"/>
        </w:rPr>
        <w:t>(3)</w:t>
      </w:r>
      <w:r>
        <w:rPr>
          <w:rFonts w:cstheme="minorHAnsi"/>
          <w:color w:val="000000"/>
        </w:rPr>
        <w:tab/>
        <w:t xml:space="preserve">Also, the </w:t>
      </w:r>
      <w:r w:rsidR="00BA1DB3" w:rsidRPr="00DF5EFF">
        <w:rPr>
          <w:rFonts w:cstheme="minorHAnsi"/>
          <w:color w:val="000000"/>
        </w:rPr>
        <w:t>Legislation Act, section 104 (References to laws include references to instruments under laws) and section 191 (Offences against 2 or more laws) apply to the Heavy Vehicle National Law (ACT) as if that Law were an Act.</w:t>
      </w:r>
    </w:p>
    <w:p w14:paraId="22D73A4B" w14:textId="3BC28910" w:rsidR="00BA1DB3" w:rsidRPr="00DF5EFF" w:rsidRDefault="00DF5EFF" w:rsidP="001A3394">
      <w:pPr>
        <w:shd w:val="clear" w:color="auto" w:fill="FFFFFF"/>
        <w:tabs>
          <w:tab w:val="left" w:pos="810"/>
          <w:tab w:val="left" w:pos="1350"/>
        </w:tabs>
        <w:ind w:left="1350" w:hanging="990"/>
        <w:rPr>
          <w:rFonts w:cstheme="minorHAnsi"/>
          <w:color w:val="000000"/>
        </w:rPr>
      </w:pPr>
      <w:r>
        <w:rPr>
          <w:rFonts w:cstheme="minorHAnsi"/>
          <w:color w:val="000000"/>
        </w:rPr>
        <w:tab/>
      </w:r>
      <w:r w:rsidR="00BA1DB3" w:rsidRPr="00DF5EFF">
        <w:rPr>
          <w:rFonts w:cstheme="minorHAnsi"/>
          <w:color w:val="000000"/>
        </w:rPr>
        <w:t>(4)</w:t>
      </w:r>
      <w:r>
        <w:rPr>
          <w:rFonts w:cstheme="minorHAnsi"/>
          <w:color w:val="000000"/>
        </w:rPr>
        <w:tab/>
      </w:r>
      <w:r w:rsidR="00BA1DB3" w:rsidRPr="00DF5EFF">
        <w:rPr>
          <w:rFonts w:cstheme="minorHAnsi"/>
          <w:color w:val="000000"/>
        </w:rPr>
        <w:t>This section does not limit the application of the Legislation Act to the local application provisions of this Act.</w:t>
      </w:r>
    </w:p>
    <w:p w14:paraId="35E40D23" w14:textId="77777777" w:rsidR="00BA1DB3" w:rsidRDefault="00BA1DB3" w:rsidP="001A3394">
      <w:pPr>
        <w:pStyle w:val="Bodycopy"/>
        <w:spacing w:before="220" w:after="220" w:line="280" w:lineRule="exact"/>
        <w:rPr>
          <w:rFonts w:asciiTheme="minorHAnsi" w:hAnsiTheme="minorHAnsi" w:cstheme="minorHAnsi"/>
          <w:bCs/>
          <w:color w:val="000000" w:themeColor="text1"/>
          <w:szCs w:val="22"/>
        </w:rPr>
      </w:pPr>
      <w:r>
        <w:rPr>
          <w:rFonts w:asciiTheme="minorHAnsi" w:hAnsiTheme="minorHAnsi" w:cstheme="minorHAnsi"/>
          <w:bCs/>
          <w:color w:val="000000" w:themeColor="text1"/>
          <w:szCs w:val="22"/>
        </w:rPr>
        <w:t xml:space="preserve">The effect of section 8 is that this National Regulation was required to be tabled, in the Legislative Assembly, within </w:t>
      </w:r>
      <w:r w:rsidRPr="005D16F6">
        <w:rPr>
          <w:rFonts w:asciiTheme="minorHAnsi" w:hAnsiTheme="minorHAnsi" w:cstheme="minorHAnsi"/>
          <w:bCs/>
          <w:color w:val="000000" w:themeColor="text1"/>
          <w:szCs w:val="22"/>
          <w:u w:val="single"/>
        </w:rPr>
        <w:t>20</w:t>
      </w:r>
      <w:r>
        <w:rPr>
          <w:rFonts w:asciiTheme="minorHAnsi" w:hAnsiTheme="minorHAnsi" w:cstheme="minorHAnsi"/>
          <w:bCs/>
          <w:color w:val="000000" w:themeColor="text1"/>
          <w:szCs w:val="22"/>
        </w:rPr>
        <w:t xml:space="preserve"> sitting days of being published/notified on the NSW Legislation Register.  This requirement was met.  There is also no issue with subs</w:t>
      </w:r>
      <w:r w:rsidRPr="005D16F6">
        <w:rPr>
          <w:rFonts w:asciiTheme="minorHAnsi" w:hAnsiTheme="minorHAnsi" w:cstheme="minorHAnsi"/>
          <w:bCs/>
          <w:color w:val="000000" w:themeColor="text1"/>
          <w:szCs w:val="22"/>
        </w:rPr>
        <w:t>ection 733</w:t>
      </w:r>
      <w:r>
        <w:rPr>
          <w:rFonts w:asciiTheme="minorHAnsi" w:hAnsiTheme="minorHAnsi" w:cstheme="minorHAnsi"/>
          <w:bCs/>
          <w:color w:val="000000" w:themeColor="text1"/>
          <w:szCs w:val="22"/>
        </w:rPr>
        <w:t>(2)</w:t>
      </w:r>
      <w:r w:rsidRPr="005D16F6">
        <w:rPr>
          <w:rFonts w:asciiTheme="minorHAnsi" w:hAnsiTheme="minorHAnsi" w:cstheme="minorHAnsi"/>
          <w:bCs/>
          <w:color w:val="000000" w:themeColor="text1"/>
          <w:szCs w:val="22"/>
        </w:rPr>
        <w:t xml:space="preserve"> of the Heavy Vehicle National Law</w:t>
      </w:r>
      <w:r>
        <w:rPr>
          <w:rFonts w:asciiTheme="minorHAnsi" w:hAnsiTheme="minorHAnsi" w:cstheme="minorHAnsi"/>
          <w:bCs/>
          <w:color w:val="000000" w:themeColor="text1"/>
          <w:szCs w:val="22"/>
        </w:rPr>
        <w:t>, in that the National Regulations did not commence before they were published.</w:t>
      </w:r>
    </w:p>
    <w:p w14:paraId="08D8D2E8" w14:textId="7829D9BE" w:rsidR="00BA1DB3" w:rsidRDefault="00BA1DB3" w:rsidP="001A3394">
      <w:pPr>
        <w:pStyle w:val="Bodycopy"/>
        <w:keepLines/>
        <w:spacing w:before="220" w:after="220" w:line="280" w:lineRule="exact"/>
        <w:rPr>
          <w:rFonts w:asciiTheme="minorHAnsi" w:hAnsiTheme="minorHAnsi" w:cstheme="minorHAnsi"/>
          <w:bCs/>
          <w:color w:val="000000" w:themeColor="text1"/>
          <w:szCs w:val="22"/>
        </w:rPr>
      </w:pPr>
      <w:r>
        <w:rPr>
          <w:rFonts w:asciiTheme="minorHAnsi" w:hAnsiTheme="minorHAnsi" w:cstheme="minorHAnsi"/>
          <w:bCs/>
          <w:color w:val="000000" w:themeColor="text1"/>
          <w:szCs w:val="22"/>
        </w:rPr>
        <w:t xml:space="preserve">Despite the fact that there is no issue with retrospective commencement, in the sense of </w:t>
      </w:r>
      <w:r w:rsidR="00DF5EFF">
        <w:rPr>
          <w:rFonts w:asciiTheme="minorHAnsi" w:hAnsiTheme="minorHAnsi" w:cstheme="minorHAnsi"/>
          <w:bCs/>
          <w:color w:val="000000" w:themeColor="text1"/>
          <w:szCs w:val="22"/>
        </w:rPr>
        <w:t>subsection </w:t>
      </w:r>
      <w:r w:rsidRPr="005D16F6">
        <w:rPr>
          <w:rFonts w:asciiTheme="minorHAnsi" w:hAnsiTheme="minorHAnsi" w:cstheme="minorHAnsi"/>
          <w:bCs/>
          <w:color w:val="000000" w:themeColor="text1"/>
          <w:szCs w:val="22"/>
        </w:rPr>
        <w:t>733(2) of the Heavy Vehicle National Law</w:t>
      </w:r>
      <w:r>
        <w:rPr>
          <w:rFonts w:asciiTheme="minorHAnsi" w:hAnsiTheme="minorHAnsi" w:cstheme="minorHAnsi"/>
          <w:bCs/>
          <w:color w:val="000000" w:themeColor="text1"/>
          <w:szCs w:val="22"/>
        </w:rPr>
        <w:t xml:space="preserve">, the Committee notes that the National Regulations have applied in the ACT since 22 February 2021, yet were not tabled in the Legislative Assembly until </w:t>
      </w:r>
      <w:r w:rsidR="00287BE8" w:rsidRPr="00287BE8">
        <w:rPr>
          <w:rFonts w:asciiTheme="minorHAnsi" w:hAnsiTheme="minorHAnsi" w:cstheme="minorHAnsi"/>
          <w:color w:val="000000" w:themeColor="text1"/>
          <w:szCs w:val="22"/>
        </w:rPr>
        <w:t>16 September 2021</w:t>
      </w:r>
      <w:r>
        <w:rPr>
          <w:rFonts w:asciiTheme="minorHAnsi" w:hAnsiTheme="minorHAnsi" w:cstheme="minorHAnsi"/>
          <w:bCs/>
          <w:color w:val="000000" w:themeColor="text1"/>
          <w:szCs w:val="22"/>
        </w:rPr>
        <w:t xml:space="preserve">.  That being so, the Committee seeks the Minister’s advice as to what (if any) steps were taken to notify those who were affected by the amendments made by this National Regulation that the amendments had taken effect. </w:t>
      </w:r>
    </w:p>
    <w:p w14:paraId="011FC3EF" w14:textId="7C2EC23C" w:rsidR="00BA1DB3" w:rsidRPr="002F1302" w:rsidRDefault="00BA1DB3" w:rsidP="001A3394">
      <w:pPr>
        <w:pStyle w:val="Bodycopy"/>
        <w:spacing w:before="220" w:after="220" w:line="280" w:lineRule="exact"/>
        <w:rPr>
          <w:rFonts w:asciiTheme="minorHAnsi" w:hAnsiTheme="minorHAnsi" w:cstheme="minorHAnsi"/>
          <w:bCs/>
          <w:color w:val="000000" w:themeColor="text1"/>
          <w:szCs w:val="22"/>
        </w:rPr>
      </w:pPr>
      <w:r>
        <w:rPr>
          <w:rFonts w:asciiTheme="minorHAnsi" w:hAnsiTheme="minorHAnsi" w:cstheme="minorHAnsi"/>
          <w:b/>
          <w:color w:val="000000" w:themeColor="text1"/>
          <w:szCs w:val="22"/>
        </w:rPr>
        <w:t xml:space="preserve">The comment immediately above requires a response from the Minister.  The Committee would be grateful if the Minister could respond </w:t>
      </w:r>
      <w:r w:rsidR="0005767A">
        <w:rPr>
          <w:rFonts w:asciiTheme="minorHAnsi" w:hAnsiTheme="minorHAnsi" w:cstheme="minorHAnsi"/>
          <w:b/>
          <w:color w:val="000000" w:themeColor="text1"/>
          <w:szCs w:val="22"/>
        </w:rPr>
        <w:t>before 11 November</w:t>
      </w:r>
      <w:r w:rsidR="00287BE8">
        <w:rPr>
          <w:rFonts w:asciiTheme="minorHAnsi" w:hAnsiTheme="minorHAnsi" w:cstheme="minorHAnsi"/>
          <w:b/>
          <w:color w:val="000000" w:themeColor="text1"/>
          <w:szCs w:val="22"/>
        </w:rPr>
        <w:t xml:space="preserve"> 2021</w:t>
      </w:r>
      <w:r>
        <w:rPr>
          <w:rFonts w:asciiTheme="minorHAnsi" w:hAnsiTheme="minorHAnsi" w:cstheme="minorHAnsi"/>
          <w:b/>
          <w:color w:val="000000" w:themeColor="text1"/>
          <w:szCs w:val="22"/>
        </w:rPr>
        <w:t>, when the Legislative Assembly’s capacity to move to disallow the Na</w:t>
      </w:r>
      <w:r w:rsidR="00287BE8">
        <w:rPr>
          <w:rFonts w:asciiTheme="minorHAnsi" w:hAnsiTheme="minorHAnsi" w:cstheme="minorHAnsi"/>
          <w:b/>
          <w:color w:val="000000" w:themeColor="text1"/>
          <w:szCs w:val="22"/>
        </w:rPr>
        <w:t>tional Regulations will expire.</w:t>
      </w:r>
    </w:p>
    <w:p w14:paraId="3AAC5D66" w14:textId="2519659F" w:rsidR="00BA1DB3" w:rsidRDefault="00BA1DB3" w:rsidP="001A3394">
      <w:pPr>
        <w:pStyle w:val="Bodycopy"/>
        <w:spacing w:before="220" w:after="220" w:line="280" w:lineRule="exact"/>
        <w:rPr>
          <w:rFonts w:asciiTheme="minorHAnsi" w:hAnsiTheme="minorHAnsi" w:cstheme="minorHAnsi"/>
          <w:bCs/>
          <w:color w:val="000000" w:themeColor="text1"/>
          <w:szCs w:val="22"/>
        </w:rPr>
      </w:pPr>
      <w:r>
        <w:rPr>
          <w:rFonts w:asciiTheme="minorHAnsi" w:hAnsiTheme="minorHAnsi" w:cstheme="minorHAnsi"/>
          <w:bCs/>
          <w:color w:val="000000" w:themeColor="text1"/>
          <w:szCs w:val="22"/>
        </w:rPr>
        <w:lastRenderedPageBreak/>
        <w:t>Turning to the substance of these National Regulations, the Committee notes that the explanatory statement for the National Regulations state</w:t>
      </w:r>
      <w:r w:rsidR="00287BE8">
        <w:rPr>
          <w:rFonts w:asciiTheme="minorHAnsi" w:hAnsiTheme="minorHAnsi" w:cstheme="minorHAnsi"/>
          <w:bCs/>
          <w:color w:val="000000" w:themeColor="text1"/>
          <w:szCs w:val="22"/>
        </w:rPr>
        <w:t>s</w:t>
      </w:r>
      <w:r>
        <w:rPr>
          <w:rFonts w:asciiTheme="minorHAnsi" w:hAnsiTheme="minorHAnsi" w:cstheme="minorHAnsi"/>
          <w:bCs/>
          <w:color w:val="000000" w:themeColor="text1"/>
          <w:szCs w:val="22"/>
        </w:rPr>
        <w:t>:</w:t>
      </w:r>
    </w:p>
    <w:p w14:paraId="0187E707" w14:textId="77777777" w:rsidR="00BA1DB3" w:rsidRPr="004A3BBB" w:rsidRDefault="00BA1DB3" w:rsidP="001A3394">
      <w:pPr>
        <w:pStyle w:val="Bodycopy"/>
        <w:keepNext/>
        <w:keepLines/>
        <w:tabs>
          <w:tab w:val="clear" w:pos="1276"/>
          <w:tab w:val="right" w:pos="9000"/>
        </w:tabs>
        <w:spacing w:before="120" w:after="120" w:line="280" w:lineRule="exact"/>
        <w:ind w:left="360"/>
        <w:rPr>
          <w:b/>
          <w:bCs/>
        </w:rPr>
      </w:pPr>
      <w:r w:rsidRPr="004A3BBB">
        <w:rPr>
          <w:b/>
          <w:bCs/>
        </w:rPr>
        <w:t>Purpose of this Regulation</w:t>
      </w:r>
    </w:p>
    <w:p w14:paraId="55B6B5BC" w14:textId="3BA90D14" w:rsidR="00BA1DB3" w:rsidRDefault="00BA1DB3" w:rsidP="001A3394">
      <w:pPr>
        <w:pStyle w:val="Bodycopy"/>
        <w:keepNext/>
        <w:keepLines/>
        <w:tabs>
          <w:tab w:val="clear" w:pos="1276"/>
          <w:tab w:val="right" w:pos="9000"/>
        </w:tabs>
        <w:spacing w:before="120" w:after="120" w:line="280" w:lineRule="exact"/>
        <w:ind w:left="360"/>
      </w:pPr>
      <w:r>
        <w:t xml:space="preserve">The purpose of the regulation is to amend the </w:t>
      </w:r>
      <w:r w:rsidRPr="004A3BBB">
        <w:rPr>
          <w:i/>
          <w:iCs/>
        </w:rPr>
        <w:t>Heavy Vehicle (Mass, Dimension and Loading) National Regulation</w:t>
      </w:r>
      <w:r>
        <w:t xml:space="preserve"> (the MDL regulation) and the</w:t>
      </w:r>
      <w:r w:rsidRPr="004A3BBB">
        <w:rPr>
          <w:i/>
          <w:iCs/>
        </w:rPr>
        <w:t xml:space="preserve"> Heavy Vehicle (Vehicle Standards) National Regulation </w:t>
      </w:r>
      <w:r w:rsidR="001A3394">
        <w:t>(the VS regulation).</w:t>
      </w:r>
    </w:p>
    <w:p w14:paraId="5D66BDFF" w14:textId="77777777" w:rsidR="00BA1DB3" w:rsidRDefault="00BA1DB3" w:rsidP="001A3394">
      <w:pPr>
        <w:pStyle w:val="Bodycopy"/>
        <w:tabs>
          <w:tab w:val="clear" w:pos="1276"/>
          <w:tab w:val="right" w:pos="9000"/>
        </w:tabs>
        <w:spacing w:before="120" w:after="0" w:line="280" w:lineRule="exact"/>
        <w:ind w:left="360"/>
      </w:pPr>
      <w:r>
        <w:t>The amendments include:</w:t>
      </w:r>
    </w:p>
    <w:p w14:paraId="4993B6A1" w14:textId="22A45D58" w:rsidR="00BA1DB3" w:rsidRDefault="001A3394" w:rsidP="001A3394">
      <w:pPr>
        <w:pStyle w:val="Bodycopy"/>
        <w:tabs>
          <w:tab w:val="clear" w:pos="1276"/>
          <w:tab w:val="right" w:pos="9000"/>
        </w:tabs>
        <w:spacing w:before="0" w:after="0" w:line="280" w:lineRule="exact"/>
        <w:ind w:left="1080" w:hanging="360"/>
      </w:pPr>
      <w:r>
        <w:t>1.</w:t>
      </w:r>
      <w:r>
        <w:tab/>
      </w:r>
      <w:r w:rsidR="00BA1DB3">
        <w:t xml:space="preserve">Allowing the use of Blind Spot Information Systems (BSIS). BSIS informs the driver of a vehicle of a possible collision with a bicycle or another road user. Updates have been made to the VS regulation to ensure that BSIS systems are not measured in the width of the vehicle providing the overall width of the heavy vehicle including the BSIS is not more than 2.6m. </w:t>
      </w:r>
    </w:p>
    <w:p w14:paraId="42D213E8" w14:textId="3E964D6B" w:rsidR="00BA1DB3" w:rsidRDefault="001A3394" w:rsidP="001A3394">
      <w:pPr>
        <w:pStyle w:val="Bodycopy"/>
        <w:tabs>
          <w:tab w:val="clear" w:pos="1276"/>
          <w:tab w:val="right" w:pos="9000"/>
        </w:tabs>
        <w:spacing w:before="0" w:after="0" w:line="280" w:lineRule="exact"/>
        <w:ind w:left="1080" w:hanging="360"/>
      </w:pPr>
      <w:r>
        <w:t>2.</w:t>
      </w:r>
      <w:r>
        <w:tab/>
      </w:r>
      <w:r w:rsidR="00BA1DB3">
        <w:t xml:space="preserve">Updates to definitions to exempt Indirect Vision Devices (IVD) complying with ADR 14 from being included in the measurement of vehicle length and width, subject to certain conditions. </w:t>
      </w:r>
    </w:p>
    <w:p w14:paraId="105287D2" w14:textId="48A6ADF9" w:rsidR="00BA1DB3" w:rsidRDefault="001A3394" w:rsidP="001A3394">
      <w:pPr>
        <w:pStyle w:val="Bodycopy"/>
        <w:tabs>
          <w:tab w:val="clear" w:pos="1276"/>
          <w:tab w:val="right" w:pos="9000"/>
        </w:tabs>
        <w:spacing w:before="0" w:after="0" w:line="280" w:lineRule="exact"/>
        <w:ind w:left="1080" w:hanging="360"/>
      </w:pPr>
      <w:r>
        <w:t>3.</w:t>
      </w:r>
      <w:r>
        <w:tab/>
      </w:r>
      <w:r w:rsidR="00BA1DB3">
        <w:t xml:space="preserve">Prohibiting fitment of tyres that have cleats or other gripping devices to heavy trailers, where these cleats would damage the roads. This change aligns requirements for trailers with the requirement for heavy motor vehicles. </w:t>
      </w:r>
    </w:p>
    <w:p w14:paraId="49314347" w14:textId="1D3AC8B8" w:rsidR="00BA1DB3" w:rsidRDefault="001A3394" w:rsidP="001A3394">
      <w:pPr>
        <w:pStyle w:val="Bodycopy"/>
        <w:tabs>
          <w:tab w:val="clear" w:pos="1276"/>
          <w:tab w:val="right" w:pos="9000"/>
        </w:tabs>
        <w:spacing w:before="0" w:after="0" w:line="280" w:lineRule="exact"/>
        <w:ind w:left="1080" w:hanging="360"/>
      </w:pPr>
      <w:r>
        <w:t>4.</w:t>
      </w:r>
      <w:r>
        <w:tab/>
      </w:r>
      <w:r w:rsidR="00BA1DB3">
        <w:t xml:space="preserve">An update to terminology used to refer to retroreflective surfaces on warning signs and labels. This is to align regulations with changes to the relevant Australian/ New Zealand Standard. </w:t>
      </w:r>
    </w:p>
    <w:p w14:paraId="01EED948" w14:textId="067FD3D9" w:rsidR="00BA1DB3" w:rsidRDefault="001A3394" w:rsidP="001A3394">
      <w:pPr>
        <w:pStyle w:val="Bodycopy"/>
        <w:tabs>
          <w:tab w:val="clear" w:pos="1276"/>
          <w:tab w:val="right" w:pos="9000"/>
        </w:tabs>
        <w:spacing w:before="0" w:after="0" w:line="280" w:lineRule="exact"/>
        <w:ind w:left="1080" w:hanging="360"/>
        <w:rPr>
          <w:rFonts w:asciiTheme="minorHAnsi" w:hAnsiTheme="minorHAnsi" w:cstheme="minorHAnsi"/>
          <w:bCs/>
          <w:color w:val="000000" w:themeColor="text1"/>
          <w:szCs w:val="22"/>
        </w:rPr>
      </w:pPr>
      <w:r>
        <w:t>5.</w:t>
      </w:r>
      <w:r>
        <w:tab/>
      </w:r>
      <w:r w:rsidR="00BA1DB3">
        <w:t xml:space="preserve">There have also been changes to the VS regulation and MDL regulation to provide for the (Cwlth) </w:t>
      </w:r>
      <w:r w:rsidR="00BA1DB3" w:rsidRPr="00B87002">
        <w:rPr>
          <w:i/>
          <w:iCs/>
        </w:rPr>
        <w:t>Road Vehicle Standards Act 2018</w:t>
      </w:r>
      <w:r w:rsidR="00BA1DB3">
        <w:t xml:space="preserve"> (RVSA) that commenced in full on 1 July 2021.</w:t>
      </w:r>
    </w:p>
    <w:p w14:paraId="43125481" w14:textId="43AD9AE9" w:rsidR="00BA1DB3" w:rsidRDefault="00BA1DB3" w:rsidP="00BA1DB3">
      <w:pPr>
        <w:pStyle w:val="Bodycopy"/>
        <w:spacing w:before="120" w:after="120" w:line="280" w:lineRule="exact"/>
        <w:rPr>
          <w:rFonts w:asciiTheme="minorHAnsi" w:hAnsiTheme="minorHAnsi" w:cstheme="minorHAnsi"/>
          <w:bCs/>
          <w:color w:val="000000" w:themeColor="text1"/>
          <w:szCs w:val="22"/>
        </w:rPr>
      </w:pPr>
      <w:r>
        <w:rPr>
          <w:rFonts w:asciiTheme="minorHAnsi" w:hAnsiTheme="minorHAnsi" w:cstheme="minorHAnsi"/>
          <w:bCs/>
          <w:color w:val="000000" w:themeColor="text1"/>
          <w:szCs w:val="22"/>
        </w:rPr>
        <w:t>The Committee notes, with approval, that an explanatory statement has been provided for these National Regulations, despite suggestions (in correspondence that the Committee had, with various Ministers, during the 9</w:t>
      </w:r>
      <w:r w:rsidRPr="004A3BBB">
        <w:rPr>
          <w:rFonts w:asciiTheme="minorHAnsi" w:hAnsiTheme="minorHAnsi" w:cstheme="minorHAnsi"/>
          <w:bCs/>
          <w:color w:val="000000" w:themeColor="text1"/>
          <w:szCs w:val="22"/>
          <w:vertAlign w:val="superscript"/>
        </w:rPr>
        <w:t>th</w:t>
      </w:r>
      <w:r>
        <w:rPr>
          <w:rFonts w:asciiTheme="minorHAnsi" w:hAnsiTheme="minorHAnsi" w:cstheme="minorHAnsi"/>
          <w:bCs/>
          <w:color w:val="000000" w:themeColor="text1"/>
          <w:szCs w:val="22"/>
        </w:rPr>
        <w:t xml:space="preserve"> Assembly) that there is no formal requirement, und</w:t>
      </w:r>
      <w:r w:rsidR="001A3394">
        <w:rPr>
          <w:rFonts w:asciiTheme="minorHAnsi" w:hAnsiTheme="minorHAnsi" w:cstheme="minorHAnsi"/>
          <w:bCs/>
          <w:color w:val="000000" w:themeColor="text1"/>
          <w:szCs w:val="22"/>
        </w:rPr>
        <w:t>er various national l</w:t>
      </w:r>
      <w:r>
        <w:rPr>
          <w:rFonts w:asciiTheme="minorHAnsi" w:hAnsiTheme="minorHAnsi" w:cstheme="minorHAnsi"/>
          <w:bCs/>
          <w:color w:val="000000" w:themeColor="text1"/>
          <w:szCs w:val="22"/>
        </w:rPr>
        <w:t>aws, to provide such material.  The Committee notes that this is reflected in the explanatory statement for these National Regulations, which states:</w:t>
      </w:r>
    </w:p>
    <w:p w14:paraId="3140BF4B" w14:textId="77777777" w:rsidR="00BA1DB3" w:rsidRDefault="00BA1DB3" w:rsidP="00E157D4">
      <w:pPr>
        <w:pStyle w:val="Bodycopy"/>
        <w:spacing w:before="120" w:after="120" w:line="280" w:lineRule="exact"/>
        <w:ind w:left="360"/>
      </w:pPr>
      <w:r>
        <w:t>While not required, the then Minister for Justice and Community Safety agreed that an explanatory statement would be provided in support of any national amendment</w:t>
      </w:r>
      <w:r w:rsidRPr="00CA026A">
        <w:t xml:space="preserve"> </w:t>
      </w:r>
      <w:r>
        <w:t>regulation tabled in the Legislative Assembly. Some previous explanatory statements were shortened and did not include notes on clauses.</w:t>
      </w:r>
    </w:p>
    <w:p w14:paraId="1BF77657" w14:textId="46D84FAF" w:rsidR="00BA1DB3" w:rsidRDefault="00BA1DB3" w:rsidP="00E157D4">
      <w:pPr>
        <w:pStyle w:val="Bodycopy"/>
        <w:keepLines/>
        <w:spacing w:before="120" w:after="120" w:line="280" w:lineRule="exact"/>
        <w:rPr>
          <w:rFonts w:asciiTheme="minorHAnsi" w:hAnsiTheme="minorHAnsi" w:cstheme="minorHAnsi"/>
          <w:bCs/>
          <w:color w:val="000000" w:themeColor="text1"/>
          <w:szCs w:val="22"/>
        </w:rPr>
      </w:pPr>
      <w:r>
        <w:rPr>
          <w:rFonts w:asciiTheme="minorHAnsi" w:hAnsiTheme="minorHAnsi" w:cstheme="minorHAnsi"/>
          <w:bCs/>
          <w:color w:val="000000" w:themeColor="text1"/>
          <w:szCs w:val="22"/>
        </w:rPr>
        <w:t>The Committee re-states its view that an explanatory st</w:t>
      </w:r>
      <w:r w:rsidR="00E157D4">
        <w:rPr>
          <w:rFonts w:asciiTheme="minorHAnsi" w:hAnsiTheme="minorHAnsi" w:cstheme="minorHAnsi"/>
          <w:bCs/>
          <w:color w:val="000000" w:themeColor="text1"/>
          <w:szCs w:val="22"/>
        </w:rPr>
        <w:t>atement should be provided for national laws/r</w:t>
      </w:r>
      <w:r>
        <w:rPr>
          <w:rFonts w:asciiTheme="minorHAnsi" w:hAnsiTheme="minorHAnsi" w:cstheme="minorHAnsi"/>
          <w:bCs/>
          <w:color w:val="000000" w:themeColor="text1"/>
          <w:szCs w:val="22"/>
        </w:rPr>
        <w:t>egulations, regardless of the absence of a requirement to do so, in the relevant empowering legislation.  Explanatory statements are essential, both in terms of informing the Committee (and the Legislative Assembly) and in allowing the Committee to carry ou</w:t>
      </w:r>
      <w:r w:rsidR="00E157D4">
        <w:rPr>
          <w:rFonts w:asciiTheme="minorHAnsi" w:hAnsiTheme="minorHAnsi" w:cstheme="minorHAnsi"/>
          <w:bCs/>
          <w:color w:val="000000" w:themeColor="text1"/>
          <w:szCs w:val="22"/>
        </w:rPr>
        <w:t>t its function, under principle </w:t>
      </w:r>
      <w:r w:rsidRPr="00CA026A">
        <w:rPr>
          <w:rFonts w:asciiTheme="minorHAnsi" w:hAnsiTheme="minorHAnsi" w:cstheme="minorHAnsi"/>
          <w:bCs/>
          <w:color w:val="000000" w:themeColor="text1"/>
          <w:szCs w:val="22"/>
        </w:rPr>
        <w:t>(10</w:t>
      </w:r>
      <w:proofErr w:type="gramStart"/>
      <w:r w:rsidRPr="00CA026A">
        <w:rPr>
          <w:rFonts w:asciiTheme="minorHAnsi" w:hAnsiTheme="minorHAnsi" w:cstheme="minorHAnsi"/>
          <w:bCs/>
          <w:color w:val="000000" w:themeColor="text1"/>
          <w:szCs w:val="22"/>
        </w:rPr>
        <w:t>)(</w:t>
      </w:r>
      <w:proofErr w:type="gramEnd"/>
      <w:r w:rsidRPr="00CA026A">
        <w:rPr>
          <w:rFonts w:asciiTheme="minorHAnsi" w:hAnsiTheme="minorHAnsi" w:cstheme="minorHAnsi"/>
          <w:bCs/>
          <w:color w:val="000000" w:themeColor="text1"/>
          <w:szCs w:val="22"/>
        </w:rPr>
        <w:t xml:space="preserve">d) of the Committee’s terms of reference, </w:t>
      </w:r>
      <w:r>
        <w:rPr>
          <w:rFonts w:asciiTheme="minorHAnsi" w:hAnsiTheme="minorHAnsi" w:cstheme="minorHAnsi"/>
          <w:bCs/>
          <w:color w:val="000000" w:themeColor="text1"/>
          <w:szCs w:val="22"/>
        </w:rPr>
        <w:t xml:space="preserve">to assess </w:t>
      </w:r>
      <w:r w:rsidRPr="00CA026A">
        <w:rPr>
          <w:rFonts w:asciiTheme="minorHAnsi" w:hAnsiTheme="minorHAnsi" w:cstheme="minorHAnsi"/>
          <w:bCs/>
          <w:color w:val="000000" w:themeColor="text1"/>
          <w:szCs w:val="22"/>
        </w:rPr>
        <w:t xml:space="preserve">explanatory statements </w:t>
      </w:r>
      <w:r>
        <w:rPr>
          <w:rFonts w:asciiTheme="minorHAnsi" w:hAnsiTheme="minorHAnsi" w:cstheme="minorHAnsi"/>
          <w:bCs/>
          <w:color w:val="000000" w:themeColor="text1"/>
          <w:szCs w:val="22"/>
        </w:rPr>
        <w:t>against the</w:t>
      </w:r>
      <w:r w:rsidRPr="00CA026A">
        <w:rPr>
          <w:rFonts w:asciiTheme="minorHAnsi" w:hAnsiTheme="minorHAnsi" w:cstheme="minorHAnsi"/>
          <w:bCs/>
          <w:color w:val="000000" w:themeColor="text1"/>
          <w:szCs w:val="22"/>
        </w:rPr>
        <w:t xml:space="preserve"> technical </w:t>
      </w:r>
      <w:r>
        <w:rPr>
          <w:rFonts w:asciiTheme="minorHAnsi" w:hAnsiTheme="minorHAnsi" w:cstheme="minorHAnsi"/>
          <w:bCs/>
          <w:color w:val="000000" w:themeColor="text1"/>
          <w:szCs w:val="22"/>
        </w:rPr>
        <w:t>and</w:t>
      </w:r>
      <w:r w:rsidRPr="00CA026A">
        <w:rPr>
          <w:rFonts w:asciiTheme="minorHAnsi" w:hAnsiTheme="minorHAnsi" w:cstheme="minorHAnsi"/>
          <w:bCs/>
          <w:color w:val="000000" w:themeColor="text1"/>
          <w:szCs w:val="22"/>
        </w:rPr>
        <w:t xml:space="preserve"> stylistic standards expected by the Committee</w:t>
      </w:r>
      <w:r>
        <w:rPr>
          <w:rFonts w:asciiTheme="minorHAnsi" w:hAnsiTheme="minorHAnsi" w:cstheme="minorHAnsi"/>
          <w:bCs/>
          <w:color w:val="000000" w:themeColor="text1"/>
          <w:szCs w:val="22"/>
        </w:rPr>
        <w:t>.</w:t>
      </w:r>
    </w:p>
    <w:p w14:paraId="7F83B620" w14:textId="07440DF4" w:rsidR="00BA1DB3" w:rsidRDefault="00BA1DB3" w:rsidP="00BA1DB3">
      <w:pPr>
        <w:pStyle w:val="Bodycopy"/>
        <w:spacing w:before="120" w:after="120" w:line="280" w:lineRule="exact"/>
        <w:rPr>
          <w:rFonts w:asciiTheme="minorHAnsi" w:hAnsiTheme="minorHAnsi" w:cstheme="minorHAnsi"/>
          <w:bCs/>
          <w:color w:val="000000" w:themeColor="text1"/>
          <w:szCs w:val="22"/>
        </w:rPr>
      </w:pPr>
      <w:r>
        <w:rPr>
          <w:rFonts w:asciiTheme="minorHAnsi" w:hAnsiTheme="minorHAnsi" w:cstheme="minorHAnsi"/>
          <w:bCs/>
          <w:color w:val="000000" w:themeColor="text1"/>
          <w:szCs w:val="22"/>
        </w:rPr>
        <w:t xml:space="preserve">The Committee notes, with approval, the inclusion of notes on clauses, in the explanatory statement for these National Regulations.  This is of great assistance to the Committee </w:t>
      </w:r>
      <w:r w:rsidR="00E157D4">
        <w:rPr>
          <w:rFonts w:asciiTheme="minorHAnsi" w:hAnsiTheme="minorHAnsi" w:cstheme="minorHAnsi"/>
          <w:bCs/>
          <w:color w:val="000000" w:themeColor="text1"/>
          <w:szCs w:val="22"/>
        </w:rPr>
        <w:t>(and the Legislative Assembly).</w:t>
      </w:r>
    </w:p>
    <w:p w14:paraId="7AEEF79C" w14:textId="77777777" w:rsidR="00BA1DB3" w:rsidRDefault="00BA1DB3" w:rsidP="00D932F4">
      <w:pPr>
        <w:pStyle w:val="Bodycopy"/>
        <w:keepNext/>
        <w:keepLines/>
        <w:spacing w:before="120" w:after="120" w:line="280" w:lineRule="exact"/>
        <w:rPr>
          <w:rFonts w:asciiTheme="minorHAnsi" w:hAnsiTheme="minorHAnsi" w:cstheme="minorHAnsi"/>
          <w:bCs/>
          <w:color w:val="000000" w:themeColor="text1"/>
          <w:szCs w:val="22"/>
        </w:rPr>
      </w:pPr>
      <w:r>
        <w:rPr>
          <w:rFonts w:asciiTheme="minorHAnsi" w:hAnsiTheme="minorHAnsi" w:cstheme="minorHAnsi"/>
          <w:bCs/>
          <w:color w:val="000000" w:themeColor="text1"/>
          <w:szCs w:val="22"/>
        </w:rPr>
        <w:lastRenderedPageBreak/>
        <w:t>The Committee notes that the explanatory statement for the National Regulations addresses human rights implications of the instrument, stating that “[t]</w:t>
      </w:r>
      <w:r w:rsidRPr="00CA026A">
        <w:rPr>
          <w:rFonts w:asciiTheme="minorHAnsi" w:hAnsiTheme="minorHAnsi" w:cstheme="minorHAnsi"/>
          <w:bCs/>
          <w:color w:val="000000" w:themeColor="text1"/>
          <w:szCs w:val="22"/>
        </w:rPr>
        <w:t>here are no human rights implications arising from these amendments.</w:t>
      </w:r>
      <w:r>
        <w:rPr>
          <w:rFonts w:asciiTheme="minorHAnsi" w:hAnsiTheme="minorHAnsi" w:cstheme="minorHAnsi"/>
          <w:bCs/>
          <w:color w:val="000000" w:themeColor="text1"/>
          <w:szCs w:val="22"/>
        </w:rPr>
        <w:t>”</w:t>
      </w:r>
    </w:p>
    <w:p w14:paraId="3C9E23F8" w14:textId="58D7F420" w:rsidR="00BA1DB3" w:rsidRPr="002A3DCD" w:rsidRDefault="00BA1DB3" w:rsidP="00BA1DB3">
      <w:pPr>
        <w:pStyle w:val="Bodycopy"/>
        <w:spacing w:before="120" w:after="120" w:line="240" w:lineRule="auto"/>
        <w:rPr>
          <w:b/>
        </w:rPr>
      </w:pPr>
      <w:r w:rsidRPr="002A3DCD">
        <w:rPr>
          <w:b/>
        </w:rPr>
        <w:t>The Committee draws the attention of the Legislative Assembly to the discussion of human rights issues in the explanatory statement for th</w:t>
      </w:r>
      <w:r>
        <w:rPr>
          <w:b/>
        </w:rPr>
        <w:t>ese National Regulations</w:t>
      </w:r>
      <w:r w:rsidRPr="002A3DCD">
        <w:rPr>
          <w:b/>
        </w:rPr>
        <w:t>.</w:t>
      </w:r>
    </w:p>
    <w:p w14:paraId="19D6A428" w14:textId="77777777" w:rsidR="00BA1DB3" w:rsidRDefault="00BA1DB3" w:rsidP="00BA1DB3">
      <w:pPr>
        <w:pStyle w:val="Bodycopy"/>
        <w:spacing w:after="0" w:line="280" w:lineRule="exact"/>
        <w:rPr>
          <w:b/>
        </w:rPr>
      </w:pPr>
      <w:r>
        <w:rPr>
          <w:b/>
        </w:rPr>
        <w:t>This comment does not require a response from the Minister.</w:t>
      </w:r>
    </w:p>
    <w:p w14:paraId="2E8A9526" w14:textId="26312491" w:rsidR="00F753CA" w:rsidRDefault="00C874F7" w:rsidP="0050636F">
      <w:pPr>
        <w:pStyle w:val="Heading2"/>
        <w:keepNext w:val="0"/>
        <w:rPr>
          <w:rFonts w:eastAsia="Calibri"/>
          <w:lang w:eastAsia="en-AU"/>
        </w:rPr>
      </w:pPr>
      <w:bookmarkStart w:id="557" w:name="_Toc83639613"/>
      <w:r>
        <w:rPr>
          <w:rFonts w:eastAsia="Calibri"/>
          <w:lang w:eastAsia="en-AU"/>
        </w:rPr>
        <w:t>R</w:t>
      </w:r>
      <w:r w:rsidR="00F753CA">
        <w:rPr>
          <w:rFonts w:eastAsia="Calibri"/>
          <w:lang w:eastAsia="en-AU"/>
        </w:rPr>
        <w:t>esponses</w:t>
      </w:r>
      <w:bookmarkEnd w:id="557"/>
    </w:p>
    <w:p w14:paraId="7A38772C" w14:textId="6340BD4E" w:rsidR="00C874F7" w:rsidRPr="00C874F7" w:rsidRDefault="00C874F7" w:rsidP="00C874F7">
      <w:pPr>
        <w:pStyle w:val="Heading3"/>
        <w:rPr>
          <w:lang w:eastAsia="en-AU"/>
        </w:rPr>
      </w:pPr>
      <w:bookmarkStart w:id="558" w:name="_Toc83639614"/>
      <w:r>
        <w:rPr>
          <w:lang w:eastAsia="en-AU"/>
        </w:rPr>
        <w:t>Government responses</w:t>
      </w:r>
      <w:bookmarkEnd w:id="558"/>
    </w:p>
    <w:bookmarkEnd w:id="525"/>
    <w:bookmarkEnd w:id="526"/>
    <w:p w14:paraId="34D8C432" w14:textId="77777777" w:rsidR="00F65983" w:rsidRPr="00F65983" w:rsidRDefault="00F65983" w:rsidP="002C6E9B">
      <w:pPr>
        <w:spacing w:line="260" w:lineRule="exact"/>
        <w:rPr>
          <w:rFonts w:ascii="Calibri" w:eastAsia="Calibri" w:hAnsi="Calibri" w:cs="Times New Roman"/>
        </w:rPr>
      </w:pPr>
      <w:r w:rsidRPr="00F65983">
        <w:rPr>
          <w:rFonts w:ascii="Calibri" w:eastAsia="Calibri" w:hAnsi="Calibri" w:cs="Times New Roman"/>
        </w:rPr>
        <w:t xml:space="preserve">The Committee has received </w:t>
      </w:r>
      <w:r w:rsidR="003379D7">
        <w:rPr>
          <w:rFonts w:ascii="Calibri" w:eastAsia="Calibri" w:hAnsi="Calibri" w:cs="Times New Roman"/>
        </w:rPr>
        <w:t>response</w:t>
      </w:r>
      <w:r w:rsidR="00C13B2C">
        <w:rPr>
          <w:rFonts w:ascii="Calibri" w:eastAsia="Calibri" w:hAnsi="Calibri" w:cs="Times New Roman"/>
        </w:rPr>
        <w:t>s</w:t>
      </w:r>
      <w:r w:rsidRPr="00F65983">
        <w:rPr>
          <w:rFonts w:ascii="Calibri" w:eastAsia="Calibri" w:hAnsi="Calibri" w:cs="Times New Roman"/>
        </w:rPr>
        <w:t xml:space="preserve"> from:</w:t>
      </w:r>
    </w:p>
    <w:p w14:paraId="688E134E" w14:textId="799B923C" w:rsidR="00A34C2E" w:rsidRDefault="00A34C2E" w:rsidP="002C6E9B">
      <w:pPr>
        <w:keepLines/>
        <w:widowControl w:val="0"/>
        <w:numPr>
          <w:ilvl w:val="0"/>
          <w:numId w:val="12"/>
        </w:numPr>
        <w:spacing w:line="260" w:lineRule="exact"/>
      </w:pPr>
      <w:r w:rsidRPr="00990762">
        <w:t xml:space="preserve">The Minister for Health, </w:t>
      </w:r>
      <w:r w:rsidR="003F68A7" w:rsidRPr="00990762">
        <w:t>received</w:t>
      </w:r>
      <w:r w:rsidR="00990762">
        <w:t xml:space="preserve"> 10 September </w:t>
      </w:r>
      <w:r w:rsidR="003F68A7" w:rsidRPr="00990762">
        <w:t>2021</w:t>
      </w:r>
      <w:r w:rsidRPr="00990762">
        <w:t xml:space="preserve">, in relation to comments made in Scrutiny Report </w:t>
      </w:r>
      <w:r w:rsidR="00990762">
        <w:t>8</w:t>
      </w:r>
      <w:r w:rsidRPr="00990762">
        <w:t xml:space="preserve">, concerning </w:t>
      </w:r>
      <w:r w:rsidR="00990762">
        <w:t>the COVID-19 Emergency Response (Check-in Information) Amendment Bill 2021</w:t>
      </w:r>
      <w:r w:rsidRPr="00990762">
        <w:t>.</w:t>
      </w:r>
    </w:p>
    <w:p w14:paraId="60460945" w14:textId="6B65DD03" w:rsidR="00990762" w:rsidRDefault="00990762" w:rsidP="00964EA9">
      <w:pPr>
        <w:keepLines/>
        <w:widowControl w:val="0"/>
        <w:numPr>
          <w:ilvl w:val="0"/>
          <w:numId w:val="12"/>
        </w:numPr>
        <w:spacing w:before="120" w:line="260" w:lineRule="exact"/>
      </w:pPr>
      <w:r>
        <w:t>The Minister for the Prevention of Domestic and Family Violence, dated 14 September 2021, in relation to comments made in Scrutiny Report 7 concerning the Domestic Violence Agencies Amendment Bill 2021.</w:t>
      </w:r>
    </w:p>
    <w:p w14:paraId="2D877C1E" w14:textId="29D6876C" w:rsidR="00B83F62" w:rsidRDefault="00F50385" w:rsidP="002C6E9B">
      <w:pPr>
        <w:widowControl w:val="0"/>
        <w:spacing w:before="200" w:after="0" w:line="260" w:lineRule="exact"/>
        <w:ind w:left="360"/>
        <w:rPr>
          <w:rFonts w:ascii="Calibri" w:eastAsia="Calibri" w:hAnsi="Calibri" w:cs="Times New Roman"/>
          <w:b/>
          <w:lang w:eastAsia="en-AU"/>
        </w:rPr>
      </w:pPr>
      <w:hyperlink r:id="rId31" w:history="1">
        <w:r w:rsidR="00546EA3" w:rsidRPr="00126C48">
          <w:rPr>
            <w:rStyle w:val="Hyperlink"/>
            <w:rFonts w:ascii="Calibri" w:eastAsia="Calibri" w:hAnsi="Calibri" w:cs="Times New Roman"/>
            <w:b/>
            <w:lang w:eastAsia="en-AU"/>
          </w:rPr>
          <w:t>These</w:t>
        </w:r>
        <w:r w:rsidR="00B83F62" w:rsidRPr="00126C48">
          <w:rPr>
            <w:rStyle w:val="Hyperlink"/>
            <w:rFonts w:ascii="Calibri" w:eastAsia="Calibri" w:hAnsi="Calibri" w:cs="Times New Roman"/>
            <w:b/>
            <w:lang w:eastAsia="en-AU"/>
          </w:rPr>
          <w:t xml:space="preserve"> response</w:t>
        </w:r>
        <w:r w:rsidR="00546EA3" w:rsidRPr="00126C48">
          <w:rPr>
            <w:rStyle w:val="Hyperlink"/>
            <w:rFonts w:ascii="Calibri" w:eastAsia="Calibri" w:hAnsi="Calibri" w:cs="Times New Roman"/>
            <w:b/>
            <w:lang w:eastAsia="en-AU"/>
          </w:rPr>
          <w:t>s</w:t>
        </w:r>
      </w:hyperlink>
      <w:r w:rsidR="00B83F62" w:rsidRPr="00367B9B">
        <w:rPr>
          <w:rFonts w:ascii="Calibri" w:eastAsia="Calibri" w:hAnsi="Calibri" w:cs="Times New Roman"/>
          <w:b/>
          <w:i/>
          <w:vertAlign w:val="superscript"/>
          <w:lang w:eastAsia="en-AU"/>
        </w:rPr>
        <w:footnoteReference w:id="4"/>
      </w:r>
      <w:r w:rsidR="00B83F62" w:rsidRPr="00367B9B">
        <w:rPr>
          <w:rFonts w:ascii="Calibri" w:eastAsia="Calibri" w:hAnsi="Calibri" w:cs="Times New Roman"/>
          <w:b/>
          <w:i/>
          <w:lang w:eastAsia="en-AU"/>
        </w:rPr>
        <w:t xml:space="preserve"> </w:t>
      </w:r>
      <w:r w:rsidR="00B83F62" w:rsidRPr="00031636">
        <w:rPr>
          <w:rFonts w:ascii="Calibri" w:eastAsia="Calibri" w:hAnsi="Calibri" w:cs="Times New Roman"/>
          <w:b/>
          <w:lang w:eastAsia="en-AU"/>
        </w:rPr>
        <w:t>can be viewed online.</w:t>
      </w:r>
    </w:p>
    <w:p w14:paraId="45AB4FF3" w14:textId="713E99BC" w:rsidR="00C874F7" w:rsidRDefault="00B57967" w:rsidP="00C874F7">
      <w:pPr>
        <w:pStyle w:val="Heading3"/>
      </w:pPr>
      <w:bookmarkStart w:id="559" w:name="_Toc83639615"/>
      <w:bookmarkEnd w:id="527"/>
      <w:bookmarkEnd w:id="528"/>
      <w:r>
        <w:t>Private Members’</w:t>
      </w:r>
      <w:r w:rsidR="00C874F7">
        <w:t xml:space="preserve"> response</w:t>
      </w:r>
      <w:r w:rsidR="00990762">
        <w:t>s</w:t>
      </w:r>
      <w:bookmarkEnd w:id="559"/>
    </w:p>
    <w:p w14:paraId="42699D2B" w14:textId="77777777" w:rsidR="00990762" w:rsidRPr="00990762" w:rsidRDefault="00C874F7" w:rsidP="00990762">
      <w:pPr>
        <w:keepLines/>
        <w:widowControl w:val="0"/>
        <w:spacing w:line="260" w:lineRule="exact"/>
      </w:pPr>
      <w:r w:rsidRPr="00990762">
        <w:t>The Committee has received response</w:t>
      </w:r>
      <w:r w:rsidR="00990762" w:rsidRPr="00990762">
        <w:t>s</w:t>
      </w:r>
      <w:r w:rsidRPr="00990762">
        <w:t xml:space="preserve"> from</w:t>
      </w:r>
      <w:r w:rsidR="00990762" w:rsidRPr="00990762">
        <w:t>:</w:t>
      </w:r>
    </w:p>
    <w:p w14:paraId="72321A43" w14:textId="66A7DEBB" w:rsidR="00990762" w:rsidRDefault="00990762" w:rsidP="00990762">
      <w:pPr>
        <w:keepLines/>
        <w:widowControl w:val="0"/>
        <w:numPr>
          <w:ilvl w:val="0"/>
          <w:numId w:val="12"/>
        </w:numPr>
        <w:spacing w:line="260" w:lineRule="exact"/>
      </w:pPr>
      <w:r>
        <w:t>Ms Orr, dated 16 September 2021, in relation to comments made in Scrutiny Report 7 concerning the Carers Recognition Bill 2021.</w:t>
      </w:r>
    </w:p>
    <w:p w14:paraId="073418A1" w14:textId="0E6E6C2C" w:rsidR="00C874F7" w:rsidRPr="00990762" w:rsidRDefault="005973F1" w:rsidP="00964EA9">
      <w:pPr>
        <w:keepLines/>
        <w:widowControl w:val="0"/>
        <w:numPr>
          <w:ilvl w:val="0"/>
          <w:numId w:val="12"/>
        </w:numPr>
        <w:spacing w:before="120" w:line="260" w:lineRule="exact"/>
      </w:pPr>
      <w:r w:rsidRPr="00990762">
        <w:t>Mr Hanson, dated 20 September 2021, in relation to comments made in Scrutiny Report 8 concerning the Bail Amendment Bill 2021.</w:t>
      </w:r>
    </w:p>
    <w:p w14:paraId="2AFEFFBD" w14:textId="506F8667" w:rsidR="005973F1" w:rsidRDefault="00F50385" w:rsidP="00D932F4">
      <w:pPr>
        <w:widowControl w:val="0"/>
        <w:spacing w:before="200" w:after="0" w:line="260" w:lineRule="exact"/>
        <w:ind w:left="346"/>
        <w:rPr>
          <w:rFonts w:ascii="Calibri" w:eastAsia="Calibri" w:hAnsi="Calibri" w:cs="Times New Roman"/>
          <w:b/>
          <w:lang w:eastAsia="en-AU"/>
        </w:rPr>
      </w:pPr>
      <w:hyperlink r:id="rId32" w:history="1">
        <w:r w:rsidR="00CA7509">
          <w:rPr>
            <w:rStyle w:val="Hyperlink"/>
            <w:rFonts w:ascii="Calibri" w:eastAsia="Calibri" w:hAnsi="Calibri" w:cs="Times New Roman"/>
            <w:b/>
            <w:lang w:eastAsia="en-AU"/>
          </w:rPr>
          <w:t>These</w:t>
        </w:r>
        <w:r w:rsidR="005973F1" w:rsidRPr="00126C48">
          <w:rPr>
            <w:rStyle w:val="Hyperlink"/>
            <w:rFonts w:ascii="Calibri" w:eastAsia="Calibri" w:hAnsi="Calibri" w:cs="Times New Roman"/>
            <w:b/>
            <w:lang w:eastAsia="en-AU"/>
          </w:rPr>
          <w:t xml:space="preserve"> response</w:t>
        </w:r>
      </w:hyperlink>
      <w:r w:rsidR="00CA7509">
        <w:rPr>
          <w:rStyle w:val="Hyperlink"/>
          <w:rFonts w:ascii="Calibri" w:eastAsia="Calibri" w:hAnsi="Calibri" w:cs="Times New Roman"/>
          <w:b/>
          <w:lang w:eastAsia="en-AU"/>
        </w:rPr>
        <w:t>s</w:t>
      </w:r>
      <w:r w:rsidR="005973F1" w:rsidRPr="00367B9B">
        <w:rPr>
          <w:rFonts w:ascii="Calibri" w:eastAsia="Calibri" w:hAnsi="Calibri" w:cs="Times New Roman"/>
          <w:b/>
          <w:i/>
          <w:vertAlign w:val="superscript"/>
          <w:lang w:eastAsia="en-AU"/>
        </w:rPr>
        <w:footnoteReference w:id="5"/>
      </w:r>
      <w:r w:rsidR="005973F1" w:rsidRPr="00367B9B">
        <w:rPr>
          <w:rFonts w:ascii="Calibri" w:eastAsia="Calibri" w:hAnsi="Calibri" w:cs="Times New Roman"/>
          <w:b/>
          <w:i/>
          <w:lang w:eastAsia="en-AU"/>
        </w:rPr>
        <w:t xml:space="preserve"> </w:t>
      </w:r>
      <w:r w:rsidR="005973F1" w:rsidRPr="00031636">
        <w:rPr>
          <w:rFonts w:ascii="Calibri" w:eastAsia="Calibri" w:hAnsi="Calibri" w:cs="Times New Roman"/>
          <w:b/>
          <w:lang w:eastAsia="en-AU"/>
        </w:rPr>
        <w:t>can be viewed online.</w:t>
      </w:r>
    </w:p>
    <w:p w14:paraId="41B14A23" w14:textId="3585E674" w:rsidR="00C13B2C" w:rsidRDefault="00C13B2C" w:rsidP="00964EA9">
      <w:pPr>
        <w:pStyle w:val="Paper"/>
        <w:keepLines/>
        <w:spacing w:before="220" w:after="0" w:line="280" w:lineRule="exact"/>
        <w:rPr>
          <w:rFonts w:ascii="Calibri" w:hAnsi="Calibri"/>
          <w:bCs/>
          <w:sz w:val="22"/>
          <w:szCs w:val="22"/>
        </w:rPr>
      </w:pPr>
      <w:r>
        <w:rPr>
          <w:rFonts w:ascii="Calibri" w:hAnsi="Calibri"/>
          <w:bCs/>
          <w:sz w:val="22"/>
          <w:szCs w:val="22"/>
        </w:rPr>
        <w:t xml:space="preserve">The Committee wishes to thank the </w:t>
      </w:r>
      <w:r w:rsidR="00C0016C">
        <w:rPr>
          <w:rFonts w:ascii="Calibri" w:hAnsi="Calibri"/>
          <w:bCs/>
          <w:sz w:val="22"/>
          <w:szCs w:val="22"/>
        </w:rPr>
        <w:t>Minster for Health</w:t>
      </w:r>
      <w:r w:rsidR="00990762">
        <w:rPr>
          <w:rFonts w:ascii="Calibri" w:hAnsi="Calibri"/>
          <w:bCs/>
          <w:sz w:val="22"/>
          <w:szCs w:val="22"/>
        </w:rPr>
        <w:t>, the Minister for the Prevention of Domestic and Family Violence, Ms Orr and Mr Hanson</w:t>
      </w:r>
      <w:r w:rsidR="00C0016C">
        <w:rPr>
          <w:rFonts w:ascii="Calibri" w:hAnsi="Calibri"/>
          <w:bCs/>
          <w:sz w:val="22"/>
          <w:szCs w:val="22"/>
        </w:rPr>
        <w:t xml:space="preserve"> </w:t>
      </w:r>
      <w:r w:rsidR="00280D11">
        <w:rPr>
          <w:rFonts w:ascii="Calibri" w:hAnsi="Calibri"/>
          <w:bCs/>
          <w:sz w:val="22"/>
          <w:szCs w:val="22"/>
        </w:rPr>
        <w:t>for their</w:t>
      </w:r>
      <w:r>
        <w:rPr>
          <w:rFonts w:ascii="Calibri" w:hAnsi="Calibri"/>
          <w:bCs/>
          <w:sz w:val="22"/>
          <w:szCs w:val="22"/>
        </w:rPr>
        <w:t xml:space="preserve"> helpful responses.</w:t>
      </w:r>
    </w:p>
    <w:p w14:paraId="6B379F17" w14:textId="751F6D4A" w:rsidR="00964EA9" w:rsidRDefault="00964EA9" w:rsidP="00964EA9">
      <w:pPr>
        <w:spacing w:before="0" w:after="0" w:line="100" w:lineRule="exact"/>
      </w:pPr>
      <w:r>
        <w:rPr>
          <w:noProof/>
          <w:lang w:eastAsia="en-AU"/>
        </w:rPr>
        <w:drawing>
          <wp:inline distT="0" distB="0" distL="0" distR="0" wp14:anchorId="51B09722" wp14:editId="7EA2D8E0">
            <wp:extent cx="3995455" cy="773723"/>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SON Signature JPG (2).jpg"/>
                    <pic:cNvPicPr/>
                  </pic:nvPicPr>
                  <pic:blipFill>
                    <a:blip r:embed="rId33">
                      <a:extLst>
                        <a:ext uri="{28A0092B-C50C-407E-A947-70E740481C1C}">
                          <a14:useLocalDpi xmlns:a14="http://schemas.microsoft.com/office/drawing/2010/main" val="0"/>
                        </a:ext>
                      </a:extLst>
                    </a:blip>
                    <a:stretch>
                      <a:fillRect/>
                    </a:stretch>
                  </pic:blipFill>
                  <pic:spPr>
                    <a:xfrm>
                      <a:off x="0" y="0"/>
                      <a:ext cx="4014181" cy="777349"/>
                    </a:xfrm>
                    <a:prstGeom prst="rect">
                      <a:avLst/>
                    </a:prstGeom>
                  </pic:spPr>
                </pic:pic>
              </a:graphicData>
            </a:graphic>
          </wp:inline>
        </w:drawing>
      </w:r>
    </w:p>
    <w:p w14:paraId="2FBEB2AA" w14:textId="3C137E9E" w:rsidR="00964EA9" w:rsidRDefault="00964EA9" w:rsidP="00964EA9">
      <w:pPr>
        <w:spacing w:before="720" w:after="0"/>
      </w:pPr>
      <w:bookmarkStart w:id="560" w:name="_GoBack"/>
      <w:bookmarkEnd w:id="560"/>
    </w:p>
    <w:p w14:paraId="4976063E" w14:textId="390BFDA0" w:rsidR="004F019A" w:rsidRPr="00104A8B" w:rsidRDefault="00A34509" w:rsidP="00964EA9">
      <w:pPr>
        <w:spacing w:before="0" w:after="0"/>
      </w:pPr>
      <w:r>
        <w:t>Jeremy Hanson</w:t>
      </w:r>
      <w:r w:rsidR="004F019A" w:rsidRPr="00104A8B">
        <w:t xml:space="preserve"> MLA</w:t>
      </w:r>
    </w:p>
    <w:p w14:paraId="4FDA5715" w14:textId="77777777" w:rsidR="00393D9F" w:rsidRDefault="004F019A" w:rsidP="00D50DEA">
      <w:pPr>
        <w:spacing w:before="0"/>
      </w:pPr>
      <w:r w:rsidRPr="00104A8B">
        <w:t>Chair</w:t>
      </w:r>
    </w:p>
    <w:p w14:paraId="064BA350" w14:textId="4158E8AD" w:rsidR="003F186C" w:rsidRPr="00FF2947" w:rsidRDefault="00F43F2E" w:rsidP="00D50DEA">
      <w:pPr>
        <w:spacing w:before="0"/>
        <w:sectPr w:rsidR="003F186C" w:rsidRPr="00FF2947" w:rsidSect="00685D6D">
          <w:headerReference w:type="even" r:id="rId34"/>
          <w:headerReference w:type="default" r:id="rId35"/>
          <w:footerReference w:type="even" r:id="rId36"/>
          <w:footerReference w:type="default" r:id="rId37"/>
          <w:headerReference w:type="first" r:id="rId38"/>
          <w:pgSz w:w="11906" w:h="16838"/>
          <w:pgMar w:top="1710" w:right="1440" w:bottom="1170" w:left="1440" w:header="708" w:footer="543" w:gutter="0"/>
          <w:pgNumType w:start="1"/>
          <w:cols w:space="708"/>
          <w:docGrid w:linePitch="360"/>
        </w:sectPr>
      </w:pPr>
      <w:r>
        <w:t>28</w:t>
      </w:r>
      <w:r w:rsidR="00CC1542">
        <w:t xml:space="preserve"> Septem</w:t>
      </w:r>
      <w:r w:rsidR="00990762">
        <w:t>ber</w:t>
      </w:r>
      <w:r w:rsidR="003F68A7">
        <w:t xml:space="preserve"> 2021</w:t>
      </w:r>
    </w:p>
    <w:p w14:paraId="1EC4F002" w14:textId="77777777" w:rsidR="003F186C" w:rsidRPr="00104A8B" w:rsidRDefault="003F186C" w:rsidP="00AC094E">
      <w:pPr>
        <w:pStyle w:val="Heading2"/>
        <w:rPr>
          <w:rFonts w:asciiTheme="minorHAnsi" w:hAnsiTheme="minorHAnsi"/>
        </w:rPr>
      </w:pPr>
      <w:bookmarkStart w:id="561" w:name="_Toc514837979"/>
      <w:bookmarkStart w:id="562" w:name="_Toc83639616"/>
      <w:r w:rsidRPr="00104A8B">
        <w:rPr>
          <w:rFonts w:asciiTheme="minorHAnsi" w:hAnsiTheme="minorHAnsi"/>
        </w:rPr>
        <w:lastRenderedPageBreak/>
        <w:t>Outstanding Responses</w:t>
      </w:r>
      <w:bookmarkEnd w:id="561"/>
      <w:bookmarkEnd w:id="562"/>
    </w:p>
    <w:p w14:paraId="04383C32" w14:textId="77777777" w:rsidR="003F186C" w:rsidRPr="00104A8B" w:rsidRDefault="003F186C" w:rsidP="003F186C">
      <w:pPr>
        <w:pStyle w:val="Heading3"/>
        <w:rPr>
          <w:rFonts w:asciiTheme="minorHAnsi" w:hAnsiTheme="minorHAnsi"/>
        </w:rPr>
      </w:pPr>
      <w:bookmarkStart w:id="563" w:name="_Toc505005688"/>
      <w:bookmarkStart w:id="564" w:name="_Toc505153779"/>
      <w:bookmarkStart w:id="565" w:name="_Toc508283444"/>
      <w:bookmarkStart w:id="566" w:name="_Toc510081804"/>
      <w:bookmarkStart w:id="567" w:name="_Toc511812230"/>
      <w:bookmarkStart w:id="568" w:name="_Toc512240173"/>
      <w:bookmarkStart w:id="569" w:name="_Toc513192173"/>
      <w:bookmarkStart w:id="570" w:name="_Toc514832434"/>
      <w:bookmarkStart w:id="571" w:name="_Toc514837980"/>
      <w:bookmarkStart w:id="572" w:name="_Toc514838144"/>
      <w:bookmarkStart w:id="573" w:name="_Toc514943619"/>
      <w:bookmarkStart w:id="574" w:name="_Toc515352064"/>
      <w:bookmarkStart w:id="575" w:name="_Toc518297261"/>
      <w:bookmarkStart w:id="576" w:name="_Toc519520755"/>
      <w:bookmarkStart w:id="577" w:name="_Toc520188735"/>
      <w:bookmarkStart w:id="578" w:name="_Toc521054338"/>
      <w:bookmarkStart w:id="579" w:name="_Toc521054410"/>
      <w:bookmarkStart w:id="580" w:name="_Toc523814181"/>
      <w:bookmarkStart w:id="581" w:name="_Toc523900477"/>
      <w:bookmarkStart w:id="582" w:name="_Toc526855826"/>
      <w:bookmarkStart w:id="583" w:name="_Toc528155854"/>
      <w:bookmarkStart w:id="584" w:name="_Toc528157213"/>
      <w:bookmarkStart w:id="585" w:name="_Toc528310867"/>
      <w:bookmarkStart w:id="586" w:name="_Toc529974547"/>
      <w:bookmarkStart w:id="587" w:name="_Toc530039442"/>
      <w:bookmarkStart w:id="588" w:name="_Toc536527689"/>
      <w:bookmarkStart w:id="589" w:name="_Toc536527863"/>
      <w:bookmarkStart w:id="590" w:name="_Toc536615405"/>
      <w:bookmarkStart w:id="591" w:name="_Toc172184"/>
      <w:bookmarkStart w:id="592" w:name="_Toc506087"/>
      <w:bookmarkStart w:id="593" w:name="_Toc965832"/>
      <w:bookmarkStart w:id="594" w:name="_Toc6211048"/>
      <w:bookmarkStart w:id="595" w:name="_Toc9500017"/>
      <w:bookmarkStart w:id="596" w:name="_Toc14334625"/>
      <w:bookmarkStart w:id="597" w:name="_Toc14775975"/>
      <w:bookmarkStart w:id="598" w:name="_Toc15285040"/>
      <w:bookmarkStart w:id="599" w:name="_Toc15630677"/>
      <w:bookmarkStart w:id="600" w:name="_Toc18415350"/>
      <w:bookmarkStart w:id="601" w:name="_Toc18487717"/>
      <w:bookmarkStart w:id="602" w:name="_Toc19708407"/>
      <w:bookmarkStart w:id="603" w:name="_Toc20131698"/>
      <w:bookmarkStart w:id="604" w:name="_Toc21595465"/>
      <w:bookmarkStart w:id="605" w:name="_Toc22025468"/>
      <w:bookmarkStart w:id="606" w:name="_Toc24463733"/>
      <w:bookmarkStart w:id="607" w:name="_Toc24617731"/>
      <w:bookmarkStart w:id="608" w:name="_Toc25050804"/>
      <w:bookmarkStart w:id="609" w:name="_Toc31202278"/>
      <w:bookmarkStart w:id="610" w:name="_Toc32390211"/>
      <w:bookmarkStart w:id="611" w:name="_Toc32566855"/>
      <w:bookmarkStart w:id="612" w:name="_Toc35437959"/>
      <w:bookmarkStart w:id="613" w:name="_Toc38270552"/>
      <w:bookmarkStart w:id="614" w:name="_Toc38362407"/>
      <w:bookmarkStart w:id="615" w:name="_Toc38442400"/>
      <w:bookmarkStart w:id="616" w:name="_Toc38976339"/>
      <w:bookmarkStart w:id="617" w:name="_Toc40693261"/>
      <w:bookmarkStart w:id="618" w:name="_Toc41570939"/>
      <w:bookmarkStart w:id="619" w:name="_Toc42875016"/>
      <w:bookmarkStart w:id="620" w:name="_Toc44074228"/>
      <w:bookmarkStart w:id="621" w:name="_Toc44323945"/>
      <w:bookmarkStart w:id="622" w:name="_Toc80613276"/>
      <w:bookmarkStart w:id="623" w:name="_Toc80701782"/>
      <w:bookmarkStart w:id="624" w:name="_Toc83302237"/>
      <w:bookmarkStart w:id="625" w:name="_Toc83639617"/>
      <w:r w:rsidRPr="00104A8B">
        <w:rPr>
          <w:rFonts w:asciiTheme="minorHAnsi" w:hAnsiTheme="minorHAnsi"/>
        </w:rPr>
        <w:t>Bills/Subordinate Legislation</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372373EC" w14:textId="77777777" w:rsidR="0081147F" w:rsidRPr="00DA162C" w:rsidRDefault="0081147F" w:rsidP="0081147F">
      <w:pPr>
        <w:pStyle w:val="ListParagraph"/>
        <w:numPr>
          <w:ilvl w:val="0"/>
          <w:numId w:val="11"/>
        </w:numPr>
        <w:spacing w:before="240" w:after="0"/>
        <w:ind w:left="357" w:hanging="357"/>
        <w:contextualSpacing w:val="0"/>
        <w:rPr>
          <w:b/>
        </w:rPr>
      </w:pPr>
      <w:r>
        <w:rPr>
          <w:b/>
        </w:rPr>
        <w:t>Report 2, dated 24 March 2021</w:t>
      </w:r>
    </w:p>
    <w:p w14:paraId="6622F61B" w14:textId="77777777" w:rsidR="0081147F" w:rsidRPr="00595CC0" w:rsidRDefault="0081147F" w:rsidP="005D6E99">
      <w:pPr>
        <w:pStyle w:val="ListParagraph"/>
        <w:numPr>
          <w:ilvl w:val="0"/>
          <w:numId w:val="24"/>
        </w:numPr>
        <w:spacing w:before="120" w:after="0"/>
        <w:ind w:left="720"/>
        <w:contextualSpacing w:val="0"/>
      </w:pPr>
      <w:r w:rsidRPr="00595CC0">
        <w:t>Drugs of Dependence (Personal Use) Amendment Bill 2021</w:t>
      </w:r>
    </w:p>
    <w:p w14:paraId="66484DB0" w14:textId="77777777" w:rsidR="0081147F" w:rsidRPr="00DA162C" w:rsidRDefault="0081147F" w:rsidP="0081147F">
      <w:pPr>
        <w:pStyle w:val="ListParagraph"/>
        <w:numPr>
          <w:ilvl w:val="0"/>
          <w:numId w:val="11"/>
        </w:numPr>
        <w:spacing w:before="240" w:after="0"/>
        <w:ind w:left="357" w:hanging="357"/>
        <w:contextualSpacing w:val="0"/>
        <w:rPr>
          <w:b/>
        </w:rPr>
      </w:pPr>
      <w:r>
        <w:rPr>
          <w:b/>
        </w:rPr>
        <w:t>Report 4, dated 4 May 2021</w:t>
      </w:r>
    </w:p>
    <w:p w14:paraId="7ED937A5" w14:textId="77777777" w:rsidR="0081147F" w:rsidRDefault="0081147F" w:rsidP="005D6E99">
      <w:pPr>
        <w:pStyle w:val="ListParagraph"/>
        <w:numPr>
          <w:ilvl w:val="0"/>
          <w:numId w:val="24"/>
        </w:numPr>
        <w:spacing w:before="120" w:after="0"/>
        <w:ind w:left="720"/>
        <w:contextualSpacing w:val="0"/>
      </w:pPr>
      <w:r>
        <w:t>Crimes (</w:t>
      </w:r>
      <w:proofErr w:type="spellStart"/>
      <w:r>
        <w:t>Stealthing</w:t>
      </w:r>
      <w:proofErr w:type="spellEnd"/>
      <w:r>
        <w:t>) Amendment Bill 2021.</w:t>
      </w:r>
    </w:p>
    <w:p w14:paraId="4FE7AEB0" w14:textId="1050CA1A" w:rsidR="003B2CE9" w:rsidRPr="00DA162C" w:rsidRDefault="003B2CE9" w:rsidP="003B2CE9">
      <w:pPr>
        <w:pStyle w:val="ListParagraph"/>
        <w:numPr>
          <w:ilvl w:val="0"/>
          <w:numId w:val="11"/>
        </w:numPr>
        <w:spacing w:before="240" w:after="0"/>
        <w:ind w:left="357" w:hanging="357"/>
        <w:contextualSpacing w:val="0"/>
        <w:rPr>
          <w:b/>
        </w:rPr>
      </w:pPr>
      <w:r>
        <w:rPr>
          <w:b/>
        </w:rPr>
        <w:t xml:space="preserve">Report </w:t>
      </w:r>
      <w:r w:rsidR="00034175">
        <w:rPr>
          <w:b/>
        </w:rPr>
        <w:t>7</w:t>
      </w:r>
      <w:r>
        <w:rPr>
          <w:b/>
        </w:rPr>
        <w:t>, dated 4 May 2021</w:t>
      </w:r>
    </w:p>
    <w:p w14:paraId="52A2100F" w14:textId="0593F318" w:rsidR="00094472" w:rsidRDefault="00034175" w:rsidP="005D6E99">
      <w:pPr>
        <w:pStyle w:val="ListParagraph"/>
        <w:numPr>
          <w:ilvl w:val="0"/>
          <w:numId w:val="24"/>
        </w:numPr>
        <w:spacing w:before="120" w:after="0"/>
        <w:ind w:left="720"/>
        <w:contextualSpacing w:val="0"/>
      </w:pPr>
      <w:r w:rsidRPr="00034175">
        <w:t>Road Transport (Safety and Traffic Management) Amendment Bill 2021 (No 2)</w:t>
      </w:r>
      <w:r w:rsidR="00407FFD">
        <w:t xml:space="preserve"> [response required </w:t>
      </w:r>
      <w:r w:rsidR="005F4B74">
        <w:t>prior to the Bill being</w:t>
      </w:r>
      <w:r w:rsidR="00407FFD" w:rsidRPr="00407FFD">
        <w:t xml:space="preserve"> debated</w:t>
      </w:r>
      <w:r w:rsidR="00407FFD">
        <w:t>]</w:t>
      </w:r>
      <w:r>
        <w:t>.</w:t>
      </w:r>
    </w:p>
    <w:p w14:paraId="1039589C" w14:textId="77777777" w:rsidR="005F4B74" w:rsidRPr="005F4B74" w:rsidRDefault="005F4B74" w:rsidP="005F4B74">
      <w:pPr>
        <w:pStyle w:val="ListParagraph"/>
        <w:numPr>
          <w:ilvl w:val="0"/>
          <w:numId w:val="11"/>
        </w:numPr>
        <w:spacing w:before="240" w:after="0"/>
        <w:ind w:left="357" w:hanging="357"/>
        <w:contextualSpacing w:val="0"/>
        <w:rPr>
          <w:b/>
        </w:rPr>
      </w:pPr>
      <w:r w:rsidRPr="005F4B74">
        <w:rPr>
          <w:b/>
        </w:rPr>
        <w:t>Report 8, dated 24 August 2021</w:t>
      </w:r>
    </w:p>
    <w:p w14:paraId="0DC33A51" w14:textId="48B2AAF7" w:rsidR="005F4B74" w:rsidRDefault="005F4B74" w:rsidP="005D6E99">
      <w:pPr>
        <w:pStyle w:val="ListParagraph"/>
        <w:numPr>
          <w:ilvl w:val="0"/>
          <w:numId w:val="24"/>
        </w:numPr>
        <w:spacing w:before="120" w:after="0"/>
        <w:ind w:left="720"/>
        <w:contextualSpacing w:val="0"/>
      </w:pPr>
      <w:r>
        <w:t>COAG Legislation Amendment Bill 2021 [response required prior to the Bill being debated].</w:t>
      </w:r>
    </w:p>
    <w:p w14:paraId="4445F1EC" w14:textId="1E73E0BE" w:rsidR="005F4B74" w:rsidRPr="005F4B74" w:rsidRDefault="005F4B74" w:rsidP="005D6E99">
      <w:pPr>
        <w:pStyle w:val="ListParagraph"/>
        <w:numPr>
          <w:ilvl w:val="0"/>
          <w:numId w:val="24"/>
        </w:numPr>
        <w:spacing w:before="120" w:after="0"/>
        <w:ind w:left="720"/>
        <w:contextualSpacing w:val="0"/>
      </w:pPr>
      <w:r w:rsidRPr="005F4B74">
        <w:t>Rail Safety National Law National Regulations (Modification of FOI Act) Variation Regulations 2021 (2021 No 235—South Australia)</w:t>
      </w:r>
      <w:r>
        <w:t>.</w:t>
      </w:r>
    </w:p>
    <w:sectPr w:rsidR="005F4B74" w:rsidRPr="005F4B74" w:rsidSect="00613A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5E1F3" w14:textId="77777777" w:rsidR="00BA1DB3" w:rsidRDefault="00BA1DB3" w:rsidP="000B0846">
      <w:pPr>
        <w:spacing w:after="0" w:line="240" w:lineRule="auto"/>
      </w:pPr>
      <w:r>
        <w:separator/>
      </w:r>
    </w:p>
  </w:endnote>
  <w:endnote w:type="continuationSeparator" w:id="0">
    <w:p w14:paraId="1194300C" w14:textId="77777777" w:rsidR="00BA1DB3" w:rsidRDefault="00BA1DB3" w:rsidP="000B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05A93" w14:textId="77777777" w:rsidR="00BA1DB3" w:rsidRDefault="00BA1DB3">
    <w:pPr>
      <w:pStyle w:val="Footer"/>
    </w:pPr>
  </w:p>
  <w:p w14:paraId="239F8F6C" w14:textId="77777777" w:rsidR="00BA1DB3" w:rsidRDefault="00BA1D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D5305" w14:textId="77777777" w:rsidR="00D85AA2" w:rsidRDefault="00D85A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367A1" w14:textId="77777777" w:rsidR="00D85AA2" w:rsidRDefault="00D85AA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75871"/>
      <w:docPartObj>
        <w:docPartGallery w:val="Page Numbers (Bottom of Page)"/>
        <w:docPartUnique/>
      </w:docPartObj>
    </w:sdtPr>
    <w:sdtEndPr>
      <w:rPr>
        <w:noProof/>
      </w:rPr>
    </w:sdtEndPr>
    <w:sdtContent>
      <w:p w14:paraId="1336FCD2" w14:textId="77777777" w:rsidR="00BA1DB3" w:rsidRDefault="00BA1DB3">
        <w:pPr>
          <w:pStyle w:val="Footer"/>
        </w:pPr>
        <w:r>
          <w:rPr>
            <w:noProof/>
          </w:rPr>
          <w:fldChar w:fldCharType="begin"/>
        </w:r>
        <w:r>
          <w:rPr>
            <w:noProof/>
          </w:rPr>
          <w:instrText xml:space="preserve"> PAGE   \* MERGEFORMAT </w:instrText>
        </w:r>
        <w:r>
          <w:rPr>
            <w:noProof/>
          </w:rPr>
          <w:fldChar w:fldCharType="separate"/>
        </w:r>
        <w:r w:rsidR="00F50385">
          <w:rPr>
            <w:noProof/>
          </w:rPr>
          <w:t>ii</w:t>
        </w:r>
        <w:r>
          <w:rPr>
            <w:noProof/>
          </w:rPr>
          <w:fldChar w:fldCharType="end"/>
        </w:r>
      </w:p>
    </w:sdtContent>
  </w:sdt>
  <w:p w14:paraId="3F8DD25D" w14:textId="77777777" w:rsidR="00BA1DB3" w:rsidRDefault="00BA1DB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75872"/>
      <w:docPartObj>
        <w:docPartGallery w:val="Page Numbers (Bottom of Page)"/>
        <w:docPartUnique/>
      </w:docPartObj>
    </w:sdtPr>
    <w:sdtEndPr>
      <w:rPr>
        <w:noProof/>
      </w:rPr>
    </w:sdtEndPr>
    <w:sdtContent>
      <w:p w14:paraId="37A660F3" w14:textId="77777777" w:rsidR="00BA1DB3" w:rsidRDefault="00BA1DB3">
        <w:pPr>
          <w:pStyle w:val="Footer"/>
          <w:jc w:val="right"/>
        </w:pPr>
        <w:r>
          <w:rPr>
            <w:noProof/>
          </w:rPr>
          <w:fldChar w:fldCharType="begin"/>
        </w:r>
        <w:r>
          <w:rPr>
            <w:noProof/>
          </w:rPr>
          <w:instrText xml:space="preserve"> PAGE   \* MERGEFORMAT </w:instrText>
        </w:r>
        <w:r>
          <w:rPr>
            <w:noProof/>
          </w:rPr>
          <w:fldChar w:fldCharType="separate"/>
        </w:r>
        <w:r w:rsidR="00F50385">
          <w:rPr>
            <w:noProof/>
          </w:rPr>
          <w:t>iii</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7FAC8" w14:textId="77777777" w:rsidR="00BA1DB3" w:rsidRDefault="00BA1DB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0DA9A" w14:textId="77777777" w:rsidR="00BA1DB3" w:rsidRPr="00EE534B" w:rsidRDefault="00BA1DB3">
    <w:pPr>
      <w:pStyle w:val="Footer"/>
      <w:rPr>
        <w:sz w:val="18"/>
        <w:szCs w:val="18"/>
      </w:rPr>
    </w:pPr>
    <w:r>
      <w:rPr>
        <w:noProof/>
      </w:rPr>
      <w:fldChar w:fldCharType="begin"/>
    </w:r>
    <w:r>
      <w:rPr>
        <w:noProof/>
      </w:rPr>
      <w:instrText xml:space="preserve"> PAGE   \* MERGEFORMAT </w:instrText>
    </w:r>
    <w:r>
      <w:rPr>
        <w:noProof/>
      </w:rPr>
      <w:fldChar w:fldCharType="separate"/>
    </w:r>
    <w:r w:rsidR="00F50385">
      <w:rPr>
        <w:noProof/>
      </w:rPr>
      <w:t>18</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172407"/>
      <w:docPartObj>
        <w:docPartGallery w:val="Page Numbers (Bottom of Page)"/>
        <w:docPartUnique/>
      </w:docPartObj>
    </w:sdtPr>
    <w:sdtEndPr>
      <w:rPr>
        <w:noProof/>
      </w:rPr>
    </w:sdtEndPr>
    <w:sdtContent>
      <w:p w14:paraId="52920946" w14:textId="77777777" w:rsidR="00BA1DB3" w:rsidRPr="00EE534B" w:rsidRDefault="00BA1DB3">
        <w:pPr>
          <w:pStyle w:val="Footer"/>
          <w:jc w:val="right"/>
          <w:rPr>
            <w:sz w:val="18"/>
            <w:szCs w:val="18"/>
          </w:rPr>
        </w:pPr>
        <w:r>
          <w:rPr>
            <w:noProof/>
          </w:rPr>
          <w:fldChar w:fldCharType="begin"/>
        </w:r>
        <w:r>
          <w:rPr>
            <w:noProof/>
          </w:rPr>
          <w:instrText xml:space="preserve"> PAGE   \* MERGEFORMAT </w:instrText>
        </w:r>
        <w:r>
          <w:rPr>
            <w:noProof/>
          </w:rPr>
          <w:fldChar w:fldCharType="separate"/>
        </w:r>
        <w:r w:rsidR="00F50385">
          <w:rPr>
            <w:noProof/>
          </w:rPr>
          <w:t>19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E5188" w14:textId="77777777" w:rsidR="00BA1DB3" w:rsidRDefault="00BA1DB3" w:rsidP="00685D6D">
      <w:pPr>
        <w:spacing w:before="80" w:after="0" w:line="240" w:lineRule="auto"/>
      </w:pPr>
      <w:r>
        <w:separator/>
      </w:r>
    </w:p>
  </w:footnote>
  <w:footnote w:type="continuationSeparator" w:id="0">
    <w:p w14:paraId="5CA1592C" w14:textId="77777777" w:rsidR="00BA1DB3" w:rsidRDefault="00BA1DB3" w:rsidP="000B0846">
      <w:pPr>
        <w:spacing w:after="0" w:line="240" w:lineRule="auto"/>
      </w:pPr>
      <w:r>
        <w:continuationSeparator/>
      </w:r>
    </w:p>
  </w:footnote>
  <w:footnote w:id="1">
    <w:p w14:paraId="6AF7DCE4" w14:textId="77777777" w:rsidR="00BA1DB3" w:rsidRDefault="00BA1DB3" w:rsidP="00833E3C">
      <w:pPr>
        <w:pStyle w:val="FootnoteText"/>
        <w:spacing w:before="120"/>
      </w:pPr>
      <w:r>
        <w:rPr>
          <w:rStyle w:val="FootnoteReference"/>
        </w:rPr>
        <w:footnoteRef/>
      </w:r>
      <w:r>
        <w:t xml:space="preserve"> </w:t>
      </w:r>
      <w:r>
        <w:rPr>
          <w:color w:val="000000"/>
          <w:szCs w:val="18"/>
        </w:rPr>
        <w:t>https://www.parliament.act.gov.au/__data/assets/pdf_file/0007/434347/Subordinate-Legislation-Technical-and-Stylistic-Standards.pdf.</w:t>
      </w:r>
    </w:p>
  </w:footnote>
  <w:footnote w:id="2">
    <w:p w14:paraId="559401E4" w14:textId="77777777" w:rsidR="00BA1DB3" w:rsidRDefault="00BA1DB3" w:rsidP="00861B17">
      <w:pPr>
        <w:pStyle w:val="FootnoteText"/>
        <w:spacing w:before="120"/>
      </w:pPr>
      <w:r>
        <w:rPr>
          <w:rStyle w:val="FootnoteReference"/>
        </w:rPr>
        <w:footnoteRef/>
      </w:r>
      <w:r>
        <w:t xml:space="preserve"> </w:t>
      </w:r>
      <w:r>
        <w:rPr>
          <w:color w:val="000000"/>
          <w:szCs w:val="18"/>
        </w:rPr>
        <w:t>https://www.parliament.act.gov.au/__data/assets/pdf_file/0007/434347/Subordinate-Legislation-Technical-and-Stylistic-Standards.pdf.</w:t>
      </w:r>
    </w:p>
  </w:footnote>
  <w:footnote w:id="3">
    <w:p w14:paraId="0AF0EF1A" w14:textId="77777777" w:rsidR="00BA1DB3" w:rsidRDefault="00BA1DB3" w:rsidP="00977E3A">
      <w:pPr>
        <w:pStyle w:val="FootnoteText"/>
        <w:spacing w:before="120"/>
      </w:pPr>
      <w:r>
        <w:rPr>
          <w:rStyle w:val="FootnoteReference"/>
        </w:rPr>
        <w:footnoteRef/>
      </w:r>
      <w:r>
        <w:t xml:space="preserve"> </w:t>
      </w:r>
      <w:r>
        <w:rPr>
          <w:color w:val="000000"/>
          <w:szCs w:val="18"/>
        </w:rPr>
        <w:t>https://www.parliament.act.gov.au/__data/assets/pdf_file/0007/434347/Subordinate-Legislation-Technical-and-Stylistic-Standards.pdf.</w:t>
      </w:r>
    </w:p>
  </w:footnote>
  <w:footnote w:id="4">
    <w:p w14:paraId="6A10C201" w14:textId="1BD6E0C7" w:rsidR="00BA1DB3" w:rsidRPr="002C6E9B" w:rsidRDefault="00BA1DB3" w:rsidP="00B83F62">
      <w:pPr>
        <w:pStyle w:val="FootnoteText"/>
        <w:spacing w:before="0"/>
        <w:rPr>
          <w:sz w:val="18"/>
          <w:szCs w:val="18"/>
        </w:rPr>
      </w:pPr>
      <w:r w:rsidRPr="002C6E9B">
        <w:rPr>
          <w:rStyle w:val="FootnoteReference"/>
          <w:sz w:val="19"/>
          <w:szCs w:val="19"/>
        </w:rPr>
        <w:footnoteRef/>
      </w:r>
      <w:r w:rsidRPr="002C6E9B">
        <w:rPr>
          <w:sz w:val="19"/>
          <w:szCs w:val="19"/>
        </w:rPr>
        <w:t xml:space="preserve"> </w:t>
      </w:r>
      <w:r w:rsidR="00D932F4" w:rsidRPr="00D932F4">
        <w:rPr>
          <w:sz w:val="19"/>
          <w:szCs w:val="19"/>
          <w:lang w:eastAsia="en-AU"/>
        </w:rPr>
        <w:t>https://www.parliament.act.gov.au/parliamentary-business/in-committees/committees/JCS_Scrutiny/responses-to-comments-on-bills</w:t>
      </w:r>
      <w:r w:rsidRPr="002C6E9B">
        <w:rPr>
          <w:sz w:val="19"/>
          <w:szCs w:val="19"/>
          <w:lang w:eastAsia="en-AU"/>
        </w:rPr>
        <w:t>.</w:t>
      </w:r>
    </w:p>
  </w:footnote>
  <w:footnote w:id="5">
    <w:p w14:paraId="13A5B367" w14:textId="53FCB197" w:rsidR="005973F1" w:rsidRPr="002C6E9B" w:rsidRDefault="005973F1" w:rsidP="005973F1">
      <w:pPr>
        <w:pStyle w:val="FootnoteText"/>
        <w:spacing w:before="0"/>
        <w:rPr>
          <w:sz w:val="18"/>
          <w:szCs w:val="18"/>
        </w:rPr>
      </w:pPr>
      <w:r w:rsidRPr="002C6E9B">
        <w:rPr>
          <w:rStyle w:val="FootnoteReference"/>
          <w:sz w:val="19"/>
          <w:szCs w:val="19"/>
        </w:rPr>
        <w:footnoteRef/>
      </w:r>
      <w:r w:rsidRPr="002C6E9B">
        <w:rPr>
          <w:sz w:val="19"/>
          <w:szCs w:val="19"/>
        </w:rPr>
        <w:t xml:space="preserve"> </w:t>
      </w:r>
      <w:r w:rsidR="00D932F4" w:rsidRPr="00D932F4">
        <w:rPr>
          <w:sz w:val="19"/>
          <w:szCs w:val="19"/>
          <w:lang w:eastAsia="en-AU"/>
        </w:rPr>
        <w:t>https://www.parliament.act.gov.au/parliamentary-business/in-committees/committees/JCS_Scrutiny/responses-to-comments-on-bills</w:t>
      </w:r>
      <w:r w:rsidRPr="002C6E9B">
        <w:rPr>
          <w:sz w:val="19"/>
          <w:szCs w:val="19"/>
          <w:lang w:eastAsia="en-A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C4452" w14:textId="4A2111AB" w:rsidR="00D85AA2" w:rsidRDefault="00D85AA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F4A56" w14:textId="5782EDA1" w:rsidR="00BA1DB3" w:rsidRPr="003B6A7E" w:rsidRDefault="00BA1DB3" w:rsidP="00FC2EEA">
    <w:pPr>
      <w:pStyle w:val="Header"/>
      <w:pBdr>
        <w:bottom w:val="single" w:sz="4" w:space="1" w:color="auto"/>
      </w:pBdr>
    </w:pPr>
    <w:r w:rsidRPr="009D788E">
      <w:rPr>
        <w:smallCaps/>
      </w:rPr>
      <w:t>Standing Committee on Justice and Community Safety (Legislative Scrutiny Role)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C9B56" w14:textId="5DFD3FBC" w:rsidR="00BA1DB3" w:rsidRPr="001B0650" w:rsidRDefault="00BA1DB3" w:rsidP="00F52AA6">
    <w:pPr>
      <w:pStyle w:val="Header"/>
      <w:pBdr>
        <w:bottom w:val="single" w:sz="4" w:space="1" w:color="auto"/>
      </w:pBdr>
      <w:tabs>
        <w:tab w:val="left" w:pos="6216"/>
      </w:tabs>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F50385">
      <w:rPr>
        <w:smallCaps/>
        <w:noProof/>
      </w:rPr>
      <w:t>Scrutiny Report 9</w:t>
    </w:r>
    <w:r>
      <w:rPr>
        <w:smallCaps/>
        <w:noProof/>
      </w:rPr>
      <w:fldChar w:fldCharType="end"/>
    </w:r>
  </w:p>
  <w:p w14:paraId="6A301AFD" w14:textId="77777777" w:rsidR="00BA1DB3" w:rsidRDefault="00BA1DB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564C6" w14:textId="61DBCC50" w:rsidR="00BA1DB3" w:rsidRDefault="00F50385">
    <w:pPr>
      <w:pStyle w:val="Header"/>
    </w:pPr>
    <w:r>
      <w:rPr>
        <w:noProof/>
      </w:rPr>
      <w:pict w14:anchorId="293B4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42751" o:spid="_x0000_s2098" type="#_x0000_t136" style="position:absolute;margin-left:0;margin-top:0;width:520.6pt;height:115.65pt;rotation:315;z-index:-251638784;mso-position-horizontal:center;mso-position-horizontal-relative:margin;mso-position-vertical:center;mso-position-vertical-relative:margin" o:allowincell="f" fillcolor="silver" stroked="f">
          <v:fill opacity=".5"/>
          <v:textpath style="font-family:&quot;Arial Rounded MT Bold&quot;;font-size:1pt" string="D R A F 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F6756" w14:textId="0830906B" w:rsidR="00D85AA2" w:rsidRDefault="00D85A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E8E7E" w14:textId="55C9A7E7" w:rsidR="00BA1DB3" w:rsidRDefault="00F50385">
    <w:pPr>
      <w:pStyle w:val="Header"/>
    </w:pPr>
    <w:r>
      <w:rPr>
        <w:noProof/>
      </w:rPr>
      <w:pict w14:anchorId="5C08B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42742" o:spid="_x0000_s2089" type="#_x0000_t136" style="position:absolute;margin-left:0;margin-top:0;width:520.6pt;height:115.65pt;rotation:315;z-index:-251657216;mso-position-horizontal:center;mso-position-horizontal-relative:margin;mso-position-vertical:center;mso-position-vertical-relative:margin" o:allowincell="f" fillcolor="silver" stroked="f">
          <v:fill opacity=".5"/>
          <v:textpath style="font-family:&quot;Arial Rounded MT Bold&quot;;font-size:1pt" string="D R A F 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8307D" w14:textId="78D351FD" w:rsidR="00BA1DB3" w:rsidRPr="009D788E" w:rsidRDefault="00BA1DB3" w:rsidP="00911558">
    <w:pPr>
      <w:pStyle w:val="Header"/>
      <w:pBdr>
        <w:bottom w:val="single" w:sz="4" w:space="1" w:color="auto"/>
      </w:pBdr>
      <w:rPr>
        <w:smallCaps/>
      </w:rPr>
    </w:pPr>
    <w:r w:rsidRPr="009D788E">
      <w:rPr>
        <w:smallCaps/>
      </w:rPr>
      <w:t>Standing Committee on Justice and Community Safety (Legislative Scrutiny Role)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CF586" w14:textId="71AF9AD2" w:rsidR="00BA1DB3" w:rsidRPr="001B0650" w:rsidRDefault="00BA1DB3" w:rsidP="00911558">
    <w:pPr>
      <w:pStyle w:val="Header"/>
      <w:pBdr>
        <w:bottom w:val="single" w:sz="4" w:space="1" w:color="auto"/>
      </w:pBdr>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F50385">
      <w:rPr>
        <w:smallCaps/>
        <w:noProof/>
      </w:rPr>
      <w:t>Scrutiny Report 9</w:t>
    </w:r>
    <w:r>
      <w:rPr>
        <w:smallCaps/>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1D9B4" w14:textId="77F6EED4" w:rsidR="00BA1DB3" w:rsidRDefault="00F50385">
    <w:pPr>
      <w:pStyle w:val="Header"/>
    </w:pPr>
    <w:r>
      <w:rPr>
        <w:noProof/>
      </w:rPr>
      <w:pict w14:anchorId="279AC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42745" o:spid="_x0000_s2092" type="#_x0000_t136" style="position:absolute;margin-left:0;margin-top:0;width:520.6pt;height:115.65pt;rotation:315;z-index:-251651072;mso-position-horizontal:center;mso-position-horizontal-relative:margin;mso-position-vertical:center;mso-position-vertical-relative:margin" o:allowincell="f" fillcolor="silver" stroked="f">
          <v:fill opacity=".5"/>
          <v:textpath style="font-family:&quot;Arial Rounded MT Bold&quot;;font-size:1pt" string="D R A F 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3B14B" w14:textId="042D90B0" w:rsidR="00BA1DB3" w:rsidRPr="003B6A7E" w:rsidRDefault="00F50385" w:rsidP="003B6A7E">
    <w:pPr>
      <w:pStyle w:val="Header"/>
    </w:pPr>
    <w:r>
      <w:rPr>
        <w:noProof/>
      </w:rPr>
      <w:pict w14:anchorId="4E67E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42749" o:spid="_x0000_s2096" type="#_x0000_t136" style="position:absolute;margin-left:0;margin-top:0;width:520.6pt;height:115.65pt;rotation:315;z-index:-251642880;mso-position-horizontal:center;mso-position-horizontal-relative:margin;mso-position-vertical:center;mso-position-vertical-relative:margin" o:allowincell="f" fillcolor="silver" stroked="f">
          <v:fill opacity=".5"/>
          <v:textpath style="font-family:&quot;Arial Rounded MT Bold&quot;;font-size:1pt" string="D R A F 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5CACF" w14:textId="491875D5" w:rsidR="00BA1DB3" w:rsidRPr="001B0650" w:rsidRDefault="00F50385" w:rsidP="007F580D">
    <w:pPr>
      <w:pStyle w:val="Header"/>
      <w:pBdr>
        <w:bottom w:val="single" w:sz="4" w:space="1" w:color="auto"/>
      </w:pBdr>
      <w:jc w:val="right"/>
      <w:rPr>
        <w:smallCaps/>
      </w:rPr>
    </w:pPr>
    <w:r>
      <w:rPr>
        <w:noProof/>
      </w:rPr>
      <w:pict w14:anchorId="526D6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42750" o:spid="_x0000_s2097" type="#_x0000_t136" style="position:absolute;left:0;text-align:left;margin-left:0;margin-top:0;width:520.6pt;height:115.65pt;rotation:315;z-index:-251640832;mso-position-horizontal:center;mso-position-horizontal-relative:margin;mso-position-vertical:center;mso-position-vertical-relative:margin" o:allowincell="f" fillcolor="silver" stroked="f">
          <v:fill opacity=".5"/>
          <v:textpath style="font-family:&quot;Arial Rounded MT Bold&quot;;font-size:1pt" string="D R A F T"/>
          <w10:wrap anchorx="margin" anchory="margin"/>
        </v:shape>
      </w:pict>
    </w:r>
    <w:r w:rsidR="00BA1DB3">
      <w:rPr>
        <w:smallCaps/>
        <w:noProof/>
      </w:rPr>
      <w:fldChar w:fldCharType="begin"/>
    </w:r>
    <w:r w:rsidR="00BA1DB3">
      <w:rPr>
        <w:smallCaps/>
        <w:noProof/>
      </w:rPr>
      <w:instrText xml:space="preserve"> STYLEREF  "Heading 1"  \* MERGEFORMAT </w:instrText>
    </w:r>
    <w:r w:rsidR="00BA1DB3">
      <w:rPr>
        <w:smallCaps/>
        <w:noProof/>
      </w:rPr>
      <w:fldChar w:fldCharType="separate"/>
    </w:r>
    <w:r w:rsidR="00BA1DB3">
      <w:rPr>
        <w:smallCaps/>
        <w:noProof/>
      </w:rPr>
      <w:t>Scrutiny Report 45</w:t>
    </w:r>
    <w:r w:rsidR="00BA1DB3">
      <w:rPr>
        <w:smallCaps/>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C7F48" w14:textId="3A7111C3" w:rsidR="00BA1DB3" w:rsidRDefault="00F50385">
    <w:pPr>
      <w:pStyle w:val="Header"/>
    </w:pPr>
    <w:r>
      <w:rPr>
        <w:noProof/>
      </w:rPr>
      <w:pict w14:anchorId="32607B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42748" o:spid="_x0000_s2095" type="#_x0000_t136" style="position:absolute;margin-left:0;margin-top:0;width:520.6pt;height:115.65pt;rotation:315;z-index:-251644928;mso-position-horizontal:center;mso-position-horizontal-relative:margin;mso-position-vertical:center;mso-position-vertical-relative:margin" o:allowincell="f" fillcolor="silver" stroked="f">
          <v:fill opacity=".5"/>
          <v:textpath style="font-family:&quot;Arial Rounded MT Bold&quot;;font-size:1pt" string="D R A F 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4B87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01201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31475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53292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26E9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56F4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22F4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26A5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C6D3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3479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9A002A"/>
    <w:multiLevelType w:val="multilevel"/>
    <w:tmpl w:val="F6DE2780"/>
    <w:lvl w:ilvl="0">
      <w:start w:val="1"/>
      <w:numFmt w:val="decimal"/>
      <w:lvlText w:val="%1"/>
      <w:lvlJc w:val="left"/>
      <w:pPr>
        <w:ind w:left="432" w:hanging="432"/>
      </w:pPr>
      <w:rPr>
        <w:rFonts w:cs="Times New Roman"/>
      </w:rPr>
    </w:lvl>
    <w:lvl w:ilvl="1">
      <w:start w:val="1"/>
      <w:numFmt w:val="decimal"/>
      <w:pStyle w:val="Recommendationbodycopynumbered"/>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07771A35"/>
    <w:multiLevelType w:val="multilevel"/>
    <w:tmpl w:val="BCFCBA68"/>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0F64209D"/>
    <w:multiLevelType w:val="hybridMultilevel"/>
    <w:tmpl w:val="73BC5DF0"/>
    <w:lvl w:ilvl="0" w:tplc="4642DB54">
      <w:start w:val="1"/>
      <w:numFmt w:val="bullet"/>
      <w:lvlText w:val=""/>
      <w:lvlJc w:val="left"/>
      <w:pPr>
        <w:ind w:left="360" w:hanging="360"/>
      </w:pPr>
      <w:rPr>
        <w:rFonts w:ascii="Symbol" w:hAnsi="Symbol" w:hint="default"/>
        <w:color w:val="auto"/>
      </w:rPr>
    </w:lvl>
    <w:lvl w:ilvl="1" w:tplc="B2BC848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2E4544"/>
    <w:multiLevelType w:val="hybridMultilevel"/>
    <w:tmpl w:val="A4CE200E"/>
    <w:lvl w:ilvl="0" w:tplc="437E8904">
      <w:start w:val="1"/>
      <w:numFmt w:val="lowerLetter"/>
      <w:pStyle w:val="Bodycopybulletlevel1alpha"/>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2526D8E"/>
    <w:multiLevelType w:val="hybridMultilevel"/>
    <w:tmpl w:val="D1786A2A"/>
    <w:lvl w:ilvl="0" w:tplc="4D449FE6">
      <w:start w:val="1"/>
      <w:numFmt w:val="decimal"/>
      <w:pStyle w:val="Bodycopynumbered2"/>
      <w:lvlText w:val="%1."/>
      <w:lvlJc w:val="left"/>
      <w:pPr>
        <w:ind w:left="720" w:hanging="360"/>
      </w:pPr>
      <w:rPr>
        <w:rFonts w:cs="Times New Roman"/>
      </w:rPr>
    </w:lvl>
    <w:lvl w:ilvl="1" w:tplc="04DA9EF8" w:tentative="1">
      <w:start w:val="1"/>
      <w:numFmt w:val="lowerLetter"/>
      <w:lvlText w:val="%2."/>
      <w:lvlJc w:val="left"/>
      <w:pPr>
        <w:ind w:left="1440" w:hanging="360"/>
      </w:pPr>
      <w:rPr>
        <w:rFonts w:cs="Times New Roman"/>
      </w:rPr>
    </w:lvl>
    <w:lvl w:ilvl="2" w:tplc="3FBC87FA" w:tentative="1">
      <w:start w:val="1"/>
      <w:numFmt w:val="lowerRoman"/>
      <w:lvlText w:val="%3."/>
      <w:lvlJc w:val="right"/>
      <w:pPr>
        <w:ind w:left="2160" w:hanging="180"/>
      </w:pPr>
      <w:rPr>
        <w:rFonts w:cs="Times New Roman"/>
      </w:rPr>
    </w:lvl>
    <w:lvl w:ilvl="3" w:tplc="0FD47DB4" w:tentative="1">
      <w:start w:val="1"/>
      <w:numFmt w:val="decimal"/>
      <w:lvlText w:val="%4."/>
      <w:lvlJc w:val="left"/>
      <w:pPr>
        <w:ind w:left="2880" w:hanging="360"/>
      </w:pPr>
      <w:rPr>
        <w:rFonts w:cs="Times New Roman"/>
      </w:rPr>
    </w:lvl>
    <w:lvl w:ilvl="4" w:tplc="0AA266A4" w:tentative="1">
      <w:start w:val="1"/>
      <w:numFmt w:val="lowerLetter"/>
      <w:lvlText w:val="%5."/>
      <w:lvlJc w:val="left"/>
      <w:pPr>
        <w:ind w:left="3600" w:hanging="360"/>
      </w:pPr>
      <w:rPr>
        <w:rFonts w:cs="Times New Roman"/>
      </w:rPr>
    </w:lvl>
    <w:lvl w:ilvl="5" w:tplc="2ACEA468" w:tentative="1">
      <w:start w:val="1"/>
      <w:numFmt w:val="lowerRoman"/>
      <w:lvlText w:val="%6."/>
      <w:lvlJc w:val="right"/>
      <w:pPr>
        <w:ind w:left="4320" w:hanging="180"/>
      </w:pPr>
      <w:rPr>
        <w:rFonts w:cs="Times New Roman"/>
      </w:rPr>
    </w:lvl>
    <w:lvl w:ilvl="6" w:tplc="A54E173C" w:tentative="1">
      <w:start w:val="1"/>
      <w:numFmt w:val="decimal"/>
      <w:lvlText w:val="%7."/>
      <w:lvlJc w:val="left"/>
      <w:pPr>
        <w:ind w:left="5040" w:hanging="360"/>
      </w:pPr>
      <w:rPr>
        <w:rFonts w:cs="Times New Roman"/>
      </w:rPr>
    </w:lvl>
    <w:lvl w:ilvl="7" w:tplc="AA62F5B2" w:tentative="1">
      <w:start w:val="1"/>
      <w:numFmt w:val="lowerLetter"/>
      <w:lvlText w:val="%8."/>
      <w:lvlJc w:val="left"/>
      <w:pPr>
        <w:ind w:left="5760" w:hanging="360"/>
      </w:pPr>
      <w:rPr>
        <w:rFonts w:cs="Times New Roman"/>
      </w:rPr>
    </w:lvl>
    <w:lvl w:ilvl="8" w:tplc="77F694E0" w:tentative="1">
      <w:start w:val="1"/>
      <w:numFmt w:val="lowerRoman"/>
      <w:lvlText w:val="%9."/>
      <w:lvlJc w:val="right"/>
      <w:pPr>
        <w:ind w:left="6480" w:hanging="180"/>
      </w:pPr>
      <w:rPr>
        <w:rFonts w:cs="Times New Roman"/>
      </w:rPr>
    </w:lvl>
  </w:abstractNum>
  <w:abstractNum w:abstractNumId="16" w15:restartNumberingAfterBreak="0">
    <w:nsid w:val="267A5E70"/>
    <w:multiLevelType w:val="multilevel"/>
    <w:tmpl w:val="E342FCF2"/>
    <w:styleLink w:val="Style3"/>
    <w:lvl w:ilvl="0">
      <w:start w:val="1"/>
      <w:numFmt w:val="decimal"/>
      <w:lvlText w:val="%1)"/>
      <w:lvlJc w:val="left"/>
      <w:pPr>
        <w:ind w:left="360" w:hanging="360"/>
      </w:pPr>
      <w:rPr>
        <w:rFonts w:ascii="Calibri" w:hAnsi="Calibri"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29F675F9"/>
    <w:multiLevelType w:val="hybridMultilevel"/>
    <w:tmpl w:val="A2C60C32"/>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35431E"/>
    <w:multiLevelType w:val="hybridMultilevel"/>
    <w:tmpl w:val="7E4CB7A8"/>
    <w:lvl w:ilvl="0" w:tplc="7AF0D8D0">
      <w:start w:val="1"/>
      <w:numFmt w:val="bullet"/>
      <w:pStyle w:val="Bodycopybulletlevel2"/>
      <w:lvlText w:val="o"/>
      <w:lvlJc w:val="left"/>
      <w:pPr>
        <w:ind w:left="703" w:hanging="360"/>
      </w:pPr>
      <w:rPr>
        <w:rFonts w:ascii="Courier New" w:hAnsi="Courier New" w:hint="default"/>
      </w:rPr>
    </w:lvl>
    <w:lvl w:ilvl="1" w:tplc="466E58A0">
      <w:start w:val="1"/>
      <w:numFmt w:val="lowerLetter"/>
      <w:pStyle w:val="Bulletlistalpha"/>
      <w:lvlText w:val="%2."/>
      <w:lvlJc w:val="left"/>
      <w:pPr>
        <w:ind w:left="1423" w:hanging="360"/>
      </w:pPr>
      <w:rPr>
        <w:rFonts w:cs="Times New Roman"/>
      </w:rPr>
    </w:lvl>
    <w:lvl w:ilvl="2" w:tplc="0C09001B" w:tentative="1">
      <w:start w:val="1"/>
      <w:numFmt w:val="lowerRoman"/>
      <w:lvlText w:val="%3."/>
      <w:lvlJc w:val="right"/>
      <w:pPr>
        <w:ind w:left="2143" w:hanging="180"/>
      </w:pPr>
      <w:rPr>
        <w:rFonts w:cs="Times New Roman"/>
      </w:rPr>
    </w:lvl>
    <w:lvl w:ilvl="3" w:tplc="0C09000F" w:tentative="1">
      <w:start w:val="1"/>
      <w:numFmt w:val="decimal"/>
      <w:lvlText w:val="%4."/>
      <w:lvlJc w:val="left"/>
      <w:pPr>
        <w:ind w:left="2863" w:hanging="360"/>
      </w:pPr>
      <w:rPr>
        <w:rFonts w:cs="Times New Roman"/>
      </w:rPr>
    </w:lvl>
    <w:lvl w:ilvl="4" w:tplc="0C090019" w:tentative="1">
      <w:start w:val="1"/>
      <w:numFmt w:val="lowerLetter"/>
      <w:lvlText w:val="%5."/>
      <w:lvlJc w:val="left"/>
      <w:pPr>
        <w:ind w:left="3583" w:hanging="360"/>
      </w:pPr>
      <w:rPr>
        <w:rFonts w:cs="Times New Roman"/>
      </w:rPr>
    </w:lvl>
    <w:lvl w:ilvl="5" w:tplc="0C09001B" w:tentative="1">
      <w:start w:val="1"/>
      <w:numFmt w:val="lowerRoman"/>
      <w:lvlText w:val="%6."/>
      <w:lvlJc w:val="right"/>
      <w:pPr>
        <w:ind w:left="4303" w:hanging="180"/>
      </w:pPr>
      <w:rPr>
        <w:rFonts w:cs="Times New Roman"/>
      </w:rPr>
    </w:lvl>
    <w:lvl w:ilvl="6" w:tplc="0C09000F" w:tentative="1">
      <w:start w:val="1"/>
      <w:numFmt w:val="decimal"/>
      <w:lvlText w:val="%7."/>
      <w:lvlJc w:val="left"/>
      <w:pPr>
        <w:ind w:left="5023" w:hanging="360"/>
      </w:pPr>
      <w:rPr>
        <w:rFonts w:cs="Times New Roman"/>
      </w:rPr>
    </w:lvl>
    <w:lvl w:ilvl="7" w:tplc="0C090019" w:tentative="1">
      <w:start w:val="1"/>
      <w:numFmt w:val="lowerLetter"/>
      <w:lvlText w:val="%8."/>
      <w:lvlJc w:val="left"/>
      <w:pPr>
        <w:ind w:left="5743" w:hanging="360"/>
      </w:pPr>
      <w:rPr>
        <w:rFonts w:cs="Times New Roman"/>
      </w:rPr>
    </w:lvl>
    <w:lvl w:ilvl="8" w:tplc="0C09001B" w:tentative="1">
      <w:start w:val="1"/>
      <w:numFmt w:val="lowerRoman"/>
      <w:lvlText w:val="%9."/>
      <w:lvlJc w:val="right"/>
      <w:pPr>
        <w:ind w:left="6463" w:hanging="180"/>
      </w:pPr>
      <w:rPr>
        <w:rFonts w:cs="Times New Roman"/>
      </w:rPr>
    </w:lvl>
  </w:abstractNum>
  <w:abstractNum w:abstractNumId="19" w15:restartNumberingAfterBreak="0">
    <w:nsid w:val="302F37B2"/>
    <w:multiLevelType w:val="hybridMultilevel"/>
    <w:tmpl w:val="EF543184"/>
    <w:lvl w:ilvl="0" w:tplc="F790E320">
      <w:start w:val="1"/>
      <w:numFmt w:val="lowerLetter"/>
      <w:lvlText w:val="(%1)"/>
      <w:lvlJc w:val="left"/>
      <w:pPr>
        <w:ind w:left="2066" w:hanging="5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C87A43"/>
    <w:multiLevelType w:val="hybridMultilevel"/>
    <w:tmpl w:val="62AE1070"/>
    <w:lvl w:ilvl="0" w:tplc="710E98E4">
      <w:start w:val="1"/>
      <w:numFmt w:val="decimal"/>
      <w:lvlText w:val="(%1)"/>
      <w:lvlJc w:val="left"/>
      <w:pPr>
        <w:ind w:left="1346" w:hanging="540"/>
      </w:pPr>
      <w:rPr>
        <w:rFonts w:hint="default"/>
      </w:rPr>
    </w:lvl>
    <w:lvl w:ilvl="1" w:tplc="F790E320">
      <w:start w:val="1"/>
      <w:numFmt w:val="lowerLetter"/>
      <w:lvlText w:val="(%2)"/>
      <w:lvlJc w:val="left"/>
      <w:pPr>
        <w:ind w:left="2066" w:hanging="540"/>
      </w:pPr>
      <w:rPr>
        <w:rFonts w:hint="default"/>
      </w:rPr>
    </w:lvl>
    <w:lvl w:ilvl="2" w:tplc="0C09001B" w:tentative="1">
      <w:start w:val="1"/>
      <w:numFmt w:val="lowerRoman"/>
      <w:lvlText w:val="%3."/>
      <w:lvlJc w:val="right"/>
      <w:pPr>
        <w:ind w:left="2606" w:hanging="180"/>
      </w:pPr>
    </w:lvl>
    <w:lvl w:ilvl="3" w:tplc="0C09000F" w:tentative="1">
      <w:start w:val="1"/>
      <w:numFmt w:val="decimal"/>
      <w:lvlText w:val="%4."/>
      <w:lvlJc w:val="left"/>
      <w:pPr>
        <w:ind w:left="3326" w:hanging="360"/>
      </w:pPr>
    </w:lvl>
    <w:lvl w:ilvl="4" w:tplc="0C090019" w:tentative="1">
      <w:start w:val="1"/>
      <w:numFmt w:val="lowerLetter"/>
      <w:lvlText w:val="%5."/>
      <w:lvlJc w:val="left"/>
      <w:pPr>
        <w:ind w:left="4046" w:hanging="360"/>
      </w:pPr>
    </w:lvl>
    <w:lvl w:ilvl="5" w:tplc="0C09001B" w:tentative="1">
      <w:start w:val="1"/>
      <w:numFmt w:val="lowerRoman"/>
      <w:lvlText w:val="%6."/>
      <w:lvlJc w:val="right"/>
      <w:pPr>
        <w:ind w:left="4766" w:hanging="180"/>
      </w:pPr>
    </w:lvl>
    <w:lvl w:ilvl="6" w:tplc="0C09000F" w:tentative="1">
      <w:start w:val="1"/>
      <w:numFmt w:val="decimal"/>
      <w:lvlText w:val="%7."/>
      <w:lvlJc w:val="left"/>
      <w:pPr>
        <w:ind w:left="5486" w:hanging="360"/>
      </w:pPr>
    </w:lvl>
    <w:lvl w:ilvl="7" w:tplc="0C090019" w:tentative="1">
      <w:start w:val="1"/>
      <w:numFmt w:val="lowerLetter"/>
      <w:lvlText w:val="%8."/>
      <w:lvlJc w:val="left"/>
      <w:pPr>
        <w:ind w:left="6206" w:hanging="360"/>
      </w:pPr>
    </w:lvl>
    <w:lvl w:ilvl="8" w:tplc="0C09001B" w:tentative="1">
      <w:start w:val="1"/>
      <w:numFmt w:val="lowerRoman"/>
      <w:lvlText w:val="%9."/>
      <w:lvlJc w:val="right"/>
      <w:pPr>
        <w:ind w:left="6926" w:hanging="180"/>
      </w:pPr>
    </w:lvl>
  </w:abstractNum>
  <w:abstractNum w:abstractNumId="21" w15:restartNumberingAfterBreak="0">
    <w:nsid w:val="59711BA8"/>
    <w:multiLevelType w:val="multilevel"/>
    <w:tmpl w:val="C142AD88"/>
    <w:name w:val="Leg Quote"/>
    <w:lvl w:ilvl="0">
      <w:start w:val="1"/>
      <w:numFmt w:val="decimal"/>
      <w:lvlText w:val="(%1)"/>
      <w:lvlJc w:val="left"/>
      <w:pPr>
        <w:tabs>
          <w:tab w:val="num" w:pos="851"/>
        </w:tabs>
        <w:ind w:left="454" w:firstLine="397"/>
      </w:pPr>
      <w:rPr>
        <w:rFonts w:hint="default"/>
      </w:rPr>
    </w:lvl>
    <w:lvl w:ilvl="1">
      <w:start w:val="1"/>
      <w:numFmt w:val="lowerLetter"/>
      <w:lvlText w:val="(%2)"/>
      <w:lvlJc w:val="left"/>
      <w:pPr>
        <w:tabs>
          <w:tab w:val="num" w:pos="1418"/>
        </w:tabs>
        <w:ind w:left="1021" w:firstLine="397"/>
      </w:pPr>
      <w:rPr>
        <w:rFonts w:hint="default"/>
      </w:rPr>
    </w:lvl>
    <w:lvl w:ilvl="2">
      <w:start w:val="1"/>
      <w:numFmt w:val="lowerRoman"/>
      <w:lvlText w:val="%3)"/>
      <w:lvlJc w:val="left"/>
      <w:pPr>
        <w:tabs>
          <w:tab w:val="num" w:pos="1985"/>
        </w:tabs>
        <w:ind w:left="1588" w:firstLine="397"/>
      </w:pPr>
      <w:rPr>
        <w:rFonts w:hint="default"/>
      </w:rPr>
    </w:lvl>
    <w:lvl w:ilvl="3">
      <w:start w:val="1"/>
      <w:numFmt w:val="decimal"/>
      <w:lvlText w:val="(%4)"/>
      <w:lvlJc w:val="left"/>
      <w:pPr>
        <w:tabs>
          <w:tab w:val="num" w:pos="2552"/>
        </w:tabs>
        <w:ind w:left="2155" w:firstLine="397"/>
      </w:pPr>
      <w:rPr>
        <w:rFonts w:hint="default"/>
      </w:rPr>
    </w:lvl>
    <w:lvl w:ilvl="4">
      <w:start w:val="1"/>
      <w:numFmt w:val="lowerLetter"/>
      <w:lvlText w:val="(%5)"/>
      <w:lvlJc w:val="left"/>
      <w:pPr>
        <w:tabs>
          <w:tab w:val="num" w:pos="3119"/>
        </w:tabs>
        <w:ind w:left="2722" w:firstLine="397"/>
      </w:pPr>
      <w:rPr>
        <w:rFonts w:hint="default"/>
      </w:rPr>
    </w:lvl>
    <w:lvl w:ilvl="5">
      <w:start w:val="1"/>
      <w:numFmt w:val="lowerRoman"/>
      <w:lvlText w:val="(%6)"/>
      <w:lvlJc w:val="left"/>
      <w:pPr>
        <w:tabs>
          <w:tab w:val="num" w:pos="3686"/>
        </w:tabs>
        <w:ind w:left="3289" w:firstLine="397"/>
      </w:pPr>
      <w:rPr>
        <w:rFonts w:hint="default"/>
      </w:rPr>
    </w:lvl>
    <w:lvl w:ilvl="6">
      <w:start w:val="1"/>
      <w:numFmt w:val="decimal"/>
      <w:lvlText w:val="%7."/>
      <w:lvlJc w:val="left"/>
      <w:pPr>
        <w:tabs>
          <w:tab w:val="num" w:pos="4253"/>
        </w:tabs>
        <w:ind w:left="3856" w:firstLine="397"/>
      </w:pPr>
      <w:rPr>
        <w:rFonts w:hint="default"/>
      </w:rPr>
    </w:lvl>
    <w:lvl w:ilvl="7">
      <w:start w:val="1"/>
      <w:numFmt w:val="lowerLetter"/>
      <w:lvlText w:val="%8."/>
      <w:lvlJc w:val="left"/>
      <w:pPr>
        <w:tabs>
          <w:tab w:val="num" w:pos="4820"/>
        </w:tabs>
        <w:ind w:left="4423" w:firstLine="397"/>
      </w:pPr>
      <w:rPr>
        <w:rFonts w:hint="default"/>
      </w:rPr>
    </w:lvl>
    <w:lvl w:ilvl="8">
      <w:start w:val="1"/>
      <w:numFmt w:val="lowerRoman"/>
      <w:lvlText w:val="%9."/>
      <w:lvlJc w:val="left"/>
      <w:pPr>
        <w:tabs>
          <w:tab w:val="num" w:pos="5387"/>
        </w:tabs>
        <w:ind w:left="4990" w:firstLine="397"/>
      </w:pPr>
      <w:rPr>
        <w:rFonts w:hint="default"/>
      </w:rPr>
    </w:lvl>
  </w:abstractNum>
  <w:abstractNum w:abstractNumId="22" w15:restartNumberingAfterBreak="0">
    <w:nsid w:val="64CA5D5C"/>
    <w:multiLevelType w:val="hybridMultilevel"/>
    <w:tmpl w:val="D1F41810"/>
    <w:lvl w:ilvl="0" w:tplc="B2BC8480">
      <w:start w:val="1"/>
      <w:numFmt w:val="bullet"/>
      <w:lvlText w:val="­"/>
      <w:lvlJc w:val="left"/>
      <w:pPr>
        <w:ind w:left="1710" w:hanging="360"/>
      </w:pPr>
      <w:rPr>
        <w:rFonts w:ascii="Courier New" w:hAnsi="Courier New" w:hint="default"/>
      </w:rPr>
    </w:lvl>
    <w:lvl w:ilvl="1" w:tplc="87AC79EC">
      <w:numFmt w:val="bullet"/>
      <w:lvlText w:val="•"/>
      <w:lvlJc w:val="left"/>
      <w:pPr>
        <w:ind w:left="1800" w:hanging="360"/>
      </w:pPr>
      <w:rPr>
        <w:rFonts w:ascii="Calibri" w:eastAsiaTheme="minorHAnsi" w:hAnsi="Calibri" w:cstheme="minorBidi" w:hint="default"/>
        <w:b w:val="0"/>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5496197"/>
    <w:multiLevelType w:val="multilevel"/>
    <w:tmpl w:val="6F6A9636"/>
    <w:lvl w:ilvl="0">
      <w:start w:val="1"/>
      <w:numFmt w:val="lowerRoman"/>
      <w:pStyle w:val="Bulletlistroman"/>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4" w15:restartNumberingAfterBreak="0">
    <w:nsid w:val="6B3358B1"/>
    <w:multiLevelType w:val="hybridMultilevel"/>
    <w:tmpl w:val="438CE1AA"/>
    <w:lvl w:ilvl="0" w:tplc="710E98E4">
      <w:start w:val="1"/>
      <w:numFmt w:val="decimal"/>
      <w:lvlText w:val="(%1)"/>
      <w:lvlJc w:val="left"/>
      <w:pPr>
        <w:ind w:left="1346" w:hanging="540"/>
      </w:pPr>
      <w:rPr>
        <w:rFonts w:hint="default"/>
      </w:rPr>
    </w:lvl>
    <w:lvl w:ilvl="1" w:tplc="F790E320">
      <w:start w:val="1"/>
      <w:numFmt w:val="lowerLetter"/>
      <w:lvlText w:val="(%2)"/>
      <w:lvlJc w:val="left"/>
      <w:pPr>
        <w:ind w:left="2066" w:hanging="540"/>
      </w:pPr>
      <w:rPr>
        <w:rFonts w:hint="default"/>
      </w:rPr>
    </w:lvl>
    <w:lvl w:ilvl="2" w:tplc="0C09001B" w:tentative="1">
      <w:start w:val="1"/>
      <w:numFmt w:val="lowerRoman"/>
      <w:lvlText w:val="%3."/>
      <w:lvlJc w:val="right"/>
      <w:pPr>
        <w:ind w:left="2606" w:hanging="180"/>
      </w:pPr>
    </w:lvl>
    <w:lvl w:ilvl="3" w:tplc="0C09000F" w:tentative="1">
      <w:start w:val="1"/>
      <w:numFmt w:val="decimal"/>
      <w:lvlText w:val="%4."/>
      <w:lvlJc w:val="left"/>
      <w:pPr>
        <w:ind w:left="3326" w:hanging="360"/>
      </w:pPr>
    </w:lvl>
    <w:lvl w:ilvl="4" w:tplc="0C090019" w:tentative="1">
      <w:start w:val="1"/>
      <w:numFmt w:val="lowerLetter"/>
      <w:lvlText w:val="%5."/>
      <w:lvlJc w:val="left"/>
      <w:pPr>
        <w:ind w:left="4046" w:hanging="360"/>
      </w:pPr>
    </w:lvl>
    <w:lvl w:ilvl="5" w:tplc="0C09001B" w:tentative="1">
      <w:start w:val="1"/>
      <w:numFmt w:val="lowerRoman"/>
      <w:lvlText w:val="%6."/>
      <w:lvlJc w:val="right"/>
      <w:pPr>
        <w:ind w:left="4766" w:hanging="180"/>
      </w:pPr>
    </w:lvl>
    <w:lvl w:ilvl="6" w:tplc="0C09000F" w:tentative="1">
      <w:start w:val="1"/>
      <w:numFmt w:val="decimal"/>
      <w:lvlText w:val="%7."/>
      <w:lvlJc w:val="left"/>
      <w:pPr>
        <w:ind w:left="5486" w:hanging="360"/>
      </w:pPr>
    </w:lvl>
    <w:lvl w:ilvl="7" w:tplc="0C090019" w:tentative="1">
      <w:start w:val="1"/>
      <w:numFmt w:val="lowerLetter"/>
      <w:lvlText w:val="%8."/>
      <w:lvlJc w:val="left"/>
      <w:pPr>
        <w:ind w:left="6206" w:hanging="360"/>
      </w:pPr>
    </w:lvl>
    <w:lvl w:ilvl="8" w:tplc="0C09001B" w:tentative="1">
      <w:start w:val="1"/>
      <w:numFmt w:val="lowerRoman"/>
      <w:lvlText w:val="%9."/>
      <w:lvlJc w:val="right"/>
      <w:pPr>
        <w:ind w:left="6926" w:hanging="180"/>
      </w:pPr>
    </w:lvl>
  </w:abstractNum>
  <w:abstractNum w:abstractNumId="25" w15:restartNumberingAfterBreak="0">
    <w:nsid w:val="6B4B62A7"/>
    <w:multiLevelType w:val="hybridMultilevel"/>
    <w:tmpl w:val="438CE1AA"/>
    <w:lvl w:ilvl="0" w:tplc="710E98E4">
      <w:start w:val="1"/>
      <w:numFmt w:val="decimal"/>
      <w:lvlText w:val="(%1)"/>
      <w:lvlJc w:val="left"/>
      <w:pPr>
        <w:ind w:left="1346" w:hanging="540"/>
      </w:pPr>
      <w:rPr>
        <w:rFonts w:hint="default"/>
      </w:rPr>
    </w:lvl>
    <w:lvl w:ilvl="1" w:tplc="F790E320">
      <w:start w:val="1"/>
      <w:numFmt w:val="lowerLetter"/>
      <w:lvlText w:val="(%2)"/>
      <w:lvlJc w:val="left"/>
      <w:pPr>
        <w:ind w:left="2066" w:hanging="540"/>
      </w:pPr>
      <w:rPr>
        <w:rFonts w:hint="default"/>
      </w:rPr>
    </w:lvl>
    <w:lvl w:ilvl="2" w:tplc="0C09001B" w:tentative="1">
      <w:start w:val="1"/>
      <w:numFmt w:val="lowerRoman"/>
      <w:lvlText w:val="%3."/>
      <w:lvlJc w:val="right"/>
      <w:pPr>
        <w:ind w:left="2606" w:hanging="180"/>
      </w:pPr>
    </w:lvl>
    <w:lvl w:ilvl="3" w:tplc="0C09000F" w:tentative="1">
      <w:start w:val="1"/>
      <w:numFmt w:val="decimal"/>
      <w:lvlText w:val="%4."/>
      <w:lvlJc w:val="left"/>
      <w:pPr>
        <w:ind w:left="3326" w:hanging="360"/>
      </w:pPr>
    </w:lvl>
    <w:lvl w:ilvl="4" w:tplc="0C090019" w:tentative="1">
      <w:start w:val="1"/>
      <w:numFmt w:val="lowerLetter"/>
      <w:lvlText w:val="%5."/>
      <w:lvlJc w:val="left"/>
      <w:pPr>
        <w:ind w:left="4046" w:hanging="360"/>
      </w:pPr>
    </w:lvl>
    <w:lvl w:ilvl="5" w:tplc="0C09001B" w:tentative="1">
      <w:start w:val="1"/>
      <w:numFmt w:val="lowerRoman"/>
      <w:lvlText w:val="%6."/>
      <w:lvlJc w:val="right"/>
      <w:pPr>
        <w:ind w:left="4766" w:hanging="180"/>
      </w:pPr>
    </w:lvl>
    <w:lvl w:ilvl="6" w:tplc="0C09000F" w:tentative="1">
      <w:start w:val="1"/>
      <w:numFmt w:val="decimal"/>
      <w:lvlText w:val="%7."/>
      <w:lvlJc w:val="left"/>
      <w:pPr>
        <w:ind w:left="5486" w:hanging="360"/>
      </w:pPr>
    </w:lvl>
    <w:lvl w:ilvl="7" w:tplc="0C090019" w:tentative="1">
      <w:start w:val="1"/>
      <w:numFmt w:val="lowerLetter"/>
      <w:lvlText w:val="%8."/>
      <w:lvlJc w:val="left"/>
      <w:pPr>
        <w:ind w:left="6206" w:hanging="360"/>
      </w:pPr>
    </w:lvl>
    <w:lvl w:ilvl="8" w:tplc="0C09001B" w:tentative="1">
      <w:start w:val="1"/>
      <w:numFmt w:val="lowerRoman"/>
      <w:lvlText w:val="%9."/>
      <w:lvlJc w:val="right"/>
      <w:pPr>
        <w:ind w:left="6926" w:hanging="180"/>
      </w:pPr>
    </w:lvl>
  </w:abstractNum>
  <w:abstractNum w:abstractNumId="26" w15:restartNumberingAfterBreak="0">
    <w:nsid w:val="6E034034"/>
    <w:multiLevelType w:val="multilevel"/>
    <w:tmpl w:val="A5ECBD6A"/>
    <w:styleLink w:val="Style2"/>
    <w:lvl w:ilvl="0">
      <w:start w:val="1"/>
      <w:numFmt w:val="decimal"/>
      <w:lvlText w:val="%1.1"/>
      <w:lvlJc w:val="left"/>
      <w:pPr>
        <w:ind w:left="432" w:hanging="432"/>
      </w:pPr>
      <w:rPr>
        <w:rFonts w:cs="Times New Roman" w:hint="default"/>
      </w:rPr>
    </w:lvl>
    <w:lvl w:ilvl="1">
      <w:start w:val="1"/>
      <w:numFmt w:val="none"/>
      <w:lvlText w:val=""/>
      <w:lvlJc w:val="left"/>
      <w:pPr>
        <w:ind w:left="576" w:hanging="576"/>
      </w:pPr>
      <w:rPr>
        <w:rFonts w:cs="Times New Roman" w:hint="default"/>
      </w:rPr>
    </w:lvl>
    <w:lvl w:ilvl="2">
      <w:start w:val="1"/>
      <w:numFmt w:val="none"/>
      <w:lvlText w:val=""/>
      <w:lvlJc w:val="left"/>
      <w:pPr>
        <w:ind w:left="720" w:hanging="720"/>
      </w:pPr>
      <w:rPr>
        <w:rFonts w:cs="Times New Roman" w:hint="default"/>
      </w:rPr>
    </w:lvl>
    <w:lvl w:ilvl="3">
      <w:start w:val="1"/>
      <w:numFmt w:val="none"/>
      <w:lvlText w:val=""/>
      <w:lvlJc w:val="left"/>
      <w:pPr>
        <w:ind w:left="864" w:hanging="864"/>
      </w:pPr>
      <w:rPr>
        <w:rFonts w:cs="Times New Roman" w:hint="default"/>
      </w:rPr>
    </w:lvl>
    <w:lvl w:ilvl="4">
      <w:start w:val="1"/>
      <w:numFmt w:val="none"/>
      <w:lvlText w:val=""/>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1.%21"/>
      <w:lvlJc w:val="left"/>
      <w:pPr>
        <w:ind w:left="1296" w:hanging="1296"/>
      </w:pPr>
      <w:rPr>
        <w:rFonts w:cs="Times New Roman" w:hint="default"/>
      </w:rPr>
    </w:lvl>
    <w:lvl w:ilvl="7">
      <w:start w:val="1"/>
      <w:numFmt w:val="decimal"/>
      <w:lvlText w:val="%8%1.%21.1"/>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7" w15:restartNumberingAfterBreak="0">
    <w:nsid w:val="79A623FD"/>
    <w:multiLevelType w:val="hybridMultilevel"/>
    <w:tmpl w:val="438CE1AA"/>
    <w:lvl w:ilvl="0" w:tplc="710E98E4">
      <w:start w:val="1"/>
      <w:numFmt w:val="decimal"/>
      <w:lvlText w:val="(%1)"/>
      <w:lvlJc w:val="left"/>
      <w:pPr>
        <w:ind w:left="1346" w:hanging="540"/>
      </w:pPr>
      <w:rPr>
        <w:rFonts w:hint="default"/>
      </w:rPr>
    </w:lvl>
    <w:lvl w:ilvl="1" w:tplc="F790E320">
      <w:start w:val="1"/>
      <w:numFmt w:val="lowerLetter"/>
      <w:lvlText w:val="(%2)"/>
      <w:lvlJc w:val="left"/>
      <w:pPr>
        <w:ind w:left="2066" w:hanging="540"/>
      </w:pPr>
      <w:rPr>
        <w:rFonts w:hint="default"/>
      </w:rPr>
    </w:lvl>
    <w:lvl w:ilvl="2" w:tplc="0C09001B" w:tentative="1">
      <w:start w:val="1"/>
      <w:numFmt w:val="lowerRoman"/>
      <w:lvlText w:val="%3."/>
      <w:lvlJc w:val="right"/>
      <w:pPr>
        <w:ind w:left="2606" w:hanging="180"/>
      </w:pPr>
    </w:lvl>
    <w:lvl w:ilvl="3" w:tplc="0C09000F" w:tentative="1">
      <w:start w:val="1"/>
      <w:numFmt w:val="decimal"/>
      <w:lvlText w:val="%4."/>
      <w:lvlJc w:val="left"/>
      <w:pPr>
        <w:ind w:left="3326" w:hanging="360"/>
      </w:pPr>
    </w:lvl>
    <w:lvl w:ilvl="4" w:tplc="0C090019" w:tentative="1">
      <w:start w:val="1"/>
      <w:numFmt w:val="lowerLetter"/>
      <w:lvlText w:val="%5."/>
      <w:lvlJc w:val="left"/>
      <w:pPr>
        <w:ind w:left="4046" w:hanging="360"/>
      </w:pPr>
    </w:lvl>
    <w:lvl w:ilvl="5" w:tplc="0C09001B" w:tentative="1">
      <w:start w:val="1"/>
      <w:numFmt w:val="lowerRoman"/>
      <w:lvlText w:val="%6."/>
      <w:lvlJc w:val="right"/>
      <w:pPr>
        <w:ind w:left="4766" w:hanging="180"/>
      </w:pPr>
    </w:lvl>
    <w:lvl w:ilvl="6" w:tplc="0C09000F" w:tentative="1">
      <w:start w:val="1"/>
      <w:numFmt w:val="decimal"/>
      <w:lvlText w:val="%7."/>
      <w:lvlJc w:val="left"/>
      <w:pPr>
        <w:ind w:left="5486" w:hanging="360"/>
      </w:pPr>
    </w:lvl>
    <w:lvl w:ilvl="7" w:tplc="0C090019" w:tentative="1">
      <w:start w:val="1"/>
      <w:numFmt w:val="lowerLetter"/>
      <w:lvlText w:val="%8."/>
      <w:lvlJc w:val="left"/>
      <w:pPr>
        <w:ind w:left="6206" w:hanging="360"/>
      </w:pPr>
    </w:lvl>
    <w:lvl w:ilvl="8" w:tplc="0C09001B" w:tentative="1">
      <w:start w:val="1"/>
      <w:numFmt w:val="lowerRoman"/>
      <w:lvlText w:val="%9."/>
      <w:lvlJc w:val="right"/>
      <w:pPr>
        <w:ind w:left="6926" w:hanging="180"/>
      </w:pPr>
    </w:lvl>
  </w:abstractNum>
  <w:abstractNum w:abstractNumId="28" w15:restartNumberingAfterBreak="0">
    <w:nsid w:val="7BFF2F86"/>
    <w:multiLevelType w:val="hybridMultilevel"/>
    <w:tmpl w:val="C32262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7D1314E2"/>
    <w:multiLevelType w:val="hybridMultilevel"/>
    <w:tmpl w:val="4D88D650"/>
    <w:lvl w:ilvl="0" w:tplc="3894EE82">
      <w:start w:val="1"/>
      <w:numFmt w:val="bullet"/>
      <w:pStyle w:val="Bulletlistlevel1"/>
      <w:lvlText w:val=""/>
      <w:lvlJc w:val="left"/>
      <w:pPr>
        <w:ind w:left="-414" w:hanging="360"/>
      </w:pPr>
      <w:rPr>
        <w:rFonts w:ascii="Symbol" w:hAnsi="Symbol" w:hint="default"/>
      </w:rPr>
    </w:lvl>
    <w:lvl w:ilvl="1" w:tplc="87D8F8F0" w:tentative="1">
      <w:start w:val="1"/>
      <w:numFmt w:val="lowerLetter"/>
      <w:lvlText w:val="%2."/>
      <w:lvlJc w:val="left"/>
      <w:pPr>
        <w:ind w:left="306" w:hanging="360"/>
      </w:pPr>
      <w:rPr>
        <w:rFonts w:cs="Times New Roman"/>
      </w:rPr>
    </w:lvl>
    <w:lvl w:ilvl="2" w:tplc="B1323CB8" w:tentative="1">
      <w:start w:val="1"/>
      <w:numFmt w:val="lowerRoman"/>
      <w:lvlText w:val="%3."/>
      <w:lvlJc w:val="right"/>
      <w:pPr>
        <w:ind w:left="1026" w:hanging="180"/>
      </w:pPr>
      <w:rPr>
        <w:rFonts w:cs="Times New Roman"/>
      </w:rPr>
    </w:lvl>
    <w:lvl w:ilvl="3" w:tplc="CAE0A252" w:tentative="1">
      <w:start w:val="1"/>
      <w:numFmt w:val="decimal"/>
      <w:lvlText w:val="%4."/>
      <w:lvlJc w:val="left"/>
      <w:pPr>
        <w:ind w:left="1746" w:hanging="360"/>
      </w:pPr>
      <w:rPr>
        <w:rFonts w:cs="Times New Roman"/>
      </w:rPr>
    </w:lvl>
    <w:lvl w:ilvl="4" w:tplc="A496904E" w:tentative="1">
      <w:start w:val="1"/>
      <w:numFmt w:val="lowerLetter"/>
      <w:lvlText w:val="%5."/>
      <w:lvlJc w:val="left"/>
      <w:pPr>
        <w:ind w:left="2466" w:hanging="360"/>
      </w:pPr>
      <w:rPr>
        <w:rFonts w:cs="Times New Roman"/>
      </w:rPr>
    </w:lvl>
    <w:lvl w:ilvl="5" w:tplc="867CAE32" w:tentative="1">
      <w:start w:val="1"/>
      <w:numFmt w:val="lowerRoman"/>
      <w:lvlText w:val="%6."/>
      <w:lvlJc w:val="right"/>
      <w:pPr>
        <w:ind w:left="3186" w:hanging="180"/>
      </w:pPr>
      <w:rPr>
        <w:rFonts w:cs="Times New Roman"/>
      </w:rPr>
    </w:lvl>
    <w:lvl w:ilvl="6" w:tplc="36B64AEE" w:tentative="1">
      <w:start w:val="1"/>
      <w:numFmt w:val="decimal"/>
      <w:lvlText w:val="%7."/>
      <w:lvlJc w:val="left"/>
      <w:pPr>
        <w:ind w:left="3906" w:hanging="360"/>
      </w:pPr>
      <w:rPr>
        <w:rFonts w:cs="Times New Roman"/>
      </w:rPr>
    </w:lvl>
    <w:lvl w:ilvl="7" w:tplc="EB0E0432" w:tentative="1">
      <w:start w:val="1"/>
      <w:numFmt w:val="lowerLetter"/>
      <w:lvlText w:val="%8."/>
      <w:lvlJc w:val="left"/>
      <w:pPr>
        <w:ind w:left="4626" w:hanging="360"/>
      </w:pPr>
      <w:rPr>
        <w:rFonts w:cs="Times New Roman"/>
      </w:rPr>
    </w:lvl>
    <w:lvl w:ilvl="8" w:tplc="4C4454F4" w:tentative="1">
      <w:start w:val="1"/>
      <w:numFmt w:val="lowerRoman"/>
      <w:lvlText w:val="%9."/>
      <w:lvlJc w:val="right"/>
      <w:pPr>
        <w:ind w:left="5346" w:hanging="180"/>
      </w:pPr>
      <w:rPr>
        <w:rFonts w:cs="Times New Roman"/>
      </w:rPr>
    </w:lvl>
  </w:abstractNum>
  <w:abstractNum w:abstractNumId="3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2"/>
  </w:num>
  <w:num w:numId="13">
    <w:abstractNumId w:val="29"/>
  </w:num>
  <w:num w:numId="14">
    <w:abstractNumId w:val="18"/>
  </w:num>
  <w:num w:numId="15">
    <w:abstractNumId w:val="11"/>
  </w:num>
  <w:num w:numId="16">
    <w:abstractNumId w:val="13"/>
  </w:num>
  <w:num w:numId="17">
    <w:abstractNumId w:val="26"/>
  </w:num>
  <w:num w:numId="18">
    <w:abstractNumId w:val="23"/>
  </w:num>
  <w:num w:numId="19">
    <w:abstractNumId w:val="15"/>
  </w:num>
  <w:num w:numId="20">
    <w:abstractNumId w:val="16"/>
  </w:num>
  <w:num w:numId="21">
    <w:abstractNumId w:val="10"/>
  </w:num>
  <w:num w:numId="22">
    <w:abstractNumId w:val="14"/>
  </w:num>
  <w:num w:numId="23">
    <w:abstractNumId w:val="30"/>
  </w:num>
  <w:num w:numId="24">
    <w:abstractNumId w:val="22"/>
  </w:num>
  <w:num w:numId="25">
    <w:abstractNumId w:val="28"/>
  </w:num>
  <w:num w:numId="26">
    <w:abstractNumId w:val="24"/>
  </w:num>
  <w:num w:numId="27">
    <w:abstractNumId w:val="20"/>
  </w:num>
  <w:num w:numId="28">
    <w:abstractNumId w:val="25"/>
  </w:num>
  <w:num w:numId="29">
    <w:abstractNumId w:val="19"/>
  </w:num>
  <w:num w:numId="30">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46"/>
  <w:evenAndOddHeaders/>
  <w:characterSpacingControl w:val="doNotCompress"/>
  <w:hdrShapeDefaults>
    <o:shapedefaults v:ext="edit" spidmax="2099" style="mso-position-horizontal:center;mso-position-horizontal-relative:margin;mso-position-vertical:center;mso-position-vertical-relative:margin" o:allowincell="f" fillcolor="silver" stroke="f">
      <v:fill color="silver" opacity=".5"/>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46"/>
    <w:rsid w:val="000011FF"/>
    <w:rsid w:val="000016B7"/>
    <w:rsid w:val="00001839"/>
    <w:rsid w:val="00004BBA"/>
    <w:rsid w:val="00010090"/>
    <w:rsid w:val="00012062"/>
    <w:rsid w:val="00012567"/>
    <w:rsid w:val="000129E3"/>
    <w:rsid w:val="00012C7C"/>
    <w:rsid w:val="00013BA7"/>
    <w:rsid w:val="00015B3E"/>
    <w:rsid w:val="00016CCD"/>
    <w:rsid w:val="00016ECB"/>
    <w:rsid w:val="000171BE"/>
    <w:rsid w:val="0001725A"/>
    <w:rsid w:val="00020720"/>
    <w:rsid w:val="000223B2"/>
    <w:rsid w:val="00022A35"/>
    <w:rsid w:val="000233EA"/>
    <w:rsid w:val="000238D1"/>
    <w:rsid w:val="00024BDA"/>
    <w:rsid w:val="00025A33"/>
    <w:rsid w:val="00026D92"/>
    <w:rsid w:val="00030285"/>
    <w:rsid w:val="0003048A"/>
    <w:rsid w:val="00031176"/>
    <w:rsid w:val="00031636"/>
    <w:rsid w:val="00032058"/>
    <w:rsid w:val="00034175"/>
    <w:rsid w:val="00034823"/>
    <w:rsid w:val="00034ADC"/>
    <w:rsid w:val="00034CCA"/>
    <w:rsid w:val="00036A58"/>
    <w:rsid w:val="00037980"/>
    <w:rsid w:val="00037B25"/>
    <w:rsid w:val="00040028"/>
    <w:rsid w:val="000421E6"/>
    <w:rsid w:val="00042C45"/>
    <w:rsid w:val="000433E0"/>
    <w:rsid w:val="00044012"/>
    <w:rsid w:val="00044194"/>
    <w:rsid w:val="00044B07"/>
    <w:rsid w:val="0004551E"/>
    <w:rsid w:val="00045F75"/>
    <w:rsid w:val="00046DE2"/>
    <w:rsid w:val="0005204D"/>
    <w:rsid w:val="00052319"/>
    <w:rsid w:val="00052A23"/>
    <w:rsid w:val="00052F85"/>
    <w:rsid w:val="00053A61"/>
    <w:rsid w:val="00053DC1"/>
    <w:rsid w:val="00055077"/>
    <w:rsid w:val="00056859"/>
    <w:rsid w:val="000568AC"/>
    <w:rsid w:val="0005767A"/>
    <w:rsid w:val="00060E04"/>
    <w:rsid w:val="000618AD"/>
    <w:rsid w:val="00061AB9"/>
    <w:rsid w:val="00061B6D"/>
    <w:rsid w:val="00061D08"/>
    <w:rsid w:val="00062087"/>
    <w:rsid w:val="00064F19"/>
    <w:rsid w:val="00067FAE"/>
    <w:rsid w:val="0007009F"/>
    <w:rsid w:val="0007136A"/>
    <w:rsid w:val="00073340"/>
    <w:rsid w:val="0007461D"/>
    <w:rsid w:val="0007556D"/>
    <w:rsid w:val="0007673D"/>
    <w:rsid w:val="0007683A"/>
    <w:rsid w:val="00077835"/>
    <w:rsid w:val="0008186E"/>
    <w:rsid w:val="000823F3"/>
    <w:rsid w:val="000840B5"/>
    <w:rsid w:val="0008663E"/>
    <w:rsid w:val="00086C99"/>
    <w:rsid w:val="000874A9"/>
    <w:rsid w:val="0009152D"/>
    <w:rsid w:val="000915D1"/>
    <w:rsid w:val="00092119"/>
    <w:rsid w:val="000924FF"/>
    <w:rsid w:val="000927C6"/>
    <w:rsid w:val="00093922"/>
    <w:rsid w:val="000941F6"/>
    <w:rsid w:val="00094472"/>
    <w:rsid w:val="00094D98"/>
    <w:rsid w:val="00095C7A"/>
    <w:rsid w:val="000967E6"/>
    <w:rsid w:val="0009718B"/>
    <w:rsid w:val="000971E6"/>
    <w:rsid w:val="00097985"/>
    <w:rsid w:val="000A14A2"/>
    <w:rsid w:val="000A15A8"/>
    <w:rsid w:val="000A16C9"/>
    <w:rsid w:val="000A2214"/>
    <w:rsid w:val="000A33FE"/>
    <w:rsid w:val="000A52C2"/>
    <w:rsid w:val="000A5891"/>
    <w:rsid w:val="000A5E0A"/>
    <w:rsid w:val="000A65CD"/>
    <w:rsid w:val="000A6724"/>
    <w:rsid w:val="000A78C0"/>
    <w:rsid w:val="000B0846"/>
    <w:rsid w:val="000B0CDE"/>
    <w:rsid w:val="000B12AD"/>
    <w:rsid w:val="000B2688"/>
    <w:rsid w:val="000B4BFC"/>
    <w:rsid w:val="000B4D3D"/>
    <w:rsid w:val="000B504D"/>
    <w:rsid w:val="000B510A"/>
    <w:rsid w:val="000B71DA"/>
    <w:rsid w:val="000C0208"/>
    <w:rsid w:val="000C0965"/>
    <w:rsid w:val="000C1130"/>
    <w:rsid w:val="000C12B1"/>
    <w:rsid w:val="000C12C3"/>
    <w:rsid w:val="000C2759"/>
    <w:rsid w:val="000C30A9"/>
    <w:rsid w:val="000C322C"/>
    <w:rsid w:val="000C3653"/>
    <w:rsid w:val="000C49C9"/>
    <w:rsid w:val="000C5573"/>
    <w:rsid w:val="000C59EC"/>
    <w:rsid w:val="000C6DFF"/>
    <w:rsid w:val="000C6FA0"/>
    <w:rsid w:val="000C7916"/>
    <w:rsid w:val="000D3223"/>
    <w:rsid w:val="000D384D"/>
    <w:rsid w:val="000D4F39"/>
    <w:rsid w:val="000D5EDC"/>
    <w:rsid w:val="000D68A2"/>
    <w:rsid w:val="000D6984"/>
    <w:rsid w:val="000D7541"/>
    <w:rsid w:val="000D7EBD"/>
    <w:rsid w:val="000E13B4"/>
    <w:rsid w:val="000E231B"/>
    <w:rsid w:val="000E2F92"/>
    <w:rsid w:val="000E440E"/>
    <w:rsid w:val="000E5A5A"/>
    <w:rsid w:val="000E66C0"/>
    <w:rsid w:val="000E79A3"/>
    <w:rsid w:val="000F0EFB"/>
    <w:rsid w:val="000F30A0"/>
    <w:rsid w:val="000F3D5D"/>
    <w:rsid w:val="000F6652"/>
    <w:rsid w:val="000F6785"/>
    <w:rsid w:val="000F7C44"/>
    <w:rsid w:val="00100B5B"/>
    <w:rsid w:val="001013B4"/>
    <w:rsid w:val="00101A1A"/>
    <w:rsid w:val="00103599"/>
    <w:rsid w:val="00103E7B"/>
    <w:rsid w:val="00104A8B"/>
    <w:rsid w:val="00104CBD"/>
    <w:rsid w:val="00105A3D"/>
    <w:rsid w:val="00105E68"/>
    <w:rsid w:val="0010659A"/>
    <w:rsid w:val="00106983"/>
    <w:rsid w:val="001069C1"/>
    <w:rsid w:val="00106A85"/>
    <w:rsid w:val="00107EEA"/>
    <w:rsid w:val="001107D1"/>
    <w:rsid w:val="00112799"/>
    <w:rsid w:val="00115163"/>
    <w:rsid w:val="001154AD"/>
    <w:rsid w:val="00116A46"/>
    <w:rsid w:val="00116E9B"/>
    <w:rsid w:val="001201A6"/>
    <w:rsid w:val="0012051D"/>
    <w:rsid w:val="00120F86"/>
    <w:rsid w:val="00121896"/>
    <w:rsid w:val="00123DBF"/>
    <w:rsid w:val="00125EA4"/>
    <w:rsid w:val="001266E9"/>
    <w:rsid w:val="00126C48"/>
    <w:rsid w:val="00126D9A"/>
    <w:rsid w:val="00127856"/>
    <w:rsid w:val="00131525"/>
    <w:rsid w:val="00132097"/>
    <w:rsid w:val="0013258C"/>
    <w:rsid w:val="00133077"/>
    <w:rsid w:val="00133A87"/>
    <w:rsid w:val="00133AB1"/>
    <w:rsid w:val="00134F41"/>
    <w:rsid w:val="001352E7"/>
    <w:rsid w:val="00135363"/>
    <w:rsid w:val="00137745"/>
    <w:rsid w:val="001409BD"/>
    <w:rsid w:val="001415F9"/>
    <w:rsid w:val="00144967"/>
    <w:rsid w:val="0014536B"/>
    <w:rsid w:val="00145B35"/>
    <w:rsid w:val="00145C9B"/>
    <w:rsid w:val="00147B04"/>
    <w:rsid w:val="00150083"/>
    <w:rsid w:val="001505EB"/>
    <w:rsid w:val="00151365"/>
    <w:rsid w:val="00151C3B"/>
    <w:rsid w:val="0015201D"/>
    <w:rsid w:val="001562EC"/>
    <w:rsid w:val="0016069D"/>
    <w:rsid w:val="001606A8"/>
    <w:rsid w:val="00163101"/>
    <w:rsid w:val="00163A08"/>
    <w:rsid w:val="0016463A"/>
    <w:rsid w:val="00165699"/>
    <w:rsid w:val="00166E04"/>
    <w:rsid w:val="00167169"/>
    <w:rsid w:val="00167537"/>
    <w:rsid w:val="00167EE2"/>
    <w:rsid w:val="0017063D"/>
    <w:rsid w:val="00170F9C"/>
    <w:rsid w:val="001712BC"/>
    <w:rsid w:val="001722F9"/>
    <w:rsid w:val="0017558F"/>
    <w:rsid w:val="0017638E"/>
    <w:rsid w:val="001777EE"/>
    <w:rsid w:val="001779EA"/>
    <w:rsid w:val="00180581"/>
    <w:rsid w:val="00180D09"/>
    <w:rsid w:val="001820C5"/>
    <w:rsid w:val="001829FA"/>
    <w:rsid w:val="00182A2F"/>
    <w:rsid w:val="001839D6"/>
    <w:rsid w:val="00184A7B"/>
    <w:rsid w:val="00184C56"/>
    <w:rsid w:val="00184D61"/>
    <w:rsid w:val="0018598D"/>
    <w:rsid w:val="00187105"/>
    <w:rsid w:val="0019001E"/>
    <w:rsid w:val="001917B3"/>
    <w:rsid w:val="001917DA"/>
    <w:rsid w:val="00192003"/>
    <w:rsid w:val="00192010"/>
    <w:rsid w:val="00195221"/>
    <w:rsid w:val="0019559B"/>
    <w:rsid w:val="00195B4C"/>
    <w:rsid w:val="00196028"/>
    <w:rsid w:val="001974F6"/>
    <w:rsid w:val="001A1A54"/>
    <w:rsid w:val="001A28BF"/>
    <w:rsid w:val="001A3394"/>
    <w:rsid w:val="001A46D3"/>
    <w:rsid w:val="001A5269"/>
    <w:rsid w:val="001A5F09"/>
    <w:rsid w:val="001A6A02"/>
    <w:rsid w:val="001A78B6"/>
    <w:rsid w:val="001B0650"/>
    <w:rsid w:val="001B09FD"/>
    <w:rsid w:val="001B1173"/>
    <w:rsid w:val="001B207B"/>
    <w:rsid w:val="001B22F0"/>
    <w:rsid w:val="001B36FB"/>
    <w:rsid w:val="001B457B"/>
    <w:rsid w:val="001B4892"/>
    <w:rsid w:val="001B4930"/>
    <w:rsid w:val="001B5859"/>
    <w:rsid w:val="001B5C86"/>
    <w:rsid w:val="001B5E58"/>
    <w:rsid w:val="001B5EB3"/>
    <w:rsid w:val="001B5F08"/>
    <w:rsid w:val="001B73A1"/>
    <w:rsid w:val="001C11EA"/>
    <w:rsid w:val="001C2A48"/>
    <w:rsid w:val="001C3269"/>
    <w:rsid w:val="001C3601"/>
    <w:rsid w:val="001C5D82"/>
    <w:rsid w:val="001C6D5B"/>
    <w:rsid w:val="001C719C"/>
    <w:rsid w:val="001C7639"/>
    <w:rsid w:val="001C7818"/>
    <w:rsid w:val="001D00FF"/>
    <w:rsid w:val="001D2441"/>
    <w:rsid w:val="001D271A"/>
    <w:rsid w:val="001D2873"/>
    <w:rsid w:val="001D5DBF"/>
    <w:rsid w:val="001D60B6"/>
    <w:rsid w:val="001D7AD1"/>
    <w:rsid w:val="001E0B71"/>
    <w:rsid w:val="001E197A"/>
    <w:rsid w:val="001E2F75"/>
    <w:rsid w:val="001E3462"/>
    <w:rsid w:val="001E3B56"/>
    <w:rsid w:val="001E3BA1"/>
    <w:rsid w:val="001E3ED8"/>
    <w:rsid w:val="001E533E"/>
    <w:rsid w:val="001E56FE"/>
    <w:rsid w:val="001E61F6"/>
    <w:rsid w:val="001E6421"/>
    <w:rsid w:val="001E6B34"/>
    <w:rsid w:val="001E6B45"/>
    <w:rsid w:val="001F1058"/>
    <w:rsid w:val="001F1D6D"/>
    <w:rsid w:val="001F48AB"/>
    <w:rsid w:val="001F49B7"/>
    <w:rsid w:val="001F622E"/>
    <w:rsid w:val="00202660"/>
    <w:rsid w:val="00202BE1"/>
    <w:rsid w:val="002031BD"/>
    <w:rsid w:val="002032A0"/>
    <w:rsid w:val="002064D0"/>
    <w:rsid w:val="002076F3"/>
    <w:rsid w:val="002103BD"/>
    <w:rsid w:val="00210A63"/>
    <w:rsid w:val="00211156"/>
    <w:rsid w:val="0021195E"/>
    <w:rsid w:val="002128AF"/>
    <w:rsid w:val="00212F5E"/>
    <w:rsid w:val="0021614E"/>
    <w:rsid w:val="00216794"/>
    <w:rsid w:val="00220914"/>
    <w:rsid w:val="00221C9C"/>
    <w:rsid w:val="0022278A"/>
    <w:rsid w:val="002230E6"/>
    <w:rsid w:val="00224D59"/>
    <w:rsid w:val="002259AC"/>
    <w:rsid w:val="002264FA"/>
    <w:rsid w:val="00226A15"/>
    <w:rsid w:val="002270B3"/>
    <w:rsid w:val="00227281"/>
    <w:rsid w:val="0023358B"/>
    <w:rsid w:val="00233BF7"/>
    <w:rsid w:val="00235CF0"/>
    <w:rsid w:val="00235D37"/>
    <w:rsid w:val="002371DB"/>
    <w:rsid w:val="00237B6F"/>
    <w:rsid w:val="00240841"/>
    <w:rsid w:val="002412A4"/>
    <w:rsid w:val="00241F22"/>
    <w:rsid w:val="00243563"/>
    <w:rsid w:val="00243715"/>
    <w:rsid w:val="00243CBE"/>
    <w:rsid w:val="00243DCB"/>
    <w:rsid w:val="00244435"/>
    <w:rsid w:val="0024524F"/>
    <w:rsid w:val="002458C5"/>
    <w:rsid w:val="00245D9F"/>
    <w:rsid w:val="00246AB8"/>
    <w:rsid w:val="00247FE5"/>
    <w:rsid w:val="002502AF"/>
    <w:rsid w:val="00251AC7"/>
    <w:rsid w:val="00252497"/>
    <w:rsid w:val="00252BBC"/>
    <w:rsid w:val="00254B7A"/>
    <w:rsid w:val="00256D7D"/>
    <w:rsid w:val="00256FBC"/>
    <w:rsid w:val="00262C9C"/>
    <w:rsid w:val="00264222"/>
    <w:rsid w:val="002644BB"/>
    <w:rsid w:val="002649B5"/>
    <w:rsid w:val="002718FF"/>
    <w:rsid w:val="00271A5B"/>
    <w:rsid w:val="00275330"/>
    <w:rsid w:val="002753EE"/>
    <w:rsid w:val="002805F4"/>
    <w:rsid w:val="002806E8"/>
    <w:rsid w:val="00280D11"/>
    <w:rsid w:val="00283F5C"/>
    <w:rsid w:val="00285ABC"/>
    <w:rsid w:val="00285E02"/>
    <w:rsid w:val="00286673"/>
    <w:rsid w:val="00287BE8"/>
    <w:rsid w:val="00287FC6"/>
    <w:rsid w:val="00291D83"/>
    <w:rsid w:val="002973FA"/>
    <w:rsid w:val="00297673"/>
    <w:rsid w:val="002A0027"/>
    <w:rsid w:val="002A185D"/>
    <w:rsid w:val="002A24D0"/>
    <w:rsid w:val="002A257A"/>
    <w:rsid w:val="002A5344"/>
    <w:rsid w:val="002B1AC8"/>
    <w:rsid w:val="002B23FF"/>
    <w:rsid w:val="002B388D"/>
    <w:rsid w:val="002B4A3A"/>
    <w:rsid w:val="002B660A"/>
    <w:rsid w:val="002B7D81"/>
    <w:rsid w:val="002C1AB1"/>
    <w:rsid w:val="002C3AC7"/>
    <w:rsid w:val="002C3C37"/>
    <w:rsid w:val="002C3CF7"/>
    <w:rsid w:val="002C548A"/>
    <w:rsid w:val="002C6E9B"/>
    <w:rsid w:val="002D0603"/>
    <w:rsid w:val="002D0702"/>
    <w:rsid w:val="002D0A83"/>
    <w:rsid w:val="002D1047"/>
    <w:rsid w:val="002D3B0A"/>
    <w:rsid w:val="002D485F"/>
    <w:rsid w:val="002D5907"/>
    <w:rsid w:val="002D7840"/>
    <w:rsid w:val="002E0324"/>
    <w:rsid w:val="002E2EB3"/>
    <w:rsid w:val="002E344A"/>
    <w:rsid w:val="002E3ED2"/>
    <w:rsid w:val="002E6EB6"/>
    <w:rsid w:val="002E726C"/>
    <w:rsid w:val="002F04E9"/>
    <w:rsid w:val="002F0D7F"/>
    <w:rsid w:val="002F1119"/>
    <w:rsid w:val="002F13B7"/>
    <w:rsid w:val="002F1D67"/>
    <w:rsid w:val="002F37BA"/>
    <w:rsid w:val="002F44A8"/>
    <w:rsid w:val="002F5386"/>
    <w:rsid w:val="00301635"/>
    <w:rsid w:val="00301F54"/>
    <w:rsid w:val="00302004"/>
    <w:rsid w:val="00302510"/>
    <w:rsid w:val="00302BD1"/>
    <w:rsid w:val="00302DF4"/>
    <w:rsid w:val="00303425"/>
    <w:rsid w:val="003042B1"/>
    <w:rsid w:val="003045B8"/>
    <w:rsid w:val="003045ED"/>
    <w:rsid w:val="00306B22"/>
    <w:rsid w:val="00307591"/>
    <w:rsid w:val="00310CFA"/>
    <w:rsid w:val="0031203B"/>
    <w:rsid w:val="003127FB"/>
    <w:rsid w:val="00314CF6"/>
    <w:rsid w:val="003155F0"/>
    <w:rsid w:val="0031570D"/>
    <w:rsid w:val="00316B2D"/>
    <w:rsid w:val="00317346"/>
    <w:rsid w:val="00317393"/>
    <w:rsid w:val="0031748B"/>
    <w:rsid w:val="003178C5"/>
    <w:rsid w:val="00317E73"/>
    <w:rsid w:val="003217D0"/>
    <w:rsid w:val="0032291C"/>
    <w:rsid w:val="00326327"/>
    <w:rsid w:val="00330E92"/>
    <w:rsid w:val="00331026"/>
    <w:rsid w:val="00332D86"/>
    <w:rsid w:val="0033431C"/>
    <w:rsid w:val="003345DA"/>
    <w:rsid w:val="00336013"/>
    <w:rsid w:val="00336217"/>
    <w:rsid w:val="00336E84"/>
    <w:rsid w:val="003379D7"/>
    <w:rsid w:val="00337F40"/>
    <w:rsid w:val="00341320"/>
    <w:rsid w:val="003418C1"/>
    <w:rsid w:val="00341C98"/>
    <w:rsid w:val="003433AB"/>
    <w:rsid w:val="003443EB"/>
    <w:rsid w:val="00344677"/>
    <w:rsid w:val="003446DE"/>
    <w:rsid w:val="003458E5"/>
    <w:rsid w:val="00345A6D"/>
    <w:rsid w:val="003461FC"/>
    <w:rsid w:val="0034635E"/>
    <w:rsid w:val="00346CDE"/>
    <w:rsid w:val="00347618"/>
    <w:rsid w:val="00351015"/>
    <w:rsid w:val="00351A66"/>
    <w:rsid w:val="00351AD0"/>
    <w:rsid w:val="00352A23"/>
    <w:rsid w:val="00352BB3"/>
    <w:rsid w:val="003534F8"/>
    <w:rsid w:val="0035425D"/>
    <w:rsid w:val="00354B0F"/>
    <w:rsid w:val="00354DFF"/>
    <w:rsid w:val="00355DF5"/>
    <w:rsid w:val="00357442"/>
    <w:rsid w:val="003574E8"/>
    <w:rsid w:val="00357A4D"/>
    <w:rsid w:val="00361375"/>
    <w:rsid w:val="0036212E"/>
    <w:rsid w:val="00365970"/>
    <w:rsid w:val="003660F9"/>
    <w:rsid w:val="00367A7B"/>
    <w:rsid w:val="00367B9B"/>
    <w:rsid w:val="0037018E"/>
    <w:rsid w:val="00370335"/>
    <w:rsid w:val="003716A1"/>
    <w:rsid w:val="00372D3F"/>
    <w:rsid w:val="00373BD9"/>
    <w:rsid w:val="00374A59"/>
    <w:rsid w:val="003752E9"/>
    <w:rsid w:val="0037551C"/>
    <w:rsid w:val="0037659F"/>
    <w:rsid w:val="003823E4"/>
    <w:rsid w:val="00382B8E"/>
    <w:rsid w:val="0038468B"/>
    <w:rsid w:val="00384D92"/>
    <w:rsid w:val="003853BC"/>
    <w:rsid w:val="00385C4E"/>
    <w:rsid w:val="00386C0A"/>
    <w:rsid w:val="00387610"/>
    <w:rsid w:val="0038795E"/>
    <w:rsid w:val="00392C13"/>
    <w:rsid w:val="00393D9F"/>
    <w:rsid w:val="003941DF"/>
    <w:rsid w:val="00395762"/>
    <w:rsid w:val="00396EC3"/>
    <w:rsid w:val="003A1F37"/>
    <w:rsid w:val="003A23E6"/>
    <w:rsid w:val="003A4294"/>
    <w:rsid w:val="003A5E73"/>
    <w:rsid w:val="003A7F93"/>
    <w:rsid w:val="003B2CE9"/>
    <w:rsid w:val="003B3549"/>
    <w:rsid w:val="003B6A7E"/>
    <w:rsid w:val="003B6ED7"/>
    <w:rsid w:val="003B799D"/>
    <w:rsid w:val="003C1078"/>
    <w:rsid w:val="003C1C5D"/>
    <w:rsid w:val="003C4A44"/>
    <w:rsid w:val="003C5A05"/>
    <w:rsid w:val="003C60E7"/>
    <w:rsid w:val="003C71A8"/>
    <w:rsid w:val="003C73B2"/>
    <w:rsid w:val="003C7F80"/>
    <w:rsid w:val="003D000F"/>
    <w:rsid w:val="003D0731"/>
    <w:rsid w:val="003D1F10"/>
    <w:rsid w:val="003D2251"/>
    <w:rsid w:val="003D2825"/>
    <w:rsid w:val="003D3A4E"/>
    <w:rsid w:val="003D495F"/>
    <w:rsid w:val="003D4E3B"/>
    <w:rsid w:val="003D5EAE"/>
    <w:rsid w:val="003D65DF"/>
    <w:rsid w:val="003D6C98"/>
    <w:rsid w:val="003E032C"/>
    <w:rsid w:val="003E19C9"/>
    <w:rsid w:val="003E2637"/>
    <w:rsid w:val="003E361F"/>
    <w:rsid w:val="003E4C0B"/>
    <w:rsid w:val="003E5311"/>
    <w:rsid w:val="003E5742"/>
    <w:rsid w:val="003E6B6F"/>
    <w:rsid w:val="003E78F5"/>
    <w:rsid w:val="003E792C"/>
    <w:rsid w:val="003E7E8B"/>
    <w:rsid w:val="003F1627"/>
    <w:rsid w:val="003F186C"/>
    <w:rsid w:val="003F27B3"/>
    <w:rsid w:val="003F2C48"/>
    <w:rsid w:val="003F2D4B"/>
    <w:rsid w:val="003F4177"/>
    <w:rsid w:val="003F44C3"/>
    <w:rsid w:val="003F5C36"/>
    <w:rsid w:val="003F5F5D"/>
    <w:rsid w:val="003F68A7"/>
    <w:rsid w:val="003F6DD6"/>
    <w:rsid w:val="003F738A"/>
    <w:rsid w:val="003F7E53"/>
    <w:rsid w:val="004008C9"/>
    <w:rsid w:val="004039EF"/>
    <w:rsid w:val="00405459"/>
    <w:rsid w:val="00405D16"/>
    <w:rsid w:val="0040642A"/>
    <w:rsid w:val="00406890"/>
    <w:rsid w:val="00407FFD"/>
    <w:rsid w:val="004106A9"/>
    <w:rsid w:val="00410B6A"/>
    <w:rsid w:val="0041216C"/>
    <w:rsid w:val="00412296"/>
    <w:rsid w:val="00412858"/>
    <w:rsid w:val="0041306B"/>
    <w:rsid w:val="00414319"/>
    <w:rsid w:val="00415478"/>
    <w:rsid w:val="004154A3"/>
    <w:rsid w:val="00415EC5"/>
    <w:rsid w:val="004164C1"/>
    <w:rsid w:val="004164EB"/>
    <w:rsid w:val="00416B23"/>
    <w:rsid w:val="00416EB1"/>
    <w:rsid w:val="00417022"/>
    <w:rsid w:val="004170C2"/>
    <w:rsid w:val="0042361E"/>
    <w:rsid w:val="004238FA"/>
    <w:rsid w:val="004242B6"/>
    <w:rsid w:val="00424D0D"/>
    <w:rsid w:val="00424FD2"/>
    <w:rsid w:val="0042643F"/>
    <w:rsid w:val="0043069F"/>
    <w:rsid w:val="00430D98"/>
    <w:rsid w:val="00431098"/>
    <w:rsid w:val="00432423"/>
    <w:rsid w:val="004330A9"/>
    <w:rsid w:val="00433489"/>
    <w:rsid w:val="00433C0F"/>
    <w:rsid w:val="00433C23"/>
    <w:rsid w:val="00434745"/>
    <w:rsid w:val="00435E76"/>
    <w:rsid w:val="00435EFE"/>
    <w:rsid w:val="00436402"/>
    <w:rsid w:val="00437F34"/>
    <w:rsid w:val="004416E8"/>
    <w:rsid w:val="00442440"/>
    <w:rsid w:val="00443DBC"/>
    <w:rsid w:val="004449E4"/>
    <w:rsid w:val="0044555E"/>
    <w:rsid w:val="00445EFF"/>
    <w:rsid w:val="0044629B"/>
    <w:rsid w:val="00451132"/>
    <w:rsid w:val="00452F37"/>
    <w:rsid w:val="00454870"/>
    <w:rsid w:val="00454D04"/>
    <w:rsid w:val="00457A9B"/>
    <w:rsid w:val="004616E0"/>
    <w:rsid w:val="00461B48"/>
    <w:rsid w:val="004641A0"/>
    <w:rsid w:val="00464752"/>
    <w:rsid w:val="0046526A"/>
    <w:rsid w:val="00465C30"/>
    <w:rsid w:val="0046623E"/>
    <w:rsid w:val="0046775E"/>
    <w:rsid w:val="00470CB9"/>
    <w:rsid w:val="00471620"/>
    <w:rsid w:val="00473CCE"/>
    <w:rsid w:val="00473E22"/>
    <w:rsid w:val="00474136"/>
    <w:rsid w:val="00474EC6"/>
    <w:rsid w:val="004750FD"/>
    <w:rsid w:val="00475385"/>
    <w:rsid w:val="004758C1"/>
    <w:rsid w:val="00475A42"/>
    <w:rsid w:val="00475B8B"/>
    <w:rsid w:val="00477B48"/>
    <w:rsid w:val="00480E59"/>
    <w:rsid w:val="00481446"/>
    <w:rsid w:val="00481F91"/>
    <w:rsid w:val="00484A97"/>
    <w:rsid w:val="00486F69"/>
    <w:rsid w:val="00487421"/>
    <w:rsid w:val="00487FDA"/>
    <w:rsid w:val="004909C8"/>
    <w:rsid w:val="0049252F"/>
    <w:rsid w:val="00492608"/>
    <w:rsid w:val="0049262E"/>
    <w:rsid w:val="00492C1E"/>
    <w:rsid w:val="00492DDF"/>
    <w:rsid w:val="00492EFA"/>
    <w:rsid w:val="00493035"/>
    <w:rsid w:val="00496C40"/>
    <w:rsid w:val="00496F95"/>
    <w:rsid w:val="004975E9"/>
    <w:rsid w:val="00497A2F"/>
    <w:rsid w:val="004A069D"/>
    <w:rsid w:val="004A10D6"/>
    <w:rsid w:val="004A1224"/>
    <w:rsid w:val="004A21FF"/>
    <w:rsid w:val="004A2365"/>
    <w:rsid w:val="004A2390"/>
    <w:rsid w:val="004A284D"/>
    <w:rsid w:val="004A29A6"/>
    <w:rsid w:val="004A3FBA"/>
    <w:rsid w:val="004A47B6"/>
    <w:rsid w:val="004A4A2A"/>
    <w:rsid w:val="004A763D"/>
    <w:rsid w:val="004A7AAE"/>
    <w:rsid w:val="004A7DAA"/>
    <w:rsid w:val="004B065D"/>
    <w:rsid w:val="004B1072"/>
    <w:rsid w:val="004B1188"/>
    <w:rsid w:val="004B23EC"/>
    <w:rsid w:val="004B2546"/>
    <w:rsid w:val="004B428C"/>
    <w:rsid w:val="004B4505"/>
    <w:rsid w:val="004B546F"/>
    <w:rsid w:val="004B6287"/>
    <w:rsid w:val="004B6AD2"/>
    <w:rsid w:val="004B7041"/>
    <w:rsid w:val="004B7735"/>
    <w:rsid w:val="004C08E9"/>
    <w:rsid w:val="004C0A90"/>
    <w:rsid w:val="004C0AA7"/>
    <w:rsid w:val="004C1D20"/>
    <w:rsid w:val="004C1F31"/>
    <w:rsid w:val="004C35FA"/>
    <w:rsid w:val="004C3CE8"/>
    <w:rsid w:val="004C6809"/>
    <w:rsid w:val="004C6F1E"/>
    <w:rsid w:val="004C7E95"/>
    <w:rsid w:val="004D2235"/>
    <w:rsid w:val="004D3094"/>
    <w:rsid w:val="004E42BA"/>
    <w:rsid w:val="004E4D9C"/>
    <w:rsid w:val="004E5CC4"/>
    <w:rsid w:val="004E5D8F"/>
    <w:rsid w:val="004E69C7"/>
    <w:rsid w:val="004E7305"/>
    <w:rsid w:val="004E7C1D"/>
    <w:rsid w:val="004F019A"/>
    <w:rsid w:val="004F0366"/>
    <w:rsid w:val="004F40D3"/>
    <w:rsid w:val="004F4BD9"/>
    <w:rsid w:val="004F5121"/>
    <w:rsid w:val="004F67F8"/>
    <w:rsid w:val="004F6AC2"/>
    <w:rsid w:val="004F6D09"/>
    <w:rsid w:val="00500866"/>
    <w:rsid w:val="00500C4A"/>
    <w:rsid w:val="00501A3F"/>
    <w:rsid w:val="00501CD0"/>
    <w:rsid w:val="005024AF"/>
    <w:rsid w:val="005030F9"/>
    <w:rsid w:val="00503304"/>
    <w:rsid w:val="0050636F"/>
    <w:rsid w:val="005074A4"/>
    <w:rsid w:val="00510101"/>
    <w:rsid w:val="00510424"/>
    <w:rsid w:val="00511278"/>
    <w:rsid w:val="005114F8"/>
    <w:rsid w:val="0051400D"/>
    <w:rsid w:val="00516733"/>
    <w:rsid w:val="00517EFF"/>
    <w:rsid w:val="00520380"/>
    <w:rsid w:val="00520708"/>
    <w:rsid w:val="00521512"/>
    <w:rsid w:val="00521536"/>
    <w:rsid w:val="00521852"/>
    <w:rsid w:val="005228F6"/>
    <w:rsid w:val="00523335"/>
    <w:rsid w:val="00525A82"/>
    <w:rsid w:val="0052687F"/>
    <w:rsid w:val="005270C2"/>
    <w:rsid w:val="00527137"/>
    <w:rsid w:val="00527991"/>
    <w:rsid w:val="00530B7A"/>
    <w:rsid w:val="00534514"/>
    <w:rsid w:val="00535FA7"/>
    <w:rsid w:val="00542592"/>
    <w:rsid w:val="005427CD"/>
    <w:rsid w:val="00542D7C"/>
    <w:rsid w:val="005433B1"/>
    <w:rsid w:val="00543600"/>
    <w:rsid w:val="00543790"/>
    <w:rsid w:val="00543B59"/>
    <w:rsid w:val="0054459E"/>
    <w:rsid w:val="005445D9"/>
    <w:rsid w:val="00545F82"/>
    <w:rsid w:val="005468A2"/>
    <w:rsid w:val="00546EA3"/>
    <w:rsid w:val="005478A3"/>
    <w:rsid w:val="005508C6"/>
    <w:rsid w:val="00551BE9"/>
    <w:rsid w:val="005536C5"/>
    <w:rsid w:val="005543D2"/>
    <w:rsid w:val="00556063"/>
    <w:rsid w:val="00557013"/>
    <w:rsid w:val="00560B7B"/>
    <w:rsid w:val="00562622"/>
    <w:rsid w:val="00562E8A"/>
    <w:rsid w:val="005646D0"/>
    <w:rsid w:val="00570AD2"/>
    <w:rsid w:val="0057279F"/>
    <w:rsid w:val="00572B8C"/>
    <w:rsid w:val="00572C00"/>
    <w:rsid w:val="00573888"/>
    <w:rsid w:val="00573E0C"/>
    <w:rsid w:val="005744D7"/>
    <w:rsid w:val="005764C2"/>
    <w:rsid w:val="005771CD"/>
    <w:rsid w:val="005779EB"/>
    <w:rsid w:val="00577B54"/>
    <w:rsid w:val="005809FD"/>
    <w:rsid w:val="00581C79"/>
    <w:rsid w:val="005829CA"/>
    <w:rsid w:val="00583FA9"/>
    <w:rsid w:val="0058445F"/>
    <w:rsid w:val="00590AA6"/>
    <w:rsid w:val="00590E04"/>
    <w:rsid w:val="0059115E"/>
    <w:rsid w:val="00591276"/>
    <w:rsid w:val="005915CD"/>
    <w:rsid w:val="00591A9C"/>
    <w:rsid w:val="005921BF"/>
    <w:rsid w:val="0059274B"/>
    <w:rsid w:val="00594266"/>
    <w:rsid w:val="00594D43"/>
    <w:rsid w:val="00595C04"/>
    <w:rsid w:val="00596DE5"/>
    <w:rsid w:val="00597304"/>
    <w:rsid w:val="00597313"/>
    <w:rsid w:val="005973F1"/>
    <w:rsid w:val="005A0384"/>
    <w:rsid w:val="005A086A"/>
    <w:rsid w:val="005A0F1D"/>
    <w:rsid w:val="005A0F3D"/>
    <w:rsid w:val="005A1831"/>
    <w:rsid w:val="005A1C9B"/>
    <w:rsid w:val="005A4E01"/>
    <w:rsid w:val="005A7435"/>
    <w:rsid w:val="005A7BB6"/>
    <w:rsid w:val="005B1D8F"/>
    <w:rsid w:val="005B35FB"/>
    <w:rsid w:val="005B3763"/>
    <w:rsid w:val="005B41CA"/>
    <w:rsid w:val="005B4AED"/>
    <w:rsid w:val="005B5F65"/>
    <w:rsid w:val="005B68B5"/>
    <w:rsid w:val="005C01C0"/>
    <w:rsid w:val="005C0B5F"/>
    <w:rsid w:val="005C0F24"/>
    <w:rsid w:val="005C176D"/>
    <w:rsid w:val="005C505E"/>
    <w:rsid w:val="005C603D"/>
    <w:rsid w:val="005C7610"/>
    <w:rsid w:val="005D0355"/>
    <w:rsid w:val="005D1BC8"/>
    <w:rsid w:val="005D2B7B"/>
    <w:rsid w:val="005D6E99"/>
    <w:rsid w:val="005D7839"/>
    <w:rsid w:val="005D79AF"/>
    <w:rsid w:val="005D7B3C"/>
    <w:rsid w:val="005E13B6"/>
    <w:rsid w:val="005E21F5"/>
    <w:rsid w:val="005E4A19"/>
    <w:rsid w:val="005E4CD6"/>
    <w:rsid w:val="005E56E4"/>
    <w:rsid w:val="005E57F4"/>
    <w:rsid w:val="005E7298"/>
    <w:rsid w:val="005F072C"/>
    <w:rsid w:val="005F1A7E"/>
    <w:rsid w:val="005F4B74"/>
    <w:rsid w:val="005F4FDA"/>
    <w:rsid w:val="005F5419"/>
    <w:rsid w:val="005F7540"/>
    <w:rsid w:val="00600252"/>
    <w:rsid w:val="00600A32"/>
    <w:rsid w:val="006013DE"/>
    <w:rsid w:val="00601487"/>
    <w:rsid w:val="0060428D"/>
    <w:rsid w:val="0060529B"/>
    <w:rsid w:val="00606BD8"/>
    <w:rsid w:val="006074ED"/>
    <w:rsid w:val="006101F3"/>
    <w:rsid w:val="00610A2C"/>
    <w:rsid w:val="0061161F"/>
    <w:rsid w:val="00611873"/>
    <w:rsid w:val="006137B1"/>
    <w:rsid w:val="00613AE1"/>
    <w:rsid w:val="0061540B"/>
    <w:rsid w:val="0061673E"/>
    <w:rsid w:val="006174C7"/>
    <w:rsid w:val="006175A7"/>
    <w:rsid w:val="00617F24"/>
    <w:rsid w:val="00621662"/>
    <w:rsid w:val="006220CD"/>
    <w:rsid w:val="00622E2C"/>
    <w:rsid w:val="00624556"/>
    <w:rsid w:val="0062481B"/>
    <w:rsid w:val="006251C9"/>
    <w:rsid w:val="006269A4"/>
    <w:rsid w:val="0062744D"/>
    <w:rsid w:val="00627499"/>
    <w:rsid w:val="00632220"/>
    <w:rsid w:val="00632981"/>
    <w:rsid w:val="00634118"/>
    <w:rsid w:val="00635EA7"/>
    <w:rsid w:val="00636785"/>
    <w:rsid w:val="00637FB3"/>
    <w:rsid w:val="006421C2"/>
    <w:rsid w:val="00642CEB"/>
    <w:rsid w:val="00643221"/>
    <w:rsid w:val="006449FA"/>
    <w:rsid w:val="006449FD"/>
    <w:rsid w:val="006454A7"/>
    <w:rsid w:val="0064567E"/>
    <w:rsid w:val="006465BB"/>
    <w:rsid w:val="00646941"/>
    <w:rsid w:val="00647F0C"/>
    <w:rsid w:val="00650133"/>
    <w:rsid w:val="006505B3"/>
    <w:rsid w:val="00651F9D"/>
    <w:rsid w:val="006523B3"/>
    <w:rsid w:val="00652A64"/>
    <w:rsid w:val="00652F69"/>
    <w:rsid w:val="006543AB"/>
    <w:rsid w:val="00654E7E"/>
    <w:rsid w:val="00655242"/>
    <w:rsid w:val="006557E9"/>
    <w:rsid w:val="00656B71"/>
    <w:rsid w:val="00661F81"/>
    <w:rsid w:val="006631E8"/>
    <w:rsid w:val="00664473"/>
    <w:rsid w:val="006655D3"/>
    <w:rsid w:val="006665AB"/>
    <w:rsid w:val="00666CA6"/>
    <w:rsid w:val="00670CBD"/>
    <w:rsid w:val="0067133C"/>
    <w:rsid w:val="006721F0"/>
    <w:rsid w:val="0067249C"/>
    <w:rsid w:val="0067269D"/>
    <w:rsid w:val="00673E3D"/>
    <w:rsid w:val="00674502"/>
    <w:rsid w:val="00674B7E"/>
    <w:rsid w:val="006754C6"/>
    <w:rsid w:val="0067571E"/>
    <w:rsid w:val="0067686A"/>
    <w:rsid w:val="006825EA"/>
    <w:rsid w:val="00682746"/>
    <w:rsid w:val="006854B5"/>
    <w:rsid w:val="00685D6D"/>
    <w:rsid w:val="0068665B"/>
    <w:rsid w:val="00686ADD"/>
    <w:rsid w:val="0069017A"/>
    <w:rsid w:val="00691450"/>
    <w:rsid w:val="00692800"/>
    <w:rsid w:val="006971C2"/>
    <w:rsid w:val="006A0DEF"/>
    <w:rsid w:val="006A19A4"/>
    <w:rsid w:val="006A2417"/>
    <w:rsid w:val="006A2C44"/>
    <w:rsid w:val="006A5B02"/>
    <w:rsid w:val="006A5DD1"/>
    <w:rsid w:val="006A68B5"/>
    <w:rsid w:val="006A6C77"/>
    <w:rsid w:val="006A71F8"/>
    <w:rsid w:val="006B1DC1"/>
    <w:rsid w:val="006B24B6"/>
    <w:rsid w:val="006B3981"/>
    <w:rsid w:val="006B3BAF"/>
    <w:rsid w:val="006B4705"/>
    <w:rsid w:val="006B48A2"/>
    <w:rsid w:val="006B5DE4"/>
    <w:rsid w:val="006B6B13"/>
    <w:rsid w:val="006B7EEC"/>
    <w:rsid w:val="006C04DF"/>
    <w:rsid w:val="006C0537"/>
    <w:rsid w:val="006C06E1"/>
    <w:rsid w:val="006C0CBD"/>
    <w:rsid w:val="006C1D3D"/>
    <w:rsid w:val="006C1FAF"/>
    <w:rsid w:val="006C35A8"/>
    <w:rsid w:val="006C3EDA"/>
    <w:rsid w:val="006C533C"/>
    <w:rsid w:val="006C5ACB"/>
    <w:rsid w:val="006C742E"/>
    <w:rsid w:val="006D01F3"/>
    <w:rsid w:val="006D14D5"/>
    <w:rsid w:val="006D418E"/>
    <w:rsid w:val="006D712F"/>
    <w:rsid w:val="006E06EE"/>
    <w:rsid w:val="006E0EDD"/>
    <w:rsid w:val="006E1ABB"/>
    <w:rsid w:val="006E1BA7"/>
    <w:rsid w:val="006E1FE0"/>
    <w:rsid w:val="006E6910"/>
    <w:rsid w:val="006E7853"/>
    <w:rsid w:val="006F0DB1"/>
    <w:rsid w:val="006F1544"/>
    <w:rsid w:val="006F2384"/>
    <w:rsid w:val="006F245A"/>
    <w:rsid w:val="006F388D"/>
    <w:rsid w:val="006F4484"/>
    <w:rsid w:val="006F4CFB"/>
    <w:rsid w:val="006F5358"/>
    <w:rsid w:val="006F53A8"/>
    <w:rsid w:val="006F7DED"/>
    <w:rsid w:val="007000AB"/>
    <w:rsid w:val="00701E54"/>
    <w:rsid w:val="007047E4"/>
    <w:rsid w:val="00704C1C"/>
    <w:rsid w:val="00706014"/>
    <w:rsid w:val="007072D3"/>
    <w:rsid w:val="00710222"/>
    <w:rsid w:val="0071342C"/>
    <w:rsid w:val="007139F1"/>
    <w:rsid w:val="00713E5C"/>
    <w:rsid w:val="0071432B"/>
    <w:rsid w:val="007165BE"/>
    <w:rsid w:val="00716798"/>
    <w:rsid w:val="00716F71"/>
    <w:rsid w:val="00717A2D"/>
    <w:rsid w:val="00717FD1"/>
    <w:rsid w:val="00720331"/>
    <w:rsid w:val="00720BDD"/>
    <w:rsid w:val="00722625"/>
    <w:rsid w:val="00722817"/>
    <w:rsid w:val="00724270"/>
    <w:rsid w:val="007250F5"/>
    <w:rsid w:val="007255CB"/>
    <w:rsid w:val="00725B48"/>
    <w:rsid w:val="00726072"/>
    <w:rsid w:val="00726733"/>
    <w:rsid w:val="007305D4"/>
    <w:rsid w:val="007308F1"/>
    <w:rsid w:val="00731542"/>
    <w:rsid w:val="00733093"/>
    <w:rsid w:val="007337C0"/>
    <w:rsid w:val="0073390D"/>
    <w:rsid w:val="007341A9"/>
    <w:rsid w:val="00735400"/>
    <w:rsid w:val="00735AE4"/>
    <w:rsid w:val="00735C41"/>
    <w:rsid w:val="007377EC"/>
    <w:rsid w:val="00737ACF"/>
    <w:rsid w:val="00737BD8"/>
    <w:rsid w:val="00741A91"/>
    <w:rsid w:val="00741F31"/>
    <w:rsid w:val="00742019"/>
    <w:rsid w:val="00742447"/>
    <w:rsid w:val="00744FCE"/>
    <w:rsid w:val="00745A30"/>
    <w:rsid w:val="00747B00"/>
    <w:rsid w:val="00747FAE"/>
    <w:rsid w:val="007506A2"/>
    <w:rsid w:val="00750AEE"/>
    <w:rsid w:val="00751327"/>
    <w:rsid w:val="0075192D"/>
    <w:rsid w:val="007519D4"/>
    <w:rsid w:val="00751B6C"/>
    <w:rsid w:val="00751D98"/>
    <w:rsid w:val="00752521"/>
    <w:rsid w:val="00753923"/>
    <w:rsid w:val="00753D4D"/>
    <w:rsid w:val="00754F27"/>
    <w:rsid w:val="00755DED"/>
    <w:rsid w:val="00756A18"/>
    <w:rsid w:val="00756C20"/>
    <w:rsid w:val="00760BAB"/>
    <w:rsid w:val="00762179"/>
    <w:rsid w:val="00763A5E"/>
    <w:rsid w:val="00764041"/>
    <w:rsid w:val="0076535F"/>
    <w:rsid w:val="00766734"/>
    <w:rsid w:val="00767D36"/>
    <w:rsid w:val="00770D34"/>
    <w:rsid w:val="007711B3"/>
    <w:rsid w:val="00771C62"/>
    <w:rsid w:val="00772529"/>
    <w:rsid w:val="00773157"/>
    <w:rsid w:val="007751E7"/>
    <w:rsid w:val="007753B8"/>
    <w:rsid w:val="00777340"/>
    <w:rsid w:val="00780B47"/>
    <w:rsid w:val="0078174E"/>
    <w:rsid w:val="00781A65"/>
    <w:rsid w:val="007848D1"/>
    <w:rsid w:val="0078493D"/>
    <w:rsid w:val="00784A75"/>
    <w:rsid w:val="00784A91"/>
    <w:rsid w:val="007861B3"/>
    <w:rsid w:val="0078689A"/>
    <w:rsid w:val="0078717B"/>
    <w:rsid w:val="00787F30"/>
    <w:rsid w:val="00794D83"/>
    <w:rsid w:val="00797A2A"/>
    <w:rsid w:val="00797BE5"/>
    <w:rsid w:val="00797F2E"/>
    <w:rsid w:val="007A1799"/>
    <w:rsid w:val="007A4E51"/>
    <w:rsid w:val="007A4ED0"/>
    <w:rsid w:val="007A5009"/>
    <w:rsid w:val="007A6452"/>
    <w:rsid w:val="007A77AC"/>
    <w:rsid w:val="007A7E95"/>
    <w:rsid w:val="007B01C8"/>
    <w:rsid w:val="007B077A"/>
    <w:rsid w:val="007B0AE0"/>
    <w:rsid w:val="007B2889"/>
    <w:rsid w:val="007B2ACE"/>
    <w:rsid w:val="007B3429"/>
    <w:rsid w:val="007B54AC"/>
    <w:rsid w:val="007B5FDC"/>
    <w:rsid w:val="007B6724"/>
    <w:rsid w:val="007C03E5"/>
    <w:rsid w:val="007C2849"/>
    <w:rsid w:val="007C3449"/>
    <w:rsid w:val="007C3E42"/>
    <w:rsid w:val="007C4EF8"/>
    <w:rsid w:val="007C4FE2"/>
    <w:rsid w:val="007C5602"/>
    <w:rsid w:val="007C5BE4"/>
    <w:rsid w:val="007C693A"/>
    <w:rsid w:val="007C6C59"/>
    <w:rsid w:val="007D0193"/>
    <w:rsid w:val="007D0FB4"/>
    <w:rsid w:val="007D2C2B"/>
    <w:rsid w:val="007D2F1F"/>
    <w:rsid w:val="007D4E4E"/>
    <w:rsid w:val="007D551C"/>
    <w:rsid w:val="007D55EE"/>
    <w:rsid w:val="007D66AE"/>
    <w:rsid w:val="007D6C78"/>
    <w:rsid w:val="007D791B"/>
    <w:rsid w:val="007D791F"/>
    <w:rsid w:val="007E09DF"/>
    <w:rsid w:val="007E14F6"/>
    <w:rsid w:val="007E211A"/>
    <w:rsid w:val="007E2C3D"/>
    <w:rsid w:val="007E3057"/>
    <w:rsid w:val="007E46DC"/>
    <w:rsid w:val="007E6141"/>
    <w:rsid w:val="007E6667"/>
    <w:rsid w:val="007E6AE3"/>
    <w:rsid w:val="007E6BA0"/>
    <w:rsid w:val="007F1A96"/>
    <w:rsid w:val="007F28DF"/>
    <w:rsid w:val="007F4348"/>
    <w:rsid w:val="007F4A8B"/>
    <w:rsid w:val="007F580D"/>
    <w:rsid w:val="007F5B12"/>
    <w:rsid w:val="007F647F"/>
    <w:rsid w:val="007F6563"/>
    <w:rsid w:val="007F6E9B"/>
    <w:rsid w:val="0080041B"/>
    <w:rsid w:val="00801245"/>
    <w:rsid w:val="008024FC"/>
    <w:rsid w:val="008026F8"/>
    <w:rsid w:val="00805AD5"/>
    <w:rsid w:val="008113FF"/>
    <w:rsid w:val="0081147F"/>
    <w:rsid w:val="00811A84"/>
    <w:rsid w:val="00811A8A"/>
    <w:rsid w:val="008125BE"/>
    <w:rsid w:val="00812643"/>
    <w:rsid w:val="00812F03"/>
    <w:rsid w:val="00814AE9"/>
    <w:rsid w:val="00816ABF"/>
    <w:rsid w:val="00816C23"/>
    <w:rsid w:val="00821ACB"/>
    <w:rsid w:val="0082451D"/>
    <w:rsid w:val="0082538D"/>
    <w:rsid w:val="008305AC"/>
    <w:rsid w:val="00830CE3"/>
    <w:rsid w:val="00831A03"/>
    <w:rsid w:val="00832E2B"/>
    <w:rsid w:val="00832EEB"/>
    <w:rsid w:val="00833A3B"/>
    <w:rsid w:val="00833E3C"/>
    <w:rsid w:val="0083497F"/>
    <w:rsid w:val="00835411"/>
    <w:rsid w:val="00836234"/>
    <w:rsid w:val="00836786"/>
    <w:rsid w:val="008375B2"/>
    <w:rsid w:val="00837B1B"/>
    <w:rsid w:val="00837CD3"/>
    <w:rsid w:val="008414CD"/>
    <w:rsid w:val="00841C69"/>
    <w:rsid w:val="00842084"/>
    <w:rsid w:val="008421FF"/>
    <w:rsid w:val="008435D8"/>
    <w:rsid w:val="00844113"/>
    <w:rsid w:val="008442BF"/>
    <w:rsid w:val="008443DA"/>
    <w:rsid w:val="00844FDA"/>
    <w:rsid w:val="008452D2"/>
    <w:rsid w:val="00845C6F"/>
    <w:rsid w:val="0084607D"/>
    <w:rsid w:val="00846E5E"/>
    <w:rsid w:val="00847247"/>
    <w:rsid w:val="00852612"/>
    <w:rsid w:val="008527F3"/>
    <w:rsid w:val="008571E3"/>
    <w:rsid w:val="008572C2"/>
    <w:rsid w:val="00861B17"/>
    <w:rsid w:val="00862500"/>
    <w:rsid w:val="008626A9"/>
    <w:rsid w:val="00864242"/>
    <w:rsid w:val="008648CC"/>
    <w:rsid w:val="00867110"/>
    <w:rsid w:val="0086795A"/>
    <w:rsid w:val="00867A54"/>
    <w:rsid w:val="00867B99"/>
    <w:rsid w:val="008735AF"/>
    <w:rsid w:val="008751B8"/>
    <w:rsid w:val="00875BF5"/>
    <w:rsid w:val="00875FC6"/>
    <w:rsid w:val="00877BEB"/>
    <w:rsid w:val="008807F2"/>
    <w:rsid w:val="00882057"/>
    <w:rsid w:val="00886169"/>
    <w:rsid w:val="008871F1"/>
    <w:rsid w:val="008901E4"/>
    <w:rsid w:val="008906CF"/>
    <w:rsid w:val="00891275"/>
    <w:rsid w:val="0089208A"/>
    <w:rsid w:val="00893ED2"/>
    <w:rsid w:val="00895774"/>
    <w:rsid w:val="0089670C"/>
    <w:rsid w:val="008A05FB"/>
    <w:rsid w:val="008A0AAA"/>
    <w:rsid w:val="008A143A"/>
    <w:rsid w:val="008A26C5"/>
    <w:rsid w:val="008A4205"/>
    <w:rsid w:val="008A4CD4"/>
    <w:rsid w:val="008A5A1C"/>
    <w:rsid w:val="008A68C9"/>
    <w:rsid w:val="008A6BDF"/>
    <w:rsid w:val="008A6FB5"/>
    <w:rsid w:val="008B0287"/>
    <w:rsid w:val="008B0858"/>
    <w:rsid w:val="008B1000"/>
    <w:rsid w:val="008B1AB9"/>
    <w:rsid w:val="008B1F6C"/>
    <w:rsid w:val="008B27DB"/>
    <w:rsid w:val="008B3114"/>
    <w:rsid w:val="008B3F05"/>
    <w:rsid w:val="008B48A2"/>
    <w:rsid w:val="008B5709"/>
    <w:rsid w:val="008C164D"/>
    <w:rsid w:val="008C2F43"/>
    <w:rsid w:val="008C5BA1"/>
    <w:rsid w:val="008C70D8"/>
    <w:rsid w:val="008C7B9E"/>
    <w:rsid w:val="008C7CF9"/>
    <w:rsid w:val="008D102E"/>
    <w:rsid w:val="008D2461"/>
    <w:rsid w:val="008D3648"/>
    <w:rsid w:val="008D3D7B"/>
    <w:rsid w:val="008D43AA"/>
    <w:rsid w:val="008D4732"/>
    <w:rsid w:val="008D4B51"/>
    <w:rsid w:val="008D6215"/>
    <w:rsid w:val="008D6C97"/>
    <w:rsid w:val="008E1A38"/>
    <w:rsid w:val="008E1BBB"/>
    <w:rsid w:val="008E1F8D"/>
    <w:rsid w:val="008E5488"/>
    <w:rsid w:val="008E5707"/>
    <w:rsid w:val="008E6136"/>
    <w:rsid w:val="008E6202"/>
    <w:rsid w:val="008E77D1"/>
    <w:rsid w:val="008F0BAA"/>
    <w:rsid w:val="008F0CBA"/>
    <w:rsid w:val="008F2E30"/>
    <w:rsid w:val="008F424B"/>
    <w:rsid w:val="008F4307"/>
    <w:rsid w:val="008F4A12"/>
    <w:rsid w:val="008F6F47"/>
    <w:rsid w:val="008F7008"/>
    <w:rsid w:val="009006A5"/>
    <w:rsid w:val="00901231"/>
    <w:rsid w:val="00901791"/>
    <w:rsid w:val="009026EC"/>
    <w:rsid w:val="009037FF"/>
    <w:rsid w:val="00904BA4"/>
    <w:rsid w:val="00904E84"/>
    <w:rsid w:val="00906CEB"/>
    <w:rsid w:val="00907407"/>
    <w:rsid w:val="00907763"/>
    <w:rsid w:val="00907785"/>
    <w:rsid w:val="00910033"/>
    <w:rsid w:val="00911558"/>
    <w:rsid w:val="00911D5F"/>
    <w:rsid w:val="009142E2"/>
    <w:rsid w:val="00915B62"/>
    <w:rsid w:val="00916524"/>
    <w:rsid w:val="00916A2C"/>
    <w:rsid w:val="009173D6"/>
    <w:rsid w:val="009173F2"/>
    <w:rsid w:val="009179F2"/>
    <w:rsid w:val="00920275"/>
    <w:rsid w:val="009202BD"/>
    <w:rsid w:val="00922B80"/>
    <w:rsid w:val="0092369C"/>
    <w:rsid w:val="00923BE6"/>
    <w:rsid w:val="00924690"/>
    <w:rsid w:val="00924A84"/>
    <w:rsid w:val="00924FD2"/>
    <w:rsid w:val="00925084"/>
    <w:rsid w:val="0092560D"/>
    <w:rsid w:val="009263A5"/>
    <w:rsid w:val="0092643A"/>
    <w:rsid w:val="009268DC"/>
    <w:rsid w:val="0092725D"/>
    <w:rsid w:val="009302F0"/>
    <w:rsid w:val="0093138B"/>
    <w:rsid w:val="0093257E"/>
    <w:rsid w:val="0093399E"/>
    <w:rsid w:val="00934ED8"/>
    <w:rsid w:val="00935094"/>
    <w:rsid w:val="00935DBB"/>
    <w:rsid w:val="009361BB"/>
    <w:rsid w:val="009368E8"/>
    <w:rsid w:val="00936A8B"/>
    <w:rsid w:val="00936EC9"/>
    <w:rsid w:val="0094082D"/>
    <w:rsid w:val="00941D2C"/>
    <w:rsid w:val="00945159"/>
    <w:rsid w:val="00946037"/>
    <w:rsid w:val="00946C51"/>
    <w:rsid w:val="00947768"/>
    <w:rsid w:val="00950535"/>
    <w:rsid w:val="00950DD7"/>
    <w:rsid w:val="009517FB"/>
    <w:rsid w:val="009517FE"/>
    <w:rsid w:val="00951F21"/>
    <w:rsid w:val="0095448C"/>
    <w:rsid w:val="00955CD4"/>
    <w:rsid w:val="00956455"/>
    <w:rsid w:val="00956EC1"/>
    <w:rsid w:val="00960440"/>
    <w:rsid w:val="00960956"/>
    <w:rsid w:val="00960A45"/>
    <w:rsid w:val="00964EA9"/>
    <w:rsid w:val="009656E3"/>
    <w:rsid w:val="00965D0E"/>
    <w:rsid w:val="00965D6C"/>
    <w:rsid w:val="00965EEB"/>
    <w:rsid w:val="00965F38"/>
    <w:rsid w:val="0096634C"/>
    <w:rsid w:val="0096752A"/>
    <w:rsid w:val="00970499"/>
    <w:rsid w:val="009707DD"/>
    <w:rsid w:val="0097161A"/>
    <w:rsid w:val="00971F36"/>
    <w:rsid w:val="009741FD"/>
    <w:rsid w:val="0097476B"/>
    <w:rsid w:val="009764A4"/>
    <w:rsid w:val="00976E57"/>
    <w:rsid w:val="0097778C"/>
    <w:rsid w:val="009777C9"/>
    <w:rsid w:val="00977CC6"/>
    <w:rsid w:val="00977E3A"/>
    <w:rsid w:val="0098006B"/>
    <w:rsid w:val="00980667"/>
    <w:rsid w:val="00980D55"/>
    <w:rsid w:val="0098116B"/>
    <w:rsid w:val="009829A8"/>
    <w:rsid w:val="009830E8"/>
    <w:rsid w:val="00984A1D"/>
    <w:rsid w:val="0098506E"/>
    <w:rsid w:val="00985112"/>
    <w:rsid w:val="00985FCF"/>
    <w:rsid w:val="009869C8"/>
    <w:rsid w:val="0098799C"/>
    <w:rsid w:val="00990762"/>
    <w:rsid w:val="009926EC"/>
    <w:rsid w:val="0099291C"/>
    <w:rsid w:val="00992CAF"/>
    <w:rsid w:val="0099315C"/>
    <w:rsid w:val="00993219"/>
    <w:rsid w:val="00994DC7"/>
    <w:rsid w:val="0099564D"/>
    <w:rsid w:val="0099751F"/>
    <w:rsid w:val="00997F73"/>
    <w:rsid w:val="009A1008"/>
    <w:rsid w:val="009A1595"/>
    <w:rsid w:val="009A15A7"/>
    <w:rsid w:val="009A1EC2"/>
    <w:rsid w:val="009A29D0"/>
    <w:rsid w:val="009A4262"/>
    <w:rsid w:val="009A594B"/>
    <w:rsid w:val="009A63C7"/>
    <w:rsid w:val="009A6CD4"/>
    <w:rsid w:val="009A713F"/>
    <w:rsid w:val="009B0D77"/>
    <w:rsid w:val="009B1FDD"/>
    <w:rsid w:val="009B2374"/>
    <w:rsid w:val="009B2F9D"/>
    <w:rsid w:val="009B364C"/>
    <w:rsid w:val="009B4153"/>
    <w:rsid w:val="009B4164"/>
    <w:rsid w:val="009B4974"/>
    <w:rsid w:val="009C0831"/>
    <w:rsid w:val="009C0D5C"/>
    <w:rsid w:val="009C1828"/>
    <w:rsid w:val="009C2F59"/>
    <w:rsid w:val="009C394B"/>
    <w:rsid w:val="009C3E2B"/>
    <w:rsid w:val="009C447C"/>
    <w:rsid w:val="009C4F5B"/>
    <w:rsid w:val="009C614E"/>
    <w:rsid w:val="009C72E4"/>
    <w:rsid w:val="009C7A35"/>
    <w:rsid w:val="009C7D1D"/>
    <w:rsid w:val="009D0568"/>
    <w:rsid w:val="009D12CA"/>
    <w:rsid w:val="009D13D0"/>
    <w:rsid w:val="009D187A"/>
    <w:rsid w:val="009D1961"/>
    <w:rsid w:val="009D208C"/>
    <w:rsid w:val="009D2815"/>
    <w:rsid w:val="009D47DF"/>
    <w:rsid w:val="009D4A4D"/>
    <w:rsid w:val="009D5133"/>
    <w:rsid w:val="009D6129"/>
    <w:rsid w:val="009D733F"/>
    <w:rsid w:val="009D788E"/>
    <w:rsid w:val="009D7BDF"/>
    <w:rsid w:val="009E0166"/>
    <w:rsid w:val="009E0B89"/>
    <w:rsid w:val="009E29B6"/>
    <w:rsid w:val="009E2CEE"/>
    <w:rsid w:val="009E2E18"/>
    <w:rsid w:val="009E30C7"/>
    <w:rsid w:val="009E4976"/>
    <w:rsid w:val="009E4BD7"/>
    <w:rsid w:val="009E5652"/>
    <w:rsid w:val="009E7BB7"/>
    <w:rsid w:val="009F1C02"/>
    <w:rsid w:val="009F1E46"/>
    <w:rsid w:val="009F2665"/>
    <w:rsid w:val="009F341F"/>
    <w:rsid w:val="009F354F"/>
    <w:rsid w:val="009F446A"/>
    <w:rsid w:val="009F46A2"/>
    <w:rsid w:val="009F4F48"/>
    <w:rsid w:val="009F5585"/>
    <w:rsid w:val="009F5805"/>
    <w:rsid w:val="009F74E8"/>
    <w:rsid w:val="009F760C"/>
    <w:rsid w:val="009F7F6E"/>
    <w:rsid w:val="00A003B9"/>
    <w:rsid w:val="00A00BF5"/>
    <w:rsid w:val="00A00C63"/>
    <w:rsid w:val="00A014F1"/>
    <w:rsid w:val="00A026EC"/>
    <w:rsid w:val="00A03DAF"/>
    <w:rsid w:val="00A0477A"/>
    <w:rsid w:val="00A05589"/>
    <w:rsid w:val="00A0572F"/>
    <w:rsid w:val="00A06311"/>
    <w:rsid w:val="00A0668C"/>
    <w:rsid w:val="00A06A4D"/>
    <w:rsid w:val="00A11221"/>
    <w:rsid w:val="00A11DBC"/>
    <w:rsid w:val="00A13722"/>
    <w:rsid w:val="00A13726"/>
    <w:rsid w:val="00A13BAA"/>
    <w:rsid w:val="00A13C21"/>
    <w:rsid w:val="00A140B0"/>
    <w:rsid w:val="00A143CF"/>
    <w:rsid w:val="00A145A4"/>
    <w:rsid w:val="00A15435"/>
    <w:rsid w:val="00A15B63"/>
    <w:rsid w:val="00A16160"/>
    <w:rsid w:val="00A17F25"/>
    <w:rsid w:val="00A2180D"/>
    <w:rsid w:val="00A218A3"/>
    <w:rsid w:val="00A23C4D"/>
    <w:rsid w:val="00A245D7"/>
    <w:rsid w:val="00A26D36"/>
    <w:rsid w:val="00A27042"/>
    <w:rsid w:val="00A317FB"/>
    <w:rsid w:val="00A34509"/>
    <w:rsid w:val="00A34C2E"/>
    <w:rsid w:val="00A419B4"/>
    <w:rsid w:val="00A41C12"/>
    <w:rsid w:val="00A436B4"/>
    <w:rsid w:val="00A44D7A"/>
    <w:rsid w:val="00A469B6"/>
    <w:rsid w:val="00A474EC"/>
    <w:rsid w:val="00A47F9E"/>
    <w:rsid w:val="00A50D8D"/>
    <w:rsid w:val="00A51046"/>
    <w:rsid w:val="00A5283F"/>
    <w:rsid w:val="00A52CAB"/>
    <w:rsid w:val="00A53170"/>
    <w:rsid w:val="00A55029"/>
    <w:rsid w:val="00A55672"/>
    <w:rsid w:val="00A56A70"/>
    <w:rsid w:val="00A5710F"/>
    <w:rsid w:val="00A57EC1"/>
    <w:rsid w:val="00A60A8C"/>
    <w:rsid w:val="00A60EEF"/>
    <w:rsid w:val="00A61304"/>
    <w:rsid w:val="00A61B8E"/>
    <w:rsid w:val="00A63970"/>
    <w:rsid w:val="00A64F4C"/>
    <w:rsid w:val="00A65079"/>
    <w:rsid w:val="00A66C81"/>
    <w:rsid w:val="00A676FA"/>
    <w:rsid w:val="00A7105C"/>
    <w:rsid w:val="00A7179A"/>
    <w:rsid w:val="00A73CC7"/>
    <w:rsid w:val="00A75A97"/>
    <w:rsid w:val="00A75B8B"/>
    <w:rsid w:val="00A76044"/>
    <w:rsid w:val="00A76225"/>
    <w:rsid w:val="00A76622"/>
    <w:rsid w:val="00A80DA1"/>
    <w:rsid w:val="00A833E0"/>
    <w:rsid w:val="00A83871"/>
    <w:rsid w:val="00A845CA"/>
    <w:rsid w:val="00A902E5"/>
    <w:rsid w:val="00A90B50"/>
    <w:rsid w:val="00A919BD"/>
    <w:rsid w:val="00A933DA"/>
    <w:rsid w:val="00A93BB6"/>
    <w:rsid w:val="00A94BE0"/>
    <w:rsid w:val="00A95ED5"/>
    <w:rsid w:val="00A96888"/>
    <w:rsid w:val="00A96BAC"/>
    <w:rsid w:val="00A96EDB"/>
    <w:rsid w:val="00A97724"/>
    <w:rsid w:val="00A97952"/>
    <w:rsid w:val="00AA0175"/>
    <w:rsid w:val="00AA0780"/>
    <w:rsid w:val="00AA0952"/>
    <w:rsid w:val="00AA0A65"/>
    <w:rsid w:val="00AA1948"/>
    <w:rsid w:val="00AA1E14"/>
    <w:rsid w:val="00AA3129"/>
    <w:rsid w:val="00AA3302"/>
    <w:rsid w:val="00AA37B2"/>
    <w:rsid w:val="00AA408C"/>
    <w:rsid w:val="00AA6429"/>
    <w:rsid w:val="00AA6977"/>
    <w:rsid w:val="00AA71BF"/>
    <w:rsid w:val="00AA73E2"/>
    <w:rsid w:val="00AB064C"/>
    <w:rsid w:val="00AB1C65"/>
    <w:rsid w:val="00AB1FFC"/>
    <w:rsid w:val="00AB2447"/>
    <w:rsid w:val="00AB3C5A"/>
    <w:rsid w:val="00AB5343"/>
    <w:rsid w:val="00AB75BA"/>
    <w:rsid w:val="00AC094E"/>
    <w:rsid w:val="00AC0B09"/>
    <w:rsid w:val="00AC0C8C"/>
    <w:rsid w:val="00AC0DDB"/>
    <w:rsid w:val="00AC0E5D"/>
    <w:rsid w:val="00AC2769"/>
    <w:rsid w:val="00AC3D8F"/>
    <w:rsid w:val="00AC44A8"/>
    <w:rsid w:val="00AC5051"/>
    <w:rsid w:val="00AC528A"/>
    <w:rsid w:val="00AC5D14"/>
    <w:rsid w:val="00AC6022"/>
    <w:rsid w:val="00AD2B6D"/>
    <w:rsid w:val="00AD4B04"/>
    <w:rsid w:val="00AD53EA"/>
    <w:rsid w:val="00AD66BE"/>
    <w:rsid w:val="00AD6A29"/>
    <w:rsid w:val="00AD6B54"/>
    <w:rsid w:val="00AE0D19"/>
    <w:rsid w:val="00AE4275"/>
    <w:rsid w:val="00AE4564"/>
    <w:rsid w:val="00AE47FB"/>
    <w:rsid w:val="00AE4D51"/>
    <w:rsid w:val="00AE616F"/>
    <w:rsid w:val="00AE636B"/>
    <w:rsid w:val="00AE70FD"/>
    <w:rsid w:val="00AE717C"/>
    <w:rsid w:val="00AE71CC"/>
    <w:rsid w:val="00AE7799"/>
    <w:rsid w:val="00AF1C2E"/>
    <w:rsid w:val="00AF2B41"/>
    <w:rsid w:val="00AF3AA1"/>
    <w:rsid w:val="00AF6181"/>
    <w:rsid w:val="00AF6CB6"/>
    <w:rsid w:val="00AF70DA"/>
    <w:rsid w:val="00AF7645"/>
    <w:rsid w:val="00B006AA"/>
    <w:rsid w:val="00B013C5"/>
    <w:rsid w:val="00B03427"/>
    <w:rsid w:val="00B04475"/>
    <w:rsid w:val="00B07A4B"/>
    <w:rsid w:val="00B07FFA"/>
    <w:rsid w:val="00B10352"/>
    <w:rsid w:val="00B10FCC"/>
    <w:rsid w:val="00B110AF"/>
    <w:rsid w:val="00B12A1F"/>
    <w:rsid w:val="00B13710"/>
    <w:rsid w:val="00B13AB0"/>
    <w:rsid w:val="00B142FB"/>
    <w:rsid w:val="00B15E18"/>
    <w:rsid w:val="00B161D2"/>
    <w:rsid w:val="00B17A2A"/>
    <w:rsid w:val="00B21950"/>
    <w:rsid w:val="00B2250F"/>
    <w:rsid w:val="00B22AAD"/>
    <w:rsid w:val="00B22EBE"/>
    <w:rsid w:val="00B233D8"/>
    <w:rsid w:val="00B27573"/>
    <w:rsid w:val="00B276F9"/>
    <w:rsid w:val="00B27C91"/>
    <w:rsid w:val="00B27C9C"/>
    <w:rsid w:val="00B3018B"/>
    <w:rsid w:val="00B32CDA"/>
    <w:rsid w:val="00B32DDB"/>
    <w:rsid w:val="00B332E3"/>
    <w:rsid w:val="00B351D8"/>
    <w:rsid w:val="00B35270"/>
    <w:rsid w:val="00B352D9"/>
    <w:rsid w:val="00B358EB"/>
    <w:rsid w:val="00B35F08"/>
    <w:rsid w:val="00B37A4B"/>
    <w:rsid w:val="00B42165"/>
    <w:rsid w:val="00B42218"/>
    <w:rsid w:val="00B422D9"/>
    <w:rsid w:val="00B42B5A"/>
    <w:rsid w:val="00B439DE"/>
    <w:rsid w:val="00B44A66"/>
    <w:rsid w:val="00B44BC2"/>
    <w:rsid w:val="00B44F2D"/>
    <w:rsid w:val="00B45D0A"/>
    <w:rsid w:val="00B45EDA"/>
    <w:rsid w:val="00B47606"/>
    <w:rsid w:val="00B504D1"/>
    <w:rsid w:val="00B50558"/>
    <w:rsid w:val="00B533E0"/>
    <w:rsid w:val="00B54D6F"/>
    <w:rsid w:val="00B55615"/>
    <w:rsid w:val="00B57967"/>
    <w:rsid w:val="00B57F12"/>
    <w:rsid w:val="00B60298"/>
    <w:rsid w:val="00B60319"/>
    <w:rsid w:val="00B6224C"/>
    <w:rsid w:val="00B62440"/>
    <w:rsid w:val="00B626BE"/>
    <w:rsid w:val="00B63371"/>
    <w:rsid w:val="00B638BB"/>
    <w:rsid w:val="00B63947"/>
    <w:rsid w:val="00B64E76"/>
    <w:rsid w:val="00B66A00"/>
    <w:rsid w:val="00B7139F"/>
    <w:rsid w:val="00B72C3B"/>
    <w:rsid w:val="00B730BA"/>
    <w:rsid w:val="00B74B98"/>
    <w:rsid w:val="00B76B42"/>
    <w:rsid w:val="00B778CF"/>
    <w:rsid w:val="00B807A5"/>
    <w:rsid w:val="00B81375"/>
    <w:rsid w:val="00B81D54"/>
    <w:rsid w:val="00B835BB"/>
    <w:rsid w:val="00B83F62"/>
    <w:rsid w:val="00B845D3"/>
    <w:rsid w:val="00B85201"/>
    <w:rsid w:val="00B87479"/>
    <w:rsid w:val="00B87B69"/>
    <w:rsid w:val="00B87D53"/>
    <w:rsid w:val="00B91867"/>
    <w:rsid w:val="00B93574"/>
    <w:rsid w:val="00B93A89"/>
    <w:rsid w:val="00B93B12"/>
    <w:rsid w:val="00B943D6"/>
    <w:rsid w:val="00B94FD5"/>
    <w:rsid w:val="00B9536B"/>
    <w:rsid w:val="00B95D7B"/>
    <w:rsid w:val="00B95EE7"/>
    <w:rsid w:val="00B96A0B"/>
    <w:rsid w:val="00B970EB"/>
    <w:rsid w:val="00BA01A6"/>
    <w:rsid w:val="00BA1DB3"/>
    <w:rsid w:val="00BA2049"/>
    <w:rsid w:val="00BA3E19"/>
    <w:rsid w:val="00BA46DC"/>
    <w:rsid w:val="00BA474C"/>
    <w:rsid w:val="00BA50BE"/>
    <w:rsid w:val="00BA56D3"/>
    <w:rsid w:val="00BA606E"/>
    <w:rsid w:val="00BA64E2"/>
    <w:rsid w:val="00BA6A89"/>
    <w:rsid w:val="00BA6F63"/>
    <w:rsid w:val="00BA7131"/>
    <w:rsid w:val="00BA7FAC"/>
    <w:rsid w:val="00BB03C4"/>
    <w:rsid w:val="00BB0FA9"/>
    <w:rsid w:val="00BB391A"/>
    <w:rsid w:val="00BB4F51"/>
    <w:rsid w:val="00BB721F"/>
    <w:rsid w:val="00BB7F3E"/>
    <w:rsid w:val="00BC0181"/>
    <w:rsid w:val="00BC1AE8"/>
    <w:rsid w:val="00BC1CDC"/>
    <w:rsid w:val="00BC1FB7"/>
    <w:rsid w:val="00BC23C8"/>
    <w:rsid w:val="00BC2E22"/>
    <w:rsid w:val="00BC39FC"/>
    <w:rsid w:val="00BC3D5C"/>
    <w:rsid w:val="00BC4A46"/>
    <w:rsid w:val="00BC4EBB"/>
    <w:rsid w:val="00BC5771"/>
    <w:rsid w:val="00BC61A3"/>
    <w:rsid w:val="00BC7F39"/>
    <w:rsid w:val="00BD02B5"/>
    <w:rsid w:val="00BD0F7B"/>
    <w:rsid w:val="00BD2FDE"/>
    <w:rsid w:val="00BD3539"/>
    <w:rsid w:val="00BD6D9C"/>
    <w:rsid w:val="00BD794E"/>
    <w:rsid w:val="00BD7D20"/>
    <w:rsid w:val="00BE0701"/>
    <w:rsid w:val="00BE16D9"/>
    <w:rsid w:val="00BE27FD"/>
    <w:rsid w:val="00BE2C75"/>
    <w:rsid w:val="00BE46C6"/>
    <w:rsid w:val="00BE58F9"/>
    <w:rsid w:val="00BE5922"/>
    <w:rsid w:val="00BE5FEC"/>
    <w:rsid w:val="00BE6460"/>
    <w:rsid w:val="00BE654A"/>
    <w:rsid w:val="00BE7D92"/>
    <w:rsid w:val="00BE7E69"/>
    <w:rsid w:val="00BE7FE4"/>
    <w:rsid w:val="00BF0732"/>
    <w:rsid w:val="00BF0F66"/>
    <w:rsid w:val="00BF294C"/>
    <w:rsid w:val="00BF4FFC"/>
    <w:rsid w:val="00BF5027"/>
    <w:rsid w:val="00BF5D4C"/>
    <w:rsid w:val="00BF7039"/>
    <w:rsid w:val="00BF7460"/>
    <w:rsid w:val="00C0016C"/>
    <w:rsid w:val="00C0039D"/>
    <w:rsid w:val="00C00560"/>
    <w:rsid w:val="00C011D6"/>
    <w:rsid w:val="00C012BA"/>
    <w:rsid w:val="00C01433"/>
    <w:rsid w:val="00C01717"/>
    <w:rsid w:val="00C01C1C"/>
    <w:rsid w:val="00C01E83"/>
    <w:rsid w:val="00C02700"/>
    <w:rsid w:val="00C027D5"/>
    <w:rsid w:val="00C05363"/>
    <w:rsid w:val="00C057A8"/>
    <w:rsid w:val="00C06197"/>
    <w:rsid w:val="00C0765A"/>
    <w:rsid w:val="00C10D21"/>
    <w:rsid w:val="00C11A22"/>
    <w:rsid w:val="00C11AAF"/>
    <w:rsid w:val="00C12B23"/>
    <w:rsid w:val="00C13B2C"/>
    <w:rsid w:val="00C13B3E"/>
    <w:rsid w:val="00C144C6"/>
    <w:rsid w:val="00C14637"/>
    <w:rsid w:val="00C1554E"/>
    <w:rsid w:val="00C16EC9"/>
    <w:rsid w:val="00C17A6F"/>
    <w:rsid w:val="00C20882"/>
    <w:rsid w:val="00C21368"/>
    <w:rsid w:val="00C22F31"/>
    <w:rsid w:val="00C23680"/>
    <w:rsid w:val="00C24E1B"/>
    <w:rsid w:val="00C26D19"/>
    <w:rsid w:val="00C271F5"/>
    <w:rsid w:val="00C308CB"/>
    <w:rsid w:val="00C3129D"/>
    <w:rsid w:val="00C31579"/>
    <w:rsid w:val="00C31602"/>
    <w:rsid w:val="00C31D8E"/>
    <w:rsid w:val="00C3273D"/>
    <w:rsid w:val="00C32D5D"/>
    <w:rsid w:val="00C33DD7"/>
    <w:rsid w:val="00C34DAE"/>
    <w:rsid w:val="00C350C8"/>
    <w:rsid w:val="00C3562F"/>
    <w:rsid w:val="00C35DAA"/>
    <w:rsid w:val="00C36418"/>
    <w:rsid w:val="00C36779"/>
    <w:rsid w:val="00C36B1A"/>
    <w:rsid w:val="00C40849"/>
    <w:rsid w:val="00C42A8F"/>
    <w:rsid w:val="00C43740"/>
    <w:rsid w:val="00C43853"/>
    <w:rsid w:val="00C45231"/>
    <w:rsid w:val="00C454BB"/>
    <w:rsid w:val="00C4601D"/>
    <w:rsid w:val="00C46C70"/>
    <w:rsid w:val="00C47AF0"/>
    <w:rsid w:val="00C50102"/>
    <w:rsid w:val="00C504F2"/>
    <w:rsid w:val="00C517A1"/>
    <w:rsid w:val="00C51D95"/>
    <w:rsid w:val="00C53197"/>
    <w:rsid w:val="00C56DC3"/>
    <w:rsid w:val="00C6027A"/>
    <w:rsid w:val="00C607C1"/>
    <w:rsid w:val="00C60DAD"/>
    <w:rsid w:val="00C60E86"/>
    <w:rsid w:val="00C619B5"/>
    <w:rsid w:val="00C62270"/>
    <w:rsid w:val="00C62498"/>
    <w:rsid w:val="00C626C1"/>
    <w:rsid w:val="00C63A3B"/>
    <w:rsid w:val="00C64BEE"/>
    <w:rsid w:val="00C65284"/>
    <w:rsid w:val="00C659AB"/>
    <w:rsid w:val="00C65D56"/>
    <w:rsid w:val="00C6628C"/>
    <w:rsid w:val="00C66462"/>
    <w:rsid w:val="00C67126"/>
    <w:rsid w:val="00C67A1F"/>
    <w:rsid w:val="00C67FFC"/>
    <w:rsid w:val="00C70013"/>
    <w:rsid w:val="00C70E5C"/>
    <w:rsid w:val="00C7382E"/>
    <w:rsid w:val="00C73F0D"/>
    <w:rsid w:val="00C75145"/>
    <w:rsid w:val="00C80D84"/>
    <w:rsid w:val="00C81AD6"/>
    <w:rsid w:val="00C8213C"/>
    <w:rsid w:val="00C8294E"/>
    <w:rsid w:val="00C845D6"/>
    <w:rsid w:val="00C86169"/>
    <w:rsid w:val="00C874F7"/>
    <w:rsid w:val="00C91B80"/>
    <w:rsid w:val="00C9409A"/>
    <w:rsid w:val="00C95BB9"/>
    <w:rsid w:val="00C95FEF"/>
    <w:rsid w:val="00C9619A"/>
    <w:rsid w:val="00C96EB6"/>
    <w:rsid w:val="00C97D9A"/>
    <w:rsid w:val="00CA08ED"/>
    <w:rsid w:val="00CA1E99"/>
    <w:rsid w:val="00CA32D5"/>
    <w:rsid w:val="00CA440B"/>
    <w:rsid w:val="00CA4DF7"/>
    <w:rsid w:val="00CA58C5"/>
    <w:rsid w:val="00CA6C3E"/>
    <w:rsid w:val="00CA7509"/>
    <w:rsid w:val="00CA751D"/>
    <w:rsid w:val="00CB1860"/>
    <w:rsid w:val="00CB2AE5"/>
    <w:rsid w:val="00CB402F"/>
    <w:rsid w:val="00CB4546"/>
    <w:rsid w:val="00CB6294"/>
    <w:rsid w:val="00CB7A34"/>
    <w:rsid w:val="00CB7D01"/>
    <w:rsid w:val="00CB7F46"/>
    <w:rsid w:val="00CC0684"/>
    <w:rsid w:val="00CC099E"/>
    <w:rsid w:val="00CC1542"/>
    <w:rsid w:val="00CC2E7B"/>
    <w:rsid w:val="00CC53BF"/>
    <w:rsid w:val="00CC597E"/>
    <w:rsid w:val="00CC7911"/>
    <w:rsid w:val="00CD0715"/>
    <w:rsid w:val="00CD2FF0"/>
    <w:rsid w:val="00CD4398"/>
    <w:rsid w:val="00CD4E5E"/>
    <w:rsid w:val="00CD571E"/>
    <w:rsid w:val="00CD5AD5"/>
    <w:rsid w:val="00CD6C5C"/>
    <w:rsid w:val="00CD750D"/>
    <w:rsid w:val="00CE114C"/>
    <w:rsid w:val="00CE2180"/>
    <w:rsid w:val="00CE2533"/>
    <w:rsid w:val="00CE2685"/>
    <w:rsid w:val="00CE4FE2"/>
    <w:rsid w:val="00CE5469"/>
    <w:rsid w:val="00CE588C"/>
    <w:rsid w:val="00CE62A3"/>
    <w:rsid w:val="00CE6B10"/>
    <w:rsid w:val="00CE6EEA"/>
    <w:rsid w:val="00CE7075"/>
    <w:rsid w:val="00CE7BEB"/>
    <w:rsid w:val="00CF0406"/>
    <w:rsid w:val="00CF2EBE"/>
    <w:rsid w:val="00CF3231"/>
    <w:rsid w:val="00CF37B2"/>
    <w:rsid w:val="00CF4857"/>
    <w:rsid w:val="00CF5764"/>
    <w:rsid w:val="00CF7B50"/>
    <w:rsid w:val="00CF7DEB"/>
    <w:rsid w:val="00D00142"/>
    <w:rsid w:val="00D009DD"/>
    <w:rsid w:val="00D016D1"/>
    <w:rsid w:val="00D0288E"/>
    <w:rsid w:val="00D04046"/>
    <w:rsid w:val="00D04D26"/>
    <w:rsid w:val="00D04F3D"/>
    <w:rsid w:val="00D05BBA"/>
    <w:rsid w:val="00D06817"/>
    <w:rsid w:val="00D076A8"/>
    <w:rsid w:val="00D12A94"/>
    <w:rsid w:val="00D16121"/>
    <w:rsid w:val="00D1721B"/>
    <w:rsid w:val="00D20076"/>
    <w:rsid w:val="00D20610"/>
    <w:rsid w:val="00D20D02"/>
    <w:rsid w:val="00D20DDE"/>
    <w:rsid w:val="00D24B3D"/>
    <w:rsid w:val="00D25C7D"/>
    <w:rsid w:val="00D26341"/>
    <w:rsid w:val="00D27509"/>
    <w:rsid w:val="00D2760C"/>
    <w:rsid w:val="00D30021"/>
    <w:rsid w:val="00D306C2"/>
    <w:rsid w:val="00D3073F"/>
    <w:rsid w:val="00D3161D"/>
    <w:rsid w:val="00D32538"/>
    <w:rsid w:val="00D34158"/>
    <w:rsid w:val="00D3424E"/>
    <w:rsid w:val="00D35132"/>
    <w:rsid w:val="00D35D7D"/>
    <w:rsid w:val="00D35EE8"/>
    <w:rsid w:val="00D40022"/>
    <w:rsid w:val="00D40A3C"/>
    <w:rsid w:val="00D4210F"/>
    <w:rsid w:val="00D447D3"/>
    <w:rsid w:val="00D44D86"/>
    <w:rsid w:val="00D450FB"/>
    <w:rsid w:val="00D45B05"/>
    <w:rsid w:val="00D463C3"/>
    <w:rsid w:val="00D467FD"/>
    <w:rsid w:val="00D50DEA"/>
    <w:rsid w:val="00D5112A"/>
    <w:rsid w:val="00D52457"/>
    <w:rsid w:val="00D554A2"/>
    <w:rsid w:val="00D56A85"/>
    <w:rsid w:val="00D60AD4"/>
    <w:rsid w:val="00D624A6"/>
    <w:rsid w:val="00D627CD"/>
    <w:rsid w:val="00D63840"/>
    <w:rsid w:val="00D643EF"/>
    <w:rsid w:val="00D6508E"/>
    <w:rsid w:val="00D65BD2"/>
    <w:rsid w:val="00D65C31"/>
    <w:rsid w:val="00D66709"/>
    <w:rsid w:val="00D67B1A"/>
    <w:rsid w:val="00D71D83"/>
    <w:rsid w:val="00D71DE7"/>
    <w:rsid w:val="00D73312"/>
    <w:rsid w:val="00D7348B"/>
    <w:rsid w:val="00D73CD7"/>
    <w:rsid w:val="00D75853"/>
    <w:rsid w:val="00D76B8E"/>
    <w:rsid w:val="00D76E48"/>
    <w:rsid w:val="00D77442"/>
    <w:rsid w:val="00D80857"/>
    <w:rsid w:val="00D81239"/>
    <w:rsid w:val="00D817F1"/>
    <w:rsid w:val="00D81B3B"/>
    <w:rsid w:val="00D81C0D"/>
    <w:rsid w:val="00D8489D"/>
    <w:rsid w:val="00D84CFD"/>
    <w:rsid w:val="00D85697"/>
    <w:rsid w:val="00D85AA2"/>
    <w:rsid w:val="00D862A9"/>
    <w:rsid w:val="00D86F68"/>
    <w:rsid w:val="00D90865"/>
    <w:rsid w:val="00D90EDB"/>
    <w:rsid w:val="00D932F4"/>
    <w:rsid w:val="00D94356"/>
    <w:rsid w:val="00D9488E"/>
    <w:rsid w:val="00D94ABA"/>
    <w:rsid w:val="00D95483"/>
    <w:rsid w:val="00D95927"/>
    <w:rsid w:val="00D95A5D"/>
    <w:rsid w:val="00D97CF1"/>
    <w:rsid w:val="00D97DF4"/>
    <w:rsid w:val="00DA162C"/>
    <w:rsid w:val="00DA202E"/>
    <w:rsid w:val="00DA2505"/>
    <w:rsid w:val="00DA3B8A"/>
    <w:rsid w:val="00DA6061"/>
    <w:rsid w:val="00DA61E5"/>
    <w:rsid w:val="00DB2A3A"/>
    <w:rsid w:val="00DB2EB9"/>
    <w:rsid w:val="00DB3F35"/>
    <w:rsid w:val="00DB45B6"/>
    <w:rsid w:val="00DB62F1"/>
    <w:rsid w:val="00DB787C"/>
    <w:rsid w:val="00DB7E49"/>
    <w:rsid w:val="00DC0879"/>
    <w:rsid w:val="00DC173A"/>
    <w:rsid w:val="00DC1742"/>
    <w:rsid w:val="00DC1A00"/>
    <w:rsid w:val="00DC22B8"/>
    <w:rsid w:val="00DC38C2"/>
    <w:rsid w:val="00DC420C"/>
    <w:rsid w:val="00DC4394"/>
    <w:rsid w:val="00DC43BC"/>
    <w:rsid w:val="00DC4910"/>
    <w:rsid w:val="00DC4A69"/>
    <w:rsid w:val="00DC4A7D"/>
    <w:rsid w:val="00DC4B7C"/>
    <w:rsid w:val="00DC528C"/>
    <w:rsid w:val="00DC52C8"/>
    <w:rsid w:val="00DC71B1"/>
    <w:rsid w:val="00DD245B"/>
    <w:rsid w:val="00DD4138"/>
    <w:rsid w:val="00DD4D13"/>
    <w:rsid w:val="00DD7049"/>
    <w:rsid w:val="00DE229C"/>
    <w:rsid w:val="00DE23D8"/>
    <w:rsid w:val="00DE2E47"/>
    <w:rsid w:val="00DE62A9"/>
    <w:rsid w:val="00DE6851"/>
    <w:rsid w:val="00DE78FD"/>
    <w:rsid w:val="00DE7F72"/>
    <w:rsid w:val="00DF0499"/>
    <w:rsid w:val="00DF23C5"/>
    <w:rsid w:val="00DF26E7"/>
    <w:rsid w:val="00DF2CC5"/>
    <w:rsid w:val="00DF3D7B"/>
    <w:rsid w:val="00DF4A03"/>
    <w:rsid w:val="00DF4BF9"/>
    <w:rsid w:val="00DF57DD"/>
    <w:rsid w:val="00DF5A23"/>
    <w:rsid w:val="00DF5EFF"/>
    <w:rsid w:val="00DF68ED"/>
    <w:rsid w:val="00DF6A6F"/>
    <w:rsid w:val="00E00E14"/>
    <w:rsid w:val="00E01931"/>
    <w:rsid w:val="00E01E87"/>
    <w:rsid w:val="00E043ED"/>
    <w:rsid w:val="00E04E44"/>
    <w:rsid w:val="00E04EF7"/>
    <w:rsid w:val="00E05345"/>
    <w:rsid w:val="00E05372"/>
    <w:rsid w:val="00E05D4B"/>
    <w:rsid w:val="00E06146"/>
    <w:rsid w:val="00E06528"/>
    <w:rsid w:val="00E06823"/>
    <w:rsid w:val="00E06A60"/>
    <w:rsid w:val="00E06B8F"/>
    <w:rsid w:val="00E07317"/>
    <w:rsid w:val="00E075AA"/>
    <w:rsid w:val="00E0797D"/>
    <w:rsid w:val="00E11EC4"/>
    <w:rsid w:val="00E13074"/>
    <w:rsid w:val="00E13397"/>
    <w:rsid w:val="00E14403"/>
    <w:rsid w:val="00E14ABF"/>
    <w:rsid w:val="00E14C16"/>
    <w:rsid w:val="00E157D4"/>
    <w:rsid w:val="00E162CE"/>
    <w:rsid w:val="00E16EA5"/>
    <w:rsid w:val="00E213EC"/>
    <w:rsid w:val="00E21679"/>
    <w:rsid w:val="00E217BA"/>
    <w:rsid w:val="00E2180E"/>
    <w:rsid w:val="00E22EB0"/>
    <w:rsid w:val="00E2301D"/>
    <w:rsid w:val="00E24A77"/>
    <w:rsid w:val="00E25B59"/>
    <w:rsid w:val="00E2748A"/>
    <w:rsid w:val="00E307DD"/>
    <w:rsid w:val="00E31AA8"/>
    <w:rsid w:val="00E31EFA"/>
    <w:rsid w:val="00E32319"/>
    <w:rsid w:val="00E3264B"/>
    <w:rsid w:val="00E32696"/>
    <w:rsid w:val="00E32FB9"/>
    <w:rsid w:val="00E35C96"/>
    <w:rsid w:val="00E36686"/>
    <w:rsid w:val="00E37AE1"/>
    <w:rsid w:val="00E41D9C"/>
    <w:rsid w:val="00E44D66"/>
    <w:rsid w:val="00E46845"/>
    <w:rsid w:val="00E46D80"/>
    <w:rsid w:val="00E477C3"/>
    <w:rsid w:val="00E52CCD"/>
    <w:rsid w:val="00E53420"/>
    <w:rsid w:val="00E556A0"/>
    <w:rsid w:val="00E603AB"/>
    <w:rsid w:val="00E60F1E"/>
    <w:rsid w:val="00E614F4"/>
    <w:rsid w:val="00E61722"/>
    <w:rsid w:val="00E621AB"/>
    <w:rsid w:val="00E633D8"/>
    <w:rsid w:val="00E64170"/>
    <w:rsid w:val="00E6496A"/>
    <w:rsid w:val="00E6627C"/>
    <w:rsid w:val="00E66858"/>
    <w:rsid w:val="00E700A8"/>
    <w:rsid w:val="00E71100"/>
    <w:rsid w:val="00E74A59"/>
    <w:rsid w:val="00E75300"/>
    <w:rsid w:val="00E75EC4"/>
    <w:rsid w:val="00E76009"/>
    <w:rsid w:val="00E77FC9"/>
    <w:rsid w:val="00E8228B"/>
    <w:rsid w:val="00E8247B"/>
    <w:rsid w:val="00E845BB"/>
    <w:rsid w:val="00E84F73"/>
    <w:rsid w:val="00E85AAD"/>
    <w:rsid w:val="00E87196"/>
    <w:rsid w:val="00E90629"/>
    <w:rsid w:val="00E90E97"/>
    <w:rsid w:val="00E90FE6"/>
    <w:rsid w:val="00E91309"/>
    <w:rsid w:val="00E921AB"/>
    <w:rsid w:val="00E93A1E"/>
    <w:rsid w:val="00E958E7"/>
    <w:rsid w:val="00E96A76"/>
    <w:rsid w:val="00EA03F3"/>
    <w:rsid w:val="00EA1227"/>
    <w:rsid w:val="00EA2570"/>
    <w:rsid w:val="00EA3133"/>
    <w:rsid w:val="00EA4487"/>
    <w:rsid w:val="00EA5B91"/>
    <w:rsid w:val="00EA5F4D"/>
    <w:rsid w:val="00EA609A"/>
    <w:rsid w:val="00EA6709"/>
    <w:rsid w:val="00EA78BD"/>
    <w:rsid w:val="00EB0375"/>
    <w:rsid w:val="00EB0872"/>
    <w:rsid w:val="00EB0CB8"/>
    <w:rsid w:val="00EB2070"/>
    <w:rsid w:val="00EB2CCF"/>
    <w:rsid w:val="00EB384D"/>
    <w:rsid w:val="00EB3A61"/>
    <w:rsid w:val="00EB3EC6"/>
    <w:rsid w:val="00EB4022"/>
    <w:rsid w:val="00EB462B"/>
    <w:rsid w:val="00EB4BD7"/>
    <w:rsid w:val="00EB5874"/>
    <w:rsid w:val="00EB62C5"/>
    <w:rsid w:val="00EC1837"/>
    <w:rsid w:val="00EC220B"/>
    <w:rsid w:val="00EC432A"/>
    <w:rsid w:val="00EC60BA"/>
    <w:rsid w:val="00EC6976"/>
    <w:rsid w:val="00EC6979"/>
    <w:rsid w:val="00EC7DB6"/>
    <w:rsid w:val="00ED0AAB"/>
    <w:rsid w:val="00ED0CC7"/>
    <w:rsid w:val="00ED1A75"/>
    <w:rsid w:val="00ED2B9C"/>
    <w:rsid w:val="00ED3041"/>
    <w:rsid w:val="00ED3594"/>
    <w:rsid w:val="00ED38F3"/>
    <w:rsid w:val="00ED4734"/>
    <w:rsid w:val="00ED7C96"/>
    <w:rsid w:val="00EE0900"/>
    <w:rsid w:val="00EE0DE0"/>
    <w:rsid w:val="00EE1E11"/>
    <w:rsid w:val="00EE26AA"/>
    <w:rsid w:val="00EE2907"/>
    <w:rsid w:val="00EE37E5"/>
    <w:rsid w:val="00EE3B08"/>
    <w:rsid w:val="00EE534B"/>
    <w:rsid w:val="00EE53D1"/>
    <w:rsid w:val="00EE701F"/>
    <w:rsid w:val="00EE730C"/>
    <w:rsid w:val="00EE770E"/>
    <w:rsid w:val="00EE7D7F"/>
    <w:rsid w:val="00EE7EBD"/>
    <w:rsid w:val="00EF05D1"/>
    <w:rsid w:val="00EF119E"/>
    <w:rsid w:val="00EF123A"/>
    <w:rsid w:val="00EF2553"/>
    <w:rsid w:val="00EF3592"/>
    <w:rsid w:val="00EF655D"/>
    <w:rsid w:val="00EF6815"/>
    <w:rsid w:val="00EF6B87"/>
    <w:rsid w:val="00EF6E8E"/>
    <w:rsid w:val="00EF747E"/>
    <w:rsid w:val="00EF764F"/>
    <w:rsid w:val="00F00824"/>
    <w:rsid w:val="00F00D0F"/>
    <w:rsid w:val="00F039FC"/>
    <w:rsid w:val="00F04C20"/>
    <w:rsid w:val="00F04C92"/>
    <w:rsid w:val="00F0513E"/>
    <w:rsid w:val="00F051EE"/>
    <w:rsid w:val="00F05F6D"/>
    <w:rsid w:val="00F06F57"/>
    <w:rsid w:val="00F11962"/>
    <w:rsid w:val="00F12968"/>
    <w:rsid w:val="00F12FC0"/>
    <w:rsid w:val="00F13A5D"/>
    <w:rsid w:val="00F13A7E"/>
    <w:rsid w:val="00F143DA"/>
    <w:rsid w:val="00F1456D"/>
    <w:rsid w:val="00F179F9"/>
    <w:rsid w:val="00F204EB"/>
    <w:rsid w:val="00F20C70"/>
    <w:rsid w:val="00F21791"/>
    <w:rsid w:val="00F229B4"/>
    <w:rsid w:val="00F23CCD"/>
    <w:rsid w:val="00F24079"/>
    <w:rsid w:val="00F24646"/>
    <w:rsid w:val="00F259A5"/>
    <w:rsid w:val="00F27399"/>
    <w:rsid w:val="00F274F8"/>
    <w:rsid w:val="00F275ED"/>
    <w:rsid w:val="00F30563"/>
    <w:rsid w:val="00F3147D"/>
    <w:rsid w:val="00F31CD4"/>
    <w:rsid w:val="00F322E9"/>
    <w:rsid w:val="00F3319E"/>
    <w:rsid w:val="00F33F95"/>
    <w:rsid w:val="00F348CD"/>
    <w:rsid w:val="00F359CA"/>
    <w:rsid w:val="00F3660F"/>
    <w:rsid w:val="00F369D0"/>
    <w:rsid w:val="00F370D1"/>
    <w:rsid w:val="00F4231D"/>
    <w:rsid w:val="00F42923"/>
    <w:rsid w:val="00F43181"/>
    <w:rsid w:val="00F43F2E"/>
    <w:rsid w:val="00F477BB"/>
    <w:rsid w:val="00F477D0"/>
    <w:rsid w:val="00F47E3F"/>
    <w:rsid w:val="00F50385"/>
    <w:rsid w:val="00F51720"/>
    <w:rsid w:val="00F51BE0"/>
    <w:rsid w:val="00F520AA"/>
    <w:rsid w:val="00F52AA6"/>
    <w:rsid w:val="00F537CC"/>
    <w:rsid w:val="00F538BB"/>
    <w:rsid w:val="00F53DBD"/>
    <w:rsid w:val="00F5461D"/>
    <w:rsid w:val="00F554A1"/>
    <w:rsid w:val="00F56071"/>
    <w:rsid w:val="00F57687"/>
    <w:rsid w:val="00F57B2F"/>
    <w:rsid w:val="00F6072C"/>
    <w:rsid w:val="00F612BD"/>
    <w:rsid w:val="00F6153A"/>
    <w:rsid w:val="00F63CBA"/>
    <w:rsid w:val="00F653F1"/>
    <w:rsid w:val="00F65983"/>
    <w:rsid w:val="00F674D2"/>
    <w:rsid w:val="00F67D21"/>
    <w:rsid w:val="00F70281"/>
    <w:rsid w:val="00F712D3"/>
    <w:rsid w:val="00F72119"/>
    <w:rsid w:val="00F7309A"/>
    <w:rsid w:val="00F735CA"/>
    <w:rsid w:val="00F73BFE"/>
    <w:rsid w:val="00F73DE4"/>
    <w:rsid w:val="00F744BE"/>
    <w:rsid w:val="00F74A55"/>
    <w:rsid w:val="00F753CA"/>
    <w:rsid w:val="00F76655"/>
    <w:rsid w:val="00F77532"/>
    <w:rsid w:val="00F77C6F"/>
    <w:rsid w:val="00F817BF"/>
    <w:rsid w:val="00F81836"/>
    <w:rsid w:val="00F81B4A"/>
    <w:rsid w:val="00F825FE"/>
    <w:rsid w:val="00F8329E"/>
    <w:rsid w:val="00F83FAF"/>
    <w:rsid w:val="00F84A9D"/>
    <w:rsid w:val="00F8674A"/>
    <w:rsid w:val="00F9013F"/>
    <w:rsid w:val="00F90469"/>
    <w:rsid w:val="00F9213C"/>
    <w:rsid w:val="00F92426"/>
    <w:rsid w:val="00F92AA0"/>
    <w:rsid w:val="00F95A50"/>
    <w:rsid w:val="00F97084"/>
    <w:rsid w:val="00F971E0"/>
    <w:rsid w:val="00F97501"/>
    <w:rsid w:val="00F9772E"/>
    <w:rsid w:val="00FA0437"/>
    <w:rsid w:val="00FA17AC"/>
    <w:rsid w:val="00FA1A74"/>
    <w:rsid w:val="00FA1D3B"/>
    <w:rsid w:val="00FA3229"/>
    <w:rsid w:val="00FA35ED"/>
    <w:rsid w:val="00FA3D87"/>
    <w:rsid w:val="00FA542A"/>
    <w:rsid w:val="00FA56B6"/>
    <w:rsid w:val="00FA6395"/>
    <w:rsid w:val="00FA6DF6"/>
    <w:rsid w:val="00FA755A"/>
    <w:rsid w:val="00FA7A2E"/>
    <w:rsid w:val="00FA7F57"/>
    <w:rsid w:val="00FB1646"/>
    <w:rsid w:val="00FB4BEB"/>
    <w:rsid w:val="00FB4C42"/>
    <w:rsid w:val="00FB54CE"/>
    <w:rsid w:val="00FB5915"/>
    <w:rsid w:val="00FB5D78"/>
    <w:rsid w:val="00FB6545"/>
    <w:rsid w:val="00FB6B23"/>
    <w:rsid w:val="00FC0510"/>
    <w:rsid w:val="00FC0706"/>
    <w:rsid w:val="00FC0D54"/>
    <w:rsid w:val="00FC1BF1"/>
    <w:rsid w:val="00FC2EEA"/>
    <w:rsid w:val="00FC46AA"/>
    <w:rsid w:val="00FC587B"/>
    <w:rsid w:val="00FC5C22"/>
    <w:rsid w:val="00FC7820"/>
    <w:rsid w:val="00FD17DA"/>
    <w:rsid w:val="00FD1B18"/>
    <w:rsid w:val="00FD233A"/>
    <w:rsid w:val="00FD2E87"/>
    <w:rsid w:val="00FD36B2"/>
    <w:rsid w:val="00FD4C53"/>
    <w:rsid w:val="00FD68FC"/>
    <w:rsid w:val="00FD69FB"/>
    <w:rsid w:val="00FD6E06"/>
    <w:rsid w:val="00FD7B60"/>
    <w:rsid w:val="00FE0607"/>
    <w:rsid w:val="00FE0925"/>
    <w:rsid w:val="00FE0C4A"/>
    <w:rsid w:val="00FE104C"/>
    <w:rsid w:val="00FE1933"/>
    <w:rsid w:val="00FE1AD6"/>
    <w:rsid w:val="00FE271B"/>
    <w:rsid w:val="00FE2EC2"/>
    <w:rsid w:val="00FE4BCB"/>
    <w:rsid w:val="00FE5B3A"/>
    <w:rsid w:val="00FE61EA"/>
    <w:rsid w:val="00FF1811"/>
    <w:rsid w:val="00FF28F8"/>
    <w:rsid w:val="00FF2947"/>
    <w:rsid w:val="00FF45A9"/>
    <w:rsid w:val="00FF6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99" style="mso-position-horizontal:center;mso-position-horizontal-relative:margin;mso-position-vertical:center;mso-position-vertical-relative:margin" o:allowincell="f" fillcolor="silver" stroke="f">
      <v:fill color="silver" opacity=".5"/>
      <v:stroke on="f"/>
    </o:shapedefaults>
    <o:shapelayout v:ext="edit">
      <o:idmap v:ext="edit" data="1"/>
    </o:shapelayout>
  </w:shapeDefaults>
  <w:decimalSymbol w:val="."/>
  <w:listSeparator w:val=","/>
  <w14:docId w14:val="2D3E1D66"/>
  <w15:docId w15:val="{B6068EC4-1465-4D5C-8677-302D960C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CDA"/>
    <w:pPr>
      <w:spacing w:before="220" w:after="220" w:line="280" w:lineRule="exact"/>
    </w:pPr>
  </w:style>
  <w:style w:type="paragraph" w:styleId="Heading1">
    <w:name w:val="heading 1"/>
    <w:aliases w:val="numbered"/>
    <w:basedOn w:val="Normal"/>
    <w:next w:val="Normal"/>
    <w:link w:val="Heading1Char"/>
    <w:uiPriority w:val="9"/>
    <w:qFormat/>
    <w:rsid w:val="000B0846"/>
    <w:pPr>
      <w:keepNext/>
      <w:keepLines/>
      <w:spacing w:before="7600" w:after="480"/>
      <w:jc w:val="right"/>
      <w:outlineLvl w:val="0"/>
    </w:pPr>
    <w:rPr>
      <w:rFonts w:ascii="Arial Narrow" w:eastAsiaTheme="majorEastAsia" w:hAnsi="Arial Narrow" w:cstheme="majorBidi"/>
      <w:smallCaps/>
      <w:sz w:val="42"/>
      <w:szCs w:val="32"/>
    </w:rPr>
  </w:style>
  <w:style w:type="paragraph" w:styleId="Heading2">
    <w:name w:val="heading 2"/>
    <w:basedOn w:val="Normal"/>
    <w:next w:val="Normal"/>
    <w:link w:val="Heading2Char"/>
    <w:autoRedefine/>
    <w:uiPriority w:val="9"/>
    <w:unhideWhenUsed/>
    <w:qFormat/>
    <w:rsid w:val="00AC094E"/>
    <w:pPr>
      <w:keepNext/>
      <w:keepLines/>
      <w:spacing w:before="320" w:after="320" w:line="280" w:lineRule="atLeast"/>
      <w:outlineLvl w:val="1"/>
    </w:pPr>
    <w:rPr>
      <w:rFonts w:ascii="Arial Narrow" w:eastAsia="Times New Roman" w:hAnsi="Arial Narrow" w:cstheme="majorBidi"/>
      <w:smallCaps/>
      <w:kern w:val="32"/>
      <w:sz w:val="44"/>
      <w:szCs w:val="44"/>
    </w:rPr>
  </w:style>
  <w:style w:type="paragraph" w:styleId="Heading3">
    <w:name w:val="heading 3"/>
    <w:basedOn w:val="Normal"/>
    <w:next w:val="Normal"/>
    <w:link w:val="Heading3Char"/>
    <w:uiPriority w:val="9"/>
    <w:unhideWhenUsed/>
    <w:qFormat/>
    <w:rsid w:val="0021195E"/>
    <w:pPr>
      <w:keepNext/>
      <w:keepLines/>
      <w:spacing w:before="240" w:after="240"/>
      <w:outlineLvl w:val="2"/>
    </w:pPr>
    <w:rPr>
      <w:rFonts w:ascii="Arial Narrow" w:eastAsiaTheme="majorEastAsia" w:hAnsi="Arial Narrow" w:cstheme="majorBidi"/>
      <w:smallCaps/>
      <w:sz w:val="30"/>
      <w:szCs w:val="24"/>
    </w:rPr>
  </w:style>
  <w:style w:type="paragraph" w:styleId="Heading4">
    <w:name w:val="heading 4"/>
    <w:aliases w:val="Heading 4 numbered"/>
    <w:basedOn w:val="Normal"/>
    <w:next w:val="Normal"/>
    <w:link w:val="Heading4Char"/>
    <w:uiPriority w:val="9"/>
    <w:unhideWhenUsed/>
    <w:qFormat/>
    <w:rsid w:val="000C30A9"/>
    <w:pPr>
      <w:keepNext/>
      <w:keepLines/>
      <w:spacing w:before="240" w:after="240"/>
      <w:outlineLvl w:val="3"/>
    </w:pPr>
    <w:rPr>
      <w:rFonts w:ascii="Arial Narrow" w:eastAsiaTheme="majorEastAsia" w:hAnsi="Arial Narrow" w:cstheme="majorBidi"/>
      <w:b/>
      <w:iCs/>
      <w:smallCaps/>
      <w:sz w:val="26"/>
    </w:rPr>
  </w:style>
  <w:style w:type="paragraph" w:styleId="Heading5">
    <w:name w:val="heading 5"/>
    <w:basedOn w:val="Heading6"/>
    <w:next w:val="Normal"/>
    <w:link w:val="Heading5Char"/>
    <w:uiPriority w:val="9"/>
    <w:unhideWhenUsed/>
    <w:qFormat/>
    <w:rsid w:val="00FA3D87"/>
    <w:pPr>
      <w:keepLines w:val="0"/>
      <w:outlineLvl w:val="4"/>
    </w:pPr>
    <w:rPr>
      <w:rFonts w:ascii="Arial Narrow" w:eastAsia="Calibri" w:hAnsi="Arial Narrow"/>
      <w:i w:val="0"/>
      <w:iCs w:val="0"/>
      <w:smallCaps/>
      <w:szCs w:val="24"/>
      <w:lang w:eastAsia="en-AU"/>
    </w:rPr>
  </w:style>
  <w:style w:type="paragraph" w:styleId="Heading6">
    <w:name w:val="heading 6"/>
    <w:basedOn w:val="Heading7"/>
    <w:next w:val="Normal"/>
    <w:link w:val="Heading6Char"/>
    <w:uiPriority w:val="9"/>
    <w:unhideWhenUsed/>
    <w:qFormat/>
    <w:rsid w:val="005C7610"/>
    <w:pPr>
      <w:spacing w:before="220" w:after="220"/>
      <w:outlineLvl w:val="5"/>
    </w:pPr>
    <w:rPr>
      <w:rFonts w:ascii="Calibri" w:hAnsi="Calibri"/>
      <w:i/>
      <w:smallCaps w:val="0"/>
    </w:rPr>
  </w:style>
  <w:style w:type="paragraph" w:styleId="Heading7">
    <w:name w:val="heading 7"/>
    <w:basedOn w:val="Normal"/>
    <w:next w:val="Normal"/>
    <w:link w:val="Heading7Char"/>
    <w:unhideWhenUsed/>
    <w:qFormat/>
    <w:rsid w:val="00B27573"/>
    <w:pPr>
      <w:keepNext/>
      <w:keepLines/>
      <w:spacing w:before="240" w:after="240"/>
      <w:outlineLvl w:val="6"/>
    </w:pPr>
    <w:rPr>
      <w:rFonts w:eastAsiaTheme="majorEastAsia" w:cstheme="majorBidi"/>
      <w:iCs/>
      <w:smallCaps/>
    </w:rPr>
  </w:style>
  <w:style w:type="paragraph" w:styleId="Heading8">
    <w:name w:val="heading 8"/>
    <w:basedOn w:val="Normal"/>
    <w:next w:val="Normal"/>
    <w:link w:val="Heading8Char"/>
    <w:uiPriority w:val="9"/>
    <w:unhideWhenUsed/>
    <w:qFormat/>
    <w:rsid w:val="00713E5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13E5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846"/>
  </w:style>
  <w:style w:type="paragraph" w:styleId="Footer">
    <w:name w:val="footer"/>
    <w:basedOn w:val="Normal"/>
    <w:link w:val="FooterChar"/>
    <w:uiPriority w:val="99"/>
    <w:unhideWhenUsed/>
    <w:rsid w:val="000B0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846"/>
  </w:style>
  <w:style w:type="character" w:customStyle="1" w:styleId="Heading1Char">
    <w:name w:val="Heading 1 Char"/>
    <w:aliases w:val="numbered Char"/>
    <w:basedOn w:val="DefaultParagraphFont"/>
    <w:link w:val="Heading1"/>
    <w:uiPriority w:val="9"/>
    <w:rsid w:val="000B0846"/>
    <w:rPr>
      <w:rFonts w:ascii="Arial Narrow" w:eastAsiaTheme="majorEastAsia" w:hAnsi="Arial Narrow" w:cstheme="majorBidi"/>
      <w:smallCaps/>
      <w:sz w:val="42"/>
      <w:szCs w:val="32"/>
    </w:rPr>
  </w:style>
  <w:style w:type="character" w:customStyle="1" w:styleId="Heading2Char">
    <w:name w:val="Heading 2 Char"/>
    <w:basedOn w:val="DefaultParagraphFont"/>
    <w:link w:val="Heading2"/>
    <w:uiPriority w:val="9"/>
    <w:rsid w:val="00AC094E"/>
    <w:rPr>
      <w:rFonts w:ascii="Arial Narrow" w:eastAsia="Times New Roman" w:hAnsi="Arial Narrow" w:cstheme="majorBidi"/>
      <w:smallCaps/>
      <w:kern w:val="32"/>
      <w:sz w:val="44"/>
      <w:szCs w:val="44"/>
    </w:rPr>
  </w:style>
  <w:style w:type="character" w:customStyle="1" w:styleId="Heading3Char">
    <w:name w:val="Heading 3 Char"/>
    <w:basedOn w:val="DefaultParagraphFont"/>
    <w:link w:val="Heading3"/>
    <w:uiPriority w:val="9"/>
    <w:rsid w:val="0021195E"/>
    <w:rPr>
      <w:rFonts w:ascii="Arial Narrow" w:eastAsiaTheme="majorEastAsia" w:hAnsi="Arial Narrow" w:cstheme="majorBidi"/>
      <w:smallCaps/>
      <w:sz w:val="30"/>
      <w:szCs w:val="24"/>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列出段,列出,列,lp1"/>
    <w:basedOn w:val="Normal"/>
    <w:link w:val="ListParagraphChar"/>
    <w:uiPriority w:val="34"/>
    <w:qFormat/>
    <w:rsid w:val="00F6072C"/>
    <w:pPr>
      <w:ind w:left="720"/>
      <w:contextualSpacing/>
    </w:pPr>
  </w:style>
  <w:style w:type="paragraph" w:styleId="BalloonText">
    <w:name w:val="Balloon Text"/>
    <w:basedOn w:val="Normal"/>
    <w:link w:val="BalloonTextChar"/>
    <w:semiHidden/>
    <w:unhideWhenUsed/>
    <w:rsid w:val="00713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13E5C"/>
    <w:rPr>
      <w:rFonts w:ascii="Segoe UI" w:hAnsi="Segoe UI" w:cs="Segoe UI"/>
      <w:sz w:val="18"/>
      <w:szCs w:val="18"/>
    </w:rPr>
  </w:style>
  <w:style w:type="paragraph" w:styleId="Bibliography">
    <w:name w:val="Bibliography"/>
    <w:basedOn w:val="Normal"/>
    <w:next w:val="Normal"/>
    <w:uiPriority w:val="37"/>
    <w:semiHidden/>
    <w:unhideWhenUsed/>
    <w:rsid w:val="00713E5C"/>
  </w:style>
  <w:style w:type="paragraph" w:styleId="BlockText">
    <w:name w:val="Block Text"/>
    <w:basedOn w:val="Normal"/>
    <w:uiPriority w:val="99"/>
    <w:semiHidden/>
    <w:unhideWhenUsed/>
    <w:rsid w:val="00713E5C"/>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713E5C"/>
    <w:pPr>
      <w:spacing w:after="120"/>
    </w:pPr>
  </w:style>
  <w:style w:type="character" w:customStyle="1" w:styleId="BodyTextChar">
    <w:name w:val="Body Text Char"/>
    <w:basedOn w:val="DefaultParagraphFont"/>
    <w:link w:val="BodyText"/>
    <w:uiPriority w:val="99"/>
    <w:rsid w:val="00713E5C"/>
  </w:style>
  <w:style w:type="paragraph" w:styleId="BodyText2">
    <w:name w:val="Body Text 2"/>
    <w:basedOn w:val="Normal"/>
    <w:link w:val="BodyText2Char"/>
    <w:uiPriority w:val="99"/>
    <w:semiHidden/>
    <w:unhideWhenUsed/>
    <w:rsid w:val="00713E5C"/>
    <w:pPr>
      <w:spacing w:after="120" w:line="480" w:lineRule="auto"/>
    </w:pPr>
  </w:style>
  <w:style w:type="character" w:customStyle="1" w:styleId="BodyText2Char">
    <w:name w:val="Body Text 2 Char"/>
    <w:basedOn w:val="DefaultParagraphFont"/>
    <w:link w:val="BodyText2"/>
    <w:uiPriority w:val="99"/>
    <w:semiHidden/>
    <w:rsid w:val="00713E5C"/>
  </w:style>
  <w:style w:type="paragraph" w:styleId="BodyText3">
    <w:name w:val="Body Text 3"/>
    <w:basedOn w:val="Normal"/>
    <w:link w:val="BodyText3Char"/>
    <w:uiPriority w:val="99"/>
    <w:semiHidden/>
    <w:unhideWhenUsed/>
    <w:rsid w:val="00713E5C"/>
    <w:pPr>
      <w:spacing w:after="120"/>
    </w:pPr>
    <w:rPr>
      <w:sz w:val="16"/>
      <w:szCs w:val="16"/>
    </w:rPr>
  </w:style>
  <w:style w:type="character" w:customStyle="1" w:styleId="BodyText3Char">
    <w:name w:val="Body Text 3 Char"/>
    <w:basedOn w:val="DefaultParagraphFont"/>
    <w:link w:val="BodyText3"/>
    <w:uiPriority w:val="99"/>
    <w:semiHidden/>
    <w:rsid w:val="00713E5C"/>
    <w:rPr>
      <w:sz w:val="16"/>
      <w:szCs w:val="16"/>
    </w:rPr>
  </w:style>
  <w:style w:type="paragraph" w:styleId="BodyTextFirstIndent">
    <w:name w:val="Body Text First Indent"/>
    <w:basedOn w:val="BodyText"/>
    <w:link w:val="BodyTextFirstIndentChar"/>
    <w:uiPriority w:val="99"/>
    <w:semiHidden/>
    <w:unhideWhenUsed/>
    <w:rsid w:val="00713E5C"/>
    <w:pPr>
      <w:spacing w:after="160"/>
      <w:ind w:firstLine="360"/>
    </w:pPr>
  </w:style>
  <w:style w:type="character" w:customStyle="1" w:styleId="BodyTextFirstIndentChar">
    <w:name w:val="Body Text First Indent Char"/>
    <w:basedOn w:val="BodyTextChar"/>
    <w:link w:val="BodyTextFirstIndent"/>
    <w:uiPriority w:val="99"/>
    <w:semiHidden/>
    <w:rsid w:val="00713E5C"/>
  </w:style>
  <w:style w:type="paragraph" w:styleId="BodyTextIndent">
    <w:name w:val="Body Text Indent"/>
    <w:basedOn w:val="Normal"/>
    <w:link w:val="BodyTextIndentChar"/>
    <w:unhideWhenUsed/>
    <w:rsid w:val="00713E5C"/>
    <w:pPr>
      <w:spacing w:after="120"/>
      <w:ind w:left="283"/>
    </w:pPr>
  </w:style>
  <w:style w:type="character" w:customStyle="1" w:styleId="BodyTextIndentChar">
    <w:name w:val="Body Text Indent Char"/>
    <w:basedOn w:val="DefaultParagraphFont"/>
    <w:link w:val="BodyTextIndent"/>
    <w:rsid w:val="00713E5C"/>
  </w:style>
  <w:style w:type="paragraph" w:styleId="BodyTextFirstIndent2">
    <w:name w:val="Body Text First Indent 2"/>
    <w:basedOn w:val="BodyTextIndent"/>
    <w:link w:val="BodyTextFirstIndent2Char"/>
    <w:uiPriority w:val="99"/>
    <w:semiHidden/>
    <w:unhideWhenUsed/>
    <w:rsid w:val="00713E5C"/>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713E5C"/>
  </w:style>
  <w:style w:type="paragraph" w:styleId="BodyTextIndent2">
    <w:name w:val="Body Text Indent 2"/>
    <w:basedOn w:val="Normal"/>
    <w:link w:val="BodyTextIndent2Char"/>
    <w:uiPriority w:val="99"/>
    <w:semiHidden/>
    <w:unhideWhenUsed/>
    <w:rsid w:val="00713E5C"/>
    <w:pPr>
      <w:spacing w:after="120" w:line="480" w:lineRule="auto"/>
      <w:ind w:left="283"/>
    </w:pPr>
  </w:style>
  <w:style w:type="character" w:customStyle="1" w:styleId="BodyTextIndent2Char">
    <w:name w:val="Body Text Indent 2 Char"/>
    <w:basedOn w:val="DefaultParagraphFont"/>
    <w:link w:val="BodyTextIndent2"/>
    <w:uiPriority w:val="99"/>
    <w:semiHidden/>
    <w:rsid w:val="00713E5C"/>
  </w:style>
  <w:style w:type="paragraph" w:styleId="BodyTextIndent3">
    <w:name w:val="Body Text Indent 3"/>
    <w:basedOn w:val="Normal"/>
    <w:link w:val="BodyTextIndent3Char"/>
    <w:uiPriority w:val="99"/>
    <w:semiHidden/>
    <w:unhideWhenUsed/>
    <w:rsid w:val="00713E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13E5C"/>
    <w:rPr>
      <w:sz w:val="16"/>
      <w:szCs w:val="16"/>
    </w:rPr>
  </w:style>
  <w:style w:type="paragraph" w:styleId="Caption">
    <w:name w:val="caption"/>
    <w:basedOn w:val="Normal"/>
    <w:next w:val="Normal"/>
    <w:unhideWhenUsed/>
    <w:qFormat/>
    <w:rsid w:val="00713E5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13E5C"/>
    <w:pPr>
      <w:spacing w:after="0" w:line="240" w:lineRule="auto"/>
      <w:ind w:left="4252"/>
    </w:pPr>
  </w:style>
  <w:style w:type="character" w:customStyle="1" w:styleId="ClosingChar">
    <w:name w:val="Closing Char"/>
    <w:basedOn w:val="DefaultParagraphFont"/>
    <w:link w:val="Closing"/>
    <w:uiPriority w:val="99"/>
    <w:semiHidden/>
    <w:rsid w:val="00713E5C"/>
  </w:style>
  <w:style w:type="paragraph" w:styleId="CommentText">
    <w:name w:val="annotation text"/>
    <w:basedOn w:val="Normal"/>
    <w:link w:val="CommentTextChar"/>
    <w:uiPriority w:val="99"/>
    <w:unhideWhenUsed/>
    <w:rsid w:val="00713E5C"/>
    <w:pPr>
      <w:spacing w:line="240" w:lineRule="auto"/>
    </w:pPr>
    <w:rPr>
      <w:sz w:val="20"/>
      <w:szCs w:val="20"/>
    </w:rPr>
  </w:style>
  <w:style w:type="character" w:customStyle="1" w:styleId="CommentTextChar">
    <w:name w:val="Comment Text Char"/>
    <w:basedOn w:val="DefaultParagraphFont"/>
    <w:link w:val="CommentText"/>
    <w:uiPriority w:val="99"/>
    <w:rsid w:val="00713E5C"/>
    <w:rPr>
      <w:sz w:val="20"/>
      <w:szCs w:val="20"/>
    </w:rPr>
  </w:style>
  <w:style w:type="paragraph" w:styleId="CommentSubject">
    <w:name w:val="annotation subject"/>
    <w:basedOn w:val="CommentText"/>
    <w:next w:val="CommentText"/>
    <w:link w:val="CommentSubjectChar"/>
    <w:uiPriority w:val="99"/>
    <w:unhideWhenUsed/>
    <w:rsid w:val="00713E5C"/>
    <w:rPr>
      <w:b/>
      <w:bCs/>
    </w:rPr>
  </w:style>
  <w:style w:type="character" w:customStyle="1" w:styleId="CommentSubjectChar">
    <w:name w:val="Comment Subject Char"/>
    <w:basedOn w:val="CommentTextChar"/>
    <w:link w:val="CommentSubject"/>
    <w:uiPriority w:val="99"/>
    <w:rsid w:val="00713E5C"/>
    <w:rPr>
      <w:b/>
      <w:bCs/>
      <w:sz w:val="20"/>
      <w:szCs w:val="20"/>
    </w:rPr>
  </w:style>
  <w:style w:type="paragraph" w:styleId="Date">
    <w:name w:val="Date"/>
    <w:basedOn w:val="Normal"/>
    <w:next w:val="Normal"/>
    <w:link w:val="DateChar"/>
    <w:uiPriority w:val="99"/>
    <w:unhideWhenUsed/>
    <w:rsid w:val="00713E5C"/>
  </w:style>
  <w:style w:type="character" w:customStyle="1" w:styleId="DateChar">
    <w:name w:val="Date Char"/>
    <w:basedOn w:val="DefaultParagraphFont"/>
    <w:link w:val="Date"/>
    <w:uiPriority w:val="99"/>
    <w:rsid w:val="00713E5C"/>
  </w:style>
  <w:style w:type="paragraph" w:styleId="DocumentMap">
    <w:name w:val="Document Map"/>
    <w:basedOn w:val="Normal"/>
    <w:link w:val="DocumentMapChar"/>
    <w:uiPriority w:val="99"/>
    <w:semiHidden/>
    <w:unhideWhenUsed/>
    <w:rsid w:val="00713E5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13E5C"/>
    <w:rPr>
      <w:rFonts w:ascii="Segoe UI" w:hAnsi="Segoe UI" w:cs="Segoe UI"/>
      <w:sz w:val="16"/>
      <w:szCs w:val="16"/>
    </w:rPr>
  </w:style>
  <w:style w:type="paragraph" w:styleId="E-mailSignature">
    <w:name w:val="E-mail Signature"/>
    <w:basedOn w:val="Normal"/>
    <w:link w:val="E-mailSignatureChar"/>
    <w:uiPriority w:val="99"/>
    <w:semiHidden/>
    <w:unhideWhenUsed/>
    <w:rsid w:val="00713E5C"/>
    <w:pPr>
      <w:spacing w:after="0" w:line="240" w:lineRule="auto"/>
    </w:pPr>
  </w:style>
  <w:style w:type="character" w:customStyle="1" w:styleId="E-mailSignatureChar">
    <w:name w:val="E-mail Signature Char"/>
    <w:basedOn w:val="DefaultParagraphFont"/>
    <w:link w:val="E-mailSignature"/>
    <w:uiPriority w:val="99"/>
    <w:semiHidden/>
    <w:rsid w:val="00713E5C"/>
  </w:style>
  <w:style w:type="paragraph" w:styleId="EndnoteText">
    <w:name w:val="endnote text"/>
    <w:basedOn w:val="Normal"/>
    <w:link w:val="EndnoteTextChar"/>
    <w:unhideWhenUsed/>
    <w:rsid w:val="00713E5C"/>
    <w:pPr>
      <w:spacing w:after="0" w:line="240" w:lineRule="auto"/>
    </w:pPr>
    <w:rPr>
      <w:sz w:val="20"/>
      <w:szCs w:val="20"/>
    </w:rPr>
  </w:style>
  <w:style w:type="character" w:customStyle="1" w:styleId="EndnoteTextChar">
    <w:name w:val="Endnote Text Char"/>
    <w:basedOn w:val="DefaultParagraphFont"/>
    <w:link w:val="EndnoteText"/>
    <w:rsid w:val="00713E5C"/>
    <w:rPr>
      <w:sz w:val="20"/>
      <w:szCs w:val="20"/>
    </w:rPr>
  </w:style>
  <w:style w:type="paragraph" w:styleId="EnvelopeAddress">
    <w:name w:val="envelope address"/>
    <w:basedOn w:val="Normal"/>
    <w:uiPriority w:val="99"/>
    <w:semiHidden/>
    <w:unhideWhenUsed/>
    <w:rsid w:val="00713E5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13E5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unhideWhenUsed/>
    <w:rsid w:val="00B32CDA"/>
    <w:pPr>
      <w:spacing w:after="0" w:line="240" w:lineRule="auto"/>
      <w:ind w:left="115" w:hanging="115"/>
    </w:pPr>
    <w:rPr>
      <w:sz w:val="20"/>
      <w:szCs w:val="20"/>
    </w:rPr>
  </w:style>
  <w:style w:type="character" w:customStyle="1" w:styleId="FootnoteTextChar">
    <w:name w:val="Footnote Text Char"/>
    <w:basedOn w:val="DefaultParagraphFont"/>
    <w:link w:val="FootnoteText"/>
    <w:uiPriority w:val="99"/>
    <w:rsid w:val="00B32CDA"/>
    <w:rPr>
      <w:sz w:val="20"/>
      <w:szCs w:val="20"/>
    </w:rPr>
  </w:style>
  <w:style w:type="character" w:customStyle="1" w:styleId="Heading4Char">
    <w:name w:val="Heading 4 Char"/>
    <w:aliases w:val="Heading 4 numbered Char"/>
    <w:basedOn w:val="DefaultParagraphFont"/>
    <w:link w:val="Heading4"/>
    <w:uiPriority w:val="9"/>
    <w:rsid w:val="000C30A9"/>
    <w:rPr>
      <w:rFonts w:ascii="Arial Narrow" w:eastAsiaTheme="majorEastAsia" w:hAnsi="Arial Narrow" w:cstheme="majorBidi"/>
      <w:b/>
      <w:iCs/>
      <w:smallCaps/>
      <w:sz w:val="26"/>
    </w:rPr>
  </w:style>
  <w:style w:type="character" w:customStyle="1" w:styleId="Heading5Char">
    <w:name w:val="Heading 5 Char"/>
    <w:basedOn w:val="DefaultParagraphFont"/>
    <w:link w:val="Heading5"/>
    <w:uiPriority w:val="9"/>
    <w:rsid w:val="00FA3D87"/>
    <w:rPr>
      <w:rFonts w:ascii="Arial Narrow" w:eastAsia="Calibri" w:hAnsi="Arial Narrow" w:cstheme="majorBidi"/>
      <w:smallCaps/>
      <w:szCs w:val="24"/>
      <w:lang w:eastAsia="en-AU"/>
    </w:rPr>
  </w:style>
  <w:style w:type="character" w:customStyle="1" w:styleId="Heading6Char">
    <w:name w:val="Heading 6 Char"/>
    <w:basedOn w:val="DefaultParagraphFont"/>
    <w:link w:val="Heading6"/>
    <w:uiPriority w:val="9"/>
    <w:rsid w:val="005C7610"/>
    <w:rPr>
      <w:rFonts w:ascii="Calibri" w:eastAsiaTheme="majorEastAsia" w:hAnsi="Calibri" w:cstheme="majorBidi"/>
      <w:i/>
      <w:iCs/>
    </w:rPr>
  </w:style>
  <w:style w:type="character" w:customStyle="1" w:styleId="Heading7Char">
    <w:name w:val="Heading 7 Char"/>
    <w:basedOn w:val="DefaultParagraphFont"/>
    <w:link w:val="Heading7"/>
    <w:rsid w:val="00B27573"/>
    <w:rPr>
      <w:rFonts w:eastAsiaTheme="majorEastAsia" w:cstheme="majorBidi"/>
      <w:iCs/>
      <w:smallCaps/>
    </w:rPr>
  </w:style>
  <w:style w:type="character" w:customStyle="1" w:styleId="Heading8Char">
    <w:name w:val="Heading 8 Char"/>
    <w:basedOn w:val="DefaultParagraphFont"/>
    <w:link w:val="Heading8"/>
    <w:semiHidden/>
    <w:rsid w:val="00713E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13E5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13E5C"/>
    <w:pPr>
      <w:spacing w:after="0" w:line="240" w:lineRule="auto"/>
    </w:pPr>
    <w:rPr>
      <w:i/>
      <w:iCs/>
    </w:rPr>
  </w:style>
  <w:style w:type="character" w:customStyle="1" w:styleId="HTMLAddressChar">
    <w:name w:val="HTML Address Char"/>
    <w:basedOn w:val="DefaultParagraphFont"/>
    <w:link w:val="HTMLAddress"/>
    <w:uiPriority w:val="99"/>
    <w:semiHidden/>
    <w:rsid w:val="00713E5C"/>
    <w:rPr>
      <w:i/>
      <w:iCs/>
    </w:rPr>
  </w:style>
  <w:style w:type="paragraph" w:styleId="HTMLPreformatted">
    <w:name w:val="HTML Preformatted"/>
    <w:basedOn w:val="Normal"/>
    <w:link w:val="HTMLPreformattedChar"/>
    <w:uiPriority w:val="99"/>
    <w:semiHidden/>
    <w:unhideWhenUsed/>
    <w:rsid w:val="00713E5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13E5C"/>
    <w:rPr>
      <w:rFonts w:ascii="Consolas" w:hAnsi="Consolas" w:cs="Consolas"/>
      <w:sz w:val="20"/>
      <w:szCs w:val="20"/>
    </w:rPr>
  </w:style>
  <w:style w:type="paragraph" w:styleId="Index1">
    <w:name w:val="index 1"/>
    <w:basedOn w:val="Normal"/>
    <w:next w:val="Normal"/>
    <w:autoRedefine/>
    <w:uiPriority w:val="99"/>
    <w:semiHidden/>
    <w:unhideWhenUsed/>
    <w:rsid w:val="00713E5C"/>
    <w:pPr>
      <w:spacing w:after="0" w:line="240" w:lineRule="auto"/>
      <w:ind w:left="220" w:hanging="220"/>
    </w:pPr>
  </w:style>
  <w:style w:type="paragraph" w:styleId="Index2">
    <w:name w:val="index 2"/>
    <w:basedOn w:val="Normal"/>
    <w:next w:val="Normal"/>
    <w:autoRedefine/>
    <w:uiPriority w:val="99"/>
    <w:semiHidden/>
    <w:unhideWhenUsed/>
    <w:rsid w:val="00713E5C"/>
    <w:pPr>
      <w:spacing w:after="0" w:line="240" w:lineRule="auto"/>
      <w:ind w:left="440" w:hanging="220"/>
    </w:pPr>
  </w:style>
  <w:style w:type="paragraph" w:styleId="Index3">
    <w:name w:val="index 3"/>
    <w:basedOn w:val="Normal"/>
    <w:next w:val="Normal"/>
    <w:autoRedefine/>
    <w:uiPriority w:val="99"/>
    <w:semiHidden/>
    <w:unhideWhenUsed/>
    <w:rsid w:val="00713E5C"/>
    <w:pPr>
      <w:spacing w:after="0" w:line="240" w:lineRule="auto"/>
      <w:ind w:left="660" w:hanging="220"/>
    </w:pPr>
  </w:style>
  <w:style w:type="paragraph" w:styleId="Index4">
    <w:name w:val="index 4"/>
    <w:basedOn w:val="Normal"/>
    <w:next w:val="Normal"/>
    <w:autoRedefine/>
    <w:uiPriority w:val="99"/>
    <w:semiHidden/>
    <w:unhideWhenUsed/>
    <w:rsid w:val="00713E5C"/>
    <w:pPr>
      <w:spacing w:after="0" w:line="240" w:lineRule="auto"/>
      <w:ind w:left="880" w:hanging="220"/>
    </w:pPr>
  </w:style>
  <w:style w:type="paragraph" w:styleId="Index5">
    <w:name w:val="index 5"/>
    <w:basedOn w:val="Normal"/>
    <w:next w:val="Normal"/>
    <w:autoRedefine/>
    <w:uiPriority w:val="99"/>
    <w:semiHidden/>
    <w:unhideWhenUsed/>
    <w:rsid w:val="00713E5C"/>
    <w:pPr>
      <w:spacing w:after="0" w:line="240" w:lineRule="auto"/>
      <w:ind w:left="1100" w:hanging="220"/>
    </w:pPr>
  </w:style>
  <w:style w:type="paragraph" w:styleId="Index6">
    <w:name w:val="index 6"/>
    <w:basedOn w:val="Normal"/>
    <w:next w:val="Normal"/>
    <w:autoRedefine/>
    <w:uiPriority w:val="99"/>
    <w:semiHidden/>
    <w:unhideWhenUsed/>
    <w:rsid w:val="00713E5C"/>
    <w:pPr>
      <w:spacing w:after="0" w:line="240" w:lineRule="auto"/>
      <w:ind w:left="1320" w:hanging="220"/>
    </w:pPr>
  </w:style>
  <w:style w:type="paragraph" w:styleId="Index7">
    <w:name w:val="index 7"/>
    <w:basedOn w:val="Normal"/>
    <w:next w:val="Normal"/>
    <w:autoRedefine/>
    <w:uiPriority w:val="99"/>
    <w:semiHidden/>
    <w:unhideWhenUsed/>
    <w:rsid w:val="00713E5C"/>
    <w:pPr>
      <w:spacing w:after="0" w:line="240" w:lineRule="auto"/>
      <w:ind w:left="1540" w:hanging="220"/>
    </w:pPr>
  </w:style>
  <w:style w:type="paragraph" w:styleId="Index8">
    <w:name w:val="index 8"/>
    <w:basedOn w:val="Normal"/>
    <w:next w:val="Normal"/>
    <w:autoRedefine/>
    <w:uiPriority w:val="99"/>
    <w:semiHidden/>
    <w:unhideWhenUsed/>
    <w:rsid w:val="00713E5C"/>
    <w:pPr>
      <w:spacing w:after="0" w:line="240" w:lineRule="auto"/>
      <w:ind w:left="1760" w:hanging="220"/>
    </w:pPr>
  </w:style>
  <w:style w:type="paragraph" w:styleId="Index9">
    <w:name w:val="index 9"/>
    <w:basedOn w:val="Normal"/>
    <w:next w:val="Normal"/>
    <w:autoRedefine/>
    <w:uiPriority w:val="99"/>
    <w:semiHidden/>
    <w:unhideWhenUsed/>
    <w:rsid w:val="00713E5C"/>
    <w:pPr>
      <w:spacing w:after="0" w:line="240" w:lineRule="auto"/>
      <w:ind w:left="1980" w:hanging="220"/>
    </w:pPr>
  </w:style>
  <w:style w:type="paragraph" w:styleId="IndexHeading">
    <w:name w:val="index heading"/>
    <w:basedOn w:val="Normal"/>
    <w:next w:val="Index1"/>
    <w:uiPriority w:val="99"/>
    <w:semiHidden/>
    <w:unhideWhenUsed/>
    <w:rsid w:val="00713E5C"/>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13E5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13E5C"/>
    <w:rPr>
      <w:i/>
      <w:iCs/>
      <w:color w:val="5B9BD5" w:themeColor="accent1"/>
    </w:rPr>
  </w:style>
  <w:style w:type="paragraph" w:styleId="List">
    <w:name w:val="List"/>
    <w:basedOn w:val="Normal"/>
    <w:uiPriority w:val="99"/>
    <w:semiHidden/>
    <w:unhideWhenUsed/>
    <w:rsid w:val="00713E5C"/>
    <w:pPr>
      <w:ind w:left="283" w:hanging="283"/>
      <w:contextualSpacing/>
    </w:pPr>
  </w:style>
  <w:style w:type="paragraph" w:styleId="List2">
    <w:name w:val="List 2"/>
    <w:basedOn w:val="Normal"/>
    <w:uiPriority w:val="99"/>
    <w:semiHidden/>
    <w:unhideWhenUsed/>
    <w:rsid w:val="00713E5C"/>
    <w:pPr>
      <w:ind w:left="566" w:hanging="283"/>
      <w:contextualSpacing/>
    </w:pPr>
  </w:style>
  <w:style w:type="paragraph" w:styleId="List3">
    <w:name w:val="List 3"/>
    <w:basedOn w:val="Normal"/>
    <w:uiPriority w:val="99"/>
    <w:semiHidden/>
    <w:unhideWhenUsed/>
    <w:rsid w:val="00713E5C"/>
    <w:pPr>
      <w:ind w:left="849" w:hanging="283"/>
      <w:contextualSpacing/>
    </w:pPr>
  </w:style>
  <w:style w:type="paragraph" w:styleId="List4">
    <w:name w:val="List 4"/>
    <w:basedOn w:val="Normal"/>
    <w:uiPriority w:val="99"/>
    <w:semiHidden/>
    <w:unhideWhenUsed/>
    <w:rsid w:val="00713E5C"/>
    <w:pPr>
      <w:ind w:left="1132" w:hanging="283"/>
      <w:contextualSpacing/>
    </w:pPr>
  </w:style>
  <w:style w:type="paragraph" w:styleId="List5">
    <w:name w:val="List 5"/>
    <w:basedOn w:val="Normal"/>
    <w:uiPriority w:val="99"/>
    <w:semiHidden/>
    <w:unhideWhenUsed/>
    <w:rsid w:val="00713E5C"/>
    <w:pPr>
      <w:ind w:left="1415" w:hanging="283"/>
      <w:contextualSpacing/>
    </w:pPr>
  </w:style>
  <w:style w:type="paragraph" w:styleId="ListBullet">
    <w:name w:val="List Bullet"/>
    <w:basedOn w:val="Normal"/>
    <w:uiPriority w:val="99"/>
    <w:semiHidden/>
    <w:unhideWhenUsed/>
    <w:rsid w:val="00713E5C"/>
    <w:pPr>
      <w:numPr>
        <w:numId w:val="1"/>
      </w:numPr>
      <w:contextualSpacing/>
    </w:pPr>
  </w:style>
  <w:style w:type="paragraph" w:styleId="ListBullet2">
    <w:name w:val="List Bullet 2"/>
    <w:basedOn w:val="Normal"/>
    <w:uiPriority w:val="99"/>
    <w:semiHidden/>
    <w:unhideWhenUsed/>
    <w:rsid w:val="00713E5C"/>
    <w:pPr>
      <w:numPr>
        <w:numId w:val="2"/>
      </w:numPr>
      <w:contextualSpacing/>
    </w:pPr>
  </w:style>
  <w:style w:type="paragraph" w:styleId="ListBullet3">
    <w:name w:val="List Bullet 3"/>
    <w:basedOn w:val="Normal"/>
    <w:uiPriority w:val="99"/>
    <w:semiHidden/>
    <w:unhideWhenUsed/>
    <w:rsid w:val="00713E5C"/>
    <w:pPr>
      <w:numPr>
        <w:numId w:val="3"/>
      </w:numPr>
      <w:contextualSpacing/>
    </w:pPr>
  </w:style>
  <w:style w:type="paragraph" w:styleId="ListBullet4">
    <w:name w:val="List Bullet 4"/>
    <w:basedOn w:val="Normal"/>
    <w:uiPriority w:val="99"/>
    <w:semiHidden/>
    <w:unhideWhenUsed/>
    <w:rsid w:val="00713E5C"/>
    <w:pPr>
      <w:numPr>
        <w:numId w:val="4"/>
      </w:numPr>
      <w:contextualSpacing/>
    </w:pPr>
  </w:style>
  <w:style w:type="paragraph" w:styleId="ListBullet5">
    <w:name w:val="List Bullet 5"/>
    <w:basedOn w:val="Normal"/>
    <w:uiPriority w:val="99"/>
    <w:semiHidden/>
    <w:unhideWhenUsed/>
    <w:rsid w:val="00713E5C"/>
    <w:pPr>
      <w:numPr>
        <w:numId w:val="5"/>
      </w:numPr>
      <w:contextualSpacing/>
    </w:pPr>
  </w:style>
  <w:style w:type="paragraph" w:styleId="ListContinue">
    <w:name w:val="List Continue"/>
    <w:basedOn w:val="Normal"/>
    <w:uiPriority w:val="99"/>
    <w:semiHidden/>
    <w:unhideWhenUsed/>
    <w:rsid w:val="00713E5C"/>
    <w:pPr>
      <w:spacing w:after="120"/>
      <w:ind w:left="283"/>
      <w:contextualSpacing/>
    </w:pPr>
  </w:style>
  <w:style w:type="paragraph" w:styleId="ListContinue2">
    <w:name w:val="List Continue 2"/>
    <w:basedOn w:val="Normal"/>
    <w:uiPriority w:val="99"/>
    <w:semiHidden/>
    <w:unhideWhenUsed/>
    <w:rsid w:val="00713E5C"/>
    <w:pPr>
      <w:spacing w:after="120"/>
      <w:ind w:left="566"/>
      <w:contextualSpacing/>
    </w:pPr>
  </w:style>
  <w:style w:type="paragraph" w:styleId="ListContinue3">
    <w:name w:val="List Continue 3"/>
    <w:basedOn w:val="Normal"/>
    <w:uiPriority w:val="99"/>
    <w:semiHidden/>
    <w:unhideWhenUsed/>
    <w:rsid w:val="00713E5C"/>
    <w:pPr>
      <w:spacing w:after="120"/>
      <w:ind w:left="849"/>
      <w:contextualSpacing/>
    </w:pPr>
  </w:style>
  <w:style w:type="paragraph" w:styleId="ListContinue4">
    <w:name w:val="List Continue 4"/>
    <w:basedOn w:val="Normal"/>
    <w:uiPriority w:val="99"/>
    <w:semiHidden/>
    <w:unhideWhenUsed/>
    <w:rsid w:val="00713E5C"/>
    <w:pPr>
      <w:spacing w:after="120"/>
      <w:ind w:left="1132"/>
      <w:contextualSpacing/>
    </w:pPr>
  </w:style>
  <w:style w:type="paragraph" w:styleId="ListContinue5">
    <w:name w:val="List Continue 5"/>
    <w:basedOn w:val="Normal"/>
    <w:uiPriority w:val="99"/>
    <w:semiHidden/>
    <w:unhideWhenUsed/>
    <w:rsid w:val="00713E5C"/>
    <w:pPr>
      <w:spacing w:after="120"/>
      <w:ind w:left="1415"/>
      <w:contextualSpacing/>
    </w:pPr>
  </w:style>
  <w:style w:type="paragraph" w:styleId="ListNumber">
    <w:name w:val="List Number"/>
    <w:basedOn w:val="Normal"/>
    <w:uiPriority w:val="99"/>
    <w:semiHidden/>
    <w:unhideWhenUsed/>
    <w:rsid w:val="00713E5C"/>
    <w:pPr>
      <w:numPr>
        <w:numId w:val="6"/>
      </w:numPr>
      <w:contextualSpacing/>
    </w:pPr>
  </w:style>
  <w:style w:type="paragraph" w:styleId="ListNumber2">
    <w:name w:val="List Number 2"/>
    <w:basedOn w:val="Normal"/>
    <w:uiPriority w:val="99"/>
    <w:unhideWhenUsed/>
    <w:rsid w:val="00713E5C"/>
    <w:pPr>
      <w:numPr>
        <w:numId w:val="7"/>
      </w:numPr>
      <w:contextualSpacing/>
    </w:pPr>
  </w:style>
  <w:style w:type="paragraph" w:styleId="ListNumber3">
    <w:name w:val="List Number 3"/>
    <w:basedOn w:val="Normal"/>
    <w:uiPriority w:val="99"/>
    <w:semiHidden/>
    <w:unhideWhenUsed/>
    <w:rsid w:val="00713E5C"/>
    <w:pPr>
      <w:numPr>
        <w:numId w:val="8"/>
      </w:numPr>
      <w:contextualSpacing/>
    </w:pPr>
  </w:style>
  <w:style w:type="paragraph" w:styleId="ListNumber4">
    <w:name w:val="List Number 4"/>
    <w:basedOn w:val="Normal"/>
    <w:uiPriority w:val="99"/>
    <w:semiHidden/>
    <w:unhideWhenUsed/>
    <w:rsid w:val="00713E5C"/>
    <w:pPr>
      <w:numPr>
        <w:numId w:val="9"/>
      </w:numPr>
      <w:contextualSpacing/>
    </w:pPr>
  </w:style>
  <w:style w:type="paragraph" w:styleId="ListNumber5">
    <w:name w:val="List Number 5"/>
    <w:basedOn w:val="Normal"/>
    <w:uiPriority w:val="99"/>
    <w:semiHidden/>
    <w:unhideWhenUsed/>
    <w:rsid w:val="00713E5C"/>
    <w:pPr>
      <w:numPr>
        <w:numId w:val="10"/>
      </w:numPr>
      <w:contextualSpacing/>
    </w:pPr>
  </w:style>
  <w:style w:type="paragraph" w:styleId="MacroText">
    <w:name w:val="macro"/>
    <w:link w:val="MacroTextChar"/>
    <w:uiPriority w:val="99"/>
    <w:semiHidden/>
    <w:unhideWhenUsed/>
    <w:rsid w:val="00713E5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713E5C"/>
    <w:rPr>
      <w:rFonts w:ascii="Consolas" w:hAnsi="Consolas" w:cs="Consolas"/>
      <w:sz w:val="20"/>
      <w:szCs w:val="20"/>
    </w:rPr>
  </w:style>
  <w:style w:type="paragraph" w:styleId="MessageHeader">
    <w:name w:val="Message Header"/>
    <w:basedOn w:val="Normal"/>
    <w:link w:val="MessageHeaderChar"/>
    <w:uiPriority w:val="99"/>
    <w:semiHidden/>
    <w:unhideWhenUsed/>
    <w:rsid w:val="00713E5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13E5C"/>
    <w:rPr>
      <w:rFonts w:asciiTheme="majorHAnsi" w:eastAsiaTheme="majorEastAsia" w:hAnsiTheme="majorHAnsi" w:cstheme="majorBidi"/>
      <w:sz w:val="24"/>
      <w:szCs w:val="24"/>
      <w:shd w:val="pct20" w:color="auto" w:fill="auto"/>
    </w:rPr>
  </w:style>
  <w:style w:type="paragraph" w:styleId="NoSpacing">
    <w:name w:val="No Spacing"/>
    <w:uiPriority w:val="1"/>
    <w:qFormat/>
    <w:rsid w:val="00713E5C"/>
    <w:pPr>
      <w:spacing w:after="0" w:line="240" w:lineRule="auto"/>
    </w:pPr>
  </w:style>
  <w:style w:type="paragraph" w:styleId="NormalWeb">
    <w:name w:val="Normal (Web)"/>
    <w:basedOn w:val="Normal"/>
    <w:uiPriority w:val="99"/>
    <w:unhideWhenUsed/>
    <w:rsid w:val="00713E5C"/>
    <w:rPr>
      <w:rFonts w:ascii="Times New Roman" w:hAnsi="Times New Roman" w:cs="Times New Roman"/>
      <w:sz w:val="24"/>
      <w:szCs w:val="24"/>
    </w:rPr>
  </w:style>
  <w:style w:type="paragraph" w:styleId="NormalIndent">
    <w:name w:val="Normal Indent"/>
    <w:basedOn w:val="Normal"/>
    <w:uiPriority w:val="99"/>
    <w:semiHidden/>
    <w:unhideWhenUsed/>
    <w:rsid w:val="00713E5C"/>
    <w:pPr>
      <w:ind w:left="720"/>
    </w:pPr>
  </w:style>
  <w:style w:type="paragraph" w:styleId="NoteHeading">
    <w:name w:val="Note Heading"/>
    <w:basedOn w:val="Normal"/>
    <w:next w:val="Normal"/>
    <w:link w:val="NoteHeadingChar"/>
    <w:uiPriority w:val="99"/>
    <w:semiHidden/>
    <w:unhideWhenUsed/>
    <w:rsid w:val="00713E5C"/>
    <w:pPr>
      <w:spacing w:after="0" w:line="240" w:lineRule="auto"/>
    </w:pPr>
  </w:style>
  <w:style w:type="character" w:customStyle="1" w:styleId="NoteHeadingChar">
    <w:name w:val="Note Heading Char"/>
    <w:basedOn w:val="DefaultParagraphFont"/>
    <w:link w:val="NoteHeading"/>
    <w:uiPriority w:val="99"/>
    <w:semiHidden/>
    <w:rsid w:val="00713E5C"/>
  </w:style>
  <w:style w:type="paragraph" w:styleId="PlainText">
    <w:name w:val="Plain Text"/>
    <w:basedOn w:val="Normal"/>
    <w:link w:val="PlainTextChar"/>
    <w:uiPriority w:val="99"/>
    <w:unhideWhenUsed/>
    <w:rsid w:val="00713E5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13E5C"/>
    <w:rPr>
      <w:rFonts w:ascii="Consolas" w:hAnsi="Consolas" w:cs="Consolas"/>
      <w:sz w:val="21"/>
      <w:szCs w:val="21"/>
    </w:rPr>
  </w:style>
  <w:style w:type="paragraph" w:styleId="Quote">
    <w:name w:val="Quote"/>
    <w:basedOn w:val="Normal"/>
    <w:next w:val="Normal"/>
    <w:link w:val="QuoteChar"/>
    <w:uiPriority w:val="29"/>
    <w:qFormat/>
    <w:rsid w:val="00ED4734"/>
    <w:pPr>
      <w:ind w:left="709"/>
    </w:pPr>
  </w:style>
  <w:style w:type="character" w:customStyle="1" w:styleId="QuoteChar">
    <w:name w:val="Quote Char"/>
    <w:basedOn w:val="DefaultParagraphFont"/>
    <w:link w:val="Quote"/>
    <w:uiPriority w:val="29"/>
    <w:rsid w:val="00ED4734"/>
  </w:style>
  <w:style w:type="paragraph" w:styleId="Salutation">
    <w:name w:val="Salutation"/>
    <w:basedOn w:val="Normal"/>
    <w:next w:val="Normal"/>
    <w:link w:val="SalutationChar"/>
    <w:uiPriority w:val="99"/>
    <w:semiHidden/>
    <w:unhideWhenUsed/>
    <w:rsid w:val="00713E5C"/>
  </w:style>
  <w:style w:type="character" w:customStyle="1" w:styleId="SalutationChar">
    <w:name w:val="Salutation Char"/>
    <w:basedOn w:val="DefaultParagraphFont"/>
    <w:link w:val="Salutation"/>
    <w:uiPriority w:val="99"/>
    <w:semiHidden/>
    <w:rsid w:val="00713E5C"/>
  </w:style>
  <w:style w:type="paragraph" w:styleId="Signature">
    <w:name w:val="Signature"/>
    <w:basedOn w:val="Normal"/>
    <w:link w:val="SignatureChar"/>
    <w:uiPriority w:val="99"/>
    <w:semiHidden/>
    <w:unhideWhenUsed/>
    <w:rsid w:val="00713E5C"/>
    <w:pPr>
      <w:spacing w:after="0" w:line="240" w:lineRule="auto"/>
      <w:ind w:left="4252"/>
    </w:pPr>
  </w:style>
  <w:style w:type="character" w:customStyle="1" w:styleId="SignatureChar">
    <w:name w:val="Signature Char"/>
    <w:basedOn w:val="DefaultParagraphFont"/>
    <w:link w:val="Signature"/>
    <w:uiPriority w:val="99"/>
    <w:semiHidden/>
    <w:rsid w:val="00713E5C"/>
  </w:style>
  <w:style w:type="paragraph" w:styleId="Subtitle">
    <w:name w:val="Subtitle"/>
    <w:basedOn w:val="Normal"/>
    <w:next w:val="Normal"/>
    <w:link w:val="SubtitleChar"/>
    <w:uiPriority w:val="11"/>
    <w:rsid w:val="00713E5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3E5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13E5C"/>
    <w:pPr>
      <w:spacing w:after="0"/>
      <w:ind w:left="220" w:hanging="220"/>
    </w:pPr>
  </w:style>
  <w:style w:type="paragraph" w:styleId="TableofFigures">
    <w:name w:val="table of figures"/>
    <w:basedOn w:val="Normal"/>
    <w:next w:val="Normal"/>
    <w:uiPriority w:val="99"/>
    <w:semiHidden/>
    <w:unhideWhenUsed/>
    <w:rsid w:val="00713E5C"/>
    <w:pPr>
      <w:spacing w:after="0"/>
    </w:pPr>
  </w:style>
  <w:style w:type="paragraph" w:styleId="Title">
    <w:name w:val="Title"/>
    <w:basedOn w:val="Normal"/>
    <w:next w:val="Normal"/>
    <w:link w:val="TitleChar"/>
    <w:uiPriority w:val="10"/>
    <w:rsid w:val="00713E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E5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13E5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EF123A"/>
    <w:pPr>
      <w:tabs>
        <w:tab w:val="right" w:leader="dot" w:pos="9061"/>
      </w:tabs>
      <w:spacing w:before="240" w:after="40" w:line="312" w:lineRule="auto"/>
      <w:ind w:left="288" w:hanging="288"/>
    </w:pPr>
    <w:rPr>
      <w:rFonts w:ascii="Calibri" w:eastAsia="Times New Roman" w:hAnsi="Calibri" w:cs="Times New Roman"/>
      <w:bCs/>
      <w:smallCaps/>
      <w:noProof/>
      <w:spacing w:val="40"/>
      <w:sz w:val="28"/>
      <w:szCs w:val="28"/>
    </w:rPr>
  </w:style>
  <w:style w:type="paragraph" w:styleId="TOC2">
    <w:name w:val="toc 2"/>
    <w:basedOn w:val="Normal"/>
    <w:next w:val="Normal"/>
    <w:autoRedefine/>
    <w:uiPriority w:val="39"/>
    <w:unhideWhenUsed/>
    <w:rsid w:val="00EB384D"/>
    <w:pPr>
      <w:tabs>
        <w:tab w:val="right" w:leader="dot" w:pos="9061"/>
      </w:tabs>
      <w:spacing w:before="120" w:after="0" w:line="240" w:lineRule="auto"/>
      <w:ind w:left="850" w:hanging="562"/>
    </w:pPr>
    <w:rPr>
      <w:rFonts w:ascii="Calibri" w:eastAsia="Times New Roman" w:hAnsi="Calibri" w:cs="Times New Roman"/>
      <w:b/>
      <w:sz w:val="24"/>
      <w:szCs w:val="24"/>
    </w:rPr>
  </w:style>
  <w:style w:type="paragraph" w:styleId="TOC3">
    <w:name w:val="toc 3"/>
    <w:basedOn w:val="Normal"/>
    <w:next w:val="Normal"/>
    <w:autoRedefine/>
    <w:uiPriority w:val="39"/>
    <w:unhideWhenUsed/>
    <w:rsid w:val="007D6C78"/>
    <w:pPr>
      <w:tabs>
        <w:tab w:val="right" w:leader="dot" w:pos="9016"/>
      </w:tabs>
      <w:spacing w:before="120" w:after="120" w:line="240" w:lineRule="auto"/>
      <w:ind w:left="692"/>
    </w:pPr>
    <w:rPr>
      <w:rFonts w:eastAsia="Times New Roman"/>
      <w:b/>
      <w:smallCaps/>
      <w:noProof/>
    </w:rPr>
  </w:style>
  <w:style w:type="paragraph" w:styleId="TOC4">
    <w:name w:val="toc 4"/>
    <w:basedOn w:val="Normal"/>
    <w:next w:val="Normal"/>
    <w:autoRedefine/>
    <w:unhideWhenUsed/>
    <w:rsid w:val="0097778C"/>
    <w:pPr>
      <w:tabs>
        <w:tab w:val="right" w:leader="dot" w:pos="9016"/>
      </w:tabs>
      <w:spacing w:beforeLines="100" w:afterLines="100" w:line="240" w:lineRule="auto"/>
      <w:ind w:left="658"/>
    </w:pPr>
    <w:rPr>
      <w:rFonts w:ascii="Arial Narrow" w:hAnsi="Arial Narrow"/>
      <w:b/>
      <w:noProof/>
      <w:sz w:val="24"/>
    </w:rPr>
  </w:style>
  <w:style w:type="paragraph" w:styleId="TOC5">
    <w:name w:val="toc 5"/>
    <w:basedOn w:val="Normal"/>
    <w:next w:val="Normal"/>
    <w:autoRedefine/>
    <w:uiPriority w:val="39"/>
    <w:semiHidden/>
    <w:unhideWhenUsed/>
    <w:rsid w:val="00713E5C"/>
    <w:pPr>
      <w:spacing w:after="100"/>
      <w:ind w:left="880"/>
    </w:pPr>
  </w:style>
  <w:style w:type="paragraph" w:styleId="TOC6">
    <w:name w:val="toc 6"/>
    <w:basedOn w:val="Normal"/>
    <w:next w:val="Normal"/>
    <w:autoRedefine/>
    <w:uiPriority w:val="39"/>
    <w:semiHidden/>
    <w:unhideWhenUsed/>
    <w:rsid w:val="00713E5C"/>
    <w:pPr>
      <w:spacing w:after="100"/>
      <w:ind w:left="1100"/>
    </w:pPr>
  </w:style>
  <w:style w:type="paragraph" w:styleId="TOC7">
    <w:name w:val="toc 7"/>
    <w:basedOn w:val="Normal"/>
    <w:next w:val="Normal"/>
    <w:autoRedefine/>
    <w:uiPriority w:val="39"/>
    <w:semiHidden/>
    <w:unhideWhenUsed/>
    <w:rsid w:val="00713E5C"/>
    <w:pPr>
      <w:spacing w:after="100"/>
      <w:ind w:left="1320"/>
    </w:pPr>
  </w:style>
  <w:style w:type="paragraph" w:styleId="TOC8">
    <w:name w:val="toc 8"/>
    <w:basedOn w:val="Normal"/>
    <w:next w:val="Normal"/>
    <w:autoRedefine/>
    <w:uiPriority w:val="39"/>
    <w:semiHidden/>
    <w:unhideWhenUsed/>
    <w:rsid w:val="00713E5C"/>
    <w:pPr>
      <w:spacing w:after="100"/>
      <w:ind w:left="1540"/>
    </w:pPr>
  </w:style>
  <w:style w:type="paragraph" w:styleId="TOC9">
    <w:name w:val="toc 9"/>
    <w:basedOn w:val="Normal"/>
    <w:next w:val="Normal"/>
    <w:autoRedefine/>
    <w:uiPriority w:val="39"/>
    <w:semiHidden/>
    <w:unhideWhenUsed/>
    <w:rsid w:val="00713E5C"/>
    <w:pPr>
      <w:spacing w:after="100"/>
      <w:ind w:left="1760"/>
    </w:pPr>
  </w:style>
  <w:style w:type="paragraph" w:styleId="TOCHeading">
    <w:name w:val="TOC Heading"/>
    <w:basedOn w:val="Heading1"/>
    <w:next w:val="Normal"/>
    <w:unhideWhenUsed/>
    <w:qFormat/>
    <w:rsid w:val="00116E9B"/>
    <w:pPr>
      <w:spacing w:before="240" w:after="240"/>
      <w:jc w:val="left"/>
      <w:outlineLvl w:val="9"/>
    </w:pPr>
    <w:rPr>
      <w:smallCaps w:val="0"/>
      <w:sz w:val="30"/>
    </w:rPr>
  </w:style>
  <w:style w:type="character" w:styleId="Hyperlink">
    <w:name w:val="Hyperlink"/>
    <w:basedOn w:val="DefaultParagraphFont"/>
    <w:uiPriority w:val="99"/>
    <w:unhideWhenUsed/>
    <w:rsid w:val="00AD53EA"/>
    <w:rPr>
      <w:color w:val="0000FF"/>
    </w:rPr>
  </w:style>
  <w:style w:type="character" w:styleId="FootnoteReference">
    <w:name w:val="footnote reference"/>
    <w:aliases w:val="Footnote number,Footnotes refss"/>
    <w:basedOn w:val="DefaultParagraphFont"/>
    <w:uiPriority w:val="99"/>
    <w:unhideWhenUsed/>
    <w:rsid w:val="006013DE"/>
    <w:rPr>
      <w:vertAlign w:val="superscript"/>
    </w:rPr>
  </w:style>
  <w:style w:type="character" w:styleId="Strong">
    <w:name w:val="Strong"/>
    <w:basedOn w:val="DefaultParagraphFont"/>
    <w:uiPriority w:val="22"/>
    <w:qFormat/>
    <w:rsid w:val="00034ADC"/>
    <w:rPr>
      <w:b/>
      <w:bCs/>
    </w:rPr>
  </w:style>
  <w:style w:type="paragraph" w:customStyle="1" w:styleId="Bodycopy">
    <w:name w:val="Body copy"/>
    <w:qFormat/>
    <w:rsid w:val="00133AB1"/>
    <w:pPr>
      <w:widowControl w:val="0"/>
      <w:tabs>
        <w:tab w:val="left" w:pos="1276"/>
      </w:tabs>
      <w:spacing w:before="240" w:after="240" w:line="300" w:lineRule="exact"/>
    </w:pPr>
    <w:rPr>
      <w:rFonts w:ascii="Calibri" w:eastAsia="Calibri" w:hAnsi="Calibri" w:cs="Calibri"/>
      <w:color w:val="000000"/>
      <w:szCs w:val="20"/>
      <w:lang w:eastAsia="en-AU"/>
    </w:rPr>
  </w:style>
  <w:style w:type="character" w:styleId="FollowedHyperlink">
    <w:name w:val="FollowedHyperlink"/>
    <w:basedOn w:val="DefaultParagraphFont"/>
    <w:unhideWhenUsed/>
    <w:rsid w:val="00670CBD"/>
    <w:rPr>
      <w:color w:val="954F72" w:themeColor="followedHyperlink"/>
      <w:u w:val="single"/>
    </w:rPr>
  </w:style>
  <w:style w:type="paragraph" w:customStyle="1" w:styleId="Amain">
    <w:name w:val="A main"/>
    <w:basedOn w:val="Normal"/>
    <w:link w:val="AmainChar"/>
    <w:uiPriority w:val="99"/>
    <w:rsid w:val="00833A3B"/>
    <w:pPr>
      <w:tabs>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rPr>
  </w:style>
  <w:style w:type="paragraph" w:customStyle="1" w:styleId="Apara">
    <w:name w:val="A para"/>
    <w:basedOn w:val="Normal"/>
    <w:link w:val="AparaChar"/>
    <w:rsid w:val="00833A3B"/>
    <w:pPr>
      <w:tabs>
        <w:tab w:val="right" w:pos="1400"/>
        <w:tab w:val="left" w:pos="1600"/>
      </w:tabs>
      <w:spacing w:before="140" w:after="0" w:line="240" w:lineRule="auto"/>
      <w:ind w:left="1600" w:hanging="1600"/>
      <w:jc w:val="both"/>
      <w:outlineLvl w:val="6"/>
    </w:pPr>
    <w:rPr>
      <w:rFonts w:ascii="Times New Roman" w:eastAsia="Times New Roman" w:hAnsi="Times New Roman" w:cs="Times New Roman"/>
      <w:sz w:val="24"/>
      <w:szCs w:val="20"/>
    </w:rPr>
  </w:style>
  <w:style w:type="paragraph" w:customStyle="1" w:styleId="Asubpara">
    <w:name w:val="A subpara"/>
    <w:basedOn w:val="Normal"/>
    <w:rsid w:val="00833A3B"/>
    <w:pPr>
      <w:tabs>
        <w:tab w:val="right" w:pos="1900"/>
        <w:tab w:val="left" w:pos="2100"/>
      </w:tabs>
      <w:spacing w:before="140" w:after="0" w:line="240" w:lineRule="auto"/>
      <w:ind w:left="2100" w:hanging="2100"/>
      <w:jc w:val="both"/>
      <w:outlineLvl w:val="7"/>
    </w:pPr>
    <w:rPr>
      <w:rFonts w:ascii="Times New Roman" w:eastAsia="Times New Roman" w:hAnsi="Times New Roman" w:cs="Times New Roman"/>
      <w:sz w:val="24"/>
      <w:szCs w:val="20"/>
    </w:rPr>
  </w:style>
  <w:style w:type="character" w:customStyle="1" w:styleId="charItals">
    <w:name w:val="charItals"/>
    <w:basedOn w:val="DefaultParagraphFont"/>
    <w:rsid w:val="00833A3B"/>
    <w:rPr>
      <w:rFonts w:cs="Times New Roman"/>
      <w:i/>
    </w:rPr>
  </w:style>
  <w:style w:type="paragraph" w:customStyle="1" w:styleId="aNotepar">
    <w:name w:val="aNotepar"/>
    <w:basedOn w:val="Normal"/>
    <w:next w:val="Normal"/>
    <w:rsid w:val="00833A3B"/>
    <w:pPr>
      <w:spacing w:before="140" w:after="0" w:line="240" w:lineRule="auto"/>
      <w:ind w:left="2400" w:hanging="800"/>
      <w:jc w:val="both"/>
    </w:pPr>
    <w:rPr>
      <w:rFonts w:ascii="Times New Roman" w:eastAsia="Times New Roman" w:hAnsi="Times New Roman" w:cs="Times New Roman"/>
      <w:sz w:val="20"/>
      <w:szCs w:val="20"/>
    </w:rPr>
  </w:style>
  <w:style w:type="character" w:customStyle="1" w:styleId="charCitHyperlinkAbbrev">
    <w:name w:val="charCitHyperlinkAbbrev"/>
    <w:basedOn w:val="Hyperlink"/>
    <w:uiPriority w:val="1"/>
    <w:rsid w:val="00833A3B"/>
    <w:rPr>
      <w:rFonts w:cs="Times New Roman"/>
      <w:color w:val="0563C1" w:themeColor="hyperlink"/>
      <w:u w:val="none"/>
    </w:rPr>
  </w:style>
  <w:style w:type="paragraph" w:customStyle="1" w:styleId="Amainreturn">
    <w:name w:val="A main return"/>
    <w:basedOn w:val="Normal"/>
    <w:link w:val="AmainreturnChar"/>
    <w:rsid w:val="00BC1FB7"/>
    <w:pPr>
      <w:spacing w:before="140" w:after="0" w:line="240" w:lineRule="auto"/>
      <w:ind w:left="1100"/>
      <w:jc w:val="both"/>
    </w:pPr>
    <w:rPr>
      <w:rFonts w:ascii="Times New Roman" w:eastAsia="Times New Roman" w:hAnsi="Times New Roman" w:cs="Times New Roman"/>
      <w:sz w:val="24"/>
      <w:szCs w:val="20"/>
    </w:rPr>
  </w:style>
  <w:style w:type="paragraph" w:customStyle="1" w:styleId="aNote">
    <w:name w:val="aNote"/>
    <w:basedOn w:val="Normal"/>
    <w:link w:val="aNoteChar"/>
    <w:rsid w:val="00BC1FB7"/>
    <w:pPr>
      <w:spacing w:before="140" w:after="0" w:line="240" w:lineRule="auto"/>
      <w:ind w:left="1900" w:hanging="800"/>
      <w:jc w:val="both"/>
    </w:pPr>
    <w:rPr>
      <w:rFonts w:ascii="Times New Roman" w:eastAsia="Times New Roman" w:hAnsi="Times New Roman" w:cs="Times New Roman"/>
      <w:sz w:val="20"/>
      <w:szCs w:val="20"/>
    </w:rPr>
  </w:style>
  <w:style w:type="paragraph" w:customStyle="1" w:styleId="IH5Sec">
    <w:name w:val="I H5 Sec"/>
    <w:basedOn w:val="Normal"/>
    <w:next w:val="Normal"/>
    <w:rsid w:val="00BC1FB7"/>
    <w:pPr>
      <w:keepNext/>
      <w:tabs>
        <w:tab w:val="left" w:pos="1100"/>
      </w:tabs>
      <w:spacing w:before="240" w:after="0" w:line="240" w:lineRule="auto"/>
      <w:ind w:left="1100" w:hanging="1100"/>
    </w:pPr>
    <w:rPr>
      <w:rFonts w:ascii="Arial" w:eastAsia="Times New Roman" w:hAnsi="Arial" w:cs="Times New Roman"/>
      <w:b/>
      <w:sz w:val="24"/>
      <w:szCs w:val="20"/>
    </w:rPr>
  </w:style>
  <w:style w:type="paragraph" w:customStyle="1" w:styleId="Ipara">
    <w:name w:val="I para"/>
    <w:basedOn w:val="Apara"/>
    <w:rsid w:val="00BC1FB7"/>
    <w:pPr>
      <w:outlineLvl w:val="9"/>
    </w:pPr>
  </w:style>
  <w:style w:type="paragraph" w:customStyle="1" w:styleId="PenaltyPara">
    <w:name w:val="PenaltyPara"/>
    <w:basedOn w:val="Normal"/>
    <w:rsid w:val="00BC1FB7"/>
    <w:pPr>
      <w:tabs>
        <w:tab w:val="left" w:pos="0"/>
        <w:tab w:val="right" w:pos="1360"/>
      </w:tabs>
      <w:spacing w:before="60" w:after="0" w:line="240" w:lineRule="auto"/>
      <w:ind w:left="1600" w:hanging="1600"/>
      <w:jc w:val="both"/>
    </w:pPr>
    <w:rPr>
      <w:rFonts w:ascii="Times New Roman" w:eastAsia="Times New Roman" w:hAnsi="Times New Roman" w:cs="Times New Roman"/>
      <w:sz w:val="24"/>
      <w:szCs w:val="20"/>
    </w:rPr>
  </w:style>
  <w:style w:type="paragraph" w:customStyle="1" w:styleId="Penalty">
    <w:name w:val="Penalty"/>
    <w:basedOn w:val="Amainreturn"/>
    <w:rsid w:val="00BC1FB7"/>
  </w:style>
  <w:style w:type="character" w:customStyle="1" w:styleId="aNoteChar">
    <w:name w:val="aNote Char"/>
    <w:basedOn w:val="DefaultParagraphFont"/>
    <w:link w:val="aNote"/>
    <w:locked/>
    <w:rsid w:val="00BC1FB7"/>
    <w:rPr>
      <w:rFonts w:ascii="Times New Roman" w:eastAsia="Times New Roman" w:hAnsi="Times New Roman" w:cs="Times New Roman"/>
      <w:sz w:val="20"/>
      <w:szCs w:val="20"/>
    </w:rPr>
  </w:style>
  <w:style w:type="character" w:customStyle="1" w:styleId="AmainreturnChar">
    <w:name w:val="A main return Char"/>
    <w:basedOn w:val="DefaultParagraphFont"/>
    <w:link w:val="Amainreturn"/>
    <w:locked/>
    <w:rsid w:val="00BC1FB7"/>
    <w:rPr>
      <w:rFonts w:ascii="Times New Roman" w:eastAsia="Times New Roman" w:hAnsi="Times New Roman" w:cs="Times New Roman"/>
      <w:sz w:val="24"/>
      <w:szCs w:val="20"/>
    </w:rPr>
  </w:style>
  <w:style w:type="paragraph" w:customStyle="1" w:styleId="Headiong5">
    <w:name w:val="Headiong 5"/>
    <w:basedOn w:val="Normal"/>
    <w:rsid w:val="007F6E9B"/>
    <w:pPr>
      <w:keepNext/>
      <w:keepLines/>
      <w:outlineLvl w:val="4"/>
    </w:pPr>
    <w:rPr>
      <w:rFonts w:ascii="Arial Narrow" w:eastAsia="Times New Roman" w:hAnsi="Arial Narrow" w:cs="Times New Roman"/>
      <w:iCs/>
      <w:smallCaps/>
      <w:szCs w:val="24"/>
    </w:rPr>
  </w:style>
  <w:style w:type="paragraph" w:customStyle="1" w:styleId="Paper">
    <w:name w:val="Paper"/>
    <w:rsid w:val="00434745"/>
    <w:pPr>
      <w:spacing w:after="120" w:line="240" w:lineRule="auto"/>
    </w:pPr>
    <w:rPr>
      <w:rFonts w:ascii="Times New Roman" w:eastAsia="Times New Roman" w:hAnsi="Times New Roman" w:cs="Times New Roman"/>
      <w:sz w:val="24"/>
      <w:szCs w:val="20"/>
    </w:rPr>
  </w:style>
  <w:style w:type="paragraph" w:customStyle="1" w:styleId="Hyper">
    <w:name w:val="Hyper"/>
    <w:basedOn w:val="Normal"/>
    <w:rsid w:val="0093399E"/>
    <w:pPr>
      <w:spacing w:line="280" w:lineRule="atLeast"/>
    </w:pPr>
    <w:rPr>
      <w:rFonts w:ascii="Calibri" w:eastAsia="Times New Roman" w:hAnsi="Calibri" w:cs="Calibri"/>
      <w:color w:val="1F3864" w:themeColor="accent5" w:themeShade="80"/>
    </w:rPr>
  </w:style>
  <w:style w:type="paragraph" w:customStyle="1" w:styleId="Bodycopynumbered">
    <w:name w:val="Body copy numbered"/>
    <w:rsid w:val="00196028"/>
    <w:pPr>
      <w:keepNext/>
      <w:widowControl w:val="0"/>
      <w:spacing w:before="240" w:after="100" w:line="300" w:lineRule="exact"/>
      <w:ind w:left="567" w:hanging="567"/>
      <w:outlineLvl w:val="1"/>
    </w:pPr>
    <w:rPr>
      <w:rFonts w:ascii="Calibri" w:eastAsia="Calibri" w:hAnsi="Calibri" w:cs="Arial"/>
      <w:bCs/>
      <w:kern w:val="32"/>
      <w:szCs w:val="20"/>
    </w:rPr>
  </w:style>
  <w:style w:type="paragraph" w:customStyle="1" w:styleId="Body">
    <w:name w:val="Body"/>
    <w:basedOn w:val="Paper"/>
    <w:rsid w:val="00BB4F51"/>
    <w:rPr>
      <w:rFonts w:ascii="Calibri" w:hAnsi="Calibri" w:cs="Calibri"/>
      <w:b/>
    </w:rPr>
  </w:style>
  <w:style w:type="paragraph" w:customStyle="1" w:styleId="headingparagraph">
    <w:name w:val="headingparagraph"/>
    <w:basedOn w:val="Normal"/>
    <w:rsid w:val="00B422D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name">
    <w:name w:val="headingname"/>
    <w:basedOn w:val="DefaultParagraphFont"/>
    <w:rsid w:val="00B422D9"/>
  </w:style>
  <w:style w:type="character" w:customStyle="1" w:styleId="listnumber0">
    <w:name w:val="listnumber"/>
    <w:basedOn w:val="DefaultParagraphFont"/>
    <w:rsid w:val="00B422D9"/>
  </w:style>
  <w:style w:type="character" w:customStyle="1" w:styleId="CharSectNo">
    <w:name w:val="CharSectNo"/>
    <w:rsid w:val="00B76B42"/>
    <w:rPr>
      <w:rFonts w:cs="Times New Roman"/>
    </w:rPr>
  </w:style>
  <w:style w:type="paragraph" w:customStyle="1" w:styleId="Schclauseheading">
    <w:name w:val="Sch clause heading"/>
    <w:basedOn w:val="Normal"/>
    <w:next w:val="Normal"/>
    <w:rsid w:val="00B76B42"/>
    <w:pPr>
      <w:keepNext/>
      <w:tabs>
        <w:tab w:val="left" w:pos="1100"/>
      </w:tabs>
      <w:spacing w:before="240" w:after="0" w:line="240" w:lineRule="auto"/>
      <w:ind w:left="1100" w:hanging="1100"/>
      <w:outlineLvl w:val="4"/>
    </w:pPr>
    <w:rPr>
      <w:rFonts w:ascii="Arial" w:eastAsia="Times New Roman" w:hAnsi="Arial" w:cs="Times New Roman"/>
      <w:b/>
      <w:sz w:val="24"/>
      <w:szCs w:val="20"/>
    </w:rPr>
  </w:style>
  <w:style w:type="paragraph" w:customStyle="1" w:styleId="AH5Sec">
    <w:name w:val="A H5 Sec"/>
    <w:basedOn w:val="Normal"/>
    <w:next w:val="Amain"/>
    <w:link w:val="AH5SecChar"/>
    <w:rsid w:val="004B2546"/>
    <w:pPr>
      <w:keepNext/>
      <w:tabs>
        <w:tab w:val="left" w:pos="1100"/>
      </w:tabs>
      <w:spacing w:before="240" w:after="0" w:line="240" w:lineRule="auto"/>
      <w:ind w:left="1100" w:hanging="1100"/>
      <w:outlineLvl w:val="4"/>
    </w:pPr>
    <w:rPr>
      <w:rFonts w:ascii="Arial" w:eastAsia="Times New Roman" w:hAnsi="Arial" w:cs="Times New Roman"/>
      <w:b/>
      <w:sz w:val="24"/>
      <w:szCs w:val="20"/>
    </w:rPr>
  </w:style>
  <w:style w:type="character" w:customStyle="1" w:styleId="charBoldItals">
    <w:name w:val="charBoldItals"/>
    <w:basedOn w:val="DefaultParagraphFont"/>
    <w:rsid w:val="004B2546"/>
    <w:rPr>
      <w:b/>
      <w:i/>
    </w:rPr>
  </w:style>
  <w:style w:type="character" w:customStyle="1" w:styleId="AH5SecChar">
    <w:name w:val="A H5 Sec Char"/>
    <w:basedOn w:val="DefaultParagraphFont"/>
    <w:link w:val="AH5Sec"/>
    <w:locked/>
    <w:rsid w:val="004B2546"/>
    <w:rPr>
      <w:rFonts w:ascii="Arial" w:eastAsia="Times New Roman" w:hAnsi="Arial" w:cs="Times New Roman"/>
      <w:b/>
      <w:sz w:val="24"/>
      <w:szCs w:val="20"/>
    </w:rPr>
  </w:style>
  <w:style w:type="paragraph" w:customStyle="1" w:styleId="PaperTitle">
    <w:name w:val="PaperTitle"/>
    <w:basedOn w:val="Normal"/>
    <w:rsid w:val="003446DE"/>
    <w:pPr>
      <w:tabs>
        <w:tab w:val="left" w:leader="dot" w:pos="6379"/>
      </w:tabs>
      <w:spacing w:before="0" w:after="0" w:line="240" w:lineRule="auto"/>
      <w:ind w:left="284" w:hanging="284"/>
    </w:pPr>
    <w:rPr>
      <w:rFonts w:ascii="Times New (W1)" w:eastAsia="Times New Roman" w:hAnsi="Times New (W1)" w:cs="Times New Roman"/>
      <w:sz w:val="20"/>
      <w:szCs w:val="20"/>
      <w:lang w:eastAsia="en-AU"/>
    </w:rPr>
  </w:style>
  <w:style w:type="paragraph" w:customStyle="1" w:styleId="aDef">
    <w:name w:val="aDef"/>
    <w:basedOn w:val="Normal"/>
    <w:link w:val="aDefChar"/>
    <w:rsid w:val="009B1FDD"/>
    <w:pPr>
      <w:spacing w:before="140" w:after="0" w:line="240" w:lineRule="auto"/>
      <w:ind w:left="1100"/>
      <w:jc w:val="both"/>
    </w:pPr>
    <w:rPr>
      <w:rFonts w:ascii="Times New Roman" w:eastAsia="Times New Roman" w:hAnsi="Times New Roman" w:cs="Times New Roman"/>
      <w:sz w:val="24"/>
      <w:szCs w:val="20"/>
      <w:lang w:eastAsia="en-AU"/>
    </w:rPr>
  </w:style>
  <w:style w:type="character" w:customStyle="1" w:styleId="aDefChar">
    <w:name w:val="aDef Char"/>
    <w:link w:val="aDef"/>
    <w:locked/>
    <w:rsid w:val="009B1FDD"/>
    <w:rPr>
      <w:rFonts w:ascii="Times New Roman" w:eastAsia="Times New Roman" w:hAnsi="Times New Roman" w:cs="Times New Roman"/>
      <w:sz w:val="24"/>
      <w:szCs w:val="20"/>
      <w:lang w:eastAsia="en-AU"/>
    </w:rPr>
  </w:style>
  <w:style w:type="paragraph" w:customStyle="1" w:styleId="Idefpara">
    <w:name w:val="I def para"/>
    <w:basedOn w:val="Ipara"/>
    <w:rsid w:val="009B1FDD"/>
  </w:style>
  <w:style w:type="paragraph" w:customStyle="1" w:styleId="Idefsubpara">
    <w:name w:val="I def subpara"/>
    <w:basedOn w:val="Normal"/>
    <w:rsid w:val="009B1FDD"/>
    <w:pPr>
      <w:tabs>
        <w:tab w:val="right" w:pos="1940"/>
        <w:tab w:val="left" w:pos="2140"/>
      </w:tabs>
      <w:spacing w:before="140" w:after="0" w:line="240" w:lineRule="auto"/>
      <w:ind w:left="2140" w:hanging="2140"/>
      <w:jc w:val="both"/>
    </w:pPr>
    <w:rPr>
      <w:rFonts w:ascii="Times New Roman" w:eastAsia="Times New Roman" w:hAnsi="Times New Roman" w:cs="Times New Roman"/>
      <w:sz w:val="24"/>
      <w:szCs w:val="20"/>
    </w:rPr>
  </w:style>
  <w:style w:type="paragraph" w:customStyle="1" w:styleId="Bodycopybulletlevel2">
    <w:name w:val="Body copy bullet level 2"/>
    <w:rsid w:val="00DF23C5"/>
    <w:pPr>
      <w:keepNext/>
      <w:widowControl w:val="0"/>
      <w:numPr>
        <w:numId w:val="14"/>
      </w:numPr>
      <w:spacing w:after="0" w:line="240" w:lineRule="auto"/>
      <w:ind w:left="1701" w:hanging="567"/>
    </w:pPr>
    <w:rPr>
      <w:rFonts w:ascii="Calibri" w:eastAsia="Times New Roman" w:hAnsi="Calibri" w:cs="Calibri"/>
      <w:color w:val="000000"/>
      <w:szCs w:val="20"/>
      <w:lang w:eastAsia="en-AU"/>
    </w:rPr>
  </w:style>
  <w:style w:type="paragraph" w:customStyle="1" w:styleId="Titleheading">
    <w:name w:val="Title heading"/>
    <w:next w:val="Bodycopy"/>
    <w:rsid w:val="00DF23C5"/>
    <w:pPr>
      <w:keepNext/>
      <w:pageBreakBefore/>
      <w:widowControl w:val="0"/>
      <w:tabs>
        <w:tab w:val="left" w:pos="9643"/>
      </w:tabs>
      <w:spacing w:afterLines="200" w:after="0" w:line="240" w:lineRule="auto"/>
      <w:outlineLvl w:val="0"/>
    </w:pPr>
    <w:rPr>
      <w:rFonts w:ascii="Arial Narrow" w:eastAsia="Calibri" w:hAnsi="Arial Narrow" w:cs="Arial Narrow"/>
      <w:smallCaps/>
      <w:color w:val="000000"/>
      <w:sz w:val="60"/>
      <w:szCs w:val="60"/>
      <w:lang w:eastAsia="en-AU"/>
    </w:rPr>
  </w:style>
  <w:style w:type="table" w:customStyle="1" w:styleId="LightShading1">
    <w:name w:val="Light Shading1"/>
    <w:rsid w:val="00DF23C5"/>
    <w:pPr>
      <w:spacing w:after="0" w:line="240" w:lineRule="auto"/>
    </w:pPr>
    <w:rPr>
      <w:rFonts w:ascii="Calibri" w:eastAsia="Calibri" w:hAnsi="Calibri" w:cs="Times New Roman"/>
      <w:color w:val="000000"/>
      <w:sz w:val="20"/>
      <w:szCs w:val="20"/>
      <w:lang w:eastAsia="en-A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Bulletlistlevel1">
    <w:name w:val="Bullet list  level 1"/>
    <w:qFormat/>
    <w:rsid w:val="00DF23C5"/>
    <w:pPr>
      <w:keepNext/>
      <w:widowControl w:val="0"/>
      <w:numPr>
        <w:numId w:val="13"/>
      </w:numPr>
      <w:spacing w:before="120" w:after="120" w:line="300" w:lineRule="exact"/>
      <w:ind w:left="1134" w:hanging="567"/>
    </w:pPr>
    <w:rPr>
      <w:rFonts w:ascii="Calibri" w:eastAsia="Times New Roman" w:hAnsi="Calibri" w:cs="Calibri"/>
      <w:color w:val="000000"/>
      <w:szCs w:val="20"/>
      <w:lang w:eastAsia="en-AU"/>
    </w:rPr>
  </w:style>
  <w:style w:type="paragraph" w:customStyle="1" w:styleId="Tableheading">
    <w:name w:val="Table heading"/>
    <w:rsid w:val="00DF23C5"/>
    <w:pPr>
      <w:keepNext/>
      <w:widowControl w:val="0"/>
      <w:spacing w:before="120" w:after="120" w:line="240" w:lineRule="auto"/>
    </w:pPr>
    <w:rPr>
      <w:rFonts w:ascii="Arial Narrow" w:eastAsia="Times New Roman" w:hAnsi="Arial Narrow" w:cs="Calibri"/>
      <w:b/>
      <w:bCs/>
      <w:smallCaps/>
      <w:color w:val="FFFFFF"/>
      <w:szCs w:val="20"/>
      <w:lang w:eastAsia="en-AU"/>
    </w:rPr>
  </w:style>
  <w:style w:type="paragraph" w:customStyle="1" w:styleId="Tablebodycopy">
    <w:name w:val="Table body copy"/>
    <w:rsid w:val="00DF23C5"/>
    <w:pPr>
      <w:keepNext/>
      <w:widowControl w:val="0"/>
      <w:spacing w:before="120" w:after="120" w:line="240" w:lineRule="auto"/>
    </w:pPr>
    <w:rPr>
      <w:rFonts w:ascii="Calibri" w:eastAsia="Times New Roman" w:hAnsi="Calibri" w:cs="Calibri"/>
      <w:bCs/>
      <w:szCs w:val="20"/>
      <w:lang w:eastAsia="en-AU"/>
    </w:rPr>
  </w:style>
  <w:style w:type="paragraph" w:customStyle="1" w:styleId="Bulletlistquote">
    <w:name w:val="Bullet list quote"/>
    <w:rsid w:val="00DF23C5"/>
    <w:pPr>
      <w:keepNext/>
      <w:widowControl w:val="0"/>
      <w:spacing w:after="0" w:line="240" w:lineRule="auto"/>
      <w:ind w:left="1701"/>
    </w:pPr>
    <w:rPr>
      <w:rFonts w:ascii="Calibri" w:eastAsia="Times New Roman" w:hAnsi="Calibri" w:cs="Calibri"/>
      <w:i/>
      <w:color w:val="000000"/>
      <w:szCs w:val="20"/>
      <w:lang w:eastAsia="en-AU"/>
    </w:rPr>
  </w:style>
  <w:style w:type="paragraph" w:customStyle="1" w:styleId="TOCHeading1">
    <w:name w:val="TOC Heading1"/>
    <w:rsid w:val="00DF23C5"/>
    <w:pPr>
      <w:keepNext/>
      <w:pageBreakBefore/>
      <w:widowControl w:val="0"/>
      <w:spacing w:after="480" w:line="240" w:lineRule="auto"/>
    </w:pPr>
    <w:rPr>
      <w:rFonts w:ascii="Arial Narrow" w:eastAsia="Calibri" w:hAnsi="Arial Narrow" w:cs="Arial Narrow"/>
      <w:smallCaps/>
      <w:color w:val="000000"/>
      <w:sz w:val="60"/>
      <w:szCs w:val="60"/>
      <w:lang w:eastAsia="en-AU"/>
    </w:rPr>
  </w:style>
  <w:style w:type="paragraph" w:customStyle="1" w:styleId="Heading1nonumber">
    <w:name w:val="Heading 1 no number"/>
    <w:next w:val="Bodycopynumbered"/>
    <w:rsid w:val="00DF23C5"/>
    <w:pPr>
      <w:keepNext/>
      <w:widowControl w:val="0"/>
      <w:spacing w:after="100" w:line="240" w:lineRule="auto"/>
    </w:pPr>
    <w:rPr>
      <w:rFonts w:ascii="Arial Narrow" w:eastAsia="Calibri" w:hAnsi="Arial Narrow" w:cs="Times New Roman"/>
      <w:bCs/>
      <w:smallCaps/>
      <w:color w:val="000000"/>
      <w:sz w:val="44"/>
      <w:szCs w:val="44"/>
    </w:rPr>
  </w:style>
  <w:style w:type="paragraph" w:customStyle="1" w:styleId="Bodycopynumbered2">
    <w:name w:val="Body copy numbered 2"/>
    <w:rsid w:val="00DF23C5"/>
    <w:pPr>
      <w:keepNext/>
      <w:widowControl w:val="0"/>
      <w:numPr>
        <w:numId w:val="19"/>
      </w:numPr>
      <w:spacing w:before="120" w:after="120" w:line="300" w:lineRule="exact"/>
      <w:ind w:left="567" w:hanging="567"/>
    </w:pPr>
    <w:rPr>
      <w:rFonts w:ascii="Calibri" w:eastAsia="Times New Roman" w:hAnsi="Calibri" w:cs="Calibri"/>
      <w:color w:val="000000"/>
      <w:szCs w:val="20"/>
      <w:lang w:eastAsia="en-AU"/>
    </w:rPr>
  </w:style>
  <w:style w:type="paragraph" w:customStyle="1" w:styleId="Committeemembership">
    <w:name w:val="Committee membership"/>
    <w:next w:val="Bodycopy"/>
    <w:rsid w:val="00DF23C5"/>
    <w:pPr>
      <w:keepNext/>
      <w:widowControl w:val="0"/>
      <w:spacing w:beforeLines="100" w:afterLines="100" w:after="0" w:line="240" w:lineRule="auto"/>
      <w:outlineLvl w:val="0"/>
    </w:pPr>
    <w:rPr>
      <w:rFonts w:ascii="Arial Narrow" w:eastAsia="Calibri" w:hAnsi="Arial Narrow" w:cs="Arial Narrow"/>
      <w:smallCaps/>
      <w:sz w:val="44"/>
      <w:szCs w:val="44"/>
    </w:rPr>
  </w:style>
  <w:style w:type="paragraph" w:customStyle="1" w:styleId="Secretariat">
    <w:name w:val="Secretariat"/>
    <w:next w:val="Bodycopy"/>
    <w:rsid w:val="00DF23C5"/>
    <w:pPr>
      <w:spacing w:beforeLines="400" w:afterLines="100" w:after="0" w:line="240" w:lineRule="auto"/>
      <w:outlineLvl w:val="0"/>
    </w:pPr>
    <w:rPr>
      <w:rFonts w:ascii="Arial Narrow" w:eastAsia="Calibri" w:hAnsi="Arial Narrow" w:cs="Arial Narrow"/>
      <w:smallCaps/>
      <w:sz w:val="44"/>
      <w:szCs w:val="44"/>
    </w:rPr>
  </w:style>
  <w:style w:type="paragraph" w:customStyle="1" w:styleId="Contactinformation">
    <w:name w:val="Contact information"/>
    <w:next w:val="Bodycopy"/>
    <w:rsid w:val="00DF23C5"/>
    <w:pPr>
      <w:spacing w:beforeLines="400" w:afterLines="100" w:after="0" w:line="240" w:lineRule="auto"/>
      <w:outlineLvl w:val="0"/>
    </w:pPr>
    <w:rPr>
      <w:rFonts w:ascii="Arial Narrow" w:eastAsia="Calibri" w:hAnsi="Arial Narrow" w:cs="Arial Narrow"/>
      <w:smallCaps/>
      <w:sz w:val="44"/>
      <w:szCs w:val="44"/>
    </w:rPr>
  </w:style>
  <w:style w:type="paragraph" w:customStyle="1" w:styleId="Recommendationsheading">
    <w:name w:val="Recommendations heading"/>
    <w:next w:val="Recommendationbodycopy"/>
    <w:rsid w:val="00DF23C5"/>
    <w:pPr>
      <w:keepNext/>
      <w:pageBreakBefore/>
      <w:widowControl w:val="0"/>
      <w:spacing w:after="240" w:line="240" w:lineRule="auto"/>
    </w:pPr>
    <w:rPr>
      <w:rFonts w:ascii="Arial Narrow" w:eastAsia="Calibri" w:hAnsi="Arial Narrow" w:cs="Times New Roman"/>
      <w:bCs/>
      <w:smallCaps/>
      <w:color w:val="000000"/>
      <w:sz w:val="44"/>
      <w:szCs w:val="44"/>
    </w:rPr>
  </w:style>
  <w:style w:type="character" w:styleId="PageNumber">
    <w:name w:val="page number"/>
    <w:rsid w:val="00DF23C5"/>
    <w:rPr>
      <w:rFonts w:ascii="Calibri" w:hAnsi="Calibri" w:cs="Times New Roman"/>
      <w:b/>
      <w:sz w:val="18"/>
      <w:szCs w:val="18"/>
    </w:rPr>
  </w:style>
  <w:style w:type="paragraph" w:customStyle="1" w:styleId="Recommendationbodycopy">
    <w:name w:val="Recommendation body copy"/>
    <w:rsid w:val="00DF23C5"/>
    <w:pPr>
      <w:keepNext/>
      <w:widowControl w:val="0"/>
      <w:spacing w:after="0" w:line="240" w:lineRule="auto"/>
    </w:pPr>
    <w:rPr>
      <w:rFonts w:ascii="Arial Narrow" w:eastAsia="Calibri" w:hAnsi="Arial Narrow" w:cs="Arial"/>
      <w:bCs/>
      <w:kern w:val="32"/>
      <w:szCs w:val="20"/>
    </w:rPr>
  </w:style>
  <w:style w:type="paragraph" w:customStyle="1" w:styleId="Recommendationbodycopynumbered">
    <w:name w:val="Recommendation body copy numbered"/>
    <w:rsid w:val="00DF23C5"/>
    <w:pPr>
      <w:keepNext/>
      <w:widowControl w:val="0"/>
      <w:numPr>
        <w:ilvl w:val="1"/>
        <w:numId w:val="21"/>
      </w:numPr>
      <w:spacing w:before="200" w:after="200" w:line="240" w:lineRule="auto"/>
      <w:ind w:left="578" w:hanging="578"/>
      <w:outlineLvl w:val="7"/>
    </w:pPr>
    <w:rPr>
      <w:rFonts w:ascii="Arial Narrow" w:eastAsia="Calibri" w:hAnsi="Arial Narrow" w:cs="Arial"/>
      <w:b/>
      <w:bCs/>
      <w:kern w:val="32"/>
      <w:szCs w:val="20"/>
    </w:rPr>
  </w:style>
  <w:style w:type="paragraph" w:customStyle="1" w:styleId="Recommendationheadingbody">
    <w:name w:val="Recommendation heading body"/>
    <w:next w:val="Recommendationbodycopynumbered"/>
    <w:rsid w:val="00DF23C5"/>
    <w:pPr>
      <w:keepNext/>
      <w:widowControl w:val="0"/>
      <w:spacing w:beforeLines="150" w:afterLines="100" w:after="0" w:line="240" w:lineRule="auto"/>
      <w:outlineLvl w:val="6"/>
    </w:pPr>
    <w:rPr>
      <w:rFonts w:ascii="Arial Narrow" w:eastAsia="Calibri" w:hAnsi="Arial Narrow" w:cs="Arial Narrow"/>
      <w:b/>
      <w:smallCaps/>
      <w:sz w:val="30"/>
      <w:szCs w:val="30"/>
    </w:rPr>
  </w:style>
  <w:style w:type="paragraph" w:customStyle="1" w:styleId="Bodycopybulletlevel1alpha">
    <w:name w:val="Body copy bullet level 1 alpha"/>
    <w:rsid w:val="00DF23C5"/>
    <w:pPr>
      <w:keepNext/>
      <w:widowControl w:val="0"/>
      <w:numPr>
        <w:numId w:val="16"/>
      </w:numPr>
      <w:spacing w:after="0" w:line="240" w:lineRule="auto"/>
      <w:ind w:left="851" w:hanging="284"/>
    </w:pPr>
    <w:rPr>
      <w:rFonts w:ascii="Calibri" w:eastAsia="Times New Roman" w:hAnsi="Calibri" w:cs="Calibri"/>
      <w:color w:val="000000"/>
      <w:szCs w:val="20"/>
      <w:lang w:eastAsia="en-AU"/>
    </w:rPr>
  </w:style>
  <w:style w:type="paragraph" w:customStyle="1" w:styleId="Headereven">
    <w:name w:val="Header even"/>
    <w:rsid w:val="00DF23C5"/>
    <w:pPr>
      <w:keepNext/>
      <w:widowControl w:val="0"/>
      <w:tabs>
        <w:tab w:val="center" w:pos="4513"/>
        <w:tab w:val="right" w:pos="9026"/>
      </w:tabs>
      <w:spacing w:after="0" w:line="240" w:lineRule="auto"/>
    </w:pPr>
    <w:rPr>
      <w:rFonts w:ascii="Calibri" w:eastAsia="Calibri" w:hAnsi="Calibri" w:cs="Arial Narrow"/>
      <w:smallCaps/>
      <w:szCs w:val="20"/>
    </w:rPr>
  </w:style>
  <w:style w:type="paragraph" w:customStyle="1" w:styleId="Headerodd">
    <w:name w:val="Header odd"/>
    <w:rsid w:val="00DF23C5"/>
    <w:pPr>
      <w:keepNext/>
      <w:widowControl w:val="0"/>
      <w:tabs>
        <w:tab w:val="center" w:pos="4513"/>
        <w:tab w:val="right" w:pos="9026"/>
      </w:tabs>
      <w:spacing w:after="0" w:line="240" w:lineRule="auto"/>
      <w:jc w:val="right"/>
    </w:pPr>
    <w:rPr>
      <w:rFonts w:ascii="Calibri" w:eastAsia="Calibri" w:hAnsi="Calibri" w:cs="Arial Narrow"/>
      <w:smallCaps/>
      <w:szCs w:val="20"/>
    </w:rPr>
  </w:style>
  <w:style w:type="paragraph" w:customStyle="1" w:styleId="Reportcoverfooter">
    <w:name w:val="Report cover footer"/>
    <w:basedOn w:val="Headerodd"/>
    <w:rsid w:val="00DF23C5"/>
    <w:rPr>
      <w:smallCaps w:val="0"/>
      <w:sz w:val="28"/>
      <w:szCs w:val="28"/>
    </w:rPr>
  </w:style>
  <w:style w:type="paragraph" w:customStyle="1" w:styleId="ReportTitle">
    <w:name w:val="Report Title"/>
    <w:rsid w:val="00DF23C5"/>
    <w:pPr>
      <w:keepNext/>
      <w:widowControl w:val="0"/>
      <w:spacing w:after="480" w:line="240" w:lineRule="auto"/>
      <w:jc w:val="right"/>
    </w:pPr>
    <w:rPr>
      <w:rFonts w:ascii="Arial Narrow" w:eastAsia="Calibri" w:hAnsi="Arial Narrow" w:cs="Arial Narrow"/>
      <w:smallCaps/>
      <w:sz w:val="56"/>
      <w:szCs w:val="56"/>
    </w:rPr>
  </w:style>
  <w:style w:type="paragraph" w:customStyle="1" w:styleId="CommitteeName">
    <w:name w:val="Committee Name"/>
    <w:rsid w:val="00DF23C5"/>
    <w:pPr>
      <w:keepNext/>
      <w:widowControl w:val="0"/>
      <w:spacing w:after="480" w:line="240" w:lineRule="auto"/>
      <w:jc w:val="right"/>
    </w:pPr>
    <w:rPr>
      <w:rFonts w:ascii="Arial Narrow" w:eastAsia="Calibri" w:hAnsi="Arial Narrow" w:cs="Arial Narrow"/>
      <w:smallCaps/>
      <w:sz w:val="44"/>
      <w:szCs w:val="44"/>
    </w:rPr>
  </w:style>
  <w:style w:type="paragraph" w:customStyle="1" w:styleId="Bulletlistalpha">
    <w:name w:val="Bullet list alpha"/>
    <w:rsid w:val="00DF23C5"/>
    <w:pPr>
      <w:keepNext/>
      <w:widowControl w:val="0"/>
      <w:numPr>
        <w:ilvl w:val="1"/>
        <w:numId w:val="14"/>
      </w:numPr>
      <w:spacing w:beforeLines="120" w:afterLines="120" w:after="0" w:line="200" w:lineRule="exact"/>
      <w:ind w:left="1701" w:hanging="567"/>
    </w:pPr>
    <w:rPr>
      <w:rFonts w:ascii="Calibri" w:eastAsia="Times New Roman" w:hAnsi="Calibri" w:cs="Calibri"/>
      <w:color w:val="000000"/>
      <w:spacing w:val="-3"/>
      <w:szCs w:val="20"/>
      <w:lang w:eastAsia="en-AU"/>
    </w:rPr>
  </w:style>
  <w:style w:type="paragraph" w:customStyle="1" w:styleId="Bulletlistroman">
    <w:name w:val="Bullet list roman"/>
    <w:rsid w:val="00DF23C5"/>
    <w:pPr>
      <w:keepNext/>
      <w:widowControl w:val="0"/>
      <w:numPr>
        <w:numId w:val="18"/>
      </w:numPr>
      <w:spacing w:beforeLines="120" w:afterLines="120" w:after="0" w:line="200" w:lineRule="exact"/>
      <w:ind w:left="2268" w:hanging="567"/>
    </w:pPr>
    <w:rPr>
      <w:rFonts w:ascii="Calibri" w:eastAsia="Times New Roman" w:hAnsi="Calibri" w:cs="Calibri"/>
      <w:color w:val="000000"/>
      <w:spacing w:val="-3"/>
      <w:szCs w:val="20"/>
      <w:lang w:eastAsia="en-AU"/>
    </w:rPr>
  </w:style>
  <w:style w:type="paragraph" w:customStyle="1" w:styleId="Heading4nonumber">
    <w:name w:val="Heading 4 no number"/>
    <w:next w:val="Bodycopynumbered"/>
    <w:rsid w:val="00DF23C5"/>
    <w:pPr>
      <w:keepNext/>
      <w:widowControl w:val="0"/>
      <w:spacing w:after="0" w:line="240" w:lineRule="auto"/>
    </w:pPr>
    <w:rPr>
      <w:rFonts w:ascii="Arial Narrow" w:eastAsia="Calibri" w:hAnsi="Arial Narrow" w:cs="Arial Narrow"/>
      <w:smallCaps/>
      <w:sz w:val="26"/>
      <w:szCs w:val="26"/>
    </w:rPr>
  </w:style>
  <w:style w:type="paragraph" w:customStyle="1" w:styleId="aIndent">
    <w:name w:val="(a) Indent"/>
    <w:basedOn w:val="Normal"/>
    <w:rsid w:val="00DF23C5"/>
    <w:pPr>
      <w:tabs>
        <w:tab w:val="left" w:pos="560"/>
      </w:tabs>
      <w:spacing w:before="0" w:after="0" w:line="240" w:lineRule="auto"/>
      <w:ind w:left="1120" w:hanging="1120"/>
    </w:pPr>
    <w:rPr>
      <w:rFonts w:ascii="Times" w:eastAsia="Times New Roman" w:hAnsi="Times" w:cs="Times New Roman"/>
      <w:sz w:val="24"/>
      <w:szCs w:val="20"/>
      <w:lang w:val="en-US" w:eastAsia="en-AU"/>
    </w:rPr>
  </w:style>
  <w:style w:type="numbering" w:customStyle="1" w:styleId="Style1">
    <w:name w:val="Style1"/>
    <w:rsid w:val="00DF23C5"/>
    <w:pPr>
      <w:numPr>
        <w:numId w:val="15"/>
      </w:numPr>
    </w:pPr>
  </w:style>
  <w:style w:type="numbering" w:customStyle="1" w:styleId="Style3">
    <w:name w:val="Style3"/>
    <w:rsid w:val="00DF23C5"/>
    <w:pPr>
      <w:numPr>
        <w:numId w:val="20"/>
      </w:numPr>
    </w:pPr>
  </w:style>
  <w:style w:type="numbering" w:customStyle="1" w:styleId="Style2">
    <w:name w:val="Style2"/>
    <w:rsid w:val="00DF23C5"/>
    <w:pPr>
      <w:numPr>
        <w:numId w:val="17"/>
      </w:numPr>
    </w:pPr>
  </w:style>
  <w:style w:type="paragraph" w:customStyle="1" w:styleId="Default">
    <w:name w:val="Default"/>
    <w:rsid w:val="00DF23C5"/>
    <w:pPr>
      <w:autoSpaceDE w:val="0"/>
      <w:autoSpaceDN w:val="0"/>
      <w:adjustRightInd w:val="0"/>
      <w:spacing w:after="0" w:line="240" w:lineRule="auto"/>
    </w:pPr>
    <w:rPr>
      <w:rFonts w:ascii="Arial Narrow" w:eastAsia="Times New Roman" w:hAnsi="Arial Narrow" w:cs="Arial Narrow"/>
      <w:color w:val="000000"/>
      <w:sz w:val="24"/>
      <w:szCs w:val="24"/>
      <w:lang w:eastAsia="en-AU"/>
    </w:rPr>
  </w:style>
  <w:style w:type="table" w:styleId="TableGrid">
    <w:name w:val="Table Grid"/>
    <w:basedOn w:val="TableNormal"/>
    <w:uiPriority w:val="59"/>
    <w:rsid w:val="00DF23C5"/>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BHeading">
    <w:name w:val="GB Heading"/>
    <w:basedOn w:val="Normal"/>
    <w:link w:val="GBHeadingChar"/>
    <w:rsid w:val="00DF23C5"/>
    <w:pPr>
      <w:spacing w:before="0" w:after="0" w:line="240" w:lineRule="auto"/>
      <w:jc w:val="both"/>
    </w:pPr>
    <w:rPr>
      <w:rFonts w:ascii="AvantGarde Bk BT" w:eastAsia="Times New Roman" w:hAnsi="AvantGarde Bk BT" w:cs="Times New Roman"/>
      <w:b/>
      <w:sz w:val="24"/>
      <w:szCs w:val="24"/>
      <w:lang w:eastAsia="en-AU"/>
    </w:rPr>
  </w:style>
  <w:style w:type="character" w:customStyle="1" w:styleId="GBHeadingChar">
    <w:name w:val="GB Heading Char"/>
    <w:link w:val="GBHeading"/>
    <w:locked/>
    <w:rsid w:val="00DF23C5"/>
    <w:rPr>
      <w:rFonts w:ascii="AvantGarde Bk BT" w:eastAsia="Times New Roman" w:hAnsi="AvantGarde Bk BT" w:cs="Times New Roman"/>
      <w:b/>
      <w:sz w:val="24"/>
      <w:szCs w:val="24"/>
      <w:lang w:eastAsia="en-AU"/>
    </w:rPr>
  </w:style>
  <w:style w:type="paragraph" w:customStyle="1" w:styleId="PaperTitleIndent1">
    <w:name w:val="PaperTitleIndent1"/>
    <w:basedOn w:val="Normal"/>
    <w:uiPriority w:val="99"/>
    <w:rsid w:val="00DF23C5"/>
    <w:pPr>
      <w:spacing w:before="0" w:after="120" w:line="240" w:lineRule="auto"/>
      <w:ind w:right="1701"/>
    </w:pPr>
    <w:rPr>
      <w:rFonts w:ascii="Times New Roman" w:eastAsia="Calibri" w:hAnsi="Times New Roman" w:cs="Times New Roman"/>
      <w:sz w:val="24"/>
      <w:szCs w:val="24"/>
      <w:lang w:eastAsia="en-AU"/>
    </w:rPr>
  </w:style>
  <w:style w:type="paragraph" w:customStyle="1" w:styleId="PaperTitleIndent2">
    <w:name w:val="PaperTitleIndent2"/>
    <w:basedOn w:val="Normal"/>
    <w:uiPriority w:val="99"/>
    <w:rsid w:val="00DF23C5"/>
    <w:pPr>
      <w:spacing w:before="0" w:after="120" w:line="240" w:lineRule="auto"/>
      <w:ind w:left="238" w:right="1701"/>
    </w:pPr>
    <w:rPr>
      <w:rFonts w:ascii="Times New Roman" w:eastAsia="Calibri" w:hAnsi="Times New Roman" w:cs="Times New Roman"/>
      <w:sz w:val="24"/>
      <w:szCs w:val="24"/>
      <w:lang w:eastAsia="en-AU"/>
    </w:rPr>
  </w:style>
  <w:style w:type="character" w:styleId="CommentReference">
    <w:name w:val="annotation reference"/>
    <w:uiPriority w:val="99"/>
    <w:rsid w:val="00DF23C5"/>
    <w:rPr>
      <w:sz w:val="16"/>
      <w:szCs w:val="16"/>
    </w:rPr>
  </w:style>
  <w:style w:type="paragraph" w:customStyle="1" w:styleId="IMain">
    <w:name w:val="I Main"/>
    <w:basedOn w:val="Normal"/>
    <w:rsid w:val="00DF23C5"/>
    <w:pPr>
      <w:tabs>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lang w:eastAsia="en-AU"/>
    </w:rPr>
  </w:style>
  <w:style w:type="paragraph" w:customStyle="1" w:styleId="Resol">
    <w:name w:val="Resol"/>
    <w:basedOn w:val="Committeemembership"/>
    <w:rsid w:val="00DF23C5"/>
    <w:pPr>
      <w:spacing w:before="240" w:after="240"/>
    </w:pPr>
    <w:rPr>
      <w:rFonts w:eastAsia="Times New Roman"/>
    </w:rPr>
  </w:style>
  <w:style w:type="character" w:customStyle="1" w:styleId="charCitHyperlinkItal">
    <w:name w:val="charCitHyperlinkItal"/>
    <w:uiPriority w:val="1"/>
    <w:rsid w:val="00DF23C5"/>
    <w:rPr>
      <w:rFonts w:cs="Times New Roman"/>
      <w:i/>
      <w:color w:val="0000FF"/>
      <w:u w:val="none"/>
    </w:rPr>
  </w:style>
  <w:style w:type="paragraph" w:customStyle="1" w:styleId="aDefpara">
    <w:name w:val="aDef para"/>
    <w:basedOn w:val="Apara"/>
    <w:rsid w:val="00DF23C5"/>
    <w:rPr>
      <w:lang w:eastAsia="en-AU"/>
    </w:rPr>
  </w:style>
  <w:style w:type="paragraph" w:customStyle="1" w:styleId="aExamHdgss">
    <w:name w:val="aExamHdgss"/>
    <w:basedOn w:val="Normal"/>
    <w:next w:val="Normal"/>
    <w:rsid w:val="00DF23C5"/>
    <w:pPr>
      <w:keepNext/>
      <w:spacing w:before="140" w:after="0" w:line="240" w:lineRule="auto"/>
      <w:ind w:left="1100"/>
    </w:pPr>
    <w:rPr>
      <w:rFonts w:ascii="Arial" w:eastAsia="Times New Roman" w:hAnsi="Arial" w:cs="Times New Roman"/>
      <w:b/>
      <w:sz w:val="18"/>
      <w:szCs w:val="20"/>
      <w:lang w:eastAsia="en-AU"/>
    </w:rPr>
  </w:style>
  <w:style w:type="paragraph" w:customStyle="1" w:styleId="aExamss">
    <w:name w:val="aExamss"/>
    <w:basedOn w:val="aNote"/>
    <w:rsid w:val="00DF23C5"/>
    <w:pPr>
      <w:spacing w:before="60"/>
      <w:ind w:left="1100" w:firstLine="0"/>
    </w:pPr>
    <w:rPr>
      <w:lang w:eastAsia="en-AU"/>
    </w:rPr>
  </w:style>
  <w:style w:type="character" w:customStyle="1" w:styleId="aNoteCharChar">
    <w:name w:val="aNote Char Char"/>
    <w:locked/>
    <w:rsid w:val="00DF23C5"/>
    <w:rPr>
      <w:rFonts w:cs="Times New Roman"/>
      <w:lang w:val="x-none" w:eastAsia="en-US"/>
    </w:rPr>
  </w:style>
  <w:style w:type="paragraph" w:customStyle="1" w:styleId="CoverActName">
    <w:name w:val="CoverActName"/>
    <w:basedOn w:val="Normal"/>
    <w:rsid w:val="00DF23C5"/>
    <w:pPr>
      <w:tabs>
        <w:tab w:val="left" w:pos="2600"/>
      </w:tabs>
      <w:overflowPunct w:val="0"/>
      <w:autoSpaceDE w:val="0"/>
      <w:autoSpaceDN w:val="0"/>
      <w:adjustRightInd w:val="0"/>
      <w:spacing w:before="200" w:after="60" w:line="240" w:lineRule="auto"/>
      <w:jc w:val="both"/>
    </w:pPr>
    <w:rPr>
      <w:rFonts w:ascii="Arial" w:eastAsia="Times New Roman" w:hAnsi="Arial" w:cs="Arial"/>
      <w:b/>
      <w:bCs/>
      <w:sz w:val="24"/>
      <w:szCs w:val="24"/>
      <w:lang w:eastAsia="en-AU"/>
    </w:rPr>
  </w:style>
  <w:style w:type="character" w:customStyle="1" w:styleId="AparaChar">
    <w:name w:val="A para Char"/>
    <w:link w:val="Apara"/>
    <w:locked/>
    <w:rsid w:val="00DF23C5"/>
    <w:rPr>
      <w:rFonts w:ascii="Times New Roman" w:eastAsia="Times New Roman" w:hAnsi="Times New Roman" w:cs="Times New Roman"/>
      <w:sz w:val="24"/>
      <w:szCs w:val="20"/>
    </w:rPr>
  </w:style>
  <w:style w:type="paragraph" w:customStyle="1" w:styleId="ESText">
    <w:name w:val="ES_Text"/>
    <w:basedOn w:val="Normal"/>
    <w:uiPriority w:val="99"/>
    <w:rsid w:val="00DF23C5"/>
    <w:pPr>
      <w:spacing w:before="0" w:after="0"/>
    </w:pPr>
    <w:rPr>
      <w:rFonts w:ascii="Times New Roman" w:eastAsia="Times New Roman" w:hAnsi="Times New Roman" w:cs="Times New Roman"/>
      <w:sz w:val="24"/>
      <w:szCs w:val="24"/>
      <w:lang w:eastAsia="en-AU"/>
    </w:rPr>
  </w:style>
  <w:style w:type="character" w:customStyle="1" w:styleId="Mention">
    <w:name w:val="Mention"/>
    <w:uiPriority w:val="99"/>
    <w:semiHidden/>
    <w:unhideWhenUsed/>
    <w:rsid w:val="00DF23C5"/>
    <w:rPr>
      <w:color w:val="2B579A"/>
      <w:shd w:val="clear" w:color="auto" w:fill="E6E6E6"/>
    </w:rPr>
  </w:style>
  <w:style w:type="character" w:customStyle="1" w:styleId="UnresolvedMention">
    <w:name w:val="Unresolved Mention"/>
    <w:uiPriority w:val="99"/>
    <w:semiHidden/>
    <w:unhideWhenUsed/>
    <w:rsid w:val="00DF23C5"/>
    <w:rPr>
      <w:color w:val="808080"/>
      <w:shd w:val="clear" w:color="auto" w:fill="E6E6E6"/>
    </w:rPr>
  </w:style>
  <w:style w:type="numbering" w:styleId="1ai">
    <w:name w:val="Outline List 1"/>
    <w:basedOn w:val="NoList"/>
    <w:rsid w:val="00DF23C5"/>
    <w:pPr>
      <w:numPr>
        <w:numId w:val="22"/>
      </w:numPr>
    </w:pPr>
  </w:style>
  <w:style w:type="paragraph" w:customStyle="1" w:styleId="TableHd">
    <w:name w:val="TableHd"/>
    <w:basedOn w:val="Normal"/>
    <w:rsid w:val="00DF23C5"/>
    <w:pPr>
      <w:keepNext/>
      <w:tabs>
        <w:tab w:val="left" w:pos="0"/>
      </w:tabs>
      <w:spacing w:before="300" w:after="0" w:line="240" w:lineRule="auto"/>
      <w:ind w:left="1200" w:hanging="1200"/>
    </w:pPr>
    <w:rPr>
      <w:rFonts w:ascii="Arial" w:eastAsia="Times New Roman" w:hAnsi="Arial" w:cs="Times New Roman"/>
      <w:b/>
      <w:sz w:val="20"/>
      <w:szCs w:val="20"/>
    </w:rPr>
  </w:style>
  <w:style w:type="paragraph" w:customStyle="1" w:styleId="TableColHd">
    <w:name w:val="TableColHd"/>
    <w:basedOn w:val="Normal"/>
    <w:rsid w:val="00DF23C5"/>
    <w:pPr>
      <w:keepNext/>
      <w:tabs>
        <w:tab w:val="left" w:pos="0"/>
      </w:tabs>
      <w:spacing w:before="0" w:after="60" w:line="240" w:lineRule="auto"/>
    </w:pPr>
    <w:rPr>
      <w:rFonts w:ascii="Arial" w:eastAsia="Times New Roman" w:hAnsi="Arial" w:cs="Times New Roman"/>
      <w:b/>
      <w:sz w:val="18"/>
      <w:szCs w:val="20"/>
    </w:rPr>
  </w:style>
  <w:style w:type="paragraph" w:customStyle="1" w:styleId="TableText">
    <w:name w:val="TableText"/>
    <w:basedOn w:val="Normal"/>
    <w:uiPriority w:val="99"/>
    <w:rsid w:val="00DF23C5"/>
    <w:pPr>
      <w:spacing w:before="60" w:after="60" w:line="240" w:lineRule="auto"/>
    </w:pPr>
    <w:rPr>
      <w:rFonts w:ascii="Times New Roman" w:eastAsia="Times New Roman" w:hAnsi="Times New Roman" w:cs="Times New Roman"/>
      <w:sz w:val="24"/>
      <w:szCs w:val="24"/>
    </w:rPr>
  </w:style>
  <w:style w:type="character" w:customStyle="1" w:styleId="AmainChar">
    <w:name w:val="A main Char"/>
    <w:link w:val="Amain"/>
    <w:locked/>
    <w:rsid w:val="007377EC"/>
    <w:rPr>
      <w:rFonts w:ascii="Times New Roman" w:eastAsia="Times New Roman" w:hAnsi="Times New Roman" w:cs="Times New Roman"/>
      <w:sz w:val="24"/>
      <w:szCs w:val="20"/>
    </w:rPr>
  </w:style>
  <w:style w:type="character" w:customStyle="1" w:styleId="Calibri12">
    <w:name w:val="Calibri 12"/>
    <w:basedOn w:val="DefaultParagraphFont"/>
    <w:uiPriority w:val="1"/>
    <w:qFormat/>
    <w:rsid w:val="00B32DDB"/>
    <w:rPr>
      <w:rFonts w:ascii="Calibri" w:hAnsi="Calibri"/>
      <w:sz w:val="24"/>
    </w:rPr>
  </w:style>
  <w:style w:type="paragraph" w:customStyle="1" w:styleId="ref">
    <w:name w:val="ref"/>
    <w:basedOn w:val="Normal"/>
    <w:next w:val="Normal"/>
    <w:rsid w:val="007E46DC"/>
    <w:pPr>
      <w:spacing w:before="60" w:after="0" w:line="240" w:lineRule="auto"/>
      <w:jc w:val="both"/>
    </w:pPr>
    <w:rPr>
      <w:rFonts w:ascii="Times New Roman" w:eastAsia="Times New Roman" w:hAnsi="Times New Roman" w:cs="Times New Roman"/>
      <w:sz w:val="18"/>
      <w:szCs w:val="20"/>
    </w:rPr>
  </w:style>
  <w:style w:type="paragraph" w:customStyle="1" w:styleId="TableText10">
    <w:name w:val="TableText10"/>
    <w:basedOn w:val="TableText"/>
    <w:rsid w:val="007E46DC"/>
    <w:pPr>
      <w:tabs>
        <w:tab w:val="left" w:pos="0"/>
      </w:tabs>
    </w:pPr>
    <w:rPr>
      <w:sz w:val="20"/>
      <w:szCs w:val="20"/>
    </w:rPr>
  </w:style>
  <w:style w:type="paragraph" w:customStyle="1" w:styleId="TableNumbered">
    <w:name w:val="TableNumbered"/>
    <w:basedOn w:val="TableText10"/>
    <w:qFormat/>
    <w:rsid w:val="007E46DC"/>
    <w:pPr>
      <w:numPr>
        <w:numId w:val="23"/>
      </w:numPr>
    </w:pPr>
  </w:style>
  <w:style w:type="paragraph" w:customStyle="1" w:styleId="Sched-heading">
    <w:name w:val="Sched-heading"/>
    <w:basedOn w:val="Normal"/>
    <w:next w:val="Normal"/>
    <w:rsid w:val="007E46DC"/>
    <w:pPr>
      <w:keepNext/>
      <w:tabs>
        <w:tab w:val="left" w:pos="2600"/>
      </w:tabs>
      <w:spacing w:before="380" w:after="0" w:line="240" w:lineRule="auto"/>
      <w:ind w:left="2600" w:hanging="2600"/>
      <w:outlineLvl w:val="0"/>
    </w:pPr>
    <w:rPr>
      <w:rFonts w:ascii="Arial" w:eastAsia="Times New Roman" w:hAnsi="Arial" w:cs="Times New Roman"/>
      <w:b/>
      <w:sz w:val="34"/>
      <w:szCs w:val="20"/>
    </w:rPr>
  </w:style>
  <w:style w:type="character" w:customStyle="1" w:styleId="CharChapNo">
    <w:name w:val="CharChapNo"/>
    <w:rsid w:val="007E46DC"/>
  </w:style>
  <w:style w:type="character" w:customStyle="1" w:styleId="CharChapText">
    <w:name w:val="CharChapText"/>
    <w:rsid w:val="007E46DC"/>
  </w:style>
  <w:style w:type="paragraph" w:customStyle="1" w:styleId="Calibribody">
    <w:name w:val="Calibri body"/>
    <w:basedOn w:val="AH5Sec"/>
    <w:rsid w:val="00452F37"/>
    <w:pPr>
      <w:tabs>
        <w:tab w:val="clear" w:pos="1100"/>
        <w:tab w:val="left" w:pos="360"/>
        <w:tab w:val="left" w:pos="1440"/>
      </w:tabs>
      <w:spacing w:before="220" w:after="220" w:line="280" w:lineRule="atLeast"/>
      <w:ind w:left="360" w:firstLine="0"/>
    </w:pPr>
    <w:rPr>
      <w:rFonts w:ascii="Calibri" w:hAnsi="Calibri" w:cs="Calibri"/>
      <w:sz w:val="22"/>
      <w:szCs w:val="22"/>
    </w:rPr>
  </w:style>
  <w:style w:type="paragraph" w:customStyle="1" w:styleId="TOCHeading2">
    <w:name w:val="TOC Heading2"/>
    <w:rsid w:val="00AF6CB6"/>
    <w:pPr>
      <w:keepNext/>
      <w:pageBreakBefore/>
      <w:widowControl w:val="0"/>
      <w:spacing w:after="480" w:line="240" w:lineRule="auto"/>
    </w:pPr>
    <w:rPr>
      <w:rFonts w:ascii="Arial Narrow" w:eastAsia="Calibri" w:hAnsi="Arial Narrow" w:cs="Arial Narrow"/>
      <w:smallCaps/>
      <w:color w:val="000000"/>
      <w:sz w:val="60"/>
      <w:szCs w:val="60"/>
      <w:lang w:eastAsia="en-AU"/>
    </w:rPr>
  </w:style>
  <w:style w:type="character" w:styleId="EndnoteReference">
    <w:name w:val="endnote reference"/>
    <w:rsid w:val="00AF6CB6"/>
    <w:rPr>
      <w:vertAlign w:val="superscript"/>
    </w:rPr>
  </w:style>
  <w:style w:type="paragraph" w:customStyle="1" w:styleId="LongTitle">
    <w:name w:val="LongTitle"/>
    <w:basedOn w:val="Normal"/>
    <w:uiPriority w:val="99"/>
    <w:rsid w:val="001352E7"/>
    <w:pPr>
      <w:spacing w:before="240" w:after="60" w:line="240" w:lineRule="auto"/>
      <w:jc w:val="both"/>
    </w:pPr>
    <w:rPr>
      <w:rFonts w:ascii="Times New Roman" w:eastAsia="Times New Roman" w:hAnsi="Times New Roman" w:cs="Times New Roman"/>
      <w:sz w:val="24"/>
      <w:szCs w:val="24"/>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link w:val="ListParagraph"/>
    <w:uiPriority w:val="34"/>
    <w:qFormat/>
    <w:locked/>
    <w:rsid w:val="006505B3"/>
  </w:style>
  <w:style w:type="paragraph" w:customStyle="1" w:styleId="tablenormal0">
    <w:name w:val="table normal"/>
    <w:basedOn w:val="Normal"/>
    <w:uiPriority w:val="99"/>
    <w:rsid w:val="006505B3"/>
    <w:pPr>
      <w:spacing w:before="80" w:after="80" w:line="240" w:lineRule="auto"/>
    </w:pPr>
    <w:rPr>
      <w:rFonts w:ascii="Times New Roman" w:eastAsia="Times New Roman" w:hAnsi="Times New Roman" w:cs="Times New Roman"/>
    </w:rPr>
  </w:style>
  <w:style w:type="paragraph" w:customStyle="1" w:styleId="01Contents">
    <w:name w:val="01Contents"/>
    <w:basedOn w:val="Normal"/>
    <w:rsid w:val="006505B3"/>
    <w:pPr>
      <w:tabs>
        <w:tab w:val="left" w:pos="2880"/>
      </w:tabs>
      <w:overflowPunct w:val="0"/>
      <w:autoSpaceDE w:val="0"/>
      <w:autoSpaceDN w:val="0"/>
      <w:adjustRightInd w:val="0"/>
      <w:spacing w:before="0" w:after="0" w:line="240" w:lineRule="auto"/>
      <w:textAlignment w:val="baseline"/>
    </w:pPr>
    <w:rPr>
      <w:rFonts w:ascii="Arial" w:eastAsia="Times New Roman" w:hAnsi="Arial" w:cs="Times New Roman"/>
      <w:sz w:val="24"/>
      <w:szCs w:val="24"/>
    </w:rPr>
  </w:style>
  <w:style w:type="paragraph" w:customStyle="1" w:styleId="Isubpara">
    <w:name w:val="I subpara"/>
    <w:basedOn w:val="Normal"/>
    <w:rsid w:val="006505B3"/>
    <w:pPr>
      <w:tabs>
        <w:tab w:val="right" w:pos="1940"/>
        <w:tab w:val="left" w:pos="2140"/>
      </w:tabs>
      <w:spacing w:before="140" w:after="0" w:line="240" w:lineRule="auto"/>
      <w:ind w:left="2140" w:hanging="2140"/>
      <w:jc w:val="both"/>
    </w:pPr>
    <w:rPr>
      <w:rFonts w:ascii="Times New Roman" w:eastAsia="Times New Roman" w:hAnsi="Times New Roman" w:cs="Times New Roman"/>
      <w:sz w:val="24"/>
      <w:szCs w:val="20"/>
    </w:rPr>
  </w:style>
  <w:style w:type="paragraph" w:customStyle="1" w:styleId="BodySectionSub">
    <w:name w:val="Body Section (Sub)"/>
    <w:next w:val="Normal"/>
    <w:link w:val="BodySectionSubChar"/>
    <w:rsid w:val="00DE6851"/>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rPr>
  </w:style>
  <w:style w:type="paragraph" w:customStyle="1" w:styleId="DraftHeading3">
    <w:name w:val="Draft Heading 3"/>
    <w:basedOn w:val="Normal"/>
    <w:next w:val="Normal"/>
    <w:rsid w:val="00DE6851"/>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DraftHeading1">
    <w:name w:val="Draft Heading 1"/>
    <w:basedOn w:val="Normal"/>
    <w:next w:val="Normal"/>
    <w:link w:val="DraftHeading1Char"/>
    <w:rsid w:val="00DE6851"/>
    <w:pPr>
      <w:overflowPunct w:val="0"/>
      <w:autoSpaceDE w:val="0"/>
      <w:autoSpaceDN w:val="0"/>
      <w:adjustRightInd w:val="0"/>
      <w:spacing w:before="120" w:after="0" w:line="240" w:lineRule="auto"/>
      <w:textAlignment w:val="baseline"/>
      <w:outlineLvl w:val="2"/>
    </w:pPr>
    <w:rPr>
      <w:rFonts w:ascii="Times New Roman" w:eastAsia="Times New Roman" w:hAnsi="Times New Roman" w:cs="Times New Roman"/>
      <w:b/>
      <w:sz w:val="24"/>
      <w:szCs w:val="24"/>
    </w:rPr>
  </w:style>
  <w:style w:type="character" w:customStyle="1" w:styleId="BodySectionSubChar">
    <w:name w:val="Body Section (Sub) Char"/>
    <w:basedOn w:val="DefaultParagraphFont"/>
    <w:link w:val="BodySectionSub"/>
    <w:rsid w:val="00DE6851"/>
    <w:rPr>
      <w:rFonts w:ascii="Times New Roman" w:eastAsia="Times New Roman" w:hAnsi="Times New Roman" w:cs="Times New Roman"/>
      <w:sz w:val="24"/>
      <w:szCs w:val="20"/>
    </w:rPr>
  </w:style>
  <w:style w:type="character" w:customStyle="1" w:styleId="DraftHeading1Char">
    <w:name w:val="Draft Heading 1 Char"/>
    <w:basedOn w:val="DefaultParagraphFont"/>
    <w:link w:val="DraftHeading1"/>
    <w:rsid w:val="00DE6851"/>
    <w:rPr>
      <w:rFonts w:ascii="Times New Roman" w:eastAsia="Times New Roman" w:hAnsi="Times New Roman" w:cs="Times New Roman"/>
      <w:b/>
      <w:sz w:val="24"/>
      <w:szCs w:val="24"/>
    </w:rPr>
  </w:style>
  <w:style w:type="paragraph" w:customStyle="1" w:styleId="aDefsubpara">
    <w:name w:val="aDef subpara"/>
    <w:basedOn w:val="Asubpara"/>
    <w:rsid w:val="000D3223"/>
    <w:pPr>
      <w:tabs>
        <w:tab w:val="clear" w:pos="1900"/>
        <w:tab w:val="clear" w:pos="2100"/>
        <w:tab w:val="num" w:pos="2140"/>
      </w:tabs>
      <w:ind w:left="214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3566">
      <w:bodyDiv w:val="1"/>
      <w:marLeft w:val="0"/>
      <w:marRight w:val="0"/>
      <w:marTop w:val="0"/>
      <w:marBottom w:val="0"/>
      <w:divBdr>
        <w:top w:val="none" w:sz="0" w:space="0" w:color="auto"/>
        <w:left w:val="none" w:sz="0" w:space="0" w:color="auto"/>
        <w:bottom w:val="none" w:sz="0" w:space="0" w:color="auto"/>
        <w:right w:val="none" w:sz="0" w:space="0" w:color="auto"/>
      </w:divBdr>
    </w:div>
    <w:div w:id="44761495">
      <w:bodyDiv w:val="1"/>
      <w:marLeft w:val="0"/>
      <w:marRight w:val="0"/>
      <w:marTop w:val="0"/>
      <w:marBottom w:val="0"/>
      <w:divBdr>
        <w:top w:val="none" w:sz="0" w:space="0" w:color="auto"/>
        <w:left w:val="none" w:sz="0" w:space="0" w:color="auto"/>
        <w:bottom w:val="none" w:sz="0" w:space="0" w:color="auto"/>
        <w:right w:val="none" w:sz="0" w:space="0" w:color="auto"/>
      </w:divBdr>
    </w:div>
    <w:div w:id="80682419">
      <w:bodyDiv w:val="1"/>
      <w:marLeft w:val="0"/>
      <w:marRight w:val="0"/>
      <w:marTop w:val="0"/>
      <w:marBottom w:val="0"/>
      <w:divBdr>
        <w:top w:val="none" w:sz="0" w:space="0" w:color="auto"/>
        <w:left w:val="none" w:sz="0" w:space="0" w:color="auto"/>
        <w:bottom w:val="none" w:sz="0" w:space="0" w:color="auto"/>
        <w:right w:val="none" w:sz="0" w:space="0" w:color="auto"/>
      </w:divBdr>
    </w:div>
    <w:div w:id="353387201">
      <w:bodyDiv w:val="1"/>
      <w:marLeft w:val="0"/>
      <w:marRight w:val="0"/>
      <w:marTop w:val="0"/>
      <w:marBottom w:val="0"/>
      <w:divBdr>
        <w:top w:val="none" w:sz="0" w:space="0" w:color="auto"/>
        <w:left w:val="none" w:sz="0" w:space="0" w:color="auto"/>
        <w:bottom w:val="none" w:sz="0" w:space="0" w:color="auto"/>
        <w:right w:val="none" w:sz="0" w:space="0" w:color="auto"/>
      </w:divBdr>
    </w:div>
    <w:div w:id="378287222">
      <w:bodyDiv w:val="1"/>
      <w:marLeft w:val="0"/>
      <w:marRight w:val="0"/>
      <w:marTop w:val="0"/>
      <w:marBottom w:val="0"/>
      <w:divBdr>
        <w:top w:val="none" w:sz="0" w:space="0" w:color="auto"/>
        <w:left w:val="none" w:sz="0" w:space="0" w:color="auto"/>
        <w:bottom w:val="none" w:sz="0" w:space="0" w:color="auto"/>
        <w:right w:val="none" w:sz="0" w:space="0" w:color="auto"/>
      </w:divBdr>
    </w:div>
    <w:div w:id="386148917">
      <w:bodyDiv w:val="1"/>
      <w:marLeft w:val="0"/>
      <w:marRight w:val="0"/>
      <w:marTop w:val="0"/>
      <w:marBottom w:val="0"/>
      <w:divBdr>
        <w:top w:val="none" w:sz="0" w:space="0" w:color="auto"/>
        <w:left w:val="none" w:sz="0" w:space="0" w:color="auto"/>
        <w:bottom w:val="none" w:sz="0" w:space="0" w:color="auto"/>
        <w:right w:val="none" w:sz="0" w:space="0" w:color="auto"/>
      </w:divBdr>
    </w:div>
    <w:div w:id="413749720">
      <w:bodyDiv w:val="1"/>
      <w:marLeft w:val="0"/>
      <w:marRight w:val="0"/>
      <w:marTop w:val="0"/>
      <w:marBottom w:val="0"/>
      <w:divBdr>
        <w:top w:val="none" w:sz="0" w:space="0" w:color="auto"/>
        <w:left w:val="none" w:sz="0" w:space="0" w:color="auto"/>
        <w:bottom w:val="none" w:sz="0" w:space="0" w:color="auto"/>
        <w:right w:val="none" w:sz="0" w:space="0" w:color="auto"/>
      </w:divBdr>
    </w:div>
    <w:div w:id="451359759">
      <w:bodyDiv w:val="1"/>
      <w:marLeft w:val="0"/>
      <w:marRight w:val="0"/>
      <w:marTop w:val="0"/>
      <w:marBottom w:val="0"/>
      <w:divBdr>
        <w:top w:val="none" w:sz="0" w:space="0" w:color="auto"/>
        <w:left w:val="none" w:sz="0" w:space="0" w:color="auto"/>
        <w:bottom w:val="none" w:sz="0" w:space="0" w:color="auto"/>
        <w:right w:val="none" w:sz="0" w:space="0" w:color="auto"/>
      </w:divBdr>
    </w:div>
    <w:div w:id="453252857">
      <w:bodyDiv w:val="1"/>
      <w:marLeft w:val="0"/>
      <w:marRight w:val="0"/>
      <w:marTop w:val="0"/>
      <w:marBottom w:val="0"/>
      <w:divBdr>
        <w:top w:val="none" w:sz="0" w:space="0" w:color="auto"/>
        <w:left w:val="none" w:sz="0" w:space="0" w:color="auto"/>
        <w:bottom w:val="none" w:sz="0" w:space="0" w:color="auto"/>
        <w:right w:val="none" w:sz="0" w:space="0" w:color="auto"/>
      </w:divBdr>
    </w:div>
    <w:div w:id="479882438">
      <w:bodyDiv w:val="1"/>
      <w:marLeft w:val="0"/>
      <w:marRight w:val="0"/>
      <w:marTop w:val="0"/>
      <w:marBottom w:val="0"/>
      <w:divBdr>
        <w:top w:val="none" w:sz="0" w:space="0" w:color="auto"/>
        <w:left w:val="none" w:sz="0" w:space="0" w:color="auto"/>
        <w:bottom w:val="none" w:sz="0" w:space="0" w:color="auto"/>
        <w:right w:val="none" w:sz="0" w:space="0" w:color="auto"/>
      </w:divBdr>
    </w:div>
    <w:div w:id="496581886">
      <w:bodyDiv w:val="1"/>
      <w:marLeft w:val="0"/>
      <w:marRight w:val="0"/>
      <w:marTop w:val="0"/>
      <w:marBottom w:val="0"/>
      <w:divBdr>
        <w:top w:val="none" w:sz="0" w:space="0" w:color="auto"/>
        <w:left w:val="none" w:sz="0" w:space="0" w:color="auto"/>
        <w:bottom w:val="none" w:sz="0" w:space="0" w:color="auto"/>
        <w:right w:val="none" w:sz="0" w:space="0" w:color="auto"/>
      </w:divBdr>
    </w:div>
    <w:div w:id="624891158">
      <w:bodyDiv w:val="1"/>
      <w:marLeft w:val="0"/>
      <w:marRight w:val="0"/>
      <w:marTop w:val="0"/>
      <w:marBottom w:val="0"/>
      <w:divBdr>
        <w:top w:val="none" w:sz="0" w:space="0" w:color="auto"/>
        <w:left w:val="none" w:sz="0" w:space="0" w:color="auto"/>
        <w:bottom w:val="none" w:sz="0" w:space="0" w:color="auto"/>
        <w:right w:val="none" w:sz="0" w:space="0" w:color="auto"/>
      </w:divBdr>
    </w:div>
    <w:div w:id="665597187">
      <w:bodyDiv w:val="1"/>
      <w:marLeft w:val="0"/>
      <w:marRight w:val="0"/>
      <w:marTop w:val="0"/>
      <w:marBottom w:val="0"/>
      <w:divBdr>
        <w:top w:val="none" w:sz="0" w:space="0" w:color="auto"/>
        <w:left w:val="none" w:sz="0" w:space="0" w:color="auto"/>
        <w:bottom w:val="none" w:sz="0" w:space="0" w:color="auto"/>
        <w:right w:val="none" w:sz="0" w:space="0" w:color="auto"/>
      </w:divBdr>
    </w:div>
    <w:div w:id="669332373">
      <w:bodyDiv w:val="1"/>
      <w:marLeft w:val="0"/>
      <w:marRight w:val="0"/>
      <w:marTop w:val="0"/>
      <w:marBottom w:val="0"/>
      <w:divBdr>
        <w:top w:val="none" w:sz="0" w:space="0" w:color="auto"/>
        <w:left w:val="none" w:sz="0" w:space="0" w:color="auto"/>
        <w:bottom w:val="none" w:sz="0" w:space="0" w:color="auto"/>
        <w:right w:val="none" w:sz="0" w:space="0" w:color="auto"/>
      </w:divBdr>
    </w:div>
    <w:div w:id="709569828">
      <w:bodyDiv w:val="1"/>
      <w:marLeft w:val="0"/>
      <w:marRight w:val="0"/>
      <w:marTop w:val="0"/>
      <w:marBottom w:val="0"/>
      <w:divBdr>
        <w:top w:val="none" w:sz="0" w:space="0" w:color="auto"/>
        <w:left w:val="none" w:sz="0" w:space="0" w:color="auto"/>
        <w:bottom w:val="none" w:sz="0" w:space="0" w:color="auto"/>
        <w:right w:val="none" w:sz="0" w:space="0" w:color="auto"/>
      </w:divBdr>
    </w:div>
    <w:div w:id="752706501">
      <w:bodyDiv w:val="1"/>
      <w:marLeft w:val="0"/>
      <w:marRight w:val="0"/>
      <w:marTop w:val="0"/>
      <w:marBottom w:val="0"/>
      <w:divBdr>
        <w:top w:val="none" w:sz="0" w:space="0" w:color="auto"/>
        <w:left w:val="none" w:sz="0" w:space="0" w:color="auto"/>
        <w:bottom w:val="none" w:sz="0" w:space="0" w:color="auto"/>
        <w:right w:val="none" w:sz="0" w:space="0" w:color="auto"/>
      </w:divBdr>
    </w:div>
    <w:div w:id="823400820">
      <w:bodyDiv w:val="1"/>
      <w:marLeft w:val="0"/>
      <w:marRight w:val="0"/>
      <w:marTop w:val="0"/>
      <w:marBottom w:val="0"/>
      <w:divBdr>
        <w:top w:val="none" w:sz="0" w:space="0" w:color="auto"/>
        <w:left w:val="none" w:sz="0" w:space="0" w:color="auto"/>
        <w:bottom w:val="none" w:sz="0" w:space="0" w:color="auto"/>
        <w:right w:val="none" w:sz="0" w:space="0" w:color="auto"/>
      </w:divBdr>
    </w:div>
    <w:div w:id="859782865">
      <w:bodyDiv w:val="1"/>
      <w:marLeft w:val="0"/>
      <w:marRight w:val="0"/>
      <w:marTop w:val="0"/>
      <w:marBottom w:val="0"/>
      <w:divBdr>
        <w:top w:val="none" w:sz="0" w:space="0" w:color="auto"/>
        <w:left w:val="none" w:sz="0" w:space="0" w:color="auto"/>
        <w:bottom w:val="none" w:sz="0" w:space="0" w:color="auto"/>
        <w:right w:val="none" w:sz="0" w:space="0" w:color="auto"/>
      </w:divBdr>
    </w:div>
    <w:div w:id="893808291">
      <w:bodyDiv w:val="1"/>
      <w:marLeft w:val="0"/>
      <w:marRight w:val="0"/>
      <w:marTop w:val="0"/>
      <w:marBottom w:val="0"/>
      <w:divBdr>
        <w:top w:val="none" w:sz="0" w:space="0" w:color="auto"/>
        <w:left w:val="none" w:sz="0" w:space="0" w:color="auto"/>
        <w:bottom w:val="none" w:sz="0" w:space="0" w:color="auto"/>
        <w:right w:val="none" w:sz="0" w:space="0" w:color="auto"/>
      </w:divBdr>
    </w:div>
    <w:div w:id="921261751">
      <w:bodyDiv w:val="1"/>
      <w:marLeft w:val="0"/>
      <w:marRight w:val="0"/>
      <w:marTop w:val="0"/>
      <w:marBottom w:val="0"/>
      <w:divBdr>
        <w:top w:val="none" w:sz="0" w:space="0" w:color="auto"/>
        <w:left w:val="none" w:sz="0" w:space="0" w:color="auto"/>
        <w:bottom w:val="none" w:sz="0" w:space="0" w:color="auto"/>
        <w:right w:val="none" w:sz="0" w:space="0" w:color="auto"/>
      </w:divBdr>
    </w:div>
    <w:div w:id="975793566">
      <w:bodyDiv w:val="1"/>
      <w:marLeft w:val="0"/>
      <w:marRight w:val="0"/>
      <w:marTop w:val="0"/>
      <w:marBottom w:val="0"/>
      <w:divBdr>
        <w:top w:val="none" w:sz="0" w:space="0" w:color="auto"/>
        <w:left w:val="none" w:sz="0" w:space="0" w:color="auto"/>
        <w:bottom w:val="none" w:sz="0" w:space="0" w:color="auto"/>
        <w:right w:val="none" w:sz="0" w:space="0" w:color="auto"/>
      </w:divBdr>
    </w:div>
    <w:div w:id="1040787363">
      <w:bodyDiv w:val="1"/>
      <w:marLeft w:val="0"/>
      <w:marRight w:val="0"/>
      <w:marTop w:val="0"/>
      <w:marBottom w:val="0"/>
      <w:divBdr>
        <w:top w:val="none" w:sz="0" w:space="0" w:color="auto"/>
        <w:left w:val="none" w:sz="0" w:space="0" w:color="auto"/>
        <w:bottom w:val="none" w:sz="0" w:space="0" w:color="auto"/>
        <w:right w:val="none" w:sz="0" w:space="0" w:color="auto"/>
      </w:divBdr>
    </w:div>
    <w:div w:id="1101681319">
      <w:bodyDiv w:val="1"/>
      <w:marLeft w:val="0"/>
      <w:marRight w:val="0"/>
      <w:marTop w:val="0"/>
      <w:marBottom w:val="0"/>
      <w:divBdr>
        <w:top w:val="none" w:sz="0" w:space="0" w:color="auto"/>
        <w:left w:val="none" w:sz="0" w:space="0" w:color="auto"/>
        <w:bottom w:val="none" w:sz="0" w:space="0" w:color="auto"/>
        <w:right w:val="none" w:sz="0" w:space="0" w:color="auto"/>
      </w:divBdr>
    </w:div>
    <w:div w:id="1140925372">
      <w:bodyDiv w:val="1"/>
      <w:marLeft w:val="0"/>
      <w:marRight w:val="0"/>
      <w:marTop w:val="0"/>
      <w:marBottom w:val="0"/>
      <w:divBdr>
        <w:top w:val="none" w:sz="0" w:space="0" w:color="auto"/>
        <w:left w:val="none" w:sz="0" w:space="0" w:color="auto"/>
        <w:bottom w:val="none" w:sz="0" w:space="0" w:color="auto"/>
        <w:right w:val="none" w:sz="0" w:space="0" w:color="auto"/>
      </w:divBdr>
    </w:div>
    <w:div w:id="1159611574">
      <w:bodyDiv w:val="1"/>
      <w:marLeft w:val="0"/>
      <w:marRight w:val="0"/>
      <w:marTop w:val="0"/>
      <w:marBottom w:val="0"/>
      <w:divBdr>
        <w:top w:val="none" w:sz="0" w:space="0" w:color="auto"/>
        <w:left w:val="none" w:sz="0" w:space="0" w:color="auto"/>
        <w:bottom w:val="none" w:sz="0" w:space="0" w:color="auto"/>
        <w:right w:val="none" w:sz="0" w:space="0" w:color="auto"/>
      </w:divBdr>
    </w:div>
    <w:div w:id="1221866825">
      <w:bodyDiv w:val="1"/>
      <w:marLeft w:val="0"/>
      <w:marRight w:val="0"/>
      <w:marTop w:val="0"/>
      <w:marBottom w:val="0"/>
      <w:divBdr>
        <w:top w:val="none" w:sz="0" w:space="0" w:color="auto"/>
        <w:left w:val="none" w:sz="0" w:space="0" w:color="auto"/>
        <w:bottom w:val="none" w:sz="0" w:space="0" w:color="auto"/>
        <w:right w:val="none" w:sz="0" w:space="0" w:color="auto"/>
      </w:divBdr>
    </w:div>
    <w:div w:id="1272972304">
      <w:bodyDiv w:val="1"/>
      <w:marLeft w:val="0"/>
      <w:marRight w:val="0"/>
      <w:marTop w:val="0"/>
      <w:marBottom w:val="0"/>
      <w:divBdr>
        <w:top w:val="none" w:sz="0" w:space="0" w:color="auto"/>
        <w:left w:val="none" w:sz="0" w:space="0" w:color="auto"/>
        <w:bottom w:val="none" w:sz="0" w:space="0" w:color="auto"/>
        <w:right w:val="none" w:sz="0" w:space="0" w:color="auto"/>
      </w:divBdr>
    </w:div>
    <w:div w:id="1288320872">
      <w:bodyDiv w:val="1"/>
      <w:marLeft w:val="0"/>
      <w:marRight w:val="0"/>
      <w:marTop w:val="0"/>
      <w:marBottom w:val="0"/>
      <w:divBdr>
        <w:top w:val="none" w:sz="0" w:space="0" w:color="auto"/>
        <w:left w:val="none" w:sz="0" w:space="0" w:color="auto"/>
        <w:bottom w:val="none" w:sz="0" w:space="0" w:color="auto"/>
        <w:right w:val="none" w:sz="0" w:space="0" w:color="auto"/>
      </w:divBdr>
    </w:div>
    <w:div w:id="1288389191">
      <w:bodyDiv w:val="1"/>
      <w:marLeft w:val="0"/>
      <w:marRight w:val="0"/>
      <w:marTop w:val="0"/>
      <w:marBottom w:val="0"/>
      <w:divBdr>
        <w:top w:val="none" w:sz="0" w:space="0" w:color="auto"/>
        <w:left w:val="none" w:sz="0" w:space="0" w:color="auto"/>
        <w:bottom w:val="none" w:sz="0" w:space="0" w:color="auto"/>
        <w:right w:val="none" w:sz="0" w:space="0" w:color="auto"/>
      </w:divBdr>
    </w:div>
    <w:div w:id="1297570248">
      <w:bodyDiv w:val="1"/>
      <w:marLeft w:val="0"/>
      <w:marRight w:val="0"/>
      <w:marTop w:val="0"/>
      <w:marBottom w:val="0"/>
      <w:divBdr>
        <w:top w:val="none" w:sz="0" w:space="0" w:color="auto"/>
        <w:left w:val="none" w:sz="0" w:space="0" w:color="auto"/>
        <w:bottom w:val="none" w:sz="0" w:space="0" w:color="auto"/>
        <w:right w:val="none" w:sz="0" w:space="0" w:color="auto"/>
      </w:divBdr>
    </w:div>
    <w:div w:id="1307322897">
      <w:bodyDiv w:val="1"/>
      <w:marLeft w:val="0"/>
      <w:marRight w:val="0"/>
      <w:marTop w:val="0"/>
      <w:marBottom w:val="0"/>
      <w:divBdr>
        <w:top w:val="none" w:sz="0" w:space="0" w:color="auto"/>
        <w:left w:val="none" w:sz="0" w:space="0" w:color="auto"/>
        <w:bottom w:val="none" w:sz="0" w:space="0" w:color="auto"/>
        <w:right w:val="none" w:sz="0" w:space="0" w:color="auto"/>
      </w:divBdr>
    </w:div>
    <w:div w:id="1311326864">
      <w:bodyDiv w:val="1"/>
      <w:marLeft w:val="0"/>
      <w:marRight w:val="0"/>
      <w:marTop w:val="0"/>
      <w:marBottom w:val="0"/>
      <w:divBdr>
        <w:top w:val="none" w:sz="0" w:space="0" w:color="auto"/>
        <w:left w:val="none" w:sz="0" w:space="0" w:color="auto"/>
        <w:bottom w:val="none" w:sz="0" w:space="0" w:color="auto"/>
        <w:right w:val="none" w:sz="0" w:space="0" w:color="auto"/>
      </w:divBdr>
    </w:div>
    <w:div w:id="1341810655">
      <w:bodyDiv w:val="1"/>
      <w:marLeft w:val="0"/>
      <w:marRight w:val="0"/>
      <w:marTop w:val="0"/>
      <w:marBottom w:val="0"/>
      <w:divBdr>
        <w:top w:val="none" w:sz="0" w:space="0" w:color="auto"/>
        <w:left w:val="none" w:sz="0" w:space="0" w:color="auto"/>
        <w:bottom w:val="none" w:sz="0" w:space="0" w:color="auto"/>
        <w:right w:val="none" w:sz="0" w:space="0" w:color="auto"/>
      </w:divBdr>
    </w:div>
    <w:div w:id="1405562978">
      <w:bodyDiv w:val="1"/>
      <w:marLeft w:val="0"/>
      <w:marRight w:val="0"/>
      <w:marTop w:val="0"/>
      <w:marBottom w:val="0"/>
      <w:divBdr>
        <w:top w:val="none" w:sz="0" w:space="0" w:color="auto"/>
        <w:left w:val="none" w:sz="0" w:space="0" w:color="auto"/>
        <w:bottom w:val="none" w:sz="0" w:space="0" w:color="auto"/>
        <w:right w:val="none" w:sz="0" w:space="0" w:color="auto"/>
      </w:divBdr>
    </w:div>
    <w:div w:id="1413235515">
      <w:bodyDiv w:val="1"/>
      <w:marLeft w:val="0"/>
      <w:marRight w:val="0"/>
      <w:marTop w:val="0"/>
      <w:marBottom w:val="0"/>
      <w:divBdr>
        <w:top w:val="none" w:sz="0" w:space="0" w:color="auto"/>
        <w:left w:val="none" w:sz="0" w:space="0" w:color="auto"/>
        <w:bottom w:val="none" w:sz="0" w:space="0" w:color="auto"/>
        <w:right w:val="none" w:sz="0" w:space="0" w:color="auto"/>
      </w:divBdr>
    </w:div>
    <w:div w:id="1449006435">
      <w:bodyDiv w:val="1"/>
      <w:marLeft w:val="0"/>
      <w:marRight w:val="0"/>
      <w:marTop w:val="0"/>
      <w:marBottom w:val="0"/>
      <w:divBdr>
        <w:top w:val="none" w:sz="0" w:space="0" w:color="auto"/>
        <w:left w:val="none" w:sz="0" w:space="0" w:color="auto"/>
        <w:bottom w:val="none" w:sz="0" w:space="0" w:color="auto"/>
        <w:right w:val="none" w:sz="0" w:space="0" w:color="auto"/>
      </w:divBdr>
    </w:div>
    <w:div w:id="1456174768">
      <w:bodyDiv w:val="1"/>
      <w:marLeft w:val="0"/>
      <w:marRight w:val="0"/>
      <w:marTop w:val="0"/>
      <w:marBottom w:val="0"/>
      <w:divBdr>
        <w:top w:val="none" w:sz="0" w:space="0" w:color="auto"/>
        <w:left w:val="none" w:sz="0" w:space="0" w:color="auto"/>
        <w:bottom w:val="none" w:sz="0" w:space="0" w:color="auto"/>
        <w:right w:val="none" w:sz="0" w:space="0" w:color="auto"/>
      </w:divBdr>
    </w:div>
    <w:div w:id="1484615299">
      <w:bodyDiv w:val="1"/>
      <w:marLeft w:val="0"/>
      <w:marRight w:val="0"/>
      <w:marTop w:val="0"/>
      <w:marBottom w:val="0"/>
      <w:divBdr>
        <w:top w:val="none" w:sz="0" w:space="0" w:color="auto"/>
        <w:left w:val="none" w:sz="0" w:space="0" w:color="auto"/>
        <w:bottom w:val="none" w:sz="0" w:space="0" w:color="auto"/>
        <w:right w:val="none" w:sz="0" w:space="0" w:color="auto"/>
      </w:divBdr>
    </w:div>
    <w:div w:id="1861891162">
      <w:bodyDiv w:val="1"/>
      <w:marLeft w:val="0"/>
      <w:marRight w:val="0"/>
      <w:marTop w:val="0"/>
      <w:marBottom w:val="0"/>
      <w:divBdr>
        <w:top w:val="none" w:sz="0" w:space="0" w:color="auto"/>
        <w:left w:val="none" w:sz="0" w:space="0" w:color="auto"/>
        <w:bottom w:val="none" w:sz="0" w:space="0" w:color="auto"/>
        <w:right w:val="none" w:sz="0" w:space="0" w:color="auto"/>
      </w:divBdr>
      <w:divsChild>
        <w:div w:id="85677447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19148265">
              <w:blockQuote w:val="1"/>
              <w:marLeft w:val="480"/>
              <w:marRight w:val="0"/>
              <w:marTop w:val="120"/>
              <w:marBottom w:val="120"/>
              <w:divBdr>
                <w:top w:val="none" w:sz="0" w:space="0" w:color="auto"/>
                <w:left w:val="none" w:sz="0" w:space="0" w:color="auto"/>
                <w:bottom w:val="none" w:sz="0" w:space="0" w:color="auto"/>
                <w:right w:val="none" w:sz="0" w:space="0" w:color="auto"/>
              </w:divBdr>
            </w:div>
            <w:div w:id="445807919">
              <w:blockQuote w:val="1"/>
              <w:marLeft w:val="480"/>
              <w:marRight w:val="0"/>
              <w:marTop w:val="120"/>
              <w:marBottom w:val="120"/>
              <w:divBdr>
                <w:top w:val="none" w:sz="0" w:space="0" w:color="auto"/>
                <w:left w:val="none" w:sz="0" w:space="0" w:color="auto"/>
                <w:bottom w:val="none" w:sz="0" w:space="0" w:color="auto"/>
                <w:right w:val="none" w:sz="0" w:space="0" w:color="auto"/>
              </w:divBdr>
            </w:div>
            <w:div w:id="455835139">
              <w:blockQuote w:val="1"/>
              <w:marLeft w:val="480"/>
              <w:marRight w:val="0"/>
              <w:marTop w:val="120"/>
              <w:marBottom w:val="120"/>
              <w:divBdr>
                <w:top w:val="none" w:sz="0" w:space="0" w:color="auto"/>
                <w:left w:val="none" w:sz="0" w:space="0" w:color="auto"/>
                <w:bottom w:val="none" w:sz="0" w:space="0" w:color="auto"/>
                <w:right w:val="none" w:sz="0" w:space="0" w:color="auto"/>
              </w:divBdr>
              <w:divsChild>
                <w:div w:id="514419143">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 w:id="1652513648">
              <w:blockQuote w:val="1"/>
              <w:marLeft w:val="480"/>
              <w:marRight w:val="0"/>
              <w:marTop w:val="120"/>
              <w:marBottom w:val="120"/>
              <w:divBdr>
                <w:top w:val="none" w:sz="0" w:space="0" w:color="auto"/>
                <w:left w:val="none" w:sz="0" w:space="0" w:color="auto"/>
                <w:bottom w:val="none" w:sz="0" w:space="0" w:color="auto"/>
                <w:right w:val="none" w:sz="0" w:space="0" w:color="auto"/>
              </w:divBdr>
              <w:divsChild>
                <w:div w:id="1783913921">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 w:id="1761950779">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sChild>
    </w:div>
    <w:div w:id="1941982867">
      <w:bodyDiv w:val="1"/>
      <w:marLeft w:val="0"/>
      <w:marRight w:val="0"/>
      <w:marTop w:val="0"/>
      <w:marBottom w:val="0"/>
      <w:divBdr>
        <w:top w:val="none" w:sz="0" w:space="0" w:color="auto"/>
        <w:left w:val="none" w:sz="0" w:space="0" w:color="auto"/>
        <w:bottom w:val="none" w:sz="0" w:space="0" w:color="auto"/>
        <w:right w:val="none" w:sz="0" w:space="0" w:color="auto"/>
      </w:divBdr>
    </w:div>
    <w:div w:id="2003269818">
      <w:bodyDiv w:val="1"/>
      <w:marLeft w:val="0"/>
      <w:marRight w:val="0"/>
      <w:marTop w:val="0"/>
      <w:marBottom w:val="0"/>
      <w:divBdr>
        <w:top w:val="none" w:sz="0" w:space="0" w:color="auto"/>
        <w:left w:val="none" w:sz="0" w:space="0" w:color="auto"/>
        <w:bottom w:val="none" w:sz="0" w:space="0" w:color="auto"/>
        <w:right w:val="none" w:sz="0" w:space="0" w:color="auto"/>
      </w:divBdr>
    </w:div>
    <w:div w:id="2004315815">
      <w:bodyDiv w:val="1"/>
      <w:marLeft w:val="0"/>
      <w:marRight w:val="0"/>
      <w:marTop w:val="0"/>
      <w:marBottom w:val="0"/>
      <w:divBdr>
        <w:top w:val="none" w:sz="0" w:space="0" w:color="auto"/>
        <w:left w:val="none" w:sz="0" w:space="0" w:color="auto"/>
        <w:bottom w:val="none" w:sz="0" w:space="0" w:color="auto"/>
        <w:right w:val="none" w:sz="0" w:space="0" w:color="auto"/>
      </w:divBdr>
    </w:div>
    <w:div w:id="200462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s://www.parliament.act.gov.au/__data/assets/pdf_file/0007/434347/Subordinate-Legislation-Technical-and-Stylistic-Standards.pdf"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8.xml"/><Relationship Id="rId34"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www.parliament.act.gov.au/__data/assets/pdf_file/0007/434347/Subordinate-Legislation-Technical-and-Stylistic-Standards.pdf" TargetMode="External"/><Relationship Id="rId33" Type="http://schemas.openxmlformats.org/officeDocument/2006/relationships/image" Target="media/image1.jpg"/><Relationship Id="rId38"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yperlink" Target="https://www.legislation.act.gov.au/a/db_4915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parliament.act.gov.au/__data/assets/pdf_file/0007/434347/Subordinate-Legislation-Technical-and-Stylistic-Standards.pdf" TargetMode="External"/><Relationship Id="rId32" Type="http://schemas.openxmlformats.org/officeDocument/2006/relationships/hyperlink" Target="https://www.parliament.act.gov.au/parliamentary-business/in-committees/committees/JCS_Scrutiny/responses-to-comments-on-bills" TargetMode="External"/><Relationship Id="rId37" Type="http://schemas.openxmlformats.org/officeDocument/2006/relationships/footer" Target="footer8.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yperlink" Target="https://www.legislation.act.gov.au/a/2001-18/" TargetMode="External"/><Relationship Id="rId36"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yperlink" Target="https://www.parliament.act.gov.au/parliamentary-business/in-committees/committees/JCS_Scrutiny/responses-to-comments-on-bill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yperlink" Target="https://www.legislation.act.gov.au/a/2001-18/" TargetMode="External"/><Relationship Id="rId30" Type="http://schemas.openxmlformats.org/officeDocument/2006/relationships/hyperlink" Target="https://www.legislation.nsw.gov.au/" TargetMode="External"/><Relationship Id="rId35"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E5B0B-D405-4F95-84A1-A56830AF9D1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93B0425-4DAD-4F07-8BD8-F7C0433DE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25</Pages>
  <Words>8580</Words>
  <Characters>48912</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Scrutiny Report 9—28 September 2021</vt:lpstr>
    </vt:vector>
  </TitlesOfParts>
  <Company/>
  <LinksUpToDate>false</LinksUpToDate>
  <CharactersWithSpaces>57378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Scrutiny Report 9—28 September 2021</dc:title>
  <dc:subject/>
  <dc:creator>Shannon, Anne</dc:creator>
  <cp:keywords/>
  <dc:description/>
  <cp:lastModifiedBy>Shannon, Anne</cp:lastModifiedBy>
  <cp:revision>16</cp:revision>
  <cp:lastPrinted>2020-06-30T02:19:00Z</cp:lastPrinted>
  <dcterms:created xsi:type="dcterms:W3CDTF">2021-09-23T05:31:00Z</dcterms:created>
  <dcterms:modified xsi:type="dcterms:W3CDTF">2021-09-28T04:59:00Z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b5416023-e907-4e5c-94a6-d4a6d91d63bb</vt:lpwstr>
  </property>
  <property fmtid="{D5CDD505-2E9C-101B-9397-08002B2CF9AE}" pid="3" name="bjSaver">
    <vt:lpwstr>ZwE+/ToLrPDfvyrx1nh9MyjXnSm5Wksu</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