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41051B" w14:textId="4621451F" w:rsidR="00F831D7" w:rsidRDefault="00F831D7" w:rsidP="00842335">
      <w:pPr>
        <w:pStyle w:val="Committeename"/>
        <w:spacing w:before="480" w:after="480"/>
      </w:pPr>
    </w:p>
    <w:p w14:paraId="0565853D" w14:textId="22B539DF" w:rsidR="00F831D7" w:rsidRDefault="00F831D7" w:rsidP="00842335">
      <w:pPr>
        <w:pStyle w:val="Committeename"/>
        <w:spacing w:before="480" w:after="480"/>
      </w:pPr>
    </w:p>
    <w:p w14:paraId="1D79E925" w14:textId="68F1EEB4" w:rsidR="00F831D7" w:rsidRDefault="00F831D7" w:rsidP="00842335">
      <w:pPr>
        <w:pStyle w:val="Committeename"/>
        <w:spacing w:before="480" w:after="480"/>
      </w:pPr>
    </w:p>
    <w:p w14:paraId="245F6D6C" w14:textId="7BF58FA3" w:rsidR="00F831D7" w:rsidRDefault="00F831D7" w:rsidP="00842335">
      <w:pPr>
        <w:pStyle w:val="Committeename"/>
        <w:spacing w:before="480" w:after="480"/>
      </w:pPr>
    </w:p>
    <w:p w14:paraId="16946464" w14:textId="6DFD28A6" w:rsidR="00F831D7" w:rsidRDefault="00F831D7" w:rsidP="00842335">
      <w:pPr>
        <w:pStyle w:val="Committeename"/>
        <w:spacing w:before="480" w:after="480"/>
      </w:pPr>
    </w:p>
    <w:p w14:paraId="240D4F7C" w14:textId="2DAF002B" w:rsidR="00F831D7" w:rsidRDefault="00F831D7" w:rsidP="00842335">
      <w:pPr>
        <w:pStyle w:val="Committeename"/>
        <w:spacing w:before="480" w:after="480"/>
      </w:pPr>
    </w:p>
    <w:p w14:paraId="2DA64D56" w14:textId="5FF19C4E" w:rsidR="00F831D7" w:rsidRDefault="00F831D7" w:rsidP="00842335">
      <w:pPr>
        <w:pStyle w:val="Committeename"/>
        <w:spacing w:before="480" w:after="480"/>
      </w:pPr>
    </w:p>
    <w:p w14:paraId="530641CA" w14:textId="3216B9FA" w:rsidR="00F831D7" w:rsidRDefault="00F831D7" w:rsidP="00842335">
      <w:pPr>
        <w:pStyle w:val="Committeename"/>
        <w:spacing w:before="480" w:after="480"/>
      </w:pPr>
    </w:p>
    <w:p w14:paraId="2CE96C43" w14:textId="77777777" w:rsidR="00F831D7" w:rsidRDefault="00F831D7" w:rsidP="00842335">
      <w:pPr>
        <w:pStyle w:val="Committeename"/>
        <w:spacing w:before="480" w:after="480"/>
      </w:pPr>
    </w:p>
    <w:p w14:paraId="41ABACD1" w14:textId="7BB698F2" w:rsidR="00F831D7" w:rsidRPr="00F831D7" w:rsidRDefault="00F831D7" w:rsidP="00F831D7">
      <w:pPr>
        <w:pStyle w:val="Committeename"/>
        <w:spacing w:before="480" w:after="480"/>
        <w:rPr>
          <w:sz w:val="32"/>
          <w:szCs w:val="32"/>
        </w:rPr>
      </w:pPr>
      <w:r w:rsidRPr="00F831D7">
        <w:rPr>
          <w:sz w:val="32"/>
          <w:szCs w:val="32"/>
        </w:rPr>
        <w:t xml:space="preserve">Annual and Financial Reports 2019-2020; Appropriation Bill 2020-2021 and Appropriation (Office of the </w:t>
      </w:r>
      <w:r w:rsidR="004D1E60">
        <w:rPr>
          <w:sz w:val="32"/>
          <w:szCs w:val="32"/>
        </w:rPr>
        <w:t>L</w:t>
      </w:r>
      <w:r w:rsidRPr="00F831D7">
        <w:rPr>
          <w:sz w:val="32"/>
          <w:szCs w:val="32"/>
        </w:rPr>
        <w:t>egislative Assembly) Bill 2020-2021</w:t>
      </w:r>
    </w:p>
    <w:p w14:paraId="1BEAF693" w14:textId="15B7A99A" w:rsidR="00842335" w:rsidRPr="00F831D7" w:rsidRDefault="00842335" w:rsidP="00842335">
      <w:pPr>
        <w:pStyle w:val="Committeename"/>
        <w:spacing w:before="480" w:after="480"/>
        <w:rPr>
          <w:sz w:val="24"/>
          <w:szCs w:val="24"/>
        </w:rPr>
      </w:pPr>
      <w:r w:rsidRPr="00F831D7">
        <w:rPr>
          <w:sz w:val="24"/>
          <w:szCs w:val="24"/>
        </w:rPr>
        <w:t>Standing Committee on Health and Community Wellbeing</w:t>
      </w:r>
    </w:p>
    <w:p w14:paraId="2002355A" w14:textId="11B3ACF7" w:rsidR="00842335" w:rsidRDefault="00842335" w:rsidP="00842335">
      <w:pPr>
        <w:pStyle w:val="Reportdate"/>
        <w:spacing w:after="360"/>
      </w:pPr>
      <w:r>
        <w:t>April 2021</w:t>
      </w:r>
    </w:p>
    <w:p w14:paraId="0FC59045" w14:textId="1549470B" w:rsidR="00842335" w:rsidRDefault="00842335" w:rsidP="002A4E14">
      <w:pPr>
        <w:pStyle w:val="Reportnumber"/>
        <w:spacing w:before="480"/>
      </w:pPr>
      <w:r>
        <w:t>Report 1</w:t>
      </w:r>
    </w:p>
    <w:p w14:paraId="0B4B89C2" w14:textId="77777777" w:rsidR="00842335" w:rsidRDefault="00842335" w:rsidP="005415DE">
      <w:pPr>
        <w:pStyle w:val="Heading1"/>
        <w:sectPr w:rsidR="00842335" w:rsidSect="004D0B16">
          <w:headerReference w:type="even" r:id="rId8"/>
          <w:headerReference w:type="default" r:id="rId9"/>
          <w:footerReference w:type="default" r:id="rId10"/>
          <w:pgSz w:w="11907" w:h="16840" w:code="9"/>
          <w:pgMar w:top="1588" w:right="1418" w:bottom="425" w:left="1418" w:header="720" w:footer="851" w:gutter="0"/>
          <w:pgNumType w:fmt="lowerRoman"/>
          <w:cols w:space="720"/>
          <w:titlePg/>
          <w:docGrid w:linePitch="360"/>
        </w:sectPr>
      </w:pPr>
    </w:p>
    <w:p w14:paraId="7F95338D" w14:textId="77777777" w:rsidR="00F90255" w:rsidRPr="008D41A3" w:rsidRDefault="00F90255" w:rsidP="008D41A3">
      <w:pPr>
        <w:pStyle w:val="Heading1"/>
        <w:numPr>
          <w:ilvl w:val="0"/>
          <w:numId w:val="0"/>
        </w:numPr>
      </w:pPr>
      <w:bookmarkStart w:id="0" w:name="_Toc502671580"/>
      <w:bookmarkStart w:id="1" w:name="_Toc502671759"/>
      <w:bookmarkStart w:id="2" w:name="_Toc502671864"/>
      <w:bookmarkStart w:id="3" w:name="_Toc502672797"/>
      <w:bookmarkStart w:id="4" w:name="_Toc67667386"/>
      <w:bookmarkStart w:id="5" w:name="_Toc68848964"/>
      <w:bookmarkStart w:id="6" w:name="_Toc170711045"/>
      <w:bookmarkStart w:id="7" w:name="_Toc341433411"/>
      <w:bookmarkStart w:id="8" w:name="_Toc341687854"/>
      <w:r w:rsidRPr="008D41A3">
        <w:lastRenderedPageBreak/>
        <w:t>The Committee</w:t>
      </w:r>
      <w:bookmarkEnd w:id="0"/>
      <w:bookmarkEnd w:id="1"/>
      <w:bookmarkEnd w:id="2"/>
      <w:bookmarkEnd w:id="3"/>
      <w:bookmarkEnd w:id="4"/>
      <w:bookmarkEnd w:id="5"/>
    </w:p>
    <w:bookmarkEnd w:id="6"/>
    <w:bookmarkEnd w:id="7"/>
    <w:bookmarkEnd w:id="8"/>
    <w:p w14:paraId="0BA83872" w14:textId="54E24D86" w:rsidR="00F818CF" w:rsidRDefault="00F818CF" w:rsidP="00F818CF">
      <w:pPr>
        <w:pStyle w:val="BodyText"/>
      </w:pPr>
      <w:r>
        <w:t>Johnathan Davis MLA (Chair)</w:t>
      </w:r>
    </w:p>
    <w:p w14:paraId="08C4EE91" w14:textId="17252A33" w:rsidR="00F818CF" w:rsidRDefault="00F818CF" w:rsidP="00F818CF">
      <w:pPr>
        <w:pStyle w:val="BodyText"/>
      </w:pPr>
      <w:r>
        <w:t>Elizabeth Kikkert MLA (Deputy Chair)</w:t>
      </w:r>
      <w:r w:rsidR="00A3684B">
        <w:t xml:space="preserve"> – to 30 March 2021</w:t>
      </w:r>
    </w:p>
    <w:p w14:paraId="07D0A180" w14:textId="1179747A" w:rsidR="00A3684B" w:rsidRDefault="00A3684B" w:rsidP="00F818CF">
      <w:pPr>
        <w:pStyle w:val="BodyText"/>
      </w:pPr>
      <w:r>
        <w:t>James Milligan MLA – from 30 March 2021</w:t>
      </w:r>
    </w:p>
    <w:p w14:paraId="7BB3C6D7" w14:textId="02B92801" w:rsidR="00F818CF" w:rsidRDefault="00F818CF" w:rsidP="00F818CF">
      <w:pPr>
        <w:pStyle w:val="BodyText"/>
      </w:pPr>
      <w:r>
        <w:t>Michael Pettersson MLA</w:t>
      </w:r>
    </w:p>
    <w:p w14:paraId="2B2E8B79" w14:textId="64DE1A19" w:rsidR="00842335" w:rsidRPr="00F14364" w:rsidRDefault="00842335" w:rsidP="00EF7E5A">
      <w:pPr>
        <w:pStyle w:val="Heading3"/>
        <w:tabs>
          <w:tab w:val="clear" w:pos="567"/>
        </w:tabs>
        <w:spacing w:before="480" w:after="60"/>
        <w:ind w:left="567" w:hanging="567"/>
      </w:pPr>
      <w:bookmarkStart w:id="9" w:name="_Toc170711046"/>
      <w:bookmarkStart w:id="10" w:name="_Toc341433413"/>
      <w:bookmarkStart w:id="11" w:name="_Toc341687856"/>
      <w:bookmarkStart w:id="12" w:name="_Toc68848965"/>
      <w:r w:rsidRPr="00EF7E5A">
        <w:rPr>
          <w:bCs w:val="0"/>
          <w:caps w:val="0"/>
          <w:spacing w:val="20"/>
          <w:sz w:val="36"/>
          <w:szCs w:val="34"/>
        </w:rPr>
        <w:t>Secretariat</w:t>
      </w:r>
      <w:bookmarkEnd w:id="9"/>
      <w:bookmarkEnd w:id="10"/>
      <w:bookmarkEnd w:id="11"/>
      <w:bookmarkEnd w:id="12"/>
    </w:p>
    <w:p w14:paraId="0864B73B" w14:textId="6A1AC6DE" w:rsidR="00B45AE3" w:rsidRDefault="00B45AE3" w:rsidP="00842335">
      <w:pPr>
        <w:pStyle w:val="Bodytextnonumbering"/>
      </w:pPr>
      <w:bookmarkStart w:id="13" w:name="_Toc341433414"/>
      <w:bookmarkStart w:id="14" w:name="_Toc341687857"/>
      <w:r>
        <w:t>Andrew Snedden</w:t>
      </w:r>
      <w:r>
        <w:tab/>
      </w:r>
      <w:r>
        <w:tab/>
        <w:t>Committee Secretary</w:t>
      </w:r>
    </w:p>
    <w:p w14:paraId="204C3028" w14:textId="0E988886" w:rsidR="00B45AE3" w:rsidRDefault="00B45AE3" w:rsidP="00842335">
      <w:pPr>
        <w:pStyle w:val="Bodytextnonumbering"/>
      </w:pPr>
      <w:r>
        <w:t>Fri</w:t>
      </w:r>
      <w:r w:rsidR="00F971F5">
        <w:t>e</w:t>
      </w:r>
      <w:r>
        <w:t>da Scott</w:t>
      </w:r>
      <w:r>
        <w:tab/>
      </w:r>
      <w:r>
        <w:tab/>
      </w:r>
      <w:r>
        <w:tab/>
        <w:t>Research Officer</w:t>
      </w:r>
    </w:p>
    <w:p w14:paraId="253E11FF" w14:textId="03D89915" w:rsidR="00E7046E" w:rsidRDefault="00E7046E" w:rsidP="00842335">
      <w:pPr>
        <w:pStyle w:val="Bodytextnonumbering"/>
      </w:pPr>
      <w:r>
        <w:t>Michelle Atkins</w:t>
      </w:r>
      <w:r>
        <w:tab/>
      </w:r>
      <w:r>
        <w:tab/>
      </w:r>
      <w:r>
        <w:tab/>
      </w:r>
      <w:r w:rsidR="00290F90">
        <w:t>Administrative</w:t>
      </w:r>
      <w:r>
        <w:t xml:space="preserve"> </w:t>
      </w:r>
      <w:r w:rsidR="005F0D0B">
        <w:t>A</w:t>
      </w:r>
      <w:r>
        <w:t>ssistant</w:t>
      </w:r>
    </w:p>
    <w:p w14:paraId="1A2D03F7" w14:textId="63A83DFB" w:rsidR="00842335" w:rsidRPr="005F53F0" w:rsidRDefault="00842335" w:rsidP="00842335">
      <w:pPr>
        <w:pStyle w:val="Bodytextnonumbering"/>
      </w:pPr>
      <w:r>
        <w:t>Lydia Chung</w:t>
      </w:r>
      <w:r>
        <w:tab/>
      </w:r>
      <w:r>
        <w:tab/>
      </w:r>
      <w:r>
        <w:tab/>
        <w:t xml:space="preserve">Administrative </w:t>
      </w:r>
      <w:r w:rsidR="005F0D0B">
        <w:t>A</w:t>
      </w:r>
      <w:r>
        <w:t>ssistan</w:t>
      </w:r>
      <w:r w:rsidR="00F818CF">
        <w:t>t</w:t>
      </w:r>
    </w:p>
    <w:p w14:paraId="4BFDCE81" w14:textId="77777777" w:rsidR="00842335" w:rsidRPr="008D41A3" w:rsidRDefault="00842335" w:rsidP="00EF7E5A">
      <w:pPr>
        <w:pStyle w:val="Heading3"/>
        <w:tabs>
          <w:tab w:val="clear" w:pos="567"/>
        </w:tabs>
        <w:spacing w:before="480" w:after="60"/>
        <w:ind w:left="567" w:hanging="567"/>
        <w:rPr>
          <w:bCs w:val="0"/>
          <w:caps w:val="0"/>
          <w:spacing w:val="20"/>
          <w:sz w:val="36"/>
          <w:szCs w:val="34"/>
        </w:rPr>
      </w:pPr>
      <w:bookmarkStart w:id="15" w:name="_Toc162949737"/>
      <w:bookmarkStart w:id="16" w:name="_Toc170711047"/>
      <w:bookmarkStart w:id="17" w:name="_Toc341433415"/>
      <w:bookmarkStart w:id="18" w:name="_Toc341687858"/>
      <w:bookmarkStart w:id="19" w:name="_Toc68848966"/>
      <w:bookmarkStart w:id="20" w:name="_Hlk29563964"/>
      <w:bookmarkEnd w:id="13"/>
      <w:bookmarkEnd w:id="14"/>
      <w:r w:rsidRPr="008D41A3">
        <w:rPr>
          <w:bCs w:val="0"/>
          <w:caps w:val="0"/>
          <w:spacing w:val="20"/>
          <w:sz w:val="36"/>
          <w:szCs w:val="34"/>
        </w:rPr>
        <w:t>Contact information</w:t>
      </w:r>
      <w:bookmarkEnd w:id="15"/>
      <w:bookmarkEnd w:id="16"/>
      <w:bookmarkEnd w:id="17"/>
      <w:bookmarkEnd w:id="18"/>
      <w:bookmarkEnd w:id="19"/>
    </w:p>
    <w:p w14:paraId="7CFD3D0C" w14:textId="120C1AF6" w:rsidR="00842335" w:rsidRDefault="00842335" w:rsidP="00842335">
      <w:pPr>
        <w:pStyle w:val="StyleBodytextnonumberingBefore0ptAfter0ptLinesp"/>
      </w:pPr>
      <w:bookmarkStart w:id="21" w:name="_Toc341433416"/>
      <w:bookmarkStart w:id="22" w:name="_Toc341687859"/>
      <w:bookmarkEnd w:id="20"/>
      <w:r>
        <w:t>Telephone</w:t>
      </w:r>
      <w:r>
        <w:tab/>
        <w:t>02 6205 01</w:t>
      </w:r>
      <w:bookmarkEnd w:id="21"/>
      <w:bookmarkEnd w:id="22"/>
      <w:r w:rsidR="006D2A59">
        <w:t>99</w:t>
      </w:r>
    </w:p>
    <w:p w14:paraId="1A1BEB73" w14:textId="77777777" w:rsidR="00842335" w:rsidRDefault="00842335" w:rsidP="00842335">
      <w:pPr>
        <w:pStyle w:val="StyleBodytextnonumberingBefore0ptAfter0ptLinesp"/>
      </w:pPr>
      <w:bookmarkStart w:id="23" w:name="_Toc341433418"/>
      <w:bookmarkStart w:id="24" w:name="_Toc341687861"/>
      <w:r>
        <w:t>Post</w:t>
      </w:r>
      <w:r>
        <w:tab/>
      </w:r>
      <w:r>
        <w:tab/>
        <w:t>GPO Box 1020, CANBERRA ACT 2601</w:t>
      </w:r>
      <w:bookmarkEnd w:id="23"/>
      <w:bookmarkEnd w:id="24"/>
    </w:p>
    <w:p w14:paraId="6009B539" w14:textId="330B6BAB" w:rsidR="00DE0060" w:rsidRDefault="00842335" w:rsidP="00842335">
      <w:pPr>
        <w:pStyle w:val="StyleBodytextnonumberingBefore0ptAfter0ptLinesp"/>
      </w:pPr>
      <w:bookmarkStart w:id="25" w:name="_Toc341433419"/>
      <w:bookmarkStart w:id="26" w:name="_Toc341687862"/>
      <w:r>
        <w:t>Email</w:t>
      </w:r>
      <w:r>
        <w:tab/>
      </w:r>
      <w:r>
        <w:tab/>
      </w:r>
      <w:hyperlink r:id="rId11" w:history="1">
        <w:r w:rsidR="00DE0060" w:rsidRPr="00793C12">
          <w:rPr>
            <w:rStyle w:val="Hyperlink"/>
          </w:rPr>
          <w:t>LACommitteeHCW@parliament.act.gov.au</w:t>
        </w:r>
      </w:hyperlink>
    </w:p>
    <w:p w14:paraId="5961D3B2" w14:textId="7E87CA84" w:rsidR="00842335" w:rsidRDefault="00842335" w:rsidP="00842335">
      <w:pPr>
        <w:pStyle w:val="StyleBodytextnonumberingBefore0ptAfter0ptLinesp"/>
      </w:pPr>
      <w:bookmarkStart w:id="27" w:name="_Toc341433420"/>
      <w:bookmarkStart w:id="28" w:name="_Toc341687863"/>
      <w:bookmarkEnd w:id="25"/>
      <w:bookmarkEnd w:id="26"/>
      <w:r w:rsidRPr="005B60C2">
        <w:t>Website</w:t>
      </w:r>
      <w:r w:rsidRPr="005B60C2">
        <w:tab/>
      </w:r>
      <w:hyperlink r:id="rId12" w:history="1">
        <w:r w:rsidRPr="005B60C2">
          <w:rPr>
            <w:rStyle w:val="Hyperlink"/>
          </w:rPr>
          <w:t>www.parliament.act.gov.au</w:t>
        </w:r>
        <w:bookmarkEnd w:id="27"/>
        <w:bookmarkEnd w:id="28"/>
      </w:hyperlink>
      <w:r w:rsidRPr="005B60C2">
        <w:t xml:space="preserve"> </w:t>
      </w:r>
    </w:p>
    <w:p w14:paraId="3A712BBB" w14:textId="77777777" w:rsidR="00B1748E" w:rsidRPr="005B60C2" w:rsidRDefault="00B1748E" w:rsidP="00842335">
      <w:pPr>
        <w:pStyle w:val="StyleBodytextnonumberingBefore0ptAfter0ptLinesp"/>
      </w:pPr>
    </w:p>
    <w:p w14:paraId="44F56046" w14:textId="77777777" w:rsidR="00590215" w:rsidRDefault="00590215" w:rsidP="00EF7E5A">
      <w:pPr>
        <w:pStyle w:val="Heading3"/>
        <w:tabs>
          <w:tab w:val="clear" w:pos="567"/>
        </w:tabs>
        <w:spacing w:before="480" w:after="60"/>
        <w:ind w:left="567" w:hanging="567"/>
        <w:rPr>
          <w:bCs w:val="0"/>
          <w:caps w:val="0"/>
          <w:spacing w:val="20"/>
          <w:sz w:val="36"/>
          <w:szCs w:val="34"/>
        </w:rPr>
        <w:sectPr w:rsidR="00590215" w:rsidSect="004B1E41">
          <w:headerReference w:type="even" r:id="rId13"/>
          <w:headerReference w:type="default" r:id="rId14"/>
          <w:footerReference w:type="even" r:id="rId15"/>
          <w:footerReference w:type="default" r:id="rId16"/>
          <w:headerReference w:type="first" r:id="rId17"/>
          <w:type w:val="oddPage"/>
          <w:pgSz w:w="11907" w:h="16840" w:code="9"/>
          <w:pgMar w:top="1588" w:right="1418" w:bottom="1418" w:left="1418" w:header="720" w:footer="851" w:gutter="0"/>
          <w:pgNumType w:fmt="lowerRoman" w:start="1"/>
          <w:cols w:space="720"/>
          <w:docGrid w:linePitch="360"/>
        </w:sectPr>
      </w:pPr>
      <w:bookmarkStart w:id="29" w:name="_Toc67667391"/>
      <w:bookmarkStart w:id="30" w:name="_Toc162949738"/>
      <w:bookmarkStart w:id="31" w:name="_Toc170711048"/>
      <w:bookmarkStart w:id="32" w:name="_Toc341433421"/>
      <w:bookmarkStart w:id="33" w:name="_Toc341687864"/>
    </w:p>
    <w:p w14:paraId="321260C5" w14:textId="389EF3A2" w:rsidR="00F90255" w:rsidRDefault="00F90255" w:rsidP="00EF7E5A">
      <w:pPr>
        <w:pStyle w:val="Heading3"/>
        <w:tabs>
          <w:tab w:val="clear" w:pos="567"/>
        </w:tabs>
        <w:spacing w:before="480" w:after="60"/>
        <w:ind w:left="567" w:hanging="567"/>
      </w:pPr>
      <w:bookmarkStart w:id="34" w:name="_Toc68848967"/>
      <w:r w:rsidRPr="00EF7E5A">
        <w:rPr>
          <w:bCs w:val="0"/>
          <w:caps w:val="0"/>
          <w:spacing w:val="20"/>
          <w:sz w:val="36"/>
          <w:szCs w:val="34"/>
        </w:rPr>
        <w:lastRenderedPageBreak/>
        <w:t>Resolution</w:t>
      </w:r>
      <w:r w:rsidRPr="00F90255">
        <w:t xml:space="preserve"> of appointment</w:t>
      </w:r>
      <w:bookmarkEnd w:id="29"/>
      <w:bookmarkEnd w:id="34"/>
    </w:p>
    <w:bookmarkEnd w:id="30"/>
    <w:bookmarkEnd w:id="31"/>
    <w:bookmarkEnd w:id="32"/>
    <w:bookmarkEnd w:id="33"/>
    <w:p w14:paraId="2C232673" w14:textId="7CB413B8" w:rsidR="00842335" w:rsidRPr="00AC2589" w:rsidRDefault="00842335" w:rsidP="00842335">
      <w:pPr>
        <w:pStyle w:val="Bodytextnonumbering"/>
      </w:pPr>
      <w:r w:rsidRPr="00AC2589">
        <w:t>The ACT Legislative Assembly appointed the Standing Committee on Health</w:t>
      </w:r>
      <w:r w:rsidR="00E61DEE">
        <w:t xml:space="preserve"> and Community Wellbeing (HCW Committee) on </w:t>
      </w:r>
      <w:r w:rsidR="008A0E0C">
        <w:t>2</w:t>
      </w:r>
      <w:r w:rsidRPr="00AC2589">
        <w:t xml:space="preserve"> December 20</w:t>
      </w:r>
      <w:r w:rsidR="008A0E0C">
        <w:t>20</w:t>
      </w:r>
      <w:r w:rsidRPr="00AC2589">
        <w:t>.</w:t>
      </w:r>
      <w:r w:rsidR="00DC3D79">
        <w:rPr>
          <w:rStyle w:val="FootnoteReference"/>
        </w:rPr>
        <w:footnoteReference w:id="1"/>
      </w:r>
    </w:p>
    <w:p w14:paraId="1F77FCE9" w14:textId="75DED681" w:rsidR="008068D4" w:rsidRDefault="00842335" w:rsidP="008068D4">
      <w:pPr>
        <w:pStyle w:val="Bodytextnonumbering"/>
      </w:pPr>
      <w:r w:rsidRPr="00AC2589">
        <w:t xml:space="preserve">Specifically, the resolution </w:t>
      </w:r>
      <w:r w:rsidR="00E61DEE">
        <w:t xml:space="preserve">appointing the HCW Committee provides </w:t>
      </w:r>
      <w:r w:rsidR="008068D4">
        <w:t>that:</w:t>
      </w:r>
    </w:p>
    <w:p w14:paraId="3C9FDFCA" w14:textId="730F6D82" w:rsidR="00D463A7" w:rsidRPr="00697120" w:rsidRDefault="00D463A7" w:rsidP="00D463A7">
      <w:pPr>
        <w:tabs>
          <w:tab w:val="left" w:pos="567"/>
        </w:tabs>
        <w:spacing w:before="60" w:after="60"/>
        <w:ind w:left="1701" w:hanging="567"/>
      </w:pPr>
      <w:r w:rsidRPr="00697120">
        <w:t>(1)</w:t>
      </w:r>
      <w:r w:rsidRPr="00697120">
        <w:tab/>
        <w:t xml:space="preserve">the following general-purpose standing committees be established as set out in the table below. The purpose of such committees is to enhance the scrutiny of the </w:t>
      </w:r>
      <w:r>
        <w:t>E</w:t>
      </w:r>
      <w:r w:rsidRPr="00697120">
        <w:t>xecutive, to examine and suggest improvements to any bills referred to it, to enable the citizens of the Territory to engage and to participate in law-making and policy review, to en</w:t>
      </w:r>
      <w:r>
        <w:t>able financial scrutiny of the E</w:t>
      </w:r>
      <w:r w:rsidRPr="00697120">
        <w:t>xecutive</w:t>
      </w:r>
      <w:r>
        <w:t>’</w:t>
      </w:r>
      <w:r w:rsidRPr="00697120">
        <w:t xml:space="preserve">s budget proposals and to review annual reports of taxpayer funded </w:t>
      </w:r>
      <w:r w:rsidR="006A1C2D" w:rsidRPr="00697120">
        <w:t>agencies</w:t>
      </w:r>
      <w:r w:rsidR="006A1C2D">
        <w:t>;</w:t>
      </w:r>
    </w:p>
    <w:p w14:paraId="5C5927EA" w14:textId="77777777" w:rsidR="00D463A7" w:rsidRPr="00697120" w:rsidRDefault="00D463A7" w:rsidP="00D463A7">
      <w:pPr>
        <w:tabs>
          <w:tab w:val="left" w:pos="567"/>
        </w:tabs>
        <w:spacing w:before="60" w:after="60"/>
        <w:ind w:left="1701" w:hanging="567"/>
      </w:pPr>
      <w:r w:rsidRPr="00697120">
        <w:t>(2)</w:t>
      </w:r>
      <w:r w:rsidRPr="00697120">
        <w:tab/>
        <w:t>the committees so established may inquire and report on matters referred to it by the Assembly or matters that are considered by the committee to be of concern to the community and within the nominated areas of responsibility;</w:t>
      </w:r>
    </w:p>
    <w:p w14:paraId="635D2C8C" w14:textId="48618869" w:rsidR="00D463A7" w:rsidRDefault="00D463A7" w:rsidP="00D463A7">
      <w:pPr>
        <w:tabs>
          <w:tab w:val="left" w:pos="567"/>
        </w:tabs>
        <w:spacing w:before="60" w:after="60"/>
        <w:ind w:left="1701" w:hanging="567"/>
      </w:pPr>
      <w:r w:rsidRPr="00697120">
        <w:t>(3)</w:t>
      </w:r>
      <w:r w:rsidRPr="00697120">
        <w:tab/>
        <w:t xml:space="preserve">calendar and financial year annual and financial reports stand referred to the relevant standing committee for inquiry and report by 31 March of the year after the presentation of the report to the Assembly pursuant to the </w:t>
      </w:r>
      <w:r w:rsidRPr="00697120">
        <w:rPr>
          <w:i/>
        </w:rPr>
        <w:t>Annual Reports (Government Agencies) Act 2004</w:t>
      </w:r>
      <w:r w:rsidRPr="00697120">
        <w:t>;</w:t>
      </w:r>
    </w:p>
    <w:p w14:paraId="60BB109C" w14:textId="3A0CC0D5" w:rsidR="00D463A7" w:rsidRDefault="00D463A7" w:rsidP="00D463A7">
      <w:pPr>
        <w:tabs>
          <w:tab w:val="left" w:pos="567"/>
        </w:tabs>
        <w:spacing w:before="60" w:after="60"/>
        <w:ind w:left="1701" w:hanging="567"/>
      </w:pPr>
      <w:r>
        <w:t>…..</w:t>
      </w:r>
    </w:p>
    <w:p w14:paraId="0B1C5CAB" w14:textId="34573C96" w:rsidR="00D463A7" w:rsidRDefault="00D463A7" w:rsidP="00D463A7">
      <w:pPr>
        <w:tabs>
          <w:tab w:val="left" w:pos="567"/>
        </w:tabs>
        <w:spacing w:before="60" w:after="60"/>
        <w:ind w:left="1701" w:hanging="567"/>
      </w:pPr>
      <w:r w:rsidRPr="00697120">
        <w:t>(7)</w:t>
      </w:r>
      <w:r w:rsidRPr="00697120">
        <w:tab/>
        <w:t>the committees so established are required to examine the expenditure proposals contained in the main appropriation bills for the Territory and any revenue estimates proposed by the Government in the annual budget and prepare a report to the Assembly within 60 days of the presentation of the budget bills;</w:t>
      </w:r>
    </w:p>
    <w:p w14:paraId="11BC1E76" w14:textId="77777777" w:rsidR="00DE0060" w:rsidRPr="00697120" w:rsidRDefault="00DE0060" w:rsidP="00D463A7">
      <w:pPr>
        <w:tabs>
          <w:tab w:val="left" w:pos="567"/>
        </w:tabs>
        <w:spacing w:before="60" w:after="60"/>
        <w:ind w:left="1701" w:hanging="567"/>
      </w:pPr>
    </w:p>
    <w:tbl>
      <w:tblPr>
        <w:tblW w:w="8079" w:type="dxa"/>
        <w:tblInd w:w="983" w:type="dxa"/>
        <w:tblCellMar>
          <w:left w:w="0" w:type="dxa"/>
          <w:right w:w="0" w:type="dxa"/>
        </w:tblCellMar>
        <w:tblLook w:val="04A0" w:firstRow="1" w:lastRow="0" w:firstColumn="1" w:lastColumn="0" w:noHBand="0" w:noVBand="1"/>
      </w:tblPr>
      <w:tblGrid>
        <w:gridCol w:w="1706"/>
        <w:gridCol w:w="2126"/>
        <w:gridCol w:w="4247"/>
      </w:tblGrid>
      <w:tr w:rsidR="00D13DF4" w:rsidRPr="00697120" w14:paraId="44AD0D1F" w14:textId="77777777" w:rsidTr="008559E0">
        <w:trPr>
          <w:trHeight w:val="834"/>
        </w:trPr>
        <w:tc>
          <w:tcPr>
            <w:tcW w:w="1706" w:type="dxa"/>
            <w:tcBorders>
              <w:top w:val="single" w:sz="8" w:space="0" w:color="auto"/>
              <w:left w:val="single" w:sz="8" w:space="0" w:color="auto"/>
              <w:bottom w:val="single" w:sz="12" w:space="0" w:color="auto"/>
              <w:right w:val="single" w:sz="8" w:space="0" w:color="auto"/>
            </w:tcBorders>
            <w:tcMar>
              <w:top w:w="0" w:type="dxa"/>
              <w:left w:w="108" w:type="dxa"/>
              <w:bottom w:w="0" w:type="dxa"/>
              <w:right w:w="108" w:type="dxa"/>
            </w:tcMar>
          </w:tcPr>
          <w:p w14:paraId="6787D7D9" w14:textId="77777777" w:rsidR="00D13DF4" w:rsidRPr="00D13DF4" w:rsidRDefault="00D13DF4" w:rsidP="00D13DF4">
            <w:pPr>
              <w:tabs>
                <w:tab w:val="left" w:pos="245"/>
              </w:tabs>
              <w:rPr>
                <w:b/>
                <w:bCs/>
                <w:szCs w:val="22"/>
              </w:rPr>
            </w:pPr>
          </w:p>
          <w:p w14:paraId="57359255" w14:textId="4F64A21C" w:rsidR="00D13DF4" w:rsidRPr="00D13DF4" w:rsidRDefault="00D13DF4" w:rsidP="00D13DF4">
            <w:pPr>
              <w:tabs>
                <w:tab w:val="left" w:pos="245"/>
              </w:tabs>
              <w:jc w:val="center"/>
              <w:rPr>
                <w:b/>
                <w:bCs/>
                <w:szCs w:val="22"/>
              </w:rPr>
            </w:pPr>
            <w:r w:rsidRPr="00D13DF4">
              <w:rPr>
                <w:b/>
                <w:bCs/>
                <w:szCs w:val="22"/>
              </w:rPr>
              <w:t>Committee</w:t>
            </w:r>
          </w:p>
        </w:tc>
        <w:tc>
          <w:tcPr>
            <w:tcW w:w="2126" w:type="dxa"/>
            <w:tcBorders>
              <w:top w:val="single" w:sz="8" w:space="0" w:color="auto"/>
              <w:left w:val="nil"/>
              <w:bottom w:val="single" w:sz="12" w:space="0" w:color="auto"/>
              <w:right w:val="single" w:sz="8" w:space="0" w:color="auto"/>
            </w:tcBorders>
            <w:tcMar>
              <w:top w:w="0" w:type="dxa"/>
              <w:left w:w="108" w:type="dxa"/>
              <w:bottom w:w="0" w:type="dxa"/>
              <w:right w:w="108" w:type="dxa"/>
            </w:tcMar>
          </w:tcPr>
          <w:p w14:paraId="4E6959E8" w14:textId="6B1920AB" w:rsidR="00D13DF4" w:rsidRPr="00D13DF4" w:rsidRDefault="00D13DF4" w:rsidP="00D13DF4">
            <w:pPr>
              <w:rPr>
                <w:b/>
                <w:bCs/>
                <w:szCs w:val="22"/>
              </w:rPr>
            </w:pPr>
          </w:p>
          <w:p w14:paraId="3E072DD1" w14:textId="6AE5AD5F" w:rsidR="00D13DF4" w:rsidRPr="00D13DF4" w:rsidRDefault="00D13DF4" w:rsidP="00D13DF4">
            <w:pPr>
              <w:jc w:val="center"/>
              <w:rPr>
                <w:b/>
                <w:bCs/>
                <w:szCs w:val="22"/>
              </w:rPr>
            </w:pPr>
            <w:r w:rsidRPr="00D13DF4">
              <w:rPr>
                <w:b/>
                <w:bCs/>
                <w:szCs w:val="22"/>
              </w:rPr>
              <w:t>Primary Wellbeing Indicators</w:t>
            </w:r>
          </w:p>
          <w:p w14:paraId="3D3BB82C" w14:textId="0CCA77FA" w:rsidR="00D13DF4" w:rsidRPr="00D13DF4" w:rsidRDefault="00D13DF4" w:rsidP="00D13DF4">
            <w:pPr>
              <w:rPr>
                <w:b/>
                <w:bCs/>
                <w:szCs w:val="22"/>
              </w:rPr>
            </w:pPr>
          </w:p>
        </w:tc>
        <w:tc>
          <w:tcPr>
            <w:tcW w:w="4247" w:type="dxa"/>
            <w:tcBorders>
              <w:top w:val="single" w:sz="8" w:space="0" w:color="auto"/>
              <w:left w:val="nil"/>
              <w:bottom w:val="single" w:sz="12" w:space="0" w:color="auto"/>
              <w:right w:val="single" w:sz="8" w:space="0" w:color="auto"/>
            </w:tcBorders>
            <w:tcMar>
              <w:top w:w="0" w:type="dxa"/>
              <w:left w:w="108" w:type="dxa"/>
              <w:bottom w:w="0" w:type="dxa"/>
              <w:right w:w="108" w:type="dxa"/>
            </w:tcMar>
          </w:tcPr>
          <w:p w14:paraId="4124D4E0" w14:textId="77777777" w:rsidR="00D13DF4" w:rsidRPr="00D13DF4" w:rsidRDefault="00D13DF4" w:rsidP="00D13DF4">
            <w:pPr>
              <w:spacing w:line="259" w:lineRule="auto"/>
              <w:rPr>
                <w:b/>
                <w:bCs/>
                <w:szCs w:val="22"/>
              </w:rPr>
            </w:pPr>
          </w:p>
          <w:p w14:paraId="37153C0A" w14:textId="3D715DB6" w:rsidR="00D13DF4" w:rsidRPr="00D13DF4" w:rsidRDefault="00D13DF4" w:rsidP="00D13DF4">
            <w:pPr>
              <w:spacing w:line="259" w:lineRule="auto"/>
              <w:jc w:val="center"/>
              <w:rPr>
                <w:b/>
                <w:bCs/>
                <w:szCs w:val="22"/>
              </w:rPr>
            </w:pPr>
            <w:r w:rsidRPr="00D13DF4">
              <w:rPr>
                <w:b/>
                <w:bCs/>
                <w:szCs w:val="22"/>
              </w:rPr>
              <w:t>Areas of Responsibility</w:t>
            </w:r>
          </w:p>
        </w:tc>
      </w:tr>
      <w:tr w:rsidR="00D13DF4" w:rsidRPr="00697120" w14:paraId="469671AE" w14:textId="77777777" w:rsidTr="008559E0">
        <w:trPr>
          <w:trHeight w:val="834"/>
        </w:trPr>
        <w:tc>
          <w:tcPr>
            <w:tcW w:w="1706" w:type="dxa"/>
            <w:tcBorders>
              <w:top w:val="single" w:sz="8" w:space="0" w:color="auto"/>
              <w:left w:val="single" w:sz="8" w:space="0" w:color="auto"/>
              <w:bottom w:val="single" w:sz="12" w:space="0" w:color="auto"/>
              <w:right w:val="single" w:sz="8" w:space="0" w:color="auto"/>
            </w:tcBorders>
            <w:tcMar>
              <w:top w:w="0" w:type="dxa"/>
              <w:left w:w="108" w:type="dxa"/>
              <w:bottom w:w="0" w:type="dxa"/>
              <w:right w:w="108" w:type="dxa"/>
            </w:tcMar>
            <w:hideMark/>
          </w:tcPr>
          <w:p w14:paraId="7D24C25D" w14:textId="1CF192EE" w:rsidR="00D13DF4" w:rsidRPr="00697120" w:rsidRDefault="00D13DF4" w:rsidP="00D13DF4">
            <w:pPr>
              <w:tabs>
                <w:tab w:val="left" w:pos="245"/>
              </w:tabs>
              <w:rPr>
                <w:szCs w:val="22"/>
              </w:rPr>
            </w:pPr>
            <w:r w:rsidRPr="00697120">
              <w:rPr>
                <w:szCs w:val="22"/>
              </w:rPr>
              <w:t>Health and Community Wellbeing</w:t>
            </w:r>
          </w:p>
        </w:tc>
        <w:tc>
          <w:tcPr>
            <w:tcW w:w="2126" w:type="dxa"/>
            <w:tcBorders>
              <w:top w:val="single" w:sz="8" w:space="0" w:color="auto"/>
              <w:left w:val="nil"/>
              <w:bottom w:val="single" w:sz="12" w:space="0" w:color="auto"/>
              <w:right w:val="single" w:sz="8" w:space="0" w:color="auto"/>
            </w:tcBorders>
            <w:tcMar>
              <w:top w:w="0" w:type="dxa"/>
              <w:left w:w="108" w:type="dxa"/>
              <w:bottom w:w="0" w:type="dxa"/>
              <w:right w:w="108" w:type="dxa"/>
            </w:tcMar>
            <w:hideMark/>
          </w:tcPr>
          <w:p w14:paraId="0641700F" w14:textId="77777777" w:rsidR="00D13DF4" w:rsidRPr="00697120" w:rsidRDefault="00D13DF4" w:rsidP="00D13DF4">
            <w:pPr>
              <w:rPr>
                <w:szCs w:val="22"/>
              </w:rPr>
            </w:pPr>
            <w:r w:rsidRPr="00697120">
              <w:rPr>
                <w:szCs w:val="22"/>
              </w:rPr>
              <w:t>Health and Social Connection</w:t>
            </w:r>
          </w:p>
        </w:tc>
        <w:tc>
          <w:tcPr>
            <w:tcW w:w="4247" w:type="dxa"/>
            <w:tcBorders>
              <w:top w:val="single" w:sz="8" w:space="0" w:color="auto"/>
              <w:left w:val="nil"/>
              <w:bottom w:val="single" w:sz="12" w:space="0" w:color="auto"/>
              <w:right w:val="single" w:sz="8" w:space="0" w:color="auto"/>
            </w:tcBorders>
            <w:tcMar>
              <w:top w:w="0" w:type="dxa"/>
              <w:left w:w="108" w:type="dxa"/>
              <w:bottom w:w="0" w:type="dxa"/>
              <w:right w:w="108" w:type="dxa"/>
            </w:tcMar>
            <w:hideMark/>
          </w:tcPr>
          <w:p w14:paraId="1774B61C" w14:textId="77777777" w:rsidR="00D13DF4" w:rsidRPr="00697120" w:rsidRDefault="00D13DF4" w:rsidP="00AF16A7">
            <w:pPr>
              <w:numPr>
                <w:ilvl w:val="0"/>
                <w:numId w:val="13"/>
              </w:numPr>
              <w:spacing w:line="259" w:lineRule="auto"/>
              <w:ind w:left="147" w:hanging="147"/>
              <w:rPr>
                <w:szCs w:val="22"/>
              </w:rPr>
            </w:pPr>
            <w:r w:rsidRPr="00697120">
              <w:rPr>
                <w:szCs w:val="22"/>
              </w:rPr>
              <w:t>Health and health system</w:t>
            </w:r>
          </w:p>
          <w:p w14:paraId="737B0EA9" w14:textId="77777777" w:rsidR="00D13DF4" w:rsidRPr="00697120" w:rsidRDefault="00D13DF4" w:rsidP="00AF16A7">
            <w:pPr>
              <w:numPr>
                <w:ilvl w:val="0"/>
                <w:numId w:val="13"/>
              </w:numPr>
              <w:spacing w:line="259" w:lineRule="auto"/>
              <w:ind w:left="147" w:hanging="147"/>
              <w:rPr>
                <w:szCs w:val="22"/>
              </w:rPr>
            </w:pPr>
            <w:r w:rsidRPr="00697120">
              <w:rPr>
                <w:szCs w:val="22"/>
              </w:rPr>
              <w:t>Justice Health</w:t>
            </w:r>
          </w:p>
          <w:p w14:paraId="52EE55F7" w14:textId="77777777" w:rsidR="00D13DF4" w:rsidRPr="00697120" w:rsidRDefault="00D13DF4" w:rsidP="00AF16A7">
            <w:pPr>
              <w:numPr>
                <w:ilvl w:val="0"/>
                <w:numId w:val="13"/>
              </w:numPr>
              <w:spacing w:line="259" w:lineRule="auto"/>
              <w:ind w:left="147" w:hanging="147"/>
              <w:rPr>
                <w:szCs w:val="22"/>
              </w:rPr>
            </w:pPr>
            <w:r w:rsidRPr="00697120">
              <w:rPr>
                <w:szCs w:val="22"/>
              </w:rPr>
              <w:t>Mental Health</w:t>
            </w:r>
          </w:p>
          <w:p w14:paraId="1C64C637" w14:textId="77777777" w:rsidR="00D13DF4" w:rsidRPr="00697120" w:rsidRDefault="00D13DF4" w:rsidP="00AF16A7">
            <w:pPr>
              <w:numPr>
                <w:ilvl w:val="0"/>
                <w:numId w:val="13"/>
              </w:numPr>
              <w:spacing w:line="259" w:lineRule="auto"/>
              <w:ind w:left="147" w:hanging="147"/>
              <w:rPr>
                <w:szCs w:val="22"/>
              </w:rPr>
            </w:pPr>
            <w:r w:rsidRPr="00697120">
              <w:rPr>
                <w:szCs w:val="22"/>
              </w:rPr>
              <w:t xml:space="preserve">Homelessness and </w:t>
            </w:r>
            <w:r>
              <w:rPr>
                <w:szCs w:val="22"/>
              </w:rPr>
              <w:t>h</w:t>
            </w:r>
            <w:r w:rsidRPr="00697120">
              <w:rPr>
                <w:szCs w:val="22"/>
              </w:rPr>
              <w:t>ousing services</w:t>
            </w:r>
          </w:p>
          <w:p w14:paraId="6114EB85" w14:textId="77777777" w:rsidR="00D13DF4" w:rsidRPr="00697120" w:rsidRDefault="00D13DF4" w:rsidP="00AF16A7">
            <w:pPr>
              <w:numPr>
                <w:ilvl w:val="0"/>
                <w:numId w:val="13"/>
              </w:numPr>
              <w:spacing w:line="259" w:lineRule="auto"/>
              <w:ind w:left="147" w:hanging="147"/>
              <w:rPr>
                <w:szCs w:val="22"/>
              </w:rPr>
            </w:pPr>
            <w:r w:rsidRPr="00697120">
              <w:rPr>
                <w:szCs w:val="22"/>
              </w:rPr>
              <w:t>Prevention of Domestic and Family Violence</w:t>
            </w:r>
          </w:p>
          <w:p w14:paraId="7A9C285A" w14:textId="77777777" w:rsidR="00D13DF4" w:rsidRPr="00697120" w:rsidRDefault="00D13DF4" w:rsidP="00AF16A7">
            <w:pPr>
              <w:numPr>
                <w:ilvl w:val="0"/>
                <w:numId w:val="13"/>
              </w:numPr>
              <w:spacing w:line="259" w:lineRule="auto"/>
              <w:ind w:left="147" w:hanging="147"/>
              <w:rPr>
                <w:szCs w:val="22"/>
              </w:rPr>
            </w:pPr>
            <w:r w:rsidRPr="00697120">
              <w:rPr>
                <w:szCs w:val="22"/>
              </w:rPr>
              <w:t xml:space="preserve">Families </w:t>
            </w:r>
          </w:p>
          <w:p w14:paraId="53C4F922" w14:textId="77777777" w:rsidR="00D13DF4" w:rsidRPr="00697120" w:rsidRDefault="00D13DF4" w:rsidP="00AF16A7">
            <w:pPr>
              <w:numPr>
                <w:ilvl w:val="0"/>
                <w:numId w:val="13"/>
              </w:numPr>
              <w:spacing w:line="259" w:lineRule="auto"/>
              <w:ind w:left="147" w:hanging="147"/>
              <w:rPr>
                <w:szCs w:val="22"/>
              </w:rPr>
            </w:pPr>
            <w:r w:rsidRPr="00697120">
              <w:rPr>
                <w:szCs w:val="22"/>
              </w:rPr>
              <w:t>Community Services</w:t>
            </w:r>
          </w:p>
        </w:tc>
      </w:tr>
    </w:tbl>
    <w:p w14:paraId="54E4B0AB" w14:textId="77777777" w:rsidR="00590215" w:rsidRDefault="00590215" w:rsidP="008D41A3">
      <w:pPr>
        <w:pStyle w:val="Heading3"/>
        <w:tabs>
          <w:tab w:val="clear" w:pos="567"/>
        </w:tabs>
        <w:spacing w:before="480" w:after="60"/>
        <w:ind w:left="567" w:hanging="567"/>
        <w:rPr>
          <w:bCs w:val="0"/>
          <w:caps w:val="0"/>
          <w:spacing w:val="20"/>
          <w:sz w:val="36"/>
          <w:szCs w:val="34"/>
        </w:rPr>
        <w:sectPr w:rsidR="00590215" w:rsidSect="00590215">
          <w:pgSz w:w="11907" w:h="16840" w:code="9"/>
          <w:pgMar w:top="1588" w:right="1418" w:bottom="1418" w:left="1418" w:header="720" w:footer="851" w:gutter="0"/>
          <w:pgNumType w:fmt="lowerRoman"/>
          <w:cols w:space="720"/>
          <w:docGrid w:linePitch="360"/>
        </w:sectPr>
      </w:pPr>
    </w:p>
    <w:p w14:paraId="67D9E7CE" w14:textId="147B2FC7" w:rsidR="00842335" w:rsidRDefault="00CD2910" w:rsidP="008D41A3">
      <w:pPr>
        <w:pStyle w:val="Heading3"/>
        <w:tabs>
          <w:tab w:val="clear" w:pos="567"/>
        </w:tabs>
        <w:spacing w:before="480" w:after="60"/>
        <w:ind w:left="567" w:hanging="567"/>
      </w:pPr>
      <w:bookmarkStart w:id="35" w:name="_Toc68848968"/>
      <w:r w:rsidRPr="008D41A3">
        <w:rPr>
          <w:bCs w:val="0"/>
          <w:caps w:val="0"/>
          <w:spacing w:val="20"/>
          <w:sz w:val="36"/>
          <w:szCs w:val="34"/>
        </w:rPr>
        <w:lastRenderedPageBreak/>
        <w:t>M</w:t>
      </w:r>
      <w:r w:rsidR="00B5375C" w:rsidRPr="008D41A3">
        <w:rPr>
          <w:bCs w:val="0"/>
          <w:caps w:val="0"/>
          <w:spacing w:val="20"/>
          <w:sz w:val="36"/>
          <w:szCs w:val="34"/>
        </w:rPr>
        <w:t>atters before the Committee</w:t>
      </w:r>
      <w:bookmarkEnd w:id="35"/>
    </w:p>
    <w:p w14:paraId="24440268" w14:textId="54DD8B7E" w:rsidR="00B5375C" w:rsidRPr="00037F76" w:rsidRDefault="00B5375C" w:rsidP="00037F76">
      <w:pPr>
        <w:pStyle w:val="Headinglevel3"/>
      </w:pPr>
      <w:r w:rsidRPr="00697120">
        <w:t>annual and financial reports</w:t>
      </w:r>
      <w:r>
        <w:t xml:space="preserve"> – 2019-20</w:t>
      </w:r>
      <w:r w:rsidR="00C54FA8">
        <w:t>20</w:t>
      </w:r>
    </w:p>
    <w:p w14:paraId="5922D24C" w14:textId="3E2088F0" w:rsidR="006A70C6" w:rsidRDefault="00B5375C" w:rsidP="00B5375C">
      <w:pPr>
        <w:tabs>
          <w:tab w:val="left" w:pos="567"/>
        </w:tabs>
        <w:spacing w:before="60" w:after="60"/>
      </w:pPr>
      <w:bookmarkStart w:id="36" w:name="_Toc341687867"/>
      <w:r>
        <w:t>C</w:t>
      </w:r>
      <w:r w:rsidR="006A70C6" w:rsidRPr="00697120">
        <w:t xml:space="preserve">alendar and financial year annual and financial reports stand referred to the relevant standing committee for inquiry and report by 31 March </w:t>
      </w:r>
      <w:r>
        <w:t xml:space="preserve">2021 being </w:t>
      </w:r>
      <w:r w:rsidR="006A70C6" w:rsidRPr="00697120">
        <w:t>the year after the presentation of the report</w:t>
      </w:r>
      <w:r>
        <w:t>s</w:t>
      </w:r>
      <w:r w:rsidR="006A70C6" w:rsidRPr="00697120">
        <w:t xml:space="preserve"> to the Assembly pursuant to the </w:t>
      </w:r>
      <w:r w:rsidR="006A70C6" w:rsidRPr="00B5375C">
        <w:rPr>
          <w:i/>
        </w:rPr>
        <w:t xml:space="preserve">Annual Reports (Government Agencies) Act </w:t>
      </w:r>
      <w:r w:rsidR="001F5282" w:rsidRPr="00B5375C">
        <w:rPr>
          <w:i/>
        </w:rPr>
        <w:t>2004</w:t>
      </w:r>
      <w:r w:rsidR="001F5282" w:rsidRPr="00697120">
        <w:t>.</w:t>
      </w:r>
    </w:p>
    <w:p w14:paraId="43841192" w14:textId="77777777" w:rsidR="00B5375C" w:rsidRDefault="00B5375C" w:rsidP="00B5375C">
      <w:pPr>
        <w:pStyle w:val="NormalWeb"/>
        <w:rPr>
          <w:rFonts w:ascii="Calibri" w:hAnsi="Calibri"/>
          <w:szCs w:val="20"/>
          <w:lang w:eastAsia="en-US"/>
        </w:rPr>
      </w:pPr>
    </w:p>
    <w:p w14:paraId="68DEBE35" w14:textId="5AB38785" w:rsidR="00B5375C" w:rsidRPr="00D13DF4" w:rsidRDefault="00B5375C" w:rsidP="00B5375C">
      <w:pPr>
        <w:pStyle w:val="NormalWeb"/>
        <w:rPr>
          <w:rFonts w:ascii="Calibri" w:hAnsi="Calibri"/>
          <w:sz w:val="22"/>
          <w:szCs w:val="22"/>
          <w:lang w:eastAsia="en-US"/>
        </w:rPr>
      </w:pPr>
      <w:r w:rsidRPr="00D13DF4">
        <w:rPr>
          <w:rFonts w:ascii="Calibri" w:hAnsi="Calibri"/>
          <w:sz w:val="22"/>
          <w:szCs w:val="22"/>
          <w:lang w:eastAsia="en-US"/>
        </w:rPr>
        <w:t xml:space="preserve">At its meeting on Thursday, 11 February 2021, the Assembly resolved to amend this requirement by omitting "report by 31 March 2021" </w:t>
      </w:r>
      <w:r w:rsidR="00DC3D79">
        <w:rPr>
          <w:rFonts w:ascii="Calibri" w:hAnsi="Calibri"/>
          <w:sz w:val="22"/>
          <w:szCs w:val="22"/>
          <w:lang w:eastAsia="en-US"/>
        </w:rPr>
        <w:t xml:space="preserve">from the applicable part of the Resolution of Appointment </w:t>
      </w:r>
      <w:r w:rsidRPr="00D13DF4">
        <w:rPr>
          <w:rFonts w:ascii="Calibri" w:hAnsi="Calibri"/>
          <w:sz w:val="22"/>
          <w:szCs w:val="22"/>
          <w:lang w:eastAsia="en-US"/>
        </w:rPr>
        <w:t>and substitute "report by 9 April 2021"</w:t>
      </w:r>
      <w:r w:rsidR="00D13DF4">
        <w:rPr>
          <w:rStyle w:val="FootnoteReference"/>
          <w:rFonts w:ascii="Calibri" w:hAnsi="Calibri"/>
          <w:sz w:val="22"/>
          <w:szCs w:val="22"/>
          <w:lang w:eastAsia="en-US"/>
        </w:rPr>
        <w:footnoteReference w:id="2"/>
      </w:r>
    </w:p>
    <w:p w14:paraId="3E455508" w14:textId="05C0304B" w:rsidR="00AF05FA" w:rsidRPr="00C54FA8" w:rsidRDefault="00AF05FA" w:rsidP="00037F76">
      <w:pPr>
        <w:pStyle w:val="Headinglevel3"/>
      </w:pPr>
      <w:r w:rsidRPr="00C54FA8">
        <w:t>Appropriation Bill 2020-</w:t>
      </w:r>
      <w:r w:rsidR="00C54FA8" w:rsidRPr="00C54FA8">
        <w:t>20</w:t>
      </w:r>
      <w:r w:rsidRPr="00C54FA8">
        <w:t>21 and Appropriations (Office of the Legislative Assembly) Bill 2020-</w:t>
      </w:r>
      <w:r w:rsidR="00C54FA8" w:rsidRPr="00C54FA8">
        <w:t>20</w:t>
      </w:r>
      <w:r w:rsidRPr="00C54FA8">
        <w:t>21</w:t>
      </w:r>
    </w:p>
    <w:p w14:paraId="2D9EC312" w14:textId="2D03D401" w:rsidR="00842335" w:rsidRDefault="00AF05FA" w:rsidP="00C54FA8">
      <w:pPr>
        <w:tabs>
          <w:tab w:val="left" w:pos="567"/>
        </w:tabs>
        <w:spacing w:before="60" w:after="60"/>
      </w:pPr>
      <w:r>
        <w:t>T</w:t>
      </w:r>
      <w:r w:rsidR="006A70C6" w:rsidRPr="00697120">
        <w:t xml:space="preserve">he </w:t>
      </w:r>
      <w:r>
        <w:t>C</w:t>
      </w:r>
      <w:r w:rsidR="006A70C6" w:rsidRPr="00697120">
        <w:t>ommittee</w:t>
      </w:r>
      <w:r w:rsidR="00D13DF4">
        <w:t xml:space="preserve"> is </w:t>
      </w:r>
      <w:r w:rsidR="006A70C6" w:rsidRPr="00697120">
        <w:t>required</w:t>
      </w:r>
      <w:r w:rsidR="004F4A47">
        <w:t xml:space="preserve"> </w:t>
      </w:r>
      <w:r w:rsidR="00127E46">
        <w:t xml:space="preserve">by </w:t>
      </w:r>
      <w:r w:rsidR="004F4A47">
        <w:rPr>
          <w:szCs w:val="22"/>
        </w:rPr>
        <w:t>the applicable part of the Resolution of Appointment</w:t>
      </w:r>
      <w:r w:rsidR="006A70C6" w:rsidRPr="00697120">
        <w:t xml:space="preserve"> to examine the expenditure proposals contained in the main appropriation bills for the Territory </w:t>
      </w:r>
      <w:r w:rsidR="00AD0783">
        <w:t xml:space="preserve">for 2020-2021 </w:t>
      </w:r>
      <w:r w:rsidR="006A70C6" w:rsidRPr="00697120">
        <w:t xml:space="preserve">and any revenue estimates proposed by the Government in the annual budget and prepare a report to the Assembly within 60 days of the presentation of the budget </w:t>
      </w:r>
      <w:r w:rsidR="001F5282" w:rsidRPr="00697120">
        <w:t>bills</w:t>
      </w:r>
      <w:r w:rsidR="001F5282">
        <w:t>,</w:t>
      </w:r>
      <w:r w:rsidR="00AD0783">
        <w:t xml:space="preserve"> i.e., by 9 April 2021.</w:t>
      </w:r>
      <w:bookmarkEnd w:id="36"/>
      <w:r w:rsidR="00842335">
        <w:rPr>
          <w:rStyle w:val="FootnoteReference"/>
        </w:rPr>
        <w:footnoteReference w:id="3"/>
      </w:r>
    </w:p>
    <w:p w14:paraId="06E8F0A6" w14:textId="39404C83" w:rsidR="006A66AB" w:rsidRDefault="006A66AB" w:rsidP="00C54FA8">
      <w:pPr>
        <w:tabs>
          <w:tab w:val="left" w:pos="567"/>
        </w:tabs>
        <w:spacing w:before="60" w:after="60"/>
      </w:pPr>
    </w:p>
    <w:p w14:paraId="72C40FEF" w14:textId="1B1F324E" w:rsidR="006A66AB" w:rsidRDefault="006A66AB" w:rsidP="00C54FA8">
      <w:pPr>
        <w:tabs>
          <w:tab w:val="left" w:pos="567"/>
        </w:tabs>
        <w:spacing w:before="60" w:after="60"/>
      </w:pPr>
      <w:r>
        <w:t>Accordingly, both reports are contained in a single report document.</w:t>
      </w:r>
    </w:p>
    <w:p w14:paraId="1F299789" w14:textId="77777777" w:rsidR="003E04F8" w:rsidRDefault="003E04F8" w:rsidP="00AA7502">
      <w:pPr>
        <w:pStyle w:val="Heading1"/>
        <w:numPr>
          <w:ilvl w:val="0"/>
          <w:numId w:val="0"/>
        </w:numPr>
        <w:ind w:left="567" w:hanging="567"/>
      </w:pPr>
      <w:bookmarkStart w:id="37" w:name="_Toc341433423"/>
      <w:bookmarkStart w:id="38" w:name="_Toc341687868"/>
    </w:p>
    <w:p w14:paraId="2846B057" w14:textId="0BA39F79" w:rsidR="006A66AB" w:rsidRPr="006A66AB" w:rsidRDefault="006A66AB" w:rsidP="006A66AB">
      <w:pPr>
        <w:pStyle w:val="BodyText1"/>
        <w:sectPr w:rsidR="006A66AB" w:rsidRPr="006A66AB" w:rsidSect="00590215">
          <w:pgSz w:w="11907" w:h="16840" w:code="9"/>
          <w:pgMar w:top="1588" w:right="1418" w:bottom="1418" w:left="1418" w:header="720" w:footer="851" w:gutter="0"/>
          <w:pgNumType w:fmt="lowerRoman"/>
          <w:cols w:space="720"/>
          <w:docGrid w:linePitch="360"/>
        </w:sectPr>
      </w:pPr>
    </w:p>
    <w:p w14:paraId="3EAE5F55" w14:textId="4FEBE896" w:rsidR="00842335" w:rsidRDefault="00842335" w:rsidP="008D41A3">
      <w:pPr>
        <w:pStyle w:val="TOC1"/>
      </w:pPr>
      <w:r>
        <w:lastRenderedPageBreak/>
        <w:t>Table of contents</w:t>
      </w:r>
      <w:bookmarkEnd w:id="37"/>
      <w:bookmarkEnd w:id="38"/>
      <w:r>
        <w:t xml:space="preserve"> </w:t>
      </w:r>
    </w:p>
    <w:p w14:paraId="0BC1D690" w14:textId="3EB78662" w:rsidR="00386616" w:rsidRDefault="00842335">
      <w:pPr>
        <w:pStyle w:val="TOC1"/>
        <w:rPr>
          <w:rFonts w:asciiTheme="minorHAnsi" w:eastAsiaTheme="minorEastAsia" w:hAnsiTheme="minorHAnsi" w:cstheme="minorBidi"/>
          <w:b w:val="0"/>
          <w:smallCaps w:val="0"/>
          <w:spacing w:val="0"/>
          <w:sz w:val="22"/>
          <w:lang w:eastAsia="en-AU"/>
        </w:rPr>
      </w:pPr>
      <w:r>
        <w:fldChar w:fldCharType="begin"/>
      </w:r>
      <w:r>
        <w:instrText xml:space="preserve"> TOC \o "3-3" \h \z \t "Heading 1,1,Heading 2,2,Prelim major heading,1,Appendix Heading 1,1,Heading level 2,2" </w:instrText>
      </w:r>
      <w:r>
        <w:fldChar w:fldCharType="separate"/>
      </w:r>
      <w:hyperlink w:anchor="_Toc68848964" w:history="1">
        <w:r w:rsidR="00386616" w:rsidRPr="007D6D4B">
          <w:rPr>
            <w:rStyle w:val="Hyperlink"/>
          </w:rPr>
          <w:t>The Committee</w:t>
        </w:r>
        <w:r w:rsidR="00386616">
          <w:rPr>
            <w:webHidden/>
          </w:rPr>
          <w:tab/>
        </w:r>
        <w:r w:rsidR="00386616">
          <w:rPr>
            <w:webHidden/>
          </w:rPr>
          <w:fldChar w:fldCharType="begin"/>
        </w:r>
        <w:r w:rsidR="00386616">
          <w:rPr>
            <w:webHidden/>
          </w:rPr>
          <w:instrText xml:space="preserve"> PAGEREF _Toc68848964 \h </w:instrText>
        </w:r>
        <w:r w:rsidR="00386616">
          <w:rPr>
            <w:webHidden/>
          </w:rPr>
        </w:r>
        <w:r w:rsidR="00386616">
          <w:rPr>
            <w:webHidden/>
          </w:rPr>
          <w:fldChar w:fldCharType="separate"/>
        </w:r>
        <w:r w:rsidR="002A4E14">
          <w:rPr>
            <w:webHidden/>
          </w:rPr>
          <w:t>i</w:t>
        </w:r>
        <w:r w:rsidR="00386616">
          <w:rPr>
            <w:webHidden/>
          </w:rPr>
          <w:fldChar w:fldCharType="end"/>
        </w:r>
      </w:hyperlink>
    </w:p>
    <w:p w14:paraId="26511A8C" w14:textId="2D660981" w:rsidR="00386616" w:rsidRDefault="00486EA0">
      <w:pPr>
        <w:pStyle w:val="TOC3"/>
        <w:rPr>
          <w:rFonts w:asciiTheme="minorHAnsi" w:eastAsiaTheme="minorEastAsia" w:hAnsiTheme="minorHAnsi" w:cstheme="minorBidi"/>
          <w:b w:val="0"/>
          <w:szCs w:val="22"/>
          <w:lang w:eastAsia="en-AU"/>
        </w:rPr>
      </w:pPr>
      <w:hyperlink w:anchor="_Toc68848965" w:history="1">
        <w:r w:rsidR="00386616" w:rsidRPr="007D6D4B">
          <w:rPr>
            <w:rStyle w:val="Hyperlink"/>
            <w:spacing w:val="20"/>
          </w:rPr>
          <w:t>Secretariat</w:t>
        </w:r>
        <w:r w:rsidR="00386616">
          <w:rPr>
            <w:webHidden/>
          </w:rPr>
          <w:tab/>
        </w:r>
        <w:r w:rsidR="00386616">
          <w:rPr>
            <w:webHidden/>
          </w:rPr>
          <w:fldChar w:fldCharType="begin"/>
        </w:r>
        <w:r w:rsidR="00386616">
          <w:rPr>
            <w:webHidden/>
          </w:rPr>
          <w:instrText xml:space="preserve"> PAGEREF _Toc68848965 \h </w:instrText>
        </w:r>
        <w:r w:rsidR="00386616">
          <w:rPr>
            <w:webHidden/>
          </w:rPr>
        </w:r>
        <w:r w:rsidR="00386616">
          <w:rPr>
            <w:webHidden/>
          </w:rPr>
          <w:fldChar w:fldCharType="separate"/>
        </w:r>
        <w:r w:rsidR="002A4E14">
          <w:rPr>
            <w:webHidden/>
          </w:rPr>
          <w:t>i</w:t>
        </w:r>
        <w:r w:rsidR="00386616">
          <w:rPr>
            <w:webHidden/>
          </w:rPr>
          <w:fldChar w:fldCharType="end"/>
        </w:r>
      </w:hyperlink>
    </w:p>
    <w:p w14:paraId="1074243C" w14:textId="6BB3E5FA" w:rsidR="00386616" w:rsidRDefault="00486EA0">
      <w:pPr>
        <w:pStyle w:val="TOC3"/>
        <w:rPr>
          <w:rFonts w:asciiTheme="minorHAnsi" w:eastAsiaTheme="minorEastAsia" w:hAnsiTheme="minorHAnsi" w:cstheme="minorBidi"/>
          <w:b w:val="0"/>
          <w:szCs w:val="22"/>
          <w:lang w:eastAsia="en-AU"/>
        </w:rPr>
      </w:pPr>
      <w:hyperlink w:anchor="_Toc68848966" w:history="1">
        <w:r w:rsidR="00386616" w:rsidRPr="007D6D4B">
          <w:rPr>
            <w:rStyle w:val="Hyperlink"/>
            <w:spacing w:val="20"/>
          </w:rPr>
          <w:t>Contact information</w:t>
        </w:r>
        <w:r w:rsidR="00386616">
          <w:rPr>
            <w:webHidden/>
          </w:rPr>
          <w:tab/>
        </w:r>
        <w:r w:rsidR="00386616">
          <w:rPr>
            <w:webHidden/>
          </w:rPr>
          <w:fldChar w:fldCharType="begin"/>
        </w:r>
        <w:r w:rsidR="00386616">
          <w:rPr>
            <w:webHidden/>
          </w:rPr>
          <w:instrText xml:space="preserve"> PAGEREF _Toc68848966 \h </w:instrText>
        </w:r>
        <w:r w:rsidR="00386616">
          <w:rPr>
            <w:webHidden/>
          </w:rPr>
        </w:r>
        <w:r w:rsidR="00386616">
          <w:rPr>
            <w:webHidden/>
          </w:rPr>
          <w:fldChar w:fldCharType="separate"/>
        </w:r>
        <w:r w:rsidR="002A4E14">
          <w:rPr>
            <w:webHidden/>
          </w:rPr>
          <w:t>i</w:t>
        </w:r>
        <w:r w:rsidR="00386616">
          <w:rPr>
            <w:webHidden/>
          </w:rPr>
          <w:fldChar w:fldCharType="end"/>
        </w:r>
      </w:hyperlink>
    </w:p>
    <w:p w14:paraId="529ECE30" w14:textId="32AADEF7" w:rsidR="00386616" w:rsidRDefault="00486EA0">
      <w:pPr>
        <w:pStyle w:val="TOC3"/>
        <w:rPr>
          <w:rFonts w:asciiTheme="minorHAnsi" w:eastAsiaTheme="minorEastAsia" w:hAnsiTheme="minorHAnsi" w:cstheme="minorBidi"/>
          <w:b w:val="0"/>
          <w:szCs w:val="22"/>
          <w:lang w:eastAsia="en-AU"/>
        </w:rPr>
      </w:pPr>
      <w:hyperlink w:anchor="_Toc68848967" w:history="1">
        <w:r w:rsidR="00386616" w:rsidRPr="007D6D4B">
          <w:rPr>
            <w:rStyle w:val="Hyperlink"/>
            <w:spacing w:val="20"/>
          </w:rPr>
          <w:t>Resolution</w:t>
        </w:r>
        <w:r w:rsidR="00386616" w:rsidRPr="007D6D4B">
          <w:rPr>
            <w:rStyle w:val="Hyperlink"/>
          </w:rPr>
          <w:t xml:space="preserve"> of appointment</w:t>
        </w:r>
        <w:r w:rsidR="00386616">
          <w:rPr>
            <w:webHidden/>
          </w:rPr>
          <w:tab/>
        </w:r>
        <w:r w:rsidR="00386616">
          <w:rPr>
            <w:webHidden/>
          </w:rPr>
          <w:fldChar w:fldCharType="begin"/>
        </w:r>
        <w:r w:rsidR="00386616">
          <w:rPr>
            <w:webHidden/>
          </w:rPr>
          <w:instrText xml:space="preserve"> PAGEREF _Toc68848967 \h </w:instrText>
        </w:r>
        <w:r w:rsidR="00386616">
          <w:rPr>
            <w:webHidden/>
          </w:rPr>
        </w:r>
        <w:r w:rsidR="00386616">
          <w:rPr>
            <w:webHidden/>
          </w:rPr>
          <w:fldChar w:fldCharType="separate"/>
        </w:r>
        <w:r w:rsidR="002A4E14">
          <w:rPr>
            <w:webHidden/>
          </w:rPr>
          <w:t>ii</w:t>
        </w:r>
        <w:r w:rsidR="00386616">
          <w:rPr>
            <w:webHidden/>
          </w:rPr>
          <w:fldChar w:fldCharType="end"/>
        </w:r>
      </w:hyperlink>
    </w:p>
    <w:p w14:paraId="3158F0B7" w14:textId="72D74CD0" w:rsidR="00386616" w:rsidRDefault="00486EA0">
      <w:pPr>
        <w:pStyle w:val="TOC3"/>
        <w:rPr>
          <w:rFonts w:asciiTheme="minorHAnsi" w:eastAsiaTheme="minorEastAsia" w:hAnsiTheme="minorHAnsi" w:cstheme="minorBidi"/>
          <w:b w:val="0"/>
          <w:szCs w:val="22"/>
          <w:lang w:eastAsia="en-AU"/>
        </w:rPr>
      </w:pPr>
      <w:hyperlink w:anchor="_Toc68848968" w:history="1">
        <w:r w:rsidR="00386616" w:rsidRPr="007D6D4B">
          <w:rPr>
            <w:rStyle w:val="Hyperlink"/>
            <w:spacing w:val="20"/>
          </w:rPr>
          <w:t>Matters before the Committee</w:t>
        </w:r>
        <w:r w:rsidR="00386616">
          <w:rPr>
            <w:webHidden/>
          </w:rPr>
          <w:tab/>
        </w:r>
        <w:r w:rsidR="00386616">
          <w:rPr>
            <w:webHidden/>
          </w:rPr>
          <w:fldChar w:fldCharType="begin"/>
        </w:r>
        <w:r w:rsidR="00386616">
          <w:rPr>
            <w:webHidden/>
          </w:rPr>
          <w:instrText xml:space="preserve"> PAGEREF _Toc68848968 \h </w:instrText>
        </w:r>
        <w:r w:rsidR="00386616">
          <w:rPr>
            <w:webHidden/>
          </w:rPr>
        </w:r>
        <w:r w:rsidR="00386616">
          <w:rPr>
            <w:webHidden/>
          </w:rPr>
          <w:fldChar w:fldCharType="separate"/>
        </w:r>
        <w:r w:rsidR="002A4E14">
          <w:rPr>
            <w:webHidden/>
          </w:rPr>
          <w:t>iii</w:t>
        </w:r>
        <w:r w:rsidR="00386616">
          <w:rPr>
            <w:webHidden/>
          </w:rPr>
          <w:fldChar w:fldCharType="end"/>
        </w:r>
      </w:hyperlink>
    </w:p>
    <w:p w14:paraId="3C1757D3" w14:textId="584058A9" w:rsidR="00386616" w:rsidRDefault="00486EA0">
      <w:pPr>
        <w:pStyle w:val="TOC1"/>
        <w:rPr>
          <w:rFonts w:asciiTheme="minorHAnsi" w:eastAsiaTheme="minorEastAsia" w:hAnsiTheme="minorHAnsi" w:cstheme="minorBidi"/>
          <w:b w:val="0"/>
          <w:smallCaps w:val="0"/>
          <w:spacing w:val="0"/>
          <w:sz w:val="22"/>
          <w:lang w:eastAsia="en-AU"/>
        </w:rPr>
      </w:pPr>
      <w:hyperlink w:anchor="_Toc68848969" w:history="1">
        <w:r w:rsidR="00386616" w:rsidRPr="007D6D4B">
          <w:rPr>
            <w:rStyle w:val="Hyperlink"/>
          </w:rPr>
          <w:t>Recommendations</w:t>
        </w:r>
        <w:r w:rsidR="00386616">
          <w:rPr>
            <w:webHidden/>
          </w:rPr>
          <w:tab/>
        </w:r>
        <w:r w:rsidR="00386616">
          <w:rPr>
            <w:webHidden/>
          </w:rPr>
          <w:fldChar w:fldCharType="begin"/>
        </w:r>
        <w:r w:rsidR="00386616">
          <w:rPr>
            <w:webHidden/>
          </w:rPr>
          <w:instrText xml:space="preserve"> PAGEREF _Toc68848969 \h </w:instrText>
        </w:r>
        <w:r w:rsidR="00386616">
          <w:rPr>
            <w:webHidden/>
          </w:rPr>
        </w:r>
        <w:r w:rsidR="00386616">
          <w:rPr>
            <w:webHidden/>
          </w:rPr>
          <w:fldChar w:fldCharType="separate"/>
        </w:r>
        <w:r w:rsidR="002A4E14">
          <w:rPr>
            <w:webHidden/>
          </w:rPr>
          <w:t>vii</w:t>
        </w:r>
        <w:r w:rsidR="00386616">
          <w:rPr>
            <w:webHidden/>
          </w:rPr>
          <w:fldChar w:fldCharType="end"/>
        </w:r>
      </w:hyperlink>
    </w:p>
    <w:p w14:paraId="66910E18" w14:textId="16391F4F" w:rsidR="00386616" w:rsidRDefault="00486EA0">
      <w:pPr>
        <w:pStyle w:val="TOC1"/>
        <w:tabs>
          <w:tab w:val="left" w:pos="1588"/>
        </w:tabs>
        <w:rPr>
          <w:rFonts w:asciiTheme="minorHAnsi" w:eastAsiaTheme="minorEastAsia" w:hAnsiTheme="minorHAnsi" w:cstheme="minorBidi"/>
          <w:b w:val="0"/>
          <w:smallCaps w:val="0"/>
          <w:spacing w:val="0"/>
          <w:sz w:val="22"/>
          <w:lang w:eastAsia="en-AU"/>
        </w:rPr>
      </w:pPr>
      <w:hyperlink w:anchor="_Toc68848970" w:history="1">
        <w:r w:rsidR="00386616" w:rsidRPr="007D6D4B">
          <w:rPr>
            <w:rStyle w:val="Hyperlink"/>
          </w:rPr>
          <w:t>1</w:t>
        </w:r>
        <w:r w:rsidR="00386616">
          <w:rPr>
            <w:rFonts w:asciiTheme="minorHAnsi" w:eastAsiaTheme="minorEastAsia" w:hAnsiTheme="minorHAnsi" w:cstheme="minorBidi"/>
            <w:b w:val="0"/>
            <w:smallCaps w:val="0"/>
            <w:spacing w:val="0"/>
            <w:sz w:val="22"/>
            <w:lang w:eastAsia="en-AU"/>
          </w:rPr>
          <w:tab/>
        </w:r>
        <w:r w:rsidR="00386616" w:rsidRPr="007D6D4B">
          <w:rPr>
            <w:rStyle w:val="Hyperlink"/>
          </w:rPr>
          <w:t>Introduction</w:t>
        </w:r>
        <w:r w:rsidR="00386616">
          <w:rPr>
            <w:webHidden/>
          </w:rPr>
          <w:tab/>
        </w:r>
        <w:r w:rsidR="00386616">
          <w:rPr>
            <w:webHidden/>
          </w:rPr>
          <w:fldChar w:fldCharType="begin"/>
        </w:r>
        <w:r w:rsidR="00386616">
          <w:rPr>
            <w:webHidden/>
          </w:rPr>
          <w:instrText xml:space="preserve"> PAGEREF _Toc68848970 \h </w:instrText>
        </w:r>
        <w:r w:rsidR="00386616">
          <w:rPr>
            <w:webHidden/>
          </w:rPr>
        </w:r>
        <w:r w:rsidR="00386616">
          <w:rPr>
            <w:webHidden/>
          </w:rPr>
          <w:fldChar w:fldCharType="separate"/>
        </w:r>
        <w:r w:rsidR="002A4E14">
          <w:rPr>
            <w:webHidden/>
          </w:rPr>
          <w:t>1</w:t>
        </w:r>
        <w:r w:rsidR="00386616">
          <w:rPr>
            <w:webHidden/>
          </w:rPr>
          <w:fldChar w:fldCharType="end"/>
        </w:r>
      </w:hyperlink>
    </w:p>
    <w:p w14:paraId="65D6A3C1" w14:textId="5755A799" w:rsidR="00386616" w:rsidRDefault="00486EA0">
      <w:pPr>
        <w:pStyle w:val="TOC1"/>
        <w:tabs>
          <w:tab w:val="left" w:pos="1588"/>
        </w:tabs>
        <w:rPr>
          <w:rFonts w:asciiTheme="minorHAnsi" w:eastAsiaTheme="minorEastAsia" w:hAnsiTheme="minorHAnsi" w:cstheme="minorBidi"/>
          <w:b w:val="0"/>
          <w:smallCaps w:val="0"/>
          <w:spacing w:val="0"/>
          <w:sz w:val="22"/>
          <w:lang w:eastAsia="en-AU"/>
        </w:rPr>
      </w:pPr>
      <w:hyperlink w:anchor="_Toc68848971" w:history="1">
        <w:r w:rsidR="00386616" w:rsidRPr="007D6D4B">
          <w:rPr>
            <w:rStyle w:val="Hyperlink"/>
          </w:rPr>
          <w:t>2</w:t>
        </w:r>
        <w:r w:rsidR="00386616">
          <w:rPr>
            <w:rFonts w:asciiTheme="minorHAnsi" w:eastAsiaTheme="minorEastAsia" w:hAnsiTheme="minorHAnsi" w:cstheme="minorBidi"/>
            <w:b w:val="0"/>
            <w:smallCaps w:val="0"/>
            <w:spacing w:val="0"/>
            <w:sz w:val="22"/>
            <w:lang w:eastAsia="en-AU"/>
          </w:rPr>
          <w:tab/>
        </w:r>
        <w:r w:rsidR="00386616" w:rsidRPr="007D6D4B">
          <w:rPr>
            <w:rStyle w:val="Hyperlink"/>
          </w:rPr>
          <w:t>Examination of Annual Reports and Appropriations Bills concurrently</w:t>
        </w:r>
        <w:r w:rsidR="00386616">
          <w:rPr>
            <w:webHidden/>
          </w:rPr>
          <w:tab/>
        </w:r>
        <w:r w:rsidR="00386616">
          <w:rPr>
            <w:webHidden/>
          </w:rPr>
          <w:fldChar w:fldCharType="begin"/>
        </w:r>
        <w:r w:rsidR="00386616">
          <w:rPr>
            <w:webHidden/>
          </w:rPr>
          <w:instrText xml:space="preserve"> PAGEREF _Toc68848971 \h </w:instrText>
        </w:r>
        <w:r w:rsidR="00386616">
          <w:rPr>
            <w:webHidden/>
          </w:rPr>
        </w:r>
        <w:r w:rsidR="00386616">
          <w:rPr>
            <w:webHidden/>
          </w:rPr>
          <w:fldChar w:fldCharType="separate"/>
        </w:r>
        <w:r w:rsidR="002A4E14">
          <w:rPr>
            <w:webHidden/>
          </w:rPr>
          <w:t>5</w:t>
        </w:r>
        <w:r w:rsidR="00386616">
          <w:rPr>
            <w:webHidden/>
          </w:rPr>
          <w:fldChar w:fldCharType="end"/>
        </w:r>
      </w:hyperlink>
    </w:p>
    <w:p w14:paraId="765518AC" w14:textId="2D14D7B6" w:rsidR="00386616" w:rsidRDefault="00486EA0">
      <w:pPr>
        <w:pStyle w:val="TOC1"/>
        <w:tabs>
          <w:tab w:val="left" w:pos="1588"/>
        </w:tabs>
        <w:rPr>
          <w:rFonts w:asciiTheme="minorHAnsi" w:eastAsiaTheme="minorEastAsia" w:hAnsiTheme="minorHAnsi" w:cstheme="minorBidi"/>
          <w:b w:val="0"/>
          <w:smallCaps w:val="0"/>
          <w:spacing w:val="0"/>
          <w:sz w:val="22"/>
          <w:lang w:eastAsia="en-AU"/>
        </w:rPr>
      </w:pPr>
      <w:hyperlink w:anchor="_Toc68848972" w:history="1">
        <w:r w:rsidR="00386616" w:rsidRPr="007D6D4B">
          <w:rPr>
            <w:rStyle w:val="Hyperlink"/>
          </w:rPr>
          <w:t>3</w:t>
        </w:r>
        <w:r w:rsidR="00386616">
          <w:rPr>
            <w:rFonts w:asciiTheme="minorHAnsi" w:eastAsiaTheme="minorEastAsia" w:hAnsiTheme="minorHAnsi" w:cstheme="minorBidi"/>
            <w:b w:val="0"/>
            <w:smallCaps w:val="0"/>
            <w:spacing w:val="0"/>
            <w:sz w:val="22"/>
            <w:lang w:eastAsia="en-AU"/>
          </w:rPr>
          <w:tab/>
        </w:r>
        <w:r w:rsidR="00386616" w:rsidRPr="007D6D4B">
          <w:rPr>
            <w:rStyle w:val="Hyperlink"/>
          </w:rPr>
          <w:t>ACT Health and Canberra Health Services</w:t>
        </w:r>
        <w:r w:rsidR="00386616">
          <w:rPr>
            <w:webHidden/>
          </w:rPr>
          <w:tab/>
        </w:r>
        <w:r w:rsidR="00386616">
          <w:rPr>
            <w:webHidden/>
          </w:rPr>
          <w:fldChar w:fldCharType="begin"/>
        </w:r>
        <w:r w:rsidR="00386616">
          <w:rPr>
            <w:webHidden/>
          </w:rPr>
          <w:instrText xml:space="preserve"> PAGEREF _Toc68848972 \h </w:instrText>
        </w:r>
        <w:r w:rsidR="00386616">
          <w:rPr>
            <w:webHidden/>
          </w:rPr>
        </w:r>
        <w:r w:rsidR="00386616">
          <w:rPr>
            <w:webHidden/>
          </w:rPr>
          <w:fldChar w:fldCharType="separate"/>
        </w:r>
        <w:r w:rsidR="002A4E14">
          <w:rPr>
            <w:webHidden/>
          </w:rPr>
          <w:t>7</w:t>
        </w:r>
        <w:r w:rsidR="00386616">
          <w:rPr>
            <w:webHidden/>
          </w:rPr>
          <w:fldChar w:fldCharType="end"/>
        </w:r>
      </w:hyperlink>
    </w:p>
    <w:p w14:paraId="39A07E76" w14:textId="1C4BD3A3" w:rsidR="00386616" w:rsidRDefault="00486EA0">
      <w:pPr>
        <w:pStyle w:val="TOC1"/>
        <w:tabs>
          <w:tab w:val="left" w:pos="1588"/>
        </w:tabs>
        <w:rPr>
          <w:rFonts w:asciiTheme="minorHAnsi" w:eastAsiaTheme="minorEastAsia" w:hAnsiTheme="minorHAnsi" w:cstheme="minorBidi"/>
          <w:b w:val="0"/>
          <w:smallCaps w:val="0"/>
          <w:spacing w:val="0"/>
          <w:sz w:val="22"/>
          <w:lang w:eastAsia="en-AU"/>
        </w:rPr>
      </w:pPr>
      <w:hyperlink w:anchor="_Toc68848973" w:history="1">
        <w:r w:rsidR="00386616" w:rsidRPr="007D6D4B">
          <w:rPr>
            <w:rStyle w:val="Hyperlink"/>
          </w:rPr>
          <w:t>4</w:t>
        </w:r>
        <w:r w:rsidR="00386616">
          <w:rPr>
            <w:rFonts w:asciiTheme="minorHAnsi" w:eastAsiaTheme="minorEastAsia" w:hAnsiTheme="minorHAnsi" w:cstheme="minorBidi"/>
            <w:b w:val="0"/>
            <w:smallCaps w:val="0"/>
            <w:spacing w:val="0"/>
            <w:sz w:val="22"/>
            <w:lang w:eastAsia="en-AU"/>
          </w:rPr>
          <w:tab/>
        </w:r>
        <w:r w:rsidR="00386616" w:rsidRPr="007D6D4B">
          <w:rPr>
            <w:rStyle w:val="Hyperlink"/>
          </w:rPr>
          <w:t>Families and Community Services</w:t>
        </w:r>
        <w:r w:rsidR="00386616">
          <w:rPr>
            <w:webHidden/>
          </w:rPr>
          <w:tab/>
        </w:r>
        <w:r w:rsidR="00386616">
          <w:rPr>
            <w:webHidden/>
          </w:rPr>
          <w:fldChar w:fldCharType="begin"/>
        </w:r>
        <w:r w:rsidR="00386616">
          <w:rPr>
            <w:webHidden/>
          </w:rPr>
          <w:instrText xml:space="preserve"> PAGEREF _Toc68848973 \h </w:instrText>
        </w:r>
        <w:r w:rsidR="00386616">
          <w:rPr>
            <w:webHidden/>
          </w:rPr>
        </w:r>
        <w:r w:rsidR="00386616">
          <w:rPr>
            <w:webHidden/>
          </w:rPr>
          <w:fldChar w:fldCharType="separate"/>
        </w:r>
        <w:r w:rsidR="002A4E14">
          <w:rPr>
            <w:webHidden/>
          </w:rPr>
          <w:t>19</w:t>
        </w:r>
        <w:r w:rsidR="00386616">
          <w:rPr>
            <w:webHidden/>
          </w:rPr>
          <w:fldChar w:fldCharType="end"/>
        </w:r>
      </w:hyperlink>
    </w:p>
    <w:p w14:paraId="5D2057FF" w14:textId="1DD85341" w:rsidR="00386616" w:rsidRDefault="00486EA0">
      <w:pPr>
        <w:pStyle w:val="TOC1"/>
        <w:tabs>
          <w:tab w:val="left" w:pos="1588"/>
        </w:tabs>
        <w:rPr>
          <w:rFonts w:asciiTheme="minorHAnsi" w:eastAsiaTheme="minorEastAsia" w:hAnsiTheme="minorHAnsi" w:cstheme="minorBidi"/>
          <w:b w:val="0"/>
          <w:smallCaps w:val="0"/>
          <w:spacing w:val="0"/>
          <w:sz w:val="22"/>
          <w:lang w:eastAsia="en-AU"/>
        </w:rPr>
      </w:pPr>
      <w:hyperlink w:anchor="_Toc68848974" w:history="1">
        <w:r w:rsidR="00386616" w:rsidRPr="007D6D4B">
          <w:rPr>
            <w:rStyle w:val="Hyperlink"/>
          </w:rPr>
          <w:t>5</w:t>
        </w:r>
        <w:r w:rsidR="00386616">
          <w:rPr>
            <w:rFonts w:asciiTheme="minorHAnsi" w:eastAsiaTheme="minorEastAsia" w:hAnsiTheme="minorHAnsi" w:cstheme="minorBidi"/>
            <w:b w:val="0"/>
            <w:smallCaps w:val="0"/>
            <w:spacing w:val="0"/>
            <w:sz w:val="22"/>
            <w:lang w:eastAsia="en-AU"/>
          </w:rPr>
          <w:tab/>
        </w:r>
        <w:r w:rsidR="00386616" w:rsidRPr="007D6D4B">
          <w:rPr>
            <w:rStyle w:val="Hyperlink"/>
          </w:rPr>
          <w:t>Justice Health and Mental Health</w:t>
        </w:r>
        <w:r w:rsidR="00386616">
          <w:rPr>
            <w:webHidden/>
          </w:rPr>
          <w:tab/>
        </w:r>
        <w:r w:rsidR="00386616">
          <w:rPr>
            <w:webHidden/>
          </w:rPr>
          <w:fldChar w:fldCharType="begin"/>
        </w:r>
        <w:r w:rsidR="00386616">
          <w:rPr>
            <w:webHidden/>
          </w:rPr>
          <w:instrText xml:space="preserve"> PAGEREF _Toc68848974 \h </w:instrText>
        </w:r>
        <w:r w:rsidR="00386616">
          <w:rPr>
            <w:webHidden/>
          </w:rPr>
        </w:r>
        <w:r w:rsidR="00386616">
          <w:rPr>
            <w:webHidden/>
          </w:rPr>
          <w:fldChar w:fldCharType="separate"/>
        </w:r>
        <w:r w:rsidR="002A4E14">
          <w:rPr>
            <w:webHidden/>
          </w:rPr>
          <w:t>25</w:t>
        </w:r>
        <w:r w:rsidR="00386616">
          <w:rPr>
            <w:webHidden/>
          </w:rPr>
          <w:fldChar w:fldCharType="end"/>
        </w:r>
      </w:hyperlink>
    </w:p>
    <w:p w14:paraId="3CDCB764" w14:textId="5A2004E0" w:rsidR="00386616" w:rsidRDefault="00486EA0">
      <w:pPr>
        <w:pStyle w:val="TOC1"/>
        <w:tabs>
          <w:tab w:val="left" w:pos="1588"/>
        </w:tabs>
        <w:rPr>
          <w:rFonts w:asciiTheme="minorHAnsi" w:eastAsiaTheme="minorEastAsia" w:hAnsiTheme="minorHAnsi" w:cstheme="minorBidi"/>
          <w:b w:val="0"/>
          <w:smallCaps w:val="0"/>
          <w:spacing w:val="0"/>
          <w:sz w:val="22"/>
          <w:lang w:eastAsia="en-AU"/>
        </w:rPr>
      </w:pPr>
      <w:hyperlink w:anchor="_Toc68848975" w:history="1">
        <w:r w:rsidR="00386616" w:rsidRPr="007D6D4B">
          <w:rPr>
            <w:rStyle w:val="Hyperlink"/>
          </w:rPr>
          <w:t>6</w:t>
        </w:r>
        <w:r w:rsidR="00386616">
          <w:rPr>
            <w:rFonts w:asciiTheme="minorHAnsi" w:eastAsiaTheme="minorEastAsia" w:hAnsiTheme="minorHAnsi" w:cstheme="minorBidi"/>
            <w:b w:val="0"/>
            <w:smallCaps w:val="0"/>
            <w:spacing w:val="0"/>
            <w:sz w:val="22"/>
            <w:lang w:eastAsia="en-AU"/>
          </w:rPr>
          <w:tab/>
        </w:r>
        <w:r w:rsidR="00386616" w:rsidRPr="007D6D4B">
          <w:rPr>
            <w:rStyle w:val="Hyperlink"/>
          </w:rPr>
          <w:t>Housing and Suburban Development</w:t>
        </w:r>
        <w:r w:rsidR="00386616">
          <w:rPr>
            <w:webHidden/>
          </w:rPr>
          <w:tab/>
        </w:r>
        <w:r w:rsidR="00386616">
          <w:rPr>
            <w:webHidden/>
          </w:rPr>
          <w:fldChar w:fldCharType="begin"/>
        </w:r>
        <w:r w:rsidR="00386616">
          <w:rPr>
            <w:webHidden/>
          </w:rPr>
          <w:instrText xml:space="preserve"> PAGEREF _Toc68848975 \h </w:instrText>
        </w:r>
        <w:r w:rsidR="00386616">
          <w:rPr>
            <w:webHidden/>
          </w:rPr>
        </w:r>
        <w:r w:rsidR="00386616">
          <w:rPr>
            <w:webHidden/>
          </w:rPr>
          <w:fldChar w:fldCharType="separate"/>
        </w:r>
        <w:r w:rsidR="002A4E14">
          <w:rPr>
            <w:webHidden/>
          </w:rPr>
          <w:t>29</w:t>
        </w:r>
        <w:r w:rsidR="00386616">
          <w:rPr>
            <w:webHidden/>
          </w:rPr>
          <w:fldChar w:fldCharType="end"/>
        </w:r>
      </w:hyperlink>
    </w:p>
    <w:p w14:paraId="7A74446D" w14:textId="45494058" w:rsidR="00386616" w:rsidRDefault="00486EA0">
      <w:pPr>
        <w:pStyle w:val="TOC1"/>
        <w:tabs>
          <w:tab w:val="left" w:pos="1588"/>
        </w:tabs>
        <w:rPr>
          <w:rFonts w:asciiTheme="minorHAnsi" w:eastAsiaTheme="minorEastAsia" w:hAnsiTheme="minorHAnsi" w:cstheme="minorBidi"/>
          <w:b w:val="0"/>
          <w:smallCaps w:val="0"/>
          <w:spacing w:val="0"/>
          <w:sz w:val="22"/>
          <w:lang w:eastAsia="en-AU"/>
        </w:rPr>
      </w:pPr>
      <w:hyperlink w:anchor="_Toc68848976" w:history="1">
        <w:r w:rsidR="00386616" w:rsidRPr="007D6D4B">
          <w:rPr>
            <w:rStyle w:val="Hyperlink"/>
          </w:rPr>
          <w:t>7</w:t>
        </w:r>
        <w:r w:rsidR="00386616">
          <w:rPr>
            <w:rFonts w:asciiTheme="minorHAnsi" w:eastAsiaTheme="minorEastAsia" w:hAnsiTheme="minorHAnsi" w:cstheme="minorBidi"/>
            <w:b w:val="0"/>
            <w:smallCaps w:val="0"/>
            <w:spacing w:val="0"/>
            <w:sz w:val="22"/>
            <w:lang w:eastAsia="en-AU"/>
          </w:rPr>
          <w:tab/>
        </w:r>
        <w:r w:rsidR="00386616" w:rsidRPr="007D6D4B">
          <w:rPr>
            <w:rStyle w:val="Hyperlink"/>
          </w:rPr>
          <w:t>Prevention of Domestic and Family Violence</w:t>
        </w:r>
        <w:r w:rsidR="00386616">
          <w:rPr>
            <w:webHidden/>
          </w:rPr>
          <w:tab/>
        </w:r>
        <w:r w:rsidR="00386616">
          <w:rPr>
            <w:webHidden/>
          </w:rPr>
          <w:fldChar w:fldCharType="begin"/>
        </w:r>
        <w:r w:rsidR="00386616">
          <w:rPr>
            <w:webHidden/>
          </w:rPr>
          <w:instrText xml:space="preserve"> PAGEREF _Toc68848976 \h </w:instrText>
        </w:r>
        <w:r w:rsidR="00386616">
          <w:rPr>
            <w:webHidden/>
          </w:rPr>
        </w:r>
        <w:r w:rsidR="00386616">
          <w:rPr>
            <w:webHidden/>
          </w:rPr>
          <w:fldChar w:fldCharType="separate"/>
        </w:r>
        <w:r w:rsidR="002A4E14">
          <w:rPr>
            <w:webHidden/>
          </w:rPr>
          <w:t>32</w:t>
        </w:r>
        <w:r w:rsidR="00386616">
          <w:rPr>
            <w:webHidden/>
          </w:rPr>
          <w:fldChar w:fldCharType="end"/>
        </w:r>
      </w:hyperlink>
    </w:p>
    <w:p w14:paraId="59720647" w14:textId="0CE26E8E" w:rsidR="00386616" w:rsidRDefault="00486EA0">
      <w:pPr>
        <w:pStyle w:val="TOC1"/>
        <w:tabs>
          <w:tab w:val="left" w:pos="1588"/>
        </w:tabs>
        <w:rPr>
          <w:rFonts w:asciiTheme="minorHAnsi" w:eastAsiaTheme="minorEastAsia" w:hAnsiTheme="minorHAnsi" w:cstheme="minorBidi"/>
          <w:b w:val="0"/>
          <w:smallCaps w:val="0"/>
          <w:spacing w:val="0"/>
          <w:sz w:val="22"/>
          <w:lang w:eastAsia="en-AU"/>
        </w:rPr>
      </w:pPr>
      <w:hyperlink w:anchor="_Toc68848977" w:history="1">
        <w:r w:rsidR="00386616" w:rsidRPr="007D6D4B">
          <w:rPr>
            <w:rStyle w:val="Hyperlink"/>
          </w:rPr>
          <w:t>8</w:t>
        </w:r>
        <w:r w:rsidR="00386616">
          <w:rPr>
            <w:rFonts w:asciiTheme="minorHAnsi" w:eastAsiaTheme="minorEastAsia" w:hAnsiTheme="minorHAnsi" w:cstheme="minorBidi"/>
            <w:b w:val="0"/>
            <w:smallCaps w:val="0"/>
            <w:spacing w:val="0"/>
            <w:sz w:val="22"/>
            <w:lang w:eastAsia="en-AU"/>
          </w:rPr>
          <w:tab/>
        </w:r>
        <w:r w:rsidR="00386616" w:rsidRPr="007D6D4B">
          <w:rPr>
            <w:rStyle w:val="Hyperlink"/>
          </w:rPr>
          <w:t>Homelessness and Housing Services</w:t>
        </w:r>
        <w:r w:rsidR="00386616">
          <w:rPr>
            <w:webHidden/>
          </w:rPr>
          <w:tab/>
        </w:r>
        <w:r w:rsidR="00386616">
          <w:rPr>
            <w:webHidden/>
          </w:rPr>
          <w:fldChar w:fldCharType="begin"/>
        </w:r>
        <w:r w:rsidR="00386616">
          <w:rPr>
            <w:webHidden/>
          </w:rPr>
          <w:instrText xml:space="preserve"> PAGEREF _Toc68848977 \h </w:instrText>
        </w:r>
        <w:r w:rsidR="00386616">
          <w:rPr>
            <w:webHidden/>
          </w:rPr>
        </w:r>
        <w:r w:rsidR="00386616">
          <w:rPr>
            <w:webHidden/>
          </w:rPr>
          <w:fldChar w:fldCharType="separate"/>
        </w:r>
        <w:r w:rsidR="002A4E14">
          <w:rPr>
            <w:webHidden/>
          </w:rPr>
          <w:t>37</w:t>
        </w:r>
        <w:r w:rsidR="00386616">
          <w:rPr>
            <w:webHidden/>
          </w:rPr>
          <w:fldChar w:fldCharType="end"/>
        </w:r>
      </w:hyperlink>
    </w:p>
    <w:p w14:paraId="0667B53A" w14:textId="5C37A987" w:rsidR="00386616" w:rsidRDefault="00486EA0">
      <w:pPr>
        <w:pStyle w:val="TOC1"/>
        <w:tabs>
          <w:tab w:val="left" w:pos="1588"/>
        </w:tabs>
        <w:rPr>
          <w:rFonts w:asciiTheme="minorHAnsi" w:eastAsiaTheme="minorEastAsia" w:hAnsiTheme="minorHAnsi" w:cstheme="minorBidi"/>
          <w:b w:val="0"/>
          <w:smallCaps w:val="0"/>
          <w:spacing w:val="0"/>
          <w:sz w:val="22"/>
          <w:lang w:eastAsia="en-AU"/>
        </w:rPr>
      </w:pPr>
      <w:hyperlink w:anchor="_Toc68848978" w:history="1">
        <w:r w:rsidR="00386616" w:rsidRPr="007D6D4B">
          <w:rPr>
            <w:rStyle w:val="Hyperlink"/>
          </w:rPr>
          <w:t>9</w:t>
        </w:r>
        <w:r w:rsidR="00386616">
          <w:rPr>
            <w:rFonts w:asciiTheme="minorHAnsi" w:eastAsiaTheme="minorEastAsia" w:hAnsiTheme="minorHAnsi" w:cstheme="minorBidi"/>
            <w:b w:val="0"/>
            <w:smallCaps w:val="0"/>
            <w:spacing w:val="0"/>
            <w:sz w:val="22"/>
            <w:lang w:eastAsia="en-AU"/>
          </w:rPr>
          <w:tab/>
        </w:r>
        <w:r w:rsidR="00386616" w:rsidRPr="007D6D4B">
          <w:rPr>
            <w:rStyle w:val="Hyperlink"/>
          </w:rPr>
          <w:t>Seniors, Veterans, Families and Community Services</w:t>
        </w:r>
        <w:r w:rsidR="00386616">
          <w:rPr>
            <w:webHidden/>
          </w:rPr>
          <w:tab/>
        </w:r>
        <w:r w:rsidR="00386616">
          <w:rPr>
            <w:webHidden/>
          </w:rPr>
          <w:fldChar w:fldCharType="begin"/>
        </w:r>
        <w:r w:rsidR="00386616">
          <w:rPr>
            <w:webHidden/>
          </w:rPr>
          <w:instrText xml:space="preserve"> PAGEREF _Toc68848978 \h </w:instrText>
        </w:r>
        <w:r w:rsidR="00386616">
          <w:rPr>
            <w:webHidden/>
          </w:rPr>
        </w:r>
        <w:r w:rsidR="00386616">
          <w:rPr>
            <w:webHidden/>
          </w:rPr>
          <w:fldChar w:fldCharType="separate"/>
        </w:r>
        <w:r w:rsidR="002A4E14">
          <w:rPr>
            <w:webHidden/>
          </w:rPr>
          <w:t>40</w:t>
        </w:r>
        <w:r w:rsidR="00386616">
          <w:rPr>
            <w:webHidden/>
          </w:rPr>
          <w:fldChar w:fldCharType="end"/>
        </w:r>
      </w:hyperlink>
    </w:p>
    <w:p w14:paraId="53A026F8" w14:textId="76A93900" w:rsidR="00386616" w:rsidRDefault="00486EA0">
      <w:pPr>
        <w:pStyle w:val="TOC1"/>
        <w:tabs>
          <w:tab w:val="left" w:pos="1588"/>
        </w:tabs>
        <w:rPr>
          <w:rFonts w:asciiTheme="minorHAnsi" w:eastAsiaTheme="minorEastAsia" w:hAnsiTheme="minorHAnsi" w:cstheme="minorBidi"/>
          <w:b w:val="0"/>
          <w:smallCaps w:val="0"/>
          <w:spacing w:val="0"/>
          <w:sz w:val="22"/>
          <w:lang w:eastAsia="en-AU"/>
        </w:rPr>
      </w:pPr>
      <w:hyperlink w:anchor="_Toc68848979" w:history="1">
        <w:r w:rsidR="00386616" w:rsidRPr="007D6D4B">
          <w:rPr>
            <w:rStyle w:val="Hyperlink"/>
          </w:rPr>
          <w:t>10</w:t>
        </w:r>
        <w:r w:rsidR="00386616">
          <w:rPr>
            <w:rFonts w:asciiTheme="minorHAnsi" w:eastAsiaTheme="minorEastAsia" w:hAnsiTheme="minorHAnsi" w:cstheme="minorBidi"/>
            <w:b w:val="0"/>
            <w:smallCaps w:val="0"/>
            <w:spacing w:val="0"/>
            <w:sz w:val="22"/>
            <w:lang w:eastAsia="en-AU"/>
          </w:rPr>
          <w:tab/>
        </w:r>
        <w:r w:rsidR="00386616" w:rsidRPr="007D6D4B">
          <w:rPr>
            <w:rStyle w:val="Hyperlink"/>
          </w:rPr>
          <w:t>Conclusion</w:t>
        </w:r>
        <w:r w:rsidR="00386616">
          <w:rPr>
            <w:webHidden/>
          </w:rPr>
          <w:tab/>
        </w:r>
        <w:r w:rsidR="00386616">
          <w:rPr>
            <w:webHidden/>
          </w:rPr>
          <w:fldChar w:fldCharType="begin"/>
        </w:r>
        <w:r w:rsidR="00386616">
          <w:rPr>
            <w:webHidden/>
          </w:rPr>
          <w:instrText xml:space="preserve"> PAGEREF _Toc68848979 \h </w:instrText>
        </w:r>
        <w:r w:rsidR="00386616">
          <w:rPr>
            <w:webHidden/>
          </w:rPr>
        </w:r>
        <w:r w:rsidR="00386616">
          <w:rPr>
            <w:webHidden/>
          </w:rPr>
          <w:fldChar w:fldCharType="separate"/>
        </w:r>
        <w:r w:rsidR="002A4E14">
          <w:rPr>
            <w:webHidden/>
          </w:rPr>
          <w:t>42</w:t>
        </w:r>
        <w:r w:rsidR="00386616">
          <w:rPr>
            <w:webHidden/>
          </w:rPr>
          <w:fldChar w:fldCharType="end"/>
        </w:r>
      </w:hyperlink>
    </w:p>
    <w:p w14:paraId="4203DB13" w14:textId="7EF9AF76" w:rsidR="00386616" w:rsidRDefault="00486EA0">
      <w:pPr>
        <w:pStyle w:val="TOC1"/>
        <w:tabs>
          <w:tab w:val="left" w:pos="2329"/>
        </w:tabs>
        <w:rPr>
          <w:rFonts w:asciiTheme="minorHAnsi" w:eastAsiaTheme="minorEastAsia" w:hAnsiTheme="minorHAnsi" w:cstheme="minorBidi"/>
          <w:b w:val="0"/>
          <w:smallCaps w:val="0"/>
          <w:spacing w:val="0"/>
          <w:sz w:val="22"/>
          <w:lang w:eastAsia="en-AU"/>
        </w:rPr>
      </w:pPr>
      <w:hyperlink w:anchor="_Toc68848980" w:history="1">
        <w:r w:rsidR="00386616" w:rsidRPr="007D6D4B">
          <w:rPr>
            <w:rStyle w:val="Hyperlink"/>
          </w:rPr>
          <w:t>Appendix A</w:t>
        </w:r>
        <w:r w:rsidR="00386616">
          <w:rPr>
            <w:rFonts w:asciiTheme="minorHAnsi" w:eastAsiaTheme="minorEastAsia" w:hAnsiTheme="minorHAnsi" w:cstheme="minorBidi"/>
            <w:b w:val="0"/>
            <w:smallCaps w:val="0"/>
            <w:spacing w:val="0"/>
            <w:sz w:val="22"/>
            <w:lang w:eastAsia="en-AU"/>
          </w:rPr>
          <w:tab/>
        </w:r>
        <w:r w:rsidR="00386616" w:rsidRPr="007D6D4B">
          <w:rPr>
            <w:rStyle w:val="Hyperlink"/>
          </w:rPr>
          <w:t>Committee public hearings</w:t>
        </w:r>
        <w:r w:rsidR="00386616">
          <w:rPr>
            <w:webHidden/>
          </w:rPr>
          <w:tab/>
        </w:r>
        <w:r w:rsidR="00386616">
          <w:rPr>
            <w:webHidden/>
          </w:rPr>
          <w:fldChar w:fldCharType="begin"/>
        </w:r>
        <w:r w:rsidR="00386616">
          <w:rPr>
            <w:webHidden/>
          </w:rPr>
          <w:instrText xml:space="preserve"> PAGEREF _Toc68848980 \h </w:instrText>
        </w:r>
        <w:r w:rsidR="00386616">
          <w:rPr>
            <w:webHidden/>
          </w:rPr>
        </w:r>
        <w:r w:rsidR="00386616">
          <w:rPr>
            <w:webHidden/>
          </w:rPr>
          <w:fldChar w:fldCharType="separate"/>
        </w:r>
        <w:r w:rsidR="002A4E14">
          <w:rPr>
            <w:webHidden/>
          </w:rPr>
          <w:t>43</w:t>
        </w:r>
        <w:r w:rsidR="00386616">
          <w:rPr>
            <w:webHidden/>
          </w:rPr>
          <w:fldChar w:fldCharType="end"/>
        </w:r>
      </w:hyperlink>
    </w:p>
    <w:p w14:paraId="28F83FB8" w14:textId="1E078BDF" w:rsidR="00386616" w:rsidRDefault="00486EA0">
      <w:pPr>
        <w:pStyle w:val="TOC1"/>
        <w:tabs>
          <w:tab w:val="left" w:pos="2318"/>
        </w:tabs>
        <w:rPr>
          <w:rFonts w:asciiTheme="minorHAnsi" w:eastAsiaTheme="minorEastAsia" w:hAnsiTheme="minorHAnsi" w:cstheme="minorBidi"/>
          <w:b w:val="0"/>
          <w:smallCaps w:val="0"/>
          <w:spacing w:val="0"/>
          <w:sz w:val="22"/>
          <w:lang w:eastAsia="en-AU"/>
        </w:rPr>
      </w:pPr>
      <w:hyperlink w:anchor="_Toc68848981" w:history="1">
        <w:r w:rsidR="00386616" w:rsidRPr="007D6D4B">
          <w:rPr>
            <w:rStyle w:val="Hyperlink"/>
          </w:rPr>
          <w:t>Appendix B</w:t>
        </w:r>
        <w:r w:rsidR="00386616">
          <w:rPr>
            <w:rFonts w:asciiTheme="minorHAnsi" w:eastAsiaTheme="minorEastAsia" w:hAnsiTheme="minorHAnsi" w:cstheme="minorBidi"/>
            <w:b w:val="0"/>
            <w:smallCaps w:val="0"/>
            <w:spacing w:val="0"/>
            <w:sz w:val="22"/>
            <w:lang w:eastAsia="en-AU"/>
          </w:rPr>
          <w:tab/>
        </w:r>
        <w:r w:rsidR="00386616" w:rsidRPr="007D6D4B">
          <w:rPr>
            <w:rStyle w:val="Hyperlink"/>
          </w:rPr>
          <w:t>Hearing Programs</w:t>
        </w:r>
        <w:r w:rsidR="00386616">
          <w:rPr>
            <w:webHidden/>
          </w:rPr>
          <w:tab/>
        </w:r>
        <w:r w:rsidR="00386616">
          <w:rPr>
            <w:webHidden/>
          </w:rPr>
          <w:fldChar w:fldCharType="begin"/>
        </w:r>
        <w:r w:rsidR="00386616">
          <w:rPr>
            <w:webHidden/>
          </w:rPr>
          <w:instrText xml:space="preserve"> PAGEREF _Toc68848981 \h </w:instrText>
        </w:r>
        <w:r w:rsidR="00386616">
          <w:rPr>
            <w:webHidden/>
          </w:rPr>
        </w:r>
        <w:r w:rsidR="00386616">
          <w:rPr>
            <w:webHidden/>
          </w:rPr>
          <w:fldChar w:fldCharType="separate"/>
        </w:r>
        <w:r w:rsidR="002A4E14">
          <w:rPr>
            <w:webHidden/>
          </w:rPr>
          <w:t>45</w:t>
        </w:r>
        <w:r w:rsidR="00386616">
          <w:rPr>
            <w:webHidden/>
          </w:rPr>
          <w:fldChar w:fldCharType="end"/>
        </w:r>
      </w:hyperlink>
    </w:p>
    <w:p w14:paraId="56B14B30" w14:textId="2DD136BB" w:rsidR="00386616" w:rsidRDefault="00486EA0">
      <w:pPr>
        <w:pStyle w:val="TOC1"/>
        <w:tabs>
          <w:tab w:val="left" w:pos="2311"/>
        </w:tabs>
        <w:rPr>
          <w:rFonts w:asciiTheme="minorHAnsi" w:eastAsiaTheme="minorEastAsia" w:hAnsiTheme="minorHAnsi" w:cstheme="minorBidi"/>
          <w:b w:val="0"/>
          <w:smallCaps w:val="0"/>
          <w:spacing w:val="0"/>
          <w:sz w:val="22"/>
          <w:lang w:eastAsia="en-AU"/>
        </w:rPr>
      </w:pPr>
      <w:hyperlink w:anchor="_Toc68848982" w:history="1">
        <w:r w:rsidR="00386616" w:rsidRPr="007D6D4B">
          <w:rPr>
            <w:rStyle w:val="Hyperlink"/>
          </w:rPr>
          <w:t>Appendix C</w:t>
        </w:r>
        <w:r w:rsidR="00386616">
          <w:rPr>
            <w:rFonts w:asciiTheme="minorHAnsi" w:eastAsiaTheme="minorEastAsia" w:hAnsiTheme="minorHAnsi" w:cstheme="minorBidi"/>
            <w:b w:val="0"/>
            <w:smallCaps w:val="0"/>
            <w:spacing w:val="0"/>
            <w:sz w:val="22"/>
            <w:lang w:eastAsia="en-AU"/>
          </w:rPr>
          <w:tab/>
        </w:r>
        <w:r w:rsidR="00386616" w:rsidRPr="007D6D4B">
          <w:rPr>
            <w:rStyle w:val="Hyperlink"/>
          </w:rPr>
          <w:t>Schedule of Questions taken on Notice</w:t>
        </w:r>
        <w:r w:rsidR="00386616">
          <w:rPr>
            <w:webHidden/>
          </w:rPr>
          <w:tab/>
        </w:r>
        <w:r w:rsidR="00386616">
          <w:rPr>
            <w:webHidden/>
          </w:rPr>
          <w:fldChar w:fldCharType="begin"/>
        </w:r>
        <w:r w:rsidR="00386616">
          <w:rPr>
            <w:webHidden/>
          </w:rPr>
          <w:instrText xml:space="preserve"> PAGEREF _Toc68848982 \h </w:instrText>
        </w:r>
        <w:r w:rsidR="00386616">
          <w:rPr>
            <w:webHidden/>
          </w:rPr>
        </w:r>
        <w:r w:rsidR="00386616">
          <w:rPr>
            <w:webHidden/>
          </w:rPr>
          <w:fldChar w:fldCharType="separate"/>
        </w:r>
        <w:r w:rsidR="002A4E14">
          <w:rPr>
            <w:webHidden/>
          </w:rPr>
          <w:t>47</w:t>
        </w:r>
        <w:r w:rsidR="00386616">
          <w:rPr>
            <w:webHidden/>
          </w:rPr>
          <w:fldChar w:fldCharType="end"/>
        </w:r>
      </w:hyperlink>
    </w:p>
    <w:p w14:paraId="6A9E4601" w14:textId="3F846607" w:rsidR="00386616" w:rsidRDefault="00486EA0">
      <w:pPr>
        <w:pStyle w:val="TOC1"/>
        <w:tabs>
          <w:tab w:val="left" w:pos="2335"/>
        </w:tabs>
        <w:rPr>
          <w:rFonts w:asciiTheme="minorHAnsi" w:eastAsiaTheme="minorEastAsia" w:hAnsiTheme="minorHAnsi" w:cstheme="minorBidi"/>
          <w:b w:val="0"/>
          <w:smallCaps w:val="0"/>
          <w:spacing w:val="0"/>
          <w:sz w:val="22"/>
          <w:lang w:eastAsia="en-AU"/>
        </w:rPr>
      </w:pPr>
      <w:hyperlink w:anchor="_Toc68848983" w:history="1">
        <w:r w:rsidR="00386616" w:rsidRPr="007D6D4B">
          <w:rPr>
            <w:rStyle w:val="Hyperlink"/>
          </w:rPr>
          <w:t>Appendix D</w:t>
        </w:r>
        <w:r w:rsidR="00386616">
          <w:rPr>
            <w:rFonts w:asciiTheme="minorHAnsi" w:eastAsiaTheme="minorEastAsia" w:hAnsiTheme="minorHAnsi" w:cstheme="minorBidi"/>
            <w:b w:val="0"/>
            <w:smallCaps w:val="0"/>
            <w:spacing w:val="0"/>
            <w:sz w:val="22"/>
            <w:lang w:eastAsia="en-AU"/>
          </w:rPr>
          <w:tab/>
        </w:r>
        <w:r w:rsidR="00386616" w:rsidRPr="007D6D4B">
          <w:rPr>
            <w:rStyle w:val="Hyperlink"/>
          </w:rPr>
          <w:t>Schedule of Questions on Notice</w:t>
        </w:r>
        <w:r w:rsidR="00386616">
          <w:rPr>
            <w:webHidden/>
          </w:rPr>
          <w:tab/>
        </w:r>
        <w:r w:rsidR="00386616">
          <w:rPr>
            <w:webHidden/>
          </w:rPr>
          <w:fldChar w:fldCharType="begin"/>
        </w:r>
        <w:r w:rsidR="00386616">
          <w:rPr>
            <w:webHidden/>
          </w:rPr>
          <w:instrText xml:space="preserve"> PAGEREF _Toc68848983 \h </w:instrText>
        </w:r>
        <w:r w:rsidR="00386616">
          <w:rPr>
            <w:webHidden/>
          </w:rPr>
        </w:r>
        <w:r w:rsidR="00386616">
          <w:rPr>
            <w:webHidden/>
          </w:rPr>
          <w:fldChar w:fldCharType="separate"/>
        </w:r>
        <w:r w:rsidR="002A4E14">
          <w:rPr>
            <w:webHidden/>
          </w:rPr>
          <w:t>53</w:t>
        </w:r>
        <w:r w:rsidR="00386616">
          <w:rPr>
            <w:webHidden/>
          </w:rPr>
          <w:fldChar w:fldCharType="end"/>
        </w:r>
      </w:hyperlink>
    </w:p>
    <w:p w14:paraId="12FA34BE" w14:textId="54F07ED6" w:rsidR="00842335" w:rsidRDefault="00842335" w:rsidP="00F90255">
      <w:pPr>
        <w:pStyle w:val="Heading1"/>
        <w:numPr>
          <w:ilvl w:val="0"/>
          <w:numId w:val="0"/>
        </w:numPr>
        <w:sectPr w:rsidR="00842335" w:rsidSect="00391E12">
          <w:type w:val="oddPage"/>
          <w:pgSz w:w="11907" w:h="16840" w:code="9"/>
          <w:pgMar w:top="1588" w:right="1418" w:bottom="1418" w:left="1418" w:header="720" w:footer="851" w:gutter="0"/>
          <w:pgNumType w:fmt="lowerRoman"/>
          <w:cols w:space="720"/>
          <w:docGrid w:linePitch="360"/>
        </w:sectPr>
      </w:pPr>
      <w:r>
        <w:fldChar w:fldCharType="end"/>
      </w:r>
    </w:p>
    <w:p w14:paraId="4BBA4A9F" w14:textId="69171076" w:rsidR="00592C9A" w:rsidRPr="00592C9A" w:rsidRDefault="00592C9A" w:rsidP="00F90255">
      <w:pPr>
        <w:pStyle w:val="Heading1"/>
        <w:numPr>
          <w:ilvl w:val="0"/>
          <w:numId w:val="0"/>
        </w:numPr>
      </w:pPr>
      <w:bookmarkStart w:id="39" w:name="_Toc514768042"/>
      <w:bookmarkStart w:id="40" w:name="_Toc68848969"/>
      <w:r w:rsidRPr="00592C9A">
        <w:t>Recommendations</w:t>
      </w:r>
      <w:bookmarkEnd w:id="39"/>
      <w:bookmarkEnd w:id="40"/>
    </w:p>
    <w:p w14:paraId="4BE29A88" w14:textId="746EEAA1" w:rsidR="00386616" w:rsidRDefault="00592C9A">
      <w:pPr>
        <w:pStyle w:val="TOC1"/>
        <w:rPr>
          <w:rFonts w:asciiTheme="minorHAnsi" w:eastAsiaTheme="minorEastAsia" w:hAnsiTheme="minorHAnsi" w:cstheme="minorBidi"/>
          <w:b w:val="0"/>
          <w:smallCaps w:val="0"/>
          <w:spacing w:val="0"/>
          <w:sz w:val="22"/>
          <w:lang w:eastAsia="en-AU"/>
        </w:rPr>
      </w:pPr>
      <w:r>
        <w:rPr>
          <w:rFonts w:cs="Times New Roman"/>
          <w:szCs w:val="20"/>
        </w:rPr>
        <w:fldChar w:fldCharType="begin"/>
      </w:r>
      <w:r>
        <w:instrText xml:space="preserve"> TOC \n \h \z \t "Recommendation Heading,1,Recommendation Text,2,Recommendation Bullet,3" </w:instrText>
      </w:r>
      <w:r>
        <w:rPr>
          <w:rFonts w:cs="Times New Roman"/>
          <w:szCs w:val="20"/>
        </w:rPr>
        <w:fldChar w:fldCharType="separate"/>
      </w:r>
      <w:hyperlink w:anchor="_Toc68848894" w:history="1">
        <w:r w:rsidR="00386616" w:rsidRPr="00FC3C72">
          <w:rPr>
            <w:rStyle w:val="Hyperlink"/>
          </w:rPr>
          <w:t>Recommendation 1</w:t>
        </w:r>
      </w:hyperlink>
    </w:p>
    <w:p w14:paraId="4F4F2A79" w14:textId="5CEB6141" w:rsidR="00386616" w:rsidRDefault="00486EA0">
      <w:pPr>
        <w:pStyle w:val="TOC2"/>
        <w:rPr>
          <w:rFonts w:asciiTheme="minorHAnsi" w:eastAsiaTheme="minorEastAsia" w:hAnsiTheme="minorHAnsi" w:cstheme="minorBidi"/>
          <w:b w:val="0"/>
          <w:szCs w:val="22"/>
          <w:lang w:eastAsia="en-AU"/>
        </w:rPr>
      </w:pPr>
      <w:hyperlink w:anchor="_Toc68848895" w:history="1">
        <w:r w:rsidR="00386616" w:rsidRPr="00FC3C72">
          <w:rPr>
            <w:rStyle w:val="Hyperlink"/>
          </w:rPr>
          <w:t>3.14</w:t>
        </w:r>
        <w:r w:rsidR="00386616">
          <w:rPr>
            <w:rFonts w:asciiTheme="minorHAnsi" w:eastAsiaTheme="minorEastAsia" w:hAnsiTheme="minorHAnsi" w:cstheme="minorBidi"/>
            <w:b w:val="0"/>
            <w:szCs w:val="22"/>
            <w:lang w:eastAsia="en-AU"/>
          </w:rPr>
          <w:tab/>
        </w:r>
        <w:r w:rsidR="00386616" w:rsidRPr="00FC3C72">
          <w:rPr>
            <w:rStyle w:val="Hyperlink"/>
          </w:rPr>
          <w:t>The Committee recommends that data on sexual health services be provided in the next annual report.  Included in this information should be results of consultations with clients on how services are provided, and the level of satisfaction recorded by clients.</w:t>
        </w:r>
      </w:hyperlink>
    </w:p>
    <w:p w14:paraId="2B1D4058" w14:textId="66B35D1D" w:rsidR="00386616" w:rsidRDefault="00486EA0">
      <w:pPr>
        <w:pStyle w:val="TOC1"/>
        <w:rPr>
          <w:rFonts w:asciiTheme="minorHAnsi" w:eastAsiaTheme="minorEastAsia" w:hAnsiTheme="minorHAnsi" w:cstheme="minorBidi"/>
          <w:b w:val="0"/>
          <w:smallCaps w:val="0"/>
          <w:spacing w:val="0"/>
          <w:sz w:val="22"/>
          <w:lang w:eastAsia="en-AU"/>
        </w:rPr>
      </w:pPr>
      <w:hyperlink w:anchor="_Toc68848896" w:history="1">
        <w:r w:rsidR="00386616" w:rsidRPr="00FC3C72">
          <w:rPr>
            <w:rStyle w:val="Hyperlink"/>
          </w:rPr>
          <w:t>Recommendation 2</w:t>
        </w:r>
      </w:hyperlink>
    </w:p>
    <w:p w14:paraId="1C3A4863" w14:textId="7185298D" w:rsidR="00386616" w:rsidRDefault="00486EA0">
      <w:pPr>
        <w:pStyle w:val="TOC2"/>
        <w:rPr>
          <w:rFonts w:asciiTheme="minorHAnsi" w:eastAsiaTheme="minorEastAsia" w:hAnsiTheme="minorHAnsi" w:cstheme="minorBidi"/>
          <w:b w:val="0"/>
          <w:szCs w:val="22"/>
          <w:lang w:eastAsia="en-AU"/>
        </w:rPr>
      </w:pPr>
      <w:hyperlink w:anchor="_Toc68848897" w:history="1">
        <w:r w:rsidR="00386616" w:rsidRPr="00FC3C72">
          <w:rPr>
            <w:rStyle w:val="Hyperlink"/>
          </w:rPr>
          <w:t>3.27</w:t>
        </w:r>
        <w:r w:rsidR="00386616">
          <w:rPr>
            <w:rFonts w:asciiTheme="minorHAnsi" w:eastAsiaTheme="minorEastAsia" w:hAnsiTheme="minorHAnsi" w:cstheme="minorBidi"/>
            <w:b w:val="0"/>
            <w:szCs w:val="22"/>
            <w:lang w:eastAsia="en-AU"/>
          </w:rPr>
          <w:tab/>
        </w:r>
        <w:r w:rsidR="00386616" w:rsidRPr="00FC3C72">
          <w:rPr>
            <w:rStyle w:val="Hyperlink"/>
          </w:rPr>
          <w:t>That ACT Health continue to utilise and improve best practice social media and other community communication media to ensure that the community become used to consulting appropriate Apps and online information to assess availability of the appropriate service for treatment – including emergency – needs.</w:t>
        </w:r>
      </w:hyperlink>
    </w:p>
    <w:p w14:paraId="02F7BE55" w14:textId="0BC31D62" w:rsidR="00386616" w:rsidRDefault="00486EA0">
      <w:pPr>
        <w:pStyle w:val="TOC1"/>
        <w:rPr>
          <w:rFonts w:asciiTheme="minorHAnsi" w:eastAsiaTheme="minorEastAsia" w:hAnsiTheme="minorHAnsi" w:cstheme="minorBidi"/>
          <w:b w:val="0"/>
          <w:smallCaps w:val="0"/>
          <w:spacing w:val="0"/>
          <w:sz w:val="22"/>
          <w:lang w:eastAsia="en-AU"/>
        </w:rPr>
      </w:pPr>
      <w:hyperlink w:anchor="_Toc68848898" w:history="1">
        <w:r w:rsidR="00386616" w:rsidRPr="00FC3C72">
          <w:rPr>
            <w:rStyle w:val="Hyperlink"/>
          </w:rPr>
          <w:t>Recommendation 3</w:t>
        </w:r>
      </w:hyperlink>
    </w:p>
    <w:p w14:paraId="754D777A" w14:textId="737188DA" w:rsidR="00386616" w:rsidRDefault="00486EA0">
      <w:pPr>
        <w:pStyle w:val="TOC2"/>
        <w:rPr>
          <w:rFonts w:asciiTheme="minorHAnsi" w:eastAsiaTheme="minorEastAsia" w:hAnsiTheme="minorHAnsi" w:cstheme="minorBidi"/>
          <w:b w:val="0"/>
          <w:szCs w:val="22"/>
          <w:lang w:eastAsia="en-AU"/>
        </w:rPr>
      </w:pPr>
      <w:hyperlink w:anchor="_Toc68848899" w:history="1">
        <w:r w:rsidR="00386616" w:rsidRPr="00FC3C72">
          <w:rPr>
            <w:rStyle w:val="Hyperlink"/>
          </w:rPr>
          <w:t>3.41</w:t>
        </w:r>
        <w:r w:rsidR="00386616">
          <w:rPr>
            <w:rFonts w:asciiTheme="minorHAnsi" w:eastAsiaTheme="minorEastAsia" w:hAnsiTheme="minorHAnsi" w:cstheme="minorBidi"/>
            <w:b w:val="0"/>
            <w:szCs w:val="22"/>
            <w:lang w:eastAsia="en-AU"/>
          </w:rPr>
          <w:tab/>
        </w:r>
        <w:r w:rsidR="00386616" w:rsidRPr="00FC3C72">
          <w:rPr>
            <w:rStyle w:val="Hyperlink"/>
          </w:rPr>
          <w:t>That, in response to this report, that ACT Health continue to provide 6 monthly updated information  of junior doctors’ recorded feedback and experience.</w:t>
        </w:r>
      </w:hyperlink>
    </w:p>
    <w:p w14:paraId="37ED70CB" w14:textId="2FBAE090" w:rsidR="00386616" w:rsidRDefault="00486EA0">
      <w:pPr>
        <w:pStyle w:val="TOC1"/>
        <w:rPr>
          <w:rFonts w:asciiTheme="minorHAnsi" w:eastAsiaTheme="minorEastAsia" w:hAnsiTheme="minorHAnsi" w:cstheme="minorBidi"/>
          <w:b w:val="0"/>
          <w:smallCaps w:val="0"/>
          <w:spacing w:val="0"/>
          <w:sz w:val="22"/>
          <w:lang w:eastAsia="en-AU"/>
        </w:rPr>
      </w:pPr>
      <w:hyperlink w:anchor="_Toc68848900" w:history="1">
        <w:r w:rsidR="00386616" w:rsidRPr="00FC3C72">
          <w:rPr>
            <w:rStyle w:val="Hyperlink"/>
          </w:rPr>
          <w:t>Recommendation 4</w:t>
        </w:r>
      </w:hyperlink>
    </w:p>
    <w:p w14:paraId="2B0CF4B0" w14:textId="24221E6B" w:rsidR="00386616" w:rsidRDefault="00486EA0">
      <w:pPr>
        <w:pStyle w:val="TOC2"/>
        <w:rPr>
          <w:rFonts w:asciiTheme="minorHAnsi" w:eastAsiaTheme="minorEastAsia" w:hAnsiTheme="minorHAnsi" w:cstheme="minorBidi"/>
          <w:b w:val="0"/>
          <w:szCs w:val="22"/>
          <w:lang w:eastAsia="en-AU"/>
        </w:rPr>
      </w:pPr>
      <w:hyperlink w:anchor="_Toc68848901" w:history="1">
        <w:r w:rsidR="00386616" w:rsidRPr="00FC3C72">
          <w:rPr>
            <w:rStyle w:val="Hyperlink"/>
          </w:rPr>
          <w:t>3.42</w:t>
        </w:r>
        <w:r w:rsidR="00386616">
          <w:rPr>
            <w:rFonts w:asciiTheme="minorHAnsi" w:eastAsiaTheme="minorEastAsia" w:hAnsiTheme="minorHAnsi" w:cstheme="minorBidi"/>
            <w:b w:val="0"/>
            <w:szCs w:val="22"/>
            <w:lang w:eastAsia="en-AU"/>
          </w:rPr>
          <w:tab/>
        </w:r>
        <w:r w:rsidR="00386616" w:rsidRPr="00FC3C72">
          <w:rPr>
            <w:rStyle w:val="Hyperlink"/>
          </w:rPr>
          <w:t>That the ACT Government continue to expand ACT public health facilities.</w:t>
        </w:r>
      </w:hyperlink>
    </w:p>
    <w:p w14:paraId="2B13CEB8" w14:textId="2E052C98" w:rsidR="00386616" w:rsidRDefault="00486EA0">
      <w:pPr>
        <w:pStyle w:val="TOC1"/>
        <w:rPr>
          <w:rFonts w:asciiTheme="minorHAnsi" w:eastAsiaTheme="minorEastAsia" w:hAnsiTheme="minorHAnsi" w:cstheme="minorBidi"/>
          <w:b w:val="0"/>
          <w:smallCaps w:val="0"/>
          <w:spacing w:val="0"/>
          <w:sz w:val="22"/>
          <w:lang w:eastAsia="en-AU"/>
        </w:rPr>
      </w:pPr>
      <w:hyperlink w:anchor="_Toc68848902" w:history="1">
        <w:r w:rsidR="00386616" w:rsidRPr="00FC3C72">
          <w:rPr>
            <w:rStyle w:val="Hyperlink"/>
          </w:rPr>
          <w:t>Recommendation 5</w:t>
        </w:r>
      </w:hyperlink>
    </w:p>
    <w:p w14:paraId="31EE26F6" w14:textId="06475316" w:rsidR="00386616" w:rsidRDefault="00486EA0">
      <w:pPr>
        <w:pStyle w:val="TOC2"/>
        <w:rPr>
          <w:rFonts w:asciiTheme="minorHAnsi" w:eastAsiaTheme="minorEastAsia" w:hAnsiTheme="minorHAnsi" w:cstheme="minorBidi"/>
          <w:b w:val="0"/>
          <w:szCs w:val="22"/>
          <w:lang w:eastAsia="en-AU"/>
        </w:rPr>
      </w:pPr>
      <w:hyperlink w:anchor="_Toc68848903" w:history="1">
        <w:r w:rsidR="00386616" w:rsidRPr="00FC3C72">
          <w:rPr>
            <w:rStyle w:val="Hyperlink"/>
          </w:rPr>
          <w:t>3.43</w:t>
        </w:r>
        <w:r w:rsidR="00386616">
          <w:rPr>
            <w:rFonts w:asciiTheme="minorHAnsi" w:eastAsiaTheme="minorEastAsia" w:hAnsiTheme="minorHAnsi" w:cstheme="minorBidi"/>
            <w:b w:val="0"/>
            <w:szCs w:val="22"/>
            <w:lang w:eastAsia="en-AU"/>
          </w:rPr>
          <w:tab/>
        </w:r>
        <w:r w:rsidR="00386616" w:rsidRPr="00FC3C72">
          <w:rPr>
            <w:rStyle w:val="Hyperlink"/>
          </w:rPr>
          <w:t>That the ACT Government continue to implement the Occupational Violence Strategy and seek further ways to reduce occupational violence.</w:t>
        </w:r>
      </w:hyperlink>
    </w:p>
    <w:p w14:paraId="18597519" w14:textId="51748DC2" w:rsidR="00386616" w:rsidRDefault="00486EA0">
      <w:pPr>
        <w:pStyle w:val="TOC1"/>
        <w:rPr>
          <w:rFonts w:asciiTheme="minorHAnsi" w:eastAsiaTheme="minorEastAsia" w:hAnsiTheme="minorHAnsi" w:cstheme="minorBidi"/>
          <w:b w:val="0"/>
          <w:smallCaps w:val="0"/>
          <w:spacing w:val="0"/>
          <w:sz w:val="22"/>
          <w:lang w:eastAsia="en-AU"/>
        </w:rPr>
      </w:pPr>
      <w:hyperlink w:anchor="_Toc68848904" w:history="1">
        <w:r w:rsidR="00386616" w:rsidRPr="00FC3C72">
          <w:rPr>
            <w:rStyle w:val="Hyperlink"/>
          </w:rPr>
          <w:t>Recommendation 6</w:t>
        </w:r>
      </w:hyperlink>
    </w:p>
    <w:p w14:paraId="3AEE0FBB" w14:textId="67FCCED1" w:rsidR="00386616" w:rsidRDefault="00486EA0">
      <w:pPr>
        <w:pStyle w:val="TOC2"/>
        <w:rPr>
          <w:rFonts w:asciiTheme="minorHAnsi" w:eastAsiaTheme="minorEastAsia" w:hAnsiTheme="minorHAnsi" w:cstheme="minorBidi"/>
          <w:b w:val="0"/>
          <w:szCs w:val="22"/>
          <w:lang w:eastAsia="en-AU"/>
        </w:rPr>
      </w:pPr>
      <w:hyperlink w:anchor="_Toc68848905" w:history="1">
        <w:r w:rsidR="00386616" w:rsidRPr="00FC3C72">
          <w:rPr>
            <w:rStyle w:val="Hyperlink"/>
          </w:rPr>
          <w:t>3.44</w:t>
        </w:r>
        <w:r w:rsidR="00386616">
          <w:rPr>
            <w:rFonts w:asciiTheme="minorHAnsi" w:eastAsiaTheme="minorEastAsia" w:hAnsiTheme="minorHAnsi" w:cstheme="minorBidi"/>
            <w:b w:val="0"/>
            <w:szCs w:val="22"/>
            <w:lang w:eastAsia="en-AU"/>
          </w:rPr>
          <w:tab/>
        </w:r>
        <w:r w:rsidR="00386616" w:rsidRPr="00FC3C72">
          <w:rPr>
            <w:rStyle w:val="Hyperlink"/>
          </w:rPr>
          <w:t>That the ACT Government continue to address and rectify the elective surgery waitlist that has occurred as a result of suspension of surgery due to COVID-19.</w:t>
        </w:r>
      </w:hyperlink>
    </w:p>
    <w:p w14:paraId="59DE55FE" w14:textId="07F1626D" w:rsidR="00386616" w:rsidRDefault="00486EA0">
      <w:pPr>
        <w:pStyle w:val="TOC1"/>
        <w:rPr>
          <w:rFonts w:asciiTheme="minorHAnsi" w:eastAsiaTheme="minorEastAsia" w:hAnsiTheme="minorHAnsi" w:cstheme="minorBidi"/>
          <w:b w:val="0"/>
          <w:smallCaps w:val="0"/>
          <w:spacing w:val="0"/>
          <w:sz w:val="22"/>
          <w:lang w:eastAsia="en-AU"/>
        </w:rPr>
      </w:pPr>
      <w:hyperlink w:anchor="_Toc68848906" w:history="1">
        <w:r w:rsidR="00386616" w:rsidRPr="00FC3C72">
          <w:rPr>
            <w:rStyle w:val="Hyperlink"/>
          </w:rPr>
          <w:t>Recommendation 7</w:t>
        </w:r>
      </w:hyperlink>
    </w:p>
    <w:p w14:paraId="4195E20A" w14:textId="5336A88F" w:rsidR="00386616" w:rsidRDefault="00486EA0">
      <w:pPr>
        <w:pStyle w:val="TOC2"/>
        <w:rPr>
          <w:rFonts w:asciiTheme="minorHAnsi" w:eastAsiaTheme="minorEastAsia" w:hAnsiTheme="minorHAnsi" w:cstheme="minorBidi"/>
          <w:b w:val="0"/>
          <w:szCs w:val="22"/>
          <w:lang w:eastAsia="en-AU"/>
        </w:rPr>
      </w:pPr>
      <w:hyperlink w:anchor="_Toc68848907" w:history="1">
        <w:r w:rsidR="00386616" w:rsidRPr="00FC3C72">
          <w:rPr>
            <w:rStyle w:val="Hyperlink"/>
          </w:rPr>
          <w:t>3.45</w:t>
        </w:r>
        <w:r w:rsidR="00386616">
          <w:rPr>
            <w:rFonts w:asciiTheme="minorHAnsi" w:eastAsiaTheme="minorEastAsia" w:hAnsiTheme="minorHAnsi" w:cstheme="minorBidi"/>
            <w:b w:val="0"/>
            <w:szCs w:val="22"/>
            <w:lang w:eastAsia="en-AU"/>
          </w:rPr>
          <w:tab/>
        </w:r>
        <w:r w:rsidR="00386616" w:rsidRPr="00FC3C72">
          <w:rPr>
            <w:rStyle w:val="Hyperlink"/>
          </w:rPr>
          <w:t>That the ACT Government build more walk-in health centres across Canberra.</w:t>
        </w:r>
      </w:hyperlink>
    </w:p>
    <w:p w14:paraId="2E0D81A2" w14:textId="13E45806" w:rsidR="00386616" w:rsidRDefault="00486EA0">
      <w:pPr>
        <w:pStyle w:val="TOC1"/>
        <w:rPr>
          <w:rFonts w:asciiTheme="minorHAnsi" w:eastAsiaTheme="minorEastAsia" w:hAnsiTheme="minorHAnsi" w:cstheme="minorBidi"/>
          <w:b w:val="0"/>
          <w:smallCaps w:val="0"/>
          <w:spacing w:val="0"/>
          <w:sz w:val="22"/>
          <w:lang w:eastAsia="en-AU"/>
        </w:rPr>
      </w:pPr>
      <w:hyperlink w:anchor="_Toc68848908" w:history="1">
        <w:r w:rsidR="00386616" w:rsidRPr="00FC3C72">
          <w:rPr>
            <w:rStyle w:val="Hyperlink"/>
          </w:rPr>
          <w:t>Recommendation 8</w:t>
        </w:r>
      </w:hyperlink>
    </w:p>
    <w:p w14:paraId="5733022F" w14:textId="52778463" w:rsidR="00386616" w:rsidRDefault="00486EA0">
      <w:pPr>
        <w:pStyle w:val="TOC2"/>
        <w:rPr>
          <w:rFonts w:asciiTheme="minorHAnsi" w:eastAsiaTheme="minorEastAsia" w:hAnsiTheme="minorHAnsi" w:cstheme="minorBidi"/>
          <w:b w:val="0"/>
          <w:szCs w:val="22"/>
          <w:lang w:eastAsia="en-AU"/>
        </w:rPr>
      </w:pPr>
      <w:hyperlink w:anchor="_Toc68848909" w:history="1">
        <w:r w:rsidR="00386616" w:rsidRPr="00FC3C72">
          <w:rPr>
            <w:rStyle w:val="Hyperlink"/>
          </w:rPr>
          <w:t>3.46</w:t>
        </w:r>
        <w:r w:rsidR="00386616">
          <w:rPr>
            <w:rFonts w:asciiTheme="minorHAnsi" w:eastAsiaTheme="minorEastAsia" w:hAnsiTheme="minorHAnsi" w:cstheme="minorBidi"/>
            <w:b w:val="0"/>
            <w:szCs w:val="22"/>
            <w:lang w:eastAsia="en-AU"/>
          </w:rPr>
          <w:tab/>
        </w:r>
        <w:r w:rsidR="00386616" w:rsidRPr="00FC3C72">
          <w:rPr>
            <w:rStyle w:val="Hyperlink"/>
          </w:rPr>
          <w:t>That the ACT Government explore and report on the provision of an imaging service at a northside walk-in centre.</w:t>
        </w:r>
      </w:hyperlink>
    </w:p>
    <w:p w14:paraId="5AE7B936" w14:textId="0A679187" w:rsidR="00386616" w:rsidRDefault="00486EA0">
      <w:pPr>
        <w:pStyle w:val="TOC1"/>
        <w:rPr>
          <w:rFonts w:asciiTheme="minorHAnsi" w:eastAsiaTheme="minorEastAsia" w:hAnsiTheme="minorHAnsi" w:cstheme="minorBidi"/>
          <w:b w:val="0"/>
          <w:smallCaps w:val="0"/>
          <w:spacing w:val="0"/>
          <w:sz w:val="22"/>
          <w:lang w:eastAsia="en-AU"/>
        </w:rPr>
      </w:pPr>
      <w:hyperlink w:anchor="_Toc68848910" w:history="1">
        <w:r w:rsidR="00386616" w:rsidRPr="00FC3C72">
          <w:rPr>
            <w:rStyle w:val="Hyperlink"/>
          </w:rPr>
          <w:t>Recommendation 9</w:t>
        </w:r>
      </w:hyperlink>
    </w:p>
    <w:p w14:paraId="06B93B4A" w14:textId="2836A118" w:rsidR="00386616" w:rsidRDefault="00486EA0">
      <w:pPr>
        <w:pStyle w:val="TOC2"/>
        <w:rPr>
          <w:rFonts w:asciiTheme="minorHAnsi" w:eastAsiaTheme="minorEastAsia" w:hAnsiTheme="minorHAnsi" w:cstheme="minorBidi"/>
          <w:b w:val="0"/>
          <w:szCs w:val="22"/>
          <w:lang w:eastAsia="en-AU"/>
        </w:rPr>
      </w:pPr>
      <w:hyperlink w:anchor="_Toc68848911" w:history="1">
        <w:r w:rsidR="00386616" w:rsidRPr="00FC3C72">
          <w:rPr>
            <w:rStyle w:val="Hyperlink"/>
          </w:rPr>
          <w:t>4.12</w:t>
        </w:r>
        <w:r w:rsidR="00386616">
          <w:rPr>
            <w:rFonts w:asciiTheme="minorHAnsi" w:eastAsiaTheme="minorEastAsia" w:hAnsiTheme="minorHAnsi" w:cstheme="minorBidi"/>
            <w:b w:val="0"/>
            <w:szCs w:val="22"/>
            <w:lang w:eastAsia="en-AU"/>
          </w:rPr>
          <w:tab/>
        </w:r>
        <w:r w:rsidR="00386616" w:rsidRPr="00FC3C72">
          <w:rPr>
            <w:rStyle w:val="Hyperlink"/>
          </w:rPr>
          <w:t>The Committee recommends that the current review of the present external merits review arrangements in ACT Child Protection Matters be proceeded with and concluded as soon as possible, and that the results of that review and proposals for change and improvement be made available to the Assembly.</w:t>
        </w:r>
      </w:hyperlink>
    </w:p>
    <w:p w14:paraId="0B24443A" w14:textId="67F150CF" w:rsidR="00386616" w:rsidRDefault="00486EA0">
      <w:pPr>
        <w:pStyle w:val="TOC1"/>
        <w:rPr>
          <w:rFonts w:asciiTheme="minorHAnsi" w:eastAsiaTheme="minorEastAsia" w:hAnsiTheme="minorHAnsi" w:cstheme="minorBidi"/>
          <w:b w:val="0"/>
          <w:smallCaps w:val="0"/>
          <w:spacing w:val="0"/>
          <w:sz w:val="22"/>
          <w:lang w:eastAsia="en-AU"/>
        </w:rPr>
      </w:pPr>
      <w:hyperlink w:anchor="_Toc68848912" w:history="1">
        <w:r w:rsidR="00386616" w:rsidRPr="00FC3C72">
          <w:rPr>
            <w:rStyle w:val="Hyperlink"/>
          </w:rPr>
          <w:t>Recommendation 10</w:t>
        </w:r>
      </w:hyperlink>
    </w:p>
    <w:p w14:paraId="095A1D58" w14:textId="7469043B" w:rsidR="00386616" w:rsidRDefault="00486EA0">
      <w:pPr>
        <w:pStyle w:val="TOC2"/>
        <w:rPr>
          <w:rFonts w:asciiTheme="minorHAnsi" w:eastAsiaTheme="minorEastAsia" w:hAnsiTheme="minorHAnsi" w:cstheme="minorBidi"/>
          <w:b w:val="0"/>
          <w:szCs w:val="22"/>
          <w:lang w:eastAsia="en-AU"/>
        </w:rPr>
      </w:pPr>
      <w:hyperlink w:anchor="_Toc68848913" w:history="1">
        <w:r w:rsidR="00386616" w:rsidRPr="00FC3C72">
          <w:rPr>
            <w:rStyle w:val="Hyperlink"/>
          </w:rPr>
          <w:t>4.19</w:t>
        </w:r>
        <w:r w:rsidR="00386616">
          <w:rPr>
            <w:rFonts w:asciiTheme="minorHAnsi" w:eastAsiaTheme="minorEastAsia" w:hAnsiTheme="minorHAnsi" w:cstheme="minorBidi"/>
            <w:b w:val="0"/>
            <w:szCs w:val="22"/>
            <w:lang w:eastAsia="en-AU"/>
          </w:rPr>
          <w:tab/>
        </w:r>
        <w:r w:rsidR="00386616" w:rsidRPr="00FC3C72">
          <w:rPr>
            <w:rStyle w:val="Hyperlink"/>
          </w:rPr>
          <w:t>That CSD ensure that an open tender process is used for providing continuation of the Safe and Connected Youth program.</w:t>
        </w:r>
      </w:hyperlink>
    </w:p>
    <w:p w14:paraId="61247C41" w14:textId="16A66929" w:rsidR="00386616" w:rsidRDefault="00486EA0">
      <w:pPr>
        <w:pStyle w:val="TOC1"/>
        <w:rPr>
          <w:rFonts w:asciiTheme="minorHAnsi" w:eastAsiaTheme="minorEastAsia" w:hAnsiTheme="minorHAnsi" w:cstheme="minorBidi"/>
          <w:b w:val="0"/>
          <w:smallCaps w:val="0"/>
          <w:spacing w:val="0"/>
          <w:sz w:val="22"/>
          <w:lang w:eastAsia="en-AU"/>
        </w:rPr>
      </w:pPr>
      <w:hyperlink w:anchor="_Toc68848914" w:history="1">
        <w:r w:rsidR="00386616" w:rsidRPr="00FC3C72">
          <w:rPr>
            <w:rStyle w:val="Hyperlink"/>
          </w:rPr>
          <w:t>Recommendation 11</w:t>
        </w:r>
      </w:hyperlink>
    </w:p>
    <w:p w14:paraId="4FBFA7CC" w14:textId="387BB3D2" w:rsidR="00386616" w:rsidRDefault="00486EA0">
      <w:pPr>
        <w:pStyle w:val="TOC2"/>
        <w:rPr>
          <w:rFonts w:asciiTheme="minorHAnsi" w:eastAsiaTheme="minorEastAsia" w:hAnsiTheme="minorHAnsi" w:cstheme="minorBidi"/>
          <w:b w:val="0"/>
          <w:szCs w:val="22"/>
          <w:lang w:eastAsia="en-AU"/>
        </w:rPr>
      </w:pPr>
      <w:hyperlink w:anchor="_Toc68848915" w:history="1">
        <w:r w:rsidR="00386616" w:rsidRPr="00FC3C72">
          <w:rPr>
            <w:rStyle w:val="Hyperlink"/>
          </w:rPr>
          <w:t>4.20</w:t>
        </w:r>
        <w:r w:rsidR="00386616">
          <w:rPr>
            <w:rFonts w:asciiTheme="minorHAnsi" w:eastAsiaTheme="minorEastAsia" w:hAnsiTheme="minorHAnsi" w:cstheme="minorBidi"/>
            <w:b w:val="0"/>
            <w:szCs w:val="22"/>
            <w:lang w:eastAsia="en-AU"/>
          </w:rPr>
          <w:tab/>
        </w:r>
        <w:r w:rsidR="00386616" w:rsidRPr="00FC3C72">
          <w:rPr>
            <w:rStyle w:val="Hyperlink"/>
          </w:rPr>
          <w:t>That CSD develop clearer guidelines for the conduct of contracting to better balance stability and certainty with allowing opportunity for new providers to qualify for contracts.</w:t>
        </w:r>
      </w:hyperlink>
    </w:p>
    <w:p w14:paraId="06952351" w14:textId="48BD8BBA" w:rsidR="00386616" w:rsidRDefault="00486EA0">
      <w:pPr>
        <w:pStyle w:val="TOC1"/>
        <w:rPr>
          <w:rFonts w:asciiTheme="minorHAnsi" w:eastAsiaTheme="minorEastAsia" w:hAnsiTheme="minorHAnsi" w:cstheme="minorBidi"/>
          <w:b w:val="0"/>
          <w:smallCaps w:val="0"/>
          <w:spacing w:val="0"/>
          <w:sz w:val="22"/>
          <w:lang w:eastAsia="en-AU"/>
        </w:rPr>
      </w:pPr>
      <w:hyperlink w:anchor="_Toc68848916" w:history="1">
        <w:r w:rsidR="00386616" w:rsidRPr="00FC3C72">
          <w:rPr>
            <w:rStyle w:val="Hyperlink"/>
          </w:rPr>
          <w:t>Recommendation 12</w:t>
        </w:r>
      </w:hyperlink>
    </w:p>
    <w:p w14:paraId="2278849D" w14:textId="473ED543" w:rsidR="00386616" w:rsidRDefault="00486EA0">
      <w:pPr>
        <w:pStyle w:val="TOC2"/>
        <w:rPr>
          <w:rFonts w:asciiTheme="minorHAnsi" w:eastAsiaTheme="minorEastAsia" w:hAnsiTheme="minorHAnsi" w:cstheme="minorBidi"/>
          <w:b w:val="0"/>
          <w:szCs w:val="22"/>
          <w:lang w:eastAsia="en-AU"/>
        </w:rPr>
      </w:pPr>
      <w:hyperlink w:anchor="_Toc68848917" w:history="1">
        <w:r w:rsidR="00386616" w:rsidRPr="00FC3C72">
          <w:rPr>
            <w:rStyle w:val="Hyperlink"/>
          </w:rPr>
          <w:t>4.21</w:t>
        </w:r>
        <w:r w:rsidR="00386616">
          <w:rPr>
            <w:rFonts w:asciiTheme="minorHAnsi" w:eastAsiaTheme="minorEastAsia" w:hAnsiTheme="minorHAnsi" w:cstheme="minorBidi"/>
            <w:b w:val="0"/>
            <w:szCs w:val="22"/>
            <w:lang w:eastAsia="en-AU"/>
          </w:rPr>
          <w:tab/>
        </w:r>
        <w:r w:rsidR="00386616" w:rsidRPr="00FC3C72">
          <w:rPr>
            <w:rStyle w:val="Hyperlink"/>
          </w:rPr>
          <w:t>That CSD develop a mechanism which will allow new providers to express an interest in government contracts.</w:t>
        </w:r>
      </w:hyperlink>
    </w:p>
    <w:p w14:paraId="048438A1" w14:textId="1831779C" w:rsidR="00386616" w:rsidRDefault="00486EA0">
      <w:pPr>
        <w:pStyle w:val="TOC1"/>
        <w:rPr>
          <w:rFonts w:asciiTheme="minorHAnsi" w:eastAsiaTheme="minorEastAsia" w:hAnsiTheme="minorHAnsi" w:cstheme="minorBidi"/>
          <w:b w:val="0"/>
          <w:smallCaps w:val="0"/>
          <w:spacing w:val="0"/>
          <w:sz w:val="22"/>
          <w:lang w:eastAsia="en-AU"/>
        </w:rPr>
      </w:pPr>
      <w:hyperlink w:anchor="_Toc68848918" w:history="1">
        <w:r w:rsidR="00386616" w:rsidRPr="00FC3C72">
          <w:rPr>
            <w:rStyle w:val="Hyperlink"/>
          </w:rPr>
          <w:t>Recommendation 13</w:t>
        </w:r>
      </w:hyperlink>
    </w:p>
    <w:p w14:paraId="5F7D37CD" w14:textId="1E2ABE3D" w:rsidR="00386616" w:rsidRDefault="00486EA0">
      <w:pPr>
        <w:pStyle w:val="TOC2"/>
        <w:rPr>
          <w:rFonts w:asciiTheme="minorHAnsi" w:eastAsiaTheme="minorEastAsia" w:hAnsiTheme="minorHAnsi" w:cstheme="minorBidi"/>
          <w:b w:val="0"/>
          <w:szCs w:val="22"/>
          <w:lang w:eastAsia="en-AU"/>
        </w:rPr>
      </w:pPr>
      <w:hyperlink w:anchor="_Toc68848919" w:history="1">
        <w:r w:rsidR="00386616" w:rsidRPr="00FC3C72">
          <w:rPr>
            <w:rStyle w:val="Hyperlink"/>
          </w:rPr>
          <w:t>4.22</w:t>
        </w:r>
        <w:r w:rsidR="00386616">
          <w:rPr>
            <w:rFonts w:asciiTheme="minorHAnsi" w:eastAsiaTheme="minorEastAsia" w:hAnsiTheme="minorHAnsi" w:cstheme="minorBidi"/>
            <w:b w:val="0"/>
            <w:szCs w:val="22"/>
            <w:lang w:eastAsia="en-AU"/>
          </w:rPr>
          <w:tab/>
        </w:r>
        <w:r w:rsidR="00386616" w:rsidRPr="00FC3C72">
          <w:rPr>
            <w:rStyle w:val="Hyperlink"/>
          </w:rPr>
          <w:t>That ACT Health inquire and determine the rates of occupational pressures, particularly including abuse, experienced by junior Aboriginal and Torres Strait Islander doctors in the ACT and propose a solution to any unsatisfactory situation.</w:t>
        </w:r>
      </w:hyperlink>
    </w:p>
    <w:p w14:paraId="61D29FF8" w14:textId="3251AB2D" w:rsidR="00386616" w:rsidRDefault="00486EA0">
      <w:pPr>
        <w:pStyle w:val="TOC1"/>
        <w:rPr>
          <w:rFonts w:asciiTheme="minorHAnsi" w:eastAsiaTheme="minorEastAsia" w:hAnsiTheme="minorHAnsi" w:cstheme="minorBidi"/>
          <w:b w:val="0"/>
          <w:smallCaps w:val="0"/>
          <w:spacing w:val="0"/>
          <w:sz w:val="22"/>
          <w:lang w:eastAsia="en-AU"/>
        </w:rPr>
      </w:pPr>
      <w:hyperlink w:anchor="_Toc68848920" w:history="1">
        <w:r w:rsidR="00386616" w:rsidRPr="00FC3C72">
          <w:rPr>
            <w:rStyle w:val="Hyperlink"/>
          </w:rPr>
          <w:t>Recommendation 14</w:t>
        </w:r>
      </w:hyperlink>
    </w:p>
    <w:p w14:paraId="684FC788" w14:textId="3CEF74CC" w:rsidR="00386616" w:rsidRDefault="00486EA0">
      <w:pPr>
        <w:pStyle w:val="TOC2"/>
        <w:rPr>
          <w:rFonts w:asciiTheme="minorHAnsi" w:eastAsiaTheme="minorEastAsia" w:hAnsiTheme="minorHAnsi" w:cstheme="minorBidi"/>
          <w:b w:val="0"/>
          <w:szCs w:val="22"/>
          <w:lang w:eastAsia="en-AU"/>
        </w:rPr>
      </w:pPr>
      <w:hyperlink w:anchor="_Toc68848921" w:history="1">
        <w:r w:rsidR="00386616" w:rsidRPr="00FC3C72">
          <w:rPr>
            <w:rStyle w:val="Hyperlink"/>
          </w:rPr>
          <w:t>4.23</w:t>
        </w:r>
        <w:r w:rsidR="00386616">
          <w:rPr>
            <w:rFonts w:asciiTheme="minorHAnsi" w:eastAsiaTheme="minorEastAsia" w:hAnsiTheme="minorHAnsi" w:cstheme="minorBidi"/>
            <w:b w:val="0"/>
            <w:szCs w:val="22"/>
            <w:lang w:eastAsia="en-AU"/>
          </w:rPr>
          <w:tab/>
        </w:r>
        <w:r w:rsidR="00386616" w:rsidRPr="00FC3C72">
          <w:rPr>
            <w:rStyle w:val="Hyperlink"/>
          </w:rPr>
          <w:t>That CSD consider ways of improving the accuracy and timeliness of communications with families who are involved in adoption processes.</w:t>
        </w:r>
      </w:hyperlink>
    </w:p>
    <w:p w14:paraId="57A68F76" w14:textId="19F4F524" w:rsidR="00386616" w:rsidRDefault="00486EA0">
      <w:pPr>
        <w:pStyle w:val="TOC1"/>
        <w:rPr>
          <w:rFonts w:asciiTheme="minorHAnsi" w:eastAsiaTheme="minorEastAsia" w:hAnsiTheme="minorHAnsi" w:cstheme="minorBidi"/>
          <w:b w:val="0"/>
          <w:smallCaps w:val="0"/>
          <w:spacing w:val="0"/>
          <w:sz w:val="22"/>
          <w:lang w:eastAsia="en-AU"/>
        </w:rPr>
      </w:pPr>
      <w:hyperlink w:anchor="_Toc68848922" w:history="1">
        <w:r w:rsidR="00386616" w:rsidRPr="00FC3C72">
          <w:rPr>
            <w:rStyle w:val="Hyperlink"/>
          </w:rPr>
          <w:t>Recommendation 15</w:t>
        </w:r>
      </w:hyperlink>
    </w:p>
    <w:p w14:paraId="2BDA80A7" w14:textId="2A009A24" w:rsidR="00386616" w:rsidRDefault="00486EA0">
      <w:pPr>
        <w:pStyle w:val="TOC2"/>
        <w:rPr>
          <w:rFonts w:asciiTheme="minorHAnsi" w:eastAsiaTheme="minorEastAsia" w:hAnsiTheme="minorHAnsi" w:cstheme="minorBidi"/>
          <w:b w:val="0"/>
          <w:szCs w:val="22"/>
          <w:lang w:eastAsia="en-AU"/>
        </w:rPr>
      </w:pPr>
      <w:hyperlink w:anchor="_Toc68848923" w:history="1">
        <w:r w:rsidR="00386616" w:rsidRPr="00FC3C72">
          <w:rPr>
            <w:rStyle w:val="Hyperlink"/>
          </w:rPr>
          <w:t>4.24</w:t>
        </w:r>
        <w:r w:rsidR="00386616">
          <w:rPr>
            <w:rFonts w:asciiTheme="minorHAnsi" w:eastAsiaTheme="minorEastAsia" w:hAnsiTheme="minorHAnsi" w:cstheme="minorBidi"/>
            <w:b w:val="0"/>
            <w:szCs w:val="22"/>
            <w:lang w:eastAsia="en-AU"/>
          </w:rPr>
          <w:tab/>
        </w:r>
        <w:r w:rsidR="00386616" w:rsidRPr="00FC3C72">
          <w:rPr>
            <w:rStyle w:val="Hyperlink"/>
          </w:rPr>
          <w:t>That the Government ensure an open tender process is used for the letting of contracts to providers of out-of-home care providers.</w:t>
        </w:r>
      </w:hyperlink>
    </w:p>
    <w:p w14:paraId="788657E3" w14:textId="7671ED16" w:rsidR="00386616" w:rsidRDefault="00486EA0">
      <w:pPr>
        <w:pStyle w:val="TOC1"/>
        <w:rPr>
          <w:rFonts w:asciiTheme="minorHAnsi" w:eastAsiaTheme="minorEastAsia" w:hAnsiTheme="minorHAnsi" w:cstheme="minorBidi"/>
          <w:b w:val="0"/>
          <w:smallCaps w:val="0"/>
          <w:spacing w:val="0"/>
          <w:sz w:val="22"/>
          <w:lang w:eastAsia="en-AU"/>
        </w:rPr>
      </w:pPr>
      <w:hyperlink w:anchor="_Toc68848924" w:history="1">
        <w:r w:rsidR="00386616" w:rsidRPr="00FC3C72">
          <w:rPr>
            <w:rStyle w:val="Hyperlink"/>
          </w:rPr>
          <w:t>Recommendation 16</w:t>
        </w:r>
      </w:hyperlink>
    </w:p>
    <w:p w14:paraId="54E69BC5" w14:textId="47A318B5" w:rsidR="00386616" w:rsidRDefault="00486EA0">
      <w:pPr>
        <w:pStyle w:val="TOC2"/>
        <w:rPr>
          <w:rFonts w:asciiTheme="minorHAnsi" w:eastAsiaTheme="minorEastAsia" w:hAnsiTheme="minorHAnsi" w:cstheme="minorBidi"/>
          <w:b w:val="0"/>
          <w:szCs w:val="22"/>
          <w:lang w:eastAsia="en-AU"/>
        </w:rPr>
      </w:pPr>
      <w:hyperlink w:anchor="_Toc68848925" w:history="1">
        <w:r w:rsidR="00386616" w:rsidRPr="00FC3C72">
          <w:rPr>
            <w:rStyle w:val="Hyperlink"/>
          </w:rPr>
          <w:t>4.25</w:t>
        </w:r>
        <w:r w:rsidR="00386616">
          <w:rPr>
            <w:rFonts w:asciiTheme="minorHAnsi" w:eastAsiaTheme="minorEastAsia" w:hAnsiTheme="minorHAnsi" w:cstheme="minorBidi"/>
            <w:b w:val="0"/>
            <w:szCs w:val="22"/>
            <w:lang w:eastAsia="en-AU"/>
          </w:rPr>
          <w:tab/>
        </w:r>
        <w:r w:rsidR="00386616" w:rsidRPr="00FC3C72">
          <w:rPr>
            <w:rStyle w:val="Hyperlink"/>
          </w:rPr>
          <w:t>That CSD provide access to Family Group Conferencing for families.</w:t>
        </w:r>
      </w:hyperlink>
    </w:p>
    <w:p w14:paraId="2DF2BB98" w14:textId="77060A28" w:rsidR="00386616" w:rsidRDefault="00486EA0">
      <w:pPr>
        <w:pStyle w:val="TOC1"/>
        <w:rPr>
          <w:rFonts w:asciiTheme="minorHAnsi" w:eastAsiaTheme="minorEastAsia" w:hAnsiTheme="minorHAnsi" w:cstheme="minorBidi"/>
          <w:b w:val="0"/>
          <w:smallCaps w:val="0"/>
          <w:spacing w:val="0"/>
          <w:sz w:val="22"/>
          <w:lang w:eastAsia="en-AU"/>
        </w:rPr>
      </w:pPr>
      <w:hyperlink w:anchor="_Toc68848926" w:history="1">
        <w:r w:rsidR="00386616" w:rsidRPr="00FC3C72">
          <w:rPr>
            <w:rStyle w:val="Hyperlink"/>
          </w:rPr>
          <w:t>Recommendation 17</w:t>
        </w:r>
      </w:hyperlink>
    </w:p>
    <w:p w14:paraId="541386B1" w14:textId="1F341CE1" w:rsidR="00386616" w:rsidRDefault="00486EA0">
      <w:pPr>
        <w:pStyle w:val="TOC2"/>
        <w:rPr>
          <w:rFonts w:asciiTheme="minorHAnsi" w:eastAsiaTheme="minorEastAsia" w:hAnsiTheme="minorHAnsi" w:cstheme="minorBidi"/>
          <w:b w:val="0"/>
          <w:szCs w:val="22"/>
          <w:lang w:eastAsia="en-AU"/>
        </w:rPr>
      </w:pPr>
      <w:hyperlink w:anchor="_Toc68848927" w:history="1">
        <w:r w:rsidR="00386616" w:rsidRPr="00FC3C72">
          <w:rPr>
            <w:rStyle w:val="Hyperlink"/>
          </w:rPr>
          <w:t>5.10</w:t>
        </w:r>
        <w:r w:rsidR="00386616">
          <w:rPr>
            <w:rFonts w:asciiTheme="minorHAnsi" w:eastAsiaTheme="minorEastAsia" w:hAnsiTheme="minorHAnsi" w:cstheme="minorBidi"/>
            <w:b w:val="0"/>
            <w:szCs w:val="22"/>
            <w:lang w:eastAsia="en-AU"/>
          </w:rPr>
          <w:tab/>
        </w:r>
        <w:r w:rsidR="00386616" w:rsidRPr="00FC3C72">
          <w:rPr>
            <w:rStyle w:val="Hyperlink"/>
          </w:rPr>
          <w:t>The Committee recommends that the development of the Youth Navigation Portal continue as advised during the Committee’s inquiry, and that other formal advice on the Portal progress, uptake and usage. Be provided to the Assembly and in the Annual Report.</w:t>
        </w:r>
      </w:hyperlink>
    </w:p>
    <w:p w14:paraId="0C23114A" w14:textId="3F385ED0" w:rsidR="00386616" w:rsidRDefault="00486EA0">
      <w:pPr>
        <w:pStyle w:val="TOC1"/>
        <w:rPr>
          <w:rFonts w:asciiTheme="minorHAnsi" w:eastAsiaTheme="minorEastAsia" w:hAnsiTheme="minorHAnsi" w:cstheme="minorBidi"/>
          <w:b w:val="0"/>
          <w:smallCaps w:val="0"/>
          <w:spacing w:val="0"/>
          <w:sz w:val="22"/>
          <w:lang w:eastAsia="en-AU"/>
        </w:rPr>
      </w:pPr>
      <w:hyperlink w:anchor="_Toc68848928" w:history="1">
        <w:r w:rsidR="00386616" w:rsidRPr="00FC3C72">
          <w:rPr>
            <w:rStyle w:val="Hyperlink"/>
          </w:rPr>
          <w:t>Recommendation 18</w:t>
        </w:r>
      </w:hyperlink>
    </w:p>
    <w:p w14:paraId="385B0752" w14:textId="630A5C69" w:rsidR="00386616" w:rsidRDefault="00486EA0">
      <w:pPr>
        <w:pStyle w:val="TOC2"/>
        <w:rPr>
          <w:rFonts w:asciiTheme="minorHAnsi" w:eastAsiaTheme="minorEastAsia" w:hAnsiTheme="minorHAnsi" w:cstheme="minorBidi"/>
          <w:b w:val="0"/>
          <w:szCs w:val="22"/>
          <w:lang w:eastAsia="en-AU"/>
        </w:rPr>
      </w:pPr>
      <w:hyperlink w:anchor="_Toc68848929" w:history="1">
        <w:r w:rsidR="00386616" w:rsidRPr="00FC3C72">
          <w:rPr>
            <w:rStyle w:val="Hyperlink"/>
          </w:rPr>
          <w:t>5.11</w:t>
        </w:r>
        <w:r w:rsidR="00386616">
          <w:rPr>
            <w:rFonts w:asciiTheme="minorHAnsi" w:eastAsiaTheme="minorEastAsia" w:hAnsiTheme="minorHAnsi" w:cstheme="minorBidi"/>
            <w:b w:val="0"/>
            <w:szCs w:val="22"/>
            <w:lang w:eastAsia="en-AU"/>
          </w:rPr>
          <w:tab/>
        </w:r>
        <w:r w:rsidR="00386616" w:rsidRPr="00FC3C72">
          <w:rPr>
            <w:rStyle w:val="Hyperlink"/>
          </w:rPr>
          <w:t>That the ACT Government act urgently to address the wait times experienced by Canberrans seeking to access mental health services.</w:t>
        </w:r>
      </w:hyperlink>
    </w:p>
    <w:p w14:paraId="17349A8D" w14:textId="42B7D014" w:rsidR="00386616" w:rsidRDefault="00486EA0">
      <w:pPr>
        <w:pStyle w:val="TOC1"/>
        <w:rPr>
          <w:rFonts w:asciiTheme="minorHAnsi" w:eastAsiaTheme="minorEastAsia" w:hAnsiTheme="minorHAnsi" w:cstheme="minorBidi"/>
          <w:b w:val="0"/>
          <w:smallCaps w:val="0"/>
          <w:spacing w:val="0"/>
          <w:sz w:val="22"/>
          <w:lang w:eastAsia="en-AU"/>
        </w:rPr>
      </w:pPr>
      <w:hyperlink w:anchor="_Toc68848930" w:history="1">
        <w:r w:rsidR="00386616" w:rsidRPr="00FC3C72">
          <w:rPr>
            <w:rStyle w:val="Hyperlink"/>
          </w:rPr>
          <w:t>Recommendation 19</w:t>
        </w:r>
      </w:hyperlink>
    </w:p>
    <w:p w14:paraId="5819CAD1" w14:textId="0EC8DB0E" w:rsidR="00386616" w:rsidRDefault="00486EA0">
      <w:pPr>
        <w:pStyle w:val="TOC2"/>
        <w:rPr>
          <w:rFonts w:asciiTheme="minorHAnsi" w:eastAsiaTheme="minorEastAsia" w:hAnsiTheme="minorHAnsi" w:cstheme="minorBidi"/>
          <w:b w:val="0"/>
          <w:szCs w:val="22"/>
          <w:lang w:eastAsia="en-AU"/>
        </w:rPr>
      </w:pPr>
      <w:hyperlink w:anchor="_Toc68848931" w:history="1">
        <w:r w:rsidR="00386616" w:rsidRPr="00FC3C72">
          <w:rPr>
            <w:rStyle w:val="Hyperlink"/>
          </w:rPr>
          <w:t>5.12</w:t>
        </w:r>
        <w:r w:rsidR="00386616">
          <w:rPr>
            <w:rFonts w:asciiTheme="minorHAnsi" w:eastAsiaTheme="minorEastAsia" w:hAnsiTheme="minorHAnsi" w:cstheme="minorBidi"/>
            <w:b w:val="0"/>
            <w:szCs w:val="22"/>
            <w:lang w:eastAsia="en-AU"/>
          </w:rPr>
          <w:tab/>
        </w:r>
        <w:r w:rsidR="00386616" w:rsidRPr="00FC3C72">
          <w:rPr>
            <w:rStyle w:val="Hyperlink"/>
          </w:rPr>
          <w:t>That the ACT Government, as a matter of urgency, recruit a sufficient number of psychologists, psychiatrists, and other mental health professionals to ensure that the ACT mental health delivery system is fully staffed.</w:t>
        </w:r>
      </w:hyperlink>
    </w:p>
    <w:p w14:paraId="7086AB95" w14:textId="6E77DA99" w:rsidR="00386616" w:rsidRDefault="00486EA0">
      <w:pPr>
        <w:pStyle w:val="TOC1"/>
        <w:rPr>
          <w:rFonts w:asciiTheme="minorHAnsi" w:eastAsiaTheme="minorEastAsia" w:hAnsiTheme="minorHAnsi" w:cstheme="minorBidi"/>
          <w:b w:val="0"/>
          <w:smallCaps w:val="0"/>
          <w:spacing w:val="0"/>
          <w:sz w:val="22"/>
          <w:lang w:eastAsia="en-AU"/>
        </w:rPr>
      </w:pPr>
      <w:hyperlink w:anchor="_Toc68848932" w:history="1">
        <w:r w:rsidR="00386616" w:rsidRPr="00FC3C72">
          <w:rPr>
            <w:rStyle w:val="Hyperlink"/>
          </w:rPr>
          <w:t>Recommendation 20</w:t>
        </w:r>
      </w:hyperlink>
    </w:p>
    <w:p w14:paraId="79717666" w14:textId="2ADF6EDB" w:rsidR="00386616" w:rsidRDefault="00486EA0">
      <w:pPr>
        <w:pStyle w:val="TOC2"/>
        <w:rPr>
          <w:rFonts w:asciiTheme="minorHAnsi" w:eastAsiaTheme="minorEastAsia" w:hAnsiTheme="minorHAnsi" w:cstheme="minorBidi"/>
          <w:b w:val="0"/>
          <w:szCs w:val="22"/>
          <w:lang w:eastAsia="en-AU"/>
        </w:rPr>
      </w:pPr>
      <w:hyperlink w:anchor="_Toc68848933" w:history="1">
        <w:r w:rsidR="00386616" w:rsidRPr="00FC3C72">
          <w:rPr>
            <w:rStyle w:val="Hyperlink"/>
          </w:rPr>
          <w:t>5.13</w:t>
        </w:r>
        <w:r w:rsidR="00386616">
          <w:rPr>
            <w:rFonts w:asciiTheme="minorHAnsi" w:eastAsiaTheme="minorEastAsia" w:hAnsiTheme="minorHAnsi" w:cstheme="minorBidi"/>
            <w:b w:val="0"/>
            <w:szCs w:val="22"/>
            <w:lang w:eastAsia="en-AU"/>
          </w:rPr>
          <w:tab/>
        </w:r>
        <w:r w:rsidR="00386616" w:rsidRPr="00FC3C72">
          <w:rPr>
            <w:rStyle w:val="Hyperlink"/>
          </w:rPr>
          <w:t>That the ACT Government increase and facilitate availability of ACT-based local educational opportunities, including scholarships, to practitioners in all mental health.</w:t>
        </w:r>
      </w:hyperlink>
    </w:p>
    <w:p w14:paraId="10D83040" w14:textId="6C7A341F" w:rsidR="00386616" w:rsidRDefault="00486EA0">
      <w:pPr>
        <w:pStyle w:val="TOC1"/>
        <w:rPr>
          <w:rFonts w:asciiTheme="minorHAnsi" w:eastAsiaTheme="minorEastAsia" w:hAnsiTheme="minorHAnsi" w:cstheme="minorBidi"/>
          <w:b w:val="0"/>
          <w:smallCaps w:val="0"/>
          <w:spacing w:val="0"/>
          <w:sz w:val="22"/>
          <w:lang w:eastAsia="en-AU"/>
        </w:rPr>
      </w:pPr>
      <w:hyperlink w:anchor="_Toc68848934" w:history="1">
        <w:r w:rsidR="00386616" w:rsidRPr="00FC3C72">
          <w:rPr>
            <w:rStyle w:val="Hyperlink"/>
          </w:rPr>
          <w:t>Recommendation 21</w:t>
        </w:r>
      </w:hyperlink>
    </w:p>
    <w:p w14:paraId="50BFD134" w14:textId="3A7FC40D" w:rsidR="00386616" w:rsidRDefault="00486EA0">
      <w:pPr>
        <w:pStyle w:val="TOC2"/>
        <w:rPr>
          <w:rFonts w:asciiTheme="minorHAnsi" w:eastAsiaTheme="minorEastAsia" w:hAnsiTheme="minorHAnsi" w:cstheme="minorBidi"/>
          <w:b w:val="0"/>
          <w:szCs w:val="22"/>
          <w:lang w:eastAsia="en-AU"/>
        </w:rPr>
      </w:pPr>
      <w:hyperlink w:anchor="_Toc68848935" w:history="1">
        <w:r w:rsidR="00386616" w:rsidRPr="00FC3C72">
          <w:rPr>
            <w:rStyle w:val="Hyperlink"/>
          </w:rPr>
          <w:t>5.14</w:t>
        </w:r>
        <w:r w:rsidR="00386616">
          <w:rPr>
            <w:rFonts w:asciiTheme="minorHAnsi" w:eastAsiaTheme="minorEastAsia" w:hAnsiTheme="minorHAnsi" w:cstheme="minorBidi"/>
            <w:b w:val="0"/>
            <w:szCs w:val="22"/>
            <w:lang w:eastAsia="en-AU"/>
          </w:rPr>
          <w:tab/>
        </w:r>
        <w:r w:rsidR="00386616" w:rsidRPr="00FC3C72">
          <w:rPr>
            <w:rStyle w:val="Hyperlink"/>
          </w:rPr>
          <w:t>That the ACT Government outline what further services it can and will add to address long wait times for access to mental health services.</w:t>
        </w:r>
      </w:hyperlink>
    </w:p>
    <w:p w14:paraId="69C99C71" w14:textId="1F090EE9" w:rsidR="00386616" w:rsidRDefault="00486EA0">
      <w:pPr>
        <w:pStyle w:val="TOC1"/>
        <w:rPr>
          <w:rFonts w:asciiTheme="minorHAnsi" w:eastAsiaTheme="minorEastAsia" w:hAnsiTheme="minorHAnsi" w:cstheme="minorBidi"/>
          <w:b w:val="0"/>
          <w:smallCaps w:val="0"/>
          <w:spacing w:val="0"/>
          <w:sz w:val="22"/>
          <w:lang w:eastAsia="en-AU"/>
        </w:rPr>
      </w:pPr>
      <w:hyperlink w:anchor="_Toc68848936" w:history="1">
        <w:r w:rsidR="00386616" w:rsidRPr="00FC3C72">
          <w:rPr>
            <w:rStyle w:val="Hyperlink"/>
          </w:rPr>
          <w:t>Recommendation 22</w:t>
        </w:r>
      </w:hyperlink>
    </w:p>
    <w:p w14:paraId="7683921C" w14:textId="0E91206D" w:rsidR="00386616" w:rsidRDefault="00486EA0">
      <w:pPr>
        <w:pStyle w:val="TOC2"/>
        <w:rPr>
          <w:rFonts w:asciiTheme="minorHAnsi" w:eastAsiaTheme="minorEastAsia" w:hAnsiTheme="minorHAnsi" w:cstheme="minorBidi"/>
          <w:b w:val="0"/>
          <w:szCs w:val="22"/>
          <w:lang w:eastAsia="en-AU"/>
        </w:rPr>
      </w:pPr>
      <w:hyperlink w:anchor="_Toc68848937" w:history="1">
        <w:r w:rsidR="00386616" w:rsidRPr="00FC3C72">
          <w:rPr>
            <w:rStyle w:val="Hyperlink"/>
          </w:rPr>
          <w:t>5.15</w:t>
        </w:r>
        <w:r w:rsidR="00386616">
          <w:rPr>
            <w:rFonts w:asciiTheme="minorHAnsi" w:eastAsiaTheme="minorEastAsia" w:hAnsiTheme="minorHAnsi" w:cstheme="minorBidi"/>
            <w:b w:val="0"/>
            <w:szCs w:val="22"/>
            <w:lang w:eastAsia="en-AU"/>
          </w:rPr>
          <w:tab/>
        </w:r>
        <w:r w:rsidR="00386616" w:rsidRPr="00FC3C72">
          <w:rPr>
            <w:rStyle w:val="Hyperlink"/>
          </w:rPr>
          <w:t>That the ACT Government continue to provide updates to the Legislative Assembly on the Position Statement on Eating Disorders.</w:t>
        </w:r>
      </w:hyperlink>
    </w:p>
    <w:p w14:paraId="30892E10" w14:textId="385331C6" w:rsidR="00386616" w:rsidRDefault="00486EA0">
      <w:pPr>
        <w:pStyle w:val="TOC1"/>
        <w:rPr>
          <w:rFonts w:asciiTheme="minorHAnsi" w:eastAsiaTheme="minorEastAsia" w:hAnsiTheme="minorHAnsi" w:cstheme="minorBidi"/>
          <w:b w:val="0"/>
          <w:smallCaps w:val="0"/>
          <w:spacing w:val="0"/>
          <w:sz w:val="22"/>
          <w:lang w:eastAsia="en-AU"/>
        </w:rPr>
      </w:pPr>
      <w:hyperlink w:anchor="_Toc68848938" w:history="1">
        <w:r w:rsidR="00386616" w:rsidRPr="00FC3C72">
          <w:rPr>
            <w:rStyle w:val="Hyperlink"/>
          </w:rPr>
          <w:t>Recommendation 23</w:t>
        </w:r>
      </w:hyperlink>
    </w:p>
    <w:p w14:paraId="19B8F940" w14:textId="7BCAED64" w:rsidR="00386616" w:rsidRDefault="00486EA0">
      <w:pPr>
        <w:pStyle w:val="TOC2"/>
        <w:rPr>
          <w:rFonts w:asciiTheme="minorHAnsi" w:eastAsiaTheme="minorEastAsia" w:hAnsiTheme="minorHAnsi" w:cstheme="minorBidi"/>
          <w:b w:val="0"/>
          <w:szCs w:val="22"/>
          <w:lang w:eastAsia="en-AU"/>
        </w:rPr>
      </w:pPr>
      <w:hyperlink w:anchor="_Toc68848939" w:history="1">
        <w:r w:rsidR="00386616" w:rsidRPr="00FC3C72">
          <w:rPr>
            <w:rStyle w:val="Hyperlink"/>
          </w:rPr>
          <w:t>6.11</w:t>
        </w:r>
        <w:r w:rsidR="00386616">
          <w:rPr>
            <w:rFonts w:asciiTheme="minorHAnsi" w:eastAsiaTheme="minorEastAsia" w:hAnsiTheme="minorHAnsi" w:cstheme="minorBidi"/>
            <w:b w:val="0"/>
            <w:szCs w:val="22"/>
            <w:lang w:eastAsia="en-AU"/>
          </w:rPr>
          <w:tab/>
        </w:r>
        <w:r w:rsidR="00386616" w:rsidRPr="00FC3C72">
          <w:rPr>
            <w:rStyle w:val="Hyperlink"/>
          </w:rPr>
          <w:t>The Committee recommends that the ACT Government continue its renewal program for public housing stocks.</w:t>
        </w:r>
      </w:hyperlink>
    </w:p>
    <w:p w14:paraId="683ED321" w14:textId="727F4E76" w:rsidR="00386616" w:rsidRDefault="00486EA0">
      <w:pPr>
        <w:pStyle w:val="TOC1"/>
        <w:rPr>
          <w:rFonts w:asciiTheme="minorHAnsi" w:eastAsiaTheme="minorEastAsia" w:hAnsiTheme="minorHAnsi" w:cstheme="minorBidi"/>
          <w:b w:val="0"/>
          <w:smallCaps w:val="0"/>
          <w:spacing w:val="0"/>
          <w:sz w:val="22"/>
          <w:lang w:eastAsia="en-AU"/>
        </w:rPr>
      </w:pPr>
      <w:hyperlink w:anchor="_Toc68848940" w:history="1">
        <w:r w:rsidR="00386616" w:rsidRPr="00FC3C72">
          <w:rPr>
            <w:rStyle w:val="Hyperlink"/>
          </w:rPr>
          <w:t>Recommendation 24</w:t>
        </w:r>
      </w:hyperlink>
    </w:p>
    <w:p w14:paraId="4D3692BF" w14:textId="14861A39" w:rsidR="00386616" w:rsidRDefault="00486EA0">
      <w:pPr>
        <w:pStyle w:val="TOC2"/>
        <w:rPr>
          <w:rFonts w:asciiTheme="minorHAnsi" w:eastAsiaTheme="minorEastAsia" w:hAnsiTheme="minorHAnsi" w:cstheme="minorBidi"/>
          <w:b w:val="0"/>
          <w:szCs w:val="22"/>
          <w:lang w:eastAsia="en-AU"/>
        </w:rPr>
      </w:pPr>
      <w:hyperlink w:anchor="_Toc68848941" w:history="1">
        <w:r w:rsidR="00386616" w:rsidRPr="00FC3C72">
          <w:rPr>
            <w:rStyle w:val="Hyperlink"/>
          </w:rPr>
          <w:t>6.12</w:t>
        </w:r>
        <w:r w:rsidR="00386616">
          <w:rPr>
            <w:rFonts w:asciiTheme="minorHAnsi" w:eastAsiaTheme="minorEastAsia" w:hAnsiTheme="minorHAnsi" w:cstheme="minorBidi"/>
            <w:b w:val="0"/>
            <w:szCs w:val="22"/>
            <w:lang w:eastAsia="en-AU"/>
          </w:rPr>
          <w:tab/>
        </w:r>
        <w:r w:rsidR="00386616" w:rsidRPr="00FC3C72">
          <w:rPr>
            <w:rStyle w:val="Hyperlink"/>
          </w:rPr>
          <w:t>The Committee recommends that the ACT Government investigate further sites for the accommodation of Common Ground.</w:t>
        </w:r>
      </w:hyperlink>
    </w:p>
    <w:p w14:paraId="41A88998" w14:textId="1D4AEEF2" w:rsidR="00386616" w:rsidRDefault="00486EA0">
      <w:pPr>
        <w:pStyle w:val="TOC1"/>
        <w:rPr>
          <w:rFonts w:asciiTheme="minorHAnsi" w:eastAsiaTheme="minorEastAsia" w:hAnsiTheme="minorHAnsi" w:cstheme="minorBidi"/>
          <w:b w:val="0"/>
          <w:smallCaps w:val="0"/>
          <w:spacing w:val="0"/>
          <w:sz w:val="22"/>
          <w:lang w:eastAsia="en-AU"/>
        </w:rPr>
      </w:pPr>
      <w:hyperlink w:anchor="_Toc68848942" w:history="1">
        <w:r w:rsidR="00386616" w:rsidRPr="00FC3C72">
          <w:rPr>
            <w:rStyle w:val="Hyperlink"/>
          </w:rPr>
          <w:t>Recommendation 25</w:t>
        </w:r>
      </w:hyperlink>
    </w:p>
    <w:p w14:paraId="79B36EBF" w14:textId="28CBF0F2" w:rsidR="00386616" w:rsidRDefault="00486EA0">
      <w:pPr>
        <w:pStyle w:val="TOC2"/>
        <w:rPr>
          <w:rFonts w:asciiTheme="minorHAnsi" w:eastAsiaTheme="minorEastAsia" w:hAnsiTheme="minorHAnsi" w:cstheme="minorBidi"/>
          <w:b w:val="0"/>
          <w:szCs w:val="22"/>
          <w:lang w:eastAsia="en-AU"/>
        </w:rPr>
      </w:pPr>
      <w:hyperlink w:anchor="_Toc68848943" w:history="1">
        <w:r w:rsidR="00386616" w:rsidRPr="00FC3C72">
          <w:rPr>
            <w:rStyle w:val="Hyperlink"/>
          </w:rPr>
          <w:t>6.13</w:t>
        </w:r>
        <w:r w:rsidR="00386616">
          <w:rPr>
            <w:rFonts w:asciiTheme="minorHAnsi" w:eastAsiaTheme="minorEastAsia" w:hAnsiTheme="minorHAnsi" w:cstheme="minorBidi"/>
            <w:b w:val="0"/>
            <w:szCs w:val="22"/>
            <w:lang w:eastAsia="en-AU"/>
          </w:rPr>
          <w:tab/>
        </w:r>
        <w:r w:rsidR="00386616" w:rsidRPr="00FC3C72">
          <w:rPr>
            <w:rStyle w:val="Hyperlink"/>
          </w:rPr>
          <w:t>The Committee recommends that the ACT Government reassess its present rental rebate policy to ensure that it is compliant with the ACT Government’s Union Encouragement Policy.</w:t>
        </w:r>
      </w:hyperlink>
    </w:p>
    <w:p w14:paraId="73AC901E" w14:textId="695D734F" w:rsidR="00386616" w:rsidRDefault="00486EA0">
      <w:pPr>
        <w:pStyle w:val="TOC1"/>
        <w:rPr>
          <w:rFonts w:asciiTheme="minorHAnsi" w:eastAsiaTheme="minorEastAsia" w:hAnsiTheme="minorHAnsi" w:cstheme="minorBidi"/>
          <w:b w:val="0"/>
          <w:smallCaps w:val="0"/>
          <w:spacing w:val="0"/>
          <w:sz w:val="22"/>
          <w:lang w:eastAsia="en-AU"/>
        </w:rPr>
      </w:pPr>
      <w:hyperlink w:anchor="_Toc68848944" w:history="1">
        <w:r w:rsidR="00386616" w:rsidRPr="00FC3C72">
          <w:rPr>
            <w:rStyle w:val="Hyperlink"/>
          </w:rPr>
          <w:t>Recommendation 26</w:t>
        </w:r>
      </w:hyperlink>
    </w:p>
    <w:p w14:paraId="3E21BD1E" w14:textId="2400E97A" w:rsidR="00386616" w:rsidRDefault="00486EA0">
      <w:pPr>
        <w:pStyle w:val="TOC2"/>
        <w:rPr>
          <w:rFonts w:asciiTheme="minorHAnsi" w:eastAsiaTheme="minorEastAsia" w:hAnsiTheme="minorHAnsi" w:cstheme="minorBidi"/>
          <w:b w:val="0"/>
          <w:szCs w:val="22"/>
          <w:lang w:eastAsia="en-AU"/>
        </w:rPr>
      </w:pPr>
      <w:hyperlink w:anchor="_Toc68848945" w:history="1">
        <w:r w:rsidR="00386616" w:rsidRPr="00FC3C72">
          <w:rPr>
            <w:rStyle w:val="Hyperlink"/>
          </w:rPr>
          <w:t>7.9</w:t>
        </w:r>
        <w:r w:rsidR="00386616">
          <w:rPr>
            <w:rFonts w:asciiTheme="minorHAnsi" w:eastAsiaTheme="minorEastAsia" w:hAnsiTheme="minorHAnsi" w:cstheme="minorBidi"/>
            <w:b w:val="0"/>
            <w:szCs w:val="22"/>
            <w:lang w:eastAsia="en-AU"/>
          </w:rPr>
          <w:tab/>
        </w:r>
        <w:r w:rsidR="00386616" w:rsidRPr="00FC3C72">
          <w:rPr>
            <w:rStyle w:val="Hyperlink"/>
          </w:rPr>
          <w:t xml:space="preserve">The Committee recommends that, </w:t>
        </w:r>
        <w:r w:rsidR="00386616" w:rsidRPr="00FC3C72">
          <w:rPr>
            <w:rStyle w:val="Hyperlink"/>
            <w:lang w:val="en-US"/>
          </w:rPr>
          <w:t xml:space="preserve">when provided in future publication of such spending, </w:t>
        </w:r>
        <w:r w:rsidR="00386616" w:rsidRPr="00FC3C72">
          <w:rPr>
            <w:rStyle w:val="Hyperlink"/>
          </w:rPr>
          <w:t xml:space="preserve"> information on the breakdown of expenditure from the D</w:t>
        </w:r>
        <w:r w:rsidR="00386616" w:rsidRPr="00FC3C72">
          <w:rPr>
            <w:rStyle w:val="Hyperlink"/>
            <w:lang w:val="en-US"/>
          </w:rPr>
          <w:t>omestic Violence Levy be provided not only as a global spend from the Fund, but as a detailed breakdown of the allocation of funds.</w:t>
        </w:r>
      </w:hyperlink>
    </w:p>
    <w:p w14:paraId="2F61093B" w14:textId="59D45C77" w:rsidR="00386616" w:rsidRDefault="00486EA0">
      <w:pPr>
        <w:pStyle w:val="TOC1"/>
        <w:rPr>
          <w:rFonts w:asciiTheme="minorHAnsi" w:eastAsiaTheme="minorEastAsia" w:hAnsiTheme="minorHAnsi" w:cstheme="minorBidi"/>
          <w:b w:val="0"/>
          <w:smallCaps w:val="0"/>
          <w:spacing w:val="0"/>
          <w:sz w:val="22"/>
          <w:lang w:eastAsia="en-AU"/>
        </w:rPr>
      </w:pPr>
      <w:hyperlink w:anchor="_Toc68848946" w:history="1">
        <w:r w:rsidR="00386616" w:rsidRPr="00FC3C72">
          <w:rPr>
            <w:rStyle w:val="Hyperlink"/>
          </w:rPr>
          <w:t>Recommendation 27</w:t>
        </w:r>
      </w:hyperlink>
    </w:p>
    <w:p w14:paraId="38ABF466" w14:textId="78BFFD39" w:rsidR="00386616" w:rsidRDefault="00486EA0">
      <w:pPr>
        <w:pStyle w:val="TOC2"/>
        <w:rPr>
          <w:rFonts w:asciiTheme="minorHAnsi" w:eastAsiaTheme="minorEastAsia" w:hAnsiTheme="minorHAnsi" w:cstheme="minorBidi"/>
          <w:b w:val="0"/>
          <w:szCs w:val="22"/>
          <w:lang w:eastAsia="en-AU"/>
        </w:rPr>
      </w:pPr>
      <w:hyperlink w:anchor="_Toc68848947" w:history="1">
        <w:r w:rsidR="00386616" w:rsidRPr="00FC3C72">
          <w:rPr>
            <w:rStyle w:val="Hyperlink"/>
          </w:rPr>
          <w:t>7.13</w:t>
        </w:r>
        <w:r w:rsidR="00386616">
          <w:rPr>
            <w:rFonts w:asciiTheme="minorHAnsi" w:eastAsiaTheme="minorEastAsia" w:hAnsiTheme="minorHAnsi" w:cstheme="minorBidi"/>
            <w:b w:val="0"/>
            <w:szCs w:val="22"/>
            <w:lang w:eastAsia="en-AU"/>
          </w:rPr>
          <w:tab/>
        </w:r>
        <w:r w:rsidR="00386616" w:rsidRPr="00FC3C72">
          <w:rPr>
            <w:rStyle w:val="Hyperlink"/>
          </w:rPr>
          <w:t>That part of the family safety levy should fund special children’s counsellors to support children who are victims of domestic violence.</w:t>
        </w:r>
      </w:hyperlink>
    </w:p>
    <w:p w14:paraId="37CBD056" w14:textId="7273157F" w:rsidR="00386616" w:rsidRDefault="00486EA0">
      <w:pPr>
        <w:pStyle w:val="TOC1"/>
        <w:rPr>
          <w:rFonts w:asciiTheme="minorHAnsi" w:eastAsiaTheme="minorEastAsia" w:hAnsiTheme="minorHAnsi" w:cstheme="minorBidi"/>
          <w:b w:val="0"/>
          <w:smallCaps w:val="0"/>
          <w:spacing w:val="0"/>
          <w:sz w:val="22"/>
          <w:lang w:eastAsia="en-AU"/>
        </w:rPr>
      </w:pPr>
      <w:hyperlink w:anchor="_Toc68848948" w:history="1">
        <w:r w:rsidR="00386616" w:rsidRPr="00FC3C72">
          <w:rPr>
            <w:rStyle w:val="Hyperlink"/>
          </w:rPr>
          <w:t>Recommendation 28</w:t>
        </w:r>
      </w:hyperlink>
    </w:p>
    <w:p w14:paraId="21044092" w14:textId="303FF49A" w:rsidR="00386616" w:rsidRDefault="00486EA0">
      <w:pPr>
        <w:pStyle w:val="TOC2"/>
        <w:rPr>
          <w:rFonts w:asciiTheme="minorHAnsi" w:eastAsiaTheme="minorEastAsia" w:hAnsiTheme="minorHAnsi" w:cstheme="minorBidi"/>
          <w:b w:val="0"/>
          <w:szCs w:val="22"/>
          <w:lang w:eastAsia="en-AU"/>
        </w:rPr>
      </w:pPr>
      <w:hyperlink w:anchor="_Toc68848949" w:history="1">
        <w:r w:rsidR="00386616" w:rsidRPr="00FC3C72">
          <w:rPr>
            <w:rStyle w:val="Hyperlink"/>
          </w:rPr>
          <w:t>7.14</w:t>
        </w:r>
        <w:r w:rsidR="00386616">
          <w:rPr>
            <w:rFonts w:asciiTheme="minorHAnsi" w:eastAsiaTheme="minorEastAsia" w:hAnsiTheme="minorHAnsi" w:cstheme="minorBidi"/>
            <w:b w:val="0"/>
            <w:szCs w:val="22"/>
            <w:lang w:eastAsia="en-AU"/>
          </w:rPr>
          <w:tab/>
        </w:r>
        <w:r w:rsidR="00386616" w:rsidRPr="00FC3C72">
          <w:rPr>
            <w:rStyle w:val="Hyperlink"/>
          </w:rPr>
          <w:t>That the Legislative Assembly be given quarterly updates on how many new ACT Government employees receive Tier 1 or Tier 2 training.</w:t>
        </w:r>
      </w:hyperlink>
    </w:p>
    <w:p w14:paraId="3B2DE5E6" w14:textId="6F455A45" w:rsidR="00386616" w:rsidRDefault="00486EA0">
      <w:pPr>
        <w:pStyle w:val="TOC1"/>
        <w:rPr>
          <w:rFonts w:asciiTheme="minorHAnsi" w:eastAsiaTheme="minorEastAsia" w:hAnsiTheme="minorHAnsi" w:cstheme="minorBidi"/>
          <w:b w:val="0"/>
          <w:smallCaps w:val="0"/>
          <w:spacing w:val="0"/>
          <w:sz w:val="22"/>
          <w:lang w:eastAsia="en-AU"/>
        </w:rPr>
      </w:pPr>
      <w:hyperlink w:anchor="_Toc68848950" w:history="1">
        <w:r w:rsidR="00386616" w:rsidRPr="00FC3C72">
          <w:rPr>
            <w:rStyle w:val="Hyperlink"/>
          </w:rPr>
          <w:t>Recommendation 29</w:t>
        </w:r>
      </w:hyperlink>
    </w:p>
    <w:p w14:paraId="6AD97F9E" w14:textId="1ED1DFB8" w:rsidR="00386616" w:rsidRDefault="00486EA0">
      <w:pPr>
        <w:pStyle w:val="TOC2"/>
        <w:rPr>
          <w:rFonts w:asciiTheme="minorHAnsi" w:eastAsiaTheme="minorEastAsia" w:hAnsiTheme="minorHAnsi" w:cstheme="minorBidi"/>
          <w:b w:val="0"/>
          <w:szCs w:val="22"/>
          <w:lang w:eastAsia="en-AU"/>
        </w:rPr>
      </w:pPr>
      <w:hyperlink w:anchor="_Toc68848951" w:history="1">
        <w:r w:rsidR="00386616" w:rsidRPr="00FC3C72">
          <w:rPr>
            <w:rStyle w:val="Hyperlink"/>
          </w:rPr>
          <w:t>7.15</w:t>
        </w:r>
        <w:r w:rsidR="00386616">
          <w:rPr>
            <w:rFonts w:asciiTheme="minorHAnsi" w:eastAsiaTheme="minorEastAsia" w:hAnsiTheme="minorHAnsi" w:cstheme="minorBidi"/>
            <w:b w:val="0"/>
            <w:szCs w:val="22"/>
            <w:lang w:eastAsia="en-AU"/>
          </w:rPr>
          <w:tab/>
        </w:r>
        <w:r w:rsidR="00386616" w:rsidRPr="00FC3C72">
          <w:rPr>
            <w:rStyle w:val="Hyperlink"/>
          </w:rPr>
          <w:t>That evaluation for the Room4Change program be provided as public information.</w:t>
        </w:r>
      </w:hyperlink>
    </w:p>
    <w:p w14:paraId="3501D326" w14:textId="7813C5C3" w:rsidR="00386616" w:rsidRDefault="00486EA0">
      <w:pPr>
        <w:pStyle w:val="TOC1"/>
        <w:rPr>
          <w:rFonts w:asciiTheme="minorHAnsi" w:eastAsiaTheme="minorEastAsia" w:hAnsiTheme="minorHAnsi" w:cstheme="minorBidi"/>
          <w:b w:val="0"/>
          <w:smallCaps w:val="0"/>
          <w:spacing w:val="0"/>
          <w:sz w:val="22"/>
          <w:lang w:eastAsia="en-AU"/>
        </w:rPr>
      </w:pPr>
      <w:hyperlink w:anchor="_Toc68848952" w:history="1">
        <w:r w:rsidR="00386616" w:rsidRPr="00FC3C72">
          <w:rPr>
            <w:rStyle w:val="Hyperlink"/>
          </w:rPr>
          <w:t>Recommendation 30</w:t>
        </w:r>
      </w:hyperlink>
    </w:p>
    <w:p w14:paraId="220E314C" w14:textId="1556C1D6" w:rsidR="00386616" w:rsidRDefault="00486EA0">
      <w:pPr>
        <w:pStyle w:val="TOC2"/>
        <w:rPr>
          <w:rFonts w:asciiTheme="minorHAnsi" w:eastAsiaTheme="minorEastAsia" w:hAnsiTheme="minorHAnsi" w:cstheme="minorBidi"/>
          <w:b w:val="0"/>
          <w:szCs w:val="22"/>
          <w:lang w:eastAsia="en-AU"/>
        </w:rPr>
      </w:pPr>
      <w:hyperlink w:anchor="_Toc68848953" w:history="1">
        <w:r w:rsidR="00386616" w:rsidRPr="00FC3C72">
          <w:rPr>
            <w:rStyle w:val="Hyperlink"/>
          </w:rPr>
          <w:t>7.16</w:t>
        </w:r>
        <w:r w:rsidR="00386616">
          <w:rPr>
            <w:rFonts w:asciiTheme="minorHAnsi" w:eastAsiaTheme="minorEastAsia" w:hAnsiTheme="minorHAnsi" w:cstheme="minorBidi"/>
            <w:b w:val="0"/>
            <w:szCs w:val="22"/>
            <w:lang w:eastAsia="en-AU"/>
          </w:rPr>
          <w:tab/>
        </w:r>
        <w:r w:rsidR="00386616" w:rsidRPr="00FC3C72">
          <w:rPr>
            <w:rStyle w:val="Hyperlink"/>
          </w:rPr>
          <w:t>That the Legislative Assembly be provided with quarterly updates on the ACT Government’s progress into the implementation of the Fourth Action Plan.</w:t>
        </w:r>
      </w:hyperlink>
    </w:p>
    <w:p w14:paraId="1585F7F2" w14:textId="6EE610D8" w:rsidR="00386616" w:rsidRDefault="00486EA0">
      <w:pPr>
        <w:pStyle w:val="TOC1"/>
        <w:rPr>
          <w:rFonts w:asciiTheme="minorHAnsi" w:eastAsiaTheme="minorEastAsia" w:hAnsiTheme="minorHAnsi" w:cstheme="minorBidi"/>
          <w:b w:val="0"/>
          <w:smallCaps w:val="0"/>
          <w:spacing w:val="0"/>
          <w:sz w:val="22"/>
          <w:lang w:eastAsia="en-AU"/>
        </w:rPr>
      </w:pPr>
      <w:hyperlink w:anchor="_Toc68848954" w:history="1">
        <w:r w:rsidR="00386616" w:rsidRPr="00FC3C72">
          <w:rPr>
            <w:rStyle w:val="Hyperlink"/>
          </w:rPr>
          <w:t>Recommendation 31</w:t>
        </w:r>
      </w:hyperlink>
    </w:p>
    <w:p w14:paraId="4F85AF64" w14:textId="139AE7B7" w:rsidR="00386616" w:rsidRDefault="00486EA0">
      <w:pPr>
        <w:pStyle w:val="TOC2"/>
        <w:rPr>
          <w:rFonts w:asciiTheme="minorHAnsi" w:eastAsiaTheme="minorEastAsia" w:hAnsiTheme="minorHAnsi" w:cstheme="minorBidi"/>
          <w:b w:val="0"/>
          <w:szCs w:val="22"/>
          <w:lang w:eastAsia="en-AU"/>
        </w:rPr>
      </w:pPr>
      <w:hyperlink w:anchor="_Toc68848955" w:history="1">
        <w:r w:rsidR="00386616" w:rsidRPr="00FC3C72">
          <w:rPr>
            <w:rStyle w:val="Hyperlink"/>
          </w:rPr>
          <w:t>7.17</w:t>
        </w:r>
        <w:r w:rsidR="00386616">
          <w:rPr>
            <w:rFonts w:asciiTheme="minorHAnsi" w:eastAsiaTheme="minorEastAsia" w:hAnsiTheme="minorHAnsi" w:cstheme="minorBidi"/>
            <w:b w:val="0"/>
            <w:szCs w:val="22"/>
            <w:lang w:eastAsia="en-AU"/>
          </w:rPr>
          <w:tab/>
        </w:r>
        <w:r w:rsidR="00386616" w:rsidRPr="00FC3C72">
          <w:rPr>
            <w:rStyle w:val="Hyperlink"/>
          </w:rPr>
          <w:t>That the Legislative Assembly be provided with quarterly updates on the Family Safety Hub’s activities such as trials, evaluations, innovations, and consultations.</w:t>
        </w:r>
      </w:hyperlink>
    </w:p>
    <w:p w14:paraId="56A67D2C" w14:textId="06CE5316" w:rsidR="00386616" w:rsidRDefault="00486EA0">
      <w:pPr>
        <w:pStyle w:val="TOC1"/>
        <w:rPr>
          <w:rFonts w:asciiTheme="minorHAnsi" w:eastAsiaTheme="minorEastAsia" w:hAnsiTheme="minorHAnsi" w:cstheme="minorBidi"/>
          <w:b w:val="0"/>
          <w:smallCaps w:val="0"/>
          <w:spacing w:val="0"/>
          <w:sz w:val="22"/>
          <w:lang w:eastAsia="en-AU"/>
        </w:rPr>
      </w:pPr>
      <w:hyperlink w:anchor="_Toc68848956" w:history="1">
        <w:r w:rsidR="00386616" w:rsidRPr="00FC3C72">
          <w:rPr>
            <w:rStyle w:val="Hyperlink"/>
          </w:rPr>
          <w:t>Recommendation 32</w:t>
        </w:r>
      </w:hyperlink>
    </w:p>
    <w:p w14:paraId="4C1CE5C3" w14:textId="67E37D34" w:rsidR="00386616" w:rsidRDefault="00486EA0">
      <w:pPr>
        <w:pStyle w:val="TOC2"/>
        <w:rPr>
          <w:rFonts w:asciiTheme="minorHAnsi" w:eastAsiaTheme="minorEastAsia" w:hAnsiTheme="minorHAnsi" w:cstheme="minorBidi"/>
          <w:b w:val="0"/>
          <w:szCs w:val="22"/>
          <w:lang w:eastAsia="en-AU"/>
        </w:rPr>
      </w:pPr>
      <w:hyperlink w:anchor="_Toc68848957" w:history="1">
        <w:r w:rsidR="00386616" w:rsidRPr="00FC3C72">
          <w:rPr>
            <w:rStyle w:val="Hyperlink"/>
          </w:rPr>
          <w:t>7.18</w:t>
        </w:r>
        <w:r w:rsidR="00386616">
          <w:rPr>
            <w:rFonts w:asciiTheme="minorHAnsi" w:eastAsiaTheme="minorEastAsia" w:hAnsiTheme="minorHAnsi" w:cstheme="minorBidi"/>
            <w:b w:val="0"/>
            <w:szCs w:val="22"/>
            <w:lang w:eastAsia="en-AU"/>
          </w:rPr>
          <w:tab/>
        </w:r>
        <w:r w:rsidR="00386616" w:rsidRPr="00FC3C72">
          <w:rPr>
            <w:rStyle w:val="Hyperlink"/>
          </w:rPr>
          <w:t>That the Legislative Assembly be provided with quarterly updates on the progress of  implementation of recommendations from the “Report on Inquiry into Domestic and Family Violence – Policy Approaches and Responses.</w:t>
        </w:r>
      </w:hyperlink>
    </w:p>
    <w:p w14:paraId="0BA74F72" w14:textId="4D5908E7" w:rsidR="00386616" w:rsidRDefault="00486EA0">
      <w:pPr>
        <w:pStyle w:val="TOC1"/>
        <w:rPr>
          <w:rFonts w:asciiTheme="minorHAnsi" w:eastAsiaTheme="minorEastAsia" w:hAnsiTheme="minorHAnsi" w:cstheme="minorBidi"/>
          <w:b w:val="0"/>
          <w:smallCaps w:val="0"/>
          <w:spacing w:val="0"/>
          <w:sz w:val="22"/>
          <w:lang w:eastAsia="en-AU"/>
        </w:rPr>
      </w:pPr>
      <w:hyperlink w:anchor="_Toc68848958" w:history="1">
        <w:r w:rsidR="00386616" w:rsidRPr="00FC3C72">
          <w:rPr>
            <w:rStyle w:val="Hyperlink"/>
          </w:rPr>
          <w:t>Recommendation 33</w:t>
        </w:r>
      </w:hyperlink>
    </w:p>
    <w:p w14:paraId="2C9F8795" w14:textId="74EFC680" w:rsidR="00386616" w:rsidRDefault="00486EA0">
      <w:pPr>
        <w:pStyle w:val="TOC2"/>
        <w:rPr>
          <w:rFonts w:asciiTheme="minorHAnsi" w:eastAsiaTheme="minorEastAsia" w:hAnsiTheme="minorHAnsi" w:cstheme="minorBidi"/>
          <w:b w:val="0"/>
          <w:szCs w:val="22"/>
          <w:lang w:eastAsia="en-AU"/>
        </w:rPr>
      </w:pPr>
      <w:hyperlink w:anchor="_Toc68848959" w:history="1">
        <w:r w:rsidR="00386616" w:rsidRPr="00FC3C72">
          <w:rPr>
            <w:rStyle w:val="Hyperlink"/>
          </w:rPr>
          <w:t>9.5</w:t>
        </w:r>
        <w:r w:rsidR="00386616">
          <w:rPr>
            <w:rFonts w:asciiTheme="minorHAnsi" w:eastAsiaTheme="minorEastAsia" w:hAnsiTheme="minorHAnsi" w:cstheme="minorBidi"/>
            <w:b w:val="0"/>
            <w:szCs w:val="22"/>
            <w:lang w:eastAsia="en-AU"/>
          </w:rPr>
          <w:tab/>
        </w:r>
        <w:r w:rsidR="00386616" w:rsidRPr="00FC3C72">
          <w:rPr>
            <w:rStyle w:val="Hyperlink"/>
          </w:rPr>
          <w:t>That CSD review its current approach to case management with the aim of better supporting youth transitioning from Bimberi including youth on community-based orders.</w:t>
        </w:r>
      </w:hyperlink>
    </w:p>
    <w:p w14:paraId="7F211752" w14:textId="48F81B59" w:rsidR="00386616" w:rsidRDefault="00486EA0">
      <w:pPr>
        <w:pStyle w:val="TOC1"/>
        <w:rPr>
          <w:rFonts w:asciiTheme="minorHAnsi" w:eastAsiaTheme="minorEastAsia" w:hAnsiTheme="minorHAnsi" w:cstheme="minorBidi"/>
          <w:b w:val="0"/>
          <w:smallCaps w:val="0"/>
          <w:spacing w:val="0"/>
          <w:sz w:val="22"/>
          <w:lang w:eastAsia="en-AU"/>
        </w:rPr>
      </w:pPr>
      <w:hyperlink w:anchor="_Toc68848960" w:history="1">
        <w:r w:rsidR="00386616" w:rsidRPr="00FC3C72">
          <w:rPr>
            <w:rStyle w:val="Hyperlink"/>
          </w:rPr>
          <w:t>Recommendation 34</w:t>
        </w:r>
      </w:hyperlink>
    </w:p>
    <w:p w14:paraId="3388ADD6" w14:textId="73E01C3B" w:rsidR="00386616" w:rsidRDefault="00486EA0">
      <w:pPr>
        <w:pStyle w:val="TOC2"/>
        <w:rPr>
          <w:rFonts w:asciiTheme="minorHAnsi" w:eastAsiaTheme="minorEastAsia" w:hAnsiTheme="minorHAnsi" w:cstheme="minorBidi"/>
          <w:b w:val="0"/>
          <w:szCs w:val="22"/>
          <w:lang w:eastAsia="en-AU"/>
        </w:rPr>
      </w:pPr>
      <w:hyperlink w:anchor="_Toc68848961" w:history="1">
        <w:r w:rsidR="00386616" w:rsidRPr="00FC3C72">
          <w:rPr>
            <w:rStyle w:val="Hyperlink"/>
          </w:rPr>
          <w:t>9.6</w:t>
        </w:r>
        <w:r w:rsidR="00386616">
          <w:rPr>
            <w:rFonts w:asciiTheme="minorHAnsi" w:eastAsiaTheme="minorEastAsia" w:hAnsiTheme="minorHAnsi" w:cstheme="minorBidi"/>
            <w:b w:val="0"/>
            <w:szCs w:val="22"/>
            <w:lang w:eastAsia="en-AU"/>
          </w:rPr>
          <w:tab/>
        </w:r>
        <w:r w:rsidR="00386616" w:rsidRPr="00FC3C72">
          <w:rPr>
            <w:rStyle w:val="Hyperlink"/>
          </w:rPr>
          <w:t>That CSD ascertain reasons why young Aboriginal and Torres Strait Islanders on community-based justice orders are not successfully completing the conditions of those orders and ensure that provision be made for appropriate and culturally sensitive alternatives.</w:t>
        </w:r>
      </w:hyperlink>
    </w:p>
    <w:p w14:paraId="1D81A6C3" w14:textId="7FE04127" w:rsidR="00386616" w:rsidRDefault="00486EA0">
      <w:pPr>
        <w:pStyle w:val="TOC1"/>
        <w:rPr>
          <w:rFonts w:asciiTheme="minorHAnsi" w:eastAsiaTheme="minorEastAsia" w:hAnsiTheme="minorHAnsi" w:cstheme="minorBidi"/>
          <w:b w:val="0"/>
          <w:smallCaps w:val="0"/>
          <w:spacing w:val="0"/>
          <w:sz w:val="22"/>
          <w:lang w:eastAsia="en-AU"/>
        </w:rPr>
      </w:pPr>
      <w:hyperlink w:anchor="_Toc68848962" w:history="1">
        <w:r w:rsidR="00386616" w:rsidRPr="00FC3C72">
          <w:rPr>
            <w:rStyle w:val="Hyperlink"/>
          </w:rPr>
          <w:t>Recommendation 35</w:t>
        </w:r>
      </w:hyperlink>
    </w:p>
    <w:p w14:paraId="11E74D47" w14:textId="335E4BE6" w:rsidR="00386616" w:rsidRDefault="00486EA0">
      <w:pPr>
        <w:pStyle w:val="TOC2"/>
        <w:rPr>
          <w:rFonts w:asciiTheme="minorHAnsi" w:eastAsiaTheme="minorEastAsia" w:hAnsiTheme="minorHAnsi" w:cstheme="minorBidi"/>
          <w:b w:val="0"/>
          <w:szCs w:val="22"/>
          <w:lang w:eastAsia="en-AU"/>
        </w:rPr>
      </w:pPr>
      <w:hyperlink w:anchor="_Toc68848963" w:history="1">
        <w:r w:rsidR="00386616" w:rsidRPr="00FC3C72">
          <w:rPr>
            <w:rStyle w:val="Hyperlink"/>
          </w:rPr>
          <w:t>9.7</w:t>
        </w:r>
        <w:r w:rsidR="00386616">
          <w:rPr>
            <w:rFonts w:asciiTheme="minorHAnsi" w:eastAsiaTheme="minorEastAsia" w:hAnsiTheme="minorHAnsi" w:cstheme="minorBidi"/>
            <w:b w:val="0"/>
            <w:szCs w:val="22"/>
            <w:lang w:eastAsia="en-AU"/>
          </w:rPr>
          <w:tab/>
        </w:r>
        <w:r w:rsidR="00386616" w:rsidRPr="00FC3C72">
          <w:rPr>
            <w:rStyle w:val="Hyperlink"/>
          </w:rPr>
          <w:t>That CSD to adjust the operational arrangements and operating framework of Narrabundah House to better meet the needs and expectations of the Aboriginal and Torres Strait Islander community.</w:t>
        </w:r>
      </w:hyperlink>
    </w:p>
    <w:p w14:paraId="5E5B1C7C" w14:textId="718C4660" w:rsidR="00037F76" w:rsidRDefault="00592C9A" w:rsidP="004D1E60">
      <w:pPr>
        <w:pStyle w:val="TOC1"/>
      </w:pPr>
      <w:r>
        <w:fldChar w:fldCharType="end"/>
      </w:r>
    </w:p>
    <w:p w14:paraId="24F4167D" w14:textId="67D480B9" w:rsidR="00037F76" w:rsidRPr="00037F76" w:rsidRDefault="00037F76" w:rsidP="00037F76">
      <w:pPr>
        <w:sectPr w:rsidR="00037F76" w:rsidRPr="00037F76" w:rsidSect="00592C9A">
          <w:footerReference w:type="default" r:id="rId18"/>
          <w:headerReference w:type="first" r:id="rId19"/>
          <w:type w:val="oddPage"/>
          <w:pgSz w:w="11907" w:h="16840" w:code="9"/>
          <w:pgMar w:top="1588" w:right="1418" w:bottom="1418" w:left="1418" w:header="720" w:footer="851" w:gutter="0"/>
          <w:pgNumType w:fmt="lowerRoman"/>
          <w:cols w:space="720"/>
          <w:docGrid w:linePitch="360"/>
        </w:sectPr>
      </w:pPr>
    </w:p>
    <w:p w14:paraId="430F7EB8" w14:textId="7AC1B853" w:rsidR="00842335" w:rsidRDefault="00165F6C" w:rsidP="005415DE">
      <w:pPr>
        <w:pStyle w:val="Heading1"/>
        <w:numPr>
          <w:ilvl w:val="0"/>
          <w:numId w:val="19"/>
        </w:numPr>
      </w:pPr>
      <w:bookmarkStart w:id="41" w:name="_Toc341433425"/>
      <w:bookmarkStart w:id="42" w:name="_Toc341687870"/>
      <w:r>
        <w:t xml:space="preserve"> </w:t>
      </w:r>
      <w:bookmarkStart w:id="43" w:name="_Toc68848970"/>
      <w:r w:rsidR="00842335">
        <w:t>Introduction</w:t>
      </w:r>
      <w:bookmarkEnd w:id="41"/>
      <w:bookmarkEnd w:id="42"/>
      <w:bookmarkEnd w:id="43"/>
    </w:p>
    <w:p w14:paraId="74C930E6" w14:textId="51832BF8" w:rsidR="00942157" w:rsidRPr="00942157" w:rsidRDefault="00942157" w:rsidP="00942157">
      <w:pPr>
        <w:pStyle w:val="Headinglevel3"/>
      </w:pPr>
      <w:r>
        <w:t>Annual Reports 2019-20</w:t>
      </w:r>
    </w:p>
    <w:p w14:paraId="447D335B" w14:textId="76701073" w:rsidR="00842335" w:rsidRDefault="00842335" w:rsidP="0033731F">
      <w:pPr>
        <w:pStyle w:val="BodyText1"/>
      </w:pPr>
      <w:r>
        <w:t xml:space="preserve">On </w:t>
      </w:r>
      <w:r w:rsidR="00137CC9">
        <w:t>9 February 2021</w:t>
      </w:r>
      <w:r>
        <w:t>, the 201</w:t>
      </w:r>
      <w:r w:rsidR="00137CC9">
        <w:t>9</w:t>
      </w:r>
      <w:r>
        <w:t>–</w:t>
      </w:r>
      <w:r w:rsidR="00137CC9">
        <w:t>20</w:t>
      </w:r>
      <w:r>
        <w:t xml:space="preserve"> annual and financial reports of government agencies were referred to the relevant standing committees of the ACT Legislative Assembly.</w:t>
      </w:r>
      <w:r>
        <w:rPr>
          <w:rFonts w:ascii="ZWAdobeF" w:hAnsi="ZWAdobeF" w:cs="ZWAdobeF"/>
          <w:sz w:val="2"/>
          <w:szCs w:val="2"/>
        </w:rPr>
        <w:t>2F</w:t>
      </w:r>
      <w:r>
        <w:rPr>
          <w:rStyle w:val="PageNumber"/>
        </w:rPr>
        <w:footnoteReference w:id="4"/>
      </w:r>
    </w:p>
    <w:p w14:paraId="12281416" w14:textId="1B493C2F" w:rsidR="00842335" w:rsidRDefault="00842335" w:rsidP="0033731F">
      <w:pPr>
        <w:pStyle w:val="BodyText1"/>
      </w:pPr>
      <w:r>
        <w:t>The annual and financial reports for 20</w:t>
      </w:r>
      <w:r w:rsidR="00137CC9">
        <w:t>19</w:t>
      </w:r>
      <w:r>
        <w:t>–</w:t>
      </w:r>
      <w:r w:rsidR="00137CC9">
        <w:t>20</w:t>
      </w:r>
      <w:r>
        <w:t xml:space="preserve"> referred to the Standing Committee on Health</w:t>
      </w:r>
      <w:r w:rsidR="00137CC9">
        <w:t xml:space="preserve"> and Community Wellbeing </w:t>
      </w:r>
      <w:r>
        <w:t>(the Committee) were:</w:t>
      </w:r>
    </w:p>
    <w:p w14:paraId="2697444B" w14:textId="1D8A2C4B" w:rsidR="00842335" w:rsidRDefault="00842335" w:rsidP="006D290A">
      <w:pPr>
        <w:pStyle w:val="BodyText10"/>
        <w:numPr>
          <w:ilvl w:val="0"/>
          <w:numId w:val="38"/>
        </w:numPr>
      </w:pPr>
      <w:r>
        <w:t>ACT Health Directorate</w:t>
      </w:r>
      <w:r w:rsidR="00450B82">
        <w:rPr>
          <w:rStyle w:val="FootnoteReference"/>
        </w:rPr>
        <w:footnoteReference w:id="5"/>
      </w:r>
    </w:p>
    <w:p w14:paraId="1423C2D9" w14:textId="0C72B9B0" w:rsidR="00842335" w:rsidRDefault="00842335" w:rsidP="006D290A">
      <w:pPr>
        <w:pStyle w:val="BodyText10"/>
        <w:numPr>
          <w:ilvl w:val="0"/>
          <w:numId w:val="38"/>
        </w:numPr>
      </w:pPr>
      <w:r w:rsidRPr="00F40A27">
        <w:t>Canberra Health Services</w:t>
      </w:r>
      <w:r w:rsidR="00450B82">
        <w:rPr>
          <w:rStyle w:val="FootnoteReference"/>
        </w:rPr>
        <w:footnoteReference w:id="6"/>
      </w:r>
      <w:r>
        <w:t>; and</w:t>
      </w:r>
    </w:p>
    <w:p w14:paraId="3AF6AAE4" w14:textId="2F4DEE72" w:rsidR="00842335" w:rsidRDefault="00842335" w:rsidP="006D290A">
      <w:pPr>
        <w:pStyle w:val="BodyText10"/>
        <w:numPr>
          <w:ilvl w:val="0"/>
          <w:numId w:val="38"/>
        </w:numPr>
      </w:pPr>
      <w:r w:rsidRPr="00F40A27">
        <w:t>Community Services Directorate</w:t>
      </w:r>
      <w:r w:rsidR="00450B82">
        <w:rPr>
          <w:rStyle w:val="FootnoteReference"/>
        </w:rPr>
        <w:footnoteReference w:id="7"/>
      </w:r>
      <w:r>
        <w:t>.</w:t>
      </w:r>
    </w:p>
    <w:p w14:paraId="2406BF2D" w14:textId="43FC175D" w:rsidR="00842335" w:rsidRDefault="00DD7BFA" w:rsidP="0033731F">
      <w:pPr>
        <w:pStyle w:val="BodyText1"/>
      </w:pPr>
      <w:r>
        <w:t xml:space="preserve">Matters considered by the Committee </w:t>
      </w:r>
      <w:r w:rsidR="008C237E">
        <w:t>during this inquiry</w:t>
      </w:r>
      <w:r w:rsidR="002139BA">
        <w:t>, by out</w:t>
      </w:r>
      <w:r w:rsidR="00450B82">
        <w:t>p</w:t>
      </w:r>
      <w:r w:rsidR="002139BA">
        <w:t>ut reference and as allocated to Ministe</w:t>
      </w:r>
      <w:r w:rsidR="00450B82">
        <w:t>r</w:t>
      </w:r>
      <w:r w:rsidR="002139BA">
        <w:t xml:space="preserve">, </w:t>
      </w:r>
      <w:r w:rsidR="0026702D">
        <w:t xml:space="preserve">are set out in the detailed Hearing programs the Committee held +on 26 February and 3 March 2021, and which are </w:t>
      </w:r>
      <w:r w:rsidR="0026702D" w:rsidRPr="0033731F">
        <w:t xml:space="preserve">in </w:t>
      </w:r>
      <w:r w:rsidR="0026702D" w:rsidRPr="0033731F">
        <w:rPr>
          <w:b/>
          <w:bCs/>
        </w:rPr>
        <w:t>Appendix B</w:t>
      </w:r>
      <w:r w:rsidR="0026702D" w:rsidRPr="0033731F">
        <w:t>.</w:t>
      </w:r>
    </w:p>
    <w:p w14:paraId="1706136B" w14:textId="43F25DE0" w:rsidR="00842335" w:rsidRPr="006D290A" w:rsidRDefault="00A7108E" w:rsidP="006D290A">
      <w:pPr>
        <w:pStyle w:val="Headinglevel3"/>
      </w:pPr>
      <w:r w:rsidRPr="006D290A">
        <w:t>i</w:t>
      </w:r>
      <w:r w:rsidR="00842335" w:rsidRPr="006D290A">
        <w:t>nquiry</w:t>
      </w:r>
      <w:r w:rsidR="006A4D77" w:rsidRPr="006D290A">
        <w:t xml:space="preserve"> on annual reports</w:t>
      </w:r>
      <w:r w:rsidR="001F5282" w:rsidRPr="006D290A">
        <w:t xml:space="preserve"> and financial st</w:t>
      </w:r>
      <w:r w:rsidR="006D290A" w:rsidRPr="006D290A">
        <w:t>a</w:t>
      </w:r>
      <w:r w:rsidR="006D290A">
        <w:t>t</w:t>
      </w:r>
      <w:r w:rsidR="001F5282" w:rsidRPr="006D290A">
        <w:t>ements – 2019-20</w:t>
      </w:r>
    </w:p>
    <w:p w14:paraId="348517B0" w14:textId="77777777" w:rsidR="00137CC9" w:rsidRDefault="00842335" w:rsidP="0033731F">
      <w:pPr>
        <w:pStyle w:val="BodyText1"/>
      </w:pPr>
      <w:r>
        <w:t xml:space="preserve">The Committee held public hearings on </w:t>
      </w:r>
      <w:r w:rsidR="00137CC9">
        <w:t>26 February 2021 and 3 March 2021</w:t>
      </w:r>
    </w:p>
    <w:p w14:paraId="5F23B0D5" w14:textId="39A1FB13" w:rsidR="00842335" w:rsidRPr="0033731F" w:rsidRDefault="00842335" w:rsidP="0033731F">
      <w:pPr>
        <w:pStyle w:val="BodyText1"/>
      </w:pPr>
      <w:r>
        <w:t>At these hearings the Committee heard from Ministers and accompanying directorate and agency officers.</w:t>
      </w:r>
      <w:r w:rsidRPr="0033731F">
        <w:t>4F</w:t>
      </w:r>
      <w:r>
        <w:t xml:space="preserve"> Witnesses who appeared before the Committee are listed at </w:t>
      </w:r>
      <w:r w:rsidRPr="0033731F">
        <w:t>Appendix A.</w:t>
      </w:r>
    </w:p>
    <w:p w14:paraId="50020401" w14:textId="211BBBA6" w:rsidR="00F1322A" w:rsidRPr="0033731F" w:rsidRDefault="00F1322A" w:rsidP="0033731F">
      <w:pPr>
        <w:pStyle w:val="BodyText1"/>
      </w:pPr>
      <w:r w:rsidRPr="0033731F">
        <w:t>Full details of the Committee’s hearings are at Appendix B</w:t>
      </w:r>
    </w:p>
    <w:p w14:paraId="4C198B54" w14:textId="2D95E907" w:rsidR="002139BA" w:rsidRPr="00F42E06" w:rsidRDefault="008559E0" w:rsidP="00F42E06">
      <w:pPr>
        <w:pStyle w:val="Headinglevel3"/>
      </w:pPr>
      <w:r w:rsidRPr="00F42E06">
        <w:t>Appropriations Bills 2020-21</w:t>
      </w:r>
    </w:p>
    <w:p w14:paraId="6B198649" w14:textId="029C7E36" w:rsidR="008559E0" w:rsidRDefault="008559E0" w:rsidP="0033731F">
      <w:pPr>
        <w:pStyle w:val="BodyText1"/>
      </w:pPr>
      <w:r>
        <w:t xml:space="preserve">As noted in Chapter 1, the Standing Committee to was required by the Resolution establishing Committees to </w:t>
      </w:r>
      <w:r w:rsidRPr="00697120">
        <w:t xml:space="preserve">examine the expenditure proposals contained in </w:t>
      </w:r>
      <w:r>
        <w:t xml:space="preserve">the </w:t>
      </w:r>
      <w:r w:rsidRPr="00697120">
        <w:t xml:space="preserve"> appropriation bills for the Territory </w:t>
      </w:r>
      <w:r>
        <w:t xml:space="preserve">for 2020-21 </w:t>
      </w:r>
      <w:r w:rsidRPr="00697120">
        <w:t>and any revenue estimates proposed by the Government in the annual budget and prepare a report to the Assembly within 60 days of the presentation of the budget bills</w:t>
      </w:r>
      <w:r>
        <w:t xml:space="preserve">.  The Appropriation Bills for 2020-21 were for the first time, presented immediately after the commencement of the new Assembly, on 9 </w:t>
      </w:r>
      <w:r w:rsidR="001F5282">
        <w:t>February</w:t>
      </w:r>
      <w:r>
        <w:t xml:space="preserve"> 2021.</w:t>
      </w:r>
    </w:p>
    <w:p w14:paraId="7BA0862C" w14:textId="20ED0FFF" w:rsidR="008559E0" w:rsidRDefault="008559E0" w:rsidP="0033731F">
      <w:pPr>
        <w:pStyle w:val="BodyText1"/>
      </w:pPr>
      <w:r>
        <w:t xml:space="preserve">The date of presentation of the </w:t>
      </w:r>
      <w:r w:rsidR="001F5282">
        <w:t>Appropriation</w:t>
      </w:r>
      <w:r>
        <w:t xml:space="preserve"> Bills</w:t>
      </w:r>
      <w:r w:rsidR="006A4D77">
        <w:t xml:space="preserve"> </w:t>
      </w:r>
      <w:r w:rsidR="00F1322A">
        <w:t xml:space="preserve">accordingly </w:t>
      </w:r>
      <w:r w:rsidR="006A4D77">
        <w:t>requires the Committee to report on th</w:t>
      </w:r>
      <w:r w:rsidR="006C5B9D">
        <w:t xml:space="preserve">ose parts and provisions of the Bills which are relevant to the Standing Committee’s areas of </w:t>
      </w:r>
      <w:r w:rsidR="001F5282">
        <w:t>responsibility</w:t>
      </w:r>
      <w:r w:rsidR="006A4D77">
        <w:t xml:space="preserve"> by 9 April 2021.</w:t>
      </w:r>
    </w:p>
    <w:p w14:paraId="17C5F0BD" w14:textId="57352A59" w:rsidR="006A4D77" w:rsidRDefault="006A4D77" w:rsidP="00F42E06">
      <w:pPr>
        <w:pStyle w:val="Headinglevel3"/>
      </w:pPr>
      <w:r>
        <w:t>inquiry on appropriations</w:t>
      </w:r>
    </w:p>
    <w:p w14:paraId="1FB13683" w14:textId="0D3D7F97" w:rsidR="006A4D77" w:rsidRDefault="006A4D77" w:rsidP="0033731F">
      <w:pPr>
        <w:pStyle w:val="BodyText1"/>
      </w:pPr>
      <w:r>
        <w:t>In conjunction with its hearings on annual reports for 2019-20 as described above in this chapter, the Committee held public hearings on the Appropriations Bills on 26 February 2021 and 3 March 2021</w:t>
      </w:r>
    </w:p>
    <w:p w14:paraId="6C850DBD" w14:textId="777C71B9" w:rsidR="006A4D77" w:rsidRDefault="006A4D77" w:rsidP="0033731F">
      <w:pPr>
        <w:pStyle w:val="BodyText1"/>
      </w:pPr>
      <w:r>
        <w:t xml:space="preserve">As </w:t>
      </w:r>
      <w:r w:rsidR="00F1322A">
        <w:t xml:space="preserve">noted, </w:t>
      </w:r>
      <w:r w:rsidR="001F5282">
        <w:t>at</w:t>
      </w:r>
      <w:r>
        <w:t xml:space="preserve"> these hearings the Committee heard from Ministers and accompanying directorate and agency officers.</w:t>
      </w:r>
      <w:r w:rsidRPr="0033731F">
        <w:t>4F</w:t>
      </w:r>
      <w:r w:rsidRPr="0033731F">
        <w:footnoteReference w:id="8"/>
      </w:r>
      <w:r>
        <w:t xml:space="preserve">  Witnesses who appeared before the Committee are listed at </w:t>
      </w:r>
      <w:r w:rsidRPr="0033731F">
        <w:t>Appendix A.</w:t>
      </w:r>
    </w:p>
    <w:p w14:paraId="7F614695" w14:textId="17F84278" w:rsidR="006A4D77" w:rsidRPr="001E057B" w:rsidRDefault="006A4D77" w:rsidP="001E057B">
      <w:pPr>
        <w:pStyle w:val="Headinglevel3"/>
      </w:pPr>
      <w:r w:rsidRPr="001E057B">
        <w:t>Questions taken on notice(</w:t>
      </w:r>
      <w:proofErr w:type="spellStart"/>
      <w:r w:rsidRPr="001E057B">
        <w:t>QToNs</w:t>
      </w:r>
      <w:proofErr w:type="spellEnd"/>
      <w:r w:rsidRPr="001E057B">
        <w:t>) and Questions on notice (</w:t>
      </w:r>
      <w:proofErr w:type="spellStart"/>
      <w:r w:rsidRPr="001E057B">
        <w:t>QoNs</w:t>
      </w:r>
      <w:proofErr w:type="spellEnd"/>
      <w:r w:rsidRPr="001E057B">
        <w:t>)</w:t>
      </w:r>
    </w:p>
    <w:p w14:paraId="2A1ABF7A" w14:textId="49B648CD" w:rsidR="001E057B" w:rsidRPr="001E057B" w:rsidRDefault="001E057B" w:rsidP="001E057B">
      <w:pPr>
        <w:pStyle w:val="Headinglevel4"/>
      </w:pPr>
      <w:r w:rsidRPr="001E057B">
        <w:t>Q</w:t>
      </w:r>
      <w:r>
        <w:t>T</w:t>
      </w:r>
      <w:r w:rsidRPr="001E057B">
        <w:t>ONs</w:t>
      </w:r>
    </w:p>
    <w:p w14:paraId="03314484" w14:textId="1B7362D5" w:rsidR="006A4D77" w:rsidRDefault="006A4D77" w:rsidP="0033731F">
      <w:pPr>
        <w:pStyle w:val="BodyText1"/>
      </w:pPr>
      <w:r>
        <w:t xml:space="preserve">As is normal practice </w:t>
      </w:r>
      <w:r w:rsidR="001E057B">
        <w:t>for</w:t>
      </w:r>
      <w:r>
        <w:t xml:space="preserve"> </w:t>
      </w:r>
      <w:r w:rsidR="001F5282">
        <w:t>inquiries</w:t>
      </w:r>
      <w:r>
        <w:t xml:space="preserve"> on Annual reports and Appropriations, the Committee received questions taken  on notice by </w:t>
      </w:r>
      <w:r w:rsidR="001F5282">
        <w:t>Ministers</w:t>
      </w:r>
      <w:r>
        <w:t xml:space="preserve"> and officials at the Committee’s hearings (</w:t>
      </w:r>
      <w:proofErr w:type="spellStart"/>
      <w:r>
        <w:t>QToNs</w:t>
      </w:r>
      <w:proofErr w:type="spellEnd"/>
      <w:r>
        <w:t>)</w:t>
      </w:r>
    </w:p>
    <w:p w14:paraId="69C17540" w14:textId="77777777" w:rsidR="004B72DA" w:rsidRDefault="001E057B" w:rsidP="00D37A47">
      <w:pPr>
        <w:pStyle w:val="BodyText1"/>
      </w:pPr>
      <w:r>
        <w:t xml:space="preserve">At the Committee’s two hearings,   </w:t>
      </w:r>
      <w:proofErr w:type="spellStart"/>
      <w:r>
        <w:t>QToNs</w:t>
      </w:r>
      <w:proofErr w:type="spellEnd"/>
      <w:r>
        <w:t xml:space="preserve"> were accepted  for response, with answers provided after the hearing. </w:t>
      </w:r>
      <w:r>
        <w:rPr>
          <w:b/>
          <w:bCs/>
        </w:rPr>
        <w:t xml:space="preserve">A schedule of all </w:t>
      </w:r>
      <w:proofErr w:type="spellStart"/>
      <w:r>
        <w:rPr>
          <w:b/>
          <w:bCs/>
        </w:rPr>
        <w:t>Q</w:t>
      </w:r>
      <w:r w:rsidR="006372D8">
        <w:rPr>
          <w:b/>
          <w:bCs/>
        </w:rPr>
        <w:t>To</w:t>
      </w:r>
      <w:r>
        <w:rPr>
          <w:b/>
          <w:bCs/>
        </w:rPr>
        <w:t>Ns</w:t>
      </w:r>
      <w:proofErr w:type="spellEnd"/>
      <w:r>
        <w:rPr>
          <w:b/>
          <w:bCs/>
        </w:rPr>
        <w:t xml:space="preserve"> appears in Appendix C.  Answers to all </w:t>
      </w:r>
      <w:proofErr w:type="spellStart"/>
      <w:r>
        <w:rPr>
          <w:b/>
          <w:bCs/>
        </w:rPr>
        <w:t>QToNs</w:t>
      </w:r>
      <w:proofErr w:type="spellEnd"/>
      <w:r>
        <w:rPr>
          <w:b/>
          <w:bCs/>
        </w:rPr>
        <w:t xml:space="preserve"> are on the Committee website at</w:t>
      </w:r>
      <w:hyperlink r:id="rId20" w:history="1">
        <w:r w:rsidR="004B72DA" w:rsidRPr="00672AFF">
          <w:rPr>
            <w:rStyle w:val="Hyperlink"/>
          </w:rPr>
          <w:t>https://www.parliament.act.gov.au/parliamentary-business/in-committees/committees/hcw/inquiries-into-annual-and-financial-reports-20192020-and-act-budget-20202021</w:t>
        </w:r>
      </w:hyperlink>
    </w:p>
    <w:p w14:paraId="3DBC1827" w14:textId="77777777" w:rsidR="004B72DA" w:rsidRDefault="004B72DA" w:rsidP="004B72DA"/>
    <w:p w14:paraId="773F4683" w14:textId="77777777" w:rsidR="001E057B" w:rsidRDefault="001E057B" w:rsidP="004B72DA">
      <w:pPr>
        <w:pStyle w:val="Headinglevel4"/>
      </w:pPr>
      <w:proofErr w:type="spellStart"/>
      <w:r>
        <w:t>QoNs</w:t>
      </w:r>
      <w:proofErr w:type="spellEnd"/>
      <w:r>
        <w:t xml:space="preserve"> </w:t>
      </w:r>
    </w:p>
    <w:p w14:paraId="51DDC4CE" w14:textId="6D2148CE" w:rsidR="006A4D77" w:rsidRDefault="006A4D77" w:rsidP="0033731F">
      <w:pPr>
        <w:pStyle w:val="BodyText1"/>
      </w:pPr>
      <w:r>
        <w:t>In addition</w:t>
      </w:r>
      <w:r w:rsidR="001E057B">
        <w:t xml:space="preserve"> to </w:t>
      </w:r>
      <w:proofErr w:type="spellStart"/>
      <w:r w:rsidR="001E057B">
        <w:t>QToNs</w:t>
      </w:r>
      <w:proofErr w:type="spellEnd"/>
      <w:r>
        <w:t xml:space="preserve">, questions on </w:t>
      </w:r>
      <w:r w:rsidR="006372D8">
        <w:t>notice</w:t>
      </w:r>
      <w:r w:rsidR="00D37A47">
        <w:t xml:space="preserve"> (</w:t>
      </w:r>
      <w:proofErr w:type="spellStart"/>
      <w:r w:rsidR="00D37A47">
        <w:t>QoNs</w:t>
      </w:r>
      <w:proofErr w:type="spellEnd"/>
      <w:r w:rsidR="00D37A47">
        <w:t>)</w:t>
      </w:r>
      <w:r w:rsidR="006372D8">
        <w:t xml:space="preserve"> were</w:t>
      </w:r>
      <w:r>
        <w:t xml:space="preserve"> submitted by members following hearings.</w:t>
      </w:r>
    </w:p>
    <w:p w14:paraId="5D9239E0" w14:textId="23EAF67F" w:rsidR="004B72DA" w:rsidRDefault="001E057B" w:rsidP="00D37A47">
      <w:pPr>
        <w:pStyle w:val="BodyText1"/>
      </w:pPr>
      <w:r>
        <w:rPr>
          <w:b/>
          <w:bCs/>
        </w:rPr>
        <w:t xml:space="preserve">A schedule of all QONs appears in Appendix D.  Answers to all </w:t>
      </w:r>
      <w:proofErr w:type="spellStart"/>
      <w:r>
        <w:rPr>
          <w:b/>
          <w:bCs/>
        </w:rPr>
        <w:t>QoNs</w:t>
      </w:r>
      <w:proofErr w:type="spellEnd"/>
      <w:r>
        <w:rPr>
          <w:b/>
          <w:bCs/>
        </w:rPr>
        <w:t xml:space="preserve"> are on the Committee website at</w:t>
      </w:r>
      <w:hyperlink r:id="rId21" w:history="1">
        <w:r w:rsidR="004B72DA" w:rsidRPr="00672AFF">
          <w:rPr>
            <w:rStyle w:val="Hyperlink"/>
          </w:rPr>
          <w:t>https://www.parliament.act.gov.au/parliamentary-business/in-committees/committees/hcw/inquiries-into-annual-and-financial-reports-20192020-and-act-budget-20202021</w:t>
        </w:r>
      </w:hyperlink>
    </w:p>
    <w:p w14:paraId="2896B9EA" w14:textId="521F2AFF" w:rsidR="001E057B" w:rsidRDefault="001E057B" w:rsidP="004B72DA">
      <w:pPr>
        <w:pStyle w:val="BodyText1"/>
        <w:numPr>
          <w:ilvl w:val="0"/>
          <w:numId w:val="0"/>
        </w:numPr>
      </w:pPr>
    </w:p>
    <w:p w14:paraId="43D3E448" w14:textId="1D1C6BB5" w:rsidR="006A4D77" w:rsidRDefault="006A4D77" w:rsidP="0033731F">
      <w:pPr>
        <w:pStyle w:val="BodyText1"/>
      </w:pPr>
      <w:r>
        <w:t xml:space="preserve">The Committee thanks </w:t>
      </w:r>
      <w:r w:rsidR="0026702D">
        <w:t>Ministers</w:t>
      </w:r>
      <w:r w:rsidR="00D966A0">
        <w:t xml:space="preserve"> and officials from</w:t>
      </w:r>
      <w:r w:rsidR="0026702D">
        <w:t xml:space="preserve"> </w:t>
      </w:r>
      <w:r w:rsidR="001F5282">
        <w:t>directorates,</w:t>
      </w:r>
      <w:r>
        <w:t xml:space="preserve"> and agencies for providing responses to its </w:t>
      </w:r>
      <w:r w:rsidR="0026702D">
        <w:t xml:space="preserve">these </w:t>
      </w:r>
      <w:r>
        <w:t xml:space="preserve">questions </w:t>
      </w:r>
      <w:r w:rsidR="0026702D">
        <w:t xml:space="preserve">  answers and material provided with answers provided </w:t>
      </w:r>
      <w:r>
        <w:t xml:space="preserve">the Committee </w:t>
      </w:r>
      <w:r w:rsidR="0026702D">
        <w:t xml:space="preserve">with a </w:t>
      </w:r>
      <w:r w:rsidR="001E057B">
        <w:t xml:space="preserve">more </w:t>
      </w:r>
      <w:r w:rsidR="002E1C34">
        <w:t>complete and up-to-date</w:t>
      </w:r>
      <w:r w:rsidR="0026702D">
        <w:t xml:space="preserve"> </w:t>
      </w:r>
      <w:r w:rsidR="001E057B">
        <w:t xml:space="preserve">view and understanding </w:t>
      </w:r>
      <w:r w:rsidR="0026702D">
        <w:t xml:space="preserve">of </w:t>
      </w:r>
      <w:r w:rsidR="001E057B">
        <w:t xml:space="preserve">the </w:t>
      </w:r>
      <w:r>
        <w:t xml:space="preserve">issues </w:t>
      </w:r>
      <w:r w:rsidR="001E057B">
        <w:t xml:space="preserve">arising from the reports and Budget statements considered by the Committee , and of a range of matters that arose </w:t>
      </w:r>
      <w:r w:rsidR="0026702D">
        <w:t xml:space="preserve"> </w:t>
      </w:r>
      <w:r>
        <w:t>during the inquiry.</w:t>
      </w:r>
    </w:p>
    <w:p w14:paraId="387AA84B" w14:textId="65B565CE" w:rsidR="000375C5" w:rsidRPr="005161A4" w:rsidRDefault="000375C5" w:rsidP="005161A4">
      <w:pPr>
        <w:pStyle w:val="Headinglevel3"/>
      </w:pPr>
      <w:r w:rsidRPr="005161A4">
        <w:t>Hansard Transcript of Hearings</w:t>
      </w:r>
    </w:p>
    <w:p w14:paraId="10300F43" w14:textId="14E437A9" w:rsidR="000375C5" w:rsidRDefault="000375C5" w:rsidP="0033731F">
      <w:pPr>
        <w:pStyle w:val="BodyText1"/>
      </w:pPr>
      <w:r>
        <w:t xml:space="preserve">The </w:t>
      </w:r>
      <w:r w:rsidR="006A4D77">
        <w:t xml:space="preserve">transcripts of </w:t>
      </w:r>
      <w:r>
        <w:t xml:space="preserve">the two </w:t>
      </w:r>
      <w:r w:rsidR="006A4D77">
        <w:t>public hearings are available on the Legislative Assembly website at:</w:t>
      </w:r>
      <w:r w:rsidR="006A4D77" w:rsidRPr="009E1310">
        <w:t xml:space="preserve"> </w:t>
      </w:r>
      <w:hyperlink r:id="rId22" w:history="1">
        <w:r w:rsidRPr="00457C46">
          <w:rPr>
            <w:rStyle w:val="Hyperlink"/>
          </w:rPr>
          <w:t>http://www.hansard.act.gov.au/hansard/2021/comms/hcw01.pdf</w:t>
        </w:r>
      </w:hyperlink>
      <w:r w:rsidR="0033731F">
        <w:t xml:space="preserve"> </w:t>
      </w:r>
      <w:r>
        <w:t>and</w:t>
      </w:r>
      <w:r w:rsidRPr="000375C5">
        <w:t xml:space="preserve"> </w:t>
      </w:r>
      <w:hyperlink r:id="rId23" w:history="1">
        <w:r w:rsidRPr="00457C46">
          <w:rPr>
            <w:rStyle w:val="Hyperlink"/>
          </w:rPr>
          <w:t>http://www.hansard.act.gov.au/hansard/2021/comms/hcw02.pdf</w:t>
        </w:r>
      </w:hyperlink>
    </w:p>
    <w:p w14:paraId="151029C1" w14:textId="2AF79D58" w:rsidR="006A4D77" w:rsidRDefault="00F1322A" w:rsidP="00A7108E">
      <w:pPr>
        <w:pStyle w:val="Headinglevel3"/>
      </w:pPr>
      <w:r>
        <w:t>Committee Report</w:t>
      </w:r>
    </w:p>
    <w:p w14:paraId="785BFF40" w14:textId="57CA498E" w:rsidR="00F1322A" w:rsidRPr="0033731F" w:rsidRDefault="00F1322A" w:rsidP="0033731F">
      <w:pPr>
        <w:pStyle w:val="BodyText1"/>
      </w:pPr>
      <w:r w:rsidRPr="0033731F">
        <w:t xml:space="preserve">The Committee’s report </w:t>
      </w:r>
      <w:r w:rsidR="009119D3" w:rsidRPr="0033731F">
        <w:t xml:space="preserve">takes a usual </w:t>
      </w:r>
      <w:r w:rsidRPr="0033731F">
        <w:t xml:space="preserve">form </w:t>
      </w:r>
      <w:r w:rsidR="009119D3" w:rsidRPr="0033731F">
        <w:t>for an Assembly report on the matters before the Committee in this inquiry, o</w:t>
      </w:r>
      <w:r w:rsidRPr="0033731F">
        <w:t xml:space="preserve">f an analysis and discussion of the matters </w:t>
      </w:r>
      <w:r w:rsidR="00A7108E" w:rsidRPr="0033731F">
        <w:t xml:space="preserve">subject of </w:t>
      </w:r>
      <w:r w:rsidR="009119D3" w:rsidRPr="0033731F">
        <w:t xml:space="preserve">inquiry and </w:t>
      </w:r>
      <w:r w:rsidR="00A7108E" w:rsidRPr="0033731F">
        <w:t xml:space="preserve">questioning in the public hearings on 26 </w:t>
      </w:r>
      <w:r w:rsidR="0099724B" w:rsidRPr="0033731F">
        <w:t>F</w:t>
      </w:r>
      <w:r w:rsidR="00A7108E" w:rsidRPr="0033731F">
        <w:t>ebruary and 3 March 2021</w:t>
      </w:r>
      <w:r w:rsidR="009119D3" w:rsidRPr="0033731F">
        <w:t>,</w:t>
      </w:r>
      <w:r w:rsidR="00A7108E" w:rsidRPr="0033731F">
        <w:t xml:space="preserve"> and as provided in answer to questions asked by Members.</w:t>
      </w:r>
    </w:p>
    <w:p w14:paraId="7B1C6288" w14:textId="6F24F6A0" w:rsidR="00A7108E" w:rsidRPr="0033731F" w:rsidRDefault="00A7108E" w:rsidP="0033731F">
      <w:pPr>
        <w:pStyle w:val="BodyText1"/>
      </w:pPr>
      <w:r w:rsidRPr="0033731F">
        <w:t>Each of the Portfol</w:t>
      </w:r>
      <w:r w:rsidR="0099724B" w:rsidRPr="0033731F">
        <w:t>io</w:t>
      </w:r>
      <w:r w:rsidRPr="0033731F">
        <w:t xml:space="preserve"> and Output area – as identified in annual reports and the Budget Papers issued for the Appropriations 2020-21</w:t>
      </w:r>
      <w:r w:rsidR="00C80BAA" w:rsidRPr="0033731F">
        <w:t xml:space="preserve"> and referred to the Committee</w:t>
      </w:r>
      <w:r w:rsidR="009119D3" w:rsidRPr="0033731F">
        <w:t xml:space="preserve"> - </w:t>
      </w:r>
      <w:r w:rsidRPr="0033731F">
        <w:t xml:space="preserve"> are the subject of a chapter of th</w:t>
      </w:r>
      <w:r w:rsidR="009119D3" w:rsidRPr="0033731F">
        <w:t>is</w:t>
      </w:r>
      <w:r w:rsidRPr="0033731F">
        <w:t xml:space="preserve"> Report.  </w:t>
      </w:r>
      <w:r w:rsidR="00C80BAA" w:rsidRPr="0033731F">
        <w:t>Any r</w:t>
      </w:r>
      <w:r w:rsidRPr="0033731F">
        <w:t xml:space="preserve">ecommendations </w:t>
      </w:r>
      <w:r w:rsidR="00C80BAA" w:rsidRPr="0033731F">
        <w:t xml:space="preserve">by the </w:t>
      </w:r>
      <w:r w:rsidRPr="0033731F">
        <w:t>Committee are</w:t>
      </w:r>
      <w:r w:rsidR="009119D3" w:rsidRPr="0033731F">
        <w:t xml:space="preserve"> shown</w:t>
      </w:r>
      <w:r w:rsidRPr="0033731F">
        <w:t xml:space="preserve"> at </w:t>
      </w:r>
      <w:r w:rsidR="00C80BAA" w:rsidRPr="0033731F">
        <w:t>the appropriate point in the Committee’s discussion.</w:t>
      </w:r>
    </w:p>
    <w:p w14:paraId="333AFA2A" w14:textId="4DCBBB77" w:rsidR="00A7108E" w:rsidRPr="0033731F" w:rsidRDefault="009119D3" w:rsidP="0033731F">
      <w:pPr>
        <w:pStyle w:val="BodyText1"/>
      </w:pPr>
      <w:r w:rsidRPr="0033731F">
        <w:t xml:space="preserve">In addition, </w:t>
      </w:r>
      <w:r w:rsidR="00C80BAA" w:rsidRPr="0033731F">
        <w:t>e</w:t>
      </w:r>
      <w:r w:rsidR="00A7108E" w:rsidRPr="0033731F">
        <w:t xml:space="preserve">ach chapter </w:t>
      </w:r>
      <w:r w:rsidR="00C80BAA" w:rsidRPr="0033731F">
        <w:t xml:space="preserve">provides an analysis </w:t>
      </w:r>
      <w:r w:rsidR="00A7108E" w:rsidRPr="0033731F">
        <w:t xml:space="preserve">of Questions asked in the </w:t>
      </w:r>
      <w:r w:rsidR="001F5282" w:rsidRPr="0033731F">
        <w:t>area</w:t>
      </w:r>
      <w:r w:rsidR="00A7108E" w:rsidRPr="0033731F">
        <w:t xml:space="preserve"> of activity covered by the</w:t>
      </w:r>
      <w:r w:rsidR="00DD75C5" w:rsidRPr="0033731F">
        <w:t xml:space="preserve"> </w:t>
      </w:r>
      <w:r w:rsidR="001F5282" w:rsidRPr="0033731F">
        <w:t>discussion and</w:t>
      </w:r>
      <w:r w:rsidR="00DD75C5" w:rsidRPr="0033731F">
        <w:t xml:space="preserve"> provide</w:t>
      </w:r>
      <w:r w:rsidRPr="0033731F">
        <w:t xml:space="preserve">s – where </w:t>
      </w:r>
      <w:r w:rsidR="00C80BAA" w:rsidRPr="0033731F">
        <w:t xml:space="preserve">the Committee considered </w:t>
      </w:r>
      <w:r w:rsidRPr="0033731F">
        <w:t xml:space="preserve">necessary - </w:t>
      </w:r>
      <w:r w:rsidR="00DD75C5" w:rsidRPr="0033731F">
        <w:t xml:space="preserve"> Committee observations and recommendations on matters</w:t>
      </w:r>
      <w:r w:rsidRPr="0033731F">
        <w:t xml:space="preserve"> dealt with in the report.</w:t>
      </w:r>
      <w:r w:rsidR="00A7108E" w:rsidRPr="0033731F">
        <w:t xml:space="preserve"> </w:t>
      </w:r>
    </w:p>
    <w:p w14:paraId="34A39BA6" w14:textId="51EF2185" w:rsidR="00A7108E" w:rsidRPr="0033731F" w:rsidRDefault="000375C5" w:rsidP="0033731F">
      <w:pPr>
        <w:pStyle w:val="BodyText1"/>
      </w:pPr>
      <w:r w:rsidRPr="0033731F">
        <w:t xml:space="preserve">The </w:t>
      </w:r>
      <w:r w:rsidR="00A7108E" w:rsidRPr="0033731F">
        <w:t>Chapters of the report are as follows</w:t>
      </w:r>
    </w:p>
    <w:p w14:paraId="7DC762A6" w14:textId="354D58B6" w:rsidR="00A7108E" w:rsidRDefault="0021670E" w:rsidP="000375C5">
      <w:pPr>
        <w:pStyle w:val="BodyText1"/>
        <w:numPr>
          <w:ilvl w:val="0"/>
          <w:numId w:val="0"/>
        </w:numPr>
        <w:spacing w:before="120" w:after="120"/>
        <w:ind w:left="567" w:hanging="113"/>
      </w:pPr>
      <w:r>
        <w:t>Chapter</w:t>
      </w:r>
      <w:r w:rsidR="00A7108E">
        <w:t xml:space="preserve"> 1 – Introduction</w:t>
      </w:r>
    </w:p>
    <w:p w14:paraId="328C837C" w14:textId="2D0F4531" w:rsidR="000375C5" w:rsidRDefault="00A7108E" w:rsidP="000375C5">
      <w:pPr>
        <w:pStyle w:val="BodyText1"/>
        <w:numPr>
          <w:ilvl w:val="0"/>
          <w:numId w:val="0"/>
        </w:numPr>
        <w:spacing w:before="120" w:after="120"/>
        <w:ind w:left="567" w:hanging="113"/>
      </w:pPr>
      <w:r>
        <w:t>Chapter 2</w:t>
      </w:r>
      <w:r w:rsidR="009119D3">
        <w:t xml:space="preserve"> </w:t>
      </w:r>
      <w:r w:rsidR="003276E0">
        <w:t xml:space="preserve"> - </w:t>
      </w:r>
      <w:r w:rsidR="000375C5">
        <w:t xml:space="preserve"> Examination of Annual Reports and Financial Statements and Appropriations Bills</w:t>
      </w:r>
      <w:r w:rsidR="003276E0">
        <w:t xml:space="preserve"> concurrently</w:t>
      </w:r>
    </w:p>
    <w:p w14:paraId="73F8693C" w14:textId="739BAB8C" w:rsidR="000375C5" w:rsidRDefault="000375C5" w:rsidP="000375C5">
      <w:pPr>
        <w:pStyle w:val="BodyText1"/>
        <w:numPr>
          <w:ilvl w:val="0"/>
          <w:numId w:val="0"/>
        </w:numPr>
        <w:spacing w:before="120" w:after="120"/>
        <w:ind w:left="567" w:hanging="113"/>
      </w:pPr>
      <w:r>
        <w:t xml:space="preserve">Chapter 3 </w:t>
      </w:r>
      <w:r w:rsidR="004E2A73">
        <w:t>–</w:t>
      </w:r>
      <w:r>
        <w:t xml:space="preserve"> </w:t>
      </w:r>
      <w:r w:rsidR="004E2A73">
        <w:t>Health and Canberra Health Services</w:t>
      </w:r>
    </w:p>
    <w:p w14:paraId="361119EA" w14:textId="0686ADAC" w:rsidR="004E2A73" w:rsidRDefault="004E2A73" w:rsidP="000375C5">
      <w:pPr>
        <w:pStyle w:val="BodyText1"/>
        <w:numPr>
          <w:ilvl w:val="0"/>
          <w:numId w:val="0"/>
        </w:numPr>
        <w:spacing w:before="120" w:after="120"/>
        <w:ind w:left="567" w:hanging="113"/>
      </w:pPr>
      <w:r>
        <w:t xml:space="preserve">Chapter 4 </w:t>
      </w:r>
      <w:r w:rsidR="00C80BAA">
        <w:t>–</w:t>
      </w:r>
      <w:r>
        <w:t xml:space="preserve"> </w:t>
      </w:r>
      <w:r w:rsidR="00C80BAA">
        <w:t>Families and Community Services</w:t>
      </w:r>
    </w:p>
    <w:p w14:paraId="77C140AD" w14:textId="41091336" w:rsidR="00C80BAA" w:rsidRDefault="00C80BAA" w:rsidP="000375C5">
      <w:pPr>
        <w:pStyle w:val="BodyText1"/>
        <w:numPr>
          <w:ilvl w:val="0"/>
          <w:numId w:val="0"/>
        </w:numPr>
        <w:spacing w:before="120" w:after="120"/>
        <w:ind w:left="567" w:hanging="113"/>
      </w:pPr>
      <w:r>
        <w:t>Chapter 5 – Justice Health and Mental Health</w:t>
      </w:r>
    </w:p>
    <w:p w14:paraId="1432DE27" w14:textId="49AAFEBD" w:rsidR="00C80BAA" w:rsidRDefault="00C80BAA" w:rsidP="000375C5">
      <w:pPr>
        <w:pStyle w:val="BodyText1"/>
        <w:numPr>
          <w:ilvl w:val="0"/>
          <w:numId w:val="0"/>
        </w:numPr>
        <w:spacing w:before="120" w:after="120"/>
        <w:ind w:left="567" w:hanging="113"/>
      </w:pPr>
      <w:r>
        <w:t>Chapter 6 – Housing and suburban Development</w:t>
      </w:r>
    </w:p>
    <w:p w14:paraId="3FFB799E" w14:textId="41D08DE8" w:rsidR="00C80BAA" w:rsidRDefault="00C80BAA" w:rsidP="000375C5">
      <w:pPr>
        <w:pStyle w:val="BodyText1"/>
        <w:numPr>
          <w:ilvl w:val="0"/>
          <w:numId w:val="0"/>
        </w:numPr>
        <w:spacing w:before="120" w:after="120"/>
        <w:ind w:left="567" w:hanging="113"/>
      </w:pPr>
      <w:r>
        <w:t>Chapter 7 – Prevention of Domestic and Family Violence</w:t>
      </w:r>
    </w:p>
    <w:p w14:paraId="78E0C9EE" w14:textId="2F653B26" w:rsidR="00C80BAA" w:rsidRDefault="00C80BAA" w:rsidP="000375C5">
      <w:pPr>
        <w:pStyle w:val="BodyText1"/>
        <w:numPr>
          <w:ilvl w:val="0"/>
          <w:numId w:val="0"/>
        </w:numPr>
        <w:spacing w:before="120" w:after="120"/>
        <w:ind w:left="567" w:hanging="113"/>
      </w:pPr>
      <w:r>
        <w:t>Chapter 8 – Homelessness and Housing Services</w:t>
      </w:r>
    </w:p>
    <w:p w14:paraId="599AE729" w14:textId="55E1D6CF" w:rsidR="00C80BAA" w:rsidRDefault="00C80BAA" w:rsidP="000375C5">
      <w:pPr>
        <w:pStyle w:val="BodyText1"/>
        <w:numPr>
          <w:ilvl w:val="0"/>
          <w:numId w:val="0"/>
        </w:numPr>
        <w:spacing w:before="120" w:after="120"/>
        <w:ind w:left="567" w:hanging="113"/>
      </w:pPr>
      <w:r>
        <w:t>Chapter 9 – Seniors, Veterans, Families and Community Services</w:t>
      </w:r>
    </w:p>
    <w:p w14:paraId="54BAD036" w14:textId="23288200" w:rsidR="00842335" w:rsidRDefault="00842335" w:rsidP="005161A4">
      <w:pPr>
        <w:pStyle w:val="Headinglevel3"/>
      </w:pPr>
      <w:r>
        <w:t>Acknowledgements</w:t>
      </w:r>
    </w:p>
    <w:p w14:paraId="1DD29577" w14:textId="01FD6B06" w:rsidR="00842335" w:rsidRDefault="00842335" w:rsidP="0033731F">
      <w:pPr>
        <w:pStyle w:val="BodyText1"/>
      </w:pPr>
      <w:r>
        <w:t xml:space="preserve">The Committee thanks </w:t>
      </w:r>
      <w:r w:rsidR="0021670E">
        <w:t xml:space="preserve">the five </w:t>
      </w:r>
      <w:r>
        <w:t xml:space="preserve">ACT Government Ministers and accompanying directorate and agency officers and statutory officers who assisted the Committee </w:t>
      </w:r>
      <w:r w:rsidR="001F5282">
        <w:t>during</w:t>
      </w:r>
      <w:r>
        <w:t xml:space="preserve"> its inquiry by appearing before it to give evidence and/or providing </w:t>
      </w:r>
      <w:r w:rsidR="009119D3">
        <w:t xml:space="preserve">considerable </w:t>
      </w:r>
      <w:r>
        <w:t>additional information</w:t>
      </w:r>
      <w:r w:rsidR="00F11330">
        <w:t xml:space="preserve"> in reply to </w:t>
      </w:r>
      <w:proofErr w:type="spellStart"/>
      <w:r w:rsidR="00F11330">
        <w:t>QToNs</w:t>
      </w:r>
      <w:proofErr w:type="spellEnd"/>
      <w:r w:rsidR="00F11330">
        <w:t xml:space="preserve"> and </w:t>
      </w:r>
      <w:proofErr w:type="spellStart"/>
      <w:r w:rsidR="00F11330">
        <w:t>QoNs</w:t>
      </w:r>
      <w:proofErr w:type="spellEnd"/>
      <w:r>
        <w:t>.</w:t>
      </w:r>
      <w:r w:rsidR="00260442">
        <w:t xml:space="preserve">          </w:t>
      </w:r>
    </w:p>
    <w:p w14:paraId="428201B6" w14:textId="77777777" w:rsidR="0021670E" w:rsidRDefault="0021670E" w:rsidP="008559E0">
      <w:pPr>
        <w:pStyle w:val="Quote"/>
        <w:ind w:left="567"/>
      </w:pPr>
    </w:p>
    <w:p w14:paraId="0C6B038C" w14:textId="5F31D071" w:rsidR="00842335" w:rsidRDefault="00D56ACE" w:rsidP="005415DE">
      <w:pPr>
        <w:pStyle w:val="Heading1"/>
        <w:numPr>
          <w:ilvl w:val="0"/>
          <w:numId w:val="19"/>
        </w:numPr>
      </w:pPr>
      <w:bookmarkStart w:id="44" w:name="_Toc68848971"/>
      <w:r>
        <w:t xml:space="preserve">Examination of Annual Reports </w:t>
      </w:r>
      <w:r w:rsidR="00A138B8">
        <w:t xml:space="preserve">and Appropriations </w:t>
      </w:r>
      <w:r w:rsidR="00A138B8" w:rsidRPr="00DE0060">
        <w:t>Bills</w:t>
      </w:r>
      <w:r w:rsidR="003276E0">
        <w:t xml:space="preserve"> concurrently</w:t>
      </w:r>
      <w:bookmarkEnd w:id="44"/>
    </w:p>
    <w:p w14:paraId="1ED94E1B" w14:textId="59B316F0" w:rsidR="00A138B8" w:rsidRPr="00A138B8" w:rsidRDefault="00A138B8" w:rsidP="00A138B8">
      <w:pPr>
        <w:pStyle w:val="Headinglevel3"/>
      </w:pPr>
      <w:r>
        <w:t>introduction</w:t>
      </w:r>
      <w:r w:rsidR="00B54B5C">
        <w:t xml:space="preserve"> </w:t>
      </w:r>
    </w:p>
    <w:p w14:paraId="688ABD1D" w14:textId="5FEAFC08" w:rsidR="008A3D24" w:rsidRDefault="00A138B8" w:rsidP="0033731F">
      <w:pPr>
        <w:pStyle w:val="BodyText1"/>
      </w:pPr>
      <w:r w:rsidRPr="0033731F">
        <w:t>This report from the Standing Committee (and from other standing committees of the Assembly</w:t>
      </w:r>
      <w:r w:rsidR="00D5727E">
        <w:t>)</w:t>
      </w:r>
      <w:r w:rsidRPr="0033731F">
        <w:t xml:space="preserve"> is a </w:t>
      </w:r>
      <w:r w:rsidR="00D5727E">
        <w:t>‘</w:t>
      </w:r>
      <w:r w:rsidRPr="0033731F">
        <w:t>first</w:t>
      </w:r>
      <w:r w:rsidR="00D5727E">
        <w:t>’</w:t>
      </w:r>
      <w:r w:rsidRPr="0033731F">
        <w:t xml:space="preserve"> for the ACT Assembly, which </w:t>
      </w:r>
      <w:r w:rsidR="008A3D24" w:rsidRPr="0033731F">
        <w:t>result</w:t>
      </w:r>
      <w:r w:rsidR="003276E0" w:rsidRPr="0033731F">
        <w:t xml:space="preserve">s from </w:t>
      </w:r>
      <w:r w:rsidR="008A3D24" w:rsidRPr="0033731F">
        <w:t xml:space="preserve">the </w:t>
      </w:r>
      <w:r w:rsidRPr="0033731F">
        <w:t xml:space="preserve">unprecedented </w:t>
      </w:r>
      <w:r w:rsidR="008A3D24" w:rsidRPr="0033731F">
        <w:t>governance and admi</w:t>
      </w:r>
      <w:r w:rsidR="0024748E" w:rsidRPr="0033731F">
        <w:t>ni</w:t>
      </w:r>
      <w:r w:rsidR="008A3D24" w:rsidRPr="0033731F">
        <w:t xml:space="preserve">stration imperatives placed on ACT </w:t>
      </w:r>
      <w:r w:rsidR="004D1E60" w:rsidRPr="0033731F">
        <w:t>Government -</w:t>
      </w:r>
      <w:r w:rsidR="008A3D24" w:rsidRPr="0033731F">
        <w:t xml:space="preserve"> as with other jurisdictions – by the </w:t>
      </w:r>
      <w:r w:rsidR="00B54B5C" w:rsidRPr="0033731F">
        <w:t xml:space="preserve">COVID-19 </w:t>
      </w:r>
      <w:r w:rsidR="008A3D24" w:rsidRPr="0033731F">
        <w:t>Coronavirus Pandemic which occurred in 2020.</w:t>
      </w:r>
    </w:p>
    <w:p w14:paraId="7746ECAB" w14:textId="2CA3405D" w:rsidR="0045155A" w:rsidRDefault="004B7723" w:rsidP="00DA0028">
      <w:pPr>
        <w:pStyle w:val="Quote"/>
        <w:ind w:left="567"/>
      </w:pPr>
      <w:r>
        <w:t>Notwithstanding</w:t>
      </w:r>
      <w:r w:rsidR="00B54B5C">
        <w:t xml:space="preserve"> the </w:t>
      </w:r>
      <w:r w:rsidR="00092615">
        <w:t>significantly</w:t>
      </w:r>
      <w:r w:rsidR="005F3C7B">
        <w:t xml:space="preserve"> different </w:t>
      </w:r>
      <w:r w:rsidR="00B54B5C">
        <w:t xml:space="preserve">circumstances </w:t>
      </w:r>
      <w:r w:rsidR="00EE261D">
        <w:t>fro</w:t>
      </w:r>
      <w:r w:rsidR="00260442">
        <w:t>m the</w:t>
      </w:r>
      <w:r w:rsidR="00EE261D">
        <w:t xml:space="preserve"> usual requirements </w:t>
      </w:r>
      <w:r w:rsidR="00092615">
        <w:t>prese</w:t>
      </w:r>
      <w:r w:rsidR="00B54B5C">
        <w:t>nted to the Assembly</w:t>
      </w:r>
      <w:r w:rsidR="00260442">
        <w:t>,</w:t>
      </w:r>
      <w:r w:rsidR="001F5282">
        <w:t xml:space="preserve"> a</w:t>
      </w:r>
      <w:r w:rsidR="005F3C7B">
        <w:t xml:space="preserve"> c</w:t>
      </w:r>
      <w:r w:rsidR="00EE261D">
        <w:t>entral c</w:t>
      </w:r>
      <w:r w:rsidR="005F3C7B">
        <w:t xml:space="preserve">ontinuing obligation </w:t>
      </w:r>
      <w:r w:rsidR="00092615">
        <w:t xml:space="preserve">remains </w:t>
      </w:r>
      <w:r w:rsidR="003276E0">
        <w:t xml:space="preserve">on </w:t>
      </w:r>
      <w:r w:rsidR="005F3C7B">
        <w:t>the Assembly and its committees</w:t>
      </w:r>
      <w:r w:rsidR="00092615">
        <w:t>:</w:t>
      </w:r>
      <w:r w:rsidR="005F3C7B">
        <w:t xml:space="preserve"> to oversee</w:t>
      </w:r>
      <w:r w:rsidR="00EE261D">
        <w:t xml:space="preserve"> </w:t>
      </w:r>
      <w:r w:rsidR="004D1E60">
        <w:t>and ensure</w:t>
      </w:r>
      <w:r w:rsidR="005F3C7B">
        <w:t xml:space="preserve"> </w:t>
      </w:r>
      <w:r w:rsidR="00EE261D">
        <w:t xml:space="preserve">an appropriate and desirable level of </w:t>
      </w:r>
      <w:r w:rsidR="005F3C7B">
        <w:t>a</w:t>
      </w:r>
      <w:r w:rsidR="00842335">
        <w:t xml:space="preserve">ccountability of the Executive to the Legislative Assembly and </w:t>
      </w:r>
      <w:r w:rsidR="0045155A">
        <w:t>the community</w:t>
      </w:r>
      <w:r w:rsidR="003276E0">
        <w:t xml:space="preserve"> for all activities and particularly the annual appropriations being </w:t>
      </w:r>
      <w:r w:rsidR="006A1C2D">
        <w:t>sought.</w:t>
      </w:r>
    </w:p>
    <w:p w14:paraId="14427864" w14:textId="77777777" w:rsidR="003276E0" w:rsidRDefault="003276E0" w:rsidP="00DA0028">
      <w:pPr>
        <w:pStyle w:val="Quote"/>
        <w:ind w:left="567"/>
      </w:pPr>
      <w:r>
        <w:t>The Standing Committee does note, however, that this referral process is quite unusual as appropriations fall outside the conventional and required period of coverage, and annual reports largely cover a period ending 30 June 2020 in which almost six months was affected by an element of suspension due to COVID-19.</w:t>
      </w:r>
    </w:p>
    <w:p w14:paraId="7041ED4D" w14:textId="599DABD8" w:rsidR="003276E0" w:rsidRDefault="003276E0" w:rsidP="009020E8">
      <w:pPr>
        <w:pStyle w:val="Quote"/>
        <w:ind w:left="567"/>
      </w:pPr>
      <w:r>
        <w:t xml:space="preserve">Accordingly, the committee’s examination proceeded as a concurrent examination of both areas of Executive activity subject to advice and answers which reflected a period of uncertainty. </w:t>
      </w:r>
    </w:p>
    <w:p w14:paraId="3916A1EF" w14:textId="0A13EA6A" w:rsidR="00B54B5C" w:rsidRDefault="00842335" w:rsidP="005161A4">
      <w:pPr>
        <w:pStyle w:val="Headinglevel3"/>
      </w:pPr>
      <w:r>
        <w:t>Reportin</w:t>
      </w:r>
      <w:r w:rsidR="00A138B8">
        <w:t>g Arrangements</w:t>
      </w:r>
      <w:r w:rsidR="00B54B5C">
        <w:t xml:space="preserve"> – Annual Reports 2019-</w:t>
      </w:r>
      <w:r w:rsidR="00ED0C3A">
        <w:t>20</w:t>
      </w:r>
    </w:p>
    <w:p w14:paraId="794DCEAB" w14:textId="71058517" w:rsidR="00842335" w:rsidRDefault="00842335" w:rsidP="0033731F">
      <w:pPr>
        <w:pStyle w:val="BodyText1"/>
      </w:pPr>
      <w:r>
        <w:t xml:space="preserve">Annual and financial reports are prepared by all </w:t>
      </w:r>
      <w:r w:rsidR="00692264">
        <w:t xml:space="preserve">ACT Government </w:t>
      </w:r>
      <w:r>
        <w:t>reporting entities in accordance with the</w:t>
      </w:r>
      <w:r w:rsidR="00733F30">
        <w:t xml:space="preserve"> following legislation:</w:t>
      </w:r>
    </w:p>
    <w:p w14:paraId="02D3A378" w14:textId="282EFDA1" w:rsidR="00733F30" w:rsidRDefault="00733F30" w:rsidP="00842335">
      <w:pPr>
        <w:pStyle w:val="Quote"/>
      </w:pPr>
      <w:r w:rsidRPr="006B3691">
        <w:t>Annual Reports (Government Agencies) Act 2004</w:t>
      </w:r>
      <w:r w:rsidR="00EE185F">
        <w:t xml:space="preserve"> (AR Act)</w:t>
      </w:r>
    </w:p>
    <w:p w14:paraId="0426504E" w14:textId="500E4156" w:rsidR="00733F30" w:rsidRDefault="00733F30" w:rsidP="00842335">
      <w:pPr>
        <w:pStyle w:val="Quote"/>
      </w:pPr>
      <w:r w:rsidRPr="00C6176B">
        <w:t>Annual Report Direction</w:t>
      </w:r>
    </w:p>
    <w:p w14:paraId="4DED5AE8" w14:textId="05EF9BB8" w:rsidR="00733F30" w:rsidRDefault="00733F30" w:rsidP="00842335">
      <w:pPr>
        <w:pStyle w:val="Quote"/>
      </w:pPr>
      <w:r w:rsidRPr="006B3691">
        <w:t>Financial Management Act 1996</w:t>
      </w:r>
    </w:p>
    <w:p w14:paraId="0C81F733" w14:textId="77777777" w:rsidR="00ED0C3A" w:rsidRDefault="00ED0C3A" w:rsidP="00842335">
      <w:pPr>
        <w:pStyle w:val="FootnoteText"/>
        <w:rPr>
          <w:iCs/>
        </w:rPr>
      </w:pPr>
      <w:r>
        <w:rPr>
          <w:iCs/>
        </w:rPr>
        <w:t xml:space="preserve"> </w:t>
      </w:r>
    </w:p>
    <w:p w14:paraId="387D23F6" w14:textId="2D18265B" w:rsidR="00733F30" w:rsidRPr="00ED0C3A" w:rsidRDefault="00ED0C3A" w:rsidP="00842335">
      <w:pPr>
        <w:pStyle w:val="FootnoteText"/>
        <w:rPr>
          <w:iCs/>
        </w:rPr>
      </w:pPr>
      <w:r>
        <w:rPr>
          <w:iCs/>
        </w:rPr>
        <w:t xml:space="preserve">Details and links to Annual Reports for all ACT </w:t>
      </w:r>
      <w:r w:rsidR="00754287">
        <w:rPr>
          <w:iCs/>
        </w:rPr>
        <w:t>entities</w:t>
      </w:r>
      <w:r>
        <w:rPr>
          <w:iCs/>
        </w:rPr>
        <w:t xml:space="preserve"> required to prepare and publish reports are at </w:t>
      </w:r>
    </w:p>
    <w:p w14:paraId="1D1236D4" w14:textId="12EB6B99" w:rsidR="00F652F7" w:rsidRPr="00ED0C3A" w:rsidRDefault="00486EA0" w:rsidP="00842335">
      <w:pPr>
        <w:pStyle w:val="FootnoteText"/>
        <w:rPr>
          <w:iCs/>
        </w:rPr>
      </w:pPr>
      <w:hyperlink r:id="rId24" w:history="1">
        <w:r w:rsidR="00ED0C3A" w:rsidRPr="00ED0C3A">
          <w:rPr>
            <w:rStyle w:val="Hyperlink"/>
            <w:iCs/>
          </w:rPr>
          <w:t>https://www.cmtedd.act.gov.au/open_government/report/annual_reports</w:t>
        </w:r>
      </w:hyperlink>
    </w:p>
    <w:p w14:paraId="2E67954E" w14:textId="77777777" w:rsidR="00ED0C3A" w:rsidRPr="00ED0C3A" w:rsidRDefault="00ED0C3A" w:rsidP="00842335">
      <w:pPr>
        <w:pStyle w:val="FootnoteText"/>
        <w:rPr>
          <w:iCs/>
        </w:rPr>
      </w:pPr>
    </w:p>
    <w:p w14:paraId="7107B703" w14:textId="5D63884B" w:rsidR="006A0285" w:rsidRDefault="006A0285" w:rsidP="0033731F">
      <w:pPr>
        <w:pStyle w:val="BodyText1"/>
      </w:pPr>
      <w:r>
        <w:t xml:space="preserve">The Annual Report </w:t>
      </w:r>
      <w:r w:rsidR="00754287">
        <w:t>directions</w:t>
      </w:r>
      <w:r>
        <w:t xml:space="preserve"> setting out arrangements for 2019-20 annual reports for 2019-20 were:</w:t>
      </w:r>
    </w:p>
    <w:p w14:paraId="37AA8A67" w14:textId="1CEA5CAE" w:rsidR="006A0285" w:rsidRDefault="006A0285" w:rsidP="003C335A">
      <w:pPr>
        <w:pStyle w:val="Quote"/>
        <w:ind w:left="1440"/>
      </w:pPr>
      <w:r>
        <w:t>The Annual Reports Act contains specific provisions about tabling and presenting annual reports in an election year. If the 15-week period coincides with all or part of the pre</w:t>
      </w:r>
      <w:r w:rsidR="002E1AC1">
        <w:t>-</w:t>
      </w:r>
      <w:r>
        <w:t>election period for a general election of members of the Assembly, the responsible minister must present the report to the Legislative Assembly on the second sitting day after the election is held. For the 2019-20 reporting period, the 15-week period will coincide with the pre-election period, which commences on 11 September 2020 and ends when the result of the election is declared.</w:t>
      </w:r>
    </w:p>
    <w:p w14:paraId="64A29FB9" w14:textId="52F192D2" w:rsidR="00D40CFD" w:rsidRDefault="00D40CFD" w:rsidP="003C335A">
      <w:pPr>
        <w:pStyle w:val="Quote"/>
        <w:ind w:left="1440"/>
      </w:pPr>
      <w:r>
        <w:t>As matters eventuated, annual reports considered by Standing Committees were tabled in the Assembly on 9 February 2021</w:t>
      </w:r>
      <w:r w:rsidR="003276E0">
        <w:t>.</w:t>
      </w:r>
    </w:p>
    <w:p w14:paraId="3F46E592" w14:textId="4AE35480" w:rsidR="00D40CFD" w:rsidRPr="00D40CFD" w:rsidRDefault="00D40CFD" w:rsidP="005161A4">
      <w:pPr>
        <w:pStyle w:val="Headinglevel3"/>
      </w:pPr>
      <w:r w:rsidRPr="00D40CFD">
        <w:t>Appropriations</w:t>
      </w:r>
      <w:r w:rsidR="003276E0">
        <w:t xml:space="preserve"> Bills</w:t>
      </w:r>
      <w:r w:rsidRPr="00D40CFD">
        <w:t xml:space="preserve"> – 2020-21</w:t>
      </w:r>
    </w:p>
    <w:p w14:paraId="09965C96" w14:textId="53FFD39E" w:rsidR="009E768D" w:rsidRPr="00DC6537" w:rsidRDefault="009E768D" w:rsidP="003276E0">
      <w:pPr>
        <w:spacing w:before="120"/>
      </w:pPr>
      <w:r w:rsidRPr="001F5282">
        <w:rPr>
          <w:b/>
          <w:bCs/>
        </w:rPr>
        <w:t xml:space="preserve">Appropriation Bills for 2020-21 </w:t>
      </w:r>
      <w:r>
        <w:t xml:space="preserve">were presented </w:t>
      </w:r>
      <w:r w:rsidR="00983494">
        <w:t xml:space="preserve">by </w:t>
      </w:r>
      <w:r>
        <w:t>the Treasurer</w:t>
      </w:r>
      <w:r w:rsidR="00983494">
        <w:t xml:space="preserve"> </w:t>
      </w:r>
      <w:r w:rsidR="007A2EC0">
        <w:t>t</w:t>
      </w:r>
      <w:r>
        <w:t>o appropriate money for the purposes of the Territory for the financial year beginning 1 July 2020, and other purposes on 9 February 2021</w:t>
      </w:r>
      <w:r>
        <w:rPr>
          <w:rStyle w:val="FootnoteReference"/>
        </w:rPr>
        <w:footnoteReference w:id="9"/>
      </w:r>
      <w:r w:rsidRPr="00DC6537">
        <w:t>.</w:t>
      </w:r>
    </w:p>
    <w:p w14:paraId="686A95EB" w14:textId="1ABC50F3" w:rsidR="009E768D" w:rsidRDefault="009E768D" w:rsidP="003276E0">
      <w:pPr>
        <w:spacing w:before="120"/>
      </w:pPr>
      <w:r w:rsidRPr="009E768D">
        <w:rPr>
          <w:iCs/>
        </w:rPr>
        <w:t>With the Bill</w:t>
      </w:r>
      <w:r w:rsidR="001F5282">
        <w:rPr>
          <w:iCs/>
        </w:rPr>
        <w:t>s</w:t>
      </w:r>
      <w:r w:rsidRPr="009E768D">
        <w:rPr>
          <w:iCs/>
        </w:rPr>
        <w:t>, the Treasure</w:t>
      </w:r>
      <w:r>
        <w:rPr>
          <w:iCs/>
        </w:rPr>
        <w:t>r</w:t>
      </w:r>
      <w:r>
        <w:rPr>
          <w:i/>
        </w:rPr>
        <w:t xml:space="preserve"> </w:t>
      </w:r>
      <w:r w:rsidRPr="009E768D">
        <w:rPr>
          <w:iCs/>
        </w:rPr>
        <w:t>(inter al</w:t>
      </w:r>
      <w:r>
        <w:rPr>
          <w:iCs/>
        </w:rPr>
        <w:t>ia</w:t>
      </w:r>
      <w:r w:rsidRPr="009E768D">
        <w:rPr>
          <w:iCs/>
        </w:rPr>
        <w:t>)</w:t>
      </w:r>
      <w:r w:rsidR="006919F7">
        <w:rPr>
          <w:iCs/>
        </w:rPr>
        <w:t xml:space="preserve"> </w:t>
      </w:r>
      <w:r w:rsidRPr="00DC6537">
        <w:t xml:space="preserve">presented </w:t>
      </w:r>
      <w:r>
        <w:t>the following papers:</w:t>
      </w:r>
    </w:p>
    <w:p w14:paraId="072C5F54" w14:textId="7B20407D" w:rsidR="009E768D" w:rsidRPr="006B5DE7" w:rsidRDefault="009E768D" w:rsidP="003276E0">
      <w:pPr>
        <w:pStyle w:val="DPSEntryDetailIndentLev2"/>
        <w:ind w:left="288"/>
      </w:pPr>
      <w:r>
        <w:t>Budget Statement C—ACT Health Directorate | Canberra Health Services | ACT Local Hospital Network.</w:t>
      </w:r>
      <w:r w:rsidR="00437547">
        <w:rPr>
          <w:rStyle w:val="FootnoteReference"/>
        </w:rPr>
        <w:footnoteReference w:id="10"/>
      </w:r>
    </w:p>
    <w:p w14:paraId="0C8A6B26" w14:textId="5A40FF53" w:rsidR="009E768D" w:rsidRPr="006B5DE7" w:rsidRDefault="009E768D" w:rsidP="003276E0">
      <w:pPr>
        <w:pStyle w:val="DPSEntryDetailIndentLev2"/>
        <w:ind w:left="288"/>
      </w:pPr>
      <w:r>
        <w:t>Budget Sta</w:t>
      </w:r>
      <w:r w:rsidR="00643BA0">
        <w:t>t</w:t>
      </w:r>
      <w:r>
        <w:t>ement G—Community Services Directorate | Housing ACT</w:t>
      </w:r>
      <w:r w:rsidR="00643BA0">
        <w:rPr>
          <w:rStyle w:val="FootnoteReference"/>
        </w:rPr>
        <w:footnoteReference w:id="11"/>
      </w:r>
      <w:r>
        <w:t>.</w:t>
      </w:r>
    </w:p>
    <w:p w14:paraId="500ECAC3" w14:textId="77777777" w:rsidR="00B139CB" w:rsidRDefault="00B139CB" w:rsidP="00D40CFD">
      <w:pPr>
        <w:pStyle w:val="Quote"/>
        <w:ind w:left="0"/>
      </w:pPr>
    </w:p>
    <w:p w14:paraId="735D2382" w14:textId="634B1F26" w:rsidR="00D40CFD" w:rsidRDefault="00B139CB" w:rsidP="0033731F">
      <w:pPr>
        <w:pStyle w:val="BodyText1"/>
      </w:pPr>
      <w:r>
        <w:t>In the Committee’s report, references are accordingly made to Budget Statement C and Budget Statement G.</w:t>
      </w:r>
    </w:p>
    <w:p w14:paraId="309535A1" w14:textId="581E7528" w:rsidR="009E768D" w:rsidRDefault="009E768D" w:rsidP="009E768D">
      <w:pPr>
        <w:pStyle w:val="Quote"/>
        <w:ind w:left="0" w:firstLine="567"/>
      </w:pPr>
      <w:r>
        <w:t>The Committee has considered and inquired into matters raised by th</w:t>
      </w:r>
      <w:r w:rsidR="00A97BEF">
        <w:t>e</w:t>
      </w:r>
      <w:r>
        <w:t xml:space="preserve"> Appropriation Bill and </w:t>
      </w:r>
      <w:r w:rsidR="00983494">
        <w:t xml:space="preserve">specifically </w:t>
      </w:r>
      <w:r>
        <w:t xml:space="preserve">by Budget Statements C and </w:t>
      </w:r>
      <w:proofErr w:type="spellStart"/>
      <w:r>
        <w:t>G as</w:t>
      </w:r>
      <w:proofErr w:type="spellEnd"/>
      <w:r>
        <w:t xml:space="preserve"> matters covered by the Committee’s obligation </w:t>
      </w:r>
      <w:r w:rsidR="001F5282">
        <w:t>to undertake s</w:t>
      </w:r>
      <w:r w:rsidR="00983494">
        <w:t xml:space="preserve">uch scrutiny </w:t>
      </w:r>
      <w:r>
        <w:t>pursuant to the resolution of Appointment of Committees.</w:t>
      </w:r>
    </w:p>
    <w:p w14:paraId="23817133" w14:textId="3115EC5E" w:rsidR="007A2EC0" w:rsidRDefault="007A2EC0" w:rsidP="009E768D">
      <w:pPr>
        <w:pStyle w:val="Quote"/>
        <w:ind w:left="0" w:firstLine="567"/>
      </w:pPr>
      <w:r>
        <w:t>The Committee notes that these appropriations, while for Financial Year 2020-21, were not presented in the usual manner for ACT financial management due to the COVID-19 emergency arrangements and the 2020 general election in October 2020.</w:t>
      </w:r>
    </w:p>
    <w:p w14:paraId="65E7CF58" w14:textId="19456F9B" w:rsidR="009E768D" w:rsidRDefault="009E768D" w:rsidP="009E768D">
      <w:pPr>
        <w:pStyle w:val="Quote"/>
        <w:ind w:left="0" w:firstLine="567"/>
      </w:pPr>
    </w:p>
    <w:p w14:paraId="764FE48A" w14:textId="390DD7E9" w:rsidR="00842335" w:rsidRDefault="009657EF" w:rsidP="005415DE">
      <w:pPr>
        <w:pStyle w:val="Heading1"/>
        <w:numPr>
          <w:ilvl w:val="0"/>
          <w:numId w:val="19"/>
        </w:numPr>
      </w:pPr>
      <w:bookmarkStart w:id="45" w:name="_Toc68848972"/>
      <w:r>
        <w:t xml:space="preserve">ACT </w:t>
      </w:r>
      <w:r w:rsidR="00117F47">
        <w:t>Health and Canberra Health Services</w:t>
      </w:r>
      <w:bookmarkEnd w:id="45"/>
    </w:p>
    <w:p w14:paraId="6320E9D2" w14:textId="3F5D8869" w:rsidR="0084284E" w:rsidRPr="0084284E" w:rsidRDefault="0084284E" w:rsidP="005161A4">
      <w:pPr>
        <w:pStyle w:val="Headinglevel3"/>
      </w:pPr>
      <w:r>
        <w:t>Introduction</w:t>
      </w:r>
    </w:p>
    <w:p w14:paraId="1B72BCE5" w14:textId="41CBAA37" w:rsidR="009657EF" w:rsidRDefault="009657EF" w:rsidP="009657EF">
      <w:pPr>
        <w:pStyle w:val="BodyText1"/>
      </w:pPr>
      <w:r>
        <w:t xml:space="preserve">Budget Paper C </w:t>
      </w:r>
      <w:r w:rsidR="00B139CB">
        <w:t>states</w:t>
      </w:r>
      <w:r w:rsidR="00F178A7">
        <w:t xml:space="preserve"> and overall picture for ACT health responsibilities as provided in annual repo</w:t>
      </w:r>
      <w:r w:rsidR="002E1C34">
        <w:t>r</w:t>
      </w:r>
      <w:r w:rsidR="00F178A7">
        <w:t>ts and Budget documents</w:t>
      </w:r>
      <w:r w:rsidR="00B139CB">
        <w:t xml:space="preserve"> that:</w:t>
      </w:r>
    </w:p>
    <w:p w14:paraId="6C0AA5D1" w14:textId="6CDFE5E5" w:rsidR="00B139CB" w:rsidRPr="00464E4D" w:rsidRDefault="00B139CB" w:rsidP="00464E4D">
      <w:pPr>
        <w:pStyle w:val="BodyText1"/>
      </w:pPr>
      <w:r w:rsidRPr="00464E4D">
        <w:t>The Directorate’s key functions are:</w:t>
      </w:r>
    </w:p>
    <w:p w14:paraId="6F883052" w14:textId="27C7DA2E" w:rsidR="00B139CB" w:rsidRDefault="00B139CB" w:rsidP="00665195">
      <w:pPr>
        <w:pStyle w:val="Bodytextnonumbering"/>
        <w:numPr>
          <w:ilvl w:val="0"/>
          <w:numId w:val="39"/>
        </w:numPr>
        <w:rPr>
          <w:bdr w:val="nil"/>
        </w:rPr>
      </w:pPr>
      <w:r>
        <w:rPr>
          <w:bdr w:val="nil"/>
        </w:rPr>
        <w:t xml:space="preserve">providing strategic leadership, policy advice, and oversight of the public health </w:t>
      </w:r>
      <w:r w:rsidR="002E1AC1">
        <w:rPr>
          <w:bdr w:val="nil"/>
        </w:rPr>
        <w:t>system.</w:t>
      </w:r>
    </w:p>
    <w:p w14:paraId="56B29B1F" w14:textId="4BF96F75" w:rsidR="00B139CB" w:rsidRDefault="00B139CB" w:rsidP="00665195">
      <w:pPr>
        <w:pStyle w:val="Bodytextnonumbering"/>
        <w:numPr>
          <w:ilvl w:val="0"/>
          <w:numId w:val="39"/>
        </w:numPr>
        <w:rPr>
          <w:bdr w:val="nil"/>
        </w:rPr>
      </w:pPr>
      <w:r>
        <w:rPr>
          <w:bdr w:val="nil"/>
        </w:rPr>
        <w:t xml:space="preserve">leading engagement and negotiation with other jurisdictions on health funding agreements and national policy </w:t>
      </w:r>
      <w:r w:rsidR="002E1AC1">
        <w:rPr>
          <w:bdr w:val="nil"/>
        </w:rPr>
        <w:t>initiatives.</w:t>
      </w:r>
    </w:p>
    <w:p w14:paraId="1CF5CC4E" w14:textId="64735A10" w:rsidR="00B139CB" w:rsidRDefault="00B139CB" w:rsidP="00665195">
      <w:pPr>
        <w:pStyle w:val="Bodytextnonumbering"/>
        <w:numPr>
          <w:ilvl w:val="0"/>
          <w:numId w:val="39"/>
        </w:numPr>
        <w:rPr>
          <w:bdr w:val="nil"/>
        </w:rPr>
      </w:pPr>
      <w:r>
        <w:rPr>
          <w:bdr w:val="nil"/>
        </w:rPr>
        <w:t xml:space="preserve">administering the ACT Government’s legislative program on health </w:t>
      </w:r>
      <w:r w:rsidR="002E1AC1">
        <w:rPr>
          <w:bdr w:val="nil"/>
        </w:rPr>
        <w:t>matters.</w:t>
      </w:r>
    </w:p>
    <w:p w14:paraId="1CAB9039" w14:textId="61F07B1F" w:rsidR="00B139CB" w:rsidRDefault="00B139CB" w:rsidP="00665195">
      <w:pPr>
        <w:pStyle w:val="Bodytextnonumbering"/>
        <w:numPr>
          <w:ilvl w:val="0"/>
          <w:numId w:val="39"/>
        </w:numPr>
        <w:rPr>
          <w:bdr w:val="nil"/>
        </w:rPr>
      </w:pPr>
      <w:r>
        <w:rPr>
          <w:bdr w:val="nil"/>
        </w:rPr>
        <w:t xml:space="preserve">engaging with the Directorate’s partners and stakeholders to ensure health outcomes and impacts are considered in whole-of-government policy and health services </w:t>
      </w:r>
      <w:r w:rsidR="002E1AC1">
        <w:rPr>
          <w:bdr w:val="nil"/>
        </w:rPr>
        <w:t>planning.</w:t>
      </w:r>
    </w:p>
    <w:p w14:paraId="7CC8A3E9" w14:textId="4B506448" w:rsidR="00B139CB" w:rsidRDefault="00B139CB" w:rsidP="00665195">
      <w:pPr>
        <w:pStyle w:val="Bodytextnonumbering"/>
        <w:numPr>
          <w:ilvl w:val="0"/>
          <w:numId w:val="39"/>
        </w:numPr>
        <w:rPr>
          <w:bdr w:val="nil"/>
        </w:rPr>
      </w:pPr>
      <w:r>
        <w:rPr>
          <w:bdr w:val="nil"/>
        </w:rPr>
        <w:t xml:space="preserve">supporting and enabling clinical excellence, safe high-quality care, and research across the public health </w:t>
      </w:r>
      <w:r w:rsidR="002E1AC1">
        <w:rPr>
          <w:bdr w:val="nil"/>
        </w:rPr>
        <w:t>system.</w:t>
      </w:r>
    </w:p>
    <w:p w14:paraId="38450D3E" w14:textId="729D05D1" w:rsidR="00B139CB" w:rsidRDefault="00B139CB" w:rsidP="00665195">
      <w:pPr>
        <w:pStyle w:val="Bodytextnonumbering"/>
        <w:numPr>
          <w:ilvl w:val="0"/>
          <w:numId w:val="39"/>
        </w:numPr>
        <w:rPr>
          <w:bdr w:val="nil"/>
        </w:rPr>
      </w:pPr>
      <w:r>
        <w:rPr>
          <w:bdr w:val="nil"/>
        </w:rPr>
        <w:t xml:space="preserve">delivering a range of health prevention, promotion, and protection </w:t>
      </w:r>
      <w:r w:rsidR="002E1AC1">
        <w:rPr>
          <w:bdr w:val="nil"/>
        </w:rPr>
        <w:t>services.</w:t>
      </w:r>
    </w:p>
    <w:p w14:paraId="4C19D711" w14:textId="2F0D2BE1" w:rsidR="00B139CB" w:rsidRDefault="00B139CB" w:rsidP="00665195">
      <w:pPr>
        <w:pStyle w:val="Bodytextnonumbering"/>
        <w:numPr>
          <w:ilvl w:val="0"/>
          <w:numId w:val="39"/>
        </w:numPr>
        <w:rPr>
          <w:bdr w:val="nil"/>
        </w:rPr>
      </w:pPr>
      <w:r>
        <w:rPr>
          <w:bdr w:val="nil"/>
        </w:rPr>
        <w:t xml:space="preserve">implementing innovative digital technologies across the public health system and supporting Information and Communication Technology (ICT) solutions that enable person-centred care and making it easier for clinicians to do their </w:t>
      </w:r>
      <w:r w:rsidR="002E1AC1">
        <w:rPr>
          <w:bdr w:val="nil"/>
        </w:rPr>
        <w:t>work.</w:t>
      </w:r>
    </w:p>
    <w:p w14:paraId="165C9553" w14:textId="5641E700" w:rsidR="00B139CB" w:rsidRDefault="00B139CB" w:rsidP="00665195">
      <w:pPr>
        <w:pStyle w:val="Bodytextnonumbering"/>
        <w:numPr>
          <w:ilvl w:val="0"/>
          <w:numId w:val="39"/>
        </w:numPr>
        <w:rPr>
          <w:bdr w:val="nil"/>
        </w:rPr>
      </w:pPr>
      <w:r>
        <w:rPr>
          <w:bdr w:val="nil"/>
        </w:rPr>
        <w:t xml:space="preserve">conducting public health system planning and evaluation for sustainable services, workforce and infrastructure that supports effective resource allocation, innovation, and safe high-quality </w:t>
      </w:r>
      <w:r w:rsidR="002E1AC1">
        <w:rPr>
          <w:bdr w:val="nil"/>
        </w:rPr>
        <w:t>care.</w:t>
      </w:r>
    </w:p>
    <w:p w14:paraId="78D94513" w14:textId="77777777" w:rsidR="00B139CB" w:rsidRDefault="00B139CB" w:rsidP="00665195">
      <w:pPr>
        <w:pStyle w:val="Bodytextnonumbering"/>
        <w:numPr>
          <w:ilvl w:val="0"/>
          <w:numId w:val="39"/>
        </w:numPr>
        <w:rPr>
          <w:bdr w:val="nil"/>
        </w:rPr>
      </w:pPr>
      <w:r>
        <w:rPr>
          <w:bdr w:val="nil"/>
        </w:rPr>
        <w:t>commissioning value-based care that improves health outcomes; and</w:t>
      </w:r>
    </w:p>
    <w:p w14:paraId="47CF06FC" w14:textId="1CE6DBBF" w:rsidR="00B139CB" w:rsidRDefault="00B139CB" w:rsidP="00665195">
      <w:pPr>
        <w:pStyle w:val="Quote"/>
        <w:numPr>
          <w:ilvl w:val="0"/>
          <w:numId w:val="39"/>
        </w:numPr>
        <w:rPr>
          <w:bdr w:val="nil"/>
        </w:rPr>
      </w:pPr>
      <w:r>
        <w:rPr>
          <w:bdr w:val="nil"/>
        </w:rPr>
        <w:t>monitoring and evaluating public health system performance to ensure it meets community expectations and performance criteria.</w:t>
      </w:r>
      <w:r>
        <w:rPr>
          <w:rStyle w:val="FootnoteReference"/>
          <w:bdr w:val="nil"/>
        </w:rPr>
        <w:footnoteReference w:id="12"/>
      </w:r>
    </w:p>
    <w:p w14:paraId="5F88E947" w14:textId="0C44C73E" w:rsidR="0084284E" w:rsidRDefault="0084284E" w:rsidP="005161A4">
      <w:pPr>
        <w:pStyle w:val="Headinglevel3"/>
        <w:rPr>
          <w:bdr w:val="nil"/>
        </w:rPr>
      </w:pPr>
      <w:r>
        <w:rPr>
          <w:bdr w:val="nil"/>
        </w:rPr>
        <w:t>Matters discussed at hearing</w:t>
      </w:r>
    </w:p>
    <w:p w14:paraId="7E7C1D57" w14:textId="5A6B2210" w:rsidR="0084284E" w:rsidRPr="00464E4D" w:rsidRDefault="0084284E" w:rsidP="00464E4D">
      <w:pPr>
        <w:pStyle w:val="BodyText1"/>
      </w:pPr>
      <w:r w:rsidRPr="00464E4D">
        <w:t>The Committee heard evidence from the Minister for Health and from Healt</w:t>
      </w:r>
      <w:r w:rsidR="00F53A1A" w:rsidRPr="00464E4D">
        <w:t xml:space="preserve">h and </w:t>
      </w:r>
      <w:r w:rsidRPr="00464E4D">
        <w:t>Directorate officials on the f</w:t>
      </w:r>
      <w:r w:rsidR="00983494" w:rsidRPr="00464E4D">
        <w:t>o</w:t>
      </w:r>
      <w:r w:rsidRPr="00464E4D">
        <w:t>llowing matters on 26 February 2021:</w:t>
      </w:r>
    </w:p>
    <w:p w14:paraId="27479575" w14:textId="2970F4CD" w:rsidR="0084284E" w:rsidRDefault="00F53A1A" w:rsidP="00AF16A7">
      <w:pPr>
        <w:pStyle w:val="Quote"/>
        <w:numPr>
          <w:ilvl w:val="0"/>
          <w:numId w:val="21"/>
        </w:numPr>
        <w:rPr>
          <w:bdr w:val="nil"/>
        </w:rPr>
      </w:pPr>
      <w:r>
        <w:rPr>
          <w:bdr w:val="nil"/>
        </w:rPr>
        <w:t>Current e</w:t>
      </w:r>
      <w:r w:rsidR="0084284E">
        <w:rPr>
          <w:bdr w:val="nil"/>
        </w:rPr>
        <w:t>mergency department rapid assessment process</w:t>
      </w:r>
      <w:r w:rsidR="0084284E">
        <w:rPr>
          <w:rStyle w:val="FootnoteReference"/>
          <w:bdr w:val="nil"/>
        </w:rPr>
        <w:footnoteReference w:id="13"/>
      </w:r>
    </w:p>
    <w:p w14:paraId="5A92C1A7" w14:textId="5B6E77AA" w:rsidR="0084284E" w:rsidRDefault="00F53A1A" w:rsidP="00AF16A7">
      <w:pPr>
        <w:pStyle w:val="Quote"/>
        <w:numPr>
          <w:ilvl w:val="0"/>
          <w:numId w:val="21"/>
        </w:numPr>
        <w:rPr>
          <w:bdr w:val="nil"/>
        </w:rPr>
      </w:pPr>
      <w:r>
        <w:rPr>
          <w:bdr w:val="nil"/>
        </w:rPr>
        <w:t xml:space="preserve">The </w:t>
      </w:r>
      <w:r w:rsidR="0084284E">
        <w:rPr>
          <w:bdr w:val="nil"/>
        </w:rPr>
        <w:t xml:space="preserve">Geriatric Rapid Acute Care </w:t>
      </w:r>
      <w:r>
        <w:rPr>
          <w:bdr w:val="nil"/>
        </w:rPr>
        <w:t>(</w:t>
      </w:r>
      <w:r w:rsidR="0084284E">
        <w:rPr>
          <w:bdr w:val="nil"/>
        </w:rPr>
        <w:t>GRACE) program</w:t>
      </w:r>
      <w:r w:rsidR="0084284E">
        <w:rPr>
          <w:rStyle w:val="FootnoteReference"/>
          <w:bdr w:val="nil"/>
        </w:rPr>
        <w:footnoteReference w:id="14"/>
      </w:r>
    </w:p>
    <w:p w14:paraId="42FCDBEB" w14:textId="5BEEF1F5" w:rsidR="0084284E" w:rsidRDefault="00F53A1A" w:rsidP="00AF16A7">
      <w:pPr>
        <w:pStyle w:val="Quote"/>
        <w:numPr>
          <w:ilvl w:val="0"/>
          <w:numId w:val="21"/>
        </w:numPr>
        <w:rPr>
          <w:bdr w:val="nil"/>
        </w:rPr>
      </w:pPr>
      <w:r>
        <w:rPr>
          <w:bdr w:val="nil"/>
        </w:rPr>
        <w:t>Reported c</w:t>
      </w:r>
      <w:r w:rsidR="0084284E">
        <w:rPr>
          <w:bdr w:val="nil"/>
        </w:rPr>
        <w:t>losure of discharge lounge, Canberra Hospital</w:t>
      </w:r>
      <w:r w:rsidR="0084284E">
        <w:rPr>
          <w:rStyle w:val="FootnoteReference"/>
          <w:bdr w:val="nil"/>
        </w:rPr>
        <w:footnoteReference w:id="15"/>
      </w:r>
    </w:p>
    <w:p w14:paraId="2820C842" w14:textId="7784E37C" w:rsidR="0084284E" w:rsidRDefault="00F53A1A" w:rsidP="00AF16A7">
      <w:pPr>
        <w:pStyle w:val="Quote"/>
        <w:numPr>
          <w:ilvl w:val="0"/>
          <w:numId w:val="21"/>
        </w:numPr>
        <w:rPr>
          <w:bdr w:val="nil"/>
        </w:rPr>
      </w:pPr>
      <w:r>
        <w:rPr>
          <w:bdr w:val="nil"/>
        </w:rPr>
        <w:t xml:space="preserve">Current </w:t>
      </w:r>
      <w:r w:rsidR="00B02E01">
        <w:rPr>
          <w:bdr w:val="nil"/>
        </w:rPr>
        <w:t xml:space="preserve">Occupational Violence Strategy </w:t>
      </w:r>
      <w:r w:rsidR="00B02E01" w:rsidRPr="000A1386">
        <w:rPr>
          <w:i/>
          <w:iCs w:val="0"/>
          <w:bdr w:val="nil"/>
        </w:rPr>
        <w:t>(AR</w:t>
      </w:r>
      <w:r w:rsidR="000A1386">
        <w:rPr>
          <w:bdr w:val="nil"/>
        </w:rPr>
        <w:t xml:space="preserve">) </w:t>
      </w:r>
      <w:r w:rsidR="00B02E01">
        <w:rPr>
          <w:rStyle w:val="FootnoteReference"/>
          <w:bdr w:val="nil"/>
        </w:rPr>
        <w:footnoteReference w:id="16"/>
      </w:r>
    </w:p>
    <w:p w14:paraId="6DF3557E" w14:textId="517DE8DE" w:rsidR="00B02E01" w:rsidRDefault="00F53A1A" w:rsidP="00AF16A7">
      <w:pPr>
        <w:pStyle w:val="Quote"/>
        <w:numPr>
          <w:ilvl w:val="0"/>
          <w:numId w:val="21"/>
        </w:numPr>
        <w:rPr>
          <w:bdr w:val="nil"/>
        </w:rPr>
      </w:pPr>
      <w:r>
        <w:rPr>
          <w:bdr w:val="nil"/>
        </w:rPr>
        <w:t xml:space="preserve">Responses to </w:t>
      </w:r>
      <w:r w:rsidR="00B02E01">
        <w:rPr>
          <w:bdr w:val="nil"/>
        </w:rPr>
        <w:t>PTSD affecting frontline personnel</w:t>
      </w:r>
      <w:r w:rsidR="00B02E01">
        <w:rPr>
          <w:rStyle w:val="FootnoteReference"/>
          <w:bdr w:val="nil"/>
        </w:rPr>
        <w:footnoteReference w:id="17"/>
      </w:r>
    </w:p>
    <w:p w14:paraId="0F77AC3A" w14:textId="2E329C83" w:rsidR="00CE05E3" w:rsidRDefault="00A3231A" w:rsidP="00AF16A7">
      <w:pPr>
        <w:pStyle w:val="Quote"/>
        <w:numPr>
          <w:ilvl w:val="0"/>
          <w:numId w:val="21"/>
        </w:numPr>
        <w:rPr>
          <w:bdr w:val="nil"/>
        </w:rPr>
      </w:pPr>
      <w:r>
        <w:rPr>
          <w:bdr w:val="nil"/>
        </w:rPr>
        <w:t xml:space="preserve">Funding and expenditure </w:t>
      </w:r>
      <w:r w:rsidR="00F53A1A">
        <w:rPr>
          <w:bdr w:val="nil"/>
        </w:rPr>
        <w:t>for</w:t>
      </w:r>
      <w:r>
        <w:rPr>
          <w:bdr w:val="nil"/>
        </w:rPr>
        <w:t xml:space="preserve"> Canberra Sexual Health Centre</w:t>
      </w:r>
      <w:r>
        <w:rPr>
          <w:rStyle w:val="FootnoteReference"/>
          <w:bdr w:val="nil"/>
        </w:rPr>
        <w:footnoteReference w:id="18"/>
      </w:r>
    </w:p>
    <w:p w14:paraId="4D9E7204" w14:textId="58AA019B" w:rsidR="002214F4" w:rsidRDefault="00AB3BFA" w:rsidP="00AF16A7">
      <w:pPr>
        <w:pStyle w:val="Quote"/>
        <w:numPr>
          <w:ilvl w:val="0"/>
          <w:numId w:val="21"/>
        </w:numPr>
        <w:rPr>
          <w:bdr w:val="nil"/>
        </w:rPr>
      </w:pPr>
      <w:r>
        <w:rPr>
          <w:bdr w:val="nil"/>
        </w:rPr>
        <w:t xml:space="preserve">Incidence of </w:t>
      </w:r>
      <w:r w:rsidR="002214F4">
        <w:rPr>
          <w:bdr w:val="nil"/>
        </w:rPr>
        <w:t>Sexual Health services</w:t>
      </w:r>
      <w:r>
        <w:rPr>
          <w:bdr w:val="nil"/>
        </w:rPr>
        <w:t xml:space="preserve"> provided at</w:t>
      </w:r>
      <w:r w:rsidR="002214F4">
        <w:rPr>
          <w:bdr w:val="nil"/>
        </w:rPr>
        <w:t xml:space="preserve"> walk</w:t>
      </w:r>
      <w:r>
        <w:rPr>
          <w:bdr w:val="nil"/>
        </w:rPr>
        <w:t>-</w:t>
      </w:r>
      <w:r w:rsidR="002214F4">
        <w:rPr>
          <w:bdr w:val="nil"/>
        </w:rPr>
        <w:t>in</w:t>
      </w:r>
      <w:r>
        <w:rPr>
          <w:bdr w:val="nil"/>
        </w:rPr>
        <w:t xml:space="preserve">/drop-in </w:t>
      </w:r>
      <w:r w:rsidR="002214F4">
        <w:rPr>
          <w:bdr w:val="nil"/>
        </w:rPr>
        <w:t>centre</w:t>
      </w:r>
      <w:r w:rsidR="00D2044A">
        <w:rPr>
          <w:bdr w:val="nil"/>
        </w:rPr>
        <w:t xml:space="preserve">s </w:t>
      </w:r>
      <w:r>
        <w:rPr>
          <w:rStyle w:val="FootnoteReference"/>
          <w:bdr w:val="nil"/>
        </w:rPr>
        <w:footnoteReference w:id="19"/>
      </w:r>
    </w:p>
    <w:p w14:paraId="73CEDBA8" w14:textId="313AF1FA" w:rsidR="00D2044A" w:rsidRDefault="00F53A1A" w:rsidP="00AF16A7">
      <w:pPr>
        <w:pStyle w:val="Quote"/>
        <w:numPr>
          <w:ilvl w:val="0"/>
          <w:numId w:val="21"/>
        </w:numPr>
        <w:rPr>
          <w:bdr w:val="nil"/>
        </w:rPr>
      </w:pPr>
      <w:r>
        <w:rPr>
          <w:bdr w:val="nil"/>
        </w:rPr>
        <w:t>Delivery of p</w:t>
      </w:r>
      <w:r w:rsidR="00D2044A">
        <w:rPr>
          <w:bdr w:val="nil"/>
        </w:rPr>
        <w:t>ossible PACER services in sexual assaults</w:t>
      </w:r>
      <w:r w:rsidR="00D2044A">
        <w:rPr>
          <w:rStyle w:val="FootnoteReference"/>
          <w:bdr w:val="nil"/>
        </w:rPr>
        <w:footnoteReference w:id="20"/>
      </w:r>
    </w:p>
    <w:p w14:paraId="08BDBAF1" w14:textId="3FCBD1A6" w:rsidR="00E76B02" w:rsidRDefault="00E76B02" w:rsidP="00AF16A7">
      <w:pPr>
        <w:pStyle w:val="Quote"/>
        <w:numPr>
          <w:ilvl w:val="0"/>
          <w:numId w:val="21"/>
        </w:numPr>
        <w:rPr>
          <w:bdr w:val="nil"/>
        </w:rPr>
      </w:pPr>
      <w:r>
        <w:rPr>
          <w:bdr w:val="nil"/>
        </w:rPr>
        <w:t>Comparison on data on ACT funding and Report on Government Services (ROGS) data</w:t>
      </w:r>
      <w:r>
        <w:rPr>
          <w:rStyle w:val="FootnoteReference"/>
          <w:bdr w:val="nil"/>
        </w:rPr>
        <w:footnoteReference w:id="21"/>
      </w:r>
    </w:p>
    <w:p w14:paraId="09369A7C" w14:textId="491944F5" w:rsidR="00661825" w:rsidRDefault="00661825" w:rsidP="00AF16A7">
      <w:pPr>
        <w:pStyle w:val="Quote"/>
        <w:numPr>
          <w:ilvl w:val="0"/>
          <w:numId w:val="21"/>
        </w:numPr>
        <w:rPr>
          <w:bdr w:val="nil"/>
        </w:rPr>
      </w:pPr>
      <w:r>
        <w:rPr>
          <w:bdr w:val="nil"/>
        </w:rPr>
        <w:t>Effect of COVID-19 on elective surgeries</w:t>
      </w:r>
      <w:r>
        <w:rPr>
          <w:rStyle w:val="FootnoteReference"/>
          <w:bdr w:val="nil"/>
        </w:rPr>
        <w:footnoteReference w:id="22"/>
      </w:r>
    </w:p>
    <w:p w14:paraId="697754BA" w14:textId="241ADEA3" w:rsidR="000A1386" w:rsidRDefault="000225F4" w:rsidP="00AF16A7">
      <w:pPr>
        <w:pStyle w:val="Quote"/>
        <w:numPr>
          <w:ilvl w:val="0"/>
          <w:numId w:val="21"/>
        </w:numPr>
        <w:rPr>
          <w:bdr w:val="nil"/>
        </w:rPr>
      </w:pPr>
      <w:r>
        <w:rPr>
          <w:bdr w:val="nil"/>
        </w:rPr>
        <w:t xml:space="preserve">Results and application of </w:t>
      </w:r>
      <w:r w:rsidR="000A1386">
        <w:rPr>
          <w:bdr w:val="nil"/>
        </w:rPr>
        <w:t>LGBTQ</w:t>
      </w:r>
      <w:r w:rsidR="0081096C">
        <w:rPr>
          <w:bdr w:val="nil"/>
        </w:rPr>
        <w:t>IA+</w:t>
      </w:r>
      <w:r w:rsidR="000A1386">
        <w:rPr>
          <w:bdr w:val="nil"/>
        </w:rPr>
        <w:t xml:space="preserve"> health scoping study </w:t>
      </w:r>
      <w:r w:rsidR="000A1386" w:rsidRPr="000A1386">
        <w:rPr>
          <w:i/>
          <w:iCs w:val="0"/>
          <w:bdr w:val="nil"/>
        </w:rPr>
        <w:t>(AR)</w:t>
      </w:r>
      <w:r w:rsidR="000A1386">
        <w:rPr>
          <w:bdr w:val="nil"/>
        </w:rPr>
        <w:t xml:space="preserve"> </w:t>
      </w:r>
      <w:r w:rsidR="000A1386">
        <w:rPr>
          <w:rStyle w:val="FootnoteReference"/>
          <w:bdr w:val="nil"/>
        </w:rPr>
        <w:footnoteReference w:id="23"/>
      </w:r>
    </w:p>
    <w:p w14:paraId="68BCE2CE" w14:textId="7EA02A53" w:rsidR="000A1386" w:rsidRDefault="00C66C2E" w:rsidP="00AF16A7">
      <w:pPr>
        <w:pStyle w:val="Quote"/>
        <w:numPr>
          <w:ilvl w:val="0"/>
          <w:numId w:val="21"/>
        </w:numPr>
        <w:rPr>
          <w:bdr w:val="nil"/>
        </w:rPr>
      </w:pPr>
      <w:r>
        <w:rPr>
          <w:bdr w:val="nil"/>
        </w:rPr>
        <w:t xml:space="preserve">Hospital </w:t>
      </w:r>
      <w:r w:rsidR="000A1386">
        <w:rPr>
          <w:bdr w:val="nil"/>
        </w:rPr>
        <w:t>Hydrotherapy pool facility</w:t>
      </w:r>
      <w:r w:rsidR="000A1386">
        <w:rPr>
          <w:rStyle w:val="FootnoteReference"/>
          <w:bdr w:val="nil"/>
        </w:rPr>
        <w:footnoteReference w:id="24"/>
      </w:r>
    </w:p>
    <w:p w14:paraId="451CCCC4" w14:textId="404E43D6" w:rsidR="000A1386" w:rsidRDefault="000A1386" w:rsidP="00AF16A7">
      <w:pPr>
        <w:pStyle w:val="Quote"/>
        <w:numPr>
          <w:ilvl w:val="0"/>
          <w:numId w:val="21"/>
        </w:numPr>
        <w:rPr>
          <w:bdr w:val="nil"/>
        </w:rPr>
      </w:pPr>
      <w:r>
        <w:rPr>
          <w:bdr w:val="nil"/>
        </w:rPr>
        <w:t xml:space="preserve">Support </w:t>
      </w:r>
      <w:r w:rsidR="00C66C2E">
        <w:rPr>
          <w:bdr w:val="nil"/>
        </w:rPr>
        <w:t xml:space="preserve">provided </w:t>
      </w:r>
      <w:r>
        <w:rPr>
          <w:bdr w:val="nil"/>
        </w:rPr>
        <w:t xml:space="preserve">to </w:t>
      </w:r>
      <w:proofErr w:type="spellStart"/>
      <w:r>
        <w:rPr>
          <w:bdr w:val="nil"/>
        </w:rPr>
        <w:t>Winnunga</w:t>
      </w:r>
      <w:proofErr w:type="spellEnd"/>
      <w:r>
        <w:rPr>
          <w:bdr w:val="nil"/>
        </w:rPr>
        <w:t xml:space="preserve"> during COVID-19 period to support and protect ATSI people in Canberra</w:t>
      </w:r>
      <w:r>
        <w:rPr>
          <w:rStyle w:val="FootnoteReference"/>
          <w:bdr w:val="nil"/>
        </w:rPr>
        <w:footnoteReference w:id="25"/>
      </w:r>
    </w:p>
    <w:p w14:paraId="724D1170" w14:textId="225F1A33" w:rsidR="005622B6" w:rsidRDefault="005622B6" w:rsidP="00AF16A7">
      <w:pPr>
        <w:pStyle w:val="Quote"/>
        <w:numPr>
          <w:ilvl w:val="0"/>
          <w:numId w:val="21"/>
        </w:numPr>
        <w:rPr>
          <w:i/>
          <w:iCs w:val="0"/>
          <w:bdr w:val="nil"/>
        </w:rPr>
      </w:pPr>
      <w:r>
        <w:rPr>
          <w:bdr w:val="nil"/>
        </w:rPr>
        <w:t xml:space="preserve">Timing on drug and alcohol rehabilitation service for ATSI people and funding </w:t>
      </w:r>
      <w:r>
        <w:rPr>
          <w:i/>
          <w:iCs w:val="0"/>
          <w:bdr w:val="nil"/>
        </w:rPr>
        <w:t>(AR)</w:t>
      </w:r>
      <w:r>
        <w:rPr>
          <w:rStyle w:val="FootnoteReference"/>
          <w:i/>
          <w:iCs w:val="0"/>
          <w:bdr w:val="nil"/>
        </w:rPr>
        <w:footnoteReference w:id="26"/>
      </w:r>
    </w:p>
    <w:p w14:paraId="357CD0BF" w14:textId="75CE0A03" w:rsidR="005622B6" w:rsidRDefault="005622B6" w:rsidP="00AF16A7">
      <w:pPr>
        <w:pStyle w:val="Quote"/>
        <w:numPr>
          <w:ilvl w:val="0"/>
          <w:numId w:val="21"/>
        </w:numPr>
        <w:rPr>
          <w:bdr w:val="nil"/>
        </w:rPr>
      </w:pPr>
      <w:r>
        <w:rPr>
          <w:bdr w:val="nil"/>
        </w:rPr>
        <w:t>Disparity between health statistics for ACT ATSI people compared with other parts of Australia</w:t>
      </w:r>
      <w:r>
        <w:rPr>
          <w:rStyle w:val="FootnoteReference"/>
          <w:bdr w:val="nil"/>
        </w:rPr>
        <w:footnoteReference w:id="27"/>
      </w:r>
    </w:p>
    <w:p w14:paraId="7C6307E0" w14:textId="3928AE89" w:rsidR="00CB5F6A" w:rsidRDefault="00CB5F6A" w:rsidP="00AF16A7">
      <w:pPr>
        <w:pStyle w:val="Quote"/>
        <w:numPr>
          <w:ilvl w:val="0"/>
          <w:numId w:val="21"/>
        </w:numPr>
        <w:rPr>
          <w:bdr w:val="nil"/>
        </w:rPr>
      </w:pPr>
      <w:r>
        <w:rPr>
          <w:bdr w:val="nil"/>
        </w:rPr>
        <w:t>Plans for ACT Health STI testing at festivals this year</w:t>
      </w:r>
      <w:r>
        <w:rPr>
          <w:rStyle w:val="FootnoteReference"/>
          <w:bdr w:val="nil"/>
        </w:rPr>
        <w:footnoteReference w:id="28"/>
      </w:r>
    </w:p>
    <w:p w14:paraId="68BC91C3" w14:textId="17CEF53B" w:rsidR="00CB5F6A" w:rsidRDefault="00C66C2E" w:rsidP="00AF16A7">
      <w:pPr>
        <w:pStyle w:val="Quote"/>
        <w:numPr>
          <w:ilvl w:val="0"/>
          <w:numId w:val="21"/>
        </w:numPr>
        <w:rPr>
          <w:bdr w:val="nil"/>
        </w:rPr>
      </w:pPr>
      <w:r>
        <w:rPr>
          <w:bdr w:val="nil"/>
        </w:rPr>
        <w:t xml:space="preserve">ACT </w:t>
      </w:r>
      <w:r w:rsidR="00CB5F6A">
        <w:rPr>
          <w:bdr w:val="nil"/>
        </w:rPr>
        <w:t>Junior Doctors’ – survey and results</w:t>
      </w:r>
      <w:r w:rsidR="00CB5F6A">
        <w:rPr>
          <w:rStyle w:val="FootnoteReference"/>
          <w:bdr w:val="nil"/>
        </w:rPr>
        <w:footnoteReference w:id="29"/>
      </w:r>
    </w:p>
    <w:p w14:paraId="30A59BC9" w14:textId="7BD6558B" w:rsidR="00A6202A" w:rsidRDefault="00C66C2E" w:rsidP="00AF16A7">
      <w:pPr>
        <w:pStyle w:val="Quote"/>
        <w:numPr>
          <w:ilvl w:val="0"/>
          <w:numId w:val="21"/>
        </w:numPr>
        <w:rPr>
          <w:bdr w:val="nil"/>
        </w:rPr>
      </w:pPr>
      <w:r>
        <w:rPr>
          <w:bdr w:val="nil"/>
        </w:rPr>
        <w:t xml:space="preserve">ACT </w:t>
      </w:r>
      <w:r w:rsidR="00A6202A">
        <w:rPr>
          <w:bdr w:val="nil"/>
        </w:rPr>
        <w:t>Junior Doctors – effect of COVID-19 on training</w:t>
      </w:r>
      <w:r w:rsidR="00A6202A">
        <w:rPr>
          <w:rStyle w:val="FootnoteReference"/>
          <w:bdr w:val="nil"/>
        </w:rPr>
        <w:footnoteReference w:id="30"/>
      </w:r>
    </w:p>
    <w:p w14:paraId="1E5BE4D2" w14:textId="6D4B7035" w:rsidR="00C13452" w:rsidRDefault="00C13452" w:rsidP="00AF16A7">
      <w:pPr>
        <w:pStyle w:val="Quote"/>
        <w:numPr>
          <w:ilvl w:val="0"/>
          <w:numId w:val="21"/>
        </w:numPr>
        <w:rPr>
          <w:bdr w:val="nil"/>
        </w:rPr>
      </w:pPr>
      <w:r>
        <w:rPr>
          <w:bdr w:val="nil"/>
        </w:rPr>
        <w:t>Retention of Junior Doctors in ACT Health</w:t>
      </w:r>
      <w:r>
        <w:rPr>
          <w:rStyle w:val="FootnoteReference"/>
          <w:bdr w:val="nil"/>
        </w:rPr>
        <w:footnoteReference w:id="31"/>
      </w:r>
    </w:p>
    <w:p w14:paraId="021C9998" w14:textId="32F6D219" w:rsidR="006A3C98" w:rsidRDefault="006A3C98" w:rsidP="00AF16A7">
      <w:pPr>
        <w:pStyle w:val="Quote"/>
        <w:numPr>
          <w:ilvl w:val="0"/>
          <w:numId w:val="21"/>
        </w:numPr>
        <w:rPr>
          <w:bdr w:val="nil"/>
        </w:rPr>
      </w:pPr>
      <w:r>
        <w:rPr>
          <w:bdr w:val="nil"/>
        </w:rPr>
        <w:t>Work on better integration of health care in the ACT</w:t>
      </w:r>
      <w:r>
        <w:rPr>
          <w:rStyle w:val="FootnoteReference"/>
          <w:bdr w:val="nil"/>
        </w:rPr>
        <w:footnoteReference w:id="32"/>
      </w:r>
    </w:p>
    <w:p w14:paraId="41E6E7B7" w14:textId="19622394" w:rsidR="006A3C98" w:rsidRDefault="006A3C98" w:rsidP="00AF16A7">
      <w:pPr>
        <w:pStyle w:val="Quote"/>
        <w:numPr>
          <w:ilvl w:val="0"/>
          <w:numId w:val="21"/>
        </w:numPr>
        <w:rPr>
          <w:i/>
          <w:iCs w:val="0"/>
          <w:bdr w:val="nil"/>
        </w:rPr>
      </w:pPr>
      <w:r>
        <w:rPr>
          <w:bdr w:val="nil"/>
        </w:rPr>
        <w:t>Effect of COVID-19 on cancer screening</w:t>
      </w:r>
      <w:r w:rsidR="00C66C2E">
        <w:rPr>
          <w:bdr w:val="nil"/>
        </w:rPr>
        <w:t xml:space="preserve"> rates</w:t>
      </w:r>
      <w:r>
        <w:rPr>
          <w:bdr w:val="nil"/>
        </w:rPr>
        <w:t xml:space="preserve">, particularly breast screening for women </w:t>
      </w:r>
      <w:r>
        <w:rPr>
          <w:i/>
          <w:iCs w:val="0"/>
          <w:bdr w:val="nil"/>
        </w:rPr>
        <w:t>(AR)</w:t>
      </w:r>
      <w:r>
        <w:rPr>
          <w:rStyle w:val="FootnoteReference"/>
          <w:i/>
          <w:iCs w:val="0"/>
          <w:bdr w:val="nil"/>
        </w:rPr>
        <w:footnoteReference w:id="33"/>
      </w:r>
    </w:p>
    <w:p w14:paraId="242C3405" w14:textId="7FF5A19A" w:rsidR="006A3C98" w:rsidRDefault="006A3C98" w:rsidP="00AF16A7">
      <w:pPr>
        <w:pStyle w:val="Quote"/>
        <w:numPr>
          <w:ilvl w:val="0"/>
          <w:numId w:val="21"/>
        </w:numPr>
        <w:rPr>
          <w:bdr w:val="nil"/>
        </w:rPr>
      </w:pPr>
      <w:r>
        <w:rPr>
          <w:bdr w:val="nil"/>
        </w:rPr>
        <w:t>Effect of COVID-19 on cancer treatment</w:t>
      </w:r>
      <w:r w:rsidR="00F178A7">
        <w:rPr>
          <w:bdr w:val="nil"/>
        </w:rPr>
        <w:t xml:space="preserve"> programs</w:t>
      </w:r>
      <w:r>
        <w:rPr>
          <w:rStyle w:val="FootnoteReference"/>
          <w:bdr w:val="nil"/>
        </w:rPr>
        <w:footnoteReference w:id="34"/>
      </w:r>
    </w:p>
    <w:p w14:paraId="4903BF40" w14:textId="3F0BFB2E" w:rsidR="003C335A" w:rsidRDefault="00C95992" w:rsidP="00AF16A7">
      <w:pPr>
        <w:pStyle w:val="Quote"/>
        <w:numPr>
          <w:ilvl w:val="0"/>
          <w:numId w:val="21"/>
        </w:numPr>
        <w:rPr>
          <w:bdr w:val="nil"/>
        </w:rPr>
      </w:pPr>
      <w:r>
        <w:rPr>
          <w:bdr w:val="nil"/>
        </w:rPr>
        <w:t xml:space="preserve">Emergency Department waiting times – </w:t>
      </w:r>
      <w:r w:rsidR="00F178A7">
        <w:rPr>
          <w:bdr w:val="nil"/>
        </w:rPr>
        <w:t xml:space="preserve">reference </w:t>
      </w:r>
      <w:r>
        <w:rPr>
          <w:bdr w:val="nil"/>
        </w:rPr>
        <w:t>Productivity Commission report</w:t>
      </w:r>
      <w:r>
        <w:rPr>
          <w:rStyle w:val="FootnoteReference"/>
          <w:bdr w:val="nil"/>
        </w:rPr>
        <w:footnoteReference w:id="35"/>
      </w:r>
    </w:p>
    <w:p w14:paraId="2A6E7605" w14:textId="5B344BE8" w:rsidR="00A76148" w:rsidRDefault="00A76148" w:rsidP="00AF16A7">
      <w:pPr>
        <w:pStyle w:val="Quote"/>
        <w:numPr>
          <w:ilvl w:val="0"/>
          <w:numId w:val="21"/>
        </w:numPr>
        <w:rPr>
          <w:bdr w:val="nil"/>
        </w:rPr>
      </w:pPr>
      <w:r>
        <w:rPr>
          <w:bdr w:val="nil"/>
        </w:rPr>
        <w:t xml:space="preserve">Scope of practice capability </w:t>
      </w:r>
      <w:r w:rsidR="00F178A7">
        <w:rPr>
          <w:bdr w:val="nil"/>
        </w:rPr>
        <w:t>a</w:t>
      </w:r>
      <w:r>
        <w:rPr>
          <w:bdr w:val="nil"/>
        </w:rPr>
        <w:t>t walk-in centres</w:t>
      </w:r>
      <w:r>
        <w:rPr>
          <w:rStyle w:val="FootnoteReference"/>
          <w:bdr w:val="nil"/>
        </w:rPr>
        <w:footnoteReference w:id="36"/>
      </w:r>
    </w:p>
    <w:p w14:paraId="6BE8C07F" w14:textId="181A46BA" w:rsidR="00A76148" w:rsidRDefault="00A76148" w:rsidP="00AF16A7">
      <w:pPr>
        <w:pStyle w:val="Quote"/>
        <w:numPr>
          <w:ilvl w:val="0"/>
          <w:numId w:val="21"/>
        </w:numPr>
        <w:rPr>
          <w:bdr w:val="nil"/>
        </w:rPr>
      </w:pPr>
      <w:r>
        <w:rPr>
          <w:bdr w:val="nil"/>
        </w:rPr>
        <w:t>Budget references to alcohol and drug services</w:t>
      </w:r>
      <w:r w:rsidR="00F178A7">
        <w:rPr>
          <w:bdr w:val="nil"/>
        </w:rPr>
        <w:t xml:space="preserve"> and</w:t>
      </w:r>
      <w:r>
        <w:rPr>
          <w:bdr w:val="nil"/>
        </w:rPr>
        <w:t xml:space="preserve"> community contacts</w:t>
      </w:r>
      <w:r>
        <w:rPr>
          <w:rStyle w:val="FootnoteReference"/>
          <w:bdr w:val="nil"/>
        </w:rPr>
        <w:footnoteReference w:id="37"/>
      </w:r>
    </w:p>
    <w:p w14:paraId="7A39B722" w14:textId="540F6ED5" w:rsidR="00EC7FC4" w:rsidRDefault="00A76148" w:rsidP="00AF16A7">
      <w:pPr>
        <w:pStyle w:val="Quote"/>
        <w:numPr>
          <w:ilvl w:val="0"/>
          <w:numId w:val="21"/>
        </w:numPr>
        <w:rPr>
          <w:bdr w:val="nil"/>
        </w:rPr>
      </w:pPr>
      <w:r>
        <w:rPr>
          <w:bdr w:val="nil"/>
        </w:rPr>
        <w:t xml:space="preserve">Promotion of employment opportunities </w:t>
      </w:r>
      <w:r w:rsidR="00F178A7">
        <w:rPr>
          <w:bdr w:val="nil"/>
        </w:rPr>
        <w:t>for</w:t>
      </w:r>
      <w:r>
        <w:rPr>
          <w:bdr w:val="nil"/>
        </w:rPr>
        <w:t xml:space="preserve"> junior doctors</w:t>
      </w:r>
      <w:r>
        <w:rPr>
          <w:rStyle w:val="FootnoteReference"/>
          <w:bdr w:val="nil"/>
        </w:rPr>
        <w:footnoteReference w:id="38"/>
      </w:r>
    </w:p>
    <w:p w14:paraId="191701A7" w14:textId="09C13189" w:rsidR="00A76148" w:rsidRDefault="00EC7FC4" w:rsidP="00AF16A7">
      <w:pPr>
        <w:pStyle w:val="Quote"/>
        <w:numPr>
          <w:ilvl w:val="0"/>
          <w:numId w:val="21"/>
        </w:numPr>
        <w:rPr>
          <w:bdr w:val="nil"/>
        </w:rPr>
      </w:pPr>
      <w:r>
        <w:rPr>
          <w:bdr w:val="nil"/>
        </w:rPr>
        <w:t xml:space="preserve">Cross-border arrangements for </w:t>
      </w:r>
      <w:r w:rsidR="00F178A7">
        <w:rPr>
          <w:bdr w:val="nil"/>
        </w:rPr>
        <w:t xml:space="preserve">the support and payment for </w:t>
      </w:r>
      <w:r>
        <w:rPr>
          <w:bdr w:val="nil"/>
        </w:rPr>
        <w:t>acute care cases</w:t>
      </w:r>
      <w:r>
        <w:rPr>
          <w:rStyle w:val="FootnoteReference"/>
          <w:bdr w:val="nil"/>
        </w:rPr>
        <w:footnoteReference w:id="39"/>
      </w:r>
    </w:p>
    <w:p w14:paraId="016C4517" w14:textId="7B84F44B" w:rsidR="00EC7FC4" w:rsidRDefault="00EC7FC4" w:rsidP="00AF16A7">
      <w:pPr>
        <w:pStyle w:val="Quote"/>
        <w:numPr>
          <w:ilvl w:val="0"/>
          <w:numId w:val="21"/>
        </w:numPr>
        <w:rPr>
          <w:bdr w:val="nil"/>
        </w:rPr>
      </w:pPr>
      <w:proofErr w:type="spellStart"/>
      <w:r>
        <w:rPr>
          <w:bdr w:val="nil"/>
        </w:rPr>
        <w:t>Northside</w:t>
      </w:r>
      <w:proofErr w:type="spellEnd"/>
      <w:r>
        <w:rPr>
          <w:bdr w:val="nil"/>
        </w:rPr>
        <w:t xml:space="preserve"> </w:t>
      </w:r>
      <w:r w:rsidR="002E1AC1">
        <w:rPr>
          <w:bdr w:val="nil"/>
        </w:rPr>
        <w:t>Opioid</w:t>
      </w:r>
      <w:r>
        <w:rPr>
          <w:bdr w:val="nil"/>
        </w:rPr>
        <w:t xml:space="preserve"> Treatment Service</w:t>
      </w:r>
      <w:r>
        <w:rPr>
          <w:rStyle w:val="FootnoteReference"/>
          <w:bdr w:val="nil"/>
        </w:rPr>
        <w:footnoteReference w:id="40"/>
      </w:r>
    </w:p>
    <w:p w14:paraId="64B52F26" w14:textId="0D5ECF16" w:rsidR="002F7FE8" w:rsidRPr="002F7FE8" w:rsidRDefault="002F7FE8" w:rsidP="00AF16A7">
      <w:pPr>
        <w:pStyle w:val="Quote"/>
        <w:numPr>
          <w:ilvl w:val="0"/>
          <w:numId w:val="21"/>
        </w:numPr>
        <w:rPr>
          <w:bdr w:val="nil"/>
        </w:rPr>
      </w:pPr>
      <w:r>
        <w:rPr>
          <w:bdr w:val="nil"/>
        </w:rPr>
        <w:t xml:space="preserve">Timing of completion of </w:t>
      </w:r>
      <w:r w:rsidR="00F178A7">
        <w:rPr>
          <w:bdr w:val="nil"/>
        </w:rPr>
        <w:t xml:space="preserve">building </w:t>
      </w:r>
      <w:r>
        <w:rPr>
          <w:bdr w:val="nil"/>
        </w:rPr>
        <w:t>expansion of Centen</w:t>
      </w:r>
      <w:r w:rsidR="00FC56EF">
        <w:rPr>
          <w:bdr w:val="nil"/>
        </w:rPr>
        <w:t>a</w:t>
      </w:r>
      <w:r>
        <w:rPr>
          <w:bdr w:val="nil"/>
        </w:rPr>
        <w:t xml:space="preserve">ry Hospital for Women and Children </w:t>
      </w:r>
      <w:r>
        <w:rPr>
          <w:i/>
          <w:iCs w:val="0"/>
          <w:bdr w:val="nil"/>
        </w:rPr>
        <w:t>(AR)</w:t>
      </w:r>
      <w:r w:rsidR="00FC56EF">
        <w:rPr>
          <w:rStyle w:val="FootnoteReference"/>
          <w:i/>
          <w:iCs w:val="0"/>
          <w:bdr w:val="nil"/>
        </w:rPr>
        <w:footnoteReference w:id="41"/>
      </w:r>
    </w:p>
    <w:p w14:paraId="60128717" w14:textId="0CA56309" w:rsidR="002F7FE8" w:rsidRPr="00544AB7" w:rsidRDefault="002F7FE8" w:rsidP="00AF16A7">
      <w:pPr>
        <w:pStyle w:val="Quote"/>
        <w:numPr>
          <w:ilvl w:val="0"/>
          <w:numId w:val="21"/>
        </w:numPr>
        <w:rPr>
          <w:bdr w:val="nil"/>
        </w:rPr>
      </w:pPr>
      <w:r>
        <w:rPr>
          <w:bdr w:val="nil"/>
        </w:rPr>
        <w:t>Drug Str</w:t>
      </w:r>
      <w:r w:rsidR="00FC56EF">
        <w:rPr>
          <w:bdr w:val="nil"/>
        </w:rPr>
        <w:t>a</w:t>
      </w:r>
      <w:r>
        <w:rPr>
          <w:bdr w:val="nil"/>
        </w:rPr>
        <w:t>tegy A</w:t>
      </w:r>
      <w:r w:rsidR="00FC56EF">
        <w:rPr>
          <w:bdr w:val="nil"/>
        </w:rPr>
        <w:t>c</w:t>
      </w:r>
      <w:r>
        <w:rPr>
          <w:bdr w:val="nil"/>
        </w:rPr>
        <w:t>t</w:t>
      </w:r>
      <w:r w:rsidR="00FC56EF">
        <w:rPr>
          <w:bdr w:val="nil"/>
        </w:rPr>
        <w:t>ion</w:t>
      </w:r>
      <w:r>
        <w:rPr>
          <w:bdr w:val="nil"/>
        </w:rPr>
        <w:t xml:space="preserve"> Advisory Group and action plan for </w:t>
      </w:r>
      <w:r w:rsidR="00FC56EF">
        <w:rPr>
          <w:bdr w:val="nil"/>
        </w:rPr>
        <w:t>2018-21</w:t>
      </w:r>
      <w:r w:rsidR="00FC56EF">
        <w:rPr>
          <w:i/>
          <w:iCs w:val="0"/>
          <w:bdr w:val="nil"/>
        </w:rPr>
        <w:t xml:space="preserve"> (AR)</w:t>
      </w:r>
      <w:r w:rsidR="00FC56EF">
        <w:rPr>
          <w:rStyle w:val="FootnoteReference"/>
          <w:i/>
          <w:iCs w:val="0"/>
          <w:bdr w:val="nil"/>
        </w:rPr>
        <w:footnoteReference w:id="42"/>
      </w:r>
    </w:p>
    <w:p w14:paraId="3FFD77C3" w14:textId="728E9DB6" w:rsidR="00544AB7" w:rsidRDefault="00544AB7" w:rsidP="000D12F7">
      <w:pPr>
        <w:pStyle w:val="Headinglevel3"/>
        <w:rPr>
          <w:bdr w:val="nil"/>
        </w:rPr>
      </w:pPr>
      <w:r>
        <w:rPr>
          <w:bdr w:val="nil"/>
        </w:rPr>
        <w:t>Questions</w:t>
      </w:r>
    </w:p>
    <w:p w14:paraId="2264518E" w14:textId="0E301483" w:rsidR="000D12F7" w:rsidRPr="006372D8" w:rsidRDefault="006372D8" w:rsidP="006372D8">
      <w:pPr>
        <w:pStyle w:val="BodyText1"/>
        <w:rPr>
          <w:b/>
          <w:bCs/>
          <w:color w:val="000000"/>
          <w:lang w:eastAsia="en-AU"/>
        </w:rPr>
      </w:pPr>
      <w:proofErr w:type="spellStart"/>
      <w:r>
        <w:t>QToNs</w:t>
      </w:r>
      <w:proofErr w:type="spellEnd"/>
      <w:r>
        <w:t xml:space="preserve"> and </w:t>
      </w:r>
      <w:proofErr w:type="spellStart"/>
      <w:r>
        <w:t>QoNs</w:t>
      </w:r>
      <w:proofErr w:type="spellEnd"/>
      <w:r>
        <w:t xml:space="preserve"> which were asked as a result of the Committee’s inquiry </w:t>
      </w:r>
      <w:r w:rsidRPr="006372D8">
        <w:rPr>
          <w:b/>
          <w:bCs/>
        </w:rPr>
        <w:t>are at Appendi</w:t>
      </w:r>
      <w:r w:rsidR="00604832">
        <w:rPr>
          <w:b/>
          <w:bCs/>
        </w:rPr>
        <w:t>c</w:t>
      </w:r>
      <w:r w:rsidRPr="006372D8">
        <w:rPr>
          <w:b/>
          <w:bCs/>
        </w:rPr>
        <w:t>es C and D.</w:t>
      </w:r>
    </w:p>
    <w:p w14:paraId="457AB5FA" w14:textId="53821E9C" w:rsidR="00544AB7" w:rsidRDefault="005D38D2" w:rsidP="00544AB7">
      <w:pPr>
        <w:pStyle w:val="Headinglevel3"/>
        <w:rPr>
          <w:bdr w:val="nil"/>
        </w:rPr>
      </w:pPr>
      <w:r>
        <w:rPr>
          <w:bdr w:val="nil"/>
        </w:rPr>
        <w:t xml:space="preserve">Committee </w:t>
      </w:r>
      <w:r w:rsidR="00F178A7">
        <w:rPr>
          <w:bdr w:val="nil"/>
        </w:rPr>
        <w:t xml:space="preserve">Observations and </w:t>
      </w:r>
      <w:r w:rsidR="00544AB7">
        <w:rPr>
          <w:bdr w:val="nil"/>
        </w:rPr>
        <w:t>Comment</w:t>
      </w:r>
    </w:p>
    <w:p w14:paraId="41DD174C" w14:textId="40CE0D24" w:rsidR="006372D8" w:rsidRDefault="006372D8" w:rsidP="006372D8">
      <w:pPr>
        <w:pStyle w:val="BodyText1"/>
      </w:pPr>
      <w:r>
        <w:t>The Committee makes the following observations and comment on a number of issues which were subject of inquiry:</w:t>
      </w:r>
    </w:p>
    <w:p w14:paraId="3BDAFEF6" w14:textId="77777777" w:rsidR="006372D8" w:rsidRPr="006372D8" w:rsidRDefault="006372D8" w:rsidP="006372D8">
      <w:pPr>
        <w:pStyle w:val="BodyText1"/>
        <w:numPr>
          <w:ilvl w:val="0"/>
          <w:numId w:val="0"/>
        </w:numPr>
        <w:ind w:left="567"/>
      </w:pPr>
    </w:p>
    <w:p w14:paraId="05ED732C" w14:textId="06737C76" w:rsidR="00F178A7" w:rsidRDefault="00F178A7" w:rsidP="009852F5">
      <w:pPr>
        <w:pStyle w:val="Headinglevel4"/>
      </w:pPr>
      <w:r>
        <w:t>General Observation</w:t>
      </w:r>
    </w:p>
    <w:p w14:paraId="49F27774" w14:textId="6732A3B2" w:rsidR="00F178A7" w:rsidRDefault="00F178A7" w:rsidP="00F178A7">
      <w:pPr>
        <w:pStyle w:val="BodyText1"/>
      </w:pPr>
      <w:r>
        <w:t>The Standing Committee notes that, as anticipated and as recorded in the material before the Committee and as a result of hearings, programs an</w:t>
      </w:r>
      <w:r w:rsidR="002E1C34">
        <w:t>d</w:t>
      </w:r>
      <w:r>
        <w:t xml:space="preserve"> activities were subject – more </w:t>
      </w:r>
      <w:r w:rsidR="002E1C34">
        <w:t>than</w:t>
      </w:r>
      <w:r>
        <w:t xml:space="preserve"> other directorates – to the</w:t>
      </w:r>
      <w:r w:rsidR="002E1C34">
        <w:t xml:space="preserve"> unprecedented </w:t>
      </w:r>
      <w:r>
        <w:t xml:space="preserve"> effects of COVID-19 imperatives and emergency </w:t>
      </w:r>
      <w:r w:rsidR="002E1C34">
        <w:t>arrangements.</w:t>
      </w:r>
    </w:p>
    <w:p w14:paraId="24E98B85" w14:textId="535B9721" w:rsidR="00F178A7" w:rsidRDefault="00F178A7" w:rsidP="00F178A7">
      <w:pPr>
        <w:pStyle w:val="BodyText1"/>
      </w:pPr>
      <w:r>
        <w:t xml:space="preserve">The Committee has made observations on </w:t>
      </w:r>
      <w:r w:rsidR="006A1C2D">
        <w:t>several</w:t>
      </w:r>
      <w:r>
        <w:t xml:space="preserve"> areas and has made recommendations which have focussed on reporting, accountability for often truncated program delivery, and significantly different appropriations structure and forecasting than in the past.</w:t>
      </w:r>
    </w:p>
    <w:p w14:paraId="62429B36" w14:textId="39997879" w:rsidR="00F178A7" w:rsidRPr="00F178A7" w:rsidRDefault="00F178A7" w:rsidP="00AF16A7">
      <w:pPr>
        <w:pStyle w:val="BodyText1"/>
      </w:pPr>
      <w:r>
        <w:t xml:space="preserve">The Committee </w:t>
      </w:r>
      <w:r w:rsidR="006372D8">
        <w:t xml:space="preserve">also </w:t>
      </w:r>
      <w:r>
        <w:t>comments specifically on the following:</w:t>
      </w:r>
    </w:p>
    <w:p w14:paraId="00EC904A" w14:textId="10228AD2" w:rsidR="005D38D2" w:rsidRDefault="004B1260" w:rsidP="009852F5">
      <w:pPr>
        <w:pStyle w:val="Headinglevel4"/>
        <w:rPr>
          <w:bdr w:val="nil"/>
        </w:rPr>
      </w:pPr>
      <w:r>
        <w:rPr>
          <w:bdr w:val="nil"/>
        </w:rPr>
        <w:t xml:space="preserve">Funding and Access -  </w:t>
      </w:r>
      <w:r w:rsidR="005D38D2">
        <w:rPr>
          <w:bdr w:val="nil"/>
        </w:rPr>
        <w:t>Canberra Sexual Health Centre</w:t>
      </w:r>
    </w:p>
    <w:p w14:paraId="6CB50598" w14:textId="4A4CE416" w:rsidR="004B1260" w:rsidRDefault="004B1260" w:rsidP="004B1260">
      <w:pPr>
        <w:pStyle w:val="BodyText1"/>
      </w:pPr>
      <w:r>
        <w:t xml:space="preserve">Questions were asked at hearings on </w:t>
      </w:r>
      <w:r w:rsidR="0099284F">
        <w:t>the</w:t>
      </w:r>
      <w:r>
        <w:t xml:space="preserve"> funding of the Canberra Sexual Health </w:t>
      </w:r>
      <w:r w:rsidR="0099284F">
        <w:t>Centre</w:t>
      </w:r>
      <w:r>
        <w:t>. The principal question raised was asked by the Committee Chair:</w:t>
      </w:r>
    </w:p>
    <w:p w14:paraId="5C6B89A7" w14:textId="3DA308B7" w:rsidR="004B1260" w:rsidRDefault="004B1260" w:rsidP="003B621B">
      <w:pPr>
        <w:pStyle w:val="Quote"/>
      </w:pPr>
      <w:r w:rsidRPr="003B621B">
        <w:rPr>
          <w:rStyle w:val="QuoteChar"/>
        </w:rPr>
        <w:t>Do you know if the Sexual Health Centre collects data on demographics of the patients in terms of where they come from? I have had it put to me by a number of constituents that the location being physically in Woden is becoming a barrier, particularly for a number of northside patients, to access that specialist service. I am interested to know if that anecdotal evidence is borne out through the data you collect</w:t>
      </w:r>
      <w:r>
        <w:t>.</w:t>
      </w:r>
      <w:r>
        <w:rPr>
          <w:rStyle w:val="FootnoteReference"/>
        </w:rPr>
        <w:footnoteReference w:id="43"/>
      </w:r>
    </w:p>
    <w:p w14:paraId="32923224" w14:textId="5B154199" w:rsidR="003B621B" w:rsidRDefault="003B621B" w:rsidP="003B621B">
      <w:pPr>
        <w:pStyle w:val="BodyText1"/>
      </w:pPr>
      <w:r>
        <w:t xml:space="preserve">The Committee also raised </w:t>
      </w:r>
      <w:r w:rsidR="0099284F">
        <w:t>approaches</w:t>
      </w:r>
      <w:r>
        <w:t xml:space="preserve"> to sexual health which may have </w:t>
      </w:r>
      <w:r w:rsidR="0099284F">
        <w:t>the</w:t>
      </w:r>
      <w:r>
        <w:t xml:space="preserve"> result of reducing the level of </w:t>
      </w:r>
      <w:r w:rsidR="0099284F">
        <w:t>specialist</w:t>
      </w:r>
      <w:r>
        <w:t xml:space="preserve"> expertise in treatment .  In response, and in response to </w:t>
      </w:r>
      <w:r w:rsidR="0099284F">
        <w:t>issues</w:t>
      </w:r>
      <w:r>
        <w:t xml:space="preserve"> raised by the Committee relating to sexual health services being provided at walk-in </w:t>
      </w:r>
      <w:r w:rsidR="0099284F">
        <w:t>centres</w:t>
      </w:r>
      <w:r>
        <w:t xml:space="preserve"> and  - in the future – at new facilities at Canberra </w:t>
      </w:r>
      <w:r w:rsidR="0099284F">
        <w:t>hospital The</w:t>
      </w:r>
      <w:r>
        <w:t xml:space="preserve"> Committee was advised that:</w:t>
      </w:r>
    </w:p>
    <w:p w14:paraId="0D00A204" w14:textId="2EAD66D9" w:rsidR="003B621B" w:rsidRDefault="003B621B" w:rsidP="0099284F">
      <w:pPr>
        <w:pStyle w:val="Quote"/>
      </w:pPr>
      <w:r>
        <w:t>We are looking at different models across the board, what is the demand and need, how do we meet that, what is the model of care, is it best to have it all in one location with that specialist and everyone come to that or is it better to do different categories of care and then spread it out? At this point we have not made any decisions about moving sexual health services out into the walk-in centres, but it is something for us to consider in the light of our clinical services plan.</w:t>
      </w:r>
      <w:r>
        <w:rPr>
          <w:rStyle w:val="FootnoteReference"/>
        </w:rPr>
        <w:footnoteReference w:id="44"/>
      </w:r>
    </w:p>
    <w:p w14:paraId="0B27E69A" w14:textId="778ADD7B" w:rsidR="003B621B" w:rsidRDefault="003B621B" w:rsidP="003B621B">
      <w:pPr>
        <w:pStyle w:val="BodyText1"/>
      </w:pPr>
      <w:r>
        <w:t xml:space="preserve">The Committee notes this advice, and general planning </w:t>
      </w:r>
      <w:r w:rsidR="0099284F">
        <w:t>statements</w:t>
      </w:r>
      <w:r>
        <w:t xml:space="preserve"> regarding sexual Health treatment made during hearings, </w:t>
      </w:r>
      <w:r w:rsidR="0099284F">
        <w:t>particularly</w:t>
      </w:r>
      <w:r>
        <w:t xml:space="preserve"> in relation to </w:t>
      </w:r>
      <w:r w:rsidR="006A7411">
        <w:t xml:space="preserve">the current limitation on </w:t>
      </w:r>
      <w:r>
        <w:t>drop-in centres</w:t>
      </w:r>
      <w:r w:rsidR="006A7411">
        <w:t>:</w:t>
      </w:r>
    </w:p>
    <w:p w14:paraId="70057B97" w14:textId="69C82689" w:rsidR="006A7411" w:rsidRDefault="006A7411" w:rsidP="0099284F">
      <w:pPr>
        <w:pStyle w:val="Quote"/>
      </w:pPr>
      <w:r>
        <w:t>….(</w:t>
      </w:r>
      <w:r w:rsidR="0099284F">
        <w:t xml:space="preserve">that </w:t>
      </w:r>
      <w:r>
        <w:t xml:space="preserve">) </w:t>
      </w:r>
      <w:r w:rsidR="0099284F">
        <w:t xml:space="preserve">a lack </w:t>
      </w:r>
      <w:r>
        <w:t xml:space="preserve">of the drop-in service has limited the access of a couple of at-risk groups who would use the sexual health clinic perhaps more than others—young people, </w:t>
      </w:r>
      <w:r w:rsidR="009F765A">
        <w:t>sexuality,</w:t>
      </w:r>
      <w:r>
        <w:t xml:space="preserve"> and gender diverse people—and that that could subsequently have an effect long term on their health care. What work, if any, is being done to reopen the drop-in services—even for a short time—and expand their hours to catch-up, for lack of a better way of putting it?</w:t>
      </w:r>
      <w:r>
        <w:rPr>
          <w:rStyle w:val="FootnoteReference"/>
        </w:rPr>
        <w:footnoteReference w:id="45"/>
      </w:r>
    </w:p>
    <w:p w14:paraId="3DE2F49E" w14:textId="26135941" w:rsidR="006A7411" w:rsidRDefault="0099284F" w:rsidP="003B621B">
      <w:pPr>
        <w:pStyle w:val="BodyText1"/>
      </w:pPr>
      <w:r>
        <w:t>Additional a</w:t>
      </w:r>
      <w:r w:rsidR="006A7411">
        <w:t>dvice received by the Committee was that:</w:t>
      </w:r>
    </w:p>
    <w:p w14:paraId="26D81F2D" w14:textId="05375816" w:rsidR="006A7411" w:rsidRDefault="00F529B6" w:rsidP="0099284F">
      <w:pPr>
        <w:pStyle w:val="Quote"/>
      </w:pPr>
      <w:r>
        <w:t>We are looking at all our services where we have had to make changes due to COVID, to try and understand the impact of that and what we might need to do to reboot, or get the services back online, particularly parts of services. We have always had the service open right through COVID but using a different way to deliver the services. We certainly will work with our sexual health team in terms of what that might look like; but we are still in COVID. We are still screening people. We are still very careful about how many people come onto our site because we are one of the most vulnerable populations and we really need to still keep all our staff and all our patients safe as much as possible.</w:t>
      </w:r>
      <w:r>
        <w:rPr>
          <w:rStyle w:val="FootnoteReference"/>
        </w:rPr>
        <w:footnoteReference w:id="46"/>
      </w:r>
    </w:p>
    <w:p w14:paraId="373AF512" w14:textId="269944F2" w:rsidR="00CF4A93" w:rsidRDefault="00CF4A93" w:rsidP="003B621B">
      <w:pPr>
        <w:pStyle w:val="BodyText1"/>
      </w:pPr>
      <w:r>
        <w:t>The Committee considers th</w:t>
      </w:r>
      <w:r w:rsidR="0099284F">
        <w:t>e</w:t>
      </w:r>
      <w:r>
        <w:t xml:space="preserve"> current </w:t>
      </w:r>
      <w:r w:rsidR="0099284F">
        <w:t>a</w:t>
      </w:r>
      <w:r>
        <w:t>nd future running an</w:t>
      </w:r>
      <w:r w:rsidR="0099284F">
        <w:t>d</w:t>
      </w:r>
      <w:r>
        <w:t xml:space="preserve"> successful results for clients of the Sexual health Centre needs to be </w:t>
      </w:r>
      <w:r w:rsidR="0099284F">
        <w:t>monitored</w:t>
      </w:r>
      <w:r>
        <w:t xml:space="preserve"> and </w:t>
      </w:r>
      <w:r w:rsidR="0099284F">
        <w:t>reported</w:t>
      </w:r>
      <w:r>
        <w:t xml:space="preserve"> in some detail in the future, </w:t>
      </w:r>
      <w:r w:rsidR="0099284F">
        <w:t>particularly</w:t>
      </w:r>
      <w:r>
        <w:t xml:space="preserve"> </w:t>
      </w:r>
      <w:r w:rsidR="0099284F">
        <w:t>considering</w:t>
      </w:r>
      <w:r>
        <w:t xml:space="preserve"> continuing COVID-19 arrangements and possible new arrangements with the new hospital.  In addition, access is of primary importance, and needs continuing monitoring.</w:t>
      </w:r>
    </w:p>
    <w:tbl>
      <w:tblPr>
        <w:tblStyle w:val="TableGrid"/>
        <w:tblW w:w="9209" w:type="dxa"/>
        <w:tblInd w:w="-142" w:type="dxa"/>
        <w:tblLook w:val="04A0" w:firstRow="1" w:lastRow="0" w:firstColumn="1" w:lastColumn="0" w:noHBand="0" w:noVBand="1"/>
      </w:tblPr>
      <w:tblGrid>
        <w:gridCol w:w="9209"/>
      </w:tblGrid>
      <w:tr w:rsidR="00AA7502" w14:paraId="36CCB31D" w14:textId="77777777" w:rsidTr="00AA7502">
        <w:tc>
          <w:tcPr>
            <w:tcW w:w="9209" w:type="dxa"/>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tcBorders>
          </w:tcPr>
          <w:p w14:paraId="79E7859B" w14:textId="6BBE071E" w:rsidR="00AA7502" w:rsidRDefault="00AA7502" w:rsidP="00AA7502">
            <w:pPr>
              <w:pStyle w:val="RecommendationHeading"/>
            </w:pPr>
            <w:bookmarkStart w:id="46" w:name="_Toc68848894"/>
            <w:r>
              <w:t xml:space="preserve">Recommendation </w:t>
            </w:r>
            <w:r>
              <w:rPr>
                <w:noProof/>
              </w:rPr>
              <w:fldChar w:fldCharType="begin"/>
            </w:r>
            <w:r>
              <w:rPr>
                <w:noProof/>
              </w:rPr>
              <w:instrText xml:space="preserve"> seq NumList </w:instrText>
            </w:r>
            <w:r>
              <w:rPr>
                <w:noProof/>
              </w:rPr>
              <w:fldChar w:fldCharType="separate"/>
            </w:r>
            <w:r w:rsidR="002A4E14">
              <w:rPr>
                <w:noProof/>
              </w:rPr>
              <w:t>1</w:t>
            </w:r>
            <w:bookmarkEnd w:id="46"/>
            <w:r>
              <w:rPr>
                <w:noProof/>
              </w:rPr>
              <w:fldChar w:fldCharType="end"/>
            </w:r>
          </w:p>
          <w:p w14:paraId="41FD8B10" w14:textId="4ACC0F26" w:rsidR="00AA7502" w:rsidRPr="00AA7502" w:rsidRDefault="00AA7502" w:rsidP="00AA7502">
            <w:pPr>
              <w:pStyle w:val="RecommendationText"/>
            </w:pPr>
            <w:bookmarkStart w:id="47" w:name="_Toc68848895"/>
            <w:r w:rsidRPr="005C2A39">
              <w:t>The Committee recommends that data on sexual health services be provided in the next annual repor</w:t>
            </w:r>
            <w:r w:rsidR="001E6E0B">
              <w:t>t</w:t>
            </w:r>
            <w:r w:rsidRPr="005C2A39">
              <w:t xml:space="preserve">.  Included in this information should be </w:t>
            </w:r>
            <w:r w:rsidR="001E6E0B">
              <w:t xml:space="preserve">results of </w:t>
            </w:r>
            <w:r w:rsidRPr="005C2A39">
              <w:t xml:space="preserve">consultations </w:t>
            </w:r>
            <w:r w:rsidR="001E6E0B">
              <w:t xml:space="preserve">with </w:t>
            </w:r>
            <w:r w:rsidRPr="005C2A39">
              <w:t>cli</w:t>
            </w:r>
            <w:r w:rsidR="001E6E0B">
              <w:t>e</w:t>
            </w:r>
            <w:r w:rsidRPr="005C2A39">
              <w:t xml:space="preserve">nts on how services are </w:t>
            </w:r>
            <w:r w:rsidR="00E052BA">
              <w:t>provided,</w:t>
            </w:r>
            <w:r w:rsidR="001E6E0B">
              <w:t xml:space="preserve"> and the level of </w:t>
            </w:r>
            <w:r w:rsidRPr="005C2A39">
              <w:t xml:space="preserve">satisfaction </w:t>
            </w:r>
            <w:r w:rsidR="001E6E0B">
              <w:t xml:space="preserve">recorded </w:t>
            </w:r>
            <w:r w:rsidRPr="005C2A39">
              <w:t>by clients.</w:t>
            </w:r>
            <w:bookmarkEnd w:id="47"/>
          </w:p>
        </w:tc>
      </w:tr>
    </w:tbl>
    <w:p w14:paraId="7E82177B" w14:textId="098BF766" w:rsidR="005D38D2" w:rsidRDefault="005D38D2" w:rsidP="009852F5">
      <w:pPr>
        <w:pStyle w:val="Headinglevel4"/>
        <w:rPr>
          <w:i/>
          <w:iCs/>
          <w:bdr w:val="nil"/>
        </w:rPr>
      </w:pPr>
      <w:r>
        <w:rPr>
          <w:bdr w:val="nil"/>
        </w:rPr>
        <w:t>LGBTQ</w:t>
      </w:r>
      <w:r w:rsidR="0081096C">
        <w:rPr>
          <w:bdr w:val="nil"/>
        </w:rPr>
        <w:t>IA+</w:t>
      </w:r>
      <w:r>
        <w:rPr>
          <w:bdr w:val="nil"/>
        </w:rPr>
        <w:t xml:space="preserve"> health scoping study </w:t>
      </w:r>
      <w:r w:rsidRPr="000A1386">
        <w:rPr>
          <w:i/>
          <w:iCs/>
          <w:bdr w:val="nil"/>
        </w:rPr>
        <w:t>(AR)</w:t>
      </w:r>
    </w:p>
    <w:p w14:paraId="0F7EB9DB" w14:textId="2A3F691B" w:rsidR="0099284F" w:rsidRDefault="00FD33BC" w:rsidP="0099284F">
      <w:pPr>
        <w:pStyle w:val="BodyText1"/>
      </w:pPr>
      <w:r>
        <w:t>The Committee was advised details of the LGBTQ</w:t>
      </w:r>
      <w:r w:rsidR="0081096C">
        <w:t>IA+</w:t>
      </w:r>
      <w:r>
        <w:t xml:space="preserve"> Health Scoping Study:</w:t>
      </w:r>
    </w:p>
    <w:p w14:paraId="4148225A" w14:textId="07159240" w:rsidR="00FD33BC" w:rsidRDefault="00FD33BC" w:rsidP="00D63601">
      <w:pPr>
        <w:pStyle w:val="Quote"/>
      </w:pPr>
      <w:r>
        <w:t>The scoping studies were intended to identify how, in essence, we can make the health system better attuned to meet the needs of LTBTIQ+ folk. In terms of the process, it was a little disrupted by COVID but the key elements of it were a literature review, the survey that was open to all Canberrans and promoted through various channels as well, and a few workshops. We did not have the opportunity to run all the workshops we wanted to because of COVID interrupting that process.</w:t>
      </w:r>
    </w:p>
    <w:p w14:paraId="075AA90C" w14:textId="77777777" w:rsidR="00FD33BC" w:rsidRDefault="00FD33BC" w:rsidP="00D63601">
      <w:pPr>
        <w:pStyle w:val="Quote"/>
      </w:pPr>
    </w:p>
    <w:p w14:paraId="3C13D660" w14:textId="06D443F2" w:rsidR="00FD33BC" w:rsidRDefault="00FD33BC" w:rsidP="00D63601">
      <w:pPr>
        <w:pStyle w:val="Quote"/>
      </w:pPr>
      <w:r>
        <w:t>In terms of the scope of the study, I do not think anything was precluded from the scope of the study. It encompassed the full LGBTIQ</w:t>
      </w:r>
      <w:r w:rsidR="0081096C">
        <w:t>IA</w:t>
      </w:r>
      <w:r>
        <w:t>+ spectrum; it encompassed mental health, physical health, access to health, barriers to access to health, what people felt was missing from the health system in Canberra and, of course, in some instances what people thought was working really well in the health system in Canberra. It encompassed all that.</w:t>
      </w:r>
      <w:r w:rsidR="00D63601">
        <w:rPr>
          <w:rStyle w:val="FootnoteReference"/>
        </w:rPr>
        <w:footnoteReference w:id="47"/>
      </w:r>
    </w:p>
    <w:p w14:paraId="6C57402C" w14:textId="24FC66D1" w:rsidR="00FD33BC" w:rsidRDefault="00D63601" w:rsidP="0099284F">
      <w:pPr>
        <w:pStyle w:val="BodyText1"/>
      </w:pPr>
      <w:r>
        <w:t xml:space="preserve">The Committee </w:t>
      </w:r>
      <w:r w:rsidR="009F765A">
        <w:t>particularly</w:t>
      </w:r>
      <w:r>
        <w:t xml:space="preserve"> sought </w:t>
      </w:r>
      <w:r w:rsidR="009F765A">
        <w:t>advice</w:t>
      </w:r>
      <w:r>
        <w:t xml:space="preserve"> on how </w:t>
      </w:r>
      <w:r w:rsidR="009F765A">
        <w:t>members</w:t>
      </w:r>
      <w:r>
        <w:t xml:space="preserve"> of the Intersex community </w:t>
      </w:r>
      <w:r w:rsidR="009F765A">
        <w:t>were</w:t>
      </w:r>
      <w:r>
        <w:t xml:space="preserve"> involved in the study.</w:t>
      </w:r>
    </w:p>
    <w:p w14:paraId="1A59115B" w14:textId="2A303E7A" w:rsidR="00D63601" w:rsidRDefault="00D63601" w:rsidP="0099284F">
      <w:pPr>
        <w:pStyle w:val="BodyText1"/>
      </w:pPr>
      <w:r>
        <w:t xml:space="preserve">The </w:t>
      </w:r>
      <w:r w:rsidR="007C0315">
        <w:t>M</w:t>
      </w:r>
      <w:r>
        <w:t>inister advised th</w:t>
      </w:r>
      <w:r w:rsidR="007C0315">
        <w:t>e</w:t>
      </w:r>
      <w:r>
        <w:t xml:space="preserve"> Committee th</w:t>
      </w:r>
      <w:r w:rsidR="007C0315">
        <w:t>a</w:t>
      </w:r>
      <w:r>
        <w:t>t</w:t>
      </w:r>
    </w:p>
    <w:p w14:paraId="4B850B74" w14:textId="502B92DE" w:rsidR="00D63601" w:rsidRDefault="00D63601" w:rsidP="006719B1">
      <w:pPr>
        <w:pStyle w:val="Quote"/>
      </w:pPr>
      <w:r>
        <w:t xml:space="preserve">A Gender Agenda have been very strongly advocating in terms of ensuring that intersex people’s needs are well represented. They obviously have a range of people within their advocacy. They have also been talking to their members, who identify as intersex, about their views and needs and representing that up. </w:t>
      </w:r>
    </w:p>
    <w:p w14:paraId="4A154F0F" w14:textId="77777777" w:rsidR="00D63601" w:rsidRDefault="00D63601" w:rsidP="006719B1">
      <w:pPr>
        <w:pStyle w:val="Quote"/>
      </w:pPr>
    </w:p>
    <w:p w14:paraId="2E86DE33" w14:textId="1B3601A1" w:rsidR="00D63601" w:rsidRDefault="00D63601" w:rsidP="006719B1">
      <w:pPr>
        <w:pStyle w:val="Quote"/>
      </w:pPr>
      <w:r>
        <w:t>In addition to the focus group, there has been ongoing conversation with key stakeholders, including A Gender Agenda, to identify some of those gaps that might have come out because of the restrictions in the consultation around COVID and what we can do to ensure that we address those.</w:t>
      </w:r>
      <w:r w:rsidR="006719B1">
        <w:rPr>
          <w:rStyle w:val="FootnoteReference"/>
        </w:rPr>
        <w:footnoteReference w:id="48"/>
      </w:r>
    </w:p>
    <w:p w14:paraId="4E967DFD" w14:textId="015E6F22" w:rsidR="00D63601" w:rsidRPr="0099284F" w:rsidRDefault="00D63601" w:rsidP="0099284F">
      <w:pPr>
        <w:pStyle w:val="BodyText1"/>
      </w:pPr>
      <w:r>
        <w:t>The Committee notes th</w:t>
      </w:r>
      <w:r w:rsidR="008D2A7E">
        <w:t>e</w:t>
      </w:r>
      <w:r>
        <w:t xml:space="preserve"> </w:t>
      </w:r>
      <w:r w:rsidR="008D2A7E">
        <w:t>M</w:t>
      </w:r>
      <w:r>
        <w:t>inister has undertaken to publish the report of the Scoping Study.  The Committee welcomes th</w:t>
      </w:r>
      <w:r w:rsidR="008D2A7E">
        <w:t>a</w:t>
      </w:r>
      <w:r>
        <w:t>t course.</w:t>
      </w:r>
    </w:p>
    <w:p w14:paraId="1EC0A434" w14:textId="122872B6" w:rsidR="005D38D2" w:rsidRDefault="00DF31AB" w:rsidP="009852F5">
      <w:pPr>
        <w:pStyle w:val="Headinglevel4"/>
        <w:rPr>
          <w:bdr w:val="nil"/>
        </w:rPr>
      </w:pPr>
      <w:r>
        <w:rPr>
          <w:bdr w:val="nil"/>
        </w:rPr>
        <w:t>Sexually Transmitted Infection (</w:t>
      </w:r>
      <w:r w:rsidR="005D38D2">
        <w:rPr>
          <w:bdr w:val="nil"/>
        </w:rPr>
        <w:t>STI</w:t>
      </w:r>
      <w:r>
        <w:rPr>
          <w:bdr w:val="nil"/>
        </w:rPr>
        <w:t>)</w:t>
      </w:r>
      <w:r w:rsidR="005D38D2">
        <w:rPr>
          <w:bdr w:val="nil"/>
        </w:rPr>
        <w:t xml:space="preserve"> testing</w:t>
      </w:r>
    </w:p>
    <w:p w14:paraId="7F2E41C5" w14:textId="53DF55FC" w:rsidR="00C35820" w:rsidRDefault="00C35820" w:rsidP="009F765A">
      <w:pPr>
        <w:pStyle w:val="BodyText1"/>
      </w:pPr>
      <w:r>
        <w:t xml:space="preserve">The Committee, in following up a recommendation from </w:t>
      </w:r>
      <w:r w:rsidR="009E78A0">
        <w:t>its</w:t>
      </w:r>
      <w:r>
        <w:t xml:space="preserve"> 2020 report on Annual Reports, asked , </w:t>
      </w:r>
      <w:r w:rsidR="00DF31AB">
        <w:t xml:space="preserve">whether </w:t>
      </w:r>
      <w:r>
        <w:t xml:space="preserve">ACT Health </w:t>
      </w:r>
      <w:r w:rsidR="00DF31AB">
        <w:t xml:space="preserve">intended conducting a program of </w:t>
      </w:r>
      <w:r>
        <w:t>STI testing at festivals this year?</w:t>
      </w:r>
      <w:r w:rsidR="00121D14">
        <w:rPr>
          <w:rStyle w:val="FootnoteReference"/>
        </w:rPr>
        <w:footnoteReference w:id="49"/>
      </w:r>
    </w:p>
    <w:p w14:paraId="2D15771D" w14:textId="22BC920C" w:rsidR="00C35820" w:rsidRDefault="00DF31AB" w:rsidP="00C35820">
      <w:pPr>
        <w:pStyle w:val="BodyText1"/>
      </w:pPr>
      <w:r>
        <w:t xml:space="preserve">The Committee was advised </w:t>
      </w:r>
      <w:r w:rsidR="00121D14">
        <w:t xml:space="preserve">that, </w:t>
      </w:r>
      <w:r w:rsidR="009E78A0">
        <w:t>considering</w:t>
      </w:r>
      <w:r w:rsidR="00121D14">
        <w:t xml:space="preserve"> COVID restrictions on large gatherings such as festivals and the broader need to take precautions to ascertain and limit STIs through testing and prevention, that:</w:t>
      </w:r>
    </w:p>
    <w:p w14:paraId="0B4BD2AE" w14:textId="7946DB86" w:rsidR="00121D14" w:rsidRDefault="00121D14" w:rsidP="00121D14">
      <w:pPr>
        <w:pStyle w:val="Quote"/>
      </w:pPr>
      <w:r w:rsidRPr="00121D14">
        <w:rPr>
          <w:rStyle w:val="QuoteChar"/>
        </w:rPr>
        <w:t xml:space="preserve">What we have noticed over many years is that STIs, sexually transmitted infections, are increasing in our young people. Young people </w:t>
      </w:r>
      <w:r w:rsidR="009E78A0" w:rsidRPr="00121D14">
        <w:rPr>
          <w:rStyle w:val="QuoteChar"/>
        </w:rPr>
        <w:t>are</w:t>
      </w:r>
      <w:r w:rsidRPr="00121D14">
        <w:rPr>
          <w:rStyle w:val="QuoteChar"/>
        </w:rPr>
        <w:t xml:space="preserve"> where we need to be focusing, regardless of sex, gender and other aspects. Music festivals is one of the places in which they all congregate but there are other places. That is one of the reasons we have been looking at walk-in centres as an opportunity to expand that testing, as that is a drop-in kind of place</w:t>
      </w:r>
      <w:r>
        <w:t xml:space="preserve">. </w:t>
      </w:r>
    </w:p>
    <w:p w14:paraId="251902ED" w14:textId="1ECC1107" w:rsidR="00121D14" w:rsidRDefault="00121D14" w:rsidP="005C2A39">
      <w:pPr>
        <w:pStyle w:val="Quote"/>
      </w:pPr>
      <w:r>
        <w:t>Screening is a really easy “pee in a jar” kind of prospect, so the baseline sexual testing is actually really easy. So I am not sure that we need a specific, unique sexual health testing clinic itself.</w:t>
      </w:r>
      <w:r w:rsidR="00F1579E" w:rsidRPr="00F1579E">
        <w:rPr>
          <w:rStyle w:val="FootnoteReference"/>
        </w:rPr>
        <w:t xml:space="preserve"> </w:t>
      </w:r>
      <w:r w:rsidR="00F1579E">
        <w:rPr>
          <w:rStyle w:val="FootnoteReference"/>
        </w:rPr>
        <w:footnoteReference w:id="50"/>
      </w:r>
    </w:p>
    <w:p w14:paraId="15B5F184" w14:textId="6212B079" w:rsidR="005C2A39" w:rsidRDefault="005C2A39" w:rsidP="005C2A39">
      <w:pPr>
        <w:pStyle w:val="BodyText1"/>
      </w:pPr>
      <w:r>
        <w:t xml:space="preserve">The Committee notes this advice form ACT Health, and comments that it will be an important aspect of the conduct of Festivals etc. in the ACT post COVID for STI testing and other testing to be conducted in the manner trialled </w:t>
      </w:r>
      <w:r w:rsidR="009E78A0">
        <w:t>successfully.</w:t>
      </w:r>
    </w:p>
    <w:p w14:paraId="3DB7B118" w14:textId="47F721D6" w:rsidR="007127B1" w:rsidRDefault="007127B1" w:rsidP="00BF186C">
      <w:pPr>
        <w:pStyle w:val="Headinglevel4"/>
        <w:numPr>
          <w:ilvl w:val="0"/>
          <w:numId w:val="0"/>
        </w:numPr>
        <w:rPr>
          <w:bdr w:val="nil"/>
        </w:rPr>
      </w:pPr>
      <w:r w:rsidRPr="007127B1">
        <w:rPr>
          <w:bdr w:val="nil"/>
        </w:rPr>
        <w:t xml:space="preserve">Responses to </w:t>
      </w:r>
      <w:r w:rsidR="009E6CFC" w:rsidRPr="007127B1">
        <w:rPr>
          <w:bdr w:val="nil"/>
        </w:rPr>
        <w:t>ACT Emergency Department waiting times</w:t>
      </w:r>
    </w:p>
    <w:p w14:paraId="1497E3FA" w14:textId="77777777" w:rsidR="007127B1" w:rsidRDefault="007127B1" w:rsidP="007127B1">
      <w:pPr>
        <w:pStyle w:val="BodyText1"/>
      </w:pPr>
      <w:r>
        <w:t xml:space="preserve">The Committee drew attention at its hearing to responses to waiting times at ACT Emergency Departments and that The Productivity Commission report on Health Services shows that the ACT’s emergency department waiting times are the longest in the country and performance across several categories has deteriorated in recent years. </w:t>
      </w:r>
    </w:p>
    <w:p w14:paraId="41E023B5" w14:textId="77777777" w:rsidR="007127B1" w:rsidRDefault="007127B1" w:rsidP="007127B1">
      <w:pPr>
        <w:pStyle w:val="BodyText1"/>
      </w:pPr>
      <w:r>
        <w:t xml:space="preserve">The Committee noted that </w:t>
      </w:r>
    </w:p>
    <w:p w14:paraId="6ED9DFE3" w14:textId="70E33CB6" w:rsidR="007127B1" w:rsidRDefault="007127B1" w:rsidP="00AD7463">
      <w:pPr>
        <w:pStyle w:val="Quote"/>
      </w:pPr>
      <w:r>
        <w:t>On 23 February this year, Canberra Health Services issued a reminder on Facebook that the ED should be for genuinely urgent matters only and that Canberra Hospital’s ED was under pressure.</w:t>
      </w:r>
      <w:r>
        <w:rPr>
          <w:rStyle w:val="FootnoteReference"/>
        </w:rPr>
        <w:footnoteReference w:id="51"/>
      </w:r>
    </w:p>
    <w:p w14:paraId="589D06C8" w14:textId="05284A1B" w:rsidR="007127B1" w:rsidRDefault="007127B1" w:rsidP="007127B1">
      <w:pPr>
        <w:pStyle w:val="BodyText1"/>
      </w:pPr>
      <w:r>
        <w:t xml:space="preserve">Discussion with the Minister and officials focussed on how </w:t>
      </w:r>
      <w:r w:rsidR="009E78A0">
        <w:t>advice</w:t>
      </w:r>
      <w:r>
        <w:t xml:space="preserve"> to the community by APP and other communication has allowed persons seeking information on best -option emergency attention</w:t>
      </w:r>
      <w:r w:rsidR="00AD7463">
        <w:t>.  In discussion with the Committee the Minister noted that:</w:t>
      </w:r>
    </w:p>
    <w:p w14:paraId="594DD0B7" w14:textId="4F4E109C" w:rsidR="00AD7463" w:rsidRDefault="00AD7463" w:rsidP="00BE5D29">
      <w:pPr>
        <w:pStyle w:val="Quote"/>
      </w:pPr>
      <w:r>
        <w:t>On those days when we particularly want to get the message out to people about their alternative options, we also contact mainstream media. You will often hear on the radio news, for example, that Canberra Health Services is just reminding people: “We’re having a busy day. Can you please think of an alternative if you don’t need to come to the emergency department at this particular time?”</w:t>
      </w:r>
    </w:p>
    <w:p w14:paraId="194CD652" w14:textId="77777777" w:rsidR="00AD7463" w:rsidRDefault="00AD7463" w:rsidP="00BE5D29">
      <w:pPr>
        <w:pStyle w:val="Quote"/>
      </w:pPr>
    </w:p>
    <w:p w14:paraId="33C6D976" w14:textId="77777777" w:rsidR="00AD7463" w:rsidRDefault="00AD7463" w:rsidP="00BE5D29">
      <w:pPr>
        <w:pStyle w:val="Quote"/>
      </w:pPr>
      <w:r>
        <w:t>We also have the ACT Health app. We are continually looking at ways to better promote the availability of the app and encourage people to download it so that people can get real-time information about the waiting times both at Canberra Hospital and Calvary, as well as across the walk</w:t>
      </w:r>
      <w:r>
        <w:noBreakHyphen/>
        <w:t>in centres. The app also includes information about what can be treated at a walk</w:t>
      </w:r>
      <w:r>
        <w:noBreakHyphen/>
        <w:t>in centre. It is a useful source of information for people. Of course, the app also does the COVID screening for people who are turning up to Canberra Health Services or any of our other health services across the city.</w:t>
      </w:r>
    </w:p>
    <w:p w14:paraId="7C8AD424" w14:textId="7933CB73" w:rsidR="00AD7463" w:rsidRDefault="00AD7463" w:rsidP="007127B1">
      <w:pPr>
        <w:pStyle w:val="BodyText1"/>
      </w:pPr>
      <w:r>
        <w:t xml:space="preserve">The Committee observes, as has been </w:t>
      </w:r>
      <w:r w:rsidR="009E78A0">
        <w:t>noted in</w:t>
      </w:r>
      <w:r>
        <w:t xml:space="preserve"> </w:t>
      </w:r>
      <w:r w:rsidR="009E78A0">
        <w:t>the</w:t>
      </w:r>
      <w:r>
        <w:t xml:space="preserve"> past, that Emergency Departments (and centres treating walk-in cases requiring urgency) </w:t>
      </w:r>
      <w:r w:rsidR="00BE5D29">
        <w:t xml:space="preserve">are busy places often under great pressure.  Any </w:t>
      </w:r>
      <w:r w:rsidR="009E78A0">
        <w:t>initiatives</w:t>
      </w:r>
      <w:r w:rsidR="00BE5D29">
        <w:t xml:space="preserve"> which can be </w:t>
      </w:r>
      <w:r w:rsidR="009E78A0">
        <w:t>taken</w:t>
      </w:r>
      <w:r w:rsidR="00BE5D29">
        <w:t xml:space="preserve"> to ‘even out’ and spread the load of treatment by </w:t>
      </w:r>
      <w:r w:rsidR="009E78A0">
        <w:t>utilising</w:t>
      </w:r>
      <w:r w:rsidR="00BE5D29">
        <w:t xml:space="preserve"> social media and other means to get a best result by way of public information should be encouraged.</w:t>
      </w:r>
    </w:p>
    <w:p w14:paraId="13F174A2" w14:textId="3342646A" w:rsidR="00BE5D29" w:rsidRDefault="00BE5D29" w:rsidP="007127B1">
      <w:pPr>
        <w:pStyle w:val="BodyText1"/>
      </w:pPr>
      <w:r>
        <w:t xml:space="preserve">The Committee </w:t>
      </w:r>
      <w:r w:rsidR="00BF186C">
        <w:t>makes the following recommendation:</w:t>
      </w:r>
    </w:p>
    <w:tbl>
      <w:tblPr>
        <w:tblStyle w:val="TableGrid"/>
        <w:tblW w:w="9209" w:type="dxa"/>
        <w:tblInd w:w="-142" w:type="dxa"/>
        <w:tblLook w:val="04A0" w:firstRow="1" w:lastRow="0" w:firstColumn="1" w:lastColumn="0" w:noHBand="0" w:noVBand="1"/>
      </w:tblPr>
      <w:tblGrid>
        <w:gridCol w:w="9209"/>
      </w:tblGrid>
      <w:tr w:rsidR="00AA7502" w14:paraId="4A8A4F57" w14:textId="77777777" w:rsidTr="00665195">
        <w:tc>
          <w:tcPr>
            <w:tcW w:w="9209" w:type="dxa"/>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tcBorders>
          </w:tcPr>
          <w:p w14:paraId="27FC5D10" w14:textId="25651C0A" w:rsidR="00AA7502" w:rsidRDefault="00AA7502" w:rsidP="00AA7502">
            <w:pPr>
              <w:pStyle w:val="RecommendationHeading"/>
            </w:pPr>
            <w:bookmarkStart w:id="48" w:name="_Toc68848896"/>
            <w:r>
              <w:t xml:space="preserve">Recommendation </w:t>
            </w:r>
            <w:r>
              <w:rPr>
                <w:noProof/>
              </w:rPr>
              <w:fldChar w:fldCharType="begin"/>
            </w:r>
            <w:r>
              <w:rPr>
                <w:noProof/>
              </w:rPr>
              <w:instrText xml:space="preserve"> seq NumList </w:instrText>
            </w:r>
            <w:r>
              <w:rPr>
                <w:noProof/>
              </w:rPr>
              <w:fldChar w:fldCharType="separate"/>
            </w:r>
            <w:r w:rsidR="002A4E14">
              <w:rPr>
                <w:noProof/>
              </w:rPr>
              <w:t>2</w:t>
            </w:r>
            <w:bookmarkEnd w:id="48"/>
            <w:r>
              <w:rPr>
                <w:noProof/>
              </w:rPr>
              <w:fldChar w:fldCharType="end"/>
            </w:r>
          </w:p>
          <w:p w14:paraId="178AFFF6" w14:textId="79C41F38" w:rsidR="00AA7502" w:rsidRPr="00AA7502" w:rsidRDefault="00AA7502" w:rsidP="00AA7502">
            <w:pPr>
              <w:pStyle w:val="RecommendationText"/>
            </w:pPr>
            <w:bookmarkStart w:id="49" w:name="_Toc68848897"/>
            <w:r>
              <w:t>That ACT Health continue to utilise and improve best practice social media and other community communication media to ensure that the community become used to consulting appropriate Apps and online information to assess availability of the appropriate service for treatment – including emergency – needs.</w:t>
            </w:r>
            <w:bookmarkEnd w:id="49"/>
          </w:p>
        </w:tc>
      </w:tr>
    </w:tbl>
    <w:p w14:paraId="15C1FA0D" w14:textId="450CD8BC" w:rsidR="005D38D2" w:rsidRDefault="006A7411" w:rsidP="00BF186C">
      <w:pPr>
        <w:pStyle w:val="Headinglevel4"/>
        <w:numPr>
          <w:ilvl w:val="0"/>
          <w:numId w:val="0"/>
        </w:numPr>
      </w:pPr>
      <w:r>
        <w:tab/>
        <w:t>C</w:t>
      </w:r>
      <w:r w:rsidR="009E6CFC">
        <w:t xml:space="preserve">onditions </w:t>
      </w:r>
      <w:r w:rsidR="005D38D2">
        <w:t>for ACT Junior doctors</w:t>
      </w:r>
    </w:p>
    <w:p w14:paraId="18E38B53" w14:textId="256CCA2D" w:rsidR="005B42A9" w:rsidRDefault="005B42A9" w:rsidP="005B42A9">
      <w:pPr>
        <w:pStyle w:val="BodyText1"/>
      </w:pPr>
      <w:r>
        <w:t xml:space="preserve">A </w:t>
      </w:r>
      <w:r w:rsidR="009E78A0">
        <w:t>particular</w:t>
      </w:r>
      <w:r>
        <w:t xml:space="preserve"> concern in the ACT and other jurisdictions are the pressures imposed on junior doctors who are engaged in very demanding workload and professional development.</w:t>
      </w:r>
    </w:p>
    <w:p w14:paraId="0FD45B7F" w14:textId="2537D2BF" w:rsidR="005B42A9" w:rsidRDefault="005B42A9" w:rsidP="005B42A9">
      <w:pPr>
        <w:pStyle w:val="BodyText1"/>
      </w:pPr>
      <w:r>
        <w:t xml:space="preserve">A summary of findings </w:t>
      </w:r>
      <w:r w:rsidR="009E78A0">
        <w:t>of</w:t>
      </w:r>
      <w:r>
        <w:t xml:space="preserve"> a survey of junior doctors was considered by the Committee at hearings.  Matters in </w:t>
      </w:r>
      <w:r w:rsidR="009E78A0">
        <w:t>the</w:t>
      </w:r>
      <w:r>
        <w:t xml:space="preserve"> survey were:</w:t>
      </w:r>
    </w:p>
    <w:p w14:paraId="7DAAB271" w14:textId="36AD5D79" w:rsidR="005B42A9" w:rsidRDefault="005B42A9" w:rsidP="009E78A0">
      <w:pPr>
        <w:pStyle w:val="Quote"/>
      </w:pPr>
      <w:r>
        <w:t>A recent medical training survey by the Medical Board of Australia found that junior doctors are overworked, underpaid and also bullied. One in five survey respondents had personally experienced bullying, harassment or discrimination in their workplace. Another 15 per cent had witnessed it. Junior Aboriginal or Torres Strait Islander doctors reported higher levels of abuse. Half reported that senior medical staff, their own supervisors, were apparently responsible. Seventy-eight per cent did not report the incident they witnessed, unfortunately</w:t>
      </w:r>
      <w:r w:rsidR="00533D69">
        <w:t>.</w:t>
      </w:r>
      <w:r w:rsidR="00533D69">
        <w:rPr>
          <w:rStyle w:val="FootnoteReference"/>
        </w:rPr>
        <w:footnoteReference w:id="52"/>
      </w:r>
    </w:p>
    <w:p w14:paraId="33E7B284" w14:textId="1F29FFE3" w:rsidR="00533D69" w:rsidRDefault="00533D69" w:rsidP="005B42A9">
      <w:pPr>
        <w:pStyle w:val="BodyText1"/>
      </w:pPr>
      <w:r>
        <w:t xml:space="preserve">In response, and to identify the situation facing ACT </w:t>
      </w:r>
      <w:r w:rsidR="009E78A0">
        <w:t>j</w:t>
      </w:r>
      <w:r>
        <w:t>unior doctors, the Committee was advised:</w:t>
      </w:r>
    </w:p>
    <w:p w14:paraId="58CA28DE" w14:textId="77777777" w:rsidR="00533D69" w:rsidRDefault="00533D69" w:rsidP="0044751C">
      <w:pPr>
        <w:pStyle w:val="Quote"/>
      </w:pPr>
      <w:r>
        <w:t>This is a critically important survey for junior medical staff around Australia. The specifics that you outlined, Mrs Kikkert, are of significant interest to me and the health services as employers and in our desire to become an employer of choice for junior medical staff around Australia.</w:t>
      </w:r>
    </w:p>
    <w:p w14:paraId="5E8EB03A" w14:textId="77777777" w:rsidR="00533D69" w:rsidRDefault="00533D69" w:rsidP="0044751C">
      <w:pPr>
        <w:pStyle w:val="Quote"/>
      </w:pPr>
    </w:p>
    <w:p w14:paraId="230B8A46" w14:textId="407A442F" w:rsidR="00533D69" w:rsidRDefault="00533D69" w:rsidP="0044751C">
      <w:pPr>
        <w:pStyle w:val="Quote"/>
      </w:pPr>
      <w:r>
        <w:t xml:space="preserve">I would like to address the issue of bullying and harassment first. In terms of specifically addressing that, prior to the release of the medical training survey, I conducted a workshop myself with a junior medical </w:t>
      </w:r>
      <w:r w:rsidR="003C1BDA">
        <w:t>officers’</w:t>
      </w:r>
      <w:r>
        <w:t xml:space="preserve"> forum, where I sought their opinion on bullying and harassment in the workplace and the sorts of things that we could do to address that. The feedback I got included developing a formal mentoring program, which we actually already have within the organisation. About 65 junior staff participate in that. </w:t>
      </w:r>
    </w:p>
    <w:p w14:paraId="0CC453CF" w14:textId="77777777" w:rsidR="00533D69" w:rsidRDefault="00533D69" w:rsidP="0044751C">
      <w:pPr>
        <w:pStyle w:val="Quote"/>
      </w:pPr>
    </w:p>
    <w:p w14:paraId="6BC51AC4" w14:textId="7CA043F1" w:rsidR="00533D69" w:rsidRDefault="00533D69" w:rsidP="0044751C">
      <w:pPr>
        <w:pStyle w:val="Quote"/>
      </w:pPr>
      <w:r>
        <w:t>There was also substantial interest in the Speaking Up for Safety program, which is best described as a graded assertiveness program that is run by the Cognitive Institute, which is a well-known healthcare improvement institute. That will provide a common language for all staff in Canberra Health Services, including junior doctors, to be able to raise patient safety issues in a way that is far less likely to engender any sort of feedback that might be perceived as bullying and harassment. That is going to be a key centrepiece of our cultural reform this year in Canberra Health Services.</w:t>
      </w:r>
      <w:r>
        <w:rPr>
          <w:rStyle w:val="FootnoteReference"/>
        </w:rPr>
        <w:footnoteReference w:id="53"/>
      </w:r>
    </w:p>
    <w:p w14:paraId="18004EF7" w14:textId="20945422" w:rsidR="00486627" w:rsidRDefault="0044751C" w:rsidP="00047E7A">
      <w:pPr>
        <w:pStyle w:val="BodyText1"/>
      </w:pPr>
      <w:r>
        <w:t xml:space="preserve">An aspect of particular concern in junior doctor workload </w:t>
      </w:r>
      <w:r w:rsidR="009E78A0">
        <w:t>is</w:t>
      </w:r>
      <w:r>
        <w:t xml:space="preserve"> very long hours.  The Committee was advised</w:t>
      </w:r>
      <w:r w:rsidR="00486627">
        <w:t>:</w:t>
      </w:r>
    </w:p>
    <w:p w14:paraId="6C92AF24" w14:textId="00FFDEF5" w:rsidR="0044751C" w:rsidRDefault="003C1BDA" w:rsidP="00486627">
      <w:pPr>
        <w:pStyle w:val="Quote"/>
      </w:pPr>
      <w:r>
        <w:t>Specifically,</w:t>
      </w:r>
      <w:r w:rsidR="0044751C">
        <w:t xml:space="preserve"> to address the heavy workloads, I have asked my staff in the medical training and rostering unit to provide monthly reports to me on workload, including any trainee who has exceeded 100 hours—I believe the threshold is 100 hours; I might have to take that on notice</w:t>
      </w:r>
      <w:r w:rsidR="0044751C" w:rsidRPr="00142AC2">
        <w:t>—</w:t>
      </w:r>
      <w:r w:rsidR="0044751C">
        <w:t>per fortnight of work; and I have issued a direction that no junior medical officer in their first or second postgraduate year is to exceed more than three rostered overtime shifts in a fortnight period.</w:t>
      </w:r>
      <w:r w:rsidR="00486627">
        <w:rPr>
          <w:rStyle w:val="FootnoteReference"/>
        </w:rPr>
        <w:footnoteReference w:id="54"/>
      </w:r>
    </w:p>
    <w:p w14:paraId="0A56325F" w14:textId="2C14E72B" w:rsidR="0044751C" w:rsidRDefault="0044751C" w:rsidP="00533D69">
      <w:pPr>
        <w:pStyle w:val="BodyText1"/>
      </w:pPr>
      <w:r>
        <w:t xml:space="preserve">Other matters </w:t>
      </w:r>
      <w:r w:rsidR="009E78A0">
        <w:t>including</w:t>
      </w:r>
      <w:r>
        <w:t xml:space="preserve"> the organisation of shifts and the </w:t>
      </w:r>
      <w:r w:rsidR="009E78A0">
        <w:t>difficulty</w:t>
      </w:r>
      <w:r>
        <w:t xml:space="preserve"> in ensuring the training of junior doctors is </w:t>
      </w:r>
      <w:r w:rsidR="00486627">
        <w:t xml:space="preserve">also </w:t>
      </w:r>
      <w:r>
        <w:t>addressed were considered</w:t>
      </w:r>
      <w:r w:rsidR="00486627">
        <w:t>.</w:t>
      </w:r>
    </w:p>
    <w:p w14:paraId="09632F0F" w14:textId="3D644428" w:rsidR="0044751C" w:rsidRDefault="0044751C" w:rsidP="00533D69">
      <w:pPr>
        <w:pStyle w:val="BodyText1"/>
      </w:pPr>
      <w:r>
        <w:t xml:space="preserve">The Committee observes that these matters cause concern amongst the junior doctor group, </w:t>
      </w:r>
      <w:r w:rsidR="009E78A0">
        <w:t>administrators,</w:t>
      </w:r>
      <w:r>
        <w:t xml:space="preserve"> and others in health administration as well as the community.  There is a view that junior doctors should expect often excessive </w:t>
      </w:r>
      <w:r w:rsidR="009E78A0">
        <w:t>workloads</w:t>
      </w:r>
      <w:r>
        <w:t xml:space="preserve"> and the associated pressure, as that is how the profession has always been trained.</w:t>
      </w:r>
    </w:p>
    <w:p w14:paraId="2A9D2BBD" w14:textId="08AC5900" w:rsidR="0044751C" w:rsidRDefault="0044751C" w:rsidP="00533D69">
      <w:pPr>
        <w:pStyle w:val="BodyText1"/>
      </w:pPr>
      <w:r>
        <w:t xml:space="preserve">The Committee does not accept that </w:t>
      </w:r>
      <w:r w:rsidR="009E78A0">
        <w:t>view and</w:t>
      </w:r>
      <w:r>
        <w:t xml:space="preserve"> do</w:t>
      </w:r>
      <w:r w:rsidR="00486627">
        <w:t>es</w:t>
      </w:r>
      <w:r>
        <w:t xml:space="preserve"> note </w:t>
      </w:r>
      <w:r w:rsidR="009E78A0">
        <w:t>the</w:t>
      </w:r>
      <w:r>
        <w:t xml:space="preserve"> </w:t>
      </w:r>
      <w:r w:rsidR="009E78A0">
        <w:t>steps</w:t>
      </w:r>
      <w:r>
        <w:t xml:space="preserve"> </w:t>
      </w:r>
      <w:r w:rsidR="009E78A0">
        <w:t>being</w:t>
      </w:r>
      <w:r>
        <w:t xml:space="preserve"> taken in the ACT to </w:t>
      </w:r>
      <w:r w:rsidR="009E78A0">
        <w:t>address</w:t>
      </w:r>
      <w:r>
        <w:t xml:space="preserve"> the issues.</w:t>
      </w:r>
    </w:p>
    <w:p w14:paraId="6E4BC7EB" w14:textId="3DA8F9C6" w:rsidR="005D38D2" w:rsidRDefault="005D38D2" w:rsidP="009852F5">
      <w:pPr>
        <w:pStyle w:val="Headinglevel4"/>
      </w:pPr>
      <w:r>
        <w:t xml:space="preserve">Cross-border </w:t>
      </w:r>
      <w:r w:rsidR="00382D4C">
        <w:t>treatment and funding a</w:t>
      </w:r>
      <w:r>
        <w:t>rrangements</w:t>
      </w:r>
      <w:r w:rsidR="00382D4C">
        <w:t xml:space="preserve"> – ACT-NSW</w:t>
      </w:r>
    </w:p>
    <w:p w14:paraId="1683070F" w14:textId="221ADF49" w:rsidR="00486627" w:rsidRDefault="00486627" w:rsidP="00486627">
      <w:pPr>
        <w:pStyle w:val="BodyText1"/>
      </w:pPr>
      <w:r>
        <w:t>There are arrangements in place in the ACT to provide for the payment by other jurisdictions (particu</w:t>
      </w:r>
      <w:r w:rsidR="008F3B4B">
        <w:t>larly</w:t>
      </w:r>
      <w:r>
        <w:t xml:space="preserve"> NSW) for health services provided in th</w:t>
      </w:r>
      <w:r w:rsidR="008F3B4B">
        <w:t>e</w:t>
      </w:r>
      <w:r>
        <w:t xml:space="preserve"> ACT. </w:t>
      </w:r>
      <w:r w:rsidR="008D0365">
        <w:t xml:space="preserve">The question arose at the Committee’s hearing as to whether and how the ACT is compensated </w:t>
      </w:r>
      <w:r>
        <w:t xml:space="preserve">at the national efficient price or at the cost of delivering the </w:t>
      </w:r>
      <w:r w:rsidR="009E78A0">
        <w:t>services,</w:t>
      </w:r>
      <w:r w:rsidR="008D0365">
        <w:t xml:space="preserve"> and </w:t>
      </w:r>
      <w:r>
        <w:t>the time frame for the repayment of that money</w:t>
      </w:r>
      <w:r w:rsidR="008D0365">
        <w:t>.</w:t>
      </w:r>
    </w:p>
    <w:p w14:paraId="347DD6B5" w14:textId="3B6C723F" w:rsidR="008D0365" w:rsidRDefault="008D0365" w:rsidP="00486627">
      <w:pPr>
        <w:pStyle w:val="BodyText1"/>
      </w:pPr>
      <w:r>
        <w:t>The Committee was advised that:</w:t>
      </w:r>
    </w:p>
    <w:p w14:paraId="2E5026C5" w14:textId="6E7C5496" w:rsidR="008F3B4B" w:rsidRDefault="008F3B4B" w:rsidP="008F3B4B">
      <w:r>
        <w:t xml:space="preserve">The funding comes through our state pool accounts through the national health reform agreement. For </w:t>
      </w:r>
      <w:r w:rsidRPr="00D902BF">
        <w:t>New South Wales</w:t>
      </w:r>
      <w:r>
        <w:t>, as to the actual break-up of that quantum of the $200,000…</w:t>
      </w:r>
    </w:p>
    <w:p w14:paraId="53EC20BE" w14:textId="77777777" w:rsidR="008F3B4B" w:rsidRDefault="008F3B4B" w:rsidP="008F3B4B"/>
    <w:p w14:paraId="24B0F650" w14:textId="44C67B84" w:rsidR="008F3B4B" w:rsidRDefault="008F3B4B" w:rsidP="008F3B4B">
      <w:r>
        <w:t xml:space="preserve">Also, we have cross-border expenses, of course. Those are measured on an annual basis. We calculate, through the National Health Funding Body, reconciliations about how many interstate patients we have treated and how many ACT residents have been treated interstate. We provision the </w:t>
      </w:r>
      <w:r w:rsidRPr="00D902BF">
        <w:t>New South Wales</w:t>
      </w:r>
      <w:r>
        <w:t xml:space="preserve"> proportion monthly. We are transacting monthly provisions through our financial statements and back through to our providers to obviously recognise the services that they have delivered to our visiting residents. We also reconcile that every year in arrears. We are currently reconciling 2019-20, and that will be determined in March 2021.</w:t>
      </w:r>
      <w:r w:rsidR="00081AB9">
        <w:rPr>
          <w:rStyle w:val="FootnoteReference"/>
        </w:rPr>
        <w:footnoteReference w:id="55"/>
      </w:r>
    </w:p>
    <w:p w14:paraId="02CFF9BC" w14:textId="3DC2F35A" w:rsidR="008F3B4B" w:rsidRDefault="008F3B4B" w:rsidP="008F3B4B">
      <w:pPr>
        <w:pStyle w:val="BodyText1"/>
      </w:pPr>
      <w:r>
        <w:t xml:space="preserve">The Committee </w:t>
      </w:r>
      <w:r w:rsidR="00081AB9">
        <w:t>has no specific comment to make on this area, except to note that it remains a significant item of expenditure, and of responsibility for ACT Health.</w:t>
      </w:r>
    </w:p>
    <w:p w14:paraId="7CE81011" w14:textId="502D2F7D" w:rsidR="005D38D2" w:rsidRDefault="005D38D2" w:rsidP="009852F5">
      <w:pPr>
        <w:pStyle w:val="Headinglevel4"/>
      </w:pPr>
      <w:r>
        <w:t>Drug strategy</w:t>
      </w:r>
      <w:r w:rsidR="00092615">
        <w:t xml:space="preserve"> Action Advisory Group – plan for 2018-21</w:t>
      </w:r>
    </w:p>
    <w:p w14:paraId="135B6E80" w14:textId="1AD17FB7" w:rsidR="002E21D8" w:rsidRDefault="002E21D8" w:rsidP="002E21D8">
      <w:pPr>
        <w:pStyle w:val="BodyText1"/>
        <w:rPr>
          <w:rFonts w:ascii="Source Sans Pro" w:hAnsi="Source Sans Pro"/>
          <w:color w:val="313131"/>
          <w:sz w:val="27"/>
          <w:szCs w:val="27"/>
        </w:rPr>
      </w:pPr>
      <w:r w:rsidRPr="002E21D8">
        <w:t xml:space="preserve">The Committee asked for update advice on how the Drug Strategy Action Advisory Group </w:t>
      </w:r>
      <w:r w:rsidR="00BE1436">
        <w:t xml:space="preserve">has evaluated </w:t>
      </w:r>
      <w:r w:rsidRPr="002E21D8">
        <w:t>the ACT Drug Action Plan 2018-21. (</w:t>
      </w:r>
      <w:hyperlink r:id="rId25" w:tgtFrame="_blank" w:history="1">
        <w:r w:rsidRPr="002E21D8">
          <w:rPr>
            <w:rStyle w:val="Hyperlink"/>
            <w:rFonts w:asciiTheme="minorHAnsi" w:hAnsiTheme="minorHAnsi" w:cstheme="minorHAnsi"/>
            <w:i/>
            <w:iCs/>
            <w:color w:val="313131"/>
            <w:szCs w:val="22"/>
          </w:rPr>
          <w:t>The ACT Drug Strategy Action Plan 2018-2021</w:t>
        </w:r>
      </w:hyperlink>
      <w:r w:rsidRPr="002E21D8">
        <w:rPr>
          <w:i/>
          <w:iCs/>
          <w:color w:val="313131"/>
          <w:szCs w:val="22"/>
        </w:rPr>
        <w:t xml:space="preserve"> (the Action Plan) outlines ACT Government priorities to address and minimise harms from alcohol, tobacco, illicit drugs and non-medical use of pharmaceuticals in the </w:t>
      </w:r>
      <w:r w:rsidR="009E78A0" w:rsidRPr="002E21D8">
        <w:rPr>
          <w:i/>
          <w:iCs/>
          <w:color w:val="313131"/>
          <w:szCs w:val="22"/>
        </w:rPr>
        <w:t>territory. The</w:t>
      </w:r>
      <w:r w:rsidRPr="002E21D8">
        <w:rPr>
          <w:i/>
          <w:iCs/>
          <w:color w:val="313131"/>
          <w:szCs w:val="22"/>
        </w:rPr>
        <w:t xml:space="preserve"> Action Plan aligns to the framework provided by the </w:t>
      </w:r>
      <w:hyperlink r:id="rId26" w:tgtFrame="_blank" w:history="1">
        <w:r w:rsidRPr="002E21D8">
          <w:rPr>
            <w:rStyle w:val="Hyperlink"/>
            <w:rFonts w:asciiTheme="minorHAnsi" w:hAnsiTheme="minorHAnsi" w:cstheme="minorHAnsi"/>
            <w:i/>
            <w:iCs/>
            <w:color w:val="313131"/>
            <w:szCs w:val="22"/>
          </w:rPr>
          <w:t>National Drug Strategy 2017-2026</w:t>
        </w:r>
      </w:hyperlink>
      <w:r w:rsidRPr="002E21D8">
        <w:rPr>
          <w:i/>
          <w:iCs/>
          <w:color w:val="313131"/>
          <w:szCs w:val="22"/>
        </w:rPr>
        <w:t> and describes the territory’s priorities and activities to be progressed within the context of national action</w:t>
      </w:r>
      <w:r>
        <w:rPr>
          <w:i/>
          <w:iCs/>
          <w:color w:val="313131"/>
          <w:szCs w:val="22"/>
        </w:rPr>
        <w:t>)</w:t>
      </w:r>
      <w:r>
        <w:rPr>
          <w:rStyle w:val="FootnoteReference"/>
          <w:rFonts w:asciiTheme="minorHAnsi" w:hAnsiTheme="minorHAnsi" w:cstheme="minorHAnsi"/>
          <w:i/>
          <w:iCs/>
          <w:color w:val="313131"/>
          <w:szCs w:val="22"/>
        </w:rPr>
        <w:footnoteReference w:id="56"/>
      </w:r>
    </w:p>
    <w:p w14:paraId="70839FDB" w14:textId="56D49F72" w:rsidR="00E60929" w:rsidRDefault="002E21D8" w:rsidP="00E60929">
      <w:pPr>
        <w:pStyle w:val="BodyText1"/>
      </w:pPr>
      <w:r>
        <w:t xml:space="preserve">The Committee </w:t>
      </w:r>
      <w:r w:rsidR="00047E7A">
        <w:t>sought advice on whether and how a new Drug Action Policy would be developed Given it would be part of the National Drug Strategy 2017-2026), given the current policy is due to expire.  The Minister advised the Committee:</w:t>
      </w:r>
    </w:p>
    <w:p w14:paraId="76DB6005" w14:textId="1537C807" w:rsidR="00047E7A" w:rsidRDefault="00047E7A" w:rsidP="00BE1436">
      <w:pPr>
        <w:pStyle w:val="Quote"/>
      </w:pPr>
      <w:r>
        <w:t xml:space="preserve">There are some differences in the way that we approach this with the forward-leaning approach we take to harm minimisation compared to some other jurisdictions, including the commonwealth. That is probably fair to say. But I would have some reluctance around establishing a new strategy for the sake of establishing a new strategy because I think the principles around harm minimisation are clear across the national strategy and the existing action plan. </w:t>
      </w:r>
    </w:p>
    <w:p w14:paraId="58FF8DA9" w14:textId="77777777" w:rsidR="00047E7A" w:rsidRDefault="00047E7A" w:rsidP="00BE1436">
      <w:pPr>
        <w:pStyle w:val="Quote"/>
      </w:pPr>
    </w:p>
    <w:p w14:paraId="5EEA7152" w14:textId="49F1925B" w:rsidR="00047E7A" w:rsidRDefault="00047E7A" w:rsidP="00BE1436">
      <w:pPr>
        <w:pStyle w:val="Quote"/>
      </w:pPr>
      <w:r>
        <w:t xml:space="preserve">What is more important to me is what are we doing rather than let’s have another round of 18 months of consultation to think about setting a set of principles that will end up being exactly the same principles that we have already identified and are already identifying actions against. </w:t>
      </w:r>
      <w:r w:rsidR="007459A8">
        <w:rPr>
          <w:rStyle w:val="FootnoteReference"/>
        </w:rPr>
        <w:footnoteReference w:id="57"/>
      </w:r>
    </w:p>
    <w:p w14:paraId="2030BDBB" w14:textId="45FCA9C2" w:rsidR="00047E7A" w:rsidRDefault="007459A8" w:rsidP="00E60929">
      <w:pPr>
        <w:pStyle w:val="BodyText1"/>
      </w:pPr>
      <w:r>
        <w:t xml:space="preserve">The Committee observes that the development of a successor Plan to the </w:t>
      </w:r>
      <w:r w:rsidR="00BE1436">
        <w:t xml:space="preserve">current </w:t>
      </w:r>
      <w:r w:rsidR="00866C2E">
        <w:t xml:space="preserve">ACT Plan is a matter of considerable importance.  The Committee looks forward to the </w:t>
      </w:r>
      <w:r w:rsidR="009E78A0">
        <w:t>Assembly</w:t>
      </w:r>
      <w:r w:rsidR="00866C2E">
        <w:t xml:space="preserve"> being informed of the next step in this process in the near </w:t>
      </w:r>
      <w:r w:rsidR="009E78A0">
        <w:t>future and</w:t>
      </w:r>
      <w:r w:rsidR="00866C2E">
        <w:t xml:space="preserve"> expects that the matters will be addressed in the </w:t>
      </w:r>
      <w:r w:rsidR="009E78A0">
        <w:t xml:space="preserve">next </w:t>
      </w:r>
      <w:r w:rsidR="00866C2E">
        <w:t>ACT Health</w:t>
      </w:r>
      <w:r w:rsidR="009E78A0">
        <w:t xml:space="preserve"> Directorate</w:t>
      </w:r>
      <w:r w:rsidR="00866C2E">
        <w:t xml:space="preserve"> annual report.</w:t>
      </w:r>
    </w:p>
    <w:p w14:paraId="09095ECE" w14:textId="4C72CDC1" w:rsidR="00E052BA" w:rsidRPr="00E60929" w:rsidRDefault="00E052BA" w:rsidP="00E052BA">
      <w:pPr>
        <w:pStyle w:val="Headinglevel4"/>
      </w:pPr>
      <w:r>
        <w:t>Committee Recommendations</w:t>
      </w:r>
    </w:p>
    <w:tbl>
      <w:tblPr>
        <w:tblStyle w:val="TableGrid"/>
        <w:tblW w:w="9209" w:type="dxa"/>
        <w:tblInd w:w="-142" w:type="dxa"/>
        <w:tblLook w:val="04A0" w:firstRow="1" w:lastRow="0" w:firstColumn="1" w:lastColumn="0" w:noHBand="0" w:noVBand="1"/>
      </w:tblPr>
      <w:tblGrid>
        <w:gridCol w:w="9209"/>
      </w:tblGrid>
      <w:tr w:rsidR="00592C9A" w14:paraId="25187ABA" w14:textId="77777777" w:rsidTr="00AA7502">
        <w:tc>
          <w:tcPr>
            <w:tcW w:w="9209" w:type="dxa"/>
          </w:tcPr>
          <w:p w14:paraId="7B9084A9" w14:textId="73EE2368" w:rsidR="00592C9A" w:rsidRDefault="00592C9A" w:rsidP="00592C9A">
            <w:pPr>
              <w:pStyle w:val="RecommendationHeading"/>
            </w:pPr>
            <w:bookmarkStart w:id="50" w:name="_Toc68848898"/>
            <w:r>
              <w:t xml:space="preserve">Recommendation </w:t>
            </w:r>
            <w:r>
              <w:rPr>
                <w:noProof/>
              </w:rPr>
              <w:fldChar w:fldCharType="begin"/>
            </w:r>
            <w:r>
              <w:rPr>
                <w:noProof/>
              </w:rPr>
              <w:instrText xml:space="preserve"> seq NumList </w:instrText>
            </w:r>
            <w:r>
              <w:rPr>
                <w:noProof/>
              </w:rPr>
              <w:fldChar w:fldCharType="separate"/>
            </w:r>
            <w:r w:rsidR="002A4E14">
              <w:rPr>
                <w:noProof/>
              </w:rPr>
              <w:t>3</w:t>
            </w:r>
            <w:bookmarkEnd w:id="50"/>
            <w:r>
              <w:rPr>
                <w:noProof/>
              </w:rPr>
              <w:fldChar w:fldCharType="end"/>
            </w:r>
          </w:p>
          <w:p w14:paraId="58E35A9F" w14:textId="2AC2169B" w:rsidR="00592C9A" w:rsidRPr="00E67CD5" w:rsidRDefault="00E67CD5" w:rsidP="00E67CD5">
            <w:pPr>
              <w:pStyle w:val="RecommendationText"/>
            </w:pPr>
            <w:bookmarkStart w:id="51" w:name="_Toc68848899"/>
            <w:r>
              <w:t>That</w:t>
            </w:r>
            <w:r w:rsidR="00CA7980">
              <w:t xml:space="preserve">, in response to this report, that </w:t>
            </w:r>
            <w:r>
              <w:t xml:space="preserve">ACT Health </w:t>
            </w:r>
            <w:r w:rsidR="00CA7980">
              <w:t xml:space="preserve">continue to </w:t>
            </w:r>
            <w:r>
              <w:t xml:space="preserve">provide </w:t>
            </w:r>
            <w:r w:rsidR="00CA7980">
              <w:t xml:space="preserve">6 monthly </w:t>
            </w:r>
            <w:r>
              <w:t>update</w:t>
            </w:r>
            <w:r w:rsidR="00CA7980">
              <w:t xml:space="preserve">d information </w:t>
            </w:r>
            <w:r>
              <w:t xml:space="preserve"> o</w:t>
            </w:r>
            <w:r w:rsidR="00CA7980">
              <w:t>f</w:t>
            </w:r>
            <w:r>
              <w:t xml:space="preserve"> junior doctors’ </w:t>
            </w:r>
            <w:r w:rsidR="00CA7980">
              <w:t xml:space="preserve">recorded </w:t>
            </w:r>
            <w:r>
              <w:t>feedback and experience</w:t>
            </w:r>
            <w:r w:rsidR="00CA7980">
              <w:t>.</w:t>
            </w:r>
            <w:bookmarkEnd w:id="51"/>
          </w:p>
        </w:tc>
      </w:tr>
      <w:tr w:rsidR="00592C9A" w14:paraId="36ADB607" w14:textId="77777777" w:rsidTr="00AA7502">
        <w:tc>
          <w:tcPr>
            <w:tcW w:w="9209" w:type="dxa"/>
          </w:tcPr>
          <w:p w14:paraId="7165934D" w14:textId="22F3CEC8" w:rsidR="00592C9A" w:rsidRDefault="00592C9A" w:rsidP="00592C9A">
            <w:pPr>
              <w:pStyle w:val="RecommendationHeading"/>
            </w:pPr>
            <w:bookmarkStart w:id="52" w:name="_Toc68848900"/>
            <w:r>
              <w:t xml:space="preserve">Recommendation </w:t>
            </w:r>
            <w:r>
              <w:rPr>
                <w:noProof/>
              </w:rPr>
              <w:fldChar w:fldCharType="begin"/>
            </w:r>
            <w:r>
              <w:rPr>
                <w:noProof/>
              </w:rPr>
              <w:instrText xml:space="preserve"> seq NumList </w:instrText>
            </w:r>
            <w:r>
              <w:rPr>
                <w:noProof/>
              </w:rPr>
              <w:fldChar w:fldCharType="separate"/>
            </w:r>
            <w:r w:rsidR="002A4E14">
              <w:rPr>
                <w:noProof/>
              </w:rPr>
              <w:t>4</w:t>
            </w:r>
            <w:bookmarkEnd w:id="52"/>
            <w:r>
              <w:rPr>
                <w:noProof/>
              </w:rPr>
              <w:fldChar w:fldCharType="end"/>
            </w:r>
          </w:p>
          <w:p w14:paraId="48EC9219" w14:textId="3B052624" w:rsidR="00592C9A" w:rsidRPr="00E67CD5" w:rsidRDefault="00E67CD5" w:rsidP="00E67CD5">
            <w:pPr>
              <w:pStyle w:val="RecommendationText"/>
            </w:pPr>
            <w:bookmarkStart w:id="53" w:name="_Toc68848901"/>
            <w:r>
              <w:t>That the ACT Government continue to expand ACT public health facilities</w:t>
            </w:r>
            <w:r w:rsidR="00CA7980">
              <w:t>.</w:t>
            </w:r>
            <w:bookmarkEnd w:id="53"/>
          </w:p>
        </w:tc>
      </w:tr>
      <w:tr w:rsidR="00592C9A" w14:paraId="345B416B" w14:textId="77777777" w:rsidTr="00AA7502">
        <w:tc>
          <w:tcPr>
            <w:tcW w:w="9209" w:type="dxa"/>
          </w:tcPr>
          <w:p w14:paraId="4D553378" w14:textId="756B982E" w:rsidR="00592C9A" w:rsidRDefault="00592C9A" w:rsidP="00592C9A">
            <w:pPr>
              <w:pStyle w:val="RecommendationHeading"/>
            </w:pPr>
            <w:bookmarkStart w:id="54" w:name="_Toc68848902"/>
            <w:r>
              <w:t xml:space="preserve">Recommendation </w:t>
            </w:r>
            <w:r>
              <w:rPr>
                <w:noProof/>
              </w:rPr>
              <w:fldChar w:fldCharType="begin"/>
            </w:r>
            <w:r>
              <w:rPr>
                <w:noProof/>
              </w:rPr>
              <w:instrText xml:space="preserve"> seq NumList </w:instrText>
            </w:r>
            <w:r>
              <w:rPr>
                <w:noProof/>
              </w:rPr>
              <w:fldChar w:fldCharType="separate"/>
            </w:r>
            <w:r w:rsidR="002A4E14">
              <w:rPr>
                <w:noProof/>
              </w:rPr>
              <w:t>5</w:t>
            </w:r>
            <w:bookmarkEnd w:id="54"/>
            <w:r>
              <w:rPr>
                <w:noProof/>
              </w:rPr>
              <w:fldChar w:fldCharType="end"/>
            </w:r>
          </w:p>
          <w:p w14:paraId="58A45B9B" w14:textId="472533B7" w:rsidR="00592C9A" w:rsidRPr="00E67CD5" w:rsidRDefault="00E67CD5" w:rsidP="00E67CD5">
            <w:pPr>
              <w:pStyle w:val="RecommendationText"/>
            </w:pPr>
            <w:bookmarkStart w:id="55" w:name="_Toc68848903"/>
            <w:r>
              <w:t>That the ACT Government continue to implement the Occupational Violence Strategy and seek further ways to reduce occupational violence.</w:t>
            </w:r>
            <w:bookmarkEnd w:id="55"/>
          </w:p>
        </w:tc>
      </w:tr>
      <w:tr w:rsidR="00592C9A" w14:paraId="663D5DE2" w14:textId="77777777" w:rsidTr="00AA7502">
        <w:tc>
          <w:tcPr>
            <w:tcW w:w="9209" w:type="dxa"/>
          </w:tcPr>
          <w:p w14:paraId="344EC4B7" w14:textId="6B816AF2" w:rsidR="00592C9A" w:rsidRDefault="00592C9A" w:rsidP="00592C9A">
            <w:pPr>
              <w:pStyle w:val="RecommendationHeading"/>
            </w:pPr>
            <w:bookmarkStart w:id="56" w:name="_Toc68848904"/>
            <w:r>
              <w:t xml:space="preserve">Recommendation </w:t>
            </w:r>
            <w:r>
              <w:rPr>
                <w:noProof/>
              </w:rPr>
              <w:fldChar w:fldCharType="begin"/>
            </w:r>
            <w:r>
              <w:rPr>
                <w:noProof/>
              </w:rPr>
              <w:instrText xml:space="preserve"> seq NumList </w:instrText>
            </w:r>
            <w:r>
              <w:rPr>
                <w:noProof/>
              </w:rPr>
              <w:fldChar w:fldCharType="separate"/>
            </w:r>
            <w:r w:rsidR="002A4E14">
              <w:rPr>
                <w:noProof/>
              </w:rPr>
              <w:t>6</w:t>
            </w:r>
            <w:bookmarkEnd w:id="56"/>
            <w:r>
              <w:rPr>
                <w:noProof/>
              </w:rPr>
              <w:fldChar w:fldCharType="end"/>
            </w:r>
          </w:p>
          <w:p w14:paraId="4CDD70CE" w14:textId="483BBA2F" w:rsidR="00592C9A" w:rsidRPr="00E67CD5" w:rsidRDefault="00E67CD5" w:rsidP="00E67CD5">
            <w:pPr>
              <w:pStyle w:val="RecommendationText"/>
            </w:pPr>
            <w:bookmarkStart w:id="57" w:name="_Toc68848905"/>
            <w:r>
              <w:t xml:space="preserve">That the ACT Government continue to </w:t>
            </w:r>
            <w:r w:rsidR="00CA7980">
              <w:t xml:space="preserve">address and </w:t>
            </w:r>
            <w:r>
              <w:t xml:space="preserve">rectify the elective surgery waitlist that </w:t>
            </w:r>
            <w:r w:rsidR="00CA7980">
              <w:t xml:space="preserve">has </w:t>
            </w:r>
            <w:r>
              <w:t xml:space="preserve">occurred </w:t>
            </w:r>
            <w:r w:rsidR="00CA7980">
              <w:t xml:space="preserve">as a result </w:t>
            </w:r>
            <w:r>
              <w:t>of suspension of surgery due to COVID-19</w:t>
            </w:r>
            <w:r w:rsidR="009020E8">
              <w:t>.</w:t>
            </w:r>
            <w:bookmarkEnd w:id="57"/>
          </w:p>
        </w:tc>
      </w:tr>
      <w:tr w:rsidR="00592C9A" w14:paraId="0042509C" w14:textId="77777777" w:rsidTr="00AA7502">
        <w:tc>
          <w:tcPr>
            <w:tcW w:w="9209" w:type="dxa"/>
          </w:tcPr>
          <w:p w14:paraId="25DE8ABA" w14:textId="538EB9DB" w:rsidR="00592C9A" w:rsidRDefault="00592C9A" w:rsidP="00592C9A">
            <w:pPr>
              <w:pStyle w:val="RecommendationHeading"/>
            </w:pPr>
            <w:bookmarkStart w:id="58" w:name="_Toc68848906"/>
            <w:r>
              <w:t xml:space="preserve">Recommendation </w:t>
            </w:r>
            <w:r>
              <w:rPr>
                <w:noProof/>
              </w:rPr>
              <w:fldChar w:fldCharType="begin"/>
            </w:r>
            <w:r>
              <w:rPr>
                <w:noProof/>
              </w:rPr>
              <w:instrText xml:space="preserve"> seq NumList </w:instrText>
            </w:r>
            <w:r>
              <w:rPr>
                <w:noProof/>
              </w:rPr>
              <w:fldChar w:fldCharType="separate"/>
            </w:r>
            <w:r w:rsidR="002A4E14">
              <w:rPr>
                <w:noProof/>
              </w:rPr>
              <w:t>7</w:t>
            </w:r>
            <w:bookmarkEnd w:id="58"/>
            <w:r>
              <w:rPr>
                <w:noProof/>
              </w:rPr>
              <w:fldChar w:fldCharType="end"/>
            </w:r>
          </w:p>
          <w:p w14:paraId="657CCFF1" w14:textId="1B0B7089" w:rsidR="00592C9A" w:rsidRPr="00E67CD5" w:rsidRDefault="00E67CD5" w:rsidP="00E67CD5">
            <w:pPr>
              <w:pStyle w:val="RecommendationText"/>
            </w:pPr>
            <w:bookmarkStart w:id="59" w:name="_Toc68848907"/>
            <w:r>
              <w:t>That the ACT Government build more walk-in health centres across Canberra</w:t>
            </w:r>
            <w:r w:rsidR="009020E8">
              <w:t>.</w:t>
            </w:r>
            <w:bookmarkEnd w:id="59"/>
          </w:p>
        </w:tc>
      </w:tr>
      <w:tr w:rsidR="00E67CD5" w14:paraId="16B1088F" w14:textId="77777777" w:rsidTr="00AA7502">
        <w:tc>
          <w:tcPr>
            <w:tcW w:w="9209" w:type="dxa"/>
          </w:tcPr>
          <w:p w14:paraId="0C7497EA" w14:textId="467C6F67" w:rsidR="00E67CD5" w:rsidRDefault="00E67CD5" w:rsidP="000F3EC9">
            <w:pPr>
              <w:pStyle w:val="RecommendationHeading"/>
            </w:pPr>
            <w:bookmarkStart w:id="60" w:name="_Toc68848908"/>
            <w:r>
              <w:t xml:space="preserve">Recommendation </w:t>
            </w:r>
            <w:r>
              <w:rPr>
                <w:noProof/>
              </w:rPr>
              <w:fldChar w:fldCharType="begin"/>
            </w:r>
            <w:r>
              <w:rPr>
                <w:noProof/>
              </w:rPr>
              <w:instrText xml:space="preserve"> seq NumList </w:instrText>
            </w:r>
            <w:r>
              <w:rPr>
                <w:noProof/>
              </w:rPr>
              <w:fldChar w:fldCharType="separate"/>
            </w:r>
            <w:r w:rsidR="002A4E14">
              <w:rPr>
                <w:noProof/>
              </w:rPr>
              <w:t>8</w:t>
            </w:r>
            <w:bookmarkEnd w:id="60"/>
            <w:r>
              <w:rPr>
                <w:noProof/>
              </w:rPr>
              <w:fldChar w:fldCharType="end"/>
            </w:r>
          </w:p>
          <w:p w14:paraId="6FF4A028" w14:textId="4F1AB536" w:rsidR="00E67CD5" w:rsidRPr="00E67CD5" w:rsidRDefault="00E67CD5" w:rsidP="00E67CD5">
            <w:pPr>
              <w:pStyle w:val="RecommendationText"/>
            </w:pPr>
            <w:bookmarkStart w:id="61" w:name="_Toc68848909"/>
            <w:r>
              <w:t xml:space="preserve">That the </w:t>
            </w:r>
            <w:r w:rsidRPr="007A2EC0">
              <w:t xml:space="preserve">ACT Government explore </w:t>
            </w:r>
            <w:r w:rsidR="00DF1254">
              <w:t xml:space="preserve">and report on </w:t>
            </w:r>
            <w:r w:rsidRPr="007A2EC0">
              <w:t>the provision of an imaging service at a northside walk-in centre</w:t>
            </w:r>
            <w:r w:rsidR="009020E8">
              <w:t>.</w:t>
            </w:r>
            <w:bookmarkEnd w:id="61"/>
          </w:p>
        </w:tc>
      </w:tr>
    </w:tbl>
    <w:p w14:paraId="7CA04C15" w14:textId="77777777" w:rsidR="0084284E" w:rsidRDefault="0084284E" w:rsidP="00B139CB">
      <w:pPr>
        <w:pStyle w:val="Quote"/>
        <w:ind w:left="0"/>
        <w:rPr>
          <w:bdr w:val="nil"/>
        </w:rPr>
      </w:pPr>
    </w:p>
    <w:p w14:paraId="63BACE69" w14:textId="0EDBC7A2" w:rsidR="00B139CB" w:rsidRPr="00B139CB" w:rsidRDefault="00B139CB" w:rsidP="0084284E">
      <w:pPr>
        <w:pStyle w:val="Headinglevel5"/>
        <w:sectPr w:rsidR="00B139CB" w:rsidRPr="00B139CB" w:rsidSect="004D1E60">
          <w:headerReference w:type="default" r:id="rId27"/>
          <w:footerReference w:type="default" r:id="rId28"/>
          <w:headerReference w:type="first" r:id="rId29"/>
          <w:type w:val="oddPage"/>
          <w:pgSz w:w="11907" w:h="16840" w:code="9"/>
          <w:pgMar w:top="1588" w:right="1418" w:bottom="1418" w:left="1418" w:header="720" w:footer="851" w:gutter="0"/>
          <w:pgNumType w:start="1"/>
          <w:cols w:space="720"/>
          <w:docGrid w:linePitch="360"/>
        </w:sectPr>
      </w:pPr>
    </w:p>
    <w:p w14:paraId="108D8BAE" w14:textId="0E96FAA7" w:rsidR="00842335" w:rsidRPr="00DE0060" w:rsidRDefault="00117F47" w:rsidP="005415DE">
      <w:pPr>
        <w:pStyle w:val="Heading1"/>
        <w:numPr>
          <w:ilvl w:val="0"/>
          <w:numId w:val="19"/>
        </w:numPr>
      </w:pPr>
      <w:bookmarkStart w:id="62" w:name="_Toc68848973"/>
      <w:bookmarkStart w:id="63" w:name="_Toc479770964"/>
      <w:r w:rsidRPr="00DE0060">
        <w:t>Families and Community Services</w:t>
      </w:r>
      <w:bookmarkEnd w:id="62"/>
      <w:r w:rsidRPr="00DE0060">
        <w:t xml:space="preserve"> </w:t>
      </w:r>
    </w:p>
    <w:p w14:paraId="2CF5A4D6" w14:textId="77777777" w:rsidR="00A06FB7" w:rsidRDefault="00842335" w:rsidP="00464E4D">
      <w:pPr>
        <w:pStyle w:val="BodyText1"/>
      </w:pPr>
      <w:r w:rsidRPr="000937BF">
        <w:t xml:space="preserve">The Committee heard from the </w:t>
      </w:r>
      <w:r>
        <w:t xml:space="preserve">Minister for </w:t>
      </w:r>
      <w:r w:rsidR="00A06FB7">
        <w:t xml:space="preserve">Families and Community Services and Directorate officials on 26 February 2021.  </w:t>
      </w:r>
    </w:p>
    <w:p w14:paraId="04AC9843" w14:textId="54DF6730" w:rsidR="00EF61A2" w:rsidRDefault="00A06FB7" w:rsidP="00464E4D">
      <w:pPr>
        <w:pStyle w:val="BodyText1"/>
      </w:pPr>
      <w:r>
        <w:t>The purpose of the hearing was to discuss the relevant parts of the annual report for 2019-20 of the Community Services Directo</w:t>
      </w:r>
      <w:r w:rsidR="00EF61A2">
        <w:t xml:space="preserve">rate (CSD) and the </w:t>
      </w:r>
      <w:r w:rsidR="002E1AC1">
        <w:t>relevant</w:t>
      </w:r>
      <w:r w:rsidR="00EF61A2">
        <w:t xml:space="preserve"> </w:t>
      </w:r>
      <w:r w:rsidR="002E1AC1">
        <w:t>outputs</w:t>
      </w:r>
      <w:r w:rsidR="00EF61A2">
        <w:t xml:space="preserve"> and associated material in Budget Statement G.</w:t>
      </w:r>
    </w:p>
    <w:p w14:paraId="19868A0F" w14:textId="53457265" w:rsidR="00F323CB" w:rsidRDefault="00F323CB" w:rsidP="00464E4D">
      <w:pPr>
        <w:pStyle w:val="BodyText1"/>
      </w:pPr>
      <w:r>
        <w:t>For the Standing Committee these were</w:t>
      </w:r>
      <w:r w:rsidR="00A12EB6">
        <w:t xml:space="preserve"> Outputs 1.1. 1.3, 1.4 and 2.3 from the Budget and outputs 2.1, 2.3, 2.4 and 3.3 f</w:t>
      </w:r>
      <w:r w:rsidR="00746163">
        <w:t>r</w:t>
      </w:r>
      <w:r w:rsidR="00A12EB6">
        <w:t>om the CSD annual report</w:t>
      </w:r>
    </w:p>
    <w:p w14:paraId="0D04C8A3" w14:textId="3F124187" w:rsidR="00EF61A2" w:rsidRDefault="00EF61A2" w:rsidP="00EF61A2">
      <w:pPr>
        <w:pStyle w:val="Headinglevel3"/>
        <w:rPr>
          <w:lang w:eastAsia="en-AU"/>
        </w:rPr>
      </w:pPr>
      <w:r>
        <w:rPr>
          <w:lang w:eastAsia="en-AU"/>
        </w:rPr>
        <w:t>Matters discussed at Hearing</w:t>
      </w:r>
    </w:p>
    <w:p w14:paraId="3A689C14" w14:textId="570BF38F" w:rsidR="00EF61A2" w:rsidRDefault="00EF61A2" w:rsidP="00464E4D">
      <w:pPr>
        <w:pStyle w:val="BodyText1"/>
      </w:pPr>
      <w:r>
        <w:t>During the hearing, the following matters were discussed</w:t>
      </w:r>
      <w:r w:rsidR="00746163" w:rsidRPr="00464E4D">
        <w:t>.</w:t>
      </w:r>
      <w:r w:rsidR="00746163" w:rsidRPr="00464E4D">
        <w:footnoteReference w:id="58"/>
      </w:r>
      <w:r w:rsidR="00746163" w:rsidRPr="00464E4D">
        <w:t xml:space="preserve"> (AR)</w:t>
      </w:r>
      <w:r w:rsidR="00746163">
        <w:t xml:space="preserve"> indicates a matter raised from the Annual Report</w:t>
      </w:r>
      <w:r>
        <w:t>:</w:t>
      </w:r>
    </w:p>
    <w:p w14:paraId="1D36D5D2" w14:textId="66A6C331" w:rsidR="00EF61A2" w:rsidRDefault="00EF61A2" w:rsidP="00AF16A7">
      <w:pPr>
        <w:pStyle w:val="Quote"/>
        <w:numPr>
          <w:ilvl w:val="0"/>
          <w:numId w:val="22"/>
        </w:numPr>
        <w:rPr>
          <w:lang w:eastAsia="en-AU"/>
        </w:rPr>
      </w:pPr>
      <w:r>
        <w:rPr>
          <w:lang w:eastAsia="en-AU"/>
        </w:rPr>
        <w:t xml:space="preserve">External </w:t>
      </w:r>
      <w:r w:rsidR="00156029">
        <w:rPr>
          <w:lang w:eastAsia="en-AU"/>
        </w:rPr>
        <w:t>m</w:t>
      </w:r>
      <w:r>
        <w:rPr>
          <w:lang w:eastAsia="en-AU"/>
        </w:rPr>
        <w:t xml:space="preserve">erits </w:t>
      </w:r>
      <w:r w:rsidR="00156029">
        <w:rPr>
          <w:lang w:eastAsia="en-AU"/>
        </w:rPr>
        <w:t>r</w:t>
      </w:r>
      <w:r>
        <w:rPr>
          <w:lang w:eastAsia="en-AU"/>
        </w:rPr>
        <w:t>eview – Child Protection Services</w:t>
      </w:r>
      <w:r>
        <w:rPr>
          <w:rStyle w:val="FootnoteReference"/>
          <w:lang w:eastAsia="en-AU"/>
        </w:rPr>
        <w:footnoteReference w:id="59"/>
      </w:r>
    </w:p>
    <w:p w14:paraId="552720B9" w14:textId="061D2791" w:rsidR="00156029" w:rsidRDefault="00156029" w:rsidP="00AF16A7">
      <w:pPr>
        <w:pStyle w:val="Quote"/>
        <w:numPr>
          <w:ilvl w:val="0"/>
          <w:numId w:val="22"/>
        </w:numPr>
        <w:rPr>
          <w:lang w:eastAsia="en-AU"/>
        </w:rPr>
      </w:pPr>
      <w:r>
        <w:rPr>
          <w:lang w:eastAsia="en-AU"/>
        </w:rPr>
        <w:t>Children and Young People Commissioner advice on Child Protection and external merits review; tender process</w:t>
      </w:r>
      <w:r>
        <w:rPr>
          <w:rStyle w:val="FootnoteReference"/>
          <w:lang w:eastAsia="en-AU"/>
        </w:rPr>
        <w:footnoteReference w:id="60"/>
      </w:r>
    </w:p>
    <w:p w14:paraId="2783A4FE" w14:textId="00F78856" w:rsidR="00156029" w:rsidRDefault="00156029" w:rsidP="00AF16A7">
      <w:pPr>
        <w:pStyle w:val="Quote"/>
        <w:numPr>
          <w:ilvl w:val="0"/>
          <w:numId w:val="22"/>
        </w:numPr>
        <w:rPr>
          <w:lang w:eastAsia="en-AU"/>
        </w:rPr>
      </w:pPr>
      <w:r>
        <w:rPr>
          <w:lang w:eastAsia="en-AU"/>
        </w:rPr>
        <w:t xml:space="preserve">Inclusion and Participation; implementation of a union encouragement </w:t>
      </w:r>
      <w:r w:rsidR="002E1AC1">
        <w:rPr>
          <w:lang w:eastAsia="en-AU"/>
        </w:rPr>
        <w:t>policy</w:t>
      </w:r>
      <w:r>
        <w:rPr>
          <w:rStyle w:val="FootnoteReference"/>
          <w:lang w:eastAsia="en-AU"/>
        </w:rPr>
        <w:footnoteReference w:id="61"/>
      </w:r>
    </w:p>
    <w:p w14:paraId="3B26DF7A" w14:textId="4E9A0E9F" w:rsidR="009F316F" w:rsidRDefault="009F316F" w:rsidP="00AF16A7">
      <w:pPr>
        <w:pStyle w:val="Quote"/>
        <w:numPr>
          <w:ilvl w:val="0"/>
          <w:numId w:val="22"/>
        </w:numPr>
        <w:rPr>
          <w:i/>
          <w:iCs w:val="0"/>
          <w:lang w:eastAsia="en-AU"/>
        </w:rPr>
      </w:pPr>
      <w:r>
        <w:rPr>
          <w:lang w:eastAsia="en-AU"/>
        </w:rPr>
        <w:t xml:space="preserve">Proportion of children exiting care with no more than two placements in care; reasons for decrease </w:t>
      </w:r>
      <w:r>
        <w:rPr>
          <w:i/>
          <w:iCs w:val="0"/>
          <w:lang w:eastAsia="en-AU"/>
        </w:rPr>
        <w:t>(AR)</w:t>
      </w:r>
      <w:r>
        <w:rPr>
          <w:rStyle w:val="FootnoteReference"/>
          <w:i/>
          <w:iCs w:val="0"/>
          <w:lang w:eastAsia="en-AU"/>
        </w:rPr>
        <w:footnoteReference w:id="62"/>
      </w:r>
    </w:p>
    <w:p w14:paraId="22BB5A1D" w14:textId="3614A7DE" w:rsidR="009F316F" w:rsidRDefault="002E1AC1" w:rsidP="00AF16A7">
      <w:pPr>
        <w:pStyle w:val="Quote"/>
        <w:numPr>
          <w:ilvl w:val="0"/>
          <w:numId w:val="22"/>
        </w:numPr>
        <w:rPr>
          <w:lang w:eastAsia="en-AU"/>
        </w:rPr>
      </w:pPr>
      <w:r>
        <w:rPr>
          <w:lang w:eastAsia="en-AU"/>
        </w:rPr>
        <w:t>Children</w:t>
      </w:r>
      <w:r w:rsidR="009F316F">
        <w:rPr>
          <w:lang w:eastAsia="en-AU"/>
        </w:rPr>
        <w:t xml:space="preserve"> exiting care; care plan details</w:t>
      </w:r>
      <w:r w:rsidR="009F316F">
        <w:rPr>
          <w:rStyle w:val="FootnoteReference"/>
          <w:lang w:eastAsia="en-AU"/>
        </w:rPr>
        <w:footnoteReference w:id="63"/>
      </w:r>
    </w:p>
    <w:p w14:paraId="29C6B3C5" w14:textId="2A464F43" w:rsidR="009F316F" w:rsidRDefault="009F316F" w:rsidP="00AF16A7">
      <w:pPr>
        <w:pStyle w:val="Quote"/>
        <w:numPr>
          <w:ilvl w:val="0"/>
          <w:numId w:val="22"/>
        </w:numPr>
        <w:rPr>
          <w:i/>
          <w:iCs w:val="0"/>
          <w:lang w:eastAsia="en-AU"/>
        </w:rPr>
      </w:pPr>
      <w:r>
        <w:rPr>
          <w:lang w:eastAsia="en-AU"/>
        </w:rPr>
        <w:t xml:space="preserve">Enduring Parental responsibility and adoptions; latest data </w:t>
      </w:r>
      <w:r w:rsidRPr="009F316F">
        <w:rPr>
          <w:i/>
          <w:iCs w:val="0"/>
          <w:lang w:eastAsia="en-AU"/>
        </w:rPr>
        <w:t>(AR)</w:t>
      </w:r>
      <w:r>
        <w:rPr>
          <w:rStyle w:val="FootnoteReference"/>
          <w:i/>
          <w:iCs w:val="0"/>
          <w:lang w:eastAsia="en-AU"/>
        </w:rPr>
        <w:footnoteReference w:id="64"/>
      </w:r>
    </w:p>
    <w:p w14:paraId="665B8B43" w14:textId="434137DE" w:rsidR="00925F23" w:rsidRDefault="00925F23" w:rsidP="00AF16A7">
      <w:pPr>
        <w:pStyle w:val="Quote"/>
        <w:numPr>
          <w:ilvl w:val="0"/>
          <w:numId w:val="22"/>
        </w:numPr>
        <w:rPr>
          <w:lang w:eastAsia="en-AU"/>
        </w:rPr>
      </w:pPr>
      <w:r>
        <w:rPr>
          <w:lang w:eastAsia="en-AU"/>
        </w:rPr>
        <w:t xml:space="preserve">Current situation - test case on 2020 </w:t>
      </w:r>
      <w:r w:rsidR="002E1AC1">
        <w:rPr>
          <w:lang w:eastAsia="en-AU"/>
        </w:rPr>
        <w:t>amendments</w:t>
      </w:r>
      <w:r>
        <w:rPr>
          <w:lang w:eastAsia="en-AU"/>
        </w:rPr>
        <w:t xml:space="preserve"> to the Adoption Act</w:t>
      </w:r>
      <w:r>
        <w:rPr>
          <w:rStyle w:val="FootnoteReference"/>
          <w:lang w:eastAsia="en-AU"/>
        </w:rPr>
        <w:footnoteReference w:id="65"/>
      </w:r>
      <w:r>
        <w:rPr>
          <w:lang w:eastAsia="en-AU"/>
        </w:rPr>
        <w:t xml:space="preserve"> </w:t>
      </w:r>
    </w:p>
    <w:p w14:paraId="5ED917E3" w14:textId="036AF2F7" w:rsidR="00925F23" w:rsidRPr="003E6D3A" w:rsidRDefault="00925F23" w:rsidP="00AF16A7">
      <w:pPr>
        <w:pStyle w:val="Quote"/>
        <w:numPr>
          <w:ilvl w:val="0"/>
          <w:numId w:val="22"/>
        </w:numPr>
        <w:rPr>
          <w:i/>
          <w:iCs w:val="0"/>
          <w:lang w:eastAsia="en-AU"/>
        </w:rPr>
      </w:pPr>
      <w:r>
        <w:rPr>
          <w:lang w:eastAsia="en-AU"/>
        </w:rPr>
        <w:t xml:space="preserve">Safe and Connected youth </w:t>
      </w:r>
      <w:r w:rsidR="003E6D3A">
        <w:rPr>
          <w:lang w:eastAsia="en-AU"/>
        </w:rPr>
        <w:t xml:space="preserve">and </w:t>
      </w:r>
      <w:r w:rsidRPr="003E6D3A">
        <w:rPr>
          <w:lang w:eastAsia="en-AU"/>
        </w:rPr>
        <w:t>‘Ruby’s</w:t>
      </w:r>
      <w:r w:rsidRPr="003E6D3A">
        <w:rPr>
          <w:i/>
          <w:iCs w:val="0"/>
          <w:lang w:eastAsia="en-AU"/>
        </w:rPr>
        <w:t>’</w:t>
      </w:r>
      <w:r w:rsidRPr="003E6D3A">
        <w:rPr>
          <w:rStyle w:val="FootnoteReference"/>
          <w:i/>
          <w:iCs w:val="0"/>
          <w:lang w:eastAsia="en-AU"/>
        </w:rPr>
        <w:footnoteReference w:id="66"/>
      </w:r>
    </w:p>
    <w:p w14:paraId="704FCA14" w14:textId="22ADE83A" w:rsidR="003E6D3A" w:rsidRDefault="003E6D3A" w:rsidP="00AF16A7">
      <w:pPr>
        <w:pStyle w:val="Quote"/>
        <w:numPr>
          <w:ilvl w:val="0"/>
          <w:numId w:val="22"/>
        </w:numPr>
        <w:rPr>
          <w:i/>
          <w:iCs w:val="0"/>
          <w:lang w:eastAsia="en-AU"/>
        </w:rPr>
      </w:pPr>
      <w:r w:rsidRPr="003E6D3A">
        <w:rPr>
          <w:lang w:eastAsia="en-AU"/>
        </w:rPr>
        <w:t>Directorate contract details provided in the annual report</w:t>
      </w:r>
      <w:r>
        <w:rPr>
          <w:i/>
          <w:iCs w:val="0"/>
          <w:lang w:eastAsia="en-AU"/>
        </w:rPr>
        <w:t xml:space="preserve"> (AR)</w:t>
      </w:r>
      <w:r>
        <w:rPr>
          <w:rStyle w:val="FootnoteReference"/>
          <w:i/>
          <w:iCs w:val="0"/>
          <w:lang w:eastAsia="en-AU"/>
        </w:rPr>
        <w:footnoteReference w:id="67"/>
      </w:r>
    </w:p>
    <w:p w14:paraId="04B2B70A" w14:textId="6C2D121D" w:rsidR="003E6D3A" w:rsidRDefault="003E6D3A" w:rsidP="00AF16A7">
      <w:pPr>
        <w:pStyle w:val="Quote"/>
        <w:numPr>
          <w:ilvl w:val="0"/>
          <w:numId w:val="22"/>
        </w:numPr>
        <w:rPr>
          <w:lang w:eastAsia="en-AU"/>
        </w:rPr>
      </w:pPr>
      <w:r>
        <w:rPr>
          <w:lang w:eastAsia="en-AU"/>
        </w:rPr>
        <w:t>Data and experience of tendering in contract arrangements</w:t>
      </w:r>
      <w:r>
        <w:rPr>
          <w:rStyle w:val="FootnoteReference"/>
          <w:lang w:eastAsia="en-AU"/>
        </w:rPr>
        <w:footnoteReference w:id="68"/>
      </w:r>
    </w:p>
    <w:p w14:paraId="4EB38279" w14:textId="55E44715" w:rsidR="002F0640" w:rsidRDefault="00842335" w:rsidP="00A80B8F">
      <w:pPr>
        <w:pStyle w:val="Headinglevel3"/>
        <w:rPr>
          <w:lang w:eastAsia="en-AU"/>
        </w:rPr>
      </w:pPr>
      <w:r w:rsidRPr="00972471">
        <w:rPr>
          <w:lang w:eastAsia="en-AU"/>
        </w:rPr>
        <w:t>Questions</w:t>
      </w:r>
      <w:r w:rsidR="004E093E">
        <w:rPr>
          <w:lang w:eastAsia="en-AU"/>
        </w:rPr>
        <w:t xml:space="preserve"> </w:t>
      </w:r>
      <w:bookmarkStart w:id="64" w:name="_Hlk30005628"/>
    </w:p>
    <w:p w14:paraId="1CD327AB" w14:textId="433059AA" w:rsidR="00A80B8F" w:rsidRPr="006372D8" w:rsidRDefault="00A80B8F" w:rsidP="00A80B8F">
      <w:pPr>
        <w:pStyle w:val="BodyText1"/>
        <w:rPr>
          <w:b/>
          <w:bCs/>
          <w:color w:val="000000"/>
          <w:lang w:eastAsia="en-AU"/>
        </w:rPr>
      </w:pPr>
      <w:proofErr w:type="spellStart"/>
      <w:r>
        <w:t>QToNs</w:t>
      </w:r>
      <w:proofErr w:type="spellEnd"/>
      <w:r>
        <w:t xml:space="preserve"> and </w:t>
      </w:r>
      <w:proofErr w:type="spellStart"/>
      <w:r>
        <w:t>QoNs</w:t>
      </w:r>
      <w:proofErr w:type="spellEnd"/>
      <w:r>
        <w:t xml:space="preserve"> which were asked as a result of the Committee’s inquiry </w:t>
      </w:r>
      <w:r w:rsidRPr="006372D8">
        <w:rPr>
          <w:b/>
          <w:bCs/>
        </w:rPr>
        <w:t>are at Appendi</w:t>
      </w:r>
      <w:r w:rsidR="00604832">
        <w:rPr>
          <w:b/>
          <w:bCs/>
        </w:rPr>
        <w:t>c</w:t>
      </w:r>
      <w:r w:rsidRPr="006372D8">
        <w:rPr>
          <w:b/>
          <w:bCs/>
        </w:rPr>
        <w:t>es C and D.</w:t>
      </w:r>
    </w:p>
    <w:p w14:paraId="6BA58424" w14:textId="77777777" w:rsidR="00A80B8F" w:rsidRDefault="00A80B8F" w:rsidP="00A80B8F">
      <w:pPr>
        <w:pStyle w:val="Headinglevel3"/>
        <w:rPr>
          <w:bdr w:val="nil"/>
        </w:rPr>
      </w:pPr>
      <w:r>
        <w:rPr>
          <w:bdr w:val="nil"/>
        </w:rPr>
        <w:t>Committee Observations and Comment</w:t>
      </w:r>
    </w:p>
    <w:p w14:paraId="47CB3BAF" w14:textId="77777777" w:rsidR="00A80B8F" w:rsidRDefault="00A80B8F" w:rsidP="00A80B8F">
      <w:pPr>
        <w:pStyle w:val="BodyText1"/>
      </w:pPr>
      <w:r>
        <w:t>The Committee makes the following observations and comment on a number of issues which were subject of inquiry:</w:t>
      </w:r>
    </w:p>
    <w:bookmarkEnd w:id="63"/>
    <w:bookmarkEnd w:id="64"/>
    <w:p w14:paraId="18DEB4FB" w14:textId="41AA5F54" w:rsidR="00EB2C26" w:rsidRDefault="00EB2C26" w:rsidP="00313EEF">
      <w:pPr>
        <w:pStyle w:val="Headinglevel4"/>
      </w:pPr>
      <w:r>
        <w:t>External merits review – Child Protection Service</w:t>
      </w:r>
    </w:p>
    <w:p w14:paraId="560A60BC" w14:textId="422071DF" w:rsidR="008C57FB" w:rsidRDefault="00DD425D" w:rsidP="008C57FB">
      <w:pPr>
        <w:pStyle w:val="BodyText1"/>
      </w:pPr>
      <w:r>
        <w:t>E</w:t>
      </w:r>
      <w:r w:rsidR="00B358C3">
        <w:t>xternal merits review and the import of such reviews for child protection was a major matter examined by the Committee.</w:t>
      </w:r>
      <w:r w:rsidR="008C57FB">
        <w:t xml:space="preserve">  One of the budget priorities for 2020-21 is </w:t>
      </w:r>
      <w:r w:rsidR="0056249B">
        <w:t xml:space="preserve">stated to be </w:t>
      </w:r>
      <w:r w:rsidR="008C57FB">
        <w:t>to strengthen oversight in Child and Youth Protection Services. The Minister provided updated information to the Committee on actions undertaken to ensure</w:t>
      </w:r>
      <w:r w:rsidR="004E21CD">
        <w:t xml:space="preserve"> </w:t>
      </w:r>
      <w:r w:rsidR="008C57FB">
        <w:t>child protection decisions are subject to external merits review?</w:t>
      </w:r>
    </w:p>
    <w:p w14:paraId="52CCE31D" w14:textId="0AF9DA5C" w:rsidR="00B358C3" w:rsidRDefault="008C57FB" w:rsidP="00DD425D">
      <w:pPr>
        <w:pStyle w:val="Quote"/>
      </w:pPr>
      <w:r>
        <w:t>……..we held an online forum with a number of stakeholders, with both Victorian and Queensland representatives, last year, prior to the election, to talk about both the findings of the discussion paper and that process we went through to think about what a model for external merits review might look like and to hear from other jurisdictions about their experiences with external merits review with a range of stakeholders, including the Human Rights Commission, legal advocates et cetera. Subsequent to that there was another forum which I think took place during the caretaker period—certainly I did not participate in it—to talk through the lessons learned from that.</w:t>
      </w:r>
      <w:r>
        <w:rPr>
          <w:rStyle w:val="FootnoteReference"/>
        </w:rPr>
        <w:footnoteReference w:id="69"/>
      </w:r>
    </w:p>
    <w:p w14:paraId="5455AE55" w14:textId="3240A56E" w:rsidR="008C57FB" w:rsidRDefault="008C57FB" w:rsidP="00B358C3">
      <w:pPr>
        <w:pStyle w:val="BodyText1"/>
      </w:pPr>
      <w:r>
        <w:t xml:space="preserve">Directorate advice, complementing the Minister’s </w:t>
      </w:r>
      <w:r w:rsidR="00DD425D">
        <w:t>comments</w:t>
      </w:r>
      <w:r>
        <w:t>, was:</w:t>
      </w:r>
    </w:p>
    <w:p w14:paraId="1E42E12C" w14:textId="06F8B325" w:rsidR="008C57FB" w:rsidRDefault="008C57FB" w:rsidP="00DD425D">
      <w:pPr>
        <w:pStyle w:val="Quote"/>
      </w:pPr>
      <w:r>
        <w:t>A number of key things came out. One is that the capacity to engage appropriately from first contact is really important in being able to manage a more restorative approach to casework and casework decisions going forward and including people throughout that process. Another was looking at how we make sure people have a level of advocacy and support outside of either the internal review participants or to support them in the external review process. All of that needed to come together to provide a unified approach.</w:t>
      </w:r>
      <w:r>
        <w:rPr>
          <w:rStyle w:val="FootnoteReference"/>
        </w:rPr>
        <w:footnoteReference w:id="70"/>
      </w:r>
      <w:r>
        <w:t xml:space="preserve"> </w:t>
      </w:r>
    </w:p>
    <w:p w14:paraId="3FA4F0EF" w14:textId="3CD7A6AF" w:rsidR="008C57FB" w:rsidRDefault="00C04CF0" w:rsidP="003575CD">
      <w:pPr>
        <w:pStyle w:val="BodyText1"/>
        <w:numPr>
          <w:ilvl w:val="0"/>
          <w:numId w:val="0"/>
        </w:numPr>
        <w:ind w:left="567"/>
      </w:pPr>
      <w:r>
        <w:t>a</w:t>
      </w:r>
      <w:r w:rsidR="003575CD">
        <w:t>nd</w:t>
      </w:r>
    </w:p>
    <w:p w14:paraId="4C3EBF37" w14:textId="2FC7DA96" w:rsidR="003575CD" w:rsidRDefault="003575CD" w:rsidP="00DD425D">
      <w:pPr>
        <w:pStyle w:val="Quote"/>
      </w:pPr>
      <w:r w:rsidRPr="003575CD">
        <w:t xml:space="preserve"> </w:t>
      </w:r>
      <w:r>
        <w:t xml:space="preserve">……..we have been running a consultation process external to our directorate but also internal with our staff about how we can reset the mechanisms and the way case managers and team leaders and operations managers engage in a request for a review of a decision. That is about how you initially make a good decision and how you communicate that decision so that people understand clearly—and sometimes you have to do that multiple times and with different people—and then how do you work with people who are not satisfied with the initial decision to get their voices heard through other mechanisms, independent of the people that made the decision. </w:t>
      </w:r>
    </w:p>
    <w:p w14:paraId="1E3A767A" w14:textId="77777777" w:rsidR="003575CD" w:rsidRDefault="003575CD" w:rsidP="00DD425D">
      <w:pPr>
        <w:pStyle w:val="Quote"/>
      </w:pPr>
    </w:p>
    <w:p w14:paraId="0B91CA37" w14:textId="79CAC151" w:rsidR="003575CD" w:rsidRDefault="003575CD" w:rsidP="00DD425D">
      <w:pPr>
        <w:pStyle w:val="Quote"/>
      </w:pPr>
      <w:r>
        <w:t>We have talked at hearings before about the almost hundreds of decisions caseworkers make every day with families, and it is not possible to have all of those reviewed and reviewed and reviewed. There are consequences for children and young people when that happens but also for families. We need to review the key ones, where there is the controversy and where there is always the complexity—things like contact, placement options, outcomes of appraisals, for example.</w:t>
      </w:r>
      <w:r>
        <w:rPr>
          <w:rStyle w:val="FootnoteReference"/>
        </w:rPr>
        <w:footnoteReference w:id="71"/>
      </w:r>
    </w:p>
    <w:p w14:paraId="40B6A364" w14:textId="65A3A442" w:rsidR="003B6000" w:rsidRDefault="003B6000" w:rsidP="003B6000">
      <w:pPr>
        <w:pStyle w:val="BodyText1"/>
      </w:pPr>
      <w:r>
        <w:t xml:space="preserve">The Committee sought further </w:t>
      </w:r>
      <w:r w:rsidR="004E21CD">
        <w:t>detail</w:t>
      </w:r>
      <w:r>
        <w:t xml:space="preserve"> on how and on what timetable the changes proposed would be expected. external merits review. </w:t>
      </w:r>
    </w:p>
    <w:p w14:paraId="39A6F916" w14:textId="77777777" w:rsidR="003B6000" w:rsidRDefault="003B6000" w:rsidP="003B6000"/>
    <w:p w14:paraId="55AE9EF4" w14:textId="05A3923F" w:rsidR="003B6000" w:rsidRDefault="003B6000" w:rsidP="003B6000">
      <w:pPr>
        <w:pStyle w:val="Quote"/>
      </w:pPr>
      <w:r>
        <w:rPr>
          <w:b/>
          <w:bCs/>
        </w:rPr>
        <w:t>…..</w:t>
      </w:r>
      <w:r>
        <w:t>we have had a number of consultative processes to examine models. The tender process is around the examination of models that exist in jurisdictions in Australia, the identification of which aspects of them would be applicable in the ACT</w:t>
      </w:r>
      <w:r w:rsidR="00A80B8F">
        <w:t xml:space="preserve"> </w:t>
      </w:r>
      <w:r>
        <w:t>and customising the proposed model for the ACT.</w:t>
      </w:r>
    </w:p>
    <w:p w14:paraId="2714C7F1" w14:textId="77777777" w:rsidR="003B6000" w:rsidRDefault="003B6000" w:rsidP="003B6000">
      <w:pPr>
        <w:pStyle w:val="Quote"/>
      </w:pPr>
    </w:p>
    <w:p w14:paraId="63471F19" w14:textId="5A444F46" w:rsidR="003B6000" w:rsidRDefault="003B6000" w:rsidP="003B6000">
      <w:pPr>
        <w:pStyle w:val="Quote"/>
      </w:pPr>
      <w:r>
        <w:t xml:space="preserve">It is around making sure that it takes into account our own jurisdiction’s legislation with respect to the </w:t>
      </w:r>
      <w:proofErr w:type="spellStart"/>
      <w:r>
        <w:t>Childrens</w:t>
      </w:r>
      <w:proofErr w:type="spellEnd"/>
      <w:r>
        <w:t xml:space="preserve"> Court and our Children and Young People Act; making sure that the model that is proposed would actually work in the ACT from a legal perspective, in sync with the internal processes that Helen mentioned earlier; and making sure that whatever is proposed is really effective and does not have the issues that Victoria and other areas have identified with their existing processes. </w:t>
      </w:r>
      <w:r>
        <w:rPr>
          <w:rStyle w:val="FootnoteReference"/>
        </w:rPr>
        <w:footnoteReference w:id="72"/>
      </w:r>
    </w:p>
    <w:p w14:paraId="4D9FBC5F" w14:textId="1A09D587" w:rsidR="003B6000" w:rsidRDefault="003B6000" w:rsidP="00DD425D">
      <w:pPr>
        <w:pStyle w:val="BodyText1"/>
      </w:pPr>
      <w:r>
        <w:t xml:space="preserve">The Committee was advised </w:t>
      </w:r>
      <w:r w:rsidR="004E21CD">
        <w:t>that</w:t>
      </w:r>
      <w:r>
        <w:t>, to better achieve an outcome of greatest use to the ACT, th</w:t>
      </w:r>
      <w:r w:rsidR="0056249B">
        <w:t>a</w:t>
      </w:r>
      <w:r>
        <w:t xml:space="preserve">t a review (to be conducted by a review panel selected </w:t>
      </w:r>
      <w:r w:rsidR="0056249B">
        <w:t>after</w:t>
      </w:r>
      <w:r>
        <w:t xml:space="preserve"> tender) would be carried out during the current calendar year.</w:t>
      </w:r>
      <w:r w:rsidR="00D17E57">
        <w:rPr>
          <w:rStyle w:val="FootnoteReference"/>
        </w:rPr>
        <w:footnoteReference w:id="73"/>
      </w:r>
      <w:r>
        <w:t xml:space="preserve">  </w:t>
      </w:r>
    </w:p>
    <w:p w14:paraId="72672E45" w14:textId="341EA64B" w:rsidR="00DD425D" w:rsidRDefault="003B6000" w:rsidP="00DD425D">
      <w:pPr>
        <w:pStyle w:val="BodyText1"/>
      </w:pPr>
      <w:r>
        <w:t xml:space="preserve">The Committee has a long-standing concern over this matter.  The Committee anticipates that the review process </w:t>
      </w:r>
      <w:r w:rsidR="00445DA4">
        <w:t>can</w:t>
      </w:r>
      <w:r>
        <w:t xml:space="preserve"> result in a solution which c</w:t>
      </w:r>
      <w:r w:rsidR="00D17E57">
        <w:t>a</w:t>
      </w:r>
      <w:r>
        <w:t>n be supported (subject to a desirable level of fu</w:t>
      </w:r>
      <w:r w:rsidR="00D17E57">
        <w:t>r</w:t>
      </w:r>
      <w:r>
        <w:t xml:space="preserve">ther </w:t>
      </w:r>
      <w:r w:rsidR="004E21CD">
        <w:t>consultation</w:t>
      </w:r>
      <w:r>
        <w:t xml:space="preserve">) </w:t>
      </w:r>
      <w:r w:rsidR="00D17E57">
        <w:t xml:space="preserve">by all stakeholders and </w:t>
      </w:r>
      <w:r w:rsidR="00445DA4">
        <w:t>achieve a result which can be implemented as a replacement for the current approach to reviews</w:t>
      </w:r>
      <w:r w:rsidR="0056249B">
        <w:t>.</w:t>
      </w:r>
    </w:p>
    <w:p w14:paraId="16DE5222" w14:textId="77777777" w:rsidR="00D37A47" w:rsidRDefault="00D37A47" w:rsidP="00D37A47">
      <w:pPr>
        <w:pStyle w:val="BodyText1"/>
        <w:numPr>
          <w:ilvl w:val="0"/>
          <w:numId w:val="0"/>
        </w:numPr>
        <w:ind w:left="567"/>
      </w:pPr>
    </w:p>
    <w:tbl>
      <w:tblPr>
        <w:tblStyle w:val="TableGrid"/>
        <w:tblW w:w="9209" w:type="dxa"/>
        <w:tblInd w:w="-142" w:type="dxa"/>
        <w:tblLook w:val="04A0" w:firstRow="1" w:lastRow="0" w:firstColumn="1" w:lastColumn="0" w:noHBand="0" w:noVBand="1"/>
      </w:tblPr>
      <w:tblGrid>
        <w:gridCol w:w="9209"/>
      </w:tblGrid>
      <w:tr w:rsidR="00AA7502" w14:paraId="6028029E" w14:textId="77777777" w:rsidTr="00665195">
        <w:tc>
          <w:tcPr>
            <w:tcW w:w="9209" w:type="dxa"/>
          </w:tcPr>
          <w:p w14:paraId="5E56B555" w14:textId="2DDC4185" w:rsidR="00AA7502" w:rsidRDefault="00AA7502" w:rsidP="00AA7502">
            <w:pPr>
              <w:pStyle w:val="RecommendationHeading"/>
            </w:pPr>
            <w:bookmarkStart w:id="65" w:name="_Toc68848910"/>
            <w:r>
              <w:t xml:space="preserve">Recommendation </w:t>
            </w:r>
            <w:r>
              <w:rPr>
                <w:noProof/>
              </w:rPr>
              <w:fldChar w:fldCharType="begin"/>
            </w:r>
            <w:r>
              <w:rPr>
                <w:noProof/>
              </w:rPr>
              <w:instrText xml:space="preserve"> seq NumList </w:instrText>
            </w:r>
            <w:r>
              <w:rPr>
                <w:noProof/>
              </w:rPr>
              <w:fldChar w:fldCharType="separate"/>
            </w:r>
            <w:r w:rsidR="002A4E14">
              <w:rPr>
                <w:noProof/>
              </w:rPr>
              <w:t>9</w:t>
            </w:r>
            <w:bookmarkEnd w:id="65"/>
            <w:r>
              <w:rPr>
                <w:noProof/>
              </w:rPr>
              <w:fldChar w:fldCharType="end"/>
            </w:r>
          </w:p>
          <w:p w14:paraId="3F7755EC" w14:textId="7F447B75" w:rsidR="00AA7502" w:rsidRPr="00E67CD5" w:rsidRDefault="00AA7502" w:rsidP="00AA7502">
            <w:pPr>
              <w:pStyle w:val="RecommendationText"/>
            </w:pPr>
            <w:bookmarkStart w:id="66" w:name="_Toc68848911"/>
            <w:r>
              <w:t>The Committee recommends that the</w:t>
            </w:r>
            <w:r w:rsidR="004A0050">
              <w:t xml:space="preserve"> current </w:t>
            </w:r>
            <w:r>
              <w:t xml:space="preserve">review of the </w:t>
            </w:r>
            <w:r w:rsidR="004A0050">
              <w:t xml:space="preserve">present </w:t>
            </w:r>
            <w:r>
              <w:t xml:space="preserve">external merits review arrangements in </w:t>
            </w:r>
            <w:r w:rsidR="004A0050">
              <w:t xml:space="preserve">ACT </w:t>
            </w:r>
            <w:r>
              <w:t xml:space="preserve">Child Protection Matters be proceeded with </w:t>
            </w:r>
            <w:r w:rsidR="004A0050">
              <w:t xml:space="preserve">and concluded </w:t>
            </w:r>
            <w:r>
              <w:t>as soon as possible, and that the result</w:t>
            </w:r>
            <w:r w:rsidR="004A0050">
              <w:t>s</w:t>
            </w:r>
            <w:r>
              <w:t xml:space="preserve"> of that review </w:t>
            </w:r>
            <w:r w:rsidR="004A0050">
              <w:t xml:space="preserve">and proposals for change and improvement be </w:t>
            </w:r>
            <w:r>
              <w:t>made available to the Assembly.</w:t>
            </w:r>
            <w:bookmarkEnd w:id="66"/>
          </w:p>
        </w:tc>
      </w:tr>
    </w:tbl>
    <w:p w14:paraId="4EDEB04A" w14:textId="29C972A6" w:rsidR="0020599A" w:rsidRDefault="00EB2C26" w:rsidP="00313EEF">
      <w:pPr>
        <w:pStyle w:val="Headinglevel4"/>
      </w:pPr>
      <w:r>
        <w:t>Adoption is</w:t>
      </w:r>
      <w:r w:rsidR="00CD78BA">
        <w:t>s</w:t>
      </w:r>
      <w:r>
        <w:t xml:space="preserve">ues – situation arising from 2020 </w:t>
      </w:r>
      <w:r w:rsidR="002E1C34">
        <w:t>amendments</w:t>
      </w:r>
      <w:r>
        <w:t xml:space="preserve"> </w:t>
      </w:r>
      <w:r w:rsidR="002F0640">
        <w:t xml:space="preserve">to the </w:t>
      </w:r>
      <w:r>
        <w:t>Adoption Act</w:t>
      </w:r>
    </w:p>
    <w:p w14:paraId="1EA54F44" w14:textId="1173F74F" w:rsidR="00463CD1" w:rsidRDefault="007030B1" w:rsidP="007030B1">
      <w:pPr>
        <w:pStyle w:val="BodyText1"/>
      </w:pPr>
      <w:r>
        <w:t xml:space="preserve">The Committee sought details during hearings on matter raised by advice that ACT </w:t>
      </w:r>
      <w:r w:rsidRPr="003835CA">
        <w:t xml:space="preserve">adoption matters need to be temporarily withdrawn from </w:t>
      </w:r>
      <w:r>
        <w:t>the adoption review</w:t>
      </w:r>
      <w:r w:rsidRPr="003835CA">
        <w:t>.</w:t>
      </w:r>
      <w:r>
        <w:t xml:space="preserve"> The Committee sought advice as to whether </w:t>
      </w:r>
      <w:r w:rsidRPr="003835CA">
        <w:t xml:space="preserve">current uncertainty regarding </w:t>
      </w:r>
      <w:r>
        <w:t xml:space="preserve">a new legislative </w:t>
      </w:r>
      <w:r w:rsidR="00463CD1">
        <w:t xml:space="preserve">basis for adoption matters was </w:t>
      </w:r>
      <w:r w:rsidR="004E21CD">
        <w:t>currently</w:t>
      </w:r>
      <w:r w:rsidR="00463CD1">
        <w:t xml:space="preserve"> before the Courts.</w:t>
      </w:r>
    </w:p>
    <w:p w14:paraId="1E115CA4" w14:textId="2D3335CE" w:rsidR="007030B1" w:rsidRDefault="009F0885" w:rsidP="007030B1">
      <w:pPr>
        <w:pStyle w:val="BodyText1"/>
      </w:pPr>
      <w:r>
        <w:t>In this regard, t</w:t>
      </w:r>
      <w:r w:rsidR="00463CD1">
        <w:t xml:space="preserve">he </w:t>
      </w:r>
      <w:r w:rsidR="004E21CD">
        <w:t>Minister</w:t>
      </w:r>
      <w:r w:rsidR="00463CD1">
        <w:t xml:space="preserve"> advised the Committee</w:t>
      </w:r>
      <w:r>
        <w:t>:</w:t>
      </w:r>
    </w:p>
    <w:p w14:paraId="20B317D6" w14:textId="77777777" w:rsidR="009F0885" w:rsidRDefault="009F0885" w:rsidP="00B970A6">
      <w:pPr>
        <w:pStyle w:val="Quote"/>
      </w:pPr>
      <w:r>
        <w:t>T</w:t>
      </w:r>
      <w:r w:rsidRPr="003835CA">
        <w:t xml:space="preserve">he way </w:t>
      </w:r>
      <w:r>
        <w:t xml:space="preserve">that </w:t>
      </w:r>
      <w:r w:rsidRPr="003835CA">
        <w:t xml:space="preserve">legislation and court processes work </w:t>
      </w:r>
      <w:r>
        <w:t xml:space="preserve">is that </w:t>
      </w:r>
      <w:r w:rsidRPr="003835CA">
        <w:t>when you change legislation that provides guidance to the court</w:t>
      </w:r>
      <w:r>
        <w:t>. T</w:t>
      </w:r>
      <w:r w:rsidRPr="003835CA">
        <w:t>he first time that is tested in court will indicate how the court is going to interpret that legislation.</w:t>
      </w:r>
      <w:r>
        <w:t xml:space="preserve"> W</w:t>
      </w:r>
      <w:r w:rsidRPr="003835CA">
        <w:t>e have a small number of adoption matters on foot in the Supreme Court at the moment, but one of those in particular will test the Supreme Court’s interpretation of the legislative changes</w:t>
      </w:r>
      <w:r>
        <w:t xml:space="preserve"> </w:t>
      </w:r>
      <w:r w:rsidRPr="003835CA">
        <w:t>that were made by the Assembly in September last year.</w:t>
      </w:r>
      <w:r>
        <w:t xml:space="preserve"> </w:t>
      </w:r>
    </w:p>
    <w:p w14:paraId="11A63354" w14:textId="77777777" w:rsidR="009F0885" w:rsidRDefault="009F0885" w:rsidP="00B970A6">
      <w:pPr>
        <w:pStyle w:val="Quote"/>
      </w:pPr>
    </w:p>
    <w:p w14:paraId="5E183F2B" w14:textId="2E5E17CB" w:rsidR="009F0885" w:rsidRDefault="009F0885" w:rsidP="00B970A6">
      <w:pPr>
        <w:pStyle w:val="Quote"/>
      </w:pPr>
      <w:r>
        <w:t>T</w:t>
      </w:r>
      <w:r w:rsidRPr="003835CA">
        <w:t>here is work being done by CYPS and the legal representatives of the ACT government to work with the Supreme Court to help them to interpret the legislation in the way the Legislative Assembly intended it to be interpreted.</w:t>
      </w:r>
      <w:r>
        <w:t xml:space="preserve"> </w:t>
      </w:r>
      <w:r w:rsidR="003C1BDA" w:rsidRPr="003835CA">
        <w:t>So,</w:t>
      </w:r>
      <w:r w:rsidRPr="003835CA">
        <w:t xml:space="preserve"> there is effectively a test case currently before the Supreme Court that will determine whether the Supreme Court is going to interpret that legislation in the way that we intended, which</w:t>
      </w:r>
      <w:r>
        <w:t xml:space="preserve"> is </w:t>
      </w:r>
      <w:r w:rsidRPr="003835CA">
        <w:t>what we hope is going to happen.</w:t>
      </w:r>
      <w:r>
        <w:rPr>
          <w:rStyle w:val="FootnoteReference"/>
        </w:rPr>
        <w:footnoteReference w:id="74"/>
      </w:r>
    </w:p>
    <w:p w14:paraId="724AFF56" w14:textId="6011F26D" w:rsidR="00B970A6" w:rsidRDefault="00B970A6" w:rsidP="009F0885">
      <w:pPr>
        <w:pStyle w:val="BodyText1"/>
      </w:pPr>
      <w:r>
        <w:t xml:space="preserve">The Minister additionally </w:t>
      </w:r>
      <w:r w:rsidR="004E21CD">
        <w:t>advised</w:t>
      </w:r>
      <w:r>
        <w:t xml:space="preserve"> the committee:</w:t>
      </w:r>
    </w:p>
    <w:p w14:paraId="2F63E13C" w14:textId="77777777" w:rsidR="00B970A6" w:rsidRDefault="00B970A6" w:rsidP="00B970A6">
      <w:pPr>
        <w:pStyle w:val="Quote"/>
      </w:pPr>
      <w:r>
        <w:t>I</w:t>
      </w:r>
      <w:r w:rsidRPr="003835CA">
        <w:t>n the past</w:t>
      </w:r>
      <w:r>
        <w:t>—</w:t>
      </w:r>
      <w:r w:rsidRPr="003835CA">
        <w:t>this is one of the reasons that we moved to change the legislation, apart from other policy feedback</w:t>
      </w:r>
      <w:r>
        <w:t>—t</w:t>
      </w:r>
      <w:r w:rsidRPr="003835CA">
        <w:t>here have been instances where the directorate</w:t>
      </w:r>
      <w:r>
        <w:t>,</w:t>
      </w:r>
      <w:r w:rsidRPr="003835CA">
        <w:t xml:space="preserve"> and the director-general and the legal representatives</w:t>
      </w:r>
      <w:r>
        <w:t>,</w:t>
      </w:r>
      <w:r w:rsidRPr="003835CA">
        <w:t xml:space="preserve"> have proposed and suppo</w:t>
      </w:r>
      <w:r>
        <w:t>rt</w:t>
      </w:r>
      <w:r w:rsidRPr="003835CA">
        <w:t xml:space="preserve">ed </w:t>
      </w:r>
      <w:r>
        <w:t xml:space="preserve">the </w:t>
      </w:r>
      <w:r w:rsidRPr="003835CA">
        <w:t>dispensation of parental consent and made that argument in the court and the judge has not supported or agreed with the directorate’s position.</w:t>
      </w:r>
      <w:r>
        <w:t xml:space="preserve"> T</w:t>
      </w:r>
      <w:r w:rsidRPr="003835CA">
        <w:t>hat is a very difficult situation for families to then find themselves in.</w:t>
      </w:r>
      <w:r>
        <w:t xml:space="preserve"> </w:t>
      </w:r>
    </w:p>
    <w:p w14:paraId="519BD230" w14:textId="16E326C3" w:rsidR="00B970A6" w:rsidRDefault="00B970A6" w:rsidP="00B970A6">
      <w:pPr>
        <w:pStyle w:val="Quote"/>
      </w:pPr>
      <w:r w:rsidRPr="003835CA">
        <w:t xml:space="preserve">I absolutely recognise </w:t>
      </w:r>
      <w:r>
        <w:t xml:space="preserve">that </w:t>
      </w:r>
      <w:r w:rsidRPr="003835CA">
        <w:t>this is incredibly frustrating for families who are in a permanency process and who are waiting for decision</w:t>
      </w:r>
      <w:r>
        <w:t>-</w:t>
      </w:r>
      <w:r w:rsidRPr="003835CA">
        <w:t>making.</w:t>
      </w:r>
      <w:r>
        <w:t xml:space="preserve"> I</w:t>
      </w:r>
      <w:r w:rsidRPr="003835CA">
        <w:t>t is really important to stress that the children involved in these situations are safe</w:t>
      </w:r>
      <w:r>
        <w:t>; t</w:t>
      </w:r>
      <w:r w:rsidRPr="003835CA">
        <w:t>hey are in secure family arrangements.</w:t>
      </w:r>
      <w:r>
        <w:t xml:space="preserve"> T</w:t>
      </w:r>
      <w:r w:rsidRPr="003835CA">
        <w:t>he action that is being taken is to ensure</w:t>
      </w:r>
      <w:r>
        <w:t>,</w:t>
      </w:r>
      <w:r w:rsidRPr="003835CA">
        <w:t xml:space="preserve"> to the greatest extent possible</w:t>
      </w:r>
      <w:r>
        <w:t>,</w:t>
      </w:r>
      <w:r w:rsidRPr="003835CA">
        <w:t xml:space="preserve"> that as those permanency processes progress</w:t>
      </w:r>
      <w:r>
        <w:t xml:space="preserve"> and</w:t>
      </w:r>
      <w:r w:rsidRPr="003835CA">
        <w:t xml:space="preserve"> they are given the greatest chance of success.</w:t>
      </w:r>
      <w:r w:rsidR="00047E77">
        <w:rPr>
          <w:rStyle w:val="FootnoteReference"/>
        </w:rPr>
        <w:footnoteReference w:id="75"/>
      </w:r>
    </w:p>
    <w:p w14:paraId="2352C735" w14:textId="53CB336F" w:rsidR="00047E77" w:rsidRDefault="00047E77" w:rsidP="00047E77">
      <w:pPr>
        <w:pStyle w:val="BodyText1"/>
      </w:pPr>
      <w:r>
        <w:t xml:space="preserve">The Committee’s hearing suggested that </w:t>
      </w:r>
      <w:r w:rsidR="0021363A">
        <w:t>several</w:t>
      </w:r>
      <w:r>
        <w:t xml:space="preserve"> matters involving adoption process are awaiting decisions or guidance form the Supreme Court and that mot all stakeholders in the adoption support community are aware of that.  It is important (as the Minister noted) that the </w:t>
      </w:r>
      <w:r w:rsidR="0021363A">
        <w:t>amendments</w:t>
      </w:r>
      <w:r>
        <w:t xml:space="preserve"> to adoption </w:t>
      </w:r>
      <w:r w:rsidR="0021363A">
        <w:t>legislation</w:t>
      </w:r>
      <w:r>
        <w:t xml:space="preserve"> passed by the Assembly in 2020 be properly dealt with by the Court, and that </w:t>
      </w:r>
      <w:r w:rsidR="00361A53">
        <w:t xml:space="preserve">stakeholders and </w:t>
      </w:r>
      <w:r w:rsidR="0021363A">
        <w:t>participants</w:t>
      </w:r>
      <w:r w:rsidR="00361A53">
        <w:t xml:space="preserve"> in adoption support and advice </w:t>
      </w:r>
      <w:r w:rsidR="0021363A">
        <w:t>are</w:t>
      </w:r>
      <w:r w:rsidR="00361A53">
        <w:t xml:space="preserve"> fully informed of the stage reached, and prospective timing of the case(s) involved.</w:t>
      </w:r>
    </w:p>
    <w:p w14:paraId="5956EC79" w14:textId="20EB3296" w:rsidR="00361A53" w:rsidRDefault="00361A53" w:rsidP="00047E77">
      <w:pPr>
        <w:pStyle w:val="BodyText1"/>
      </w:pPr>
      <w:r>
        <w:t>The Committee does not make any further comment on this matter.</w:t>
      </w:r>
    </w:p>
    <w:p w14:paraId="7A005831" w14:textId="661A9194" w:rsidR="00A80B8F" w:rsidRDefault="00A80B8F" w:rsidP="00A80B8F">
      <w:pPr>
        <w:pStyle w:val="Headinglevel4"/>
      </w:pPr>
      <w:r>
        <w:t xml:space="preserve"> Committee </w:t>
      </w:r>
      <w:r w:rsidR="009020E8">
        <w:t>Recommendations</w:t>
      </w:r>
    </w:p>
    <w:p w14:paraId="244FC5B1" w14:textId="77777777" w:rsidR="00D37A47" w:rsidRPr="00D37A47" w:rsidRDefault="00D37A47" w:rsidP="00D37A47">
      <w:pPr>
        <w:pStyle w:val="BodyText1"/>
      </w:pPr>
    </w:p>
    <w:tbl>
      <w:tblPr>
        <w:tblStyle w:val="TableGrid"/>
        <w:tblW w:w="9209" w:type="dxa"/>
        <w:tblInd w:w="-142" w:type="dxa"/>
        <w:tblLook w:val="04A0" w:firstRow="1" w:lastRow="0" w:firstColumn="1" w:lastColumn="0" w:noHBand="0" w:noVBand="1"/>
      </w:tblPr>
      <w:tblGrid>
        <w:gridCol w:w="9209"/>
      </w:tblGrid>
      <w:tr w:rsidR="000F3EC9" w14:paraId="4BCE4BC6" w14:textId="77777777" w:rsidTr="00665195">
        <w:tc>
          <w:tcPr>
            <w:tcW w:w="9209" w:type="dxa"/>
          </w:tcPr>
          <w:p w14:paraId="037F0A2C" w14:textId="6FE82917" w:rsidR="000F3EC9" w:rsidRDefault="000F3EC9" w:rsidP="000F3EC9">
            <w:pPr>
              <w:pStyle w:val="RecommendationHeading"/>
            </w:pPr>
            <w:bookmarkStart w:id="67" w:name="_Toc68848912"/>
            <w:r>
              <w:t xml:space="preserve">Recommendation </w:t>
            </w:r>
            <w:r>
              <w:rPr>
                <w:noProof/>
              </w:rPr>
              <w:fldChar w:fldCharType="begin"/>
            </w:r>
            <w:r>
              <w:rPr>
                <w:noProof/>
              </w:rPr>
              <w:instrText xml:space="preserve"> seq NumList </w:instrText>
            </w:r>
            <w:r>
              <w:rPr>
                <w:noProof/>
              </w:rPr>
              <w:fldChar w:fldCharType="separate"/>
            </w:r>
            <w:r w:rsidR="002A4E14">
              <w:rPr>
                <w:noProof/>
              </w:rPr>
              <w:t>10</w:t>
            </w:r>
            <w:bookmarkEnd w:id="67"/>
            <w:r>
              <w:rPr>
                <w:noProof/>
              </w:rPr>
              <w:fldChar w:fldCharType="end"/>
            </w:r>
          </w:p>
          <w:p w14:paraId="3BB5E2E5" w14:textId="15E0BA91" w:rsidR="000F3EC9" w:rsidRPr="000F3EC9" w:rsidRDefault="000F3EC9" w:rsidP="000F3EC9">
            <w:pPr>
              <w:pStyle w:val="RecommendationText"/>
            </w:pPr>
            <w:bookmarkStart w:id="68" w:name="_Toc68848913"/>
            <w:r>
              <w:t xml:space="preserve">That CSD </w:t>
            </w:r>
            <w:r w:rsidR="004A0050">
              <w:t xml:space="preserve">ensure </w:t>
            </w:r>
            <w:r>
              <w:t>tha</w:t>
            </w:r>
            <w:r w:rsidR="004A0050">
              <w:t>t</w:t>
            </w:r>
            <w:r>
              <w:t xml:space="preserve"> an open tender process is used for </w:t>
            </w:r>
            <w:r w:rsidR="004A0050">
              <w:t xml:space="preserve">providing </w:t>
            </w:r>
            <w:r>
              <w:t>continuation of the Safe and Connected Youth program</w:t>
            </w:r>
            <w:r w:rsidR="009020E8">
              <w:t>.</w:t>
            </w:r>
            <w:bookmarkEnd w:id="68"/>
          </w:p>
        </w:tc>
      </w:tr>
      <w:tr w:rsidR="000F3EC9" w14:paraId="35110AB4" w14:textId="77777777" w:rsidTr="00665195">
        <w:tc>
          <w:tcPr>
            <w:tcW w:w="9209" w:type="dxa"/>
          </w:tcPr>
          <w:p w14:paraId="23F45C31" w14:textId="38F438F6" w:rsidR="000F3EC9" w:rsidRDefault="000F3EC9" w:rsidP="000F3EC9">
            <w:pPr>
              <w:pStyle w:val="RecommendationHeading"/>
            </w:pPr>
            <w:bookmarkStart w:id="69" w:name="_Toc68848914"/>
            <w:r>
              <w:t xml:space="preserve">Recommendation </w:t>
            </w:r>
            <w:r>
              <w:rPr>
                <w:noProof/>
              </w:rPr>
              <w:fldChar w:fldCharType="begin"/>
            </w:r>
            <w:r>
              <w:rPr>
                <w:noProof/>
              </w:rPr>
              <w:instrText xml:space="preserve"> seq NumList </w:instrText>
            </w:r>
            <w:r>
              <w:rPr>
                <w:noProof/>
              </w:rPr>
              <w:fldChar w:fldCharType="separate"/>
            </w:r>
            <w:r w:rsidR="002A4E14">
              <w:rPr>
                <w:noProof/>
              </w:rPr>
              <w:t>11</w:t>
            </w:r>
            <w:bookmarkEnd w:id="69"/>
            <w:r>
              <w:rPr>
                <w:noProof/>
              </w:rPr>
              <w:fldChar w:fldCharType="end"/>
            </w:r>
          </w:p>
          <w:p w14:paraId="70818D27" w14:textId="33CD3FAB" w:rsidR="000F3EC9" w:rsidRPr="000F3EC9" w:rsidRDefault="000F3EC9" w:rsidP="000F3EC9">
            <w:pPr>
              <w:pStyle w:val="RecommendationText"/>
            </w:pPr>
            <w:bookmarkStart w:id="70" w:name="_Toc68848915"/>
            <w:r>
              <w:t xml:space="preserve">That CSD </w:t>
            </w:r>
            <w:r w:rsidR="004A0050">
              <w:t xml:space="preserve">develop </w:t>
            </w:r>
            <w:r>
              <w:t xml:space="preserve">clearer guidelines </w:t>
            </w:r>
            <w:r w:rsidR="004A0050">
              <w:t xml:space="preserve">for the conduct of </w:t>
            </w:r>
            <w:r>
              <w:t>contracting to better balance stability</w:t>
            </w:r>
            <w:r w:rsidR="004A0050">
              <w:t xml:space="preserve"> and </w:t>
            </w:r>
            <w:r>
              <w:t xml:space="preserve">certainty with </w:t>
            </w:r>
            <w:r w:rsidR="004A0050">
              <w:t xml:space="preserve">allowing </w:t>
            </w:r>
            <w:r>
              <w:t>opportunit</w:t>
            </w:r>
            <w:r w:rsidR="004A0050">
              <w:t xml:space="preserve">y </w:t>
            </w:r>
            <w:r>
              <w:t xml:space="preserve">for new providers to </w:t>
            </w:r>
            <w:r w:rsidR="004A0050">
              <w:t>qualify for c</w:t>
            </w:r>
            <w:r>
              <w:t>ontracts</w:t>
            </w:r>
            <w:r w:rsidR="00292D9B">
              <w:t>.</w:t>
            </w:r>
            <w:bookmarkEnd w:id="70"/>
          </w:p>
        </w:tc>
      </w:tr>
      <w:tr w:rsidR="000F3EC9" w14:paraId="74920DFC" w14:textId="77777777" w:rsidTr="00665195">
        <w:tc>
          <w:tcPr>
            <w:tcW w:w="9209" w:type="dxa"/>
          </w:tcPr>
          <w:p w14:paraId="25FC63CD" w14:textId="2669C3D7" w:rsidR="000F3EC9" w:rsidRDefault="000F3EC9" w:rsidP="000F3EC9">
            <w:pPr>
              <w:pStyle w:val="RecommendationHeading"/>
            </w:pPr>
            <w:bookmarkStart w:id="71" w:name="_Toc68848916"/>
            <w:r>
              <w:t xml:space="preserve">Recommendation </w:t>
            </w:r>
            <w:r>
              <w:rPr>
                <w:noProof/>
              </w:rPr>
              <w:fldChar w:fldCharType="begin"/>
            </w:r>
            <w:r>
              <w:rPr>
                <w:noProof/>
              </w:rPr>
              <w:instrText xml:space="preserve"> seq NumList </w:instrText>
            </w:r>
            <w:r>
              <w:rPr>
                <w:noProof/>
              </w:rPr>
              <w:fldChar w:fldCharType="separate"/>
            </w:r>
            <w:r w:rsidR="002A4E14">
              <w:rPr>
                <w:noProof/>
              </w:rPr>
              <w:t>12</w:t>
            </w:r>
            <w:bookmarkEnd w:id="71"/>
            <w:r>
              <w:rPr>
                <w:noProof/>
              </w:rPr>
              <w:fldChar w:fldCharType="end"/>
            </w:r>
          </w:p>
          <w:p w14:paraId="5E8D7A1A" w14:textId="446A9F6B" w:rsidR="000F3EC9" w:rsidRPr="000F3EC9" w:rsidRDefault="000F3EC9" w:rsidP="000F3EC9">
            <w:pPr>
              <w:pStyle w:val="RecommendationText"/>
            </w:pPr>
            <w:bookmarkStart w:id="72" w:name="_Toc68848917"/>
            <w:r>
              <w:t xml:space="preserve">That CSD develop a mechanism </w:t>
            </w:r>
            <w:r w:rsidR="004A0050">
              <w:t xml:space="preserve">which will allow </w:t>
            </w:r>
            <w:r>
              <w:t xml:space="preserve">new providers to express </w:t>
            </w:r>
            <w:r w:rsidR="004A0050">
              <w:t xml:space="preserve">an </w:t>
            </w:r>
            <w:r>
              <w:t>interest in government contracts</w:t>
            </w:r>
            <w:r w:rsidR="00292D9B">
              <w:t>.</w:t>
            </w:r>
            <w:bookmarkEnd w:id="72"/>
          </w:p>
        </w:tc>
      </w:tr>
      <w:tr w:rsidR="000F3EC9" w14:paraId="25A3803F" w14:textId="77777777" w:rsidTr="00665195">
        <w:tc>
          <w:tcPr>
            <w:tcW w:w="9209" w:type="dxa"/>
          </w:tcPr>
          <w:p w14:paraId="5BFCE47B" w14:textId="610CB7A7" w:rsidR="000F3EC9" w:rsidRDefault="000F3EC9" w:rsidP="000F3EC9">
            <w:pPr>
              <w:pStyle w:val="RecommendationHeading"/>
            </w:pPr>
            <w:bookmarkStart w:id="73" w:name="_Toc68848918"/>
            <w:r>
              <w:t xml:space="preserve">Recommendation </w:t>
            </w:r>
            <w:r>
              <w:rPr>
                <w:noProof/>
              </w:rPr>
              <w:fldChar w:fldCharType="begin"/>
            </w:r>
            <w:r>
              <w:rPr>
                <w:noProof/>
              </w:rPr>
              <w:instrText xml:space="preserve"> seq NumList </w:instrText>
            </w:r>
            <w:r>
              <w:rPr>
                <w:noProof/>
              </w:rPr>
              <w:fldChar w:fldCharType="separate"/>
            </w:r>
            <w:r w:rsidR="002A4E14">
              <w:rPr>
                <w:noProof/>
              </w:rPr>
              <w:t>13</w:t>
            </w:r>
            <w:bookmarkEnd w:id="73"/>
            <w:r>
              <w:rPr>
                <w:noProof/>
              </w:rPr>
              <w:fldChar w:fldCharType="end"/>
            </w:r>
          </w:p>
          <w:p w14:paraId="0FD62704" w14:textId="3CCBDA7A" w:rsidR="000F3EC9" w:rsidRPr="000F3EC9" w:rsidRDefault="000F3EC9" w:rsidP="000F3EC9">
            <w:pPr>
              <w:pStyle w:val="RecommendationText"/>
            </w:pPr>
            <w:bookmarkStart w:id="74" w:name="_Toc68848919"/>
            <w:r>
              <w:t xml:space="preserve">That ACT Health </w:t>
            </w:r>
            <w:r w:rsidR="00A87D05">
              <w:t xml:space="preserve">inquire and determine the rates of occupational pressures, particularly including abuse, experienced by </w:t>
            </w:r>
            <w:r>
              <w:t xml:space="preserve">junior Aboriginal and Torres Strait Islander doctors in the </w:t>
            </w:r>
            <w:r w:rsidR="00A87D05">
              <w:t xml:space="preserve">ACT </w:t>
            </w:r>
            <w:r>
              <w:t>and propose a solution</w:t>
            </w:r>
            <w:r w:rsidR="00A87D05">
              <w:t xml:space="preserve"> to any unsatisfactory situation.</w:t>
            </w:r>
            <w:bookmarkEnd w:id="74"/>
          </w:p>
        </w:tc>
      </w:tr>
      <w:tr w:rsidR="000F3EC9" w14:paraId="36D1EED7" w14:textId="77777777" w:rsidTr="00665195">
        <w:tc>
          <w:tcPr>
            <w:tcW w:w="9209" w:type="dxa"/>
          </w:tcPr>
          <w:p w14:paraId="668D3371" w14:textId="377E2D49" w:rsidR="000F3EC9" w:rsidRDefault="000F3EC9" w:rsidP="000F3EC9">
            <w:pPr>
              <w:pStyle w:val="RecommendationHeading"/>
            </w:pPr>
            <w:bookmarkStart w:id="75" w:name="_Toc68848920"/>
            <w:r>
              <w:t xml:space="preserve">Recommendation </w:t>
            </w:r>
            <w:r>
              <w:rPr>
                <w:noProof/>
              </w:rPr>
              <w:fldChar w:fldCharType="begin"/>
            </w:r>
            <w:r>
              <w:rPr>
                <w:noProof/>
              </w:rPr>
              <w:instrText xml:space="preserve"> seq NumList </w:instrText>
            </w:r>
            <w:r>
              <w:rPr>
                <w:noProof/>
              </w:rPr>
              <w:fldChar w:fldCharType="separate"/>
            </w:r>
            <w:r w:rsidR="002A4E14">
              <w:rPr>
                <w:noProof/>
              </w:rPr>
              <w:t>14</w:t>
            </w:r>
            <w:bookmarkEnd w:id="75"/>
            <w:r>
              <w:rPr>
                <w:noProof/>
              </w:rPr>
              <w:fldChar w:fldCharType="end"/>
            </w:r>
          </w:p>
          <w:p w14:paraId="51FB755A" w14:textId="66221716" w:rsidR="000F3EC9" w:rsidRPr="000F3EC9" w:rsidRDefault="000F3EC9" w:rsidP="000F3EC9">
            <w:pPr>
              <w:pStyle w:val="RecommendationText"/>
            </w:pPr>
            <w:bookmarkStart w:id="76" w:name="_Toc68848921"/>
            <w:r>
              <w:t xml:space="preserve">That CSD consider ways of improving </w:t>
            </w:r>
            <w:r w:rsidR="00A87D05">
              <w:t xml:space="preserve">the </w:t>
            </w:r>
            <w:r>
              <w:t>accura</w:t>
            </w:r>
            <w:r w:rsidR="00A87D05">
              <w:t>cy and</w:t>
            </w:r>
            <w:r>
              <w:t xml:space="preserve"> timel</w:t>
            </w:r>
            <w:r w:rsidR="00A87D05">
              <w:t xml:space="preserve">iness of </w:t>
            </w:r>
            <w:r>
              <w:t xml:space="preserve">communications with families </w:t>
            </w:r>
            <w:r w:rsidR="00A87D05">
              <w:t xml:space="preserve">who are </w:t>
            </w:r>
            <w:r>
              <w:t>involved in adoption process</w:t>
            </w:r>
            <w:r w:rsidR="00A87D05">
              <w:t>es</w:t>
            </w:r>
            <w:r w:rsidR="00292D9B">
              <w:t>.</w:t>
            </w:r>
            <w:bookmarkEnd w:id="76"/>
          </w:p>
        </w:tc>
      </w:tr>
      <w:tr w:rsidR="000F3EC9" w14:paraId="1B2E6ABD" w14:textId="77777777" w:rsidTr="00665195">
        <w:tc>
          <w:tcPr>
            <w:tcW w:w="9209" w:type="dxa"/>
          </w:tcPr>
          <w:p w14:paraId="088310F1" w14:textId="4627FC0D" w:rsidR="000F3EC9" w:rsidRDefault="000F3EC9" w:rsidP="000F3EC9">
            <w:pPr>
              <w:pStyle w:val="RecommendationHeading"/>
            </w:pPr>
            <w:bookmarkStart w:id="77" w:name="_Toc68848922"/>
            <w:r>
              <w:t xml:space="preserve">Recommendation </w:t>
            </w:r>
            <w:r>
              <w:rPr>
                <w:noProof/>
              </w:rPr>
              <w:fldChar w:fldCharType="begin"/>
            </w:r>
            <w:r>
              <w:rPr>
                <w:noProof/>
              </w:rPr>
              <w:instrText xml:space="preserve"> seq NumList </w:instrText>
            </w:r>
            <w:r>
              <w:rPr>
                <w:noProof/>
              </w:rPr>
              <w:fldChar w:fldCharType="separate"/>
            </w:r>
            <w:r w:rsidR="002A4E14">
              <w:rPr>
                <w:noProof/>
              </w:rPr>
              <w:t>15</w:t>
            </w:r>
            <w:bookmarkEnd w:id="77"/>
            <w:r>
              <w:rPr>
                <w:noProof/>
              </w:rPr>
              <w:fldChar w:fldCharType="end"/>
            </w:r>
          </w:p>
          <w:p w14:paraId="272D9809" w14:textId="41C1DD05" w:rsidR="000F3EC9" w:rsidRPr="000F3EC9" w:rsidRDefault="000F3EC9" w:rsidP="000F3EC9">
            <w:pPr>
              <w:pStyle w:val="RecommendationText"/>
            </w:pPr>
            <w:bookmarkStart w:id="78" w:name="_Toc68848923"/>
            <w:r>
              <w:t xml:space="preserve">That the Government ensure an open tender process is used for the </w:t>
            </w:r>
            <w:r w:rsidR="00653D69">
              <w:t xml:space="preserve">letting of </w:t>
            </w:r>
            <w:r>
              <w:t>contract</w:t>
            </w:r>
            <w:r w:rsidR="00653D69">
              <w:t xml:space="preserve">s to providers of </w:t>
            </w:r>
            <w:r>
              <w:t>out-of-home care providers</w:t>
            </w:r>
            <w:r w:rsidR="00292D9B">
              <w:t>.</w:t>
            </w:r>
            <w:bookmarkEnd w:id="78"/>
          </w:p>
        </w:tc>
      </w:tr>
      <w:tr w:rsidR="000F3EC9" w14:paraId="34178F9C" w14:textId="77777777" w:rsidTr="00665195">
        <w:tc>
          <w:tcPr>
            <w:tcW w:w="9209" w:type="dxa"/>
          </w:tcPr>
          <w:p w14:paraId="4781B2A3" w14:textId="41BC8CA8" w:rsidR="000F3EC9" w:rsidRDefault="000F3EC9" w:rsidP="000F3EC9">
            <w:pPr>
              <w:pStyle w:val="RecommendationHeading"/>
            </w:pPr>
            <w:bookmarkStart w:id="79" w:name="_Toc68848924"/>
            <w:r>
              <w:t xml:space="preserve">Recommendation </w:t>
            </w:r>
            <w:r>
              <w:rPr>
                <w:noProof/>
              </w:rPr>
              <w:fldChar w:fldCharType="begin"/>
            </w:r>
            <w:r>
              <w:rPr>
                <w:noProof/>
              </w:rPr>
              <w:instrText xml:space="preserve"> seq NumList </w:instrText>
            </w:r>
            <w:r>
              <w:rPr>
                <w:noProof/>
              </w:rPr>
              <w:fldChar w:fldCharType="separate"/>
            </w:r>
            <w:r w:rsidR="002A4E14">
              <w:rPr>
                <w:noProof/>
              </w:rPr>
              <w:t>16</w:t>
            </w:r>
            <w:bookmarkEnd w:id="79"/>
            <w:r>
              <w:rPr>
                <w:noProof/>
              </w:rPr>
              <w:fldChar w:fldCharType="end"/>
            </w:r>
          </w:p>
          <w:p w14:paraId="55AEF5C6" w14:textId="56012E33" w:rsidR="000F3EC9" w:rsidRPr="000F3EC9" w:rsidRDefault="000F3EC9" w:rsidP="000F3EC9">
            <w:pPr>
              <w:pStyle w:val="RecommendationText"/>
            </w:pPr>
            <w:bookmarkStart w:id="80" w:name="_Toc68848925"/>
            <w:r>
              <w:t>That CSD provide access to Family Group Conferencing for families</w:t>
            </w:r>
            <w:r w:rsidR="00292D9B">
              <w:t>.</w:t>
            </w:r>
            <w:bookmarkEnd w:id="80"/>
          </w:p>
        </w:tc>
      </w:tr>
    </w:tbl>
    <w:p w14:paraId="2AF1D4F6" w14:textId="7BCBE573" w:rsidR="00C73CAA" w:rsidRDefault="00C73CAA" w:rsidP="00C73CAA"/>
    <w:p w14:paraId="7A345861" w14:textId="77777777" w:rsidR="00C73CAA" w:rsidRPr="00910CCE" w:rsidRDefault="00C73CAA" w:rsidP="00842335">
      <w:pPr>
        <w:pStyle w:val="Bodytextnonumbering"/>
      </w:pPr>
    </w:p>
    <w:p w14:paraId="120AD4C1" w14:textId="77777777" w:rsidR="00842335" w:rsidRDefault="00842335" w:rsidP="00842335">
      <w:pPr>
        <w:pStyle w:val="Bodytextnonumbering"/>
        <w:sectPr w:rsidR="00842335" w:rsidSect="00592C9A">
          <w:headerReference w:type="first" r:id="rId30"/>
          <w:type w:val="oddPage"/>
          <w:pgSz w:w="11907" w:h="16840" w:code="9"/>
          <w:pgMar w:top="1588" w:right="1418" w:bottom="1418" w:left="1418" w:header="720" w:footer="851" w:gutter="0"/>
          <w:cols w:space="720"/>
          <w:docGrid w:linePitch="360"/>
        </w:sectPr>
      </w:pPr>
    </w:p>
    <w:p w14:paraId="4490AC48" w14:textId="64F257E7" w:rsidR="00842335" w:rsidRPr="00567240" w:rsidRDefault="00117F47" w:rsidP="005415DE">
      <w:pPr>
        <w:pStyle w:val="Heading1"/>
        <w:numPr>
          <w:ilvl w:val="0"/>
          <w:numId w:val="19"/>
        </w:numPr>
      </w:pPr>
      <w:bookmarkStart w:id="81" w:name="_Toc68848974"/>
      <w:r>
        <w:t>Justice Health</w:t>
      </w:r>
      <w:r w:rsidR="00701802">
        <w:t xml:space="preserve"> and Mental Health</w:t>
      </w:r>
      <w:bookmarkEnd w:id="81"/>
    </w:p>
    <w:p w14:paraId="05A4E708" w14:textId="10A65155" w:rsidR="003E6D3A" w:rsidRDefault="00842335" w:rsidP="00464E4D">
      <w:pPr>
        <w:pStyle w:val="BodyText1"/>
        <w:rPr>
          <w:lang w:eastAsia="en-AU"/>
        </w:rPr>
      </w:pPr>
      <w:bookmarkStart w:id="82" w:name="_Hlk30006779"/>
      <w:r w:rsidRPr="00567240">
        <w:rPr>
          <w:lang w:eastAsia="en-AU"/>
        </w:rPr>
        <w:t xml:space="preserve">The Committee heard from </w:t>
      </w:r>
      <w:r>
        <w:rPr>
          <w:lang w:eastAsia="en-AU"/>
        </w:rPr>
        <w:t xml:space="preserve">Minister </w:t>
      </w:r>
      <w:r w:rsidR="00701802">
        <w:rPr>
          <w:lang w:eastAsia="en-AU"/>
        </w:rPr>
        <w:t xml:space="preserve">Davidson </w:t>
      </w:r>
      <w:r w:rsidR="008E3E45">
        <w:rPr>
          <w:lang w:eastAsia="en-AU"/>
        </w:rPr>
        <w:t>in the Minister’s capacity as</w:t>
      </w:r>
      <w:r w:rsidR="00701802">
        <w:rPr>
          <w:lang w:eastAsia="en-AU"/>
        </w:rPr>
        <w:t xml:space="preserve"> both Minister </w:t>
      </w:r>
      <w:r>
        <w:rPr>
          <w:lang w:eastAsia="en-AU"/>
        </w:rPr>
        <w:t xml:space="preserve">for </w:t>
      </w:r>
      <w:r w:rsidR="003E6D3A">
        <w:rPr>
          <w:lang w:eastAsia="en-AU"/>
        </w:rPr>
        <w:t>Justice Health</w:t>
      </w:r>
      <w:r w:rsidR="00701802">
        <w:rPr>
          <w:lang w:eastAsia="en-AU"/>
        </w:rPr>
        <w:t xml:space="preserve"> and Mental Health</w:t>
      </w:r>
      <w:r w:rsidR="003E6D3A">
        <w:rPr>
          <w:lang w:eastAsia="en-AU"/>
        </w:rPr>
        <w:t xml:space="preserve"> </w:t>
      </w:r>
      <w:r w:rsidR="009F5E0B">
        <w:rPr>
          <w:lang w:eastAsia="en-AU"/>
        </w:rPr>
        <w:t xml:space="preserve">and officials </w:t>
      </w:r>
      <w:r w:rsidR="003E6D3A">
        <w:rPr>
          <w:lang w:eastAsia="en-AU"/>
        </w:rPr>
        <w:t>on</w:t>
      </w:r>
      <w:r w:rsidR="009F5E0B">
        <w:rPr>
          <w:lang w:eastAsia="en-AU"/>
        </w:rPr>
        <w:t xml:space="preserve"> 26 February 2021.</w:t>
      </w:r>
    </w:p>
    <w:p w14:paraId="288A4B6F" w14:textId="2499ECE6" w:rsidR="00D26D98" w:rsidRDefault="00D26D98" w:rsidP="00464E4D">
      <w:pPr>
        <w:pStyle w:val="BodyText1"/>
        <w:rPr>
          <w:lang w:eastAsia="en-AU"/>
        </w:rPr>
      </w:pPr>
      <w:r>
        <w:rPr>
          <w:lang w:eastAsia="en-AU"/>
        </w:rPr>
        <w:t>C</w:t>
      </w:r>
      <w:r w:rsidR="00D37A47">
        <w:rPr>
          <w:lang w:eastAsia="en-AU"/>
        </w:rPr>
        <w:t>anberra Health Services (C</w:t>
      </w:r>
      <w:r>
        <w:rPr>
          <w:lang w:eastAsia="en-AU"/>
        </w:rPr>
        <w:t>HS</w:t>
      </w:r>
      <w:r w:rsidR="00D37A47">
        <w:rPr>
          <w:lang w:eastAsia="en-AU"/>
        </w:rPr>
        <w:t>)</w:t>
      </w:r>
      <w:r>
        <w:rPr>
          <w:lang w:eastAsia="en-AU"/>
        </w:rPr>
        <w:t xml:space="preserve"> provides a range of Mental Health and Alcohol and Drug Services through the public and community sectors in </w:t>
      </w:r>
      <w:r w:rsidR="00BB0164">
        <w:rPr>
          <w:lang w:eastAsia="en-AU"/>
        </w:rPr>
        <w:t>hospitals</w:t>
      </w:r>
      <w:r>
        <w:rPr>
          <w:lang w:eastAsia="en-AU"/>
        </w:rPr>
        <w:t xml:space="preserve">, community health centres and other community settings, adult and </w:t>
      </w:r>
      <w:r w:rsidR="00BB0164">
        <w:rPr>
          <w:lang w:eastAsia="en-AU"/>
        </w:rPr>
        <w:t>youth</w:t>
      </w:r>
      <w:r>
        <w:rPr>
          <w:lang w:eastAsia="en-AU"/>
        </w:rPr>
        <w:t xml:space="preserve"> correctional facilities and people’s homes. There is an </w:t>
      </w:r>
      <w:r w:rsidR="00BB0164">
        <w:rPr>
          <w:lang w:eastAsia="en-AU"/>
        </w:rPr>
        <w:t>emphasis</w:t>
      </w:r>
      <w:r>
        <w:rPr>
          <w:lang w:eastAsia="en-AU"/>
        </w:rPr>
        <w:t xml:space="preserve"> on </w:t>
      </w:r>
      <w:r w:rsidR="00BB0164">
        <w:rPr>
          <w:lang w:eastAsia="en-AU"/>
        </w:rPr>
        <w:t>integrated</w:t>
      </w:r>
      <w:r>
        <w:rPr>
          <w:lang w:eastAsia="en-AU"/>
        </w:rPr>
        <w:t xml:space="preserve"> care</w:t>
      </w:r>
      <w:r w:rsidR="00BB0164">
        <w:rPr>
          <w:lang w:eastAsia="en-AU"/>
        </w:rPr>
        <w:t xml:space="preserve"> across</w:t>
      </w:r>
      <w:r>
        <w:rPr>
          <w:lang w:eastAsia="en-AU"/>
        </w:rPr>
        <w:t xml:space="preserve"> </w:t>
      </w:r>
      <w:r w:rsidR="00BB0164">
        <w:rPr>
          <w:lang w:eastAsia="en-AU"/>
        </w:rPr>
        <w:t>hospital</w:t>
      </w:r>
      <w:r>
        <w:rPr>
          <w:lang w:eastAsia="en-AU"/>
        </w:rPr>
        <w:t>, community and residential support.</w:t>
      </w:r>
      <w:r>
        <w:rPr>
          <w:rStyle w:val="FootnoteReference"/>
          <w:lang w:eastAsia="en-AU"/>
        </w:rPr>
        <w:footnoteReference w:id="76"/>
      </w:r>
    </w:p>
    <w:p w14:paraId="48BAC9BD" w14:textId="6415966E" w:rsidR="00A25771" w:rsidRDefault="00A25771" w:rsidP="00464E4D">
      <w:pPr>
        <w:pStyle w:val="BodyText1"/>
        <w:rPr>
          <w:lang w:eastAsia="en-AU"/>
        </w:rPr>
      </w:pPr>
      <w:r>
        <w:rPr>
          <w:lang w:eastAsia="en-AU"/>
        </w:rPr>
        <w:t xml:space="preserve">Questions were drawn from both Budget Paper </w:t>
      </w:r>
      <w:r w:rsidR="00D26D98">
        <w:rPr>
          <w:lang w:eastAsia="en-AU"/>
        </w:rPr>
        <w:t>C</w:t>
      </w:r>
      <w:r>
        <w:rPr>
          <w:lang w:eastAsia="en-AU"/>
        </w:rPr>
        <w:t xml:space="preserve"> and Budget Paper G, and from Annual reports, where questions are noted </w:t>
      </w:r>
      <w:r w:rsidRPr="00464E4D">
        <w:rPr>
          <w:lang w:eastAsia="en-AU"/>
        </w:rPr>
        <w:t>(AR).</w:t>
      </w:r>
    </w:p>
    <w:p w14:paraId="2B38DCDE" w14:textId="0A811AFF" w:rsidR="002C495F" w:rsidRPr="00D26D98" w:rsidRDefault="002C495F" w:rsidP="002C495F">
      <w:pPr>
        <w:pStyle w:val="Headinglevel3"/>
        <w:rPr>
          <w:lang w:eastAsia="en-AU"/>
        </w:rPr>
      </w:pPr>
      <w:r>
        <w:rPr>
          <w:lang w:eastAsia="en-AU"/>
        </w:rPr>
        <w:t>Matters Discussed at Hearings</w:t>
      </w:r>
    </w:p>
    <w:p w14:paraId="05A3CA87" w14:textId="3503B916" w:rsidR="003E6D3A" w:rsidRDefault="009F5E0B" w:rsidP="00464E4D">
      <w:pPr>
        <w:pStyle w:val="BodyText1"/>
        <w:rPr>
          <w:lang w:eastAsia="en-AU"/>
        </w:rPr>
      </w:pPr>
      <w:r>
        <w:rPr>
          <w:lang w:eastAsia="en-AU"/>
        </w:rPr>
        <w:t>Matters discussed at the hearing</w:t>
      </w:r>
      <w:r w:rsidR="00701802">
        <w:rPr>
          <w:lang w:eastAsia="en-AU"/>
        </w:rPr>
        <w:t xml:space="preserve">, which covered both areas of </w:t>
      </w:r>
      <w:r w:rsidR="002E1AC1">
        <w:rPr>
          <w:lang w:eastAsia="en-AU"/>
        </w:rPr>
        <w:t>responsibility</w:t>
      </w:r>
      <w:r w:rsidR="00701802">
        <w:rPr>
          <w:lang w:eastAsia="en-AU"/>
        </w:rPr>
        <w:t xml:space="preserve">, </w:t>
      </w:r>
      <w:r>
        <w:rPr>
          <w:lang w:eastAsia="en-AU"/>
        </w:rPr>
        <w:t>were:</w:t>
      </w:r>
    </w:p>
    <w:p w14:paraId="0C6A08B0" w14:textId="52049D35" w:rsidR="009F5E0B" w:rsidRDefault="009F5E0B" w:rsidP="00AF16A7">
      <w:pPr>
        <w:pStyle w:val="Quote"/>
        <w:numPr>
          <w:ilvl w:val="2"/>
          <w:numId w:val="23"/>
        </w:numPr>
        <w:rPr>
          <w:lang w:eastAsia="en-AU"/>
        </w:rPr>
      </w:pPr>
      <w:r>
        <w:rPr>
          <w:lang w:eastAsia="en-AU"/>
        </w:rPr>
        <w:t>Discharge procedures for mental health clients of Canberra Health Services (CHS) discharged interstate, including follow-up</w:t>
      </w:r>
      <w:r>
        <w:rPr>
          <w:rStyle w:val="FootnoteReference"/>
          <w:lang w:eastAsia="en-AU"/>
        </w:rPr>
        <w:footnoteReference w:id="77"/>
      </w:r>
    </w:p>
    <w:p w14:paraId="160FECAC" w14:textId="60234C79" w:rsidR="009F5E0B" w:rsidRDefault="009F5E0B" w:rsidP="00AF16A7">
      <w:pPr>
        <w:pStyle w:val="Quote"/>
        <w:numPr>
          <w:ilvl w:val="2"/>
          <w:numId w:val="23"/>
        </w:numPr>
        <w:rPr>
          <w:lang w:eastAsia="en-AU"/>
        </w:rPr>
      </w:pPr>
      <w:r>
        <w:rPr>
          <w:lang w:eastAsia="en-AU"/>
        </w:rPr>
        <w:t xml:space="preserve">Current client numbers at </w:t>
      </w:r>
      <w:proofErr w:type="spellStart"/>
      <w:r>
        <w:rPr>
          <w:lang w:eastAsia="en-AU"/>
        </w:rPr>
        <w:t>Winnunga</w:t>
      </w:r>
      <w:proofErr w:type="spellEnd"/>
      <w:r>
        <w:rPr>
          <w:rStyle w:val="FootnoteReference"/>
          <w:lang w:eastAsia="en-AU"/>
        </w:rPr>
        <w:footnoteReference w:id="78"/>
      </w:r>
    </w:p>
    <w:p w14:paraId="4539AF19" w14:textId="3779ECC0" w:rsidR="003C390D" w:rsidRDefault="003C390D" w:rsidP="00AF16A7">
      <w:pPr>
        <w:pStyle w:val="Quote"/>
        <w:numPr>
          <w:ilvl w:val="2"/>
          <w:numId w:val="23"/>
        </w:numPr>
        <w:rPr>
          <w:lang w:eastAsia="en-AU"/>
        </w:rPr>
      </w:pPr>
      <w:proofErr w:type="spellStart"/>
      <w:r>
        <w:rPr>
          <w:lang w:eastAsia="en-AU"/>
        </w:rPr>
        <w:t>Winnunga</w:t>
      </w:r>
      <w:proofErr w:type="spellEnd"/>
      <w:r>
        <w:rPr>
          <w:lang w:eastAsia="en-AU"/>
        </w:rPr>
        <w:t xml:space="preserve"> services within AMC – has permission ever been denied by AMC</w:t>
      </w:r>
      <w:r>
        <w:rPr>
          <w:rStyle w:val="FootnoteReference"/>
          <w:lang w:eastAsia="en-AU"/>
        </w:rPr>
        <w:footnoteReference w:id="79"/>
      </w:r>
    </w:p>
    <w:p w14:paraId="5B7C5871" w14:textId="75AB9F3B" w:rsidR="003C390D" w:rsidRDefault="003C390D" w:rsidP="00AF16A7">
      <w:pPr>
        <w:pStyle w:val="Quote"/>
        <w:numPr>
          <w:ilvl w:val="2"/>
          <w:numId w:val="23"/>
        </w:numPr>
        <w:rPr>
          <w:lang w:eastAsia="en-AU"/>
        </w:rPr>
      </w:pPr>
      <w:r>
        <w:rPr>
          <w:lang w:eastAsia="en-AU"/>
        </w:rPr>
        <w:t xml:space="preserve">Reduction in Justice Health services community contacts due to COVID-19 </w:t>
      </w:r>
      <w:r w:rsidR="002E1AC1">
        <w:rPr>
          <w:lang w:eastAsia="en-AU"/>
        </w:rPr>
        <w:t>impact and</w:t>
      </w:r>
      <w:r>
        <w:rPr>
          <w:lang w:eastAsia="en-AU"/>
        </w:rPr>
        <w:t xml:space="preserve"> results for doctors</w:t>
      </w:r>
      <w:r>
        <w:rPr>
          <w:rStyle w:val="FootnoteReference"/>
          <w:lang w:eastAsia="en-AU"/>
        </w:rPr>
        <w:footnoteReference w:id="80"/>
      </w:r>
    </w:p>
    <w:p w14:paraId="464B68DA" w14:textId="5DB219CD" w:rsidR="000F46B8" w:rsidRDefault="000F46B8" w:rsidP="00AF16A7">
      <w:pPr>
        <w:pStyle w:val="Quote"/>
        <w:numPr>
          <w:ilvl w:val="2"/>
          <w:numId w:val="23"/>
        </w:numPr>
        <w:rPr>
          <w:lang w:eastAsia="en-AU"/>
        </w:rPr>
      </w:pPr>
      <w:r>
        <w:rPr>
          <w:lang w:eastAsia="en-AU"/>
        </w:rPr>
        <w:t>Medicinal drug services to AMC</w:t>
      </w:r>
      <w:r>
        <w:rPr>
          <w:rStyle w:val="FootnoteReference"/>
          <w:lang w:eastAsia="en-AU"/>
        </w:rPr>
        <w:footnoteReference w:id="81"/>
      </w:r>
    </w:p>
    <w:p w14:paraId="1494ACEF" w14:textId="14FD3212" w:rsidR="000F46B8" w:rsidRDefault="000F46B8" w:rsidP="00AF16A7">
      <w:pPr>
        <w:pStyle w:val="Quote"/>
        <w:numPr>
          <w:ilvl w:val="2"/>
          <w:numId w:val="23"/>
        </w:numPr>
        <w:rPr>
          <w:lang w:eastAsia="en-AU"/>
        </w:rPr>
      </w:pPr>
      <w:r>
        <w:rPr>
          <w:lang w:eastAsia="en-AU"/>
        </w:rPr>
        <w:t>Impacts f</w:t>
      </w:r>
      <w:r w:rsidR="000B1B41">
        <w:rPr>
          <w:lang w:eastAsia="en-AU"/>
        </w:rPr>
        <w:t>ro</w:t>
      </w:r>
      <w:r>
        <w:rPr>
          <w:lang w:eastAsia="en-AU"/>
        </w:rPr>
        <w:t xml:space="preserve">m climate anxiety </w:t>
      </w:r>
      <w:r w:rsidR="002E1AC1">
        <w:rPr>
          <w:lang w:eastAsia="en-AU"/>
        </w:rPr>
        <w:t>arising</w:t>
      </w:r>
      <w:r>
        <w:rPr>
          <w:lang w:eastAsia="en-AU"/>
        </w:rPr>
        <w:t xml:space="preserve"> from 2019-20 bushfires - </w:t>
      </w:r>
      <w:proofErr w:type="spellStart"/>
      <w:r>
        <w:rPr>
          <w:lang w:eastAsia="en-AU"/>
        </w:rPr>
        <w:t>Orroral</w:t>
      </w:r>
      <w:proofErr w:type="spellEnd"/>
      <w:r>
        <w:rPr>
          <w:lang w:eastAsia="en-AU"/>
        </w:rPr>
        <w:t xml:space="preserve"> Valley fire</w:t>
      </w:r>
      <w:r>
        <w:rPr>
          <w:rStyle w:val="FootnoteReference"/>
          <w:lang w:eastAsia="en-AU"/>
        </w:rPr>
        <w:footnoteReference w:id="82"/>
      </w:r>
    </w:p>
    <w:p w14:paraId="41DB3B43" w14:textId="671B44FB" w:rsidR="000F46B8" w:rsidRDefault="000F46B8" w:rsidP="00AF16A7">
      <w:pPr>
        <w:pStyle w:val="Quote"/>
        <w:numPr>
          <w:ilvl w:val="2"/>
          <w:numId w:val="23"/>
        </w:numPr>
        <w:rPr>
          <w:lang w:eastAsia="en-AU"/>
        </w:rPr>
      </w:pPr>
      <w:r>
        <w:rPr>
          <w:lang w:eastAsia="en-AU"/>
        </w:rPr>
        <w:t>Youth navigation portal in health services</w:t>
      </w:r>
      <w:r>
        <w:rPr>
          <w:rStyle w:val="FootnoteReference"/>
          <w:lang w:eastAsia="en-AU"/>
        </w:rPr>
        <w:footnoteReference w:id="83"/>
      </w:r>
    </w:p>
    <w:p w14:paraId="1C323AAF" w14:textId="501251AA" w:rsidR="00704107" w:rsidRDefault="00704107" w:rsidP="00AF16A7">
      <w:pPr>
        <w:pStyle w:val="Quote"/>
        <w:numPr>
          <w:ilvl w:val="2"/>
          <w:numId w:val="23"/>
        </w:numPr>
        <w:rPr>
          <w:lang w:eastAsia="en-AU"/>
        </w:rPr>
      </w:pPr>
      <w:r>
        <w:rPr>
          <w:lang w:eastAsia="en-AU"/>
        </w:rPr>
        <w:t xml:space="preserve">Youth navigation portal and </w:t>
      </w:r>
      <w:r w:rsidR="002E1AC1">
        <w:rPr>
          <w:lang w:eastAsia="en-AU"/>
        </w:rPr>
        <w:t>Commonwealth</w:t>
      </w:r>
      <w:r>
        <w:rPr>
          <w:lang w:eastAsia="en-AU"/>
        </w:rPr>
        <w:t xml:space="preserve"> Head to Health service</w:t>
      </w:r>
      <w:r>
        <w:rPr>
          <w:rStyle w:val="FootnoteReference"/>
          <w:lang w:eastAsia="en-AU"/>
        </w:rPr>
        <w:footnoteReference w:id="84"/>
      </w:r>
    </w:p>
    <w:p w14:paraId="5C2FCB19" w14:textId="74363735" w:rsidR="000563BE" w:rsidRDefault="000563BE" w:rsidP="00AF16A7">
      <w:pPr>
        <w:pStyle w:val="Quote"/>
        <w:numPr>
          <w:ilvl w:val="2"/>
          <w:numId w:val="23"/>
        </w:numPr>
        <w:rPr>
          <w:lang w:eastAsia="en-AU"/>
        </w:rPr>
      </w:pPr>
      <w:r>
        <w:rPr>
          <w:lang w:eastAsia="en-AU"/>
        </w:rPr>
        <w:t>Waiting times for mental health services</w:t>
      </w:r>
      <w:r>
        <w:rPr>
          <w:rStyle w:val="FootnoteReference"/>
          <w:lang w:eastAsia="en-AU"/>
        </w:rPr>
        <w:footnoteReference w:id="85"/>
      </w:r>
    </w:p>
    <w:p w14:paraId="5EF0D4A1" w14:textId="0058460B" w:rsidR="00701802" w:rsidRDefault="00701802" w:rsidP="00AF16A7">
      <w:pPr>
        <w:pStyle w:val="Quote"/>
        <w:numPr>
          <w:ilvl w:val="2"/>
          <w:numId w:val="23"/>
        </w:numPr>
        <w:rPr>
          <w:lang w:eastAsia="en-AU"/>
        </w:rPr>
      </w:pPr>
      <w:r>
        <w:rPr>
          <w:lang w:eastAsia="en-AU"/>
        </w:rPr>
        <w:t>UC general health survey and access to mental health services</w:t>
      </w:r>
      <w:r>
        <w:rPr>
          <w:rStyle w:val="FootnoteReference"/>
          <w:lang w:eastAsia="en-AU"/>
        </w:rPr>
        <w:footnoteReference w:id="86"/>
      </w:r>
    </w:p>
    <w:p w14:paraId="5583B44A" w14:textId="49DE2493" w:rsidR="00701802" w:rsidRDefault="00701802" w:rsidP="00AF16A7">
      <w:pPr>
        <w:pStyle w:val="Quote"/>
        <w:numPr>
          <w:ilvl w:val="2"/>
          <w:numId w:val="23"/>
        </w:numPr>
        <w:rPr>
          <w:lang w:eastAsia="en-AU"/>
        </w:rPr>
      </w:pPr>
      <w:r>
        <w:rPr>
          <w:lang w:eastAsia="en-AU"/>
        </w:rPr>
        <w:t>Services which may be added to navigation portal</w:t>
      </w:r>
      <w:r>
        <w:rPr>
          <w:rStyle w:val="FootnoteReference"/>
          <w:lang w:eastAsia="en-AU"/>
        </w:rPr>
        <w:footnoteReference w:id="87"/>
      </w:r>
    </w:p>
    <w:p w14:paraId="3CB64A3B" w14:textId="4096912C" w:rsidR="00701802" w:rsidRDefault="00526698" w:rsidP="00AF16A7">
      <w:pPr>
        <w:pStyle w:val="Quote"/>
        <w:numPr>
          <w:ilvl w:val="2"/>
          <w:numId w:val="23"/>
        </w:numPr>
        <w:rPr>
          <w:lang w:eastAsia="en-AU"/>
        </w:rPr>
      </w:pPr>
      <w:r>
        <w:rPr>
          <w:lang w:eastAsia="en-AU"/>
        </w:rPr>
        <w:t>Effect of improved and supplemented navigation portal on people seeking access to services</w:t>
      </w:r>
      <w:r>
        <w:rPr>
          <w:rStyle w:val="FootnoteReference"/>
          <w:lang w:eastAsia="en-AU"/>
        </w:rPr>
        <w:footnoteReference w:id="88"/>
      </w:r>
    </w:p>
    <w:p w14:paraId="6B4C0FC3" w14:textId="19671F43" w:rsidR="00526698" w:rsidRDefault="00526698" w:rsidP="00AF16A7">
      <w:pPr>
        <w:pStyle w:val="Quote"/>
        <w:numPr>
          <w:ilvl w:val="2"/>
          <w:numId w:val="23"/>
        </w:numPr>
        <w:rPr>
          <w:lang w:eastAsia="en-AU"/>
        </w:rPr>
      </w:pPr>
      <w:r>
        <w:rPr>
          <w:lang w:eastAsia="en-AU"/>
        </w:rPr>
        <w:t>Cigarette smoking at AMC</w:t>
      </w:r>
      <w:r>
        <w:rPr>
          <w:rStyle w:val="FootnoteReference"/>
          <w:lang w:eastAsia="en-AU"/>
        </w:rPr>
        <w:footnoteReference w:id="89"/>
      </w:r>
    </w:p>
    <w:p w14:paraId="24271F63" w14:textId="7A7BDD25" w:rsidR="00B96EE5" w:rsidRDefault="00B96EE5" w:rsidP="00AF16A7">
      <w:pPr>
        <w:pStyle w:val="Quote"/>
        <w:numPr>
          <w:ilvl w:val="2"/>
          <w:numId w:val="23"/>
        </w:numPr>
        <w:rPr>
          <w:lang w:eastAsia="en-AU"/>
        </w:rPr>
      </w:pPr>
      <w:r>
        <w:rPr>
          <w:lang w:eastAsia="en-AU"/>
        </w:rPr>
        <w:t>Independent psychiatric assessments for inmates at AMC</w:t>
      </w:r>
      <w:r>
        <w:rPr>
          <w:rStyle w:val="FootnoteReference"/>
          <w:lang w:eastAsia="en-AU"/>
        </w:rPr>
        <w:footnoteReference w:id="90"/>
      </w:r>
    </w:p>
    <w:p w14:paraId="15D733A4" w14:textId="411619FA" w:rsidR="00956249" w:rsidRDefault="00956249" w:rsidP="00AF16A7">
      <w:pPr>
        <w:pStyle w:val="Quote"/>
        <w:numPr>
          <w:ilvl w:val="2"/>
          <w:numId w:val="23"/>
        </w:numPr>
        <w:rPr>
          <w:lang w:eastAsia="en-AU"/>
        </w:rPr>
      </w:pPr>
      <w:r>
        <w:rPr>
          <w:lang w:eastAsia="en-AU"/>
        </w:rPr>
        <w:t>Emergency Orders; criteria for voluntary and involuntary admissions</w:t>
      </w:r>
      <w:r>
        <w:rPr>
          <w:rStyle w:val="FootnoteReference"/>
          <w:lang w:eastAsia="en-AU"/>
        </w:rPr>
        <w:footnoteReference w:id="91"/>
      </w:r>
    </w:p>
    <w:p w14:paraId="07EF54E1" w14:textId="3922B8FB" w:rsidR="00956249" w:rsidRDefault="00956249" w:rsidP="00AF16A7">
      <w:pPr>
        <w:pStyle w:val="Quote"/>
        <w:numPr>
          <w:ilvl w:val="2"/>
          <w:numId w:val="23"/>
        </w:numPr>
        <w:rPr>
          <w:lang w:eastAsia="en-AU"/>
        </w:rPr>
      </w:pPr>
      <w:r>
        <w:rPr>
          <w:lang w:eastAsia="en-AU"/>
        </w:rPr>
        <w:t xml:space="preserve">PACER program; changes to hours and crew </w:t>
      </w:r>
      <w:r w:rsidR="002E1AC1">
        <w:rPr>
          <w:lang w:eastAsia="en-AU"/>
        </w:rPr>
        <w:t>availability</w:t>
      </w:r>
      <w:r w:rsidR="00B46332">
        <w:rPr>
          <w:rStyle w:val="FootnoteReference"/>
          <w:lang w:eastAsia="en-AU"/>
        </w:rPr>
        <w:footnoteReference w:id="92"/>
      </w:r>
    </w:p>
    <w:p w14:paraId="740370FC" w14:textId="332D22C5" w:rsidR="00B46332" w:rsidRDefault="00B46332" w:rsidP="00AF16A7">
      <w:pPr>
        <w:pStyle w:val="Quote"/>
        <w:numPr>
          <w:ilvl w:val="2"/>
          <w:numId w:val="23"/>
        </w:numPr>
        <w:rPr>
          <w:i/>
          <w:iCs w:val="0"/>
          <w:lang w:eastAsia="en-AU"/>
        </w:rPr>
      </w:pPr>
      <w:r>
        <w:rPr>
          <w:lang w:eastAsia="en-AU"/>
        </w:rPr>
        <w:t xml:space="preserve">Working with lead ACT agencies to provide evidence-informed community and workplace interventions </w:t>
      </w:r>
      <w:r>
        <w:rPr>
          <w:i/>
          <w:iCs w:val="0"/>
          <w:lang w:eastAsia="en-AU"/>
        </w:rPr>
        <w:t>(AR)</w:t>
      </w:r>
      <w:r>
        <w:rPr>
          <w:rStyle w:val="FootnoteReference"/>
          <w:i/>
          <w:iCs w:val="0"/>
          <w:lang w:eastAsia="en-AU"/>
        </w:rPr>
        <w:footnoteReference w:id="93"/>
      </w:r>
    </w:p>
    <w:p w14:paraId="659BA878" w14:textId="315A69F0" w:rsidR="00B46332" w:rsidRDefault="00B46332" w:rsidP="00AF16A7">
      <w:pPr>
        <w:pStyle w:val="Quote"/>
        <w:numPr>
          <w:ilvl w:val="2"/>
          <w:numId w:val="23"/>
        </w:numPr>
        <w:rPr>
          <w:lang w:eastAsia="en-AU"/>
        </w:rPr>
      </w:pPr>
      <w:r>
        <w:rPr>
          <w:lang w:eastAsia="en-AU"/>
        </w:rPr>
        <w:t>COVID-19 and the gig-economy; health impacts and responses</w:t>
      </w:r>
      <w:r>
        <w:rPr>
          <w:rStyle w:val="FootnoteReference"/>
          <w:lang w:eastAsia="en-AU"/>
        </w:rPr>
        <w:footnoteReference w:id="94"/>
      </w:r>
    </w:p>
    <w:p w14:paraId="749EEA1C" w14:textId="095605D6" w:rsidR="00B46332" w:rsidRDefault="00B46332" w:rsidP="00AF16A7">
      <w:pPr>
        <w:pStyle w:val="Quote"/>
        <w:numPr>
          <w:ilvl w:val="2"/>
          <w:numId w:val="23"/>
        </w:numPr>
        <w:rPr>
          <w:lang w:eastAsia="en-AU"/>
        </w:rPr>
      </w:pPr>
      <w:r>
        <w:rPr>
          <w:lang w:eastAsia="en-AU"/>
        </w:rPr>
        <w:t>Early detection of Post-traumatic Stress Disorder (PTSD)</w:t>
      </w:r>
      <w:r>
        <w:rPr>
          <w:rStyle w:val="FootnoteReference"/>
          <w:lang w:eastAsia="en-AU"/>
        </w:rPr>
        <w:footnoteReference w:id="95"/>
      </w:r>
    </w:p>
    <w:p w14:paraId="442A8E5A" w14:textId="3B610575" w:rsidR="00A25771" w:rsidRDefault="002902DA" w:rsidP="00AF16A7">
      <w:pPr>
        <w:pStyle w:val="Quote"/>
        <w:numPr>
          <w:ilvl w:val="2"/>
          <w:numId w:val="23"/>
        </w:numPr>
        <w:rPr>
          <w:lang w:eastAsia="en-AU"/>
        </w:rPr>
      </w:pPr>
      <w:r>
        <w:rPr>
          <w:lang w:eastAsia="en-AU"/>
        </w:rPr>
        <w:t>Drop in alcohol and drug services community contacts shown in Budget paper C</w:t>
      </w:r>
      <w:r>
        <w:rPr>
          <w:rStyle w:val="FootnoteReference"/>
          <w:lang w:eastAsia="en-AU"/>
        </w:rPr>
        <w:footnoteReference w:id="96"/>
      </w:r>
    </w:p>
    <w:p w14:paraId="141B1D9E" w14:textId="649613BE" w:rsidR="00ED7CA4" w:rsidRDefault="00ED7CA4" w:rsidP="00AF16A7">
      <w:pPr>
        <w:pStyle w:val="Quote"/>
        <w:numPr>
          <w:ilvl w:val="2"/>
          <w:numId w:val="23"/>
        </w:numPr>
        <w:rPr>
          <w:lang w:eastAsia="en-AU"/>
        </w:rPr>
      </w:pPr>
      <w:r>
        <w:rPr>
          <w:lang w:eastAsia="en-AU"/>
        </w:rPr>
        <w:t>Graduate training in mental health; development of programs</w:t>
      </w:r>
      <w:r>
        <w:rPr>
          <w:rStyle w:val="FootnoteReference"/>
          <w:lang w:eastAsia="en-AU"/>
        </w:rPr>
        <w:footnoteReference w:id="97"/>
      </w:r>
    </w:p>
    <w:p w14:paraId="6C804134" w14:textId="115CDA20" w:rsidR="00ED7CA4" w:rsidRDefault="00ED7CA4" w:rsidP="00AF16A7">
      <w:pPr>
        <w:pStyle w:val="Quote"/>
        <w:numPr>
          <w:ilvl w:val="2"/>
          <w:numId w:val="23"/>
        </w:numPr>
        <w:rPr>
          <w:lang w:eastAsia="en-AU"/>
        </w:rPr>
      </w:pPr>
      <w:r>
        <w:rPr>
          <w:lang w:eastAsia="en-AU"/>
        </w:rPr>
        <w:t>Number of psychiatrists employed in ACT Health</w:t>
      </w:r>
      <w:r>
        <w:rPr>
          <w:rStyle w:val="FootnoteReference"/>
          <w:lang w:eastAsia="en-AU"/>
        </w:rPr>
        <w:footnoteReference w:id="98"/>
      </w:r>
    </w:p>
    <w:p w14:paraId="3228B73F" w14:textId="6326A786" w:rsidR="00ED7CA4" w:rsidRPr="00B46332" w:rsidRDefault="00ED7CA4" w:rsidP="00AF16A7">
      <w:pPr>
        <w:pStyle w:val="Quote"/>
        <w:numPr>
          <w:ilvl w:val="2"/>
          <w:numId w:val="23"/>
        </w:numPr>
        <w:rPr>
          <w:lang w:eastAsia="en-AU"/>
        </w:rPr>
      </w:pPr>
      <w:r>
        <w:rPr>
          <w:lang w:eastAsia="en-AU"/>
        </w:rPr>
        <w:t>psychiatrists working in eating disorders employed in ACT Health</w:t>
      </w:r>
      <w:r>
        <w:rPr>
          <w:rStyle w:val="FootnoteReference"/>
          <w:lang w:eastAsia="en-AU"/>
        </w:rPr>
        <w:footnoteReference w:id="99"/>
      </w:r>
    </w:p>
    <w:bookmarkEnd w:id="82"/>
    <w:p w14:paraId="0430E6FC" w14:textId="5C11A7AF" w:rsidR="00BB0164" w:rsidRDefault="00842335" w:rsidP="00D446A0">
      <w:pPr>
        <w:pStyle w:val="Headinglevel3"/>
        <w:rPr>
          <w:lang w:eastAsia="en-AU"/>
        </w:rPr>
      </w:pPr>
      <w:r w:rsidRPr="00C5657F">
        <w:rPr>
          <w:lang w:eastAsia="en-AU"/>
        </w:rPr>
        <w:t>Questions</w:t>
      </w:r>
      <w:r w:rsidR="000F46B8">
        <w:rPr>
          <w:lang w:eastAsia="en-AU"/>
        </w:rPr>
        <w:t xml:space="preserve"> </w:t>
      </w:r>
    </w:p>
    <w:p w14:paraId="36D7B5D8" w14:textId="45D906A6" w:rsidR="00D446A0" w:rsidRPr="006372D8" w:rsidRDefault="00D446A0" w:rsidP="00D446A0">
      <w:pPr>
        <w:pStyle w:val="BodyText1"/>
        <w:rPr>
          <w:b/>
          <w:bCs/>
          <w:color w:val="000000"/>
          <w:lang w:eastAsia="en-AU"/>
        </w:rPr>
      </w:pPr>
      <w:proofErr w:type="spellStart"/>
      <w:r>
        <w:t>QToNs</w:t>
      </w:r>
      <w:proofErr w:type="spellEnd"/>
      <w:r>
        <w:t xml:space="preserve"> and </w:t>
      </w:r>
      <w:proofErr w:type="spellStart"/>
      <w:r>
        <w:t>QoNs</w:t>
      </w:r>
      <w:proofErr w:type="spellEnd"/>
      <w:r>
        <w:t xml:space="preserve"> which were asked as a result of the Committee’s inquiry </w:t>
      </w:r>
      <w:r w:rsidRPr="006372D8">
        <w:rPr>
          <w:b/>
          <w:bCs/>
        </w:rPr>
        <w:t>are at Appendi</w:t>
      </w:r>
      <w:r w:rsidR="00604832">
        <w:rPr>
          <w:b/>
          <w:bCs/>
        </w:rPr>
        <w:t>c</w:t>
      </w:r>
      <w:r w:rsidRPr="006372D8">
        <w:rPr>
          <w:b/>
          <w:bCs/>
        </w:rPr>
        <w:t>es C and D.</w:t>
      </w:r>
    </w:p>
    <w:p w14:paraId="0C67F4BE" w14:textId="77777777" w:rsidR="00D446A0" w:rsidRDefault="00D446A0" w:rsidP="00D446A0">
      <w:pPr>
        <w:pStyle w:val="Headinglevel3"/>
        <w:rPr>
          <w:bdr w:val="nil"/>
        </w:rPr>
      </w:pPr>
      <w:r>
        <w:rPr>
          <w:bdr w:val="nil"/>
        </w:rPr>
        <w:t>Committee Observations and Comment</w:t>
      </w:r>
    </w:p>
    <w:p w14:paraId="0B24D0BA" w14:textId="77777777" w:rsidR="00D446A0" w:rsidRDefault="00D446A0" w:rsidP="00D446A0">
      <w:pPr>
        <w:pStyle w:val="BodyText1"/>
      </w:pPr>
      <w:r>
        <w:t>The Committee makes the following observations and comment on a number of issues which were subject of inquiry:</w:t>
      </w:r>
    </w:p>
    <w:p w14:paraId="4C498DFA" w14:textId="5A5A7457" w:rsidR="00842335" w:rsidRDefault="008965E5" w:rsidP="002C495F">
      <w:pPr>
        <w:pStyle w:val="Headinglevel4"/>
        <w:rPr>
          <w:lang w:eastAsia="en-AU"/>
        </w:rPr>
      </w:pPr>
      <w:r>
        <w:rPr>
          <w:lang w:eastAsia="en-AU"/>
        </w:rPr>
        <w:t>Youth navigation portal in health services</w:t>
      </w:r>
    </w:p>
    <w:p w14:paraId="26D2C8A6" w14:textId="74B34A62" w:rsidR="00C577AD" w:rsidRDefault="00C577AD" w:rsidP="00C577AD">
      <w:pPr>
        <w:pStyle w:val="BodyText1"/>
        <w:rPr>
          <w:lang w:eastAsia="en-AU"/>
        </w:rPr>
      </w:pPr>
      <w:r>
        <w:rPr>
          <w:lang w:eastAsia="en-AU"/>
        </w:rPr>
        <w:t>The Youth Navigation Portal is set up to</w:t>
      </w:r>
      <w:r w:rsidR="003145AF">
        <w:rPr>
          <w:lang w:eastAsia="en-AU"/>
        </w:rPr>
        <w:t xml:space="preserve"> assist youth, and was described this way to indicate the arrangements that are in place to ensure young</w:t>
      </w:r>
      <w:r w:rsidR="00CE421B">
        <w:rPr>
          <w:lang w:eastAsia="en-AU"/>
        </w:rPr>
        <w:t xml:space="preserve"> people have a sense of ownership of the service</w:t>
      </w:r>
      <w:r w:rsidR="003145AF">
        <w:rPr>
          <w:lang w:eastAsia="en-AU"/>
        </w:rPr>
        <w:t xml:space="preserve"> </w:t>
      </w:r>
      <w:r>
        <w:rPr>
          <w:lang w:eastAsia="en-AU"/>
        </w:rPr>
        <w:t>:</w:t>
      </w:r>
    </w:p>
    <w:p w14:paraId="1AE96B51" w14:textId="492DB750" w:rsidR="00C577AD" w:rsidRDefault="00C577AD" w:rsidP="00CE421B">
      <w:pPr>
        <w:pStyle w:val="Quote"/>
      </w:pPr>
      <w:r>
        <w:t>With the youth navigation portal, currently we have a request for quote for a provider, a non-government organisation, to help run the portal. We have done some of the groundwork in building the portal.</w:t>
      </w:r>
      <w:r w:rsidR="00CE421B">
        <w:rPr>
          <w:rStyle w:val="FootnoteReference"/>
        </w:rPr>
        <w:footnoteReference w:id="100"/>
      </w:r>
      <w:r>
        <w:t xml:space="preserve"> </w:t>
      </w:r>
    </w:p>
    <w:p w14:paraId="79DE5A97" w14:textId="60527815" w:rsidR="00CE421B" w:rsidRDefault="00CE421B" w:rsidP="00CE421B">
      <w:pPr>
        <w:pStyle w:val="BodyText1"/>
        <w:rPr>
          <w:lang w:eastAsia="en-AU"/>
        </w:rPr>
      </w:pPr>
      <w:r>
        <w:rPr>
          <w:lang w:eastAsia="en-AU"/>
        </w:rPr>
        <w:t>In an extension of the description of the Portal’s design, the Committee heard:</w:t>
      </w:r>
    </w:p>
    <w:p w14:paraId="15812E88" w14:textId="3CC34158" w:rsidR="00CE421B" w:rsidRDefault="00CE421B" w:rsidP="00CE421B">
      <w:pPr>
        <w:pStyle w:val="Quote"/>
      </w:pPr>
      <w:r>
        <w:t xml:space="preserve">We always co-design. In the children and young </w:t>
      </w:r>
      <w:r w:rsidR="0021363A">
        <w:t>person’s</w:t>
      </w:r>
      <w:r>
        <w:t xml:space="preserve"> review it was co-designed with the Youth Advisory Council and the headspace Youth Reference Group, who told us that some of our methodology would not suit younger people. We were very happy to take that on board. They have been involved in the initial design of what they want. We would also like to have an area for parents and carers. They need something slightly different, but it is primarily for those children and young people.</w:t>
      </w:r>
      <w:r>
        <w:rPr>
          <w:rStyle w:val="FootnoteReference"/>
        </w:rPr>
        <w:footnoteReference w:id="101"/>
      </w:r>
    </w:p>
    <w:p w14:paraId="196A3516" w14:textId="5824A47B" w:rsidR="00CE421B" w:rsidRDefault="00CE421B" w:rsidP="00CE421B">
      <w:pPr>
        <w:pStyle w:val="BodyText1"/>
        <w:rPr>
          <w:lang w:eastAsia="en-AU"/>
        </w:rPr>
      </w:pPr>
      <w:r>
        <w:rPr>
          <w:lang w:eastAsia="en-AU"/>
        </w:rPr>
        <w:t>The Committee observes that the Portal, in conjunction with other mental health services for youn</w:t>
      </w:r>
      <w:r w:rsidR="00231A20">
        <w:rPr>
          <w:lang w:eastAsia="en-AU"/>
        </w:rPr>
        <w:t>g</w:t>
      </w:r>
      <w:r>
        <w:rPr>
          <w:lang w:eastAsia="en-AU"/>
        </w:rPr>
        <w:t xml:space="preserve"> people is </w:t>
      </w:r>
      <w:r w:rsidR="00231A20">
        <w:rPr>
          <w:lang w:eastAsia="en-AU"/>
        </w:rPr>
        <w:t>developing but provides a potential tailo</w:t>
      </w:r>
      <w:r w:rsidR="006A1C2D">
        <w:rPr>
          <w:lang w:eastAsia="en-AU"/>
        </w:rPr>
        <w:t>r</w:t>
      </w:r>
      <w:r w:rsidR="00231A20">
        <w:rPr>
          <w:lang w:eastAsia="en-AU"/>
        </w:rPr>
        <w:t>ed support service.</w:t>
      </w:r>
    </w:p>
    <w:p w14:paraId="10C6D5DB" w14:textId="09D6DC63" w:rsidR="00D446A0" w:rsidRDefault="00D446A0" w:rsidP="00D446A0">
      <w:pPr>
        <w:pStyle w:val="Headinglevel4"/>
        <w:rPr>
          <w:lang w:eastAsia="en-AU"/>
        </w:rPr>
      </w:pPr>
      <w:r>
        <w:rPr>
          <w:lang w:eastAsia="en-AU"/>
        </w:rPr>
        <w:t>Committee Recommendations</w:t>
      </w:r>
    </w:p>
    <w:tbl>
      <w:tblPr>
        <w:tblStyle w:val="TableGrid"/>
        <w:tblW w:w="9209" w:type="dxa"/>
        <w:tblInd w:w="-142" w:type="dxa"/>
        <w:tblLook w:val="04A0" w:firstRow="1" w:lastRow="0" w:firstColumn="1" w:lastColumn="0" w:noHBand="0" w:noVBand="1"/>
      </w:tblPr>
      <w:tblGrid>
        <w:gridCol w:w="9209"/>
      </w:tblGrid>
      <w:tr w:rsidR="00266F38" w14:paraId="0BA80C48" w14:textId="77777777" w:rsidTr="00665195">
        <w:tc>
          <w:tcPr>
            <w:tcW w:w="9209" w:type="dxa"/>
          </w:tcPr>
          <w:p w14:paraId="04191E73" w14:textId="5EF27195" w:rsidR="00266F38" w:rsidRDefault="00266F38" w:rsidP="00665195">
            <w:pPr>
              <w:pStyle w:val="RecommendationHeading"/>
            </w:pPr>
            <w:bookmarkStart w:id="83" w:name="_Toc68848926"/>
            <w:r>
              <w:t xml:space="preserve">Recommendation </w:t>
            </w:r>
            <w:r>
              <w:rPr>
                <w:noProof/>
              </w:rPr>
              <w:fldChar w:fldCharType="begin"/>
            </w:r>
            <w:r>
              <w:rPr>
                <w:noProof/>
              </w:rPr>
              <w:instrText xml:space="preserve"> seq NumList </w:instrText>
            </w:r>
            <w:r>
              <w:rPr>
                <w:noProof/>
              </w:rPr>
              <w:fldChar w:fldCharType="separate"/>
            </w:r>
            <w:r w:rsidR="002A4E14">
              <w:rPr>
                <w:noProof/>
              </w:rPr>
              <w:t>17</w:t>
            </w:r>
            <w:bookmarkEnd w:id="83"/>
            <w:r>
              <w:rPr>
                <w:noProof/>
              </w:rPr>
              <w:fldChar w:fldCharType="end"/>
            </w:r>
          </w:p>
          <w:p w14:paraId="52B1D793" w14:textId="0CF044F5" w:rsidR="00266F38" w:rsidRPr="000F3EC9" w:rsidRDefault="00266F38" w:rsidP="00665195">
            <w:pPr>
              <w:pStyle w:val="RecommendationText"/>
            </w:pPr>
            <w:bookmarkStart w:id="84" w:name="_Toc68848927"/>
            <w:r>
              <w:t xml:space="preserve">The Committee recommends that the </w:t>
            </w:r>
            <w:r w:rsidR="00BC08AF">
              <w:t xml:space="preserve">development of the </w:t>
            </w:r>
            <w:r>
              <w:t xml:space="preserve">Youth Navigation Portal </w:t>
            </w:r>
            <w:r w:rsidR="00BC08AF">
              <w:t xml:space="preserve">continue as </w:t>
            </w:r>
            <w:r>
              <w:t>advised during the Committee’s inquiry</w:t>
            </w:r>
            <w:r w:rsidR="00BC08AF">
              <w:t>,</w:t>
            </w:r>
            <w:r>
              <w:t xml:space="preserve"> and that</w:t>
            </w:r>
            <w:r w:rsidR="00BC08AF">
              <w:t xml:space="preserve"> other formal advice on the Portal progress, uptake and usage.</w:t>
            </w:r>
            <w:r>
              <w:t xml:space="preserve"> </w:t>
            </w:r>
            <w:r w:rsidR="00BC08AF">
              <w:t xml:space="preserve">Be provided to </w:t>
            </w:r>
            <w:r>
              <w:t xml:space="preserve">the Assembly </w:t>
            </w:r>
            <w:r w:rsidR="00BC08AF">
              <w:t xml:space="preserve">and in the </w:t>
            </w:r>
            <w:r>
              <w:t>Annual Report</w:t>
            </w:r>
            <w:r w:rsidR="00BC08AF">
              <w:t>.</w:t>
            </w:r>
            <w:bookmarkEnd w:id="84"/>
          </w:p>
        </w:tc>
      </w:tr>
      <w:tr w:rsidR="000F3EC9" w14:paraId="3A935092" w14:textId="77777777" w:rsidTr="00665195">
        <w:tc>
          <w:tcPr>
            <w:tcW w:w="9209" w:type="dxa"/>
          </w:tcPr>
          <w:p w14:paraId="4443406B" w14:textId="0A5D7786" w:rsidR="000F3EC9" w:rsidRDefault="000F3EC9" w:rsidP="000F3EC9">
            <w:pPr>
              <w:pStyle w:val="RecommendationHeading"/>
            </w:pPr>
            <w:bookmarkStart w:id="85" w:name="_Toc68848928"/>
            <w:r>
              <w:t xml:space="preserve">Recommendation </w:t>
            </w:r>
            <w:r>
              <w:rPr>
                <w:noProof/>
              </w:rPr>
              <w:fldChar w:fldCharType="begin"/>
            </w:r>
            <w:r>
              <w:rPr>
                <w:noProof/>
              </w:rPr>
              <w:instrText xml:space="preserve"> seq NumList </w:instrText>
            </w:r>
            <w:r>
              <w:rPr>
                <w:noProof/>
              </w:rPr>
              <w:fldChar w:fldCharType="separate"/>
            </w:r>
            <w:r w:rsidR="002A4E14">
              <w:rPr>
                <w:noProof/>
              </w:rPr>
              <w:t>18</w:t>
            </w:r>
            <w:bookmarkEnd w:id="85"/>
            <w:r>
              <w:rPr>
                <w:noProof/>
              </w:rPr>
              <w:fldChar w:fldCharType="end"/>
            </w:r>
          </w:p>
          <w:p w14:paraId="630B10E0" w14:textId="41AD41F9" w:rsidR="000F3EC9" w:rsidRPr="000F3EC9" w:rsidRDefault="000F3EC9" w:rsidP="000F3EC9">
            <w:pPr>
              <w:pStyle w:val="RecommendationText"/>
            </w:pPr>
            <w:bookmarkStart w:id="86" w:name="_Toc68848929"/>
            <w:r>
              <w:t xml:space="preserve">That the ACT Government act urgently to address the wait times experienced by Canberrans </w:t>
            </w:r>
            <w:r w:rsidR="008B62F4">
              <w:t xml:space="preserve">seeking to </w:t>
            </w:r>
            <w:r>
              <w:t>access mental health services</w:t>
            </w:r>
            <w:r w:rsidR="00292D9B">
              <w:t>.</w:t>
            </w:r>
            <w:bookmarkEnd w:id="86"/>
          </w:p>
        </w:tc>
      </w:tr>
      <w:tr w:rsidR="000F3EC9" w14:paraId="1D892DE8" w14:textId="77777777" w:rsidTr="00665195">
        <w:tc>
          <w:tcPr>
            <w:tcW w:w="9209" w:type="dxa"/>
          </w:tcPr>
          <w:p w14:paraId="0BCEF278" w14:textId="43DA0552" w:rsidR="000F3EC9" w:rsidRDefault="000F3EC9" w:rsidP="000F3EC9">
            <w:pPr>
              <w:pStyle w:val="RecommendationHeading"/>
            </w:pPr>
            <w:bookmarkStart w:id="87" w:name="_Toc68848930"/>
            <w:r>
              <w:t xml:space="preserve">Recommendation </w:t>
            </w:r>
            <w:r>
              <w:rPr>
                <w:noProof/>
              </w:rPr>
              <w:fldChar w:fldCharType="begin"/>
            </w:r>
            <w:r>
              <w:rPr>
                <w:noProof/>
              </w:rPr>
              <w:instrText xml:space="preserve"> seq NumList </w:instrText>
            </w:r>
            <w:r>
              <w:rPr>
                <w:noProof/>
              </w:rPr>
              <w:fldChar w:fldCharType="separate"/>
            </w:r>
            <w:r w:rsidR="002A4E14">
              <w:rPr>
                <w:noProof/>
              </w:rPr>
              <w:t>19</w:t>
            </w:r>
            <w:bookmarkEnd w:id="87"/>
            <w:r>
              <w:rPr>
                <w:noProof/>
              </w:rPr>
              <w:fldChar w:fldCharType="end"/>
            </w:r>
          </w:p>
          <w:p w14:paraId="1D388D15" w14:textId="3804859B" w:rsidR="000F3EC9" w:rsidRPr="000F3EC9" w:rsidRDefault="003B7A40" w:rsidP="003B7A40">
            <w:pPr>
              <w:pStyle w:val="RecommendationText"/>
            </w:pPr>
            <w:bookmarkStart w:id="88" w:name="_Toc68848931"/>
            <w:r>
              <w:t>That the ACT Government</w:t>
            </w:r>
            <w:r w:rsidR="007F25BD">
              <w:t>, as a matter of urgency, recruit a sufficient number of</w:t>
            </w:r>
            <w:r>
              <w:t xml:space="preserve"> psychologists, </w:t>
            </w:r>
            <w:r w:rsidR="0021363A">
              <w:t>psychiatrists,</w:t>
            </w:r>
            <w:r>
              <w:t xml:space="preserve"> and other mental health professionals</w:t>
            </w:r>
            <w:r w:rsidR="007F25BD">
              <w:t xml:space="preserve"> to ensure that the ACT mental health delivery system is fully staffed.</w:t>
            </w:r>
            <w:bookmarkEnd w:id="88"/>
          </w:p>
        </w:tc>
      </w:tr>
      <w:tr w:rsidR="003B7A40" w14:paraId="669D1F65" w14:textId="77777777" w:rsidTr="00665195">
        <w:tc>
          <w:tcPr>
            <w:tcW w:w="9209" w:type="dxa"/>
          </w:tcPr>
          <w:p w14:paraId="410BBECB" w14:textId="2471A082" w:rsidR="003B7A40" w:rsidRDefault="003B7A40" w:rsidP="00391606">
            <w:pPr>
              <w:pStyle w:val="RecommendationHeading"/>
            </w:pPr>
            <w:bookmarkStart w:id="89" w:name="_Toc68848932"/>
            <w:r>
              <w:t xml:space="preserve">Recommendation </w:t>
            </w:r>
            <w:r>
              <w:rPr>
                <w:noProof/>
              </w:rPr>
              <w:fldChar w:fldCharType="begin"/>
            </w:r>
            <w:r>
              <w:rPr>
                <w:noProof/>
              </w:rPr>
              <w:instrText xml:space="preserve"> seq NumList </w:instrText>
            </w:r>
            <w:r>
              <w:rPr>
                <w:noProof/>
              </w:rPr>
              <w:fldChar w:fldCharType="separate"/>
            </w:r>
            <w:r w:rsidR="002A4E14">
              <w:rPr>
                <w:noProof/>
              </w:rPr>
              <w:t>20</w:t>
            </w:r>
            <w:bookmarkEnd w:id="89"/>
            <w:r>
              <w:rPr>
                <w:noProof/>
              </w:rPr>
              <w:fldChar w:fldCharType="end"/>
            </w:r>
          </w:p>
          <w:p w14:paraId="7AA35266" w14:textId="27CDAC91" w:rsidR="003B7A40" w:rsidRPr="00292D9B" w:rsidRDefault="003B7A40" w:rsidP="00292D9B">
            <w:pPr>
              <w:pStyle w:val="RecommendationText"/>
            </w:pPr>
            <w:bookmarkStart w:id="90" w:name="_Toc68848933"/>
            <w:r>
              <w:t xml:space="preserve">That the ACT Government </w:t>
            </w:r>
            <w:r w:rsidR="007F25BD">
              <w:t xml:space="preserve">increase and </w:t>
            </w:r>
            <w:r>
              <w:t xml:space="preserve">facilitate </w:t>
            </w:r>
            <w:r w:rsidR="007F25BD">
              <w:t xml:space="preserve">availability of ACT-based </w:t>
            </w:r>
            <w:r>
              <w:t>local educational opportunit</w:t>
            </w:r>
            <w:r w:rsidR="007F25BD">
              <w:t xml:space="preserve">ies, including </w:t>
            </w:r>
            <w:r>
              <w:t>scholarships</w:t>
            </w:r>
            <w:r w:rsidR="007F25BD">
              <w:t>,</w:t>
            </w:r>
            <w:r>
              <w:t xml:space="preserve"> to p</w:t>
            </w:r>
            <w:r w:rsidR="007F25BD">
              <w:t xml:space="preserve">ractitioners in all </w:t>
            </w:r>
            <w:r>
              <w:t>mental health</w:t>
            </w:r>
            <w:r w:rsidR="007F25BD">
              <w:t>.</w:t>
            </w:r>
            <w:bookmarkEnd w:id="90"/>
            <w:r>
              <w:t xml:space="preserve">  </w:t>
            </w:r>
          </w:p>
        </w:tc>
      </w:tr>
      <w:tr w:rsidR="003B7A40" w14:paraId="0B80517E" w14:textId="77777777" w:rsidTr="00665195">
        <w:tc>
          <w:tcPr>
            <w:tcW w:w="9209" w:type="dxa"/>
          </w:tcPr>
          <w:p w14:paraId="47FE93E1" w14:textId="205BBA87" w:rsidR="003B7A40" w:rsidRDefault="003B7A40" w:rsidP="00391606">
            <w:pPr>
              <w:pStyle w:val="RecommendationHeading"/>
            </w:pPr>
            <w:bookmarkStart w:id="91" w:name="_Toc68848934"/>
            <w:r>
              <w:t xml:space="preserve">Recommendation </w:t>
            </w:r>
            <w:r>
              <w:rPr>
                <w:noProof/>
              </w:rPr>
              <w:fldChar w:fldCharType="begin"/>
            </w:r>
            <w:r>
              <w:rPr>
                <w:noProof/>
              </w:rPr>
              <w:instrText xml:space="preserve"> seq NumList </w:instrText>
            </w:r>
            <w:r>
              <w:rPr>
                <w:noProof/>
              </w:rPr>
              <w:fldChar w:fldCharType="separate"/>
            </w:r>
            <w:r w:rsidR="002A4E14">
              <w:rPr>
                <w:noProof/>
              </w:rPr>
              <w:t>21</w:t>
            </w:r>
            <w:bookmarkEnd w:id="91"/>
            <w:r>
              <w:rPr>
                <w:noProof/>
              </w:rPr>
              <w:fldChar w:fldCharType="end"/>
            </w:r>
          </w:p>
          <w:p w14:paraId="0C7BFC07" w14:textId="1B992271" w:rsidR="003B7A40" w:rsidRPr="003B7A40" w:rsidRDefault="003B7A40" w:rsidP="003B7A40">
            <w:pPr>
              <w:pStyle w:val="RecommendationText"/>
            </w:pPr>
            <w:bookmarkStart w:id="92" w:name="_Toc68848935"/>
            <w:r>
              <w:t>That the ACT Government outline what further services it</w:t>
            </w:r>
            <w:r w:rsidR="007F25BD">
              <w:t xml:space="preserve"> can and </w:t>
            </w:r>
            <w:r>
              <w:t xml:space="preserve">will add to address long wait times </w:t>
            </w:r>
            <w:r w:rsidR="007F25BD">
              <w:t xml:space="preserve">for </w:t>
            </w:r>
            <w:r>
              <w:t xml:space="preserve">access </w:t>
            </w:r>
            <w:r w:rsidR="007F25BD">
              <w:t xml:space="preserve">to </w:t>
            </w:r>
            <w:r>
              <w:t>mental health services</w:t>
            </w:r>
            <w:r w:rsidR="00292D9B">
              <w:t>.</w:t>
            </w:r>
            <w:bookmarkEnd w:id="92"/>
          </w:p>
        </w:tc>
      </w:tr>
      <w:tr w:rsidR="003B7A40" w14:paraId="1263C0A2" w14:textId="77777777" w:rsidTr="00665195">
        <w:tc>
          <w:tcPr>
            <w:tcW w:w="9209" w:type="dxa"/>
          </w:tcPr>
          <w:p w14:paraId="32E18C68" w14:textId="3F9FC18A" w:rsidR="003B7A40" w:rsidRDefault="003B7A40" w:rsidP="00391606">
            <w:pPr>
              <w:pStyle w:val="RecommendationHeading"/>
            </w:pPr>
            <w:bookmarkStart w:id="93" w:name="_Toc68848936"/>
            <w:r>
              <w:t xml:space="preserve">Recommendation </w:t>
            </w:r>
            <w:r>
              <w:rPr>
                <w:noProof/>
              </w:rPr>
              <w:fldChar w:fldCharType="begin"/>
            </w:r>
            <w:r>
              <w:rPr>
                <w:noProof/>
              </w:rPr>
              <w:instrText xml:space="preserve"> seq NumList </w:instrText>
            </w:r>
            <w:r>
              <w:rPr>
                <w:noProof/>
              </w:rPr>
              <w:fldChar w:fldCharType="separate"/>
            </w:r>
            <w:r w:rsidR="002A4E14">
              <w:rPr>
                <w:noProof/>
              </w:rPr>
              <w:t>22</w:t>
            </w:r>
            <w:bookmarkEnd w:id="93"/>
            <w:r>
              <w:rPr>
                <w:noProof/>
              </w:rPr>
              <w:fldChar w:fldCharType="end"/>
            </w:r>
          </w:p>
          <w:p w14:paraId="16749ACF" w14:textId="730D4C8C" w:rsidR="003B7A40" w:rsidRPr="003B7A40" w:rsidRDefault="003B7A40" w:rsidP="003B7A40">
            <w:pPr>
              <w:pStyle w:val="RecommendationText"/>
            </w:pPr>
            <w:bookmarkStart w:id="94" w:name="_Toc68848937"/>
            <w:r>
              <w:t>That the ACT Government continue to provide updates to the Legislative Assembly on the Position Statement on Eating Disorders</w:t>
            </w:r>
            <w:r w:rsidR="00292D9B">
              <w:t>.</w:t>
            </w:r>
            <w:bookmarkEnd w:id="94"/>
          </w:p>
        </w:tc>
      </w:tr>
    </w:tbl>
    <w:p w14:paraId="03212AFC" w14:textId="77777777" w:rsidR="00842335" w:rsidRDefault="00842335" w:rsidP="00842335">
      <w:pPr>
        <w:pStyle w:val="Bodytextnonumbering"/>
      </w:pPr>
    </w:p>
    <w:p w14:paraId="2A7AAC70" w14:textId="77777777" w:rsidR="00842335" w:rsidRDefault="00842335" w:rsidP="00842335">
      <w:pPr>
        <w:pStyle w:val="Bodytextnonumbering"/>
        <w:sectPr w:rsidR="00842335" w:rsidSect="00592C9A">
          <w:headerReference w:type="first" r:id="rId31"/>
          <w:type w:val="oddPage"/>
          <w:pgSz w:w="11907" w:h="16840" w:code="9"/>
          <w:pgMar w:top="1588" w:right="1418" w:bottom="1418" w:left="1418" w:header="720" w:footer="851" w:gutter="0"/>
          <w:cols w:space="720"/>
          <w:docGrid w:linePitch="360"/>
        </w:sectPr>
      </w:pPr>
    </w:p>
    <w:p w14:paraId="57D15B09" w14:textId="6B3EE4BF" w:rsidR="00842335" w:rsidRPr="00217BE4" w:rsidRDefault="00BB0BC8" w:rsidP="005415DE">
      <w:pPr>
        <w:pStyle w:val="Heading1"/>
        <w:numPr>
          <w:ilvl w:val="0"/>
          <w:numId w:val="19"/>
        </w:numPr>
      </w:pPr>
      <w:bookmarkStart w:id="95" w:name="_Toc68848975"/>
      <w:r>
        <w:t>Housing and Suburban Development</w:t>
      </w:r>
      <w:bookmarkEnd w:id="95"/>
    </w:p>
    <w:p w14:paraId="159E5EA9" w14:textId="168B31E9" w:rsidR="00842335" w:rsidRPr="00464E4D" w:rsidRDefault="00842335" w:rsidP="00AF16A7">
      <w:pPr>
        <w:pStyle w:val="BodyText"/>
        <w:numPr>
          <w:ilvl w:val="5"/>
          <w:numId w:val="4"/>
        </w:numPr>
      </w:pPr>
      <w:r w:rsidRPr="00E83A8D">
        <w:t xml:space="preserve">The Committee heard from the Minister for </w:t>
      </w:r>
      <w:r w:rsidR="002E1AC1">
        <w:t>Housing and Suburban Development a</w:t>
      </w:r>
      <w:r>
        <w:t xml:space="preserve">nd directorate officials on </w:t>
      </w:r>
      <w:r w:rsidR="002E1AC1">
        <w:t xml:space="preserve">3 March 2021 </w:t>
      </w:r>
      <w:r w:rsidRPr="00E83A8D">
        <w:t>to</w:t>
      </w:r>
      <w:r>
        <w:t xml:space="preserve"> </w:t>
      </w:r>
      <w:bookmarkStart w:id="96" w:name="_Hlk23760770"/>
      <w:r>
        <w:t xml:space="preserve">discuss </w:t>
      </w:r>
      <w:r w:rsidRPr="00464E4D">
        <w:t xml:space="preserve">relevant parts of the 2018–19 CSD </w:t>
      </w:r>
      <w:bookmarkEnd w:id="96"/>
      <w:r w:rsidRPr="00464E4D">
        <w:t xml:space="preserve">annual report </w:t>
      </w:r>
      <w:r w:rsidR="002E1AC1" w:rsidRPr="00464E4D">
        <w:t>and appropriations</w:t>
      </w:r>
      <w:r w:rsidR="0020599A" w:rsidRPr="00464E4D">
        <w:t>,</w:t>
      </w:r>
    </w:p>
    <w:p w14:paraId="75067768" w14:textId="75270A33" w:rsidR="00400657" w:rsidRPr="00C7196A" w:rsidRDefault="00400657" w:rsidP="00AF16A7">
      <w:pPr>
        <w:pStyle w:val="BodyText"/>
        <w:numPr>
          <w:ilvl w:val="5"/>
          <w:numId w:val="4"/>
        </w:numPr>
      </w:pPr>
      <w:r>
        <w:t xml:space="preserve">The outputs considered were in relation to social housing services, and Quality </w:t>
      </w:r>
      <w:r w:rsidR="00D37A47">
        <w:t>A</w:t>
      </w:r>
      <w:r>
        <w:t xml:space="preserve">ssurance and </w:t>
      </w:r>
      <w:r w:rsidR="002E1C34">
        <w:t>compl</w:t>
      </w:r>
      <w:r w:rsidR="00D37A47">
        <w:t>iance</w:t>
      </w:r>
      <w:r>
        <w:t>.</w:t>
      </w:r>
    </w:p>
    <w:p w14:paraId="2E665E32" w14:textId="7727F1F4" w:rsidR="007B0FFA" w:rsidRPr="007B0FFA" w:rsidRDefault="007B0FFA" w:rsidP="0020599A">
      <w:pPr>
        <w:keepNext/>
        <w:widowControl w:val="0"/>
        <w:spacing w:before="480" w:after="60" w:line="312" w:lineRule="auto"/>
        <w:outlineLvl w:val="2"/>
        <w:rPr>
          <w:rFonts w:ascii="Arial Narrow" w:hAnsi="Arial Narrow" w:cs="Arial"/>
          <w:iCs/>
          <w:smallCaps/>
          <w:spacing w:val="20"/>
          <w:sz w:val="36"/>
          <w:szCs w:val="34"/>
          <w:lang w:val="en-US"/>
        </w:rPr>
      </w:pPr>
      <w:bookmarkStart w:id="97" w:name="_Hlk30008129"/>
      <w:r w:rsidRPr="007B0FFA">
        <w:rPr>
          <w:rFonts w:ascii="Arial Narrow" w:hAnsi="Arial Narrow" w:cs="Arial"/>
          <w:iCs/>
          <w:smallCaps/>
          <w:spacing w:val="20"/>
          <w:sz w:val="36"/>
          <w:szCs w:val="34"/>
          <w:lang w:val="en-US"/>
        </w:rPr>
        <w:t>Matters Discussed</w:t>
      </w:r>
      <w:r w:rsidR="0020599A">
        <w:rPr>
          <w:rFonts w:ascii="Arial Narrow" w:hAnsi="Arial Narrow" w:cs="Arial"/>
          <w:iCs/>
          <w:smallCaps/>
          <w:spacing w:val="20"/>
          <w:sz w:val="36"/>
          <w:szCs w:val="34"/>
          <w:lang w:val="en-US"/>
        </w:rPr>
        <w:t xml:space="preserve"> at hearing</w:t>
      </w:r>
    </w:p>
    <w:p w14:paraId="2C6FD53C" w14:textId="70851075" w:rsidR="007B0FFA" w:rsidRPr="00977530" w:rsidRDefault="007B0FFA" w:rsidP="00AF16A7">
      <w:pPr>
        <w:pStyle w:val="BodyText"/>
        <w:numPr>
          <w:ilvl w:val="5"/>
          <w:numId w:val="4"/>
        </w:numPr>
      </w:pPr>
      <w:r w:rsidRPr="007B0FFA">
        <w:t>The following matters relating to Social Housing Services (HACT Output 1.1) and Quality Complaints and Regulation (CSD Output 1.4) were discussed</w:t>
      </w:r>
      <w:r w:rsidR="00977530">
        <w:t xml:space="preserve"> at the public hearing</w:t>
      </w:r>
      <w:r w:rsidRPr="007B0FFA">
        <w:t>:</w:t>
      </w:r>
    </w:p>
    <w:p w14:paraId="18666F4A" w14:textId="77777777" w:rsidR="00394272" w:rsidRPr="00394272" w:rsidRDefault="00394272" w:rsidP="00751124">
      <w:pPr>
        <w:pStyle w:val="ListBullet"/>
        <w:numPr>
          <w:ilvl w:val="2"/>
          <w:numId w:val="15"/>
        </w:numPr>
        <w:ind w:left="964" w:hanging="397"/>
        <w:rPr>
          <w:lang w:val="en-US"/>
        </w:rPr>
      </w:pPr>
      <w:r w:rsidRPr="00394272">
        <w:rPr>
          <w:lang w:val="en-US"/>
        </w:rPr>
        <w:t>consultation with people with disabilities on residential building design and accessibility;</w:t>
      </w:r>
      <w:r w:rsidRPr="00394272">
        <w:rPr>
          <w:vertAlign w:val="superscript"/>
          <w:lang w:val="en-US"/>
        </w:rPr>
        <w:footnoteReference w:id="102"/>
      </w:r>
    </w:p>
    <w:p w14:paraId="2CC82CF2" w14:textId="77777777" w:rsidR="00394272" w:rsidRPr="00394272" w:rsidRDefault="00394272" w:rsidP="00751124">
      <w:pPr>
        <w:pStyle w:val="ListBullet"/>
        <w:numPr>
          <w:ilvl w:val="2"/>
          <w:numId w:val="15"/>
        </w:numPr>
        <w:ind w:left="964" w:hanging="397"/>
        <w:rPr>
          <w:lang w:val="en-US"/>
        </w:rPr>
      </w:pPr>
      <w:r w:rsidRPr="00394272">
        <w:rPr>
          <w:lang w:val="en-US"/>
        </w:rPr>
        <w:t>works that are done to ensure that disability-friendly public housing meet tenants’ specifications;</w:t>
      </w:r>
      <w:r w:rsidRPr="00394272">
        <w:rPr>
          <w:vertAlign w:val="superscript"/>
          <w:lang w:val="en-US"/>
        </w:rPr>
        <w:footnoteReference w:id="103"/>
      </w:r>
    </w:p>
    <w:p w14:paraId="16710932" w14:textId="77777777" w:rsidR="00394272" w:rsidRPr="00394272" w:rsidRDefault="00394272" w:rsidP="00751124">
      <w:pPr>
        <w:pStyle w:val="ListBullet"/>
        <w:numPr>
          <w:ilvl w:val="2"/>
          <w:numId w:val="15"/>
        </w:numPr>
        <w:ind w:left="964" w:hanging="397"/>
        <w:rPr>
          <w:lang w:val="en-US"/>
        </w:rPr>
      </w:pPr>
      <w:r w:rsidRPr="00394272">
        <w:rPr>
          <w:lang w:val="en-US"/>
        </w:rPr>
        <w:t>rectification and modification of properties upon receiving feedback from tenants who recently moved into properties;</w:t>
      </w:r>
      <w:r w:rsidRPr="003F209A">
        <w:rPr>
          <w:vertAlign w:val="superscript"/>
          <w:lang w:val="en-US"/>
        </w:rPr>
        <w:footnoteReference w:id="104"/>
      </w:r>
    </w:p>
    <w:p w14:paraId="097A8F5F" w14:textId="77777777" w:rsidR="00394272" w:rsidRPr="00394272" w:rsidRDefault="00394272" w:rsidP="00751124">
      <w:pPr>
        <w:pStyle w:val="ListBullet"/>
        <w:numPr>
          <w:ilvl w:val="2"/>
          <w:numId w:val="15"/>
        </w:numPr>
        <w:ind w:left="964" w:hanging="397"/>
        <w:rPr>
          <w:lang w:val="en-US"/>
        </w:rPr>
      </w:pPr>
      <w:r w:rsidRPr="00394272">
        <w:rPr>
          <w:lang w:val="en-US"/>
        </w:rPr>
        <w:t>maintenance status of properties that have been identified for renewal;</w:t>
      </w:r>
      <w:r w:rsidRPr="003F209A">
        <w:rPr>
          <w:vertAlign w:val="superscript"/>
          <w:lang w:val="en-US"/>
        </w:rPr>
        <w:footnoteReference w:id="105"/>
      </w:r>
    </w:p>
    <w:p w14:paraId="3DDAD893" w14:textId="77777777" w:rsidR="00394272" w:rsidRPr="00394272" w:rsidRDefault="00394272" w:rsidP="00751124">
      <w:pPr>
        <w:pStyle w:val="ListBullet"/>
        <w:numPr>
          <w:ilvl w:val="2"/>
          <w:numId w:val="15"/>
        </w:numPr>
        <w:ind w:left="964" w:hanging="397"/>
        <w:rPr>
          <w:lang w:val="en-US"/>
        </w:rPr>
      </w:pPr>
      <w:r w:rsidRPr="00394272">
        <w:rPr>
          <w:lang w:val="en-US"/>
        </w:rPr>
        <w:t>the status of locks on certain stairwells leading to the aged persons unit at Condamine Court;</w:t>
      </w:r>
      <w:r w:rsidRPr="00394272">
        <w:rPr>
          <w:vertAlign w:val="superscript"/>
          <w:lang w:val="en-US"/>
        </w:rPr>
        <w:footnoteReference w:id="106"/>
      </w:r>
    </w:p>
    <w:p w14:paraId="0FB34790" w14:textId="77777777" w:rsidR="00394272" w:rsidRPr="00394272" w:rsidRDefault="00394272" w:rsidP="00751124">
      <w:pPr>
        <w:numPr>
          <w:ilvl w:val="2"/>
          <w:numId w:val="15"/>
        </w:numPr>
        <w:spacing w:before="40" w:after="60" w:line="288" w:lineRule="auto"/>
        <w:ind w:left="993" w:hanging="426"/>
        <w:rPr>
          <w:szCs w:val="22"/>
          <w:lang w:val="en-US"/>
        </w:rPr>
      </w:pPr>
      <w:r w:rsidRPr="00394272">
        <w:rPr>
          <w:szCs w:val="22"/>
          <w:lang w:val="en-US"/>
        </w:rPr>
        <w:t>the numbers of Canberra-based small businesses who completed work for Programmed over the past year;</w:t>
      </w:r>
      <w:r w:rsidRPr="003F209A">
        <w:rPr>
          <w:szCs w:val="22"/>
          <w:vertAlign w:val="superscript"/>
          <w:lang w:val="en-US"/>
        </w:rPr>
        <w:footnoteReference w:id="107"/>
      </w:r>
    </w:p>
    <w:p w14:paraId="6BCD0FB7" w14:textId="77777777" w:rsidR="00394272" w:rsidRPr="00394272" w:rsidRDefault="00394272" w:rsidP="00751124">
      <w:pPr>
        <w:numPr>
          <w:ilvl w:val="2"/>
          <w:numId w:val="15"/>
        </w:numPr>
        <w:spacing w:before="40" w:after="60" w:line="288" w:lineRule="auto"/>
        <w:ind w:left="993" w:hanging="426"/>
        <w:rPr>
          <w:szCs w:val="22"/>
          <w:lang w:val="en-US"/>
        </w:rPr>
      </w:pPr>
      <w:r w:rsidRPr="00394272">
        <w:rPr>
          <w:szCs w:val="22"/>
          <w:lang w:val="en-US"/>
        </w:rPr>
        <w:t>considerations behind cessation of programmed works for many subcontractors as of January 2021 and its implication to local businesses;</w:t>
      </w:r>
      <w:r w:rsidRPr="003F209A">
        <w:rPr>
          <w:szCs w:val="22"/>
          <w:vertAlign w:val="superscript"/>
          <w:lang w:val="en-US"/>
        </w:rPr>
        <w:footnoteReference w:id="108"/>
      </w:r>
    </w:p>
    <w:p w14:paraId="34E0C65C" w14:textId="77777777" w:rsidR="00394272" w:rsidRPr="00394272" w:rsidRDefault="00394272" w:rsidP="00751124">
      <w:pPr>
        <w:numPr>
          <w:ilvl w:val="2"/>
          <w:numId w:val="15"/>
        </w:numPr>
        <w:spacing w:before="40" w:after="60" w:line="288" w:lineRule="auto"/>
        <w:ind w:left="993" w:hanging="426"/>
        <w:rPr>
          <w:szCs w:val="22"/>
          <w:lang w:val="en-US"/>
        </w:rPr>
      </w:pPr>
      <w:r w:rsidRPr="00394272">
        <w:rPr>
          <w:szCs w:val="22"/>
          <w:lang w:val="en-US"/>
        </w:rPr>
        <w:t>the asset renewal scheme, including the sale of properties and the process of appointing agents to list and market the properties;</w:t>
      </w:r>
      <w:r w:rsidRPr="003F209A">
        <w:rPr>
          <w:szCs w:val="22"/>
          <w:vertAlign w:val="superscript"/>
          <w:lang w:val="en-US"/>
        </w:rPr>
        <w:footnoteReference w:id="109"/>
      </w:r>
    </w:p>
    <w:p w14:paraId="2E267A09" w14:textId="77777777" w:rsidR="00394272" w:rsidRPr="00394272" w:rsidRDefault="00394272" w:rsidP="00751124">
      <w:pPr>
        <w:numPr>
          <w:ilvl w:val="2"/>
          <w:numId w:val="15"/>
        </w:numPr>
        <w:spacing w:before="40" w:after="60" w:line="288" w:lineRule="auto"/>
        <w:ind w:left="993" w:hanging="426"/>
        <w:rPr>
          <w:szCs w:val="22"/>
          <w:lang w:val="en-US"/>
        </w:rPr>
      </w:pPr>
      <w:r w:rsidRPr="00394272">
        <w:rPr>
          <w:szCs w:val="22"/>
          <w:lang w:val="en-US"/>
        </w:rPr>
        <w:t>Housing ACT property vacancies, the large number of people on the waiting list and the number of properties that are vacant for over a year;</w:t>
      </w:r>
      <w:r w:rsidRPr="003F209A">
        <w:rPr>
          <w:szCs w:val="22"/>
          <w:vertAlign w:val="superscript"/>
          <w:lang w:val="en-US"/>
        </w:rPr>
        <w:footnoteReference w:id="110"/>
      </w:r>
    </w:p>
    <w:p w14:paraId="1524711B" w14:textId="77777777" w:rsidR="00394272" w:rsidRPr="00394272" w:rsidRDefault="00394272" w:rsidP="00AF16A7">
      <w:pPr>
        <w:numPr>
          <w:ilvl w:val="2"/>
          <w:numId w:val="15"/>
        </w:numPr>
        <w:spacing w:before="40" w:after="60" w:line="288" w:lineRule="auto"/>
        <w:rPr>
          <w:szCs w:val="22"/>
          <w:lang w:val="en-US"/>
        </w:rPr>
      </w:pPr>
      <w:r w:rsidRPr="00394272">
        <w:rPr>
          <w:szCs w:val="22"/>
          <w:lang w:val="en-US"/>
        </w:rPr>
        <w:t>the capacity to fast-track maintenance required on properties that are not available for allocation for public housing tenancies;</w:t>
      </w:r>
      <w:r w:rsidRPr="003F209A">
        <w:rPr>
          <w:szCs w:val="22"/>
          <w:vertAlign w:val="superscript"/>
          <w:lang w:val="en-US"/>
        </w:rPr>
        <w:footnoteReference w:id="111"/>
      </w:r>
    </w:p>
    <w:p w14:paraId="3213D760" w14:textId="77777777" w:rsidR="00394272" w:rsidRPr="00394272" w:rsidRDefault="00394272" w:rsidP="00AF16A7">
      <w:pPr>
        <w:numPr>
          <w:ilvl w:val="2"/>
          <w:numId w:val="15"/>
        </w:numPr>
        <w:spacing w:before="40" w:after="60" w:line="288" w:lineRule="auto"/>
        <w:rPr>
          <w:szCs w:val="22"/>
          <w:lang w:val="en-US"/>
        </w:rPr>
      </w:pPr>
      <w:r w:rsidRPr="00394272">
        <w:rPr>
          <w:szCs w:val="22"/>
          <w:lang w:val="en-US"/>
        </w:rPr>
        <w:t>maintenance of vacant properties;</w:t>
      </w:r>
      <w:r w:rsidRPr="003F209A">
        <w:rPr>
          <w:szCs w:val="22"/>
          <w:vertAlign w:val="superscript"/>
          <w:lang w:val="en-US"/>
        </w:rPr>
        <w:footnoteReference w:id="112"/>
      </w:r>
    </w:p>
    <w:p w14:paraId="3E3A4B0D" w14:textId="77777777" w:rsidR="00394272" w:rsidRPr="00394272" w:rsidRDefault="00394272" w:rsidP="00AF16A7">
      <w:pPr>
        <w:numPr>
          <w:ilvl w:val="2"/>
          <w:numId w:val="15"/>
        </w:numPr>
        <w:spacing w:before="40" w:after="60" w:line="288" w:lineRule="auto"/>
        <w:rPr>
          <w:szCs w:val="22"/>
          <w:lang w:val="en-US"/>
        </w:rPr>
      </w:pPr>
      <w:r w:rsidRPr="00394272">
        <w:rPr>
          <w:szCs w:val="22"/>
          <w:lang w:val="en-US"/>
        </w:rPr>
        <w:t>timeline for the completion of Common Ground Dickson;</w:t>
      </w:r>
      <w:r w:rsidRPr="003F209A">
        <w:rPr>
          <w:szCs w:val="22"/>
          <w:vertAlign w:val="superscript"/>
          <w:lang w:val="en-US"/>
        </w:rPr>
        <w:footnoteReference w:id="113"/>
      </w:r>
      <w:r w:rsidRPr="003F209A">
        <w:rPr>
          <w:szCs w:val="22"/>
          <w:vertAlign w:val="superscript"/>
          <w:lang w:val="en-US"/>
        </w:rPr>
        <w:t xml:space="preserve"> </w:t>
      </w:r>
      <w:r w:rsidRPr="00394272">
        <w:rPr>
          <w:szCs w:val="22"/>
          <w:lang w:val="en-US"/>
        </w:rPr>
        <w:t>and</w:t>
      </w:r>
    </w:p>
    <w:p w14:paraId="5D5E0F02" w14:textId="77777777" w:rsidR="00394272" w:rsidRPr="00394272" w:rsidRDefault="00394272" w:rsidP="00AF16A7">
      <w:pPr>
        <w:numPr>
          <w:ilvl w:val="2"/>
          <w:numId w:val="15"/>
        </w:numPr>
        <w:spacing w:before="40" w:after="60" w:line="288" w:lineRule="auto"/>
        <w:rPr>
          <w:szCs w:val="22"/>
          <w:lang w:val="en-US"/>
        </w:rPr>
      </w:pPr>
      <w:r w:rsidRPr="00394272">
        <w:rPr>
          <w:szCs w:val="22"/>
          <w:lang w:val="en-US"/>
        </w:rPr>
        <w:t>housing for older Aboriginal and Torres Strait Islander people.</w:t>
      </w:r>
      <w:r w:rsidRPr="00394272">
        <w:rPr>
          <w:szCs w:val="22"/>
          <w:vertAlign w:val="superscript"/>
          <w:lang w:val="en-US"/>
        </w:rPr>
        <w:footnoteReference w:id="114"/>
      </w:r>
    </w:p>
    <w:p w14:paraId="02343273" w14:textId="7F73C061" w:rsidR="00150D77" w:rsidRDefault="00150D77" w:rsidP="0012326B">
      <w:pPr>
        <w:pStyle w:val="Headinglevel3"/>
        <w:rPr>
          <w:lang w:val="en-US"/>
        </w:rPr>
      </w:pPr>
      <w:r>
        <w:rPr>
          <w:lang w:val="en-US"/>
        </w:rPr>
        <w:t xml:space="preserve">Questions </w:t>
      </w:r>
    </w:p>
    <w:p w14:paraId="474FB198" w14:textId="51E3CA46" w:rsidR="0012326B" w:rsidRPr="006372D8" w:rsidRDefault="0012326B" w:rsidP="0012326B">
      <w:pPr>
        <w:pStyle w:val="BodyText1"/>
        <w:rPr>
          <w:b/>
          <w:bCs/>
          <w:color w:val="000000"/>
          <w:lang w:eastAsia="en-AU"/>
        </w:rPr>
      </w:pPr>
      <w:proofErr w:type="spellStart"/>
      <w:r>
        <w:t>QToNs</w:t>
      </w:r>
      <w:proofErr w:type="spellEnd"/>
      <w:r>
        <w:t xml:space="preserve"> and </w:t>
      </w:r>
      <w:proofErr w:type="spellStart"/>
      <w:r>
        <w:t>QoNs</w:t>
      </w:r>
      <w:proofErr w:type="spellEnd"/>
      <w:r>
        <w:t xml:space="preserve"> which were asked as a result of the Committee’s inquiry </w:t>
      </w:r>
      <w:r w:rsidRPr="006372D8">
        <w:rPr>
          <w:b/>
          <w:bCs/>
        </w:rPr>
        <w:t>are at Appendi</w:t>
      </w:r>
      <w:r w:rsidR="008F6FEF">
        <w:rPr>
          <w:b/>
          <w:bCs/>
        </w:rPr>
        <w:t>c</w:t>
      </w:r>
      <w:r w:rsidRPr="006372D8">
        <w:rPr>
          <w:b/>
          <w:bCs/>
        </w:rPr>
        <w:t>es C and D.</w:t>
      </w:r>
    </w:p>
    <w:p w14:paraId="575CE896" w14:textId="77777777" w:rsidR="0012326B" w:rsidRDefault="0012326B" w:rsidP="0012326B">
      <w:pPr>
        <w:pStyle w:val="Headinglevel3"/>
        <w:rPr>
          <w:bdr w:val="nil"/>
        </w:rPr>
      </w:pPr>
      <w:r>
        <w:rPr>
          <w:bdr w:val="nil"/>
        </w:rPr>
        <w:t>Committee Observations and Comment</w:t>
      </w:r>
    </w:p>
    <w:p w14:paraId="2253B090" w14:textId="77777777" w:rsidR="0012326B" w:rsidRDefault="0012326B" w:rsidP="0012326B">
      <w:pPr>
        <w:pStyle w:val="BodyText1"/>
      </w:pPr>
      <w:r>
        <w:t>The Committee makes the following observations and comment on a number of issues which were subject of inquiry:</w:t>
      </w:r>
    </w:p>
    <w:p w14:paraId="55F85E8C" w14:textId="167715C0" w:rsidR="00DA7AAC" w:rsidRDefault="00DA7AAC" w:rsidP="007D404D">
      <w:pPr>
        <w:pStyle w:val="Headinglevel3"/>
        <w:rPr>
          <w:lang w:val="en-US"/>
        </w:rPr>
      </w:pPr>
      <w:r w:rsidRPr="00DA7AAC">
        <w:rPr>
          <w:lang w:val="en-US"/>
        </w:rPr>
        <w:t xml:space="preserve">asset renewal scheme, including sale of </w:t>
      </w:r>
      <w:r>
        <w:rPr>
          <w:lang w:val="en-US"/>
        </w:rPr>
        <w:t>properties</w:t>
      </w:r>
    </w:p>
    <w:p w14:paraId="1D4C8263" w14:textId="5463AED8" w:rsidR="00DA7AAC" w:rsidRDefault="00DA7AAC" w:rsidP="00DA7AAC">
      <w:pPr>
        <w:pStyle w:val="BodyText1"/>
      </w:pPr>
      <w:r>
        <w:rPr>
          <w:lang w:val="en-US"/>
        </w:rPr>
        <w:t xml:space="preserve">The Committee asked about asset renewal, </w:t>
      </w:r>
      <w:r w:rsidR="00670416">
        <w:rPr>
          <w:lang w:val="en-US"/>
        </w:rPr>
        <w:t>particularly</w:t>
      </w:r>
      <w:r>
        <w:rPr>
          <w:lang w:val="en-US"/>
        </w:rPr>
        <w:t xml:space="preserve"> </w:t>
      </w:r>
      <w:r w:rsidR="00670416">
        <w:rPr>
          <w:lang w:val="en-US"/>
        </w:rPr>
        <w:t>considering</w:t>
      </w:r>
      <w:r>
        <w:rPr>
          <w:lang w:val="en-US"/>
        </w:rPr>
        <w:t xml:space="preserve"> </w:t>
      </w:r>
      <w:r w:rsidR="00670416">
        <w:rPr>
          <w:lang w:val="en-US"/>
        </w:rPr>
        <w:t>planes</w:t>
      </w:r>
      <w:r>
        <w:rPr>
          <w:lang w:val="en-US"/>
        </w:rPr>
        <w:t xml:space="preserve"> announced for housing asset sale and renewal</w:t>
      </w:r>
      <w:r w:rsidRPr="00DA7AAC">
        <w:t xml:space="preserve"> </w:t>
      </w:r>
      <w:r w:rsidR="00670416">
        <w:t>in</w:t>
      </w:r>
      <w:r>
        <w:t xml:space="preserve"> that line of questioning, you mentioned the asset renewal scheme. The Committee notes that some 400 properties were assessed; 200 stayed in the portfolio and 200 have been sold. </w:t>
      </w:r>
      <w:r>
        <w:rPr>
          <w:rStyle w:val="FootnoteReference"/>
        </w:rPr>
        <w:footnoteReference w:id="115"/>
      </w:r>
    </w:p>
    <w:p w14:paraId="4847ECF9" w14:textId="1E4D2999" w:rsidR="00DA7AAC" w:rsidRDefault="00DA7AAC" w:rsidP="00DA7AAC">
      <w:pPr>
        <w:pStyle w:val="BodyText1"/>
        <w:rPr>
          <w:lang w:val="en-US"/>
        </w:rPr>
      </w:pPr>
      <w:r>
        <w:rPr>
          <w:lang w:val="en-US"/>
        </w:rPr>
        <w:t>In advice provided at Committee hearings, advice was:</w:t>
      </w:r>
    </w:p>
    <w:p w14:paraId="051C6FC6" w14:textId="306C7E29" w:rsidR="00670416" w:rsidRDefault="00670416" w:rsidP="00670416">
      <w:pPr>
        <w:pStyle w:val="Quote"/>
      </w:pPr>
      <w:r>
        <w:t xml:space="preserve">The real estate agents panel is one of those. Fourteen real estate agents are on the panel, have been successful. They have gone through an evaluation of some pre-qualifications and experience, independent evaluation, to get onto the panel. Once they are on the panel, it is on a rotational basis. Everybody gets an opportunity to tender for work. </w:t>
      </w:r>
    </w:p>
    <w:p w14:paraId="16C1475E" w14:textId="77777777" w:rsidR="00670416" w:rsidRDefault="00670416" w:rsidP="00670416">
      <w:pPr>
        <w:pStyle w:val="Quote"/>
      </w:pPr>
      <w:r w:rsidRPr="00B41AAB">
        <w:rPr>
          <w:b/>
        </w:rPr>
        <w:t>THE CHAIR</w:t>
      </w:r>
      <w:r w:rsidRPr="00B41AAB">
        <w:t>:</w:t>
      </w:r>
      <w:r>
        <w:t xml:space="preserve"> Each individual property? Is that how that works?</w:t>
      </w:r>
    </w:p>
    <w:p w14:paraId="79626772" w14:textId="1A3BE37B" w:rsidR="00670416" w:rsidRDefault="00670416" w:rsidP="00670416">
      <w:pPr>
        <w:pStyle w:val="Quote"/>
      </w:pPr>
      <w:r w:rsidRPr="008602B1">
        <w:rPr>
          <w:b/>
          <w:bCs/>
        </w:rPr>
        <w:t>Ms Loft</w:t>
      </w:r>
      <w:r w:rsidRPr="008602B1">
        <w:t>:</w:t>
      </w:r>
      <w:r>
        <w:t xml:space="preserve"> We try to put packages together, to have economies of scale, depending on the location and how many we get at a time. We sent a large tranche through recently. Arbitrarily, through those, we will send out to three</w:t>
      </w:r>
      <w:r w:rsidRPr="00EF2502">
        <w:t xml:space="preserve"> </w:t>
      </w:r>
      <w:r>
        <w:t xml:space="preserve">real estate agents. They will put in their tender prices. Their fees are capped, and they can choose to come in under those or not. Out of those three, there is a very short evaluation process within Housing; there is an independent on there as well. Then one sales agent will be awarded the tranche of properties or the package of properties. </w:t>
      </w:r>
      <w:r>
        <w:rPr>
          <w:rStyle w:val="FootnoteReference"/>
        </w:rPr>
        <w:footnoteReference w:id="116"/>
      </w:r>
    </w:p>
    <w:p w14:paraId="11418C48" w14:textId="42C7BB06" w:rsidR="00DA7AAC" w:rsidRDefault="00670416" w:rsidP="00DA7AAC">
      <w:pPr>
        <w:pStyle w:val="BodyText1"/>
        <w:rPr>
          <w:lang w:val="en-US"/>
        </w:rPr>
      </w:pPr>
      <w:r>
        <w:rPr>
          <w:lang w:val="en-US"/>
        </w:rPr>
        <w:t>The Committee was interested in the pace and progress of this program, and the concern expressed about ACT Housing properties remaining vacant, seemingly, for long periods.</w:t>
      </w:r>
    </w:p>
    <w:p w14:paraId="0F78D288" w14:textId="6BA34586" w:rsidR="00670416" w:rsidRDefault="00670416" w:rsidP="00DA7AAC">
      <w:pPr>
        <w:pStyle w:val="BodyText1"/>
        <w:rPr>
          <w:lang w:val="en-US"/>
        </w:rPr>
      </w:pPr>
      <w:r>
        <w:rPr>
          <w:lang w:val="en-US"/>
        </w:rPr>
        <w:t>In the s regard, the Committee was advised:</w:t>
      </w:r>
    </w:p>
    <w:p w14:paraId="3AC83989" w14:textId="1FD145B2" w:rsidR="00670416" w:rsidRDefault="00670416" w:rsidP="00670416">
      <w:pPr>
        <w:pStyle w:val="Quote"/>
      </w:pPr>
      <w:r>
        <w:t>There are 2,700 people on the waiting list. At any given time, we have between 300 and 400 properties that are vacant. Within that vacancy list, some will be undertaking maintenance, some will be for property redevelopment, and some</w:t>
      </w:r>
      <w:r w:rsidRPr="00142AC2">
        <w:t>—</w:t>
      </w:r>
      <w:r>
        <w:t>….about 60 to 70—are available for allocation.</w:t>
      </w:r>
      <w:r>
        <w:rPr>
          <w:rStyle w:val="FootnoteReference"/>
        </w:rPr>
        <w:footnoteReference w:id="117"/>
      </w:r>
    </w:p>
    <w:p w14:paraId="3A6B8572" w14:textId="4E9A878F" w:rsidR="001B2124" w:rsidRPr="00DA7AAC" w:rsidRDefault="001B2124" w:rsidP="001B2124">
      <w:pPr>
        <w:pStyle w:val="Headinglevel4"/>
        <w:rPr>
          <w:lang w:val="en-US"/>
        </w:rPr>
      </w:pPr>
      <w:r>
        <w:t>Committee Recommendations</w:t>
      </w:r>
    </w:p>
    <w:p w14:paraId="32637852" w14:textId="4C211BA8" w:rsidR="006A1C2D" w:rsidRPr="006A1C2D" w:rsidRDefault="00DA7AAC" w:rsidP="006A1C2D">
      <w:pPr>
        <w:pStyle w:val="BodyText1"/>
        <w:rPr>
          <w:lang w:val="en-US"/>
        </w:rPr>
      </w:pPr>
      <w:r>
        <w:rPr>
          <w:lang w:val="en-US"/>
        </w:rPr>
        <w:t xml:space="preserve">The Committee </w:t>
      </w:r>
      <w:r w:rsidR="00670416">
        <w:rPr>
          <w:lang w:val="en-US"/>
        </w:rPr>
        <w:t xml:space="preserve">makes the following </w:t>
      </w:r>
      <w:r>
        <w:rPr>
          <w:lang w:val="en-US"/>
        </w:rPr>
        <w:t xml:space="preserve">Recommendations </w:t>
      </w:r>
      <w:r w:rsidR="00670416">
        <w:rPr>
          <w:lang w:val="en-US"/>
        </w:rPr>
        <w:t>in relation to the matters considered under this chapter of its report.</w:t>
      </w:r>
    </w:p>
    <w:tbl>
      <w:tblPr>
        <w:tblStyle w:val="TableGrid"/>
        <w:tblW w:w="9209" w:type="dxa"/>
        <w:tblInd w:w="-142" w:type="dxa"/>
        <w:tblLook w:val="04A0" w:firstRow="1" w:lastRow="0" w:firstColumn="1" w:lastColumn="0" w:noHBand="0" w:noVBand="1"/>
      </w:tblPr>
      <w:tblGrid>
        <w:gridCol w:w="9209"/>
      </w:tblGrid>
      <w:tr w:rsidR="003B7A40" w14:paraId="155D1677" w14:textId="77777777" w:rsidTr="003B7A40">
        <w:tc>
          <w:tcPr>
            <w:tcW w:w="9209" w:type="dxa"/>
          </w:tcPr>
          <w:p w14:paraId="257E6907" w14:textId="56F3A381" w:rsidR="003B7A40" w:rsidRDefault="006A1C2D" w:rsidP="00391606">
            <w:pPr>
              <w:pStyle w:val="RecommendationHeading"/>
            </w:pPr>
            <w:bookmarkStart w:id="98" w:name="_Toc68848938"/>
            <w:r>
              <w:t>Recom</w:t>
            </w:r>
            <w:r w:rsidR="003B7A40">
              <w:t xml:space="preserve">mendation </w:t>
            </w:r>
            <w:r w:rsidR="003B7A40">
              <w:rPr>
                <w:noProof/>
              </w:rPr>
              <w:fldChar w:fldCharType="begin"/>
            </w:r>
            <w:r w:rsidR="003B7A40">
              <w:rPr>
                <w:noProof/>
              </w:rPr>
              <w:instrText xml:space="preserve"> seq NumList </w:instrText>
            </w:r>
            <w:r w:rsidR="003B7A40">
              <w:rPr>
                <w:noProof/>
              </w:rPr>
              <w:fldChar w:fldCharType="separate"/>
            </w:r>
            <w:r w:rsidR="002A4E14">
              <w:rPr>
                <w:noProof/>
              </w:rPr>
              <w:t>23</w:t>
            </w:r>
            <w:bookmarkEnd w:id="98"/>
            <w:r w:rsidR="003B7A40">
              <w:rPr>
                <w:noProof/>
              </w:rPr>
              <w:fldChar w:fldCharType="end"/>
            </w:r>
          </w:p>
          <w:p w14:paraId="7D8FEBFC" w14:textId="409A9091" w:rsidR="003B7A40" w:rsidRPr="003B7A40" w:rsidRDefault="003B7A40" w:rsidP="003B7A40">
            <w:pPr>
              <w:pStyle w:val="RecommendationText"/>
            </w:pPr>
            <w:bookmarkStart w:id="99" w:name="_Toc68848939"/>
            <w:r>
              <w:t xml:space="preserve">The Committee recommends that the ACT Government continue </w:t>
            </w:r>
            <w:r w:rsidR="00F20ACE">
              <w:t>its</w:t>
            </w:r>
            <w:r>
              <w:t xml:space="preserve"> renew</w:t>
            </w:r>
            <w:r w:rsidR="003C1BDA">
              <w:t>al</w:t>
            </w:r>
            <w:r w:rsidR="00F20ACE">
              <w:t xml:space="preserve"> program </w:t>
            </w:r>
            <w:r w:rsidR="006919F7">
              <w:t>for public</w:t>
            </w:r>
            <w:r>
              <w:t xml:space="preserve"> housing stock</w:t>
            </w:r>
            <w:r w:rsidR="00751124">
              <w:t>s.</w:t>
            </w:r>
            <w:bookmarkEnd w:id="99"/>
            <w:r>
              <w:t xml:space="preserve"> </w:t>
            </w:r>
          </w:p>
        </w:tc>
      </w:tr>
      <w:tr w:rsidR="003B7A40" w14:paraId="0A647D43" w14:textId="77777777" w:rsidTr="003B7A40">
        <w:tc>
          <w:tcPr>
            <w:tcW w:w="9209" w:type="dxa"/>
          </w:tcPr>
          <w:p w14:paraId="3695F247" w14:textId="0150D968" w:rsidR="003B7A40" w:rsidRDefault="003B7A40" w:rsidP="00391606">
            <w:pPr>
              <w:pStyle w:val="RecommendationHeading"/>
            </w:pPr>
            <w:bookmarkStart w:id="100" w:name="_Toc68848940"/>
            <w:r>
              <w:t xml:space="preserve">Recommendation </w:t>
            </w:r>
            <w:r>
              <w:rPr>
                <w:noProof/>
              </w:rPr>
              <w:fldChar w:fldCharType="begin"/>
            </w:r>
            <w:r>
              <w:rPr>
                <w:noProof/>
              </w:rPr>
              <w:instrText xml:space="preserve"> seq NumList </w:instrText>
            </w:r>
            <w:r>
              <w:rPr>
                <w:noProof/>
              </w:rPr>
              <w:fldChar w:fldCharType="separate"/>
            </w:r>
            <w:r w:rsidR="002A4E14">
              <w:rPr>
                <w:noProof/>
              </w:rPr>
              <w:t>24</w:t>
            </w:r>
            <w:bookmarkEnd w:id="100"/>
            <w:r>
              <w:rPr>
                <w:noProof/>
              </w:rPr>
              <w:fldChar w:fldCharType="end"/>
            </w:r>
          </w:p>
          <w:p w14:paraId="317C58B9" w14:textId="45CD1ACE" w:rsidR="003B7A40" w:rsidRPr="003B7A40" w:rsidRDefault="003B7A40" w:rsidP="003B7A40">
            <w:pPr>
              <w:pStyle w:val="RecommendationText"/>
            </w:pPr>
            <w:bookmarkStart w:id="101" w:name="_Toc68848941"/>
            <w:r>
              <w:t xml:space="preserve">The Committee recommends that the ACT </w:t>
            </w:r>
            <w:r w:rsidR="006919F7">
              <w:t>Government investigate</w:t>
            </w:r>
            <w:r>
              <w:t xml:space="preserve"> further sites </w:t>
            </w:r>
            <w:r w:rsidR="00F20ACE">
              <w:t xml:space="preserve">for the </w:t>
            </w:r>
            <w:r>
              <w:t>accommodat</w:t>
            </w:r>
            <w:r w:rsidR="00F20ACE">
              <w:t>ion of</w:t>
            </w:r>
            <w:r>
              <w:t xml:space="preserve"> Common Ground.</w:t>
            </w:r>
            <w:bookmarkEnd w:id="101"/>
            <w:r>
              <w:t xml:space="preserve"> </w:t>
            </w:r>
          </w:p>
        </w:tc>
      </w:tr>
      <w:tr w:rsidR="003B7A40" w14:paraId="31DA8904" w14:textId="77777777" w:rsidTr="003B7A40">
        <w:tc>
          <w:tcPr>
            <w:tcW w:w="9209" w:type="dxa"/>
          </w:tcPr>
          <w:p w14:paraId="10A58954" w14:textId="4807CE75" w:rsidR="003B7A40" w:rsidRDefault="003B7A40" w:rsidP="00391606">
            <w:pPr>
              <w:pStyle w:val="RecommendationHeading"/>
            </w:pPr>
            <w:bookmarkStart w:id="102" w:name="_Toc68848942"/>
            <w:r>
              <w:t xml:space="preserve">Recommendation </w:t>
            </w:r>
            <w:r>
              <w:rPr>
                <w:noProof/>
              </w:rPr>
              <w:fldChar w:fldCharType="begin"/>
            </w:r>
            <w:r>
              <w:rPr>
                <w:noProof/>
              </w:rPr>
              <w:instrText xml:space="preserve"> seq NumList </w:instrText>
            </w:r>
            <w:r>
              <w:rPr>
                <w:noProof/>
              </w:rPr>
              <w:fldChar w:fldCharType="separate"/>
            </w:r>
            <w:r w:rsidR="002A4E14">
              <w:rPr>
                <w:noProof/>
              </w:rPr>
              <w:t>25</w:t>
            </w:r>
            <w:bookmarkEnd w:id="102"/>
            <w:r>
              <w:rPr>
                <w:noProof/>
              </w:rPr>
              <w:fldChar w:fldCharType="end"/>
            </w:r>
          </w:p>
          <w:p w14:paraId="3992051A" w14:textId="115334CE" w:rsidR="003B7A40" w:rsidRPr="003B7A40" w:rsidRDefault="003B7A40" w:rsidP="003B7A40">
            <w:pPr>
              <w:pStyle w:val="RecommendationText"/>
            </w:pPr>
            <w:bookmarkStart w:id="103" w:name="_Toc68848943"/>
            <w:r>
              <w:t xml:space="preserve">The Committee recommends that the ACT Government reassess its </w:t>
            </w:r>
            <w:r w:rsidR="00F20ACE">
              <w:t xml:space="preserve">present </w:t>
            </w:r>
            <w:r>
              <w:t>rental rebate policy to ensure that it is</w:t>
            </w:r>
            <w:r w:rsidR="00F20ACE">
              <w:t xml:space="preserve"> compliant with </w:t>
            </w:r>
            <w:r>
              <w:t>the ACT Government’s Union Encouragement Policy</w:t>
            </w:r>
            <w:r w:rsidR="00391606">
              <w:t>.</w:t>
            </w:r>
            <w:bookmarkEnd w:id="103"/>
          </w:p>
        </w:tc>
      </w:tr>
    </w:tbl>
    <w:p w14:paraId="0B9178A7" w14:textId="77777777" w:rsidR="003B7A40" w:rsidRPr="0020599A" w:rsidRDefault="003B7A40" w:rsidP="003B7A40">
      <w:pPr>
        <w:pStyle w:val="BodyText1"/>
        <w:numPr>
          <w:ilvl w:val="0"/>
          <w:numId w:val="0"/>
        </w:numPr>
        <w:rPr>
          <w:lang w:val="en-US"/>
        </w:rPr>
      </w:pPr>
    </w:p>
    <w:p w14:paraId="42C3A9BE" w14:textId="662B788E" w:rsidR="00842335" w:rsidRPr="005415DE" w:rsidRDefault="00BB0BC8" w:rsidP="005415DE">
      <w:pPr>
        <w:pStyle w:val="Heading1"/>
        <w:numPr>
          <w:ilvl w:val="0"/>
          <w:numId w:val="19"/>
        </w:numPr>
      </w:pPr>
      <w:bookmarkStart w:id="104" w:name="_Toc68848976"/>
      <w:bookmarkEnd w:id="97"/>
      <w:r w:rsidRPr="005415DE">
        <w:t>Prevention of Domestic and Family Violence</w:t>
      </w:r>
      <w:bookmarkEnd w:id="104"/>
    </w:p>
    <w:p w14:paraId="63FB796E" w14:textId="597C973A" w:rsidR="000232E3" w:rsidRPr="00931882" w:rsidRDefault="00842335" w:rsidP="00931882">
      <w:pPr>
        <w:pStyle w:val="BodyText"/>
        <w:numPr>
          <w:ilvl w:val="5"/>
          <w:numId w:val="4"/>
        </w:numPr>
      </w:pPr>
      <w:r w:rsidRPr="001949AF">
        <w:t xml:space="preserve">The Committee heard from the Minister for </w:t>
      </w:r>
      <w:r w:rsidR="00521920">
        <w:t xml:space="preserve">the Prevention of </w:t>
      </w:r>
      <w:r w:rsidR="00E45414">
        <w:t xml:space="preserve">Domestic and Family Violence </w:t>
      </w:r>
      <w:r w:rsidR="000232E3">
        <w:t xml:space="preserve">and </w:t>
      </w:r>
      <w:r>
        <w:t>directorate officials</w:t>
      </w:r>
      <w:r w:rsidR="00034143">
        <w:t xml:space="preserve">, including the </w:t>
      </w:r>
      <w:r w:rsidR="00034143" w:rsidRPr="00931882">
        <w:t>Coordinator General for Family Safety</w:t>
      </w:r>
      <w:r w:rsidR="00034143">
        <w:t xml:space="preserve"> </w:t>
      </w:r>
      <w:r>
        <w:t xml:space="preserve"> </w:t>
      </w:r>
      <w:r w:rsidRPr="001949AF">
        <w:t xml:space="preserve">on </w:t>
      </w:r>
      <w:r w:rsidR="000232E3">
        <w:t>3 March 2021</w:t>
      </w:r>
      <w:r w:rsidR="00034143">
        <w:t xml:space="preserve"> </w:t>
      </w:r>
      <w:r w:rsidRPr="001949AF">
        <w:t xml:space="preserve">to discuss </w:t>
      </w:r>
      <w:r w:rsidR="000232E3">
        <w:t xml:space="preserve">aspects </w:t>
      </w:r>
      <w:r w:rsidRPr="00931882">
        <w:t>of the 201</w:t>
      </w:r>
      <w:r w:rsidR="000232E3" w:rsidRPr="00931882">
        <w:t>9</w:t>
      </w:r>
      <w:r w:rsidRPr="00931882">
        <w:t>–</w:t>
      </w:r>
      <w:r w:rsidR="000232E3" w:rsidRPr="00931882">
        <w:t>20</w:t>
      </w:r>
      <w:r w:rsidRPr="00931882">
        <w:t xml:space="preserve"> </w:t>
      </w:r>
      <w:r w:rsidR="000232E3" w:rsidRPr="00931882">
        <w:t xml:space="preserve">annual </w:t>
      </w:r>
      <w:r w:rsidR="009C1312" w:rsidRPr="00931882">
        <w:t>report</w:t>
      </w:r>
      <w:r w:rsidR="000232E3" w:rsidRPr="00931882">
        <w:t xml:space="preserve"> on Safer Families and the provision in Budget </w:t>
      </w:r>
      <w:r w:rsidR="009C1312" w:rsidRPr="00931882">
        <w:t>Statement</w:t>
      </w:r>
      <w:r w:rsidR="000232E3" w:rsidRPr="00931882">
        <w:t xml:space="preserve"> </w:t>
      </w:r>
      <w:proofErr w:type="spellStart"/>
      <w:r w:rsidR="000232E3" w:rsidRPr="00931882">
        <w:t>G as</w:t>
      </w:r>
      <w:proofErr w:type="spellEnd"/>
      <w:r w:rsidR="000232E3" w:rsidRPr="00931882">
        <w:t xml:space="preserve"> Output 1,5. </w:t>
      </w:r>
    </w:p>
    <w:p w14:paraId="6753C247" w14:textId="3AC4C3EF" w:rsidR="00842335" w:rsidRPr="001949AF" w:rsidRDefault="000232E3" w:rsidP="00931882">
      <w:pPr>
        <w:pStyle w:val="BodyText"/>
        <w:numPr>
          <w:ilvl w:val="5"/>
          <w:numId w:val="4"/>
        </w:numPr>
      </w:pPr>
      <w:r w:rsidRPr="00931882">
        <w:t xml:space="preserve">The Coordinator General for Family Safety provides the </w:t>
      </w:r>
      <w:r w:rsidR="009C1312" w:rsidRPr="00931882">
        <w:t>strategies</w:t>
      </w:r>
      <w:r w:rsidRPr="00931882">
        <w:t xml:space="preserve"> leadership and </w:t>
      </w:r>
      <w:r w:rsidR="009C1312" w:rsidRPr="00931882">
        <w:t>input to</w:t>
      </w:r>
      <w:r w:rsidR="002045E0" w:rsidRPr="00931882">
        <w:t xml:space="preserve"> shape and drive cultural change an</w:t>
      </w:r>
      <w:r w:rsidR="009C1312">
        <w:t>d</w:t>
      </w:r>
      <w:r w:rsidR="002045E0" w:rsidRPr="00931882">
        <w:t xml:space="preserve"> system reform to form whole-of-</w:t>
      </w:r>
      <w:r w:rsidR="009C1312" w:rsidRPr="00931882">
        <w:t>Government</w:t>
      </w:r>
      <w:r w:rsidR="002045E0" w:rsidRPr="00931882">
        <w:t xml:space="preserve"> and whole-of-community capabilities to combat domestic </w:t>
      </w:r>
      <w:r w:rsidR="009C1312">
        <w:t>a</w:t>
      </w:r>
      <w:r w:rsidR="002045E0" w:rsidRPr="00931882">
        <w:t>nd family violence,</w:t>
      </w:r>
      <w:r w:rsidR="00842335" w:rsidRPr="00931882">
        <w:t xml:space="preserve"> </w:t>
      </w:r>
    </w:p>
    <w:p w14:paraId="13CF34D4" w14:textId="23808D63" w:rsidR="00394272" w:rsidRPr="00394272" w:rsidRDefault="00394272" w:rsidP="00394272">
      <w:pPr>
        <w:keepNext/>
        <w:widowControl w:val="0"/>
        <w:spacing w:before="480" w:after="60" w:line="312" w:lineRule="auto"/>
        <w:ind w:left="567"/>
        <w:outlineLvl w:val="2"/>
        <w:rPr>
          <w:rFonts w:ascii="Arial Narrow" w:hAnsi="Arial Narrow" w:cs="Arial"/>
          <w:iCs/>
          <w:smallCaps/>
          <w:spacing w:val="20"/>
          <w:sz w:val="36"/>
          <w:szCs w:val="34"/>
          <w:lang w:val="en-US"/>
        </w:rPr>
      </w:pPr>
      <w:r w:rsidRPr="00394272">
        <w:rPr>
          <w:rFonts w:ascii="Arial Narrow" w:hAnsi="Arial Narrow" w:cs="Arial"/>
          <w:iCs/>
          <w:smallCaps/>
          <w:spacing w:val="20"/>
          <w:sz w:val="36"/>
          <w:szCs w:val="34"/>
          <w:lang w:val="en-US"/>
        </w:rPr>
        <w:t>Matters Discussed</w:t>
      </w:r>
    </w:p>
    <w:p w14:paraId="7BAC0490" w14:textId="77777777" w:rsidR="00394272" w:rsidRPr="00394272" w:rsidRDefault="00394272" w:rsidP="00AF16A7">
      <w:pPr>
        <w:pStyle w:val="BodyText"/>
        <w:numPr>
          <w:ilvl w:val="5"/>
          <w:numId w:val="4"/>
        </w:numPr>
      </w:pPr>
      <w:r w:rsidRPr="00394272">
        <w:t>Matters relating to Safer Families (CSD Output 1.5) that the Committee considered include:</w:t>
      </w:r>
    </w:p>
    <w:p w14:paraId="538CC451" w14:textId="5439BF6B" w:rsidR="00394272" w:rsidRPr="00394272" w:rsidRDefault="00394272" w:rsidP="00AF16A7">
      <w:pPr>
        <w:numPr>
          <w:ilvl w:val="2"/>
          <w:numId w:val="16"/>
        </w:numPr>
        <w:spacing w:before="40" w:after="60" w:line="288" w:lineRule="auto"/>
        <w:rPr>
          <w:szCs w:val="22"/>
          <w:lang w:val="en-US"/>
        </w:rPr>
      </w:pPr>
      <w:r w:rsidRPr="00394272">
        <w:rPr>
          <w:szCs w:val="22"/>
          <w:lang w:val="en-US"/>
        </w:rPr>
        <w:t xml:space="preserve"> ACT Government domestic and family violence training, including: the total number of staff that have been trained, annual funding allocation received for training, whether or not there is a specific group of staff that is targeted, the timeline for training completion, feedback from training participants, an evaluation of the ACT domestic violence training, the timeline and processes involved for frontline service people to get the training;</w:t>
      </w:r>
      <w:r w:rsidRPr="00394272">
        <w:rPr>
          <w:szCs w:val="22"/>
          <w:vertAlign w:val="superscript"/>
          <w:lang w:val="en-US"/>
        </w:rPr>
        <w:footnoteReference w:id="118"/>
      </w:r>
    </w:p>
    <w:p w14:paraId="5A543DED" w14:textId="77777777" w:rsidR="00394272" w:rsidRPr="00394272" w:rsidRDefault="00394272" w:rsidP="00AF16A7">
      <w:pPr>
        <w:numPr>
          <w:ilvl w:val="2"/>
          <w:numId w:val="16"/>
        </w:numPr>
        <w:spacing w:before="40" w:after="60" w:line="288" w:lineRule="auto"/>
        <w:rPr>
          <w:szCs w:val="22"/>
          <w:lang w:val="en-US"/>
        </w:rPr>
      </w:pPr>
      <w:r w:rsidRPr="00394272">
        <w:rPr>
          <w:szCs w:val="22"/>
          <w:lang w:val="en-US"/>
        </w:rPr>
        <w:t xml:space="preserve">identification of the training needs of the frontline workers to support their working with </w:t>
      </w:r>
      <w:proofErr w:type="spellStart"/>
      <w:r w:rsidRPr="00394272">
        <w:rPr>
          <w:szCs w:val="22"/>
          <w:lang w:val="en-US"/>
        </w:rPr>
        <w:t>traumatised</w:t>
      </w:r>
      <w:proofErr w:type="spellEnd"/>
      <w:r w:rsidRPr="00394272">
        <w:rPr>
          <w:szCs w:val="22"/>
          <w:lang w:val="en-US"/>
        </w:rPr>
        <w:t xml:space="preserve"> adults and children;</w:t>
      </w:r>
      <w:r w:rsidRPr="00394272">
        <w:rPr>
          <w:szCs w:val="22"/>
          <w:vertAlign w:val="superscript"/>
          <w:lang w:val="en-US"/>
        </w:rPr>
        <w:footnoteReference w:id="119"/>
      </w:r>
    </w:p>
    <w:p w14:paraId="6CD89984" w14:textId="77777777" w:rsidR="00394272" w:rsidRPr="00394272" w:rsidRDefault="00394272" w:rsidP="00AF16A7">
      <w:pPr>
        <w:numPr>
          <w:ilvl w:val="2"/>
          <w:numId w:val="16"/>
        </w:numPr>
        <w:spacing w:before="40" w:after="60" w:line="288" w:lineRule="auto"/>
        <w:rPr>
          <w:szCs w:val="22"/>
          <w:lang w:val="en-US"/>
        </w:rPr>
      </w:pPr>
      <w:r w:rsidRPr="00394272">
        <w:rPr>
          <w:szCs w:val="22"/>
          <w:lang w:val="en-US"/>
        </w:rPr>
        <w:t xml:space="preserve">ACT </w:t>
      </w:r>
      <w:r w:rsidRPr="00394272">
        <w:rPr>
          <w:szCs w:val="22"/>
        </w:rPr>
        <w:t>government</w:t>
      </w:r>
      <w:r w:rsidRPr="00394272">
        <w:rPr>
          <w:szCs w:val="22"/>
          <w:lang w:val="en-US"/>
        </w:rPr>
        <w:t xml:space="preserve"> domestic violence levy funding allocation and other government’s investment in response to domestic and family violence;</w:t>
      </w:r>
      <w:r w:rsidRPr="00394272">
        <w:rPr>
          <w:szCs w:val="22"/>
          <w:vertAlign w:val="superscript"/>
          <w:lang w:val="en-US"/>
        </w:rPr>
        <w:footnoteReference w:id="120"/>
      </w:r>
      <w:r w:rsidRPr="00394272">
        <w:rPr>
          <w:szCs w:val="22"/>
          <w:lang w:val="en-US"/>
        </w:rPr>
        <w:t xml:space="preserve"> </w:t>
      </w:r>
    </w:p>
    <w:p w14:paraId="4C8656C9" w14:textId="77777777" w:rsidR="00394272" w:rsidRPr="00394272" w:rsidRDefault="00394272" w:rsidP="00AF16A7">
      <w:pPr>
        <w:numPr>
          <w:ilvl w:val="2"/>
          <w:numId w:val="16"/>
        </w:numPr>
        <w:spacing w:before="40" w:after="60" w:line="288" w:lineRule="auto"/>
        <w:rPr>
          <w:szCs w:val="22"/>
          <w:lang w:val="en-US"/>
        </w:rPr>
      </w:pPr>
      <w:r w:rsidRPr="00394272">
        <w:rPr>
          <w:szCs w:val="22"/>
          <w:lang w:val="en-US"/>
        </w:rPr>
        <w:t>access to specific funding for women’s specialist Domestic Violence services who work with children;</w:t>
      </w:r>
      <w:r w:rsidRPr="00394272">
        <w:rPr>
          <w:szCs w:val="22"/>
          <w:vertAlign w:val="superscript"/>
          <w:lang w:val="en-US"/>
        </w:rPr>
        <w:footnoteReference w:id="121"/>
      </w:r>
    </w:p>
    <w:p w14:paraId="58BC4458" w14:textId="77777777" w:rsidR="00394272" w:rsidRPr="00394272" w:rsidRDefault="00394272" w:rsidP="00AF16A7">
      <w:pPr>
        <w:numPr>
          <w:ilvl w:val="2"/>
          <w:numId w:val="16"/>
        </w:numPr>
        <w:spacing w:before="40" w:after="60" w:line="288" w:lineRule="auto"/>
        <w:rPr>
          <w:szCs w:val="22"/>
          <w:lang w:val="en-US"/>
        </w:rPr>
      </w:pPr>
      <w:r w:rsidRPr="00394272">
        <w:rPr>
          <w:szCs w:val="22"/>
          <w:lang w:val="en-US"/>
        </w:rPr>
        <w:t>the development and establishment of an ACT domestic and family violence death review mechanism, including who will be doing the review and case identification process;</w:t>
      </w:r>
      <w:r w:rsidRPr="00394272">
        <w:rPr>
          <w:szCs w:val="22"/>
          <w:vertAlign w:val="superscript"/>
          <w:lang w:val="en-US"/>
        </w:rPr>
        <w:footnoteReference w:id="122"/>
      </w:r>
    </w:p>
    <w:p w14:paraId="4996D051" w14:textId="77777777" w:rsidR="00394272" w:rsidRPr="00394272" w:rsidRDefault="00394272" w:rsidP="00AF16A7">
      <w:pPr>
        <w:numPr>
          <w:ilvl w:val="2"/>
          <w:numId w:val="16"/>
        </w:numPr>
        <w:spacing w:before="40" w:after="60" w:line="288" w:lineRule="auto"/>
        <w:rPr>
          <w:szCs w:val="22"/>
          <w:lang w:val="en-US"/>
        </w:rPr>
      </w:pPr>
      <w:r w:rsidRPr="00394272">
        <w:rPr>
          <w:szCs w:val="22"/>
          <w:lang w:val="en-US"/>
        </w:rPr>
        <w:t>the Commissioner for Victims of Crime and the Coordinator-General for Family Safety’s round table for sector agencies to discuss responses to the increase in domestic and family violence during COVID: the positive feedback and tangible outcomes;</w:t>
      </w:r>
      <w:r w:rsidRPr="00394272">
        <w:rPr>
          <w:szCs w:val="22"/>
          <w:vertAlign w:val="superscript"/>
          <w:lang w:val="en-US"/>
        </w:rPr>
        <w:footnoteReference w:id="123"/>
      </w:r>
    </w:p>
    <w:p w14:paraId="39C27FEE" w14:textId="77777777" w:rsidR="00394272" w:rsidRPr="00394272" w:rsidRDefault="00394272" w:rsidP="00AF16A7">
      <w:pPr>
        <w:numPr>
          <w:ilvl w:val="2"/>
          <w:numId w:val="16"/>
        </w:numPr>
        <w:spacing w:before="40" w:after="60" w:line="288" w:lineRule="auto"/>
        <w:rPr>
          <w:szCs w:val="22"/>
          <w:lang w:val="en-US"/>
        </w:rPr>
      </w:pPr>
      <w:r w:rsidRPr="00394272">
        <w:rPr>
          <w:szCs w:val="22"/>
          <w:lang w:val="en-US"/>
        </w:rPr>
        <w:t xml:space="preserve">the domestic violence risk assessment framework: progress, benefits and </w:t>
      </w:r>
      <w:proofErr w:type="spellStart"/>
      <w:r w:rsidRPr="00394272">
        <w:rPr>
          <w:szCs w:val="22"/>
          <w:lang w:val="en-US"/>
        </w:rPr>
        <w:t>finalisation</w:t>
      </w:r>
      <w:proofErr w:type="spellEnd"/>
      <w:r w:rsidRPr="00394272">
        <w:rPr>
          <w:szCs w:val="22"/>
          <w:lang w:val="en-US"/>
        </w:rPr>
        <w:t xml:space="preserve"> timeline;</w:t>
      </w:r>
      <w:r w:rsidRPr="00394272">
        <w:rPr>
          <w:szCs w:val="22"/>
          <w:vertAlign w:val="superscript"/>
          <w:lang w:val="en-US"/>
        </w:rPr>
        <w:footnoteReference w:id="124"/>
      </w:r>
    </w:p>
    <w:p w14:paraId="75B29264" w14:textId="77777777" w:rsidR="00394272" w:rsidRPr="00394272" w:rsidRDefault="00394272" w:rsidP="00AF16A7">
      <w:pPr>
        <w:numPr>
          <w:ilvl w:val="2"/>
          <w:numId w:val="16"/>
        </w:numPr>
        <w:spacing w:before="40" w:after="60" w:line="288" w:lineRule="auto"/>
        <w:rPr>
          <w:szCs w:val="22"/>
          <w:lang w:val="en-US"/>
        </w:rPr>
      </w:pPr>
      <w:r w:rsidRPr="00394272">
        <w:rPr>
          <w:szCs w:val="22"/>
          <w:lang w:val="en-US"/>
        </w:rPr>
        <w:t>the Room4Change program: program overview, program evaluation process and progress, the flexible length of the program, accommodation capacity.</w:t>
      </w:r>
      <w:r w:rsidRPr="00394272">
        <w:rPr>
          <w:szCs w:val="22"/>
          <w:vertAlign w:val="superscript"/>
          <w:lang w:val="en-US"/>
        </w:rPr>
        <w:footnoteReference w:id="125"/>
      </w:r>
    </w:p>
    <w:p w14:paraId="4118668C" w14:textId="2CDAAA39" w:rsidR="00521920" w:rsidRDefault="00521920" w:rsidP="00745448">
      <w:pPr>
        <w:pStyle w:val="Headinglevel4"/>
        <w:rPr>
          <w:lang w:eastAsia="en-AU"/>
        </w:rPr>
      </w:pPr>
      <w:r w:rsidRPr="00521920">
        <w:rPr>
          <w:lang w:eastAsia="en-AU"/>
        </w:rPr>
        <w:t xml:space="preserve">Questions </w:t>
      </w:r>
    </w:p>
    <w:p w14:paraId="459C65D8" w14:textId="0DBDB007" w:rsidR="00745448" w:rsidRPr="006372D8" w:rsidRDefault="00745448" w:rsidP="00745448">
      <w:pPr>
        <w:pStyle w:val="BodyText1"/>
        <w:rPr>
          <w:b/>
          <w:bCs/>
          <w:color w:val="000000"/>
          <w:lang w:eastAsia="en-AU"/>
        </w:rPr>
      </w:pPr>
      <w:proofErr w:type="spellStart"/>
      <w:r>
        <w:t>QToNs</w:t>
      </w:r>
      <w:proofErr w:type="spellEnd"/>
      <w:r>
        <w:t xml:space="preserve"> and </w:t>
      </w:r>
      <w:proofErr w:type="spellStart"/>
      <w:r>
        <w:t>QoNs</w:t>
      </w:r>
      <w:proofErr w:type="spellEnd"/>
      <w:r>
        <w:t xml:space="preserve"> which were asked as a result of the Committee’s inquiry </w:t>
      </w:r>
      <w:r w:rsidRPr="006372D8">
        <w:rPr>
          <w:b/>
          <w:bCs/>
        </w:rPr>
        <w:t>are at Appendi</w:t>
      </w:r>
      <w:r>
        <w:rPr>
          <w:b/>
          <w:bCs/>
        </w:rPr>
        <w:t>c</w:t>
      </w:r>
      <w:r w:rsidRPr="006372D8">
        <w:rPr>
          <w:b/>
          <w:bCs/>
        </w:rPr>
        <w:t>es C and D.</w:t>
      </w:r>
    </w:p>
    <w:p w14:paraId="1BFBE50A" w14:textId="77777777" w:rsidR="00745448" w:rsidRDefault="00745448" w:rsidP="00745448">
      <w:pPr>
        <w:pStyle w:val="Headinglevel3"/>
        <w:rPr>
          <w:bdr w:val="nil"/>
        </w:rPr>
      </w:pPr>
      <w:r>
        <w:rPr>
          <w:bdr w:val="nil"/>
        </w:rPr>
        <w:t>Committee Observations and Comment</w:t>
      </w:r>
    </w:p>
    <w:p w14:paraId="298E74BF" w14:textId="77777777" w:rsidR="00745448" w:rsidRDefault="00745448" w:rsidP="00745448">
      <w:pPr>
        <w:pStyle w:val="BodyText1"/>
      </w:pPr>
      <w:r>
        <w:t>The Committee makes the following observations and comment on a number of issues which were subject of inquiry:</w:t>
      </w:r>
    </w:p>
    <w:p w14:paraId="4BB17A23" w14:textId="38BDD6D1" w:rsidR="006928DE" w:rsidRDefault="006928DE" w:rsidP="006928DE">
      <w:pPr>
        <w:pStyle w:val="Headinglevel4"/>
        <w:rPr>
          <w:lang w:val="en-US"/>
        </w:rPr>
      </w:pPr>
      <w:r w:rsidRPr="00394272">
        <w:rPr>
          <w:lang w:val="en-US"/>
        </w:rPr>
        <w:t xml:space="preserve">ACT </w:t>
      </w:r>
      <w:r w:rsidRPr="00394272">
        <w:t>government</w:t>
      </w:r>
      <w:r w:rsidRPr="00394272">
        <w:rPr>
          <w:lang w:val="en-US"/>
        </w:rPr>
        <w:t xml:space="preserve"> domestic violence levy funding allocation</w:t>
      </w:r>
    </w:p>
    <w:p w14:paraId="65E6F1C8" w14:textId="6BD6ECC2" w:rsidR="006928DE" w:rsidRDefault="006928DE" w:rsidP="006928DE">
      <w:pPr>
        <w:pStyle w:val="BodyText1"/>
        <w:rPr>
          <w:lang w:val="en-US"/>
        </w:rPr>
      </w:pPr>
      <w:r>
        <w:rPr>
          <w:lang w:val="en-US"/>
        </w:rPr>
        <w:t xml:space="preserve">The Committee has a continuing interest in the allocation of the funds available </w:t>
      </w:r>
      <w:r w:rsidR="003C1BDA">
        <w:rPr>
          <w:lang w:val="en-US"/>
        </w:rPr>
        <w:t>from</w:t>
      </w:r>
      <w:r>
        <w:rPr>
          <w:lang w:val="en-US"/>
        </w:rPr>
        <w:t xml:space="preserve"> the Domestic Violence Levy.  The Committee was told the sum is –</w:t>
      </w:r>
      <w:r w:rsidR="00EB55C1">
        <w:rPr>
          <w:lang w:val="en-US"/>
        </w:rPr>
        <w:t xml:space="preserve">as </w:t>
      </w:r>
      <w:r w:rsidR="006919F7">
        <w:rPr>
          <w:lang w:val="en-US"/>
        </w:rPr>
        <w:t>provided in</w:t>
      </w:r>
      <w:r>
        <w:rPr>
          <w:lang w:val="en-US"/>
        </w:rPr>
        <w:t xml:space="preserve"> the current budget – some $5 million.</w:t>
      </w:r>
    </w:p>
    <w:p w14:paraId="23A2E86F" w14:textId="321947E5" w:rsidR="006928DE" w:rsidRDefault="006928DE" w:rsidP="006928DE">
      <w:pPr>
        <w:pStyle w:val="BodyText1"/>
        <w:rPr>
          <w:lang w:val="en-US"/>
        </w:rPr>
      </w:pPr>
      <w:r>
        <w:rPr>
          <w:lang w:val="en-US"/>
        </w:rPr>
        <w:t>Advice to the Committee was that:</w:t>
      </w:r>
    </w:p>
    <w:p w14:paraId="29A836A9" w14:textId="0C376B64" w:rsidR="006928DE" w:rsidRDefault="006928DE" w:rsidP="00A97640">
      <w:pPr>
        <w:pStyle w:val="Quote"/>
      </w:pPr>
      <w:r>
        <w:t xml:space="preserve">The levy goes to a range of preventive and supportive approaches, when it comes to domestic and family violence, but it also investigates different kinds of ways that we can meet the needs of our community. Training is one of them. The training is about raising awareness, and that is important, so that we can understand it even better and support people even better. </w:t>
      </w:r>
    </w:p>
    <w:p w14:paraId="51870EFC" w14:textId="424A6B6C" w:rsidR="006928DE" w:rsidRDefault="006928DE" w:rsidP="00A97640">
      <w:pPr>
        <w:pStyle w:val="Quote"/>
      </w:pPr>
      <w:r>
        <w:t xml:space="preserve">Hearing from young people about their experiences and understanding what their needs are is important. They have not been engaged in a conversation like this before. That is why we worked with the commissioner to hear from young people so that we could say, “Okay, what are the needs of young people? How can we address that best?” This is by working with experts in the sector, rather than assuming that we know what those people are experiencing and what their needs are. </w:t>
      </w:r>
    </w:p>
    <w:p w14:paraId="00D314DB" w14:textId="6F1CD82B" w:rsidR="006928DE" w:rsidRDefault="006928DE" w:rsidP="00A97640">
      <w:pPr>
        <w:pStyle w:val="Quote"/>
      </w:pPr>
      <w:r>
        <w:t>And</w:t>
      </w:r>
    </w:p>
    <w:p w14:paraId="24AE40FB" w14:textId="77777777" w:rsidR="006928DE" w:rsidRDefault="006928DE" w:rsidP="00A97640">
      <w:pPr>
        <w:pStyle w:val="Quote"/>
      </w:pPr>
      <w:r>
        <w:t xml:space="preserve">the levy is only one part of the government’s investment in response to domestic and family violence. There are a range of services that are funded outside the levy that work with families, that work with children and that do a lot of the work in responding to people’s needs. The levy provides additional funding above and beyond those core services. </w:t>
      </w:r>
    </w:p>
    <w:p w14:paraId="4BFFA44B" w14:textId="77777777" w:rsidR="006928DE" w:rsidRDefault="006928DE" w:rsidP="00A97640">
      <w:pPr>
        <w:pStyle w:val="Quote"/>
      </w:pPr>
    </w:p>
    <w:p w14:paraId="294EAA30" w14:textId="20B19147" w:rsidR="006928DE" w:rsidRDefault="006928DE" w:rsidP="00A97640">
      <w:pPr>
        <w:pStyle w:val="Quote"/>
      </w:pPr>
      <w:r>
        <w:t xml:space="preserve">As the minister said, it funds a diverse range of initiatives. It provides funding for frontline services. It provides funding for Safer Families grants that go directly to people experiencing domestic and family violence. It provides really important funding that is about how we reform and change responses to domestic and family violence. As the minister said, our understanding of this continues to evolve. We have worked really hard in family safety in the ACT to hear directly from people’s lived experience, both adults—a diverse range of adults as well—and children and young people, to ensure that we are able to reshape the responses so that they meet their needs. </w:t>
      </w:r>
      <w:r w:rsidR="00EB55C1">
        <w:rPr>
          <w:rStyle w:val="FootnoteReference"/>
        </w:rPr>
        <w:footnoteReference w:id="126"/>
      </w:r>
    </w:p>
    <w:p w14:paraId="588242FB" w14:textId="77777777" w:rsidR="006928DE" w:rsidRDefault="006928DE" w:rsidP="00A97640">
      <w:pPr>
        <w:pStyle w:val="Quote"/>
      </w:pPr>
    </w:p>
    <w:p w14:paraId="606C5515" w14:textId="2940315D" w:rsidR="007D404D" w:rsidRDefault="005877C3" w:rsidP="006928DE">
      <w:pPr>
        <w:pStyle w:val="BodyText1"/>
        <w:rPr>
          <w:lang w:val="en-US"/>
        </w:rPr>
      </w:pPr>
      <w:r>
        <w:rPr>
          <w:lang w:val="en-US"/>
        </w:rPr>
        <w:t xml:space="preserve">The Committee considers updated </w:t>
      </w:r>
      <w:r w:rsidR="00EB55C1">
        <w:rPr>
          <w:lang w:val="en-US"/>
        </w:rPr>
        <w:t xml:space="preserve">information on the Levy and its funding is an important element in accountability </w:t>
      </w:r>
      <w:r w:rsidR="007D404D">
        <w:rPr>
          <w:lang w:val="en-US"/>
        </w:rPr>
        <w:t xml:space="preserve">for ACT Domestic and Family Violence programs.  </w:t>
      </w:r>
    </w:p>
    <w:tbl>
      <w:tblPr>
        <w:tblStyle w:val="TableGrid"/>
        <w:tblW w:w="9209" w:type="dxa"/>
        <w:tblInd w:w="-142" w:type="dxa"/>
        <w:tblLook w:val="04A0" w:firstRow="1" w:lastRow="0" w:firstColumn="1" w:lastColumn="0" w:noHBand="0" w:noVBand="1"/>
      </w:tblPr>
      <w:tblGrid>
        <w:gridCol w:w="9209"/>
      </w:tblGrid>
      <w:tr w:rsidR="00266F38" w14:paraId="03647A53" w14:textId="77777777" w:rsidTr="00665195">
        <w:tc>
          <w:tcPr>
            <w:tcW w:w="9209" w:type="dxa"/>
          </w:tcPr>
          <w:p w14:paraId="5B47601E" w14:textId="36385B30" w:rsidR="00266F38" w:rsidRDefault="00266F38" w:rsidP="00665195">
            <w:pPr>
              <w:pStyle w:val="RecommendationHeading"/>
            </w:pPr>
            <w:bookmarkStart w:id="105" w:name="_Toc68848944"/>
            <w:r>
              <w:t xml:space="preserve">Recommendation </w:t>
            </w:r>
            <w:r>
              <w:rPr>
                <w:noProof/>
              </w:rPr>
              <w:fldChar w:fldCharType="begin"/>
            </w:r>
            <w:r>
              <w:rPr>
                <w:noProof/>
              </w:rPr>
              <w:instrText xml:space="preserve"> seq NumList </w:instrText>
            </w:r>
            <w:r>
              <w:rPr>
                <w:noProof/>
              </w:rPr>
              <w:fldChar w:fldCharType="separate"/>
            </w:r>
            <w:r w:rsidR="002A4E14">
              <w:rPr>
                <w:noProof/>
              </w:rPr>
              <w:t>26</w:t>
            </w:r>
            <w:bookmarkEnd w:id="105"/>
            <w:r>
              <w:rPr>
                <w:noProof/>
              </w:rPr>
              <w:fldChar w:fldCharType="end"/>
            </w:r>
          </w:p>
          <w:p w14:paraId="5C3F4C71" w14:textId="2DEC1D26" w:rsidR="00266F38" w:rsidRPr="003B7A40" w:rsidRDefault="00266F38" w:rsidP="00665195">
            <w:pPr>
              <w:pStyle w:val="RecommendationText"/>
            </w:pPr>
            <w:bookmarkStart w:id="106" w:name="_Toc68848945"/>
            <w:r>
              <w:t>The Committee recommends that</w:t>
            </w:r>
            <w:r w:rsidR="00A02FEE">
              <w:t>,</w:t>
            </w:r>
            <w:r>
              <w:t xml:space="preserve"> </w:t>
            </w:r>
            <w:r w:rsidR="00A02FEE">
              <w:rPr>
                <w:lang w:val="en-US"/>
              </w:rPr>
              <w:t xml:space="preserve">when provided in future publication of such spending, </w:t>
            </w:r>
            <w:r>
              <w:t xml:space="preserve"> </w:t>
            </w:r>
            <w:r w:rsidR="00A02FEE">
              <w:t xml:space="preserve">information </w:t>
            </w:r>
            <w:r>
              <w:t xml:space="preserve">on </w:t>
            </w:r>
            <w:r w:rsidR="00A02FEE">
              <w:t>the breakdown of</w:t>
            </w:r>
            <w:r>
              <w:t xml:space="preserve"> expenditure from the </w:t>
            </w:r>
            <w:r w:rsidR="00A02FEE">
              <w:t>D</w:t>
            </w:r>
            <w:proofErr w:type="spellStart"/>
            <w:r w:rsidRPr="00394272">
              <w:rPr>
                <w:lang w:val="en-US"/>
              </w:rPr>
              <w:t>omestic</w:t>
            </w:r>
            <w:proofErr w:type="spellEnd"/>
            <w:r w:rsidRPr="00394272">
              <w:rPr>
                <w:lang w:val="en-US"/>
              </w:rPr>
              <w:t xml:space="preserve"> </w:t>
            </w:r>
            <w:r w:rsidR="00A02FEE">
              <w:rPr>
                <w:lang w:val="en-US"/>
              </w:rPr>
              <w:t>V</w:t>
            </w:r>
            <w:r w:rsidRPr="00394272">
              <w:rPr>
                <w:lang w:val="en-US"/>
              </w:rPr>
              <w:t xml:space="preserve">iolence </w:t>
            </w:r>
            <w:r w:rsidR="00A02FEE">
              <w:rPr>
                <w:lang w:val="en-US"/>
              </w:rPr>
              <w:t>L</w:t>
            </w:r>
            <w:r w:rsidRPr="00394272">
              <w:rPr>
                <w:lang w:val="en-US"/>
              </w:rPr>
              <w:t xml:space="preserve">evy </w:t>
            </w:r>
            <w:r w:rsidR="00A02FEE">
              <w:rPr>
                <w:lang w:val="en-US"/>
              </w:rPr>
              <w:t xml:space="preserve">be provided not only as a </w:t>
            </w:r>
            <w:r>
              <w:rPr>
                <w:lang w:val="en-US"/>
              </w:rPr>
              <w:t>global s</w:t>
            </w:r>
            <w:r w:rsidR="00A02FEE">
              <w:rPr>
                <w:lang w:val="en-US"/>
              </w:rPr>
              <w:t>pend from the Fund</w:t>
            </w:r>
            <w:r>
              <w:rPr>
                <w:lang w:val="en-US"/>
              </w:rPr>
              <w:t xml:space="preserve">, but </w:t>
            </w:r>
            <w:r w:rsidR="00A02FEE">
              <w:rPr>
                <w:lang w:val="en-US"/>
              </w:rPr>
              <w:t xml:space="preserve">as a detailed breakdown of the </w:t>
            </w:r>
            <w:r>
              <w:rPr>
                <w:lang w:val="en-US"/>
              </w:rPr>
              <w:t>allocation of funds</w:t>
            </w:r>
            <w:r w:rsidR="00A02FEE">
              <w:rPr>
                <w:lang w:val="en-US"/>
              </w:rPr>
              <w:t>.</w:t>
            </w:r>
            <w:bookmarkEnd w:id="106"/>
          </w:p>
        </w:tc>
      </w:tr>
    </w:tbl>
    <w:p w14:paraId="59E744C1" w14:textId="05AF6EDD" w:rsidR="006928DE" w:rsidRPr="006928DE" w:rsidRDefault="006928DE" w:rsidP="006928DE">
      <w:pPr>
        <w:pStyle w:val="Headinglevel4"/>
      </w:pPr>
      <w:r w:rsidRPr="00394272">
        <w:rPr>
          <w:lang w:val="en-US"/>
        </w:rPr>
        <w:t>ACT domestic and family violence death review mechanism</w:t>
      </w:r>
    </w:p>
    <w:p w14:paraId="3375ECC8" w14:textId="2C187C57" w:rsidR="006928DE" w:rsidRDefault="00C43664" w:rsidP="006928DE">
      <w:pPr>
        <w:pStyle w:val="BodyText1"/>
      </w:pPr>
      <w:r>
        <w:t>The Committee was advised that:</w:t>
      </w:r>
    </w:p>
    <w:p w14:paraId="764D3802" w14:textId="544C6A34" w:rsidR="00C43664" w:rsidRDefault="00C43664" w:rsidP="00C43664">
      <w:pPr>
        <w:pStyle w:val="Quote"/>
      </w:pPr>
      <w:r>
        <w:t xml:space="preserve">This is important work in order to understand more clearly how we can respond to domestic and family </w:t>
      </w:r>
      <w:r w:rsidR="003C1BDA">
        <w:t>violence and</w:t>
      </w:r>
      <w:r>
        <w:t xml:space="preserve"> understand where domestic and family violence might occur and is not identified, when a person’s life is taken. That death review work is really important. </w:t>
      </w:r>
    </w:p>
    <w:p w14:paraId="2EA8D8E4" w14:textId="61B35035" w:rsidR="00C43664" w:rsidRDefault="00C43664" w:rsidP="00C43664">
      <w:pPr>
        <w:pStyle w:val="Quote"/>
      </w:pPr>
      <w:r>
        <w:t>And</w:t>
      </w:r>
    </w:p>
    <w:p w14:paraId="0B6A9B0B" w14:textId="00CC4D3D" w:rsidR="00C43664" w:rsidRDefault="00C43664" w:rsidP="00C43664">
      <w:pPr>
        <w:pStyle w:val="Quote"/>
      </w:pPr>
      <w:r>
        <w:t xml:space="preserve">The domestic and family violence death review is currently being constructed. There is funding for that. At the moment we are looking at what the model might look like. It is anticipated that that will go through to law reform, to legislation in the next sitting period, and the death review will then be up and established. </w:t>
      </w:r>
    </w:p>
    <w:p w14:paraId="5F9A080B" w14:textId="77777777" w:rsidR="00C43664" w:rsidRDefault="00C43664" w:rsidP="00C43664">
      <w:pPr>
        <w:pStyle w:val="Quote"/>
      </w:pPr>
      <w:r>
        <w:t xml:space="preserve">All of the other jurisdictions have a death review, so it is great that the ACT is about to get one. It will really help, and it is part of the integrated system and response to domestic and family violence in the ACT. It will help us to understand any systemic issues that arise and to have reform. </w:t>
      </w:r>
    </w:p>
    <w:p w14:paraId="33337360" w14:textId="77777777" w:rsidR="00C43664" w:rsidRDefault="00C43664" w:rsidP="00C43664">
      <w:pPr>
        <w:pStyle w:val="Quote"/>
      </w:pPr>
    </w:p>
    <w:p w14:paraId="57DDFA7F" w14:textId="6A19A3DF" w:rsidR="00C43664" w:rsidRDefault="00C43664" w:rsidP="00C43664">
      <w:pPr>
        <w:pStyle w:val="Quote"/>
      </w:pPr>
      <w:r>
        <w:t>Although it does look at individual cases, the intention is that it will look not only at deaths but also at near deaths, suicides, accidents and other incidents that lead to death or near death where there is domestic and family violence. Once it is established then it is likely that it will have an expert reference group, which will comprise lots of experts from various places in the community and government with specific expertise in domestic and family violence.</w:t>
      </w:r>
      <w:r w:rsidR="00A05AAD">
        <w:rPr>
          <w:rStyle w:val="FootnoteReference"/>
        </w:rPr>
        <w:footnoteReference w:id="127"/>
      </w:r>
    </w:p>
    <w:p w14:paraId="4266DDC3" w14:textId="495A57C6" w:rsidR="00C43664" w:rsidRDefault="00C43664" w:rsidP="006928DE">
      <w:pPr>
        <w:pStyle w:val="BodyText1"/>
      </w:pPr>
      <w:r>
        <w:t>The Committee was also advised that, in relation to</w:t>
      </w:r>
      <w:r w:rsidR="00A05AAD">
        <w:t xml:space="preserve"> the agency or responsibility body which might conduct such reviews, that </w:t>
      </w:r>
    </w:p>
    <w:p w14:paraId="29E63081" w14:textId="236F3FE8" w:rsidR="00A05AAD" w:rsidRDefault="00A05AAD" w:rsidP="00CC326C">
      <w:pPr>
        <w:pStyle w:val="Quote"/>
      </w:pPr>
      <w:r>
        <w:t>At the moment the intention is that it be put with the coordinator-general position, so that it will be in the office. At the moment I am the Coordinator-General, Family Safety, so it would be in this office. The intention is that the expert advisory group would be there for two years. The reason for putting it here is that it has synergies with the other work that the office is doing. For example, with the common risk assessment framework, the domestic violence training and the integrated response model that the office is working on at the moment, all of those things feed together with the death review, and it is important that they underpin it.</w:t>
      </w:r>
      <w:r w:rsidR="00CC326C">
        <w:rPr>
          <w:rStyle w:val="FootnoteReference"/>
        </w:rPr>
        <w:footnoteReference w:id="128"/>
      </w:r>
    </w:p>
    <w:p w14:paraId="20571D12" w14:textId="4BAC4DD0" w:rsidR="00A05AAD" w:rsidRDefault="00A05AAD" w:rsidP="006928DE">
      <w:pPr>
        <w:pStyle w:val="BodyText1"/>
      </w:pPr>
      <w:r>
        <w:t>In addition, the Committee was advi</w:t>
      </w:r>
      <w:r w:rsidR="00E73B90">
        <w:t>sed</w:t>
      </w:r>
      <w:r>
        <w:t xml:space="preserve"> that identifying cases which might be subject of review will involve assessment of information provided to any review body.  So:</w:t>
      </w:r>
    </w:p>
    <w:p w14:paraId="46B1229C" w14:textId="72916633" w:rsidR="00A05AAD" w:rsidRDefault="00A05AAD" w:rsidP="00CC326C">
      <w:pPr>
        <w:pStyle w:val="Quote"/>
      </w:pPr>
      <w:r>
        <w:t xml:space="preserve"> It will not specify particular people or organisations who can feed that into the DFV death review. It could be from a member of the community or from the family; it could be from an agency. For example, if the emergency department at one of the hospitals becomes aware of something, they might refer it. It might be one of the specialist domestic violence agencies or one of the other service providers in the community. It could be the </w:t>
      </w:r>
      <w:r w:rsidR="003C1BDA">
        <w:t>schools,</w:t>
      </w:r>
      <w:r>
        <w:t xml:space="preserve"> or it could be the police. There are a range of places from where the information might come to the death review; then the death review would make a decision on whether it was something that should be part of the review. </w:t>
      </w:r>
      <w:r w:rsidR="00CC326C">
        <w:rPr>
          <w:rStyle w:val="FootnoteReference"/>
        </w:rPr>
        <w:footnoteReference w:id="129"/>
      </w:r>
    </w:p>
    <w:p w14:paraId="53C7634A" w14:textId="5CF5B704" w:rsidR="00A05AAD" w:rsidRPr="006928DE" w:rsidRDefault="00AB7DA5" w:rsidP="00AB7DA5">
      <w:pPr>
        <w:pStyle w:val="Headinglevel4"/>
      </w:pPr>
      <w:r>
        <w:t>Committee recommendations</w:t>
      </w:r>
    </w:p>
    <w:tbl>
      <w:tblPr>
        <w:tblStyle w:val="TableGrid"/>
        <w:tblW w:w="9209" w:type="dxa"/>
        <w:tblInd w:w="-142" w:type="dxa"/>
        <w:tblLook w:val="04A0" w:firstRow="1" w:lastRow="0" w:firstColumn="1" w:lastColumn="0" w:noHBand="0" w:noVBand="1"/>
      </w:tblPr>
      <w:tblGrid>
        <w:gridCol w:w="9209"/>
      </w:tblGrid>
      <w:tr w:rsidR="003B7A40" w14:paraId="4449EF1F" w14:textId="77777777" w:rsidTr="00266F38">
        <w:tc>
          <w:tcPr>
            <w:tcW w:w="9209" w:type="dxa"/>
          </w:tcPr>
          <w:p w14:paraId="16737618" w14:textId="7A36EC94" w:rsidR="003B7A40" w:rsidRDefault="003B7A40" w:rsidP="00391606">
            <w:pPr>
              <w:pStyle w:val="RecommendationHeading"/>
            </w:pPr>
            <w:bookmarkStart w:id="107" w:name="_Toc68848946"/>
            <w:r>
              <w:t xml:space="preserve">Recommendation </w:t>
            </w:r>
            <w:r>
              <w:rPr>
                <w:noProof/>
              </w:rPr>
              <w:fldChar w:fldCharType="begin"/>
            </w:r>
            <w:r>
              <w:rPr>
                <w:noProof/>
              </w:rPr>
              <w:instrText xml:space="preserve"> seq NumList </w:instrText>
            </w:r>
            <w:r>
              <w:rPr>
                <w:noProof/>
              </w:rPr>
              <w:fldChar w:fldCharType="separate"/>
            </w:r>
            <w:r w:rsidR="002A4E14">
              <w:rPr>
                <w:noProof/>
              </w:rPr>
              <w:t>27</w:t>
            </w:r>
            <w:bookmarkEnd w:id="107"/>
            <w:r>
              <w:rPr>
                <w:noProof/>
              </w:rPr>
              <w:fldChar w:fldCharType="end"/>
            </w:r>
          </w:p>
          <w:p w14:paraId="66862BC4" w14:textId="1FA783F1" w:rsidR="003B7A40" w:rsidRPr="003B7A40" w:rsidRDefault="003B7A40" w:rsidP="003B7A40">
            <w:pPr>
              <w:pStyle w:val="RecommendationText"/>
            </w:pPr>
            <w:bookmarkStart w:id="108" w:name="_Toc68848947"/>
            <w:r>
              <w:t xml:space="preserve">That </w:t>
            </w:r>
            <w:r w:rsidR="008C56A4">
              <w:t>p</w:t>
            </w:r>
            <w:r>
              <w:t>art of the family safety levy should fund special children’s counsellor</w:t>
            </w:r>
            <w:r w:rsidR="008C56A4">
              <w:t>s</w:t>
            </w:r>
            <w:r>
              <w:t xml:space="preserve"> to support children who are victims of domestic violence.</w:t>
            </w:r>
            <w:bookmarkEnd w:id="108"/>
            <w:r>
              <w:t xml:space="preserve"> </w:t>
            </w:r>
          </w:p>
        </w:tc>
      </w:tr>
      <w:tr w:rsidR="003B7A40" w14:paraId="584A70FF" w14:textId="77777777" w:rsidTr="00266F38">
        <w:tc>
          <w:tcPr>
            <w:tcW w:w="9209" w:type="dxa"/>
          </w:tcPr>
          <w:p w14:paraId="53D5C3C3" w14:textId="43F74CF1" w:rsidR="003B7A40" w:rsidRDefault="003B7A40" w:rsidP="00391606">
            <w:pPr>
              <w:pStyle w:val="RecommendationHeading"/>
            </w:pPr>
            <w:bookmarkStart w:id="109" w:name="_Toc68848948"/>
            <w:r>
              <w:t xml:space="preserve">Recommendation </w:t>
            </w:r>
            <w:r>
              <w:rPr>
                <w:noProof/>
              </w:rPr>
              <w:fldChar w:fldCharType="begin"/>
            </w:r>
            <w:r>
              <w:rPr>
                <w:noProof/>
              </w:rPr>
              <w:instrText xml:space="preserve"> seq NumList </w:instrText>
            </w:r>
            <w:r>
              <w:rPr>
                <w:noProof/>
              </w:rPr>
              <w:fldChar w:fldCharType="separate"/>
            </w:r>
            <w:r w:rsidR="002A4E14">
              <w:rPr>
                <w:noProof/>
              </w:rPr>
              <w:t>28</w:t>
            </w:r>
            <w:bookmarkEnd w:id="109"/>
            <w:r>
              <w:rPr>
                <w:noProof/>
              </w:rPr>
              <w:fldChar w:fldCharType="end"/>
            </w:r>
          </w:p>
          <w:p w14:paraId="4AC3E58F" w14:textId="609785C9" w:rsidR="003B7A40" w:rsidRPr="003B7A40" w:rsidRDefault="003B7A40" w:rsidP="00391606">
            <w:pPr>
              <w:pStyle w:val="RecommendationText"/>
            </w:pPr>
            <w:bookmarkStart w:id="110" w:name="_Toc68848949"/>
            <w:r>
              <w:t xml:space="preserve">That the Legislative Assembly be given quarterly updates on how many new ACT Government employees receive </w:t>
            </w:r>
            <w:r w:rsidR="008D3099">
              <w:t>T</w:t>
            </w:r>
            <w:r>
              <w:t xml:space="preserve">ier </w:t>
            </w:r>
            <w:r w:rsidR="008D3099">
              <w:t>1</w:t>
            </w:r>
            <w:r>
              <w:t xml:space="preserve"> or </w:t>
            </w:r>
            <w:r w:rsidR="008D3099">
              <w:t>T</w:t>
            </w:r>
            <w:r>
              <w:t xml:space="preserve">ier </w:t>
            </w:r>
            <w:r w:rsidR="008D3099">
              <w:t>2</w:t>
            </w:r>
            <w:r>
              <w:t xml:space="preserve"> training</w:t>
            </w:r>
            <w:r w:rsidR="009020E8">
              <w:t>.</w:t>
            </w:r>
            <w:bookmarkEnd w:id="110"/>
          </w:p>
        </w:tc>
      </w:tr>
      <w:tr w:rsidR="003B7A40" w14:paraId="40DF861D" w14:textId="77777777" w:rsidTr="00266F38">
        <w:tc>
          <w:tcPr>
            <w:tcW w:w="9209" w:type="dxa"/>
          </w:tcPr>
          <w:p w14:paraId="02FB8A82" w14:textId="66CD3E5E" w:rsidR="003B7A40" w:rsidRDefault="003B7A40" w:rsidP="00391606">
            <w:pPr>
              <w:pStyle w:val="RecommendationHeading"/>
            </w:pPr>
            <w:bookmarkStart w:id="111" w:name="_Toc68848950"/>
            <w:r>
              <w:t xml:space="preserve">Recommendation </w:t>
            </w:r>
            <w:r>
              <w:rPr>
                <w:noProof/>
              </w:rPr>
              <w:fldChar w:fldCharType="begin"/>
            </w:r>
            <w:r>
              <w:rPr>
                <w:noProof/>
              </w:rPr>
              <w:instrText xml:space="preserve"> seq NumList </w:instrText>
            </w:r>
            <w:r>
              <w:rPr>
                <w:noProof/>
              </w:rPr>
              <w:fldChar w:fldCharType="separate"/>
            </w:r>
            <w:r w:rsidR="002A4E14">
              <w:rPr>
                <w:noProof/>
              </w:rPr>
              <w:t>29</w:t>
            </w:r>
            <w:bookmarkEnd w:id="111"/>
            <w:r>
              <w:rPr>
                <w:noProof/>
              </w:rPr>
              <w:fldChar w:fldCharType="end"/>
            </w:r>
          </w:p>
          <w:p w14:paraId="06FD5CD8" w14:textId="75AB792C" w:rsidR="003B7A40" w:rsidRPr="003B7A40" w:rsidRDefault="003B7A40" w:rsidP="003B7A40">
            <w:pPr>
              <w:pStyle w:val="RecommendationText"/>
            </w:pPr>
            <w:bookmarkStart w:id="112" w:name="_Toc68848951"/>
            <w:r>
              <w:t xml:space="preserve">That evaluation for the Room4Change program be provided </w:t>
            </w:r>
            <w:r w:rsidR="00D6441F">
              <w:t>as</w:t>
            </w:r>
            <w:r>
              <w:t xml:space="preserve"> public information.</w:t>
            </w:r>
            <w:bookmarkEnd w:id="112"/>
          </w:p>
        </w:tc>
      </w:tr>
      <w:tr w:rsidR="003B7A40" w14:paraId="098187E7" w14:textId="77777777" w:rsidTr="00266F38">
        <w:tc>
          <w:tcPr>
            <w:tcW w:w="9209" w:type="dxa"/>
          </w:tcPr>
          <w:p w14:paraId="1E9DAE83" w14:textId="74781B80" w:rsidR="003B7A40" w:rsidRDefault="003B7A40" w:rsidP="00391606">
            <w:pPr>
              <w:pStyle w:val="RecommendationHeading"/>
            </w:pPr>
            <w:bookmarkStart w:id="113" w:name="_Toc68848952"/>
            <w:r>
              <w:t xml:space="preserve">Recommendation </w:t>
            </w:r>
            <w:r>
              <w:rPr>
                <w:noProof/>
              </w:rPr>
              <w:fldChar w:fldCharType="begin"/>
            </w:r>
            <w:r>
              <w:rPr>
                <w:noProof/>
              </w:rPr>
              <w:instrText xml:space="preserve"> seq NumList </w:instrText>
            </w:r>
            <w:r>
              <w:rPr>
                <w:noProof/>
              </w:rPr>
              <w:fldChar w:fldCharType="separate"/>
            </w:r>
            <w:r w:rsidR="002A4E14">
              <w:rPr>
                <w:noProof/>
              </w:rPr>
              <w:t>30</w:t>
            </w:r>
            <w:bookmarkEnd w:id="113"/>
            <w:r>
              <w:rPr>
                <w:noProof/>
              </w:rPr>
              <w:fldChar w:fldCharType="end"/>
            </w:r>
          </w:p>
          <w:p w14:paraId="223C9735" w14:textId="085840EF" w:rsidR="003B7A40" w:rsidRPr="003B7A40" w:rsidRDefault="003B7A40" w:rsidP="003B7A40">
            <w:pPr>
              <w:pStyle w:val="RecommendationText"/>
            </w:pPr>
            <w:bookmarkStart w:id="114" w:name="_Toc68848953"/>
            <w:r>
              <w:t>That the Legislative Assembly be provided with quarterly updates on the ACT Government’s progress into the implementation of the Fourth Action Plan.</w:t>
            </w:r>
            <w:bookmarkEnd w:id="114"/>
          </w:p>
        </w:tc>
      </w:tr>
      <w:tr w:rsidR="003B7A40" w14:paraId="6028455A" w14:textId="77777777" w:rsidTr="00266F38">
        <w:tc>
          <w:tcPr>
            <w:tcW w:w="9209" w:type="dxa"/>
          </w:tcPr>
          <w:p w14:paraId="25E393F3" w14:textId="7C39DE8E" w:rsidR="003B7A40" w:rsidRDefault="003B7A40" w:rsidP="00391606">
            <w:pPr>
              <w:pStyle w:val="RecommendationHeading"/>
            </w:pPr>
            <w:bookmarkStart w:id="115" w:name="_Toc68848954"/>
            <w:r>
              <w:t xml:space="preserve">Recommendation </w:t>
            </w:r>
            <w:r>
              <w:rPr>
                <w:noProof/>
              </w:rPr>
              <w:fldChar w:fldCharType="begin"/>
            </w:r>
            <w:r>
              <w:rPr>
                <w:noProof/>
              </w:rPr>
              <w:instrText xml:space="preserve"> seq NumList </w:instrText>
            </w:r>
            <w:r>
              <w:rPr>
                <w:noProof/>
              </w:rPr>
              <w:fldChar w:fldCharType="separate"/>
            </w:r>
            <w:r w:rsidR="002A4E14">
              <w:rPr>
                <w:noProof/>
              </w:rPr>
              <w:t>31</w:t>
            </w:r>
            <w:bookmarkEnd w:id="115"/>
            <w:r>
              <w:rPr>
                <w:noProof/>
              </w:rPr>
              <w:fldChar w:fldCharType="end"/>
            </w:r>
          </w:p>
          <w:p w14:paraId="38FD1556" w14:textId="01152D4E" w:rsidR="003B7A40" w:rsidRPr="003B7A40" w:rsidRDefault="003B7A40" w:rsidP="003B7A40">
            <w:pPr>
              <w:pStyle w:val="RecommendationText"/>
            </w:pPr>
            <w:bookmarkStart w:id="116" w:name="_Toc68848955"/>
            <w:r>
              <w:t>That the Legislative Assembly be provided with quarterly updates on the Family Safety Hub’s activities such as trials, evaluations, innovations, and consultations.</w:t>
            </w:r>
            <w:bookmarkEnd w:id="116"/>
            <w:r>
              <w:t xml:space="preserve"> </w:t>
            </w:r>
          </w:p>
        </w:tc>
      </w:tr>
      <w:tr w:rsidR="003B7A40" w14:paraId="064954E7" w14:textId="77777777" w:rsidTr="00266F38">
        <w:tc>
          <w:tcPr>
            <w:tcW w:w="9209" w:type="dxa"/>
          </w:tcPr>
          <w:p w14:paraId="1341301D" w14:textId="6E1177A5" w:rsidR="003B7A40" w:rsidRDefault="003B7A40" w:rsidP="00391606">
            <w:pPr>
              <w:pStyle w:val="RecommendationHeading"/>
            </w:pPr>
            <w:bookmarkStart w:id="117" w:name="_Toc68848956"/>
            <w:r>
              <w:t xml:space="preserve">Recommendation </w:t>
            </w:r>
            <w:r>
              <w:rPr>
                <w:noProof/>
              </w:rPr>
              <w:fldChar w:fldCharType="begin"/>
            </w:r>
            <w:r>
              <w:rPr>
                <w:noProof/>
              </w:rPr>
              <w:instrText xml:space="preserve"> seq NumList </w:instrText>
            </w:r>
            <w:r>
              <w:rPr>
                <w:noProof/>
              </w:rPr>
              <w:fldChar w:fldCharType="separate"/>
            </w:r>
            <w:r w:rsidR="002A4E14">
              <w:rPr>
                <w:noProof/>
              </w:rPr>
              <w:t>32</w:t>
            </w:r>
            <w:bookmarkEnd w:id="117"/>
            <w:r>
              <w:rPr>
                <w:noProof/>
              </w:rPr>
              <w:fldChar w:fldCharType="end"/>
            </w:r>
          </w:p>
          <w:p w14:paraId="46DF799D" w14:textId="2254DC96" w:rsidR="003B7A40" w:rsidRPr="003B7A40" w:rsidRDefault="003B7A40" w:rsidP="003B7A40">
            <w:pPr>
              <w:pStyle w:val="RecommendationText"/>
            </w:pPr>
            <w:bookmarkStart w:id="118" w:name="_Toc68848957"/>
            <w:r>
              <w:t xml:space="preserve">That the Legislative Assembly be </w:t>
            </w:r>
            <w:r w:rsidR="00D6441F">
              <w:t xml:space="preserve">provided with </w:t>
            </w:r>
            <w:r>
              <w:t>quarterly updates on the progress of</w:t>
            </w:r>
            <w:r w:rsidR="00D6441F">
              <w:t xml:space="preserve"> </w:t>
            </w:r>
            <w:r>
              <w:t xml:space="preserve"> implementation of recommendations from the “Report on Inquiry into Domestic and Family Violence – Policy Approaches and Responses</w:t>
            </w:r>
            <w:r w:rsidR="009020E8">
              <w:t>.</w:t>
            </w:r>
            <w:bookmarkEnd w:id="118"/>
          </w:p>
        </w:tc>
      </w:tr>
    </w:tbl>
    <w:p w14:paraId="42629C1D" w14:textId="77777777" w:rsidR="00394272" w:rsidRPr="001949AF" w:rsidRDefault="00394272" w:rsidP="00394272">
      <w:pPr>
        <w:pStyle w:val="Reportdate"/>
        <w:jc w:val="left"/>
      </w:pPr>
    </w:p>
    <w:p w14:paraId="51CB0CA7" w14:textId="73FDF708" w:rsidR="00842335" w:rsidRPr="00655140" w:rsidRDefault="00842335" w:rsidP="005415DE">
      <w:pPr>
        <w:pStyle w:val="Heading1"/>
        <w:numPr>
          <w:ilvl w:val="0"/>
          <w:numId w:val="19"/>
        </w:numPr>
      </w:pPr>
      <w:bookmarkStart w:id="119" w:name="_Toc68848977"/>
      <w:r>
        <w:t>Ho</w:t>
      </w:r>
      <w:r w:rsidR="00BB0BC8">
        <w:t>melessness and Housing Services</w:t>
      </w:r>
      <w:bookmarkEnd w:id="119"/>
    </w:p>
    <w:p w14:paraId="327AE585" w14:textId="652508DA" w:rsidR="00FD55CE" w:rsidRDefault="00842335" w:rsidP="00464E4D">
      <w:pPr>
        <w:pStyle w:val="BodyText1"/>
        <w:rPr>
          <w:lang w:eastAsia="en-AU"/>
        </w:rPr>
      </w:pPr>
      <w:r w:rsidRPr="00F551F6">
        <w:rPr>
          <w:lang w:eastAsia="en-AU"/>
        </w:rPr>
        <w:t>The Committee heard from the Minister for Ho</w:t>
      </w:r>
      <w:r w:rsidR="00FD55CE">
        <w:rPr>
          <w:lang w:eastAsia="en-AU"/>
        </w:rPr>
        <w:t xml:space="preserve">melessness and Housing Services in relation to the outputs under the housing ACT section of </w:t>
      </w:r>
      <w:r w:rsidR="002E1C34">
        <w:rPr>
          <w:lang w:eastAsia="en-AU"/>
        </w:rPr>
        <w:t>the</w:t>
      </w:r>
      <w:r w:rsidR="00FD55CE">
        <w:rPr>
          <w:lang w:eastAsia="en-AU"/>
        </w:rPr>
        <w:t xml:space="preserve"> Budget (Budget </w:t>
      </w:r>
      <w:r w:rsidR="002E1C34">
        <w:rPr>
          <w:lang w:eastAsia="en-AU"/>
        </w:rPr>
        <w:t>Statement</w:t>
      </w:r>
      <w:r w:rsidR="00FD55CE">
        <w:rPr>
          <w:lang w:eastAsia="en-AU"/>
        </w:rPr>
        <w:t xml:space="preserve"> G) which provides specialist homelessness services for people either homeless or at risk of homelessness to achieve </w:t>
      </w:r>
      <w:r w:rsidR="002E1C34">
        <w:rPr>
          <w:lang w:eastAsia="en-AU"/>
        </w:rPr>
        <w:t>sustainable</w:t>
      </w:r>
      <w:r w:rsidR="00FD55CE">
        <w:rPr>
          <w:lang w:eastAsia="en-AU"/>
        </w:rPr>
        <w:t xml:space="preserve"> housing, social inclusion and </w:t>
      </w:r>
      <w:r w:rsidR="002E1C34">
        <w:rPr>
          <w:lang w:eastAsia="en-AU"/>
        </w:rPr>
        <w:t>a level</w:t>
      </w:r>
      <w:r w:rsidR="00FD55CE">
        <w:rPr>
          <w:lang w:eastAsia="en-AU"/>
        </w:rPr>
        <w:t xml:space="preserve"> of economic involvement and participation which enable individual to re-establish a capacity to live independently.</w:t>
      </w:r>
    </w:p>
    <w:p w14:paraId="78ECC53B" w14:textId="14661020" w:rsidR="00711156" w:rsidRDefault="00FD55CE" w:rsidP="00464E4D">
      <w:pPr>
        <w:pStyle w:val="BodyText1"/>
        <w:rPr>
          <w:lang w:eastAsia="en-AU"/>
        </w:rPr>
      </w:pPr>
      <w:r>
        <w:rPr>
          <w:lang w:eastAsia="en-AU"/>
        </w:rPr>
        <w:t xml:space="preserve">Programs and indicators for programs </w:t>
      </w:r>
      <w:r w:rsidR="002E1C34">
        <w:rPr>
          <w:lang w:eastAsia="en-AU"/>
        </w:rPr>
        <w:t>measures</w:t>
      </w:r>
      <w:r>
        <w:rPr>
          <w:lang w:eastAsia="en-AU"/>
        </w:rPr>
        <w:t xml:space="preserve"> the level and </w:t>
      </w:r>
      <w:r w:rsidR="002E1C34">
        <w:rPr>
          <w:lang w:eastAsia="en-AU"/>
        </w:rPr>
        <w:t xml:space="preserve">proportion of </w:t>
      </w:r>
      <w:r w:rsidR="00711156">
        <w:rPr>
          <w:lang w:eastAsia="en-AU"/>
        </w:rPr>
        <w:t>specialist homelessness services clients achieve</w:t>
      </w:r>
      <w:r w:rsidR="002E1C34">
        <w:rPr>
          <w:lang w:eastAsia="en-AU"/>
        </w:rPr>
        <w:t>d</w:t>
      </w:r>
      <w:r w:rsidR="00711156">
        <w:rPr>
          <w:lang w:eastAsia="en-AU"/>
        </w:rPr>
        <w:t xml:space="preserve"> </w:t>
      </w:r>
      <w:r w:rsidR="002E1C34">
        <w:rPr>
          <w:lang w:eastAsia="en-AU"/>
        </w:rPr>
        <w:t>including</w:t>
      </w:r>
      <w:r w:rsidR="00711156">
        <w:rPr>
          <w:lang w:eastAsia="en-AU"/>
        </w:rPr>
        <w:t xml:space="preserve"> independent housing at </w:t>
      </w:r>
      <w:r w:rsidR="002E1C34">
        <w:rPr>
          <w:lang w:eastAsia="en-AU"/>
        </w:rPr>
        <w:t>t</w:t>
      </w:r>
      <w:r w:rsidR="00711156">
        <w:rPr>
          <w:lang w:eastAsia="en-AU"/>
        </w:rPr>
        <w:t>he end of the support period.</w:t>
      </w:r>
    </w:p>
    <w:p w14:paraId="311AAC3F" w14:textId="2E17CCE9" w:rsidR="00711156" w:rsidRDefault="00711156" w:rsidP="00464E4D">
      <w:pPr>
        <w:pStyle w:val="BodyText1"/>
        <w:rPr>
          <w:lang w:eastAsia="en-AU"/>
        </w:rPr>
      </w:pPr>
      <w:r>
        <w:rPr>
          <w:lang w:eastAsia="en-AU"/>
        </w:rPr>
        <w:t>The Committee notes th</w:t>
      </w:r>
      <w:r w:rsidR="002E1C34">
        <w:rPr>
          <w:lang w:eastAsia="en-AU"/>
        </w:rPr>
        <w:t>a</w:t>
      </w:r>
      <w:r>
        <w:rPr>
          <w:lang w:eastAsia="en-AU"/>
        </w:rPr>
        <w:t xml:space="preserve">t COVID-19 required special support and inclusion for homes people to ensure that special arrangements </w:t>
      </w:r>
      <w:r w:rsidR="002E1C34">
        <w:rPr>
          <w:lang w:eastAsia="en-AU"/>
        </w:rPr>
        <w:t>were</w:t>
      </w:r>
      <w:r>
        <w:rPr>
          <w:lang w:eastAsia="en-AU"/>
        </w:rPr>
        <w:t xml:space="preserve"> in place to protect the homeless.</w:t>
      </w:r>
    </w:p>
    <w:p w14:paraId="34748BD9" w14:textId="69111B21" w:rsidR="00394272" w:rsidRDefault="00394272" w:rsidP="00394272">
      <w:pPr>
        <w:keepNext/>
        <w:widowControl w:val="0"/>
        <w:spacing w:before="480" w:after="60" w:line="312" w:lineRule="auto"/>
        <w:ind w:left="567"/>
        <w:outlineLvl w:val="2"/>
        <w:rPr>
          <w:rFonts w:ascii="Arial Narrow" w:hAnsi="Arial Narrow" w:cs="Arial"/>
          <w:iCs/>
          <w:smallCaps/>
          <w:spacing w:val="20"/>
          <w:sz w:val="36"/>
          <w:szCs w:val="34"/>
          <w:lang w:val="en-US"/>
        </w:rPr>
      </w:pPr>
      <w:bookmarkStart w:id="120" w:name="_Hlk67653971"/>
      <w:r w:rsidRPr="00394272">
        <w:rPr>
          <w:rFonts w:ascii="Arial Narrow" w:hAnsi="Arial Narrow" w:cs="Arial"/>
          <w:iCs/>
          <w:smallCaps/>
          <w:spacing w:val="20"/>
          <w:sz w:val="36"/>
          <w:szCs w:val="34"/>
          <w:lang w:val="en-US"/>
        </w:rPr>
        <w:t>Matters Discussed</w:t>
      </w:r>
      <w:r w:rsidR="00711156">
        <w:rPr>
          <w:rFonts w:ascii="Arial Narrow" w:hAnsi="Arial Narrow" w:cs="Arial"/>
          <w:iCs/>
          <w:smallCaps/>
          <w:spacing w:val="20"/>
          <w:sz w:val="36"/>
          <w:szCs w:val="34"/>
          <w:lang w:val="en-US"/>
        </w:rPr>
        <w:t xml:space="preserve"> at Hearings</w:t>
      </w:r>
    </w:p>
    <w:bookmarkEnd w:id="120"/>
    <w:p w14:paraId="3B7332EC" w14:textId="77777777" w:rsidR="00394272" w:rsidRPr="00394272" w:rsidRDefault="00394272" w:rsidP="00AF16A7">
      <w:pPr>
        <w:pStyle w:val="BodyText"/>
        <w:numPr>
          <w:ilvl w:val="5"/>
          <w:numId w:val="4"/>
        </w:numPr>
      </w:pPr>
      <w:r w:rsidRPr="00394272">
        <w:t xml:space="preserve">The Committee discussed the following matters related to Social Housing Services (HACT Output 1.1): </w:t>
      </w:r>
    </w:p>
    <w:p w14:paraId="48EA7545" w14:textId="77777777" w:rsidR="00394272" w:rsidRPr="00394272" w:rsidRDefault="00394272" w:rsidP="00AF16A7">
      <w:pPr>
        <w:numPr>
          <w:ilvl w:val="2"/>
          <w:numId w:val="17"/>
        </w:numPr>
        <w:spacing w:before="40" w:after="60" w:line="288" w:lineRule="auto"/>
        <w:rPr>
          <w:szCs w:val="22"/>
          <w:lang w:val="en-US"/>
        </w:rPr>
      </w:pPr>
      <w:r w:rsidRPr="00394272">
        <w:rPr>
          <w:szCs w:val="22"/>
          <w:lang w:val="en-US"/>
        </w:rPr>
        <w:t>extra support to women and children using homelessness services due to domestic and family violence and the exacerbating impacts of COVID-19;</w:t>
      </w:r>
      <w:r w:rsidRPr="00394272">
        <w:rPr>
          <w:szCs w:val="22"/>
          <w:vertAlign w:val="superscript"/>
          <w:lang w:val="en-US"/>
        </w:rPr>
        <w:footnoteReference w:id="130"/>
      </w:r>
    </w:p>
    <w:p w14:paraId="65A1A9D0" w14:textId="77777777" w:rsidR="00394272" w:rsidRPr="00394272" w:rsidRDefault="00394272" w:rsidP="00AF16A7">
      <w:pPr>
        <w:numPr>
          <w:ilvl w:val="2"/>
          <w:numId w:val="17"/>
        </w:numPr>
        <w:spacing w:before="40" w:after="60" w:line="288" w:lineRule="auto"/>
        <w:rPr>
          <w:szCs w:val="22"/>
          <w:lang w:val="en-US"/>
        </w:rPr>
      </w:pPr>
      <w:r w:rsidRPr="00394272">
        <w:rPr>
          <w:szCs w:val="22"/>
          <w:lang w:val="en-US"/>
        </w:rPr>
        <w:t>the progress of initiatives to establish the Aboriginal and Torres Strait Islander controlled community housing provider;</w:t>
      </w:r>
      <w:r w:rsidRPr="00394272">
        <w:rPr>
          <w:szCs w:val="22"/>
          <w:vertAlign w:val="superscript"/>
          <w:lang w:val="en-US"/>
        </w:rPr>
        <w:footnoteReference w:id="131"/>
      </w:r>
    </w:p>
    <w:p w14:paraId="05FC70ED" w14:textId="77777777" w:rsidR="00394272" w:rsidRPr="00394272" w:rsidRDefault="00394272" w:rsidP="00AF16A7">
      <w:pPr>
        <w:numPr>
          <w:ilvl w:val="2"/>
          <w:numId w:val="17"/>
        </w:numPr>
        <w:spacing w:before="40" w:after="60" w:line="288" w:lineRule="auto"/>
        <w:rPr>
          <w:szCs w:val="22"/>
          <w:lang w:val="en-US"/>
        </w:rPr>
      </w:pPr>
      <w:r w:rsidRPr="00394272">
        <w:rPr>
          <w:szCs w:val="22"/>
          <w:lang w:val="en-US"/>
        </w:rPr>
        <w:t>the sale to tenant scheme;</w:t>
      </w:r>
      <w:r w:rsidRPr="00394272">
        <w:rPr>
          <w:szCs w:val="22"/>
          <w:vertAlign w:val="superscript"/>
          <w:lang w:val="en-US"/>
        </w:rPr>
        <w:footnoteReference w:id="132"/>
      </w:r>
    </w:p>
    <w:p w14:paraId="4084D7D7" w14:textId="77777777" w:rsidR="00394272" w:rsidRPr="00394272" w:rsidRDefault="00394272" w:rsidP="00AF16A7">
      <w:pPr>
        <w:numPr>
          <w:ilvl w:val="2"/>
          <w:numId w:val="17"/>
        </w:numPr>
        <w:spacing w:before="40" w:after="60" w:line="288" w:lineRule="auto"/>
        <w:rPr>
          <w:szCs w:val="22"/>
          <w:lang w:val="en-US"/>
        </w:rPr>
      </w:pPr>
      <w:r w:rsidRPr="00394272">
        <w:rPr>
          <w:szCs w:val="22"/>
          <w:lang w:val="en-US"/>
        </w:rPr>
        <w:t>client service visits at the Condamine Court housing complex in the past 12 months including safety concerns during the client service team visits and nightly patrols;</w:t>
      </w:r>
      <w:r w:rsidRPr="00394272">
        <w:rPr>
          <w:szCs w:val="22"/>
          <w:vertAlign w:val="superscript"/>
          <w:lang w:val="en-US"/>
        </w:rPr>
        <w:footnoteReference w:id="133"/>
      </w:r>
    </w:p>
    <w:p w14:paraId="43591F3C" w14:textId="77777777" w:rsidR="00394272" w:rsidRPr="00394272" w:rsidRDefault="00394272" w:rsidP="00AF16A7">
      <w:pPr>
        <w:numPr>
          <w:ilvl w:val="2"/>
          <w:numId w:val="17"/>
        </w:numPr>
        <w:spacing w:before="40" w:after="60" w:line="288" w:lineRule="auto"/>
        <w:rPr>
          <w:szCs w:val="22"/>
          <w:lang w:val="en-US"/>
        </w:rPr>
      </w:pPr>
      <w:r w:rsidRPr="00394272">
        <w:rPr>
          <w:szCs w:val="22"/>
          <w:lang w:val="en-US"/>
        </w:rPr>
        <w:t>measures to address serious safety issues that are experienced by tenants at Condamine Court;</w:t>
      </w:r>
      <w:r w:rsidRPr="00394272">
        <w:rPr>
          <w:szCs w:val="22"/>
          <w:vertAlign w:val="superscript"/>
          <w:lang w:val="en-US"/>
        </w:rPr>
        <w:footnoteReference w:id="134"/>
      </w:r>
    </w:p>
    <w:p w14:paraId="4D100941" w14:textId="77777777" w:rsidR="00394272" w:rsidRPr="00394272" w:rsidRDefault="00394272" w:rsidP="00AF16A7">
      <w:pPr>
        <w:numPr>
          <w:ilvl w:val="2"/>
          <w:numId w:val="17"/>
        </w:numPr>
        <w:spacing w:before="40" w:after="60" w:line="288" w:lineRule="auto"/>
        <w:rPr>
          <w:szCs w:val="22"/>
          <w:lang w:val="en-US"/>
        </w:rPr>
      </w:pPr>
      <w:r w:rsidRPr="00394272">
        <w:rPr>
          <w:szCs w:val="22"/>
          <w:lang w:val="en-US"/>
        </w:rPr>
        <w:t>the Early Morning Centre expansion, including its capacity and the number of new jobs that will be created;</w:t>
      </w:r>
      <w:r w:rsidRPr="00394272">
        <w:rPr>
          <w:szCs w:val="22"/>
          <w:vertAlign w:val="superscript"/>
          <w:lang w:val="en-US"/>
        </w:rPr>
        <w:footnoteReference w:id="135"/>
      </w:r>
    </w:p>
    <w:p w14:paraId="7B3FCEE3" w14:textId="77777777" w:rsidR="00394272" w:rsidRPr="00394272" w:rsidRDefault="00394272" w:rsidP="00AF16A7">
      <w:pPr>
        <w:numPr>
          <w:ilvl w:val="2"/>
          <w:numId w:val="17"/>
        </w:numPr>
        <w:spacing w:before="40" w:after="60" w:line="288" w:lineRule="auto"/>
        <w:rPr>
          <w:szCs w:val="22"/>
          <w:lang w:val="en-US"/>
        </w:rPr>
      </w:pPr>
      <w:r w:rsidRPr="00394272">
        <w:rPr>
          <w:szCs w:val="22"/>
          <w:lang w:val="en-US"/>
        </w:rPr>
        <w:t>the increase in the waiting list for Housing ACT</w:t>
      </w:r>
      <w:r w:rsidRPr="00394272">
        <w:rPr>
          <w:szCs w:val="22"/>
          <w:vertAlign w:val="superscript"/>
          <w:lang w:val="en-US"/>
        </w:rPr>
        <w:footnoteReference w:id="136"/>
      </w:r>
      <w:r w:rsidRPr="00394272">
        <w:rPr>
          <w:szCs w:val="22"/>
          <w:lang w:val="en-US"/>
        </w:rPr>
        <w:t xml:space="preserve"> and the average waiting time for standard housing;</w:t>
      </w:r>
      <w:r w:rsidRPr="00394272">
        <w:rPr>
          <w:szCs w:val="22"/>
          <w:vertAlign w:val="superscript"/>
          <w:lang w:val="en-US"/>
        </w:rPr>
        <w:footnoteReference w:id="137"/>
      </w:r>
    </w:p>
    <w:p w14:paraId="59F0D738" w14:textId="77777777" w:rsidR="00394272" w:rsidRPr="00394272" w:rsidRDefault="00394272" w:rsidP="00AF16A7">
      <w:pPr>
        <w:numPr>
          <w:ilvl w:val="2"/>
          <w:numId w:val="17"/>
        </w:numPr>
        <w:spacing w:before="40" w:after="60" w:line="288" w:lineRule="auto"/>
        <w:rPr>
          <w:szCs w:val="22"/>
          <w:lang w:val="en-US"/>
        </w:rPr>
      </w:pPr>
      <w:r w:rsidRPr="00394272">
        <w:rPr>
          <w:szCs w:val="22"/>
          <w:lang w:val="en-US"/>
        </w:rPr>
        <w:t>the voluntarily reduced income clause in the rental rebate policy and its difference to the fluctuating income clause;</w:t>
      </w:r>
      <w:r w:rsidRPr="00394272">
        <w:rPr>
          <w:szCs w:val="22"/>
          <w:vertAlign w:val="superscript"/>
          <w:lang w:val="en-US"/>
        </w:rPr>
        <w:footnoteReference w:id="138"/>
      </w:r>
    </w:p>
    <w:p w14:paraId="077D69D2" w14:textId="77777777" w:rsidR="00394272" w:rsidRPr="00394272" w:rsidRDefault="00394272" w:rsidP="00AF16A7">
      <w:pPr>
        <w:numPr>
          <w:ilvl w:val="2"/>
          <w:numId w:val="17"/>
        </w:numPr>
        <w:spacing w:before="40" w:after="60" w:line="288" w:lineRule="auto"/>
        <w:rPr>
          <w:szCs w:val="22"/>
          <w:lang w:val="en-US"/>
        </w:rPr>
      </w:pPr>
      <w:r w:rsidRPr="00394272">
        <w:rPr>
          <w:szCs w:val="22"/>
          <w:lang w:val="en-US"/>
        </w:rPr>
        <w:t>overall coordination of services for people experiencing or at risk of homelessness and gaps analysis plan for the services;</w:t>
      </w:r>
      <w:r w:rsidRPr="00394272">
        <w:rPr>
          <w:szCs w:val="22"/>
          <w:vertAlign w:val="superscript"/>
          <w:lang w:val="en-US"/>
        </w:rPr>
        <w:footnoteReference w:id="139"/>
      </w:r>
    </w:p>
    <w:p w14:paraId="71515508" w14:textId="77777777" w:rsidR="00394272" w:rsidRPr="00394272" w:rsidRDefault="00394272" w:rsidP="00AF16A7">
      <w:pPr>
        <w:numPr>
          <w:ilvl w:val="2"/>
          <w:numId w:val="17"/>
        </w:numPr>
        <w:spacing w:before="40" w:after="60" w:line="288" w:lineRule="auto"/>
        <w:rPr>
          <w:szCs w:val="22"/>
          <w:lang w:val="en-US"/>
        </w:rPr>
      </w:pPr>
      <w:r w:rsidRPr="00394272">
        <w:rPr>
          <w:szCs w:val="22"/>
          <w:lang w:val="en-US"/>
        </w:rPr>
        <w:t>Haven house pilot project;</w:t>
      </w:r>
      <w:r w:rsidRPr="00394272">
        <w:rPr>
          <w:szCs w:val="22"/>
          <w:vertAlign w:val="superscript"/>
          <w:lang w:val="en-US"/>
        </w:rPr>
        <w:footnoteReference w:id="140"/>
      </w:r>
    </w:p>
    <w:p w14:paraId="58381981" w14:textId="77777777" w:rsidR="00394272" w:rsidRPr="00394272" w:rsidRDefault="00394272" w:rsidP="00AF16A7">
      <w:pPr>
        <w:numPr>
          <w:ilvl w:val="2"/>
          <w:numId w:val="17"/>
        </w:numPr>
        <w:spacing w:before="40" w:after="60" w:line="288" w:lineRule="auto"/>
        <w:rPr>
          <w:szCs w:val="22"/>
          <w:lang w:val="en-US"/>
        </w:rPr>
      </w:pPr>
      <w:proofErr w:type="spellStart"/>
      <w:r w:rsidRPr="00394272">
        <w:rPr>
          <w:szCs w:val="22"/>
          <w:lang w:val="en-US"/>
        </w:rPr>
        <w:t>specialised</w:t>
      </w:r>
      <w:proofErr w:type="spellEnd"/>
      <w:r w:rsidRPr="00394272">
        <w:rPr>
          <w:szCs w:val="22"/>
          <w:lang w:val="en-US"/>
        </w:rPr>
        <w:t xml:space="preserve"> housing services for people who are gay, lesbian, and bisexual;</w:t>
      </w:r>
      <w:r w:rsidRPr="00394272">
        <w:rPr>
          <w:szCs w:val="22"/>
          <w:vertAlign w:val="superscript"/>
          <w:lang w:val="en-US"/>
        </w:rPr>
        <w:footnoteReference w:id="141"/>
      </w:r>
      <w:r w:rsidRPr="00394272">
        <w:rPr>
          <w:szCs w:val="22"/>
          <w:lang w:val="en-US"/>
        </w:rPr>
        <w:t xml:space="preserve"> and</w:t>
      </w:r>
    </w:p>
    <w:p w14:paraId="7B373E9B" w14:textId="77777777" w:rsidR="00394272" w:rsidRPr="00394272" w:rsidRDefault="00394272" w:rsidP="00AF16A7">
      <w:pPr>
        <w:numPr>
          <w:ilvl w:val="2"/>
          <w:numId w:val="17"/>
        </w:numPr>
        <w:spacing w:before="40" w:after="60" w:line="288" w:lineRule="auto"/>
        <w:rPr>
          <w:szCs w:val="22"/>
          <w:lang w:val="en-US"/>
        </w:rPr>
      </w:pPr>
      <w:r w:rsidRPr="00394272">
        <w:rPr>
          <w:szCs w:val="22"/>
          <w:lang w:val="en-US"/>
        </w:rPr>
        <w:t>Housing ACT performance benchmarks.</w:t>
      </w:r>
      <w:r w:rsidRPr="00394272">
        <w:rPr>
          <w:szCs w:val="22"/>
          <w:vertAlign w:val="superscript"/>
          <w:lang w:val="en-US"/>
        </w:rPr>
        <w:footnoteReference w:id="142"/>
      </w:r>
    </w:p>
    <w:p w14:paraId="318ACBB4" w14:textId="09E2F570" w:rsidR="00711156" w:rsidRPr="00635432" w:rsidRDefault="00711156" w:rsidP="001C1D28">
      <w:pPr>
        <w:pStyle w:val="Headinglevel3"/>
      </w:pPr>
      <w:bookmarkStart w:id="121" w:name="_Hlk29572397"/>
      <w:r w:rsidRPr="00635432">
        <w:rPr>
          <w:lang w:eastAsia="en-AU"/>
        </w:rPr>
        <w:t>Questions</w:t>
      </w:r>
      <w:bookmarkEnd w:id="121"/>
    </w:p>
    <w:p w14:paraId="076B0601" w14:textId="611180AE" w:rsidR="00F82368" w:rsidRPr="006372D8" w:rsidRDefault="00F82368" w:rsidP="00F82368">
      <w:pPr>
        <w:pStyle w:val="BodyText1"/>
        <w:rPr>
          <w:b/>
          <w:bCs/>
          <w:color w:val="000000"/>
          <w:lang w:eastAsia="en-AU"/>
        </w:rPr>
      </w:pPr>
      <w:proofErr w:type="spellStart"/>
      <w:r>
        <w:t>QToNs</w:t>
      </w:r>
      <w:proofErr w:type="spellEnd"/>
      <w:r>
        <w:t xml:space="preserve"> and </w:t>
      </w:r>
      <w:proofErr w:type="spellStart"/>
      <w:r>
        <w:t>QoNs</w:t>
      </w:r>
      <w:proofErr w:type="spellEnd"/>
      <w:r>
        <w:t xml:space="preserve"> which were asked as a result of the Committee’s inquiry </w:t>
      </w:r>
      <w:r w:rsidRPr="006372D8">
        <w:rPr>
          <w:b/>
          <w:bCs/>
        </w:rPr>
        <w:t>are at Appendi</w:t>
      </w:r>
      <w:r>
        <w:rPr>
          <w:b/>
          <w:bCs/>
        </w:rPr>
        <w:t>c</w:t>
      </w:r>
      <w:r w:rsidRPr="006372D8">
        <w:rPr>
          <w:b/>
          <w:bCs/>
        </w:rPr>
        <w:t>es C and D.</w:t>
      </w:r>
    </w:p>
    <w:p w14:paraId="2FD20332" w14:textId="77777777" w:rsidR="00F82368" w:rsidRDefault="00F82368" w:rsidP="00F82368">
      <w:pPr>
        <w:pStyle w:val="Headinglevel3"/>
        <w:rPr>
          <w:bdr w:val="nil"/>
        </w:rPr>
      </w:pPr>
      <w:r>
        <w:rPr>
          <w:bdr w:val="nil"/>
        </w:rPr>
        <w:t>Committee Observations and Comment</w:t>
      </w:r>
    </w:p>
    <w:p w14:paraId="26D15CCC" w14:textId="77777777" w:rsidR="00F82368" w:rsidRDefault="00F82368" w:rsidP="00F82368">
      <w:pPr>
        <w:pStyle w:val="BodyText1"/>
      </w:pPr>
      <w:r>
        <w:t>The Committee makes the following observations and comment on a number of issues which were subject of inquiry:</w:t>
      </w:r>
    </w:p>
    <w:p w14:paraId="22C65027" w14:textId="1EF40252" w:rsidR="00153087" w:rsidRDefault="00153087" w:rsidP="00D015AC">
      <w:pPr>
        <w:pStyle w:val="Headinglevel4"/>
      </w:pPr>
      <w:r>
        <w:t>Responses to oc</w:t>
      </w:r>
      <w:r w:rsidR="001C1D28">
        <w:t>c</w:t>
      </w:r>
      <w:r>
        <w:t>urrences at Cond</w:t>
      </w:r>
      <w:r w:rsidR="00D015AC">
        <w:t>a</w:t>
      </w:r>
      <w:r>
        <w:t>mine Housing, including safety concerns</w:t>
      </w:r>
    </w:p>
    <w:p w14:paraId="1209CC9F" w14:textId="0FD94FB8" w:rsidR="001C1D28" w:rsidRDefault="00843258" w:rsidP="001C1D28">
      <w:pPr>
        <w:pStyle w:val="BodyText1"/>
      </w:pPr>
      <w:r>
        <w:t xml:space="preserve">The Minister was asked several questions regarding </w:t>
      </w:r>
      <w:r w:rsidR="000223A2">
        <w:t>difficulties</w:t>
      </w:r>
      <w:r>
        <w:t xml:space="preserve"> regarding security and related issues at the Condamine housing site.</w:t>
      </w:r>
    </w:p>
    <w:p w14:paraId="6E556C5F" w14:textId="4451C0C1" w:rsidR="00843258" w:rsidRDefault="00843258" w:rsidP="00843258">
      <w:pPr>
        <w:pStyle w:val="BodyText1"/>
      </w:pPr>
      <w:r>
        <w:t>The Mini</w:t>
      </w:r>
      <w:r w:rsidR="002674B6">
        <w:t>s</w:t>
      </w:r>
      <w:r>
        <w:t>ter</w:t>
      </w:r>
      <w:r w:rsidR="002674B6">
        <w:t xml:space="preserve"> and Directorate officials </w:t>
      </w:r>
      <w:r>
        <w:t xml:space="preserve"> advised:</w:t>
      </w:r>
    </w:p>
    <w:p w14:paraId="336DAAA9" w14:textId="0EBAE1CC" w:rsidR="00843258" w:rsidRDefault="00843258" w:rsidP="002674B6">
      <w:pPr>
        <w:pStyle w:val="Quote"/>
      </w:pPr>
      <w:r w:rsidRPr="00843258">
        <w:t xml:space="preserve"> </w:t>
      </w:r>
      <w:r>
        <w:t xml:space="preserve">Noting the specifics of the area that you talk about, there is also some work that is happening around multi-unit complexes. </w:t>
      </w:r>
      <w:r w:rsidR="003C1BDA">
        <w:t>Certainly,</w:t>
      </w:r>
      <w:r>
        <w:t xml:space="preserve"> we would highlight the work that is happening around the Connecting Communities program, which was started as a pilot in 2019 and has continued, really focusing on the multi-unit apartments and really having quite a specific intention and giving more intensive oversight of those sites that would absolutely pull in the client visits. </w:t>
      </w:r>
    </w:p>
    <w:p w14:paraId="33F1A4B6" w14:textId="6B4164A2" w:rsidR="002674B6" w:rsidRDefault="002674B6" w:rsidP="002674B6">
      <w:pPr>
        <w:pStyle w:val="Quote"/>
      </w:pPr>
      <w:r>
        <w:t>and</w:t>
      </w:r>
    </w:p>
    <w:p w14:paraId="1138E845" w14:textId="04BBBE21" w:rsidR="00843258" w:rsidRDefault="00843258" w:rsidP="002674B6">
      <w:pPr>
        <w:pStyle w:val="Quote"/>
      </w:pPr>
      <w:r>
        <w:t>When we are talking about multi-unit properties, which are properties which have a size of more than 20 tenancies, we have 87 in the portfolio across the territory and that represents about 20 to 25 per cent of our portfolio in terms of tenancies. For properties of that size, as the minister said, we have what we call a connected community strategy, which was rolled out in this financial year after a pilot in the inner city. The aim of the connected community strategy is to bring a site-specific focus to reduce the amount of housing staff on site but increase their frequency so that we have more oversight of what is going on, better connections with support services, better monitoring of vacancy. That will mean that, on a site of the size that you are talking about, you will probably have a housing manager on site one, two, three times a week engaging with tenants because there are so many tenants and they tend to have a number of complex issues.</w:t>
      </w:r>
      <w:r w:rsidR="002674B6">
        <w:rPr>
          <w:rStyle w:val="FootnoteReference"/>
        </w:rPr>
        <w:footnoteReference w:id="143"/>
      </w:r>
    </w:p>
    <w:p w14:paraId="31E41346" w14:textId="077A5F40" w:rsidR="008B35F6" w:rsidRDefault="008B35F6" w:rsidP="008B35F6">
      <w:pPr>
        <w:pStyle w:val="BodyText1"/>
      </w:pPr>
      <w:r>
        <w:t xml:space="preserve">A response from ACT Housing detailed </w:t>
      </w:r>
      <w:r w:rsidR="000223A2">
        <w:t>aspects</w:t>
      </w:r>
      <w:r>
        <w:t xml:space="preserve"> of the response to sites such as Condamine Coue=rt.</w:t>
      </w:r>
    </w:p>
    <w:p w14:paraId="0C798AC0" w14:textId="25ABE9D5" w:rsidR="008B35F6" w:rsidRPr="008B35F6" w:rsidRDefault="008B35F6" w:rsidP="008B35F6">
      <w:pPr>
        <w:pStyle w:val="Quote"/>
      </w:pPr>
      <w:r w:rsidRPr="008B35F6">
        <w:t xml:space="preserve"> </w:t>
      </w:r>
      <w:r>
        <w:t xml:space="preserve">Firstly, the connected community strategy is a way to bring focus to those kinds of issues. Secondly, we have a team which has those skill sets and is supported to look at more complex clients and communities. Thirdly, this year we have been able to increase our insights and analytics around complaints and incidences on site. That is in its first phase. Over the coming year we are looking to improve our responsiveness as we now have better data on what is going on onsite. </w:t>
      </w:r>
      <w:r>
        <w:rPr>
          <w:rStyle w:val="FootnoteReference"/>
        </w:rPr>
        <w:footnoteReference w:id="144"/>
      </w:r>
    </w:p>
    <w:p w14:paraId="3179A77E" w14:textId="59E60DDD" w:rsidR="008B35F6" w:rsidRDefault="008B35F6" w:rsidP="008B35F6">
      <w:pPr>
        <w:pStyle w:val="BodyText1"/>
      </w:pPr>
      <w:r>
        <w:t xml:space="preserve">The Committee notes that </w:t>
      </w:r>
      <w:r w:rsidR="000223A2">
        <w:t>there</w:t>
      </w:r>
      <w:r>
        <w:t xml:space="preserve"> has been considerable </w:t>
      </w:r>
      <w:r w:rsidR="000223A2">
        <w:t>publicity</w:t>
      </w:r>
      <w:r>
        <w:t xml:space="preserve"> surrounding conditions at </w:t>
      </w:r>
      <w:r w:rsidR="000223A2">
        <w:t>Condamine</w:t>
      </w:r>
      <w:r>
        <w:t xml:space="preserve"> Court housing precinct.  It and others are </w:t>
      </w:r>
      <w:r w:rsidR="000223A2">
        <w:t>regarded</w:t>
      </w:r>
      <w:r>
        <w:t xml:space="preserve"> as ‘</w:t>
      </w:r>
      <w:r w:rsidR="000223A2">
        <w:t>designated</w:t>
      </w:r>
      <w:r>
        <w:t xml:space="preserve"> high risk sites’ and, the Committee was </w:t>
      </w:r>
      <w:r w:rsidR="000223A2">
        <w:t>informed</w:t>
      </w:r>
      <w:r>
        <w:t xml:space="preserve">, require additional security and other related measures (as described above). </w:t>
      </w:r>
    </w:p>
    <w:p w14:paraId="512DF484" w14:textId="77777777" w:rsidR="002C72A4" w:rsidRPr="002C72A4" w:rsidRDefault="002C72A4" w:rsidP="002674B6">
      <w:pPr>
        <w:pStyle w:val="BodyText1"/>
        <w:numPr>
          <w:ilvl w:val="0"/>
          <w:numId w:val="0"/>
        </w:numPr>
        <w:ind w:left="720"/>
      </w:pPr>
    </w:p>
    <w:p w14:paraId="183CFCE6" w14:textId="77777777" w:rsidR="004D1E60" w:rsidRDefault="004D1E60" w:rsidP="005415DE">
      <w:pPr>
        <w:pStyle w:val="Heading1"/>
        <w:numPr>
          <w:ilvl w:val="0"/>
          <w:numId w:val="19"/>
        </w:numPr>
        <w:sectPr w:rsidR="004D1E60" w:rsidSect="00592C9A">
          <w:headerReference w:type="first" r:id="rId32"/>
          <w:type w:val="oddPage"/>
          <w:pgSz w:w="11907" w:h="16840" w:code="9"/>
          <w:pgMar w:top="1588" w:right="1418" w:bottom="1418" w:left="1418" w:header="720" w:footer="851" w:gutter="0"/>
          <w:cols w:space="720"/>
          <w:docGrid w:linePitch="360"/>
        </w:sectPr>
      </w:pPr>
    </w:p>
    <w:p w14:paraId="734F06F2" w14:textId="161755A3" w:rsidR="00842335" w:rsidRPr="00655140" w:rsidRDefault="00BB0BC8" w:rsidP="005415DE">
      <w:pPr>
        <w:pStyle w:val="Heading1"/>
        <w:numPr>
          <w:ilvl w:val="0"/>
          <w:numId w:val="19"/>
        </w:numPr>
      </w:pPr>
      <w:bookmarkStart w:id="122" w:name="_Toc68848978"/>
      <w:r>
        <w:t>Seniors, Veterans, Families and Community Services</w:t>
      </w:r>
      <w:bookmarkEnd w:id="122"/>
      <w:r>
        <w:t xml:space="preserve"> </w:t>
      </w:r>
    </w:p>
    <w:p w14:paraId="69F1D453" w14:textId="316B4783" w:rsidR="00711156" w:rsidRPr="00B1748E" w:rsidRDefault="00842335" w:rsidP="00B1748E">
      <w:pPr>
        <w:pStyle w:val="BodyText"/>
        <w:numPr>
          <w:ilvl w:val="5"/>
          <w:numId w:val="4"/>
        </w:numPr>
        <w:rPr>
          <w:lang w:val="en-US"/>
        </w:rPr>
      </w:pPr>
      <w:bookmarkStart w:id="123" w:name="_Hlk29572719"/>
      <w:r w:rsidRPr="00B1748E">
        <w:rPr>
          <w:lang w:val="en-US"/>
        </w:rPr>
        <w:t xml:space="preserve">The Committee heard from the </w:t>
      </w:r>
      <w:r w:rsidR="00BB0BC8" w:rsidRPr="00B1748E">
        <w:rPr>
          <w:lang w:val="en-US"/>
        </w:rPr>
        <w:t xml:space="preserve">Assistant </w:t>
      </w:r>
      <w:r w:rsidR="00850A96" w:rsidRPr="00B1748E">
        <w:rPr>
          <w:lang w:val="en-US"/>
        </w:rPr>
        <w:t>M</w:t>
      </w:r>
      <w:r w:rsidR="00BB0BC8" w:rsidRPr="00B1748E">
        <w:rPr>
          <w:lang w:val="en-US"/>
        </w:rPr>
        <w:t xml:space="preserve">inister for Seniors, Veterans, Families and Community Services on 3 March 2021 </w:t>
      </w:r>
      <w:r w:rsidRPr="00B1748E">
        <w:rPr>
          <w:lang w:val="en-US"/>
        </w:rPr>
        <w:t xml:space="preserve">to </w:t>
      </w:r>
      <w:r w:rsidR="002E1C34" w:rsidRPr="00B1748E">
        <w:rPr>
          <w:lang w:val="en-US"/>
        </w:rPr>
        <w:t>discuss matters</w:t>
      </w:r>
      <w:r w:rsidR="00711156" w:rsidRPr="00B1748E">
        <w:rPr>
          <w:lang w:val="en-US"/>
        </w:rPr>
        <w:t xml:space="preserve"> </w:t>
      </w:r>
      <w:r w:rsidR="002E1C34" w:rsidRPr="00B1748E">
        <w:rPr>
          <w:lang w:val="en-US"/>
        </w:rPr>
        <w:t>under</w:t>
      </w:r>
      <w:r w:rsidR="00711156" w:rsidRPr="00B1748E">
        <w:rPr>
          <w:lang w:val="en-US"/>
        </w:rPr>
        <w:t xml:space="preserve"> the responsibility of the </w:t>
      </w:r>
      <w:r w:rsidR="002E1C34" w:rsidRPr="00B1748E">
        <w:rPr>
          <w:lang w:val="en-US"/>
        </w:rPr>
        <w:t>Assistant</w:t>
      </w:r>
      <w:r w:rsidR="00711156" w:rsidRPr="00B1748E">
        <w:rPr>
          <w:lang w:val="en-US"/>
        </w:rPr>
        <w:t xml:space="preserve"> minister for Seniors, Veterans, Families and Community Services.</w:t>
      </w:r>
    </w:p>
    <w:p w14:paraId="39CA7291" w14:textId="0C2D43BE" w:rsidR="00842335" w:rsidRPr="00B1748E" w:rsidRDefault="00711156" w:rsidP="00B1748E">
      <w:pPr>
        <w:pStyle w:val="BodyText"/>
        <w:numPr>
          <w:ilvl w:val="5"/>
          <w:numId w:val="4"/>
        </w:numPr>
        <w:rPr>
          <w:lang w:val="en-US"/>
        </w:rPr>
      </w:pPr>
      <w:r w:rsidRPr="00B1748E">
        <w:rPr>
          <w:lang w:val="en-US"/>
        </w:rPr>
        <w:t xml:space="preserve">Areas </w:t>
      </w:r>
      <w:r w:rsidR="002E1C34" w:rsidRPr="00B1748E">
        <w:rPr>
          <w:lang w:val="en-US"/>
        </w:rPr>
        <w:t>examined</w:t>
      </w:r>
      <w:r w:rsidRPr="00B1748E">
        <w:rPr>
          <w:lang w:val="en-US"/>
        </w:rPr>
        <w:t xml:space="preserve"> included outputs 1.1, 1.3, 2.3 in </w:t>
      </w:r>
      <w:r w:rsidR="00165E58" w:rsidRPr="00B1748E">
        <w:rPr>
          <w:lang w:val="en-US"/>
        </w:rPr>
        <w:t xml:space="preserve">Budget Document G, and </w:t>
      </w:r>
      <w:r w:rsidR="002E1C34" w:rsidRPr="00B1748E">
        <w:rPr>
          <w:lang w:val="en-US"/>
        </w:rPr>
        <w:t>outputs</w:t>
      </w:r>
      <w:r w:rsidR="00165E58" w:rsidRPr="00B1748E">
        <w:rPr>
          <w:lang w:val="en-US"/>
        </w:rPr>
        <w:t xml:space="preserve"> 2.1, 2.3 and 3.3 in the annual report covering </w:t>
      </w:r>
      <w:r w:rsidR="002E1C34" w:rsidRPr="00B1748E">
        <w:rPr>
          <w:lang w:val="en-US"/>
        </w:rPr>
        <w:t>strategies</w:t>
      </w:r>
      <w:r w:rsidR="00165E58" w:rsidRPr="00B1748E">
        <w:rPr>
          <w:lang w:val="en-US"/>
        </w:rPr>
        <w:t xml:space="preserve"> </w:t>
      </w:r>
      <w:r w:rsidR="006B6E1E" w:rsidRPr="00B1748E">
        <w:rPr>
          <w:lang w:val="en-US"/>
        </w:rPr>
        <w:t>Policy and</w:t>
      </w:r>
      <w:r w:rsidR="00165E58" w:rsidRPr="00B1748E">
        <w:rPr>
          <w:lang w:val="en-US"/>
        </w:rPr>
        <w:t xml:space="preserve"> child Protection Services</w:t>
      </w:r>
      <w:r w:rsidR="00850A96" w:rsidRPr="00B1748E">
        <w:rPr>
          <w:lang w:val="en-US"/>
        </w:rPr>
        <w:t>.</w:t>
      </w:r>
    </w:p>
    <w:p w14:paraId="3073F81D" w14:textId="0BA9E1B6" w:rsidR="00394272" w:rsidRPr="002E1C34" w:rsidRDefault="00394272" w:rsidP="00794816">
      <w:pPr>
        <w:pStyle w:val="Headinglevel3"/>
      </w:pPr>
      <w:bookmarkStart w:id="124" w:name="_Toc479770993"/>
      <w:r w:rsidRPr="00394272">
        <w:rPr>
          <w:lang w:val="en-US"/>
        </w:rPr>
        <w:t>Matters Discussed</w:t>
      </w:r>
      <w:r w:rsidR="006B6E1E">
        <w:rPr>
          <w:lang w:val="en-US"/>
        </w:rPr>
        <w:t xml:space="preserve"> at Hearings</w:t>
      </w:r>
    </w:p>
    <w:p w14:paraId="510098E2" w14:textId="20845132" w:rsidR="00842335" w:rsidRDefault="00394272" w:rsidP="00AF16A7">
      <w:pPr>
        <w:pStyle w:val="BodyText"/>
        <w:numPr>
          <w:ilvl w:val="5"/>
          <w:numId w:val="4"/>
        </w:numPr>
      </w:pPr>
      <w:r w:rsidRPr="003F209A">
        <w:rPr>
          <w:lang w:val="en-US"/>
        </w:rPr>
        <w:t>The</w:t>
      </w:r>
      <w:r w:rsidRPr="00394272">
        <w:t xml:space="preserve"> Committee considered the following issues related to Inclusion and Participation (CSD Output 1.1/2.1), Strategic Policies (CSD Output 1.3/2.3) and Child and Youth Protection Services – in relation to </w:t>
      </w:r>
      <w:proofErr w:type="spellStart"/>
      <w:r w:rsidRPr="00394272">
        <w:t>Bimberi</w:t>
      </w:r>
      <w:proofErr w:type="spellEnd"/>
      <w:r w:rsidRPr="00394272">
        <w:t xml:space="preserve"> and community recovery and emergency relief only (CSD Output 2.3/3.3):</w:t>
      </w:r>
      <w:bookmarkStart w:id="125" w:name="_Toc479771014"/>
      <w:bookmarkEnd w:id="123"/>
      <w:bookmarkEnd w:id="124"/>
      <w:bookmarkEnd w:id="125"/>
    </w:p>
    <w:p w14:paraId="1808D679" w14:textId="77777777" w:rsidR="00977530" w:rsidRPr="00977530" w:rsidRDefault="00977530" w:rsidP="00AF16A7">
      <w:pPr>
        <w:numPr>
          <w:ilvl w:val="2"/>
          <w:numId w:val="18"/>
        </w:numPr>
        <w:spacing w:before="40" w:after="60" w:line="288" w:lineRule="auto"/>
        <w:rPr>
          <w:szCs w:val="22"/>
          <w:lang w:val="en-US"/>
        </w:rPr>
      </w:pPr>
      <w:r w:rsidRPr="00977530">
        <w:rPr>
          <w:szCs w:val="22"/>
          <w:lang w:val="en-US"/>
        </w:rPr>
        <w:t xml:space="preserve">measures to ensure the safety of staff at </w:t>
      </w:r>
      <w:proofErr w:type="spellStart"/>
      <w:r w:rsidRPr="00977530">
        <w:rPr>
          <w:szCs w:val="22"/>
          <w:lang w:val="en-US"/>
        </w:rPr>
        <w:t>Bimberi</w:t>
      </w:r>
      <w:proofErr w:type="spellEnd"/>
      <w:r w:rsidRPr="00977530">
        <w:rPr>
          <w:szCs w:val="22"/>
          <w:lang w:val="en-US"/>
        </w:rPr>
        <w:t xml:space="preserve"> since the 2019 riot;</w:t>
      </w:r>
      <w:r w:rsidRPr="00977530">
        <w:rPr>
          <w:szCs w:val="22"/>
          <w:vertAlign w:val="superscript"/>
          <w:lang w:val="en-US"/>
        </w:rPr>
        <w:footnoteReference w:id="145"/>
      </w:r>
    </w:p>
    <w:p w14:paraId="2618A6EB" w14:textId="77777777" w:rsidR="00977530" w:rsidRPr="00977530" w:rsidRDefault="00977530" w:rsidP="00AF16A7">
      <w:pPr>
        <w:numPr>
          <w:ilvl w:val="2"/>
          <w:numId w:val="18"/>
        </w:numPr>
        <w:spacing w:before="40" w:after="60" w:line="288" w:lineRule="auto"/>
        <w:rPr>
          <w:szCs w:val="22"/>
          <w:lang w:val="en-US"/>
        </w:rPr>
      </w:pPr>
      <w:r w:rsidRPr="00977530">
        <w:rPr>
          <w:szCs w:val="22"/>
          <w:lang w:val="en-US"/>
        </w:rPr>
        <w:t xml:space="preserve">personal protective equipment upgrade at </w:t>
      </w:r>
      <w:proofErr w:type="spellStart"/>
      <w:r w:rsidRPr="00977530">
        <w:rPr>
          <w:szCs w:val="22"/>
          <w:lang w:val="en-US"/>
        </w:rPr>
        <w:t>Bimberi</w:t>
      </w:r>
      <w:proofErr w:type="spellEnd"/>
      <w:r w:rsidRPr="00977530">
        <w:rPr>
          <w:szCs w:val="22"/>
          <w:lang w:val="en-US"/>
        </w:rPr>
        <w:t>;</w:t>
      </w:r>
      <w:r w:rsidRPr="00977530">
        <w:rPr>
          <w:szCs w:val="22"/>
          <w:vertAlign w:val="superscript"/>
          <w:lang w:val="en-US"/>
        </w:rPr>
        <w:footnoteReference w:id="146"/>
      </w:r>
    </w:p>
    <w:p w14:paraId="1AC83960" w14:textId="7E7DF6F8" w:rsidR="00977530" w:rsidRPr="00977530" w:rsidRDefault="00977530" w:rsidP="00AF16A7">
      <w:pPr>
        <w:numPr>
          <w:ilvl w:val="2"/>
          <w:numId w:val="18"/>
        </w:numPr>
        <w:spacing w:before="40" w:after="60" w:line="288" w:lineRule="auto"/>
        <w:rPr>
          <w:szCs w:val="22"/>
          <w:lang w:val="en-US"/>
        </w:rPr>
      </w:pPr>
      <w:r w:rsidRPr="00977530">
        <w:rPr>
          <w:szCs w:val="22"/>
          <w:lang w:val="en-US"/>
        </w:rPr>
        <w:t xml:space="preserve">training for </w:t>
      </w:r>
      <w:proofErr w:type="spellStart"/>
      <w:r w:rsidRPr="00977530">
        <w:rPr>
          <w:szCs w:val="22"/>
          <w:lang w:val="en-US"/>
        </w:rPr>
        <w:t>Bimberi</w:t>
      </w:r>
      <w:proofErr w:type="spellEnd"/>
      <w:r w:rsidRPr="00977530">
        <w:rPr>
          <w:szCs w:val="22"/>
          <w:lang w:val="en-US"/>
        </w:rPr>
        <w:t xml:space="preserve"> staff, including the use-of-force training and changes in response to Muir </w:t>
      </w:r>
      <w:r w:rsidR="00343F9B">
        <w:rPr>
          <w:szCs w:val="22"/>
          <w:lang w:val="en-US"/>
        </w:rPr>
        <w:t xml:space="preserve">review </w:t>
      </w:r>
      <w:r w:rsidRPr="00977530">
        <w:rPr>
          <w:szCs w:val="22"/>
          <w:lang w:val="en-US"/>
        </w:rPr>
        <w:t>recommendation</w:t>
      </w:r>
      <w:r w:rsidR="00343F9B">
        <w:rPr>
          <w:szCs w:val="22"/>
          <w:lang w:val="en-US"/>
        </w:rPr>
        <w:t>s</w:t>
      </w:r>
      <w:r w:rsidRPr="00977530">
        <w:rPr>
          <w:szCs w:val="22"/>
          <w:lang w:val="en-US"/>
        </w:rPr>
        <w:t>;</w:t>
      </w:r>
      <w:r w:rsidRPr="00977530">
        <w:rPr>
          <w:szCs w:val="22"/>
          <w:vertAlign w:val="superscript"/>
          <w:lang w:val="en-US"/>
        </w:rPr>
        <w:footnoteReference w:id="147"/>
      </w:r>
    </w:p>
    <w:p w14:paraId="0E4DCD9A" w14:textId="77777777" w:rsidR="00977530" w:rsidRPr="00977530" w:rsidRDefault="00977530" w:rsidP="00AF16A7">
      <w:pPr>
        <w:numPr>
          <w:ilvl w:val="2"/>
          <w:numId w:val="18"/>
        </w:numPr>
        <w:spacing w:before="40" w:after="60" w:line="288" w:lineRule="auto"/>
        <w:rPr>
          <w:szCs w:val="22"/>
          <w:lang w:val="en-US"/>
        </w:rPr>
      </w:pPr>
      <w:r w:rsidRPr="00977530">
        <w:rPr>
          <w:szCs w:val="22"/>
          <w:lang w:val="en-US"/>
        </w:rPr>
        <w:t>additional resources to assist with the mental health of detainees during lockdown;</w:t>
      </w:r>
      <w:r w:rsidRPr="00977530">
        <w:rPr>
          <w:szCs w:val="22"/>
          <w:vertAlign w:val="superscript"/>
          <w:lang w:val="en-US"/>
        </w:rPr>
        <w:footnoteReference w:id="148"/>
      </w:r>
    </w:p>
    <w:p w14:paraId="59D5497C" w14:textId="77777777" w:rsidR="00977530" w:rsidRPr="00977530" w:rsidRDefault="00977530" w:rsidP="00AF16A7">
      <w:pPr>
        <w:numPr>
          <w:ilvl w:val="2"/>
          <w:numId w:val="18"/>
        </w:numPr>
        <w:spacing w:before="40" w:after="60" w:line="288" w:lineRule="auto"/>
        <w:rPr>
          <w:szCs w:val="22"/>
          <w:lang w:val="en-US"/>
        </w:rPr>
      </w:pPr>
      <w:r w:rsidRPr="00977530">
        <w:rPr>
          <w:szCs w:val="22"/>
          <w:lang w:val="en-US"/>
        </w:rPr>
        <w:t xml:space="preserve">staffing levels at </w:t>
      </w:r>
      <w:proofErr w:type="spellStart"/>
      <w:r w:rsidRPr="00977530">
        <w:rPr>
          <w:szCs w:val="22"/>
          <w:lang w:val="en-US"/>
        </w:rPr>
        <w:t>Bimberi</w:t>
      </w:r>
      <w:proofErr w:type="spellEnd"/>
      <w:r w:rsidRPr="00977530">
        <w:rPr>
          <w:szCs w:val="22"/>
          <w:lang w:val="en-US"/>
        </w:rPr>
        <w:t xml:space="preserve"> from May 2019 to January 2021;</w:t>
      </w:r>
      <w:r w:rsidRPr="00977530">
        <w:rPr>
          <w:szCs w:val="22"/>
          <w:vertAlign w:val="superscript"/>
          <w:lang w:val="en-US"/>
        </w:rPr>
        <w:footnoteReference w:id="149"/>
      </w:r>
    </w:p>
    <w:p w14:paraId="66711141" w14:textId="77777777" w:rsidR="00977530" w:rsidRPr="00977530" w:rsidRDefault="00977530" w:rsidP="00AF16A7">
      <w:pPr>
        <w:numPr>
          <w:ilvl w:val="2"/>
          <w:numId w:val="18"/>
        </w:numPr>
        <w:spacing w:before="40" w:after="60" w:line="288" w:lineRule="auto"/>
        <w:rPr>
          <w:szCs w:val="22"/>
          <w:lang w:val="en-US"/>
        </w:rPr>
      </w:pPr>
      <w:r w:rsidRPr="00977530">
        <w:rPr>
          <w:szCs w:val="22"/>
          <w:lang w:val="en-US"/>
        </w:rPr>
        <w:t xml:space="preserve">other justice strategies’ efforts to maintain a closer connection to the community for the young people at </w:t>
      </w:r>
      <w:proofErr w:type="spellStart"/>
      <w:r w:rsidRPr="00977530">
        <w:rPr>
          <w:szCs w:val="22"/>
          <w:lang w:val="en-US"/>
        </w:rPr>
        <w:t>Bimberi</w:t>
      </w:r>
      <w:proofErr w:type="spellEnd"/>
      <w:r w:rsidRPr="00977530">
        <w:rPr>
          <w:szCs w:val="22"/>
          <w:lang w:val="en-US"/>
        </w:rPr>
        <w:t>;</w:t>
      </w:r>
      <w:r w:rsidRPr="00977530">
        <w:rPr>
          <w:szCs w:val="22"/>
          <w:vertAlign w:val="superscript"/>
          <w:lang w:val="en-US"/>
        </w:rPr>
        <w:footnoteReference w:id="150"/>
      </w:r>
    </w:p>
    <w:p w14:paraId="1AAFEA72" w14:textId="77777777" w:rsidR="00977530" w:rsidRPr="00977530" w:rsidRDefault="00977530" w:rsidP="00AF16A7">
      <w:pPr>
        <w:numPr>
          <w:ilvl w:val="2"/>
          <w:numId w:val="18"/>
        </w:numPr>
        <w:spacing w:before="40" w:after="60" w:line="288" w:lineRule="auto"/>
        <w:rPr>
          <w:szCs w:val="22"/>
          <w:lang w:val="en-US"/>
        </w:rPr>
      </w:pPr>
      <w:r w:rsidRPr="00977530">
        <w:rPr>
          <w:szCs w:val="22"/>
          <w:lang w:val="en-US"/>
        </w:rPr>
        <w:t xml:space="preserve">the progress of the CCTV improvement project at </w:t>
      </w:r>
      <w:proofErr w:type="spellStart"/>
      <w:r w:rsidRPr="00977530">
        <w:rPr>
          <w:szCs w:val="22"/>
          <w:lang w:val="en-US"/>
        </w:rPr>
        <w:t>Bimberi</w:t>
      </w:r>
      <w:proofErr w:type="spellEnd"/>
      <w:r w:rsidRPr="00977530">
        <w:rPr>
          <w:szCs w:val="22"/>
          <w:lang w:val="en-US"/>
        </w:rPr>
        <w:t>;</w:t>
      </w:r>
      <w:r w:rsidRPr="00977530">
        <w:rPr>
          <w:szCs w:val="22"/>
          <w:vertAlign w:val="superscript"/>
          <w:lang w:val="en-US"/>
        </w:rPr>
        <w:footnoteReference w:id="151"/>
      </w:r>
    </w:p>
    <w:p w14:paraId="69C1C63E" w14:textId="77777777" w:rsidR="00977530" w:rsidRPr="00977530" w:rsidRDefault="00977530" w:rsidP="00AF16A7">
      <w:pPr>
        <w:numPr>
          <w:ilvl w:val="2"/>
          <w:numId w:val="18"/>
        </w:numPr>
        <w:spacing w:before="40" w:after="60" w:line="288" w:lineRule="auto"/>
        <w:rPr>
          <w:szCs w:val="22"/>
          <w:lang w:val="en-US"/>
        </w:rPr>
      </w:pPr>
      <w:r w:rsidRPr="00977530">
        <w:rPr>
          <w:szCs w:val="22"/>
          <w:lang w:val="en-US"/>
        </w:rPr>
        <w:t xml:space="preserve">exit planning and support for those who are transitioning from </w:t>
      </w:r>
      <w:proofErr w:type="spellStart"/>
      <w:r w:rsidRPr="00977530">
        <w:rPr>
          <w:szCs w:val="22"/>
          <w:lang w:val="en-US"/>
        </w:rPr>
        <w:t>Bimberi</w:t>
      </w:r>
      <w:proofErr w:type="spellEnd"/>
      <w:r w:rsidRPr="00977530">
        <w:rPr>
          <w:szCs w:val="22"/>
          <w:lang w:val="en-US"/>
        </w:rPr>
        <w:t xml:space="preserve"> to the community including the role played by Child and Youth Protection Services;</w:t>
      </w:r>
      <w:r w:rsidRPr="00977530">
        <w:rPr>
          <w:szCs w:val="22"/>
          <w:vertAlign w:val="superscript"/>
          <w:lang w:val="en-US"/>
        </w:rPr>
        <w:footnoteReference w:id="152"/>
      </w:r>
    </w:p>
    <w:p w14:paraId="49DF2685" w14:textId="77777777" w:rsidR="00977530" w:rsidRPr="00977530" w:rsidRDefault="00977530" w:rsidP="00AF16A7">
      <w:pPr>
        <w:numPr>
          <w:ilvl w:val="2"/>
          <w:numId w:val="18"/>
        </w:numPr>
        <w:spacing w:before="40" w:after="60" w:line="288" w:lineRule="auto"/>
        <w:rPr>
          <w:szCs w:val="22"/>
          <w:lang w:val="en-US"/>
        </w:rPr>
      </w:pPr>
      <w:proofErr w:type="spellStart"/>
      <w:r w:rsidRPr="00977530">
        <w:rPr>
          <w:szCs w:val="22"/>
          <w:lang w:val="en-US"/>
        </w:rPr>
        <w:t>Bimberi</w:t>
      </w:r>
      <w:proofErr w:type="spellEnd"/>
      <w:r w:rsidRPr="00977530">
        <w:rPr>
          <w:szCs w:val="22"/>
          <w:lang w:val="en-US"/>
        </w:rPr>
        <w:t xml:space="preserve"> staffing rates including current vacancies;</w:t>
      </w:r>
      <w:r w:rsidRPr="00977530">
        <w:rPr>
          <w:szCs w:val="22"/>
          <w:vertAlign w:val="superscript"/>
          <w:lang w:val="en-US"/>
        </w:rPr>
        <w:footnoteReference w:id="153"/>
      </w:r>
    </w:p>
    <w:p w14:paraId="10D588AC" w14:textId="678839A3" w:rsidR="00977530" w:rsidRPr="00977530" w:rsidRDefault="00977530" w:rsidP="00AF16A7">
      <w:pPr>
        <w:numPr>
          <w:ilvl w:val="2"/>
          <w:numId w:val="18"/>
        </w:numPr>
        <w:spacing w:before="40" w:after="60" w:line="288" w:lineRule="auto"/>
        <w:rPr>
          <w:szCs w:val="22"/>
          <w:lang w:val="en-US"/>
        </w:rPr>
      </w:pPr>
      <w:r w:rsidRPr="00977530">
        <w:rPr>
          <w:szCs w:val="22"/>
          <w:lang w:val="en-US"/>
        </w:rPr>
        <w:t xml:space="preserve">the value of having an ACT-based response to </w:t>
      </w:r>
      <w:r w:rsidR="006B6E1E" w:rsidRPr="00977530">
        <w:rPr>
          <w:szCs w:val="22"/>
          <w:lang w:val="en-US"/>
        </w:rPr>
        <w:t>veterans’</w:t>
      </w:r>
      <w:r w:rsidRPr="00977530">
        <w:rPr>
          <w:szCs w:val="22"/>
          <w:lang w:val="en-US"/>
        </w:rPr>
        <w:t xml:space="preserve"> issues;</w:t>
      </w:r>
      <w:r w:rsidRPr="00977530">
        <w:rPr>
          <w:szCs w:val="22"/>
          <w:vertAlign w:val="superscript"/>
          <w:lang w:val="en-US"/>
        </w:rPr>
        <w:footnoteReference w:id="154"/>
      </w:r>
    </w:p>
    <w:p w14:paraId="6AE8E57B" w14:textId="77777777" w:rsidR="00977530" w:rsidRPr="00977530" w:rsidRDefault="00977530" w:rsidP="00AF16A7">
      <w:pPr>
        <w:numPr>
          <w:ilvl w:val="2"/>
          <w:numId w:val="18"/>
        </w:numPr>
        <w:spacing w:before="40" w:after="60" w:line="288" w:lineRule="auto"/>
        <w:rPr>
          <w:szCs w:val="22"/>
          <w:lang w:val="en-US"/>
        </w:rPr>
      </w:pPr>
      <w:r w:rsidRPr="00977530">
        <w:rPr>
          <w:szCs w:val="22"/>
          <w:lang w:val="en-US"/>
        </w:rPr>
        <w:t>the Veterans Minister’s key initiatives for the coming year;</w:t>
      </w:r>
      <w:r w:rsidRPr="00977530">
        <w:rPr>
          <w:szCs w:val="22"/>
          <w:vertAlign w:val="superscript"/>
          <w:lang w:val="en-US"/>
        </w:rPr>
        <w:footnoteReference w:id="155"/>
      </w:r>
    </w:p>
    <w:p w14:paraId="03B885F7" w14:textId="3F06C6DE" w:rsidR="00977530" w:rsidRPr="00977530" w:rsidRDefault="00977530" w:rsidP="00AF16A7">
      <w:pPr>
        <w:numPr>
          <w:ilvl w:val="2"/>
          <w:numId w:val="18"/>
        </w:numPr>
        <w:spacing w:before="40" w:after="60" w:line="288" w:lineRule="auto"/>
        <w:rPr>
          <w:szCs w:val="22"/>
          <w:lang w:val="en-US"/>
        </w:rPr>
      </w:pPr>
      <w:r w:rsidRPr="00977530">
        <w:rPr>
          <w:szCs w:val="22"/>
          <w:lang w:val="en-US"/>
        </w:rPr>
        <w:t xml:space="preserve">funding for the implementation of the </w:t>
      </w:r>
      <w:r w:rsidR="006B6E1E" w:rsidRPr="00977530">
        <w:rPr>
          <w:szCs w:val="22"/>
          <w:lang w:val="en-US"/>
        </w:rPr>
        <w:t>veteran’s</w:t>
      </w:r>
      <w:r w:rsidRPr="00977530">
        <w:rPr>
          <w:szCs w:val="22"/>
          <w:lang w:val="en-US"/>
        </w:rPr>
        <w:t xml:space="preserve"> plan;</w:t>
      </w:r>
      <w:r w:rsidRPr="00977530">
        <w:rPr>
          <w:szCs w:val="22"/>
          <w:vertAlign w:val="superscript"/>
          <w:lang w:val="en-US"/>
        </w:rPr>
        <w:footnoteReference w:id="156"/>
      </w:r>
    </w:p>
    <w:p w14:paraId="58F805F5" w14:textId="43AF1536" w:rsidR="00977530" w:rsidRPr="00977530" w:rsidRDefault="00977530" w:rsidP="00AF16A7">
      <w:pPr>
        <w:numPr>
          <w:ilvl w:val="2"/>
          <w:numId w:val="18"/>
        </w:numPr>
        <w:spacing w:before="40" w:after="60" w:line="288" w:lineRule="auto"/>
        <w:rPr>
          <w:szCs w:val="22"/>
          <w:lang w:val="en-US"/>
        </w:rPr>
      </w:pPr>
      <w:r w:rsidRPr="00977530">
        <w:rPr>
          <w:szCs w:val="22"/>
          <w:lang w:val="en-US"/>
        </w:rPr>
        <w:t>the veterans</w:t>
      </w:r>
      <w:r w:rsidR="00CD2246">
        <w:rPr>
          <w:szCs w:val="22"/>
          <w:lang w:val="en-US"/>
        </w:rPr>
        <w:t>’</w:t>
      </w:r>
      <w:r w:rsidRPr="00977530">
        <w:rPr>
          <w:szCs w:val="22"/>
          <w:lang w:val="en-US"/>
        </w:rPr>
        <w:t xml:space="preserve"> grants program, the seniors grants program and grants allocation;</w:t>
      </w:r>
      <w:r w:rsidRPr="00977530">
        <w:rPr>
          <w:szCs w:val="22"/>
          <w:vertAlign w:val="superscript"/>
          <w:lang w:val="en-US"/>
        </w:rPr>
        <w:footnoteReference w:id="157"/>
      </w:r>
    </w:p>
    <w:p w14:paraId="3E096ECE" w14:textId="5AC95D7C" w:rsidR="00977530" w:rsidRPr="00977530" w:rsidRDefault="00977530" w:rsidP="00AF16A7">
      <w:pPr>
        <w:numPr>
          <w:ilvl w:val="2"/>
          <w:numId w:val="18"/>
        </w:numPr>
        <w:spacing w:before="40" w:after="60" w:line="288" w:lineRule="auto"/>
        <w:rPr>
          <w:szCs w:val="22"/>
          <w:lang w:val="en-US"/>
        </w:rPr>
      </w:pPr>
      <w:r w:rsidRPr="00977530">
        <w:rPr>
          <w:szCs w:val="22"/>
          <w:lang w:val="en-US"/>
        </w:rPr>
        <w:t xml:space="preserve">the declining rate of young people successfully completing community-based orders in the ACT, the complex </w:t>
      </w:r>
      <w:r w:rsidR="006B6E1E" w:rsidRPr="00977530">
        <w:rPr>
          <w:szCs w:val="22"/>
          <w:lang w:val="en-US"/>
        </w:rPr>
        <w:t>indicators,</w:t>
      </w:r>
      <w:r w:rsidRPr="00977530">
        <w:rPr>
          <w:szCs w:val="22"/>
          <w:lang w:val="en-US"/>
        </w:rPr>
        <w:t xml:space="preserve"> and responses;</w:t>
      </w:r>
      <w:r w:rsidRPr="00977530">
        <w:rPr>
          <w:szCs w:val="22"/>
          <w:vertAlign w:val="superscript"/>
          <w:lang w:val="en-US"/>
        </w:rPr>
        <w:footnoteReference w:id="158"/>
      </w:r>
    </w:p>
    <w:p w14:paraId="0AECB6C5" w14:textId="77777777" w:rsidR="00977530" w:rsidRPr="00977530" w:rsidRDefault="00977530" w:rsidP="00AF16A7">
      <w:pPr>
        <w:numPr>
          <w:ilvl w:val="2"/>
          <w:numId w:val="18"/>
        </w:numPr>
        <w:spacing w:before="40" w:after="60" w:line="288" w:lineRule="auto"/>
        <w:rPr>
          <w:szCs w:val="22"/>
          <w:lang w:val="en-US"/>
        </w:rPr>
      </w:pPr>
      <w:r w:rsidRPr="00977530">
        <w:rPr>
          <w:szCs w:val="22"/>
          <w:lang w:val="en-US"/>
        </w:rPr>
        <w:t xml:space="preserve">the </w:t>
      </w:r>
      <w:proofErr w:type="spellStart"/>
      <w:r w:rsidRPr="00977530">
        <w:rPr>
          <w:szCs w:val="22"/>
          <w:lang w:val="en-US"/>
        </w:rPr>
        <w:t>Narrabundah</w:t>
      </w:r>
      <w:proofErr w:type="spellEnd"/>
      <w:r w:rsidRPr="00977530">
        <w:rPr>
          <w:szCs w:val="22"/>
          <w:lang w:val="en-US"/>
        </w:rPr>
        <w:t xml:space="preserve"> house and its operational status;</w:t>
      </w:r>
      <w:r w:rsidRPr="00977530">
        <w:rPr>
          <w:szCs w:val="22"/>
          <w:vertAlign w:val="superscript"/>
          <w:lang w:val="en-US"/>
        </w:rPr>
        <w:footnoteReference w:id="159"/>
      </w:r>
      <w:r w:rsidRPr="00977530">
        <w:rPr>
          <w:szCs w:val="22"/>
          <w:lang w:val="en-US"/>
        </w:rPr>
        <w:t xml:space="preserve"> and</w:t>
      </w:r>
    </w:p>
    <w:p w14:paraId="362C668E" w14:textId="61D355F6" w:rsidR="00BA686F" w:rsidRDefault="00977530" w:rsidP="00AF16A7">
      <w:pPr>
        <w:numPr>
          <w:ilvl w:val="2"/>
          <w:numId w:val="18"/>
        </w:numPr>
        <w:spacing w:before="40" w:after="60" w:line="288" w:lineRule="auto"/>
        <w:rPr>
          <w:szCs w:val="22"/>
          <w:lang w:val="en-US"/>
        </w:rPr>
      </w:pPr>
      <w:r w:rsidRPr="00977530">
        <w:rPr>
          <w:szCs w:val="22"/>
          <w:lang w:val="en-US"/>
        </w:rPr>
        <w:t>the Canberra Relief Network.</w:t>
      </w:r>
      <w:r w:rsidRPr="00977530">
        <w:rPr>
          <w:szCs w:val="22"/>
          <w:vertAlign w:val="superscript"/>
          <w:lang w:val="en-US"/>
        </w:rPr>
        <w:footnoteReference w:id="160"/>
      </w:r>
    </w:p>
    <w:p w14:paraId="50697E3E" w14:textId="3DC3350A" w:rsidR="00BA686F" w:rsidRDefault="006B6E1E" w:rsidP="00F82368">
      <w:pPr>
        <w:pStyle w:val="Headinglevel4"/>
      </w:pPr>
      <w:r>
        <w:t xml:space="preserve">Questions </w:t>
      </w:r>
    </w:p>
    <w:p w14:paraId="533D6F6F" w14:textId="1F735310" w:rsidR="00F82368" w:rsidRPr="006372D8" w:rsidRDefault="00F82368" w:rsidP="00F82368">
      <w:pPr>
        <w:pStyle w:val="BodyText1"/>
        <w:rPr>
          <w:b/>
          <w:bCs/>
          <w:color w:val="000000"/>
          <w:lang w:eastAsia="en-AU"/>
        </w:rPr>
      </w:pPr>
      <w:proofErr w:type="spellStart"/>
      <w:r>
        <w:t>QToNs</w:t>
      </w:r>
      <w:proofErr w:type="spellEnd"/>
      <w:r>
        <w:t xml:space="preserve"> and </w:t>
      </w:r>
      <w:proofErr w:type="spellStart"/>
      <w:r>
        <w:t>QoNs</w:t>
      </w:r>
      <w:proofErr w:type="spellEnd"/>
      <w:r>
        <w:t xml:space="preserve"> which were asked as a result of the Committee’s inquiry </w:t>
      </w:r>
      <w:r w:rsidRPr="006372D8">
        <w:rPr>
          <w:b/>
          <w:bCs/>
        </w:rPr>
        <w:t>are at Appendi</w:t>
      </w:r>
      <w:r>
        <w:rPr>
          <w:b/>
          <w:bCs/>
        </w:rPr>
        <w:t>c</w:t>
      </w:r>
      <w:r w:rsidRPr="006372D8">
        <w:rPr>
          <w:b/>
          <w:bCs/>
        </w:rPr>
        <w:t>es C and D.</w:t>
      </w:r>
    </w:p>
    <w:p w14:paraId="2E2B2ECE" w14:textId="22333EE2" w:rsidR="00F82368" w:rsidRDefault="00F82368" w:rsidP="00F82368">
      <w:pPr>
        <w:pStyle w:val="Headinglevel4"/>
      </w:pPr>
      <w:r>
        <w:t>Committee Recommendations</w:t>
      </w:r>
    </w:p>
    <w:tbl>
      <w:tblPr>
        <w:tblStyle w:val="TableGrid"/>
        <w:tblW w:w="9209" w:type="dxa"/>
        <w:tblInd w:w="-142" w:type="dxa"/>
        <w:tblLook w:val="04A0" w:firstRow="1" w:lastRow="0" w:firstColumn="1" w:lastColumn="0" w:noHBand="0" w:noVBand="1"/>
      </w:tblPr>
      <w:tblGrid>
        <w:gridCol w:w="9209"/>
      </w:tblGrid>
      <w:tr w:rsidR="003B7A40" w14:paraId="3BA8F1C9" w14:textId="77777777" w:rsidTr="00665195">
        <w:tc>
          <w:tcPr>
            <w:tcW w:w="9209" w:type="dxa"/>
          </w:tcPr>
          <w:p w14:paraId="01BFFAA9" w14:textId="2B9DF6A2" w:rsidR="003B7A40" w:rsidRDefault="003B7A40" w:rsidP="00391606">
            <w:pPr>
              <w:pStyle w:val="RecommendationHeading"/>
            </w:pPr>
            <w:bookmarkStart w:id="126" w:name="_Toc68848958"/>
            <w:r>
              <w:t xml:space="preserve">Recommendation </w:t>
            </w:r>
            <w:r>
              <w:rPr>
                <w:noProof/>
              </w:rPr>
              <w:fldChar w:fldCharType="begin"/>
            </w:r>
            <w:r>
              <w:rPr>
                <w:noProof/>
              </w:rPr>
              <w:instrText xml:space="preserve"> seq NumList </w:instrText>
            </w:r>
            <w:r>
              <w:rPr>
                <w:noProof/>
              </w:rPr>
              <w:fldChar w:fldCharType="separate"/>
            </w:r>
            <w:r w:rsidR="002A4E14">
              <w:rPr>
                <w:noProof/>
              </w:rPr>
              <w:t>33</w:t>
            </w:r>
            <w:bookmarkEnd w:id="126"/>
            <w:r>
              <w:rPr>
                <w:noProof/>
              </w:rPr>
              <w:fldChar w:fldCharType="end"/>
            </w:r>
          </w:p>
          <w:p w14:paraId="3CFFC803" w14:textId="48F4BAB2" w:rsidR="003B7A40" w:rsidRPr="003B7A40" w:rsidRDefault="003B7A40" w:rsidP="003B7A40">
            <w:pPr>
              <w:pStyle w:val="RecommendationText"/>
            </w:pPr>
            <w:bookmarkStart w:id="127" w:name="_Toc68848959"/>
            <w:r>
              <w:t xml:space="preserve">That CSD review its current approach to case management with the aim of better supporting youth transitioning from </w:t>
            </w:r>
            <w:proofErr w:type="spellStart"/>
            <w:r>
              <w:t>Bimberi</w:t>
            </w:r>
            <w:proofErr w:type="spellEnd"/>
            <w:r>
              <w:t xml:space="preserve"> including youth on community-based orders</w:t>
            </w:r>
            <w:r w:rsidR="004D1E60">
              <w:t>.</w:t>
            </w:r>
            <w:bookmarkEnd w:id="127"/>
          </w:p>
        </w:tc>
      </w:tr>
      <w:tr w:rsidR="003B7A40" w14:paraId="3BE9C82B" w14:textId="77777777" w:rsidTr="00665195">
        <w:tc>
          <w:tcPr>
            <w:tcW w:w="9209" w:type="dxa"/>
          </w:tcPr>
          <w:p w14:paraId="5B507C91" w14:textId="621C3D11" w:rsidR="003B7A40" w:rsidRDefault="003B7A40" w:rsidP="00391606">
            <w:pPr>
              <w:pStyle w:val="RecommendationHeading"/>
            </w:pPr>
            <w:bookmarkStart w:id="128" w:name="_Toc68848960"/>
            <w:r>
              <w:t xml:space="preserve">Recommendation </w:t>
            </w:r>
            <w:r>
              <w:rPr>
                <w:noProof/>
              </w:rPr>
              <w:fldChar w:fldCharType="begin"/>
            </w:r>
            <w:r>
              <w:rPr>
                <w:noProof/>
              </w:rPr>
              <w:instrText xml:space="preserve"> seq NumList </w:instrText>
            </w:r>
            <w:r>
              <w:rPr>
                <w:noProof/>
              </w:rPr>
              <w:fldChar w:fldCharType="separate"/>
            </w:r>
            <w:r w:rsidR="002A4E14">
              <w:rPr>
                <w:noProof/>
              </w:rPr>
              <w:t>34</w:t>
            </w:r>
            <w:bookmarkEnd w:id="128"/>
            <w:r>
              <w:rPr>
                <w:noProof/>
              </w:rPr>
              <w:fldChar w:fldCharType="end"/>
            </w:r>
          </w:p>
          <w:p w14:paraId="39C7AAA1" w14:textId="3E7CB740" w:rsidR="003B7A40" w:rsidRPr="00551739" w:rsidRDefault="003B7A40" w:rsidP="00551739">
            <w:pPr>
              <w:pStyle w:val="RecommendationText"/>
            </w:pPr>
            <w:bookmarkStart w:id="129" w:name="_Toc68848961"/>
            <w:r>
              <w:t xml:space="preserve">That CSD ascertain reasons why young Aboriginal and Torres Strait Islanders on community-based justice orders are not successfully completing the conditions of those orders and ensure that provision </w:t>
            </w:r>
            <w:r w:rsidR="00D6441F">
              <w:t xml:space="preserve">be </w:t>
            </w:r>
            <w:r>
              <w:t>made for appropriate and culturally sensitive alternatives</w:t>
            </w:r>
            <w:r w:rsidR="00931882">
              <w:t>.</w:t>
            </w:r>
            <w:bookmarkEnd w:id="129"/>
          </w:p>
        </w:tc>
      </w:tr>
      <w:tr w:rsidR="003B7A40" w14:paraId="1ECE4356" w14:textId="77777777" w:rsidTr="00665195">
        <w:tc>
          <w:tcPr>
            <w:tcW w:w="9209" w:type="dxa"/>
          </w:tcPr>
          <w:p w14:paraId="7C46C32A" w14:textId="1E5A2E7B" w:rsidR="003B7A40" w:rsidRDefault="003B7A40" w:rsidP="00391606">
            <w:pPr>
              <w:pStyle w:val="RecommendationHeading"/>
            </w:pPr>
            <w:bookmarkStart w:id="130" w:name="_Toc68848962"/>
            <w:r>
              <w:t xml:space="preserve">Recommendation </w:t>
            </w:r>
            <w:r>
              <w:rPr>
                <w:noProof/>
              </w:rPr>
              <w:fldChar w:fldCharType="begin"/>
            </w:r>
            <w:r>
              <w:rPr>
                <w:noProof/>
              </w:rPr>
              <w:instrText xml:space="preserve"> seq NumList </w:instrText>
            </w:r>
            <w:r>
              <w:rPr>
                <w:noProof/>
              </w:rPr>
              <w:fldChar w:fldCharType="separate"/>
            </w:r>
            <w:r w:rsidR="002A4E14">
              <w:rPr>
                <w:noProof/>
              </w:rPr>
              <w:t>35</w:t>
            </w:r>
            <w:bookmarkEnd w:id="130"/>
            <w:r>
              <w:rPr>
                <w:noProof/>
              </w:rPr>
              <w:fldChar w:fldCharType="end"/>
            </w:r>
          </w:p>
          <w:p w14:paraId="41BA2FF3" w14:textId="30ABCD31" w:rsidR="003B7A40" w:rsidRPr="00551739" w:rsidRDefault="00551739" w:rsidP="00551739">
            <w:pPr>
              <w:pStyle w:val="RecommendationText"/>
            </w:pPr>
            <w:bookmarkStart w:id="131" w:name="_Toc68848963"/>
            <w:r>
              <w:t>That CSD to adjust the operational arrangements and operating framework of Narrabundah House to better meet the needs and expectations of the Aboriginal and Torres Strait Islander community.</w:t>
            </w:r>
            <w:bookmarkEnd w:id="131"/>
          </w:p>
        </w:tc>
      </w:tr>
    </w:tbl>
    <w:p w14:paraId="39C673B3" w14:textId="77777777" w:rsidR="00BA686F" w:rsidRDefault="00BA686F" w:rsidP="00BA686F">
      <w:pPr>
        <w:spacing w:before="40" w:after="60" w:line="288" w:lineRule="auto"/>
        <w:rPr>
          <w:szCs w:val="22"/>
          <w:lang w:val="en-US"/>
        </w:rPr>
      </w:pPr>
    </w:p>
    <w:p w14:paraId="466875F7" w14:textId="77777777" w:rsidR="00842335" w:rsidRDefault="00842335" w:rsidP="005415DE">
      <w:pPr>
        <w:pStyle w:val="Heading1"/>
        <w:numPr>
          <w:ilvl w:val="0"/>
          <w:numId w:val="19"/>
        </w:numPr>
      </w:pPr>
      <w:bookmarkStart w:id="132" w:name="_Toc68848979"/>
      <w:bookmarkStart w:id="133" w:name="_Toc341433430"/>
      <w:bookmarkStart w:id="134" w:name="_Toc341687875"/>
      <w:r w:rsidRPr="00123676">
        <w:t>C</w:t>
      </w:r>
      <w:r>
        <w:t>onclusion</w:t>
      </w:r>
      <w:bookmarkEnd w:id="132"/>
      <w:r w:rsidRPr="00123676">
        <w:t xml:space="preserve"> </w:t>
      </w:r>
      <w:bookmarkEnd w:id="133"/>
      <w:bookmarkEnd w:id="134"/>
    </w:p>
    <w:p w14:paraId="4432DED0" w14:textId="03AD19A3" w:rsidR="00BB0BC8" w:rsidRPr="00B1748E" w:rsidRDefault="00842335" w:rsidP="00B1748E">
      <w:pPr>
        <w:pStyle w:val="BodyText1"/>
        <w:rPr>
          <w:lang w:val="en-US"/>
        </w:rPr>
      </w:pPr>
      <w:r w:rsidRPr="00B1748E">
        <w:rPr>
          <w:lang w:val="en-US"/>
        </w:rPr>
        <w:t>The Committee ma</w:t>
      </w:r>
      <w:r w:rsidR="00BB0BC8" w:rsidRPr="00B1748E">
        <w:rPr>
          <w:lang w:val="en-US"/>
        </w:rPr>
        <w:t>kes</w:t>
      </w:r>
      <w:r w:rsidRPr="00B1748E">
        <w:rPr>
          <w:lang w:val="en-US"/>
        </w:rPr>
        <w:t xml:space="preserve"> </w:t>
      </w:r>
      <w:r w:rsidR="006919F7" w:rsidRPr="00634DCD">
        <w:rPr>
          <w:b/>
          <w:bCs/>
          <w:lang w:val="en-US"/>
        </w:rPr>
        <w:t>35</w:t>
      </w:r>
      <w:r w:rsidR="00BB0BC8" w:rsidRPr="00B1748E">
        <w:rPr>
          <w:lang w:val="en-US"/>
        </w:rPr>
        <w:t xml:space="preserve"> </w:t>
      </w:r>
      <w:r w:rsidRPr="00B1748E">
        <w:rPr>
          <w:lang w:val="en-US"/>
        </w:rPr>
        <w:t xml:space="preserve">recommendations in </w:t>
      </w:r>
      <w:r w:rsidR="006425E0">
        <w:rPr>
          <w:lang w:val="en-US"/>
        </w:rPr>
        <w:t>this report</w:t>
      </w:r>
      <w:r w:rsidR="006919F7">
        <w:rPr>
          <w:lang w:val="en-US"/>
        </w:rPr>
        <w:t>.</w:t>
      </w:r>
      <w:r w:rsidRPr="00B1748E">
        <w:rPr>
          <w:lang w:val="en-US"/>
        </w:rPr>
        <w:t xml:space="preserve"> </w:t>
      </w:r>
    </w:p>
    <w:p w14:paraId="30824C5D" w14:textId="5A803C99" w:rsidR="00842335" w:rsidRPr="00B1748E" w:rsidRDefault="00842335" w:rsidP="00B1748E">
      <w:pPr>
        <w:pStyle w:val="BodyText1"/>
        <w:rPr>
          <w:lang w:val="en-US"/>
        </w:rPr>
      </w:pPr>
      <w:r w:rsidRPr="00B1748E">
        <w:rPr>
          <w:lang w:val="en-US"/>
        </w:rPr>
        <w:t>The Committee would like to thank Ministers and a</w:t>
      </w:r>
      <w:r w:rsidR="00D77402">
        <w:rPr>
          <w:lang w:val="en-US"/>
        </w:rPr>
        <w:t>ll</w:t>
      </w:r>
      <w:r w:rsidRPr="00B1748E">
        <w:rPr>
          <w:lang w:val="en-US"/>
        </w:rPr>
        <w:t xml:space="preserve"> directorate and agency staff for their time and cooperation during the inquiry process.</w:t>
      </w:r>
    </w:p>
    <w:p w14:paraId="11B85824" w14:textId="77777777" w:rsidR="00842335" w:rsidRDefault="00842335" w:rsidP="00842335">
      <w:pPr>
        <w:pStyle w:val="BodyText1"/>
        <w:numPr>
          <w:ilvl w:val="0"/>
          <w:numId w:val="0"/>
        </w:numPr>
        <w:ind w:left="567"/>
      </w:pPr>
    </w:p>
    <w:p w14:paraId="2F63D33B" w14:textId="77777777" w:rsidR="00842335" w:rsidRDefault="00842335" w:rsidP="00842335">
      <w:pPr>
        <w:pStyle w:val="BodyText1"/>
        <w:numPr>
          <w:ilvl w:val="0"/>
          <w:numId w:val="0"/>
        </w:numPr>
        <w:ind w:left="680" w:hanging="680"/>
      </w:pPr>
    </w:p>
    <w:p w14:paraId="23AB37E8" w14:textId="77777777" w:rsidR="00842335" w:rsidRDefault="00842335" w:rsidP="00842335">
      <w:pPr>
        <w:pStyle w:val="BodyText1"/>
        <w:numPr>
          <w:ilvl w:val="0"/>
          <w:numId w:val="0"/>
        </w:numPr>
        <w:ind w:left="680" w:hanging="680"/>
      </w:pPr>
    </w:p>
    <w:p w14:paraId="7A8C7EF8" w14:textId="47ECD841" w:rsidR="00842335" w:rsidRPr="00960E9A" w:rsidRDefault="001F75CB" w:rsidP="006425E0">
      <w:pPr>
        <w:pStyle w:val="BodyText1"/>
        <w:numPr>
          <w:ilvl w:val="0"/>
          <w:numId w:val="0"/>
        </w:numPr>
        <w:spacing w:after="0" w:line="240" w:lineRule="auto"/>
        <w:ind w:left="680" w:hanging="680"/>
      </w:pPr>
      <w:r>
        <w:t>Johnathan Davis</w:t>
      </w:r>
      <w:r w:rsidR="00842335">
        <w:t xml:space="preserve"> </w:t>
      </w:r>
      <w:r w:rsidR="00842335" w:rsidRPr="00960E9A">
        <w:t>MLA</w:t>
      </w:r>
    </w:p>
    <w:p w14:paraId="7AEFD911" w14:textId="77777777" w:rsidR="00842335" w:rsidRPr="00960E9A" w:rsidRDefault="00842335" w:rsidP="006425E0">
      <w:pPr>
        <w:spacing w:before="240"/>
        <w:ind w:left="680" w:hanging="680"/>
      </w:pPr>
      <w:r w:rsidRPr="00960E9A">
        <w:t>Chair</w:t>
      </w:r>
    </w:p>
    <w:p w14:paraId="5E674D72" w14:textId="50532C61" w:rsidR="00842335" w:rsidRPr="00960E9A" w:rsidRDefault="00B1748E" w:rsidP="006425E0">
      <w:pPr>
        <w:keepNext/>
        <w:spacing w:before="160"/>
        <w:outlineLvl w:val="1"/>
        <w:rPr>
          <w:rFonts w:cs="Arial"/>
          <w:iCs/>
        </w:rPr>
      </w:pPr>
      <w:r>
        <w:rPr>
          <w:rFonts w:cs="Arial"/>
          <w:iCs/>
        </w:rPr>
        <w:t xml:space="preserve"> </w:t>
      </w:r>
      <w:r w:rsidR="00842335">
        <w:rPr>
          <w:rFonts w:cs="Arial"/>
          <w:iCs/>
        </w:rPr>
        <w:t xml:space="preserve"> </w:t>
      </w:r>
      <w:r w:rsidR="00266F38">
        <w:rPr>
          <w:rFonts w:cs="Arial"/>
          <w:iCs/>
        </w:rPr>
        <w:t xml:space="preserve">  </w:t>
      </w:r>
      <w:r w:rsidR="00551739">
        <w:rPr>
          <w:rFonts w:cs="Arial"/>
          <w:iCs/>
        </w:rPr>
        <w:t xml:space="preserve"> </w:t>
      </w:r>
      <w:r w:rsidR="001F75CB">
        <w:rPr>
          <w:rFonts w:cs="Arial"/>
          <w:iCs/>
        </w:rPr>
        <w:t>April 2021</w:t>
      </w:r>
    </w:p>
    <w:p w14:paraId="3C12FA63" w14:textId="77777777" w:rsidR="00842335" w:rsidRDefault="00842335" w:rsidP="00AF16A7">
      <w:pPr>
        <w:pStyle w:val="AppendixHeading1"/>
        <w:numPr>
          <w:ilvl w:val="7"/>
          <w:numId w:val="5"/>
        </w:numPr>
        <w:tabs>
          <w:tab w:val="num" w:pos="2268"/>
        </w:tabs>
        <w:sectPr w:rsidR="00842335" w:rsidSect="004D1E60">
          <w:pgSz w:w="11907" w:h="16840" w:code="9"/>
          <w:pgMar w:top="1588" w:right="1418" w:bottom="1418" w:left="1418" w:header="720" w:footer="851" w:gutter="0"/>
          <w:cols w:space="720"/>
          <w:docGrid w:linePitch="360"/>
        </w:sectPr>
      </w:pPr>
      <w:bookmarkStart w:id="135" w:name="_Toc444182515"/>
    </w:p>
    <w:p w14:paraId="3F1C77FD" w14:textId="77777777" w:rsidR="00842335" w:rsidRPr="00BD748B" w:rsidRDefault="00842335" w:rsidP="00AF16A7">
      <w:pPr>
        <w:pStyle w:val="AppendixHeading1"/>
        <w:numPr>
          <w:ilvl w:val="7"/>
          <w:numId w:val="5"/>
        </w:numPr>
        <w:tabs>
          <w:tab w:val="num" w:pos="2268"/>
        </w:tabs>
      </w:pPr>
      <w:bookmarkStart w:id="136" w:name="_Toc68848980"/>
      <w:r w:rsidRPr="00BD748B">
        <w:t>Committee public hearings</w:t>
      </w:r>
      <w:bookmarkEnd w:id="135"/>
      <w:bookmarkEnd w:id="136"/>
    </w:p>
    <w:p w14:paraId="4233FE73" w14:textId="77777777" w:rsidR="00842335" w:rsidRPr="00BD748B" w:rsidRDefault="00842335" w:rsidP="00842335">
      <w:pPr>
        <w:keepNext/>
        <w:spacing w:before="160" w:after="80" w:line="288" w:lineRule="auto"/>
        <w:outlineLvl w:val="1"/>
        <w:rPr>
          <w:rFonts w:cs="Arial"/>
          <w:iCs/>
        </w:rPr>
      </w:pPr>
      <w:r w:rsidRPr="00BD748B">
        <w:rPr>
          <w:rFonts w:cs="Arial"/>
          <w:iCs/>
        </w:rPr>
        <w:t>Witnesses who appeared before the Committee at public hearings:</w:t>
      </w:r>
    </w:p>
    <w:p w14:paraId="73377865" w14:textId="60D4133D" w:rsidR="002604D4" w:rsidRPr="00B22D51" w:rsidRDefault="002604D4" w:rsidP="00B22D51">
      <w:pPr>
        <w:pStyle w:val="Heading5"/>
      </w:pPr>
      <w:r w:rsidRPr="004D67A2">
        <w:t>FRIDAY, 26 FEBRUARY 2021</w:t>
      </w:r>
    </w:p>
    <w:p w14:paraId="399CF2EC" w14:textId="7C6614C3" w:rsidR="002604D4" w:rsidRPr="00B22D51" w:rsidRDefault="002604D4" w:rsidP="00B22D51">
      <w:pPr>
        <w:pStyle w:val="ListParagraph"/>
        <w:spacing w:before="40" w:after="60" w:line="288" w:lineRule="auto"/>
        <w:ind w:hanging="360"/>
        <w:contextualSpacing w:val="0"/>
        <w:rPr>
          <w:rFonts w:eastAsia="Calibri"/>
          <w:szCs w:val="22"/>
        </w:rPr>
      </w:pPr>
      <w:r w:rsidRPr="00B22D51">
        <w:rPr>
          <w:rFonts w:eastAsia="Calibri"/>
          <w:szCs w:val="22"/>
        </w:rPr>
        <w:t xml:space="preserve">ACT Health Directorate </w:t>
      </w:r>
    </w:p>
    <w:p w14:paraId="55201968" w14:textId="77777777" w:rsidR="002604D4" w:rsidRPr="00B22D51" w:rsidRDefault="002604D4" w:rsidP="00B22D51">
      <w:pPr>
        <w:pStyle w:val="ListParagraph"/>
        <w:spacing w:before="40" w:after="60" w:line="288" w:lineRule="auto"/>
        <w:ind w:hanging="360"/>
        <w:contextualSpacing w:val="0"/>
        <w:rPr>
          <w:rFonts w:eastAsia="Calibri"/>
          <w:szCs w:val="22"/>
        </w:rPr>
      </w:pPr>
      <w:r w:rsidRPr="00B22D51">
        <w:rPr>
          <w:rFonts w:eastAsia="Calibri"/>
          <w:szCs w:val="22"/>
        </w:rPr>
        <w:t>• ARYA, Dr Dinesh, Chief Psychiatrist</w:t>
      </w:r>
    </w:p>
    <w:p w14:paraId="4B7B9208" w14:textId="77777777" w:rsidR="002604D4" w:rsidRPr="00B22D51" w:rsidRDefault="002604D4" w:rsidP="00B22D51">
      <w:pPr>
        <w:pStyle w:val="ListParagraph"/>
        <w:spacing w:before="40" w:after="60" w:line="288" w:lineRule="auto"/>
        <w:ind w:hanging="360"/>
        <w:contextualSpacing w:val="0"/>
        <w:rPr>
          <w:rFonts w:eastAsia="Calibri"/>
          <w:szCs w:val="22"/>
        </w:rPr>
      </w:pPr>
      <w:r w:rsidRPr="00B22D51">
        <w:rPr>
          <w:rFonts w:eastAsia="Calibri"/>
          <w:szCs w:val="22"/>
        </w:rPr>
        <w:t>• CHAMBERS, Ms Kate, Chief Finance Officer and Executive Branch Manager, Corporate and Governance Division</w:t>
      </w:r>
    </w:p>
    <w:p w14:paraId="5E9E2248" w14:textId="77777777" w:rsidR="002604D4" w:rsidRPr="00B22D51" w:rsidRDefault="002604D4" w:rsidP="00B22D51">
      <w:pPr>
        <w:pStyle w:val="ListParagraph"/>
        <w:spacing w:before="40" w:after="60" w:line="288" w:lineRule="auto"/>
        <w:ind w:hanging="360"/>
        <w:contextualSpacing w:val="0"/>
        <w:rPr>
          <w:rFonts w:eastAsia="Calibri"/>
          <w:szCs w:val="22"/>
        </w:rPr>
      </w:pPr>
      <w:r w:rsidRPr="00B22D51">
        <w:rPr>
          <w:rFonts w:eastAsia="Calibri"/>
          <w:szCs w:val="22"/>
        </w:rPr>
        <w:t>• COLEMAN, Dr Kerryn, Chief Health Officer, Public Health, Protection and Regulation Division</w:t>
      </w:r>
    </w:p>
    <w:p w14:paraId="73961B24" w14:textId="77777777" w:rsidR="002604D4" w:rsidRPr="00B22D51" w:rsidRDefault="002604D4" w:rsidP="00B22D51">
      <w:pPr>
        <w:pStyle w:val="ListParagraph"/>
        <w:spacing w:before="40" w:after="60" w:line="288" w:lineRule="auto"/>
        <w:ind w:hanging="360"/>
        <w:contextualSpacing w:val="0"/>
        <w:rPr>
          <w:rFonts w:eastAsia="Calibri"/>
          <w:szCs w:val="22"/>
        </w:rPr>
      </w:pPr>
      <w:r w:rsidRPr="00B22D51">
        <w:rPr>
          <w:rFonts w:eastAsia="Calibri"/>
          <w:szCs w:val="22"/>
        </w:rPr>
        <w:t>• CULHANE, Mr Michael, Executive Group Manager, Policy, Partnerships and Programs Division</w:t>
      </w:r>
    </w:p>
    <w:p w14:paraId="609C1F00" w14:textId="77777777" w:rsidR="002604D4" w:rsidRPr="00B22D51" w:rsidRDefault="002604D4" w:rsidP="00B22D51">
      <w:pPr>
        <w:pStyle w:val="ListParagraph"/>
        <w:spacing w:before="40" w:after="60" w:line="288" w:lineRule="auto"/>
        <w:ind w:hanging="360"/>
        <w:contextualSpacing w:val="0"/>
        <w:rPr>
          <w:rFonts w:eastAsia="Calibri"/>
          <w:szCs w:val="22"/>
        </w:rPr>
      </w:pPr>
      <w:r w:rsidRPr="00B22D51">
        <w:rPr>
          <w:rFonts w:eastAsia="Calibri"/>
          <w:szCs w:val="22"/>
        </w:rPr>
        <w:t>• GRACE, Ms Karen, Executive Director, Mental Health, Justice Health, Alcohol and Drug Services</w:t>
      </w:r>
    </w:p>
    <w:p w14:paraId="605E24A1" w14:textId="77777777" w:rsidR="002604D4" w:rsidRPr="00B22D51" w:rsidRDefault="002604D4" w:rsidP="00B22D51">
      <w:pPr>
        <w:pStyle w:val="ListParagraph"/>
        <w:spacing w:before="40" w:after="60" w:line="288" w:lineRule="auto"/>
        <w:ind w:hanging="360"/>
        <w:contextualSpacing w:val="0"/>
        <w:rPr>
          <w:rFonts w:eastAsia="Calibri"/>
          <w:szCs w:val="22"/>
        </w:rPr>
      </w:pPr>
      <w:r w:rsidRPr="00B22D51">
        <w:rPr>
          <w:rFonts w:eastAsia="Calibri"/>
          <w:szCs w:val="22"/>
        </w:rPr>
        <w:t>• JONASSON, Ms Kylie, Director-General</w:t>
      </w:r>
    </w:p>
    <w:p w14:paraId="16B02855" w14:textId="77777777" w:rsidR="002604D4" w:rsidRPr="00B22D51" w:rsidRDefault="002604D4" w:rsidP="00B22D51">
      <w:pPr>
        <w:pStyle w:val="ListParagraph"/>
        <w:spacing w:before="40" w:after="60" w:line="288" w:lineRule="auto"/>
        <w:ind w:hanging="360"/>
        <w:contextualSpacing w:val="0"/>
        <w:rPr>
          <w:rFonts w:eastAsia="Calibri"/>
          <w:szCs w:val="22"/>
        </w:rPr>
      </w:pPr>
      <w:r w:rsidRPr="00B22D51">
        <w:rPr>
          <w:rFonts w:eastAsia="Calibri"/>
          <w:szCs w:val="22"/>
        </w:rPr>
        <w:t>• LOPA, Ms Liz, Executive Group Manager, Strategic Infrastructure Division</w:t>
      </w:r>
    </w:p>
    <w:p w14:paraId="7F07F14F" w14:textId="77777777" w:rsidR="002604D4" w:rsidRPr="00B22D51" w:rsidRDefault="002604D4" w:rsidP="00B22D51">
      <w:pPr>
        <w:pStyle w:val="ListParagraph"/>
        <w:spacing w:before="40" w:after="60" w:line="288" w:lineRule="auto"/>
        <w:ind w:hanging="360"/>
        <w:contextualSpacing w:val="0"/>
        <w:rPr>
          <w:rFonts w:eastAsia="Calibri"/>
          <w:szCs w:val="22"/>
        </w:rPr>
      </w:pPr>
      <w:r w:rsidRPr="00B22D51">
        <w:rPr>
          <w:rFonts w:eastAsia="Calibri"/>
          <w:szCs w:val="22"/>
        </w:rPr>
        <w:t>• MOORE, Dr Elizabeth, Coordinator-General, Office for Mental Health and Wellbeing</w:t>
      </w:r>
    </w:p>
    <w:p w14:paraId="6EC158E2" w14:textId="77777777" w:rsidR="002604D4" w:rsidRPr="00B22D51" w:rsidRDefault="002604D4" w:rsidP="00B22D51">
      <w:pPr>
        <w:pStyle w:val="ListParagraph"/>
        <w:spacing w:before="40" w:after="60" w:line="288" w:lineRule="auto"/>
        <w:ind w:hanging="360"/>
        <w:contextualSpacing w:val="0"/>
        <w:rPr>
          <w:rFonts w:eastAsia="Calibri"/>
          <w:szCs w:val="22"/>
        </w:rPr>
      </w:pPr>
      <w:r w:rsidRPr="00B22D51">
        <w:rPr>
          <w:rFonts w:eastAsia="Calibri"/>
          <w:szCs w:val="22"/>
        </w:rPr>
        <w:t>• O’HALLORAN, Mr Peter, Chief Information Officer, Digital Solutions Division</w:t>
      </w:r>
    </w:p>
    <w:p w14:paraId="0A7BD99B" w14:textId="77777777" w:rsidR="002604D4" w:rsidRPr="00B22D51" w:rsidRDefault="002604D4" w:rsidP="00B22D51">
      <w:pPr>
        <w:pStyle w:val="ListParagraph"/>
        <w:spacing w:before="40" w:after="60" w:line="288" w:lineRule="auto"/>
        <w:ind w:hanging="360"/>
        <w:contextualSpacing w:val="0"/>
        <w:rPr>
          <w:rFonts w:eastAsia="Calibri"/>
          <w:szCs w:val="22"/>
        </w:rPr>
      </w:pPr>
      <w:r w:rsidRPr="00B22D51">
        <w:rPr>
          <w:rFonts w:eastAsia="Calibri"/>
          <w:szCs w:val="22"/>
        </w:rPr>
        <w:t xml:space="preserve">• ORD, Mr Jon, Acting Executive Branch Manager, Mental Health Policy Branch </w:t>
      </w:r>
    </w:p>
    <w:p w14:paraId="4C57BA64" w14:textId="77777777" w:rsidR="002604D4" w:rsidRPr="00B22D51" w:rsidRDefault="002604D4" w:rsidP="00B22D51">
      <w:pPr>
        <w:pStyle w:val="ListParagraph"/>
        <w:spacing w:before="40" w:after="60" w:line="288" w:lineRule="auto"/>
        <w:ind w:hanging="360"/>
        <w:contextualSpacing w:val="0"/>
        <w:rPr>
          <w:rFonts w:eastAsia="Calibri"/>
          <w:szCs w:val="22"/>
        </w:rPr>
      </w:pPr>
      <w:r w:rsidRPr="00B22D51">
        <w:rPr>
          <w:rFonts w:eastAsia="Calibri"/>
          <w:szCs w:val="22"/>
        </w:rPr>
        <w:t>• PHILP, Mr Alan, Executive Group Manager, Preventive and Population Health Division</w:t>
      </w:r>
    </w:p>
    <w:p w14:paraId="5C96792D" w14:textId="77777777" w:rsidR="002604D4" w:rsidRPr="00B22D51" w:rsidRDefault="002604D4" w:rsidP="00B22D51">
      <w:pPr>
        <w:pStyle w:val="ListParagraph"/>
        <w:spacing w:before="40" w:after="60" w:line="288" w:lineRule="auto"/>
        <w:ind w:hanging="360"/>
        <w:contextualSpacing w:val="0"/>
        <w:rPr>
          <w:rFonts w:eastAsia="Calibri"/>
          <w:szCs w:val="22"/>
        </w:rPr>
      </w:pPr>
      <w:r w:rsidRPr="00B22D51">
        <w:rPr>
          <w:rFonts w:eastAsia="Calibri"/>
          <w:szCs w:val="22"/>
        </w:rPr>
        <w:t xml:space="preserve">Canberra Health Services </w:t>
      </w:r>
    </w:p>
    <w:p w14:paraId="13B38DF0" w14:textId="77777777" w:rsidR="002604D4" w:rsidRPr="00B22D51" w:rsidRDefault="002604D4" w:rsidP="00B22D51">
      <w:pPr>
        <w:pStyle w:val="ListParagraph"/>
        <w:spacing w:before="40" w:after="60" w:line="288" w:lineRule="auto"/>
        <w:ind w:hanging="360"/>
        <w:contextualSpacing w:val="0"/>
        <w:rPr>
          <w:rFonts w:eastAsia="Calibri"/>
          <w:szCs w:val="22"/>
        </w:rPr>
      </w:pPr>
      <w:r w:rsidRPr="00B22D51">
        <w:rPr>
          <w:rFonts w:eastAsia="Calibri"/>
          <w:szCs w:val="22"/>
        </w:rPr>
        <w:t>• COATSWORTH, Dr Nick, Executive Director, Medical Services</w:t>
      </w:r>
    </w:p>
    <w:p w14:paraId="6A58FAD0" w14:textId="77777777" w:rsidR="002604D4" w:rsidRPr="00B22D51" w:rsidRDefault="002604D4" w:rsidP="00B22D51">
      <w:pPr>
        <w:pStyle w:val="ListParagraph"/>
        <w:spacing w:before="40" w:after="60" w:line="288" w:lineRule="auto"/>
        <w:ind w:hanging="360"/>
        <w:contextualSpacing w:val="0"/>
        <w:rPr>
          <w:rFonts w:eastAsia="Calibri"/>
          <w:szCs w:val="22"/>
        </w:rPr>
      </w:pPr>
      <w:r w:rsidRPr="00B22D51">
        <w:rPr>
          <w:rFonts w:eastAsia="Calibri"/>
          <w:szCs w:val="22"/>
        </w:rPr>
        <w:t xml:space="preserve">• MCDONALD, Ms Bernadette, Chief Executive Officer </w:t>
      </w:r>
    </w:p>
    <w:p w14:paraId="729AFA77" w14:textId="77777777" w:rsidR="002604D4" w:rsidRPr="00B22D51" w:rsidRDefault="002604D4" w:rsidP="00B22D51">
      <w:pPr>
        <w:pStyle w:val="ListParagraph"/>
        <w:spacing w:before="40" w:after="60" w:line="288" w:lineRule="auto"/>
        <w:ind w:hanging="360"/>
        <w:contextualSpacing w:val="0"/>
        <w:rPr>
          <w:rFonts w:eastAsia="Calibri"/>
          <w:szCs w:val="22"/>
        </w:rPr>
      </w:pPr>
      <w:r w:rsidRPr="00B22D51">
        <w:rPr>
          <w:rFonts w:eastAsia="Calibri"/>
          <w:szCs w:val="22"/>
        </w:rPr>
        <w:t>• MOONEY, Mr Colm, Executive Group Manager, Infrastructure and Health Support Services</w:t>
      </w:r>
    </w:p>
    <w:p w14:paraId="3E879F91" w14:textId="77777777" w:rsidR="002604D4" w:rsidRPr="00B22D51" w:rsidRDefault="002604D4" w:rsidP="00B22D51">
      <w:pPr>
        <w:pStyle w:val="ListParagraph"/>
        <w:spacing w:before="40" w:after="60" w:line="288" w:lineRule="auto"/>
        <w:ind w:hanging="360"/>
        <w:contextualSpacing w:val="0"/>
        <w:rPr>
          <w:rFonts w:eastAsia="Calibri"/>
          <w:szCs w:val="22"/>
        </w:rPr>
      </w:pPr>
      <w:r w:rsidRPr="00B22D51">
        <w:rPr>
          <w:rFonts w:eastAsia="Calibri"/>
          <w:szCs w:val="22"/>
        </w:rPr>
        <w:t>• PEFFER, Mr Dave, Deputy Chief Executive Officer</w:t>
      </w:r>
    </w:p>
    <w:p w14:paraId="74014CB9" w14:textId="77777777" w:rsidR="002604D4" w:rsidRPr="00B22D51" w:rsidRDefault="002604D4" w:rsidP="00B22D51">
      <w:pPr>
        <w:pStyle w:val="ListParagraph"/>
        <w:spacing w:before="40" w:after="60" w:line="288" w:lineRule="auto"/>
        <w:ind w:hanging="360"/>
        <w:contextualSpacing w:val="0"/>
        <w:rPr>
          <w:rFonts w:eastAsia="Calibri"/>
          <w:szCs w:val="22"/>
        </w:rPr>
      </w:pPr>
      <w:r w:rsidRPr="00B22D51">
        <w:rPr>
          <w:rFonts w:eastAsia="Calibri"/>
          <w:szCs w:val="22"/>
        </w:rPr>
        <w:t xml:space="preserve">Community Services Directorate </w:t>
      </w:r>
    </w:p>
    <w:p w14:paraId="70E9473F" w14:textId="77777777" w:rsidR="002604D4" w:rsidRPr="00B22D51" w:rsidRDefault="002604D4" w:rsidP="00B22D51">
      <w:pPr>
        <w:pStyle w:val="ListParagraph"/>
        <w:spacing w:before="40" w:after="60" w:line="288" w:lineRule="auto"/>
        <w:ind w:hanging="360"/>
        <w:contextualSpacing w:val="0"/>
        <w:rPr>
          <w:rFonts w:eastAsia="Calibri"/>
          <w:szCs w:val="22"/>
        </w:rPr>
      </w:pPr>
      <w:r w:rsidRPr="00B22D51">
        <w:rPr>
          <w:rFonts w:eastAsia="Calibri"/>
          <w:szCs w:val="22"/>
        </w:rPr>
        <w:t>• BASSETT, Dr Louise, Executive Group Manager, Strategic Policy</w:t>
      </w:r>
    </w:p>
    <w:p w14:paraId="405F2769" w14:textId="77777777" w:rsidR="002604D4" w:rsidRPr="00B22D51" w:rsidRDefault="002604D4" w:rsidP="00B22D51">
      <w:pPr>
        <w:pStyle w:val="ListParagraph"/>
        <w:spacing w:before="40" w:after="60" w:line="288" w:lineRule="auto"/>
        <w:ind w:hanging="360"/>
        <w:contextualSpacing w:val="0"/>
        <w:rPr>
          <w:rFonts w:eastAsia="Calibri"/>
          <w:szCs w:val="22"/>
        </w:rPr>
      </w:pPr>
      <w:r w:rsidRPr="00B22D51">
        <w:rPr>
          <w:rFonts w:eastAsia="Calibri"/>
          <w:szCs w:val="22"/>
        </w:rPr>
        <w:t>• MURRAY, Ms Christine, Executive Group Manager, Inclusion and Participation</w:t>
      </w:r>
    </w:p>
    <w:p w14:paraId="1D77B3CC" w14:textId="77777777" w:rsidR="002604D4" w:rsidRPr="00B22D51" w:rsidRDefault="002604D4" w:rsidP="00B22D51">
      <w:pPr>
        <w:pStyle w:val="ListParagraph"/>
        <w:spacing w:before="40" w:after="60" w:line="288" w:lineRule="auto"/>
        <w:ind w:hanging="360"/>
        <w:contextualSpacing w:val="0"/>
        <w:rPr>
          <w:rFonts w:eastAsia="Calibri"/>
          <w:szCs w:val="22"/>
        </w:rPr>
      </w:pPr>
      <w:r w:rsidRPr="00B22D51">
        <w:rPr>
          <w:rFonts w:eastAsia="Calibri"/>
          <w:szCs w:val="22"/>
        </w:rPr>
        <w:t>• PAPPAS, Ms Helen, Executive Group Manager, Children, Youth and Families</w:t>
      </w:r>
    </w:p>
    <w:p w14:paraId="14396BFC" w14:textId="77777777" w:rsidR="002604D4" w:rsidRPr="00B22D51" w:rsidRDefault="002604D4" w:rsidP="00B22D51">
      <w:pPr>
        <w:pStyle w:val="ListParagraph"/>
        <w:spacing w:before="40" w:after="60" w:line="288" w:lineRule="auto"/>
        <w:ind w:hanging="360"/>
        <w:contextualSpacing w:val="0"/>
        <w:rPr>
          <w:rFonts w:eastAsia="Calibri"/>
          <w:szCs w:val="22"/>
        </w:rPr>
      </w:pPr>
      <w:r w:rsidRPr="00B22D51">
        <w:rPr>
          <w:rFonts w:eastAsia="Calibri"/>
          <w:szCs w:val="22"/>
        </w:rPr>
        <w:t>• SABELLICO, Ms Anne-Maree, Deputy Director-General</w:t>
      </w:r>
    </w:p>
    <w:p w14:paraId="79F051F9" w14:textId="77777777" w:rsidR="002604D4" w:rsidRPr="00B22D51" w:rsidRDefault="002604D4" w:rsidP="00B22D51">
      <w:pPr>
        <w:pStyle w:val="ListParagraph"/>
        <w:spacing w:before="40" w:after="60" w:line="288" w:lineRule="auto"/>
        <w:ind w:hanging="360"/>
        <w:contextualSpacing w:val="0"/>
        <w:rPr>
          <w:rFonts w:eastAsia="Calibri"/>
          <w:szCs w:val="22"/>
        </w:rPr>
      </w:pPr>
      <w:r w:rsidRPr="00B22D51">
        <w:rPr>
          <w:rFonts w:eastAsia="Calibri"/>
          <w:szCs w:val="22"/>
        </w:rPr>
        <w:t xml:space="preserve">• WOOD, Ms Jo, Director-General </w:t>
      </w:r>
    </w:p>
    <w:p w14:paraId="0877ACC0" w14:textId="77777777" w:rsidR="002604D4" w:rsidRPr="00B22D51" w:rsidRDefault="002604D4" w:rsidP="00B22D51">
      <w:pPr>
        <w:pStyle w:val="ListParagraph"/>
        <w:spacing w:before="40" w:after="60" w:line="288" w:lineRule="auto"/>
        <w:ind w:hanging="360"/>
        <w:contextualSpacing w:val="0"/>
        <w:rPr>
          <w:rFonts w:eastAsia="Calibri"/>
          <w:szCs w:val="22"/>
        </w:rPr>
      </w:pPr>
    </w:p>
    <w:p w14:paraId="644DE3F5" w14:textId="77777777" w:rsidR="002604D4" w:rsidRDefault="002604D4" w:rsidP="00B22D51">
      <w:pPr>
        <w:pStyle w:val="Heading5"/>
      </w:pPr>
      <w:r>
        <w:t>WEDNESDAY, 3 MARCH 2021</w:t>
      </w:r>
    </w:p>
    <w:p w14:paraId="1B2F2D29" w14:textId="77777777" w:rsidR="002604D4" w:rsidRPr="00B22D51" w:rsidRDefault="002604D4" w:rsidP="00B22D51">
      <w:pPr>
        <w:pStyle w:val="ListParagraph"/>
        <w:spacing w:before="40" w:after="60" w:line="288" w:lineRule="auto"/>
        <w:ind w:hanging="360"/>
        <w:contextualSpacing w:val="0"/>
        <w:rPr>
          <w:rFonts w:eastAsia="Calibri"/>
          <w:szCs w:val="22"/>
        </w:rPr>
      </w:pPr>
      <w:r w:rsidRPr="00B22D51">
        <w:rPr>
          <w:rFonts w:eastAsia="Calibri"/>
          <w:szCs w:val="22"/>
        </w:rPr>
        <w:t>Community Services Directorate</w:t>
      </w:r>
    </w:p>
    <w:p w14:paraId="7BE43ABC" w14:textId="77777777" w:rsidR="002604D4" w:rsidRPr="00B22D51" w:rsidRDefault="002604D4" w:rsidP="00B22D51">
      <w:pPr>
        <w:pStyle w:val="ListParagraph"/>
        <w:spacing w:before="40" w:after="60" w:line="288" w:lineRule="auto"/>
        <w:ind w:hanging="360"/>
        <w:contextualSpacing w:val="0"/>
        <w:rPr>
          <w:rFonts w:eastAsia="Calibri"/>
          <w:szCs w:val="22"/>
        </w:rPr>
      </w:pPr>
      <w:r w:rsidRPr="00B22D51">
        <w:rPr>
          <w:rFonts w:eastAsia="Calibri"/>
          <w:szCs w:val="22"/>
        </w:rPr>
        <w:t>• AIGNER, Mr Geoff, Executive Branch Manager, Client Services, Housing ACT</w:t>
      </w:r>
    </w:p>
    <w:p w14:paraId="7DAE2B04" w14:textId="77777777" w:rsidR="002604D4" w:rsidRPr="00B22D51" w:rsidRDefault="002604D4" w:rsidP="00B22D51">
      <w:pPr>
        <w:pStyle w:val="ListParagraph"/>
        <w:spacing w:before="40" w:after="60" w:line="288" w:lineRule="auto"/>
        <w:ind w:hanging="360"/>
        <w:contextualSpacing w:val="0"/>
        <w:rPr>
          <w:rFonts w:eastAsia="Calibri"/>
          <w:szCs w:val="22"/>
        </w:rPr>
      </w:pPr>
      <w:r w:rsidRPr="00B22D51">
        <w:rPr>
          <w:rFonts w:eastAsia="Calibri"/>
          <w:szCs w:val="22"/>
        </w:rPr>
        <w:t xml:space="preserve">• BRENDAS, Ms Tina, Executive Branch Manager, </w:t>
      </w:r>
      <w:proofErr w:type="spellStart"/>
      <w:r w:rsidRPr="00B22D51">
        <w:rPr>
          <w:rFonts w:eastAsia="Calibri"/>
          <w:szCs w:val="22"/>
        </w:rPr>
        <w:t>Bimberi</w:t>
      </w:r>
      <w:proofErr w:type="spellEnd"/>
      <w:r w:rsidRPr="00B22D51">
        <w:rPr>
          <w:rFonts w:eastAsia="Calibri"/>
          <w:szCs w:val="22"/>
        </w:rPr>
        <w:t xml:space="preserve"> Residential Services</w:t>
      </w:r>
    </w:p>
    <w:p w14:paraId="1DB527E0" w14:textId="77777777" w:rsidR="002604D4" w:rsidRPr="00B22D51" w:rsidRDefault="002604D4" w:rsidP="00B22D51">
      <w:pPr>
        <w:pStyle w:val="ListParagraph"/>
        <w:spacing w:before="40" w:after="60" w:line="288" w:lineRule="auto"/>
        <w:ind w:hanging="360"/>
        <w:contextualSpacing w:val="0"/>
        <w:rPr>
          <w:rFonts w:eastAsia="Calibri"/>
          <w:szCs w:val="22"/>
        </w:rPr>
      </w:pPr>
      <w:r w:rsidRPr="00B22D51">
        <w:rPr>
          <w:rFonts w:eastAsia="Calibri"/>
          <w:szCs w:val="22"/>
        </w:rPr>
        <w:t>• GILDING, Ms Louise, Executive Group Manager, Housing ACT</w:t>
      </w:r>
    </w:p>
    <w:p w14:paraId="49C773BF" w14:textId="77777777" w:rsidR="002604D4" w:rsidRPr="00B22D51" w:rsidRDefault="002604D4" w:rsidP="00B22D51">
      <w:pPr>
        <w:pStyle w:val="ListParagraph"/>
        <w:spacing w:before="40" w:after="60" w:line="288" w:lineRule="auto"/>
        <w:ind w:hanging="360"/>
        <w:contextualSpacing w:val="0"/>
        <w:rPr>
          <w:rFonts w:eastAsia="Calibri"/>
          <w:szCs w:val="22"/>
        </w:rPr>
      </w:pPr>
      <w:r w:rsidRPr="00B22D51">
        <w:rPr>
          <w:rFonts w:eastAsia="Calibri"/>
          <w:szCs w:val="22"/>
        </w:rPr>
        <w:t>• LOFT, Ms Catherine, Executive Branch Manager, Infrastructure and Contracts, Housing ACT</w:t>
      </w:r>
    </w:p>
    <w:p w14:paraId="03B04925" w14:textId="77777777" w:rsidR="002604D4" w:rsidRPr="00B22D51" w:rsidRDefault="002604D4" w:rsidP="00B22D51">
      <w:pPr>
        <w:pStyle w:val="ListParagraph"/>
        <w:spacing w:before="40" w:after="60" w:line="288" w:lineRule="auto"/>
        <w:ind w:hanging="360"/>
        <w:contextualSpacing w:val="0"/>
        <w:rPr>
          <w:rFonts w:eastAsia="Calibri"/>
          <w:szCs w:val="22"/>
        </w:rPr>
      </w:pPr>
      <w:r w:rsidRPr="00B22D51">
        <w:rPr>
          <w:rFonts w:eastAsia="Calibri"/>
          <w:szCs w:val="22"/>
        </w:rPr>
        <w:t>• NIELSEN, Mr Shane, Executive Branch Manager, Policy and Business Transformation, Housing ACT</w:t>
      </w:r>
    </w:p>
    <w:p w14:paraId="1CF2D35B" w14:textId="77777777" w:rsidR="002604D4" w:rsidRPr="00B22D51" w:rsidRDefault="002604D4" w:rsidP="00B22D51">
      <w:pPr>
        <w:pStyle w:val="ListParagraph"/>
        <w:spacing w:before="40" w:after="60" w:line="288" w:lineRule="auto"/>
        <w:ind w:hanging="360"/>
        <w:contextualSpacing w:val="0"/>
        <w:rPr>
          <w:rFonts w:eastAsia="Calibri"/>
          <w:szCs w:val="22"/>
        </w:rPr>
      </w:pPr>
      <w:r w:rsidRPr="00B22D51">
        <w:rPr>
          <w:rFonts w:eastAsia="Calibri"/>
          <w:szCs w:val="22"/>
        </w:rPr>
        <w:t>• PAPPAS, Ms Helen, Executive Group Manager, Children, Youth and Families</w:t>
      </w:r>
    </w:p>
    <w:p w14:paraId="2AA30567" w14:textId="77777777" w:rsidR="002604D4" w:rsidRPr="00B22D51" w:rsidRDefault="002604D4" w:rsidP="00B22D51">
      <w:pPr>
        <w:pStyle w:val="ListParagraph"/>
        <w:spacing w:before="40" w:after="60" w:line="288" w:lineRule="auto"/>
        <w:ind w:hanging="360"/>
        <w:contextualSpacing w:val="0"/>
        <w:rPr>
          <w:rFonts w:eastAsia="Calibri"/>
          <w:szCs w:val="22"/>
        </w:rPr>
      </w:pPr>
      <w:r w:rsidRPr="00B22D51">
        <w:rPr>
          <w:rFonts w:eastAsia="Calibri"/>
          <w:szCs w:val="22"/>
        </w:rPr>
        <w:t>• SABELLICO, Ms Anne-Maree, Deputy Director-General</w:t>
      </w:r>
    </w:p>
    <w:p w14:paraId="4B1314DD" w14:textId="77777777" w:rsidR="002604D4" w:rsidRPr="00B22D51" w:rsidRDefault="002604D4" w:rsidP="00B22D51">
      <w:pPr>
        <w:pStyle w:val="ListParagraph"/>
        <w:spacing w:before="40" w:after="60" w:line="288" w:lineRule="auto"/>
        <w:ind w:hanging="360"/>
        <w:contextualSpacing w:val="0"/>
        <w:rPr>
          <w:rFonts w:eastAsia="Calibri"/>
          <w:szCs w:val="22"/>
        </w:rPr>
      </w:pPr>
      <w:r w:rsidRPr="00B22D51">
        <w:rPr>
          <w:rFonts w:eastAsia="Calibri"/>
          <w:szCs w:val="22"/>
        </w:rPr>
        <w:t>• SUMMERRELL, Mrs Jessica, Executive Branch Manager, Inclusion and Participation</w:t>
      </w:r>
    </w:p>
    <w:p w14:paraId="361430F6" w14:textId="77777777" w:rsidR="002604D4" w:rsidRPr="00B22D51" w:rsidRDefault="002604D4" w:rsidP="00B22D51">
      <w:pPr>
        <w:pStyle w:val="ListParagraph"/>
        <w:spacing w:before="40" w:after="60" w:line="288" w:lineRule="auto"/>
        <w:ind w:hanging="360"/>
        <w:contextualSpacing w:val="0"/>
        <w:rPr>
          <w:rFonts w:eastAsia="Calibri"/>
          <w:szCs w:val="22"/>
        </w:rPr>
      </w:pPr>
      <w:r w:rsidRPr="00B22D51">
        <w:rPr>
          <w:rFonts w:eastAsia="Calibri"/>
          <w:szCs w:val="22"/>
        </w:rPr>
        <w:t xml:space="preserve">• WINDEYER, Ms Kirsty, Coordinator-General, Family Safety </w:t>
      </w:r>
    </w:p>
    <w:p w14:paraId="3FA71C91" w14:textId="77777777" w:rsidR="002604D4" w:rsidRPr="00B22D51" w:rsidRDefault="002604D4" w:rsidP="00B22D51">
      <w:pPr>
        <w:pStyle w:val="ListParagraph"/>
        <w:spacing w:before="40" w:after="60" w:line="288" w:lineRule="auto"/>
        <w:ind w:hanging="360"/>
        <w:contextualSpacing w:val="0"/>
        <w:rPr>
          <w:rFonts w:eastAsia="Calibri"/>
          <w:szCs w:val="22"/>
        </w:rPr>
      </w:pPr>
      <w:r w:rsidRPr="00B22D51">
        <w:rPr>
          <w:rFonts w:eastAsia="Calibri"/>
          <w:szCs w:val="22"/>
        </w:rPr>
        <w:t xml:space="preserve">• WOOD, Ms Jo, Director-General </w:t>
      </w:r>
    </w:p>
    <w:p w14:paraId="4F2902A6" w14:textId="77777777" w:rsidR="00842335" w:rsidRPr="00B22D51" w:rsidRDefault="00842335" w:rsidP="00B22D51">
      <w:pPr>
        <w:pStyle w:val="ListParagraph"/>
        <w:spacing w:before="40" w:after="60" w:line="288" w:lineRule="auto"/>
        <w:ind w:hanging="360"/>
        <w:contextualSpacing w:val="0"/>
        <w:rPr>
          <w:rFonts w:eastAsia="Calibri"/>
          <w:szCs w:val="22"/>
        </w:rPr>
      </w:pPr>
    </w:p>
    <w:p w14:paraId="2ED53C98" w14:textId="53C23936" w:rsidR="00124C11" w:rsidRDefault="00124C11" w:rsidP="00B1748E">
      <w:pPr>
        <w:spacing w:after="160" w:line="259" w:lineRule="auto"/>
      </w:pPr>
    </w:p>
    <w:p w14:paraId="3F386BBC" w14:textId="77777777" w:rsidR="00B1748E" w:rsidRDefault="00B1748E" w:rsidP="00B1748E">
      <w:pPr>
        <w:pStyle w:val="AppendixHeading1"/>
        <w:numPr>
          <w:ilvl w:val="7"/>
          <w:numId w:val="5"/>
        </w:numPr>
        <w:tabs>
          <w:tab w:val="num" w:pos="2268"/>
        </w:tabs>
        <w:sectPr w:rsidR="00B1748E" w:rsidSect="00592C9A">
          <w:footerReference w:type="default" r:id="rId33"/>
          <w:headerReference w:type="first" r:id="rId34"/>
          <w:type w:val="oddPage"/>
          <w:pgSz w:w="11907" w:h="16840" w:code="9"/>
          <w:pgMar w:top="1588" w:right="1418" w:bottom="1418" w:left="1418" w:header="720" w:footer="851" w:gutter="0"/>
          <w:cols w:space="720"/>
          <w:docGrid w:linePitch="360"/>
        </w:sectPr>
      </w:pPr>
    </w:p>
    <w:p w14:paraId="09605AF7" w14:textId="4D227D94" w:rsidR="00124C11" w:rsidRPr="00B1748E" w:rsidRDefault="00124C11" w:rsidP="00B1748E">
      <w:pPr>
        <w:pStyle w:val="AppendixHeading1"/>
        <w:numPr>
          <w:ilvl w:val="7"/>
          <w:numId w:val="5"/>
        </w:numPr>
        <w:tabs>
          <w:tab w:val="num" w:pos="2268"/>
        </w:tabs>
      </w:pPr>
      <w:bookmarkStart w:id="137" w:name="_Toc68848981"/>
      <w:r w:rsidRPr="00B1748E">
        <w:t>Hearing Programs</w:t>
      </w:r>
      <w:bookmarkEnd w:id="137"/>
    </w:p>
    <w:p w14:paraId="7955F3AA" w14:textId="10854DF4" w:rsidR="00124C11" w:rsidRDefault="00124C11"/>
    <w:p w14:paraId="6AF42B08" w14:textId="3672D618" w:rsidR="00124C11" w:rsidRDefault="001F3520" w:rsidP="00C25486">
      <w:pPr>
        <w:pStyle w:val="Heading5"/>
      </w:pPr>
      <w:r w:rsidRPr="004D67A2">
        <w:t>FRIDAY, 26 FEBRUARY 2021</w:t>
      </w:r>
    </w:p>
    <w:tbl>
      <w:tblPr>
        <w:tblStyle w:val="TableGrid"/>
        <w:tblW w:w="9924" w:type="dxa"/>
        <w:tblInd w:w="-431" w:type="dxa"/>
        <w:tblLook w:val="04A0" w:firstRow="1" w:lastRow="0" w:firstColumn="1" w:lastColumn="0" w:noHBand="0" w:noVBand="1"/>
      </w:tblPr>
      <w:tblGrid>
        <w:gridCol w:w="2696"/>
        <w:gridCol w:w="3542"/>
        <w:gridCol w:w="3686"/>
      </w:tblGrid>
      <w:tr w:rsidR="00C25486" w:rsidRPr="001F3520" w14:paraId="729DA43A" w14:textId="77777777" w:rsidTr="00C25486">
        <w:tc>
          <w:tcPr>
            <w:tcW w:w="2696" w:type="dxa"/>
          </w:tcPr>
          <w:p w14:paraId="26C793C0" w14:textId="68F935F3" w:rsidR="00C25486" w:rsidRPr="001F3520" w:rsidRDefault="00C25486" w:rsidP="00266F38">
            <w:pPr>
              <w:spacing w:after="160" w:line="259" w:lineRule="auto"/>
              <w:rPr>
                <w:b/>
                <w:bCs/>
                <w:sz w:val="22"/>
                <w:szCs w:val="22"/>
              </w:rPr>
            </w:pPr>
            <w:r>
              <w:rPr>
                <w:b/>
                <w:bCs/>
                <w:sz w:val="22"/>
                <w:szCs w:val="22"/>
              </w:rPr>
              <w:br/>
            </w:r>
            <w:r w:rsidRPr="001F3520">
              <w:rPr>
                <w:b/>
                <w:bCs/>
                <w:sz w:val="22"/>
                <w:szCs w:val="22"/>
              </w:rPr>
              <w:t>Office</w:t>
            </w:r>
          </w:p>
        </w:tc>
        <w:tc>
          <w:tcPr>
            <w:tcW w:w="3542" w:type="dxa"/>
          </w:tcPr>
          <w:p w14:paraId="517BEB50" w14:textId="32F61576" w:rsidR="00C25486" w:rsidRPr="001F3520" w:rsidRDefault="00C25486" w:rsidP="00266F38">
            <w:pPr>
              <w:spacing w:after="160" w:line="259" w:lineRule="auto"/>
              <w:rPr>
                <w:b/>
                <w:bCs/>
                <w:sz w:val="22"/>
                <w:szCs w:val="22"/>
              </w:rPr>
            </w:pPr>
            <w:r>
              <w:rPr>
                <w:b/>
                <w:bCs/>
                <w:sz w:val="22"/>
                <w:szCs w:val="22"/>
              </w:rPr>
              <w:br/>
            </w:r>
            <w:r w:rsidRPr="001F3520">
              <w:rPr>
                <w:b/>
                <w:bCs/>
                <w:sz w:val="22"/>
                <w:szCs w:val="22"/>
              </w:rPr>
              <w:t>Directorate/ Portfolio/ Output Budget 2020-21</w:t>
            </w:r>
          </w:p>
        </w:tc>
        <w:tc>
          <w:tcPr>
            <w:tcW w:w="3686" w:type="dxa"/>
          </w:tcPr>
          <w:p w14:paraId="19FF4F9B" w14:textId="192D65C3" w:rsidR="00C25486" w:rsidRPr="001F3520" w:rsidRDefault="00C25486" w:rsidP="00266F38">
            <w:pPr>
              <w:spacing w:after="160" w:line="259" w:lineRule="auto"/>
              <w:rPr>
                <w:b/>
                <w:bCs/>
                <w:sz w:val="22"/>
                <w:szCs w:val="22"/>
              </w:rPr>
            </w:pPr>
            <w:r>
              <w:rPr>
                <w:b/>
                <w:bCs/>
                <w:sz w:val="22"/>
                <w:szCs w:val="22"/>
              </w:rPr>
              <w:br/>
            </w:r>
            <w:r w:rsidRPr="001F3520">
              <w:rPr>
                <w:b/>
                <w:bCs/>
                <w:sz w:val="22"/>
                <w:szCs w:val="22"/>
              </w:rPr>
              <w:t xml:space="preserve">Directorate/ Portfolio/ Output Annual Report </w:t>
            </w:r>
            <w:r>
              <w:rPr>
                <w:b/>
                <w:bCs/>
                <w:sz w:val="22"/>
                <w:szCs w:val="22"/>
              </w:rPr>
              <w:br/>
            </w:r>
            <w:r w:rsidRPr="001F3520">
              <w:rPr>
                <w:b/>
                <w:bCs/>
                <w:sz w:val="22"/>
                <w:szCs w:val="22"/>
              </w:rPr>
              <w:t>2019-20</w:t>
            </w:r>
          </w:p>
        </w:tc>
      </w:tr>
      <w:tr w:rsidR="00C25486" w14:paraId="1A6ECE09" w14:textId="77777777" w:rsidTr="00C25486">
        <w:tc>
          <w:tcPr>
            <w:tcW w:w="2696" w:type="dxa"/>
          </w:tcPr>
          <w:p w14:paraId="491EDD88" w14:textId="09CC57E5" w:rsidR="00C25486" w:rsidRDefault="00C25486" w:rsidP="00266F38">
            <w:pPr>
              <w:spacing w:after="160" w:line="259" w:lineRule="auto"/>
            </w:pPr>
            <w:r>
              <w:t>Minister for Health</w:t>
            </w:r>
            <w:r>
              <w:br/>
              <w:t>Ms Stephen-Smith MLA</w:t>
            </w:r>
          </w:p>
        </w:tc>
        <w:tc>
          <w:tcPr>
            <w:tcW w:w="3542" w:type="dxa"/>
          </w:tcPr>
          <w:p w14:paraId="62BCC546" w14:textId="22D023C3" w:rsidR="00C25486" w:rsidRDefault="00C25486" w:rsidP="00266F38">
            <w:pPr>
              <w:spacing w:after="160" w:line="259" w:lineRule="auto"/>
            </w:pPr>
            <w:r>
              <w:t xml:space="preserve">ACT Health Directorate </w:t>
            </w:r>
          </w:p>
          <w:p w14:paraId="4945C3AD" w14:textId="1B3C3077" w:rsidR="00C25486" w:rsidRDefault="00C25486" w:rsidP="00266F38">
            <w:pPr>
              <w:spacing w:after="160" w:line="259" w:lineRule="auto"/>
            </w:pPr>
            <w:r>
              <w:t xml:space="preserve">Output 1.1: Improved Hospital Services </w:t>
            </w:r>
          </w:p>
          <w:p w14:paraId="40258EBC" w14:textId="1470A316" w:rsidR="00C25486" w:rsidRDefault="00C25486" w:rsidP="00266F38">
            <w:pPr>
              <w:spacing w:after="160" w:line="259" w:lineRule="auto"/>
            </w:pPr>
            <w:r>
              <w:t>Output 1.1: ACT Local Hospital Network</w:t>
            </w:r>
          </w:p>
        </w:tc>
        <w:tc>
          <w:tcPr>
            <w:tcW w:w="3686" w:type="dxa"/>
          </w:tcPr>
          <w:p w14:paraId="1E45E5DC" w14:textId="7CF1A3A2" w:rsidR="00C25486" w:rsidRDefault="00C25486" w:rsidP="00266F38">
            <w:pPr>
              <w:spacing w:after="160" w:line="259" w:lineRule="auto"/>
            </w:pPr>
            <w:r>
              <w:t xml:space="preserve">ACT Health Directorate </w:t>
            </w:r>
          </w:p>
          <w:p w14:paraId="7DD2F208" w14:textId="26537E53" w:rsidR="00C25486" w:rsidRDefault="00C25486" w:rsidP="00266F38">
            <w:pPr>
              <w:spacing w:after="160" w:line="259" w:lineRule="auto"/>
            </w:pPr>
            <w:r>
              <w:t xml:space="preserve">Output 1.1: Improved Hospital Services </w:t>
            </w:r>
          </w:p>
          <w:p w14:paraId="7BE1A473" w14:textId="209C159E" w:rsidR="00C25486" w:rsidRDefault="00C25486" w:rsidP="00266F38">
            <w:pPr>
              <w:spacing w:after="160" w:line="259" w:lineRule="auto"/>
            </w:pPr>
            <w:r>
              <w:t>Output 1.1: ACT Local Hospital Network</w:t>
            </w:r>
          </w:p>
        </w:tc>
      </w:tr>
      <w:tr w:rsidR="00C25486" w14:paraId="7A86E02D" w14:textId="77777777" w:rsidTr="00C25486">
        <w:tc>
          <w:tcPr>
            <w:tcW w:w="2696" w:type="dxa"/>
          </w:tcPr>
          <w:p w14:paraId="468346A9" w14:textId="2A108C1E" w:rsidR="00C25486" w:rsidRDefault="00C25486" w:rsidP="00266F38">
            <w:pPr>
              <w:spacing w:after="160" w:line="259" w:lineRule="auto"/>
            </w:pPr>
            <w:r w:rsidRPr="00C8416A">
              <w:t>Minister for Health</w:t>
            </w:r>
            <w:r w:rsidRPr="00C8416A">
              <w:br/>
              <w:t>Ms Stephen-Smith MLA</w:t>
            </w:r>
          </w:p>
        </w:tc>
        <w:tc>
          <w:tcPr>
            <w:tcW w:w="3542" w:type="dxa"/>
          </w:tcPr>
          <w:p w14:paraId="66DE25E8" w14:textId="2D938893" w:rsidR="00C25486" w:rsidRDefault="00C25486" w:rsidP="00266F38">
            <w:pPr>
              <w:spacing w:after="160" w:line="259" w:lineRule="auto"/>
            </w:pPr>
            <w:r>
              <w:t xml:space="preserve">Canberra Health Services </w:t>
            </w:r>
          </w:p>
          <w:p w14:paraId="353AA81F" w14:textId="73612D17" w:rsidR="00C25486" w:rsidRDefault="00C25486" w:rsidP="00266F38">
            <w:pPr>
              <w:spacing w:after="160" w:line="259" w:lineRule="auto"/>
            </w:pPr>
            <w:r>
              <w:t>Output 1.2: Healthy Communities</w:t>
            </w:r>
          </w:p>
        </w:tc>
        <w:tc>
          <w:tcPr>
            <w:tcW w:w="3686" w:type="dxa"/>
          </w:tcPr>
          <w:p w14:paraId="76EFCC58" w14:textId="1DE89193" w:rsidR="00C25486" w:rsidRDefault="00C25486" w:rsidP="00266F38">
            <w:pPr>
              <w:spacing w:after="160" w:line="259" w:lineRule="auto"/>
            </w:pPr>
            <w:r>
              <w:t xml:space="preserve">Canberra Health Services </w:t>
            </w:r>
          </w:p>
          <w:p w14:paraId="2650883A" w14:textId="687F4786" w:rsidR="00C25486" w:rsidRDefault="00C25486" w:rsidP="00266F38">
            <w:pPr>
              <w:spacing w:after="160" w:line="259" w:lineRule="auto"/>
            </w:pPr>
            <w:r>
              <w:t>Output 1.2: Healthy Communities</w:t>
            </w:r>
          </w:p>
        </w:tc>
      </w:tr>
      <w:tr w:rsidR="00C25486" w14:paraId="762E9C19" w14:textId="77777777" w:rsidTr="00C25486">
        <w:tc>
          <w:tcPr>
            <w:tcW w:w="2696" w:type="dxa"/>
          </w:tcPr>
          <w:p w14:paraId="4332E226" w14:textId="57DC2A2C" w:rsidR="00C25486" w:rsidRDefault="00C25486" w:rsidP="00266F38">
            <w:pPr>
              <w:spacing w:after="160" w:line="259" w:lineRule="auto"/>
            </w:pPr>
            <w:r w:rsidRPr="00C8416A">
              <w:t>Minister for Health</w:t>
            </w:r>
            <w:r w:rsidRPr="00C8416A">
              <w:br/>
              <w:t>Ms Stephen-Smith MLA</w:t>
            </w:r>
          </w:p>
        </w:tc>
        <w:tc>
          <w:tcPr>
            <w:tcW w:w="3542" w:type="dxa"/>
          </w:tcPr>
          <w:p w14:paraId="121AAF76" w14:textId="2B131F7D" w:rsidR="00C25486" w:rsidRDefault="00C25486" w:rsidP="00266F38">
            <w:pPr>
              <w:spacing w:after="160" w:line="259" w:lineRule="auto"/>
            </w:pPr>
            <w:r w:rsidRPr="00C25486">
              <w:t>Output 1.4: Continuous Improvement of the ACT Public Health System</w:t>
            </w:r>
          </w:p>
        </w:tc>
        <w:tc>
          <w:tcPr>
            <w:tcW w:w="3686" w:type="dxa"/>
          </w:tcPr>
          <w:p w14:paraId="24CA0BAC" w14:textId="0FAE48EE" w:rsidR="00C25486" w:rsidRDefault="00C25486" w:rsidP="00266F38">
            <w:pPr>
              <w:spacing w:after="160" w:line="259" w:lineRule="auto"/>
            </w:pPr>
            <w:r w:rsidRPr="00C25486">
              <w:t>Output 1.4: Continuous Improvement of the ACT Public Health System</w:t>
            </w:r>
          </w:p>
        </w:tc>
      </w:tr>
      <w:tr w:rsidR="00C25486" w14:paraId="2955E5F6" w14:textId="77777777" w:rsidTr="00C25486">
        <w:tc>
          <w:tcPr>
            <w:tcW w:w="2696" w:type="dxa"/>
          </w:tcPr>
          <w:p w14:paraId="042922D2" w14:textId="344ABA91" w:rsidR="00C25486" w:rsidRDefault="00C25486" w:rsidP="00266F38">
            <w:pPr>
              <w:spacing w:after="160" w:line="259" w:lineRule="auto"/>
            </w:pPr>
            <w:r w:rsidRPr="00C8416A">
              <w:t>Minister for Health</w:t>
            </w:r>
            <w:r w:rsidRPr="00C8416A">
              <w:br/>
              <w:t>Ms Stephen-Smith MLA</w:t>
            </w:r>
          </w:p>
        </w:tc>
        <w:tc>
          <w:tcPr>
            <w:tcW w:w="3542" w:type="dxa"/>
          </w:tcPr>
          <w:p w14:paraId="1119DAF7" w14:textId="6E01651D" w:rsidR="00C25486" w:rsidRDefault="00C25486" w:rsidP="00266F38">
            <w:pPr>
              <w:spacing w:after="160" w:line="259" w:lineRule="auto"/>
            </w:pPr>
            <w:r>
              <w:t xml:space="preserve">Output 1.1 Acute Services </w:t>
            </w:r>
          </w:p>
          <w:p w14:paraId="0838B4A9" w14:textId="144038A5" w:rsidR="00C25486" w:rsidRDefault="00C25486" w:rsidP="00266F38">
            <w:pPr>
              <w:spacing w:after="160" w:line="259" w:lineRule="auto"/>
            </w:pPr>
            <w:r>
              <w:t xml:space="preserve">Output 1.2 Mental Health, Justice Health, Alcohol and Drug Services </w:t>
            </w:r>
          </w:p>
          <w:p w14:paraId="3A31DFD9" w14:textId="4C766BD0" w:rsidR="00C25486" w:rsidRDefault="00C25486" w:rsidP="00266F38">
            <w:pPr>
              <w:spacing w:after="160" w:line="259" w:lineRule="auto"/>
            </w:pPr>
            <w:r>
              <w:t xml:space="preserve">(Except for Mental Health and Justice – to be referred to Minister for Mental Health and Minister for Justice Health) </w:t>
            </w:r>
          </w:p>
          <w:p w14:paraId="1A1ECF23" w14:textId="3099C693" w:rsidR="00C25486" w:rsidRDefault="00C25486" w:rsidP="00266F38">
            <w:pPr>
              <w:spacing w:after="160" w:line="259" w:lineRule="auto"/>
            </w:pPr>
            <w:r>
              <w:t xml:space="preserve">Output 1.3 Cancer Services </w:t>
            </w:r>
          </w:p>
          <w:p w14:paraId="39299773" w14:textId="2AFD2DBC" w:rsidR="00C25486" w:rsidRDefault="00C25486" w:rsidP="00266F38">
            <w:pPr>
              <w:spacing w:after="160" w:line="259" w:lineRule="auto"/>
            </w:pPr>
            <w:r>
              <w:t>Output 1.4 Subacute and Community Services</w:t>
            </w:r>
          </w:p>
        </w:tc>
        <w:tc>
          <w:tcPr>
            <w:tcW w:w="3686" w:type="dxa"/>
          </w:tcPr>
          <w:p w14:paraId="57453C75" w14:textId="1B040370" w:rsidR="00C25486" w:rsidRDefault="00C25486" w:rsidP="00266F38">
            <w:pPr>
              <w:spacing w:after="160" w:line="259" w:lineRule="auto"/>
            </w:pPr>
            <w:r>
              <w:t xml:space="preserve">Output 1.1 Acute Services </w:t>
            </w:r>
          </w:p>
          <w:p w14:paraId="5E325952" w14:textId="4479A923" w:rsidR="00C25486" w:rsidRDefault="00C25486" w:rsidP="00266F38">
            <w:pPr>
              <w:spacing w:after="160" w:line="259" w:lineRule="auto"/>
            </w:pPr>
            <w:r>
              <w:t xml:space="preserve">Output 1.2 Mental Health, Justice Health, Alcohol and Drug Services </w:t>
            </w:r>
          </w:p>
          <w:p w14:paraId="38EBD0AF" w14:textId="477A94A6" w:rsidR="00C25486" w:rsidRDefault="00C25486" w:rsidP="00266F38">
            <w:pPr>
              <w:spacing w:after="160" w:line="259" w:lineRule="auto"/>
            </w:pPr>
            <w:r>
              <w:t xml:space="preserve">(Except for Mental Health and Justice – to be referred to Minister for Mental Health and Minister for Justice Health) </w:t>
            </w:r>
          </w:p>
          <w:p w14:paraId="3DD716B1" w14:textId="2E9C0BE4" w:rsidR="00C25486" w:rsidRDefault="00C25486" w:rsidP="00266F38">
            <w:pPr>
              <w:spacing w:after="160" w:line="259" w:lineRule="auto"/>
            </w:pPr>
            <w:r>
              <w:t xml:space="preserve">Output 1.3 Cancer Services </w:t>
            </w:r>
          </w:p>
          <w:p w14:paraId="0BA3E35C" w14:textId="7F8E4CD4" w:rsidR="00C25486" w:rsidRDefault="00C25486" w:rsidP="00266F38">
            <w:pPr>
              <w:spacing w:after="160" w:line="259" w:lineRule="auto"/>
            </w:pPr>
            <w:r>
              <w:t>Output 1.4 Subacute and Community Services</w:t>
            </w:r>
          </w:p>
        </w:tc>
      </w:tr>
      <w:tr w:rsidR="00C25486" w14:paraId="53130C56" w14:textId="77777777" w:rsidTr="00C25486">
        <w:tc>
          <w:tcPr>
            <w:tcW w:w="2696" w:type="dxa"/>
          </w:tcPr>
          <w:p w14:paraId="16D2EACD" w14:textId="3598AFFC" w:rsidR="00C25486" w:rsidRDefault="00C25486" w:rsidP="00266F38">
            <w:pPr>
              <w:spacing w:after="160" w:line="259" w:lineRule="auto"/>
            </w:pPr>
            <w:r w:rsidRPr="00C25486">
              <w:t>Minister for Families and Community Services</w:t>
            </w:r>
            <w:r>
              <w:br/>
            </w:r>
            <w:r w:rsidRPr="00C25486">
              <w:t>Ms Stephen</w:t>
            </w:r>
            <w:r>
              <w:t>-</w:t>
            </w:r>
            <w:r w:rsidRPr="00C25486">
              <w:t>Smith MLA</w:t>
            </w:r>
          </w:p>
        </w:tc>
        <w:tc>
          <w:tcPr>
            <w:tcW w:w="3542" w:type="dxa"/>
          </w:tcPr>
          <w:p w14:paraId="37078255" w14:textId="61DDEDB0" w:rsidR="00C25486" w:rsidRDefault="00C25486" w:rsidP="00266F38">
            <w:pPr>
              <w:spacing w:after="160" w:line="259" w:lineRule="auto"/>
            </w:pPr>
            <w:r>
              <w:t xml:space="preserve">CSD 1.1 Inclusion and Participation </w:t>
            </w:r>
          </w:p>
          <w:p w14:paraId="7B13117B" w14:textId="65CA1D71" w:rsidR="00C25486" w:rsidRDefault="00C25486" w:rsidP="00266F38">
            <w:pPr>
              <w:spacing w:after="160" w:line="259" w:lineRule="auto"/>
            </w:pPr>
            <w:r>
              <w:t xml:space="preserve">CSD 1.3 Strategic Policy </w:t>
            </w:r>
          </w:p>
          <w:p w14:paraId="04BDE1DA" w14:textId="3F76BC75" w:rsidR="00C25486" w:rsidRDefault="00C25486" w:rsidP="00266F38">
            <w:pPr>
              <w:spacing w:after="160" w:line="259" w:lineRule="auto"/>
            </w:pPr>
            <w:r>
              <w:t xml:space="preserve">CSD 1.4 Quality, Complaints and Regulation </w:t>
            </w:r>
          </w:p>
          <w:p w14:paraId="34866961" w14:textId="038E2A23" w:rsidR="00C25486" w:rsidRDefault="00C25486" w:rsidP="00266F38">
            <w:pPr>
              <w:spacing w:after="160" w:line="259" w:lineRule="auto"/>
            </w:pPr>
            <w:r>
              <w:t>CSD 2.3 Child and Youth Protection Services</w:t>
            </w:r>
          </w:p>
        </w:tc>
        <w:tc>
          <w:tcPr>
            <w:tcW w:w="3686" w:type="dxa"/>
          </w:tcPr>
          <w:p w14:paraId="1616743D" w14:textId="28396FB5" w:rsidR="00C25486" w:rsidRDefault="00C25486" w:rsidP="00266F38">
            <w:pPr>
              <w:spacing w:after="160" w:line="259" w:lineRule="auto"/>
            </w:pPr>
            <w:r>
              <w:t xml:space="preserve">CSD 2.1 Inclusion and Participation </w:t>
            </w:r>
          </w:p>
          <w:p w14:paraId="28D01C0B" w14:textId="741C05E0" w:rsidR="00C25486" w:rsidRDefault="00C25486" w:rsidP="00266F38">
            <w:pPr>
              <w:spacing w:after="160" w:line="259" w:lineRule="auto"/>
            </w:pPr>
            <w:r>
              <w:t xml:space="preserve">CSD 2.3 Strategic Policy </w:t>
            </w:r>
          </w:p>
          <w:p w14:paraId="258EB9C4" w14:textId="3BB0619D" w:rsidR="00C25486" w:rsidRDefault="00C25486" w:rsidP="00266F38">
            <w:pPr>
              <w:spacing w:after="160" w:line="259" w:lineRule="auto"/>
            </w:pPr>
            <w:r>
              <w:t xml:space="preserve">CSD 2.4 Quality, Complaints and Regulation </w:t>
            </w:r>
          </w:p>
          <w:p w14:paraId="204BB000" w14:textId="634AC115" w:rsidR="00C25486" w:rsidRDefault="00C25486" w:rsidP="00266F38">
            <w:pPr>
              <w:spacing w:after="160" w:line="259" w:lineRule="auto"/>
            </w:pPr>
            <w:r>
              <w:t xml:space="preserve">CSD 3.3 Child and Youth Protection Services </w:t>
            </w:r>
          </w:p>
          <w:p w14:paraId="23857CD7" w14:textId="12ABA07B" w:rsidR="00C25486" w:rsidRDefault="00C25486" w:rsidP="00266F38">
            <w:pPr>
              <w:spacing w:after="160" w:line="259" w:lineRule="auto"/>
            </w:pPr>
            <w:r>
              <w:t>Outputs changed due to NDIS being discontinued</w:t>
            </w:r>
          </w:p>
        </w:tc>
      </w:tr>
      <w:tr w:rsidR="00C25486" w14:paraId="26A8FB08" w14:textId="77777777" w:rsidTr="00C25486">
        <w:tc>
          <w:tcPr>
            <w:tcW w:w="2696" w:type="dxa"/>
          </w:tcPr>
          <w:p w14:paraId="03DD8594" w14:textId="2008BFEF" w:rsidR="00C25486" w:rsidRDefault="00C25486" w:rsidP="00266F38">
            <w:pPr>
              <w:spacing w:after="160" w:line="259" w:lineRule="auto"/>
            </w:pPr>
            <w:r w:rsidRPr="00C25486">
              <w:t>Minister for Mental Health</w:t>
            </w:r>
            <w:r>
              <w:br/>
            </w:r>
            <w:r w:rsidRPr="00C25486">
              <w:t>Ms Davidson MLA</w:t>
            </w:r>
          </w:p>
        </w:tc>
        <w:tc>
          <w:tcPr>
            <w:tcW w:w="3542" w:type="dxa"/>
          </w:tcPr>
          <w:p w14:paraId="4CC4D908" w14:textId="52FB0A32" w:rsidR="00C25486" w:rsidRDefault="00C25486" w:rsidP="00266F38">
            <w:pPr>
              <w:spacing w:after="160" w:line="259" w:lineRule="auto"/>
            </w:pPr>
            <w:r>
              <w:t xml:space="preserve">Output 1.2 Mental Health, Justice Health, Alcohol and Drug Services </w:t>
            </w:r>
          </w:p>
          <w:p w14:paraId="645A41AD" w14:textId="36C6ECB0" w:rsidR="00C25486" w:rsidRPr="00525FD2" w:rsidRDefault="00C25486" w:rsidP="00266F38">
            <w:pPr>
              <w:spacing w:after="160" w:line="259" w:lineRule="auto"/>
              <w:rPr>
                <w:i/>
                <w:iCs/>
              </w:rPr>
            </w:pPr>
            <w:r w:rsidRPr="00525FD2">
              <w:rPr>
                <w:i/>
                <w:iCs/>
              </w:rPr>
              <w:t>(Except for Alcohol and Drug Services – to be referred to Minister for Health)</w:t>
            </w:r>
          </w:p>
        </w:tc>
        <w:tc>
          <w:tcPr>
            <w:tcW w:w="3686" w:type="dxa"/>
          </w:tcPr>
          <w:p w14:paraId="18B0500B" w14:textId="62CA0E9E" w:rsidR="00C25486" w:rsidRDefault="00C25486" w:rsidP="00266F38">
            <w:pPr>
              <w:spacing w:after="160" w:line="259" w:lineRule="auto"/>
            </w:pPr>
            <w:r>
              <w:t xml:space="preserve">Output 1.2 Mental Health, Justice Health, Alcohol and Drug Services </w:t>
            </w:r>
          </w:p>
          <w:p w14:paraId="75966B8D" w14:textId="3EFB8139" w:rsidR="00C25486" w:rsidRPr="00525FD2" w:rsidRDefault="00C25486" w:rsidP="00266F38">
            <w:pPr>
              <w:spacing w:after="160" w:line="259" w:lineRule="auto"/>
              <w:rPr>
                <w:i/>
                <w:iCs/>
              </w:rPr>
            </w:pPr>
            <w:r w:rsidRPr="00525FD2">
              <w:rPr>
                <w:i/>
                <w:iCs/>
              </w:rPr>
              <w:t>(Except for Alcohol and Drug Services – to be referred to Minister for Health)</w:t>
            </w:r>
          </w:p>
        </w:tc>
      </w:tr>
      <w:tr w:rsidR="00C25486" w14:paraId="65156C05" w14:textId="77777777" w:rsidTr="00C25486">
        <w:tc>
          <w:tcPr>
            <w:tcW w:w="2696" w:type="dxa"/>
          </w:tcPr>
          <w:p w14:paraId="645E7332" w14:textId="6234695C" w:rsidR="00C25486" w:rsidRDefault="00C25486" w:rsidP="00266F38">
            <w:pPr>
              <w:spacing w:after="160" w:line="259" w:lineRule="auto"/>
            </w:pPr>
            <w:r w:rsidRPr="00C25486">
              <w:t>Minister for Mental Health</w:t>
            </w:r>
            <w:r>
              <w:br/>
            </w:r>
            <w:r w:rsidRPr="00C25486">
              <w:t>Ms Davidson MLA</w:t>
            </w:r>
          </w:p>
        </w:tc>
        <w:tc>
          <w:tcPr>
            <w:tcW w:w="3542" w:type="dxa"/>
          </w:tcPr>
          <w:p w14:paraId="7BC48D8A" w14:textId="5294CEA8" w:rsidR="00C25486" w:rsidRDefault="00C25486" w:rsidP="00266F38">
            <w:pPr>
              <w:spacing w:after="160" w:line="259" w:lineRule="auto"/>
            </w:pPr>
            <w:r>
              <w:t xml:space="preserve">Output 1.3: Mentally Healthy Communities </w:t>
            </w:r>
          </w:p>
          <w:p w14:paraId="30725573" w14:textId="390A1D18" w:rsidR="00C25486" w:rsidRDefault="00C25486" w:rsidP="00266F38">
            <w:pPr>
              <w:spacing w:after="160" w:line="259" w:lineRule="auto"/>
            </w:pPr>
            <w:r>
              <w:t xml:space="preserve">Output 1.2 Mental Health, Justice Health, Alcohol and Drug Services </w:t>
            </w:r>
          </w:p>
          <w:p w14:paraId="16764106" w14:textId="2D44FC50" w:rsidR="00C25486" w:rsidRPr="00525FD2" w:rsidRDefault="00C25486" w:rsidP="00266F38">
            <w:pPr>
              <w:spacing w:after="160" w:line="259" w:lineRule="auto"/>
              <w:rPr>
                <w:i/>
                <w:iCs/>
              </w:rPr>
            </w:pPr>
            <w:r w:rsidRPr="00525FD2">
              <w:rPr>
                <w:i/>
                <w:iCs/>
              </w:rPr>
              <w:t>(Except for Alcohol and Drug Services – to be referred to Minister for Health)</w:t>
            </w:r>
          </w:p>
        </w:tc>
        <w:tc>
          <w:tcPr>
            <w:tcW w:w="3686" w:type="dxa"/>
          </w:tcPr>
          <w:p w14:paraId="1C4C7D03" w14:textId="1D6F5EDE" w:rsidR="00C25486" w:rsidRDefault="00C25486" w:rsidP="00266F38">
            <w:pPr>
              <w:spacing w:after="160" w:line="259" w:lineRule="auto"/>
            </w:pPr>
            <w:r>
              <w:t xml:space="preserve">Output 1.3: Mentally Healthy Communities </w:t>
            </w:r>
          </w:p>
          <w:p w14:paraId="573D6FD4" w14:textId="5D74EE3D" w:rsidR="00C25486" w:rsidRDefault="00C25486" w:rsidP="00266F38">
            <w:pPr>
              <w:spacing w:after="160" w:line="259" w:lineRule="auto"/>
            </w:pPr>
            <w:r>
              <w:t xml:space="preserve">Output 1.2 Mental Health, Justice Health, Alcohol and Drug Services </w:t>
            </w:r>
          </w:p>
          <w:p w14:paraId="51A94052" w14:textId="6AF7F599" w:rsidR="00C25486" w:rsidRPr="00525FD2" w:rsidRDefault="00C25486" w:rsidP="00266F38">
            <w:pPr>
              <w:spacing w:after="160" w:line="259" w:lineRule="auto"/>
              <w:rPr>
                <w:i/>
                <w:iCs/>
              </w:rPr>
            </w:pPr>
            <w:r w:rsidRPr="00525FD2">
              <w:rPr>
                <w:i/>
                <w:iCs/>
              </w:rPr>
              <w:t>(Except for Alcohol and Drug Services – to be referred to Minister for Health)</w:t>
            </w:r>
          </w:p>
        </w:tc>
      </w:tr>
    </w:tbl>
    <w:p w14:paraId="59472614" w14:textId="50D1D3C4" w:rsidR="00C25486" w:rsidRDefault="00C25486" w:rsidP="00C25486">
      <w:pPr>
        <w:pStyle w:val="Heading5"/>
        <w:ind w:left="0" w:firstLine="0"/>
      </w:pPr>
      <w:r>
        <w:t>WEDNESDAY, 3 MARCH 2021</w:t>
      </w:r>
    </w:p>
    <w:tbl>
      <w:tblPr>
        <w:tblStyle w:val="TableGrid"/>
        <w:tblW w:w="9924" w:type="dxa"/>
        <w:tblInd w:w="-431" w:type="dxa"/>
        <w:tblLook w:val="04A0" w:firstRow="1" w:lastRow="0" w:firstColumn="1" w:lastColumn="0" w:noHBand="0" w:noVBand="1"/>
      </w:tblPr>
      <w:tblGrid>
        <w:gridCol w:w="2696"/>
        <w:gridCol w:w="3542"/>
        <w:gridCol w:w="3686"/>
      </w:tblGrid>
      <w:tr w:rsidR="00C25486" w:rsidRPr="001F3520" w14:paraId="20DFA562" w14:textId="77777777" w:rsidTr="00FD2225">
        <w:tc>
          <w:tcPr>
            <w:tcW w:w="2696" w:type="dxa"/>
          </w:tcPr>
          <w:p w14:paraId="7E1B1B8B" w14:textId="77777777" w:rsidR="00C25486" w:rsidRPr="001F3520" w:rsidRDefault="00C25486" w:rsidP="00266F38">
            <w:pPr>
              <w:spacing w:after="160" w:line="259" w:lineRule="auto"/>
              <w:rPr>
                <w:b/>
                <w:bCs/>
                <w:sz w:val="22"/>
                <w:szCs w:val="22"/>
              </w:rPr>
            </w:pPr>
            <w:r>
              <w:rPr>
                <w:b/>
                <w:bCs/>
                <w:sz w:val="22"/>
                <w:szCs w:val="22"/>
              </w:rPr>
              <w:br/>
            </w:r>
            <w:r w:rsidRPr="001F3520">
              <w:rPr>
                <w:b/>
                <w:bCs/>
                <w:sz w:val="22"/>
                <w:szCs w:val="22"/>
              </w:rPr>
              <w:t>Office</w:t>
            </w:r>
          </w:p>
        </w:tc>
        <w:tc>
          <w:tcPr>
            <w:tcW w:w="3542" w:type="dxa"/>
          </w:tcPr>
          <w:p w14:paraId="70FCA3C5" w14:textId="77777777" w:rsidR="00C25486" w:rsidRPr="001F3520" w:rsidRDefault="00C25486" w:rsidP="00266F38">
            <w:pPr>
              <w:spacing w:after="160" w:line="259" w:lineRule="auto"/>
              <w:rPr>
                <w:b/>
                <w:bCs/>
                <w:sz w:val="22"/>
                <w:szCs w:val="22"/>
              </w:rPr>
            </w:pPr>
            <w:r>
              <w:rPr>
                <w:b/>
                <w:bCs/>
                <w:sz w:val="22"/>
                <w:szCs w:val="22"/>
              </w:rPr>
              <w:br/>
            </w:r>
            <w:r w:rsidRPr="001F3520">
              <w:rPr>
                <w:b/>
                <w:bCs/>
                <w:sz w:val="22"/>
                <w:szCs w:val="22"/>
              </w:rPr>
              <w:t>Directorate/ Portfolio/ Output Budget 2020-21</w:t>
            </w:r>
          </w:p>
        </w:tc>
        <w:tc>
          <w:tcPr>
            <w:tcW w:w="3686" w:type="dxa"/>
          </w:tcPr>
          <w:p w14:paraId="2723BB92" w14:textId="77777777" w:rsidR="00C25486" w:rsidRPr="001F3520" w:rsidRDefault="00C25486" w:rsidP="00266F38">
            <w:pPr>
              <w:spacing w:after="160" w:line="259" w:lineRule="auto"/>
              <w:rPr>
                <w:b/>
                <w:bCs/>
                <w:sz w:val="22"/>
                <w:szCs w:val="22"/>
              </w:rPr>
            </w:pPr>
            <w:r>
              <w:rPr>
                <w:b/>
                <w:bCs/>
                <w:sz w:val="22"/>
                <w:szCs w:val="22"/>
              </w:rPr>
              <w:br/>
            </w:r>
            <w:r w:rsidRPr="001F3520">
              <w:rPr>
                <w:b/>
                <w:bCs/>
                <w:sz w:val="22"/>
                <w:szCs w:val="22"/>
              </w:rPr>
              <w:t xml:space="preserve">Directorate/ Portfolio/ Output Annual Report </w:t>
            </w:r>
            <w:r>
              <w:rPr>
                <w:b/>
                <w:bCs/>
                <w:sz w:val="22"/>
                <w:szCs w:val="22"/>
              </w:rPr>
              <w:br/>
            </w:r>
            <w:r w:rsidRPr="001F3520">
              <w:rPr>
                <w:b/>
                <w:bCs/>
                <w:sz w:val="22"/>
                <w:szCs w:val="22"/>
              </w:rPr>
              <w:t>2019-20</w:t>
            </w:r>
          </w:p>
        </w:tc>
      </w:tr>
      <w:tr w:rsidR="00C25486" w14:paraId="28EE937E" w14:textId="77777777" w:rsidTr="00FD2225">
        <w:tc>
          <w:tcPr>
            <w:tcW w:w="2696" w:type="dxa"/>
          </w:tcPr>
          <w:p w14:paraId="3ED8762C" w14:textId="42F93B7F" w:rsidR="00C25486" w:rsidRDefault="00525FD2" w:rsidP="00266F38">
            <w:pPr>
              <w:spacing w:after="160" w:line="259" w:lineRule="auto"/>
            </w:pPr>
            <w:r w:rsidRPr="00525FD2">
              <w:t xml:space="preserve">Minister for Housing and Suburban Development </w:t>
            </w:r>
            <w:r>
              <w:br/>
            </w:r>
            <w:r w:rsidRPr="00525FD2">
              <w:t>Ms Berry MLA</w:t>
            </w:r>
          </w:p>
        </w:tc>
        <w:tc>
          <w:tcPr>
            <w:tcW w:w="3542" w:type="dxa"/>
          </w:tcPr>
          <w:p w14:paraId="0069EFF7" w14:textId="33A970F5" w:rsidR="00525FD2" w:rsidRDefault="00525FD2" w:rsidP="00266F38">
            <w:pPr>
              <w:spacing w:after="160" w:line="259" w:lineRule="auto"/>
            </w:pPr>
            <w:r>
              <w:t xml:space="preserve">HACT 1.1 Social Housing Services </w:t>
            </w:r>
          </w:p>
          <w:p w14:paraId="2B350C40" w14:textId="58314897" w:rsidR="00C25486" w:rsidRDefault="00525FD2" w:rsidP="00266F38">
            <w:pPr>
              <w:spacing w:after="160" w:line="259" w:lineRule="auto"/>
            </w:pPr>
            <w:r>
              <w:t xml:space="preserve">CSD 1.4 Quality Complaints and Regulation </w:t>
            </w:r>
          </w:p>
        </w:tc>
        <w:tc>
          <w:tcPr>
            <w:tcW w:w="3686" w:type="dxa"/>
          </w:tcPr>
          <w:p w14:paraId="4BDBD62B" w14:textId="6E6C42FC" w:rsidR="00525FD2" w:rsidRDefault="00525FD2" w:rsidP="00266F38">
            <w:pPr>
              <w:spacing w:after="160" w:line="259" w:lineRule="auto"/>
            </w:pPr>
            <w:r>
              <w:t xml:space="preserve">HACT 1.1 Social Housing Services </w:t>
            </w:r>
          </w:p>
          <w:p w14:paraId="76FB7CC5" w14:textId="4BB41CF1" w:rsidR="00C25486" w:rsidRDefault="00525FD2" w:rsidP="00266F38">
            <w:pPr>
              <w:spacing w:after="160" w:line="259" w:lineRule="auto"/>
            </w:pPr>
            <w:r>
              <w:t>CSD 2.4 Quality Complaints and Regulation</w:t>
            </w:r>
          </w:p>
        </w:tc>
      </w:tr>
      <w:tr w:rsidR="00C25486" w14:paraId="58921DD9" w14:textId="77777777" w:rsidTr="00FD2225">
        <w:tc>
          <w:tcPr>
            <w:tcW w:w="2696" w:type="dxa"/>
          </w:tcPr>
          <w:p w14:paraId="639D2169" w14:textId="0F633932" w:rsidR="00C25486" w:rsidRDefault="00525FD2" w:rsidP="00266F38">
            <w:pPr>
              <w:spacing w:after="160" w:line="259" w:lineRule="auto"/>
            </w:pPr>
            <w:r w:rsidRPr="00525FD2">
              <w:t>Minister for the Prevention of Domestic and Family Violence Ms Berry MLA</w:t>
            </w:r>
          </w:p>
        </w:tc>
        <w:tc>
          <w:tcPr>
            <w:tcW w:w="3542" w:type="dxa"/>
          </w:tcPr>
          <w:p w14:paraId="0E7F04E5" w14:textId="37A621A4" w:rsidR="00C25486" w:rsidRDefault="00525FD2" w:rsidP="00266F38">
            <w:pPr>
              <w:spacing w:after="160" w:line="259" w:lineRule="auto"/>
            </w:pPr>
            <w:r w:rsidRPr="00525FD2">
              <w:t>CSD 1.5 Safer Families</w:t>
            </w:r>
          </w:p>
        </w:tc>
        <w:tc>
          <w:tcPr>
            <w:tcW w:w="3686" w:type="dxa"/>
          </w:tcPr>
          <w:p w14:paraId="1C9D45F9" w14:textId="0C21011D" w:rsidR="00C25486" w:rsidRDefault="00525FD2" w:rsidP="00266F38">
            <w:pPr>
              <w:spacing w:after="160" w:line="259" w:lineRule="auto"/>
            </w:pPr>
            <w:r w:rsidRPr="00525FD2">
              <w:t>CSD 2.5 Safer Families</w:t>
            </w:r>
          </w:p>
        </w:tc>
      </w:tr>
      <w:tr w:rsidR="00525FD2" w14:paraId="07C09A62" w14:textId="77777777" w:rsidTr="00FD2225">
        <w:tc>
          <w:tcPr>
            <w:tcW w:w="2696" w:type="dxa"/>
          </w:tcPr>
          <w:p w14:paraId="6C5094B1" w14:textId="7FB69155" w:rsidR="00525FD2" w:rsidRDefault="00525FD2" w:rsidP="00266F38">
            <w:pPr>
              <w:spacing w:after="160" w:line="259" w:lineRule="auto"/>
            </w:pPr>
            <w:r w:rsidRPr="00525FD2">
              <w:t xml:space="preserve">Minister for Homeless ness and Housing Services </w:t>
            </w:r>
            <w:r>
              <w:br/>
            </w:r>
            <w:r w:rsidRPr="00525FD2">
              <w:t xml:space="preserve">Ms </w:t>
            </w:r>
            <w:proofErr w:type="spellStart"/>
            <w:r w:rsidRPr="00525FD2">
              <w:t>Vassarotti</w:t>
            </w:r>
            <w:proofErr w:type="spellEnd"/>
            <w:r w:rsidRPr="00525FD2">
              <w:t xml:space="preserve"> MLA</w:t>
            </w:r>
          </w:p>
        </w:tc>
        <w:tc>
          <w:tcPr>
            <w:tcW w:w="3542" w:type="dxa"/>
          </w:tcPr>
          <w:p w14:paraId="6A6542A2" w14:textId="5C9402FC" w:rsidR="00525FD2" w:rsidRPr="00525FD2" w:rsidRDefault="00525FD2" w:rsidP="00266F38">
            <w:pPr>
              <w:spacing w:after="160" w:line="259" w:lineRule="auto"/>
            </w:pPr>
            <w:r w:rsidRPr="00525FD2">
              <w:t>HACT 1.1 Social Housing Service</w:t>
            </w:r>
            <w:r>
              <w:t>s</w:t>
            </w:r>
          </w:p>
        </w:tc>
        <w:tc>
          <w:tcPr>
            <w:tcW w:w="3686" w:type="dxa"/>
          </w:tcPr>
          <w:p w14:paraId="49BA3644" w14:textId="0E38465C" w:rsidR="00525FD2" w:rsidRDefault="00525FD2" w:rsidP="00266F38">
            <w:pPr>
              <w:spacing w:after="160" w:line="259" w:lineRule="auto"/>
            </w:pPr>
            <w:r w:rsidRPr="00525FD2">
              <w:t>HACT 1.1 Social Housing Service</w:t>
            </w:r>
            <w:r>
              <w:t>s</w:t>
            </w:r>
          </w:p>
        </w:tc>
      </w:tr>
      <w:tr w:rsidR="00525FD2" w14:paraId="3F0F24C8" w14:textId="77777777" w:rsidTr="00FD2225">
        <w:tc>
          <w:tcPr>
            <w:tcW w:w="2696" w:type="dxa"/>
          </w:tcPr>
          <w:p w14:paraId="26179F6D" w14:textId="48B3435A" w:rsidR="00525FD2" w:rsidRDefault="00525FD2" w:rsidP="00266F38">
            <w:pPr>
              <w:spacing w:after="160" w:line="259" w:lineRule="auto"/>
            </w:pPr>
            <w:r w:rsidRPr="00525FD2">
              <w:t>Assistant Minister for Seniors, Veterans, Families and Community Services</w:t>
            </w:r>
            <w:r w:rsidRPr="00C25486">
              <w:t xml:space="preserve"> </w:t>
            </w:r>
            <w:r>
              <w:br/>
            </w:r>
            <w:r w:rsidRPr="00C25486">
              <w:t>Ms Davidson MLA</w:t>
            </w:r>
          </w:p>
        </w:tc>
        <w:tc>
          <w:tcPr>
            <w:tcW w:w="3542" w:type="dxa"/>
          </w:tcPr>
          <w:p w14:paraId="2ABEB929" w14:textId="33EEAA77" w:rsidR="00525FD2" w:rsidRDefault="00525FD2" w:rsidP="00266F38">
            <w:pPr>
              <w:spacing w:after="160" w:line="259" w:lineRule="auto"/>
            </w:pPr>
            <w:r>
              <w:t xml:space="preserve">CSD 1.1 Inclusion and Participation </w:t>
            </w:r>
          </w:p>
          <w:p w14:paraId="266298A1" w14:textId="0D2AADE9" w:rsidR="00525FD2" w:rsidRDefault="00525FD2" w:rsidP="00266F38">
            <w:pPr>
              <w:spacing w:after="160" w:line="259" w:lineRule="auto"/>
            </w:pPr>
            <w:r>
              <w:t xml:space="preserve">CSD 1.3 Strategic Policy </w:t>
            </w:r>
          </w:p>
          <w:p w14:paraId="465D3F31" w14:textId="386D4BBD" w:rsidR="00525FD2" w:rsidRDefault="00525FD2" w:rsidP="00266F38">
            <w:pPr>
              <w:spacing w:after="160" w:line="259" w:lineRule="auto"/>
            </w:pPr>
            <w:r>
              <w:t xml:space="preserve">CSD 2.3 Child and Youth Protection Services </w:t>
            </w:r>
          </w:p>
          <w:p w14:paraId="734BF116" w14:textId="229FC559" w:rsidR="00525FD2" w:rsidRPr="00525FD2" w:rsidRDefault="00525FD2" w:rsidP="00266F38">
            <w:pPr>
              <w:spacing w:after="160" w:line="259" w:lineRule="auto"/>
            </w:pPr>
            <w:r>
              <w:t>(Only in relation to *</w:t>
            </w:r>
            <w:proofErr w:type="spellStart"/>
            <w:r>
              <w:t>Bimberi</w:t>
            </w:r>
            <w:proofErr w:type="spellEnd"/>
            <w:r>
              <w:t xml:space="preserve"> *Community recovery and emergency relief)</w:t>
            </w:r>
          </w:p>
        </w:tc>
        <w:tc>
          <w:tcPr>
            <w:tcW w:w="3686" w:type="dxa"/>
          </w:tcPr>
          <w:p w14:paraId="772F278E" w14:textId="395610CD" w:rsidR="00525FD2" w:rsidRDefault="00525FD2" w:rsidP="00266F38">
            <w:pPr>
              <w:spacing w:after="160" w:line="259" w:lineRule="auto"/>
            </w:pPr>
            <w:r>
              <w:t xml:space="preserve">CSD 2.1 Inclusion and Participation (both committees) </w:t>
            </w:r>
          </w:p>
          <w:p w14:paraId="06B7E6A3" w14:textId="6BE8C561" w:rsidR="00525FD2" w:rsidRDefault="00525FD2" w:rsidP="00266F38">
            <w:pPr>
              <w:spacing w:after="160" w:line="259" w:lineRule="auto"/>
            </w:pPr>
            <w:r>
              <w:t xml:space="preserve">CSD 2.3 Strategic Policy </w:t>
            </w:r>
          </w:p>
          <w:p w14:paraId="216FD8A3" w14:textId="78E5A6F9" w:rsidR="00525FD2" w:rsidRDefault="00525FD2" w:rsidP="00266F38">
            <w:pPr>
              <w:spacing w:after="160" w:line="259" w:lineRule="auto"/>
            </w:pPr>
            <w:r>
              <w:t xml:space="preserve">CSD 3.3 Child and Youth Protection Services </w:t>
            </w:r>
          </w:p>
          <w:p w14:paraId="77309E83" w14:textId="1CBBB011" w:rsidR="00525FD2" w:rsidRDefault="00525FD2" w:rsidP="00266F38">
            <w:pPr>
              <w:spacing w:after="160" w:line="259" w:lineRule="auto"/>
            </w:pPr>
            <w:r>
              <w:t>(Only in relation to *</w:t>
            </w:r>
            <w:r w:rsidR="0076788C">
              <w:t xml:space="preserve"> </w:t>
            </w:r>
            <w:proofErr w:type="spellStart"/>
            <w:r>
              <w:t>Bimberi</w:t>
            </w:r>
            <w:proofErr w:type="spellEnd"/>
            <w:r>
              <w:t xml:space="preserve"> *Community recovery and emergency relief) </w:t>
            </w:r>
          </w:p>
          <w:p w14:paraId="436CC6B0" w14:textId="496D1740" w:rsidR="00525FD2" w:rsidRDefault="00525FD2" w:rsidP="00266F38">
            <w:pPr>
              <w:spacing w:after="160" w:line="259" w:lineRule="auto"/>
            </w:pPr>
            <w:r>
              <w:t xml:space="preserve">Outputs changed due to NDIS being discontinued </w:t>
            </w:r>
          </w:p>
        </w:tc>
      </w:tr>
    </w:tbl>
    <w:p w14:paraId="3C66A405" w14:textId="77777777" w:rsidR="00525FD2" w:rsidRDefault="00525FD2"/>
    <w:p w14:paraId="00B71764" w14:textId="583B8597" w:rsidR="00525FD2" w:rsidRDefault="00525FD2">
      <w:pPr>
        <w:spacing w:after="160" w:line="259" w:lineRule="auto"/>
      </w:pPr>
    </w:p>
    <w:p w14:paraId="43D1872C" w14:textId="77777777" w:rsidR="00B67834" w:rsidRDefault="00B67834" w:rsidP="00B1748E">
      <w:pPr>
        <w:pStyle w:val="AppendixHeading1"/>
        <w:numPr>
          <w:ilvl w:val="7"/>
          <w:numId w:val="5"/>
        </w:numPr>
        <w:tabs>
          <w:tab w:val="num" w:pos="2268"/>
        </w:tabs>
        <w:sectPr w:rsidR="00B67834" w:rsidSect="00592C9A">
          <w:pgSz w:w="11907" w:h="16840" w:code="9"/>
          <w:pgMar w:top="1588" w:right="1418" w:bottom="1418" w:left="1418" w:header="720" w:footer="851" w:gutter="0"/>
          <w:cols w:space="720"/>
          <w:docGrid w:linePitch="360"/>
        </w:sectPr>
      </w:pPr>
      <w:bookmarkStart w:id="138" w:name="_Toc514768058"/>
      <w:bookmarkStart w:id="139" w:name="_Toc502671598"/>
      <w:bookmarkStart w:id="140" w:name="_Toc502671776"/>
      <w:bookmarkStart w:id="141" w:name="_Toc502671882"/>
      <w:bookmarkStart w:id="142" w:name="_Toc502672814"/>
    </w:p>
    <w:p w14:paraId="6631BF31" w14:textId="3F97F652" w:rsidR="00A152C1" w:rsidRDefault="00A152C1" w:rsidP="00B1748E">
      <w:pPr>
        <w:pStyle w:val="AppendixHeading1"/>
        <w:numPr>
          <w:ilvl w:val="7"/>
          <w:numId w:val="5"/>
        </w:numPr>
        <w:tabs>
          <w:tab w:val="num" w:pos="2268"/>
        </w:tabs>
      </w:pPr>
      <w:bookmarkStart w:id="143" w:name="_Toc68848982"/>
      <w:r>
        <w:t>Schedule of Questions taken on Notice</w:t>
      </w:r>
      <w:bookmarkEnd w:id="138"/>
      <w:bookmarkEnd w:id="143"/>
    </w:p>
    <w:p w14:paraId="1D80A520" w14:textId="3BC58615" w:rsidR="00A152C1" w:rsidRDefault="00A152C1" w:rsidP="00A152C1">
      <w:pPr>
        <w:pStyle w:val="Caption"/>
      </w:pPr>
      <w:r>
        <w:t>Questions taken on Notice Friday</w:t>
      </w:r>
      <w:r w:rsidR="00903F72">
        <w:t>,</w:t>
      </w:r>
      <w:r>
        <w:t xml:space="preserve"> 26 February 2021</w:t>
      </w:r>
    </w:p>
    <w:p w14:paraId="5C3DDB10" w14:textId="2F43A0AC" w:rsidR="00A152C1" w:rsidRPr="00A152C1" w:rsidRDefault="00A152C1" w:rsidP="00A152C1">
      <w:pPr>
        <w:pStyle w:val="Caption"/>
        <w:rPr>
          <w:b/>
          <w:bCs w:val="0"/>
          <w:kern w:val="0"/>
          <w:sz w:val="22"/>
          <w:szCs w:val="24"/>
          <w:lang w:eastAsia="en-AU"/>
        </w:rPr>
      </w:pPr>
      <w:r w:rsidRPr="00A152C1">
        <w:rPr>
          <w:b/>
          <w:bCs w:val="0"/>
        </w:rPr>
        <w:t>Canberra Health Services and ACT Health Directorate</w:t>
      </w:r>
      <w:r w:rsidRPr="00A152C1">
        <w:rPr>
          <w:b/>
          <w:bCs w:val="0"/>
          <w:kern w:val="0"/>
          <w:sz w:val="22"/>
          <w:szCs w:val="24"/>
          <w:lang w:eastAsia="en-AU"/>
        </w:rPr>
        <w:br/>
      </w:r>
    </w:p>
    <w:tbl>
      <w:tblPr>
        <w:tblStyle w:val="CommitteeTable"/>
        <w:tblW w:w="8931" w:type="dxa"/>
        <w:tblInd w:w="-5" w:type="dxa"/>
        <w:tblLook w:val="04A0" w:firstRow="1" w:lastRow="0" w:firstColumn="1" w:lastColumn="0" w:noHBand="0" w:noVBand="1"/>
      </w:tblPr>
      <w:tblGrid>
        <w:gridCol w:w="955"/>
        <w:gridCol w:w="1880"/>
        <w:gridCol w:w="1843"/>
        <w:gridCol w:w="4253"/>
      </w:tblGrid>
      <w:tr w:rsidR="00B83464" w14:paraId="11774D42" w14:textId="77777777" w:rsidTr="00E0214B">
        <w:trPr>
          <w:cnfStyle w:val="100000000000" w:firstRow="1" w:lastRow="0" w:firstColumn="0" w:lastColumn="0" w:oddVBand="0" w:evenVBand="0" w:oddHBand="0" w:evenHBand="0" w:firstRowFirstColumn="0" w:firstRowLastColumn="0" w:lastRowFirstColumn="0" w:lastRowLastColumn="0"/>
        </w:trPr>
        <w:tc>
          <w:tcPr>
            <w:tcW w:w="955" w:type="dxa"/>
            <w:tcBorders>
              <w:bottom w:val="single" w:sz="4" w:space="0" w:color="auto"/>
            </w:tcBorders>
          </w:tcPr>
          <w:p w14:paraId="6B4B8CCC" w14:textId="77777777" w:rsidR="00B83464" w:rsidRPr="00640E82" w:rsidRDefault="00B83464" w:rsidP="00FD2225">
            <w:pPr>
              <w:spacing w:after="80" w:line="288" w:lineRule="auto"/>
              <w:jc w:val="center"/>
              <w:rPr>
                <w:rFonts w:ascii="Arial Narrow" w:hAnsi="Arial Narrow"/>
              </w:rPr>
            </w:pPr>
            <w:r w:rsidRPr="00640E82">
              <w:rPr>
                <w:rFonts w:ascii="Arial Narrow" w:hAnsi="Arial Narrow"/>
              </w:rPr>
              <w:t>N</w:t>
            </w:r>
            <w:bookmarkStart w:id="144" w:name="ColumnTitle_QToN1"/>
            <w:bookmarkEnd w:id="144"/>
            <w:r w:rsidRPr="00640E82">
              <w:rPr>
                <w:rFonts w:ascii="Arial Narrow" w:hAnsi="Arial Narrow"/>
              </w:rPr>
              <w:t>o.</w:t>
            </w:r>
          </w:p>
        </w:tc>
        <w:tc>
          <w:tcPr>
            <w:tcW w:w="1880" w:type="dxa"/>
            <w:tcBorders>
              <w:bottom w:val="single" w:sz="4" w:space="0" w:color="auto"/>
            </w:tcBorders>
          </w:tcPr>
          <w:p w14:paraId="66912F7C" w14:textId="77777777" w:rsidR="00B83464" w:rsidRPr="00640E82" w:rsidRDefault="00B83464" w:rsidP="00FD2225">
            <w:pPr>
              <w:spacing w:after="80" w:line="288" w:lineRule="auto"/>
              <w:jc w:val="center"/>
              <w:rPr>
                <w:rFonts w:ascii="Arial Narrow" w:hAnsi="Arial Narrow"/>
              </w:rPr>
            </w:pPr>
            <w:r w:rsidRPr="00640E82">
              <w:rPr>
                <w:rFonts w:ascii="Arial Narrow" w:hAnsi="Arial Narrow"/>
              </w:rPr>
              <w:t>Asked by</w:t>
            </w:r>
          </w:p>
        </w:tc>
        <w:tc>
          <w:tcPr>
            <w:tcW w:w="1843" w:type="dxa"/>
            <w:tcBorders>
              <w:bottom w:val="single" w:sz="4" w:space="0" w:color="auto"/>
            </w:tcBorders>
          </w:tcPr>
          <w:p w14:paraId="6AD799A3" w14:textId="77777777" w:rsidR="00B83464" w:rsidRPr="00640E82" w:rsidRDefault="00B83464" w:rsidP="00FD2225">
            <w:pPr>
              <w:spacing w:after="80" w:line="288" w:lineRule="auto"/>
              <w:jc w:val="center"/>
              <w:rPr>
                <w:rFonts w:ascii="Arial Narrow" w:hAnsi="Arial Narrow"/>
              </w:rPr>
            </w:pPr>
            <w:r w:rsidRPr="00640E82">
              <w:rPr>
                <w:rFonts w:ascii="Arial Narrow" w:hAnsi="Arial Narrow"/>
              </w:rPr>
              <w:t>Directorate/</w:t>
            </w:r>
            <w:r w:rsidRPr="00640E82">
              <w:rPr>
                <w:rFonts w:ascii="Arial Narrow" w:hAnsi="Arial Narrow"/>
              </w:rPr>
              <w:br/>
              <w:t>Portfolio</w:t>
            </w:r>
          </w:p>
        </w:tc>
        <w:tc>
          <w:tcPr>
            <w:tcW w:w="4253" w:type="dxa"/>
            <w:tcBorders>
              <w:bottom w:val="single" w:sz="4" w:space="0" w:color="auto"/>
            </w:tcBorders>
          </w:tcPr>
          <w:p w14:paraId="6C2DEA23" w14:textId="77777777" w:rsidR="00B83464" w:rsidRPr="00640E82" w:rsidRDefault="00B83464" w:rsidP="00FD2225">
            <w:pPr>
              <w:spacing w:after="80" w:line="288" w:lineRule="auto"/>
              <w:rPr>
                <w:rFonts w:ascii="Arial Narrow" w:hAnsi="Arial Narrow"/>
              </w:rPr>
            </w:pPr>
            <w:r w:rsidRPr="00640E82">
              <w:rPr>
                <w:rFonts w:ascii="Arial Narrow" w:hAnsi="Arial Narrow"/>
              </w:rPr>
              <w:t>Subject</w:t>
            </w:r>
          </w:p>
        </w:tc>
      </w:tr>
      <w:tr w:rsidR="00B83464" w:rsidRPr="00E0214B" w14:paraId="111BD39D" w14:textId="77777777" w:rsidTr="00E0214B">
        <w:trPr>
          <w:cnfStyle w:val="000000100000" w:firstRow="0" w:lastRow="0" w:firstColumn="0" w:lastColumn="0" w:oddVBand="0" w:evenVBand="0" w:oddHBand="1" w:evenHBand="0" w:firstRowFirstColumn="0" w:firstRowLastColumn="0" w:lastRowFirstColumn="0" w:lastRowLastColumn="0"/>
        </w:trPr>
        <w:tc>
          <w:tcPr>
            <w:tcW w:w="955" w:type="dxa"/>
            <w:shd w:val="clear" w:color="auto" w:fill="FFFFFF" w:themeFill="background1"/>
            <w:vAlign w:val="bottom"/>
          </w:tcPr>
          <w:p w14:paraId="28DBA7C2" w14:textId="717F4A56" w:rsidR="00B83464" w:rsidRPr="00E0214B" w:rsidRDefault="00B83464" w:rsidP="00624582">
            <w:pPr>
              <w:pStyle w:val="TableText0"/>
              <w:jc w:val="center"/>
              <w:rPr>
                <w:rFonts w:asciiTheme="minorHAnsi" w:hAnsiTheme="minorHAnsi" w:cstheme="minorHAnsi"/>
                <w:sz w:val="22"/>
                <w:szCs w:val="22"/>
              </w:rPr>
            </w:pPr>
            <w:r w:rsidRPr="00E0214B">
              <w:rPr>
                <w:rFonts w:asciiTheme="minorHAnsi" w:hAnsiTheme="minorHAnsi" w:cstheme="minorHAnsi"/>
                <w:sz w:val="22"/>
                <w:szCs w:val="22"/>
              </w:rPr>
              <w:t>CHS 1</w:t>
            </w:r>
          </w:p>
        </w:tc>
        <w:tc>
          <w:tcPr>
            <w:tcW w:w="1880" w:type="dxa"/>
            <w:shd w:val="clear" w:color="auto" w:fill="FFFFFF" w:themeFill="background1"/>
            <w:vAlign w:val="bottom"/>
          </w:tcPr>
          <w:p w14:paraId="05F53FF4" w14:textId="562B7B61" w:rsidR="00B83464" w:rsidRPr="00E0214B" w:rsidRDefault="00B83464" w:rsidP="00624582">
            <w:pPr>
              <w:pStyle w:val="TableText0"/>
              <w:jc w:val="center"/>
              <w:rPr>
                <w:rFonts w:asciiTheme="minorHAnsi" w:hAnsiTheme="minorHAnsi" w:cstheme="minorHAnsi"/>
                <w:sz w:val="22"/>
                <w:szCs w:val="22"/>
              </w:rPr>
            </w:pPr>
            <w:r w:rsidRPr="00E0214B">
              <w:rPr>
                <w:rFonts w:asciiTheme="minorHAnsi" w:hAnsiTheme="minorHAnsi" w:cstheme="minorHAnsi"/>
                <w:color w:val="000000"/>
                <w:sz w:val="22"/>
                <w:szCs w:val="22"/>
              </w:rPr>
              <w:t>MR DAVIS MLA</w:t>
            </w:r>
          </w:p>
        </w:tc>
        <w:tc>
          <w:tcPr>
            <w:tcW w:w="1843" w:type="dxa"/>
            <w:shd w:val="clear" w:color="auto" w:fill="FFFFFF" w:themeFill="background1"/>
          </w:tcPr>
          <w:p w14:paraId="2CA31CED" w14:textId="7F077665" w:rsidR="00B83464" w:rsidRPr="00E0214B" w:rsidRDefault="00B83464" w:rsidP="00624582">
            <w:pPr>
              <w:pStyle w:val="TableText0"/>
              <w:jc w:val="center"/>
              <w:rPr>
                <w:rFonts w:asciiTheme="minorHAnsi" w:hAnsiTheme="minorHAnsi" w:cstheme="minorHAnsi"/>
                <w:sz w:val="22"/>
                <w:szCs w:val="22"/>
              </w:rPr>
            </w:pPr>
            <w:r w:rsidRPr="00E0214B">
              <w:rPr>
                <w:rFonts w:asciiTheme="minorHAnsi" w:hAnsiTheme="minorHAnsi" w:cstheme="minorHAnsi"/>
                <w:sz w:val="22"/>
                <w:szCs w:val="22"/>
              </w:rPr>
              <w:t>Canberra Health Services</w:t>
            </w:r>
          </w:p>
        </w:tc>
        <w:tc>
          <w:tcPr>
            <w:tcW w:w="4253" w:type="dxa"/>
            <w:shd w:val="clear" w:color="auto" w:fill="FFFFFF" w:themeFill="background1"/>
            <w:vAlign w:val="bottom"/>
          </w:tcPr>
          <w:p w14:paraId="08998D2A" w14:textId="4DB6319E" w:rsidR="00B83464" w:rsidRPr="00E0214B" w:rsidRDefault="00B83464" w:rsidP="00624582">
            <w:pPr>
              <w:pStyle w:val="TableText0"/>
              <w:rPr>
                <w:rFonts w:asciiTheme="minorHAnsi" w:hAnsiTheme="minorHAnsi" w:cstheme="minorHAnsi"/>
                <w:sz w:val="22"/>
                <w:szCs w:val="22"/>
              </w:rPr>
            </w:pPr>
            <w:r w:rsidRPr="00E0214B">
              <w:rPr>
                <w:sz w:val="22"/>
                <w:szCs w:val="22"/>
              </w:rPr>
              <w:t>Emergency Department - Rapid Assessment</w:t>
            </w:r>
          </w:p>
        </w:tc>
      </w:tr>
      <w:tr w:rsidR="00B83464" w:rsidRPr="00E0214B" w14:paraId="4C0709D3" w14:textId="77777777" w:rsidTr="00E0214B">
        <w:tc>
          <w:tcPr>
            <w:tcW w:w="955" w:type="dxa"/>
            <w:shd w:val="clear" w:color="auto" w:fill="FFFFFF" w:themeFill="background1"/>
            <w:vAlign w:val="bottom"/>
          </w:tcPr>
          <w:p w14:paraId="7391E601" w14:textId="45032460" w:rsidR="00B83464" w:rsidRPr="00E0214B" w:rsidRDefault="00B83464" w:rsidP="00624582">
            <w:pPr>
              <w:pStyle w:val="TableText0"/>
              <w:jc w:val="center"/>
              <w:rPr>
                <w:rFonts w:asciiTheme="minorHAnsi" w:hAnsiTheme="minorHAnsi" w:cstheme="minorHAnsi"/>
                <w:szCs w:val="22"/>
              </w:rPr>
            </w:pPr>
            <w:r w:rsidRPr="00E0214B">
              <w:rPr>
                <w:rFonts w:asciiTheme="minorHAnsi" w:hAnsiTheme="minorHAnsi" w:cstheme="minorHAnsi"/>
                <w:szCs w:val="22"/>
              </w:rPr>
              <w:t>CHS 2</w:t>
            </w:r>
          </w:p>
        </w:tc>
        <w:tc>
          <w:tcPr>
            <w:tcW w:w="1880" w:type="dxa"/>
            <w:shd w:val="clear" w:color="auto" w:fill="FFFFFF" w:themeFill="background1"/>
            <w:vAlign w:val="bottom"/>
          </w:tcPr>
          <w:p w14:paraId="6F1A2551" w14:textId="608958D6" w:rsidR="00B83464" w:rsidRPr="00E0214B" w:rsidRDefault="00B83464" w:rsidP="00624582">
            <w:pPr>
              <w:pStyle w:val="TableText0"/>
              <w:jc w:val="center"/>
              <w:rPr>
                <w:rFonts w:asciiTheme="minorHAnsi" w:hAnsiTheme="minorHAnsi" w:cstheme="minorHAnsi"/>
                <w:szCs w:val="22"/>
              </w:rPr>
            </w:pPr>
            <w:r w:rsidRPr="00E0214B">
              <w:rPr>
                <w:rFonts w:asciiTheme="minorHAnsi" w:hAnsiTheme="minorHAnsi" w:cstheme="minorHAnsi"/>
                <w:color w:val="000000"/>
                <w:szCs w:val="22"/>
              </w:rPr>
              <w:t>MR DAVIS MLA</w:t>
            </w:r>
          </w:p>
        </w:tc>
        <w:tc>
          <w:tcPr>
            <w:tcW w:w="1843" w:type="dxa"/>
            <w:shd w:val="clear" w:color="auto" w:fill="FFFFFF" w:themeFill="background1"/>
          </w:tcPr>
          <w:p w14:paraId="59168711" w14:textId="1EFA17CB" w:rsidR="00B83464" w:rsidRPr="00E0214B" w:rsidRDefault="00B83464" w:rsidP="00624582">
            <w:pPr>
              <w:pStyle w:val="TableText0"/>
              <w:jc w:val="center"/>
              <w:rPr>
                <w:rFonts w:asciiTheme="minorHAnsi" w:hAnsiTheme="minorHAnsi" w:cstheme="minorHAnsi"/>
                <w:szCs w:val="22"/>
              </w:rPr>
            </w:pPr>
            <w:r w:rsidRPr="00E0214B">
              <w:rPr>
                <w:rFonts w:asciiTheme="minorHAnsi" w:hAnsiTheme="minorHAnsi" w:cstheme="minorHAnsi"/>
                <w:szCs w:val="22"/>
              </w:rPr>
              <w:t>Canberra Health Services</w:t>
            </w:r>
          </w:p>
        </w:tc>
        <w:tc>
          <w:tcPr>
            <w:tcW w:w="4253" w:type="dxa"/>
            <w:shd w:val="clear" w:color="auto" w:fill="FFFFFF" w:themeFill="background1"/>
            <w:vAlign w:val="bottom"/>
          </w:tcPr>
          <w:p w14:paraId="50486DB8" w14:textId="4E865EF5" w:rsidR="00B83464" w:rsidRPr="00E0214B" w:rsidRDefault="00B83464" w:rsidP="00624582">
            <w:pPr>
              <w:pStyle w:val="TableText0"/>
              <w:rPr>
                <w:rFonts w:asciiTheme="minorHAnsi" w:hAnsiTheme="minorHAnsi" w:cstheme="minorHAnsi"/>
                <w:szCs w:val="22"/>
              </w:rPr>
            </w:pPr>
            <w:r w:rsidRPr="00E0214B">
              <w:rPr>
                <w:szCs w:val="22"/>
              </w:rPr>
              <w:t>Budget Statement C (Page 10) - Sexual Health Centre</w:t>
            </w:r>
          </w:p>
        </w:tc>
      </w:tr>
      <w:tr w:rsidR="00B83464" w:rsidRPr="00E0214B" w14:paraId="3CFCBEB6" w14:textId="77777777" w:rsidTr="00E0214B">
        <w:trPr>
          <w:cnfStyle w:val="000000100000" w:firstRow="0" w:lastRow="0" w:firstColumn="0" w:lastColumn="0" w:oddVBand="0" w:evenVBand="0" w:oddHBand="1" w:evenHBand="0" w:firstRowFirstColumn="0" w:firstRowLastColumn="0" w:lastRowFirstColumn="0" w:lastRowLastColumn="0"/>
        </w:trPr>
        <w:tc>
          <w:tcPr>
            <w:tcW w:w="955" w:type="dxa"/>
            <w:shd w:val="clear" w:color="auto" w:fill="FFFFFF" w:themeFill="background1"/>
            <w:vAlign w:val="bottom"/>
          </w:tcPr>
          <w:p w14:paraId="4510C7C2" w14:textId="00CE8CFD" w:rsidR="00B83464" w:rsidRPr="00E0214B" w:rsidRDefault="00B83464" w:rsidP="00624582">
            <w:pPr>
              <w:pStyle w:val="TableText0"/>
              <w:jc w:val="center"/>
              <w:rPr>
                <w:rFonts w:asciiTheme="minorHAnsi" w:hAnsiTheme="minorHAnsi" w:cstheme="minorHAnsi"/>
                <w:sz w:val="22"/>
                <w:szCs w:val="22"/>
              </w:rPr>
            </w:pPr>
            <w:r w:rsidRPr="00E0214B">
              <w:rPr>
                <w:rFonts w:asciiTheme="minorHAnsi" w:hAnsiTheme="minorHAnsi" w:cstheme="minorHAnsi"/>
                <w:sz w:val="22"/>
                <w:szCs w:val="22"/>
              </w:rPr>
              <w:t>CHS 3</w:t>
            </w:r>
          </w:p>
        </w:tc>
        <w:tc>
          <w:tcPr>
            <w:tcW w:w="1880" w:type="dxa"/>
            <w:shd w:val="clear" w:color="auto" w:fill="FFFFFF" w:themeFill="background1"/>
            <w:vAlign w:val="bottom"/>
          </w:tcPr>
          <w:p w14:paraId="469005D3" w14:textId="4D9C9B65" w:rsidR="00B83464" w:rsidRPr="00E0214B" w:rsidRDefault="00B83464" w:rsidP="00624582">
            <w:pPr>
              <w:pStyle w:val="TableText0"/>
              <w:jc w:val="center"/>
              <w:rPr>
                <w:rFonts w:asciiTheme="minorHAnsi" w:hAnsiTheme="minorHAnsi" w:cstheme="minorHAnsi"/>
                <w:sz w:val="22"/>
                <w:szCs w:val="22"/>
              </w:rPr>
            </w:pPr>
            <w:r w:rsidRPr="00E0214B">
              <w:rPr>
                <w:rFonts w:asciiTheme="minorHAnsi" w:hAnsiTheme="minorHAnsi" w:cstheme="minorHAnsi"/>
                <w:color w:val="000000"/>
                <w:sz w:val="22"/>
                <w:szCs w:val="22"/>
              </w:rPr>
              <w:t>MR DAVIS MLA</w:t>
            </w:r>
          </w:p>
        </w:tc>
        <w:tc>
          <w:tcPr>
            <w:tcW w:w="1843" w:type="dxa"/>
            <w:shd w:val="clear" w:color="auto" w:fill="FFFFFF" w:themeFill="background1"/>
          </w:tcPr>
          <w:p w14:paraId="1E3C4AD8" w14:textId="269C5363" w:rsidR="00B83464" w:rsidRPr="00E0214B" w:rsidRDefault="00B83464" w:rsidP="00624582">
            <w:pPr>
              <w:pStyle w:val="TableText0"/>
              <w:jc w:val="center"/>
              <w:rPr>
                <w:rFonts w:asciiTheme="minorHAnsi" w:hAnsiTheme="minorHAnsi" w:cstheme="minorHAnsi"/>
                <w:sz w:val="22"/>
                <w:szCs w:val="22"/>
              </w:rPr>
            </w:pPr>
            <w:r w:rsidRPr="00E0214B">
              <w:rPr>
                <w:rFonts w:asciiTheme="minorHAnsi" w:hAnsiTheme="minorHAnsi" w:cstheme="minorHAnsi"/>
                <w:sz w:val="22"/>
                <w:szCs w:val="22"/>
              </w:rPr>
              <w:t>Canberra Health Services</w:t>
            </w:r>
          </w:p>
        </w:tc>
        <w:tc>
          <w:tcPr>
            <w:tcW w:w="4253" w:type="dxa"/>
            <w:shd w:val="clear" w:color="auto" w:fill="FFFFFF" w:themeFill="background1"/>
            <w:vAlign w:val="bottom"/>
          </w:tcPr>
          <w:p w14:paraId="0A0FF61F" w14:textId="1FCA90C0" w:rsidR="00B83464" w:rsidRPr="00E0214B" w:rsidRDefault="00B83464" w:rsidP="00624582">
            <w:pPr>
              <w:pStyle w:val="TableText0"/>
              <w:rPr>
                <w:rFonts w:asciiTheme="minorHAnsi" w:hAnsiTheme="minorHAnsi" w:cstheme="minorHAnsi"/>
                <w:sz w:val="22"/>
                <w:szCs w:val="22"/>
              </w:rPr>
            </w:pPr>
            <w:r w:rsidRPr="00E0214B">
              <w:rPr>
                <w:sz w:val="22"/>
                <w:szCs w:val="22"/>
              </w:rPr>
              <w:t>Budget Statement C (Page 10) - Sexual Health Centre and why it was not mentioned in the Annual Report</w:t>
            </w:r>
          </w:p>
        </w:tc>
      </w:tr>
      <w:tr w:rsidR="00B83464" w:rsidRPr="00E0214B" w14:paraId="738C4BA0" w14:textId="77777777" w:rsidTr="00E0214B">
        <w:tc>
          <w:tcPr>
            <w:tcW w:w="955" w:type="dxa"/>
            <w:shd w:val="clear" w:color="auto" w:fill="FFFFFF" w:themeFill="background1"/>
            <w:vAlign w:val="bottom"/>
          </w:tcPr>
          <w:p w14:paraId="472D2535" w14:textId="38457711" w:rsidR="00B83464" w:rsidRPr="00E0214B" w:rsidRDefault="00B83464" w:rsidP="00624582">
            <w:pPr>
              <w:pStyle w:val="TableText0"/>
              <w:jc w:val="center"/>
              <w:rPr>
                <w:rFonts w:asciiTheme="minorHAnsi" w:hAnsiTheme="minorHAnsi" w:cstheme="minorHAnsi"/>
                <w:szCs w:val="22"/>
              </w:rPr>
            </w:pPr>
            <w:r w:rsidRPr="00E0214B">
              <w:rPr>
                <w:rFonts w:asciiTheme="minorHAnsi" w:hAnsiTheme="minorHAnsi" w:cstheme="minorHAnsi"/>
                <w:szCs w:val="22"/>
              </w:rPr>
              <w:t>CHS 4</w:t>
            </w:r>
          </w:p>
        </w:tc>
        <w:tc>
          <w:tcPr>
            <w:tcW w:w="1880" w:type="dxa"/>
            <w:shd w:val="clear" w:color="auto" w:fill="FFFFFF" w:themeFill="background1"/>
            <w:vAlign w:val="bottom"/>
          </w:tcPr>
          <w:p w14:paraId="59581854" w14:textId="754FA65F" w:rsidR="00B83464" w:rsidRPr="00E0214B" w:rsidRDefault="00B83464" w:rsidP="00624582">
            <w:pPr>
              <w:pStyle w:val="TableText0"/>
              <w:jc w:val="center"/>
              <w:rPr>
                <w:rFonts w:asciiTheme="minorHAnsi" w:hAnsiTheme="minorHAnsi" w:cstheme="minorHAnsi"/>
                <w:szCs w:val="22"/>
              </w:rPr>
            </w:pPr>
            <w:r w:rsidRPr="00E0214B">
              <w:rPr>
                <w:rFonts w:asciiTheme="minorHAnsi" w:hAnsiTheme="minorHAnsi" w:cstheme="minorHAnsi"/>
                <w:color w:val="000000"/>
                <w:szCs w:val="22"/>
              </w:rPr>
              <w:t>MR DAVIS MLA</w:t>
            </w:r>
          </w:p>
        </w:tc>
        <w:tc>
          <w:tcPr>
            <w:tcW w:w="1843" w:type="dxa"/>
            <w:shd w:val="clear" w:color="auto" w:fill="FFFFFF" w:themeFill="background1"/>
          </w:tcPr>
          <w:p w14:paraId="23AA3F5C" w14:textId="03B4A333" w:rsidR="00B83464" w:rsidRPr="00E0214B" w:rsidRDefault="00B83464" w:rsidP="00624582">
            <w:pPr>
              <w:pStyle w:val="TableText0"/>
              <w:jc w:val="center"/>
              <w:rPr>
                <w:rFonts w:asciiTheme="minorHAnsi" w:hAnsiTheme="minorHAnsi" w:cstheme="minorHAnsi"/>
                <w:szCs w:val="22"/>
              </w:rPr>
            </w:pPr>
            <w:r w:rsidRPr="00E0214B">
              <w:rPr>
                <w:rFonts w:asciiTheme="minorHAnsi" w:hAnsiTheme="minorHAnsi" w:cstheme="minorHAnsi"/>
                <w:szCs w:val="22"/>
              </w:rPr>
              <w:t>Canberra Health Services</w:t>
            </w:r>
          </w:p>
        </w:tc>
        <w:tc>
          <w:tcPr>
            <w:tcW w:w="4253" w:type="dxa"/>
            <w:shd w:val="clear" w:color="auto" w:fill="FFFFFF" w:themeFill="background1"/>
            <w:vAlign w:val="bottom"/>
          </w:tcPr>
          <w:p w14:paraId="554D7507" w14:textId="666E3232" w:rsidR="00B83464" w:rsidRPr="00E0214B" w:rsidRDefault="00B83464" w:rsidP="00624582">
            <w:pPr>
              <w:pStyle w:val="TableText0"/>
              <w:rPr>
                <w:rFonts w:asciiTheme="minorHAnsi" w:hAnsiTheme="minorHAnsi" w:cstheme="minorHAnsi"/>
                <w:szCs w:val="22"/>
              </w:rPr>
            </w:pPr>
            <w:r w:rsidRPr="00E0214B">
              <w:rPr>
                <w:color w:val="000000"/>
                <w:szCs w:val="22"/>
              </w:rPr>
              <w:t>Budget Statement C (Page 10) - Sexual Health Centre</w:t>
            </w:r>
          </w:p>
        </w:tc>
      </w:tr>
      <w:tr w:rsidR="00B83464" w:rsidRPr="00E0214B" w14:paraId="066AE5C1" w14:textId="77777777" w:rsidTr="00E0214B">
        <w:trPr>
          <w:cnfStyle w:val="000000100000" w:firstRow="0" w:lastRow="0" w:firstColumn="0" w:lastColumn="0" w:oddVBand="0" w:evenVBand="0" w:oddHBand="1" w:evenHBand="0" w:firstRowFirstColumn="0" w:firstRowLastColumn="0" w:lastRowFirstColumn="0" w:lastRowLastColumn="0"/>
        </w:trPr>
        <w:tc>
          <w:tcPr>
            <w:tcW w:w="955" w:type="dxa"/>
            <w:shd w:val="clear" w:color="auto" w:fill="FFFFFF" w:themeFill="background1"/>
            <w:vAlign w:val="bottom"/>
          </w:tcPr>
          <w:p w14:paraId="683E2445" w14:textId="343D8070" w:rsidR="00B83464" w:rsidRPr="00E0214B" w:rsidRDefault="00B83464" w:rsidP="00624582">
            <w:pPr>
              <w:pStyle w:val="TableText0"/>
              <w:jc w:val="center"/>
              <w:rPr>
                <w:rFonts w:asciiTheme="minorHAnsi" w:hAnsiTheme="minorHAnsi" w:cstheme="minorHAnsi"/>
                <w:sz w:val="22"/>
                <w:szCs w:val="22"/>
              </w:rPr>
            </w:pPr>
            <w:r w:rsidRPr="00E0214B">
              <w:rPr>
                <w:rFonts w:asciiTheme="minorHAnsi" w:hAnsiTheme="minorHAnsi" w:cstheme="minorHAnsi"/>
                <w:sz w:val="22"/>
                <w:szCs w:val="22"/>
              </w:rPr>
              <w:t>CHS 5</w:t>
            </w:r>
          </w:p>
        </w:tc>
        <w:tc>
          <w:tcPr>
            <w:tcW w:w="1880" w:type="dxa"/>
            <w:shd w:val="clear" w:color="auto" w:fill="FFFFFF" w:themeFill="background1"/>
            <w:vAlign w:val="bottom"/>
          </w:tcPr>
          <w:p w14:paraId="7D6A184A" w14:textId="46E373AE" w:rsidR="00B83464" w:rsidRPr="00E0214B" w:rsidRDefault="00B83464" w:rsidP="00624582">
            <w:pPr>
              <w:pStyle w:val="TableText0"/>
              <w:jc w:val="center"/>
              <w:rPr>
                <w:rFonts w:asciiTheme="minorHAnsi" w:hAnsiTheme="minorHAnsi" w:cstheme="minorHAnsi"/>
                <w:sz w:val="22"/>
                <w:szCs w:val="22"/>
              </w:rPr>
            </w:pPr>
            <w:r w:rsidRPr="00E0214B">
              <w:rPr>
                <w:rFonts w:asciiTheme="minorHAnsi" w:hAnsiTheme="minorHAnsi" w:cstheme="minorHAnsi"/>
                <w:color w:val="000000"/>
                <w:sz w:val="22"/>
                <w:szCs w:val="22"/>
              </w:rPr>
              <w:t>MRS JONES MLA</w:t>
            </w:r>
          </w:p>
        </w:tc>
        <w:tc>
          <w:tcPr>
            <w:tcW w:w="1843" w:type="dxa"/>
            <w:shd w:val="clear" w:color="auto" w:fill="FFFFFF" w:themeFill="background1"/>
          </w:tcPr>
          <w:p w14:paraId="6A32C50B" w14:textId="0DFA5DDB" w:rsidR="00B83464" w:rsidRPr="00E0214B" w:rsidRDefault="00B83464" w:rsidP="00624582">
            <w:pPr>
              <w:pStyle w:val="TableText0"/>
              <w:jc w:val="center"/>
              <w:rPr>
                <w:rFonts w:asciiTheme="minorHAnsi" w:hAnsiTheme="minorHAnsi" w:cstheme="minorHAnsi"/>
                <w:sz w:val="22"/>
                <w:szCs w:val="22"/>
              </w:rPr>
            </w:pPr>
            <w:r w:rsidRPr="00E0214B">
              <w:rPr>
                <w:rFonts w:asciiTheme="minorHAnsi" w:hAnsiTheme="minorHAnsi" w:cstheme="minorHAnsi"/>
                <w:sz w:val="22"/>
                <w:szCs w:val="22"/>
              </w:rPr>
              <w:t>Canberra Health Services</w:t>
            </w:r>
          </w:p>
        </w:tc>
        <w:tc>
          <w:tcPr>
            <w:tcW w:w="4253" w:type="dxa"/>
            <w:shd w:val="clear" w:color="auto" w:fill="FFFFFF" w:themeFill="background1"/>
            <w:vAlign w:val="bottom"/>
          </w:tcPr>
          <w:p w14:paraId="38BE2212" w14:textId="23BDF314" w:rsidR="00B83464" w:rsidRPr="00E0214B" w:rsidRDefault="00B83464" w:rsidP="00624582">
            <w:pPr>
              <w:pStyle w:val="TableText0"/>
              <w:rPr>
                <w:rFonts w:asciiTheme="minorHAnsi" w:hAnsiTheme="minorHAnsi" w:cstheme="minorHAnsi"/>
                <w:sz w:val="22"/>
                <w:szCs w:val="22"/>
              </w:rPr>
            </w:pPr>
            <w:r w:rsidRPr="00E0214B">
              <w:rPr>
                <w:color w:val="000000"/>
                <w:sz w:val="22"/>
                <w:szCs w:val="22"/>
              </w:rPr>
              <w:t>Forensic Health Centre</w:t>
            </w:r>
          </w:p>
        </w:tc>
      </w:tr>
      <w:tr w:rsidR="00B83464" w:rsidRPr="00E0214B" w14:paraId="088F98AE" w14:textId="77777777" w:rsidTr="00E0214B">
        <w:tc>
          <w:tcPr>
            <w:tcW w:w="955" w:type="dxa"/>
            <w:shd w:val="clear" w:color="auto" w:fill="FFFFFF" w:themeFill="background1"/>
            <w:vAlign w:val="bottom"/>
          </w:tcPr>
          <w:p w14:paraId="26A9B76E" w14:textId="62333EFA" w:rsidR="00B83464" w:rsidRPr="00E0214B" w:rsidRDefault="00B83464" w:rsidP="00624582">
            <w:pPr>
              <w:pStyle w:val="TableText0"/>
              <w:jc w:val="center"/>
              <w:rPr>
                <w:rFonts w:asciiTheme="minorHAnsi" w:hAnsiTheme="minorHAnsi" w:cstheme="minorHAnsi"/>
                <w:szCs w:val="22"/>
              </w:rPr>
            </w:pPr>
            <w:r w:rsidRPr="00E0214B">
              <w:rPr>
                <w:rFonts w:asciiTheme="minorHAnsi" w:hAnsiTheme="minorHAnsi" w:cstheme="minorHAnsi"/>
                <w:szCs w:val="22"/>
              </w:rPr>
              <w:t>ACTHD 6</w:t>
            </w:r>
          </w:p>
        </w:tc>
        <w:tc>
          <w:tcPr>
            <w:tcW w:w="1880" w:type="dxa"/>
            <w:shd w:val="clear" w:color="auto" w:fill="FFFFFF" w:themeFill="background1"/>
            <w:vAlign w:val="bottom"/>
          </w:tcPr>
          <w:p w14:paraId="7AE4F2A8" w14:textId="2021BD1E" w:rsidR="00B83464" w:rsidRPr="00E0214B" w:rsidRDefault="00B83464" w:rsidP="00624582">
            <w:pPr>
              <w:pStyle w:val="TableText0"/>
              <w:jc w:val="center"/>
              <w:rPr>
                <w:rFonts w:asciiTheme="minorHAnsi" w:hAnsiTheme="minorHAnsi" w:cstheme="minorHAnsi"/>
                <w:szCs w:val="22"/>
              </w:rPr>
            </w:pPr>
            <w:r w:rsidRPr="00E0214B">
              <w:rPr>
                <w:rFonts w:asciiTheme="minorHAnsi" w:hAnsiTheme="minorHAnsi" w:cstheme="minorHAnsi"/>
                <w:color w:val="000000"/>
                <w:szCs w:val="22"/>
              </w:rPr>
              <w:t>Minister for Health</w:t>
            </w:r>
          </w:p>
        </w:tc>
        <w:tc>
          <w:tcPr>
            <w:tcW w:w="1843" w:type="dxa"/>
            <w:shd w:val="clear" w:color="auto" w:fill="FFFFFF" w:themeFill="background1"/>
          </w:tcPr>
          <w:p w14:paraId="3C3E149D" w14:textId="3936760B" w:rsidR="00B83464" w:rsidRPr="00E0214B" w:rsidRDefault="00B83464" w:rsidP="00624582">
            <w:pPr>
              <w:pStyle w:val="TableText0"/>
              <w:jc w:val="center"/>
              <w:rPr>
                <w:rFonts w:asciiTheme="minorHAnsi" w:hAnsiTheme="minorHAnsi" w:cstheme="minorHAnsi"/>
                <w:szCs w:val="22"/>
              </w:rPr>
            </w:pPr>
            <w:r w:rsidRPr="00E0214B">
              <w:rPr>
                <w:rFonts w:asciiTheme="minorHAnsi" w:hAnsiTheme="minorHAnsi" w:cstheme="minorHAnsi"/>
                <w:szCs w:val="22"/>
              </w:rPr>
              <w:t>ACT Health Directorate</w:t>
            </w:r>
          </w:p>
        </w:tc>
        <w:tc>
          <w:tcPr>
            <w:tcW w:w="4253" w:type="dxa"/>
            <w:shd w:val="clear" w:color="auto" w:fill="FFFFFF" w:themeFill="background1"/>
            <w:vAlign w:val="bottom"/>
          </w:tcPr>
          <w:p w14:paraId="6448BE39" w14:textId="77777777" w:rsidR="00B83464" w:rsidRPr="00E0214B" w:rsidRDefault="00B83464" w:rsidP="00624582">
            <w:pPr>
              <w:rPr>
                <w:color w:val="000000"/>
                <w:szCs w:val="22"/>
              </w:rPr>
            </w:pPr>
            <w:r w:rsidRPr="00E0214B">
              <w:rPr>
                <w:color w:val="000000"/>
                <w:szCs w:val="22"/>
              </w:rPr>
              <w:t xml:space="preserve">Budget expenditure data - ROGS data - 2016-17, non- admitted patients has increased with funding decreasing by 4.8% on average per annum. </w:t>
            </w:r>
          </w:p>
          <w:p w14:paraId="34A98EFF" w14:textId="3C6582DC" w:rsidR="00B83464" w:rsidRPr="00E0214B" w:rsidRDefault="00B83464" w:rsidP="00624582">
            <w:pPr>
              <w:pStyle w:val="TableText0"/>
              <w:rPr>
                <w:rFonts w:asciiTheme="minorHAnsi" w:hAnsiTheme="minorHAnsi" w:cstheme="minorHAnsi"/>
                <w:szCs w:val="22"/>
              </w:rPr>
            </w:pPr>
            <w:r w:rsidRPr="00E0214B">
              <w:rPr>
                <w:color w:val="000000"/>
                <w:szCs w:val="22"/>
              </w:rPr>
              <w:t>1) Which items have been removed in the data cleansing process - line by line?</w:t>
            </w:r>
            <w:r w:rsidRPr="00E0214B">
              <w:rPr>
                <w:color w:val="000000"/>
                <w:szCs w:val="22"/>
              </w:rPr>
              <w:br/>
              <w:t>2) When was the decision taken to go to health funding envelope approach?</w:t>
            </w:r>
          </w:p>
        </w:tc>
      </w:tr>
      <w:tr w:rsidR="00B83464" w:rsidRPr="00E0214B" w14:paraId="0002D203" w14:textId="77777777" w:rsidTr="00E0214B">
        <w:trPr>
          <w:cnfStyle w:val="000000100000" w:firstRow="0" w:lastRow="0" w:firstColumn="0" w:lastColumn="0" w:oddVBand="0" w:evenVBand="0" w:oddHBand="1" w:evenHBand="0" w:firstRowFirstColumn="0" w:firstRowLastColumn="0" w:lastRowFirstColumn="0" w:lastRowLastColumn="0"/>
        </w:trPr>
        <w:tc>
          <w:tcPr>
            <w:tcW w:w="955" w:type="dxa"/>
            <w:tcBorders>
              <w:bottom w:val="single" w:sz="4" w:space="0" w:color="auto"/>
            </w:tcBorders>
            <w:shd w:val="clear" w:color="auto" w:fill="FFFFFF" w:themeFill="background1"/>
            <w:vAlign w:val="bottom"/>
          </w:tcPr>
          <w:p w14:paraId="55C39B3B" w14:textId="4B6C2BC0" w:rsidR="00B83464" w:rsidRPr="00E0214B" w:rsidRDefault="00B83464" w:rsidP="00624582">
            <w:pPr>
              <w:pStyle w:val="TableText0"/>
              <w:jc w:val="center"/>
              <w:rPr>
                <w:rFonts w:asciiTheme="minorHAnsi" w:hAnsiTheme="minorHAnsi" w:cstheme="minorHAnsi"/>
                <w:sz w:val="22"/>
                <w:szCs w:val="22"/>
              </w:rPr>
            </w:pPr>
            <w:r w:rsidRPr="00E0214B">
              <w:rPr>
                <w:rFonts w:asciiTheme="minorHAnsi" w:hAnsiTheme="minorHAnsi" w:cstheme="minorHAnsi"/>
                <w:sz w:val="22"/>
                <w:szCs w:val="22"/>
              </w:rPr>
              <w:t>CHS 7</w:t>
            </w:r>
          </w:p>
        </w:tc>
        <w:tc>
          <w:tcPr>
            <w:tcW w:w="1880" w:type="dxa"/>
            <w:tcBorders>
              <w:bottom w:val="single" w:sz="4" w:space="0" w:color="auto"/>
            </w:tcBorders>
            <w:shd w:val="clear" w:color="auto" w:fill="FFFFFF" w:themeFill="background1"/>
            <w:vAlign w:val="bottom"/>
          </w:tcPr>
          <w:p w14:paraId="0FF48716" w14:textId="73791B0E" w:rsidR="00B83464" w:rsidRPr="00E0214B" w:rsidRDefault="00B83464" w:rsidP="00624582">
            <w:pPr>
              <w:pStyle w:val="TableText0"/>
              <w:jc w:val="center"/>
              <w:rPr>
                <w:rFonts w:asciiTheme="minorHAnsi" w:hAnsiTheme="minorHAnsi" w:cstheme="minorHAnsi"/>
                <w:sz w:val="22"/>
                <w:szCs w:val="22"/>
              </w:rPr>
            </w:pPr>
            <w:r w:rsidRPr="00E0214B">
              <w:rPr>
                <w:rFonts w:asciiTheme="minorHAnsi" w:hAnsiTheme="minorHAnsi" w:cstheme="minorHAnsi"/>
                <w:color w:val="000000"/>
                <w:sz w:val="22"/>
                <w:szCs w:val="22"/>
              </w:rPr>
              <w:t>MRS KIKKERT MLA</w:t>
            </w:r>
          </w:p>
        </w:tc>
        <w:tc>
          <w:tcPr>
            <w:tcW w:w="1843" w:type="dxa"/>
            <w:tcBorders>
              <w:bottom w:val="single" w:sz="4" w:space="0" w:color="auto"/>
            </w:tcBorders>
            <w:shd w:val="clear" w:color="auto" w:fill="FFFFFF" w:themeFill="background1"/>
          </w:tcPr>
          <w:p w14:paraId="32EF170F" w14:textId="7DF7E98F" w:rsidR="00B83464" w:rsidRPr="00E0214B" w:rsidRDefault="00B83464" w:rsidP="00624582">
            <w:pPr>
              <w:pStyle w:val="TableText0"/>
              <w:jc w:val="center"/>
              <w:rPr>
                <w:rFonts w:asciiTheme="minorHAnsi" w:hAnsiTheme="minorHAnsi" w:cstheme="minorHAnsi"/>
                <w:sz w:val="22"/>
                <w:szCs w:val="22"/>
              </w:rPr>
            </w:pPr>
            <w:r w:rsidRPr="00E0214B">
              <w:rPr>
                <w:rFonts w:asciiTheme="minorHAnsi" w:hAnsiTheme="minorHAnsi" w:cstheme="minorHAnsi"/>
                <w:sz w:val="22"/>
                <w:szCs w:val="22"/>
              </w:rPr>
              <w:t>Canberra Health Services</w:t>
            </w:r>
          </w:p>
        </w:tc>
        <w:tc>
          <w:tcPr>
            <w:tcW w:w="4253" w:type="dxa"/>
            <w:tcBorders>
              <w:bottom w:val="single" w:sz="4" w:space="0" w:color="auto"/>
            </w:tcBorders>
            <w:shd w:val="clear" w:color="auto" w:fill="FFFFFF" w:themeFill="background1"/>
            <w:vAlign w:val="bottom"/>
          </w:tcPr>
          <w:p w14:paraId="1954598B" w14:textId="121DCA04" w:rsidR="00B83464" w:rsidRPr="00E0214B" w:rsidRDefault="00B83464" w:rsidP="00624582">
            <w:pPr>
              <w:pStyle w:val="TableText0"/>
              <w:rPr>
                <w:rFonts w:asciiTheme="minorHAnsi" w:hAnsiTheme="minorHAnsi" w:cstheme="minorHAnsi"/>
                <w:sz w:val="22"/>
                <w:szCs w:val="22"/>
              </w:rPr>
            </w:pPr>
            <w:r w:rsidRPr="00E0214B">
              <w:rPr>
                <w:color w:val="000000"/>
                <w:sz w:val="22"/>
                <w:szCs w:val="22"/>
              </w:rPr>
              <w:t>Junior Doctors</w:t>
            </w:r>
            <w:r w:rsidR="00E0214B">
              <w:rPr>
                <w:color w:val="000000"/>
                <w:sz w:val="22"/>
                <w:szCs w:val="22"/>
              </w:rPr>
              <w:t xml:space="preserve"> </w:t>
            </w:r>
            <w:r w:rsidRPr="00E0214B">
              <w:rPr>
                <w:color w:val="000000"/>
                <w:sz w:val="22"/>
                <w:szCs w:val="22"/>
              </w:rPr>
              <w:t>- Workloads</w:t>
            </w:r>
          </w:p>
        </w:tc>
      </w:tr>
      <w:tr w:rsidR="00B83464" w:rsidRPr="00E0214B" w14:paraId="1C8BCCD4" w14:textId="77777777" w:rsidTr="00E0214B">
        <w:tc>
          <w:tcPr>
            <w:tcW w:w="955" w:type="dxa"/>
            <w:tcBorders>
              <w:bottom w:val="single" w:sz="4" w:space="0" w:color="auto"/>
            </w:tcBorders>
            <w:shd w:val="clear" w:color="auto" w:fill="FFFFFF" w:themeFill="background1"/>
            <w:vAlign w:val="bottom"/>
          </w:tcPr>
          <w:p w14:paraId="37E6AF90" w14:textId="24DE39E2" w:rsidR="00B83464" w:rsidRPr="00E0214B" w:rsidRDefault="00B83464" w:rsidP="00624582">
            <w:pPr>
              <w:pStyle w:val="TableText0"/>
              <w:jc w:val="center"/>
              <w:rPr>
                <w:rFonts w:asciiTheme="minorHAnsi" w:hAnsiTheme="minorHAnsi" w:cstheme="minorHAnsi"/>
                <w:szCs w:val="22"/>
              </w:rPr>
            </w:pPr>
            <w:r w:rsidRPr="00E0214B">
              <w:rPr>
                <w:rFonts w:asciiTheme="minorHAnsi" w:hAnsiTheme="minorHAnsi" w:cstheme="minorHAnsi"/>
                <w:szCs w:val="22"/>
              </w:rPr>
              <w:t>CHS 8</w:t>
            </w:r>
          </w:p>
        </w:tc>
        <w:tc>
          <w:tcPr>
            <w:tcW w:w="1880" w:type="dxa"/>
            <w:tcBorders>
              <w:bottom w:val="single" w:sz="4" w:space="0" w:color="auto"/>
            </w:tcBorders>
            <w:shd w:val="clear" w:color="auto" w:fill="FFFFFF" w:themeFill="background1"/>
            <w:vAlign w:val="bottom"/>
          </w:tcPr>
          <w:p w14:paraId="575205CE" w14:textId="422D5875" w:rsidR="00B83464" w:rsidRPr="00E0214B" w:rsidRDefault="00B83464" w:rsidP="00624582">
            <w:pPr>
              <w:pStyle w:val="TableText0"/>
              <w:jc w:val="center"/>
              <w:rPr>
                <w:rFonts w:asciiTheme="minorHAnsi" w:hAnsiTheme="minorHAnsi" w:cstheme="minorHAnsi"/>
                <w:szCs w:val="22"/>
              </w:rPr>
            </w:pPr>
            <w:r w:rsidRPr="00E0214B">
              <w:rPr>
                <w:rFonts w:asciiTheme="minorHAnsi" w:hAnsiTheme="minorHAnsi" w:cstheme="minorHAnsi"/>
                <w:color w:val="000000"/>
                <w:szCs w:val="22"/>
              </w:rPr>
              <w:t>MRS JONES MLA</w:t>
            </w:r>
          </w:p>
        </w:tc>
        <w:tc>
          <w:tcPr>
            <w:tcW w:w="1843" w:type="dxa"/>
            <w:tcBorders>
              <w:bottom w:val="single" w:sz="4" w:space="0" w:color="auto"/>
            </w:tcBorders>
            <w:shd w:val="clear" w:color="auto" w:fill="FFFFFF" w:themeFill="background1"/>
          </w:tcPr>
          <w:p w14:paraId="00B58EA0" w14:textId="4E3AEFB2" w:rsidR="00B83464" w:rsidRPr="00E0214B" w:rsidRDefault="00B83464" w:rsidP="00624582">
            <w:pPr>
              <w:pStyle w:val="TableText0"/>
              <w:jc w:val="center"/>
              <w:rPr>
                <w:rFonts w:asciiTheme="minorHAnsi" w:hAnsiTheme="minorHAnsi" w:cstheme="minorHAnsi"/>
                <w:szCs w:val="22"/>
              </w:rPr>
            </w:pPr>
            <w:r w:rsidRPr="00E0214B">
              <w:rPr>
                <w:rFonts w:asciiTheme="minorHAnsi" w:hAnsiTheme="minorHAnsi" w:cstheme="minorHAnsi"/>
                <w:szCs w:val="22"/>
              </w:rPr>
              <w:t>Canberra Health Services</w:t>
            </w:r>
          </w:p>
        </w:tc>
        <w:tc>
          <w:tcPr>
            <w:tcW w:w="4253" w:type="dxa"/>
            <w:tcBorders>
              <w:bottom w:val="single" w:sz="4" w:space="0" w:color="auto"/>
            </w:tcBorders>
            <w:shd w:val="clear" w:color="auto" w:fill="FFFFFF" w:themeFill="background1"/>
            <w:vAlign w:val="bottom"/>
          </w:tcPr>
          <w:p w14:paraId="502D3AFC" w14:textId="625B1E4F" w:rsidR="00B83464" w:rsidRPr="00E0214B" w:rsidRDefault="00B83464" w:rsidP="00624582">
            <w:pPr>
              <w:pStyle w:val="TableText0"/>
              <w:rPr>
                <w:rFonts w:asciiTheme="minorHAnsi" w:hAnsiTheme="minorHAnsi" w:cstheme="minorHAnsi"/>
                <w:szCs w:val="22"/>
              </w:rPr>
            </w:pPr>
            <w:r w:rsidRPr="00E0214B">
              <w:rPr>
                <w:color w:val="000000"/>
                <w:szCs w:val="22"/>
              </w:rPr>
              <w:t>Junior Doctors</w:t>
            </w:r>
            <w:r w:rsidR="00E0214B">
              <w:rPr>
                <w:color w:val="000000"/>
                <w:szCs w:val="22"/>
              </w:rPr>
              <w:t xml:space="preserve"> </w:t>
            </w:r>
            <w:r w:rsidRPr="00E0214B">
              <w:rPr>
                <w:color w:val="000000"/>
                <w:szCs w:val="22"/>
              </w:rPr>
              <w:t>- Exams</w:t>
            </w:r>
          </w:p>
        </w:tc>
      </w:tr>
      <w:tr w:rsidR="00B83464" w:rsidRPr="00E0214B" w14:paraId="17BA0498" w14:textId="77777777" w:rsidTr="00E0214B">
        <w:trPr>
          <w:cnfStyle w:val="000000100000" w:firstRow="0" w:lastRow="0" w:firstColumn="0" w:lastColumn="0" w:oddVBand="0" w:evenVBand="0" w:oddHBand="1" w:evenHBand="0" w:firstRowFirstColumn="0" w:firstRowLastColumn="0" w:lastRowFirstColumn="0" w:lastRowLastColumn="0"/>
        </w:trPr>
        <w:tc>
          <w:tcPr>
            <w:tcW w:w="955" w:type="dxa"/>
            <w:tcBorders>
              <w:top w:val="single" w:sz="4" w:space="0" w:color="auto"/>
            </w:tcBorders>
            <w:shd w:val="clear" w:color="auto" w:fill="FFFFFF" w:themeFill="background1"/>
            <w:vAlign w:val="bottom"/>
          </w:tcPr>
          <w:p w14:paraId="553005BD" w14:textId="14B3FC17" w:rsidR="00B83464" w:rsidRPr="00E0214B" w:rsidRDefault="00B83464" w:rsidP="00624582">
            <w:pPr>
              <w:pStyle w:val="TableText0"/>
              <w:jc w:val="center"/>
              <w:rPr>
                <w:rFonts w:asciiTheme="minorHAnsi" w:hAnsiTheme="minorHAnsi" w:cstheme="minorHAnsi"/>
                <w:sz w:val="22"/>
                <w:szCs w:val="22"/>
              </w:rPr>
            </w:pPr>
            <w:r w:rsidRPr="00E0214B">
              <w:rPr>
                <w:rFonts w:asciiTheme="minorHAnsi" w:hAnsiTheme="minorHAnsi" w:cstheme="minorHAnsi"/>
                <w:sz w:val="22"/>
                <w:szCs w:val="22"/>
              </w:rPr>
              <w:t>ATCHD  9</w:t>
            </w:r>
          </w:p>
        </w:tc>
        <w:tc>
          <w:tcPr>
            <w:tcW w:w="1880" w:type="dxa"/>
            <w:tcBorders>
              <w:top w:val="single" w:sz="4" w:space="0" w:color="auto"/>
            </w:tcBorders>
            <w:shd w:val="clear" w:color="auto" w:fill="FFFFFF" w:themeFill="background1"/>
            <w:vAlign w:val="bottom"/>
          </w:tcPr>
          <w:p w14:paraId="26A30D71" w14:textId="2E5536C8" w:rsidR="00B83464" w:rsidRPr="00E0214B" w:rsidRDefault="00B83464" w:rsidP="00624582">
            <w:pPr>
              <w:pStyle w:val="TableText0"/>
              <w:jc w:val="center"/>
              <w:rPr>
                <w:rFonts w:asciiTheme="minorHAnsi" w:hAnsiTheme="minorHAnsi" w:cstheme="minorHAnsi"/>
                <w:sz w:val="22"/>
                <w:szCs w:val="22"/>
              </w:rPr>
            </w:pPr>
            <w:r w:rsidRPr="00E0214B">
              <w:rPr>
                <w:rFonts w:asciiTheme="minorHAnsi" w:eastAsiaTheme="minorHAnsi" w:hAnsiTheme="minorHAnsi" w:cstheme="minorHAnsi"/>
                <w:color w:val="4B4B4D"/>
                <w:sz w:val="22"/>
                <w:szCs w:val="22"/>
              </w:rPr>
              <w:t>Giulia JONES MLA</w:t>
            </w:r>
          </w:p>
        </w:tc>
        <w:tc>
          <w:tcPr>
            <w:tcW w:w="1843" w:type="dxa"/>
            <w:tcBorders>
              <w:top w:val="single" w:sz="4" w:space="0" w:color="auto"/>
            </w:tcBorders>
            <w:shd w:val="clear" w:color="auto" w:fill="FFFFFF" w:themeFill="background1"/>
          </w:tcPr>
          <w:p w14:paraId="58476FFB" w14:textId="315B157E" w:rsidR="00B83464" w:rsidRPr="00E0214B" w:rsidRDefault="00B83464" w:rsidP="00624582">
            <w:pPr>
              <w:pStyle w:val="TableText0"/>
              <w:jc w:val="center"/>
              <w:rPr>
                <w:rFonts w:asciiTheme="minorHAnsi" w:hAnsiTheme="minorHAnsi" w:cstheme="minorHAnsi"/>
                <w:sz w:val="22"/>
                <w:szCs w:val="22"/>
              </w:rPr>
            </w:pPr>
            <w:r w:rsidRPr="00E0214B">
              <w:rPr>
                <w:rFonts w:asciiTheme="minorHAnsi" w:hAnsiTheme="minorHAnsi" w:cstheme="minorHAnsi"/>
                <w:sz w:val="22"/>
                <w:szCs w:val="22"/>
              </w:rPr>
              <w:t>ACT Health Directorate</w:t>
            </w:r>
          </w:p>
        </w:tc>
        <w:tc>
          <w:tcPr>
            <w:tcW w:w="4253" w:type="dxa"/>
            <w:tcBorders>
              <w:top w:val="single" w:sz="4" w:space="0" w:color="auto"/>
            </w:tcBorders>
            <w:shd w:val="clear" w:color="auto" w:fill="FFFFFF" w:themeFill="background1"/>
            <w:vAlign w:val="bottom"/>
          </w:tcPr>
          <w:p w14:paraId="479FD869" w14:textId="262573F2" w:rsidR="00B83464" w:rsidRPr="00E0214B" w:rsidRDefault="00B83464" w:rsidP="00624582">
            <w:pPr>
              <w:pStyle w:val="TableText0"/>
              <w:rPr>
                <w:rFonts w:asciiTheme="minorHAnsi" w:hAnsiTheme="minorHAnsi" w:cstheme="minorHAnsi"/>
                <w:sz w:val="22"/>
                <w:szCs w:val="22"/>
              </w:rPr>
            </w:pPr>
            <w:r w:rsidRPr="00E0214B">
              <w:rPr>
                <w:rFonts w:asciiTheme="minorHAnsi" w:eastAsiaTheme="minorHAnsi" w:hAnsiTheme="minorHAnsi" w:cstheme="minorHAnsi"/>
                <w:color w:val="4B4B4D"/>
                <w:sz w:val="22"/>
                <w:szCs w:val="22"/>
              </w:rPr>
              <w:t>Cross-border revenue arrangements</w:t>
            </w:r>
            <w:r w:rsidR="00E0214B">
              <w:rPr>
                <w:rFonts w:asciiTheme="minorHAnsi" w:eastAsiaTheme="minorHAnsi" w:hAnsiTheme="minorHAnsi" w:cstheme="minorHAnsi"/>
                <w:color w:val="4B4B4D"/>
                <w:sz w:val="22"/>
                <w:szCs w:val="22"/>
              </w:rPr>
              <w:t xml:space="preserve"> </w:t>
            </w:r>
            <w:r w:rsidRPr="00E0214B">
              <w:rPr>
                <w:rFonts w:asciiTheme="minorHAnsi" w:eastAsiaTheme="minorHAnsi" w:hAnsiTheme="minorHAnsi" w:cstheme="minorHAnsi"/>
                <w:color w:val="4B4B4D"/>
                <w:sz w:val="22"/>
                <w:szCs w:val="22"/>
              </w:rPr>
              <w:t>- revenue breakdown and FTE of staff</w:t>
            </w:r>
          </w:p>
        </w:tc>
      </w:tr>
      <w:tr w:rsidR="00B83464" w:rsidRPr="00E0214B" w14:paraId="6B2A369C" w14:textId="77777777" w:rsidTr="00E0214B">
        <w:tc>
          <w:tcPr>
            <w:tcW w:w="955" w:type="dxa"/>
            <w:shd w:val="clear" w:color="auto" w:fill="FFFFFF" w:themeFill="background1"/>
            <w:vAlign w:val="bottom"/>
          </w:tcPr>
          <w:p w14:paraId="5E149D33" w14:textId="7AEE92E9" w:rsidR="00B83464" w:rsidRPr="00E0214B" w:rsidRDefault="00B83464" w:rsidP="00624582">
            <w:pPr>
              <w:pStyle w:val="TableText0"/>
              <w:jc w:val="center"/>
              <w:rPr>
                <w:rFonts w:asciiTheme="minorHAnsi" w:hAnsiTheme="minorHAnsi" w:cstheme="minorHAnsi"/>
                <w:szCs w:val="22"/>
              </w:rPr>
            </w:pPr>
            <w:r w:rsidRPr="00E0214B">
              <w:rPr>
                <w:rFonts w:asciiTheme="minorHAnsi" w:hAnsiTheme="minorHAnsi" w:cstheme="minorHAnsi"/>
                <w:szCs w:val="22"/>
              </w:rPr>
              <w:t>ACTHD 10</w:t>
            </w:r>
          </w:p>
        </w:tc>
        <w:tc>
          <w:tcPr>
            <w:tcW w:w="1880" w:type="dxa"/>
            <w:shd w:val="clear" w:color="auto" w:fill="FFFFFF" w:themeFill="background1"/>
            <w:vAlign w:val="bottom"/>
          </w:tcPr>
          <w:p w14:paraId="3A32BAF4" w14:textId="6A5D98E9" w:rsidR="00B83464" w:rsidRPr="00E0214B" w:rsidRDefault="00B83464" w:rsidP="00624582">
            <w:pPr>
              <w:pStyle w:val="TableText0"/>
              <w:jc w:val="center"/>
              <w:rPr>
                <w:rFonts w:asciiTheme="minorHAnsi" w:hAnsiTheme="minorHAnsi" w:cstheme="minorHAnsi"/>
                <w:szCs w:val="22"/>
              </w:rPr>
            </w:pPr>
            <w:r w:rsidRPr="00E0214B">
              <w:rPr>
                <w:rFonts w:asciiTheme="minorHAnsi" w:eastAsiaTheme="minorHAnsi" w:hAnsiTheme="minorHAnsi" w:cstheme="minorHAnsi"/>
                <w:color w:val="4B4B4D"/>
                <w:szCs w:val="22"/>
              </w:rPr>
              <w:t>Giulia JONES MLA</w:t>
            </w:r>
          </w:p>
        </w:tc>
        <w:tc>
          <w:tcPr>
            <w:tcW w:w="1843" w:type="dxa"/>
            <w:shd w:val="clear" w:color="auto" w:fill="FFFFFF" w:themeFill="background1"/>
          </w:tcPr>
          <w:p w14:paraId="473AEC72" w14:textId="0AD0A73A" w:rsidR="00B83464" w:rsidRPr="00E0214B" w:rsidRDefault="00B83464" w:rsidP="00624582">
            <w:pPr>
              <w:pStyle w:val="TableText0"/>
              <w:jc w:val="center"/>
              <w:rPr>
                <w:rFonts w:asciiTheme="minorHAnsi" w:hAnsiTheme="minorHAnsi" w:cstheme="minorHAnsi"/>
                <w:szCs w:val="22"/>
              </w:rPr>
            </w:pPr>
            <w:r w:rsidRPr="00E0214B">
              <w:rPr>
                <w:rFonts w:asciiTheme="minorHAnsi" w:hAnsiTheme="minorHAnsi" w:cstheme="minorHAnsi"/>
                <w:szCs w:val="22"/>
              </w:rPr>
              <w:t>ACT Health Directorate</w:t>
            </w:r>
          </w:p>
        </w:tc>
        <w:tc>
          <w:tcPr>
            <w:tcW w:w="4253" w:type="dxa"/>
            <w:shd w:val="clear" w:color="auto" w:fill="FFFFFF" w:themeFill="background1"/>
            <w:vAlign w:val="bottom"/>
          </w:tcPr>
          <w:p w14:paraId="3A8DA808" w14:textId="287761E5" w:rsidR="00B83464" w:rsidRPr="00E0214B" w:rsidRDefault="00B83464" w:rsidP="00624582">
            <w:pPr>
              <w:pStyle w:val="TableText0"/>
              <w:rPr>
                <w:rFonts w:asciiTheme="minorHAnsi" w:hAnsiTheme="minorHAnsi" w:cstheme="minorHAnsi"/>
                <w:szCs w:val="22"/>
              </w:rPr>
            </w:pPr>
            <w:r w:rsidRPr="00E0214B">
              <w:rPr>
                <w:rFonts w:asciiTheme="minorHAnsi" w:eastAsiaTheme="minorHAnsi" w:hAnsiTheme="minorHAnsi" w:cstheme="minorHAnsi"/>
                <w:color w:val="4B4B4D"/>
                <w:szCs w:val="22"/>
              </w:rPr>
              <w:t>Number of beds in residential rehabilitation</w:t>
            </w:r>
          </w:p>
        </w:tc>
      </w:tr>
      <w:tr w:rsidR="00B83464" w:rsidRPr="00E0214B" w14:paraId="1C49241E" w14:textId="77777777" w:rsidTr="00E0214B">
        <w:trPr>
          <w:cnfStyle w:val="000000100000" w:firstRow="0" w:lastRow="0" w:firstColumn="0" w:lastColumn="0" w:oddVBand="0" w:evenVBand="0" w:oddHBand="1" w:evenHBand="0" w:firstRowFirstColumn="0" w:firstRowLastColumn="0" w:lastRowFirstColumn="0" w:lastRowLastColumn="0"/>
        </w:trPr>
        <w:tc>
          <w:tcPr>
            <w:tcW w:w="955" w:type="dxa"/>
            <w:shd w:val="clear" w:color="auto" w:fill="FFFFFF" w:themeFill="background1"/>
            <w:vAlign w:val="bottom"/>
          </w:tcPr>
          <w:p w14:paraId="6AFF75E0" w14:textId="0003BFD1" w:rsidR="00B83464" w:rsidRPr="00E0214B" w:rsidRDefault="00B83464" w:rsidP="00624582">
            <w:pPr>
              <w:pStyle w:val="TableText0"/>
              <w:jc w:val="center"/>
              <w:rPr>
                <w:rFonts w:asciiTheme="minorHAnsi" w:hAnsiTheme="minorHAnsi" w:cstheme="minorHAnsi"/>
                <w:sz w:val="22"/>
                <w:szCs w:val="22"/>
              </w:rPr>
            </w:pPr>
            <w:r w:rsidRPr="00E0214B">
              <w:rPr>
                <w:rFonts w:asciiTheme="minorHAnsi" w:hAnsiTheme="minorHAnsi" w:cstheme="minorHAnsi"/>
                <w:sz w:val="22"/>
                <w:szCs w:val="22"/>
              </w:rPr>
              <w:t>ACTHD 11</w:t>
            </w:r>
          </w:p>
        </w:tc>
        <w:tc>
          <w:tcPr>
            <w:tcW w:w="1880" w:type="dxa"/>
            <w:shd w:val="clear" w:color="auto" w:fill="FFFFFF" w:themeFill="background1"/>
            <w:vAlign w:val="bottom"/>
          </w:tcPr>
          <w:p w14:paraId="4A009B1A" w14:textId="1E6ABBE7" w:rsidR="00B83464" w:rsidRPr="00E0214B" w:rsidRDefault="00B83464" w:rsidP="00624582">
            <w:pPr>
              <w:pStyle w:val="TableText0"/>
              <w:jc w:val="center"/>
              <w:rPr>
                <w:rFonts w:asciiTheme="minorHAnsi" w:hAnsiTheme="minorHAnsi" w:cstheme="minorHAnsi"/>
                <w:sz w:val="22"/>
                <w:szCs w:val="22"/>
              </w:rPr>
            </w:pPr>
            <w:r w:rsidRPr="00E0214B">
              <w:rPr>
                <w:rFonts w:asciiTheme="minorHAnsi" w:hAnsiTheme="minorHAnsi" w:cstheme="minorHAnsi"/>
                <w:color w:val="000000"/>
                <w:sz w:val="22"/>
                <w:szCs w:val="22"/>
              </w:rPr>
              <w:t> MRS KIKKERT MLA</w:t>
            </w:r>
          </w:p>
        </w:tc>
        <w:tc>
          <w:tcPr>
            <w:tcW w:w="1843" w:type="dxa"/>
            <w:shd w:val="clear" w:color="auto" w:fill="FFFFFF" w:themeFill="background1"/>
          </w:tcPr>
          <w:p w14:paraId="144B05D2" w14:textId="00EC0508" w:rsidR="00B83464" w:rsidRPr="00E0214B" w:rsidRDefault="00B83464" w:rsidP="00624582">
            <w:pPr>
              <w:pStyle w:val="TableText0"/>
              <w:jc w:val="center"/>
              <w:rPr>
                <w:rFonts w:asciiTheme="minorHAnsi" w:hAnsiTheme="minorHAnsi" w:cstheme="minorHAnsi"/>
                <w:sz w:val="22"/>
                <w:szCs w:val="22"/>
              </w:rPr>
            </w:pPr>
            <w:r w:rsidRPr="00E0214B">
              <w:rPr>
                <w:rFonts w:asciiTheme="minorHAnsi" w:hAnsiTheme="minorHAnsi" w:cstheme="minorHAnsi"/>
                <w:sz w:val="22"/>
                <w:szCs w:val="22"/>
              </w:rPr>
              <w:t>ACT Health Directorate</w:t>
            </w:r>
          </w:p>
        </w:tc>
        <w:tc>
          <w:tcPr>
            <w:tcW w:w="4253" w:type="dxa"/>
            <w:shd w:val="clear" w:color="auto" w:fill="FFFFFF" w:themeFill="background1"/>
            <w:vAlign w:val="bottom"/>
          </w:tcPr>
          <w:p w14:paraId="1D2B06CF" w14:textId="2C1E5EC2" w:rsidR="00B83464" w:rsidRPr="00E0214B" w:rsidRDefault="00B83464" w:rsidP="00624582">
            <w:pPr>
              <w:pStyle w:val="TableText0"/>
              <w:rPr>
                <w:rFonts w:asciiTheme="minorHAnsi" w:hAnsiTheme="minorHAnsi" w:cstheme="minorHAnsi"/>
                <w:sz w:val="22"/>
                <w:szCs w:val="22"/>
              </w:rPr>
            </w:pPr>
            <w:proofErr w:type="gramStart"/>
            <w:r w:rsidRPr="00E0214B">
              <w:rPr>
                <w:rFonts w:asciiTheme="minorHAnsi" w:hAnsiTheme="minorHAnsi" w:cstheme="minorHAnsi"/>
                <w:color w:val="000000"/>
                <w:sz w:val="22"/>
                <w:szCs w:val="22"/>
              </w:rPr>
              <w:t>Safe Haven</w:t>
            </w:r>
            <w:proofErr w:type="gramEnd"/>
            <w:r w:rsidRPr="00E0214B">
              <w:rPr>
                <w:rFonts w:asciiTheme="minorHAnsi" w:hAnsiTheme="minorHAnsi" w:cstheme="minorHAnsi"/>
                <w:color w:val="000000"/>
                <w:sz w:val="22"/>
                <w:szCs w:val="22"/>
              </w:rPr>
              <w:t xml:space="preserve"> Cafes</w:t>
            </w:r>
          </w:p>
        </w:tc>
      </w:tr>
      <w:tr w:rsidR="00B83464" w:rsidRPr="00E0214B" w14:paraId="6C6D4FE5" w14:textId="77777777" w:rsidTr="00E0214B">
        <w:tc>
          <w:tcPr>
            <w:tcW w:w="955" w:type="dxa"/>
            <w:shd w:val="clear" w:color="auto" w:fill="FFFFFF" w:themeFill="background1"/>
            <w:vAlign w:val="bottom"/>
          </w:tcPr>
          <w:p w14:paraId="4AA92815" w14:textId="4FDA3F0F" w:rsidR="00B83464" w:rsidRPr="00E0214B" w:rsidRDefault="00B83464" w:rsidP="00624582">
            <w:pPr>
              <w:pStyle w:val="TableText0"/>
              <w:jc w:val="center"/>
              <w:rPr>
                <w:rFonts w:asciiTheme="minorHAnsi" w:hAnsiTheme="minorHAnsi" w:cstheme="minorHAnsi"/>
                <w:szCs w:val="22"/>
              </w:rPr>
            </w:pPr>
            <w:r w:rsidRPr="00E0214B">
              <w:rPr>
                <w:rFonts w:asciiTheme="minorHAnsi" w:hAnsiTheme="minorHAnsi" w:cstheme="minorHAnsi"/>
                <w:szCs w:val="22"/>
              </w:rPr>
              <w:t>CHS 12</w:t>
            </w:r>
          </w:p>
        </w:tc>
        <w:tc>
          <w:tcPr>
            <w:tcW w:w="1880" w:type="dxa"/>
            <w:shd w:val="clear" w:color="auto" w:fill="FFFFFF" w:themeFill="background1"/>
            <w:vAlign w:val="bottom"/>
          </w:tcPr>
          <w:p w14:paraId="2BE9B832" w14:textId="20E5CC2D" w:rsidR="00B83464" w:rsidRPr="00E0214B" w:rsidRDefault="00B83464" w:rsidP="00624582">
            <w:pPr>
              <w:pStyle w:val="TableText0"/>
              <w:jc w:val="center"/>
              <w:rPr>
                <w:rFonts w:asciiTheme="minorHAnsi" w:hAnsiTheme="minorHAnsi" w:cstheme="minorHAnsi"/>
                <w:szCs w:val="22"/>
              </w:rPr>
            </w:pPr>
            <w:r w:rsidRPr="00E0214B">
              <w:rPr>
                <w:rFonts w:asciiTheme="minorHAnsi" w:hAnsiTheme="minorHAnsi" w:cstheme="minorHAnsi"/>
                <w:color w:val="000000"/>
                <w:szCs w:val="22"/>
              </w:rPr>
              <w:t>Minister for Mental Health</w:t>
            </w:r>
          </w:p>
        </w:tc>
        <w:tc>
          <w:tcPr>
            <w:tcW w:w="1843" w:type="dxa"/>
            <w:shd w:val="clear" w:color="auto" w:fill="FFFFFF" w:themeFill="background1"/>
          </w:tcPr>
          <w:p w14:paraId="404C16FA" w14:textId="7AF4048C" w:rsidR="00B83464" w:rsidRPr="00E0214B" w:rsidRDefault="00B83464" w:rsidP="00624582">
            <w:pPr>
              <w:pStyle w:val="TableText0"/>
              <w:jc w:val="center"/>
              <w:rPr>
                <w:rFonts w:asciiTheme="minorHAnsi" w:hAnsiTheme="minorHAnsi" w:cstheme="minorHAnsi"/>
                <w:szCs w:val="22"/>
              </w:rPr>
            </w:pPr>
            <w:r w:rsidRPr="00E0214B">
              <w:rPr>
                <w:rFonts w:asciiTheme="minorHAnsi" w:hAnsiTheme="minorHAnsi" w:cstheme="minorHAnsi"/>
                <w:szCs w:val="22"/>
              </w:rPr>
              <w:t>Canberra Health Services</w:t>
            </w:r>
          </w:p>
        </w:tc>
        <w:tc>
          <w:tcPr>
            <w:tcW w:w="4253" w:type="dxa"/>
            <w:shd w:val="clear" w:color="auto" w:fill="FFFFFF" w:themeFill="background1"/>
            <w:vAlign w:val="bottom"/>
          </w:tcPr>
          <w:p w14:paraId="421A533B" w14:textId="7F2E6594" w:rsidR="00B83464" w:rsidRPr="00E0214B" w:rsidRDefault="00B83464" w:rsidP="00624582">
            <w:pPr>
              <w:pStyle w:val="TableText0"/>
              <w:rPr>
                <w:rFonts w:asciiTheme="minorHAnsi" w:hAnsiTheme="minorHAnsi" w:cstheme="minorHAnsi"/>
                <w:szCs w:val="22"/>
              </w:rPr>
            </w:pPr>
            <w:r w:rsidRPr="00E0214B">
              <w:rPr>
                <w:rFonts w:asciiTheme="minorHAnsi" w:hAnsiTheme="minorHAnsi" w:cstheme="minorHAnsi"/>
                <w:color w:val="000000"/>
                <w:szCs w:val="22"/>
              </w:rPr>
              <w:t>Drug and Alcohol Page 44 Table 14 - You would not happen to know, so I guess, at a somewhat specific level, what the vacancies are?</w:t>
            </w:r>
          </w:p>
        </w:tc>
      </w:tr>
      <w:tr w:rsidR="00B83464" w:rsidRPr="00E0214B" w14:paraId="38F0BBB9" w14:textId="77777777" w:rsidTr="00E0214B">
        <w:trPr>
          <w:cnfStyle w:val="000000100000" w:firstRow="0" w:lastRow="0" w:firstColumn="0" w:lastColumn="0" w:oddVBand="0" w:evenVBand="0" w:oddHBand="1" w:evenHBand="0" w:firstRowFirstColumn="0" w:firstRowLastColumn="0" w:lastRowFirstColumn="0" w:lastRowLastColumn="0"/>
        </w:trPr>
        <w:tc>
          <w:tcPr>
            <w:tcW w:w="955" w:type="dxa"/>
            <w:shd w:val="clear" w:color="auto" w:fill="FFFFFF" w:themeFill="background1"/>
            <w:vAlign w:val="bottom"/>
          </w:tcPr>
          <w:p w14:paraId="6BE68965" w14:textId="25287553" w:rsidR="00B83464" w:rsidRPr="00E0214B" w:rsidRDefault="00B83464" w:rsidP="00624582">
            <w:pPr>
              <w:pStyle w:val="TableText0"/>
              <w:jc w:val="center"/>
              <w:rPr>
                <w:rFonts w:asciiTheme="minorHAnsi" w:hAnsiTheme="minorHAnsi" w:cstheme="minorHAnsi"/>
                <w:sz w:val="22"/>
                <w:szCs w:val="22"/>
              </w:rPr>
            </w:pPr>
            <w:r w:rsidRPr="00E0214B">
              <w:rPr>
                <w:rFonts w:asciiTheme="minorHAnsi" w:hAnsiTheme="minorHAnsi" w:cstheme="minorHAnsi"/>
                <w:sz w:val="22"/>
                <w:szCs w:val="22"/>
              </w:rPr>
              <w:t>CHS 13</w:t>
            </w:r>
          </w:p>
        </w:tc>
        <w:tc>
          <w:tcPr>
            <w:tcW w:w="1880" w:type="dxa"/>
            <w:shd w:val="clear" w:color="auto" w:fill="FFFFFF" w:themeFill="background1"/>
            <w:vAlign w:val="bottom"/>
          </w:tcPr>
          <w:p w14:paraId="4415A874" w14:textId="3B71E968" w:rsidR="00B83464" w:rsidRPr="00E0214B" w:rsidRDefault="00B83464" w:rsidP="00624582">
            <w:pPr>
              <w:pStyle w:val="TableText0"/>
              <w:jc w:val="center"/>
              <w:rPr>
                <w:rFonts w:asciiTheme="minorHAnsi" w:hAnsiTheme="minorHAnsi" w:cstheme="minorHAnsi"/>
                <w:sz w:val="22"/>
                <w:szCs w:val="22"/>
              </w:rPr>
            </w:pPr>
            <w:r w:rsidRPr="00E0214B">
              <w:rPr>
                <w:rFonts w:asciiTheme="minorHAnsi" w:hAnsiTheme="minorHAnsi" w:cstheme="minorHAnsi"/>
                <w:color w:val="000000"/>
                <w:sz w:val="22"/>
                <w:szCs w:val="22"/>
              </w:rPr>
              <w:t>MR DAVIS MLA</w:t>
            </w:r>
          </w:p>
        </w:tc>
        <w:tc>
          <w:tcPr>
            <w:tcW w:w="1843" w:type="dxa"/>
            <w:shd w:val="clear" w:color="auto" w:fill="FFFFFF" w:themeFill="background1"/>
          </w:tcPr>
          <w:p w14:paraId="0DEC39B8" w14:textId="423DC017" w:rsidR="00B83464" w:rsidRPr="00E0214B" w:rsidRDefault="00B83464" w:rsidP="00624582">
            <w:pPr>
              <w:pStyle w:val="TableText0"/>
              <w:jc w:val="center"/>
              <w:rPr>
                <w:rFonts w:asciiTheme="minorHAnsi" w:hAnsiTheme="minorHAnsi" w:cstheme="minorHAnsi"/>
                <w:sz w:val="22"/>
                <w:szCs w:val="22"/>
              </w:rPr>
            </w:pPr>
            <w:r w:rsidRPr="00E0214B">
              <w:rPr>
                <w:rFonts w:asciiTheme="minorHAnsi" w:hAnsiTheme="minorHAnsi" w:cstheme="minorHAnsi"/>
                <w:sz w:val="22"/>
                <w:szCs w:val="22"/>
              </w:rPr>
              <w:t>Canberra Health Services</w:t>
            </w:r>
          </w:p>
        </w:tc>
        <w:tc>
          <w:tcPr>
            <w:tcW w:w="4253" w:type="dxa"/>
            <w:shd w:val="clear" w:color="auto" w:fill="FFFFFF" w:themeFill="background1"/>
            <w:vAlign w:val="bottom"/>
          </w:tcPr>
          <w:p w14:paraId="47629C7D" w14:textId="11DCF590" w:rsidR="00B83464" w:rsidRPr="00E0214B" w:rsidRDefault="00B83464" w:rsidP="00624582">
            <w:pPr>
              <w:rPr>
                <w:rFonts w:asciiTheme="minorHAnsi" w:hAnsiTheme="minorHAnsi" w:cstheme="minorHAnsi"/>
                <w:sz w:val="22"/>
                <w:szCs w:val="22"/>
                <w:highlight w:val="yellow"/>
              </w:rPr>
            </w:pPr>
            <w:r w:rsidRPr="00E0214B">
              <w:rPr>
                <w:rFonts w:asciiTheme="minorHAnsi" w:hAnsiTheme="minorHAnsi" w:cstheme="minorHAnsi"/>
                <w:sz w:val="22"/>
                <w:szCs w:val="22"/>
              </w:rPr>
              <w:t>Junior Doctors- Training Positions in Psychiatry</w:t>
            </w:r>
          </w:p>
          <w:p w14:paraId="3A6EF793" w14:textId="77777777" w:rsidR="00B83464" w:rsidRPr="00E0214B" w:rsidRDefault="00B83464" w:rsidP="00624582">
            <w:pPr>
              <w:pStyle w:val="TableText0"/>
              <w:rPr>
                <w:rFonts w:asciiTheme="minorHAnsi" w:hAnsiTheme="minorHAnsi" w:cstheme="minorHAnsi"/>
                <w:sz w:val="22"/>
                <w:szCs w:val="22"/>
              </w:rPr>
            </w:pPr>
          </w:p>
        </w:tc>
      </w:tr>
      <w:tr w:rsidR="00B83464" w:rsidRPr="00E0214B" w14:paraId="750A9FF2" w14:textId="77777777" w:rsidTr="00E0214B">
        <w:tc>
          <w:tcPr>
            <w:tcW w:w="955" w:type="dxa"/>
            <w:shd w:val="clear" w:color="auto" w:fill="FFFFFF" w:themeFill="background1"/>
            <w:vAlign w:val="bottom"/>
          </w:tcPr>
          <w:p w14:paraId="79439BE8" w14:textId="6164205C" w:rsidR="00B83464" w:rsidRPr="00E0214B" w:rsidRDefault="00B83464" w:rsidP="00624582">
            <w:pPr>
              <w:pStyle w:val="TableText0"/>
              <w:jc w:val="center"/>
              <w:rPr>
                <w:rFonts w:asciiTheme="minorHAnsi" w:hAnsiTheme="minorHAnsi" w:cstheme="minorHAnsi"/>
                <w:szCs w:val="22"/>
              </w:rPr>
            </w:pPr>
            <w:r w:rsidRPr="00E0214B">
              <w:rPr>
                <w:rFonts w:asciiTheme="minorHAnsi" w:hAnsiTheme="minorHAnsi" w:cstheme="minorHAnsi"/>
                <w:szCs w:val="22"/>
              </w:rPr>
              <w:t>CHS 14</w:t>
            </w:r>
          </w:p>
        </w:tc>
        <w:tc>
          <w:tcPr>
            <w:tcW w:w="1880" w:type="dxa"/>
            <w:shd w:val="clear" w:color="auto" w:fill="FFFFFF" w:themeFill="background1"/>
            <w:vAlign w:val="bottom"/>
          </w:tcPr>
          <w:p w14:paraId="58CA3A23" w14:textId="0218ACA3" w:rsidR="00B83464" w:rsidRPr="00E0214B" w:rsidRDefault="00B83464" w:rsidP="00624582">
            <w:pPr>
              <w:pStyle w:val="TableText0"/>
              <w:jc w:val="center"/>
              <w:rPr>
                <w:rFonts w:asciiTheme="minorHAnsi" w:hAnsiTheme="minorHAnsi" w:cstheme="minorHAnsi"/>
                <w:szCs w:val="22"/>
              </w:rPr>
            </w:pPr>
            <w:r w:rsidRPr="00E0214B">
              <w:rPr>
                <w:rFonts w:asciiTheme="minorHAnsi" w:hAnsiTheme="minorHAnsi" w:cstheme="minorHAnsi"/>
                <w:color w:val="000000"/>
                <w:szCs w:val="22"/>
              </w:rPr>
              <w:t>Mrs Jones MLA</w:t>
            </w:r>
          </w:p>
        </w:tc>
        <w:tc>
          <w:tcPr>
            <w:tcW w:w="1843" w:type="dxa"/>
            <w:shd w:val="clear" w:color="auto" w:fill="FFFFFF" w:themeFill="background1"/>
          </w:tcPr>
          <w:p w14:paraId="6125247C" w14:textId="2C40190D" w:rsidR="00B83464" w:rsidRPr="00E0214B" w:rsidRDefault="00B83464" w:rsidP="00624582">
            <w:pPr>
              <w:pStyle w:val="TableText0"/>
              <w:jc w:val="center"/>
              <w:rPr>
                <w:rFonts w:asciiTheme="minorHAnsi" w:hAnsiTheme="minorHAnsi" w:cstheme="minorHAnsi"/>
                <w:szCs w:val="22"/>
              </w:rPr>
            </w:pPr>
            <w:r w:rsidRPr="00E0214B">
              <w:rPr>
                <w:rFonts w:asciiTheme="minorHAnsi" w:hAnsiTheme="minorHAnsi" w:cstheme="minorHAnsi"/>
                <w:szCs w:val="22"/>
              </w:rPr>
              <w:t>Canberra Health Services</w:t>
            </w:r>
          </w:p>
        </w:tc>
        <w:tc>
          <w:tcPr>
            <w:tcW w:w="4253" w:type="dxa"/>
            <w:shd w:val="clear" w:color="auto" w:fill="FFFFFF" w:themeFill="background1"/>
            <w:vAlign w:val="bottom"/>
          </w:tcPr>
          <w:p w14:paraId="68F585BB" w14:textId="3B8A6997" w:rsidR="00B83464" w:rsidRPr="00E0214B" w:rsidRDefault="00B83464" w:rsidP="00624582">
            <w:pPr>
              <w:pStyle w:val="TableText0"/>
              <w:rPr>
                <w:rFonts w:asciiTheme="minorHAnsi" w:hAnsiTheme="minorHAnsi" w:cstheme="minorHAnsi"/>
                <w:szCs w:val="22"/>
              </w:rPr>
            </w:pPr>
            <w:r w:rsidRPr="00E0214B">
              <w:rPr>
                <w:rFonts w:asciiTheme="minorHAnsi" w:hAnsiTheme="minorHAnsi" w:cstheme="minorHAnsi"/>
                <w:color w:val="000000"/>
                <w:szCs w:val="22"/>
              </w:rPr>
              <w:t>Centenary Hospital for Women and Children - New Adolescent Ward</w:t>
            </w:r>
          </w:p>
        </w:tc>
      </w:tr>
      <w:tr w:rsidR="00B83464" w:rsidRPr="00E0214B" w14:paraId="23CB9634" w14:textId="77777777" w:rsidTr="00E0214B">
        <w:trPr>
          <w:cnfStyle w:val="000000100000" w:firstRow="0" w:lastRow="0" w:firstColumn="0" w:lastColumn="0" w:oddVBand="0" w:evenVBand="0" w:oddHBand="1" w:evenHBand="0" w:firstRowFirstColumn="0" w:firstRowLastColumn="0" w:lastRowFirstColumn="0" w:lastRowLastColumn="0"/>
        </w:trPr>
        <w:tc>
          <w:tcPr>
            <w:tcW w:w="955" w:type="dxa"/>
            <w:shd w:val="clear" w:color="auto" w:fill="FFFFFF" w:themeFill="background1"/>
            <w:vAlign w:val="bottom"/>
          </w:tcPr>
          <w:p w14:paraId="6C23E564" w14:textId="55A9BED0" w:rsidR="00B83464" w:rsidRPr="00E0214B" w:rsidRDefault="00B83464" w:rsidP="00624582">
            <w:pPr>
              <w:pStyle w:val="TableText0"/>
              <w:jc w:val="center"/>
              <w:rPr>
                <w:rFonts w:asciiTheme="minorHAnsi" w:hAnsiTheme="minorHAnsi" w:cstheme="minorHAnsi"/>
                <w:sz w:val="22"/>
                <w:szCs w:val="22"/>
              </w:rPr>
            </w:pPr>
            <w:r w:rsidRPr="00E0214B">
              <w:rPr>
                <w:rFonts w:asciiTheme="minorHAnsi" w:hAnsiTheme="minorHAnsi" w:cstheme="minorHAnsi"/>
                <w:sz w:val="22"/>
                <w:szCs w:val="22"/>
              </w:rPr>
              <w:t>CHS 15</w:t>
            </w:r>
          </w:p>
        </w:tc>
        <w:tc>
          <w:tcPr>
            <w:tcW w:w="1880" w:type="dxa"/>
            <w:shd w:val="clear" w:color="auto" w:fill="FFFFFF" w:themeFill="background1"/>
            <w:vAlign w:val="bottom"/>
          </w:tcPr>
          <w:p w14:paraId="5E585323" w14:textId="00B2B4E7" w:rsidR="00B83464" w:rsidRPr="00E0214B" w:rsidRDefault="00B83464" w:rsidP="00624582">
            <w:pPr>
              <w:pStyle w:val="TableText0"/>
              <w:jc w:val="center"/>
              <w:rPr>
                <w:rFonts w:asciiTheme="minorHAnsi" w:hAnsiTheme="minorHAnsi" w:cstheme="minorHAnsi"/>
                <w:sz w:val="22"/>
                <w:szCs w:val="22"/>
              </w:rPr>
            </w:pPr>
            <w:r w:rsidRPr="00E0214B">
              <w:rPr>
                <w:rFonts w:asciiTheme="minorHAnsi" w:hAnsiTheme="minorHAnsi" w:cstheme="minorHAnsi"/>
                <w:color w:val="000000"/>
                <w:sz w:val="22"/>
                <w:szCs w:val="22"/>
              </w:rPr>
              <w:t>MR DAVIS MLA</w:t>
            </w:r>
          </w:p>
        </w:tc>
        <w:tc>
          <w:tcPr>
            <w:tcW w:w="1843" w:type="dxa"/>
            <w:shd w:val="clear" w:color="auto" w:fill="FFFFFF" w:themeFill="background1"/>
          </w:tcPr>
          <w:p w14:paraId="7D7A3E6D" w14:textId="030FFE64" w:rsidR="00B83464" w:rsidRPr="00E0214B" w:rsidRDefault="00B83464" w:rsidP="00624582">
            <w:pPr>
              <w:pStyle w:val="TableText0"/>
              <w:jc w:val="center"/>
              <w:rPr>
                <w:rFonts w:asciiTheme="minorHAnsi" w:hAnsiTheme="minorHAnsi" w:cstheme="minorHAnsi"/>
                <w:sz w:val="22"/>
                <w:szCs w:val="22"/>
              </w:rPr>
            </w:pPr>
            <w:r w:rsidRPr="00E0214B">
              <w:rPr>
                <w:rFonts w:asciiTheme="minorHAnsi" w:hAnsiTheme="minorHAnsi" w:cstheme="minorHAnsi"/>
                <w:sz w:val="22"/>
                <w:szCs w:val="22"/>
              </w:rPr>
              <w:t>Canberra Health Services</w:t>
            </w:r>
          </w:p>
        </w:tc>
        <w:tc>
          <w:tcPr>
            <w:tcW w:w="4253" w:type="dxa"/>
            <w:shd w:val="clear" w:color="auto" w:fill="FFFFFF" w:themeFill="background1"/>
            <w:vAlign w:val="bottom"/>
          </w:tcPr>
          <w:p w14:paraId="55B9DE32" w14:textId="7715A987" w:rsidR="00B83464" w:rsidRPr="00E0214B" w:rsidRDefault="00B83464" w:rsidP="00624582">
            <w:pPr>
              <w:pStyle w:val="TableText0"/>
              <w:rPr>
                <w:rFonts w:asciiTheme="minorHAnsi" w:hAnsiTheme="minorHAnsi" w:cstheme="minorHAnsi"/>
                <w:sz w:val="22"/>
                <w:szCs w:val="22"/>
              </w:rPr>
            </w:pPr>
            <w:r w:rsidRPr="00E0214B">
              <w:rPr>
                <w:rFonts w:asciiTheme="minorHAnsi" w:hAnsiTheme="minorHAnsi" w:cstheme="minorHAnsi"/>
                <w:color w:val="000000"/>
                <w:sz w:val="22"/>
                <w:szCs w:val="22"/>
              </w:rPr>
              <w:t>Alexander Maconochie Centre - Smoking</w:t>
            </w:r>
          </w:p>
        </w:tc>
      </w:tr>
      <w:tr w:rsidR="00B83464" w:rsidRPr="00E0214B" w14:paraId="414042C1" w14:textId="77777777" w:rsidTr="00E0214B">
        <w:tc>
          <w:tcPr>
            <w:tcW w:w="955" w:type="dxa"/>
            <w:shd w:val="clear" w:color="auto" w:fill="FFFFFF" w:themeFill="background1"/>
            <w:vAlign w:val="bottom"/>
          </w:tcPr>
          <w:p w14:paraId="68C5D4C8" w14:textId="540BC7FA" w:rsidR="00B83464" w:rsidRPr="00E0214B" w:rsidRDefault="00B83464" w:rsidP="00624582">
            <w:pPr>
              <w:pStyle w:val="TableText0"/>
              <w:jc w:val="center"/>
              <w:rPr>
                <w:rFonts w:asciiTheme="minorHAnsi" w:hAnsiTheme="minorHAnsi" w:cstheme="minorHAnsi"/>
                <w:szCs w:val="22"/>
              </w:rPr>
            </w:pPr>
            <w:r w:rsidRPr="00E0214B">
              <w:rPr>
                <w:rFonts w:asciiTheme="minorHAnsi" w:hAnsiTheme="minorHAnsi" w:cstheme="minorHAnsi"/>
                <w:szCs w:val="22"/>
              </w:rPr>
              <w:t>CHS 16</w:t>
            </w:r>
          </w:p>
        </w:tc>
        <w:tc>
          <w:tcPr>
            <w:tcW w:w="1880" w:type="dxa"/>
            <w:shd w:val="clear" w:color="auto" w:fill="FFFFFF" w:themeFill="background1"/>
            <w:vAlign w:val="bottom"/>
          </w:tcPr>
          <w:p w14:paraId="565A8223" w14:textId="10CC3387" w:rsidR="00B83464" w:rsidRPr="00E0214B" w:rsidRDefault="00B83464" w:rsidP="00624582">
            <w:pPr>
              <w:pStyle w:val="TableText0"/>
              <w:jc w:val="center"/>
              <w:rPr>
                <w:rFonts w:asciiTheme="minorHAnsi" w:hAnsiTheme="minorHAnsi" w:cstheme="minorHAnsi"/>
                <w:szCs w:val="22"/>
              </w:rPr>
            </w:pPr>
            <w:r w:rsidRPr="00E0214B">
              <w:rPr>
                <w:rFonts w:asciiTheme="minorHAnsi" w:hAnsiTheme="minorHAnsi" w:cstheme="minorHAnsi"/>
                <w:color w:val="000000"/>
                <w:szCs w:val="22"/>
              </w:rPr>
              <w:t>MR PETTERSSON MLA</w:t>
            </w:r>
          </w:p>
        </w:tc>
        <w:tc>
          <w:tcPr>
            <w:tcW w:w="1843" w:type="dxa"/>
            <w:shd w:val="clear" w:color="auto" w:fill="FFFFFF" w:themeFill="background1"/>
          </w:tcPr>
          <w:p w14:paraId="693F6236" w14:textId="0F44BAB3" w:rsidR="00B83464" w:rsidRPr="00E0214B" w:rsidRDefault="00B83464" w:rsidP="00624582">
            <w:pPr>
              <w:pStyle w:val="TableText0"/>
              <w:jc w:val="center"/>
              <w:rPr>
                <w:rFonts w:asciiTheme="minorHAnsi" w:hAnsiTheme="minorHAnsi" w:cstheme="minorHAnsi"/>
                <w:szCs w:val="22"/>
              </w:rPr>
            </w:pPr>
            <w:r w:rsidRPr="00E0214B">
              <w:rPr>
                <w:rFonts w:asciiTheme="minorHAnsi" w:hAnsiTheme="minorHAnsi" w:cstheme="minorHAnsi"/>
                <w:szCs w:val="22"/>
              </w:rPr>
              <w:t>Canberra Health Services</w:t>
            </w:r>
          </w:p>
        </w:tc>
        <w:tc>
          <w:tcPr>
            <w:tcW w:w="4253" w:type="dxa"/>
            <w:shd w:val="clear" w:color="auto" w:fill="FFFFFF" w:themeFill="background1"/>
            <w:vAlign w:val="bottom"/>
          </w:tcPr>
          <w:p w14:paraId="3FA7A83B" w14:textId="29BBCE2B" w:rsidR="00B83464" w:rsidRPr="00E0214B" w:rsidRDefault="00B83464" w:rsidP="00624582">
            <w:pPr>
              <w:pStyle w:val="TableText0"/>
              <w:rPr>
                <w:rFonts w:asciiTheme="minorHAnsi" w:hAnsiTheme="minorHAnsi" w:cstheme="minorHAnsi"/>
                <w:szCs w:val="22"/>
              </w:rPr>
            </w:pPr>
            <w:r w:rsidRPr="00E0214B">
              <w:rPr>
                <w:rFonts w:asciiTheme="minorHAnsi" w:hAnsiTheme="minorHAnsi" w:cstheme="minorHAnsi"/>
                <w:color w:val="000000"/>
                <w:szCs w:val="22"/>
              </w:rPr>
              <w:t>Psychiatrists</w:t>
            </w:r>
          </w:p>
        </w:tc>
      </w:tr>
      <w:tr w:rsidR="00B83464" w:rsidRPr="00E0214B" w14:paraId="261538B8" w14:textId="77777777" w:rsidTr="00E0214B">
        <w:trPr>
          <w:cnfStyle w:val="000000100000" w:firstRow="0" w:lastRow="0" w:firstColumn="0" w:lastColumn="0" w:oddVBand="0" w:evenVBand="0" w:oddHBand="1" w:evenHBand="0" w:firstRowFirstColumn="0" w:firstRowLastColumn="0" w:lastRowFirstColumn="0" w:lastRowLastColumn="0"/>
        </w:trPr>
        <w:tc>
          <w:tcPr>
            <w:tcW w:w="955" w:type="dxa"/>
            <w:shd w:val="clear" w:color="auto" w:fill="FFFFFF" w:themeFill="background1"/>
            <w:vAlign w:val="bottom"/>
          </w:tcPr>
          <w:p w14:paraId="187B0541" w14:textId="6CE636C6" w:rsidR="00B83464" w:rsidRPr="00E0214B" w:rsidRDefault="00B83464" w:rsidP="00624582">
            <w:pPr>
              <w:pStyle w:val="TableText0"/>
              <w:jc w:val="center"/>
              <w:rPr>
                <w:rFonts w:asciiTheme="minorHAnsi" w:hAnsiTheme="minorHAnsi" w:cstheme="minorHAnsi"/>
                <w:sz w:val="22"/>
                <w:szCs w:val="22"/>
              </w:rPr>
            </w:pPr>
            <w:r w:rsidRPr="00E0214B">
              <w:rPr>
                <w:rFonts w:asciiTheme="minorHAnsi" w:hAnsiTheme="minorHAnsi" w:cstheme="minorHAnsi"/>
                <w:sz w:val="22"/>
                <w:szCs w:val="22"/>
              </w:rPr>
              <w:t>ACTHD  17</w:t>
            </w:r>
          </w:p>
        </w:tc>
        <w:tc>
          <w:tcPr>
            <w:tcW w:w="1880" w:type="dxa"/>
            <w:shd w:val="clear" w:color="auto" w:fill="FFFFFF" w:themeFill="background1"/>
            <w:vAlign w:val="bottom"/>
          </w:tcPr>
          <w:p w14:paraId="11A92B77" w14:textId="43CB12C0" w:rsidR="00B83464" w:rsidRPr="00E0214B" w:rsidRDefault="00B83464" w:rsidP="00624582">
            <w:pPr>
              <w:pStyle w:val="TableText0"/>
              <w:jc w:val="center"/>
              <w:rPr>
                <w:rFonts w:asciiTheme="minorHAnsi" w:hAnsiTheme="minorHAnsi" w:cstheme="minorHAnsi"/>
                <w:sz w:val="22"/>
                <w:szCs w:val="22"/>
              </w:rPr>
            </w:pPr>
            <w:r w:rsidRPr="00E0214B">
              <w:rPr>
                <w:rFonts w:asciiTheme="minorHAnsi" w:hAnsiTheme="minorHAnsi" w:cstheme="minorHAnsi"/>
                <w:color w:val="000000"/>
                <w:sz w:val="22"/>
                <w:szCs w:val="22"/>
              </w:rPr>
              <w:t>MR PETTERSSON MLA</w:t>
            </w:r>
          </w:p>
        </w:tc>
        <w:tc>
          <w:tcPr>
            <w:tcW w:w="1843" w:type="dxa"/>
            <w:shd w:val="clear" w:color="auto" w:fill="FFFFFF" w:themeFill="background1"/>
          </w:tcPr>
          <w:p w14:paraId="21F5272F" w14:textId="37EA9449" w:rsidR="00B83464" w:rsidRPr="00E0214B" w:rsidRDefault="00B83464" w:rsidP="00624582">
            <w:pPr>
              <w:pStyle w:val="TableText0"/>
              <w:jc w:val="center"/>
              <w:rPr>
                <w:rFonts w:asciiTheme="minorHAnsi" w:hAnsiTheme="minorHAnsi" w:cstheme="minorHAnsi"/>
                <w:sz w:val="22"/>
                <w:szCs w:val="22"/>
              </w:rPr>
            </w:pPr>
            <w:r w:rsidRPr="00E0214B">
              <w:rPr>
                <w:rFonts w:asciiTheme="minorHAnsi" w:hAnsiTheme="minorHAnsi" w:cstheme="minorHAnsi"/>
                <w:sz w:val="22"/>
                <w:szCs w:val="22"/>
              </w:rPr>
              <w:t>ACT Health Directorate</w:t>
            </w:r>
          </w:p>
        </w:tc>
        <w:tc>
          <w:tcPr>
            <w:tcW w:w="4253" w:type="dxa"/>
            <w:shd w:val="clear" w:color="auto" w:fill="FFFFFF" w:themeFill="background1"/>
            <w:vAlign w:val="bottom"/>
          </w:tcPr>
          <w:p w14:paraId="54ECFD54" w14:textId="6BA4A723" w:rsidR="00B83464" w:rsidRPr="00E0214B" w:rsidRDefault="00B83464" w:rsidP="00624582">
            <w:pPr>
              <w:pStyle w:val="TableText0"/>
              <w:rPr>
                <w:rFonts w:asciiTheme="minorHAnsi" w:hAnsiTheme="minorHAnsi" w:cstheme="minorHAnsi"/>
                <w:sz w:val="22"/>
                <w:szCs w:val="22"/>
              </w:rPr>
            </w:pPr>
            <w:r w:rsidRPr="00E0214B">
              <w:rPr>
                <w:rFonts w:asciiTheme="minorHAnsi" w:hAnsiTheme="minorHAnsi" w:cstheme="minorHAnsi"/>
                <w:color w:val="000000"/>
                <w:sz w:val="22"/>
                <w:szCs w:val="22"/>
              </w:rPr>
              <w:t>Mental health Service in the ACT</w:t>
            </w:r>
          </w:p>
        </w:tc>
      </w:tr>
      <w:tr w:rsidR="00B83464" w:rsidRPr="00E0214B" w14:paraId="6194A104" w14:textId="77777777" w:rsidTr="00E0214B">
        <w:tc>
          <w:tcPr>
            <w:tcW w:w="955" w:type="dxa"/>
            <w:shd w:val="clear" w:color="auto" w:fill="FFFFFF" w:themeFill="background1"/>
            <w:vAlign w:val="bottom"/>
          </w:tcPr>
          <w:p w14:paraId="5984FE43" w14:textId="505A8BFF" w:rsidR="00B83464" w:rsidRPr="00E0214B" w:rsidRDefault="00B83464" w:rsidP="00624582">
            <w:pPr>
              <w:pStyle w:val="TableText0"/>
              <w:jc w:val="center"/>
              <w:rPr>
                <w:rFonts w:asciiTheme="minorHAnsi" w:hAnsiTheme="minorHAnsi" w:cstheme="minorHAnsi"/>
                <w:szCs w:val="22"/>
              </w:rPr>
            </w:pPr>
            <w:r w:rsidRPr="00E0214B">
              <w:rPr>
                <w:rFonts w:asciiTheme="minorHAnsi" w:hAnsiTheme="minorHAnsi" w:cstheme="minorHAnsi"/>
                <w:szCs w:val="22"/>
              </w:rPr>
              <w:t>ACTHD  18</w:t>
            </w:r>
          </w:p>
        </w:tc>
        <w:tc>
          <w:tcPr>
            <w:tcW w:w="1880" w:type="dxa"/>
            <w:shd w:val="clear" w:color="auto" w:fill="FFFFFF" w:themeFill="background1"/>
            <w:vAlign w:val="bottom"/>
          </w:tcPr>
          <w:p w14:paraId="52873FE2" w14:textId="0E3E09D7" w:rsidR="00B83464" w:rsidRPr="00E0214B" w:rsidRDefault="00B83464" w:rsidP="00624582">
            <w:pPr>
              <w:pStyle w:val="TableText0"/>
              <w:jc w:val="center"/>
              <w:rPr>
                <w:rFonts w:asciiTheme="minorHAnsi" w:hAnsiTheme="minorHAnsi" w:cstheme="minorHAnsi"/>
                <w:szCs w:val="22"/>
              </w:rPr>
            </w:pPr>
            <w:r w:rsidRPr="00E0214B">
              <w:rPr>
                <w:rFonts w:asciiTheme="minorHAnsi" w:hAnsiTheme="minorHAnsi" w:cstheme="minorHAnsi"/>
                <w:color w:val="000000"/>
                <w:szCs w:val="22"/>
              </w:rPr>
              <w:t>MR PETTERSSON MLA</w:t>
            </w:r>
          </w:p>
        </w:tc>
        <w:tc>
          <w:tcPr>
            <w:tcW w:w="1843" w:type="dxa"/>
            <w:shd w:val="clear" w:color="auto" w:fill="FFFFFF" w:themeFill="background1"/>
          </w:tcPr>
          <w:p w14:paraId="29AAA356" w14:textId="5662F04F" w:rsidR="00B83464" w:rsidRPr="00E0214B" w:rsidRDefault="00B83464" w:rsidP="00624582">
            <w:pPr>
              <w:pStyle w:val="TableText0"/>
              <w:jc w:val="center"/>
              <w:rPr>
                <w:rFonts w:asciiTheme="minorHAnsi" w:hAnsiTheme="minorHAnsi" w:cstheme="minorHAnsi"/>
                <w:szCs w:val="22"/>
              </w:rPr>
            </w:pPr>
            <w:r w:rsidRPr="00E0214B">
              <w:rPr>
                <w:rFonts w:asciiTheme="minorHAnsi" w:hAnsiTheme="minorHAnsi" w:cstheme="minorHAnsi"/>
                <w:szCs w:val="22"/>
              </w:rPr>
              <w:t>ACT Health Directorate</w:t>
            </w:r>
          </w:p>
        </w:tc>
        <w:tc>
          <w:tcPr>
            <w:tcW w:w="4253" w:type="dxa"/>
            <w:shd w:val="clear" w:color="auto" w:fill="FFFFFF" w:themeFill="background1"/>
            <w:vAlign w:val="bottom"/>
          </w:tcPr>
          <w:p w14:paraId="1248D2BE" w14:textId="51D8B5C8" w:rsidR="00B83464" w:rsidRPr="00E0214B" w:rsidRDefault="00B83464" w:rsidP="00624582">
            <w:pPr>
              <w:pStyle w:val="TableText0"/>
              <w:rPr>
                <w:rFonts w:asciiTheme="minorHAnsi" w:hAnsiTheme="minorHAnsi" w:cstheme="minorHAnsi"/>
                <w:szCs w:val="22"/>
              </w:rPr>
            </w:pPr>
            <w:r w:rsidRPr="00E0214B">
              <w:rPr>
                <w:rFonts w:asciiTheme="minorHAnsi" w:hAnsiTheme="minorHAnsi" w:cstheme="minorHAnsi"/>
                <w:color w:val="000000"/>
                <w:szCs w:val="22"/>
              </w:rPr>
              <w:t>The Eating Disorders Residential Treatment Centre</w:t>
            </w:r>
          </w:p>
        </w:tc>
      </w:tr>
      <w:tr w:rsidR="00B83464" w:rsidRPr="00E0214B" w14:paraId="35FFFCA2" w14:textId="77777777" w:rsidTr="00E0214B">
        <w:trPr>
          <w:cnfStyle w:val="000000100000" w:firstRow="0" w:lastRow="0" w:firstColumn="0" w:lastColumn="0" w:oddVBand="0" w:evenVBand="0" w:oddHBand="1" w:evenHBand="0" w:firstRowFirstColumn="0" w:firstRowLastColumn="0" w:lastRowFirstColumn="0" w:lastRowLastColumn="0"/>
        </w:trPr>
        <w:tc>
          <w:tcPr>
            <w:tcW w:w="955" w:type="dxa"/>
            <w:shd w:val="clear" w:color="auto" w:fill="FFFFFF" w:themeFill="background1"/>
            <w:vAlign w:val="bottom"/>
          </w:tcPr>
          <w:p w14:paraId="513E8B5F" w14:textId="1F102937" w:rsidR="00B83464" w:rsidRPr="00E0214B" w:rsidRDefault="00B83464" w:rsidP="00624582">
            <w:pPr>
              <w:pStyle w:val="TableText0"/>
              <w:jc w:val="center"/>
              <w:rPr>
                <w:rFonts w:asciiTheme="minorHAnsi" w:hAnsiTheme="minorHAnsi" w:cstheme="minorHAnsi"/>
                <w:sz w:val="22"/>
                <w:szCs w:val="22"/>
              </w:rPr>
            </w:pPr>
            <w:r w:rsidRPr="00E0214B">
              <w:rPr>
                <w:rFonts w:asciiTheme="minorHAnsi" w:hAnsiTheme="minorHAnsi" w:cstheme="minorHAnsi"/>
                <w:sz w:val="22"/>
                <w:szCs w:val="22"/>
              </w:rPr>
              <w:t>ACTHD 19</w:t>
            </w:r>
          </w:p>
        </w:tc>
        <w:tc>
          <w:tcPr>
            <w:tcW w:w="1880" w:type="dxa"/>
            <w:shd w:val="clear" w:color="auto" w:fill="FFFFFF" w:themeFill="background1"/>
            <w:vAlign w:val="bottom"/>
          </w:tcPr>
          <w:p w14:paraId="2656BF34" w14:textId="10418590" w:rsidR="00B83464" w:rsidRPr="00E0214B" w:rsidRDefault="00B83464" w:rsidP="00624582">
            <w:pPr>
              <w:pStyle w:val="TableText0"/>
              <w:jc w:val="center"/>
              <w:rPr>
                <w:rFonts w:asciiTheme="minorHAnsi" w:hAnsiTheme="minorHAnsi" w:cstheme="minorHAnsi"/>
                <w:sz w:val="22"/>
                <w:szCs w:val="22"/>
              </w:rPr>
            </w:pPr>
            <w:r w:rsidRPr="00E0214B">
              <w:rPr>
                <w:rFonts w:asciiTheme="minorHAnsi" w:eastAsiaTheme="minorHAnsi" w:hAnsiTheme="minorHAnsi" w:cstheme="minorHAnsi"/>
                <w:sz w:val="22"/>
                <w:szCs w:val="22"/>
              </w:rPr>
              <w:t>Giulia JONES MLA</w:t>
            </w:r>
          </w:p>
        </w:tc>
        <w:tc>
          <w:tcPr>
            <w:tcW w:w="1843" w:type="dxa"/>
            <w:shd w:val="clear" w:color="auto" w:fill="FFFFFF" w:themeFill="background1"/>
          </w:tcPr>
          <w:p w14:paraId="68F1F6DE" w14:textId="6F27AEEC" w:rsidR="00B83464" w:rsidRPr="00E0214B" w:rsidRDefault="00B83464" w:rsidP="00624582">
            <w:pPr>
              <w:pStyle w:val="TableText0"/>
              <w:jc w:val="center"/>
              <w:rPr>
                <w:rFonts w:asciiTheme="minorHAnsi" w:hAnsiTheme="minorHAnsi" w:cstheme="minorHAnsi"/>
                <w:sz w:val="22"/>
                <w:szCs w:val="22"/>
              </w:rPr>
            </w:pPr>
            <w:r w:rsidRPr="00E0214B">
              <w:rPr>
                <w:rFonts w:asciiTheme="minorHAnsi" w:hAnsiTheme="minorHAnsi" w:cstheme="minorHAnsi"/>
                <w:sz w:val="22"/>
                <w:szCs w:val="22"/>
              </w:rPr>
              <w:t>ACT Health Directorate</w:t>
            </w:r>
          </w:p>
        </w:tc>
        <w:tc>
          <w:tcPr>
            <w:tcW w:w="4253" w:type="dxa"/>
            <w:shd w:val="clear" w:color="auto" w:fill="FFFFFF" w:themeFill="background1"/>
            <w:vAlign w:val="bottom"/>
          </w:tcPr>
          <w:p w14:paraId="25989FB5" w14:textId="0ED43E87" w:rsidR="00B83464" w:rsidRPr="00E0214B" w:rsidRDefault="00B83464" w:rsidP="00624582">
            <w:pPr>
              <w:pStyle w:val="TableText0"/>
              <w:rPr>
                <w:rFonts w:asciiTheme="minorHAnsi" w:hAnsiTheme="minorHAnsi" w:cstheme="minorHAnsi"/>
                <w:sz w:val="22"/>
                <w:szCs w:val="22"/>
              </w:rPr>
            </w:pPr>
            <w:r w:rsidRPr="00E0214B">
              <w:rPr>
                <w:rFonts w:asciiTheme="minorHAnsi" w:eastAsiaTheme="minorHAnsi" w:hAnsiTheme="minorHAnsi" w:cstheme="minorHAnsi"/>
                <w:sz w:val="22"/>
                <w:szCs w:val="22"/>
              </w:rPr>
              <w:t xml:space="preserve">Emergency apprehensions assessments occurring within </w:t>
            </w:r>
            <w:proofErr w:type="gramStart"/>
            <w:r w:rsidRPr="00E0214B">
              <w:rPr>
                <w:rFonts w:asciiTheme="minorHAnsi" w:eastAsiaTheme="minorHAnsi" w:hAnsiTheme="minorHAnsi" w:cstheme="minorHAnsi"/>
                <w:sz w:val="22"/>
                <w:szCs w:val="22"/>
              </w:rPr>
              <w:t>four hour</w:t>
            </w:r>
            <w:proofErr w:type="gramEnd"/>
            <w:r w:rsidRPr="00E0214B">
              <w:rPr>
                <w:rFonts w:asciiTheme="minorHAnsi" w:eastAsiaTheme="minorHAnsi" w:hAnsiTheme="minorHAnsi" w:cstheme="minorHAnsi"/>
                <w:sz w:val="22"/>
                <w:szCs w:val="22"/>
              </w:rPr>
              <w:t xml:space="preserve"> timeframe</w:t>
            </w:r>
          </w:p>
        </w:tc>
      </w:tr>
      <w:bookmarkEnd w:id="139"/>
      <w:bookmarkEnd w:id="140"/>
      <w:bookmarkEnd w:id="141"/>
      <w:bookmarkEnd w:id="142"/>
    </w:tbl>
    <w:p w14:paraId="2768875C" w14:textId="77777777" w:rsidR="00624582" w:rsidRDefault="00624582">
      <w:pPr>
        <w:spacing w:after="160" w:line="259" w:lineRule="auto"/>
        <w:rPr>
          <w:rFonts w:ascii="Arial Narrow" w:hAnsi="Arial Narrow"/>
          <w:bCs/>
          <w:kern w:val="26"/>
          <w:sz w:val="26"/>
          <w:szCs w:val="20"/>
        </w:rPr>
      </w:pPr>
      <w:r>
        <w:br w:type="page"/>
      </w:r>
    </w:p>
    <w:p w14:paraId="4DFCCE7E" w14:textId="1C98A7C2" w:rsidR="00A152C1" w:rsidRDefault="00A152C1" w:rsidP="00A152C1">
      <w:pPr>
        <w:pStyle w:val="Caption"/>
      </w:pPr>
      <w:r>
        <w:t xml:space="preserve">Questions taken on Notice </w:t>
      </w:r>
      <w:r w:rsidR="00903F72">
        <w:t>Wednesday, 3 March 2021</w:t>
      </w:r>
    </w:p>
    <w:p w14:paraId="1522B949" w14:textId="77777777" w:rsidR="00903F72" w:rsidRPr="00903F72" w:rsidRDefault="00903F72" w:rsidP="00903F72">
      <w:pPr>
        <w:pStyle w:val="Caption"/>
        <w:rPr>
          <w:b/>
          <w:bCs w:val="0"/>
        </w:rPr>
      </w:pPr>
      <w:r w:rsidRPr="00903F72">
        <w:rPr>
          <w:b/>
          <w:bCs w:val="0"/>
        </w:rPr>
        <w:t>Community Services Directorate</w:t>
      </w:r>
    </w:p>
    <w:p w14:paraId="4AC0612F" w14:textId="77777777" w:rsidR="00903F72" w:rsidRPr="00903F72" w:rsidRDefault="00903F72" w:rsidP="00903F72"/>
    <w:tbl>
      <w:tblPr>
        <w:tblStyle w:val="CommitteeTable"/>
        <w:tblW w:w="0" w:type="auto"/>
        <w:tblInd w:w="108" w:type="dxa"/>
        <w:tblLook w:val="04A0" w:firstRow="1" w:lastRow="0" w:firstColumn="1" w:lastColumn="0" w:noHBand="0" w:noVBand="1"/>
      </w:tblPr>
      <w:tblGrid>
        <w:gridCol w:w="691"/>
        <w:gridCol w:w="1108"/>
        <w:gridCol w:w="1498"/>
        <w:gridCol w:w="1655"/>
        <w:gridCol w:w="2781"/>
        <w:gridCol w:w="1220"/>
      </w:tblGrid>
      <w:tr w:rsidR="00A152C1" w14:paraId="12E8489D" w14:textId="77777777" w:rsidTr="00E0214B">
        <w:trPr>
          <w:cnfStyle w:val="100000000000" w:firstRow="1" w:lastRow="0" w:firstColumn="0" w:lastColumn="0" w:oddVBand="0" w:evenVBand="0" w:oddHBand="0" w:evenHBand="0" w:firstRowFirstColumn="0" w:firstRowLastColumn="0" w:lastRowFirstColumn="0" w:lastRowLastColumn="0"/>
        </w:trPr>
        <w:tc>
          <w:tcPr>
            <w:tcW w:w="691" w:type="dxa"/>
            <w:tcBorders>
              <w:bottom w:val="single" w:sz="4" w:space="0" w:color="auto"/>
            </w:tcBorders>
          </w:tcPr>
          <w:p w14:paraId="768A8625" w14:textId="77777777" w:rsidR="00A152C1" w:rsidRPr="00640E82" w:rsidRDefault="00A152C1" w:rsidP="00FD2225">
            <w:pPr>
              <w:spacing w:after="80" w:line="288" w:lineRule="auto"/>
              <w:jc w:val="center"/>
              <w:rPr>
                <w:rFonts w:ascii="Arial Narrow" w:hAnsi="Arial Narrow"/>
              </w:rPr>
            </w:pPr>
            <w:r w:rsidRPr="00640E82">
              <w:rPr>
                <w:rFonts w:ascii="Arial Narrow" w:hAnsi="Arial Narrow"/>
              </w:rPr>
              <w:t>No</w:t>
            </w:r>
            <w:bookmarkStart w:id="145" w:name="ColumnTitle_QToN2"/>
            <w:bookmarkEnd w:id="145"/>
            <w:r w:rsidRPr="00640E82">
              <w:rPr>
                <w:rFonts w:ascii="Arial Narrow" w:hAnsi="Arial Narrow"/>
              </w:rPr>
              <w:t>.</w:t>
            </w:r>
          </w:p>
        </w:tc>
        <w:tc>
          <w:tcPr>
            <w:tcW w:w="1108" w:type="dxa"/>
            <w:tcBorders>
              <w:bottom w:val="single" w:sz="4" w:space="0" w:color="auto"/>
            </w:tcBorders>
          </w:tcPr>
          <w:p w14:paraId="3B49397F" w14:textId="77777777" w:rsidR="00A152C1" w:rsidRPr="00640E82" w:rsidRDefault="00A152C1" w:rsidP="00FD2225">
            <w:pPr>
              <w:spacing w:after="80" w:line="288" w:lineRule="auto"/>
              <w:jc w:val="center"/>
              <w:rPr>
                <w:rFonts w:ascii="Arial Narrow" w:hAnsi="Arial Narrow"/>
              </w:rPr>
            </w:pPr>
            <w:r w:rsidRPr="00640E82">
              <w:rPr>
                <w:rFonts w:ascii="Arial Narrow" w:hAnsi="Arial Narrow"/>
              </w:rPr>
              <w:t>Hearing date</w:t>
            </w:r>
          </w:p>
        </w:tc>
        <w:tc>
          <w:tcPr>
            <w:tcW w:w="1498" w:type="dxa"/>
            <w:tcBorders>
              <w:bottom w:val="single" w:sz="4" w:space="0" w:color="auto"/>
            </w:tcBorders>
          </w:tcPr>
          <w:p w14:paraId="032F80F3" w14:textId="77777777" w:rsidR="00A152C1" w:rsidRPr="00640E82" w:rsidRDefault="00A152C1" w:rsidP="00FD2225">
            <w:pPr>
              <w:spacing w:after="80" w:line="288" w:lineRule="auto"/>
              <w:jc w:val="center"/>
              <w:rPr>
                <w:rFonts w:ascii="Arial Narrow" w:hAnsi="Arial Narrow"/>
              </w:rPr>
            </w:pPr>
            <w:r w:rsidRPr="00640E82">
              <w:rPr>
                <w:rFonts w:ascii="Arial Narrow" w:hAnsi="Arial Narrow"/>
              </w:rPr>
              <w:t>Asked by</w:t>
            </w:r>
          </w:p>
        </w:tc>
        <w:tc>
          <w:tcPr>
            <w:tcW w:w="1655" w:type="dxa"/>
            <w:tcBorders>
              <w:bottom w:val="single" w:sz="4" w:space="0" w:color="auto"/>
            </w:tcBorders>
          </w:tcPr>
          <w:p w14:paraId="5072AC83" w14:textId="77777777" w:rsidR="00A152C1" w:rsidRPr="00640E82" w:rsidRDefault="00A152C1" w:rsidP="00FD2225">
            <w:pPr>
              <w:spacing w:after="80" w:line="288" w:lineRule="auto"/>
              <w:jc w:val="center"/>
              <w:rPr>
                <w:rFonts w:ascii="Arial Narrow" w:hAnsi="Arial Narrow"/>
              </w:rPr>
            </w:pPr>
            <w:r w:rsidRPr="00640E82">
              <w:rPr>
                <w:rFonts w:ascii="Arial Narrow" w:hAnsi="Arial Narrow"/>
              </w:rPr>
              <w:t>Directorate/</w:t>
            </w:r>
            <w:r w:rsidRPr="00640E82">
              <w:rPr>
                <w:rFonts w:ascii="Arial Narrow" w:hAnsi="Arial Narrow"/>
              </w:rPr>
              <w:br/>
              <w:t>Portfolio</w:t>
            </w:r>
          </w:p>
        </w:tc>
        <w:tc>
          <w:tcPr>
            <w:tcW w:w="2781" w:type="dxa"/>
            <w:tcBorders>
              <w:bottom w:val="single" w:sz="4" w:space="0" w:color="auto"/>
            </w:tcBorders>
          </w:tcPr>
          <w:p w14:paraId="5A510D4F" w14:textId="77777777" w:rsidR="00A152C1" w:rsidRPr="00640E82" w:rsidRDefault="00A152C1" w:rsidP="00FD2225">
            <w:pPr>
              <w:spacing w:after="80" w:line="288" w:lineRule="auto"/>
              <w:rPr>
                <w:rFonts w:ascii="Arial Narrow" w:hAnsi="Arial Narrow"/>
              </w:rPr>
            </w:pPr>
            <w:r w:rsidRPr="00640E82">
              <w:rPr>
                <w:rFonts w:ascii="Arial Narrow" w:hAnsi="Arial Narrow"/>
              </w:rPr>
              <w:t>Subject</w:t>
            </w:r>
          </w:p>
        </w:tc>
        <w:tc>
          <w:tcPr>
            <w:tcW w:w="1220" w:type="dxa"/>
            <w:tcBorders>
              <w:bottom w:val="single" w:sz="4" w:space="0" w:color="auto"/>
            </w:tcBorders>
          </w:tcPr>
          <w:p w14:paraId="727879DF" w14:textId="77777777" w:rsidR="00A152C1" w:rsidRPr="00640E82" w:rsidRDefault="00A152C1" w:rsidP="00FD2225">
            <w:pPr>
              <w:spacing w:after="80" w:line="288" w:lineRule="auto"/>
              <w:jc w:val="center"/>
              <w:rPr>
                <w:rFonts w:ascii="Arial Narrow" w:hAnsi="Arial Narrow"/>
              </w:rPr>
            </w:pPr>
            <w:r w:rsidRPr="00640E82">
              <w:rPr>
                <w:rFonts w:ascii="Arial Narrow" w:hAnsi="Arial Narrow"/>
              </w:rPr>
              <w:t>Answer date</w:t>
            </w:r>
          </w:p>
        </w:tc>
      </w:tr>
      <w:tr w:rsidR="00903F72" w:rsidRPr="00624582" w14:paraId="3828F2E1" w14:textId="77777777" w:rsidTr="00E0214B">
        <w:trPr>
          <w:cnfStyle w:val="000000100000" w:firstRow="0" w:lastRow="0" w:firstColumn="0" w:lastColumn="0" w:oddVBand="0" w:evenVBand="0" w:oddHBand="1" w:evenHBand="0" w:firstRowFirstColumn="0" w:firstRowLastColumn="0" w:lastRowFirstColumn="0" w:lastRowLastColumn="0"/>
        </w:trPr>
        <w:tc>
          <w:tcPr>
            <w:tcW w:w="691" w:type="dxa"/>
            <w:shd w:val="clear" w:color="auto" w:fill="FFFFFF" w:themeFill="background1"/>
            <w:vAlign w:val="top"/>
          </w:tcPr>
          <w:p w14:paraId="74367863" w14:textId="2CA45C41" w:rsidR="00903F72" w:rsidRPr="00624582" w:rsidRDefault="00903F72" w:rsidP="00903F72">
            <w:pPr>
              <w:pStyle w:val="TableText0"/>
              <w:jc w:val="center"/>
              <w:rPr>
                <w:rFonts w:asciiTheme="minorHAnsi" w:hAnsiTheme="minorHAnsi" w:cstheme="minorHAnsi"/>
                <w:sz w:val="22"/>
                <w:szCs w:val="22"/>
              </w:rPr>
            </w:pPr>
            <w:r w:rsidRPr="00624582">
              <w:rPr>
                <w:rFonts w:asciiTheme="minorHAnsi" w:hAnsiTheme="minorHAnsi" w:cstheme="minorHAnsi"/>
                <w:color w:val="000000"/>
                <w:sz w:val="22"/>
                <w:szCs w:val="22"/>
              </w:rPr>
              <w:t>CSD 1</w:t>
            </w:r>
          </w:p>
        </w:tc>
        <w:tc>
          <w:tcPr>
            <w:tcW w:w="1108" w:type="dxa"/>
            <w:shd w:val="clear" w:color="auto" w:fill="FFFFFF" w:themeFill="background1"/>
          </w:tcPr>
          <w:p w14:paraId="68B5677F" w14:textId="04AA7DC9" w:rsidR="00903F72" w:rsidRPr="00624582" w:rsidRDefault="00FD2225" w:rsidP="00903F72">
            <w:pPr>
              <w:pStyle w:val="TableText0"/>
              <w:jc w:val="center"/>
              <w:rPr>
                <w:rFonts w:asciiTheme="minorHAnsi" w:hAnsiTheme="minorHAnsi" w:cstheme="minorHAnsi"/>
                <w:sz w:val="22"/>
                <w:szCs w:val="22"/>
              </w:rPr>
            </w:pPr>
            <w:r w:rsidRPr="00624582">
              <w:rPr>
                <w:rFonts w:asciiTheme="minorHAnsi" w:hAnsiTheme="minorHAnsi" w:cstheme="minorHAnsi"/>
                <w:sz w:val="22"/>
                <w:szCs w:val="22"/>
              </w:rPr>
              <w:t>26/0</w:t>
            </w:r>
            <w:r w:rsidR="00924177">
              <w:rPr>
                <w:rFonts w:asciiTheme="minorHAnsi" w:hAnsiTheme="minorHAnsi" w:cstheme="minorHAnsi"/>
                <w:sz w:val="22"/>
                <w:szCs w:val="22"/>
              </w:rPr>
              <w:t>2</w:t>
            </w:r>
            <w:r w:rsidRPr="00624582">
              <w:rPr>
                <w:rFonts w:asciiTheme="minorHAnsi" w:hAnsiTheme="minorHAnsi" w:cstheme="minorHAnsi"/>
                <w:sz w:val="22"/>
                <w:szCs w:val="22"/>
              </w:rPr>
              <w:t>/21</w:t>
            </w:r>
          </w:p>
        </w:tc>
        <w:tc>
          <w:tcPr>
            <w:tcW w:w="1498" w:type="dxa"/>
            <w:shd w:val="clear" w:color="auto" w:fill="FFFFFF" w:themeFill="background1"/>
            <w:vAlign w:val="top"/>
          </w:tcPr>
          <w:p w14:paraId="125064F5" w14:textId="0A9B15C5" w:rsidR="00903F72" w:rsidRPr="00624582" w:rsidRDefault="00903F72" w:rsidP="00903F72">
            <w:pPr>
              <w:pStyle w:val="TableText0"/>
              <w:jc w:val="center"/>
              <w:rPr>
                <w:rFonts w:asciiTheme="minorHAnsi" w:hAnsiTheme="minorHAnsi" w:cstheme="minorHAnsi"/>
                <w:sz w:val="22"/>
                <w:szCs w:val="22"/>
              </w:rPr>
            </w:pPr>
            <w:r w:rsidRPr="00624582">
              <w:rPr>
                <w:rFonts w:asciiTheme="minorHAnsi" w:hAnsiTheme="minorHAnsi" w:cstheme="minorHAnsi"/>
                <w:sz w:val="22"/>
                <w:szCs w:val="22"/>
              </w:rPr>
              <w:t>Kikkert</w:t>
            </w:r>
          </w:p>
        </w:tc>
        <w:tc>
          <w:tcPr>
            <w:tcW w:w="1655" w:type="dxa"/>
            <w:shd w:val="clear" w:color="auto" w:fill="FFFFFF" w:themeFill="background1"/>
          </w:tcPr>
          <w:p w14:paraId="57BF2E28" w14:textId="77777777" w:rsidR="00FD2225" w:rsidRPr="00624582" w:rsidRDefault="00FD2225" w:rsidP="00FD2225">
            <w:pPr>
              <w:pStyle w:val="TableText0"/>
              <w:jc w:val="center"/>
              <w:rPr>
                <w:rFonts w:asciiTheme="minorHAnsi" w:hAnsiTheme="minorHAnsi" w:cstheme="minorHAnsi"/>
                <w:sz w:val="22"/>
                <w:szCs w:val="22"/>
              </w:rPr>
            </w:pPr>
            <w:r w:rsidRPr="00624582">
              <w:rPr>
                <w:rFonts w:asciiTheme="minorHAnsi" w:hAnsiTheme="minorHAnsi" w:cstheme="minorHAnsi"/>
                <w:sz w:val="22"/>
                <w:szCs w:val="22"/>
              </w:rPr>
              <w:t>Community Services Directorate</w:t>
            </w:r>
          </w:p>
          <w:p w14:paraId="313DBB1C" w14:textId="77777777" w:rsidR="00903F72" w:rsidRPr="00624582" w:rsidRDefault="00903F72" w:rsidP="00FD2225">
            <w:pPr>
              <w:pStyle w:val="TableText0"/>
              <w:jc w:val="center"/>
              <w:rPr>
                <w:rFonts w:asciiTheme="minorHAnsi" w:hAnsiTheme="minorHAnsi" w:cstheme="minorHAnsi"/>
                <w:sz w:val="22"/>
                <w:szCs w:val="22"/>
              </w:rPr>
            </w:pPr>
          </w:p>
        </w:tc>
        <w:tc>
          <w:tcPr>
            <w:tcW w:w="2781" w:type="dxa"/>
            <w:shd w:val="clear" w:color="auto" w:fill="FFFFFF" w:themeFill="background1"/>
          </w:tcPr>
          <w:p w14:paraId="283FEC2D" w14:textId="067ACB32" w:rsidR="00903F72" w:rsidRPr="00624582" w:rsidRDefault="00FD2225" w:rsidP="00903F72">
            <w:pPr>
              <w:pStyle w:val="TableText0"/>
              <w:rPr>
                <w:rFonts w:asciiTheme="minorHAnsi" w:hAnsiTheme="minorHAnsi" w:cstheme="minorHAnsi"/>
                <w:sz w:val="22"/>
                <w:szCs w:val="22"/>
              </w:rPr>
            </w:pPr>
            <w:r w:rsidRPr="00624582">
              <w:rPr>
                <w:rFonts w:asciiTheme="minorHAnsi" w:eastAsiaTheme="minorHAnsi" w:hAnsiTheme="minorHAnsi" w:cstheme="minorHAnsi"/>
                <w:sz w:val="22"/>
                <w:szCs w:val="22"/>
              </w:rPr>
              <w:t xml:space="preserve">External Merits Review taken on Notice by Ms </w:t>
            </w:r>
            <w:proofErr w:type="spellStart"/>
            <w:r w:rsidRPr="00624582">
              <w:rPr>
                <w:rFonts w:asciiTheme="minorHAnsi" w:eastAsiaTheme="minorHAnsi" w:hAnsiTheme="minorHAnsi" w:cstheme="minorHAnsi"/>
                <w:sz w:val="22"/>
                <w:szCs w:val="22"/>
              </w:rPr>
              <w:t>Sabellico</w:t>
            </w:r>
            <w:proofErr w:type="spellEnd"/>
          </w:p>
        </w:tc>
        <w:tc>
          <w:tcPr>
            <w:tcW w:w="1220" w:type="dxa"/>
            <w:shd w:val="clear" w:color="auto" w:fill="FFFFFF" w:themeFill="background1"/>
          </w:tcPr>
          <w:p w14:paraId="37544D5E" w14:textId="201FF9C3" w:rsidR="00903F72" w:rsidRPr="00624582" w:rsidRDefault="00FD2225" w:rsidP="00903F72">
            <w:pPr>
              <w:pStyle w:val="TableText0"/>
              <w:jc w:val="center"/>
              <w:rPr>
                <w:rFonts w:asciiTheme="minorHAnsi" w:hAnsiTheme="minorHAnsi" w:cstheme="minorHAnsi"/>
                <w:sz w:val="22"/>
                <w:szCs w:val="22"/>
              </w:rPr>
            </w:pPr>
            <w:r w:rsidRPr="00624582">
              <w:rPr>
                <w:rFonts w:asciiTheme="minorHAnsi" w:hAnsiTheme="minorHAnsi" w:cstheme="minorHAnsi"/>
                <w:sz w:val="22"/>
                <w:szCs w:val="22"/>
              </w:rPr>
              <w:t>10/03/21</w:t>
            </w:r>
          </w:p>
        </w:tc>
      </w:tr>
      <w:tr w:rsidR="00FD2225" w:rsidRPr="00624582" w14:paraId="3B0CF0E7" w14:textId="77777777" w:rsidTr="00E0214B">
        <w:tc>
          <w:tcPr>
            <w:tcW w:w="691" w:type="dxa"/>
            <w:shd w:val="clear" w:color="auto" w:fill="FFFFFF" w:themeFill="background1"/>
            <w:vAlign w:val="top"/>
          </w:tcPr>
          <w:p w14:paraId="15FA7284" w14:textId="5EC61CC2" w:rsidR="00FD2225" w:rsidRPr="00624582" w:rsidRDefault="00FD2225" w:rsidP="00FD2225">
            <w:pPr>
              <w:pStyle w:val="TableText0"/>
              <w:jc w:val="center"/>
              <w:rPr>
                <w:rFonts w:asciiTheme="minorHAnsi" w:hAnsiTheme="minorHAnsi" w:cstheme="minorHAnsi"/>
                <w:szCs w:val="22"/>
              </w:rPr>
            </w:pPr>
            <w:r w:rsidRPr="00624582">
              <w:rPr>
                <w:rFonts w:asciiTheme="minorHAnsi" w:hAnsiTheme="minorHAnsi" w:cstheme="minorHAnsi"/>
                <w:color w:val="000000"/>
                <w:szCs w:val="22"/>
              </w:rPr>
              <w:t>CSD 2</w:t>
            </w:r>
          </w:p>
        </w:tc>
        <w:tc>
          <w:tcPr>
            <w:tcW w:w="1108" w:type="dxa"/>
            <w:shd w:val="clear" w:color="auto" w:fill="FFFFFF" w:themeFill="background1"/>
            <w:vAlign w:val="top"/>
          </w:tcPr>
          <w:p w14:paraId="4407DE16" w14:textId="6B3E3BAB" w:rsidR="00FD2225" w:rsidRPr="00624582" w:rsidRDefault="00FD2225" w:rsidP="00FD2225">
            <w:pPr>
              <w:pStyle w:val="TableText0"/>
              <w:jc w:val="center"/>
              <w:rPr>
                <w:rFonts w:asciiTheme="minorHAnsi" w:hAnsiTheme="minorHAnsi" w:cstheme="minorHAnsi"/>
                <w:szCs w:val="22"/>
              </w:rPr>
            </w:pPr>
            <w:r w:rsidRPr="00624582">
              <w:rPr>
                <w:rFonts w:asciiTheme="minorHAnsi" w:hAnsiTheme="minorHAnsi" w:cstheme="minorHAnsi"/>
                <w:szCs w:val="22"/>
              </w:rPr>
              <w:t>26/0</w:t>
            </w:r>
            <w:r w:rsidR="00924177">
              <w:rPr>
                <w:rFonts w:asciiTheme="minorHAnsi" w:hAnsiTheme="minorHAnsi" w:cstheme="minorHAnsi"/>
                <w:szCs w:val="22"/>
              </w:rPr>
              <w:t>2</w:t>
            </w:r>
            <w:r w:rsidRPr="00624582">
              <w:rPr>
                <w:rFonts w:asciiTheme="minorHAnsi" w:hAnsiTheme="minorHAnsi" w:cstheme="minorHAnsi"/>
                <w:szCs w:val="22"/>
              </w:rPr>
              <w:t>/21</w:t>
            </w:r>
          </w:p>
        </w:tc>
        <w:tc>
          <w:tcPr>
            <w:tcW w:w="1498" w:type="dxa"/>
            <w:shd w:val="clear" w:color="auto" w:fill="FFFFFF" w:themeFill="background1"/>
            <w:vAlign w:val="top"/>
          </w:tcPr>
          <w:p w14:paraId="7CDFCB4E" w14:textId="7A9EDA0A" w:rsidR="00FD2225" w:rsidRPr="00624582" w:rsidRDefault="00FD2225" w:rsidP="00FD2225">
            <w:pPr>
              <w:pStyle w:val="TableText0"/>
              <w:jc w:val="center"/>
              <w:rPr>
                <w:rFonts w:asciiTheme="minorHAnsi" w:hAnsiTheme="minorHAnsi" w:cstheme="minorHAnsi"/>
                <w:szCs w:val="22"/>
              </w:rPr>
            </w:pPr>
            <w:r w:rsidRPr="00624582">
              <w:rPr>
                <w:rFonts w:asciiTheme="minorHAnsi" w:hAnsiTheme="minorHAnsi" w:cstheme="minorHAnsi"/>
                <w:szCs w:val="22"/>
              </w:rPr>
              <w:t>Davis</w:t>
            </w:r>
          </w:p>
        </w:tc>
        <w:tc>
          <w:tcPr>
            <w:tcW w:w="1655" w:type="dxa"/>
            <w:shd w:val="clear" w:color="auto" w:fill="FFFFFF" w:themeFill="background1"/>
            <w:vAlign w:val="top"/>
          </w:tcPr>
          <w:p w14:paraId="30875CF5" w14:textId="07C7C86C" w:rsidR="00FD2225" w:rsidRPr="00624582" w:rsidRDefault="00FD2225" w:rsidP="00FD2225">
            <w:pPr>
              <w:pStyle w:val="TableText0"/>
              <w:jc w:val="center"/>
              <w:rPr>
                <w:rFonts w:asciiTheme="minorHAnsi" w:hAnsiTheme="minorHAnsi" w:cstheme="minorHAnsi"/>
                <w:szCs w:val="22"/>
              </w:rPr>
            </w:pPr>
            <w:r w:rsidRPr="00624582">
              <w:rPr>
                <w:rFonts w:asciiTheme="minorHAnsi" w:hAnsiTheme="minorHAnsi" w:cstheme="minorHAnsi"/>
                <w:szCs w:val="22"/>
              </w:rPr>
              <w:t>Community Services Directorate</w:t>
            </w:r>
          </w:p>
        </w:tc>
        <w:tc>
          <w:tcPr>
            <w:tcW w:w="2781" w:type="dxa"/>
            <w:shd w:val="clear" w:color="auto" w:fill="FFFFFF" w:themeFill="background1"/>
          </w:tcPr>
          <w:p w14:paraId="5405F2F4" w14:textId="642B10A9" w:rsidR="00FD2225" w:rsidRPr="00624582" w:rsidRDefault="000378C8" w:rsidP="00FD2225">
            <w:pPr>
              <w:pStyle w:val="TableText0"/>
              <w:rPr>
                <w:rFonts w:asciiTheme="minorHAnsi" w:eastAsiaTheme="minorHAnsi" w:hAnsiTheme="minorHAnsi" w:cstheme="minorHAnsi"/>
                <w:szCs w:val="22"/>
              </w:rPr>
            </w:pPr>
            <w:r w:rsidRPr="00624582">
              <w:rPr>
                <w:rFonts w:asciiTheme="minorHAnsi" w:eastAsiaTheme="minorHAnsi" w:hAnsiTheme="minorHAnsi" w:cstheme="minorHAnsi"/>
                <w:szCs w:val="22"/>
              </w:rPr>
              <w:t>More than 2 placements in care</w:t>
            </w:r>
          </w:p>
        </w:tc>
        <w:tc>
          <w:tcPr>
            <w:tcW w:w="1220" w:type="dxa"/>
            <w:shd w:val="clear" w:color="auto" w:fill="FFFFFF" w:themeFill="background1"/>
          </w:tcPr>
          <w:p w14:paraId="03464D37" w14:textId="01C5161D" w:rsidR="00FD2225" w:rsidRPr="00624582" w:rsidRDefault="000378C8" w:rsidP="00FD2225">
            <w:pPr>
              <w:pStyle w:val="TableText0"/>
              <w:jc w:val="center"/>
              <w:rPr>
                <w:rFonts w:asciiTheme="minorHAnsi" w:hAnsiTheme="minorHAnsi" w:cstheme="minorHAnsi"/>
                <w:szCs w:val="22"/>
              </w:rPr>
            </w:pPr>
            <w:r w:rsidRPr="00624582">
              <w:rPr>
                <w:rFonts w:asciiTheme="minorHAnsi" w:hAnsiTheme="minorHAnsi" w:cstheme="minorHAnsi"/>
                <w:szCs w:val="22"/>
              </w:rPr>
              <w:t>12/03/21</w:t>
            </w:r>
          </w:p>
        </w:tc>
      </w:tr>
      <w:tr w:rsidR="00FD2225" w:rsidRPr="00624582" w14:paraId="2E945781" w14:textId="77777777" w:rsidTr="00E0214B">
        <w:trPr>
          <w:cnfStyle w:val="000000100000" w:firstRow="0" w:lastRow="0" w:firstColumn="0" w:lastColumn="0" w:oddVBand="0" w:evenVBand="0" w:oddHBand="1" w:evenHBand="0" w:firstRowFirstColumn="0" w:firstRowLastColumn="0" w:lastRowFirstColumn="0" w:lastRowLastColumn="0"/>
        </w:trPr>
        <w:tc>
          <w:tcPr>
            <w:tcW w:w="691" w:type="dxa"/>
            <w:shd w:val="clear" w:color="auto" w:fill="FFFFFF" w:themeFill="background1"/>
            <w:vAlign w:val="top"/>
          </w:tcPr>
          <w:p w14:paraId="7A82910E" w14:textId="714A328A" w:rsidR="00FD2225" w:rsidRPr="00624582" w:rsidRDefault="00FD2225" w:rsidP="00FD2225">
            <w:pPr>
              <w:pStyle w:val="TableText0"/>
              <w:jc w:val="center"/>
              <w:rPr>
                <w:rFonts w:asciiTheme="minorHAnsi" w:hAnsiTheme="minorHAnsi" w:cstheme="minorHAnsi"/>
                <w:sz w:val="22"/>
                <w:szCs w:val="22"/>
              </w:rPr>
            </w:pPr>
            <w:r w:rsidRPr="00624582">
              <w:rPr>
                <w:rFonts w:asciiTheme="minorHAnsi" w:hAnsiTheme="minorHAnsi" w:cstheme="minorHAnsi"/>
                <w:color w:val="000000"/>
                <w:sz w:val="22"/>
                <w:szCs w:val="22"/>
              </w:rPr>
              <w:t>CSD 3</w:t>
            </w:r>
          </w:p>
        </w:tc>
        <w:tc>
          <w:tcPr>
            <w:tcW w:w="1108" w:type="dxa"/>
            <w:shd w:val="clear" w:color="auto" w:fill="FFFFFF" w:themeFill="background1"/>
            <w:vAlign w:val="top"/>
          </w:tcPr>
          <w:p w14:paraId="7E03AD55" w14:textId="1D4C3B18" w:rsidR="00FD2225" w:rsidRPr="00624582" w:rsidRDefault="00FD2225" w:rsidP="00FD2225">
            <w:pPr>
              <w:pStyle w:val="TableText0"/>
              <w:jc w:val="center"/>
              <w:rPr>
                <w:rFonts w:asciiTheme="minorHAnsi" w:hAnsiTheme="minorHAnsi" w:cstheme="minorHAnsi"/>
                <w:sz w:val="22"/>
                <w:szCs w:val="22"/>
              </w:rPr>
            </w:pPr>
            <w:r w:rsidRPr="00624582">
              <w:rPr>
                <w:rFonts w:asciiTheme="minorHAnsi" w:hAnsiTheme="minorHAnsi" w:cstheme="minorHAnsi"/>
                <w:sz w:val="22"/>
                <w:szCs w:val="22"/>
              </w:rPr>
              <w:t>26/0</w:t>
            </w:r>
            <w:r w:rsidR="00924177">
              <w:rPr>
                <w:rFonts w:asciiTheme="minorHAnsi" w:hAnsiTheme="minorHAnsi" w:cstheme="minorHAnsi"/>
                <w:sz w:val="22"/>
                <w:szCs w:val="22"/>
              </w:rPr>
              <w:t>2</w:t>
            </w:r>
            <w:r w:rsidRPr="00624582">
              <w:rPr>
                <w:rFonts w:asciiTheme="minorHAnsi" w:hAnsiTheme="minorHAnsi" w:cstheme="minorHAnsi"/>
                <w:sz w:val="22"/>
                <w:szCs w:val="22"/>
              </w:rPr>
              <w:t>/21</w:t>
            </w:r>
          </w:p>
        </w:tc>
        <w:tc>
          <w:tcPr>
            <w:tcW w:w="1498" w:type="dxa"/>
            <w:shd w:val="clear" w:color="auto" w:fill="FFFFFF" w:themeFill="background1"/>
            <w:vAlign w:val="top"/>
          </w:tcPr>
          <w:p w14:paraId="6E1DA1C4" w14:textId="3B1FA9AB" w:rsidR="00FD2225" w:rsidRPr="00624582" w:rsidRDefault="00FD2225" w:rsidP="00FD2225">
            <w:pPr>
              <w:pStyle w:val="TableText0"/>
              <w:jc w:val="center"/>
              <w:rPr>
                <w:rFonts w:asciiTheme="minorHAnsi" w:hAnsiTheme="minorHAnsi" w:cstheme="minorHAnsi"/>
                <w:sz w:val="22"/>
                <w:szCs w:val="22"/>
              </w:rPr>
            </w:pPr>
            <w:r w:rsidRPr="00624582">
              <w:rPr>
                <w:rFonts w:asciiTheme="minorHAnsi" w:hAnsiTheme="minorHAnsi" w:cstheme="minorHAnsi"/>
                <w:sz w:val="22"/>
                <w:szCs w:val="22"/>
              </w:rPr>
              <w:t>Davis</w:t>
            </w:r>
          </w:p>
        </w:tc>
        <w:tc>
          <w:tcPr>
            <w:tcW w:w="1655" w:type="dxa"/>
            <w:shd w:val="clear" w:color="auto" w:fill="FFFFFF" w:themeFill="background1"/>
            <w:vAlign w:val="top"/>
          </w:tcPr>
          <w:p w14:paraId="01D3E134" w14:textId="16609667" w:rsidR="00FD2225" w:rsidRPr="00624582" w:rsidRDefault="00FD2225" w:rsidP="00FD2225">
            <w:pPr>
              <w:pStyle w:val="TableText0"/>
              <w:jc w:val="center"/>
              <w:rPr>
                <w:rFonts w:asciiTheme="minorHAnsi" w:hAnsiTheme="minorHAnsi" w:cstheme="minorHAnsi"/>
                <w:sz w:val="22"/>
                <w:szCs w:val="22"/>
              </w:rPr>
            </w:pPr>
            <w:r w:rsidRPr="00624582">
              <w:rPr>
                <w:rFonts w:asciiTheme="minorHAnsi" w:hAnsiTheme="minorHAnsi" w:cstheme="minorHAnsi"/>
                <w:sz w:val="22"/>
                <w:szCs w:val="22"/>
              </w:rPr>
              <w:t>Community Services Directorate</w:t>
            </w:r>
          </w:p>
        </w:tc>
        <w:tc>
          <w:tcPr>
            <w:tcW w:w="2781" w:type="dxa"/>
            <w:shd w:val="clear" w:color="auto" w:fill="FFFFFF" w:themeFill="background1"/>
          </w:tcPr>
          <w:p w14:paraId="38734B40" w14:textId="588EA081" w:rsidR="00FD2225" w:rsidRPr="00624582" w:rsidRDefault="000378C8" w:rsidP="00FD2225">
            <w:pPr>
              <w:pStyle w:val="TableText0"/>
              <w:rPr>
                <w:rFonts w:asciiTheme="minorHAnsi" w:eastAsiaTheme="minorHAnsi" w:hAnsiTheme="minorHAnsi" w:cstheme="minorHAnsi"/>
                <w:sz w:val="22"/>
                <w:szCs w:val="22"/>
              </w:rPr>
            </w:pPr>
            <w:r w:rsidRPr="00624582">
              <w:rPr>
                <w:rFonts w:asciiTheme="minorHAnsi" w:eastAsiaTheme="minorHAnsi" w:hAnsiTheme="minorHAnsi" w:cstheme="minorHAnsi"/>
                <w:sz w:val="22"/>
                <w:szCs w:val="22"/>
              </w:rPr>
              <w:t>Data on Placements Ceasing</w:t>
            </w:r>
          </w:p>
        </w:tc>
        <w:tc>
          <w:tcPr>
            <w:tcW w:w="1220" w:type="dxa"/>
            <w:shd w:val="clear" w:color="auto" w:fill="FFFFFF" w:themeFill="background1"/>
          </w:tcPr>
          <w:p w14:paraId="3A1ABB68" w14:textId="6EC11058" w:rsidR="00FD2225" w:rsidRPr="00624582" w:rsidRDefault="000378C8" w:rsidP="00FD2225">
            <w:pPr>
              <w:pStyle w:val="TableText0"/>
              <w:jc w:val="center"/>
              <w:rPr>
                <w:rFonts w:asciiTheme="minorHAnsi" w:hAnsiTheme="minorHAnsi" w:cstheme="minorHAnsi"/>
                <w:sz w:val="22"/>
                <w:szCs w:val="22"/>
              </w:rPr>
            </w:pPr>
            <w:r w:rsidRPr="00624582">
              <w:rPr>
                <w:rFonts w:asciiTheme="minorHAnsi" w:hAnsiTheme="minorHAnsi" w:cstheme="minorHAnsi"/>
                <w:sz w:val="22"/>
                <w:szCs w:val="22"/>
              </w:rPr>
              <w:t>12/03/21</w:t>
            </w:r>
          </w:p>
        </w:tc>
      </w:tr>
      <w:tr w:rsidR="00FD2225" w:rsidRPr="00624582" w14:paraId="6100B59F" w14:textId="77777777" w:rsidTr="00E0214B">
        <w:tc>
          <w:tcPr>
            <w:tcW w:w="691" w:type="dxa"/>
            <w:shd w:val="clear" w:color="auto" w:fill="FFFFFF" w:themeFill="background1"/>
            <w:vAlign w:val="top"/>
          </w:tcPr>
          <w:p w14:paraId="0BEDB7B9" w14:textId="4681BFD5" w:rsidR="00FD2225" w:rsidRPr="00624582" w:rsidRDefault="00FD2225" w:rsidP="00FD2225">
            <w:pPr>
              <w:pStyle w:val="TableText0"/>
              <w:jc w:val="center"/>
              <w:rPr>
                <w:rFonts w:asciiTheme="minorHAnsi" w:hAnsiTheme="minorHAnsi" w:cstheme="minorHAnsi"/>
                <w:szCs w:val="22"/>
              </w:rPr>
            </w:pPr>
            <w:r w:rsidRPr="00624582">
              <w:rPr>
                <w:rFonts w:asciiTheme="minorHAnsi" w:hAnsiTheme="minorHAnsi" w:cstheme="minorHAnsi"/>
                <w:color w:val="000000"/>
                <w:szCs w:val="22"/>
              </w:rPr>
              <w:t>CSD 4</w:t>
            </w:r>
          </w:p>
        </w:tc>
        <w:tc>
          <w:tcPr>
            <w:tcW w:w="1108" w:type="dxa"/>
            <w:shd w:val="clear" w:color="auto" w:fill="FFFFFF" w:themeFill="background1"/>
            <w:vAlign w:val="top"/>
          </w:tcPr>
          <w:p w14:paraId="39ADEF1A" w14:textId="6167D68E" w:rsidR="00FD2225" w:rsidRPr="00624582" w:rsidRDefault="00FD2225" w:rsidP="00FD2225">
            <w:pPr>
              <w:pStyle w:val="TableText0"/>
              <w:jc w:val="center"/>
              <w:rPr>
                <w:rFonts w:asciiTheme="minorHAnsi" w:hAnsiTheme="minorHAnsi" w:cstheme="minorHAnsi"/>
                <w:szCs w:val="22"/>
              </w:rPr>
            </w:pPr>
            <w:r w:rsidRPr="00624582">
              <w:rPr>
                <w:rFonts w:asciiTheme="minorHAnsi" w:hAnsiTheme="minorHAnsi" w:cstheme="minorHAnsi"/>
                <w:szCs w:val="22"/>
              </w:rPr>
              <w:t>26/0</w:t>
            </w:r>
            <w:r w:rsidR="00924177">
              <w:rPr>
                <w:rFonts w:asciiTheme="minorHAnsi" w:hAnsiTheme="minorHAnsi" w:cstheme="minorHAnsi"/>
                <w:szCs w:val="22"/>
              </w:rPr>
              <w:t>2</w:t>
            </w:r>
            <w:r w:rsidRPr="00624582">
              <w:rPr>
                <w:rFonts w:asciiTheme="minorHAnsi" w:hAnsiTheme="minorHAnsi" w:cstheme="minorHAnsi"/>
                <w:szCs w:val="22"/>
              </w:rPr>
              <w:t>/21</w:t>
            </w:r>
          </w:p>
        </w:tc>
        <w:tc>
          <w:tcPr>
            <w:tcW w:w="1498" w:type="dxa"/>
            <w:shd w:val="clear" w:color="auto" w:fill="FFFFFF" w:themeFill="background1"/>
            <w:vAlign w:val="top"/>
          </w:tcPr>
          <w:p w14:paraId="60BA8971" w14:textId="48BCDEA9" w:rsidR="00FD2225" w:rsidRPr="00624582" w:rsidRDefault="00FD2225" w:rsidP="00FD2225">
            <w:pPr>
              <w:pStyle w:val="TableText0"/>
              <w:jc w:val="center"/>
              <w:rPr>
                <w:rFonts w:asciiTheme="minorHAnsi" w:hAnsiTheme="minorHAnsi" w:cstheme="minorHAnsi"/>
                <w:szCs w:val="22"/>
              </w:rPr>
            </w:pPr>
            <w:r w:rsidRPr="00624582">
              <w:rPr>
                <w:rFonts w:asciiTheme="minorHAnsi" w:hAnsiTheme="minorHAnsi" w:cstheme="minorHAnsi"/>
                <w:szCs w:val="22"/>
              </w:rPr>
              <w:t>Kikkert</w:t>
            </w:r>
          </w:p>
        </w:tc>
        <w:tc>
          <w:tcPr>
            <w:tcW w:w="1655" w:type="dxa"/>
            <w:shd w:val="clear" w:color="auto" w:fill="FFFFFF" w:themeFill="background1"/>
            <w:vAlign w:val="top"/>
          </w:tcPr>
          <w:p w14:paraId="6F379B73" w14:textId="1276B11E" w:rsidR="00FD2225" w:rsidRPr="00624582" w:rsidRDefault="00FD2225" w:rsidP="00FD2225">
            <w:pPr>
              <w:pStyle w:val="TableText0"/>
              <w:jc w:val="center"/>
              <w:rPr>
                <w:rFonts w:asciiTheme="minorHAnsi" w:hAnsiTheme="minorHAnsi" w:cstheme="minorHAnsi"/>
                <w:szCs w:val="22"/>
              </w:rPr>
            </w:pPr>
            <w:r w:rsidRPr="00624582">
              <w:rPr>
                <w:rFonts w:asciiTheme="minorHAnsi" w:hAnsiTheme="minorHAnsi" w:cstheme="minorHAnsi"/>
                <w:szCs w:val="22"/>
              </w:rPr>
              <w:t>Community Services Directorate</w:t>
            </w:r>
          </w:p>
        </w:tc>
        <w:tc>
          <w:tcPr>
            <w:tcW w:w="2781" w:type="dxa"/>
            <w:shd w:val="clear" w:color="auto" w:fill="FFFFFF" w:themeFill="background1"/>
          </w:tcPr>
          <w:p w14:paraId="43537E18" w14:textId="40B9284C" w:rsidR="00FD2225" w:rsidRPr="00624582" w:rsidRDefault="000378C8" w:rsidP="00FD2225">
            <w:pPr>
              <w:pStyle w:val="TableText0"/>
              <w:rPr>
                <w:rFonts w:asciiTheme="minorHAnsi" w:eastAsiaTheme="minorHAnsi" w:hAnsiTheme="minorHAnsi" w:cstheme="minorHAnsi"/>
                <w:szCs w:val="22"/>
              </w:rPr>
            </w:pPr>
            <w:r w:rsidRPr="00624582">
              <w:rPr>
                <w:rFonts w:asciiTheme="minorHAnsi" w:eastAsiaTheme="minorHAnsi" w:hAnsiTheme="minorHAnsi" w:cstheme="minorHAnsi"/>
                <w:szCs w:val="22"/>
              </w:rPr>
              <w:t>Transition Plans</w:t>
            </w:r>
          </w:p>
        </w:tc>
        <w:tc>
          <w:tcPr>
            <w:tcW w:w="1220" w:type="dxa"/>
            <w:shd w:val="clear" w:color="auto" w:fill="FFFFFF" w:themeFill="background1"/>
          </w:tcPr>
          <w:p w14:paraId="7519272C" w14:textId="10321326" w:rsidR="00FD2225" w:rsidRPr="00624582" w:rsidRDefault="000378C8" w:rsidP="00FD2225">
            <w:pPr>
              <w:pStyle w:val="TableText0"/>
              <w:jc w:val="center"/>
              <w:rPr>
                <w:rFonts w:asciiTheme="minorHAnsi" w:hAnsiTheme="minorHAnsi" w:cstheme="minorHAnsi"/>
                <w:szCs w:val="22"/>
              </w:rPr>
            </w:pPr>
            <w:r w:rsidRPr="00624582">
              <w:rPr>
                <w:rFonts w:asciiTheme="minorHAnsi" w:hAnsiTheme="minorHAnsi" w:cstheme="minorHAnsi"/>
                <w:szCs w:val="22"/>
              </w:rPr>
              <w:t>11/03/21</w:t>
            </w:r>
          </w:p>
        </w:tc>
      </w:tr>
      <w:tr w:rsidR="00FD2225" w:rsidRPr="00624582" w14:paraId="21219FF6" w14:textId="77777777" w:rsidTr="00E0214B">
        <w:trPr>
          <w:cnfStyle w:val="000000100000" w:firstRow="0" w:lastRow="0" w:firstColumn="0" w:lastColumn="0" w:oddVBand="0" w:evenVBand="0" w:oddHBand="1" w:evenHBand="0" w:firstRowFirstColumn="0" w:firstRowLastColumn="0" w:lastRowFirstColumn="0" w:lastRowLastColumn="0"/>
        </w:trPr>
        <w:tc>
          <w:tcPr>
            <w:tcW w:w="691" w:type="dxa"/>
            <w:shd w:val="clear" w:color="auto" w:fill="FFFFFF" w:themeFill="background1"/>
            <w:vAlign w:val="top"/>
          </w:tcPr>
          <w:p w14:paraId="734491AA" w14:textId="7AA93733" w:rsidR="00FD2225" w:rsidRPr="00624582" w:rsidRDefault="00FD2225" w:rsidP="00FD2225">
            <w:pPr>
              <w:pStyle w:val="TableText0"/>
              <w:jc w:val="center"/>
              <w:rPr>
                <w:rFonts w:asciiTheme="minorHAnsi" w:hAnsiTheme="minorHAnsi" w:cstheme="minorHAnsi"/>
                <w:sz w:val="22"/>
                <w:szCs w:val="22"/>
              </w:rPr>
            </w:pPr>
            <w:r w:rsidRPr="00624582">
              <w:rPr>
                <w:rFonts w:asciiTheme="minorHAnsi" w:hAnsiTheme="minorHAnsi" w:cstheme="minorHAnsi"/>
                <w:color w:val="000000"/>
                <w:sz w:val="22"/>
                <w:szCs w:val="22"/>
              </w:rPr>
              <w:t>CSD 5</w:t>
            </w:r>
          </w:p>
        </w:tc>
        <w:tc>
          <w:tcPr>
            <w:tcW w:w="1108" w:type="dxa"/>
            <w:shd w:val="clear" w:color="auto" w:fill="FFFFFF" w:themeFill="background1"/>
            <w:vAlign w:val="top"/>
          </w:tcPr>
          <w:p w14:paraId="28951F18" w14:textId="2F0705B5" w:rsidR="00FD2225" w:rsidRPr="00624582" w:rsidRDefault="00FD2225" w:rsidP="00FD2225">
            <w:pPr>
              <w:pStyle w:val="TableText0"/>
              <w:jc w:val="center"/>
              <w:rPr>
                <w:rFonts w:asciiTheme="minorHAnsi" w:hAnsiTheme="minorHAnsi" w:cstheme="minorHAnsi"/>
                <w:sz w:val="22"/>
                <w:szCs w:val="22"/>
              </w:rPr>
            </w:pPr>
            <w:r w:rsidRPr="00624582">
              <w:rPr>
                <w:rFonts w:asciiTheme="minorHAnsi" w:hAnsiTheme="minorHAnsi" w:cstheme="minorHAnsi"/>
                <w:sz w:val="22"/>
                <w:szCs w:val="22"/>
              </w:rPr>
              <w:t>26/0</w:t>
            </w:r>
            <w:r w:rsidR="00924177">
              <w:rPr>
                <w:rFonts w:asciiTheme="minorHAnsi" w:hAnsiTheme="minorHAnsi" w:cstheme="minorHAnsi"/>
                <w:sz w:val="22"/>
                <w:szCs w:val="22"/>
              </w:rPr>
              <w:t>2</w:t>
            </w:r>
            <w:r w:rsidRPr="00624582">
              <w:rPr>
                <w:rFonts w:asciiTheme="minorHAnsi" w:hAnsiTheme="minorHAnsi" w:cstheme="minorHAnsi"/>
                <w:sz w:val="22"/>
                <w:szCs w:val="22"/>
              </w:rPr>
              <w:t>/21</w:t>
            </w:r>
          </w:p>
        </w:tc>
        <w:tc>
          <w:tcPr>
            <w:tcW w:w="1498" w:type="dxa"/>
            <w:shd w:val="clear" w:color="auto" w:fill="FFFFFF" w:themeFill="background1"/>
            <w:vAlign w:val="top"/>
          </w:tcPr>
          <w:p w14:paraId="7BD6AAC4" w14:textId="10B6D58F" w:rsidR="00FD2225" w:rsidRPr="00624582" w:rsidRDefault="00FD2225" w:rsidP="00FD2225">
            <w:pPr>
              <w:pStyle w:val="TableText0"/>
              <w:jc w:val="center"/>
              <w:rPr>
                <w:rFonts w:asciiTheme="minorHAnsi" w:hAnsiTheme="minorHAnsi" w:cstheme="minorHAnsi"/>
                <w:sz w:val="22"/>
                <w:szCs w:val="22"/>
              </w:rPr>
            </w:pPr>
            <w:r w:rsidRPr="00624582">
              <w:rPr>
                <w:rFonts w:asciiTheme="minorHAnsi" w:hAnsiTheme="minorHAnsi" w:cstheme="minorHAnsi"/>
                <w:sz w:val="22"/>
                <w:szCs w:val="22"/>
              </w:rPr>
              <w:t>Davis</w:t>
            </w:r>
          </w:p>
        </w:tc>
        <w:tc>
          <w:tcPr>
            <w:tcW w:w="1655" w:type="dxa"/>
            <w:shd w:val="clear" w:color="auto" w:fill="FFFFFF" w:themeFill="background1"/>
            <w:vAlign w:val="top"/>
          </w:tcPr>
          <w:p w14:paraId="7562133E" w14:textId="6E7596DD" w:rsidR="00FD2225" w:rsidRPr="00624582" w:rsidRDefault="00FD2225" w:rsidP="00FD2225">
            <w:pPr>
              <w:pStyle w:val="TableText0"/>
              <w:jc w:val="center"/>
              <w:rPr>
                <w:rFonts w:asciiTheme="minorHAnsi" w:hAnsiTheme="minorHAnsi" w:cstheme="minorHAnsi"/>
                <w:sz w:val="22"/>
                <w:szCs w:val="22"/>
              </w:rPr>
            </w:pPr>
            <w:r w:rsidRPr="00624582">
              <w:rPr>
                <w:rFonts w:asciiTheme="minorHAnsi" w:hAnsiTheme="minorHAnsi" w:cstheme="minorHAnsi"/>
                <w:sz w:val="22"/>
                <w:szCs w:val="22"/>
              </w:rPr>
              <w:t>Community Services Directorate</w:t>
            </w:r>
          </w:p>
        </w:tc>
        <w:tc>
          <w:tcPr>
            <w:tcW w:w="2781" w:type="dxa"/>
            <w:shd w:val="clear" w:color="auto" w:fill="FFFFFF" w:themeFill="background1"/>
          </w:tcPr>
          <w:p w14:paraId="4E891D0C" w14:textId="1A3F25E3" w:rsidR="00FD2225" w:rsidRPr="00624582" w:rsidRDefault="000378C8" w:rsidP="00FD2225">
            <w:pPr>
              <w:pStyle w:val="TableText0"/>
              <w:rPr>
                <w:rFonts w:asciiTheme="minorHAnsi" w:eastAsiaTheme="minorHAnsi" w:hAnsiTheme="minorHAnsi" w:cstheme="minorHAnsi"/>
                <w:sz w:val="22"/>
                <w:szCs w:val="22"/>
              </w:rPr>
            </w:pPr>
            <w:r w:rsidRPr="00624582">
              <w:rPr>
                <w:rFonts w:asciiTheme="minorHAnsi" w:eastAsiaTheme="minorHAnsi" w:hAnsiTheme="minorHAnsi" w:cstheme="minorHAnsi"/>
                <w:sz w:val="22"/>
                <w:szCs w:val="22"/>
              </w:rPr>
              <w:t>Mackillop House and Contractors</w:t>
            </w:r>
          </w:p>
        </w:tc>
        <w:tc>
          <w:tcPr>
            <w:tcW w:w="1220" w:type="dxa"/>
            <w:shd w:val="clear" w:color="auto" w:fill="FFFFFF" w:themeFill="background1"/>
          </w:tcPr>
          <w:p w14:paraId="7D2C2202" w14:textId="520D9122" w:rsidR="00FD2225" w:rsidRPr="00624582" w:rsidRDefault="000378C8" w:rsidP="00FD2225">
            <w:pPr>
              <w:pStyle w:val="TableText0"/>
              <w:jc w:val="center"/>
              <w:rPr>
                <w:rFonts w:asciiTheme="minorHAnsi" w:hAnsiTheme="minorHAnsi" w:cstheme="minorHAnsi"/>
                <w:sz w:val="22"/>
                <w:szCs w:val="22"/>
              </w:rPr>
            </w:pPr>
            <w:r w:rsidRPr="00624582">
              <w:rPr>
                <w:rFonts w:asciiTheme="minorHAnsi" w:hAnsiTheme="minorHAnsi" w:cstheme="minorHAnsi"/>
                <w:sz w:val="22"/>
                <w:szCs w:val="22"/>
              </w:rPr>
              <w:t>11/03/21</w:t>
            </w:r>
          </w:p>
        </w:tc>
      </w:tr>
      <w:tr w:rsidR="00FD2225" w:rsidRPr="00624582" w14:paraId="0506079B" w14:textId="77777777" w:rsidTr="00486EA0">
        <w:tc>
          <w:tcPr>
            <w:tcW w:w="691" w:type="dxa"/>
            <w:tcBorders>
              <w:bottom w:val="single" w:sz="4" w:space="0" w:color="auto"/>
            </w:tcBorders>
            <w:shd w:val="clear" w:color="auto" w:fill="FFFFFF" w:themeFill="background1"/>
            <w:vAlign w:val="top"/>
          </w:tcPr>
          <w:p w14:paraId="63BFA540" w14:textId="15B88CBF" w:rsidR="00FD2225" w:rsidRPr="00C11B91" w:rsidRDefault="00FD2225" w:rsidP="00FD2225">
            <w:pPr>
              <w:pStyle w:val="TableText0"/>
              <w:jc w:val="center"/>
              <w:rPr>
                <w:rFonts w:asciiTheme="minorHAnsi" w:hAnsiTheme="minorHAnsi" w:cstheme="minorHAnsi"/>
                <w:color w:val="000000"/>
                <w:szCs w:val="22"/>
              </w:rPr>
            </w:pPr>
            <w:r w:rsidRPr="00C11B91">
              <w:rPr>
                <w:rFonts w:asciiTheme="minorHAnsi" w:hAnsiTheme="minorHAnsi" w:cstheme="minorHAnsi"/>
                <w:color w:val="000000"/>
                <w:szCs w:val="22"/>
              </w:rPr>
              <w:t>CSD 6</w:t>
            </w:r>
          </w:p>
        </w:tc>
        <w:tc>
          <w:tcPr>
            <w:tcW w:w="1108" w:type="dxa"/>
            <w:tcBorders>
              <w:bottom w:val="single" w:sz="4" w:space="0" w:color="auto"/>
            </w:tcBorders>
            <w:shd w:val="clear" w:color="auto" w:fill="FFFFFF" w:themeFill="background1"/>
            <w:vAlign w:val="top"/>
          </w:tcPr>
          <w:p w14:paraId="4A3379FE" w14:textId="2473B0E0" w:rsidR="00FD2225" w:rsidRPr="00C11B91" w:rsidRDefault="00FD2225" w:rsidP="00FD2225">
            <w:pPr>
              <w:pStyle w:val="TableText0"/>
              <w:jc w:val="center"/>
              <w:rPr>
                <w:rFonts w:asciiTheme="minorHAnsi" w:hAnsiTheme="minorHAnsi" w:cstheme="minorHAnsi"/>
                <w:szCs w:val="22"/>
              </w:rPr>
            </w:pPr>
          </w:p>
        </w:tc>
        <w:tc>
          <w:tcPr>
            <w:tcW w:w="1498" w:type="dxa"/>
            <w:tcBorders>
              <w:bottom w:val="single" w:sz="4" w:space="0" w:color="auto"/>
            </w:tcBorders>
            <w:shd w:val="clear" w:color="auto" w:fill="FFFFFF" w:themeFill="background1"/>
            <w:vAlign w:val="top"/>
          </w:tcPr>
          <w:p w14:paraId="33DBD4C6" w14:textId="43DAB0BA" w:rsidR="00FD2225" w:rsidRPr="00C11B91" w:rsidRDefault="00C11B91" w:rsidP="00FD2225">
            <w:pPr>
              <w:pStyle w:val="TableText0"/>
              <w:jc w:val="center"/>
              <w:rPr>
                <w:rFonts w:asciiTheme="minorHAnsi" w:hAnsiTheme="minorHAnsi" w:cstheme="minorHAnsi"/>
                <w:szCs w:val="22"/>
              </w:rPr>
            </w:pPr>
            <w:r w:rsidRPr="00C11B91">
              <w:rPr>
                <w:szCs w:val="22"/>
              </w:rPr>
              <w:t>Michael Petter</w:t>
            </w:r>
            <w:r w:rsidR="00CB39ED">
              <w:rPr>
                <w:szCs w:val="22"/>
              </w:rPr>
              <w:t>s</w:t>
            </w:r>
            <w:r w:rsidRPr="00C11B91">
              <w:rPr>
                <w:szCs w:val="22"/>
              </w:rPr>
              <w:t>son MLA</w:t>
            </w:r>
          </w:p>
        </w:tc>
        <w:tc>
          <w:tcPr>
            <w:tcW w:w="1655" w:type="dxa"/>
            <w:tcBorders>
              <w:bottom w:val="single" w:sz="4" w:space="0" w:color="auto"/>
            </w:tcBorders>
            <w:shd w:val="clear" w:color="auto" w:fill="FFFFFF" w:themeFill="background1"/>
            <w:vAlign w:val="top"/>
          </w:tcPr>
          <w:p w14:paraId="137E7F0F" w14:textId="30297F01" w:rsidR="00FD2225" w:rsidRPr="00C11B91" w:rsidRDefault="00FD2225" w:rsidP="00FD2225">
            <w:pPr>
              <w:pStyle w:val="TableText0"/>
              <w:jc w:val="center"/>
              <w:rPr>
                <w:rFonts w:asciiTheme="minorHAnsi" w:hAnsiTheme="minorHAnsi" w:cstheme="minorHAnsi"/>
                <w:szCs w:val="22"/>
              </w:rPr>
            </w:pPr>
            <w:r w:rsidRPr="00C11B91">
              <w:rPr>
                <w:rFonts w:asciiTheme="minorHAnsi" w:hAnsiTheme="minorHAnsi" w:cstheme="minorHAnsi"/>
                <w:szCs w:val="22"/>
              </w:rPr>
              <w:t>Community Services Directorate</w:t>
            </w:r>
          </w:p>
        </w:tc>
        <w:tc>
          <w:tcPr>
            <w:tcW w:w="2781" w:type="dxa"/>
            <w:tcBorders>
              <w:bottom w:val="single" w:sz="4" w:space="0" w:color="auto"/>
            </w:tcBorders>
            <w:shd w:val="clear" w:color="auto" w:fill="FFFFFF" w:themeFill="background1"/>
          </w:tcPr>
          <w:p w14:paraId="76DD0EBB" w14:textId="2C4B428C" w:rsidR="00FD2225" w:rsidRPr="00C11B91" w:rsidRDefault="00C11B91" w:rsidP="00FD2225">
            <w:pPr>
              <w:pStyle w:val="TableText0"/>
              <w:rPr>
                <w:rFonts w:asciiTheme="minorHAnsi" w:eastAsiaTheme="minorHAnsi" w:hAnsiTheme="minorHAnsi" w:cstheme="minorHAnsi"/>
                <w:szCs w:val="22"/>
              </w:rPr>
            </w:pPr>
            <w:r w:rsidRPr="00C11B91">
              <w:rPr>
                <w:color w:val="000000"/>
              </w:rPr>
              <w:t xml:space="preserve">Personal Protective Equipment (PPE) with in </w:t>
            </w:r>
            <w:proofErr w:type="spellStart"/>
            <w:r w:rsidRPr="00C11B91">
              <w:rPr>
                <w:color w:val="000000"/>
              </w:rPr>
              <w:t>Bimberi</w:t>
            </w:r>
            <w:proofErr w:type="spellEnd"/>
            <w:r w:rsidRPr="00C11B91">
              <w:rPr>
                <w:color w:val="000000"/>
              </w:rPr>
              <w:t>. In relation to the review following critical incident in 2019</w:t>
            </w:r>
          </w:p>
        </w:tc>
        <w:tc>
          <w:tcPr>
            <w:tcW w:w="1220" w:type="dxa"/>
            <w:tcBorders>
              <w:bottom w:val="single" w:sz="4" w:space="0" w:color="auto"/>
            </w:tcBorders>
            <w:shd w:val="clear" w:color="auto" w:fill="FFFFFF" w:themeFill="background1"/>
          </w:tcPr>
          <w:p w14:paraId="198B0330" w14:textId="77777777" w:rsidR="00FD2225" w:rsidRPr="00624582" w:rsidRDefault="00FD2225" w:rsidP="00FD2225">
            <w:pPr>
              <w:pStyle w:val="TableText0"/>
              <w:jc w:val="center"/>
              <w:rPr>
                <w:rFonts w:asciiTheme="minorHAnsi" w:hAnsiTheme="minorHAnsi" w:cstheme="minorHAnsi"/>
                <w:szCs w:val="22"/>
                <w:highlight w:val="green"/>
              </w:rPr>
            </w:pPr>
          </w:p>
        </w:tc>
      </w:tr>
      <w:tr w:rsidR="00FD2225" w:rsidRPr="00164C70" w14:paraId="77F94651" w14:textId="77777777" w:rsidTr="00486EA0">
        <w:trPr>
          <w:cnfStyle w:val="000000100000" w:firstRow="0" w:lastRow="0" w:firstColumn="0" w:lastColumn="0" w:oddVBand="0" w:evenVBand="0" w:oddHBand="1" w:evenHBand="0" w:firstRowFirstColumn="0" w:firstRowLastColumn="0" w:lastRowFirstColumn="0" w:lastRowLastColumn="0"/>
        </w:trPr>
        <w:tc>
          <w:tcPr>
            <w:tcW w:w="691" w:type="dxa"/>
            <w:shd w:val="clear" w:color="auto" w:fill="FFFFFF" w:themeFill="background1"/>
            <w:vAlign w:val="top"/>
          </w:tcPr>
          <w:p w14:paraId="104754BF" w14:textId="1EA254DC" w:rsidR="00FD2225" w:rsidRPr="00164C70" w:rsidRDefault="00FD2225" w:rsidP="00FD2225">
            <w:pPr>
              <w:pStyle w:val="TableText0"/>
              <w:jc w:val="center"/>
              <w:rPr>
                <w:rFonts w:asciiTheme="minorHAnsi" w:hAnsiTheme="minorHAnsi" w:cstheme="minorHAnsi"/>
                <w:color w:val="000000"/>
                <w:sz w:val="22"/>
                <w:szCs w:val="22"/>
              </w:rPr>
            </w:pPr>
            <w:r w:rsidRPr="00164C70">
              <w:rPr>
                <w:rFonts w:asciiTheme="minorHAnsi" w:hAnsiTheme="minorHAnsi" w:cstheme="minorHAnsi"/>
                <w:color w:val="000000"/>
                <w:sz w:val="22"/>
                <w:szCs w:val="22"/>
              </w:rPr>
              <w:t>CSD 7</w:t>
            </w:r>
          </w:p>
        </w:tc>
        <w:tc>
          <w:tcPr>
            <w:tcW w:w="1108" w:type="dxa"/>
            <w:shd w:val="clear" w:color="auto" w:fill="FFFFFF" w:themeFill="background1"/>
            <w:vAlign w:val="top"/>
          </w:tcPr>
          <w:p w14:paraId="1B8ACC00" w14:textId="44AEBFE6" w:rsidR="00FD2225" w:rsidRPr="00164C70" w:rsidRDefault="00164C70" w:rsidP="00FD2225">
            <w:pPr>
              <w:pStyle w:val="TableText0"/>
              <w:jc w:val="center"/>
              <w:rPr>
                <w:rFonts w:asciiTheme="minorHAnsi" w:hAnsiTheme="minorHAnsi" w:cstheme="minorHAnsi"/>
                <w:sz w:val="22"/>
                <w:szCs w:val="22"/>
              </w:rPr>
            </w:pPr>
            <w:r w:rsidRPr="00164C70">
              <w:rPr>
                <w:rFonts w:asciiTheme="minorHAnsi" w:hAnsiTheme="minorHAnsi" w:cstheme="minorHAnsi"/>
                <w:sz w:val="22"/>
                <w:szCs w:val="22"/>
              </w:rPr>
              <w:t>03/03/21</w:t>
            </w:r>
          </w:p>
        </w:tc>
        <w:tc>
          <w:tcPr>
            <w:tcW w:w="1498" w:type="dxa"/>
            <w:shd w:val="clear" w:color="auto" w:fill="FFFFFF" w:themeFill="background1"/>
            <w:vAlign w:val="top"/>
          </w:tcPr>
          <w:p w14:paraId="36C0E0B6" w14:textId="546BCAD7" w:rsidR="00FD2225" w:rsidRPr="00164C70" w:rsidRDefault="00C11B91" w:rsidP="00FD2225">
            <w:pPr>
              <w:pStyle w:val="TableText0"/>
              <w:jc w:val="center"/>
              <w:rPr>
                <w:rFonts w:asciiTheme="minorHAnsi" w:hAnsiTheme="minorHAnsi" w:cstheme="minorHAnsi"/>
                <w:sz w:val="22"/>
                <w:szCs w:val="22"/>
              </w:rPr>
            </w:pPr>
            <w:r w:rsidRPr="00624582">
              <w:rPr>
                <w:sz w:val="22"/>
                <w:szCs w:val="22"/>
              </w:rPr>
              <w:t>Michael Petters</w:t>
            </w:r>
            <w:r w:rsidR="00CB39ED">
              <w:rPr>
                <w:sz w:val="22"/>
                <w:szCs w:val="22"/>
              </w:rPr>
              <w:t>s</w:t>
            </w:r>
            <w:r w:rsidRPr="00624582">
              <w:rPr>
                <w:sz w:val="22"/>
                <w:szCs w:val="22"/>
              </w:rPr>
              <w:t>on MLA</w:t>
            </w:r>
          </w:p>
        </w:tc>
        <w:tc>
          <w:tcPr>
            <w:tcW w:w="1655" w:type="dxa"/>
            <w:shd w:val="clear" w:color="auto" w:fill="FFFFFF" w:themeFill="background1"/>
            <w:vAlign w:val="top"/>
          </w:tcPr>
          <w:p w14:paraId="20796F40" w14:textId="42FA1C02" w:rsidR="00FD2225" w:rsidRPr="00164C70" w:rsidRDefault="00FD2225" w:rsidP="00FD2225">
            <w:pPr>
              <w:pStyle w:val="TableText0"/>
              <w:jc w:val="center"/>
              <w:rPr>
                <w:rFonts w:asciiTheme="minorHAnsi" w:hAnsiTheme="minorHAnsi" w:cstheme="minorHAnsi"/>
                <w:sz w:val="22"/>
                <w:szCs w:val="22"/>
              </w:rPr>
            </w:pPr>
            <w:r w:rsidRPr="00164C70">
              <w:rPr>
                <w:rFonts w:asciiTheme="minorHAnsi" w:hAnsiTheme="minorHAnsi" w:cstheme="minorHAnsi"/>
                <w:sz w:val="22"/>
                <w:szCs w:val="22"/>
              </w:rPr>
              <w:t>Community Services Directorate</w:t>
            </w:r>
          </w:p>
        </w:tc>
        <w:tc>
          <w:tcPr>
            <w:tcW w:w="2781" w:type="dxa"/>
            <w:shd w:val="clear" w:color="auto" w:fill="FFFFFF" w:themeFill="background1"/>
          </w:tcPr>
          <w:p w14:paraId="3D960FD1" w14:textId="77777777" w:rsidR="00164C70" w:rsidRPr="00164C70" w:rsidRDefault="00164C70" w:rsidP="00164C70">
            <w:pPr>
              <w:pStyle w:val="TableText0"/>
              <w:rPr>
                <w:rFonts w:asciiTheme="minorHAnsi" w:eastAsiaTheme="minorHAnsi" w:hAnsiTheme="minorHAnsi" w:cstheme="minorHAnsi"/>
                <w:sz w:val="22"/>
                <w:szCs w:val="22"/>
              </w:rPr>
            </w:pPr>
            <w:proofErr w:type="spellStart"/>
            <w:r w:rsidRPr="00164C70">
              <w:rPr>
                <w:rFonts w:asciiTheme="minorHAnsi" w:eastAsiaTheme="minorHAnsi" w:hAnsiTheme="minorHAnsi" w:cstheme="minorHAnsi"/>
                <w:sz w:val="22"/>
                <w:szCs w:val="22"/>
              </w:rPr>
              <w:t>Bimberi</w:t>
            </w:r>
            <w:proofErr w:type="spellEnd"/>
            <w:r w:rsidRPr="00164C70">
              <w:rPr>
                <w:rFonts w:asciiTheme="minorHAnsi" w:eastAsiaTheme="minorHAnsi" w:hAnsiTheme="minorHAnsi" w:cstheme="minorHAnsi"/>
                <w:sz w:val="22"/>
                <w:szCs w:val="22"/>
              </w:rPr>
              <w:t xml:space="preserve"> Review following critical incident in 2019. </w:t>
            </w:r>
          </w:p>
          <w:p w14:paraId="5C6E6308" w14:textId="77777777" w:rsidR="00164C70" w:rsidRPr="00164C70" w:rsidRDefault="00164C70" w:rsidP="00164C70">
            <w:pPr>
              <w:pStyle w:val="TableText0"/>
              <w:rPr>
                <w:rFonts w:asciiTheme="minorHAnsi" w:eastAsiaTheme="minorHAnsi" w:hAnsiTheme="minorHAnsi" w:cstheme="minorHAnsi"/>
                <w:sz w:val="22"/>
                <w:szCs w:val="22"/>
              </w:rPr>
            </w:pPr>
            <w:r w:rsidRPr="00164C70">
              <w:rPr>
                <w:rFonts w:asciiTheme="minorHAnsi" w:eastAsiaTheme="minorHAnsi" w:hAnsiTheme="minorHAnsi" w:cstheme="minorHAnsi"/>
                <w:sz w:val="22"/>
                <w:szCs w:val="22"/>
              </w:rPr>
              <w:t xml:space="preserve">a) Has there been any changes to training since the review? </w:t>
            </w:r>
          </w:p>
          <w:p w14:paraId="6DADA883" w14:textId="744D025E" w:rsidR="00FD2225" w:rsidRPr="00624582" w:rsidRDefault="00164C70" w:rsidP="00164C70">
            <w:pPr>
              <w:pStyle w:val="TableText0"/>
              <w:rPr>
                <w:rFonts w:asciiTheme="minorHAnsi" w:eastAsiaTheme="minorHAnsi" w:hAnsiTheme="minorHAnsi" w:cstheme="minorHAnsi"/>
                <w:sz w:val="22"/>
                <w:szCs w:val="22"/>
                <w:highlight w:val="green"/>
              </w:rPr>
            </w:pPr>
            <w:r w:rsidRPr="00164C70">
              <w:rPr>
                <w:rFonts w:asciiTheme="minorHAnsi" w:eastAsiaTheme="minorHAnsi" w:hAnsiTheme="minorHAnsi" w:cstheme="minorHAnsi"/>
                <w:sz w:val="22"/>
                <w:szCs w:val="22"/>
              </w:rPr>
              <w:t>b) Were there training recommendations within the review?</w:t>
            </w:r>
          </w:p>
        </w:tc>
        <w:tc>
          <w:tcPr>
            <w:tcW w:w="1220" w:type="dxa"/>
            <w:shd w:val="clear" w:color="auto" w:fill="FFFFFF" w:themeFill="background1"/>
          </w:tcPr>
          <w:p w14:paraId="3A26A79F" w14:textId="106C823C" w:rsidR="00FD2225" w:rsidRPr="00164C70" w:rsidRDefault="00164C70" w:rsidP="00FD2225">
            <w:pPr>
              <w:pStyle w:val="TableText0"/>
              <w:jc w:val="center"/>
              <w:rPr>
                <w:rFonts w:asciiTheme="minorHAnsi" w:hAnsiTheme="minorHAnsi" w:cstheme="minorHAnsi"/>
                <w:sz w:val="22"/>
                <w:szCs w:val="22"/>
              </w:rPr>
            </w:pPr>
            <w:r w:rsidRPr="00164C70">
              <w:rPr>
                <w:rFonts w:asciiTheme="minorHAnsi" w:hAnsiTheme="minorHAnsi" w:cstheme="minorHAnsi"/>
                <w:sz w:val="22"/>
                <w:szCs w:val="22"/>
              </w:rPr>
              <w:t>18/03/21</w:t>
            </w:r>
          </w:p>
        </w:tc>
      </w:tr>
      <w:tr w:rsidR="00FD2225" w:rsidRPr="00624582" w14:paraId="33C49D86" w14:textId="77777777" w:rsidTr="00486EA0">
        <w:tc>
          <w:tcPr>
            <w:tcW w:w="691" w:type="dxa"/>
            <w:shd w:val="clear" w:color="auto" w:fill="FFFFFF" w:themeFill="background1"/>
            <w:vAlign w:val="top"/>
          </w:tcPr>
          <w:p w14:paraId="3CFA3E0C" w14:textId="75EA2947" w:rsidR="00FD2225" w:rsidRPr="00624582" w:rsidRDefault="00FD2225" w:rsidP="00FD2225">
            <w:pPr>
              <w:pStyle w:val="TableText0"/>
              <w:jc w:val="center"/>
              <w:rPr>
                <w:rFonts w:asciiTheme="minorHAnsi" w:hAnsiTheme="minorHAnsi" w:cstheme="minorHAnsi"/>
                <w:color w:val="000000"/>
                <w:szCs w:val="22"/>
              </w:rPr>
            </w:pPr>
            <w:r w:rsidRPr="00624582">
              <w:rPr>
                <w:rFonts w:asciiTheme="minorHAnsi" w:hAnsiTheme="minorHAnsi" w:cstheme="minorHAnsi"/>
                <w:color w:val="000000"/>
                <w:szCs w:val="22"/>
              </w:rPr>
              <w:t>CSD 8</w:t>
            </w:r>
          </w:p>
        </w:tc>
        <w:tc>
          <w:tcPr>
            <w:tcW w:w="1108" w:type="dxa"/>
            <w:shd w:val="clear" w:color="auto" w:fill="FFFFFF" w:themeFill="background1"/>
            <w:vAlign w:val="top"/>
          </w:tcPr>
          <w:p w14:paraId="672B1BF0" w14:textId="7EFD5810" w:rsidR="00FD2225" w:rsidRPr="00624582" w:rsidRDefault="001B438F" w:rsidP="00FD2225">
            <w:pPr>
              <w:pStyle w:val="TableText0"/>
              <w:jc w:val="center"/>
              <w:rPr>
                <w:rFonts w:asciiTheme="minorHAnsi" w:hAnsiTheme="minorHAnsi" w:cstheme="minorHAnsi"/>
                <w:szCs w:val="22"/>
              </w:rPr>
            </w:pPr>
            <w:r w:rsidRPr="00624582">
              <w:rPr>
                <w:rFonts w:asciiTheme="minorHAnsi" w:hAnsiTheme="minorHAnsi" w:cstheme="minorHAnsi"/>
                <w:szCs w:val="22"/>
              </w:rPr>
              <w:t>03</w:t>
            </w:r>
            <w:r w:rsidR="00FD2225" w:rsidRPr="00624582">
              <w:rPr>
                <w:rFonts w:asciiTheme="minorHAnsi" w:hAnsiTheme="minorHAnsi" w:cstheme="minorHAnsi"/>
                <w:szCs w:val="22"/>
              </w:rPr>
              <w:t>/03/21</w:t>
            </w:r>
          </w:p>
        </w:tc>
        <w:tc>
          <w:tcPr>
            <w:tcW w:w="1498" w:type="dxa"/>
            <w:shd w:val="clear" w:color="auto" w:fill="FFFFFF" w:themeFill="background1"/>
            <w:vAlign w:val="top"/>
          </w:tcPr>
          <w:p w14:paraId="7BDBAE42" w14:textId="725D9612" w:rsidR="00FD2225" w:rsidRPr="00624582" w:rsidRDefault="001B438F" w:rsidP="00FD2225">
            <w:pPr>
              <w:pStyle w:val="TableText0"/>
              <w:jc w:val="center"/>
              <w:rPr>
                <w:rFonts w:asciiTheme="minorHAnsi" w:hAnsiTheme="minorHAnsi" w:cstheme="minorHAnsi"/>
                <w:szCs w:val="22"/>
              </w:rPr>
            </w:pPr>
            <w:r w:rsidRPr="00624582">
              <w:rPr>
                <w:rFonts w:asciiTheme="minorHAnsi" w:hAnsiTheme="minorHAnsi" w:cstheme="minorHAnsi"/>
                <w:szCs w:val="22"/>
              </w:rPr>
              <w:t>Elizabeth Kikkert MLA</w:t>
            </w:r>
          </w:p>
        </w:tc>
        <w:tc>
          <w:tcPr>
            <w:tcW w:w="1655" w:type="dxa"/>
            <w:shd w:val="clear" w:color="auto" w:fill="FFFFFF" w:themeFill="background1"/>
            <w:vAlign w:val="top"/>
          </w:tcPr>
          <w:p w14:paraId="35B925A5" w14:textId="10115FFB" w:rsidR="00FD2225" w:rsidRPr="00624582" w:rsidRDefault="00FD2225" w:rsidP="00FD2225">
            <w:pPr>
              <w:pStyle w:val="TableText0"/>
              <w:jc w:val="center"/>
              <w:rPr>
                <w:rFonts w:asciiTheme="minorHAnsi" w:hAnsiTheme="minorHAnsi" w:cstheme="minorHAnsi"/>
                <w:szCs w:val="22"/>
              </w:rPr>
            </w:pPr>
            <w:r w:rsidRPr="00624582">
              <w:rPr>
                <w:rFonts w:asciiTheme="minorHAnsi" w:hAnsiTheme="minorHAnsi" w:cstheme="minorHAnsi"/>
                <w:szCs w:val="22"/>
              </w:rPr>
              <w:t>Community Services Directorate</w:t>
            </w:r>
          </w:p>
        </w:tc>
        <w:tc>
          <w:tcPr>
            <w:tcW w:w="2781" w:type="dxa"/>
            <w:shd w:val="clear" w:color="auto" w:fill="FFFFFF" w:themeFill="background1"/>
          </w:tcPr>
          <w:p w14:paraId="1AE5F499" w14:textId="76C18338" w:rsidR="00FD2225" w:rsidRPr="00624582" w:rsidRDefault="000378C8" w:rsidP="000378C8">
            <w:pPr>
              <w:pStyle w:val="TableText0"/>
              <w:rPr>
                <w:rFonts w:asciiTheme="minorHAnsi" w:eastAsiaTheme="minorHAnsi" w:hAnsiTheme="minorHAnsi" w:cstheme="minorHAnsi"/>
                <w:szCs w:val="22"/>
              </w:rPr>
            </w:pPr>
            <w:proofErr w:type="spellStart"/>
            <w:r w:rsidRPr="00624582">
              <w:rPr>
                <w:rFonts w:asciiTheme="minorHAnsi" w:eastAsiaTheme="minorHAnsi" w:hAnsiTheme="minorHAnsi" w:cstheme="minorHAnsi"/>
                <w:szCs w:val="22"/>
              </w:rPr>
              <w:t>Bimberi</w:t>
            </w:r>
            <w:proofErr w:type="spellEnd"/>
            <w:r w:rsidRPr="00624582">
              <w:rPr>
                <w:rFonts w:asciiTheme="minorHAnsi" w:eastAsiaTheme="minorHAnsi" w:hAnsiTheme="minorHAnsi" w:cstheme="minorHAnsi"/>
                <w:szCs w:val="22"/>
              </w:rPr>
              <w:t xml:space="preserve">. Could you provide a report on </w:t>
            </w:r>
            <w:proofErr w:type="spellStart"/>
            <w:r w:rsidRPr="00624582">
              <w:rPr>
                <w:rFonts w:asciiTheme="minorHAnsi" w:eastAsiaTheme="minorHAnsi" w:hAnsiTheme="minorHAnsi" w:cstheme="minorHAnsi"/>
                <w:szCs w:val="22"/>
              </w:rPr>
              <w:t>Bimberi</w:t>
            </w:r>
            <w:proofErr w:type="spellEnd"/>
            <w:r w:rsidRPr="00624582">
              <w:rPr>
                <w:rFonts w:asciiTheme="minorHAnsi" w:eastAsiaTheme="minorHAnsi" w:hAnsiTheme="minorHAnsi" w:cstheme="minorHAnsi"/>
                <w:szCs w:val="22"/>
              </w:rPr>
              <w:t xml:space="preserve"> Staffing Levels from May2019 until January 2021?</w:t>
            </w:r>
          </w:p>
        </w:tc>
        <w:tc>
          <w:tcPr>
            <w:tcW w:w="1220" w:type="dxa"/>
            <w:shd w:val="clear" w:color="auto" w:fill="FFFFFF" w:themeFill="background1"/>
          </w:tcPr>
          <w:p w14:paraId="02E55A44" w14:textId="32C09804" w:rsidR="00FD2225" w:rsidRPr="00624582" w:rsidRDefault="000378C8" w:rsidP="00FD2225">
            <w:pPr>
              <w:pStyle w:val="TableText0"/>
              <w:jc w:val="center"/>
              <w:rPr>
                <w:rFonts w:asciiTheme="minorHAnsi" w:hAnsiTheme="minorHAnsi" w:cstheme="minorHAnsi"/>
                <w:szCs w:val="22"/>
              </w:rPr>
            </w:pPr>
            <w:r w:rsidRPr="00624582">
              <w:rPr>
                <w:rFonts w:asciiTheme="minorHAnsi" w:hAnsiTheme="minorHAnsi" w:cstheme="minorHAnsi"/>
                <w:szCs w:val="22"/>
              </w:rPr>
              <w:t>16/03/21</w:t>
            </w:r>
          </w:p>
        </w:tc>
      </w:tr>
      <w:tr w:rsidR="001B438F" w14:paraId="342EC720" w14:textId="77777777" w:rsidTr="00486EA0">
        <w:trPr>
          <w:cnfStyle w:val="000000100000" w:firstRow="0" w:lastRow="0" w:firstColumn="0" w:lastColumn="0" w:oddVBand="0" w:evenVBand="0" w:oddHBand="1" w:evenHBand="0" w:firstRowFirstColumn="0" w:firstRowLastColumn="0" w:lastRowFirstColumn="0" w:lastRowLastColumn="0"/>
        </w:trPr>
        <w:tc>
          <w:tcPr>
            <w:tcW w:w="691" w:type="dxa"/>
            <w:shd w:val="clear" w:color="auto" w:fill="FFFFFF" w:themeFill="background1"/>
            <w:vAlign w:val="top"/>
          </w:tcPr>
          <w:p w14:paraId="53FF1EFC" w14:textId="06D603CE" w:rsidR="001B438F" w:rsidRPr="00624582" w:rsidRDefault="001B438F" w:rsidP="001B438F">
            <w:pPr>
              <w:pStyle w:val="TableText0"/>
              <w:jc w:val="center"/>
              <w:rPr>
                <w:color w:val="000000"/>
                <w:sz w:val="22"/>
                <w:szCs w:val="22"/>
              </w:rPr>
            </w:pPr>
            <w:r w:rsidRPr="00624582">
              <w:rPr>
                <w:color w:val="000000"/>
                <w:sz w:val="22"/>
                <w:szCs w:val="22"/>
              </w:rPr>
              <w:t>CSD 9</w:t>
            </w:r>
          </w:p>
        </w:tc>
        <w:tc>
          <w:tcPr>
            <w:tcW w:w="1108" w:type="dxa"/>
            <w:shd w:val="clear" w:color="auto" w:fill="FFFFFF" w:themeFill="background1"/>
            <w:vAlign w:val="top"/>
          </w:tcPr>
          <w:p w14:paraId="7D54900C" w14:textId="7D225CB4" w:rsidR="001B438F" w:rsidRPr="00624582" w:rsidRDefault="001B438F" w:rsidP="001B438F">
            <w:pPr>
              <w:pStyle w:val="TableText0"/>
              <w:jc w:val="center"/>
              <w:rPr>
                <w:sz w:val="22"/>
                <w:szCs w:val="22"/>
              </w:rPr>
            </w:pPr>
            <w:r w:rsidRPr="00624582">
              <w:rPr>
                <w:sz w:val="22"/>
                <w:szCs w:val="22"/>
              </w:rPr>
              <w:t>03/03/21</w:t>
            </w:r>
          </w:p>
        </w:tc>
        <w:tc>
          <w:tcPr>
            <w:tcW w:w="1498" w:type="dxa"/>
            <w:shd w:val="clear" w:color="auto" w:fill="FFFFFF" w:themeFill="background1"/>
            <w:vAlign w:val="top"/>
          </w:tcPr>
          <w:p w14:paraId="302708C8" w14:textId="7D13988C" w:rsidR="001B438F" w:rsidRPr="00624582" w:rsidRDefault="001B438F" w:rsidP="001B438F">
            <w:pPr>
              <w:pStyle w:val="TableText0"/>
              <w:jc w:val="center"/>
              <w:rPr>
                <w:sz w:val="22"/>
                <w:szCs w:val="22"/>
              </w:rPr>
            </w:pPr>
            <w:r w:rsidRPr="00624582">
              <w:rPr>
                <w:sz w:val="22"/>
                <w:szCs w:val="22"/>
              </w:rPr>
              <w:t>Michael Petter</w:t>
            </w:r>
            <w:r w:rsidR="00CB39ED">
              <w:rPr>
                <w:sz w:val="22"/>
                <w:szCs w:val="22"/>
              </w:rPr>
              <w:t>s</w:t>
            </w:r>
            <w:r w:rsidRPr="00624582">
              <w:rPr>
                <w:sz w:val="22"/>
                <w:szCs w:val="22"/>
              </w:rPr>
              <w:t>son MLA</w:t>
            </w:r>
          </w:p>
        </w:tc>
        <w:tc>
          <w:tcPr>
            <w:tcW w:w="1655" w:type="dxa"/>
            <w:shd w:val="clear" w:color="auto" w:fill="FFFFFF" w:themeFill="background1"/>
            <w:vAlign w:val="top"/>
          </w:tcPr>
          <w:p w14:paraId="6488B433" w14:textId="059BDF34" w:rsidR="001B438F" w:rsidRPr="00624582" w:rsidRDefault="001B438F" w:rsidP="001B438F">
            <w:pPr>
              <w:pStyle w:val="TableText0"/>
              <w:jc w:val="center"/>
              <w:rPr>
                <w:sz w:val="22"/>
                <w:szCs w:val="22"/>
              </w:rPr>
            </w:pPr>
            <w:r w:rsidRPr="00624582">
              <w:rPr>
                <w:rFonts w:asciiTheme="minorHAnsi" w:hAnsiTheme="minorHAnsi" w:cstheme="minorHAnsi"/>
                <w:sz w:val="22"/>
                <w:szCs w:val="22"/>
              </w:rPr>
              <w:t>Community Services Directorate</w:t>
            </w:r>
          </w:p>
        </w:tc>
        <w:tc>
          <w:tcPr>
            <w:tcW w:w="2781" w:type="dxa"/>
            <w:shd w:val="clear" w:color="auto" w:fill="FFFFFF" w:themeFill="background1"/>
          </w:tcPr>
          <w:p w14:paraId="6348F8ED" w14:textId="77777777" w:rsidR="000378C8" w:rsidRPr="00624582" w:rsidRDefault="000378C8" w:rsidP="000378C8">
            <w:pPr>
              <w:pStyle w:val="TableText0"/>
              <w:rPr>
                <w:rFonts w:asciiTheme="minorHAnsi" w:eastAsiaTheme="minorHAnsi" w:hAnsiTheme="minorHAnsi" w:cstheme="minorHAnsi"/>
                <w:sz w:val="22"/>
                <w:szCs w:val="22"/>
              </w:rPr>
            </w:pPr>
            <w:proofErr w:type="spellStart"/>
            <w:r w:rsidRPr="00624582">
              <w:rPr>
                <w:rFonts w:asciiTheme="minorHAnsi" w:eastAsiaTheme="minorHAnsi" w:hAnsiTheme="minorHAnsi" w:cstheme="minorHAnsi"/>
                <w:sz w:val="22"/>
                <w:szCs w:val="22"/>
              </w:rPr>
              <w:t>Bimberi</w:t>
            </w:r>
            <w:proofErr w:type="spellEnd"/>
            <w:r w:rsidRPr="00624582">
              <w:rPr>
                <w:rFonts w:asciiTheme="minorHAnsi" w:eastAsiaTheme="minorHAnsi" w:hAnsiTheme="minorHAnsi" w:cstheme="minorHAnsi"/>
                <w:sz w:val="22"/>
                <w:szCs w:val="22"/>
              </w:rPr>
              <w:t xml:space="preserve"> Staffing rates.</w:t>
            </w:r>
          </w:p>
          <w:p w14:paraId="0182854D" w14:textId="77777777" w:rsidR="000378C8" w:rsidRPr="00624582" w:rsidRDefault="000378C8" w:rsidP="000378C8">
            <w:pPr>
              <w:pStyle w:val="TableText0"/>
              <w:rPr>
                <w:rFonts w:asciiTheme="minorHAnsi" w:eastAsiaTheme="minorHAnsi" w:hAnsiTheme="minorHAnsi" w:cstheme="minorHAnsi"/>
                <w:sz w:val="22"/>
                <w:szCs w:val="22"/>
              </w:rPr>
            </w:pPr>
            <w:r w:rsidRPr="00624582">
              <w:rPr>
                <w:rFonts w:asciiTheme="minorHAnsi" w:eastAsiaTheme="minorHAnsi" w:hAnsiTheme="minorHAnsi" w:cstheme="minorHAnsi"/>
                <w:sz w:val="22"/>
                <w:szCs w:val="22"/>
              </w:rPr>
              <w:t xml:space="preserve">a) What are the current staffing rates at </w:t>
            </w:r>
            <w:proofErr w:type="spellStart"/>
            <w:r w:rsidRPr="00624582">
              <w:rPr>
                <w:rFonts w:asciiTheme="minorHAnsi" w:eastAsiaTheme="minorHAnsi" w:hAnsiTheme="minorHAnsi" w:cstheme="minorHAnsi"/>
                <w:sz w:val="22"/>
                <w:szCs w:val="22"/>
              </w:rPr>
              <w:t>Bimberi</w:t>
            </w:r>
            <w:proofErr w:type="spellEnd"/>
            <w:r w:rsidRPr="00624582">
              <w:rPr>
                <w:rFonts w:asciiTheme="minorHAnsi" w:eastAsiaTheme="minorHAnsi" w:hAnsiTheme="minorHAnsi" w:cstheme="minorHAnsi"/>
                <w:sz w:val="22"/>
                <w:szCs w:val="22"/>
              </w:rPr>
              <w:t>?</w:t>
            </w:r>
          </w:p>
          <w:p w14:paraId="6B75F6AB" w14:textId="07408F5A" w:rsidR="001B438F" w:rsidRPr="00624582" w:rsidRDefault="000378C8" w:rsidP="000378C8">
            <w:pPr>
              <w:pStyle w:val="TableText0"/>
              <w:rPr>
                <w:rFonts w:asciiTheme="minorHAnsi" w:eastAsiaTheme="minorHAnsi" w:hAnsiTheme="minorHAnsi" w:cstheme="minorHAnsi"/>
                <w:sz w:val="22"/>
                <w:szCs w:val="22"/>
              </w:rPr>
            </w:pPr>
            <w:r w:rsidRPr="00624582">
              <w:rPr>
                <w:rFonts w:asciiTheme="minorHAnsi" w:eastAsiaTheme="minorHAnsi" w:hAnsiTheme="minorHAnsi" w:cstheme="minorHAnsi"/>
                <w:sz w:val="22"/>
                <w:szCs w:val="22"/>
              </w:rPr>
              <w:t>b) Are the 74 FTE positions all filled?</w:t>
            </w:r>
          </w:p>
        </w:tc>
        <w:tc>
          <w:tcPr>
            <w:tcW w:w="1220" w:type="dxa"/>
            <w:shd w:val="clear" w:color="auto" w:fill="FFFFFF" w:themeFill="background1"/>
          </w:tcPr>
          <w:p w14:paraId="2784FEC6" w14:textId="6CC3520B" w:rsidR="001B438F" w:rsidRPr="00624582" w:rsidRDefault="000378C8" w:rsidP="001B438F">
            <w:pPr>
              <w:pStyle w:val="TableText0"/>
              <w:jc w:val="center"/>
              <w:rPr>
                <w:sz w:val="22"/>
                <w:szCs w:val="22"/>
              </w:rPr>
            </w:pPr>
            <w:r w:rsidRPr="00624582">
              <w:rPr>
                <w:sz w:val="22"/>
                <w:szCs w:val="22"/>
              </w:rPr>
              <w:t>11/03/21</w:t>
            </w:r>
          </w:p>
        </w:tc>
      </w:tr>
      <w:tr w:rsidR="001B438F" w14:paraId="10329A24" w14:textId="77777777" w:rsidTr="00486EA0">
        <w:tc>
          <w:tcPr>
            <w:tcW w:w="691" w:type="dxa"/>
            <w:shd w:val="clear" w:color="auto" w:fill="FFFFFF" w:themeFill="background1"/>
            <w:vAlign w:val="top"/>
          </w:tcPr>
          <w:p w14:paraId="45C21A67" w14:textId="26DF713A" w:rsidR="001B438F" w:rsidRPr="00624582" w:rsidRDefault="001B438F" w:rsidP="001B438F">
            <w:pPr>
              <w:pStyle w:val="TableText0"/>
              <w:jc w:val="center"/>
              <w:rPr>
                <w:color w:val="000000"/>
                <w:szCs w:val="22"/>
              </w:rPr>
            </w:pPr>
            <w:r w:rsidRPr="00624582">
              <w:rPr>
                <w:color w:val="000000"/>
                <w:szCs w:val="22"/>
              </w:rPr>
              <w:t>CSD 10</w:t>
            </w:r>
          </w:p>
        </w:tc>
        <w:tc>
          <w:tcPr>
            <w:tcW w:w="1108" w:type="dxa"/>
            <w:shd w:val="clear" w:color="auto" w:fill="FFFFFF" w:themeFill="background1"/>
            <w:vAlign w:val="top"/>
          </w:tcPr>
          <w:p w14:paraId="427BC73F" w14:textId="2A4B6572" w:rsidR="001B438F" w:rsidRPr="00624582" w:rsidRDefault="001B438F" w:rsidP="001B438F">
            <w:pPr>
              <w:pStyle w:val="TableText0"/>
              <w:jc w:val="center"/>
              <w:rPr>
                <w:szCs w:val="22"/>
              </w:rPr>
            </w:pPr>
            <w:r w:rsidRPr="00624582">
              <w:rPr>
                <w:szCs w:val="22"/>
              </w:rPr>
              <w:t>03/03/21</w:t>
            </w:r>
          </w:p>
        </w:tc>
        <w:tc>
          <w:tcPr>
            <w:tcW w:w="1498" w:type="dxa"/>
            <w:shd w:val="clear" w:color="auto" w:fill="FFFFFF" w:themeFill="background1"/>
            <w:vAlign w:val="top"/>
          </w:tcPr>
          <w:p w14:paraId="21978FF5" w14:textId="4656BFC8" w:rsidR="001B438F" w:rsidRPr="00624582" w:rsidRDefault="001B438F" w:rsidP="001B438F">
            <w:pPr>
              <w:pStyle w:val="TableText0"/>
              <w:jc w:val="center"/>
              <w:rPr>
                <w:szCs w:val="22"/>
              </w:rPr>
            </w:pPr>
            <w:r w:rsidRPr="00624582">
              <w:rPr>
                <w:szCs w:val="22"/>
              </w:rPr>
              <w:t>Johnathan Davis MLA</w:t>
            </w:r>
          </w:p>
        </w:tc>
        <w:tc>
          <w:tcPr>
            <w:tcW w:w="1655" w:type="dxa"/>
            <w:shd w:val="clear" w:color="auto" w:fill="FFFFFF" w:themeFill="background1"/>
            <w:vAlign w:val="top"/>
          </w:tcPr>
          <w:p w14:paraId="4E7A7C33" w14:textId="47CE7826" w:rsidR="001B438F" w:rsidRPr="00624582" w:rsidRDefault="001B438F" w:rsidP="001B438F">
            <w:pPr>
              <w:pStyle w:val="TableText0"/>
              <w:jc w:val="center"/>
              <w:rPr>
                <w:szCs w:val="22"/>
              </w:rPr>
            </w:pPr>
            <w:r w:rsidRPr="00624582">
              <w:rPr>
                <w:rFonts w:asciiTheme="minorHAnsi" w:hAnsiTheme="minorHAnsi" w:cstheme="minorHAnsi"/>
                <w:szCs w:val="22"/>
              </w:rPr>
              <w:t>Community Services Directorate</w:t>
            </w:r>
          </w:p>
        </w:tc>
        <w:tc>
          <w:tcPr>
            <w:tcW w:w="2781" w:type="dxa"/>
            <w:shd w:val="clear" w:color="auto" w:fill="FFFFFF" w:themeFill="background1"/>
          </w:tcPr>
          <w:p w14:paraId="60B3E672" w14:textId="77777777" w:rsidR="000378C8" w:rsidRPr="00624582" w:rsidRDefault="000378C8" w:rsidP="000378C8">
            <w:pPr>
              <w:pStyle w:val="TableText0"/>
              <w:rPr>
                <w:rFonts w:asciiTheme="minorHAnsi" w:eastAsiaTheme="minorHAnsi" w:hAnsiTheme="minorHAnsi" w:cstheme="minorHAnsi"/>
                <w:szCs w:val="22"/>
              </w:rPr>
            </w:pPr>
            <w:r w:rsidRPr="00624582">
              <w:rPr>
                <w:rFonts w:asciiTheme="minorHAnsi" w:eastAsiaTheme="minorHAnsi" w:hAnsiTheme="minorHAnsi" w:cstheme="minorHAnsi"/>
                <w:szCs w:val="22"/>
              </w:rPr>
              <w:t>What was the total amount of money requested through applications for the Seniors</w:t>
            </w:r>
          </w:p>
          <w:p w14:paraId="4BFB9455" w14:textId="709C8352" w:rsidR="001B438F" w:rsidRPr="00624582" w:rsidRDefault="000378C8" w:rsidP="000378C8">
            <w:pPr>
              <w:pStyle w:val="TableText0"/>
              <w:rPr>
                <w:rFonts w:asciiTheme="minorHAnsi" w:eastAsiaTheme="minorHAnsi" w:hAnsiTheme="minorHAnsi" w:cstheme="minorHAnsi"/>
                <w:szCs w:val="22"/>
              </w:rPr>
            </w:pPr>
            <w:r w:rsidRPr="00624582">
              <w:rPr>
                <w:rFonts w:asciiTheme="minorHAnsi" w:eastAsiaTheme="minorHAnsi" w:hAnsiTheme="minorHAnsi" w:cstheme="minorHAnsi"/>
                <w:szCs w:val="22"/>
              </w:rPr>
              <w:t>Grants?</w:t>
            </w:r>
          </w:p>
        </w:tc>
        <w:tc>
          <w:tcPr>
            <w:tcW w:w="1220" w:type="dxa"/>
            <w:shd w:val="clear" w:color="auto" w:fill="FFFFFF" w:themeFill="background1"/>
          </w:tcPr>
          <w:p w14:paraId="0D7658A0" w14:textId="07CF91DB" w:rsidR="001B438F" w:rsidRPr="00624582" w:rsidRDefault="001C3EFA" w:rsidP="001B438F">
            <w:pPr>
              <w:pStyle w:val="TableText0"/>
              <w:jc w:val="center"/>
              <w:rPr>
                <w:szCs w:val="22"/>
              </w:rPr>
            </w:pPr>
            <w:r w:rsidRPr="00624582">
              <w:rPr>
                <w:szCs w:val="22"/>
              </w:rPr>
              <w:t>11/03/21</w:t>
            </w:r>
          </w:p>
        </w:tc>
      </w:tr>
      <w:tr w:rsidR="001B438F" w14:paraId="5C78E929" w14:textId="77777777" w:rsidTr="00486EA0">
        <w:trPr>
          <w:cnfStyle w:val="000000100000" w:firstRow="0" w:lastRow="0" w:firstColumn="0" w:lastColumn="0" w:oddVBand="0" w:evenVBand="0" w:oddHBand="1" w:evenHBand="0" w:firstRowFirstColumn="0" w:firstRowLastColumn="0" w:lastRowFirstColumn="0" w:lastRowLastColumn="0"/>
        </w:trPr>
        <w:tc>
          <w:tcPr>
            <w:tcW w:w="691" w:type="dxa"/>
            <w:shd w:val="clear" w:color="auto" w:fill="FFFFFF" w:themeFill="background1"/>
            <w:vAlign w:val="top"/>
          </w:tcPr>
          <w:p w14:paraId="0692CFFC" w14:textId="58979CDF" w:rsidR="001B438F" w:rsidRPr="00C11B91" w:rsidRDefault="001B438F" w:rsidP="001B438F">
            <w:pPr>
              <w:pStyle w:val="TableText0"/>
              <w:jc w:val="center"/>
              <w:rPr>
                <w:color w:val="000000"/>
                <w:sz w:val="22"/>
                <w:szCs w:val="22"/>
              </w:rPr>
            </w:pPr>
            <w:r w:rsidRPr="00C11B91">
              <w:rPr>
                <w:color w:val="000000"/>
                <w:sz w:val="22"/>
                <w:szCs w:val="22"/>
              </w:rPr>
              <w:t>CSD 11</w:t>
            </w:r>
          </w:p>
        </w:tc>
        <w:tc>
          <w:tcPr>
            <w:tcW w:w="1108" w:type="dxa"/>
            <w:shd w:val="clear" w:color="auto" w:fill="FFFFFF" w:themeFill="background1"/>
            <w:vAlign w:val="top"/>
          </w:tcPr>
          <w:p w14:paraId="49419B09" w14:textId="6BB965A4" w:rsidR="001B438F" w:rsidRPr="00C11B91" w:rsidRDefault="00C11B91" w:rsidP="001B438F">
            <w:pPr>
              <w:pStyle w:val="TableText0"/>
              <w:jc w:val="center"/>
              <w:rPr>
                <w:sz w:val="22"/>
                <w:szCs w:val="22"/>
              </w:rPr>
            </w:pPr>
            <w:r w:rsidRPr="00624582">
              <w:rPr>
                <w:sz w:val="22"/>
                <w:szCs w:val="22"/>
              </w:rPr>
              <w:t>03/03/21</w:t>
            </w:r>
          </w:p>
        </w:tc>
        <w:tc>
          <w:tcPr>
            <w:tcW w:w="1498" w:type="dxa"/>
            <w:shd w:val="clear" w:color="auto" w:fill="FFFFFF" w:themeFill="background1"/>
            <w:vAlign w:val="top"/>
          </w:tcPr>
          <w:p w14:paraId="74E593B7" w14:textId="34A49917" w:rsidR="001B438F" w:rsidRPr="00C11B91" w:rsidRDefault="00C11B91" w:rsidP="001B438F">
            <w:pPr>
              <w:pStyle w:val="TableText0"/>
              <w:jc w:val="center"/>
              <w:rPr>
                <w:sz w:val="22"/>
                <w:szCs w:val="22"/>
              </w:rPr>
            </w:pPr>
            <w:r w:rsidRPr="00624582">
              <w:rPr>
                <w:rFonts w:asciiTheme="minorHAnsi" w:hAnsiTheme="minorHAnsi" w:cstheme="minorHAnsi"/>
                <w:sz w:val="22"/>
                <w:szCs w:val="22"/>
              </w:rPr>
              <w:t>Elizabeth Kikkert MLA</w:t>
            </w:r>
          </w:p>
        </w:tc>
        <w:tc>
          <w:tcPr>
            <w:tcW w:w="1655" w:type="dxa"/>
            <w:shd w:val="clear" w:color="auto" w:fill="FFFFFF" w:themeFill="background1"/>
            <w:vAlign w:val="top"/>
          </w:tcPr>
          <w:p w14:paraId="2660BF74" w14:textId="765C5F48" w:rsidR="001B438F" w:rsidRPr="00C11B91" w:rsidRDefault="001B438F" w:rsidP="001B438F">
            <w:pPr>
              <w:pStyle w:val="TableText0"/>
              <w:jc w:val="center"/>
              <w:rPr>
                <w:sz w:val="22"/>
                <w:szCs w:val="22"/>
              </w:rPr>
            </w:pPr>
            <w:r w:rsidRPr="00C11B91">
              <w:rPr>
                <w:rFonts w:asciiTheme="minorHAnsi" w:hAnsiTheme="minorHAnsi" w:cstheme="minorHAnsi"/>
                <w:sz w:val="22"/>
                <w:szCs w:val="22"/>
              </w:rPr>
              <w:t>Community Services Directorate</w:t>
            </w:r>
          </w:p>
        </w:tc>
        <w:tc>
          <w:tcPr>
            <w:tcW w:w="2781" w:type="dxa"/>
            <w:shd w:val="clear" w:color="auto" w:fill="FFFFFF" w:themeFill="background1"/>
          </w:tcPr>
          <w:p w14:paraId="689D953D" w14:textId="5D3C905D" w:rsidR="001B438F" w:rsidRPr="00C11B91" w:rsidRDefault="00C11B91" w:rsidP="001B438F">
            <w:pPr>
              <w:pStyle w:val="TableText0"/>
              <w:rPr>
                <w:rFonts w:asciiTheme="minorHAnsi" w:eastAsiaTheme="minorHAnsi" w:hAnsiTheme="minorHAnsi" w:cstheme="minorHAnsi"/>
                <w:sz w:val="22"/>
                <w:szCs w:val="22"/>
                <w:highlight w:val="green"/>
              </w:rPr>
            </w:pPr>
            <w:r w:rsidRPr="00C11B91">
              <w:rPr>
                <w:rFonts w:asciiTheme="minorHAnsi" w:eastAsiaTheme="minorHAnsi" w:hAnsiTheme="minorHAnsi" w:cstheme="minorHAnsi"/>
                <w:sz w:val="22"/>
                <w:szCs w:val="22"/>
              </w:rPr>
              <w:t>Youth Justice Community Based orders</w:t>
            </w:r>
          </w:p>
        </w:tc>
        <w:tc>
          <w:tcPr>
            <w:tcW w:w="1220" w:type="dxa"/>
            <w:shd w:val="clear" w:color="auto" w:fill="FFFFFF" w:themeFill="background1"/>
          </w:tcPr>
          <w:p w14:paraId="007325AC" w14:textId="3633B300" w:rsidR="001B438F" w:rsidRPr="00624582" w:rsidRDefault="00C11B91" w:rsidP="001B438F">
            <w:pPr>
              <w:pStyle w:val="TableText0"/>
              <w:jc w:val="center"/>
              <w:rPr>
                <w:sz w:val="22"/>
                <w:szCs w:val="22"/>
              </w:rPr>
            </w:pPr>
            <w:r>
              <w:rPr>
                <w:sz w:val="22"/>
                <w:szCs w:val="22"/>
              </w:rPr>
              <w:t>17/03/21</w:t>
            </w:r>
          </w:p>
        </w:tc>
      </w:tr>
      <w:tr w:rsidR="001B438F" w14:paraId="76EFF722" w14:textId="77777777" w:rsidTr="00486EA0">
        <w:tc>
          <w:tcPr>
            <w:tcW w:w="691" w:type="dxa"/>
            <w:shd w:val="clear" w:color="auto" w:fill="FFFFFF" w:themeFill="background1"/>
            <w:vAlign w:val="top"/>
          </w:tcPr>
          <w:p w14:paraId="4E98BE14" w14:textId="7E271A5A" w:rsidR="001B438F" w:rsidRPr="00624582" w:rsidRDefault="001B438F" w:rsidP="001B438F">
            <w:pPr>
              <w:pStyle w:val="TableText0"/>
              <w:jc w:val="center"/>
              <w:rPr>
                <w:color w:val="000000"/>
                <w:szCs w:val="22"/>
              </w:rPr>
            </w:pPr>
            <w:r w:rsidRPr="00624582">
              <w:rPr>
                <w:color w:val="000000"/>
                <w:szCs w:val="22"/>
              </w:rPr>
              <w:t>CSD 12</w:t>
            </w:r>
          </w:p>
        </w:tc>
        <w:tc>
          <w:tcPr>
            <w:tcW w:w="1108" w:type="dxa"/>
            <w:shd w:val="clear" w:color="auto" w:fill="FFFFFF" w:themeFill="background1"/>
            <w:vAlign w:val="top"/>
          </w:tcPr>
          <w:p w14:paraId="54C0F715" w14:textId="1CE6954F" w:rsidR="001B438F" w:rsidRPr="00624582" w:rsidRDefault="001B438F" w:rsidP="001B438F">
            <w:pPr>
              <w:pStyle w:val="TableText0"/>
              <w:jc w:val="center"/>
              <w:rPr>
                <w:szCs w:val="22"/>
              </w:rPr>
            </w:pPr>
            <w:r w:rsidRPr="00624582">
              <w:rPr>
                <w:szCs w:val="22"/>
              </w:rPr>
              <w:t>03/03/21</w:t>
            </w:r>
          </w:p>
        </w:tc>
        <w:tc>
          <w:tcPr>
            <w:tcW w:w="1498" w:type="dxa"/>
            <w:shd w:val="clear" w:color="auto" w:fill="FFFFFF" w:themeFill="background1"/>
            <w:vAlign w:val="top"/>
          </w:tcPr>
          <w:p w14:paraId="09D3B71A" w14:textId="46EF4C7F" w:rsidR="001B438F" w:rsidRPr="00624582" w:rsidRDefault="001B438F" w:rsidP="001B438F">
            <w:pPr>
              <w:pStyle w:val="TableText0"/>
              <w:jc w:val="center"/>
              <w:rPr>
                <w:szCs w:val="22"/>
              </w:rPr>
            </w:pPr>
            <w:r w:rsidRPr="00624582">
              <w:rPr>
                <w:szCs w:val="22"/>
              </w:rPr>
              <w:t>Mark Parton MLA</w:t>
            </w:r>
          </w:p>
        </w:tc>
        <w:tc>
          <w:tcPr>
            <w:tcW w:w="1655" w:type="dxa"/>
            <w:shd w:val="clear" w:color="auto" w:fill="FFFFFF" w:themeFill="background1"/>
            <w:vAlign w:val="top"/>
          </w:tcPr>
          <w:p w14:paraId="1A240516" w14:textId="50C0530D" w:rsidR="001B438F" w:rsidRPr="00624582" w:rsidRDefault="001B438F" w:rsidP="001B438F">
            <w:pPr>
              <w:pStyle w:val="TableText0"/>
              <w:jc w:val="center"/>
              <w:rPr>
                <w:szCs w:val="22"/>
              </w:rPr>
            </w:pPr>
            <w:r w:rsidRPr="00624582">
              <w:rPr>
                <w:rFonts w:asciiTheme="minorHAnsi" w:hAnsiTheme="minorHAnsi" w:cstheme="minorHAnsi"/>
                <w:szCs w:val="22"/>
              </w:rPr>
              <w:t>Community Services Directorate</w:t>
            </w:r>
          </w:p>
        </w:tc>
        <w:tc>
          <w:tcPr>
            <w:tcW w:w="2781" w:type="dxa"/>
            <w:shd w:val="clear" w:color="auto" w:fill="FFFFFF" w:themeFill="background1"/>
          </w:tcPr>
          <w:p w14:paraId="1FCE0381" w14:textId="69E30548" w:rsidR="000378C8" w:rsidRPr="00624582" w:rsidRDefault="000378C8" w:rsidP="000378C8">
            <w:pPr>
              <w:pStyle w:val="TableText0"/>
              <w:rPr>
                <w:rFonts w:asciiTheme="minorHAnsi" w:eastAsiaTheme="minorHAnsi" w:hAnsiTheme="minorHAnsi" w:cstheme="minorHAnsi"/>
                <w:szCs w:val="22"/>
              </w:rPr>
            </w:pPr>
            <w:r w:rsidRPr="00624582">
              <w:rPr>
                <w:rFonts w:asciiTheme="minorHAnsi" w:eastAsiaTheme="minorHAnsi" w:hAnsiTheme="minorHAnsi" w:cstheme="minorHAnsi"/>
                <w:szCs w:val="22"/>
              </w:rPr>
              <w:t>The Canberra Times has reported Housing ACT has nightly patrols at Conda</w:t>
            </w:r>
            <w:r w:rsidR="003C1BDA">
              <w:rPr>
                <w:rFonts w:asciiTheme="minorHAnsi" w:eastAsiaTheme="minorHAnsi" w:hAnsiTheme="minorHAnsi" w:cstheme="minorHAnsi"/>
                <w:szCs w:val="22"/>
              </w:rPr>
              <w:t>m</w:t>
            </w:r>
            <w:r w:rsidRPr="00624582">
              <w:rPr>
                <w:rFonts w:asciiTheme="minorHAnsi" w:eastAsiaTheme="minorHAnsi" w:hAnsiTheme="minorHAnsi" w:cstheme="minorHAnsi"/>
                <w:szCs w:val="22"/>
              </w:rPr>
              <w:t>ine Court,</w:t>
            </w:r>
          </w:p>
          <w:p w14:paraId="3D69391D" w14:textId="0EACF482" w:rsidR="000378C8" w:rsidRPr="00624582" w:rsidRDefault="003C1BDA" w:rsidP="000378C8">
            <w:pPr>
              <w:pStyle w:val="TableText0"/>
              <w:rPr>
                <w:rFonts w:asciiTheme="minorHAnsi" w:eastAsiaTheme="minorHAnsi" w:hAnsiTheme="minorHAnsi" w:cstheme="minorHAnsi"/>
                <w:szCs w:val="22"/>
              </w:rPr>
            </w:pPr>
            <w:r w:rsidRPr="00624582">
              <w:rPr>
                <w:rFonts w:asciiTheme="minorHAnsi" w:eastAsiaTheme="minorHAnsi" w:hAnsiTheme="minorHAnsi" w:cstheme="minorHAnsi"/>
                <w:szCs w:val="22"/>
              </w:rPr>
              <w:t>however,</w:t>
            </w:r>
            <w:r w:rsidR="000378C8" w:rsidRPr="00624582">
              <w:rPr>
                <w:rFonts w:asciiTheme="minorHAnsi" w:eastAsiaTheme="minorHAnsi" w:hAnsiTheme="minorHAnsi" w:cstheme="minorHAnsi"/>
                <w:szCs w:val="22"/>
              </w:rPr>
              <w:t xml:space="preserve"> it does not align with feedback Mr Parton is getting from residents. Can you confirm if there</w:t>
            </w:r>
          </w:p>
          <w:p w14:paraId="72E3F003" w14:textId="08C0F1CB" w:rsidR="001B438F" w:rsidRPr="00624582" w:rsidRDefault="000378C8" w:rsidP="000378C8">
            <w:pPr>
              <w:pStyle w:val="TableText0"/>
              <w:rPr>
                <w:rFonts w:asciiTheme="minorHAnsi" w:eastAsiaTheme="minorHAnsi" w:hAnsiTheme="minorHAnsi" w:cstheme="minorHAnsi"/>
                <w:szCs w:val="22"/>
              </w:rPr>
            </w:pPr>
            <w:r w:rsidRPr="00624582">
              <w:rPr>
                <w:rFonts w:asciiTheme="minorHAnsi" w:eastAsiaTheme="minorHAnsi" w:hAnsiTheme="minorHAnsi" w:cstheme="minorHAnsi"/>
                <w:szCs w:val="22"/>
              </w:rPr>
              <w:t>are patrols and the frequency of nightly patrols of the complex?</w:t>
            </w:r>
          </w:p>
        </w:tc>
        <w:tc>
          <w:tcPr>
            <w:tcW w:w="1220" w:type="dxa"/>
            <w:shd w:val="clear" w:color="auto" w:fill="FFFFFF" w:themeFill="background1"/>
          </w:tcPr>
          <w:p w14:paraId="2D7B86D2" w14:textId="02B81B3B" w:rsidR="001B438F" w:rsidRPr="00624582" w:rsidRDefault="001C3EFA" w:rsidP="001B438F">
            <w:pPr>
              <w:pStyle w:val="TableText0"/>
              <w:jc w:val="center"/>
              <w:rPr>
                <w:szCs w:val="22"/>
              </w:rPr>
            </w:pPr>
            <w:r w:rsidRPr="00624582">
              <w:rPr>
                <w:szCs w:val="22"/>
              </w:rPr>
              <w:t>12/03/21</w:t>
            </w:r>
          </w:p>
        </w:tc>
      </w:tr>
      <w:tr w:rsidR="001B438F" w:rsidRPr="00624582" w14:paraId="2EAEB712" w14:textId="77777777" w:rsidTr="00486EA0">
        <w:trPr>
          <w:cnfStyle w:val="000000100000" w:firstRow="0" w:lastRow="0" w:firstColumn="0" w:lastColumn="0" w:oddVBand="0" w:evenVBand="0" w:oddHBand="1" w:evenHBand="0" w:firstRowFirstColumn="0" w:firstRowLastColumn="0" w:lastRowFirstColumn="0" w:lastRowLastColumn="0"/>
        </w:trPr>
        <w:tc>
          <w:tcPr>
            <w:tcW w:w="691" w:type="dxa"/>
            <w:shd w:val="clear" w:color="auto" w:fill="FFFFFF" w:themeFill="background1"/>
            <w:vAlign w:val="top"/>
          </w:tcPr>
          <w:p w14:paraId="54E69A07" w14:textId="52E0A399" w:rsidR="001B438F" w:rsidRPr="00624582" w:rsidRDefault="001B438F" w:rsidP="001B438F">
            <w:pPr>
              <w:pStyle w:val="TableText0"/>
              <w:jc w:val="center"/>
              <w:rPr>
                <w:color w:val="000000"/>
                <w:sz w:val="22"/>
                <w:szCs w:val="22"/>
              </w:rPr>
            </w:pPr>
            <w:r w:rsidRPr="00624582">
              <w:rPr>
                <w:color w:val="000000"/>
                <w:sz w:val="22"/>
                <w:szCs w:val="22"/>
              </w:rPr>
              <w:t>CSD 13</w:t>
            </w:r>
          </w:p>
        </w:tc>
        <w:tc>
          <w:tcPr>
            <w:tcW w:w="1108" w:type="dxa"/>
            <w:shd w:val="clear" w:color="auto" w:fill="FFFFFF" w:themeFill="background1"/>
            <w:vAlign w:val="top"/>
          </w:tcPr>
          <w:p w14:paraId="2DAFD683" w14:textId="54FAC10E" w:rsidR="001B438F" w:rsidRPr="00624582" w:rsidRDefault="001B438F" w:rsidP="001B438F">
            <w:pPr>
              <w:pStyle w:val="TableText0"/>
              <w:jc w:val="center"/>
              <w:rPr>
                <w:sz w:val="22"/>
                <w:szCs w:val="22"/>
              </w:rPr>
            </w:pPr>
            <w:r w:rsidRPr="00624582">
              <w:rPr>
                <w:sz w:val="22"/>
                <w:szCs w:val="22"/>
              </w:rPr>
              <w:t>03/03/21</w:t>
            </w:r>
          </w:p>
        </w:tc>
        <w:tc>
          <w:tcPr>
            <w:tcW w:w="1498" w:type="dxa"/>
            <w:shd w:val="clear" w:color="auto" w:fill="FFFFFF" w:themeFill="background1"/>
            <w:vAlign w:val="top"/>
          </w:tcPr>
          <w:p w14:paraId="4DC51C82" w14:textId="789B15F1" w:rsidR="001B438F" w:rsidRPr="00624582" w:rsidRDefault="001B438F" w:rsidP="001B438F">
            <w:pPr>
              <w:pStyle w:val="TableText0"/>
              <w:jc w:val="center"/>
              <w:rPr>
                <w:sz w:val="22"/>
                <w:szCs w:val="22"/>
              </w:rPr>
            </w:pPr>
            <w:r w:rsidRPr="00624582">
              <w:rPr>
                <w:sz w:val="22"/>
                <w:szCs w:val="22"/>
              </w:rPr>
              <w:t>Mark Parton MLA</w:t>
            </w:r>
          </w:p>
        </w:tc>
        <w:tc>
          <w:tcPr>
            <w:tcW w:w="1655" w:type="dxa"/>
            <w:shd w:val="clear" w:color="auto" w:fill="FFFFFF" w:themeFill="background1"/>
            <w:vAlign w:val="top"/>
          </w:tcPr>
          <w:p w14:paraId="1DE3748E" w14:textId="7D3F0A56" w:rsidR="001B438F" w:rsidRPr="00624582" w:rsidRDefault="001B438F" w:rsidP="001B438F">
            <w:pPr>
              <w:pStyle w:val="TableText0"/>
              <w:jc w:val="center"/>
              <w:rPr>
                <w:sz w:val="22"/>
                <w:szCs w:val="22"/>
              </w:rPr>
            </w:pPr>
            <w:r w:rsidRPr="00624582">
              <w:rPr>
                <w:rFonts w:asciiTheme="minorHAnsi" w:hAnsiTheme="minorHAnsi" w:cstheme="minorHAnsi"/>
                <w:sz w:val="22"/>
                <w:szCs w:val="22"/>
              </w:rPr>
              <w:t>Community Services Directorate</w:t>
            </w:r>
          </w:p>
        </w:tc>
        <w:tc>
          <w:tcPr>
            <w:tcW w:w="2781" w:type="dxa"/>
            <w:shd w:val="clear" w:color="auto" w:fill="FFFFFF" w:themeFill="background1"/>
          </w:tcPr>
          <w:p w14:paraId="3B9E7E46" w14:textId="77777777" w:rsidR="000378C8" w:rsidRPr="00624582" w:rsidRDefault="000378C8" w:rsidP="000378C8">
            <w:pPr>
              <w:pStyle w:val="TableText0"/>
              <w:rPr>
                <w:rFonts w:asciiTheme="minorHAnsi" w:eastAsiaTheme="minorHAnsi" w:hAnsiTheme="minorHAnsi" w:cstheme="minorHAnsi"/>
                <w:sz w:val="22"/>
                <w:szCs w:val="22"/>
              </w:rPr>
            </w:pPr>
            <w:r w:rsidRPr="00624582">
              <w:rPr>
                <w:rFonts w:asciiTheme="minorHAnsi" w:eastAsiaTheme="minorHAnsi" w:hAnsiTheme="minorHAnsi" w:cstheme="minorHAnsi"/>
                <w:sz w:val="22"/>
                <w:szCs w:val="22"/>
              </w:rPr>
              <w:t>There were a number of locks on certain stairwells, in Condamine Court, specifically</w:t>
            </w:r>
          </w:p>
          <w:p w14:paraId="4A5F0E35" w14:textId="77777777" w:rsidR="000378C8" w:rsidRPr="00624582" w:rsidRDefault="000378C8" w:rsidP="000378C8">
            <w:pPr>
              <w:pStyle w:val="TableText0"/>
              <w:rPr>
                <w:rFonts w:asciiTheme="minorHAnsi" w:eastAsiaTheme="minorHAnsi" w:hAnsiTheme="minorHAnsi" w:cstheme="minorHAnsi"/>
                <w:sz w:val="22"/>
                <w:szCs w:val="22"/>
              </w:rPr>
            </w:pPr>
            <w:r w:rsidRPr="00624582">
              <w:rPr>
                <w:rFonts w:asciiTheme="minorHAnsi" w:eastAsiaTheme="minorHAnsi" w:hAnsiTheme="minorHAnsi" w:cstheme="minorHAnsi"/>
                <w:sz w:val="22"/>
                <w:szCs w:val="22"/>
              </w:rPr>
              <w:t>one leading to an Aged Persons area, which were broken around 11/12 February 2021. Can anyone</w:t>
            </w:r>
          </w:p>
          <w:p w14:paraId="39FB3072" w14:textId="3BB0EBBC" w:rsidR="001B438F" w:rsidRPr="00624582" w:rsidRDefault="000378C8" w:rsidP="000378C8">
            <w:pPr>
              <w:pStyle w:val="TableText0"/>
              <w:rPr>
                <w:rFonts w:asciiTheme="minorHAnsi" w:eastAsiaTheme="minorHAnsi" w:hAnsiTheme="minorHAnsi" w:cstheme="minorHAnsi"/>
                <w:sz w:val="22"/>
                <w:szCs w:val="22"/>
              </w:rPr>
            </w:pPr>
            <w:r w:rsidRPr="00624582">
              <w:rPr>
                <w:rFonts w:asciiTheme="minorHAnsi" w:eastAsiaTheme="minorHAnsi" w:hAnsiTheme="minorHAnsi" w:cstheme="minorHAnsi"/>
                <w:sz w:val="22"/>
                <w:szCs w:val="22"/>
              </w:rPr>
              <w:t>confirm if these locks have been refitted/replaced/repaired?</w:t>
            </w:r>
          </w:p>
        </w:tc>
        <w:tc>
          <w:tcPr>
            <w:tcW w:w="1220" w:type="dxa"/>
            <w:shd w:val="clear" w:color="auto" w:fill="FFFFFF" w:themeFill="background1"/>
          </w:tcPr>
          <w:p w14:paraId="747E5C7A" w14:textId="14FA2475" w:rsidR="001B438F" w:rsidRPr="00624582" w:rsidRDefault="001C3EFA" w:rsidP="001B438F">
            <w:pPr>
              <w:pStyle w:val="TableText0"/>
              <w:jc w:val="center"/>
              <w:rPr>
                <w:sz w:val="22"/>
                <w:szCs w:val="22"/>
              </w:rPr>
            </w:pPr>
            <w:r w:rsidRPr="00624582">
              <w:rPr>
                <w:sz w:val="22"/>
                <w:szCs w:val="22"/>
              </w:rPr>
              <w:t>12/02/21</w:t>
            </w:r>
          </w:p>
        </w:tc>
      </w:tr>
      <w:tr w:rsidR="001B438F" w:rsidRPr="00624582" w14:paraId="64EC2524" w14:textId="77777777" w:rsidTr="00E07D72">
        <w:tc>
          <w:tcPr>
            <w:tcW w:w="691" w:type="dxa"/>
            <w:vAlign w:val="top"/>
          </w:tcPr>
          <w:p w14:paraId="47705E24" w14:textId="61597598" w:rsidR="001B438F" w:rsidRPr="00624582" w:rsidRDefault="001B438F" w:rsidP="001B438F">
            <w:pPr>
              <w:pStyle w:val="TableText0"/>
              <w:jc w:val="center"/>
              <w:rPr>
                <w:color w:val="000000"/>
                <w:szCs w:val="22"/>
              </w:rPr>
            </w:pPr>
            <w:r w:rsidRPr="00624582">
              <w:rPr>
                <w:color w:val="000000"/>
                <w:szCs w:val="22"/>
              </w:rPr>
              <w:t>CSD 14</w:t>
            </w:r>
          </w:p>
        </w:tc>
        <w:tc>
          <w:tcPr>
            <w:tcW w:w="1108" w:type="dxa"/>
            <w:vAlign w:val="top"/>
          </w:tcPr>
          <w:p w14:paraId="3CD8661E" w14:textId="32CD0942" w:rsidR="001B438F" w:rsidRPr="00624582" w:rsidRDefault="001B438F" w:rsidP="001B438F">
            <w:pPr>
              <w:pStyle w:val="TableText0"/>
              <w:jc w:val="center"/>
              <w:rPr>
                <w:szCs w:val="22"/>
              </w:rPr>
            </w:pPr>
            <w:r w:rsidRPr="00624582">
              <w:rPr>
                <w:szCs w:val="22"/>
              </w:rPr>
              <w:t>03/03/21</w:t>
            </w:r>
          </w:p>
        </w:tc>
        <w:tc>
          <w:tcPr>
            <w:tcW w:w="1498" w:type="dxa"/>
            <w:vAlign w:val="top"/>
          </w:tcPr>
          <w:p w14:paraId="54D25AF9" w14:textId="35ECFBF3" w:rsidR="001B438F" w:rsidRPr="00624582" w:rsidRDefault="001B438F" w:rsidP="001B438F">
            <w:pPr>
              <w:pStyle w:val="TableText0"/>
              <w:jc w:val="center"/>
              <w:rPr>
                <w:szCs w:val="22"/>
              </w:rPr>
            </w:pPr>
            <w:r w:rsidRPr="00624582">
              <w:rPr>
                <w:szCs w:val="22"/>
              </w:rPr>
              <w:t xml:space="preserve">Michael </w:t>
            </w:r>
            <w:r w:rsidR="005A1F32" w:rsidRPr="00624582">
              <w:rPr>
                <w:szCs w:val="22"/>
              </w:rPr>
              <w:t>Petters</w:t>
            </w:r>
            <w:r w:rsidR="005A1F32">
              <w:rPr>
                <w:szCs w:val="22"/>
              </w:rPr>
              <w:t>s</w:t>
            </w:r>
            <w:r w:rsidR="005A1F32" w:rsidRPr="00624582">
              <w:rPr>
                <w:szCs w:val="22"/>
              </w:rPr>
              <w:t>on</w:t>
            </w:r>
            <w:r w:rsidRPr="00624582">
              <w:rPr>
                <w:szCs w:val="22"/>
              </w:rPr>
              <w:t xml:space="preserve"> MLA</w:t>
            </w:r>
          </w:p>
        </w:tc>
        <w:tc>
          <w:tcPr>
            <w:tcW w:w="1655" w:type="dxa"/>
            <w:vAlign w:val="top"/>
          </w:tcPr>
          <w:p w14:paraId="24F8E6A3" w14:textId="767C85AB" w:rsidR="001B438F" w:rsidRPr="00624582" w:rsidRDefault="001B438F" w:rsidP="001B438F">
            <w:pPr>
              <w:pStyle w:val="TableText0"/>
              <w:jc w:val="center"/>
              <w:rPr>
                <w:szCs w:val="22"/>
              </w:rPr>
            </w:pPr>
            <w:r w:rsidRPr="00624582">
              <w:rPr>
                <w:rFonts w:asciiTheme="minorHAnsi" w:hAnsiTheme="minorHAnsi" w:cstheme="minorHAnsi"/>
                <w:szCs w:val="22"/>
              </w:rPr>
              <w:t>Community Services Directorate</w:t>
            </w:r>
          </w:p>
        </w:tc>
        <w:tc>
          <w:tcPr>
            <w:tcW w:w="2781" w:type="dxa"/>
          </w:tcPr>
          <w:p w14:paraId="585B65E5" w14:textId="646B4F1C" w:rsidR="000378C8" w:rsidRPr="00624582" w:rsidRDefault="000378C8" w:rsidP="000378C8">
            <w:pPr>
              <w:pStyle w:val="TableText0"/>
              <w:rPr>
                <w:rFonts w:asciiTheme="minorHAnsi" w:eastAsiaTheme="minorHAnsi" w:hAnsiTheme="minorHAnsi" w:cstheme="minorHAnsi"/>
                <w:szCs w:val="22"/>
              </w:rPr>
            </w:pPr>
            <w:r w:rsidRPr="00624582">
              <w:rPr>
                <w:rFonts w:asciiTheme="minorHAnsi" w:eastAsiaTheme="minorHAnsi" w:hAnsiTheme="minorHAnsi" w:cstheme="minorHAnsi"/>
                <w:szCs w:val="22"/>
              </w:rPr>
              <w:t xml:space="preserve">Housing ACT </w:t>
            </w:r>
            <w:r w:rsidR="00DC4FFF" w:rsidRPr="00624582">
              <w:rPr>
                <w:rFonts w:asciiTheme="minorHAnsi" w:eastAsiaTheme="minorHAnsi" w:hAnsiTheme="minorHAnsi" w:cstheme="minorHAnsi"/>
                <w:szCs w:val="22"/>
              </w:rPr>
              <w:t>rental</w:t>
            </w:r>
            <w:r w:rsidRPr="00624582">
              <w:rPr>
                <w:rFonts w:asciiTheme="minorHAnsi" w:eastAsiaTheme="minorHAnsi" w:hAnsiTheme="minorHAnsi" w:cstheme="minorHAnsi"/>
                <w:szCs w:val="22"/>
              </w:rPr>
              <w:t xml:space="preserve"> rebate policy.</w:t>
            </w:r>
          </w:p>
          <w:p w14:paraId="34219FD3" w14:textId="769ACE9A" w:rsidR="000378C8" w:rsidRPr="00624582" w:rsidRDefault="000378C8" w:rsidP="000378C8">
            <w:pPr>
              <w:pStyle w:val="TableText0"/>
              <w:rPr>
                <w:rFonts w:asciiTheme="minorHAnsi" w:eastAsiaTheme="minorHAnsi" w:hAnsiTheme="minorHAnsi" w:cstheme="minorHAnsi"/>
                <w:szCs w:val="22"/>
              </w:rPr>
            </w:pPr>
            <w:r w:rsidRPr="00624582">
              <w:rPr>
                <w:rFonts w:asciiTheme="minorHAnsi" w:eastAsiaTheme="minorHAnsi" w:hAnsiTheme="minorHAnsi" w:cstheme="minorHAnsi"/>
                <w:szCs w:val="22"/>
              </w:rPr>
              <w:t>a) There is a clause where a tenant who is a member of a union engaged in a 'strike' will not be</w:t>
            </w:r>
            <w:r w:rsidR="00DC4FFF">
              <w:rPr>
                <w:rFonts w:asciiTheme="minorHAnsi" w:eastAsiaTheme="minorHAnsi" w:hAnsiTheme="minorHAnsi" w:cstheme="minorHAnsi"/>
                <w:szCs w:val="22"/>
              </w:rPr>
              <w:t xml:space="preserve"> </w:t>
            </w:r>
            <w:r w:rsidRPr="00624582">
              <w:rPr>
                <w:rFonts w:asciiTheme="minorHAnsi" w:eastAsiaTheme="minorHAnsi" w:hAnsiTheme="minorHAnsi" w:cstheme="minorHAnsi"/>
                <w:szCs w:val="22"/>
              </w:rPr>
              <w:t>granted a rebate for that period. Can you provide me more information on this?</w:t>
            </w:r>
          </w:p>
          <w:p w14:paraId="7BB4CF6E" w14:textId="632246C1" w:rsidR="001B438F" w:rsidRPr="00624582" w:rsidRDefault="000378C8" w:rsidP="000378C8">
            <w:pPr>
              <w:pStyle w:val="TableText0"/>
              <w:rPr>
                <w:rFonts w:asciiTheme="minorHAnsi" w:eastAsiaTheme="minorHAnsi" w:hAnsiTheme="minorHAnsi" w:cstheme="minorHAnsi"/>
                <w:szCs w:val="22"/>
              </w:rPr>
            </w:pPr>
            <w:r w:rsidRPr="00624582">
              <w:rPr>
                <w:rFonts w:asciiTheme="minorHAnsi" w:eastAsiaTheme="minorHAnsi" w:hAnsiTheme="minorHAnsi" w:cstheme="minorHAnsi"/>
                <w:szCs w:val="22"/>
              </w:rPr>
              <w:t>b) In regard to the Fluctuating Income clause, why is the voluntarily reducing income different?</w:t>
            </w:r>
          </w:p>
        </w:tc>
        <w:tc>
          <w:tcPr>
            <w:tcW w:w="1220" w:type="dxa"/>
          </w:tcPr>
          <w:p w14:paraId="6286B575" w14:textId="3C7955DF" w:rsidR="001B438F" w:rsidRPr="00624582" w:rsidRDefault="001C3EFA" w:rsidP="001B438F">
            <w:pPr>
              <w:pStyle w:val="TableText0"/>
              <w:jc w:val="center"/>
              <w:rPr>
                <w:szCs w:val="22"/>
              </w:rPr>
            </w:pPr>
            <w:r w:rsidRPr="00624582">
              <w:rPr>
                <w:szCs w:val="22"/>
              </w:rPr>
              <w:t>12/03/21</w:t>
            </w:r>
          </w:p>
        </w:tc>
      </w:tr>
    </w:tbl>
    <w:p w14:paraId="47B31712" w14:textId="77777777" w:rsidR="00D77402" w:rsidRDefault="00D77402">
      <w:pPr>
        <w:spacing w:after="160" w:line="259" w:lineRule="auto"/>
      </w:pPr>
    </w:p>
    <w:p w14:paraId="0E8FB595" w14:textId="4398A334" w:rsidR="005A1F32" w:rsidRDefault="00D77402">
      <w:pPr>
        <w:spacing w:after="160" w:line="259" w:lineRule="auto"/>
      </w:pPr>
      <w:r>
        <w:t xml:space="preserve">Answers to all </w:t>
      </w:r>
      <w:proofErr w:type="spellStart"/>
      <w:r>
        <w:t>QToNs</w:t>
      </w:r>
      <w:proofErr w:type="spellEnd"/>
      <w:r>
        <w:t xml:space="preserve"> are at </w:t>
      </w:r>
      <w:hyperlink r:id="rId35" w:history="1">
        <w:r w:rsidR="005A1F32" w:rsidRPr="00D3791D">
          <w:rPr>
            <w:rStyle w:val="Hyperlink"/>
          </w:rPr>
          <w:t>https://www.parliament.act.gov.au/parliamentary-business/in-committees/committees/hcw/inquiries-into-annual-and-financial-reports-20192020-and-act-budget-20202021</w:t>
        </w:r>
      </w:hyperlink>
    </w:p>
    <w:p w14:paraId="72A508CA" w14:textId="2131CCEF" w:rsidR="00124C11" w:rsidRDefault="00124C11">
      <w:pPr>
        <w:spacing w:after="160" w:line="259" w:lineRule="auto"/>
      </w:pPr>
      <w:r>
        <w:br w:type="page"/>
      </w:r>
    </w:p>
    <w:p w14:paraId="1695AFC9" w14:textId="277CB959" w:rsidR="007C7F26" w:rsidRDefault="007C7F26" w:rsidP="00B1748E">
      <w:pPr>
        <w:pStyle w:val="AppendixHeading1"/>
        <w:numPr>
          <w:ilvl w:val="7"/>
          <w:numId w:val="5"/>
        </w:numPr>
        <w:tabs>
          <w:tab w:val="num" w:pos="2268"/>
        </w:tabs>
      </w:pPr>
      <w:bookmarkStart w:id="146" w:name="_Toc68848983"/>
      <w:r>
        <w:t>Schedule of Questions on Notice</w:t>
      </w:r>
      <w:bookmarkEnd w:id="146"/>
    </w:p>
    <w:p w14:paraId="5548DDBD" w14:textId="77777777" w:rsidR="00A119A5" w:rsidRPr="00903F72" w:rsidRDefault="00A119A5" w:rsidP="00A119A5">
      <w:pPr>
        <w:pStyle w:val="Caption"/>
        <w:rPr>
          <w:b/>
          <w:bCs w:val="0"/>
        </w:rPr>
      </w:pPr>
      <w:r w:rsidRPr="00903F72">
        <w:rPr>
          <w:b/>
          <w:bCs w:val="0"/>
        </w:rPr>
        <w:t>Community Services Directorate</w:t>
      </w:r>
    </w:p>
    <w:p w14:paraId="4012FB79" w14:textId="12446952" w:rsidR="00E07D72" w:rsidRPr="00E07D72" w:rsidRDefault="00E07D72" w:rsidP="00E07D72">
      <w:pPr>
        <w:ind w:firstLine="680"/>
        <w:rPr>
          <w:rFonts w:ascii="Arial Narrow" w:hAnsi="Arial Narrow"/>
          <w:sz w:val="26"/>
          <w:szCs w:val="26"/>
        </w:rPr>
      </w:pPr>
    </w:p>
    <w:tbl>
      <w:tblPr>
        <w:tblStyle w:val="CommitteeTable"/>
        <w:tblW w:w="8277" w:type="dxa"/>
        <w:tblInd w:w="108" w:type="dxa"/>
        <w:tblLook w:val="04A0" w:firstRow="1" w:lastRow="0" w:firstColumn="1" w:lastColumn="0" w:noHBand="0" w:noVBand="1"/>
      </w:tblPr>
      <w:tblGrid>
        <w:gridCol w:w="691"/>
        <w:gridCol w:w="1498"/>
        <w:gridCol w:w="1977"/>
        <w:gridCol w:w="4111"/>
      </w:tblGrid>
      <w:tr w:rsidR="002D39FA" w14:paraId="74F9C5E3" w14:textId="77777777" w:rsidTr="00486EA0">
        <w:trPr>
          <w:cnfStyle w:val="100000000000" w:firstRow="1" w:lastRow="0" w:firstColumn="0" w:lastColumn="0" w:oddVBand="0" w:evenVBand="0" w:oddHBand="0" w:evenHBand="0" w:firstRowFirstColumn="0" w:firstRowLastColumn="0" w:lastRowFirstColumn="0" w:lastRowLastColumn="0"/>
        </w:trPr>
        <w:tc>
          <w:tcPr>
            <w:tcW w:w="691" w:type="dxa"/>
            <w:tcBorders>
              <w:bottom w:val="single" w:sz="4" w:space="0" w:color="auto"/>
            </w:tcBorders>
          </w:tcPr>
          <w:p w14:paraId="7123A5C9" w14:textId="77777777" w:rsidR="002D39FA" w:rsidRPr="00640E82" w:rsidRDefault="002D39FA" w:rsidP="00E07D72">
            <w:pPr>
              <w:spacing w:after="80" w:line="288" w:lineRule="auto"/>
              <w:jc w:val="center"/>
              <w:rPr>
                <w:rFonts w:ascii="Arial Narrow" w:hAnsi="Arial Narrow"/>
              </w:rPr>
            </w:pPr>
            <w:r w:rsidRPr="00640E82">
              <w:rPr>
                <w:rFonts w:ascii="Arial Narrow" w:hAnsi="Arial Narrow"/>
              </w:rPr>
              <w:t>No.</w:t>
            </w:r>
          </w:p>
        </w:tc>
        <w:tc>
          <w:tcPr>
            <w:tcW w:w="1498" w:type="dxa"/>
            <w:tcBorders>
              <w:bottom w:val="single" w:sz="4" w:space="0" w:color="auto"/>
            </w:tcBorders>
          </w:tcPr>
          <w:p w14:paraId="2186081D" w14:textId="77777777" w:rsidR="002D39FA" w:rsidRPr="00640E82" w:rsidRDefault="002D39FA" w:rsidP="00E07D72">
            <w:pPr>
              <w:spacing w:after="80" w:line="288" w:lineRule="auto"/>
              <w:jc w:val="center"/>
              <w:rPr>
                <w:rFonts w:ascii="Arial Narrow" w:hAnsi="Arial Narrow"/>
              </w:rPr>
            </w:pPr>
            <w:r w:rsidRPr="00640E82">
              <w:rPr>
                <w:rFonts w:ascii="Arial Narrow" w:hAnsi="Arial Narrow"/>
              </w:rPr>
              <w:t>Asked by</w:t>
            </w:r>
          </w:p>
        </w:tc>
        <w:tc>
          <w:tcPr>
            <w:tcW w:w="1977" w:type="dxa"/>
            <w:tcBorders>
              <w:bottom w:val="single" w:sz="4" w:space="0" w:color="auto"/>
            </w:tcBorders>
          </w:tcPr>
          <w:p w14:paraId="2DF20519" w14:textId="77777777" w:rsidR="002D39FA" w:rsidRPr="00640E82" w:rsidRDefault="002D39FA" w:rsidP="00E07D72">
            <w:pPr>
              <w:spacing w:after="80" w:line="288" w:lineRule="auto"/>
              <w:jc w:val="center"/>
              <w:rPr>
                <w:rFonts w:ascii="Arial Narrow" w:hAnsi="Arial Narrow"/>
              </w:rPr>
            </w:pPr>
            <w:r w:rsidRPr="00640E82">
              <w:rPr>
                <w:rFonts w:ascii="Arial Narrow" w:hAnsi="Arial Narrow"/>
              </w:rPr>
              <w:t>Directorate/</w:t>
            </w:r>
            <w:r w:rsidRPr="00640E82">
              <w:rPr>
                <w:rFonts w:ascii="Arial Narrow" w:hAnsi="Arial Narrow"/>
              </w:rPr>
              <w:br/>
              <w:t>Portfolio</w:t>
            </w:r>
          </w:p>
        </w:tc>
        <w:tc>
          <w:tcPr>
            <w:tcW w:w="4111" w:type="dxa"/>
            <w:tcBorders>
              <w:bottom w:val="single" w:sz="4" w:space="0" w:color="auto"/>
            </w:tcBorders>
          </w:tcPr>
          <w:p w14:paraId="38BA4B47" w14:textId="77777777" w:rsidR="002D39FA" w:rsidRPr="00640E82" w:rsidRDefault="002D39FA" w:rsidP="00E07D72">
            <w:pPr>
              <w:spacing w:after="80" w:line="288" w:lineRule="auto"/>
              <w:rPr>
                <w:rFonts w:ascii="Arial Narrow" w:hAnsi="Arial Narrow"/>
              </w:rPr>
            </w:pPr>
            <w:r w:rsidRPr="00640E82">
              <w:rPr>
                <w:rFonts w:ascii="Arial Narrow" w:hAnsi="Arial Narrow"/>
              </w:rPr>
              <w:t>Subject</w:t>
            </w:r>
          </w:p>
        </w:tc>
      </w:tr>
      <w:tr w:rsidR="002D39FA" w14:paraId="1868C160" w14:textId="77777777" w:rsidTr="00486EA0">
        <w:trPr>
          <w:cnfStyle w:val="000000100000" w:firstRow="0" w:lastRow="0" w:firstColumn="0" w:lastColumn="0" w:oddVBand="0" w:evenVBand="0" w:oddHBand="1" w:evenHBand="0" w:firstRowFirstColumn="0" w:firstRowLastColumn="0" w:lastRowFirstColumn="0" w:lastRowLastColumn="0"/>
        </w:trPr>
        <w:tc>
          <w:tcPr>
            <w:tcW w:w="691" w:type="dxa"/>
            <w:shd w:val="clear" w:color="auto" w:fill="FFFFFF" w:themeFill="background1"/>
            <w:vAlign w:val="top"/>
          </w:tcPr>
          <w:p w14:paraId="2D298A48" w14:textId="2762C6FE" w:rsidR="002D39FA" w:rsidRPr="00B172DC" w:rsidRDefault="002D39FA" w:rsidP="00E07D72">
            <w:pPr>
              <w:pStyle w:val="TableText0"/>
              <w:jc w:val="center"/>
              <w:rPr>
                <w:rFonts w:asciiTheme="minorHAnsi" w:hAnsiTheme="minorHAnsi" w:cstheme="minorHAnsi"/>
                <w:sz w:val="22"/>
                <w:szCs w:val="22"/>
              </w:rPr>
            </w:pPr>
            <w:r w:rsidRPr="00B172DC">
              <w:rPr>
                <w:rFonts w:asciiTheme="minorHAnsi" w:hAnsiTheme="minorHAnsi" w:cstheme="minorHAnsi"/>
                <w:sz w:val="22"/>
                <w:szCs w:val="22"/>
              </w:rPr>
              <w:t>CSD 1</w:t>
            </w:r>
          </w:p>
        </w:tc>
        <w:tc>
          <w:tcPr>
            <w:tcW w:w="1498" w:type="dxa"/>
            <w:shd w:val="clear" w:color="auto" w:fill="FFFFFF" w:themeFill="background1"/>
            <w:vAlign w:val="top"/>
          </w:tcPr>
          <w:p w14:paraId="06C34FA1" w14:textId="01373D71" w:rsidR="002D39FA" w:rsidRPr="00B172DC" w:rsidRDefault="002D39FA" w:rsidP="00E07D72">
            <w:pPr>
              <w:pStyle w:val="TableText0"/>
              <w:jc w:val="center"/>
              <w:rPr>
                <w:rFonts w:asciiTheme="minorHAnsi" w:hAnsiTheme="minorHAnsi" w:cstheme="minorHAnsi"/>
                <w:sz w:val="22"/>
                <w:szCs w:val="22"/>
              </w:rPr>
            </w:pPr>
            <w:r w:rsidRPr="00B172DC">
              <w:rPr>
                <w:rFonts w:asciiTheme="minorHAnsi" w:hAnsiTheme="minorHAnsi" w:cstheme="minorHAnsi"/>
                <w:sz w:val="22"/>
                <w:szCs w:val="22"/>
              </w:rPr>
              <w:t>Davis MLA</w:t>
            </w:r>
          </w:p>
        </w:tc>
        <w:tc>
          <w:tcPr>
            <w:tcW w:w="1977" w:type="dxa"/>
            <w:shd w:val="clear" w:color="auto" w:fill="FFFFFF" w:themeFill="background1"/>
            <w:vAlign w:val="top"/>
          </w:tcPr>
          <w:p w14:paraId="0DD28B03" w14:textId="0D22279A" w:rsidR="002D39FA" w:rsidRPr="00B172DC" w:rsidRDefault="002D39FA" w:rsidP="00E07D72">
            <w:pPr>
              <w:pStyle w:val="TableText0"/>
              <w:jc w:val="center"/>
              <w:rPr>
                <w:rFonts w:asciiTheme="minorHAnsi" w:hAnsiTheme="minorHAnsi" w:cstheme="minorHAnsi"/>
                <w:sz w:val="22"/>
                <w:szCs w:val="22"/>
              </w:rPr>
            </w:pPr>
            <w:r w:rsidRPr="00B172DC">
              <w:rPr>
                <w:rFonts w:asciiTheme="minorHAnsi" w:hAnsiTheme="minorHAnsi" w:cstheme="minorHAnsi"/>
                <w:sz w:val="22"/>
                <w:szCs w:val="22"/>
              </w:rPr>
              <w:t>Community Services Directorate</w:t>
            </w:r>
          </w:p>
        </w:tc>
        <w:tc>
          <w:tcPr>
            <w:tcW w:w="4111" w:type="dxa"/>
            <w:shd w:val="clear" w:color="auto" w:fill="FFFFFF" w:themeFill="background1"/>
            <w:vAlign w:val="top"/>
          </w:tcPr>
          <w:p w14:paraId="612BBC6B" w14:textId="798EE122" w:rsidR="002D39FA" w:rsidRPr="00B172DC" w:rsidRDefault="002D39FA" w:rsidP="00E07D72">
            <w:pPr>
              <w:pStyle w:val="TableText0"/>
              <w:rPr>
                <w:rFonts w:asciiTheme="minorHAnsi" w:hAnsiTheme="minorHAnsi" w:cstheme="minorHAnsi"/>
                <w:sz w:val="22"/>
                <w:szCs w:val="22"/>
              </w:rPr>
            </w:pPr>
            <w:r w:rsidRPr="00B172DC">
              <w:rPr>
                <w:rFonts w:asciiTheme="minorHAnsi" w:hAnsiTheme="minorHAnsi" w:cstheme="minorHAnsi"/>
                <w:sz w:val="22"/>
                <w:szCs w:val="22"/>
              </w:rPr>
              <w:t>Community expectations - adoptions</w:t>
            </w:r>
          </w:p>
        </w:tc>
      </w:tr>
      <w:tr w:rsidR="002D39FA" w14:paraId="48289B92" w14:textId="77777777" w:rsidTr="00486EA0">
        <w:tc>
          <w:tcPr>
            <w:tcW w:w="691" w:type="dxa"/>
            <w:shd w:val="clear" w:color="auto" w:fill="FFFFFF" w:themeFill="background1"/>
            <w:vAlign w:val="top"/>
          </w:tcPr>
          <w:p w14:paraId="05CF4D48" w14:textId="1378B43A" w:rsidR="002D39FA" w:rsidRPr="00B172DC" w:rsidRDefault="002D39FA" w:rsidP="00B172DC">
            <w:pPr>
              <w:pStyle w:val="TableText0"/>
              <w:jc w:val="center"/>
              <w:rPr>
                <w:rFonts w:asciiTheme="minorHAnsi" w:hAnsiTheme="minorHAnsi" w:cstheme="minorHAnsi"/>
                <w:szCs w:val="22"/>
              </w:rPr>
            </w:pPr>
            <w:r w:rsidRPr="00B172DC">
              <w:rPr>
                <w:rFonts w:asciiTheme="minorHAnsi" w:hAnsiTheme="minorHAnsi" w:cstheme="minorHAnsi"/>
                <w:szCs w:val="22"/>
              </w:rPr>
              <w:t>CSD 2</w:t>
            </w:r>
          </w:p>
        </w:tc>
        <w:tc>
          <w:tcPr>
            <w:tcW w:w="1498" w:type="dxa"/>
            <w:shd w:val="clear" w:color="auto" w:fill="FFFFFF" w:themeFill="background1"/>
            <w:vAlign w:val="top"/>
          </w:tcPr>
          <w:p w14:paraId="7BBE6EB4" w14:textId="3F3CC8FB" w:rsidR="002D39FA" w:rsidRPr="00B172DC" w:rsidRDefault="002D39FA" w:rsidP="00B172DC">
            <w:pPr>
              <w:pStyle w:val="TableText0"/>
              <w:jc w:val="center"/>
              <w:rPr>
                <w:rFonts w:asciiTheme="minorHAnsi" w:hAnsiTheme="minorHAnsi" w:cstheme="minorHAnsi"/>
                <w:szCs w:val="22"/>
              </w:rPr>
            </w:pPr>
            <w:r w:rsidRPr="00B172DC">
              <w:rPr>
                <w:rFonts w:asciiTheme="minorHAnsi" w:hAnsiTheme="minorHAnsi" w:cstheme="minorHAnsi"/>
                <w:szCs w:val="22"/>
              </w:rPr>
              <w:t>Davis MLA</w:t>
            </w:r>
          </w:p>
        </w:tc>
        <w:tc>
          <w:tcPr>
            <w:tcW w:w="1977" w:type="dxa"/>
            <w:shd w:val="clear" w:color="auto" w:fill="FFFFFF" w:themeFill="background1"/>
            <w:vAlign w:val="top"/>
          </w:tcPr>
          <w:p w14:paraId="53A9F297" w14:textId="7255EC59" w:rsidR="002D39FA" w:rsidRPr="00B172DC" w:rsidRDefault="002D39FA" w:rsidP="00B172DC">
            <w:pPr>
              <w:pStyle w:val="TableText0"/>
              <w:jc w:val="center"/>
              <w:rPr>
                <w:rFonts w:asciiTheme="minorHAnsi" w:hAnsiTheme="minorHAnsi" w:cstheme="minorHAnsi"/>
                <w:szCs w:val="22"/>
              </w:rPr>
            </w:pPr>
            <w:r w:rsidRPr="00B172DC">
              <w:rPr>
                <w:rFonts w:asciiTheme="minorHAnsi" w:hAnsiTheme="minorHAnsi" w:cstheme="minorHAnsi"/>
                <w:szCs w:val="22"/>
              </w:rPr>
              <w:t>Community Services Directorate</w:t>
            </w:r>
          </w:p>
        </w:tc>
        <w:tc>
          <w:tcPr>
            <w:tcW w:w="4111" w:type="dxa"/>
            <w:shd w:val="clear" w:color="auto" w:fill="FFFFFF" w:themeFill="background1"/>
            <w:vAlign w:val="top"/>
          </w:tcPr>
          <w:p w14:paraId="39CC66CB" w14:textId="795FDE78" w:rsidR="002D39FA" w:rsidRPr="00B172DC" w:rsidRDefault="002D39FA" w:rsidP="00B172DC">
            <w:pPr>
              <w:pStyle w:val="TableText0"/>
              <w:rPr>
                <w:rFonts w:asciiTheme="minorHAnsi" w:hAnsiTheme="minorHAnsi" w:cstheme="minorHAnsi"/>
                <w:szCs w:val="22"/>
              </w:rPr>
            </w:pPr>
            <w:r w:rsidRPr="00B172DC">
              <w:rPr>
                <w:rFonts w:asciiTheme="minorHAnsi" w:hAnsiTheme="minorHAnsi" w:cstheme="minorHAnsi"/>
                <w:szCs w:val="22"/>
              </w:rPr>
              <w:t>Test cases – adoption amendments</w:t>
            </w:r>
          </w:p>
        </w:tc>
      </w:tr>
      <w:tr w:rsidR="002D39FA" w14:paraId="018720D7" w14:textId="77777777" w:rsidTr="00486EA0">
        <w:trPr>
          <w:cnfStyle w:val="000000100000" w:firstRow="0" w:lastRow="0" w:firstColumn="0" w:lastColumn="0" w:oddVBand="0" w:evenVBand="0" w:oddHBand="1" w:evenHBand="0" w:firstRowFirstColumn="0" w:firstRowLastColumn="0" w:lastRowFirstColumn="0" w:lastRowLastColumn="0"/>
        </w:trPr>
        <w:tc>
          <w:tcPr>
            <w:tcW w:w="691" w:type="dxa"/>
            <w:shd w:val="clear" w:color="auto" w:fill="FFFFFF" w:themeFill="background1"/>
            <w:vAlign w:val="top"/>
          </w:tcPr>
          <w:p w14:paraId="58E508D4" w14:textId="18A6C028" w:rsidR="002D39FA" w:rsidRPr="00B172DC" w:rsidRDefault="002D39FA" w:rsidP="00B172DC">
            <w:pPr>
              <w:pStyle w:val="TableText0"/>
              <w:jc w:val="center"/>
              <w:rPr>
                <w:rFonts w:asciiTheme="minorHAnsi" w:hAnsiTheme="minorHAnsi" w:cstheme="minorHAnsi"/>
                <w:sz w:val="22"/>
                <w:szCs w:val="22"/>
              </w:rPr>
            </w:pPr>
            <w:r w:rsidRPr="00B172DC">
              <w:rPr>
                <w:rFonts w:asciiTheme="minorHAnsi" w:hAnsiTheme="minorHAnsi" w:cstheme="minorHAnsi"/>
                <w:sz w:val="22"/>
                <w:szCs w:val="22"/>
              </w:rPr>
              <w:t>CSD 3</w:t>
            </w:r>
          </w:p>
        </w:tc>
        <w:tc>
          <w:tcPr>
            <w:tcW w:w="1498" w:type="dxa"/>
            <w:shd w:val="clear" w:color="auto" w:fill="FFFFFF" w:themeFill="background1"/>
            <w:vAlign w:val="top"/>
          </w:tcPr>
          <w:p w14:paraId="75F9A110" w14:textId="19F7101E" w:rsidR="002D39FA" w:rsidRPr="00B172DC" w:rsidRDefault="002D39FA" w:rsidP="00B172DC">
            <w:pPr>
              <w:pStyle w:val="TableText0"/>
              <w:jc w:val="center"/>
              <w:rPr>
                <w:rFonts w:asciiTheme="minorHAnsi" w:hAnsiTheme="minorHAnsi" w:cstheme="minorHAnsi"/>
                <w:sz w:val="22"/>
                <w:szCs w:val="22"/>
              </w:rPr>
            </w:pPr>
            <w:r w:rsidRPr="00B172DC">
              <w:rPr>
                <w:rFonts w:asciiTheme="minorHAnsi" w:hAnsiTheme="minorHAnsi" w:cstheme="minorHAnsi"/>
                <w:sz w:val="22"/>
                <w:szCs w:val="22"/>
              </w:rPr>
              <w:t>Davis MLA</w:t>
            </w:r>
          </w:p>
        </w:tc>
        <w:tc>
          <w:tcPr>
            <w:tcW w:w="1977" w:type="dxa"/>
            <w:shd w:val="clear" w:color="auto" w:fill="FFFFFF" w:themeFill="background1"/>
            <w:vAlign w:val="top"/>
          </w:tcPr>
          <w:p w14:paraId="04A4D229" w14:textId="65591561" w:rsidR="002D39FA" w:rsidRPr="00B172DC" w:rsidRDefault="002D39FA" w:rsidP="00B172DC">
            <w:pPr>
              <w:pStyle w:val="TableText0"/>
              <w:jc w:val="center"/>
              <w:rPr>
                <w:rFonts w:asciiTheme="minorHAnsi" w:hAnsiTheme="minorHAnsi" w:cstheme="minorHAnsi"/>
                <w:sz w:val="22"/>
                <w:szCs w:val="22"/>
              </w:rPr>
            </w:pPr>
            <w:r w:rsidRPr="00B172DC">
              <w:rPr>
                <w:rFonts w:asciiTheme="minorHAnsi" w:hAnsiTheme="minorHAnsi" w:cstheme="minorHAnsi"/>
                <w:sz w:val="22"/>
                <w:szCs w:val="22"/>
              </w:rPr>
              <w:t>Community Services Directorate</w:t>
            </w:r>
          </w:p>
        </w:tc>
        <w:tc>
          <w:tcPr>
            <w:tcW w:w="4111" w:type="dxa"/>
            <w:shd w:val="clear" w:color="auto" w:fill="FFFFFF" w:themeFill="background1"/>
            <w:vAlign w:val="top"/>
          </w:tcPr>
          <w:p w14:paraId="421F1F60" w14:textId="6DE68B04" w:rsidR="002D39FA" w:rsidRPr="00B172DC" w:rsidRDefault="002D39FA" w:rsidP="00B172DC">
            <w:pPr>
              <w:pStyle w:val="TableText0"/>
              <w:rPr>
                <w:rFonts w:asciiTheme="minorHAnsi" w:hAnsiTheme="minorHAnsi" w:cstheme="minorHAnsi"/>
                <w:sz w:val="22"/>
                <w:szCs w:val="22"/>
              </w:rPr>
            </w:pPr>
            <w:r w:rsidRPr="00B172DC">
              <w:rPr>
                <w:rFonts w:asciiTheme="minorHAnsi" w:hAnsiTheme="minorHAnsi" w:cstheme="minorHAnsi"/>
                <w:sz w:val="22"/>
                <w:szCs w:val="22"/>
              </w:rPr>
              <w:t>ACT adoption numbers</w:t>
            </w:r>
          </w:p>
        </w:tc>
      </w:tr>
      <w:tr w:rsidR="002D39FA" w14:paraId="3B2499C8" w14:textId="77777777" w:rsidTr="00486EA0">
        <w:tc>
          <w:tcPr>
            <w:tcW w:w="691" w:type="dxa"/>
            <w:shd w:val="clear" w:color="auto" w:fill="FFFFFF" w:themeFill="background1"/>
            <w:vAlign w:val="top"/>
          </w:tcPr>
          <w:p w14:paraId="38039759" w14:textId="50268304" w:rsidR="002D39FA" w:rsidRPr="00B172DC" w:rsidRDefault="002D39FA" w:rsidP="00B172DC">
            <w:pPr>
              <w:pStyle w:val="TableText0"/>
              <w:jc w:val="center"/>
              <w:rPr>
                <w:rFonts w:asciiTheme="minorHAnsi" w:hAnsiTheme="minorHAnsi" w:cstheme="minorHAnsi"/>
                <w:szCs w:val="22"/>
              </w:rPr>
            </w:pPr>
            <w:r w:rsidRPr="00B172DC">
              <w:rPr>
                <w:rFonts w:asciiTheme="minorHAnsi" w:hAnsiTheme="minorHAnsi" w:cstheme="minorHAnsi"/>
                <w:szCs w:val="22"/>
              </w:rPr>
              <w:t>CSD 4</w:t>
            </w:r>
          </w:p>
        </w:tc>
        <w:tc>
          <w:tcPr>
            <w:tcW w:w="1498" w:type="dxa"/>
            <w:shd w:val="clear" w:color="auto" w:fill="FFFFFF" w:themeFill="background1"/>
            <w:vAlign w:val="top"/>
          </w:tcPr>
          <w:p w14:paraId="1D04222A" w14:textId="3632000D" w:rsidR="002D39FA" w:rsidRPr="00B172DC" w:rsidRDefault="002D39FA" w:rsidP="00B172DC">
            <w:pPr>
              <w:pStyle w:val="TableText0"/>
              <w:jc w:val="center"/>
              <w:rPr>
                <w:rFonts w:asciiTheme="minorHAnsi" w:hAnsiTheme="minorHAnsi" w:cstheme="minorHAnsi"/>
                <w:szCs w:val="22"/>
              </w:rPr>
            </w:pPr>
            <w:r w:rsidRPr="00B172DC">
              <w:rPr>
                <w:rFonts w:asciiTheme="minorHAnsi" w:hAnsiTheme="minorHAnsi" w:cstheme="minorHAnsi"/>
                <w:szCs w:val="22"/>
              </w:rPr>
              <w:t>Davis MLA</w:t>
            </w:r>
          </w:p>
        </w:tc>
        <w:tc>
          <w:tcPr>
            <w:tcW w:w="1977" w:type="dxa"/>
            <w:shd w:val="clear" w:color="auto" w:fill="FFFFFF" w:themeFill="background1"/>
            <w:vAlign w:val="top"/>
          </w:tcPr>
          <w:p w14:paraId="429F59A2" w14:textId="25961E9B" w:rsidR="002D39FA" w:rsidRPr="00B172DC" w:rsidRDefault="002D39FA" w:rsidP="00B172DC">
            <w:pPr>
              <w:pStyle w:val="TableText0"/>
              <w:jc w:val="center"/>
              <w:rPr>
                <w:rFonts w:asciiTheme="minorHAnsi" w:hAnsiTheme="minorHAnsi" w:cstheme="minorHAnsi"/>
                <w:szCs w:val="22"/>
              </w:rPr>
            </w:pPr>
            <w:r w:rsidRPr="00B172DC">
              <w:rPr>
                <w:rFonts w:asciiTheme="minorHAnsi" w:hAnsiTheme="minorHAnsi" w:cstheme="minorHAnsi"/>
                <w:szCs w:val="22"/>
              </w:rPr>
              <w:t>Community Services Directorate</w:t>
            </w:r>
          </w:p>
        </w:tc>
        <w:tc>
          <w:tcPr>
            <w:tcW w:w="4111" w:type="dxa"/>
            <w:shd w:val="clear" w:color="auto" w:fill="FFFFFF" w:themeFill="background1"/>
            <w:vAlign w:val="top"/>
          </w:tcPr>
          <w:p w14:paraId="763E746A" w14:textId="4070082C" w:rsidR="002D39FA" w:rsidRPr="00B172DC" w:rsidRDefault="002D39FA" w:rsidP="00B172DC">
            <w:pPr>
              <w:pStyle w:val="TableText0"/>
              <w:rPr>
                <w:rFonts w:asciiTheme="minorHAnsi" w:hAnsiTheme="minorHAnsi" w:cstheme="minorHAnsi"/>
                <w:szCs w:val="22"/>
              </w:rPr>
            </w:pPr>
            <w:r w:rsidRPr="00B172DC">
              <w:rPr>
                <w:rFonts w:asciiTheme="minorHAnsi" w:hAnsiTheme="minorHAnsi" w:cstheme="minorHAnsi"/>
                <w:szCs w:val="22"/>
              </w:rPr>
              <w:t>ACT adoption waiting numbers</w:t>
            </w:r>
          </w:p>
        </w:tc>
      </w:tr>
      <w:tr w:rsidR="002D39FA" w14:paraId="7B2525CC" w14:textId="77777777" w:rsidTr="00486EA0">
        <w:trPr>
          <w:cnfStyle w:val="000000100000" w:firstRow="0" w:lastRow="0" w:firstColumn="0" w:lastColumn="0" w:oddVBand="0" w:evenVBand="0" w:oddHBand="1" w:evenHBand="0" w:firstRowFirstColumn="0" w:firstRowLastColumn="0" w:lastRowFirstColumn="0" w:lastRowLastColumn="0"/>
        </w:trPr>
        <w:tc>
          <w:tcPr>
            <w:tcW w:w="691" w:type="dxa"/>
            <w:shd w:val="clear" w:color="auto" w:fill="FFFFFF" w:themeFill="background1"/>
            <w:vAlign w:val="top"/>
          </w:tcPr>
          <w:p w14:paraId="04FE288B" w14:textId="707D0B0A" w:rsidR="002D39FA" w:rsidRPr="00B172DC" w:rsidRDefault="002D39FA" w:rsidP="00B172DC">
            <w:pPr>
              <w:pStyle w:val="TableText0"/>
              <w:jc w:val="center"/>
              <w:rPr>
                <w:rFonts w:asciiTheme="minorHAnsi" w:hAnsiTheme="minorHAnsi" w:cstheme="minorHAnsi"/>
                <w:sz w:val="22"/>
                <w:szCs w:val="22"/>
              </w:rPr>
            </w:pPr>
            <w:r w:rsidRPr="00B172DC">
              <w:rPr>
                <w:rFonts w:asciiTheme="minorHAnsi" w:hAnsiTheme="minorHAnsi" w:cstheme="minorHAnsi"/>
                <w:sz w:val="22"/>
                <w:szCs w:val="22"/>
              </w:rPr>
              <w:t>CSD 5</w:t>
            </w:r>
          </w:p>
        </w:tc>
        <w:tc>
          <w:tcPr>
            <w:tcW w:w="1498" w:type="dxa"/>
            <w:shd w:val="clear" w:color="auto" w:fill="FFFFFF" w:themeFill="background1"/>
            <w:vAlign w:val="top"/>
          </w:tcPr>
          <w:p w14:paraId="5906838A" w14:textId="3738D28F" w:rsidR="002D39FA" w:rsidRPr="00B172DC" w:rsidRDefault="002D39FA" w:rsidP="00B172DC">
            <w:pPr>
              <w:pStyle w:val="TableText0"/>
              <w:jc w:val="center"/>
              <w:rPr>
                <w:rFonts w:asciiTheme="minorHAnsi" w:hAnsiTheme="minorHAnsi" w:cstheme="minorHAnsi"/>
                <w:sz w:val="22"/>
                <w:szCs w:val="22"/>
              </w:rPr>
            </w:pPr>
            <w:r w:rsidRPr="00B172DC">
              <w:rPr>
                <w:rFonts w:asciiTheme="minorHAnsi" w:hAnsiTheme="minorHAnsi" w:cstheme="minorHAnsi"/>
                <w:sz w:val="22"/>
                <w:szCs w:val="22"/>
              </w:rPr>
              <w:t>Davis MLA</w:t>
            </w:r>
          </w:p>
        </w:tc>
        <w:tc>
          <w:tcPr>
            <w:tcW w:w="1977" w:type="dxa"/>
            <w:shd w:val="clear" w:color="auto" w:fill="FFFFFF" w:themeFill="background1"/>
            <w:vAlign w:val="top"/>
          </w:tcPr>
          <w:p w14:paraId="69F12D81" w14:textId="0B20D729" w:rsidR="002D39FA" w:rsidRPr="00B172DC" w:rsidRDefault="002D39FA" w:rsidP="00B172DC">
            <w:pPr>
              <w:pStyle w:val="TableText0"/>
              <w:jc w:val="center"/>
              <w:rPr>
                <w:rFonts w:asciiTheme="minorHAnsi" w:hAnsiTheme="minorHAnsi" w:cstheme="minorHAnsi"/>
                <w:sz w:val="22"/>
                <w:szCs w:val="22"/>
              </w:rPr>
            </w:pPr>
            <w:r w:rsidRPr="00B172DC">
              <w:rPr>
                <w:rFonts w:asciiTheme="minorHAnsi" w:hAnsiTheme="minorHAnsi" w:cstheme="minorHAnsi"/>
                <w:sz w:val="22"/>
                <w:szCs w:val="22"/>
              </w:rPr>
              <w:t>Community Services Directorate</w:t>
            </w:r>
          </w:p>
        </w:tc>
        <w:tc>
          <w:tcPr>
            <w:tcW w:w="4111" w:type="dxa"/>
            <w:shd w:val="clear" w:color="auto" w:fill="FFFFFF" w:themeFill="background1"/>
            <w:vAlign w:val="top"/>
          </w:tcPr>
          <w:p w14:paraId="646BAF0A" w14:textId="24F6533B" w:rsidR="002D39FA" w:rsidRPr="00B172DC" w:rsidRDefault="002D39FA" w:rsidP="00B172DC">
            <w:pPr>
              <w:pStyle w:val="TableText0"/>
              <w:rPr>
                <w:rFonts w:asciiTheme="minorHAnsi" w:hAnsiTheme="minorHAnsi" w:cstheme="minorHAnsi"/>
                <w:sz w:val="22"/>
                <w:szCs w:val="22"/>
              </w:rPr>
            </w:pPr>
            <w:r w:rsidRPr="00B172DC">
              <w:rPr>
                <w:rFonts w:asciiTheme="minorHAnsi" w:hAnsiTheme="minorHAnsi" w:cstheme="minorHAnsi"/>
                <w:sz w:val="22"/>
                <w:szCs w:val="22"/>
              </w:rPr>
              <w:t>Adoption waiting times</w:t>
            </w:r>
          </w:p>
        </w:tc>
      </w:tr>
      <w:tr w:rsidR="002D39FA" w14:paraId="11171011" w14:textId="77777777" w:rsidTr="00486EA0">
        <w:tc>
          <w:tcPr>
            <w:tcW w:w="691" w:type="dxa"/>
            <w:shd w:val="clear" w:color="auto" w:fill="FFFFFF" w:themeFill="background1"/>
            <w:vAlign w:val="top"/>
          </w:tcPr>
          <w:p w14:paraId="5B27FC91" w14:textId="081D6FA1" w:rsidR="002D39FA" w:rsidRPr="00B172DC" w:rsidRDefault="002D39FA" w:rsidP="00B172DC">
            <w:pPr>
              <w:pStyle w:val="TableText0"/>
              <w:jc w:val="center"/>
              <w:rPr>
                <w:rFonts w:asciiTheme="minorHAnsi" w:hAnsiTheme="minorHAnsi" w:cstheme="minorHAnsi"/>
                <w:szCs w:val="22"/>
              </w:rPr>
            </w:pPr>
            <w:r w:rsidRPr="00B172DC">
              <w:rPr>
                <w:rFonts w:asciiTheme="minorHAnsi" w:hAnsiTheme="minorHAnsi" w:cstheme="minorHAnsi"/>
                <w:szCs w:val="22"/>
              </w:rPr>
              <w:t>CSD 6</w:t>
            </w:r>
          </w:p>
        </w:tc>
        <w:tc>
          <w:tcPr>
            <w:tcW w:w="1498" w:type="dxa"/>
            <w:shd w:val="clear" w:color="auto" w:fill="FFFFFF" w:themeFill="background1"/>
            <w:vAlign w:val="top"/>
          </w:tcPr>
          <w:p w14:paraId="36A2DC66" w14:textId="19F277A4" w:rsidR="002D39FA" w:rsidRPr="00B172DC" w:rsidRDefault="002D39FA" w:rsidP="00B172DC">
            <w:pPr>
              <w:pStyle w:val="TableText0"/>
              <w:jc w:val="center"/>
              <w:rPr>
                <w:rFonts w:asciiTheme="minorHAnsi" w:hAnsiTheme="minorHAnsi" w:cstheme="minorHAnsi"/>
                <w:szCs w:val="22"/>
              </w:rPr>
            </w:pPr>
            <w:r w:rsidRPr="00B172DC">
              <w:rPr>
                <w:rFonts w:asciiTheme="minorHAnsi" w:hAnsiTheme="minorHAnsi" w:cstheme="minorHAnsi"/>
                <w:szCs w:val="22"/>
              </w:rPr>
              <w:t>Davis MLA</w:t>
            </w:r>
          </w:p>
        </w:tc>
        <w:tc>
          <w:tcPr>
            <w:tcW w:w="1977" w:type="dxa"/>
            <w:shd w:val="clear" w:color="auto" w:fill="FFFFFF" w:themeFill="background1"/>
            <w:vAlign w:val="top"/>
          </w:tcPr>
          <w:p w14:paraId="20EE03CE" w14:textId="05EAF1E0" w:rsidR="002D39FA" w:rsidRPr="00B172DC" w:rsidRDefault="002D39FA" w:rsidP="00B172DC">
            <w:pPr>
              <w:pStyle w:val="TableText0"/>
              <w:jc w:val="center"/>
              <w:rPr>
                <w:rFonts w:asciiTheme="minorHAnsi" w:hAnsiTheme="minorHAnsi" w:cstheme="minorHAnsi"/>
                <w:szCs w:val="22"/>
              </w:rPr>
            </w:pPr>
            <w:r w:rsidRPr="00B172DC">
              <w:rPr>
                <w:rFonts w:asciiTheme="minorHAnsi" w:hAnsiTheme="minorHAnsi" w:cstheme="minorHAnsi"/>
                <w:szCs w:val="22"/>
              </w:rPr>
              <w:t>Community Services Directorate</w:t>
            </w:r>
          </w:p>
        </w:tc>
        <w:tc>
          <w:tcPr>
            <w:tcW w:w="4111" w:type="dxa"/>
            <w:shd w:val="clear" w:color="auto" w:fill="FFFFFF" w:themeFill="background1"/>
            <w:vAlign w:val="top"/>
          </w:tcPr>
          <w:p w14:paraId="6614CC00" w14:textId="18E3D0B5" w:rsidR="002D39FA" w:rsidRPr="00B172DC" w:rsidRDefault="002D39FA" w:rsidP="00B172DC">
            <w:pPr>
              <w:pStyle w:val="TableText0"/>
              <w:rPr>
                <w:rFonts w:asciiTheme="minorHAnsi" w:hAnsiTheme="minorHAnsi" w:cstheme="minorHAnsi"/>
                <w:szCs w:val="22"/>
              </w:rPr>
            </w:pPr>
            <w:r w:rsidRPr="00B172DC">
              <w:rPr>
                <w:rFonts w:asciiTheme="minorHAnsi" w:hAnsiTheme="minorHAnsi" w:cstheme="minorHAnsi"/>
                <w:szCs w:val="22"/>
              </w:rPr>
              <w:t>Best interest of children in care</w:t>
            </w:r>
          </w:p>
        </w:tc>
      </w:tr>
      <w:tr w:rsidR="002D39FA" w14:paraId="37B350DB" w14:textId="77777777" w:rsidTr="00486EA0">
        <w:trPr>
          <w:cnfStyle w:val="000000100000" w:firstRow="0" w:lastRow="0" w:firstColumn="0" w:lastColumn="0" w:oddVBand="0" w:evenVBand="0" w:oddHBand="1" w:evenHBand="0" w:firstRowFirstColumn="0" w:firstRowLastColumn="0" w:lastRowFirstColumn="0" w:lastRowLastColumn="0"/>
        </w:trPr>
        <w:tc>
          <w:tcPr>
            <w:tcW w:w="691" w:type="dxa"/>
            <w:shd w:val="clear" w:color="auto" w:fill="FFFFFF" w:themeFill="background1"/>
            <w:vAlign w:val="top"/>
          </w:tcPr>
          <w:p w14:paraId="3CD0180B" w14:textId="6C5023AA" w:rsidR="002D39FA" w:rsidRPr="00B172DC" w:rsidRDefault="002D39FA" w:rsidP="00B172DC">
            <w:pPr>
              <w:pStyle w:val="TableText0"/>
              <w:jc w:val="center"/>
              <w:rPr>
                <w:rFonts w:asciiTheme="minorHAnsi" w:hAnsiTheme="minorHAnsi" w:cstheme="minorHAnsi"/>
                <w:sz w:val="22"/>
                <w:szCs w:val="22"/>
              </w:rPr>
            </w:pPr>
            <w:r w:rsidRPr="00B172DC">
              <w:rPr>
                <w:rFonts w:asciiTheme="minorHAnsi" w:hAnsiTheme="minorHAnsi" w:cstheme="minorHAnsi"/>
                <w:sz w:val="22"/>
                <w:szCs w:val="22"/>
              </w:rPr>
              <w:t>CSD 7</w:t>
            </w:r>
          </w:p>
        </w:tc>
        <w:tc>
          <w:tcPr>
            <w:tcW w:w="1498" w:type="dxa"/>
            <w:shd w:val="clear" w:color="auto" w:fill="FFFFFF" w:themeFill="background1"/>
            <w:vAlign w:val="top"/>
          </w:tcPr>
          <w:p w14:paraId="602675BF" w14:textId="05E49131" w:rsidR="002D39FA" w:rsidRPr="00B172DC" w:rsidRDefault="002D39FA" w:rsidP="00B172DC">
            <w:pPr>
              <w:pStyle w:val="TableText0"/>
              <w:jc w:val="center"/>
              <w:rPr>
                <w:rFonts w:asciiTheme="minorHAnsi" w:hAnsiTheme="minorHAnsi" w:cstheme="minorHAnsi"/>
                <w:sz w:val="22"/>
                <w:szCs w:val="22"/>
              </w:rPr>
            </w:pPr>
            <w:r w:rsidRPr="00B172DC">
              <w:rPr>
                <w:rFonts w:asciiTheme="minorHAnsi" w:hAnsiTheme="minorHAnsi" w:cstheme="minorHAnsi"/>
                <w:sz w:val="22"/>
                <w:szCs w:val="22"/>
              </w:rPr>
              <w:t>Davis MLA</w:t>
            </w:r>
          </w:p>
        </w:tc>
        <w:tc>
          <w:tcPr>
            <w:tcW w:w="1977" w:type="dxa"/>
            <w:shd w:val="clear" w:color="auto" w:fill="FFFFFF" w:themeFill="background1"/>
            <w:vAlign w:val="top"/>
          </w:tcPr>
          <w:p w14:paraId="3E801892" w14:textId="214DD7C6" w:rsidR="002D39FA" w:rsidRPr="00B172DC" w:rsidRDefault="002D39FA" w:rsidP="00B172DC">
            <w:pPr>
              <w:pStyle w:val="TableText0"/>
              <w:jc w:val="center"/>
              <w:rPr>
                <w:rFonts w:asciiTheme="minorHAnsi" w:hAnsiTheme="minorHAnsi" w:cstheme="minorHAnsi"/>
                <w:sz w:val="22"/>
                <w:szCs w:val="22"/>
              </w:rPr>
            </w:pPr>
            <w:r w:rsidRPr="00B172DC">
              <w:rPr>
                <w:rFonts w:asciiTheme="minorHAnsi" w:hAnsiTheme="minorHAnsi" w:cstheme="minorHAnsi"/>
                <w:sz w:val="22"/>
                <w:szCs w:val="22"/>
              </w:rPr>
              <w:t>Community Services Directorate</w:t>
            </w:r>
          </w:p>
        </w:tc>
        <w:tc>
          <w:tcPr>
            <w:tcW w:w="4111" w:type="dxa"/>
            <w:shd w:val="clear" w:color="auto" w:fill="FFFFFF" w:themeFill="background1"/>
            <w:vAlign w:val="top"/>
          </w:tcPr>
          <w:p w14:paraId="533B805D" w14:textId="76CA7429" w:rsidR="002D39FA" w:rsidRPr="00B172DC" w:rsidRDefault="002D39FA" w:rsidP="00B172DC">
            <w:pPr>
              <w:pStyle w:val="TableText0"/>
              <w:rPr>
                <w:rFonts w:asciiTheme="minorHAnsi" w:hAnsiTheme="minorHAnsi" w:cstheme="minorHAnsi"/>
                <w:sz w:val="22"/>
                <w:szCs w:val="22"/>
              </w:rPr>
            </w:pPr>
            <w:r w:rsidRPr="00B172DC">
              <w:rPr>
                <w:rFonts w:asciiTheme="minorHAnsi" w:hAnsiTheme="minorHAnsi" w:cstheme="minorHAnsi"/>
                <w:sz w:val="22"/>
                <w:szCs w:val="22"/>
              </w:rPr>
              <w:t>Best practice model in Adoption Act amendments</w:t>
            </w:r>
          </w:p>
        </w:tc>
      </w:tr>
      <w:tr w:rsidR="002D39FA" w14:paraId="0CF2A17C" w14:textId="77777777" w:rsidTr="00486EA0">
        <w:tc>
          <w:tcPr>
            <w:tcW w:w="691" w:type="dxa"/>
            <w:shd w:val="clear" w:color="auto" w:fill="FFFFFF" w:themeFill="background1"/>
            <w:vAlign w:val="top"/>
          </w:tcPr>
          <w:p w14:paraId="7531A67D" w14:textId="59752917" w:rsidR="002D39FA" w:rsidRPr="00B172DC" w:rsidRDefault="002D39FA" w:rsidP="00B172DC">
            <w:pPr>
              <w:pStyle w:val="TableText0"/>
              <w:jc w:val="center"/>
              <w:rPr>
                <w:rFonts w:asciiTheme="minorHAnsi" w:hAnsiTheme="minorHAnsi" w:cstheme="minorHAnsi"/>
                <w:szCs w:val="22"/>
              </w:rPr>
            </w:pPr>
            <w:r w:rsidRPr="00B172DC">
              <w:rPr>
                <w:rFonts w:asciiTheme="minorHAnsi" w:hAnsiTheme="minorHAnsi" w:cstheme="minorHAnsi"/>
                <w:szCs w:val="22"/>
              </w:rPr>
              <w:t>CSD 8</w:t>
            </w:r>
          </w:p>
        </w:tc>
        <w:tc>
          <w:tcPr>
            <w:tcW w:w="1498" w:type="dxa"/>
            <w:shd w:val="clear" w:color="auto" w:fill="FFFFFF" w:themeFill="background1"/>
            <w:vAlign w:val="top"/>
          </w:tcPr>
          <w:p w14:paraId="3197968A" w14:textId="2CA2CAA3" w:rsidR="002D39FA" w:rsidRPr="00B172DC" w:rsidRDefault="002D39FA" w:rsidP="00B172DC">
            <w:pPr>
              <w:pStyle w:val="TableText0"/>
              <w:jc w:val="center"/>
              <w:rPr>
                <w:rFonts w:asciiTheme="minorHAnsi" w:hAnsiTheme="minorHAnsi" w:cstheme="minorHAnsi"/>
                <w:szCs w:val="22"/>
              </w:rPr>
            </w:pPr>
            <w:r w:rsidRPr="00B172DC">
              <w:rPr>
                <w:rFonts w:asciiTheme="minorHAnsi" w:hAnsiTheme="minorHAnsi" w:cstheme="minorHAnsi"/>
                <w:szCs w:val="22"/>
              </w:rPr>
              <w:t>Davis MLA</w:t>
            </w:r>
          </w:p>
        </w:tc>
        <w:tc>
          <w:tcPr>
            <w:tcW w:w="1977" w:type="dxa"/>
            <w:shd w:val="clear" w:color="auto" w:fill="FFFFFF" w:themeFill="background1"/>
            <w:vAlign w:val="top"/>
          </w:tcPr>
          <w:p w14:paraId="1F770BE5" w14:textId="425B7FA7" w:rsidR="002D39FA" w:rsidRPr="00B172DC" w:rsidRDefault="002D39FA" w:rsidP="00B172DC">
            <w:pPr>
              <w:pStyle w:val="TableText0"/>
              <w:jc w:val="center"/>
              <w:rPr>
                <w:rFonts w:asciiTheme="minorHAnsi" w:hAnsiTheme="minorHAnsi" w:cstheme="minorHAnsi"/>
                <w:szCs w:val="22"/>
              </w:rPr>
            </w:pPr>
            <w:r w:rsidRPr="00B172DC">
              <w:rPr>
                <w:rFonts w:asciiTheme="minorHAnsi" w:hAnsiTheme="minorHAnsi" w:cstheme="minorHAnsi"/>
                <w:szCs w:val="22"/>
              </w:rPr>
              <w:t>Community Services Directorate</w:t>
            </w:r>
          </w:p>
        </w:tc>
        <w:tc>
          <w:tcPr>
            <w:tcW w:w="4111" w:type="dxa"/>
            <w:shd w:val="clear" w:color="auto" w:fill="FFFFFF" w:themeFill="background1"/>
            <w:vAlign w:val="top"/>
          </w:tcPr>
          <w:p w14:paraId="351008EA" w14:textId="4FD742E1" w:rsidR="002D39FA" w:rsidRPr="00B172DC" w:rsidRDefault="002D39FA" w:rsidP="00B172DC">
            <w:pPr>
              <w:pStyle w:val="TableText0"/>
              <w:rPr>
                <w:rFonts w:asciiTheme="minorHAnsi" w:hAnsiTheme="minorHAnsi" w:cstheme="minorHAnsi"/>
                <w:szCs w:val="22"/>
              </w:rPr>
            </w:pPr>
            <w:r w:rsidRPr="00B172DC">
              <w:rPr>
                <w:rFonts w:asciiTheme="minorHAnsi" w:hAnsiTheme="minorHAnsi" w:cstheme="minorHAnsi"/>
                <w:szCs w:val="22"/>
              </w:rPr>
              <w:t>Gillick competency and adoption</w:t>
            </w:r>
          </w:p>
        </w:tc>
      </w:tr>
      <w:tr w:rsidR="002D39FA" w14:paraId="5116FA57" w14:textId="77777777" w:rsidTr="00486EA0">
        <w:trPr>
          <w:cnfStyle w:val="000000100000" w:firstRow="0" w:lastRow="0" w:firstColumn="0" w:lastColumn="0" w:oddVBand="0" w:evenVBand="0" w:oddHBand="1" w:evenHBand="0" w:firstRowFirstColumn="0" w:firstRowLastColumn="0" w:lastRowFirstColumn="0" w:lastRowLastColumn="0"/>
        </w:trPr>
        <w:tc>
          <w:tcPr>
            <w:tcW w:w="691" w:type="dxa"/>
            <w:shd w:val="clear" w:color="auto" w:fill="FFFFFF" w:themeFill="background1"/>
            <w:vAlign w:val="top"/>
          </w:tcPr>
          <w:p w14:paraId="5329D422" w14:textId="7EB64CC4" w:rsidR="002D39FA" w:rsidRPr="00B172DC" w:rsidRDefault="002D39FA" w:rsidP="00B172DC">
            <w:pPr>
              <w:pStyle w:val="TableText0"/>
              <w:jc w:val="center"/>
              <w:rPr>
                <w:rFonts w:asciiTheme="minorHAnsi" w:hAnsiTheme="minorHAnsi" w:cstheme="minorHAnsi"/>
                <w:sz w:val="22"/>
                <w:szCs w:val="22"/>
              </w:rPr>
            </w:pPr>
            <w:r w:rsidRPr="00B172DC">
              <w:rPr>
                <w:rFonts w:asciiTheme="minorHAnsi" w:hAnsiTheme="minorHAnsi" w:cstheme="minorHAnsi"/>
                <w:sz w:val="22"/>
                <w:szCs w:val="22"/>
              </w:rPr>
              <w:t>CSD 9</w:t>
            </w:r>
          </w:p>
        </w:tc>
        <w:tc>
          <w:tcPr>
            <w:tcW w:w="1498" w:type="dxa"/>
            <w:shd w:val="clear" w:color="auto" w:fill="FFFFFF" w:themeFill="background1"/>
            <w:vAlign w:val="top"/>
          </w:tcPr>
          <w:p w14:paraId="751139C3" w14:textId="7C448DC7" w:rsidR="002D39FA" w:rsidRPr="00B172DC" w:rsidRDefault="002D39FA" w:rsidP="00B172DC">
            <w:pPr>
              <w:pStyle w:val="TableText0"/>
              <w:jc w:val="center"/>
              <w:rPr>
                <w:rFonts w:asciiTheme="minorHAnsi" w:hAnsiTheme="minorHAnsi" w:cstheme="minorHAnsi"/>
                <w:sz w:val="22"/>
                <w:szCs w:val="22"/>
              </w:rPr>
            </w:pPr>
            <w:r w:rsidRPr="00B172DC">
              <w:rPr>
                <w:rFonts w:asciiTheme="minorHAnsi" w:hAnsiTheme="minorHAnsi" w:cstheme="minorHAnsi"/>
                <w:sz w:val="22"/>
                <w:szCs w:val="22"/>
              </w:rPr>
              <w:t>Davis MLA</w:t>
            </w:r>
          </w:p>
        </w:tc>
        <w:tc>
          <w:tcPr>
            <w:tcW w:w="1977" w:type="dxa"/>
            <w:shd w:val="clear" w:color="auto" w:fill="FFFFFF" w:themeFill="background1"/>
            <w:vAlign w:val="top"/>
          </w:tcPr>
          <w:p w14:paraId="30E1DEC2" w14:textId="4B3CF066" w:rsidR="002D39FA" w:rsidRPr="00B172DC" w:rsidRDefault="002D39FA" w:rsidP="00B172DC">
            <w:pPr>
              <w:pStyle w:val="TableText0"/>
              <w:jc w:val="center"/>
              <w:rPr>
                <w:rFonts w:asciiTheme="minorHAnsi" w:hAnsiTheme="minorHAnsi" w:cstheme="minorHAnsi"/>
                <w:sz w:val="22"/>
                <w:szCs w:val="22"/>
              </w:rPr>
            </w:pPr>
            <w:r w:rsidRPr="00B172DC">
              <w:rPr>
                <w:rFonts w:asciiTheme="minorHAnsi" w:hAnsiTheme="minorHAnsi" w:cstheme="minorHAnsi"/>
                <w:sz w:val="22"/>
                <w:szCs w:val="22"/>
              </w:rPr>
              <w:t>Community Services Directorate</w:t>
            </w:r>
          </w:p>
        </w:tc>
        <w:tc>
          <w:tcPr>
            <w:tcW w:w="4111" w:type="dxa"/>
            <w:shd w:val="clear" w:color="auto" w:fill="FFFFFF" w:themeFill="background1"/>
            <w:vAlign w:val="top"/>
          </w:tcPr>
          <w:p w14:paraId="642B8820" w14:textId="102D807E" w:rsidR="002D39FA" w:rsidRPr="00B172DC" w:rsidRDefault="002D39FA" w:rsidP="00B172DC">
            <w:pPr>
              <w:pStyle w:val="TableText0"/>
              <w:rPr>
                <w:rFonts w:asciiTheme="minorHAnsi" w:hAnsiTheme="minorHAnsi" w:cstheme="minorHAnsi"/>
                <w:sz w:val="22"/>
                <w:szCs w:val="22"/>
              </w:rPr>
            </w:pPr>
            <w:r w:rsidRPr="00B172DC">
              <w:rPr>
                <w:rFonts w:asciiTheme="minorHAnsi" w:hAnsiTheme="minorHAnsi" w:cstheme="minorHAnsi"/>
                <w:sz w:val="22"/>
                <w:szCs w:val="22"/>
              </w:rPr>
              <w:t>Hold and resumption of adoption process</w:t>
            </w:r>
          </w:p>
        </w:tc>
      </w:tr>
      <w:tr w:rsidR="002D39FA" w14:paraId="7E3E098C" w14:textId="77777777" w:rsidTr="00486EA0">
        <w:tc>
          <w:tcPr>
            <w:tcW w:w="691" w:type="dxa"/>
            <w:shd w:val="clear" w:color="auto" w:fill="FFFFFF" w:themeFill="background1"/>
            <w:vAlign w:val="top"/>
          </w:tcPr>
          <w:p w14:paraId="35498C24" w14:textId="32ABED3F" w:rsidR="002D39FA" w:rsidRPr="00B172DC" w:rsidRDefault="002D39FA" w:rsidP="00B172DC">
            <w:pPr>
              <w:pStyle w:val="TableText0"/>
              <w:jc w:val="center"/>
              <w:rPr>
                <w:rFonts w:asciiTheme="minorHAnsi" w:hAnsiTheme="minorHAnsi" w:cstheme="minorHAnsi"/>
                <w:szCs w:val="22"/>
              </w:rPr>
            </w:pPr>
            <w:r w:rsidRPr="00B172DC">
              <w:rPr>
                <w:rFonts w:asciiTheme="minorHAnsi" w:hAnsiTheme="minorHAnsi" w:cstheme="minorHAnsi"/>
                <w:szCs w:val="22"/>
              </w:rPr>
              <w:t>CSD 10</w:t>
            </w:r>
          </w:p>
        </w:tc>
        <w:tc>
          <w:tcPr>
            <w:tcW w:w="1498" w:type="dxa"/>
            <w:shd w:val="clear" w:color="auto" w:fill="FFFFFF" w:themeFill="background1"/>
            <w:vAlign w:val="top"/>
          </w:tcPr>
          <w:p w14:paraId="3A7BF96F" w14:textId="6CFFFED4" w:rsidR="002D39FA" w:rsidRPr="00B172DC" w:rsidRDefault="002D39FA" w:rsidP="00B172DC">
            <w:pPr>
              <w:pStyle w:val="TableText0"/>
              <w:jc w:val="center"/>
              <w:rPr>
                <w:rFonts w:asciiTheme="minorHAnsi" w:hAnsiTheme="minorHAnsi" w:cstheme="minorHAnsi"/>
                <w:szCs w:val="22"/>
              </w:rPr>
            </w:pPr>
            <w:r w:rsidRPr="00B172DC">
              <w:rPr>
                <w:rFonts w:asciiTheme="minorHAnsi" w:hAnsiTheme="minorHAnsi" w:cstheme="minorHAnsi"/>
                <w:szCs w:val="22"/>
              </w:rPr>
              <w:t>Davis MLA</w:t>
            </w:r>
          </w:p>
        </w:tc>
        <w:tc>
          <w:tcPr>
            <w:tcW w:w="1977" w:type="dxa"/>
            <w:shd w:val="clear" w:color="auto" w:fill="FFFFFF" w:themeFill="background1"/>
            <w:vAlign w:val="top"/>
          </w:tcPr>
          <w:p w14:paraId="411CFA14" w14:textId="7BDF64E0" w:rsidR="002D39FA" w:rsidRPr="00B172DC" w:rsidRDefault="002D39FA" w:rsidP="00B172DC">
            <w:pPr>
              <w:pStyle w:val="TableText0"/>
              <w:jc w:val="center"/>
              <w:rPr>
                <w:rFonts w:asciiTheme="minorHAnsi" w:hAnsiTheme="minorHAnsi" w:cstheme="minorHAnsi"/>
                <w:szCs w:val="22"/>
              </w:rPr>
            </w:pPr>
            <w:r w:rsidRPr="00B172DC">
              <w:rPr>
                <w:rFonts w:asciiTheme="minorHAnsi" w:hAnsiTheme="minorHAnsi" w:cstheme="minorHAnsi"/>
                <w:szCs w:val="22"/>
              </w:rPr>
              <w:t>Community Services Directorate</w:t>
            </w:r>
          </w:p>
        </w:tc>
        <w:tc>
          <w:tcPr>
            <w:tcW w:w="4111" w:type="dxa"/>
            <w:shd w:val="clear" w:color="auto" w:fill="FFFFFF" w:themeFill="background1"/>
            <w:vAlign w:val="top"/>
          </w:tcPr>
          <w:p w14:paraId="0FB2BA8B" w14:textId="3CA71194" w:rsidR="002D39FA" w:rsidRPr="00B172DC" w:rsidRDefault="002D39FA" w:rsidP="00B172DC">
            <w:pPr>
              <w:pStyle w:val="TableText0"/>
              <w:rPr>
                <w:rFonts w:asciiTheme="minorHAnsi" w:hAnsiTheme="minorHAnsi" w:cstheme="minorHAnsi"/>
                <w:szCs w:val="22"/>
              </w:rPr>
            </w:pPr>
            <w:r w:rsidRPr="00B172DC">
              <w:rPr>
                <w:rFonts w:asciiTheme="minorHAnsi" w:hAnsiTheme="minorHAnsi" w:cstheme="minorHAnsi"/>
                <w:szCs w:val="22"/>
              </w:rPr>
              <w:t>Long-term orders in child protection systems</w:t>
            </w:r>
          </w:p>
        </w:tc>
      </w:tr>
      <w:tr w:rsidR="002D39FA" w14:paraId="0B07F89C" w14:textId="77777777" w:rsidTr="00486EA0">
        <w:trPr>
          <w:cnfStyle w:val="000000100000" w:firstRow="0" w:lastRow="0" w:firstColumn="0" w:lastColumn="0" w:oddVBand="0" w:evenVBand="0" w:oddHBand="1" w:evenHBand="0" w:firstRowFirstColumn="0" w:firstRowLastColumn="0" w:lastRowFirstColumn="0" w:lastRowLastColumn="0"/>
        </w:trPr>
        <w:tc>
          <w:tcPr>
            <w:tcW w:w="691" w:type="dxa"/>
            <w:shd w:val="clear" w:color="auto" w:fill="FFFFFF" w:themeFill="background1"/>
            <w:vAlign w:val="top"/>
          </w:tcPr>
          <w:p w14:paraId="2D0134E6" w14:textId="08B94F0D" w:rsidR="002D39FA" w:rsidRPr="00B172DC" w:rsidRDefault="002D39FA" w:rsidP="00B172DC">
            <w:pPr>
              <w:pStyle w:val="TableText0"/>
              <w:jc w:val="center"/>
              <w:rPr>
                <w:rFonts w:asciiTheme="minorHAnsi" w:hAnsiTheme="minorHAnsi" w:cstheme="minorHAnsi"/>
                <w:sz w:val="22"/>
                <w:szCs w:val="22"/>
              </w:rPr>
            </w:pPr>
            <w:r w:rsidRPr="00B172DC">
              <w:rPr>
                <w:rFonts w:asciiTheme="minorHAnsi" w:hAnsiTheme="minorHAnsi" w:cstheme="minorHAnsi"/>
                <w:sz w:val="22"/>
                <w:szCs w:val="22"/>
              </w:rPr>
              <w:t>CSD 11</w:t>
            </w:r>
          </w:p>
        </w:tc>
        <w:tc>
          <w:tcPr>
            <w:tcW w:w="1498" w:type="dxa"/>
            <w:shd w:val="clear" w:color="auto" w:fill="FFFFFF" w:themeFill="background1"/>
            <w:vAlign w:val="top"/>
          </w:tcPr>
          <w:p w14:paraId="0515C779" w14:textId="33E00ED1" w:rsidR="002D39FA" w:rsidRPr="00B172DC" w:rsidRDefault="002D39FA" w:rsidP="00B172DC">
            <w:pPr>
              <w:pStyle w:val="TableText0"/>
              <w:jc w:val="center"/>
              <w:rPr>
                <w:rFonts w:asciiTheme="minorHAnsi" w:hAnsiTheme="minorHAnsi" w:cstheme="minorHAnsi"/>
                <w:sz w:val="22"/>
                <w:szCs w:val="22"/>
              </w:rPr>
            </w:pPr>
            <w:r w:rsidRPr="00B172DC">
              <w:rPr>
                <w:rFonts w:asciiTheme="minorHAnsi" w:hAnsiTheme="minorHAnsi" w:cstheme="minorHAnsi"/>
                <w:sz w:val="22"/>
                <w:szCs w:val="22"/>
              </w:rPr>
              <w:t>Davis MLA</w:t>
            </w:r>
          </w:p>
        </w:tc>
        <w:tc>
          <w:tcPr>
            <w:tcW w:w="1977" w:type="dxa"/>
            <w:shd w:val="clear" w:color="auto" w:fill="FFFFFF" w:themeFill="background1"/>
            <w:vAlign w:val="top"/>
          </w:tcPr>
          <w:p w14:paraId="2F92217C" w14:textId="442DCDD3" w:rsidR="002D39FA" w:rsidRPr="00B172DC" w:rsidRDefault="002D39FA" w:rsidP="00B172DC">
            <w:pPr>
              <w:pStyle w:val="TableText0"/>
              <w:jc w:val="center"/>
              <w:rPr>
                <w:rFonts w:asciiTheme="minorHAnsi" w:hAnsiTheme="minorHAnsi" w:cstheme="minorHAnsi"/>
                <w:sz w:val="22"/>
                <w:szCs w:val="22"/>
              </w:rPr>
            </w:pPr>
            <w:r w:rsidRPr="00B172DC">
              <w:rPr>
                <w:rFonts w:asciiTheme="minorHAnsi" w:hAnsiTheme="minorHAnsi" w:cstheme="minorHAnsi"/>
                <w:sz w:val="22"/>
                <w:szCs w:val="22"/>
              </w:rPr>
              <w:t>Community Services Directorate</w:t>
            </w:r>
          </w:p>
        </w:tc>
        <w:tc>
          <w:tcPr>
            <w:tcW w:w="4111" w:type="dxa"/>
            <w:shd w:val="clear" w:color="auto" w:fill="FFFFFF" w:themeFill="background1"/>
            <w:vAlign w:val="top"/>
          </w:tcPr>
          <w:p w14:paraId="141B5230" w14:textId="705A3042" w:rsidR="002D39FA" w:rsidRPr="00B172DC" w:rsidRDefault="002D39FA" w:rsidP="00B172DC">
            <w:pPr>
              <w:pStyle w:val="TableText0"/>
              <w:rPr>
                <w:rFonts w:asciiTheme="minorHAnsi" w:hAnsiTheme="minorHAnsi" w:cstheme="minorHAnsi"/>
                <w:sz w:val="22"/>
                <w:szCs w:val="22"/>
              </w:rPr>
            </w:pPr>
            <w:r w:rsidRPr="00B172DC">
              <w:rPr>
                <w:rFonts w:asciiTheme="minorHAnsi" w:hAnsiTheme="minorHAnsi" w:cstheme="minorHAnsi"/>
                <w:sz w:val="22"/>
                <w:szCs w:val="22"/>
              </w:rPr>
              <w:t>National Framework of Adoption</w:t>
            </w:r>
          </w:p>
        </w:tc>
      </w:tr>
      <w:tr w:rsidR="002D39FA" w14:paraId="4A3F33A1" w14:textId="77777777" w:rsidTr="00486EA0">
        <w:tc>
          <w:tcPr>
            <w:tcW w:w="691" w:type="dxa"/>
            <w:shd w:val="clear" w:color="auto" w:fill="FFFFFF" w:themeFill="background1"/>
            <w:vAlign w:val="top"/>
          </w:tcPr>
          <w:p w14:paraId="4BD939A2" w14:textId="481A4BF0" w:rsidR="002D39FA" w:rsidRPr="00B172DC" w:rsidRDefault="002D39FA" w:rsidP="00B172DC">
            <w:pPr>
              <w:pStyle w:val="TableText0"/>
              <w:jc w:val="center"/>
              <w:rPr>
                <w:rFonts w:asciiTheme="minorHAnsi" w:hAnsiTheme="minorHAnsi" w:cstheme="minorHAnsi"/>
                <w:szCs w:val="22"/>
              </w:rPr>
            </w:pPr>
            <w:r w:rsidRPr="00B172DC">
              <w:rPr>
                <w:rFonts w:asciiTheme="minorHAnsi" w:hAnsiTheme="minorHAnsi" w:cstheme="minorHAnsi"/>
                <w:szCs w:val="22"/>
              </w:rPr>
              <w:t>CSD 12</w:t>
            </w:r>
          </w:p>
        </w:tc>
        <w:tc>
          <w:tcPr>
            <w:tcW w:w="1498" w:type="dxa"/>
            <w:shd w:val="clear" w:color="auto" w:fill="FFFFFF" w:themeFill="background1"/>
            <w:vAlign w:val="top"/>
          </w:tcPr>
          <w:p w14:paraId="70CCB907" w14:textId="35A52EE2" w:rsidR="002D39FA" w:rsidRPr="00B172DC" w:rsidRDefault="002D39FA" w:rsidP="00B172DC">
            <w:pPr>
              <w:pStyle w:val="TableText0"/>
              <w:jc w:val="center"/>
              <w:rPr>
                <w:rFonts w:asciiTheme="minorHAnsi" w:hAnsiTheme="minorHAnsi" w:cstheme="minorHAnsi"/>
                <w:szCs w:val="22"/>
              </w:rPr>
            </w:pPr>
            <w:r w:rsidRPr="00B172DC">
              <w:rPr>
                <w:rFonts w:asciiTheme="minorHAnsi" w:hAnsiTheme="minorHAnsi" w:cstheme="minorHAnsi"/>
                <w:szCs w:val="22"/>
              </w:rPr>
              <w:t>Davis MLA</w:t>
            </w:r>
          </w:p>
        </w:tc>
        <w:tc>
          <w:tcPr>
            <w:tcW w:w="1977" w:type="dxa"/>
            <w:shd w:val="clear" w:color="auto" w:fill="FFFFFF" w:themeFill="background1"/>
            <w:vAlign w:val="top"/>
          </w:tcPr>
          <w:p w14:paraId="78E32CD6" w14:textId="2034126E" w:rsidR="002D39FA" w:rsidRPr="00B172DC" w:rsidRDefault="002D39FA" w:rsidP="00B172DC">
            <w:pPr>
              <w:pStyle w:val="TableText0"/>
              <w:jc w:val="center"/>
              <w:rPr>
                <w:rFonts w:asciiTheme="minorHAnsi" w:hAnsiTheme="minorHAnsi" w:cstheme="minorHAnsi"/>
                <w:szCs w:val="22"/>
              </w:rPr>
            </w:pPr>
            <w:r w:rsidRPr="00B172DC">
              <w:rPr>
                <w:rFonts w:asciiTheme="minorHAnsi" w:hAnsiTheme="minorHAnsi" w:cstheme="minorHAnsi"/>
                <w:szCs w:val="22"/>
              </w:rPr>
              <w:t>Community Services Directorate</w:t>
            </w:r>
          </w:p>
        </w:tc>
        <w:tc>
          <w:tcPr>
            <w:tcW w:w="4111" w:type="dxa"/>
            <w:shd w:val="clear" w:color="auto" w:fill="FFFFFF" w:themeFill="background1"/>
            <w:vAlign w:val="top"/>
          </w:tcPr>
          <w:p w14:paraId="3E3C1224" w14:textId="4EFA377B" w:rsidR="002D39FA" w:rsidRPr="00B172DC" w:rsidRDefault="002D39FA" w:rsidP="00B172DC">
            <w:pPr>
              <w:pStyle w:val="TableText0"/>
              <w:rPr>
                <w:rFonts w:asciiTheme="minorHAnsi" w:hAnsiTheme="minorHAnsi" w:cstheme="minorHAnsi"/>
                <w:szCs w:val="22"/>
              </w:rPr>
            </w:pPr>
            <w:r w:rsidRPr="00B172DC">
              <w:rPr>
                <w:rFonts w:asciiTheme="minorHAnsi" w:hAnsiTheme="minorHAnsi" w:cstheme="minorHAnsi"/>
                <w:szCs w:val="22"/>
              </w:rPr>
              <w:t>‘Step Up for kids’ – EPR and adoption</w:t>
            </w:r>
          </w:p>
        </w:tc>
      </w:tr>
      <w:tr w:rsidR="002D39FA" w14:paraId="1E5CC477" w14:textId="77777777" w:rsidTr="00486EA0">
        <w:trPr>
          <w:cnfStyle w:val="000000100000" w:firstRow="0" w:lastRow="0" w:firstColumn="0" w:lastColumn="0" w:oddVBand="0" w:evenVBand="0" w:oddHBand="1" w:evenHBand="0" w:firstRowFirstColumn="0" w:firstRowLastColumn="0" w:lastRowFirstColumn="0" w:lastRowLastColumn="0"/>
        </w:trPr>
        <w:tc>
          <w:tcPr>
            <w:tcW w:w="691" w:type="dxa"/>
            <w:shd w:val="clear" w:color="auto" w:fill="FFFFFF" w:themeFill="background1"/>
            <w:vAlign w:val="top"/>
          </w:tcPr>
          <w:p w14:paraId="75AC8692" w14:textId="33E00217" w:rsidR="002D39FA" w:rsidRPr="00B172DC" w:rsidRDefault="002D39FA" w:rsidP="00B172DC">
            <w:pPr>
              <w:pStyle w:val="TableText0"/>
              <w:jc w:val="center"/>
              <w:rPr>
                <w:rFonts w:asciiTheme="minorHAnsi" w:hAnsiTheme="minorHAnsi" w:cstheme="minorHAnsi"/>
                <w:sz w:val="22"/>
                <w:szCs w:val="22"/>
              </w:rPr>
            </w:pPr>
            <w:r w:rsidRPr="00B172DC">
              <w:rPr>
                <w:rFonts w:asciiTheme="minorHAnsi" w:hAnsiTheme="minorHAnsi" w:cstheme="minorHAnsi"/>
                <w:sz w:val="22"/>
                <w:szCs w:val="22"/>
              </w:rPr>
              <w:t>CSD 13</w:t>
            </w:r>
          </w:p>
        </w:tc>
        <w:tc>
          <w:tcPr>
            <w:tcW w:w="1498" w:type="dxa"/>
            <w:shd w:val="clear" w:color="auto" w:fill="FFFFFF" w:themeFill="background1"/>
            <w:vAlign w:val="top"/>
          </w:tcPr>
          <w:p w14:paraId="5EAE102C" w14:textId="66CB0A9A" w:rsidR="002D39FA" w:rsidRPr="00B172DC" w:rsidRDefault="002D39FA" w:rsidP="00B172DC">
            <w:pPr>
              <w:pStyle w:val="TableText0"/>
              <w:jc w:val="center"/>
              <w:rPr>
                <w:rFonts w:asciiTheme="minorHAnsi" w:hAnsiTheme="minorHAnsi" w:cstheme="minorHAnsi"/>
                <w:sz w:val="22"/>
                <w:szCs w:val="22"/>
              </w:rPr>
            </w:pPr>
            <w:r w:rsidRPr="00B172DC">
              <w:rPr>
                <w:rFonts w:asciiTheme="minorHAnsi" w:hAnsiTheme="minorHAnsi" w:cstheme="minorHAnsi"/>
                <w:sz w:val="22"/>
                <w:szCs w:val="22"/>
              </w:rPr>
              <w:t>Davis MLA</w:t>
            </w:r>
          </w:p>
        </w:tc>
        <w:tc>
          <w:tcPr>
            <w:tcW w:w="1977" w:type="dxa"/>
            <w:shd w:val="clear" w:color="auto" w:fill="FFFFFF" w:themeFill="background1"/>
            <w:vAlign w:val="top"/>
          </w:tcPr>
          <w:p w14:paraId="56AF5082" w14:textId="08B3CC3F" w:rsidR="002D39FA" w:rsidRPr="00B172DC" w:rsidRDefault="002D39FA" w:rsidP="00B172DC">
            <w:pPr>
              <w:pStyle w:val="TableText0"/>
              <w:jc w:val="center"/>
              <w:rPr>
                <w:rFonts w:asciiTheme="minorHAnsi" w:hAnsiTheme="minorHAnsi" w:cstheme="minorHAnsi"/>
                <w:sz w:val="22"/>
                <w:szCs w:val="22"/>
              </w:rPr>
            </w:pPr>
            <w:r w:rsidRPr="00B172DC">
              <w:rPr>
                <w:rFonts w:asciiTheme="minorHAnsi" w:hAnsiTheme="minorHAnsi" w:cstheme="minorHAnsi"/>
                <w:sz w:val="22"/>
                <w:szCs w:val="22"/>
              </w:rPr>
              <w:t>Community Services Directorate</w:t>
            </w:r>
          </w:p>
        </w:tc>
        <w:tc>
          <w:tcPr>
            <w:tcW w:w="4111" w:type="dxa"/>
            <w:shd w:val="clear" w:color="auto" w:fill="FFFFFF" w:themeFill="background1"/>
            <w:vAlign w:val="top"/>
          </w:tcPr>
          <w:p w14:paraId="1EB073FB" w14:textId="702F4BE9" w:rsidR="002D39FA" w:rsidRPr="00B172DC" w:rsidRDefault="002D39FA" w:rsidP="00B172DC">
            <w:pPr>
              <w:pStyle w:val="TableText0"/>
              <w:rPr>
                <w:rFonts w:asciiTheme="minorHAnsi" w:hAnsiTheme="minorHAnsi" w:cstheme="minorHAnsi"/>
                <w:sz w:val="22"/>
                <w:szCs w:val="22"/>
              </w:rPr>
            </w:pPr>
            <w:r w:rsidRPr="00B172DC">
              <w:rPr>
                <w:rFonts w:asciiTheme="minorHAnsi" w:hAnsiTheme="minorHAnsi" w:cstheme="minorHAnsi"/>
                <w:sz w:val="22"/>
                <w:szCs w:val="22"/>
              </w:rPr>
              <w:t>Adoption hold and legislative conflict</w:t>
            </w:r>
          </w:p>
        </w:tc>
      </w:tr>
      <w:tr w:rsidR="002D39FA" w14:paraId="3398B896" w14:textId="77777777" w:rsidTr="00486EA0">
        <w:tc>
          <w:tcPr>
            <w:tcW w:w="691" w:type="dxa"/>
            <w:shd w:val="clear" w:color="auto" w:fill="FFFFFF" w:themeFill="background1"/>
            <w:vAlign w:val="top"/>
          </w:tcPr>
          <w:p w14:paraId="67E9D548" w14:textId="33BD0645" w:rsidR="002D39FA" w:rsidRPr="00B172DC" w:rsidRDefault="002D39FA" w:rsidP="00B172DC">
            <w:pPr>
              <w:pStyle w:val="TableText0"/>
              <w:jc w:val="center"/>
              <w:rPr>
                <w:rFonts w:asciiTheme="minorHAnsi" w:hAnsiTheme="minorHAnsi" w:cstheme="minorHAnsi"/>
                <w:szCs w:val="22"/>
              </w:rPr>
            </w:pPr>
            <w:r w:rsidRPr="00B172DC">
              <w:rPr>
                <w:rFonts w:asciiTheme="minorHAnsi" w:hAnsiTheme="minorHAnsi" w:cstheme="minorHAnsi"/>
                <w:szCs w:val="22"/>
              </w:rPr>
              <w:t>CSD 14</w:t>
            </w:r>
          </w:p>
        </w:tc>
        <w:tc>
          <w:tcPr>
            <w:tcW w:w="1498" w:type="dxa"/>
            <w:shd w:val="clear" w:color="auto" w:fill="FFFFFF" w:themeFill="background1"/>
            <w:vAlign w:val="top"/>
          </w:tcPr>
          <w:p w14:paraId="1AEE0421" w14:textId="1662AB83" w:rsidR="002D39FA" w:rsidRPr="00B172DC" w:rsidRDefault="002D39FA" w:rsidP="00B172DC">
            <w:pPr>
              <w:pStyle w:val="TableText0"/>
              <w:jc w:val="center"/>
              <w:rPr>
                <w:rFonts w:asciiTheme="minorHAnsi" w:hAnsiTheme="minorHAnsi" w:cstheme="minorHAnsi"/>
                <w:szCs w:val="22"/>
              </w:rPr>
            </w:pPr>
            <w:r w:rsidRPr="00B172DC">
              <w:rPr>
                <w:rFonts w:asciiTheme="minorHAnsi" w:hAnsiTheme="minorHAnsi" w:cstheme="minorHAnsi"/>
                <w:szCs w:val="22"/>
              </w:rPr>
              <w:t>Davis MLA</w:t>
            </w:r>
          </w:p>
        </w:tc>
        <w:tc>
          <w:tcPr>
            <w:tcW w:w="1977" w:type="dxa"/>
            <w:shd w:val="clear" w:color="auto" w:fill="FFFFFF" w:themeFill="background1"/>
            <w:vAlign w:val="top"/>
          </w:tcPr>
          <w:p w14:paraId="382115A5" w14:textId="74AF4EE5" w:rsidR="002D39FA" w:rsidRPr="00B172DC" w:rsidRDefault="002D39FA" w:rsidP="00B172DC">
            <w:pPr>
              <w:pStyle w:val="TableText0"/>
              <w:jc w:val="center"/>
              <w:rPr>
                <w:rFonts w:asciiTheme="minorHAnsi" w:hAnsiTheme="minorHAnsi" w:cstheme="minorHAnsi"/>
                <w:szCs w:val="22"/>
              </w:rPr>
            </w:pPr>
            <w:r w:rsidRPr="00B172DC">
              <w:rPr>
                <w:rFonts w:asciiTheme="minorHAnsi" w:hAnsiTheme="minorHAnsi" w:cstheme="minorHAnsi"/>
                <w:szCs w:val="22"/>
              </w:rPr>
              <w:t>Community Services Directorate</w:t>
            </w:r>
          </w:p>
        </w:tc>
        <w:tc>
          <w:tcPr>
            <w:tcW w:w="4111" w:type="dxa"/>
            <w:shd w:val="clear" w:color="auto" w:fill="FFFFFF" w:themeFill="background1"/>
            <w:vAlign w:val="top"/>
          </w:tcPr>
          <w:p w14:paraId="6848227F" w14:textId="61802EDE" w:rsidR="002D39FA" w:rsidRPr="00B172DC" w:rsidRDefault="002D39FA" w:rsidP="00B172DC">
            <w:pPr>
              <w:pStyle w:val="TableText0"/>
              <w:rPr>
                <w:rFonts w:asciiTheme="minorHAnsi" w:hAnsiTheme="minorHAnsi" w:cstheme="minorHAnsi"/>
                <w:szCs w:val="22"/>
              </w:rPr>
            </w:pPr>
            <w:r w:rsidRPr="00B172DC">
              <w:rPr>
                <w:rFonts w:asciiTheme="minorHAnsi" w:hAnsiTheme="minorHAnsi" w:cstheme="minorHAnsi"/>
                <w:szCs w:val="22"/>
              </w:rPr>
              <w:t>Comparative adoption processing times for the ACT</w:t>
            </w:r>
          </w:p>
        </w:tc>
      </w:tr>
      <w:tr w:rsidR="002D39FA" w14:paraId="4119FE05" w14:textId="77777777" w:rsidTr="00486EA0">
        <w:trPr>
          <w:cnfStyle w:val="000000100000" w:firstRow="0" w:lastRow="0" w:firstColumn="0" w:lastColumn="0" w:oddVBand="0" w:evenVBand="0" w:oddHBand="1" w:evenHBand="0" w:firstRowFirstColumn="0" w:firstRowLastColumn="0" w:lastRowFirstColumn="0" w:lastRowLastColumn="0"/>
        </w:trPr>
        <w:tc>
          <w:tcPr>
            <w:tcW w:w="691" w:type="dxa"/>
            <w:shd w:val="clear" w:color="auto" w:fill="FFFFFF" w:themeFill="background1"/>
            <w:vAlign w:val="top"/>
          </w:tcPr>
          <w:p w14:paraId="6BFFD508" w14:textId="75A65DB4" w:rsidR="002D39FA" w:rsidRPr="00B172DC" w:rsidRDefault="002D39FA" w:rsidP="00B172DC">
            <w:pPr>
              <w:pStyle w:val="TableText0"/>
              <w:jc w:val="center"/>
              <w:rPr>
                <w:rFonts w:asciiTheme="minorHAnsi" w:hAnsiTheme="minorHAnsi" w:cstheme="minorHAnsi"/>
                <w:sz w:val="22"/>
                <w:szCs w:val="22"/>
              </w:rPr>
            </w:pPr>
            <w:r w:rsidRPr="00B172DC">
              <w:rPr>
                <w:rFonts w:asciiTheme="minorHAnsi" w:hAnsiTheme="minorHAnsi" w:cstheme="minorHAnsi"/>
                <w:sz w:val="22"/>
                <w:szCs w:val="22"/>
              </w:rPr>
              <w:t>CSD 15</w:t>
            </w:r>
          </w:p>
        </w:tc>
        <w:tc>
          <w:tcPr>
            <w:tcW w:w="1498" w:type="dxa"/>
            <w:shd w:val="clear" w:color="auto" w:fill="FFFFFF" w:themeFill="background1"/>
            <w:vAlign w:val="top"/>
          </w:tcPr>
          <w:p w14:paraId="1E10D434" w14:textId="625A73D7" w:rsidR="002D39FA" w:rsidRPr="00B172DC" w:rsidRDefault="002D39FA" w:rsidP="00B172DC">
            <w:pPr>
              <w:pStyle w:val="TableText0"/>
              <w:jc w:val="center"/>
              <w:rPr>
                <w:rFonts w:asciiTheme="minorHAnsi" w:hAnsiTheme="minorHAnsi" w:cstheme="minorHAnsi"/>
                <w:sz w:val="22"/>
                <w:szCs w:val="22"/>
              </w:rPr>
            </w:pPr>
            <w:r w:rsidRPr="00B172DC">
              <w:rPr>
                <w:rFonts w:asciiTheme="minorHAnsi" w:hAnsiTheme="minorHAnsi" w:cstheme="minorHAnsi"/>
                <w:sz w:val="22"/>
                <w:szCs w:val="22"/>
              </w:rPr>
              <w:t>Davis MLA</w:t>
            </w:r>
          </w:p>
        </w:tc>
        <w:tc>
          <w:tcPr>
            <w:tcW w:w="1977" w:type="dxa"/>
            <w:shd w:val="clear" w:color="auto" w:fill="FFFFFF" w:themeFill="background1"/>
            <w:vAlign w:val="top"/>
          </w:tcPr>
          <w:p w14:paraId="06A9A25D" w14:textId="0472A85F" w:rsidR="002D39FA" w:rsidRPr="00B172DC" w:rsidRDefault="002D39FA" w:rsidP="00B172DC">
            <w:pPr>
              <w:pStyle w:val="TableText0"/>
              <w:jc w:val="center"/>
              <w:rPr>
                <w:rFonts w:asciiTheme="minorHAnsi" w:hAnsiTheme="minorHAnsi" w:cstheme="minorHAnsi"/>
                <w:sz w:val="22"/>
                <w:szCs w:val="22"/>
              </w:rPr>
            </w:pPr>
            <w:r w:rsidRPr="00B172DC">
              <w:rPr>
                <w:rFonts w:asciiTheme="minorHAnsi" w:hAnsiTheme="minorHAnsi" w:cstheme="minorHAnsi"/>
                <w:sz w:val="22"/>
                <w:szCs w:val="22"/>
              </w:rPr>
              <w:t>Community Services Directorate</w:t>
            </w:r>
          </w:p>
        </w:tc>
        <w:tc>
          <w:tcPr>
            <w:tcW w:w="4111" w:type="dxa"/>
            <w:shd w:val="clear" w:color="auto" w:fill="FFFFFF" w:themeFill="background1"/>
            <w:vAlign w:val="top"/>
          </w:tcPr>
          <w:p w14:paraId="34C68A99" w14:textId="0D92D2FE" w:rsidR="002D39FA" w:rsidRPr="00B172DC" w:rsidRDefault="002D39FA" w:rsidP="00B172DC">
            <w:pPr>
              <w:pStyle w:val="TableText0"/>
              <w:rPr>
                <w:rFonts w:asciiTheme="minorHAnsi" w:hAnsiTheme="minorHAnsi" w:cstheme="minorHAnsi"/>
                <w:sz w:val="22"/>
                <w:szCs w:val="22"/>
              </w:rPr>
            </w:pPr>
            <w:r w:rsidRPr="00B172DC">
              <w:rPr>
                <w:rFonts w:asciiTheme="minorHAnsi" w:hAnsiTheme="minorHAnsi" w:cstheme="minorHAnsi"/>
                <w:sz w:val="22"/>
                <w:szCs w:val="22"/>
              </w:rPr>
              <w:t>Dissatisfaction among foster carers</w:t>
            </w:r>
          </w:p>
        </w:tc>
      </w:tr>
      <w:tr w:rsidR="002D39FA" w14:paraId="69A4DD0D" w14:textId="77777777" w:rsidTr="00486EA0">
        <w:tc>
          <w:tcPr>
            <w:tcW w:w="691" w:type="dxa"/>
            <w:shd w:val="clear" w:color="auto" w:fill="FFFFFF" w:themeFill="background1"/>
            <w:vAlign w:val="top"/>
          </w:tcPr>
          <w:p w14:paraId="1D32CA01" w14:textId="0A65BE07" w:rsidR="002D39FA" w:rsidRPr="00B172DC" w:rsidRDefault="002D39FA" w:rsidP="00B172DC">
            <w:pPr>
              <w:pStyle w:val="TableText0"/>
              <w:jc w:val="center"/>
              <w:rPr>
                <w:rFonts w:asciiTheme="minorHAnsi" w:hAnsiTheme="minorHAnsi" w:cstheme="minorHAnsi"/>
                <w:szCs w:val="22"/>
              </w:rPr>
            </w:pPr>
            <w:r w:rsidRPr="00B172DC">
              <w:rPr>
                <w:rFonts w:asciiTheme="minorHAnsi" w:hAnsiTheme="minorHAnsi" w:cstheme="minorHAnsi"/>
                <w:szCs w:val="22"/>
              </w:rPr>
              <w:t>CSD 16</w:t>
            </w:r>
          </w:p>
        </w:tc>
        <w:tc>
          <w:tcPr>
            <w:tcW w:w="1498" w:type="dxa"/>
            <w:shd w:val="clear" w:color="auto" w:fill="FFFFFF" w:themeFill="background1"/>
            <w:vAlign w:val="top"/>
          </w:tcPr>
          <w:p w14:paraId="7ABFA560" w14:textId="431AE23C" w:rsidR="002D39FA" w:rsidRPr="00B172DC" w:rsidRDefault="002D39FA" w:rsidP="00B172DC">
            <w:pPr>
              <w:pStyle w:val="TableText0"/>
              <w:jc w:val="center"/>
              <w:rPr>
                <w:rFonts w:asciiTheme="minorHAnsi" w:hAnsiTheme="minorHAnsi" w:cstheme="minorHAnsi"/>
                <w:szCs w:val="22"/>
              </w:rPr>
            </w:pPr>
            <w:r w:rsidRPr="00B172DC">
              <w:rPr>
                <w:rFonts w:asciiTheme="minorHAnsi" w:hAnsiTheme="minorHAnsi" w:cstheme="minorHAnsi"/>
                <w:szCs w:val="22"/>
              </w:rPr>
              <w:t>Davis MLA</w:t>
            </w:r>
          </w:p>
        </w:tc>
        <w:tc>
          <w:tcPr>
            <w:tcW w:w="1977" w:type="dxa"/>
            <w:shd w:val="clear" w:color="auto" w:fill="FFFFFF" w:themeFill="background1"/>
            <w:vAlign w:val="top"/>
          </w:tcPr>
          <w:p w14:paraId="25384F49" w14:textId="3DB1FDAF" w:rsidR="002D39FA" w:rsidRPr="00B172DC" w:rsidRDefault="002D39FA" w:rsidP="00B172DC">
            <w:pPr>
              <w:pStyle w:val="TableText0"/>
              <w:jc w:val="center"/>
              <w:rPr>
                <w:rFonts w:asciiTheme="minorHAnsi" w:hAnsiTheme="minorHAnsi" w:cstheme="minorHAnsi"/>
                <w:szCs w:val="22"/>
              </w:rPr>
            </w:pPr>
            <w:r w:rsidRPr="00B172DC">
              <w:rPr>
                <w:rFonts w:asciiTheme="minorHAnsi" w:hAnsiTheme="minorHAnsi" w:cstheme="minorHAnsi"/>
                <w:szCs w:val="22"/>
              </w:rPr>
              <w:t>Community Services Directorate</w:t>
            </w:r>
          </w:p>
        </w:tc>
        <w:tc>
          <w:tcPr>
            <w:tcW w:w="4111" w:type="dxa"/>
            <w:shd w:val="clear" w:color="auto" w:fill="FFFFFF" w:themeFill="background1"/>
            <w:vAlign w:val="top"/>
          </w:tcPr>
          <w:p w14:paraId="7C465D49" w14:textId="54B513AB" w:rsidR="002D39FA" w:rsidRPr="00B172DC" w:rsidRDefault="002D39FA" w:rsidP="00B172DC">
            <w:pPr>
              <w:pStyle w:val="TableText0"/>
              <w:rPr>
                <w:rFonts w:asciiTheme="minorHAnsi" w:hAnsiTheme="minorHAnsi" w:cstheme="minorHAnsi"/>
                <w:szCs w:val="22"/>
              </w:rPr>
            </w:pPr>
            <w:r w:rsidRPr="00B172DC">
              <w:rPr>
                <w:rFonts w:asciiTheme="minorHAnsi" w:hAnsiTheme="minorHAnsi" w:cstheme="minorHAnsi"/>
                <w:szCs w:val="22"/>
              </w:rPr>
              <w:t>National framework - adoption</w:t>
            </w:r>
          </w:p>
        </w:tc>
      </w:tr>
      <w:tr w:rsidR="002D39FA" w14:paraId="44328056" w14:textId="77777777" w:rsidTr="00486EA0">
        <w:trPr>
          <w:cnfStyle w:val="000000100000" w:firstRow="0" w:lastRow="0" w:firstColumn="0" w:lastColumn="0" w:oddVBand="0" w:evenVBand="0" w:oddHBand="1" w:evenHBand="0" w:firstRowFirstColumn="0" w:firstRowLastColumn="0" w:lastRowFirstColumn="0" w:lastRowLastColumn="0"/>
        </w:trPr>
        <w:tc>
          <w:tcPr>
            <w:tcW w:w="691" w:type="dxa"/>
            <w:shd w:val="clear" w:color="auto" w:fill="FFFFFF" w:themeFill="background1"/>
            <w:vAlign w:val="top"/>
          </w:tcPr>
          <w:p w14:paraId="74C1375A" w14:textId="76641FE4" w:rsidR="002D39FA" w:rsidRDefault="002D39FA" w:rsidP="00575B7C">
            <w:pPr>
              <w:pStyle w:val="TableText0"/>
              <w:jc w:val="center"/>
            </w:pPr>
            <w:r>
              <w:rPr>
                <w:rFonts w:asciiTheme="minorHAnsi" w:hAnsiTheme="minorHAnsi" w:cstheme="minorHAnsi"/>
                <w:sz w:val="22"/>
                <w:szCs w:val="22"/>
              </w:rPr>
              <w:t>CSD 17</w:t>
            </w:r>
          </w:p>
        </w:tc>
        <w:tc>
          <w:tcPr>
            <w:tcW w:w="1498" w:type="dxa"/>
            <w:shd w:val="clear" w:color="auto" w:fill="FFFFFF" w:themeFill="background1"/>
            <w:vAlign w:val="top"/>
          </w:tcPr>
          <w:p w14:paraId="3AD657B3" w14:textId="49AF2B38" w:rsidR="002D39FA" w:rsidRDefault="002D39FA" w:rsidP="00575B7C">
            <w:pPr>
              <w:pStyle w:val="TableText0"/>
              <w:jc w:val="center"/>
            </w:pPr>
            <w:r w:rsidRPr="003C0135">
              <w:rPr>
                <w:rFonts w:asciiTheme="minorHAnsi" w:hAnsiTheme="minorHAnsi" w:cstheme="minorHAnsi"/>
                <w:sz w:val="22"/>
                <w:szCs w:val="22"/>
              </w:rPr>
              <w:t>Kikkert MLA</w:t>
            </w:r>
          </w:p>
        </w:tc>
        <w:tc>
          <w:tcPr>
            <w:tcW w:w="1977" w:type="dxa"/>
            <w:shd w:val="clear" w:color="auto" w:fill="FFFFFF" w:themeFill="background1"/>
            <w:vAlign w:val="top"/>
          </w:tcPr>
          <w:p w14:paraId="4BEF52BB" w14:textId="2F42497B" w:rsidR="002D39FA" w:rsidRDefault="002D39FA" w:rsidP="00575B7C">
            <w:pPr>
              <w:pStyle w:val="TableText0"/>
              <w:jc w:val="center"/>
            </w:pPr>
            <w:r w:rsidRPr="00184C8E">
              <w:rPr>
                <w:rFonts w:asciiTheme="minorHAnsi" w:hAnsiTheme="minorHAnsi" w:cstheme="minorHAnsi"/>
                <w:sz w:val="22"/>
                <w:szCs w:val="22"/>
              </w:rPr>
              <w:t>Community Services Directorate</w:t>
            </w:r>
          </w:p>
        </w:tc>
        <w:tc>
          <w:tcPr>
            <w:tcW w:w="4111" w:type="dxa"/>
            <w:shd w:val="clear" w:color="auto" w:fill="FFFFFF" w:themeFill="background1"/>
            <w:vAlign w:val="top"/>
          </w:tcPr>
          <w:p w14:paraId="3745AE92" w14:textId="5C5DE32C" w:rsidR="002D39FA" w:rsidRDefault="002D39FA" w:rsidP="00575B7C">
            <w:pPr>
              <w:pStyle w:val="TableText0"/>
            </w:pPr>
            <w:r>
              <w:rPr>
                <w:rFonts w:asciiTheme="minorHAnsi" w:hAnsiTheme="minorHAnsi" w:cstheme="minorHAnsi"/>
                <w:sz w:val="22"/>
                <w:szCs w:val="22"/>
              </w:rPr>
              <w:t>Community Sector Sustainability Review</w:t>
            </w:r>
          </w:p>
        </w:tc>
      </w:tr>
      <w:tr w:rsidR="002D39FA" w14:paraId="232E328C" w14:textId="77777777" w:rsidTr="00486EA0">
        <w:tc>
          <w:tcPr>
            <w:tcW w:w="691" w:type="dxa"/>
            <w:shd w:val="clear" w:color="auto" w:fill="FFFFFF" w:themeFill="background1"/>
            <w:vAlign w:val="top"/>
          </w:tcPr>
          <w:p w14:paraId="60724971" w14:textId="7A286423" w:rsidR="002D39FA" w:rsidRDefault="002D39FA" w:rsidP="00575B7C">
            <w:pPr>
              <w:pStyle w:val="TableText0"/>
              <w:jc w:val="center"/>
            </w:pPr>
            <w:r>
              <w:rPr>
                <w:rFonts w:asciiTheme="minorHAnsi" w:hAnsiTheme="minorHAnsi" w:cstheme="minorHAnsi"/>
                <w:szCs w:val="22"/>
              </w:rPr>
              <w:t>CSD 18</w:t>
            </w:r>
          </w:p>
        </w:tc>
        <w:tc>
          <w:tcPr>
            <w:tcW w:w="1498" w:type="dxa"/>
            <w:shd w:val="clear" w:color="auto" w:fill="FFFFFF" w:themeFill="background1"/>
            <w:vAlign w:val="top"/>
          </w:tcPr>
          <w:p w14:paraId="75AC4352" w14:textId="6019D5D7" w:rsidR="002D39FA" w:rsidRDefault="002D39FA" w:rsidP="00575B7C">
            <w:pPr>
              <w:pStyle w:val="TableText0"/>
              <w:jc w:val="center"/>
            </w:pPr>
            <w:r w:rsidRPr="003C0135">
              <w:rPr>
                <w:rFonts w:asciiTheme="minorHAnsi" w:hAnsiTheme="minorHAnsi" w:cstheme="minorHAnsi"/>
                <w:szCs w:val="22"/>
              </w:rPr>
              <w:t>Kikkert MLA</w:t>
            </w:r>
          </w:p>
        </w:tc>
        <w:tc>
          <w:tcPr>
            <w:tcW w:w="1977" w:type="dxa"/>
            <w:shd w:val="clear" w:color="auto" w:fill="FFFFFF" w:themeFill="background1"/>
            <w:vAlign w:val="top"/>
          </w:tcPr>
          <w:p w14:paraId="6C9F8677" w14:textId="1D09D1B9" w:rsidR="002D39FA" w:rsidRDefault="002D39FA" w:rsidP="00575B7C">
            <w:pPr>
              <w:pStyle w:val="TableText0"/>
              <w:jc w:val="center"/>
            </w:pPr>
            <w:r w:rsidRPr="00184C8E">
              <w:rPr>
                <w:rFonts w:asciiTheme="minorHAnsi" w:hAnsiTheme="minorHAnsi" w:cstheme="minorHAnsi"/>
                <w:szCs w:val="22"/>
              </w:rPr>
              <w:t>Community Services Directorate</w:t>
            </w:r>
          </w:p>
        </w:tc>
        <w:tc>
          <w:tcPr>
            <w:tcW w:w="4111" w:type="dxa"/>
            <w:shd w:val="clear" w:color="auto" w:fill="FFFFFF" w:themeFill="background1"/>
            <w:vAlign w:val="top"/>
          </w:tcPr>
          <w:p w14:paraId="3EF66FCD" w14:textId="18E10081" w:rsidR="002D39FA" w:rsidRDefault="002D39FA" w:rsidP="00575B7C">
            <w:pPr>
              <w:pStyle w:val="TableText0"/>
            </w:pPr>
            <w:r>
              <w:rPr>
                <w:rFonts w:asciiTheme="minorHAnsi" w:hAnsiTheme="minorHAnsi" w:cstheme="minorHAnsi"/>
                <w:szCs w:val="22"/>
              </w:rPr>
              <w:t>Adoptions</w:t>
            </w:r>
          </w:p>
        </w:tc>
      </w:tr>
      <w:tr w:rsidR="002D39FA" w14:paraId="23415B52" w14:textId="77777777" w:rsidTr="00486EA0">
        <w:trPr>
          <w:cnfStyle w:val="000000100000" w:firstRow="0" w:lastRow="0" w:firstColumn="0" w:lastColumn="0" w:oddVBand="0" w:evenVBand="0" w:oddHBand="1" w:evenHBand="0" w:firstRowFirstColumn="0" w:firstRowLastColumn="0" w:lastRowFirstColumn="0" w:lastRowLastColumn="0"/>
        </w:trPr>
        <w:tc>
          <w:tcPr>
            <w:tcW w:w="691" w:type="dxa"/>
            <w:shd w:val="clear" w:color="auto" w:fill="FFFFFF" w:themeFill="background1"/>
            <w:vAlign w:val="top"/>
          </w:tcPr>
          <w:p w14:paraId="3E55D989" w14:textId="7A968BB9" w:rsidR="002D39FA" w:rsidRDefault="002D39FA" w:rsidP="00575B7C">
            <w:pPr>
              <w:pStyle w:val="TableText0"/>
              <w:jc w:val="center"/>
            </w:pPr>
            <w:r>
              <w:rPr>
                <w:rFonts w:asciiTheme="minorHAnsi" w:hAnsiTheme="minorHAnsi" w:cstheme="minorHAnsi"/>
                <w:sz w:val="22"/>
                <w:szCs w:val="22"/>
              </w:rPr>
              <w:t>CSD 19</w:t>
            </w:r>
          </w:p>
        </w:tc>
        <w:tc>
          <w:tcPr>
            <w:tcW w:w="1498" w:type="dxa"/>
            <w:shd w:val="clear" w:color="auto" w:fill="FFFFFF" w:themeFill="background1"/>
            <w:vAlign w:val="top"/>
          </w:tcPr>
          <w:p w14:paraId="228384A6" w14:textId="5A2D726B" w:rsidR="002D39FA" w:rsidRDefault="002D39FA" w:rsidP="00575B7C">
            <w:pPr>
              <w:pStyle w:val="TableText0"/>
              <w:jc w:val="center"/>
            </w:pPr>
            <w:r w:rsidRPr="003C0135">
              <w:rPr>
                <w:rFonts w:asciiTheme="minorHAnsi" w:hAnsiTheme="minorHAnsi" w:cstheme="minorHAnsi"/>
                <w:sz w:val="22"/>
                <w:szCs w:val="22"/>
              </w:rPr>
              <w:t>Kikkert MLA</w:t>
            </w:r>
          </w:p>
        </w:tc>
        <w:tc>
          <w:tcPr>
            <w:tcW w:w="1977" w:type="dxa"/>
            <w:shd w:val="clear" w:color="auto" w:fill="FFFFFF" w:themeFill="background1"/>
            <w:vAlign w:val="top"/>
          </w:tcPr>
          <w:p w14:paraId="2A84A89A" w14:textId="1CBF581D" w:rsidR="002D39FA" w:rsidRDefault="002D39FA" w:rsidP="00575B7C">
            <w:pPr>
              <w:pStyle w:val="TableText0"/>
              <w:jc w:val="center"/>
            </w:pPr>
            <w:r w:rsidRPr="00184C8E">
              <w:rPr>
                <w:rFonts w:asciiTheme="minorHAnsi" w:hAnsiTheme="minorHAnsi" w:cstheme="minorHAnsi"/>
                <w:sz w:val="22"/>
                <w:szCs w:val="22"/>
              </w:rPr>
              <w:t>Community Services Directorate</w:t>
            </w:r>
          </w:p>
        </w:tc>
        <w:tc>
          <w:tcPr>
            <w:tcW w:w="4111" w:type="dxa"/>
            <w:shd w:val="clear" w:color="auto" w:fill="FFFFFF" w:themeFill="background1"/>
            <w:vAlign w:val="top"/>
          </w:tcPr>
          <w:p w14:paraId="3E44DCAF" w14:textId="0ADD0F76" w:rsidR="002D39FA" w:rsidRDefault="002D39FA" w:rsidP="00575B7C">
            <w:pPr>
              <w:pStyle w:val="TableText0"/>
            </w:pPr>
            <w:r>
              <w:rPr>
                <w:rFonts w:asciiTheme="minorHAnsi" w:hAnsiTheme="minorHAnsi" w:cstheme="minorHAnsi"/>
                <w:sz w:val="22"/>
                <w:szCs w:val="22"/>
              </w:rPr>
              <w:t>Building connections for early intervention and prevention</w:t>
            </w:r>
          </w:p>
        </w:tc>
      </w:tr>
      <w:tr w:rsidR="002D39FA" w14:paraId="2CE9B45A" w14:textId="77777777" w:rsidTr="00486EA0">
        <w:tc>
          <w:tcPr>
            <w:tcW w:w="691" w:type="dxa"/>
            <w:shd w:val="clear" w:color="auto" w:fill="FFFFFF" w:themeFill="background1"/>
            <w:vAlign w:val="top"/>
          </w:tcPr>
          <w:p w14:paraId="062C5C7C" w14:textId="7C7B1F88" w:rsidR="002D39FA" w:rsidRDefault="002D39FA" w:rsidP="00575B7C">
            <w:pPr>
              <w:pStyle w:val="TableText0"/>
              <w:jc w:val="center"/>
            </w:pPr>
            <w:r>
              <w:rPr>
                <w:rFonts w:asciiTheme="minorHAnsi" w:hAnsiTheme="minorHAnsi" w:cstheme="minorHAnsi"/>
                <w:szCs w:val="22"/>
              </w:rPr>
              <w:t>CSD 20</w:t>
            </w:r>
          </w:p>
        </w:tc>
        <w:tc>
          <w:tcPr>
            <w:tcW w:w="1498" w:type="dxa"/>
            <w:shd w:val="clear" w:color="auto" w:fill="FFFFFF" w:themeFill="background1"/>
            <w:vAlign w:val="top"/>
          </w:tcPr>
          <w:p w14:paraId="576CC4A9" w14:textId="1C8B607E" w:rsidR="002D39FA" w:rsidRDefault="002D39FA" w:rsidP="00575B7C">
            <w:pPr>
              <w:pStyle w:val="TableText0"/>
              <w:jc w:val="center"/>
            </w:pPr>
            <w:r w:rsidRPr="003C0135">
              <w:rPr>
                <w:rFonts w:asciiTheme="minorHAnsi" w:hAnsiTheme="minorHAnsi" w:cstheme="minorHAnsi"/>
                <w:szCs w:val="22"/>
              </w:rPr>
              <w:t>Kikkert MLA</w:t>
            </w:r>
          </w:p>
        </w:tc>
        <w:tc>
          <w:tcPr>
            <w:tcW w:w="1977" w:type="dxa"/>
            <w:shd w:val="clear" w:color="auto" w:fill="FFFFFF" w:themeFill="background1"/>
            <w:vAlign w:val="top"/>
          </w:tcPr>
          <w:p w14:paraId="02C16B6E" w14:textId="73A402F6" w:rsidR="002D39FA" w:rsidRDefault="002D39FA" w:rsidP="00575B7C">
            <w:pPr>
              <w:pStyle w:val="TableText0"/>
              <w:jc w:val="center"/>
            </w:pPr>
            <w:r w:rsidRPr="00184C8E">
              <w:rPr>
                <w:rFonts w:asciiTheme="minorHAnsi" w:hAnsiTheme="minorHAnsi" w:cstheme="minorHAnsi"/>
                <w:szCs w:val="22"/>
              </w:rPr>
              <w:t>Community Services Directorate</w:t>
            </w:r>
          </w:p>
        </w:tc>
        <w:tc>
          <w:tcPr>
            <w:tcW w:w="4111" w:type="dxa"/>
            <w:shd w:val="clear" w:color="auto" w:fill="FFFFFF" w:themeFill="background1"/>
            <w:vAlign w:val="top"/>
          </w:tcPr>
          <w:p w14:paraId="5142FAE1" w14:textId="5DA6D6FD" w:rsidR="002D39FA" w:rsidRDefault="002D39FA" w:rsidP="00575B7C">
            <w:pPr>
              <w:pStyle w:val="TableText0"/>
            </w:pPr>
            <w:r>
              <w:rPr>
                <w:rFonts w:asciiTheme="minorHAnsi" w:hAnsiTheme="minorHAnsi" w:cstheme="minorHAnsi"/>
                <w:szCs w:val="22"/>
              </w:rPr>
              <w:t>Decreased funding for community service and housing</w:t>
            </w:r>
          </w:p>
        </w:tc>
      </w:tr>
      <w:tr w:rsidR="002D39FA" w14:paraId="54386ED4" w14:textId="77777777" w:rsidTr="00486EA0">
        <w:trPr>
          <w:cnfStyle w:val="000000100000" w:firstRow="0" w:lastRow="0" w:firstColumn="0" w:lastColumn="0" w:oddVBand="0" w:evenVBand="0" w:oddHBand="1" w:evenHBand="0" w:firstRowFirstColumn="0" w:firstRowLastColumn="0" w:lastRowFirstColumn="0" w:lastRowLastColumn="0"/>
        </w:trPr>
        <w:tc>
          <w:tcPr>
            <w:tcW w:w="691" w:type="dxa"/>
            <w:shd w:val="clear" w:color="auto" w:fill="FFFFFF" w:themeFill="background1"/>
            <w:vAlign w:val="top"/>
          </w:tcPr>
          <w:p w14:paraId="0B35EC48" w14:textId="1A7590D5" w:rsidR="002D39FA" w:rsidRDefault="002D39FA" w:rsidP="00575B7C">
            <w:pPr>
              <w:pStyle w:val="TableText0"/>
              <w:jc w:val="center"/>
            </w:pPr>
            <w:r>
              <w:rPr>
                <w:rFonts w:asciiTheme="minorHAnsi" w:hAnsiTheme="minorHAnsi" w:cstheme="minorHAnsi"/>
                <w:sz w:val="22"/>
                <w:szCs w:val="22"/>
              </w:rPr>
              <w:t>CSD 21</w:t>
            </w:r>
          </w:p>
        </w:tc>
        <w:tc>
          <w:tcPr>
            <w:tcW w:w="1498" w:type="dxa"/>
            <w:shd w:val="clear" w:color="auto" w:fill="FFFFFF" w:themeFill="background1"/>
            <w:vAlign w:val="top"/>
          </w:tcPr>
          <w:p w14:paraId="1DA7564B" w14:textId="2A0191A6" w:rsidR="002D39FA" w:rsidRDefault="002D39FA" w:rsidP="00575B7C">
            <w:pPr>
              <w:pStyle w:val="TableText0"/>
              <w:jc w:val="center"/>
            </w:pPr>
            <w:r w:rsidRPr="003C0135">
              <w:rPr>
                <w:rFonts w:asciiTheme="minorHAnsi" w:hAnsiTheme="minorHAnsi" w:cstheme="minorHAnsi"/>
                <w:sz w:val="22"/>
                <w:szCs w:val="22"/>
              </w:rPr>
              <w:t>Kikkert MLA</w:t>
            </w:r>
          </w:p>
        </w:tc>
        <w:tc>
          <w:tcPr>
            <w:tcW w:w="1977" w:type="dxa"/>
            <w:shd w:val="clear" w:color="auto" w:fill="FFFFFF" w:themeFill="background1"/>
            <w:vAlign w:val="top"/>
          </w:tcPr>
          <w:p w14:paraId="37A63102" w14:textId="76127A92" w:rsidR="002D39FA" w:rsidRDefault="002D39FA" w:rsidP="00575B7C">
            <w:pPr>
              <w:pStyle w:val="TableText0"/>
              <w:jc w:val="center"/>
            </w:pPr>
            <w:r w:rsidRPr="00184C8E">
              <w:rPr>
                <w:rFonts w:asciiTheme="minorHAnsi" w:hAnsiTheme="minorHAnsi" w:cstheme="minorHAnsi"/>
                <w:sz w:val="22"/>
                <w:szCs w:val="22"/>
              </w:rPr>
              <w:t>Community Services Directorate</w:t>
            </w:r>
          </w:p>
        </w:tc>
        <w:tc>
          <w:tcPr>
            <w:tcW w:w="4111" w:type="dxa"/>
            <w:shd w:val="clear" w:color="auto" w:fill="FFFFFF" w:themeFill="background1"/>
            <w:vAlign w:val="top"/>
          </w:tcPr>
          <w:p w14:paraId="7DB2ECEE" w14:textId="64929FCB" w:rsidR="002D39FA" w:rsidRDefault="002D39FA" w:rsidP="00575B7C">
            <w:pPr>
              <w:pStyle w:val="TableText0"/>
            </w:pPr>
            <w:r>
              <w:rPr>
                <w:rFonts w:asciiTheme="minorHAnsi" w:hAnsiTheme="minorHAnsi" w:cstheme="minorHAnsi"/>
                <w:sz w:val="22"/>
                <w:szCs w:val="22"/>
              </w:rPr>
              <w:t>Equal Remuneration Order</w:t>
            </w:r>
          </w:p>
        </w:tc>
      </w:tr>
      <w:tr w:rsidR="002D39FA" w14:paraId="1A7F232C" w14:textId="77777777" w:rsidTr="00486EA0">
        <w:tc>
          <w:tcPr>
            <w:tcW w:w="691" w:type="dxa"/>
            <w:shd w:val="clear" w:color="auto" w:fill="FFFFFF" w:themeFill="background1"/>
            <w:vAlign w:val="top"/>
          </w:tcPr>
          <w:p w14:paraId="5D2D6993" w14:textId="2B41E890" w:rsidR="002D39FA" w:rsidRDefault="002D39FA" w:rsidP="00575B7C">
            <w:pPr>
              <w:pStyle w:val="TableText0"/>
              <w:jc w:val="center"/>
            </w:pPr>
            <w:r>
              <w:rPr>
                <w:rFonts w:asciiTheme="minorHAnsi" w:hAnsiTheme="minorHAnsi" w:cstheme="minorHAnsi"/>
                <w:szCs w:val="22"/>
              </w:rPr>
              <w:t>CSD 22</w:t>
            </w:r>
          </w:p>
        </w:tc>
        <w:tc>
          <w:tcPr>
            <w:tcW w:w="1498" w:type="dxa"/>
            <w:shd w:val="clear" w:color="auto" w:fill="FFFFFF" w:themeFill="background1"/>
            <w:vAlign w:val="top"/>
          </w:tcPr>
          <w:p w14:paraId="2B2482DA" w14:textId="193D58E9" w:rsidR="002D39FA" w:rsidRDefault="002D39FA" w:rsidP="00575B7C">
            <w:pPr>
              <w:pStyle w:val="TableText0"/>
              <w:jc w:val="center"/>
            </w:pPr>
            <w:r w:rsidRPr="003C0135">
              <w:rPr>
                <w:rFonts w:asciiTheme="minorHAnsi" w:hAnsiTheme="minorHAnsi" w:cstheme="minorHAnsi"/>
                <w:szCs w:val="22"/>
              </w:rPr>
              <w:t>Kikkert MLA</w:t>
            </w:r>
          </w:p>
        </w:tc>
        <w:tc>
          <w:tcPr>
            <w:tcW w:w="1977" w:type="dxa"/>
            <w:shd w:val="clear" w:color="auto" w:fill="FFFFFF" w:themeFill="background1"/>
            <w:vAlign w:val="top"/>
          </w:tcPr>
          <w:p w14:paraId="32BCB5F8" w14:textId="3DF51FC3" w:rsidR="002D39FA" w:rsidRDefault="002D39FA" w:rsidP="00575B7C">
            <w:pPr>
              <w:pStyle w:val="TableText0"/>
              <w:jc w:val="center"/>
            </w:pPr>
            <w:r w:rsidRPr="00184C8E">
              <w:rPr>
                <w:rFonts w:asciiTheme="minorHAnsi" w:hAnsiTheme="minorHAnsi" w:cstheme="minorHAnsi"/>
                <w:szCs w:val="22"/>
              </w:rPr>
              <w:t>Community Services Directorate</w:t>
            </w:r>
          </w:p>
        </w:tc>
        <w:tc>
          <w:tcPr>
            <w:tcW w:w="4111" w:type="dxa"/>
            <w:shd w:val="clear" w:color="auto" w:fill="FFFFFF" w:themeFill="background1"/>
            <w:vAlign w:val="top"/>
          </w:tcPr>
          <w:p w14:paraId="0C9DBD98" w14:textId="6809208F" w:rsidR="002D39FA" w:rsidRDefault="002D39FA" w:rsidP="00575B7C">
            <w:pPr>
              <w:pStyle w:val="TableText0"/>
            </w:pPr>
            <w:r>
              <w:rPr>
                <w:rFonts w:asciiTheme="minorHAnsi" w:hAnsiTheme="minorHAnsi" w:cstheme="minorHAnsi"/>
                <w:szCs w:val="22"/>
              </w:rPr>
              <w:t>Estimated employment level</w:t>
            </w:r>
          </w:p>
        </w:tc>
      </w:tr>
      <w:tr w:rsidR="002D39FA" w14:paraId="04FB18DC" w14:textId="77777777" w:rsidTr="00486EA0">
        <w:trPr>
          <w:cnfStyle w:val="000000100000" w:firstRow="0" w:lastRow="0" w:firstColumn="0" w:lastColumn="0" w:oddVBand="0" w:evenVBand="0" w:oddHBand="1" w:evenHBand="0" w:firstRowFirstColumn="0" w:firstRowLastColumn="0" w:lastRowFirstColumn="0" w:lastRowLastColumn="0"/>
        </w:trPr>
        <w:tc>
          <w:tcPr>
            <w:tcW w:w="691" w:type="dxa"/>
            <w:shd w:val="clear" w:color="auto" w:fill="FFFFFF" w:themeFill="background1"/>
            <w:vAlign w:val="top"/>
          </w:tcPr>
          <w:p w14:paraId="1526E38D" w14:textId="1A83A419" w:rsidR="002D39FA" w:rsidRDefault="002D39FA" w:rsidP="00575B7C">
            <w:pPr>
              <w:pStyle w:val="TableText0"/>
              <w:jc w:val="center"/>
            </w:pPr>
            <w:r>
              <w:rPr>
                <w:rFonts w:asciiTheme="minorHAnsi" w:hAnsiTheme="minorHAnsi" w:cstheme="minorHAnsi"/>
                <w:sz w:val="22"/>
                <w:szCs w:val="22"/>
              </w:rPr>
              <w:t>CSD 23</w:t>
            </w:r>
          </w:p>
        </w:tc>
        <w:tc>
          <w:tcPr>
            <w:tcW w:w="1498" w:type="dxa"/>
            <w:shd w:val="clear" w:color="auto" w:fill="FFFFFF" w:themeFill="background1"/>
            <w:vAlign w:val="top"/>
          </w:tcPr>
          <w:p w14:paraId="2A761EC9" w14:textId="6188A0AF" w:rsidR="002D39FA" w:rsidRDefault="002D39FA" w:rsidP="00575B7C">
            <w:pPr>
              <w:pStyle w:val="TableText0"/>
              <w:jc w:val="center"/>
            </w:pPr>
            <w:r w:rsidRPr="003C0135">
              <w:rPr>
                <w:rFonts w:asciiTheme="minorHAnsi" w:hAnsiTheme="minorHAnsi" w:cstheme="minorHAnsi"/>
                <w:sz w:val="22"/>
                <w:szCs w:val="22"/>
              </w:rPr>
              <w:t>Kikkert MLA</w:t>
            </w:r>
          </w:p>
        </w:tc>
        <w:tc>
          <w:tcPr>
            <w:tcW w:w="1977" w:type="dxa"/>
            <w:shd w:val="clear" w:color="auto" w:fill="FFFFFF" w:themeFill="background1"/>
            <w:vAlign w:val="top"/>
          </w:tcPr>
          <w:p w14:paraId="1087DB44" w14:textId="7FD044E4" w:rsidR="002D39FA" w:rsidRDefault="002D39FA" w:rsidP="00575B7C">
            <w:pPr>
              <w:pStyle w:val="TableText0"/>
              <w:jc w:val="center"/>
            </w:pPr>
            <w:r w:rsidRPr="00184C8E">
              <w:rPr>
                <w:rFonts w:asciiTheme="minorHAnsi" w:hAnsiTheme="minorHAnsi" w:cstheme="minorHAnsi"/>
                <w:sz w:val="22"/>
                <w:szCs w:val="22"/>
              </w:rPr>
              <w:t>Community Services Directorate</w:t>
            </w:r>
          </w:p>
        </w:tc>
        <w:tc>
          <w:tcPr>
            <w:tcW w:w="4111" w:type="dxa"/>
            <w:shd w:val="clear" w:color="auto" w:fill="FFFFFF" w:themeFill="background1"/>
            <w:vAlign w:val="top"/>
          </w:tcPr>
          <w:p w14:paraId="46F375CD" w14:textId="41330AC8" w:rsidR="002D39FA" w:rsidRDefault="002D39FA" w:rsidP="00575B7C">
            <w:pPr>
              <w:pStyle w:val="TableText0"/>
            </w:pPr>
            <w:r>
              <w:rPr>
                <w:rFonts w:asciiTheme="minorHAnsi" w:hAnsiTheme="minorHAnsi" w:cstheme="minorHAnsi"/>
                <w:sz w:val="22"/>
                <w:szCs w:val="22"/>
              </w:rPr>
              <w:t>External merits review</w:t>
            </w:r>
          </w:p>
        </w:tc>
      </w:tr>
      <w:tr w:rsidR="002D39FA" w14:paraId="4D30A544" w14:textId="77777777" w:rsidTr="00486EA0">
        <w:tc>
          <w:tcPr>
            <w:tcW w:w="691" w:type="dxa"/>
            <w:shd w:val="clear" w:color="auto" w:fill="FFFFFF" w:themeFill="background1"/>
            <w:vAlign w:val="top"/>
          </w:tcPr>
          <w:p w14:paraId="339062CE" w14:textId="473B0702" w:rsidR="002D39FA" w:rsidRDefault="002D39FA" w:rsidP="00575B7C">
            <w:pPr>
              <w:pStyle w:val="TableText0"/>
              <w:jc w:val="center"/>
            </w:pPr>
            <w:r>
              <w:rPr>
                <w:rFonts w:asciiTheme="minorHAnsi" w:hAnsiTheme="minorHAnsi" w:cstheme="minorHAnsi"/>
                <w:szCs w:val="22"/>
              </w:rPr>
              <w:t>CSD 24</w:t>
            </w:r>
          </w:p>
        </w:tc>
        <w:tc>
          <w:tcPr>
            <w:tcW w:w="1498" w:type="dxa"/>
            <w:shd w:val="clear" w:color="auto" w:fill="FFFFFF" w:themeFill="background1"/>
            <w:vAlign w:val="top"/>
          </w:tcPr>
          <w:p w14:paraId="28467D16" w14:textId="518942B3" w:rsidR="002D39FA" w:rsidRDefault="002D39FA" w:rsidP="00575B7C">
            <w:pPr>
              <w:pStyle w:val="TableText0"/>
              <w:jc w:val="center"/>
            </w:pPr>
            <w:r w:rsidRPr="003C0135">
              <w:rPr>
                <w:rFonts w:asciiTheme="minorHAnsi" w:hAnsiTheme="minorHAnsi" w:cstheme="minorHAnsi"/>
                <w:szCs w:val="22"/>
              </w:rPr>
              <w:t>Kikkert MLA</w:t>
            </w:r>
          </w:p>
        </w:tc>
        <w:tc>
          <w:tcPr>
            <w:tcW w:w="1977" w:type="dxa"/>
            <w:shd w:val="clear" w:color="auto" w:fill="FFFFFF" w:themeFill="background1"/>
            <w:vAlign w:val="top"/>
          </w:tcPr>
          <w:p w14:paraId="33396B17" w14:textId="73EFE2D9" w:rsidR="002D39FA" w:rsidRDefault="002D39FA" w:rsidP="00575B7C">
            <w:pPr>
              <w:pStyle w:val="TableText0"/>
              <w:jc w:val="center"/>
            </w:pPr>
            <w:r w:rsidRPr="00184C8E">
              <w:rPr>
                <w:rFonts w:asciiTheme="minorHAnsi" w:hAnsiTheme="minorHAnsi" w:cstheme="minorHAnsi"/>
                <w:szCs w:val="22"/>
              </w:rPr>
              <w:t>Community Services Directorate</w:t>
            </w:r>
          </w:p>
        </w:tc>
        <w:tc>
          <w:tcPr>
            <w:tcW w:w="4111" w:type="dxa"/>
            <w:shd w:val="clear" w:color="auto" w:fill="FFFFFF" w:themeFill="background1"/>
            <w:vAlign w:val="top"/>
          </w:tcPr>
          <w:p w14:paraId="3CCE30BD" w14:textId="5E3165A8" w:rsidR="002D39FA" w:rsidRDefault="002D39FA" w:rsidP="00575B7C">
            <w:pPr>
              <w:pStyle w:val="TableText0"/>
            </w:pPr>
            <w:r>
              <w:rPr>
                <w:rFonts w:asciiTheme="minorHAnsi" w:hAnsiTheme="minorHAnsi" w:cstheme="minorHAnsi"/>
                <w:szCs w:val="22"/>
              </w:rPr>
              <w:t>Government contracting</w:t>
            </w:r>
          </w:p>
        </w:tc>
      </w:tr>
      <w:tr w:rsidR="002D39FA" w14:paraId="4D4AE043" w14:textId="77777777" w:rsidTr="00486EA0">
        <w:trPr>
          <w:cnfStyle w:val="000000100000" w:firstRow="0" w:lastRow="0" w:firstColumn="0" w:lastColumn="0" w:oddVBand="0" w:evenVBand="0" w:oddHBand="1" w:evenHBand="0" w:firstRowFirstColumn="0" w:firstRowLastColumn="0" w:lastRowFirstColumn="0" w:lastRowLastColumn="0"/>
        </w:trPr>
        <w:tc>
          <w:tcPr>
            <w:tcW w:w="691" w:type="dxa"/>
            <w:shd w:val="clear" w:color="auto" w:fill="FFFFFF" w:themeFill="background1"/>
            <w:vAlign w:val="top"/>
          </w:tcPr>
          <w:p w14:paraId="31FC8CB5" w14:textId="3E88ACD8" w:rsidR="002D39FA" w:rsidRDefault="002D39FA" w:rsidP="00575B7C">
            <w:pPr>
              <w:pStyle w:val="TableText0"/>
              <w:jc w:val="center"/>
            </w:pPr>
            <w:r>
              <w:rPr>
                <w:rFonts w:asciiTheme="minorHAnsi" w:hAnsiTheme="minorHAnsi" w:cstheme="minorHAnsi"/>
                <w:sz w:val="22"/>
                <w:szCs w:val="22"/>
              </w:rPr>
              <w:t>CSD 25</w:t>
            </w:r>
          </w:p>
        </w:tc>
        <w:tc>
          <w:tcPr>
            <w:tcW w:w="1498" w:type="dxa"/>
            <w:shd w:val="clear" w:color="auto" w:fill="FFFFFF" w:themeFill="background1"/>
            <w:vAlign w:val="top"/>
          </w:tcPr>
          <w:p w14:paraId="0F41EE83" w14:textId="19D0A0CD" w:rsidR="002D39FA" w:rsidRDefault="002D39FA" w:rsidP="00575B7C">
            <w:pPr>
              <w:pStyle w:val="TableText0"/>
              <w:jc w:val="center"/>
            </w:pPr>
            <w:r w:rsidRPr="003C0135">
              <w:rPr>
                <w:rFonts w:asciiTheme="minorHAnsi" w:hAnsiTheme="minorHAnsi" w:cstheme="minorHAnsi"/>
                <w:sz w:val="22"/>
                <w:szCs w:val="22"/>
              </w:rPr>
              <w:t>Kikkert MLA</w:t>
            </w:r>
          </w:p>
        </w:tc>
        <w:tc>
          <w:tcPr>
            <w:tcW w:w="1977" w:type="dxa"/>
            <w:shd w:val="clear" w:color="auto" w:fill="FFFFFF" w:themeFill="background1"/>
            <w:vAlign w:val="top"/>
          </w:tcPr>
          <w:p w14:paraId="6F67DF98" w14:textId="54DEA122" w:rsidR="002D39FA" w:rsidRDefault="002D39FA" w:rsidP="00575B7C">
            <w:pPr>
              <w:pStyle w:val="TableText0"/>
              <w:jc w:val="center"/>
            </w:pPr>
            <w:r w:rsidRPr="00184C8E">
              <w:rPr>
                <w:rFonts w:asciiTheme="minorHAnsi" w:hAnsiTheme="minorHAnsi" w:cstheme="minorHAnsi"/>
                <w:sz w:val="22"/>
                <w:szCs w:val="22"/>
              </w:rPr>
              <w:t>Community Services Directorate</w:t>
            </w:r>
          </w:p>
        </w:tc>
        <w:tc>
          <w:tcPr>
            <w:tcW w:w="4111" w:type="dxa"/>
            <w:shd w:val="clear" w:color="auto" w:fill="FFFFFF" w:themeFill="background1"/>
            <w:vAlign w:val="top"/>
          </w:tcPr>
          <w:p w14:paraId="7EF9B969" w14:textId="2815D76B" w:rsidR="002D39FA" w:rsidRDefault="002D39FA" w:rsidP="00575B7C">
            <w:pPr>
              <w:pStyle w:val="TableText0"/>
            </w:pPr>
            <w:r>
              <w:rPr>
                <w:rFonts w:asciiTheme="minorHAnsi" w:hAnsiTheme="minorHAnsi" w:cstheme="minorHAnsi"/>
                <w:sz w:val="22"/>
                <w:szCs w:val="22"/>
              </w:rPr>
              <w:t>Grants and purchased services</w:t>
            </w:r>
          </w:p>
        </w:tc>
      </w:tr>
      <w:tr w:rsidR="002D39FA" w14:paraId="0A0819F7" w14:textId="77777777" w:rsidTr="00486EA0">
        <w:tc>
          <w:tcPr>
            <w:tcW w:w="691" w:type="dxa"/>
            <w:shd w:val="clear" w:color="auto" w:fill="FFFFFF" w:themeFill="background1"/>
            <w:vAlign w:val="top"/>
          </w:tcPr>
          <w:p w14:paraId="03AE5364" w14:textId="1C5BC17F" w:rsidR="002D39FA" w:rsidRDefault="002D39FA" w:rsidP="00575B7C">
            <w:pPr>
              <w:pStyle w:val="TableText0"/>
              <w:jc w:val="center"/>
            </w:pPr>
            <w:r>
              <w:rPr>
                <w:rFonts w:asciiTheme="minorHAnsi" w:hAnsiTheme="minorHAnsi" w:cstheme="minorHAnsi"/>
                <w:szCs w:val="22"/>
              </w:rPr>
              <w:t>CSD 26</w:t>
            </w:r>
          </w:p>
        </w:tc>
        <w:tc>
          <w:tcPr>
            <w:tcW w:w="1498" w:type="dxa"/>
            <w:shd w:val="clear" w:color="auto" w:fill="FFFFFF" w:themeFill="background1"/>
            <w:vAlign w:val="top"/>
          </w:tcPr>
          <w:p w14:paraId="1700CFFD" w14:textId="73B58ECB" w:rsidR="002D39FA" w:rsidRDefault="002D39FA" w:rsidP="00575B7C">
            <w:pPr>
              <w:pStyle w:val="TableText0"/>
              <w:jc w:val="center"/>
            </w:pPr>
            <w:r w:rsidRPr="003C0135">
              <w:rPr>
                <w:rFonts w:asciiTheme="minorHAnsi" w:hAnsiTheme="minorHAnsi" w:cstheme="minorHAnsi"/>
                <w:szCs w:val="22"/>
              </w:rPr>
              <w:t>Kikkert MLA</w:t>
            </w:r>
          </w:p>
        </w:tc>
        <w:tc>
          <w:tcPr>
            <w:tcW w:w="1977" w:type="dxa"/>
            <w:shd w:val="clear" w:color="auto" w:fill="FFFFFF" w:themeFill="background1"/>
            <w:vAlign w:val="top"/>
          </w:tcPr>
          <w:p w14:paraId="1537E8D1" w14:textId="7BD86A64" w:rsidR="002D39FA" w:rsidRDefault="002D39FA" w:rsidP="00575B7C">
            <w:pPr>
              <w:pStyle w:val="TableText0"/>
              <w:jc w:val="center"/>
            </w:pPr>
            <w:r w:rsidRPr="00184C8E">
              <w:rPr>
                <w:rFonts w:asciiTheme="minorHAnsi" w:hAnsiTheme="minorHAnsi" w:cstheme="minorHAnsi"/>
                <w:szCs w:val="22"/>
              </w:rPr>
              <w:t>Community Services Directorate</w:t>
            </w:r>
          </w:p>
        </w:tc>
        <w:tc>
          <w:tcPr>
            <w:tcW w:w="4111" w:type="dxa"/>
            <w:shd w:val="clear" w:color="auto" w:fill="FFFFFF" w:themeFill="background1"/>
            <w:vAlign w:val="top"/>
          </w:tcPr>
          <w:p w14:paraId="1CEB4D7B" w14:textId="68F5E13C" w:rsidR="002D39FA" w:rsidRDefault="002D39FA" w:rsidP="00575B7C">
            <w:pPr>
              <w:pStyle w:val="TableText0"/>
            </w:pPr>
            <w:r>
              <w:rPr>
                <w:rFonts w:asciiTheme="minorHAnsi" w:hAnsiTheme="minorHAnsi" w:cstheme="minorHAnsi"/>
                <w:szCs w:val="22"/>
              </w:rPr>
              <w:t>Intermediary scheme for child witnesses</w:t>
            </w:r>
          </w:p>
        </w:tc>
      </w:tr>
      <w:tr w:rsidR="002D39FA" w14:paraId="2B09DB48" w14:textId="77777777" w:rsidTr="00486EA0">
        <w:trPr>
          <w:cnfStyle w:val="000000100000" w:firstRow="0" w:lastRow="0" w:firstColumn="0" w:lastColumn="0" w:oddVBand="0" w:evenVBand="0" w:oddHBand="1" w:evenHBand="0" w:firstRowFirstColumn="0" w:firstRowLastColumn="0" w:lastRowFirstColumn="0" w:lastRowLastColumn="0"/>
        </w:trPr>
        <w:tc>
          <w:tcPr>
            <w:tcW w:w="691" w:type="dxa"/>
            <w:shd w:val="clear" w:color="auto" w:fill="FFFFFF" w:themeFill="background1"/>
            <w:vAlign w:val="top"/>
          </w:tcPr>
          <w:p w14:paraId="7140C7EF" w14:textId="071AF59D" w:rsidR="002D39FA" w:rsidRDefault="002D39FA" w:rsidP="00575B7C">
            <w:pPr>
              <w:pStyle w:val="TableText0"/>
              <w:jc w:val="center"/>
            </w:pPr>
            <w:r>
              <w:rPr>
                <w:rFonts w:asciiTheme="minorHAnsi" w:hAnsiTheme="minorHAnsi" w:cstheme="minorHAnsi"/>
                <w:sz w:val="22"/>
                <w:szCs w:val="22"/>
              </w:rPr>
              <w:t>CSD 27</w:t>
            </w:r>
          </w:p>
        </w:tc>
        <w:tc>
          <w:tcPr>
            <w:tcW w:w="1498" w:type="dxa"/>
            <w:shd w:val="clear" w:color="auto" w:fill="FFFFFF" w:themeFill="background1"/>
            <w:vAlign w:val="top"/>
          </w:tcPr>
          <w:p w14:paraId="6EFF33AC" w14:textId="1733F60A" w:rsidR="002D39FA" w:rsidRDefault="002D39FA" w:rsidP="00575B7C">
            <w:pPr>
              <w:pStyle w:val="TableText0"/>
              <w:jc w:val="center"/>
            </w:pPr>
            <w:r w:rsidRPr="003C0135">
              <w:rPr>
                <w:rFonts w:asciiTheme="minorHAnsi" w:hAnsiTheme="minorHAnsi" w:cstheme="minorHAnsi"/>
                <w:sz w:val="22"/>
                <w:szCs w:val="22"/>
              </w:rPr>
              <w:t>Kikkert MLA</w:t>
            </w:r>
          </w:p>
        </w:tc>
        <w:tc>
          <w:tcPr>
            <w:tcW w:w="1977" w:type="dxa"/>
            <w:shd w:val="clear" w:color="auto" w:fill="FFFFFF" w:themeFill="background1"/>
            <w:vAlign w:val="top"/>
          </w:tcPr>
          <w:p w14:paraId="4F6E3C3A" w14:textId="387684C0" w:rsidR="002D39FA" w:rsidRDefault="002D39FA" w:rsidP="00575B7C">
            <w:pPr>
              <w:pStyle w:val="TableText0"/>
              <w:jc w:val="center"/>
            </w:pPr>
            <w:r w:rsidRPr="00184C8E">
              <w:rPr>
                <w:rFonts w:asciiTheme="minorHAnsi" w:hAnsiTheme="minorHAnsi" w:cstheme="minorHAnsi"/>
                <w:sz w:val="22"/>
                <w:szCs w:val="22"/>
              </w:rPr>
              <w:t>Community Services Directorate</w:t>
            </w:r>
          </w:p>
        </w:tc>
        <w:tc>
          <w:tcPr>
            <w:tcW w:w="4111" w:type="dxa"/>
            <w:shd w:val="clear" w:color="auto" w:fill="FFFFFF" w:themeFill="background1"/>
            <w:vAlign w:val="top"/>
          </w:tcPr>
          <w:p w14:paraId="530968E4" w14:textId="3BCEB1EF" w:rsidR="002D39FA" w:rsidRDefault="002D39FA" w:rsidP="00575B7C">
            <w:pPr>
              <w:pStyle w:val="TableText0"/>
            </w:pPr>
            <w:r>
              <w:rPr>
                <w:rFonts w:asciiTheme="minorHAnsi" w:hAnsiTheme="minorHAnsi" w:cstheme="minorHAnsi"/>
                <w:sz w:val="22"/>
                <w:szCs w:val="22"/>
              </w:rPr>
              <w:t>Maintaining therapeutic assessments for kids in care</w:t>
            </w:r>
          </w:p>
        </w:tc>
      </w:tr>
      <w:tr w:rsidR="002D39FA" w14:paraId="02F719F0" w14:textId="77777777" w:rsidTr="00486EA0">
        <w:tc>
          <w:tcPr>
            <w:tcW w:w="691" w:type="dxa"/>
            <w:shd w:val="clear" w:color="auto" w:fill="FFFFFF" w:themeFill="background1"/>
            <w:vAlign w:val="top"/>
          </w:tcPr>
          <w:p w14:paraId="2FB85311" w14:textId="304D3EA9" w:rsidR="002D39FA" w:rsidRDefault="002D39FA" w:rsidP="00575B7C">
            <w:pPr>
              <w:pStyle w:val="TableText0"/>
              <w:jc w:val="center"/>
            </w:pPr>
            <w:r>
              <w:rPr>
                <w:rFonts w:asciiTheme="minorHAnsi" w:hAnsiTheme="minorHAnsi" w:cstheme="minorHAnsi"/>
                <w:szCs w:val="22"/>
              </w:rPr>
              <w:t>CSD 28</w:t>
            </w:r>
          </w:p>
        </w:tc>
        <w:tc>
          <w:tcPr>
            <w:tcW w:w="1498" w:type="dxa"/>
            <w:shd w:val="clear" w:color="auto" w:fill="FFFFFF" w:themeFill="background1"/>
            <w:vAlign w:val="top"/>
          </w:tcPr>
          <w:p w14:paraId="2F1ACE8C" w14:textId="3F728D83" w:rsidR="002D39FA" w:rsidRDefault="002D39FA" w:rsidP="00575B7C">
            <w:pPr>
              <w:pStyle w:val="TableText0"/>
              <w:jc w:val="center"/>
            </w:pPr>
            <w:r w:rsidRPr="003C0135">
              <w:rPr>
                <w:rFonts w:asciiTheme="minorHAnsi" w:hAnsiTheme="minorHAnsi" w:cstheme="minorHAnsi"/>
                <w:szCs w:val="22"/>
              </w:rPr>
              <w:t>Kikkert MLA</w:t>
            </w:r>
          </w:p>
        </w:tc>
        <w:tc>
          <w:tcPr>
            <w:tcW w:w="1977" w:type="dxa"/>
            <w:shd w:val="clear" w:color="auto" w:fill="FFFFFF" w:themeFill="background1"/>
            <w:vAlign w:val="top"/>
          </w:tcPr>
          <w:p w14:paraId="32728CE1" w14:textId="35CF8E7F" w:rsidR="002D39FA" w:rsidRDefault="002D39FA" w:rsidP="00575B7C">
            <w:pPr>
              <w:pStyle w:val="TableText0"/>
              <w:jc w:val="center"/>
            </w:pPr>
            <w:r w:rsidRPr="00184C8E">
              <w:rPr>
                <w:rFonts w:asciiTheme="minorHAnsi" w:hAnsiTheme="minorHAnsi" w:cstheme="minorHAnsi"/>
                <w:szCs w:val="22"/>
              </w:rPr>
              <w:t>Community Services Directorate</w:t>
            </w:r>
          </w:p>
        </w:tc>
        <w:tc>
          <w:tcPr>
            <w:tcW w:w="4111" w:type="dxa"/>
            <w:shd w:val="clear" w:color="auto" w:fill="FFFFFF" w:themeFill="background1"/>
            <w:vAlign w:val="top"/>
          </w:tcPr>
          <w:p w14:paraId="6F935A2B" w14:textId="038CF053" w:rsidR="002D39FA" w:rsidRDefault="002D39FA" w:rsidP="00575B7C">
            <w:pPr>
              <w:pStyle w:val="TableText0"/>
            </w:pPr>
            <w:r>
              <w:rPr>
                <w:rFonts w:asciiTheme="minorHAnsi" w:hAnsiTheme="minorHAnsi" w:cstheme="minorHAnsi"/>
                <w:szCs w:val="22"/>
              </w:rPr>
              <w:t>Notes to controlled budget statements</w:t>
            </w:r>
          </w:p>
        </w:tc>
      </w:tr>
      <w:tr w:rsidR="002D39FA" w14:paraId="50515046" w14:textId="77777777" w:rsidTr="00486EA0">
        <w:trPr>
          <w:cnfStyle w:val="000000100000" w:firstRow="0" w:lastRow="0" w:firstColumn="0" w:lastColumn="0" w:oddVBand="0" w:evenVBand="0" w:oddHBand="1" w:evenHBand="0" w:firstRowFirstColumn="0" w:firstRowLastColumn="0" w:lastRowFirstColumn="0" w:lastRowLastColumn="0"/>
        </w:trPr>
        <w:tc>
          <w:tcPr>
            <w:tcW w:w="691" w:type="dxa"/>
            <w:shd w:val="clear" w:color="auto" w:fill="FFFFFF" w:themeFill="background1"/>
            <w:vAlign w:val="top"/>
          </w:tcPr>
          <w:p w14:paraId="49E7549E" w14:textId="1E699CD5" w:rsidR="002D39FA" w:rsidRDefault="002D39FA" w:rsidP="00575B7C">
            <w:pPr>
              <w:pStyle w:val="TableText0"/>
              <w:jc w:val="center"/>
            </w:pPr>
            <w:r>
              <w:rPr>
                <w:rFonts w:asciiTheme="minorHAnsi" w:hAnsiTheme="minorHAnsi" w:cstheme="minorHAnsi"/>
                <w:sz w:val="22"/>
                <w:szCs w:val="22"/>
              </w:rPr>
              <w:t>CSD 29</w:t>
            </w:r>
          </w:p>
        </w:tc>
        <w:tc>
          <w:tcPr>
            <w:tcW w:w="1498" w:type="dxa"/>
            <w:shd w:val="clear" w:color="auto" w:fill="FFFFFF" w:themeFill="background1"/>
            <w:vAlign w:val="top"/>
          </w:tcPr>
          <w:p w14:paraId="60DB9FE1" w14:textId="28ABB70E" w:rsidR="002D39FA" w:rsidRDefault="002D39FA" w:rsidP="00575B7C">
            <w:pPr>
              <w:pStyle w:val="TableText0"/>
              <w:jc w:val="center"/>
            </w:pPr>
            <w:r w:rsidRPr="003C0135">
              <w:rPr>
                <w:rFonts w:asciiTheme="minorHAnsi" w:hAnsiTheme="minorHAnsi" w:cstheme="minorHAnsi"/>
                <w:sz w:val="22"/>
                <w:szCs w:val="22"/>
              </w:rPr>
              <w:t>Kikkert MLA</w:t>
            </w:r>
          </w:p>
        </w:tc>
        <w:tc>
          <w:tcPr>
            <w:tcW w:w="1977" w:type="dxa"/>
            <w:shd w:val="clear" w:color="auto" w:fill="FFFFFF" w:themeFill="background1"/>
            <w:vAlign w:val="top"/>
          </w:tcPr>
          <w:p w14:paraId="64916B0E" w14:textId="769A6252" w:rsidR="002D39FA" w:rsidRDefault="002D39FA" w:rsidP="00575B7C">
            <w:pPr>
              <w:pStyle w:val="TableText0"/>
              <w:jc w:val="center"/>
            </w:pPr>
            <w:r w:rsidRPr="00184C8E">
              <w:rPr>
                <w:rFonts w:asciiTheme="minorHAnsi" w:hAnsiTheme="minorHAnsi" w:cstheme="minorHAnsi"/>
                <w:sz w:val="22"/>
                <w:szCs w:val="22"/>
              </w:rPr>
              <w:t>Community Services Directorate</w:t>
            </w:r>
          </w:p>
        </w:tc>
        <w:tc>
          <w:tcPr>
            <w:tcW w:w="4111" w:type="dxa"/>
            <w:shd w:val="clear" w:color="auto" w:fill="FFFFFF" w:themeFill="background1"/>
            <w:vAlign w:val="top"/>
          </w:tcPr>
          <w:p w14:paraId="39C4DCA4" w14:textId="50EC531A" w:rsidR="002D39FA" w:rsidRDefault="002D39FA" w:rsidP="00575B7C">
            <w:pPr>
              <w:pStyle w:val="TableText0"/>
            </w:pPr>
            <w:r>
              <w:rPr>
                <w:rFonts w:asciiTheme="minorHAnsi" w:hAnsiTheme="minorHAnsi" w:cstheme="minorHAnsi"/>
                <w:sz w:val="22"/>
                <w:szCs w:val="22"/>
              </w:rPr>
              <w:t xml:space="preserve">Our </w:t>
            </w:r>
            <w:proofErr w:type="spellStart"/>
            <w:r>
              <w:rPr>
                <w:rFonts w:asciiTheme="minorHAnsi" w:hAnsiTheme="minorHAnsi" w:cstheme="minorHAnsi"/>
                <w:sz w:val="22"/>
                <w:szCs w:val="22"/>
              </w:rPr>
              <w:t>Booris</w:t>
            </w:r>
            <w:proofErr w:type="spellEnd"/>
            <w:r>
              <w:rPr>
                <w:rFonts w:asciiTheme="minorHAnsi" w:hAnsiTheme="minorHAnsi" w:cstheme="minorHAnsi"/>
                <w:sz w:val="22"/>
                <w:szCs w:val="22"/>
              </w:rPr>
              <w:t>, Our Way</w:t>
            </w:r>
          </w:p>
        </w:tc>
      </w:tr>
      <w:tr w:rsidR="002D39FA" w14:paraId="1C17C01C" w14:textId="77777777" w:rsidTr="00486EA0">
        <w:tc>
          <w:tcPr>
            <w:tcW w:w="691" w:type="dxa"/>
            <w:shd w:val="clear" w:color="auto" w:fill="FFFFFF" w:themeFill="background1"/>
            <w:vAlign w:val="top"/>
          </w:tcPr>
          <w:p w14:paraId="2D1F20DA" w14:textId="54B25D23" w:rsidR="002D39FA" w:rsidRDefault="002D39FA" w:rsidP="00575B7C">
            <w:pPr>
              <w:pStyle w:val="TableText0"/>
              <w:jc w:val="center"/>
            </w:pPr>
            <w:r>
              <w:rPr>
                <w:rFonts w:asciiTheme="minorHAnsi" w:hAnsiTheme="minorHAnsi" w:cstheme="minorHAnsi"/>
                <w:szCs w:val="22"/>
              </w:rPr>
              <w:t>CSD 30</w:t>
            </w:r>
          </w:p>
        </w:tc>
        <w:tc>
          <w:tcPr>
            <w:tcW w:w="1498" w:type="dxa"/>
            <w:shd w:val="clear" w:color="auto" w:fill="FFFFFF" w:themeFill="background1"/>
            <w:vAlign w:val="top"/>
          </w:tcPr>
          <w:p w14:paraId="0393C563" w14:textId="5E9A4D1B" w:rsidR="002D39FA" w:rsidRDefault="002D39FA" w:rsidP="00575B7C">
            <w:pPr>
              <w:pStyle w:val="TableText0"/>
              <w:jc w:val="center"/>
            </w:pPr>
            <w:r w:rsidRPr="003C0135">
              <w:rPr>
                <w:rFonts w:asciiTheme="minorHAnsi" w:hAnsiTheme="minorHAnsi" w:cstheme="minorHAnsi"/>
                <w:szCs w:val="22"/>
              </w:rPr>
              <w:t>Kikkert MLA</w:t>
            </w:r>
          </w:p>
        </w:tc>
        <w:tc>
          <w:tcPr>
            <w:tcW w:w="1977" w:type="dxa"/>
            <w:shd w:val="clear" w:color="auto" w:fill="FFFFFF" w:themeFill="background1"/>
            <w:vAlign w:val="top"/>
          </w:tcPr>
          <w:p w14:paraId="570813EC" w14:textId="1BBAC8DF" w:rsidR="002D39FA" w:rsidRDefault="002D39FA" w:rsidP="00575B7C">
            <w:pPr>
              <w:pStyle w:val="TableText0"/>
              <w:jc w:val="center"/>
            </w:pPr>
            <w:r w:rsidRPr="00184C8E">
              <w:rPr>
                <w:rFonts w:asciiTheme="minorHAnsi" w:hAnsiTheme="minorHAnsi" w:cstheme="minorHAnsi"/>
                <w:szCs w:val="22"/>
              </w:rPr>
              <w:t>Community Services Directorate</w:t>
            </w:r>
          </w:p>
        </w:tc>
        <w:tc>
          <w:tcPr>
            <w:tcW w:w="4111" w:type="dxa"/>
            <w:shd w:val="clear" w:color="auto" w:fill="FFFFFF" w:themeFill="background1"/>
            <w:vAlign w:val="top"/>
          </w:tcPr>
          <w:p w14:paraId="6BF11DF9" w14:textId="153CFA11" w:rsidR="002D39FA" w:rsidRDefault="002D39FA" w:rsidP="00575B7C">
            <w:pPr>
              <w:pStyle w:val="TableText0"/>
            </w:pPr>
            <w:r>
              <w:rPr>
                <w:rFonts w:asciiTheme="minorHAnsi" w:hAnsiTheme="minorHAnsi" w:cstheme="minorHAnsi"/>
                <w:szCs w:val="22"/>
              </w:rPr>
              <w:t>Out-of-home care funding numbers</w:t>
            </w:r>
          </w:p>
        </w:tc>
      </w:tr>
      <w:tr w:rsidR="002D39FA" w14:paraId="1F434479" w14:textId="77777777" w:rsidTr="00486EA0">
        <w:trPr>
          <w:cnfStyle w:val="000000100000" w:firstRow="0" w:lastRow="0" w:firstColumn="0" w:lastColumn="0" w:oddVBand="0" w:evenVBand="0" w:oddHBand="1" w:evenHBand="0" w:firstRowFirstColumn="0" w:firstRowLastColumn="0" w:lastRowFirstColumn="0" w:lastRowLastColumn="0"/>
        </w:trPr>
        <w:tc>
          <w:tcPr>
            <w:tcW w:w="691" w:type="dxa"/>
            <w:shd w:val="clear" w:color="auto" w:fill="FFFFFF" w:themeFill="background1"/>
            <w:vAlign w:val="top"/>
          </w:tcPr>
          <w:p w14:paraId="29F62AE5" w14:textId="59ABE5AC" w:rsidR="002D39FA" w:rsidRDefault="002D39FA" w:rsidP="00575B7C">
            <w:pPr>
              <w:pStyle w:val="TableText0"/>
              <w:jc w:val="center"/>
            </w:pPr>
            <w:r>
              <w:rPr>
                <w:rFonts w:asciiTheme="minorHAnsi" w:hAnsiTheme="minorHAnsi" w:cstheme="minorHAnsi"/>
                <w:sz w:val="22"/>
                <w:szCs w:val="22"/>
              </w:rPr>
              <w:t>CSD 31</w:t>
            </w:r>
          </w:p>
        </w:tc>
        <w:tc>
          <w:tcPr>
            <w:tcW w:w="1498" w:type="dxa"/>
            <w:shd w:val="clear" w:color="auto" w:fill="FFFFFF" w:themeFill="background1"/>
            <w:vAlign w:val="top"/>
          </w:tcPr>
          <w:p w14:paraId="7DD3807E" w14:textId="608CE76A" w:rsidR="002D39FA" w:rsidRDefault="002D39FA" w:rsidP="00575B7C">
            <w:pPr>
              <w:pStyle w:val="TableText0"/>
              <w:jc w:val="center"/>
            </w:pPr>
            <w:r w:rsidRPr="003C0135">
              <w:rPr>
                <w:rFonts w:asciiTheme="minorHAnsi" w:hAnsiTheme="minorHAnsi" w:cstheme="minorHAnsi"/>
                <w:sz w:val="22"/>
                <w:szCs w:val="22"/>
              </w:rPr>
              <w:t>Kikkert MLA</w:t>
            </w:r>
          </w:p>
        </w:tc>
        <w:tc>
          <w:tcPr>
            <w:tcW w:w="1977" w:type="dxa"/>
            <w:shd w:val="clear" w:color="auto" w:fill="FFFFFF" w:themeFill="background1"/>
            <w:vAlign w:val="top"/>
          </w:tcPr>
          <w:p w14:paraId="35F561AD" w14:textId="67B8C7D6" w:rsidR="002D39FA" w:rsidRDefault="002D39FA" w:rsidP="00575B7C">
            <w:pPr>
              <w:pStyle w:val="TableText0"/>
              <w:jc w:val="center"/>
            </w:pPr>
            <w:r w:rsidRPr="00184C8E">
              <w:rPr>
                <w:rFonts w:asciiTheme="minorHAnsi" w:hAnsiTheme="minorHAnsi" w:cstheme="minorHAnsi"/>
                <w:sz w:val="22"/>
                <w:szCs w:val="22"/>
              </w:rPr>
              <w:t>Community Services Directorate</w:t>
            </w:r>
          </w:p>
        </w:tc>
        <w:tc>
          <w:tcPr>
            <w:tcW w:w="4111" w:type="dxa"/>
            <w:shd w:val="clear" w:color="auto" w:fill="FFFFFF" w:themeFill="background1"/>
            <w:vAlign w:val="top"/>
          </w:tcPr>
          <w:p w14:paraId="21B10616" w14:textId="5F522E0C" w:rsidR="002D39FA" w:rsidRDefault="002D39FA" w:rsidP="00575B7C">
            <w:pPr>
              <w:pStyle w:val="TableText0"/>
            </w:pPr>
            <w:r>
              <w:rPr>
                <w:rFonts w:asciiTheme="minorHAnsi" w:hAnsiTheme="minorHAnsi" w:cstheme="minorHAnsi"/>
                <w:sz w:val="22"/>
                <w:szCs w:val="22"/>
              </w:rPr>
              <w:t>Purpose-built residential care homes</w:t>
            </w:r>
          </w:p>
        </w:tc>
      </w:tr>
      <w:tr w:rsidR="002D39FA" w14:paraId="5F027F2C" w14:textId="77777777" w:rsidTr="00486EA0">
        <w:tc>
          <w:tcPr>
            <w:tcW w:w="691" w:type="dxa"/>
            <w:shd w:val="clear" w:color="auto" w:fill="FFFFFF" w:themeFill="background1"/>
            <w:vAlign w:val="top"/>
          </w:tcPr>
          <w:p w14:paraId="15D7B226" w14:textId="3296EF25" w:rsidR="002D39FA" w:rsidRDefault="002D39FA" w:rsidP="00575B7C">
            <w:pPr>
              <w:pStyle w:val="TableText0"/>
              <w:jc w:val="center"/>
            </w:pPr>
            <w:r>
              <w:rPr>
                <w:rFonts w:asciiTheme="minorHAnsi" w:hAnsiTheme="minorHAnsi" w:cstheme="minorHAnsi"/>
                <w:szCs w:val="22"/>
              </w:rPr>
              <w:t>CSD 32</w:t>
            </w:r>
          </w:p>
        </w:tc>
        <w:tc>
          <w:tcPr>
            <w:tcW w:w="1498" w:type="dxa"/>
            <w:shd w:val="clear" w:color="auto" w:fill="FFFFFF" w:themeFill="background1"/>
            <w:vAlign w:val="top"/>
          </w:tcPr>
          <w:p w14:paraId="5DB45866" w14:textId="1896A8D9" w:rsidR="002D39FA" w:rsidRDefault="002D39FA" w:rsidP="00575B7C">
            <w:pPr>
              <w:pStyle w:val="TableText0"/>
              <w:jc w:val="center"/>
            </w:pPr>
            <w:r w:rsidRPr="003C0135">
              <w:rPr>
                <w:rFonts w:asciiTheme="minorHAnsi" w:hAnsiTheme="minorHAnsi" w:cstheme="minorHAnsi"/>
                <w:szCs w:val="22"/>
              </w:rPr>
              <w:t>Kikkert MLA</w:t>
            </w:r>
          </w:p>
        </w:tc>
        <w:tc>
          <w:tcPr>
            <w:tcW w:w="1977" w:type="dxa"/>
            <w:shd w:val="clear" w:color="auto" w:fill="FFFFFF" w:themeFill="background1"/>
            <w:vAlign w:val="top"/>
          </w:tcPr>
          <w:p w14:paraId="6AB0187E" w14:textId="36D738C1" w:rsidR="002D39FA" w:rsidRDefault="002D39FA" w:rsidP="00575B7C">
            <w:pPr>
              <w:pStyle w:val="TableText0"/>
              <w:jc w:val="center"/>
            </w:pPr>
            <w:r w:rsidRPr="00184C8E">
              <w:rPr>
                <w:rFonts w:asciiTheme="minorHAnsi" w:hAnsiTheme="minorHAnsi" w:cstheme="minorHAnsi"/>
                <w:szCs w:val="22"/>
              </w:rPr>
              <w:t>Community Services Directorate</w:t>
            </w:r>
          </w:p>
        </w:tc>
        <w:tc>
          <w:tcPr>
            <w:tcW w:w="4111" w:type="dxa"/>
            <w:shd w:val="clear" w:color="auto" w:fill="FFFFFF" w:themeFill="background1"/>
            <w:vAlign w:val="top"/>
          </w:tcPr>
          <w:p w14:paraId="00A89902" w14:textId="6EBD7453" w:rsidR="002D39FA" w:rsidRDefault="002D39FA" w:rsidP="00575B7C">
            <w:pPr>
              <w:pStyle w:val="TableText0"/>
            </w:pPr>
            <w:r>
              <w:rPr>
                <w:rFonts w:asciiTheme="minorHAnsi" w:hAnsiTheme="minorHAnsi" w:cstheme="minorHAnsi"/>
                <w:szCs w:val="22"/>
              </w:rPr>
              <w:t>Reduced spending on family and children across estimates</w:t>
            </w:r>
          </w:p>
        </w:tc>
      </w:tr>
      <w:tr w:rsidR="002D39FA" w14:paraId="5D37251B" w14:textId="77777777" w:rsidTr="00486EA0">
        <w:trPr>
          <w:cnfStyle w:val="000000100000" w:firstRow="0" w:lastRow="0" w:firstColumn="0" w:lastColumn="0" w:oddVBand="0" w:evenVBand="0" w:oddHBand="1" w:evenHBand="0" w:firstRowFirstColumn="0" w:firstRowLastColumn="0" w:lastRowFirstColumn="0" w:lastRowLastColumn="0"/>
        </w:trPr>
        <w:tc>
          <w:tcPr>
            <w:tcW w:w="691" w:type="dxa"/>
            <w:shd w:val="clear" w:color="auto" w:fill="FFFFFF" w:themeFill="background1"/>
            <w:vAlign w:val="top"/>
          </w:tcPr>
          <w:p w14:paraId="1C9DE45F" w14:textId="63613B5A" w:rsidR="002D39FA" w:rsidRDefault="002D39FA" w:rsidP="00575B7C">
            <w:pPr>
              <w:pStyle w:val="TableText0"/>
              <w:jc w:val="center"/>
            </w:pPr>
            <w:r>
              <w:rPr>
                <w:rFonts w:asciiTheme="minorHAnsi" w:hAnsiTheme="minorHAnsi" w:cstheme="minorHAnsi"/>
                <w:sz w:val="22"/>
                <w:szCs w:val="22"/>
              </w:rPr>
              <w:t>CSD 33</w:t>
            </w:r>
          </w:p>
        </w:tc>
        <w:tc>
          <w:tcPr>
            <w:tcW w:w="1498" w:type="dxa"/>
            <w:shd w:val="clear" w:color="auto" w:fill="FFFFFF" w:themeFill="background1"/>
            <w:vAlign w:val="top"/>
          </w:tcPr>
          <w:p w14:paraId="1C596933" w14:textId="66D8506A" w:rsidR="002D39FA" w:rsidRDefault="002D39FA" w:rsidP="00575B7C">
            <w:pPr>
              <w:pStyle w:val="TableText0"/>
              <w:jc w:val="center"/>
            </w:pPr>
            <w:r w:rsidRPr="003C0135">
              <w:rPr>
                <w:rFonts w:asciiTheme="minorHAnsi" w:hAnsiTheme="minorHAnsi" w:cstheme="minorHAnsi"/>
                <w:sz w:val="22"/>
                <w:szCs w:val="22"/>
              </w:rPr>
              <w:t>Kikkert MLA</w:t>
            </w:r>
          </w:p>
        </w:tc>
        <w:tc>
          <w:tcPr>
            <w:tcW w:w="1977" w:type="dxa"/>
            <w:shd w:val="clear" w:color="auto" w:fill="FFFFFF" w:themeFill="background1"/>
            <w:vAlign w:val="top"/>
          </w:tcPr>
          <w:p w14:paraId="2D2594AF" w14:textId="79A9200C" w:rsidR="002D39FA" w:rsidRDefault="002D39FA" w:rsidP="00575B7C">
            <w:pPr>
              <w:pStyle w:val="TableText0"/>
              <w:jc w:val="center"/>
            </w:pPr>
            <w:r w:rsidRPr="00184C8E">
              <w:rPr>
                <w:rFonts w:asciiTheme="minorHAnsi" w:hAnsiTheme="minorHAnsi" w:cstheme="minorHAnsi"/>
                <w:sz w:val="22"/>
                <w:szCs w:val="22"/>
              </w:rPr>
              <w:t>Community Services Directorate</w:t>
            </w:r>
          </w:p>
        </w:tc>
        <w:tc>
          <w:tcPr>
            <w:tcW w:w="4111" w:type="dxa"/>
            <w:shd w:val="clear" w:color="auto" w:fill="FFFFFF" w:themeFill="background1"/>
            <w:vAlign w:val="top"/>
          </w:tcPr>
          <w:p w14:paraId="15C5B82C" w14:textId="7524788E" w:rsidR="002D39FA" w:rsidRDefault="002D39FA" w:rsidP="00575B7C">
            <w:pPr>
              <w:pStyle w:val="TableText0"/>
            </w:pPr>
            <w:r>
              <w:rPr>
                <w:rFonts w:asciiTheme="minorHAnsi" w:hAnsiTheme="minorHAnsi" w:cstheme="minorHAnsi"/>
                <w:sz w:val="22"/>
                <w:szCs w:val="22"/>
              </w:rPr>
              <w:t>Refreshed nurse home visiting</w:t>
            </w:r>
          </w:p>
        </w:tc>
      </w:tr>
      <w:tr w:rsidR="002D39FA" w14:paraId="650053CD" w14:textId="77777777" w:rsidTr="00486EA0">
        <w:tc>
          <w:tcPr>
            <w:tcW w:w="691" w:type="dxa"/>
            <w:shd w:val="clear" w:color="auto" w:fill="FFFFFF" w:themeFill="background1"/>
            <w:vAlign w:val="top"/>
          </w:tcPr>
          <w:p w14:paraId="77A8B5F2" w14:textId="242ECE87" w:rsidR="002D39FA" w:rsidRDefault="002D39FA" w:rsidP="00575B7C">
            <w:pPr>
              <w:pStyle w:val="TableText0"/>
              <w:jc w:val="center"/>
            </w:pPr>
            <w:r>
              <w:rPr>
                <w:rFonts w:asciiTheme="minorHAnsi" w:hAnsiTheme="minorHAnsi" w:cstheme="minorHAnsi"/>
                <w:szCs w:val="22"/>
              </w:rPr>
              <w:t>CSD 34</w:t>
            </w:r>
          </w:p>
        </w:tc>
        <w:tc>
          <w:tcPr>
            <w:tcW w:w="1498" w:type="dxa"/>
            <w:shd w:val="clear" w:color="auto" w:fill="FFFFFF" w:themeFill="background1"/>
            <w:vAlign w:val="top"/>
          </w:tcPr>
          <w:p w14:paraId="56E9EFDF" w14:textId="1391EC92" w:rsidR="002D39FA" w:rsidRDefault="002D39FA" w:rsidP="00575B7C">
            <w:pPr>
              <w:pStyle w:val="TableText0"/>
              <w:jc w:val="center"/>
            </w:pPr>
            <w:r w:rsidRPr="003C0135">
              <w:rPr>
                <w:rFonts w:asciiTheme="minorHAnsi" w:hAnsiTheme="minorHAnsi" w:cstheme="minorHAnsi"/>
                <w:szCs w:val="22"/>
              </w:rPr>
              <w:t>Kikkert MLA</w:t>
            </w:r>
          </w:p>
        </w:tc>
        <w:tc>
          <w:tcPr>
            <w:tcW w:w="1977" w:type="dxa"/>
            <w:shd w:val="clear" w:color="auto" w:fill="FFFFFF" w:themeFill="background1"/>
            <w:vAlign w:val="top"/>
          </w:tcPr>
          <w:p w14:paraId="67A41753" w14:textId="683F67B0" w:rsidR="002D39FA" w:rsidRDefault="002D39FA" w:rsidP="00575B7C">
            <w:pPr>
              <w:pStyle w:val="TableText0"/>
              <w:jc w:val="center"/>
            </w:pPr>
            <w:r w:rsidRPr="00184C8E">
              <w:rPr>
                <w:rFonts w:asciiTheme="minorHAnsi" w:hAnsiTheme="minorHAnsi" w:cstheme="minorHAnsi"/>
                <w:szCs w:val="22"/>
              </w:rPr>
              <w:t>Community Services Directorate</w:t>
            </w:r>
          </w:p>
        </w:tc>
        <w:tc>
          <w:tcPr>
            <w:tcW w:w="4111" w:type="dxa"/>
            <w:shd w:val="clear" w:color="auto" w:fill="FFFFFF" w:themeFill="background1"/>
            <w:vAlign w:val="top"/>
          </w:tcPr>
          <w:p w14:paraId="1D1FB8C6" w14:textId="1331C8B7" w:rsidR="002D39FA" w:rsidRDefault="002D39FA" w:rsidP="00575B7C">
            <w:pPr>
              <w:pStyle w:val="TableText0"/>
            </w:pPr>
            <w:r>
              <w:rPr>
                <w:rFonts w:asciiTheme="minorHAnsi" w:hAnsiTheme="minorHAnsi" w:cstheme="minorHAnsi"/>
                <w:szCs w:val="22"/>
              </w:rPr>
              <w:t>Stability in out-of-home care placements</w:t>
            </w:r>
          </w:p>
        </w:tc>
      </w:tr>
      <w:tr w:rsidR="002D39FA" w14:paraId="568EDD8C" w14:textId="77777777" w:rsidTr="00486EA0">
        <w:trPr>
          <w:cnfStyle w:val="000000100000" w:firstRow="0" w:lastRow="0" w:firstColumn="0" w:lastColumn="0" w:oddVBand="0" w:evenVBand="0" w:oddHBand="1" w:evenHBand="0" w:firstRowFirstColumn="0" w:firstRowLastColumn="0" w:lastRowFirstColumn="0" w:lastRowLastColumn="0"/>
        </w:trPr>
        <w:tc>
          <w:tcPr>
            <w:tcW w:w="691" w:type="dxa"/>
            <w:shd w:val="clear" w:color="auto" w:fill="FFFFFF" w:themeFill="background1"/>
            <w:vAlign w:val="top"/>
          </w:tcPr>
          <w:p w14:paraId="04E3D5D6" w14:textId="32B5DAEC" w:rsidR="002D39FA" w:rsidRDefault="002D39FA" w:rsidP="00575B7C">
            <w:pPr>
              <w:pStyle w:val="TableText0"/>
              <w:jc w:val="center"/>
            </w:pPr>
            <w:r>
              <w:rPr>
                <w:rFonts w:asciiTheme="minorHAnsi" w:hAnsiTheme="minorHAnsi" w:cstheme="minorHAnsi"/>
                <w:sz w:val="22"/>
                <w:szCs w:val="22"/>
              </w:rPr>
              <w:t>CSD 35</w:t>
            </w:r>
          </w:p>
        </w:tc>
        <w:tc>
          <w:tcPr>
            <w:tcW w:w="1498" w:type="dxa"/>
            <w:shd w:val="clear" w:color="auto" w:fill="FFFFFF" w:themeFill="background1"/>
            <w:vAlign w:val="top"/>
          </w:tcPr>
          <w:p w14:paraId="153E6994" w14:textId="602D4C64" w:rsidR="002D39FA" w:rsidRDefault="002D39FA" w:rsidP="00575B7C">
            <w:pPr>
              <w:pStyle w:val="TableText0"/>
              <w:jc w:val="center"/>
            </w:pPr>
            <w:r w:rsidRPr="003C0135">
              <w:rPr>
                <w:rFonts w:asciiTheme="minorHAnsi" w:hAnsiTheme="minorHAnsi" w:cstheme="minorHAnsi"/>
                <w:sz w:val="22"/>
                <w:szCs w:val="22"/>
              </w:rPr>
              <w:t>Kikkert MLA</w:t>
            </w:r>
          </w:p>
        </w:tc>
        <w:tc>
          <w:tcPr>
            <w:tcW w:w="1977" w:type="dxa"/>
            <w:shd w:val="clear" w:color="auto" w:fill="FFFFFF" w:themeFill="background1"/>
            <w:vAlign w:val="top"/>
          </w:tcPr>
          <w:p w14:paraId="16651D8C" w14:textId="6379CA8A" w:rsidR="002D39FA" w:rsidRDefault="002D39FA" w:rsidP="00575B7C">
            <w:pPr>
              <w:pStyle w:val="TableText0"/>
              <w:jc w:val="center"/>
            </w:pPr>
            <w:r w:rsidRPr="00184C8E">
              <w:rPr>
                <w:rFonts w:asciiTheme="minorHAnsi" w:hAnsiTheme="minorHAnsi" w:cstheme="minorHAnsi"/>
                <w:sz w:val="22"/>
                <w:szCs w:val="22"/>
              </w:rPr>
              <w:t>Community Services Directorate</w:t>
            </w:r>
          </w:p>
        </w:tc>
        <w:tc>
          <w:tcPr>
            <w:tcW w:w="4111" w:type="dxa"/>
            <w:shd w:val="clear" w:color="auto" w:fill="FFFFFF" w:themeFill="background1"/>
            <w:vAlign w:val="top"/>
          </w:tcPr>
          <w:p w14:paraId="402B41FA" w14:textId="77EDC1F5" w:rsidR="002D39FA" w:rsidRDefault="002D39FA" w:rsidP="00575B7C">
            <w:pPr>
              <w:pStyle w:val="TableText0"/>
            </w:pPr>
            <w:r>
              <w:rPr>
                <w:rFonts w:asciiTheme="minorHAnsi" w:hAnsiTheme="minorHAnsi" w:cstheme="minorHAnsi"/>
                <w:sz w:val="22"/>
                <w:szCs w:val="22"/>
              </w:rPr>
              <w:t>The Strengthening Practice Committee</w:t>
            </w:r>
          </w:p>
        </w:tc>
      </w:tr>
      <w:tr w:rsidR="002D39FA" w14:paraId="1616B13A" w14:textId="77777777" w:rsidTr="00486EA0">
        <w:tc>
          <w:tcPr>
            <w:tcW w:w="691" w:type="dxa"/>
            <w:shd w:val="clear" w:color="auto" w:fill="FFFFFF" w:themeFill="background1"/>
            <w:vAlign w:val="top"/>
          </w:tcPr>
          <w:p w14:paraId="6485426F" w14:textId="059C6D53" w:rsidR="002D39FA" w:rsidRDefault="002D39FA" w:rsidP="00575B7C">
            <w:pPr>
              <w:pStyle w:val="TableText0"/>
              <w:jc w:val="center"/>
            </w:pPr>
            <w:r>
              <w:rPr>
                <w:rFonts w:asciiTheme="minorHAnsi" w:hAnsiTheme="minorHAnsi" w:cstheme="minorHAnsi"/>
                <w:szCs w:val="22"/>
              </w:rPr>
              <w:t>CSD 36</w:t>
            </w:r>
          </w:p>
        </w:tc>
        <w:tc>
          <w:tcPr>
            <w:tcW w:w="1498" w:type="dxa"/>
            <w:shd w:val="clear" w:color="auto" w:fill="FFFFFF" w:themeFill="background1"/>
            <w:vAlign w:val="top"/>
          </w:tcPr>
          <w:p w14:paraId="620A753D" w14:textId="44D890BD" w:rsidR="002D39FA" w:rsidRDefault="002D39FA" w:rsidP="00575B7C">
            <w:pPr>
              <w:pStyle w:val="TableText0"/>
              <w:jc w:val="center"/>
            </w:pPr>
            <w:r w:rsidRPr="003C0135">
              <w:rPr>
                <w:rFonts w:asciiTheme="minorHAnsi" w:hAnsiTheme="minorHAnsi" w:cstheme="minorHAnsi"/>
                <w:szCs w:val="22"/>
              </w:rPr>
              <w:t>Kikkert MLA</w:t>
            </w:r>
          </w:p>
        </w:tc>
        <w:tc>
          <w:tcPr>
            <w:tcW w:w="1977" w:type="dxa"/>
            <w:shd w:val="clear" w:color="auto" w:fill="FFFFFF" w:themeFill="background1"/>
            <w:vAlign w:val="top"/>
          </w:tcPr>
          <w:p w14:paraId="4640890A" w14:textId="525BF6C9" w:rsidR="002D39FA" w:rsidRDefault="002D39FA" w:rsidP="00575B7C">
            <w:pPr>
              <w:pStyle w:val="TableText0"/>
              <w:jc w:val="center"/>
            </w:pPr>
            <w:r w:rsidRPr="00184C8E">
              <w:rPr>
                <w:rFonts w:asciiTheme="minorHAnsi" w:hAnsiTheme="minorHAnsi" w:cstheme="minorHAnsi"/>
                <w:szCs w:val="22"/>
              </w:rPr>
              <w:t>Community Services Directorate</w:t>
            </w:r>
          </w:p>
        </w:tc>
        <w:tc>
          <w:tcPr>
            <w:tcW w:w="4111" w:type="dxa"/>
            <w:shd w:val="clear" w:color="auto" w:fill="FFFFFF" w:themeFill="background1"/>
            <w:vAlign w:val="top"/>
          </w:tcPr>
          <w:p w14:paraId="34D62358" w14:textId="7736DE05" w:rsidR="002D39FA" w:rsidRDefault="002D39FA" w:rsidP="00575B7C">
            <w:pPr>
              <w:pStyle w:val="TableText0"/>
            </w:pPr>
            <w:r>
              <w:rPr>
                <w:rFonts w:asciiTheme="minorHAnsi" w:hAnsiTheme="minorHAnsi" w:cstheme="minorHAnsi"/>
                <w:szCs w:val="22"/>
              </w:rPr>
              <w:t>Therapeutic Care Court</w:t>
            </w:r>
          </w:p>
        </w:tc>
      </w:tr>
      <w:tr w:rsidR="002D39FA" w14:paraId="26984248" w14:textId="77777777" w:rsidTr="00486EA0">
        <w:trPr>
          <w:cnfStyle w:val="000000100000" w:firstRow="0" w:lastRow="0" w:firstColumn="0" w:lastColumn="0" w:oddVBand="0" w:evenVBand="0" w:oddHBand="1" w:evenHBand="0" w:firstRowFirstColumn="0" w:firstRowLastColumn="0" w:lastRowFirstColumn="0" w:lastRowLastColumn="0"/>
        </w:trPr>
        <w:tc>
          <w:tcPr>
            <w:tcW w:w="691" w:type="dxa"/>
            <w:shd w:val="clear" w:color="auto" w:fill="FFFFFF" w:themeFill="background1"/>
            <w:vAlign w:val="top"/>
          </w:tcPr>
          <w:p w14:paraId="72AF3C89" w14:textId="5D1AB79B" w:rsidR="002D39FA" w:rsidRDefault="002D39FA" w:rsidP="00575B7C">
            <w:pPr>
              <w:pStyle w:val="TableText0"/>
              <w:jc w:val="center"/>
            </w:pPr>
            <w:r>
              <w:rPr>
                <w:rFonts w:asciiTheme="minorHAnsi" w:hAnsiTheme="minorHAnsi" w:cstheme="minorHAnsi"/>
                <w:sz w:val="22"/>
                <w:szCs w:val="22"/>
              </w:rPr>
              <w:t>CSD 37</w:t>
            </w:r>
          </w:p>
        </w:tc>
        <w:tc>
          <w:tcPr>
            <w:tcW w:w="1498" w:type="dxa"/>
            <w:shd w:val="clear" w:color="auto" w:fill="FFFFFF" w:themeFill="background1"/>
            <w:vAlign w:val="top"/>
          </w:tcPr>
          <w:p w14:paraId="1AEB3BA5" w14:textId="43357887" w:rsidR="002D39FA" w:rsidRDefault="002D39FA" w:rsidP="00575B7C">
            <w:pPr>
              <w:pStyle w:val="TableText0"/>
              <w:jc w:val="center"/>
            </w:pPr>
            <w:r w:rsidRPr="003C0135">
              <w:rPr>
                <w:rFonts w:asciiTheme="minorHAnsi" w:hAnsiTheme="minorHAnsi" w:cstheme="minorHAnsi"/>
                <w:sz w:val="22"/>
                <w:szCs w:val="22"/>
              </w:rPr>
              <w:t>Kikkert MLA</w:t>
            </w:r>
          </w:p>
        </w:tc>
        <w:tc>
          <w:tcPr>
            <w:tcW w:w="1977" w:type="dxa"/>
            <w:shd w:val="clear" w:color="auto" w:fill="FFFFFF" w:themeFill="background1"/>
            <w:vAlign w:val="top"/>
          </w:tcPr>
          <w:p w14:paraId="4D5BDEE4" w14:textId="2D175104" w:rsidR="002D39FA" w:rsidRDefault="002D39FA" w:rsidP="00575B7C">
            <w:pPr>
              <w:pStyle w:val="TableText0"/>
              <w:jc w:val="center"/>
            </w:pPr>
            <w:r w:rsidRPr="00184C8E">
              <w:rPr>
                <w:rFonts w:asciiTheme="minorHAnsi" w:hAnsiTheme="minorHAnsi" w:cstheme="minorHAnsi"/>
                <w:sz w:val="22"/>
                <w:szCs w:val="22"/>
              </w:rPr>
              <w:t>Community Services Directorate</w:t>
            </w:r>
          </w:p>
        </w:tc>
        <w:tc>
          <w:tcPr>
            <w:tcW w:w="4111" w:type="dxa"/>
            <w:shd w:val="clear" w:color="auto" w:fill="FFFFFF" w:themeFill="background1"/>
            <w:vAlign w:val="top"/>
          </w:tcPr>
          <w:p w14:paraId="5882A246" w14:textId="0EF05623" w:rsidR="002D39FA" w:rsidRDefault="002D39FA" w:rsidP="00575B7C">
            <w:pPr>
              <w:pStyle w:val="TableText0"/>
            </w:pPr>
            <w:r>
              <w:rPr>
                <w:rFonts w:asciiTheme="minorHAnsi" w:hAnsiTheme="minorHAnsi" w:cstheme="minorHAnsi"/>
                <w:sz w:val="22"/>
                <w:szCs w:val="22"/>
              </w:rPr>
              <w:t>Community Relations and Funding Support Team</w:t>
            </w:r>
          </w:p>
        </w:tc>
      </w:tr>
      <w:tr w:rsidR="002D39FA" w14:paraId="256CA27C" w14:textId="77777777" w:rsidTr="00486EA0">
        <w:tc>
          <w:tcPr>
            <w:tcW w:w="691" w:type="dxa"/>
            <w:shd w:val="clear" w:color="auto" w:fill="FFFFFF" w:themeFill="background1"/>
            <w:vAlign w:val="top"/>
          </w:tcPr>
          <w:p w14:paraId="7F3E435B" w14:textId="75769C57" w:rsidR="002D39FA" w:rsidRDefault="002D39FA" w:rsidP="00F50CAB">
            <w:pPr>
              <w:pStyle w:val="TableText0"/>
              <w:jc w:val="center"/>
              <w:rPr>
                <w:rFonts w:asciiTheme="minorHAnsi" w:hAnsiTheme="minorHAnsi" w:cstheme="minorHAnsi"/>
                <w:szCs w:val="22"/>
              </w:rPr>
            </w:pPr>
            <w:r>
              <w:rPr>
                <w:rFonts w:asciiTheme="minorHAnsi" w:hAnsiTheme="minorHAnsi" w:cstheme="minorHAnsi"/>
                <w:szCs w:val="22"/>
              </w:rPr>
              <w:t>CSD 38</w:t>
            </w:r>
          </w:p>
        </w:tc>
        <w:tc>
          <w:tcPr>
            <w:tcW w:w="1498" w:type="dxa"/>
            <w:shd w:val="clear" w:color="auto" w:fill="FFFFFF" w:themeFill="background1"/>
            <w:vAlign w:val="top"/>
          </w:tcPr>
          <w:p w14:paraId="4435CF53" w14:textId="289AAA81" w:rsidR="002D39FA" w:rsidRPr="003C0135" w:rsidRDefault="002D39FA" w:rsidP="00F50CAB">
            <w:pPr>
              <w:pStyle w:val="TableText0"/>
              <w:jc w:val="center"/>
              <w:rPr>
                <w:rFonts w:asciiTheme="minorHAnsi" w:hAnsiTheme="minorHAnsi" w:cstheme="minorHAnsi"/>
                <w:szCs w:val="22"/>
              </w:rPr>
            </w:pPr>
            <w:r w:rsidRPr="00933B94">
              <w:rPr>
                <w:rFonts w:asciiTheme="minorHAnsi" w:hAnsiTheme="minorHAnsi" w:cstheme="minorHAnsi"/>
                <w:szCs w:val="22"/>
              </w:rPr>
              <w:t>Lawder MLA</w:t>
            </w:r>
          </w:p>
        </w:tc>
        <w:tc>
          <w:tcPr>
            <w:tcW w:w="1977" w:type="dxa"/>
            <w:shd w:val="clear" w:color="auto" w:fill="FFFFFF" w:themeFill="background1"/>
            <w:vAlign w:val="top"/>
          </w:tcPr>
          <w:p w14:paraId="5F5F8934" w14:textId="5418A622" w:rsidR="002D39FA" w:rsidRPr="00184C8E" w:rsidRDefault="002D39FA" w:rsidP="00F50CAB">
            <w:pPr>
              <w:pStyle w:val="TableText0"/>
              <w:jc w:val="center"/>
              <w:rPr>
                <w:rFonts w:asciiTheme="minorHAnsi" w:hAnsiTheme="minorHAnsi" w:cstheme="minorHAnsi"/>
                <w:szCs w:val="22"/>
              </w:rPr>
            </w:pPr>
            <w:r w:rsidRPr="00184C8E">
              <w:rPr>
                <w:rFonts w:asciiTheme="minorHAnsi" w:hAnsiTheme="minorHAnsi" w:cstheme="minorHAnsi"/>
                <w:szCs w:val="22"/>
              </w:rPr>
              <w:t>Community Services Directorate</w:t>
            </w:r>
          </w:p>
        </w:tc>
        <w:tc>
          <w:tcPr>
            <w:tcW w:w="4111" w:type="dxa"/>
            <w:shd w:val="clear" w:color="auto" w:fill="FFFFFF" w:themeFill="background1"/>
            <w:vAlign w:val="top"/>
          </w:tcPr>
          <w:p w14:paraId="6F1F78DD" w14:textId="5DD51EA2" w:rsidR="002D39FA" w:rsidRDefault="002D39FA" w:rsidP="00F50CAB">
            <w:pPr>
              <w:pStyle w:val="TableText0"/>
              <w:rPr>
                <w:rFonts w:asciiTheme="minorHAnsi" w:hAnsiTheme="minorHAnsi" w:cstheme="minorHAnsi"/>
                <w:szCs w:val="22"/>
              </w:rPr>
            </w:pPr>
            <w:r>
              <w:rPr>
                <w:rFonts w:asciiTheme="minorHAnsi" w:hAnsiTheme="minorHAnsi" w:cstheme="minorHAnsi"/>
                <w:szCs w:val="22"/>
              </w:rPr>
              <w:t>Public Housing Maintenance</w:t>
            </w:r>
          </w:p>
        </w:tc>
      </w:tr>
      <w:tr w:rsidR="002D39FA" w14:paraId="11F05357" w14:textId="77777777" w:rsidTr="00486EA0">
        <w:trPr>
          <w:cnfStyle w:val="000000100000" w:firstRow="0" w:lastRow="0" w:firstColumn="0" w:lastColumn="0" w:oddVBand="0" w:evenVBand="0" w:oddHBand="1" w:evenHBand="0" w:firstRowFirstColumn="0" w:firstRowLastColumn="0" w:lastRowFirstColumn="0" w:lastRowLastColumn="0"/>
        </w:trPr>
        <w:tc>
          <w:tcPr>
            <w:tcW w:w="691" w:type="dxa"/>
            <w:shd w:val="clear" w:color="auto" w:fill="FFFFFF" w:themeFill="background1"/>
            <w:vAlign w:val="top"/>
          </w:tcPr>
          <w:p w14:paraId="2DE3FD3F" w14:textId="6258AED6" w:rsidR="002D39FA" w:rsidRDefault="002D39FA" w:rsidP="00F50CAB">
            <w:pPr>
              <w:pStyle w:val="TableText0"/>
              <w:jc w:val="center"/>
              <w:rPr>
                <w:rFonts w:asciiTheme="minorHAnsi" w:hAnsiTheme="minorHAnsi" w:cstheme="minorHAnsi"/>
                <w:szCs w:val="22"/>
              </w:rPr>
            </w:pPr>
            <w:r>
              <w:rPr>
                <w:rFonts w:asciiTheme="minorHAnsi" w:hAnsiTheme="minorHAnsi" w:cstheme="minorHAnsi"/>
                <w:sz w:val="22"/>
                <w:szCs w:val="22"/>
              </w:rPr>
              <w:t>CSD 39</w:t>
            </w:r>
          </w:p>
        </w:tc>
        <w:tc>
          <w:tcPr>
            <w:tcW w:w="1498" w:type="dxa"/>
            <w:shd w:val="clear" w:color="auto" w:fill="FFFFFF" w:themeFill="background1"/>
            <w:vAlign w:val="top"/>
          </w:tcPr>
          <w:p w14:paraId="5DF6F904" w14:textId="508BCE89" w:rsidR="002D39FA" w:rsidRPr="003C0135" w:rsidRDefault="002D39FA" w:rsidP="00F50CAB">
            <w:pPr>
              <w:pStyle w:val="TableText0"/>
              <w:jc w:val="center"/>
              <w:rPr>
                <w:rFonts w:asciiTheme="minorHAnsi" w:hAnsiTheme="minorHAnsi" w:cstheme="minorHAnsi"/>
                <w:szCs w:val="22"/>
              </w:rPr>
            </w:pPr>
            <w:r w:rsidRPr="00933B94">
              <w:rPr>
                <w:rFonts w:asciiTheme="minorHAnsi" w:hAnsiTheme="minorHAnsi" w:cstheme="minorHAnsi"/>
                <w:sz w:val="22"/>
                <w:szCs w:val="22"/>
              </w:rPr>
              <w:t>Lawder MLA</w:t>
            </w:r>
          </w:p>
        </w:tc>
        <w:tc>
          <w:tcPr>
            <w:tcW w:w="1977" w:type="dxa"/>
            <w:shd w:val="clear" w:color="auto" w:fill="FFFFFF" w:themeFill="background1"/>
            <w:vAlign w:val="top"/>
          </w:tcPr>
          <w:p w14:paraId="66BC0091" w14:textId="50AA4DD4" w:rsidR="002D39FA" w:rsidRPr="00184C8E" w:rsidRDefault="002D39FA" w:rsidP="00F50CAB">
            <w:pPr>
              <w:pStyle w:val="TableText0"/>
              <w:jc w:val="center"/>
              <w:rPr>
                <w:rFonts w:asciiTheme="minorHAnsi" w:hAnsiTheme="minorHAnsi" w:cstheme="minorHAnsi"/>
                <w:szCs w:val="22"/>
              </w:rPr>
            </w:pPr>
            <w:r w:rsidRPr="00184C8E">
              <w:rPr>
                <w:rFonts w:asciiTheme="minorHAnsi" w:hAnsiTheme="minorHAnsi" w:cstheme="minorHAnsi"/>
                <w:sz w:val="22"/>
                <w:szCs w:val="22"/>
              </w:rPr>
              <w:t>Community Services Directorate</w:t>
            </w:r>
          </w:p>
        </w:tc>
        <w:tc>
          <w:tcPr>
            <w:tcW w:w="4111" w:type="dxa"/>
            <w:shd w:val="clear" w:color="auto" w:fill="FFFFFF" w:themeFill="background1"/>
            <w:vAlign w:val="top"/>
          </w:tcPr>
          <w:p w14:paraId="556EAD04" w14:textId="54051A79" w:rsidR="002D39FA" w:rsidRDefault="002D39FA" w:rsidP="00F50CAB">
            <w:pPr>
              <w:pStyle w:val="TableText0"/>
              <w:rPr>
                <w:rFonts w:asciiTheme="minorHAnsi" w:hAnsiTheme="minorHAnsi" w:cstheme="minorHAnsi"/>
                <w:szCs w:val="22"/>
              </w:rPr>
            </w:pPr>
            <w:r>
              <w:rPr>
                <w:rFonts w:asciiTheme="minorHAnsi" w:hAnsiTheme="minorHAnsi" w:cstheme="minorHAnsi"/>
                <w:sz w:val="22"/>
                <w:szCs w:val="22"/>
              </w:rPr>
              <w:t>ACT Housing Portfolio</w:t>
            </w:r>
          </w:p>
        </w:tc>
      </w:tr>
      <w:tr w:rsidR="002D39FA" w14:paraId="42DCFA17" w14:textId="77777777" w:rsidTr="00486EA0">
        <w:tc>
          <w:tcPr>
            <w:tcW w:w="691" w:type="dxa"/>
            <w:shd w:val="clear" w:color="auto" w:fill="FFFFFF" w:themeFill="background1"/>
            <w:vAlign w:val="top"/>
          </w:tcPr>
          <w:p w14:paraId="4BB9DEC3" w14:textId="7CB7BD9E" w:rsidR="002D39FA" w:rsidRDefault="002D39FA" w:rsidP="00F50CAB">
            <w:pPr>
              <w:pStyle w:val="TableText0"/>
              <w:jc w:val="center"/>
              <w:rPr>
                <w:rFonts w:asciiTheme="minorHAnsi" w:hAnsiTheme="minorHAnsi" w:cstheme="minorHAnsi"/>
                <w:szCs w:val="22"/>
              </w:rPr>
            </w:pPr>
            <w:r>
              <w:rPr>
                <w:rFonts w:asciiTheme="minorHAnsi" w:hAnsiTheme="minorHAnsi" w:cstheme="minorHAnsi"/>
                <w:szCs w:val="22"/>
              </w:rPr>
              <w:t>CSD 40</w:t>
            </w:r>
          </w:p>
        </w:tc>
        <w:tc>
          <w:tcPr>
            <w:tcW w:w="1498" w:type="dxa"/>
            <w:shd w:val="clear" w:color="auto" w:fill="FFFFFF" w:themeFill="background1"/>
            <w:vAlign w:val="top"/>
          </w:tcPr>
          <w:p w14:paraId="074FC421" w14:textId="3DE41EC6" w:rsidR="002D39FA" w:rsidRPr="003C0135" w:rsidRDefault="002D39FA" w:rsidP="00F50CAB">
            <w:pPr>
              <w:pStyle w:val="TableText0"/>
              <w:jc w:val="center"/>
              <w:rPr>
                <w:rFonts w:asciiTheme="minorHAnsi" w:hAnsiTheme="minorHAnsi" w:cstheme="minorHAnsi"/>
                <w:szCs w:val="22"/>
              </w:rPr>
            </w:pPr>
            <w:r w:rsidRPr="004F38E1">
              <w:rPr>
                <w:rFonts w:asciiTheme="minorHAnsi" w:hAnsiTheme="minorHAnsi" w:cstheme="minorHAnsi"/>
                <w:szCs w:val="22"/>
              </w:rPr>
              <w:t>Lee MLA</w:t>
            </w:r>
          </w:p>
        </w:tc>
        <w:tc>
          <w:tcPr>
            <w:tcW w:w="1977" w:type="dxa"/>
            <w:shd w:val="clear" w:color="auto" w:fill="FFFFFF" w:themeFill="background1"/>
            <w:vAlign w:val="top"/>
          </w:tcPr>
          <w:p w14:paraId="1A23D99E" w14:textId="307891F0" w:rsidR="002D39FA" w:rsidRPr="00184C8E" w:rsidRDefault="002D39FA" w:rsidP="00F50CAB">
            <w:pPr>
              <w:pStyle w:val="TableText0"/>
              <w:jc w:val="center"/>
              <w:rPr>
                <w:rFonts w:asciiTheme="minorHAnsi" w:hAnsiTheme="minorHAnsi" w:cstheme="minorHAnsi"/>
                <w:szCs w:val="22"/>
              </w:rPr>
            </w:pPr>
            <w:r w:rsidRPr="00184C8E">
              <w:rPr>
                <w:rFonts w:asciiTheme="minorHAnsi" w:hAnsiTheme="minorHAnsi" w:cstheme="minorHAnsi"/>
                <w:szCs w:val="22"/>
              </w:rPr>
              <w:t>Community Services Directorate</w:t>
            </w:r>
          </w:p>
        </w:tc>
        <w:tc>
          <w:tcPr>
            <w:tcW w:w="4111" w:type="dxa"/>
            <w:shd w:val="clear" w:color="auto" w:fill="FFFFFF" w:themeFill="background1"/>
            <w:vAlign w:val="top"/>
          </w:tcPr>
          <w:p w14:paraId="6C603BA4" w14:textId="5872FADF" w:rsidR="002D39FA" w:rsidRDefault="002D39FA" w:rsidP="00F50CAB">
            <w:pPr>
              <w:pStyle w:val="TableText0"/>
              <w:rPr>
                <w:rFonts w:asciiTheme="minorHAnsi" w:hAnsiTheme="minorHAnsi" w:cstheme="minorHAnsi"/>
                <w:szCs w:val="22"/>
              </w:rPr>
            </w:pPr>
            <w:r>
              <w:rPr>
                <w:rFonts w:asciiTheme="minorHAnsi" w:hAnsiTheme="minorHAnsi" w:cstheme="minorHAnsi"/>
                <w:szCs w:val="22"/>
              </w:rPr>
              <w:t>Growing and Renewing Public Housing Strategy</w:t>
            </w:r>
          </w:p>
        </w:tc>
      </w:tr>
      <w:tr w:rsidR="002D39FA" w14:paraId="08568FE1" w14:textId="77777777" w:rsidTr="00486EA0">
        <w:trPr>
          <w:cnfStyle w:val="000000100000" w:firstRow="0" w:lastRow="0" w:firstColumn="0" w:lastColumn="0" w:oddVBand="0" w:evenVBand="0" w:oddHBand="1" w:evenHBand="0" w:firstRowFirstColumn="0" w:firstRowLastColumn="0" w:lastRowFirstColumn="0" w:lastRowLastColumn="0"/>
        </w:trPr>
        <w:tc>
          <w:tcPr>
            <w:tcW w:w="691" w:type="dxa"/>
            <w:shd w:val="clear" w:color="auto" w:fill="FFFFFF" w:themeFill="background1"/>
            <w:vAlign w:val="top"/>
          </w:tcPr>
          <w:p w14:paraId="54D1E076" w14:textId="2FF24E36" w:rsidR="002D39FA" w:rsidRDefault="002D39FA" w:rsidP="00F50CAB">
            <w:pPr>
              <w:pStyle w:val="TableText0"/>
              <w:jc w:val="center"/>
              <w:rPr>
                <w:rFonts w:asciiTheme="minorHAnsi" w:hAnsiTheme="minorHAnsi" w:cstheme="minorHAnsi"/>
                <w:szCs w:val="22"/>
              </w:rPr>
            </w:pPr>
            <w:r>
              <w:rPr>
                <w:rFonts w:asciiTheme="minorHAnsi" w:hAnsiTheme="minorHAnsi" w:cstheme="minorHAnsi"/>
                <w:sz w:val="22"/>
                <w:szCs w:val="22"/>
              </w:rPr>
              <w:t>CSD 41</w:t>
            </w:r>
          </w:p>
        </w:tc>
        <w:tc>
          <w:tcPr>
            <w:tcW w:w="1498" w:type="dxa"/>
            <w:shd w:val="clear" w:color="auto" w:fill="FFFFFF" w:themeFill="background1"/>
            <w:vAlign w:val="top"/>
          </w:tcPr>
          <w:p w14:paraId="2A67049B" w14:textId="737D579C" w:rsidR="002D39FA" w:rsidRPr="003C0135" w:rsidRDefault="002D39FA" w:rsidP="00F50CAB">
            <w:pPr>
              <w:pStyle w:val="TableText0"/>
              <w:jc w:val="center"/>
              <w:rPr>
                <w:rFonts w:asciiTheme="minorHAnsi" w:hAnsiTheme="minorHAnsi" w:cstheme="minorHAnsi"/>
                <w:szCs w:val="22"/>
              </w:rPr>
            </w:pPr>
            <w:r w:rsidRPr="004F38E1">
              <w:rPr>
                <w:rFonts w:asciiTheme="minorHAnsi" w:hAnsiTheme="minorHAnsi" w:cstheme="minorHAnsi"/>
                <w:sz w:val="22"/>
                <w:szCs w:val="22"/>
              </w:rPr>
              <w:t>Lee MLA</w:t>
            </w:r>
          </w:p>
        </w:tc>
        <w:tc>
          <w:tcPr>
            <w:tcW w:w="1977" w:type="dxa"/>
            <w:shd w:val="clear" w:color="auto" w:fill="FFFFFF" w:themeFill="background1"/>
            <w:vAlign w:val="top"/>
          </w:tcPr>
          <w:p w14:paraId="4D287C62" w14:textId="1C836873" w:rsidR="002D39FA" w:rsidRPr="00184C8E" w:rsidRDefault="002D39FA" w:rsidP="00F50CAB">
            <w:pPr>
              <w:pStyle w:val="TableText0"/>
              <w:jc w:val="center"/>
              <w:rPr>
                <w:rFonts w:asciiTheme="minorHAnsi" w:hAnsiTheme="minorHAnsi" w:cstheme="minorHAnsi"/>
                <w:szCs w:val="22"/>
              </w:rPr>
            </w:pPr>
            <w:r w:rsidRPr="00184C8E">
              <w:rPr>
                <w:rFonts w:asciiTheme="minorHAnsi" w:hAnsiTheme="minorHAnsi" w:cstheme="minorHAnsi"/>
                <w:sz w:val="22"/>
                <w:szCs w:val="22"/>
              </w:rPr>
              <w:t>Community Services Directorate</w:t>
            </w:r>
          </w:p>
        </w:tc>
        <w:tc>
          <w:tcPr>
            <w:tcW w:w="4111" w:type="dxa"/>
            <w:shd w:val="clear" w:color="auto" w:fill="FFFFFF" w:themeFill="background1"/>
            <w:vAlign w:val="top"/>
          </w:tcPr>
          <w:p w14:paraId="25389FC8" w14:textId="4E0F2F6D" w:rsidR="002D39FA" w:rsidRDefault="002D39FA" w:rsidP="00F50CAB">
            <w:pPr>
              <w:pStyle w:val="TableText0"/>
              <w:rPr>
                <w:rFonts w:asciiTheme="minorHAnsi" w:hAnsiTheme="minorHAnsi" w:cstheme="minorHAnsi"/>
                <w:szCs w:val="22"/>
              </w:rPr>
            </w:pPr>
            <w:r>
              <w:rPr>
                <w:rFonts w:asciiTheme="minorHAnsi" w:hAnsiTheme="minorHAnsi" w:cstheme="minorHAnsi"/>
                <w:sz w:val="22"/>
                <w:szCs w:val="22"/>
              </w:rPr>
              <w:t>Complaints received by Housing ACT</w:t>
            </w:r>
          </w:p>
        </w:tc>
      </w:tr>
      <w:tr w:rsidR="002D39FA" w14:paraId="2C3E2678" w14:textId="77777777" w:rsidTr="00486EA0">
        <w:tc>
          <w:tcPr>
            <w:tcW w:w="691" w:type="dxa"/>
            <w:shd w:val="clear" w:color="auto" w:fill="FFFFFF" w:themeFill="background1"/>
            <w:vAlign w:val="top"/>
          </w:tcPr>
          <w:p w14:paraId="7BDA6481" w14:textId="7DAF322C" w:rsidR="002D39FA" w:rsidRDefault="002D39FA" w:rsidP="00F50CAB">
            <w:pPr>
              <w:pStyle w:val="TableText0"/>
              <w:jc w:val="center"/>
              <w:rPr>
                <w:rFonts w:asciiTheme="minorHAnsi" w:hAnsiTheme="minorHAnsi" w:cstheme="minorHAnsi"/>
                <w:szCs w:val="22"/>
              </w:rPr>
            </w:pPr>
            <w:r>
              <w:rPr>
                <w:rFonts w:asciiTheme="minorHAnsi" w:hAnsiTheme="minorHAnsi" w:cstheme="minorHAnsi"/>
                <w:szCs w:val="22"/>
              </w:rPr>
              <w:t>CSD 42</w:t>
            </w:r>
          </w:p>
        </w:tc>
        <w:tc>
          <w:tcPr>
            <w:tcW w:w="1498" w:type="dxa"/>
            <w:shd w:val="clear" w:color="auto" w:fill="FFFFFF" w:themeFill="background1"/>
            <w:vAlign w:val="top"/>
          </w:tcPr>
          <w:p w14:paraId="58FAE006" w14:textId="2A96F907" w:rsidR="002D39FA" w:rsidRPr="003C0135" w:rsidRDefault="002D39FA" w:rsidP="00F50CAB">
            <w:pPr>
              <w:pStyle w:val="TableText0"/>
              <w:jc w:val="center"/>
              <w:rPr>
                <w:rFonts w:asciiTheme="minorHAnsi" w:hAnsiTheme="minorHAnsi" w:cstheme="minorHAnsi"/>
                <w:szCs w:val="22"/>
              </w:rPr>
            </w:pPr>
            <w:r w:rsidRPr="004F38E1">
              <w:rPr>
                <w:rFonts w:asciiTheme="minorHAnsi" w:hAnsiTheme="minorHAnsi" w:cstheme="minorHAnsi"/>
                <w:szCs w:val="22"/>
              </w:rPr>
              <w:t>Lee MLA</w:t>
            </w:r>
          </w:p>
        </w:tc>
        <w:tc>
          <w:tcPr>
            <w:tcW w:w="1977" w:type="dxa"/>
            <w:shd w:val="clear" w:color="auto" w:fill="FFFFFF" w:themeFill="background1"/>
            <w:vAlign w:val="top"/>
          </w:tcPr>
          <w:p w14:paraId="2B711B73" w14:textId="784AC975" w:rsidR="002D39FA" w:rsidRPr="00184C8E" w:rsidRDefault="002D39FA" w:rsidP="00F50CAB">
            <w:pPr>
              <w:pStyle w:val="TableText0"/>
              <w:jc w:val="center"/>
              <w:rPr>
                <w:rFonts w:asciiTheme="minorHAnsi" w:hAnsiTheme="minorHAnsi" w:cstheme="minorHAnsi"/>
                <w:szCs w:val="22"/>
              </w:rPr>
            </w:pPr>
            <w:r w:rsidRPr="00184C8E">
              <w:rPr>
                <w:rFonts w:asciiTheme="minorHAnsi" w:hAnsiTheme="minorHAnsi" w:cstheme="minorHAnsi"/>
                <w:szCs w:val="22"/>
              </w:rPr>
              <w:t>Community Services Directorate</w:t>
            </w:r>
          </w:p>
        </w:tc>
        <w:tc>
          <w:tcPr>
            <w:tcW w:w="4111" w:type="dxa"/>
            <w:shd w:val="clear" w:color="auto" w:fill="FFFFFF" w:themeFill="background1"/>
            <w:vAlign w:val="top"/>
          </w:tcPr>
          <w:p w14:paraId="2D36D961" w14:textId="379B5073" w:rsidR="002D39FA" w:rsidRDefault="002D39FA" w:rsidP="00F50CAB">
            <w:pPr>
              <w:pStyle w:val="TableText0"/>
              <w:rPr>
                <w:rFonts w:asciiTheme="minorHAnsi" w:hAnsiTheme="minorHAnsi" w:cstheme="minorHAnsi"/>
                <w:szCs w:val="22"/>
              </w:rPr>
            </w:pPr>
            <w:r>
              <w:rPr>
                <w:rFonts w:asciiTheme="minorHAnsi" w:hAnsiTheme="minorHAnsi" w:cstheme="minorHAnsi"/>
                <w:szCs w:val="22"/>
              </w:rPr>
              <w:t>Housing ACT Accountability Indicators</w:t>
            </w:r>
          </w:p>
        </w:tc>
      </w:tr>
      <w:tr w:rsidR="002D39FA" w14:paraId="2543B612" w14:textId="77777777" w:rsidTr="00486EA0">
        <w:trPr>
          <w:cnfStyle w:val="000000100000" w:firstRow="0" w:lastRow="0" w:firstColumn="0" w:lastColumn="0" w:oddVBand="0" w:evenVBand="0" w:oddHBand="1" w:evenHBand="0" w:firstRowFirstColumn="0" w:firstRowLastColumn="0" w:lastRowFirstColumn="0" w:lastRowLastColumn="0"/>
        </w:trPr>
        <w:tc>
          <w:tcPr>
            <w:tcW w:w="691" w:type="dxa"/>
            <w:shd w:val="clear" w:color="auto" w:fill="FFFFFF" w:themeFill="background1"/>
            <w:vAlign w:val="top"/>
          </w:tcPr>
          <w:p w14:paraId="6756A754" w14:textId="4524C9E8" w:rsidR="002D39FA" w:rsidRDefault="002D39FA" w:rsidP="00F50CAB">
            <w:pPr>
              <w:pStyle w:val="TableText0"/>
              <w:jc w:val="center"/>
              <w:rPr>
                <w:rFonts w:asciiTheme="minorHAnsi" w:hAnsiTheme="minorHAnsi" w:cstheme="minorHAnsi"/>
                <w:szCs w:val="22"/>
              </w:rPr>
            </w:pPr>
            <w:r>
              <w:rPr>
                <w:rFonts w:asciiTheme="minorHAnsi" w:hAnsiTheme="minorHAnsi" w:cstheme="minorHAnsi"/>
                <w:sz w:val="22"/>
                <w:szCs w:val="22"/>
              </w:rPr>
              <w:t>CSD 43</w:t>
            </w:r>
          </w:p>
        </w:tc>
        <w:tc>
          <w:tcPr>
            <w:tcW w:w="1498" w:type="dxa"/>
            <w:shd w:val="clear" w:color="auto" w:fill="FFFFFF" w:themeFill="background1"/>
            <w:vAlign w:val="top"/>
          </w:tcPr>
          <w:p w14:paraId="70A25457" w14:textId="7CDC5708" w:rsidR="002D39FA" w:rsidRPr="003C0135" w:rsidRDefault="002D39FA" w:rsidP="00F50CAB">
            <w:pPr>
              <w:pStyle w:val="TableText0"/>
              <w:jc w:val="center"/>
              <w:rPr>
                <w:rFonts w:asciiTheme="minorHAnsi" w:hAnsiTheme="minorHAnsi" w:cstheme="minorHAnsi"/>
                <w:szCs w:val="22"/>
              </w:rPr>
            </w:pPr>
            <w:r w:rsidRPr="004F38E1">
              <w:rPr>
                <w:rFonts w:asciiTheme="minorHAnsi" w:hAnsiTheme="minorHAnsi" w:cstheme="minorHAnsi"/>
                <w:sz w:val="22"/>
                <w:szCs w:val="22"/>
              </w:rPr>
              <w:t>Lee MLA</w:t>
            </w:r>
          </w:p>
        </w:tc>
        <w:tc>
          <w:tcPr>
            <w:tcW w:w="1977" w:type="dxa"/>
            <w:shd w:val="clear" w:color="auto" w:fill="FFFFFF" w:themeFill="background1"/>
            <w:vAlign w:val="top"/>
          </w:tcPr>
          <w:p w14:paraId="1E8A6F51" w14:textId="681F8ADB" w:rsidR="002D39FA" w:rsidRPr="00184C8E" w:rsidRDefault="002D39FA" w:rsidP="00F50CAB">
            <w:pPr>
              <w:pStyle w:val="TableText0"/>
              <w:jc w:val="center"/>
              <w:rPr>
                <w:rFonts w:asciiTheme="minorHAnsi" w:hAnsiTheme="minorHAnsi" w:cstheme="minorHAnsi"/>
                <w:szCs w:val="22"/>
              </w:rPr>
            </w:pPr>
            <w:r w:rsidRPr="00184C8E">
              <w:rPr>
                <w:rFonts w:asciiTheme="minorHAnsi" w:hAnsiTheme="minorHAnsi" w:cstheme="minorHAnsi"/>
                <w:sz w:val="22"/>
                <w:szCs w:val="22"/>
              </w:rPr>
              <w:t>Community Services Directorate</w:t>
            </w:r>
          </w:p>
        </w:tc>
        <w:tc>
          <w:tcPr>
            <w:tcW w:w="4111" w:type="dxa"/>
            <w:shd w:val="clear" w:color="auto" w:fill="FFFFFF" w:themeFill="background1"/>
            <w:vAlign w:val="top"/>
          </w:tcPr>
          <w:p w14:paraId="3FDD3B96" w14:textId="5C6A1C2D" w:rsidR="002D39FA" w:rsidRDefault="002D39FA" w:rsidP="00F50CAB">
            <w:pPr>
              <w:pStyle w:val="TableText0"/>
              <w:rPr>
                <w:rFonts w:asciiTheme="minorHAnsi" w:hAnsiTheme="minorHAnsi" w:cstheme="minorHAnsi"/>
                <w:szCs w:val="22"/>
              </w:rPr>
            </w:pPr>
            <w:r>
              <w:rPr>
                <w:rFonts w:asciiTheme="minorHAnsi" w:hAnsiTheme="minorHAnsi" w:cstheme="minorHAnsi"/>
                <w:sz w:val="22"/>
                <w:szCs w:val="22"/>
              </w:rPr>
              <w:t>Housing ACT Cash Flow</w:t>
            </w:r>
          </w:p>
        </w:tc>
      </w:tr>
      <w:tr w:rsidR="002D39FA" w14:paraId="7BF65034" w14:textId="77777777" w:rsidTr="00486EA0">
        <w:tc>
          <w:tcPr>
            <w:tcW w:w="691" w:type="dxa"/>
            <w:shd w:val="clear" w:color="auto" w:fill="FFFFFF" w:themeFill="background1"/>
            <w:vAlign w:val="top"/>
          </w:tcPr>
          <w:p w14:paraId="31AC9C71" w14:textId="2F628FF1" w:rsidR="002D39FA" w:rsidRDefault="002D39FA" w:rsidP="00F50CAB">
            <w:pPr>
              <w:pStyle w:val="TableText0"/>
              <w:jc w:val="center"/>
              <w:rPr>
                <w:rFonts w:asciiTheme="minorHAnsi" w:hAnsiTheme="minorHAnsi" w:cstheme="minorHAnsi"/>
                <w:szCs w:val="22"/>
              </w:rPr>
            </w:pPr>
            <w:r>
              <w:rPr>
                <w:rFonts w:asciiTheme="minorHAnsi" w:hAnsiTheme="minorHAnsi" w:cstheme="minorHAnsi"/>
                <w:szCs w:val="22"/>
              </w:rPr>
              <w:t>CSD 44</w:t>
            </w:r>
          </w:p>
        </w:tc>
        <w:tc>
          <w:tcPr>
            <w:tcW w:w="1498" w:type="dxa"/>
            <w:shd w:val="clear" w:color="auto" w:fill="FFFFFF" w:themeFill="background1"/>
            <w:vAlign w:val="top"/>
          </w:tcPr>
          <w:p w14:paraId="3466005F" w14:textId="2C03D7C7" w:rsidR="002D39FA" w:rsidRPr="003C0135" w:rsidRDefault="002D39FA" w:rsidP="00F50CAB">
            <w:pPr>
              <w:pStyle w:val="TableText0"/>
              <w:jc w:val="center"/>
              <w:rPr>
                <w:rFonts w:asciiTheme="minorHAnsi" w:hAnsiTheme="minorHAnsi" w:cstheme="minorHAnsi"/>
                <w:szCs w:val="22"/>
              </w:rPr>
            </w:pPr>
            <w:r w:rsidRPr="004F38E1">
              <w:rPr>
                <w:rFonts w:asciiTheme="minorHAnsi" w:hAnsiTheme="minorHAnsi" w:cstheme="minorHAnsi"/>
                <w:szCs w:val="22"/>
              </w:rPr>
              <w:t>Lee MLA</w:t>
            </w:r>
          </w:p>
        </w:tc>
        <w:tc>
          <w:tcPr>
            <w:tcW w:w="1977" w:type="dxa"/>
            <w:shd w:val="clear" w:color="auto" w:fill="FFFFFF" w:themeFill="background1"/>
            <w:vAlign w:val="top"/>
          </w:tcPr>
          <w:p w14:paraId="482911C8" w14:textId="1D1EEF6B" w:rsidR="002D39FA" w:rsidRPr="00184C8E" w:rsidRDefault="002D39FA" w:rsidP="00F50CAB">
            <w:pPr>
              <w:pStyle w:val="TableText0"/>
              <w:jc w:val="center"/>
              <w:rPr>
                <w:rFonts w:asciiTheme="minorHAnsi" w:hAnsiTheme="minorHAnsi" w:cstheme="minorHAnsi"/>
                <w:szCs w:val="22"/>
              </w:rPr>
            </w:pPr>
            <w:r w:rsidRPr="00184C8E">
              <w:rPr>
                <w:rFonts w:asciiTheme="minorHAnsi" w:hAnsiTheme="minorHAnsi" w:cstheme="minorHAnsi"/>
                <w:szCs w:val="22"/>
              </w:rPr>
              <w:t>Community Services Directorate</w:t>
            </w:r>
          </w:p>
        </w:tc>
        <w:tc>
          <w:tcPr>
            <w:tcW w:w="4111" w:type="dxa"/>
            <w:shd w:val="clear" w:color="auto" w:fill="FFFFFF" w:themeFill="background1"/>
            <w:vAlign w:val="top"/>
          </w:tcPr>
          <w:p w14:paraId="6A9BF441" w14:textId="6DC7C05D" w:rsidR="002D39FA" w:rsidRDefault="002D39FA" w:rsidP="00F50CAB">
            <w:pPr>
              <w:pStyle w:val="TableText0"/>
              <w:rPr>
                <w:rFonts w:asciiTheme="minorHAnsi" w:hAnsiTheme="minorHAnsi" w:cstheme="minorHAnsi"/>
                <w:szCs w:val="22"/>
              </w:rPr>
            </w:pPr>
            <w:r>
              <w:rPr>
                <w:rFonts w:asciiTheme="minorHAnsi" w:hAnsiTheme="minorHAnsi" w:cstheme="minorHAnsi"/>
                <w:szCs w:val="22"/>
              </w:rPr>
              <w:t>Community Housing</w:t>
            </w:r>
          </w:p>
        </w:tc>
      </w:tr>
      <w:tr w:rsidR="002D39FA" w14:paraId="1E12A828" w14:textId="77777777" w:rsidTr="00486EA0">
        <w:trPr>
          <w:cnfStyle w:val="000000100000" w:firstRow="0" w:lastRow="0" w:firstColumn="0" w:lastColumn="0" w:oddVBand="0" w:evenVBand="0" w:oddHBand="1" w:evenHBand="0" w:firstRowFirstColumn="0" w:firstRowLastColumn="0" w:lastRowFirstColumn="0" w:lastRowLastColumn="0"/>
        </w:trPr>
        <w:tc>
          <w:tcPr>
            <w:tcW w:w="691" w:type="dxa"/>
            <w:shd w:val="clear" w:color="auto" w:fill="FFFFFF" w:themeFill="background1"/>
            <w:vAlign w:val="top"/>
          </w:tcPr>
          <w:p w14:paraId="0E21D306" w14:textId="7338CF0A" w:rsidR="002D39FA" w:rsidRDefault="002D39FA" w:rsidP="00F50CAB">
            <w:pPr>
              <w:pStyle w:val="TableText0"/>
              <w:jc w:val="center"/>
              <w:rPr>
                <w:rFonts w:asciiTheme="minorHAnsi" w:hAnsiTheme="minorHAnsi" w:cstheme="minorHAnsi"/>
                <w:szCs w:val="22"/>
              </w:rPr>
            </w:pPr>
            <w:r>
              <w:rPr>
                <w:rFonts w:asciiTheme="minorHAnsi" w:hAnsiTheme="minorHAnsi" w:cstheme="minorHAnsi"/>
                <w:sz w:val="22"/>
                <w:szCs w:val="22"/>
              </w:rPr>
              <w:t>CSD 45</w:t>
            </w:r>
          </w:p>
        </w:tc>
        <w:tc>
          <w:tcPr>
            <w:tcW w:w="1498" w:type="dxa"/>
            <w:shd w:val="clear" w:color="auto" w:fill="FFFFFF" w:themeFill="background1"/>
            <w:vAlign w:val="top"/>
          </w:tcPr>
          <w:p w14:paraId="7244BD26" w14:textId="2A79A92A" w:rsidR="002D39FA" w:rsidRPr="003C0135" w:rsidRDefault="002D39FA" w:rsidP="00F50CAB">
            <w:pPr>
              <w:pStyle w:val="TableText0"/>
              <w:jc w:val="center"/>
              <w:rPr>
                <w:rFonts w:asciiTheme="minorHAnsi" w:hAnsiTheme="minorHAnsi" w:cstheme="minorHAnsi"/>
                <w:szCs w:val="22"/>
              </w:rPr>
            </w:pPr>
            <w:r w:rsidRPr="004F38E1">
              <w:rPr>
                <w:rFonts w:asciiTheme="minorHAnsi" w:hAnsiTheme="minorHAnsi" w:cstheme="minorHAnsi"/>
                <w:sz w:val="22"/>
                <w:szCs w:val="22"/>
              </w:rPr>
              <w:t>Lee MLA</w:t>
            </w:r>
          </w:p>
        </w:tc>
        <w:tc>
          <w:tcPr>
            <w:tcW w:w="1977" w:type="dxa"/>
            <w:shd w:val="clear" w:color="auto" w:fill="FFFFFF" w:themeFill="background1"/>
            <w:vAlign w:val="top"/>
          </w:tcPr>
          <w:p w14:paraId="52194F78" w14:textId="46D39903" w:rsidR="002D39FA" w:rsidRPr="00184C8E" w:rsidRDefault="002D39FA" w:rsidP="00F50CAB">
            <w:pPr>
              <w:pStyle w:val="TableText0"/>
              <w:jc w:val="center"/>
              <w:rPr>
                <w:rFonts w:asciiTheme="minorHAnsi" w:hAnsiTheme="minorHAnsi" w:cstheme="minorHAnsi"/>
                <w:szCs w:val="22"/>
              </w:rPr>
            </w:pPr>
            <w:r w:rsidRPr="00184C8E">
              <w:rPr>
                <w:rFonts w:asciiTheme="minorHAnsi" w:hAnsiTheme="minorHAnsi" w:cstheme="minorHAnsi"/>
                <w:sz w:val="22"/>
                <w:szCs w:val="22"/>
              </w:rPr>
              <w:t>Community Services Directorate</w:t>
            </w:r>
          </w:p>
        </w:tc>
        <w:tc>
          <w:tcPr>
            <w:tcW w:w="4111" w:type="dxa"/>
            <w:shd w:val="clear" w:color="auto" w:fill="FFFFFF" w:themeFill="background1"/>
            <w:vAlign w:val="top"/>
          </w:tcPr>
          <w:p w14:paraId="300A8164" w14:textId="232B9DB5" w:rsidR="002D39FA" w:rsidRDefault="002D39FA" w:rsidP="00F50CAB">
            <w:pPr>
              <w:pStyle w:val="TableText0"/>
              <w:rPr>
                <w:rFonts w:asciiTheme="minorHAnsi" w:hAnsiTheme="minorHAnsi" w:cstheme="minorHAnsi"/>
                <w:szCs w:val="22"/>
              </w:rPr>
            </w:pPr>
            <w:r>
              <w:rPr>
                <w:rFonts w:asciiTheme="minorHAnsi" w:hAnsiTheme="minorHAnsi" w:cstheme="minorHAnsi"/>
                <w:sz w:val="22"/>
                <w:szCs w:val="22"/>
              </w:rPr>
              <w:t>Strategic Indicator 2 (proportion of Tenants etc.)</w:t>
            </w:r>
          </w:p>
        </w:tc>
      </w:tr>
      <w:tr w:rsidR="002D39FA" w14:paraId="67EC8AA1" w14:textId="77777777" w:rsidTr="00486EA0">
        <w:tc>
          <w:tcPr>
            <w:tcW w:w="691" w:type="dxa"/>
            <w:shd w:val="clear" w:color="auto" w:fill="FFFFFF" w:themeFill="background1"/>
            <w:vAlign w:val="top"/>
          </w:tcPr>
          <w:p w14:paraId="4CC9BD4E" w14:textId="656B9F34" w:rsidR="002D39FA" w:rsidRDefault="002D39FA" w:rsidP="00F50CAB">
            <w:pPr>
              <w:pStyle w:val="TableText0"/>
              <w:jc w:val="center"/>
              <w:rPr>
                <w:rFonts w:asciiTheme="minorHAnsi" w:hAnsiTheme="minorHAnsi" w:cstheme="minorHAnsi"/>
                <w:szCs w:val="22"/>
              </w:rPr>
            </w:pPr>
            <w:r>
              <w:rPr>
                <w:rFonts w:asciiTheme="minorHAnsi" w:hAnsiTheme="minorHAnsi" w:cstheme="minorHAnsi"/>
                <w:szCs w:val="22"/>
              </w:rPr>
              <w:t>CSD 46</w:t>
            </w:r>
          </w:p>
        </w:tc>
        <w:tc>
          <w:tcPr>
            <w:tcW w:w="1498" w:type="dxa"/>
            <w:shd w:val="clear" w:color="auto" w:fill="FFFFFF" w:themeFill="background1"/>
            <w:vAlign w:val="top"/>
          </w:tcPr>
          <w:p w14:paraId="542345A2" w14:textId="185B68C2" w:rsidR="002D39FA" w:rsidRPr="003C0135" w:rsidRDefault="002D39FA" w:rsidP="00F50CAB">
            <w:pPr>
              <w:pStyle w:val="TableText0"/>
              <w:jc w:val="center"/>
              <w:rPr>
                <w:rFonts w:asciiTheme="minorHAnsi" w:hAnsiTheme="minorHAnsi" w:cstheme="minorHAnsi"/>
                <w:szCs w:val="22"/>
              </w:rPr>
            </w:pPr>
            <w:r w:rsidRPr="004F38E1">
              <w:rPr>
                <w:rFonts w:asciiTheme="minorHAnsi" w:hAnsiTheme="minorHAnsi" w:cstheme="minorHAnsi"/>
                <w:szCs w:val="22"/>
              </w:rPr>
              <w:t>Lee MLA</w:t>
            </w:r>
          </w:p>
        </w:tc>
        <w:tc>
          <w:tcPr>
            <w:tcW w:w="1977" w:type="dxa"/>
            <w:shd w:val="clear" w:color="auto" w:fill="FFFFFF" w:themeFill="background1"/>
            <w:vAlign w:val="top"/>
          </w:tcPr>
          <w:p w14:paraId="683336A2" w14:textId="3EA1EA52" w:rsidR="002D39FA" w:rsidRPr="00184C8E" w:rsidRDefault="002D39FA" w:rsidP="00F50CAB">
            <w:pPr>
              <w:pStyle w:val="TableText0"/>
              <w:jc w:val="center"/>
              <w:rPr>
                <w:rFonts w:asciiTheme="minorHAnsi" w:hAnsiTheme="minorHAnsi" w:cstheme="minorHAnsi"/>
                <w:szCs w:val="22"/>
              </w:rPr>
            </w:pPr>
            <w:r w:rsidRPr="00184C8E">
              <w:rPr>
                <w:rFonts w:asciiTheme="minorHAnsi" w:hAnsiTheme="minorHAnsi" w:cstheme="minorHAnsi"/>
                <w:szCs w:val="22"/>
              </w:rPr>
              <w:t>Community Services Directorate</w:t>
            </w:r>
          </w:p>
        </w:tc>
        <w:tc>
          <w:tcPr>
            <w:tcW w:w="4111" w:type="dxa"/>
            <w:shd w:val="clear" w:color="auto" w:fill="FFFFFF" w:themeFill="background1"/>
            <w:vAlign w:val="top"/>
          </w:tcPr>
          <w:p w14:paraId="0FC3DC71" w14:textId="5B4DEE36" w:rsidR="002D39FA" w:rsidRDefault="002D39FA" w:rsidP="00F50CAB">
            <w:pPr>
              <w:pStyle w:val="TableText0"/>
              <w:rPr>
                <w:rFonts w:asciiTheme="minorHAnsi" w:hAnsiTheme="minorHAnsi" w:cstheme="minorHAnsi"/>
                <w:szCs w:val="22"/>
              </w:rPr>
            </w:pPr>
            <w:r>
              <w:rPr>
                <w:rFonts w:asciiTheme="minorHAnsi" w:hAnsiTheme="minorHAnsi" w:cstheme="minorHAnsi"/>
                <w:szCs w:val="22"/>
              </w:rPr>
              <w:t>Complaints received by HACT – Condamine Court</w:t>
            </w:r>
          </w:p>
        </w:tc>
      </w:tr>
      <w:tr w:rsidR="002D39FA" w14:paraId="28F2EB9A" w14:textId="77777777" w:rsidTr="00486EA0">
        <w:trPr>
          <w:cnfStyle w:val="000000100000" w:firstRow="0" w:lastRow="0" w:firstColumn="0" w:lastColumn="0" w:oddVBand="0" w:evenVBand="0" w:oddHBand="1" w:evenHBand="0" w:firstRowFirstColumn="0" w:firstRowLastColumn="0" w:lastRowFirstColumn="0" w:lastRowLastColumn="0"/>
        </w:trPr>
        <w:tc>
          <w:tcPr>
            <w:tcW w:w="691" w:type="dxa"/>
            <w:shd w:val="clear" w:color="auto" w:fill="FFFFFF" w:themeFill="background1"/>
            <w:vAlign w:val="top"/>
          </w:tcPr>
          <w:p w14:paraId="788F2970" w14:textId="6CC76F5F" w:rsidR="002D39FA" w:rsidRDefault="002D39FA" w:rsidP="00F50CAB">
            <w:pPr>
              <w:pStyle w:val="TableText0"/>
              <w:jc w:val="center"/>
              <w:rPr>
                <w:rFonts w:asciiTheme="minorHAnsi" w:hAnsiTheme="minorHAnsi" w:cstheme="minorHAnsi"/>
                <w:szCs w:val="22"/>
              </w:rPr>
            </w:pPr>
            <w:r>
              <w:rPr>
                <w:rFonts w:asciiTheme="minorHAnsi" w:hAnsiTheme="minorHAnsi" w:cstheme="minorHAnsi"/>
                <w:sz w:val="22"/>
                <w:szCs w:val="22"/>
              </w:rPr>
              <w:t>CSD 47</w:t>
            </w:r>
          </w:p>
        </w:tc>
        <w:tc>
          <w:tcPr>
            <w:tcW w:w="1498" w:type="dxa"/>
            <w:shd w:val="clear" w:color="auto" w:fill="FFFFFF" w:themeFill="background1"/>
            <w:vAlign w:val="top"/>
          </w:tcPr>
          <w:p w14:paraId="4EEA31C4" w14:textId="05CE8C4F" w:rsidR="002D39FA" w:rsidRPr="003C0135" w:rsidRDefault="002D39FA" w:rsidP="00F50CAB">
            <w:pPr>
              <w:pStyle w:val="TableText0"/>
              <w:jc w:val="center"/>
              <w:rPr>
                <w:rFonts w:asciiTheme="minorHAnsi" w:hAnsiTheme="minorHAnsi" w:cstheme="minorHAnsi"/>
                <w:szCs w:val="22"/>
              </w:rPr>
            </w:pPr>
            <w:r w:rsidRPr="004F38E1">
              <w:rPr>
                <w:rFonts w:asciiTheme="minorHAnsi" w:hAnsiTheme="minorHAnsi" w:cstheme="minorHAnsi"/>
                <w:sz w:val="22"/>
                <w:szCs w:val="22"/>
              </w:rPr>
              <w:t>Lee MLA</w:t>
            </w:r>
          </w:p>
        </w:tc>
        <w:tc>
          <w:tcPr>
            <w:tcW w:w="1977" w:type="dxa"/>
            <w:shd w:val="clear" w:color="auto" w:fill="FFFFFF" w:themeFill="background1"/>
            <w:vAlign w:val="top"/>
          </w:tcPr>
          <w:p w14:paraId="09841C99" w14:textId="64A72AA5" w:rsidR="002D39FA" w:rsidRPr="00184C8E" w:rsidRDefault="002D39FA" w:rsidP="00F50CAB">
            <w:pPr>
              <w:pStyle w:val="TableText0"/>
              <w:jc w:val="center"/>
              <w:rPr>
                <w:rFonts w:asciiTheme="minorHAnsi" w:hAnsiTheme="minorHAnsi" w:cstheme="minorHAnsi"/>
                <w:szCs w:val="22"/>
              </w:rPr>
            </w:pPr>
            <w:r w:rsidRPr="00184C8E">
              <w:rPr>
                <w:rFonts w:asciiTheme="minorHAnsi" w:hAnsiTheme="minorHAnsi" w:cstheme="minorHAnsi"/>
                <w:sz w:val="22"/>
                <w:szCs w:val="22"/>
              </w:rPr>
              <w:t>Community Services Directorate</w:t>
            </w:r>
          </w:p>
        </w:tc>
        <w:tc>
          <w:tcPr>
            <w:tcW w:w="4111" w:type="dxa"/>
            <w:shd w:val="clear" w:color="auto" w:fill="FFFFFF" w:themeFill="background1"/>
            <w:vAlign w:val="top"/>
          </w:tcPr>
          <w:p w14:paraId="2C49DEBE" w14:textId="57B87611" w:rsidR="002D39FA" w:rsidRDefault="002D39FA" w:rsidP="00F50CAB">
            <w:pPr>
              <w:pStyle w:val="TableText0"/>
              <w:rPr>
                <w:rFonts w:asciiTheme="minorHAnsi" w:hAnsiTheme="minorHAnsi" w:cstheme="minorHAnsi"/>
                <w:szCs w:val="22"/>
              </w:rPr>
            </w:pPr>
            <w:r>
              <w:rPr>
                <w:rFonts w:asciiTheme="minorHAnsi" w:hAnsiTheme="minorHAnsi" w:cstheme="minorHAnsi"/>
                <w:sz w:val="22"/>
                <w:szCs w:val="22"/>
              </w:rPr>
              <w:t>Housing ACT Operating Statement</w:t>
            </w:r>
          </w:p>
        </w:tc>
      </w:tr>
      <w:tr w:rsidR="002D39FA" w14:paraId="63390A90" w14:textId="77777777" w:rsidTr="00486EA0">
        <w:tc>
          <w:tcPr>
            <w:tcW w:w="691" w:type="dxa"/>
            <w:shd w:val="clear" w:color="auto" w:fill="FFFFFF" w:themeFill="background1"/>
            <w:vAlign w:val="top"/>
          </w:tcPr>
          <w:p w14:paraId="0A453EDA" w14:textId="3A08756A" w:rsidR="002D39FA" w:rsidRDefault="002D39FA" w:rsidP="00F50CAB">
            <w:pPr>
              <w:pStyle w:val="TableText0"/>
              <w:jc w:val="center"/>
              <w:rPr>
                <w:rFonts w:asciiTheme="minorHAnsi" w:hAnsiTheme="minorHAnsi" w:cstheme="minorHAnsi"/>
                <w:szCs w:val="22"/>
              </w:rPr>
            </w:pPr>
            <w:r>
              <w:rPr>
                <w:rFonts w:asciiTheme="minorHAnsi" w:hAnsiTheme="minorHAnsi" w:cstheme="minorHAnsi"/>
                <w:szCs w:val="22"/>
              </w:rPr>
              <w:t>CSD 48</w:t>
            </w:r>
          </w:p>
        </w:tc>
        <w:tc>
          <w:tcPr>
            <w:tcW w:w="1498" w:type="dxa"/>
            <w:shd w:val="clear" w:color="auto" w:fill="FFFFFF" w:themeFill="background1"/>
            <w:vAlign w:val="top"/>
          </w:tcPr>
          <w:p w14:paraId="27BC4C07" w14:textId="5FE95E28" w:rsidR="002D39FA" w:rsidRPr="003C0135" w:rsidRDefault="002D39FA" w:rsidP="00F50CAB">
            <w:pPr>
              <w:pStyle w:val="TableText0"/>
              <w:jc w:val="center"/>
              <w:rPr>
                <w:rFonts w:asciiTheme="minorHAnsi" w:hAnsiTheme="minorHAnsi" w:cstheme="minorHAnsi"/>
                <w:szCs w:val="22"/>
              </w:rPr>
            </w:pPr>
            <w:r w:rsidRPr="004F38E1">
              <w:rPr>
                <w:rFonts w:asciiTheme="minorHAnsi" w:hAnsiTheme="minorHAnsi" w:cstheme="minorHAnsi"/>
                <w:szCs w:val="22"/>
              </w:rPr>
              <w:t>Lee MLA</w:t>
            </w:r>
          </w:p>
        </w:tc>
        <w:tc>
          <w:tcPr>
            <w:tcW w:w="1977" w:type="dxa"/>
            <w:shd w:val="clear" w:color="auto" w:fill="FFFFFF" w:themeFill="background1"/>
            <w:vAlign w:val="top"/>
          </w:tcPr>
          <w:p w14:paraId="7DBD7DCF" w14:textId="7C1BFA7E" w:rsidR="002D39FA" w:rsidRPr="00184C8E" w:rsidRDefault="002D39FA" w:rsidP="00F50CAB">
            <w:pPr>
              <w:pStyle w:val="TableText0"/>
              <w:jc w:val="center"/>
              <w:rPr>
                <w:rFonts w:asciiTheme="minorHAnsi" w:hAnsiTheme="minorHAnsi" w:cstheme="minorHAnsi"/>
                <w:szCs w:val="22"/>
              </w:rPr>
            </w:pPr>
            <w:r w:rsidRPr="00184C8E">
              <w:rPr>
                <w:rFonts w:asciiTheme="minorHAnsi" w:hAnsiTheme="minorHAnsi" w:cstheme="minorHAnsi"/>
                <w:szCs w:val="22"/>
              </w:rPr>
              <w:t>Community Services Directorate</w:t>
            </w:r>
          </w:p>
        </w:tc>
        <w:tc>
          <w:tcPr>
            <w:tcW w:w="4111" w:type="dxa"/>
            <w:shd w:val="clear" w:color="auto" w:fill="FFFFFF" w:themeFill="background1"/>
            <w:vAlign w:val="top"/>
          </w:tcPr>
          <w:p w14:paraId="69906329" w14:textId="5A964BF5" w:rsidR="002D39FA" w:rsidRDefault="002D39FA" w:rsidP="00F50CAB">
            <w:pPr>
              <w:pStyle w:val="TableText0"/>
              <w:rPr>
                <w:rFonts w:asciiTheme="minorHAnsi" w:hAnsiTheme="minorHAnsi" w:cstheme="minorHAnsi"/>
                <w:szCs w:val="22"/>
              </w:rPr>
            </w:pPr>
            <w:r>
              <w:rPr>
                <w:rFonts w:asciiTheme="minorHAnsi" w:hAnsiTheme="minorHAnsi" w:cstheme="minorHAnsi"/>
                <w:szCs w:val="22"/>
              </w:rPr>
              <w:t>Maintenance of Housing ACT Properties</w:t>
            </w:r>
          </w:p>
        </w:tc>
      </w:tr>
      <w:tr w:rsidR="002D39FA" w14:paraId="4308F5FE" w14:textId="77777777" w:rsidTr="00486EA0">
        <w:trPr>
          <w:cnfStyle w:val="000000100000" w:firstRow="0" w:lastRow="0" w:firstColumn="0" w:lastColumn="0" w:oddVBand="0" w:evenVBand="0" w:oddHBand="1" w:evenHBand="0" w:firstRowFirstColumn="0" w:firstRowLastColumn="0" w:lastRowFirstColumn="0" w:lastRowLastColumn="0"/>
        </w:trPr>
        <w:tc>
          <w:tcPr>
            <w:tcW w:w="691" w:type="dxa"/>
            <w:tcBorders>
              <w:bottom w:val="single" w:sz="4" w:space="0" w:color="auto"/>
            </w:tcBorders>
            <w:shd w:val="clear" w:color="auto" w:fill="FFFFFF" w:themeFill="background1"/>
            <w:vAlign w:val="top"/>
          </w:tcPr>
          <w:p w14:paraId="069C7A1E" w14:textId="7C653438" w:rsidR="002D39FA" w:rsidRDefault="002D39FA" w:rsidP="002D39FA">
            <w:pPr>
              <w:pStyle w:val="TableText0"/>
              <w:jc w:val="center"/>
              <w:rPr>
                <w:rFonts w:asciiTheme="minorHAnsi" w:hAnsiTheme="minorHAnsi" w:cstheme="minorHAnsi"/>
                <w:szCs w:val="22"/>
              </w:rPr>
            </w:pPr>
            <w:r w:rsidRPr="008B5D99">
              <w:rPr>
                <w:rFonts w:asciiTheme="minorHAnsi" w:hAnsiTheme="minorHAnsi" w:cstheme="minorHAnsi"/>
                <w:sz w:val="22"/>
                <w:szCs w:val="22"/>
              </w:rPr>
              <w:t>CSD 49</w:t>
            </w:r>
          </w:p>
        </w:tc>
        <w:tc>
          <w:tcPr>
            <w:tcW w:w="1498" w:type="dxa"/>
            <w:tcBorders>
              <w:bottom w:val="single" w:sz="4" w:space="0" w:color="auto"/>
            </w:tcBorders>
            <w:shd w:val="clear" w:color="auto" w:fill="FFFFFF" w:themeFill="background1"/>
            <w:vAlign w:val="top"/>
          </w:tcPr>
          <w:p w14:paraId="3C0597C8" w14:textId="03E56595" w:rsidR="002D39FA" w:rsidRPr="004F38E1" w:rsidRDefault="002D39FA" w:rsidP="002D39FA">
            <w:pPr>
              <w:pStyle w:val="TableText0"/>
              <w:jc w:val="center"/>
              <w:rPr>
                <w:rFonts w:asciiTheme="minorHAnsi" w:hAnsiTheme="minorHAnsi" w:cstheme="minorHAnsi"/>
                <w:szCs w:val="22"/>
              </w:rPr>
            </w:pPr>
            <w:r w:rsidRPr="00770CE5">
              <w:rPr>
                <w:sz w:val="22"/>
                <w:szCs w:val="22"/>
              </w:rPr>
              <w:t>Kikkert MLA</w:t>
            </w:r>
          </w:p>
        </w:tc>
        <w:tc>
          <w:tcPr>
            <w:tcW w:w="1977" w:type="dxa"/>
            <w:tcBorders>
              <w:bottom w:val="single" w:sz="4" w:space="0" w:color="auto"/>
            </w:tcBorders>
            <w:shd w:val="clear" w:color="auto" w:fill="FFFFFF" w:themeFill="background1"/>
            <w:vAlign w:val="top"/>
          </w:tcPr>
          <w:p w14:paraId="3D9CA70D" w14:textId="72C3B557" w:rsidR="002D39FA" w:rsidRPr="00184C8E" w:rsidRDefault="002D39FA" w:rsidP="002D39FA">
            <w:pPr>
              <w:pStyle w:val="TableText0"/>
              <w:jc w:val="center"/>
              <w:rPr>
                <w:rFonts w:asciiTheme="minorHAnsi" w:hAnsiTheme="minorHAnsi" w:cstheme="minorHAnsi"/>
                <w:szCs w:val="22"/>
              </w:rPr>
            </w:pPr>
            <w:r w:rsidRPr="00770CE5">
              <w:rPr>
                <w:rFonts w:asciiTheme="minorHAnsi" w:hAnsiTheme="minorHAnsi" w:cstheme="minorHAnsi"/>
                <w:sz w:val="22"/>
                <w:szCs w:val="22"/>
              </w:rPr>
              <w:t>Community Services Directorate</w:t>
            </w:r>
          </w:p>
        </w:tc>
        <w:tc>
          <w:tcPr>
            <w:tcW w:w="4111" w:type="dxa"/>
            <w:tcBorders>
              <w:bottom w:val="single" w:sz="4" w:space="0" w:color="auto"/>
            </w:tcBorders>
            <w:shd w:val="clear" w:color="auto" w:fill="FFFFFF" w:themeFill="background1"/>
            <w:vAlign w:val="top"/>
          </w:tcPr>
          <w:p w14:paraId="3DC17DEE" w14:textId="7658A3EC" w:rsidR="002D39FA" w:rsidRDefault="002D39FA" w:rsidP="002D39FA">
            <w:pPr>
              <w:pStyle w:val="TableText0"/>
              <w:rPr>
                <w:rFonts w:asciiTheme="minorHAnsi" w:hAnsiTheme="minorHAnsi" w:cstheme="minorHAnsi"/>
                <w:szCs w:val="22"/>
              </w:rPr>
            </w:pPr>
            <w:r w:rsidRPr="00770CE5">
              <w:rPr>
                <w:sz w:val="22"/>
                <w:szCs w:val="22"/>
              </w:rPr>
              <w:t>Domestic violence testing framework</w:t>
            </w:r>
          </w:p>
        </w:tc>
      </w:tr>
      <w:tr w:rsidR="002D39FA" w14:paraId="438E663B" w14:textId="77777777" w:rsidTr="00486EA0">
        <w:tc>
          <w:tcPr>
            <w:tcW w:w="691" w:type="dxa"/>
            <w:shd w:val="clear" w:color="auto" w:fill="FFFFFF" w:themeFill="background1"/>
            <w:vAlign w:val="top"/>
          </w:tcPr>
          <w:p w14:paraId="640E32C8" w14:textId="519146F9" w:rsidR="002D39FA" w:rsidRDefault="002D39FA" w:rsidP="002D39FA">
            <w:pPr>
              <w:pStyle w:val="TableText0"/>
              <w:jc w:val="center"/>
              <w:rPr>
                <w:rFonts w:asciiTheme="minorHAnsi" w:hAnsiTheme="minorHAnsi" w:cstheme="minorHAnsi"/>
                <w:szCs w:val="22"/>
              </w:rPr>
            </w:pPr>
            <w:r w:rsidRPr="008B5D99">
              <w:rPr>
                <w:rFonts w:asciiTheme="minorHAnsi" w:hAnsiTheme="minorHAnsi" w:cstheme="minorHAnsi"/>
                <w:szCs w:val="22"/>
              </w:rPr>
              <w:t>CSD 50</w:t>
            </w:r>
          </w:p>
        </w:tc>
        <w:tc>
          <w:tcPr>
            <w:tcW w:w="1498" w:type="dxa"/>
            <w:shd w:val="clear" w:color="auto" w:fill="FFFFFF" w:themeFill="background1"/>
            <w:vAlign w:val="top"/>
          </w:tcPr>
          <w:p w14:paraId="0FBF1B98" w14:textId="1276C139" w:rsidR="002D39FA" w:rsidRPr="004F38E1" w:rsidRDefault="002D39FA" w:rsidP="002D39FA">
            <w:pPr>
              <w:pStyle w:val="TableText0"/>
              <w:jc w:val="center"/>
              <w:rPr>
                <w:rFonts w:asciiTheme="minorHAnsi" w:hAnsiTheme="minorHAnsi" w:cstheme="minorHAnsi"/>
                <w:szCs w:val="22"/>
              </w:rPr>
            </w:pPr>
            <w:r w:rsidRPr="00770CE5">
              <w:rPr>
                <w:szCs w:val="22"/>
              </w:rPr>
              <w:t>Kikkert MLA</w:t>
            </w:r>
          </w:p>
        </w:tc>
        <w:tc>
          <w:tcPr>
            <w:tcW w:w="1977" w:type="dxa"/>
            <w:shd w:val="clear" w:color="auto" w:fill="FFFFFF" w:themeFill="background1"/>
            <w:vAlign w:val="top"/>
          </w:tcPr>
          <w:p w14:paraId="31925024" w14:textId="5910C350" w:rsidR="002D39FA" w:rsidRPr="00184C8E" w:rsidRDefault="002D39FA" w:rsidP="002D39FA">
            <w:pPr>
              <w:pStyle w:val="TableText0"/>
              <w:jc w:val="center"/>
              <w:rPr>
                <w:rFonts w:asciiTheme="minorHAnsi" w:hAnsiTheme="minorHAnsi" w:cstheme="minorHAnsi"/>
                <w:szCs w:val="22"/>
              </w:rPr>
            </w:pPr>
            <w:r w:rsidRPr="00770CE5">
              <w:rPr>
                <w:rFonts w:asciiTheme="minorHAnsi" w:hAnsiTheme="minorHAnsi" w:cstheme="minorHAnsi"/>
                <w:szCs w:val="22"/>
              </w:rPr>
              <w:t>Community Services Directorate</w:t>
            </w:r>
          </w:p>
        </w:tc>
        <w:tc>
          <w:tcPr>
            <w:tcW w:w="4111" w:type="dxa"/>
            <w:shd w:val="clear" w:color="auto" w:fill="FFFFFF" w:themeFill="background1"/>
            <w:vAlign w:val="top"/>
          </w:tcPr>
          <w:p w14:paraId="55193837" w14:textId="41959AA2" w:rsidR="002D39FA" w:rsidRDefault="002D39FA" w:rsidP="002D39FA">
            <w:pPr>
              <w:pStyle w:val="TableText0"/>
              <w:rPr>
                <w:rFonts w:asciiTheme="minorHAnsi" w:hAnsiTheme="minorHAnsi" w:cstheme="minorHAnsi"/>
                <w:szCs w:val="22"/>
              </w:rPr>
            </w:pPr>
            <w:r w:rsidRPr="00770CE5">
              <w:rPr>
                <w:szCs w:val="22"/>
              </w:rPr>
              <w:t>Domestic Violence Death Review</w:t>
            </w:r>
          </w:p>
        </w:tc>
      </w:tr>
      <w:tr w:rsidR="002D39FA" w14:paraId="21F23E65" w14:textId="77777777" w:rsidTr="00486EA0">
        <w:trPr>
          <w:cnfStyle w:val="000000100000" w:firstRow="0" w:lastRow="0" w:firstColumn="0" w:lastColumn="0" w:oddVBand="0" w:evenVBand="0" w:oddHBand="1" w:evenHBand="0" w:firstRowFirstColumn="0" w:firstRowLastColumn="0" w:lastRowFirstColumn="0" w:lastRowLastColumn="0"/>
        </w:trPr>
        <w:tc>
          <w:tcPr>
            <w:tcW w:w="691" w:type="dxa"/>
            <w:shd w:val="clear" w:color="auto" w:fill="FFFFFF" w:themeFill="background1"/>
            <w:vAlign w:val="top"/>
          </w:tcPr>
          <w:p w14:paraId="48F4AD84" w14:textId="4D5C9765" w:rsidR="002D39FA" w:rsidRDefault="002D39FA" w:rsidP="002D39FA">
            <w:pPr>
              <w:pStyle w:val="TableText0"/>
              <w:jc w:val="center"/>
              <w:rPr>
                <w:rFonts w:asciiTheme="minorHAnsi" w:hAnsiTheme="minorHAnsi" w:cstheme="minorHAnsi"/>
                <w:szCs w:val="22"/>
              </w:rPr>
            </w:pPr>
            <w:r w:rsidRPr="008B5D99">
              <w:rPr>
                <w:rFonts w:asciiTheme="minorHAnsi" w:hAnsiTheme="minorHAnsi" w:cstheme="minorHAnsi"/>
                <w:sz w:val="22"/>
                <w:szCs w:val="22"/>
              </w:rPr>
              <w:t>CSD 51</w:t>
            </w:r>
          </w:p>
        </w:tc>
        <w:tc>
          <w:tcPr>
            <w:tcW w:w="1498" w:type="dxa"/>
            <w:shd w:val="clear" w:color="auto" w:fill="FFFFFF" w:themeFill="background1"/>
            <w:vAlign w:val="top"/>
          </w:tcPr>
          <w:p w14:paraId="6DB170C0" w14:textId="70DF751B" w:rsidR="002D39FA" w:rsidRPr="004F38E1" w:rsidRDefault="002D39FA" w:rsidP="002D39FA">
            <w:pPr>
              <w:pStyle w:val="TableText0"/>
              <w:jc w:val="center"/>
              <w:rPr>
                <w:rFonts w:asciiTheme="minorHAnsi" w:hAnsiTheme="minorHAnsi" w:cstheme="minorHAnsi"/>
                <w:szCs w:val="22"/>
              </w:rPr>
            </w:pPr>
            <w:r w:rsidRPr="00770CE5">
              <w:rPr>
                <w:sz w:val="22"/>
                <w:szCs w:val="22"/>
              </w:rPr>
              <w:t>Kikkert MLA</w:t>
            </w:r>
          </w:p>
        </w:tc>
        <w:tc>
          <w:tcPr>
            <w:tcW w:w="1977" w:type="dxa"/>
            <w:shd w:val="clear" w:color="auto" w:fill="FFFFFF" w:themeFill="background1"/>
            <w:vAlign w:val="top"/>
          </w:tcPr>
          <w:p w14:paraId="4B3F60BF" w14:textId="7321C5E0" w:rsidR="002D39FA" w:rsidRPr="00184C8E" w:rsidRDefault="002D39FA" w:rsidP="002D39FA">
            <w:pPr>
              <w:pStyle w:val="TableText0"/>
              <w:jc w:val="center"/>
              <w:rPr>
                <w:rFonts w:asciiTheme="minorHAnsi" w:hAnsiTheme="minorHAnsi" w:cstheme="minorHAnsi"/>
                <w:szCs w:val="22"/>
              </w:rPr>
            </w:pPr>
            <w:r w:rsidRPr="00770CE5">
              <w:rPr>
                <w:rFonts w:asciiTheme="minorHAnsi" w:hAnsiTheme="minorHAnsi" w:cstheme="minorHAnsi"/>
                <w:sz w:val="22"/>
                <w:szCs w:val="22"/>
              </w:rPr>
              <w:t>Community Services Directorate</w:t>
            </w:r>
          </w:p>
        </w:tc>
        <w:tc>
          <w:tcPr>
            <w:tcW w:w="4111" w:type="dxa"/>
            <w:shd w:val="clear" w:color="auto" w:fill="FFFFFF" w:themeFill="background1"/>
            <w:vAlign w:val="top"/>
          </w:tcPr>
          <w:p w14:paraId="596F67E9" w14:textId="235A031C" w:rsidR="002D39FA" w:rsidRDefault="002D39FA" w:rsidP="002D39FA">
            <w:pPr>
              <w:pStyle w:val="TableText0"/>
              <w:rPr>
                <w:rFonts w:asciiTheme="minorHAnsi" w:hAnsiTheme="minorHAnsi" w:cstheme="minorHAnsi"/>
                <w:szCs w:val="22"/>
              </w:rPr>
            </w:pPr>
            <w:r w:rsidRPr="00770CE5">
              <w:rPr>
                <w:sz w:val="22"/>
                <w:szCs w:val="22"/>
              </w:rPr>
              <w:t>Health Justice Partnerships</w:t>
            </w:r>
          </w:p>
        </w:tc>
      </w:tr>
      <w:tr w:rsidR="002D39FA" w14:paraId="55A3C71D" w14:textId="77777777" w:rsidTr="00486EA0">
        <w:tc>
          <w:tcPr>
            <w:tcW w:w="691" w:type="dxa"/>
            <w:shd w:val="clear" w:color="auto" w:fill="FFFFFF" w:themeFill="background1"/>
            <w:vAlign w:val="top"/>
          </w:tcPr>
          <w:p w14:paraId="7B3F752D" w14:textId="7428EED5" w:rsidR="002D39FA" w:rsidRDefault="002D39FA" w:rsidP="002D39FA">
            <w:pPr>
              <w:pStyle w:val="TableText0"/>
              <w:jc w:val="center"/>
              <w:rPr>
                <w:rFonts w:asciiTheme="minorHAnsi" w:hAnsiTheme="minorHAnsi" w:cstheme="minorHAnsi"/>
                <w:szCs w:val="22"/>
              </w:rPr>
            </w:pPr>
            <w:r w:rsidRPr="008B5D99">
              <w:rPr>
                <w:rFonts w:asciiTheme="minorHAnsi" w:hAnsiTheme="minorHAnsi" w:cstheme="minorHAnsi"/>
                <w:szCs w:val="22"/>
              </w:rPr>
              <w:t>CSD 52</w:t>
            </w:r>
          </w:p>
        </w:tc>
        <w:tc>
          <w:tcPr>
            <w:tcW w:w="1498" w:type="dxa"/>
            <w:shd w:val="clear" w:color="auto" w:fill="FFFFFF" w:themeFill="background1"/>
            <w:vAlign w:val="top"/>
          </w:tcPr>
          <w:p w14:paraId="4C7F2660" w14:textId="479C7F00" w:rsidR="002D39FA" w:rsidRPr="004F38E1" w:rsidRDefault="002D39FA" w:rsidP="002D39FA">
            <w:pPr>
              <w:pStyle w:val="TableText0"/>
              <w:jc w:val="center"/>
              <w:rPr>
                <w:rFonts w:asciiTheme="minorHAnsi" w:hAnsiTheme="minorHAnsi" w:cstheme="minorHAnsi"/>
                <w:szCs w:val="22"/>
              </w:rPr>
            </w:pPr>
            <w:r w:rsidRPr="00770CE5">
              <w:rPr>
                <w:szCs w:val="22"/>
              </w:rPr>
              <w:t>Kikkert MLA</w:t>
            </w:r>
          </w:p>
        </w:tc>
        <w:tc>
          <w:tcPr>
            <w:tcW w:w="1977" w:type="dxa"/>
            <w:shd w:val="clear" w:color="auto" w:fill="FFFFFF" w:themeFill="background1"/>
            <w:vAlign w:val="top"/>
          </w:tcPr>
          <w:p w14:paraId="44F0016C" w14:textId="71B11F34" w:rsidR="002D39FA" w:rsidRPr="00184C8E" w:rsidRDefault="002D39FA" w:rsidP="002D39FA">
            <w:pPr>
              <w:pStyle w:val="TableText0"/>
              <w:jc w:val="center"/>
              <w:rPr>
                <w:rFonts w:asciiTheme="minorHAnsi" w:hAnsiTheme="minorHAnsi" w:cstheme="minorHAnsi"/>
                <w:szCs w:val="22"/>
              </w:rPr>
            </w:pPr>
            <w:r w:rsidRPr="00770CE5">
              <w:rPr>
                <w:rFonts w:asciiTheme="minorHAnsi" w:hAnsiTheme="minorHAnsi" w:cstheme="minorHAnsi"/>
                <w:szCs w:val="22"/>
              </w:rPr>
              <w:t>Community Services Directorate</w:t>
            </w:r>
          </w:p>
        </w:tc>
        <w:tc>
          <w:tcPr>
            <w:tcW w:w="4111" w:type="dxa"/>
            <w:shd w:val="clear" w:color="auto" w:fill="FFFFFF" w:themeFill="background1"/>
            <w:vAlign w:val="top"/>
          </w:tcPr>
          <w:p w14:paraId="46737030" w14:textId="4F35FCDF" w:rsidR="002D39FA" w:rsidRDefault="002D39FA" w:rsidP="002D39FA">
            <w:pPr>
              <w:pStyle w:val="TableText0"/>
              <w:rPr>
                <w:rFonts w:asciiTheme="minorHAnsi" w:hAnsiTheme="minorHAnsi" w:cstheme="minorHAnsi"/>
                <w:szCs w:val="22"/>
              </w:rPr>
            </w:pPr>
            <w:r w:rsidRPr="00770CE5">
              <w:rPr>
                <w:szCs w:val="22"/>
              </w:rPr>
              <w:t>domestic and family violence</w:t>
            </w:r>
          </w:p>
        </w:tc>
      </w:tr>
      <w:tr w:rsidR="002D39FA" w14:paraId="63D7C4F3" w14:textId="77777777" w:rsidTr="00486EA0">
        <w:trPr>
          <w:cnfStyle w:val="000000100000" w:firstRow="0" w:lastRow="0" w:firstColumn="0" w:lastColumn="0" w:oddVBand="0" w:evenVBand="0" w:oddHBand="1" w:evenHBand="0" w:firstRowFirstColumn="0" w:firstRowLastColumn="0" w:lastRowFirstColumn="0" w:lastRowLastColumn="0"/>
        </w:trPr>
        <w:tc>
          <w:tcPr>
            <w:tcW w:w="691" w:type="dxa"/>
            <w:shd w:val="clear" w:color="auto" w:fill="FFFFFF" w:themeFill="background1"/>
            <w:vAlign w:val="top"/>
          </w:tcPr>
          <w:p w14:paraId="071A9009" w14:textId="615F45DB" w:rsidR="002D39FA" w:rsidRDefault="002D39FA" w:rsidP="002D39FA">
            <w:pPr>
              <w:pStyle w:val="TableText0"/>
              <w:jc w:val="center"/>
              <w:rPr>
                <w:rFonts w:asciiTheme="minorHAnsi" w:hAnsiTheme="minorHAnsi" w:cstheme="minorHAnsi"/>
                <w:szCs w:val="22"/>
              </w:rPr>
            </w:pPr>
            <w:r w:rsidRPr="008B5D99">
              <w:rPr>
                <w:rFonts w:asciiTheme="minorHAnsi" w:hAnsiTheme="minorHAnsi" w:cstheme="minorHAnsi"/>
                <w:sz w:val="22"/>
                <w:szCs w:val="22"/>
              </w:rPr>
              <w:t>CSD 53</w:t>
            </w:r>
          </w:p>
        </w:tc>
        <w:tc>
          <w:tcPr>
            <w:tcW w:w="1498" w:type="dxa"/>
            <w:shd w:val="clear" w:color="auto" w:fill="FFFFFF" w:themeFill="background1"/>
            <w:vAlign w:val="top"/>
          </w:tcPr>
          <w:p w14:paraId="21145D59" w14:textId="59C0F5F2" w:rsidR="002D39FA" w:rsidRPr="004F38E1" w:rsidRDefault="002D39FA" w:rsidP="002D39FA">
            <w:pPr>
              <w:pStyle w:val="TableText0"/>
              <w:jc w:val="center"/>
              <w:rPr>
                <w:rFonts w:asciiTheme="minorHAnsi" w:hAnsiTheme="minorHAnsi" w:cstheme="minorHAnsi"/>
                <w:szCs w:val="22"/>
              </w:rPr>
            </w:pPr>
            <w:r w:rsidRPr="00770CE5">
              <w:rPr>
                <w:sz w:val="22"/>
                <w:szCs w:val="22"/>
              </w:rPr>
              <w:t>Kikkert MLA</w:t>
            </w:r>
          </w:p>
        </w:tc>
        <w:tc>
          <w:tcPr>
            <w:tcW w:w="1977" w:type="dxa"/>
            <w:shd w:val="clear" w:color="auto" w:fill="FFFFFF" w:themeFill="background1"/>
            <w:vAlign w:val="top"/>
          </w:tcPr>
          <w:p w14:paraId="254DDC07" w14:textId="3306FF68" w:rsidR="002D39FA" w:rsidRPr="00184C8E" w:rsidRDefault="002D39FA" w:rsidP="002D39FA">
            <w:pPr>
              <w:pStyle w:val="TableText0"/>
              <w:jc w:val="center"/>
              <w:rPr>
                <w:rFonts w:asciiTheme="minorHAnsi" w:hAnsiTheme="minorHAnsi" w:cstheme="minorHAnsi"/>
                <w:szCs w:val="22"/>
              </w:rPr>
            </w:pPr>
            <w:r w:rsidRPr="00770CE5">
              <w:rPr>
                <w:rFonts w:asciiTheme="minorHAnsi" w:hAnsiTheme="minorHAnsi" w:cstheme="minorHAnsi"/>
                <w:sz w:val="22"/>
                <w:szCs w:val="22"/>
              </w:rPr>
              <w:t>Community Services Directorate</w:t>
            </w:r>
          </w:p>
        </w:tc>
        <w:tc>
          <w:tcPr>
            <w:tcW w:w="4111" w:type="dxa"/>
            <w:shd w:val="clear" w:color="auto" w:fill="FFFFFF" w:themeFill="background1"/>
            <w:vAlign w:val="top"/>
          </w:tcPr>
          <w:p w14:paraId="36FEB0F7" w14:textId="6532DD96" w:rsidR="002D39FA" w:rsidRDefault="002D39FA" w:rsidP="002D39FA">
            <w:pPr>
              <w:pStyle w:val="TableText0"/>
              <w:rPr>
                <w:rFonts w:asciiTheme="minorHAnsi" w:hAnsiTheme="minorHAnsi" w:cstheme="minorHAnsi"/>
                <w:szCs w:val="22"/>
              </w:rPr>
            </w:pPr>
            <w:r w:rsidRPr="00770CE5">
              <w:rPr>
                <w:sz w:val="22"/>
                <w:szCs w:val="22"/>
              </w:rPr>
              <w:t>Rework of case tracking</w:t>
            </w:r>
          </w:p>
        </w:tc>
      </w:tr>
      <w:tr w:rsidR="002D39FA" w14:paraId="1C990875" w14:textId="77777777" w:rsidTr="00486EA0">
        <w:tc>
          <w:tcPr>
            <w:tcW w:w="691" w:type="dxa"/>
            <w:shd w:val="clear" w:color="auto" w:fill="FFFFFF" w:themeFill="background1"/>
          </w:tcPr>
          <w:p w14:paraId="40402F0B" w14:textId="1F07D2BB" w:rsidR="002D39FA" w:rsidRDefault="002D39FA" w:rsidP="002D39FA">
            <w:pPr>
              <w:pStyle w:val="TableText0"/>
              <w:jc w:val="center"/>
              <w:rPr>
                <w:rFonts w:asciiTheme="minorHAnsi" w:hAnsiTheme="minorHAnsi" w:cstheme="minorHAnsi"/>
                <w:szCs w:val="22"/>
              </w:rPr>
            </w:pPr>
            <w:r w:rsidRPr="00C03B7F">
              <w:rPr>
                <w:rFonts w:asciiTheme="minorHAnsi" w:hAnsiTheme="minorHAnsi" w:cstheme="minorHAnsi"/>
                <w:szCs w:val="22"/>
              </w:rPr>
              <w:t>CSD 54</w:t>
            </w:r>
          </w:p>
        </w:tc>
        <w:tc>
          <w:tcPr>
            <w:tcW w:w="1498" w:type="dxa"/>
            <w:shd w:val="clear" w:color="auto" w:fill="FFFFFF" w:themeFill="background1"/>
          </w:tcPr>
          <w:p w14:paraId="795980A0" w14:textId="5AA821AD" w:rsidR="002D39FA" w:rsidRPr="004F38E1" w:rsidRDefault="002D39FA" w:rsidP="002D39FA">
            <w:pPr>
              <w:pStyle w:val="TableText0"/>
              <w:jc w:val="center"/>
              <w:rPr>
                <w:rFonts w:asciiTheme="minorHAnsi" w:hAnsiTheme="minorHAnsi" w:cstheme="minorHAnsi"/>
                <w:szCs w:val="22"/>
              </w:rPr>
            </w:pPr>
            <w:r w:rsidRPr="00C03B7F">
              <w:rPr>
                <w:szCs w:val="22"/>
              </w:rPr>
              <w:t>Kikkert MLA</w:t>
            </w:r>
          </w:p>
        </w:tc>
        <w:tc>
          <w:tcPr>
            <w:tcW w:w="1977" w:type="dxa"/>
            <w:shd w:val="clear" w:color="auto" w:fill="FFFFFF" w:themeFill="background1"/>
            <w:vAlign w:val="top"/>
          </w:tcPr>
          <w:p w14:paraId="79A86CD6" w14:textId="2E8119D1" w:rsidR="002D39FA" w:rsidRPr="00184C8E" w:rsidRDefault="002D39FA" w:rsidP="002D39FA">
            <w:pPr>
              <w:pStyle w:val="TableText0"/>
              <w:jc w:val="center"/>
              <w:rPr>
                <w:rFonts w:asciiTheme="minorHAnsi" w:hAnsiTheme="minorHAnsi" w:cstheme="minorHAnsi"/>
                <w:szCs w:val="22"/>
              </w:rPr>
            </w:pPr>
            <w:r w:rsidRPr="00C03B7F">
              <w:rPr>
                <w:rFonts w:asciiTheme="minorHAnsi" w:hAnsiTheme="minorHAnsi" w:cstheme="minorHAnsi"/>
                <w:szCs w:val="22"/>
              </w:rPr>
              <w:t>Community Services Directorate</w:t>
            </w:r>
          </w:p>
        </w:tc>
        <w:tc>
          <w:tcPr>
            <w:tcW w:w="4111" w:type="dxa"/>
            <w:shd w:val="clear" w:color="auto" w:fill="FFFFFF" w:themeFill="background1"/>
          </w:tcPr>
          <w:p w14:paraId="4D64518A" w14:textId="6B6BB6E1" w:rsidR="002D39FA" w:rsidRDefault="002D39FA" w:rsidP="002D39FA">
            <w:pPr>
              <w:pStyle w:val="TableText0"/>
              <w:rPr>
                <w:rFonts w:asciiTheme="minorHAnsi" w:hAnsiTheme="minorHAnsi" w:cstheme="minorHAnsi"/>
                <w:szCs w:val="22"/>
              </w:rPr>
            </w:pPr>
            <w:r w:rsidRPr="00C03B7F">
              <w:rPr>
                <w:szCs w:val="22"/>
              </w:rPr>
              <w:t>Room4Change</w:t>
            </w:r>
          </w:p>
        </w:tc>
      </w:tr>
      <w:tr w:rsidR="002D39FA" w14:paraId="29F07818" w14:textId="77777777" w:rsidTr="00486EA0">
        <w:trPr>
          <w:cnfStyle w:val="000000100000" w:firstRow="0" w:lastRow="0" w:firstColumn="0" w:lastColumn="0" w:oddVBand="0" w:evenVBand="0" w:oddHBand="1" w:evenHBand="0" w:firstRowFirstColumn="0" w:firstRowLastColumn="0" w:lastRowFirstColumn="0" w:lastRowLastColumn="0"/>
        </w:trPr>
        <w:tc>
          <w:tcPr>
            <w:tcW w:w="691" w:type="dxa"/>
            <w:shd w:val="clear" w:color="auto" w:fill="FFFFFF" w:themeFill="background1"/>
          </w:tcPr>
          <w:p w14:paraId="73982E7B" w14:textId="0A2C0031" w:rsidR="002D39FA" w:rsidRDefault="002D39FA" w:rsidP="002D39FA">
            <w:pPr>
              <w:pStyle w:val="TableText0"/>
              <w:jc w:val="center"/>
              <w:rPr>
                <w:rFonts w:asciiTheme="minorHAnsi" w:hAnsiTheme="minorHAnsi" w:cstheme="minorHAnsi"/>
                <w:szCs w:val="22"/>
              </w:rPr>
            </w:pPr>
            <w:r w:rsidRPr="00C03B7F">
              <w:rPr>
                <w:rFonts w:asciiTheme="minorHAnsi" w:hAnsiTheme="minorHAnsi" w:cstheme="minorHAnsi"/>
                <w:sz w:val="22"/>
                <w:szCs w:val="22"/>
              </w:rPr>
              <w:t>CSD 55</w:t>
            </w:r>
          </w:p>
        </w:tc>
        <w:tc>
          <w:tcPr>
            <w:tcW w:w="1498" w:type="dxa"/>
            <w:shd w:val="clear" w:color="auto" w:fill="FFFFFF" w:themeFill="background1"/>
            <w:vAlign w:val="top"/>
          </w:tcPr>
          <w:p w14:paraId="303C1C1F" w14:textId="7F20BEBD" w:rsidR="002D39FA" w:rsidRPr="004F38E1" w:rsidRDefault="002D39FA" w:rsidP="002D39FA">
            <w:pPr>
              <w:pStyle w:val="TableText0"/>
              <w:jc w:val="center"/>
              <w:rPr>
                <w:rFonts w:asciiTheme="minorHAnsi" w:hAnsiTheme="minorHAnsi" w:cstheme="minorHAnsi"/>
                <w:szCs w:val="22"/>
              </w:rPr>
            </w:pPr>
            <w:r w:rsidRPr="00C03B7F">
              <w:rPr>
                <w:sz w:val="22"/>
                <w:szCs w:val="22"/>
              </w:rPr>
              <w:t>Kikkert MLA</w:t>
            </w:r>
          </w:p>
        </w:tc>
        <w:tc>
          <w:tcPr>
            <w:tcW w:w="1977" w:type="dxa"/>
            <w:shd w:val="clear" w:color="auto" w:fill="FFFFFF" w:themeFill="background1"/>
            <w:vAlign w:val="top"/>
          </w:tcPr>
          <w:p w14:paraId="0D0F996C" w14:textId="29C82305" w:rsidR="002D39FA" w:rsidRPr="00184C8E" w:rsidRDefault="002D39FA" w:rsidP="002D39FA">
            <w:pPr>
              <w:pStyle w:val="TableText0"/>
              <w:jc w:val="center"/>
              <w:rPr>
                <w:rFonts w:asciiTheme="minorHAnsi" w:hAnsiTheme="minorHAnsi" w:cstheme="minorHAnsi"/>
                <w:szCs w:val="22"/>
              </w:rPr>
            </w:pPr>
            <w:r w:rsidRPr="00C03B7F">
              <w:rPr>
                <w:rFonts w:asciiTheme="minorHAnsi" w:hAnsiTheme="minorHAnsi" w:cstheme="minorHAnsi"/>
                <w:sz w:val="22"/>
                <w:szCs w:val="22"/>
              </w:rPr>
              <w:t>Community Services Directorate</w:t>
            </w:r>
          </w:p>
        </w:tc>
        <w:tc>
          <w:tcPr>
            <w:tcW w:w="4111" w:type="dxa"/>
            <w:shd w:val="clear" w:color="auto" w:fill="FFFFFF" w:themeFill="background1"/>
          </w:tcPr>
          <w:p w14:paraId="2A7D74A4" w14:textId="1E53CB74" w:rsidR="002D39FA" w:rsidRDefault="002D39FA" w:rsidP="002D39FA">
            <w:pPr>
              <w:pStyle w:val="TableText0"/>
              <w:rPr>
                <w:rFonts w:asciiTheme="minorHAnsi" w:hAnsiTheme="minorHAnsi" w:cstheme="minorHAnsi"/>
                <w:szCs w:val="22"/>
              </w:rPr>
            </w:pPr>
            <w:r w:rsidRPr="00C03B7F">
              <w:rPr>
                <w:sz w:val="22"/>
                <w:szCs w:val="22"/>
              </w:rPr>
              <w:t>Safer Families Assistance Program</w:t>
            </w:r>
          </w:p>
        </w:tc>
      </w:tr>
      <w:tr w:rsidR="002D39FA" w14:paraId="4692D2B0" w14:textId="77777777" w:rsidTr="00486EA0">
        <w:tc>
          <w:tcPr>
            <w:tcW w:w="691" w:type="dxa"/>
            <w:tcBorders>
              <w:bottom w:val="single" w:sz="4" w:space="0" w:color="auto"/>
            </w:tcBorders>
            <w:shd w:val="clear" w:color="auto" w:fill="FFFFFF" w:themeFill="background1"/>
          </w:tcPr>
          <w:p w14:paraId="093BF342" w14:textId="55100A60" w:rsidR="002D39FA" w:rsidRDefault="002D39FA" w:rsidP="002D39FA">
            <w:pPr>
              <w:pStyle w:val="TableText0"/>
              <w:jc w:val="center"/>
              <w:rPr>
                <w:rFonts w:asciiTheme="minorHAnsi" w:hAnsiTheme="minorHAnsi" w:cstheme="minorHAnsi"/>
                <w:szCs w:val="22"/>
              </w:rPr>
            </w:pPr>
            <w:r w:rsidRPr="00C03B7F">
              <w:rPr>
                <w:rFonts w:asciiTheme="minorHAnsi" w:hAnsiTheme="minorHAnsi" w:cstheme="minorHAnsi"/>
                <w:szCs w:val="22"/>
              </w:rPr>
              <w:t>CSD 56</w:t>
            </w:r>
          </w:p>
        </w:tc>
        <w:tc>
          <w:tcPr>
            <w:tcW w:w="1498" w:type="dxa"/>
            <w:tcBorders>
              <w:bottom w:val="single" w:sz="4" w:space="0" w:color="auto"/>
            </w:tcBorders>
            <w:shd w:val="clear" w:color="auto" w:fill="FFFFFF" w:themeFill="background1"/>
            <w:vAlign w:val="top"/>
          </w:tcPr>
          <w:p w14:paraId="5BEFE9D7" w14:textId="26425126" w:rsidR="002D39FA" w:rsidRPr="004F38E1" w:rsidRDefault="002D39FA" w:rsidP="002D39FA">
            <w:pPr>
              <w:pStyle w:val="TableText0"/>
              <w:jc w:val="center"/>
              <w:rPr>
                <w:rFonts w:asciiTheme="minorHAnsi" w:hAnsiTheme="minorHAnsi" w:cstheme="minorHAnsi"/>
                <w:szCs w:val="22"/>
              </w:rPr>
            </w:pPr>
            <w:r w:rsidRPr="00C03B7F">
              <w:rPr>
                <w:szCs w:val="22"/>
              </w:rPr>
              <w:t>Kikkert MLA</w:t>
            </w:r>
          </w:p>
        </w:tc>
        <w:tc>
          <w:tcPr>
            <w:tcW w:w="1977" w:type="dxa"/>
            <w:tcBorders>
              <w:bottom w:val="single" w:sz="4" w:space="0" w:color="auto"/>
            </w:tcBorders>
            <w:shd w:val="clear" w:color="auto" w:fill="FFFFFF" w:themeFill="background1"/>
            <w:vAlign w:val="top"/>
          </w:tcPr>
          <w:p w14:paraId="1DEAC628" w14:textId="7DF44437" w:rsidR="002D39FA" w:rsidRPr="00184C8E" w:rsidRDefault="002D39FA" w:rsidP="002D39FA">
            <w:pPr>
              <w:pStyle w:val="TableText0"/>
              <w:jc w:val="center"/>
              <w:rPr>
                <w:rFonts w:asciiTheme="minorHAnsi" w:hAnsiTheme="minorHAnsi" w:cstheme="minorHAnsi"/>
                <w:szCs w:val="22"/>
              </w:rPr>
            </w:pPr>
            <w:r w:rsidRPr="00C03B7F">
              <w:rPr>
                <w:rFonts w:asciiTheme="minorHAnsi" w:hAnsiTheme="minorHAnsi" w:cstheme="minorHAnsi"/>
                <w:szCs w:val="22"/>
              </w:rPr>
              <w:t>Community Services Directorate</w:t>
            </w:r>
          </w:p>
        </w:tc>
        <w:tc>
          <w:tcPr>
            <w:tcW w:w="4111" w:type="dxa"/>
            <w:tcBorders>
              <w:bottom w:val="single" w:sz="4" w:space="0" w:color="auto"/>
            </w:tcBorders>
            <w:shd w:val="clear" w:color="auto" w:fill="FFFFFF" w:themeFill="background1"/>
          </w:tcPr>
          <w:p w14:paraId="52C0B955" w14:textId="0FB0E268" w:rsidR="002D39FA" w:rsidRDefault="002D39FA" w:rsidP="002D39FA">
            <w:pPr>
              <w:pStyle w:val="TableText0"/>
              <w:rPr>
                <w:rFonts w:asciiTheme="minorHAnsi" w:hAnsiTheme="minorHAnsi" w:cstheme="minorHAnsi"/>
                <w:szCs w:val="22"/>
              </w:rPr>
            </w:pPr>
            <w:r w:rsidRPr="00C03B7F">
              <w:rPr>
                <w:szCs w:val="22"/>
              </w:rPr>
              <w:t>Toora Funding</w:t>
            </w:r>
          </w:p>
        </w:tc>
      </w:tr>
      <w:tr w:rsidR="002D39FA" w14:paraId="7D13FCA5" w14:textId="77777777" w:rsidTr="00486EA0">
        <w:trPr>
          <w:cnfStyle w:val="000000100000" w:firstRow="0" w:lastRow="0" w:firstColumn="0" w:lastColumn="0" w:oddVBand="0" w:evenVBand="0" w:oddHBand="1" w:evenHBand="0" w:firstRowFirstColumn="0" w:firstRowLastColumn="0" w:lastRowFirstColumn="0" w:lastRowLastColumn="0"/>
        </w:trPr>
        <w:tc>
          <w:tcPr>
            <w:tcW w:w="691" w:type="dxa"/>
            <w:shd w:val="clear" w:color="auto" w:fill="AEAAAA" w:themeFill="background2" w:themeFillShade="BF"/>
          </w:tcPr>
          <w:p w14:paraId="09A9777E" w14:textId="636AF604" w:rsidR="002D39FA" w:rsidRDefault="002D39FA" w:rsidP="002D39FA">
            <w:pPr>
              <w:pStyle w:val="TableText0"/>
              <w:jc w:val="center"/>
              <w:rPr>
                <w:rFonts w:asciiTheme="minorHAnsi" w:hAnsiTheme="minorHAnsi" w:cstheme="minorHAnsi"/>
                <w:szCs w:val="22"/>
              </w:rPr>
            </w:pPr>
            <w:r w:rsidRPr="008B5D99">
              <w:rPr>
                <w:rFonts w:asciiTheme="minorHAnsi" w:hAnsiTheme="minorHAnsi" w:cstheme="minorHAnsi"/>
                <w:sz w:val="22"/>
                <w:szCs w:val="22"/>
              </w:rPr>
              <w:t>CSD 57</w:t>
            </w:r>
          </w:p>
        </w:tc>
        <w:tc>
          <w:tcPr>
            <w:tcW w:w="1498" w:type="dxa"/>
            <w:tcBorders>
              <w:bottom w:val="single" w:sz="4" w:space="0" w:color="auto"/>
            </w:tcBorders>
            <w:shd w:val="clear" w:color="auto" w:fill="AEAAAA" w:themeFill="background2" w:themeFillShade="BF"/>
          </w:tcPr>
          <w:p w14:paraId="4559D02D" w14:textId="77777777" w:rsidR="002D39FA" w:rsidRPr="004F38E1" w:rsidRDefault="002D39FA" w:rsidP="00242202">
            <w:pPr>
              <w:pStyle w:val="TableText0"/>
              <w:rPr>
                <w:rFonts w:asciiTheme="minorHAnsi" w:hAnsiTheme="minorHAnsi" w:cstheme="minorHAnsi"/>
                <w:szCs w:val="22"/>
              </w:rPr>
            </w:pPr>
          </w:p>
        </w:tc>
        <w:tc>
          <w:tcPr>
            <w:tcW w:w="1977" w:type="dxa"/>
            <w:tcBorders>
              <w:bottom w:val="single" w:sz="4" w:space="0" w:color="auto"/>
            </w:tcBorders>
            <w:shd w:val="clear" w:color="auto" w:fill="AEAAAA" w:themeFill="background2" w:themeFillShade="BF"/>
          </w:tcPr>
          <w:p w14:paraId="2194190E" w14:textId="77777777" w:rsidR="002D39FA" w:rsidRPr="00184C8E" w:rsidRDefault="002D39FA" w:rsidP="00242202">
            <w:pPr>
              <w:pStyle w:val="TableText0"/>
              <w:rPr>
                <w:rFonts w:asciiTheme="minorHAnsi" w:hAnsiTheme="minorHAnsi" w:cstheme="minorHAnsi"/>
                <w:szCs w:val="22"/>
              </w:rPr>
            </w:pPr>
          </w:p>
        </w:tc>
        <w:tc>
          <w:tcPr>
            <w:tcW w:w="4111" w:type="dxa"/>
            <w:tcBorders>
              <w:bottom w:val="single" w:sz="4" w:space="0" w:color="auto"/>
            </w:tcBorders>
            <w:shd w:val="clear" w:color="auto" w:fill="AEAAAA" w:themeFill="background2" w:themeFillShade="BF"/>
          </w:tcPr>
          <w:p w14:paraId="4991E53C" w14:textId="77777777" w:rsidR="002D39FA" w:rsidRDefault="002D39FA" w:rsidP="002D39FA">
            <w:pPr>
              <w:pStyle w:val="TableText0"/>
              <w:rPr>
                <w:rFonts w:asciiTheme="minorHAnsi" w:hAnsiTheme="minorHAnsi" w:cstheme="minorHAnsi"/>
                <w:szCs w:val="22"/>
              </w:rPr>
            </w:pPr>
          </w:p>
        </w:tc>
      </w:tr>
      <w:tr w:rsidR="002D39FA" w14:paraId="093C3054" w14:textId="77777777" w:rsidTr="00486EA0">
        <w:tc>
          <w:tcPr>
            <w:tcW w:w="691" w:type="dxa"/>
            <w:tcBorders>
              <w:bottom w:val="single" w:sz="4" w:space="0" w:color="auto"/>
            </w:tcBorders>
          </w:tcPr>
          <w:p w14:paraId="37724A12" w14:textId="196CDBEF" w:rsidR="002D39FA" w:rsidRDefault="002D39FA" w:rsidP="002D39FA">
            <w:pPr>
              <w:pStyle w:val="TableText0"/>
              <w:jc w:val="center"/>
              <w:rPr>
                <w:rFonts w:asciiTheme="minorHAnsi" w:hAnsiTheme="minorHAnsi" w:cstheme="minorHAnsi"/>
                <w:szCs w:val="22"/>
              </w:rPr>
            </w:pPr>
            <w:r w:rsidRPr="008B5D99">
              <w:rPr>
                <w:rFonts w:asciiTheme="minorHAnsi" w:hAnsiTheme="minorHAnsi" w:cstheme="minorHAnsi"/>
                <w:szCs w:val="22"/>
              </w:rPr>
              <w:t>CSD 58</w:t>
            </w:r>
          </w:p>
        </w:tc>
        <w:tc>
          <w:tcPr>
            <w:tcW w:w="1498" w:type="dxa"/>
            <w:tcBorders>
              <w:bottom w:val="single" w:sz="4" w:space="0" w:color="auto"/>
            </w:tcBorders>
            <w:shd w:val="clear" w:color="auto" w:fill="FFFFFF" w:themeFill="background1"/>
            <w:vAlign w:val="top"/>
          </w:tcPr>
          <w:p w14:paraId="36906457" w14:textId="592FD547" w:rsidR="002D39FA" w:rsidRPr="004F38E1" w:rsidRDefault="002D39FA" w:rsidP="002D39FA">
            <w:pPr>
              <w:pStyle w:val="TableText0"/>
              <w:jc w:val="center"/>
              <w:rPr>
                <w:rFonts w:asciiTheme="minorHAnsi" w:hAnsiTheme="minorHAnsi" w:cstheme="minorHAnsi"/>
                <w:szCs w:val="22"/>
              </w:rPr>
            </w:pPr>
            <w:r w:rsidRPr="00C03B7F">
              <w:rPr>
                <w:szCs w:val="22"/>
              </w:rPr>
              <w:t>Kikkert MLA</w:t>
            </w:r>
          </w:p>
        </w:tc>
        <w:tc>
          <w:tcPr>
            <w:tcW w:w="1977" w:type="dxa"/>
            <w:shd w:val="clear" w:color="auto" w:fill="FFFFFF" w:themeFill="background1"/>
            <w:vAlign w:val="top"/>
          </w:tcPr>
          <w:p w14:paraId="5C66223D" w14:textId="1EE9E42C" w:rsidR="002D39FA" w:rsidRPr="00184C8E" w:rsidRDefault="002D39FA" w:rsidP="002D39FA">
            <w:pPr>
              <w:pStyle w:val="TableText0"/>
              <w:jc w:val="center"/>
              <w:rPr>
                <w:rFonts w:asciiTheme="minorHAnsi" w:hAnsiTheme="minorHAnsi" w:cstheme="minorHAnsi"/>
                <w:szCs w:val="22"/>
              </w:rPr>
            </w:pPr>
            <w:r w:rsidRPr="00184C8E">
              <w:rPr>
                <w:rFonts w:asciiTheme="minorHAnsi" w:hAnsiTheme="minorHAnsi" w:cstheme="minorHAnsi"/>
                <w:szCs w:val="22"/>
              </w:rPr>
              <w:t>Community Services Directorate</w:t>
            </w:r>
          </w:p>
        </w:tc>
        <w:tc>
          <w:tcPr>
            <w:tcW w:w="4111" w:type="dxa"/>
            <w:shd w:val="clear" w:color="auto" w:fill="FFFFFF" w:themeFill="background1"/>
          </w:tcPr>
          <w:p w14:paraId="553C66AF" w14:textId="0FEA6B47" w:rsidR="002D39FA" w:rsidRDefault="002D39FA" w:rsidP="002D39FA">
            <w:pPr>
              <w:pStyle w:val="TableText0"/>
              <w:rPr>
                <w:rFonts w:asciiTheme="minorHAnsi" w:hAnsiTheme="minorHAnsi" w:cstheme="minorHAnsi"/>
                <w:szCs w:val="22"/>
              </w:rPr>
            </w:pPr>
            <w:proofErr w:type="spellStart"/>
            <w:r w:rsidRPr="00C03B7F">
              <w:rPr>
                <w:szCs w:val="22"/>
              </w:rPr>
              <w:t>Bimberi</w:t>
            </w:r>
            <w:proofErr w:type="spellEnd"/>
            <w:r w:rsidRPr="00C03B7F">
              <w:rPr>
                <w:szCs w:val="22"/>
              </w:rPr>
              <w:t xml:space="preserve"> Staff training</w:t>
            </w:r>
          </w:p>
        </w:tc>
      </w:tr>
      <w:tr w:rsidR="002D39FA" w14:paraId="7A1ABE84" w14:textId="77777777" w:rsidTr="00486EA0">
        <w:trPr>
          <w:cnfStyle w:val="000000100000" w:firstRow="0" w:lastRow="0" w:firstColumn="0" w:lastColumn="0" w:oddVBand="0" w:evenVBand="0" w:oddHBand="1" w:evenHBand="0" w:firstRowFirstColumn="0" w:firstRowLastColumn="0" w:lastRowFirstColumn="0" w:lastRowLastColumn="0"/>
        </w:trPr>
        <w:tc>
          <w:tcPr>
            <w:tcW w:w="691" w:type="dxa"/>
            <w:shd w:val="clear" w:color="auto" w:fill="FFFFFF" w:themeFill="background1"/>
          </w:tcPr>
          <w:p w14:paraId="6516B771" w14:textId="003E298F" w:rsidR="002D39FA" w:rsidRDefault="002D39FA" w:rsidP="002D39FA">
            <w:pPr>
              <w:pStyle w:val="TableText0"/>
              <w:jc w:val="center"/>
              <w:rPr>
                <w:rFonts w:asciiTheme="minorHAnsi" w:hAnsiTheme="minorHAnsi" w:cstheme="minorHAnsi"/>
                <w:szCs w:val="22"/>
              </w:rPr>
            </w:pPr>
            <w:r w:rsidRPr="008B5D99">
              <w:rPr>
                <w:rFonts w:asciiTheme="minorHAnsi" w:hAnsiTheme="minorHAnsi" w:cstheme="minorHAnsi"/>
                <w:sz w:val="22"/>
                <w:szCs w:val="22"/>
              </w:rPr>
              <w:t>CSD 59</w:t>
            </w:r>
          </w:p>
        </w:tc>
        <w:tc>
          <w:tcPr>
            <w:tcW w:w="1498" w:type="dxa"/>
            <w:shd w:val="clear" w:color="auto" w:fill="FFFFFF" w:themeFill="background1"/>
            <w:vAlign w:val="top"/>
          </w:tcPr>
          <w:p w14:paraId="33885B58" w14:textId="1B15E0A8" w:rsidR="002D39FA" w:rsidRPr="004F38E1" w:rsidRDefault="002D39FA" w:rsidP="002D39FA">
            <w:pPr>
              <w:pStyle w:val="TableText0"/>
              <w:jc w:val="center"/>
              <w:rPr>
                <w:rFonts w:asciiTheme="minorHAnsi" w:hAnsiTheme="minorHAnsi" w:cstheme="minorHAnsi"/>
                <w:szCs w:val="22"/>
              </w:rPr>
            </w:pPr>
            <w:r w:rsidRPr="00C03B7F">
              <w:rPr>
                <w:sz w:val="22"/>
                <w:szCs w:val="22"/>
              </w:rPr>
              <w:t>Kikkert MLA</w:t>
            </w:r>
          </w:p>
        </w:tc>
        <w:tc>
          <w:tcPr>
            <w:tcW w:w="1977" w:type="dxa"/>
            <w:shd w:val="clear" w:color="auto" w:fill="FFFFFF" w:themeFill="background1"/>
            <w:vAlign w:val="top"/>
          </w:tcPr>
          <w:p w14:paraId="11250B06" w14:textId="0DE33EEF" w:rsidR="002D39FA" w:rsidRPr="00184C8E" w:rsidRDefault="002D39FA" w:rsidP="002D39FA">
            <w:pPr>
              <w:pStyle w:val="TableText0"/>
              <w:jc w:val="center"/>
              <w:rPr>
                <w:rFonts w:asciiTheme="minorHAnsi" w:hAnsiTheme="minorHAnsi" w:cstheme="minorHAnsi"/>
                <w:szCs w:val="22"/>
              </w:rPr>
            </w:pPr>
            <w:r w:rsidRPr="00184C8E">
              <w:rPr>
                <w:rFonts w:asciiTheme="minorHAnsi" w:hAnsiTheme="minorHAnsi" w:cstheme="minorHAnsi"/>
                <w:sz w:val="22"/>
                <w:szCs w:val="22"/>
              </w:rPr>
              <w:t>Community Services Directorate</w:t>
            </w:r>
          </w:p>
        </w:tc>
        <w:tc>
          <w:tcPr>
            <w:tcW w:w="4111" w:type="dxa"/>
            <w:shd w:val="clear" w:color="auto" w:fill="FFFFFF" w:themeFill="background1"/>
          </w:tcPr>
          <w:p w14:paraId="5524A6AB" w14:textId="2F223ED0" w:rsidR="002D39FA" w:rsidRDefault="002D39FA" w:rsidP="002D39FA">
            <w:pPr>
              <w:pStyle w:val="TableText0"/>
              <w:rPr>
                <w:rFonts w:asciiTheme="minorHAnsi" w:hAnsiTheme="minorHAnsi" w:cstheme="minorHAnsi"/>
                <w:szCs w:val="22"/>
              </w:rPr>
            </w:pPr>
            <w:r w:rsidRPr="00C03B7F">
              <w:rPr>
                <w:sz w:val="22"/>
                <w:szCs w:val="22"/>
              </w:rPr>
              <w:t>Community Recovery and Support Package</w:t>
            </w:r>
          </w:p>
        </w:tc>
      </w:tr>
      <w:tr w:rsidR="002D39FA" w14:paraId="3E25376D" w14:textId="77777777" w:rsidTr="00486EA0">
        <w:tc>
          <w:tcPr>
            <w:tcW w:w="691" w:type="dxa"/>
            <w:tcBorders>
              <w:bottom w:val="single" w:sz="4" w:space="0" w:color="auto"/>
            </w:tcBorders>
          </w:tcPr>
          <w:p w14:paraId="6F0BCA55" w14:textId="6BCCFC3B" w:rsidR="002D39FA" w:rsidRDefault="002D39FA" w:rsidP="002D39FA">
            <w:pPr>
              <w:pStyle w:val="TableText0"/>
              <w:jc w:val="center"/>
              <w:rPr>
                <w:rFonts w:asciiTheme="minorHAnsi" w:hAnsiTheme="minorHAnsi" w:cstheme="minorHAnsi"/>
                <w:szCs w:val="22"/>
              </w:rPr>
            </w:pPr>
            <w:r w:rsidRPr="008B5D99">
              <w:rPr>
                <w:rFonts w:asciiTheme="minorHAnsi" w:hAnsiTheme="minorHAnsi" w:cstheme="minorHAnsi"/>
                <w:szCs w:val="22"/>
              </w:rPr>
              <w:t>CSD 60</w:t>
            </w:r>
          </w:p>
        </w:tc>
        <w:tc>
          <w:tcPr>
            <w:tcW w:w="1498" w:type="dxa"/>
            <w:tcBorders>
              <w:bottom w:val="single" w:sz="4" w:space="0" w:color="auto"/>
            </w:tcBorders>
            <w:shd w:val="clear" w:color="auto" w:fill="FFFFFF" w:themeFill="background1"/>
            <w:vAlign w:val="top"/>
          </w:tcPr>
          <w:p w14:paraId="325E0CCD" w14:textId="31585B08" w:rsidR="002D39FA" w:rsidRPr="004F38E1" w:rsidRDefault="002D39FA" w:rsidP="002D39FA">
            <w:pPr>
              <w:pStyle w:val="TableText0"/>
              <w:jc w:val="center"/>
              <w:rPr>
                <w:rFonts w:asciiTheme="minorHAnsi" w:hAnsiTheme="minorHAnsi" w:cstheme="minorHAnsi"/>
                <w:szCs w:val="22"/>
              </w:rPr>
            </w:pPr>
            <w:r w:rsidRPr="00C03B7F">
              <w:rPr>
                <w:szCs w:val="22"/>
              </w:rPr>
              <w:t>Kikkert MLA</w:t>
            </w:r>
          </w:p>
        </w:tc>
        <w:tc>
          <w:tcPr>
            <w:tcW w:w="1977" w:type="dxa"/>
            <w:shd w:val="clear" w:color="auto" w:fill="FFFFFF" w:themeFill="background1"/>
            <w:vAlign w:val="top"/>
          </w:tcPr>
          <w:p w14:paraId="5D1DD9EE" w14:textId="61F20D38" w:rsidR="002D39FA" w:rsidRPr="00184C8E" w:rsidRDefault="002D39FA" w:rsidP="002D39FA">
            <w:pPr>
              <w:pStyle w:val="TableText0"/>
              <w:jc w:val="center"/>
              <w:rPr>
                <w:rFonts w:asciiTheme="minorHAnsi" w:hAnsiTheme="minorHAnsi" w:cstheme="minorHAnsi"/>
                <w:szCs w:val="22"/>
              </w:rPr>
            </w:pPr>
            <w:r w:rsidRPr="00770CE5">
              <w:rPr>
                <w:rFonts w:asciiTheme="minorHAnsi" w:hAnsiTheme="minorHAnsi" w:cstheme="minorHAnsi"/>
                <w:szCs w:val="22"/>
              </w:rPr>
              <w:t>Community Services Directorate</w:t>
            </w:r>
          </w:p>
        </w:tc>
        <w:tc>
          <w:tcPr>
            <w:tcW w:w="4111" w:type="dxa"/>
            <w:shd w:val="clear" w:color="auto" w:fill="FFFFFF" w:themeFill="background1"/>
          </w:tcPr>
          <w:p w14:paraId="5D3E67E9" w14:textId="4FD077FF" w:rsidR="002D39FA" w:rsidRDefault="002D39FA" w:rsidP="002D39FA">
            <w:pPr>
              <w:pStyle w:val="TableText0"/>
              <w:rPr>
                <w:rFonts w:asciiTheme="minorHAnsi" w:hAnsiTheme="minorHAnsi" w:cstheme="minorHAnsi"/>
                <w:szCs w:val="22"/>
              </w:rPr>
            </w:pPr>
            <w:r w:rsidRPr="00C03B7F">
              <w:rPr>
                <w:szCs w:val="22"/>
              </w:rPr>
              <w:t xml:space="preserve">COVID </w:t>
            </w:r>
            <w:proofErr w:type="spellStart"/>
            <w:r w:rsidRPr="00C03B7F">
              <w:rPr>
                <w:szCs w:val="22"/>
              </w:rPr>
              <w:t>andOnline</w:t>
            </w:r>
            <w:proofErr w:type="spellEnd"/>
            <w:r w:rsidRPr="00C03B7F">
              <w:rPr>
                <w:szCs w:val="22"/>
              </w:rPr>
              <w:t xml:space="preserve"> Visits at </w:t>
            </w:r>
            <w:proofErr w:type="spellStart"/>
            <w:r w:rsidRPr="00C03B7F">
              <w:rPr>
                <w:szCs w:val="22"/>
              </w:rPr>
              <w:t>Bimberi</w:t>
            </w:r>
            <w:proofErr w:type="spellEnd"/>
            <w:r w:rsidRPr="00C03B7F">
              <w:rPr>
                <w:szCs w:val="22"/>
              </w:rPr>
              <w:t xml:space="preserve"> </w:t>
            </w:r>
            <w:r w:rsidRPr="00C03B7F">
              <w:rPr>
                <w:szCs w:val="22"/>
              </w:rPr>
              <w:br/>
              <w:t>2020-21Budget Output Class 2.3/CSD Annual Report Output Class 3.3</w:t>
            </w:r>
          </w:p>
        </w:tc>
      </w:tr>
      <w:tr w:rsidR="002D39FA" w14:paraId="7147AEF5" w14:textId="77777777" w:rsidTr="00486EA0">
        <w:trPr>
          <w:cnfStyle w:val="000000100000" w:firstRow="0" w:lastRow="0" w:firstColumn="0" w:lastColumn="0" w:oddVBand="0" w:evenVBand="0" w:oddHBand="1" w:evenHBand="0" w:firstRowFirstColumn="0" w:firstRowLastColumn="0" w:lastRowFirstColumn="0" w:lastRowLastColumn="0"/>
        </w:trPr>
        <w:tc>
          <w:tcPr>
            <w:tcW w:w="691" w:type="dxa"/>
            <w:shd w:val="clear" w:color="auto" w:fill="FFFFFF" w:themeFill="background1"/>
          </w:tcPr>
          <w:p w14:paraId="34CC2C03" w14:textId="31F566DC" w:rsidR="002D39FA" w:rsidRDefault="002D39FA" w:rsidP="002D39FA">
            <w:pPr>
              <w:pStyle w:val="TableText0"/>
              <w:jc w:val="center"/>
              <w:rPr>
                <w:rFonts w:asciiTheme="minorHAnsi" w:hAnsiTheme="minorHAnsi" w:cstheme="minorHAnsi"/>
                <w:szCs w:val="22"/>
              </w:rPr>
            </w:pPr>
            <w:r w:rsidRPr="008B5D99">
              <w:rPr>
                <w:rFonts w:asciiTheme="minorHAnsi" w:hAnsiTheme="minorHAnsi" w:cstheme="minorHAnsi"/>
                <w:sz w:val="22"/>
                <w:szCs w:val="22"/>
              </w:rPr>
              <w:t>CSD 61</w:t>
            </w:r>
          </w:p>
        </w:tc>
        <w:tc>
          <w:tcPr>
            <w:tcW w:w="1498" w:type="dxa"/>
            <w:shd w:val="clear" w:color="auto" w:fill="FFFFFF" w:themeFill="background1"/>
            <w:vAlign w:val="top"/>
          </w:tcPr>
          <w:p w14:paraId="17C139A5" w14:textId="25A91F1E" w:rsidR="002D39FA" w:rsidRPr="004F38E1" w:rsidRDefault="002D39FA" w:rsidP="002D39FA">
            <w:pPr>
              <w:pStyle w:val="TableText0"/>
              <w:jc w:val="center"/>
              <w:rPr>
                <w:rFonts w:asciiTheme="minorHAnsi" w:hAnsiTheme="minorHAnsi" w:cstheme="minorHAnsi"/>
                <w:szCs w:val="22"/>
              </w:rPr>
            </w:pPr>
            <w:r w:rsidRPr="00C03B7F">
              <w:rPr>
                <w:sz w:val="22"/>
                <w:szCs w:val="22"/>
              </w:rPr>
              <w:t>Kikkert MLA</w:t>
            </w:r>
          </w:p>
        </w:tc>
        <w:tc>
          <w:tcPr>
            <w:tcW w:w="1977" w:type="dxa"/>
            <w:shd w:val="clear" w:color="auto" w:fill="FFFFFF" w:themeFill="background1"/>
            <w:vAlign w:val="top"/>
          </w:tcPr>
          <w:p w14:paraId="6ACD3E83" w14:textId="1DF2189A" w:rsidR="002D39FA" w:rsidRPr="00184C8E" w:rsidRDefault="002D39FA" w:rsidP="002D39FA">
            <w:pPr>
              <w:pStyle w:val="TableText0"/>
              <w:jc w:val="center"/>
              <w:rPr>
                <w:rFonts w:asciiTheme="minorHAnsi" w:hAnsiTheme="minorHAnsi" w:cstheme="minorHAnsi"/>
                <w:szCs w:val="22"/>
              </w:rPr>
            </w:pPr>
            <w:r w:rsidRPr="00770CE5">
              <w:rPr>
                <w:rFonts w:asciiTheme="minorHAnsi" w:hAnsiTheme="minorHAnsi" w:cstheme="minorHAnsi"/>
                <w:sz w:val="22"/>
                <w:szCs w:val="22"/>
              </w:rPr>
              <w:t>Community Services Directorate</w:t>
            </w:r>
          </w:p>
        </w:tc>
        <w:tc>
          <w:tcPr>
            <w:tcW w:w="4111" w:type="dxa"/>
            <w:shd w:val="clear" w:color="auto" w:fill="FFFFFF" w:themeFill="background1"/>
          </w:tcPr>
          <w:p w14:paraId="5EE4240B" w14:textId="0B984197" w:rsidR="002D39FA" w:rsidRDefault="002D39FA" w:rsidP="002D39FA">
            <w:pPr>
              <w:pStyle w:val="TableText0"/>
              <w:rPr>
                <w:rFonts w:asciiTheme="minorHAnsi" w:hAnsiTheme="minorHAnsi" w:cstheme="minorHAnsi"/>
                <w:szCs w:val="22"/>
              </w:rPr>
            </w:pPr>
            <w:r>
              <w:rPr>
                <w:sz w:val="22"/>
                <w:szCs w:val="22"/>
              </w:rPr>
              <w:t>D</w:t>
            </w:r>
            <w:r w:rsidRPr="00C03B7F">
              <w:rPr>
                <w:sz w:val="22"/>
                <w:szCs w:val="22"/>
              </w:rPr>
              <w:t xml:space="preserve">emographically representative staff at </w:t>
            </w:r>
            <w:proofErr w:type="spellStart"/>
            <w:r w:rsidRPr="00C03B7F">
              <w:rPr>
                <w:sz w:val="22"/>
                <w:szCs w:val="22"/>
              </w:rPr>
              <w:t>Bimberi</w:t>
            </w:r>
            <w:proofErr w:type="spellEnd"/>
            <w:r w:rsidRPr="00C03B7F">
              <w:rPr>
                <w:sz w:val="22"/>
                <w:szCs w:val="22"/>
              </w:rPr>
              <w:t xml:space="preserve"> Budget CSD Output Class 2.3 / CSD Annual Report Output Class 3.3</w:t>
            </w:r>
          </w:p>
        </w:tc>
      </w:tr>
      <w:tr w:rsidR="002D39FA" w14:paraId="7F3F9640" w14:textId="77777777" w:rsidTr="00486EA0">
        <w:tc>
          <w:tcPr>
            <w:tcW w:w="691" w:type="dxa"/>
            <w:shd w:val="clear" w:color="auto" w:fill="FFFFFF" w:themeFill="background1"/>
          </w:tcPr>
          <w:p w14:paraId="660FDB99" w14:textId="2E77DEB7" w:rsidR="002D39FA" w:rsidRDefault="002D39FA" w:rsidP="002D39FA">
            <w:pPr>
              <w:pStyle w:val="TableText0"/>
              <w:jc w:val="center"/>
              <w:rPr>
                <w:rFonts w:asciiTheme="minorHAnsi" w:hAnsiTheme="minorHAnsi" w:cstheme="minorHAnsi"/>
                <w:szCs w:val="22"/>
              </w:rPr>
            </w:pPr>
            <w:r w:rsidRPr="00C03B7F">
              <w:rPr>
                <w:rFonts w:asciiTheme="minorHAnsi" w:hAnsiTheme="minorHAnsi" w:cstheme="minorHAnsi"/>
                <w:szCs w:val="22"/>
              </w:rPr>
              <w:t>CSD 62</w:t>
            </w:r>
          </w:p>
        </w:tc>
        <w:tc>
          <w:tcPr>
            <w:tcW w:w="1498" w:type="dxa"/>
            <w:shd w:val="clear" w:color="auto" w:fill="FFFFFF" w:themeFill="background1"/>
            <w:vAlign w:val="top"/>
          </w:tcPr>
          <w:p w14:paraId="09685A52" w14:textId="641B9A3D" w:rsidR="002D39FA" w:rsidRPr="004F38E1" w:rsidRDefault="002D39FA" w:rsidP="002D39FA">
            <w:pPr>
              <w:pStyle w:val="TableText0"/>
              <w:jc w:val="center"/>
              <w:rPr>
                <w:rFonts w:asciiTheme="minorHAnsi" w:hAnsiTheme="minorHAnsi" w:cstheme="minorHAnsi"/>
                <w:szCs w:val="22"/>
              </w:rPr>
            </w:pPr>
            <w:r w:rsidRPr="00C03B7F">
              <w:rPr>
                <w:szCs w:val="22"/>
              </w:rPr>
              <w:t>Kikkert MLA</w:t>
            </w:r>
          </w:p>
        </w:tc>
        <w:tc>
          <w:tcPr>
            <w:tcW w:w="1977" w:type="dxa"/>
            <w:shd w:val="clear" w:color="auto" w:fill="FFFFFF" w:themeFill="background1"/>
            <w:vAlign w:val="top"/>
          </w:tcPr>
          <w:p w14:paraId="035DB82F" w14:textId="6BA69E10" w:rsidR="002D39FA" w:rsidRPr="00184C8E" w:rsidRDefault="002D39FA" w:rsidP="002D39FA">
            <w:pPr>
              <w:pStyle w:val="TableText0"/>
              <w:jc w:val="center"/>
              <w:rPr>
                <w:rFonts w:asciiTheme="minorHAnsi" w:hAnsiTheme="minorHAnsi" w:cstheme="minorHAnsi"/>
                <w:szCs w:val="22"/>
              </w:rPr>
            </w:pPr>
            <w:r w:rsidRPr="00770CE5">
              <w:rPr>
                <w:rFonts w:asciiTheme="minorHAnsi" w:hAnsiTheme="minorHAnsi" w:cstheme="minorHAnsi"/>
                <w:szCs w:val="22"/>
              </w:rPr>
              <w:t>Community Services Directorate</w:t>
            </w:r>
          </w:p>
        </w:tc>
        <w:tc>
          <w:tcPr>
            <w:tcW w:w="4111" w:type="dxa"/>
            <w:shd w:val="clear" w:color="auto" w:fill="FFFFFF" w:themeFill="background1"/>
          </w:tcPr>
          <w:p w14:paraId="3D6FA5FC" w14:textId="6B18EA10" w:rsidR="002D39FA" w:rsidRDefault="002D39FA" w:rsidP="002D39FA">
            <w:pPr>
              <w:pStyle w:val="TableText0"/>
              <w:rPr>
                <w:rFonts w:asciiTheme="minorHAnsi" w:hAnsiTheme="minorHAnsi" w:cstheme="minorHAnsi"/>
                <w:szCs w:val="22"/>
              </w:rPr>
            </w:pPr>
            <w:r>
              <w:rPr>
                <w:szCs w:val="22"/>
              </w:rPr>
              <w:t>E</w:t>
            </w:r>
            <w:r w:rsidRPr="00C03B7F">
              <w:rPr>
                <w:szCs w:val="22"/>
              </w:rPr>
              <w:t>nding youth detention in the ACT Budget CSD Output Class 2.3 / CSD Annual Report Output class 3.3</w:t>
            </w:r>
          </w:p>
        </w:tc>
      </w:tr>
      <w:tr w:rsidR="002D39FA" w14:paraId="6B2A939A" w14:textId="77777777" w:rsidTr="00486EA0">
        <w:trPr>
          <w:cnfStyle w:val="000000100000" w:firstRow="0" w:lastRow="0" w:firstColumn="0" w:lastColumn="0" w:oddVBand="0" w:evenVBand="0" w:oddHBand="1" w:evenHBand="0" w:firstRowFirstColumn="0" w:firstRowLastColumn="0" w:lastRowFirstColumn="0" w:lastRowLastColumn="0"/>
        </w:trPr>
        <w:tc>
          <w:tcPr>
            <w:tcW w:w="691" w:type="dxa"/>
            <w:shd w:val="clear" w:color="auto" w:fill="FFFFFF" w:themeFill="background1"/>
          </w:tcPr>
          <w:p w14:paraId="02D03B95" w14:textId="47A7CF52" w:rsidR="002D39FA" w:rsidRDefault="002D39FA" w:rsidP="002D39FA">
            <w:pPr>
              <w:pStyle w:val="TableText0"/>
              <w:jc w:val="center"/>
              <w:rPr>
                <w:rFonts w:asciiTheme="minorHAnsi" w:hAnsiTheme="minorHAnsi" w:cstheme="minorHAnsi"/>
                <w:szCs w:val="22"/>
              </w:rPr>
            </w:pPr>
            <w:r w:rsidRPr="00C03B7F">
              <w:rPr>
                <w:rFonts w:asciiTheme="minorHAnsi" w:hAnsiTheme="minorHAnsi" w:cstheme="minorHAnsi"/>
                <w:sz w:val="22"/>
                <w:szCs w:val="22"/>
              </w:rPr>
              <w:t>CSD 63</w:t>
            </w:r>
          </w:p>
        </w:tc>
        <w:tc>
          <w:tcPr>
            <w:tcW w:w="1498" w:type="dxa"/>
            <w:shd w:val="clear" w:color="auto" w:fill="FFFFFF" w:themeFill="background1"/>
            <w:vAlign w:val="top"/>
          </w:tcPr>
          <w:p w14:paraId="098A7D80" w14:textId="11F8F5EC" w:rsidR="002D39FA" w:rsidRPr="004F38E1" w:rsidRDefault="002D39FA" w:rsidP="002D39FA">
            <w:pPr>
              <w:pStyle w:val="TableText0"/>
              <w:jc w:val="center"/>
              <w:rPr>
                <w:rFonts w:asciiTheme="minorHAnsi" w:hAnsiTheme="minorHAnsi" w:cstheme="minorHAnsi"/>
                <w:szCs w:val="22"/>
              </w:rPr>
            </w:pPr>
            <w:r w:rsidRPr="00C03B7F">
              <w:rPr>
                <w:sz w:val="22"/>
                <w:szCs w:val="22"/>
              </w:rPr>
              <w:t>Kikkert MLA</w:t>
            </w:r>
          </w:p>
        </w:tc>
        <w:tc>
          <w:tcPr>
            <w:tcW w:w="1977" w:type="dxa"/>
            <w:shd w:val="clear" w:color="auto" w:fill="FFFFFF" w:themeFill="background1"/>
            <w:vAlign w:val="top"/>
          </w:tcPr>
          <w:p w14:paraId="20FD5E16" w14:textId="720ACF02" w:rsidR="002D39FA" w:rsidRPr="00184C8E" w:rsidRDefault="002D39FA" w:rsidP="002D39FA">
            <w:pPr>
              <w:pStyle w:val="TableText0"/>
              <w:jc w:val="center"/>
              <w:rPr>
                <w:rFonts w:asciiTheme="minorHAnsi" w:hAnsiTheme="minorHAnsi" w:cstheme="minorHAnsi"/>
                <w:szCs w:val="22"/>
              </w:rPr>
            </w:pPr>
            <w:r w:rsidRPr="00770CE5">
              <w:rPr>
                <w:rFonts w:asciiTheme="minorHAnsi" w:hAnsiTheme="minorHAnsi" w:cstheme="minorHAnsi"/>
                <w:sz w:val="22"/>
                <w:szCs w:val="22"/>
              </w:rPr>
              <w:t>Community Services Directorate</w:t>
            </w:r>
          </w:p>
        </w:tc>
        <w:tc>
          <w:tcPr>
            <w:tcW w:w="4111" w:type="dxa"/>
            <w:shd w:val="clear" w:color="auto" w:fill="FFFFFF" w:themeFill="background1"/>
          </w:tcPr>
          <w:p w14:paraId="330F4082" w14:textId="35D84819" w:rsidR="002D39FA" w:rsidRDefault="002D39FA" w:rsidP="002D39FA">
            <w:pPr>
              <w:pStyle w:val="TableText0"/>
              <w:rPr>
                <w:rFonts w:asciiTheme="minorHAnsi" w:hAnsiTheme="minorHAnsi" w:cstheme="minorHAnsi"/>
                <w:szCs w:val="22"/>
              </w:rPr>
            </w:pPr>
            <w:r w:rsidRPr="00C03B7F">
              <w:rPr>
                <w:sz w:val="22"/>
                <w:szCs w:val="22"/>
              </w:rPr>
              <w:t>Functional Family Therapy – Youth Justice pilot</w:t>
            </w:r>
          </w:p>
        </w:tc>
      </w:tr>
      <w:tr w:rsidR="002D39FA" w14:paraId="3CF6D15F" w14:textId="77777777" w:rsidTr="00486EA0">
        <w:tc>
          <w:tcPr>
            <w:tcW w:w="691" w:type="dxa"/>
            <w:shd w:val="clear" w:color="auto" w:fill="FFFFFF" w:themeFill="background1"/>
          </w:tcPr>
          <w:p w14:paraId="5B6D715E" w14:textId="0BC96983" w:rsidR="002D39FA" w:rsidRDefault="002D39FA" w:rsidP="002D39FA">
            <w:pPr>
              <w:pStyle w:val="TableText0"/>
              <w:jc w:val="center"/>
              <w:rPr>
                <w:rFonts w:asciiTheme="minorHAnsi" w:hAnsiTheme="minorHAnsi" w:cstheme="minorHAnsi"/>
                <w:szCs w:val="22"/>
              </w:rPr>
            </w:pPr>
            <w:r w:rsidRPr="00C03B7F">
              <w:rPr>
                <w:rFonts w:asciiTheme="minorHAnsi" w:hAnsiTheme="minorHAnsi" w:cstheme="minorHAnsi"/>
                <w:szCs w:val="22"/>
              </w:rPr>
              <w:t>CSD 64</w:t>
            </w:r>
          </w:p>
        </w:tc>
        <w:tc>
          <w:tcPr>
            <w:tcW w:w="1498" w:type="dxa"/>
            <w:shd w:val="clear" w:color="auto" w:fill="FFFFFF" w:themeFill="background1"/>
            <w:vAlign w:val="top"/>
          </w:tcPr>
          <w:p w14:paraId="10A31378" w14:textId="16FF1775" w:rsidR="002D39FA" w:rsidRPr="004F38E1" w:rsidRDefault="002D39FA" w:rsidP="002D39FA">
            <w:pPr>
              <w:pStyle w:val="TableText0"/>
              <w:jc w:val="center"/>
              <w:rPr>
                <w:rFonts w:asciiTheme="minorHAnsi" w:hAnsiTheme="minorHAnsi" w:cstheme="minorHAnsi"/>
                <w:szCs w:val="22"/>
              </w:rPr>
            </w:pPr>
            <w:r w:rsidRPr="00C03B7F">
              <w:rPr>
                <w:szCs w:val="22"/>
              </w:rPr>
              <w:t>Kikkert MLA</w:t>
            </w:r>
          </w:p>
        </w:tc>
        <w:tc>
          <w:tcPr>
            <w:tcW w:w="1977" w:type="dxa"/>
            <w:shd w:val="clear" w:color="auto" w:fill="FFFFFF" w:themeFill="background1"/>
            <w:vAlign w:val="top"/>
          </w:tcPr>
          <w:p w14:paraId="5B2EA0C8" w14:textId="23B48207" w:rsidR="002D39FA" w:rsidRPr="00184C8E" w:rsidRDefault="002D39FA" w:rsidP="002D39FA">
            <w:pPr>
              <w:pStyle w:val="TableText0"/>
              <w:jc w:val="center"/>
              <w:rPr>
                <w:rFonts w:asciiTheme="minorHAnsi" w:hAnsiTheme="minorHAnsi" w:cstheme="minorHAnsi"/>
                <w:szCs w:val="22"/>
              </w:rPr>
            </w:pPr>
            <w:r w:rsidRPr="00770CE5">
              <w:rPr>
                <w:rFonts w:asciiTheme="minorHAnsi" w:hAnsiTheme="minorHAnsi" w:cstheme="minorHAnsi"/>
                <w:szCs w:val="22"/>
              </w:rPr>
              <w:t>Community Services Directorate</w:t>
            </w:r>
          </w:p>
        </w:tc>
        <w:tc>
          <w:tcPr>
            <w:tcW w:w="4111" w:type="dxa"/>
            <w:shd w:val="clear" w:color="auto" w:fill="FFFFFF" w:themeFill="background1"/>
          </w:tcPr>
          <w:p w14:paraId="26DB0FB8" w14:textId="4552AA4B" w:rsidR="002D39FA" w:rsidRDefault="002D39FA" w:rsidP="002D39FA">
            <w:pPr>
              <w:pStyle w:val="TableText0"/>
              <w:rPr>
                <w:rFonts w:asciiTheme="minorHAnsi" w:hAnsiTheme="minorHAnsi" w:cstheme="minorHAnsi"/>
                <w:szCs w:val="22"/>
              </w:rPr>
            </w:pPr>
            <w:r>
              <w:rPr>
                <w:szCs w:val="22"/>
              </w:rPr>
              <w:t>I</w:t>
            </w:r>
            <w:r w:rsidRPr="00C03B7F">
              <w:rPr>
                <w:szCs w:val="22"/>
              </w:rPr>
              <w:t xml:space="preserve">ncreased support for </w:t>
            </w:r>
            <w:proofErr w:type="spellStart"/>
            <w:r w:rsidRPr="00C03B7F">
              <w:rPr>
                <w:szCs w:val="22"/>
              </w:rPr>
              <w:t>Bimberi</w:t>
            </w:r>
            <w:proofErr w:type="spellEnd"/>
            <w:r w:rsidRPr="00C03B7F">
              <w:rPr>
                <w:szCs w:val="22"/>
              </w:rPr>
              <w:t xml:space="preserve"> and strengthening specialist capacity 20 20-21 Budget Statement G, pp. 25, 27</w:t>
            </w:r>
          </w:p>
        </w:tc>
      </w:tr>
      <w:tr w:rsidR="002D39FA" w14:paraId="6CF78F32" w14:textId="77777777" w:rsidTr="00486EA0">
        <w:trPr>
          <w:cnfStyle w:val="000000100000" w:firstRow="0" w:lastRow="0" w:firstColumn="0" w:lastColumn="0" w:oddVBand="0" w:evenVBand="0" w:oddHBand="1" w:evenHBand="0" w:firstRowFirstColumn="0" w:firstRowLastColumn="0" w:lastRowFirstColumn="0" w:lastRowLastColumn="0"/>
        </w:trPr>
        <w:tc>
          <w:tcPr>
            <w:tcW w:w="691" w:type="dxa"/>
            <w:shd w:val="clear" w:color="auto" w:fill="FFFFFF" w:themeFill="background1"/>
          </w:tcPr>
          <w:p w14:paraId="35E62481" w14:textId="48E18F92" w:rsidR="002D39FA" w:rsidRDefault="002D39FA" w:rsidP="002D39FA">
            <w:pPr>
              <w:pStyle w:val="TableText0"/>
              <w:jc w:val="center"/>
              <w:rPr>
                <w:rFonts w:asciiTheme="minorHAnsi" w:hAnsiTheme="minorHAnsi" w:cstheme="minorHAnsi"/>
                <w:szCs w:val="22"/>
              </w:rPr>
            </w:pPr>
            <w:r w:rsidRPr="00C03B7F">
              <w:rPr>
                <w:rFonts w:asciiTheme="minorHAnsi" w:hAnsiTheme="minorHAnsi" w:cstheme="minorHAnsi"/>
                <w:sz w:val="22"/>
                <w:szCs w:val="22"/>
              </w:rPr>
              <w:t>CSD 65</w:t>
            </w:r>
          </w:p>
        </w:tc>
        <w:tc>
          <w:tcPr>
            <w:tcW w:w="1498" w:type="dxa"/>
            <w:shd w:val="clear" w:color="auto" w:fill="FFFFFF" w:themeFill="background1"/>
          </w:tcPr>
          <w:p w14:paraId="591344F3" w14:textId="5333AA3C" w:rsidR="002D39FA" w:rsidRPr="004F38E1" w:rsidRDefault="002D39FA" w:rsidP="002D39FA">
            <w:pPr>
              <w:pStyle w:val="TableText0"/>
              <w:jc w:val="center"/>
              <w:rPr>
                <w:rFonts w:asciiTheme="minorHAnsi" w:hAnsiTheme="minorHAnsi" w:cstheme="minorHAnsi"/>
                <w:szCs w:val="22"/>
              </w:rPr>
            </w:pPr>
            <w:r w:rsidRPr="00C03B7F">
              <w:rPr>
                <w:sz w:val="22"/>
                <w:szCs w:val="22"/>
              </w:rPr>
              <w:t>Kikkert MLA</w:t>
            </w:r>
          </w:p>
        </w:tc>
        <w:tc>
          <w:tcPr>
            <w:tcW w:w="1977" w:type="dxa"/>
            <w:shd w:val="clear" w:color="auto" w:fill="FFFFFF" w:themeFill="background1"/>
            <w:vAlign w:val="top"/>
          </w:tcPr>
          <w:p w14:paraId="5349012F" w14:textId="5EED1B96" w:rsidR="002D39FA" w:rsidRPr="00184C8E" w:rsidRDefault="002D39FA" w:rsidP="002D39FA">
            <w:pPr>
              <w:pStyle w:val="TableText0"/>
              <w:jc w:val="center"/>
              <w:rPr>
                <w:rFonts w:asciiTheme="minorHAnsi" w:hAnsiTheme="minorHAnsi" w:cstheme="minorHAnsi"/>
                <w:szCs w:val="22"/>
              </w:rPr>
            </w:pPr>
            <w:r w:rsidRPr="00770CE5">
              <w:rPr>
                <w:rFonts w:asciiTheme="minorHAnsi" w:hAnsiTheme="minorHAnsi" w:cstheme="minorHAnsi"/>
                <w:sz w:val="22"/>
                <w:szCs w:val="22"/>
              </w:rPr>
              <w:t>Community Services Directorate</w:t>
            </w:r>
          </w:p>
        </w:tc>
        <w:tc>
          <w:tcPr>
            <w:tcW w:w="4111" w:type="dxa"/>
            <w:shd w:val="clear" w:color="auto" w:fill="FFFFFF" w:themeFill="background1"/>
          </w:tcPr>
          <w:p w14:paraId="32BF38EC" w14:textId="0F5BD677" w:rsidR="002D39FA" w:rsidRDefault="002D39FA" w:rsidP="002D39FA">
            <w:pPr>
              <w:pStyle w:val="TableText0"/>
              <w:rPr>
                <w:rFonts w:asciiTheme="minorHAnsi" w:hAnsiTheme="minorHAnsi" w:cstheme="minorHAnsi"/>
                <w:szCs w:val="22"/>
              </w:rPr>
            </w:pPr>
            <w:r>
              <w:rPr>
                <w:sz w:val="22"/>
                <w:szCs w:val="22"/>
              </w:rPr>
              <w:t>M</w:t>
            </w:r>
            <w:r w:rsidRPr="00C03B7F">
              <w:rPr>
                <w:sz w:val="22"/>
                <w:szCs w:val="22"/>
              </w:rPr>
              <w:t xml:space="preserve">ental health supports during lockdowns at </w:t>
            </w:r>
            <w:proofErr w:type="spellStart"/>
            <w:r w:rsidRPr="00C03B7F">
              <w:rPr>
                <w:sz w:val="22"/>
                <w:szCs w:val="22"/>
              </w:rPr>
              <w:t>Bimberi</w:t>
            </w:r>
            <w:proofErr w:type="spellEnd"/>
          </w:p>
        </w:tc>
      </w:tr>
      <w:tr w:rsidR="002D39FA" w14:paraId="207FBE59" w14:textId="77777777" w:rsidTr="00486EA0">
        <w:tc>
          <w:tcPr>
            <w:tcW w:w="691" w:type="dxa"/>
            <w:shd w:val="clear" w:color="auto" w:fill="FFFFFF" w:themeFill="background1"/>
          </w:tcPr>
          <w:p w14:paraId="57102EE8" w14:textId="104DAABC" w:rsidR="002D39FA" w:rsidRDefault="002D39FA" w:rsidP="002D39FA">
            <w:pPr>
              <w:pStyle w:val="TableText0"/>
              <w:jc w:val="center"/>
              <w:rPr>
                <w:rFonts w:asciiTheme="minorHAnsi" w:hAnsiTheme="minorHAnsi" w:cstheme="minorHAnsi"/>
                <w:szCs w:val="22"/>
              </w:rPr>
            </w:pPr>
            <w:r w:rsidRPr="00C03B7F">
              <w:rPr>
                <w:rFonts w:asciiTheme="minorHAnsi" w:hAnsiTheme="minorHAnsi" w:cstheme="minorHAnsi"/>
                <w:szCs w:val="22"/>
              </w:rPr>
              <w:t>CSD 66</w:t>
            </w:r>
          </w:p>
        </w:tc>
        <w:tc>
          <w:tcPr>
            <w:tcW w:w="1498" w:type="dxa"/>
            <w:shd w:val="clear" w:color="auto" w:fill="FFFFFF" w:themeFill="background1"/>
          </w:tcPr>
          <w:p w14:paraId="22E46821" w14:textId="0016AB9F" w:rsidR="002D39FA" w:rsidRPr="004F38E1" w:rsidRDefault="002D39FA" w:rsidP="002D39FA">
            <w:pPr>
              <w:pStyle w:val="TableText0"/>
              <w:jc w:val="center"/>
              <w:rPr>
                <w:rFonts w:asciiTheme="minorHAnsi" w:hAnsiTheme="minorHAnsi" w:cstheme="minorHAnsi"/>
                <w:szCs w:val="22"/>
              </w:rPr>
            </w:pPr>
            <w:r w:rsidRPr="00C03B7F">
              <w:rPr>
                <w:szCs w:val="22"/>
              </w:rPr>
              <w:t>Kikkert MLA</w:t>
            </w:r>
          </w:p>
        </w:tc>
        <w:tc>
          <w:tcPr>
            <w:tcW w:w="1977" w:type="dxa"/>
            <w:shd w:val="clear" w:color="auto" w:fill="FFFFFF" w:themeFill="background1"/>
            <w:vAlign w:val="top"/>
          </w:tcPr>
          <w:p w14:paraId="2F7B7868" w14:textId="4948298D" w:rsidR="002D39FA" w:rsidRPr="00184C8E" w:rsidRDefault="002D39FA" w:rsidP="002D39FA">
            <w:pPr>
              <w:pStyle w:val="TableText0"/>
              <w:jc w:val="center"/>
              <w:rPr>
                <w:rFonts w:asciiTheme="minorHAnsi" w:hAnsiTheme="minorHAnsi" w:cstheme="minorHAnsi"/>
                <w:szCs w:val="22"/>
              </w:rPr>
            </w:pPr>
            <w:r w:rsidRPr="00184C8E">
              <w:rPr>
                <w:rFonts w:asciiTheme="minorHAnsi" w:hAnsiTheme="minorHAnsi" w:cstheme="minorHAnsi"/>
                <w:szCs w:val="22"/>
              </w:rPr>
              <w:t>Community Services Directorate</w:t>
            </w:r>
          </w:p>
        </w:tc>
        <w:tc>
          <w:tcPr>
            <w:tcW w:w="4111" w:type="dxa"/>
            <w:shd w:val="clear" w:color="auto" w:fill="FFFFFF" w:themeFill="background1"/>
          </w:tcPr>
          <w:p w14:paraId="2EC6ED06" w14:textId="513F5731" w:rsidR="002D39FA" w:rsidRDefault="002D39FA" w:rsidP="002D39FA">
            <w:pPr>
              <w:pStyle w:val="TableText0"/>
              <w:rPr>
                <w:rFonts w:asciiTheme="minorHAnsi" w:hAnsiTheme="minorHAnsi" w:cstheme="minorHAnsi"/>
                <w:szCs w:val="22"/>
              </w:rPr>
            </w:pPr>
            <w:r>
              <w:rPr>
                <w:szCs w:val="22"/>
              </w:rPr>
              <w:t>N</w:t>
            </w:r>
            <w:r w:rsidRPr="00C03B7F">
              <w:rPr>
                <w:szCs w:val="22"/>
              </w:rPr>
              <w:t>ew residential property for young people on youth justice orders</w:t>
            </w:r>
          </w:p>
        </w:tc>
      </w:tr>
      <w:tr w:rsidR="002D39FA" w14:paraId="65680B2A" w14:textId="77777777" w:rsidTr="00486EA0">
        <w:trPr>
          <w:cnfStyle w:val="000000100000" w:firstRow="0" w:lastRow="0" w:firstColumn="0" w:lastColumn="0" w:oddVBand="0" w:evenVBand="0" w:oddHBand="1" w:evenHBand="0" w:firstRowFirstColumn="0" w:firstRowLastColumn="0" w:lastRowFirstColumn="0" w:lastRowLastColumn="0"/>
        </w:trPr>
        <w:tc>
          <w:tcPr>
            <w:tcW w:w="691" w:type="dxa"/>
            <w:shd w:val="clear" w:color="auto" w:fill="FFFFFF" w:themeFill="background1"/>
          </w:tcPr>
          <w:p w14:paraId="75BB5C60" w14:textId="491C5A1E" w:rsidR="002D39FA" w:rsidRPr="00C03B7F" w:rsidRDefault="002D39FA" w:rsidP="002D39FA">
            <w:pPr>
              <w:pStyle w:val="TableText0"/>
              <w:jc w:val="center"/>
              <w:rPr>
                <w:rFonts w:asciiTheme="minorHAnsi" w:hAnsiTheme="minorHAnsi" w:cstheme="minorHAnsi"/>
                <w:szCs w:val="22"/>
              </w:rPr>
            </w:pPr>
            <w:r w:rsidRPr="00C03B7F">
              <w:rPr>
                <w:rFonts w:asciiTheme="minorHAnsi" w:hAnsiTheme="minorHAnsi" w:cstheme="minorHAnsi"/>
                <w:sz w:val="22"/>
                <w:szCs w:val="22"/>
              </w:rPr>
              <w:t>CSD 67</w:t>
            </w:r>
          </w:p>
        </w:tc>
        <w:tc>
          <w:tcPr>
            <w:tcW w:w="1498" w:type="dxa"/>
            <w:shd w:val="clear" w:color="auto" w:fill="FFFFFF" w:themeFill="background1"/>
          </w:tcPr>
          <w:p w14:paraId="2FD3C124" w14:textId="00C2B4DA" w:rsidR="002D39FA" w:rsidRPr="004F38E1" w:rsidRDefault="002D39FA" w:rsidP="002D39FA">
            <w:pPr>
              <w:pStyle w:val="TableText0"/>
              <w:jc w:val="center"/>
              <w:rPr>
                <w:rFonts w:asciiTheme="minorHAnsi" w:hAnsiTheme="minorHAnsi" w:cstheme="minorHAnsi"/>
                <w:szCs w:val="22"/>
              </w:rPr>
            </w:pPr>
            <w:r w:rsidRPr="00C03B7F">
              <w:rPr>
                <w:sz w:val="22"/>
                <w:szCs w:val="22"/>
              </w:rPr>
              <w:t>Kikkert MLA</w:t>
            </w:r>
          </w:p>
        </w:tc>
        <w:tc>
          <w:tcPr>
            <w:tcW w:w="1977" w:type="dxa"/>
            <w:shd w:val="clear" w:color="auto" w:fill="FFFFFF" w:themeFill="background1"/>
            <w:vAlign w:val="top"/>
          </w:tcPr>
          <w:p w14:paraId="69A55C11" w14:textId="706EDAD0" w:rsidR="002D39FA" w:rsidRPr="00184C8E" w:rsidRDefault="002D39FA" w:rsidP="002D39FA">
            <w:pPr>
              <w:pStyle w:val="TableText0"/>
              <w:jc w:val="center"/>
              <w:rPr>
                <w:rFonts w:asciiTheme="minorHAnsi" w:hAnsiTheme="minorHAnsi" w:cstheme="minorHAnsi"/>
                <w:szCs w:val="22"/>
              </w:rPr>
            </w:pPr>
            <w:r w:rsidRPr="00184C8E">
              <w:rPr>
                <w:rFonts w:asciiTheme="minorHAnsi" w:hAnsiTheme="minorHAnsi" w:cstheme="minorHAnsi"/>
                <w:sz w:val="22"/>
                <w:szCs w:val="22"/>
              </w:rPr>
              <w:t>Community Services Directorate</w:t>
            </w:r>
          </w:p>
        </w:tc>
        <w:tc>
          <w:tcPr>
            <w:tcW w:w="4111" w:type="dxa"/>
            <w:shd w:val="clear" w:color="auto" w:fill="FFFFFF" w:themeFill="background1"/>
          </w:tcPr>
          <w:p w14:paraId="07C9D7CA" w14:textId="0600C2FA" w:rsidR="002D39FA" w:rsidRDefault="002D39FA" w:rsidP="002D39FA">
            <w:pPr>
              <w:pStyle w:val="TableText0"/>
              <w:rPr>
                <w:rFonts w:asciiTheme="minorHAnsi" w:hAnsiTheme="minorHAnsi" w:cstheme="minorHAnsi"/>
                <w:szCs w:val="22"/>
              </w:rPr>
            </w:pPr>
            <w:r>
              <w:rPr>
                <w:sz w:val="22"/>
                <w:szCs w:val="22"/>
              </w:rPr>
              <w:t>P</w:t>
            </w:r>
            <w:r w:rsidRPr="00C03B7F">
              <w:rPr>
                <w:sz w:val="22"/>
                <w:szCs w:val="22"/>
              </w:rPr>
              <w:t xml:space="preserve">ersonal protective equipment at </w:t>
            </w:r>
            <w:proofErr w:type="spellStart"/>
            <w:r w:rsidRPr="00C03B7F">
              <w:rPr>
                <w:sz w:val="22"/>
                <w:szCs w:val="22"/>
              </w:rPr>
              <w:t>Bimberi</w:t>
            </w:r>
            <w:proofErr w:type="spellEnd"/>
          </w:p>
        </w:tc>
      </w:tr>
      <w:tr w:rsidR="002D39FA" w14:paraId="11D0E649" w14:textId="77777777" w:rsidTr="00486EA0">
        <w:tc>
          <w:tcPr>
            <w:tcW w:w="691" w:type="dxa"/>
            <w:shd w:val="clear" w:color="auto" w:fill="FFFFFF" w:themeFill="background1"/>
          </w:tcPr>
          <w:p w14:paraId="3CF8A871" w14:textId="5FBA1500" w:rsidR="002D39FA" w:rsidRPr="00C03B7F" w:rsidRDefault="002D39FA" w:rsidP="002D39FA">
            <w:pPr>
              <w:pStyle w:val="TableText0"/>
              <w:jc w:val="center"/>
              <w:rPr>
                <w:rFonts w:asciiTheme="minorHAnsi" w:hAnsiTheme="minorHAnsi" w:cstheme="minorHAnsi"/>
                <w:szCs w:val="22"/>
              </w:rPr>
            </w:pPr>
            <w:r w:rsidRPr="00C03B7F">
              <w:rPr>
                <w:rFonts w:asciiTheme="minorHAnsi" w:hAnsiTheme="minorHAnsi" w:cstheme="minorHAnsi"/>
                <w:szCs w:val="22"/>
              </w:rPr>
              <w:t>CSD 68</w:t>
            </w:r>
          </w:p>
        </w:tc>
        <w:tc>
          <w:tcPr>
            <w:tcW w:w="1498" w:type="dxa"/>
            <w:shd w:val="clear" w:color="auto" w:fill="FFFFFF" w:themeFill="background1"/>
          </w:tcPr>
          <w:p w14:paraId="2A62C175" w14:textId="48A0CA9D" w:rsidR="002D39FA" w:rsidRPr="004F38E1" w:rsidRDefault="002D39FA" w:rsidP="002D39FA">
            <w:pPr>
              <w:pStyle w:val="TableText0"/>
              <w:jc w:val="center"/>
              <w:rPr>
                <w:rFonts w:asciiTheme="minorHAnsi" w:hAnsiTheme="minorHAnsi" w:cstheme="minorHAnsi"/>
                <w:szCs w:val="22"/>
              </w:rPr>
            </w:pPr>
            <w:r w:rsidRPr="00C03B7F">
              <w:rPr>
                <w:szCs w:val="22"/>
              </w:rPr>
              <w:t>Kikkert MLA</w:t>
            </w:r>
          </w:p>
        </w:tc>
        <w:tc>
          <w:tcPr>
            <w:tcW w:w="1977" w:type="dxa"/>
            <w:shd w:val="clear" w:color="auto" w:fill="FFFFFF" w:themeFill="background1"/>
            <w:vAlign w:val="top"/>
          </w:tcPr>
          <w:p w14:paraId="29A46725" w14:textId="67CD6089" w:rsidR="002D39FA" w:rsidRPr="00184C8E" w:rsidRDefault="002D39FA" w:rsidP="002D39FA">
            <w:pPr>
              <w:pStyle w:val="TableText0"/>
              <w:jc w:val="center"/>
              <w:rPr>
                <w:rFonts w:asciiTheme="minorHAnsi" w:hAnsiTheme="minorHAnsi" w:cstheme="minorHAnsi"/>
                <w:szCs w:val="22"/>
              </w:rPr>
            </w:pPr>
            <w:r w:rsidRPr="00770CE5">
              <w:rPr>
                <w:rFonts w:asciiTheme="minorHAnsi" w:hAnsiTheme="minorHAnsi" w:cstheme="minorHAnsi"/>
                <w:szCs w:val="22"/>
              </w:rPr>
              <w:t>Community Services Directorate</w:t>
            </w:r>
          </w:p>
        </w:tc>
        <w:tc>
          <w:tcPr>
            <w:tcW w:w="4111" w:type="dxa"/>
            <w:shd w:val="clear" w:color="auto" w:fill="FFFFFF" w:themeFill="background1"/>
          </w:tcPr>
          <w:p w14:paraId="2315AE6A" w14:textId="6644B1EE" w:rsidR="002D39FA" w:rsidRDefault="002D39FA" w:rsidP="002D39FA">
            <w:pPr>
              <w:pStyle w:val="TableText0"/>
              <w:rPr>
                <w:rFonts w:asciiTheme="minorHAnsi" w:hAnsiTheme="minorHAnsi" w:cstheme="minorHAnsi"/>
                <w:szCs w:val="22"/>
              </w:rPr>
            </w:pPr>
            <w:r>
              <w:rPr>
                <w:szCs w:val="22"/>
              </w:rPr>
              <w:t>P</w:t>
            </w:r>
            <w:r w:rsidRPr="00C03B7F">
              <w:rPr>
                <w:szCs w:val="22"/>
              </w:rPr>
              <w:t xml:space="preserve">rogramming at </w:t>
            </w:r>
            <w:proofErr w:type="spellStart"/>
            <w:r w:rsidRPr="00C03B7F">
              <w:rPr>
                <w:szCs w:val="22"/>
              </w:rPr>
              <w:t>Bimberi</w:t>
            </w:r>
            <w:proofErr w:type="spellEnd"/>
          </w:p>
        </w:tc>
      </w:tr>
      <w:tr w:rsidR="002D39FA" w14:paraId="16F39977" w14:textId="77777777" w:rsidTr="00486EA0">
        <w:trPr>
          <w:cnfStyle w:val="000000100000" w:firstRow="0" w:lastRow="0" w:firstColumn="0" w:lastColumn="0" w:oddVBand="0" w:evenVBand="0" w:oddHBand="1" w:evenHBand="0" w:firstRowFirstColumn="0" w:firstRowLastColumn="0" w:lastRowFirstColumn="0" w:lastRowLastColumn="0"/>
        </w:trPr>
        <w:tc>
          <w:tcPr>
            <w:tcW w:w="691" w:type="dxa"/>
            <w:tcBorders>
              <w:bottom w:val="single" w:sz="4" w:space="0" w:color="auto"/>
            </w:tcBorders>
            <w:shd w:val="clear" w:color="auto" w:fill="FFFFFF" w:themeFill="background1"/>
          </w:tcPr>
          <w:p w14:paraId="161F46D4" w14:textId="00C4949E" w:rsidR="002D39FA" w:rsidRPr="00C03B7F" w:rsidRDefault="002D39FA" w:rsidP="002D39FA">
            <w:pPr>
              <w:pStyle w:val="TableText0"/>
              <w:jc w:val="center"/>
              <w:rPr>
                <w:rFonts w:asciiTheme="minorHAnsi" w:hAnsiTheme="minorHAnsi" w:cstheme="minorHAnsi"/>
                <w:szCs w:val="22"/>
              </w:rPr>
            </w:pPr>
            <w:r w:rsidRPr="00C03B7F">
              <w:rPr>
                <w:rFonts w:asciiTheme="minorHAnsi" w:hAnsiTheme="minorHAnsi" w:cstheme="minorHAnsi"/>
                <w:sz w:val="22"/>
                <w:szCs w:val="22"/>
              </w:rPr>
              <w:t>CSD 69</w:t>
            </w:r>
          </w:p>
        </w:tc>
        <w:tc>
          <w:tcPr>
            <w:tcW w:w="1498" w:type="dxa"/>
            <w:tcBorders>
              <w:bottom w:val="single" w:sz="4" w:space="0" w:color="auto"/>
            </w:tcBorders>
            <w:shd w:val="clear" w:color="auto" w:fill="FFFFFF" w:themeFill="background1"/>
          </w:tcPr>
          <w:p w14:paraId="48ECF15B" w14:textId="5B89D21A" w:rsidR="002D39FA" w:rsidRPr="004F38E1" w:rsidRDefault="002D39FA" w:rsidP="002D39FA">
            <w:pPr>
              <w:pStyle w:val="TableText0"/>
              <w:jc w:val="center"/>
              <w:rPr>
                <w:rFonts w:asciiTheme="minorHAnsi" w:hAnsiTheme="minorHAnsi" w:cstheme="minorHAnsi"/>
                <w:szCs w:val="22"/>
              </w:rPr>
            </w:pPr>
            <w:r w:rsidRPr="00C03B7F">
              <w:rPr>
                <w:sz w:val="22"/>
                <w:szCs w:val="22"/>
              </w:rPr>
              <w:t>Kikkert MLA</w:t>
            </w:r>
          </w:p>
        </w:tc>
        <w:tc>
          <w:tcPr>
            <w:tcW w:w="1977" w:type="dxa"/>
            <w:tcBorders>
              <w:bottom w:val="single" w:sz="4" w:space="0" w:color="auto"/>
            </w:tcBorders>
            <w:shd w:val="clear" w:color="auto" w:fill="FFFFFF" w:themeFill="background1"/>
            <w:vAlign w:val="top"/>
          </w:tcPr>
          <w:p w14:paraId="44F40EB1" w14:textId="4CFD5517" w:rsidR="002D39FA" w:rsidRPr="00184C8E" w:rsidRDefault="002D39FA" w:rsidP="002D39FA">
            <w:pPr>
              <w:pStyle w:val="TableText0"/>
              <w:jc w:val="center"/>
              <w:rPr>
                <w:rFonts w:asciiTheme="minorHAnsi" w:hAnsiTheme="minorHAnsi" w:cstheme="minorHAnsi"/>
                <w:szCs w:val="22"/>
              </w:rPr>
            </w:pPr>
            <w:r w:rsidRPr="00770CE5">
              <w:rPr>
                <w:rFonts w:asciiTheme="minorHAnsi" w:hAnsiTheme="minorHAnsi" w:cstheme="minorHAnsi"/>
                <w:sz w:val="22"/>
                <w:szCs w:val="22"/>
              </w:rPr>
              <w:t>Community Services Directorate</w:t>
            </w:r>
          </w:p>
        </w:tc>
        <w:tc>
          <w:tcPr>
            <w:tcW w:w="4111" w:type="dxa"/>
            <w:tcBorders>
              <w:bottom w:val="single" w:sz="4" w:space="0" w:color="auto"/>
            </w:tcBorders>
            <w:shd w:val="clear" w:color="auto" w:fill="FFFFFF" w:themeFill="background1"/>
          </w:tcPr>
          <w:p w14:paraId="61E485F3" w14:textId="746AF1BE" w:rsidR="002D39FA" w:rsidRDefault="002D39FA" w:rsidP="002D39FA">
            <w:pPr>
              <w:pStyle w:val="TableText0"/>
              <w:rPr>
                <w:rFonts w:asciiTheme="minorHAnsi" w:hAnsiTheme="minorHAnsi" w:cstheme="minorHAnsi"/>
                <w:szCs w:val="22"/>
              </w:rPr>
            </w:pPr>
            <w:r>
              <w:rPr>
                <w:sz w:val="22"/>
                <w:szCs w:val="22"/>
              </w:rPr>
              <w:t>S</w:t>
            </w:r>
            <w:r w:rsidRPr="00C03B7F">
              <w:rPr>
                <w:sz w:val="22"/>
                <w:szCs w:val="22"/>
              </w:rPr>
              <w:t xml:space="preserve">taffing at </w:t>
            </w:r>
            <w:proofErr w:type="spellStart"/>
            <w:r w:rsidRPr="00C03B7F">
              <w:rPr>
                <w:sz w:val="22"/>
                <w:szCs w:val="22"/>
              </w:rPr>
              <w:t>Bimberi</w:t>
            </w:r>
            <w:proofErr w:type="spellEnd"/>
          </w:p>
        </w:tc>
      </w:tr>
      <w:tr w:rsidR="002D39FA" w14:paraId="532ABE6B" w14:textId="77777777" w:rsidTr="00486EA0">
        <w:tc>
          <w:tcPr>
            <w:tcW w:w="691" w:type="dxa"/>
            <w:shd w:val="clear" w:color="auto" w:fill="FFFFFF" w:themeFill="background1"/>
          </w:tcPr>
          <w:p w14:paraId="300F69C1" w14:textId="10862F4B" w:rsidR="002D39FA" w:rsidRPr="00C03B7F" w:rsidRDefault="002D39FA" w:rsidP="002D39FA">
            <w:pPr>
              <w:pStyle w:val="TableText0"/>
              <w:jc w:val="center"/>
              <w:rPr>
                <w:rFonts w:asciiTheme="minorHAnsi" w:hAnsiTheme="minorHAnsi" w:cstheme="minorHAnsi"/>
                <w:szCs w:val="22"/>
              </w:rPr>
            </w:pPr>
            <w:r w:rsidRPr="00C03B7F">
              <w:rPr>
                <w:rFonts w:asciiTheme="minorHAnsi" w:hAnsiTheme="minorHAnsi" w:cstheme="minorHAnsi"/>
                <w:szCs w:val="22"/>
              </w:rPr>
              <w:t>CSD 70</w:t>
            </w:r>
          </w:p>
        </w:tc>
        <w:tc>
          <w:tcPr>
            <w:tcW w:w="1498" w:type="dxa"/>
            <w:shd w:val="clear" w:color="auto" w:fill="FFFFFF" w:themeFill="background1"/>
          </w:tcPr>
          <w:p w14:paraId="5A58CBEE" w14:textId="514E150C" w:rsidR="002D39FA" w:rsidRPr="004F38E1" w:rsidRDefault="002D39FA" w:rsidP="002D39FA">
            <w:pPr>
              <w:pStyle w:val="TableText0"/>
              <w:jc w:val="center"/>
              <w:rPr>
                <w:rFonts w:asciiTheme="minorHAnsi" w:hAnsiTheme="minorHAnsi" w:cstheme="minorHAnsi"/>
                <w:szCs w:val="22"/>
              </w:rPr>
            </w:pPr>
            <w:r w:rsidRPr="00C03B7F">
              <w:rPr>
                <w:rFonts w:asciiTheme="minorHAnsi" w:hAnsiTheme="minorHAnsi" w:cstheme="minorHAnsi"/>
                <w:szCs w:val="22"/>
              </w:rPr>
              <w:t>Lee MLA</w:t>
            </w:r>
          </w:p>
        </w:tc>
        <w:tc>
          <w:tcPr>
            <w:tcW w:w="1977" w:type="dxa"/>
            <w:shd w:val="clear" w:color="auto" w:fill="FFFFFF" w:themeFill="background1"/>
            <w:vAlign w:val="top"/>
          </w:tcPr>
          <w:p w14:paraId="1B9459DB" w14:textId="2DB62DB8" w:rsidR="002D39FA" w:rsidRPr="00184C8E" w:rsidRDefault="002D39FA" w:rsidP="002D39FA">
            <w:pPr>
              <w:pStyle w:val="TableText0"/>
              <w:jc w:val="center"/>
              <w:rPr>
                <w:rFonts w:asciiTheme="minorHAnsi" w:hAnsiTheme="minorHAnsi" w:cstheme="minorHAnsi"/>
                <w:szCs w:val="22"/>
              </w:rPr>
            </w:pPr>
            <w:r w:rsidRPr="00770CE5">
              <w:rPr>
                <w:rFonts w:asciiTheme="minorHAnsi" w:hAnsiTheme="minorHAnsi" w:cstheme="minorHAnsi"/>
                <w:szCs w:val="22"/>
              </w:rPr>
              <w:t>Community Services Directorate</w:t>
            </w:r>
          </w:p>
        </w:tc>
        <w:tc>
          <w:tcPr>
            <w:tcW w:w="4111" w:type="dxa"/>
            <w:shd w:val="clear" w:color="auto" w:fill="FFFFFF" w:themeFill="background1"/>
          </w:tcPr>
          <w:p w14:paraId="2547EBB8" w14:textId="45C8F0A5" w:rsidR="002D39FA" w:rsidRDefault="002D39FA" w:rsidP="002D39FA">
            <w:pPr>
              <w:pStyle w:val="TableText0"/>
              <w:rPr>
                <w:rFonts w:asciiTheme="minorHAnsi" w:hAnsiTheme="minorHAnsi" w:cstheme="minorHAnsi"/>
                <w:szCs w:val="22"/>
              </w:rPr>
            </w:pPr>
            <w:r>
              <w:rPr>
                <w:szCs w:val="22"/>
              </w:rPr>
              <w:t>U</w:t>
            </w:r>
            <w:r w:rsidRPr="00C03B7F">
              <w:rPr>
                <w:szCs w:val="22"/>
              </w:rPr>
              <w:t>nsuccessful completion of community-based orders</w:t>
            </w:r>
          </w:p>
        </w:tc>
      </w:tr>
      <w:tr w:rsidR="002D39FA" w14:paraId="1ACCC794" w14:textId="77777777" w:rsidTr="00486EA0">
        <w:trPr>
          <w:cnfStyle w:val="000000100000" w:firstRow="0" w:lastRow="0" w:firstColumn="0" w:lastColumn="0" w:oddVBand="0" w:evenVBand="0" w:oddHBand="1" w:evenHBand="0" w:firstRowFirstColumn="0" w:firstRowLastColumn="0" w:lastRowFirstColumn="0" w:lastRowLastColumn="0"/>
        </w:trPr>
        <w:tc>
          <w:tcPr>
            <w:tcW w:w="691" w:type="dxa"/>
            <w:shd w:val="clear" w:color="auto" w:fill="FFFFFF" w:themeFill="background1"/>
          </w:tcPr>
          <w:p w14:paraId="29D80123" w14:textId="06D10513" w:rsidR="002D39FA" w:rsidRPr="00C03B7F" w:rsidRDefault="002D39FA" w:rsidP="002D39FA">
            <w:pPr>
              <w:pStyle w:val="TableText0"/>
              <w:jc w:val="center"/>
              <w:rPr>
                <w:rFonts w:asciiTheme="minorHAnsi" w:hAnsiTheme="minorHAnsi" w:cstheme="minorHAnsi"/>
                <w:szCs w:val="22"/>
              </w:rPr>
            </w:pPr>
            <w:r w:rsidRPr="00C03B7F">
              <w:rPr>
                <w:rFonts w:asciiTheme="minorHAnsi" w:hAnsiTheme="minorHAnsi" w:cstheme="minorHAnsi"/>
                <w:sz w:val="22"/>
                <w:szCs w:val="22"/>
              </w:rPr>
              <w:t>CSD 71</w:t>
            </w:r>
          </w:p>
        </w:tc>
        <w:tc>
          <w:tcPr>
            <w:tcW w:w="1498" w:type="dxa"/>
            <w:shd w:val="clear" w:color="auto" w:fill="FFFFFF" w:themeFill="background1"/>
            <w:vAlign w:val="top"/>
          </w:tcPr>
          <w:p w14:paraId="5EB075A1" w14:textId="3B8A52E3" w:rsidR="002D39FA" w:rsidRPr="004F38E1" w:rsidRDefault="002D39FA" w:rsidP="002D39FA">
            <w:pPr>
              <w:pStyle w:val="TableText0"/>
              <w:jc w:val="center"/>
              <w:rPr>
                <w:rFonts w:asciiTheme="minorHAnsi" w:hAnsiTheme="minorHAnsi" w:cstheme="minorHAnsi"/>
                <w:szCs w:val="22"/>
              </w:rPr>
            </w:pPr>
            <w:r w:rsidRPr="00C03B7F">
              <w:rPr>
                <w:sz w:val="22"/>
                <w:szCs w:val="22"/>
              </w:rPr>
              <w:t>Kikkert MLA</w:t>
            </w:r>
          </w:p>
        </w:tc>
        <w:tc>
          <w:tcPr>
            <w:tcW w:w="1977" w:type="dxa"/>
            <w:shd w:val="clear" w:color="auto" w:fill="FFFFFF" w:themeFill="background1"/>
            <w:vAlign w:val="top"/>
          </w:tcPr>
          <w:p w14:paraId="329D7A21" w14:textId="4104C7EE" w:rsidR="002D39FA" w:rsidRPr="00184C8E" w:rsidRDefault="002D39FA" w:rsidP="002D39FA">
            <w:pPr>
              <w:pStyle w:val="TableText0"/>
              <w:jc w:val="center"/>
              <w:rPr>
                <w:rFonts w:asciiTheme="minorHAnsi" w:hAnsiTheme="minorHAnsi" w:cstheme="minorHAnsi"/>
                <w:szCs w:val="22"/>
              </w:rPr>
            </w:pPr>
            <w:r w:rsidRPr="00770CE5">
              <w:rPr>
                <w:rFonts w:asciiTheme="minorHAnsi" w:hAnsiTheme="minorHAnsi" w:cstheme="minorHAnsi"/>
                <w:sz w:val="22"/>
                <w:szCs w:val="22"/>
              </w:rPr>
              <w:t>Community Services Directorate</w:t>
            </w:r>
          </w:p>
        </w:tc>
        <w:tc>
          <w:tcPr>
            <w:tcW w:w="4111" w:type="dxa"/>
            <w:shd w:val="clear" w:color="auto" w:fill="FFFFFF" w:themeFill="background1"/>
          </w:tcPr>
          <w:p w14:paraId="5E631941" w14:textId="48C4D610" w:rsidR="002D39FA" w:rsidRDefault="002D39FA" w:rsidP="002D39FA">
            <w:pPr>
              <w:pStyle w:val="TableText0"/>
              <w:rPr>
                <w:rFonts w:asciiTheme="minorHAnsi" w:hAnsiTheme="minorHAnsi" w:cstheme="minorHAnsi"/>
                <w:szCs w:val="22"/>
              </w:rPr>
            </w:pPr>
            <w:r>
              <w:rPr>
                <w:sz w:val="22"/>
                <w:szCs w:val="22"/>
              </w:rPr>
              <w:t>U</w:t>
            </w:r>
            <w:r w:rsidRPr="00C03B7F">
              <w:rPr>
                <w:sz w:val="22"/>
                <w:szCs w:val="22"/>
              </w:rPr>
              <w:t xml:space="preserve">se of force and segregations at </w:t>
            </w:r>
            <w:proofErr w:type="spellStart"/>
            <w:r w:rsidRPr="00C03B7F">
              <w:rPr>
                <w:sz w:val="22"/>
                <w:szCs w:val="22"/>
              </w:rPr>
              <w:t>Bimberi</w:t>
            </w:r>
            <w:proofErr w:type="spellEnd"/>
          </w:p>
        </w:tc>
      </w:tr>
      <w:tr w:rsidR="002D39FA" w14:paraId="495B49DC" w14:textId="77777777" w:rsidTr="00486EA0">
        <w:tc>
          <w:tcPr>
            <w:tcW w:w="691" w:type="dxa"/>
            <w:shd w:val="clear" w:color="auto" w:fill="FFFFFF" w:themeFill="background1"/>
          </w:tcPr>
          <w:p w14:paraId="7030534D" w14:textId="1BBC6B0E" w:rsidR="002D39FA" w:rsidRPr="00C03B7F" w:rsidRDefault="002D39FA" w:rsidP="002D39FA">
            <w:pPr>
              <w:pStyle w:val="TableText0"/>
              <w:jc w:val="center"/>
              <w:rPr>
                <w:rFonts w:asciiTheme="minorHAnsi" w:hAnsiTheme="minorHAnsi" w:cstheme="minorHAnsi"/>
                <w:szCs w:val="22"/>
              </w:rPr>
            </w:pPr>
            <w:r w:rsidRPr="00C03B7F">
              <w:rPr>
                <w:rFonts w:asciiTheme="minorHAnsi" w:hAnsiTheme="minorHAnsi" w:cstheme="minorHAnsi"/>
                <w:szCs w:val="22"/>
              </w:rPr>
              <w:t>CSD 72</w:t>
            </w:r>
          </w:p>
        </w:tc>
        <w:tc>
          <w:tcPr>
            <w:tcW w:w="1498" w:type="dxa"/>
            <w:shd w:val="clear" w:color="auto" w:fill="FFFFFF" w:themeFill="background1"/>
            <w:vAlign w:val="top"/>
          </w:tcPr>
          <w:p w14:paraId="08F8B394" w14:textId="449AAD06" w:rsidR="002D39FA" w:rsidRPr="004F38E1" w:rsidRDefault="002D39FA" w:rsidP="002D39FA">
            <w:pPr>
              <w:pStyle w:val="TableText0"/>
              <w:jc w:val="center"/>
              <w:rPr>
                <w:rFonts w:asciiTheme="minorHAnsi" w:hAnsiTheme="minorHAnsi" w:cstheme="minorHAnsi"/>
                <w:szCs w:val="22"/>
              </w:rPr>
            </w:pPr>
            <w:r w:rsidRPr="00C03B7F">
              <w:rPr>
                <w:szCs w:val="22"/>
              </w:rPr>
              <w:t>Kikkert MLA</w:t>
            </w:r>
          </w:p>
        </w:tc>
        <w:tc>
          <w:tcPr>
            <w:tcW w:w="1977" w:type="dxa"/>
            <w:shd w:val="clear" w:color="auto" w:fill="FFFFFF" w:themeFill="background1"/>
            <w:vAlign w:val="top"/>
          </w:tcPr>
          <w:p w14:paraId="480DD8F5" w14:textId="6F76D85D" w:rsidR="002D39FA" w:rsidRPr="00184C8E" w:rsidRDefault="002D39FA" w:rsidP="002D39FA">
            <w:pPr>
              <w:pStyle w:val="TableText0"/>
              <w:jc w:val="center"/>
              <w:rPr>
                <w:rFonts w:asciiTheme="minorHAnsi" w:hAnsiTheme="minorHAnsi" w:cstheme="minorHAnsi"/>
                <w:szCs w:val="22"/>
              </w:rPr>
            </w:pPr>
            <w:r w:rsidRPr="00770CE5">
              <w:rPr>
                <w:rFonts w:asciiTheme="minorHAnsi" w:hAnsiTheme="minorHAnsi" w:cstheme="minorHAnsi"/>
                <w:szCs w:val="22"/>
              </w:rPr>
              <w:t>Community Services Directorate</w:t>
            </w:r>
          </w:p>
        </w:tc>
        <w:tc>
          <w:tcPr>
            <w:tcW w:w="4111" w:type="dxa"/>
            <w:shd w:val="clear" w:color="auto" w:fill="FFFFFF" w:themeFill="background1"/>
          </w:tcPr>
          <w:p w14:paraId="5648FE94" w14:textId="425501C6" w:rsidR="002D39FA" w:rsidRDefault="002D39FA" w:rsidP="002D39FA">
            <w:pPr>
              <w:pStyle w:val="TableText0"/>
              <w:rPr>
                <w:rFonts w:asciiTheme="minorHAnsi" w:hAnsiTheme="minorHAnsi" w:cstheme="minorHAnsi"/>
                <w:szCs w:val="22"/>
              </w:rPr>
            </w:pPr>
            <w:r w:rsidRPr="00C03B7F">
              <w:rPr>
                <w:szCs w:val="22"/>
              </w:rPr>
              <w:t>Youth justice case management</w:t>
            </w:r>
          </w:p>
        </w:tc>
      </w:tr>
    </w:tbl>
    <w:p w14:paraId="1E7CA48B" w14:textId="3FDD969F" w:rsidR="00E07D72" w:rsidRPr="00903F72" w:rsidRDefault="00A119A5" w:rsidP="00E07D72">
      <w:pPr>
        <w:pStyle w:val="Caption"/>
        <w:rPr>
          <w:b/>
          <w:bCs w:val="0"/>
        </w:rPr>
      </w:pPr>
      <w:r w:rsidRPr="00E07D72">
        <w:rPr>
          <w:b/>
          <w:szCs w:val="26"/>
        </w:rPr>
        <w:t>Canberra Health Services</w:t>
      </w:r>
      <w:r w:rsidRPr="00E07D72">
        <w:rPr>
          <w:b/>
          <w:szCs w:val="26"/>
          <w:lang w:eastAsia="en-AU"/>
        </w:rPr>
        <w:br/>
      </w:r>
    </w:p>
    <w:tbl>
      <w:tblPr>
        <w:tblStyle w:val="CommitteeTable"/>
        <w:tblW w:w="9385" w:type="dxa"/>
        <w:tblInd w:w="108" w:type="dxa"/>
        <w:tblLook w:val="04A0" w:firstRow="1" w:lastRow="0" w:firstColumn="1" w:lastColumn="0" w:noHBand="0" w:noVBand="1"/>
      </w:tblPr>
      <w:tblGrid>
        <w:gridCol w:w="808"/>
        <w:gridCol w:w="1102"/>
        <w:gridCol w:w="1481"/>
        <w:gridCol w:w="1959"/>
        <w:gridCol w:w="4035"/>
      </w:tblGrid>
      <w:tr w:rsidR="005C5DCB" w:rsidRPr="00640E82" w14:paraId="6B97642C" w14:textId="77777777" w:rsidTr="00486EA0">
        <w:trPr>
          <w:cnfStyle w:val="100000000000" w:firstRow="1" w:lastRow="0" w:firstColumn="0" w:lastColumn="0" w:oddVBand="0" w:evenVBand="0" w:oddHBand="0" w:evenHBand="0" w:firstRowFirstColumn="0" w:firstRowLastColumn="0" w:lastRowFirstColumn="0" w:lastRowLastColumn="0"/>
        </w:trPr>
        <w:tc>
          <w:tcPr>
            <w:tcW w:w="808" w:type="dxa"/>
            <w:tcBorders>
              <w:bottom w:val="single" w:sz="4" w:space="0" w:color="auto"/>
            </w:tcBorders>
          </w:tcPr>
          <w:p w14:paraId="01F77D1C" w14:textId="77777777" w:rsidR="005C5DCB" w:rsidRPr="00640E82" w:rsidRDefault="005C5DCB" w:rsidP="000225F4">
            <w:pPr>
              <w:spacing w:after="80" w:line="288" w:lineRule="auto"/>
              <w:jc w:val="center"/>
              <w:rPr>
                <w:rFonts w:ascii="Arial Narrow" w:hAnsi="Arial Narrow"/>
              </w:rPr>
            </w:pPr>
            <w:r w:rsidRPr="00640E82">
              <w:rPr>
                <w:rFonts w:ascii="Arial Narrow" w:hAnsi="Arial Narrow"/>
              </w:rPr>
              <w:t>No.</w:t>
            </w:r>
          </w:p>
        </w:tc>
        <w:tc>
          <w:tcPr>
            <w:tcW w:w="1102" w:type="dxa"/>
            <w:tcBorders>
              <w:bottom w:val="single" w:sz="4" w:space="0" w:color="auto"/>
            </w:tcBorders>
          </w:tcPr>
          <w:p w14:paraId="0E875BC3" w14:textId="77777777" w:rsidR="005C5DCB" w:rsidRPr="00640E82" w:rsidRDefault="005C5DCB" w:rsidP="000225F4">
            <w:pPr>
              <w:spacing w:after="80" w:line="288" w:lineRule="auto"/>
              <w:jc w:val="center"/>
              <w:rPr>
                <w:rFonts w:ascii="Arial Narrow" w:hAnsi="Arial Narrow"/>
              </w:rPr>
            </w:pPr>
            <w:r w:rsidRPr="00640E82">
              <w:rPr>
                <w:rFonts w:ascii="Arial Narrow" w:hAnsi="Arial Narrow"/>
              </w:rPr>
              <w:t>Hearing date</w:t>
            </w:r>
          </w:p>
        </w:tc>
        <w:tc>
          <w:tcPr>
            <w:tcW w:w="1481" w:type="dxa"/>
            <w:tcBorders>
              <w:bottom w:val="single" w:sz="4" w:space="0" w:color="auto"/>
            </w:tcBorders>
          </w:tcPr>
          <w:p w14:paraId="79D81158" w14:textId="77777777" w:rsidR="005C5DCB" w:rsidRPr="00640E82" w:rsidRDefault="005C5DCB" w:rsidP="000225F4">
            <w:pPr>
              <w:spacing w:after="80" w:line="288" w:lineRule="auto"/>
              <w:jc w:val="center"/>
              <w:rPr>
                <w:rFonts w:ascii="Arial Narrow" w:hAnsi="Arial Narrow"/>
              </w:rPr>
            </w:pPr>
            <w:r w:rsidRPr="00640E82">
              <w:rPr>
                <w:rFonts w:ascii="Arial Narrow" w:hAnsi="Arial Narrow"/>
              </w:rPr>
              <w:t>Asked by</w:t>
            </w:r>
          </w:p>
        </w:tc>
        <w:tc>
          <w:tcPr>
            <w:tcW w:w="1959" w:type="dxa"/>
            <w:tcBorders>
              <w:bottom w:val="single" w:sz="4" w:space="0" w:color="auto"/>
            </w:tcBorders>
          </w:tcPr>
          <w:p w14:paraId="711E5513" w14:textId="77777777" w:rsidR="005C5DCB" w:rsidRPr="00640E82" w:rsidRDefault="005C5DCB" w:rsidP="000225F4">
            <w:pPr>
              <w:spacing w:after="80" w:line="288" w:lineRule="auto"/>
              <w:jc w:val="center"/>
              <w:rPr>
                <w:rFonts w:ascii="Arial Narrow" w:hAnsi="Arial Narrow"/>
              </w:rPr>
            </w:pPr>
            <w:r w:rsidRPr="00640E82">
              <w:rPr>
                <w:rFonts w:ascii="Arial Narrow" w:hAnsi="Arial Narrow"/>
              </w:rPr>
              <w:t>Directorate/</w:t>
            </w:r>
            <w:r w:rsidRPr="00640E82">
              <w:rPr>
                <w:rFonts w:ascii="Arial Narrow" w:hAnsi="Arial Narrow"/>
              </w:rPr>
              <w:br/>
              <w:t>Portfolio</w:t>
            </w:r>
          </w:p>
        </w:tc>
        <w:tc>
          <w:tcPr>
            <w:tcW w:w="4035" w:type="dxa"/>
            <w:tcBorders>
              <w:bottom w:val="single" w:sz="4" w:space="0" w:color="auto"/>
            </w:tcBorders>
          </w:tcPr>
          <w:p w14:paraId="33B2C0B3" w14:textId="77777777" w:rsidR="005C5DCB" w:rsidRPr="00640E82" w:rsidRDefault="005C5DCB" w:rsidP="000225F4">
            <w:pPr>
              <w:spacing w:after="80" w:line="288" w:lineRule="auto"/>
              <w:rPr>
                <w:rFonts w:ascii="Arial Narrow" w:hAnsi="Arial Narrow"/>
              </w:rPr>
            </w:pPr>
            <w:r w:rsidRPr="00640E82">
              <w:rPr>
                <w:rFonts w:ascii="Arial Narrow" w:hAnsi="Arial Narrow"/>
              </w:rPr>
              <w:t>Subject</w:t>
            </w:r>
          </w:p>
        </w:tc>
      </w:tr>
      <w:tr w:rsidR="00342E7F" w:rsidRPr="00B172DC" w14:paraId="7541A6BE" w14:textId="77777777" w:rsidTr="00486EA0">
        <w:trPr>
          <w:cnfStyle w:val="000000100000" w:firstRow="0" w:lastRow="0" w:firstColumn="0" w:lastColumn="0" w:oddVBand="0" w:evenVBand="0" w:oddHBand="1" w:evenHBand="0" w:firstRowFirstColumn="0" w:firstRowLastColumn="0" w:lastRowFirstColumn="0" w:lastRowLastColumn="0"/>
        </w:trPr>
        <w:tc>
          <w:tcPr>
            <w:tcW w:w="808" w:type="dxa"/>
            <w:shd w:val="clear" w:color="auto" w:fill="FFFFFF" w:themeFill="background1"/>
            <w:vAlign w:val="top"/>
          </w:tcPr>
          <w:p w14:paraId="29EAE153" w14:textId="069AA68E" w:rsidR="00342E7F" w:rsidRPr="00342E7F" w:rsidRDefault="00342E7F" w:rsidP="00342E7F">
            <w:pPr>
              <w:pStyle w:val="TableText0"/>
              <w:jc w:val="center"/>
              <w:rPr>
                <w:rFonts w:asciiTheme="minorHAnsi" w:hAnsiTheme="minorHAnsi" w:cstheme="minorHAnsi"/>
                <w:sz w:val="22"/>
                <w:szCs w:val="22"/>
              </w:rPr>
            </w:pPr>
            <w:r w:rsidRPr="00342E7F">
              <w:rPr>
                <w:rFonts w:asciiTheme="minorHAnsi" w:hAnsiTheme="minorHAnsi" w:cstheme="minorHAnsi"/>
                <w:sz w:val="22"/>
                <w:szCs w:val="22"/>
              </w:rPr>
              <w:t>HCW Health 1</w:t>
            </w:r>
          </w:p>
        </w:tc>
        <w:tc>
          <w:tcPr>
            <w:tcW w:w="1102" w:type="dxa"/>
            <w:shd w:val="clear" w:color="auto" w:fill="FFFFFF" w:themeFill="background1"/>
          </w:tcPr>
          <w:p w14:paraId="34777463" w14:textId="278EEF08" w:rsidR="00342E7F" w:rsidRPr="00342E7F" w:rsidRDefault="00342E7F" w:rsidP="00342E7F">
            <w:pPr>
              <w:rPr>
                <w:rFonts w:asciiTheme="minorHAnsi" w:hAnsiTheme="minorHAnsi" w:cstheme="minorHAnsi"/>
                <w:sz w:val="22"/>
                <w:szCs w:val="22"/>
              </w:rPr>
            </w:pPr>
            <w:r w:rsidRPr="00342E7F">
              <w:rPr>
                <w:rFonts w:asciiTheme="minorHAnsi" w:hAnsiTheme="minorHAnsi" w:cstheme="minorHAnsi"/>
                <w:sz w:val="22"/>
                <w:szCs w:val="22"/>
              </w:rPr>
              <w:t>5 03 21</w:t>
            </w:r>
          </w:p>
          <w:p w14:paraId="32D2F203" w14:textId="64D24C5F" w:rsidR="00342E7F" w:rsidRPr="00342E7F" w:rsidRDefault="00342E7F" w:rsidP="00342E7F">
            <w:pPr>
              <w:pStyle w:val="TableText0"/>
              <w:jc w:val="center"/>
              <w:rPr>
                <w:rFonts w:asciiTheme="minorHAnsi" w:hAnsiTheme="minorHAnsi" w:cstheme="minorHAnsi"/>
                <w:sz w:val="22"/>
                <w:szCs w:val="22"/>
              </w:rPr>
            </w:pPr>
          </w:p>
        </w:tc>
        <w:tc>
          <w:tcPr>
            <w:tcW w:w="1481" w:type="dxa"/>
            <w:shd w:val="clear" w:color="auto" w:fill="FFFFFF" w:themeFill="background1"/>
            <w:vAlign w:val="top"/>
          </w:tcPr>
          <w:p w14:paraId="619B3428" w14:textId="18C96374" w:rsidR="00342E7F" w:rsidRPr="00342E7F" w:rsidRDefault="00342E7F" w:rsidP="00342E7F">
            <w:pPr>
              <w:pStyle w:val="TableText0"/>
              <w:jc w:val="center"/>
              <w:rPr>
                <w:rFonts w:asciiTheme="minorHAnsi" w:hAnsiTheme="minorHAnsi" w:cstheme="minorHAnsi"/>
                <w:sz w:val="22"/>
                <w:szCs w:val="22"/>
              </w:rPr>
            </w:pPr>
            <w:r w:rsidRPr="00342E7F">
              <w:rPr>
                <w:rFonts w:asciiTheme="minorHAnsi" w:hAnsiTheme="minorHAnsi" w:cstheme="minorHAnsi"/>
                <w:sz w:val="22"/>
                <w:szCs w:val="22"/>
              </w:rPr>
              <w:t>Davis MLA</w:t>
            </w:r>
          </w:p>
        </w:tc>
        <w:tc>
          <w:tcPr>
            <w:tcW w:w="1959" w:type="dxa"/>
            <w:shd w:val="clear" w:color="auto" w:fill="FFFFFF" w:themeFill="background1"/>
            <w:vAlign w:val="top"/>
          </w:tcPr>
          <w:p w14:paraId="1A2CBEEC" w14:textId="7B4BA4E6" w:rsidR="00342E7F" w:rsidRPr="00342E7F" w:rsidRDefault="00342E7F" w:rsidP="00342E7F">
            <w:pPr>
              <w:pStyle w:val="TableText0"/>
              <w:jc w:val="center"/>
              <w:rPr>
                <w:rFonts w:asciiTheme="minorHAnsi" w:hAnsiTheme="minorHAnsi" w:cstheme="minorHAnsi"/>
                <w:sz w:val="22"/>
                <w:szCs w:val="22"/>
              </w:rPr>
            </w:pPr>
            <w:r w:rsidRPr="00342E7F">
              <w:rPr>
                <w:rFonts w:asciiTheme="minorHAnsi" w:hAnsiTheme="minorHAnsi" w:cstheme="minorHAnsi"/>
                <w:sz w:val="22"/>
                <w:szCs w:val="22"/>
              </w:rPr>
              <w:t>Canberra Health Services</w:t>
            </w:r>
          </w:p>
        </w:tc>
        <w:tc>
          <w:tcPr>
            <w:tcW w:w="4035" w:type="dxa"/>
            <w:shd w:val="clear" w:color="auto" w:fill="FFFFFF" w:themeFill="background1"/>
            <w:vAlign w:val="top"/>
          </w:tcPr>
          <w:p w14:paraId="41A515C9" w14:textId="79A044E9" w:rsidR="00342E7F" w:rsidRPr="00342E7F" w:rsidRDefault="00342E7F" w:rsidP="00342E7F">
            <w:pPr>
              <w:pStyle w:val="TableText0"/>
              <w:rPr>
                <w:rFonts w:asciiTheme="minorHAnsi" w:hAnsiTheme="minorHAnsi" w:cstheme="minorHAnsi"/>
                <w:sz w:val="22"/>
                <w:szCs w:val="22"/>
              </w:rPr>
            </w:pPr>
            <w:r w:rsidRPr="00342E7F">
              <w:rPr>
                <w:rFonts w:asciiTheme="minorHAnsi" w:hAnsiTheme="minorHAnsi" w:cstheme="minorHAnsi"/>
                <w:sz w:val="22"/>
                <w:szCs w:val="22"/>
              </w:rPr>
              <w:t>Standards for indoor air quality</w:t>
            </w:r>
          </w:p>
        </w:tc>
      </w:tr>
      <w:tr w:rsidR="00342E7F" w:rsidRPr="00B172DC" w14:paraId="6E08E83C" w14:textId="77777777" w:rsidTr="00486EA0">
        <w:tc>
          <w:tcPr>
            <w:tcW w:w="808" w:type="dxa"/>
            <w:shd w:val="clear" w:color="auto" w:fill="FFFFFF" w:themeFill="background1"/>
            <w:vAlign w:val="top"/>
          </w:tcPr>
          <w:p w14:paraId="72A6C859" w14:textId="75F4490F" w:rsidR="00342E7F" w:rsidRPr="00B172DC" w:rsidRDefault="00342E7F" w:rsidP="00342E7F">
            <w:pPr>
              <w:pStyle w:val="TableText0"/>
              <w:jc w:val="center"/>
              <w:rPr>
                <w:rFonts w:asciiTheme="minorHAnsi" w:hAnsiTheme="minorHAnsi" w:cstheme="minorHAnsi"/>
                <w:szCs w:val="22"/>
              </w:rPr>
            </w:pPr>
            <w:r w:rsidRPr="007E6911">
              <w:rPr>
                <w:rFonts w:asciiTheme="minorHAnsi" w:hAnsiTheme="minorHAnsi" w:cstheme="minorHAnsi"/>
                <w:szCs w:val="22"/>
              </w:rPr>
              <w:t>HCW Health 2</w:t>
            </w:r>
          </w:p>
        </w:tc>
        <w:tc>
          <w:tcPr>
            <w:tcW w:w="1102" w:type="dxa"/>
            <w:shd w:val="clear" w:color="auto" w:fill="FFFFFF" w:themeFill="background1"/>
            <w:vAlign w:val="top"/>
          </w:tcPr>
          <w:p w14:paraId="0360EBF5" w14:textId="5DDA6417" w:rsidR="00342E7F" w:rsidRPr="00B172DC" w:rsidRDefault="00342E7F" w:rsidP="00342E7F">
            <w:pPr>
              <w:pStyle w:val="TableText0"/>
              <w:jc w:val="center"/>
              <w:rPr>
                <w:rFonts w:asciiTheme="minorHAnsi" w:hAnsiTheme="minorHAnsi" w:cstheme="minorHAnsi"/>
                <w:szCs w:val="22"/>
              </w:rPr>
            </w:pPr>
            <w:r w:rsidRPr="00CA768B">
              <w:rPr>
                <w:rFonts w:asciiTheme="minorHAnsi" w:hAnsiTheme="minorHAnsi" w:cstheme="minorHAnsi"/>
                <w:szCs w:val="22"/>
              </w:rPr>
              <w:t>5 03 21</w:t>
            </w:r>
          </w:p>
        </w:tc>
        <w:tc>
          <w:tcPr>
            <w:tcW w:w="1481" w:type="dxa"/>
            <w:shd w:val="clear" w:color="auto" w:fill="FFFFFF" w:themeFill="background1"/>
            <w:vAlign w:val="top"/>
          </w:tcPr>
          <w:p w14:paraId="3848BF97" w14:textId="00F909A0" w:rsidR="00342E7F" w:rsidRPr="00B172DC" w:rsidRDefault="00342E7F" w:rsidP="00342E7F">
            <w:pPr>
              <w:pStyle w:val="TableText0"/>
              <w:jc w:val="center"/>
              <w:rPr>
                <w:rFonts w:asciiTheme="minorHAnsi" w:hAnsiTheme="minorHAnsi" w:cstheme="minorHAnsi"/>
                <w:szCs w:val="22"/>
              </w:rPr>
            </w:pPr>
            <w:r w:rsidRPr="00782044">
              <w:rPr>
                <w:rFonts w:asciiTheme="minorHAnsi" w:hAnsiTheme="minorHAnsi" w:cstheme="minorHAnsi"/>
                <w:szCs w:val="22"/>
              </w:rPr>
              <w:t>Davis MLA</w:t>
            </w:r>
          </w:p>
        </w:tc>
        <w:tc>
          <w:tcPr>
            <w:tcW w:w="1959" w:type="dxa"/>
            <w:shd w:val="clear" w:color="auto" w:fill="FFFFFF" w:themeFill="background1"/>
            <w:vAlign w:val="top"/>
          </w:tcPr>
          <w:p w14:paraId="59EAD66D" w14:textId="200218A6" w:rsidR="00342E7F" w:rsidRPr="00B172DC" w:rsidRDefault="00342E7F" w:rsidP="00342E7F">
            <w:pPr>
              <w:pStyle w:val="TableText0"/>
              <w:jc w:val="center"/>
              <w:rPr>
                <w:rFonts w:asciiTheme="minorHAnsi" w:hAnsiTheme="minorHAnsi" w:cstheme="minorHAnsi"/>
                <w:szCs w:val="22"/>
              </w:rPr>
            </w:pPr>
            <w:r w:rsidRPr="00BA2E24">
              <w:rPr>
                <w:rFonts w:asciiTheme="minorHAnsi" w:hAnsiTheme="minorHAnsi" w:cstheme="minorHAnsi"/>
                <w:szCs w:val="22"/>
              </w:rPr>
              <w:t>Canberra Health Services</w:t>
            </w:r>
          </w:p>
        </w:tc>
        <w:tc>
          <w:tcPr>
            <w:tcW w:w="4035" w:type="dxa"/>
            <w:shd w:val="clear" w:color="auto" w:fill="FFFFFF" w:themeFill="background1"/>
            <w:vAlign w:val="top"/>
          </w:tcPr>
          <w:p w14:paraId="2130F3E2" w14:textId="14809A0E" w:rsidR="00342E7F" w:rsidRPr="00B172DC" w:rsidRDefault="00342E7F" w:rsidP="00342E7F">
            <w:pPr>
              <w:pStyle w:val="TableText0"/>
              <w:rPr>
                <w:rFonts w:asciiTheme="minorHAnsi" w:hAnsiTheme="minorHAnsi" w:cstheme="minorHAnsi"/>
                <w:szCs w:val="22"/>
              </w:rPr>
            </w:pPr>
            <w:r w:rsidRPr="007E6911">
              <w:rPr>
                <w:rFonts w:asciiTheme="minorHAnsi" w:hAnsiTheme="minorHAnsi" w:cstheme="minorHAnsi"/>
                <w:szCs w:val="22"/>
              </w:rPr>
              <w:t>CYPS – percentage of ATSI children</w:t>
            </w:r>
          </w:p>
        </w:tc>
      </w:tr>
      <w:tr w:rsidR="00342E7F" w:rsidRPr="00B172DC" w14:paraId="121E265A" w14:textId="77777777" w:rsidTr="00486EA0">
        <w:trPr>
          <w:cnfStyle w:val="000000100000" w:firstRow="0" w:lastRow="0" w:firstColumn="0" w:lastColumn="0" w:oddVBand="0" w:evenVBand="0" w:oddHBand="1" w:evenHBand="0" w:firstRowFirstColumn="0" w:firstRowLastColumn="0" w:lastRowFirstColumn="0" w:lastRowLastColumn="0"/>
        </w:trPr>
        <w:tc>
          <w:tcPr>
            <w:tcW w:w="808" w:type="dxa"/>
            <w:shd w:val="clear" w:color="auto" w:fill="FFFFFF" w:themeFill="background1"/>
            <w:vAlign w:val="top"/>
          </w:tcPr>
          <w:p w14:paraId="66C23C68" w14:textId="37A3BC7C" w:rsidR="00342E7F" w:rsidRPr="00B172DC" w:rsidRDefault="00342E7F" w:rsidP="00342E7F">
            <w:pPr>
              <w:pStyle w:val="TableText0"/>
              <w:jc w:val="center"/>
              <w:rPr>
                <w:rFonts w:asciiTheme="minorHAnsi" w:hAnsiTheme="minorHAnsi" w:cstheme="minorHAnsi"/>
                <w:sz w:val="22"/>
                <w:szCs w:val="22"/>
              </w:rPr>
            </w:pPr>
            <w:r w:rsidRPr="007E6911">
              <w:rPr>
                <w:rFonts w:asciiTheme="minorHAnsi" w:hAnsiTheme="minorHAnsi" w:cstheme="minorHAnsi"/>
                <w:sz w:val="22"/>
                <w:szCs w:val="22"/>
              </w:rPr>
              <w:t>HCW Health 3</w:t>
            </w:r>
          </w:p>
        </w:tc>
        <w:tc>
          <w:tcPr>
            <w:tcW w:w="1102" w:type="dxa"/>
            <w:shd w:val="clear" w:color="auto" w:fill="FFFFFF" w:themeFill="background1"/>
            <w:vAlign w:val="top"/>
          </w:tcPr>
          <w:p w14:paraId="4494504D" w14:textId="1E3EA717" w:rsidR="00342E7F" w:rsidRPr="00B172DC" w:rsidRDefault="00342E7F" w:rsidP="00342E7F">
            <w:pPr>
              <w:pStyle w:val="TableText0"/>
              <w:jc w:val="center"/>
              <w:rPr>
                <w:rFonts w:asciiTheme="minorHAnsi" w:hAnsiTheme="minorHAnsi" w:cstheme="minorHAnsi"/>
                <w:sz w:val="22"/>
                <w:szCs w:val="22"/>
              </w:rPr>
            </w:pPr>
            <w:r w:rsidRPr="00CA768B">
              <w:rPr>
                <w:rFonts w:asciiTheme="minorHAnsi" w:hAnsiTheme="minorHAnsi" w:cstheme="minorHAnsi"/>
                <w:sz w:val="22"/>
                <w:szCs w:val="22"/>
              </w:rPr>
              <w:t>5 03 21</w:t>
            </w:r>
          </w:p>
        </w:tc>
        <w:tc>
          <w:tcPr>
            <w:tcW w:w="1481" w:type="dxa"/>
            <w:shd w:val="clear" w:color="auto" w:fill="FFFFFF" w:themeFill="background1"/>
            <w:vAlign w:val="top"/>
          </w:tcPr>
          <w:p w14:paraId="08D970BE" w14:textId="6CF2E03E" w:rsidR="00342E7F" w:rsidRPr="00B172DC" w:rsidRDefault="00342E7F" w:rsidP="00342E7F">
            <w:pPr>
              <w:pStyle w:val="TableText0"/>
              <w:jc w:val="center"/>
              <w:rPr>
                <w:rFonts w:asciiTheme="minorHAnsi" w:hAnsiTheme="minorHAnsi" w:cstheme="minorHAnsi"/>
                <w:sz w:val="22"/>
                <w:szCs w:val="22"/>
              </w:rPr>
            </w:pPr>
            <w:r w:rsidRPr="00782044">
              <w:rPr>
                <w:rFonts w:asciiTheme="minorHAnsi" w:hAnsiTheme="minorHAnsi" w:cstheme="minorHAnsi"/>
                <w:sz w:val="22"/>
                <w:szCs w:val="22"/>
              </w:rPr>
              <w:t>Davis MLA</w:t>
            </w:r>
          </w:p>
        </w:tc>
        <w:tc>
          <w:tcPr>
            <w:tcW w:w="1959" w:type="dxa"/>
            <w:shd w:val="clear" w:color="auto" w:fill="FFFFFF" w:themeFill="background1"/>
            <w:vAlign w:val="top"/>
          </w:tcPr>
          <w:p w14:paraId="18C6E98A" w14:textId="0B784CFC" w:rsidR="00342E7F" w:rsidRPr="00B172DC" w:rsidRDefault="00342E7F" w:rsidP="00342E7F">
            <w:pPr>
              <w:pStyle w:val="TableText0"/>
              <w:jc w:val="center"/>
              <w:rPr>
                <w:rFonts w:asciiTheme="minorHAnsi" w:hAnsiTheme="minorHAnsi" w:cstheme="minorHAnsi"/>
                <w:sz w:val="22"/>
                <w:szCs w:val="22"/>
              </w:rPr>
            </w:pPr>
            <w:r w:rsidRPr="00BA2E24">
              <w:rPr>
                <w:rFonts w:asciiTheme="minorHAnsi" w:hAnsiTheme="minorHAnsi" w:cstheme="minorHAnsi"/>
                <w:sz w:val="22"/>
                <w:szCs w:val="22"/>
              </w:rPr>
              <w:t>Canberra Health Services</w:t>
            </w:r>
          </w:p>
        </w:tc>
        <w:tc>
          <w:tcPr>
            <w:tcW w:w="4035" w:type="dxa"/>
            <w:shd w:val="clear" w:color="auto" w:fill="FFFFFF" w:themeFill="background1"/>
            <w:vAlign w:val="top"/>
          </w:tcPr>
          <w:p w14:paraId="21FA15AC" w14:textId="24A2C4DC" w:rsidR="00342E7F" w:rsidRPr="00B172DC" w:rsidRDefault="00342E7F" w:rsidP="00342E7F">
            <w:pPr>
              <w:pStyle w:val="TableText0"/>
              <w:rPr>
                <w:rFonts w:asciiTheme="minorHAnsi" w:hAnsiTheme="minorHAnsi" w:cstheme="minorHAnsi"/>
                <w:sz w:val="22"/>
                <w:szCs w:val="22"/>
              </w:rPr>
            </w:pPr>
            <w:r w:rsidRPr="007E6911">
              <w:rPr>
                <w:rFonts w:asciiTheme="minorHAnsi" w:hAnsiTheme="minorHAnsi" w:cstheme="minorHAnsi"/>
                <w:sz w:val="22"/>
                <w:szCs w:val="22"/>
              </w:rPr>
              <w:t>Bushfire 2020 results – action on indoor air quality</w:t>
            </w:r>
          </w:p>
        </w:tc>
      </w:tr>
      <w:tr w:rsidR="00342E7F" w:rsidRPr="00B172DC" w14:paraId="04CE819F" w14:textId="77777777" w:rsidTr="00486EA0">
        <w:tc>
          <w:tcPr>
            <w:tcW w:w="808" w:type="dxa"/>
            <w:shd w:val="clear" w:color="auto" w:fill="FFFFFF" w:themeFill="background1"/>
            <w:vAlign w:val="top"/>
          </w:tcPr>
          <w:p w14:paraId="29B20D62" w14:textId="1F82BA97" w:rsidR="00342E7F" w:rsidRPr="00B172DC" w:rsidRDefault="00342E7F" w:rsidP="00342E7F">
            <w:pPr>
              <w:pStyle w:val="TableText0"/>
              <w:jc w:val="center"/>
              <w:rPr>
                <w:rFonts w:asciiTheme="minorHAnsi" w:hAnsiTheme="minorHAnsi" w:cstheme="minorHAnsi"/>
                <w:szCs w:val="22"/>
              </w:rPr>
            </w:pPr>
            <w:r w:rsidRPr="007E6911">
              <w:rPr>
                <w:rFonts w:asciiTheme="minorHAnsi" w:hAnsiTheme="minorHAnsi" w:cstheme="minorHAnsi"/>
                <w:szCs w:val="22"/>
              </w:rPr>
              <w:t>HCW Health 4</w:t>
            </w:r>
          </w:p>
        </w:tc>
        <w:tc>
          <w:tcPr>
            <w:tcW w:w="1102" w:type="dxa"/>
            <w:shd w:val="clear" w:color="auto" w:fill="FFFFFF" w:themeFill="background1"/>
            <w:vAlign w:val="top"/>
          </w:tcPr>
          <w:p w14:paraId="2EB83568" w14:textId="649CE3F0" w:rsidR="00342E7F" w:rsidRPr="00B172DC" w:rsidRDefault="00342E7F" w:rsidP="00342E7F">
            <w:pPr>
              <w:pStyle w:val="TableText0"/>
              <w:jc w:val="center"/>
              <w:rPr>
                <w:rFonts w:asciiTheme="minorHAnsi" w:hAnsiTheme="minorHAnsi" w:cstheme="minorHAnsi"/>
                <w:szCs w:val="22"/>
              </w:rPr>
            </w:pPr>
            <w:r w:rsidRPr="00CA768B">
              <w:rPr>
                <w:rFonts w:asciiTheme="minorHAnsi" w:hAnsiTheme="minorHAnsi" w:cstheme="minorHAnsi"/>
                <w:szCs w:val="22"/>
              </w:rPr>
              <w:t>5 03 21</w:t>
            </w:r>
          </w:p>
        </w:tc>
        <w:tc>
          <w:tcPr>
            <w:tcW w:w="1481" w:type="dxa"/>
            <w:shd w:val="clear" w:color="auto" w:fill="FFFFFF" w:themeFill="background1"/>
            <w:vAlign w:val="top"/>
          </w:tcPr>
          <w:p w14:paraId="6BE59139" w14:textId="3C918F4E" w:rsidR="00342E7F" w:rsidRPr="00B172DC" w:rsidRDefault="00342E7F" w:rsidP="00342E7F">
            <w:pPr>
              <w:pStyle w:val="TableText0"/>
              <w:jc w:val="center"/>
              <w:rPr>
                <w:rFonts w:asciiTheme="minorHAnsi" w:hAnsiTheme="minorHAnsi" w:cstheme="minorHAnsi"/>
                <w:szCs w:val="22"/>
              </w:rPr>
            </w:pPr>
            <w:r w:rsidRPr="00782044">
              <w:rPr>
                <w:rFonts w:asciiTheme="minorHAnsi" w:hAnsiTheme="minorHAnsi" w:cstheme="minorHAnsi"/>
                <w:szCs w:val="22"/>
              </w:rPr>
              <w:t>Davis MLA</w:t>
            </w:r>
          </w:p>
        </w:tc>
        <w:tc>
          <w:tcPr>
            <w:tcW w:w="1959" w:type="dxa"/>
            <w:shd w:val="clear" w:color="auto" w:fill="FFFFFF" w:themeFill="background1"/>
            <w:vAlign w:val="top"/>
          </w:tcPr>
          <w:p w14:paraId="61012B9F" w14:textId="212E0743" w:rsidR="00342E7F" w:rsidRPr="00B172DC" w:rsidRDefault="00342E7F" w:rsidP="00342E7F">
            <w:pPr>
              <w:pStyle w:val="TableText0"/>
              <w:jc w:val="center"/>
              <w:rPr>
                <w:rFonts w:asciiTheme="minorHAnsi" w:hAnsiTheme="minorHAnsi" w:cstheme="minorHAnsi"/>
                <w:szCs w:val="22"/>
              </w:rPr>
            </w:pPr>
            <w:r w:rsidRPr="00BA2E24">
              <w:rPr>
                <w:rFonts w:asciiTheme="minorHAnsi" w:hAnsiTheme="minorHAnsi" w:cstheme="minorHAnsi"/>
                <w:szCs w:val="22"/>
              </w:rPr>
              <w:t>Canberra Health Services</w:t>
            </w:r>
          </w:p>
        </w:tc>
        <w:tc>
          <w:tcPr>
            <w:tcW w:w="4035" w:type="dxa"/>
            <w:shd w:val="clear" w:color="auto" w:fill="FFFFFF" w:themeFill="background1"/>
            <w:vAlign w:val="top"/>
          </w:tcPr>
          <w:p w14:paraId="04F34C9B" w14:textId="1366E120" w:rsidR="00342E7F" w:rsidRPr="00B172DC" w:rsidRDefault="00342E7F" w:rsidP="00342E7F">
            <w:pPr>
              <w:pStyle w:val="TableText0"/>
              <w:rPr>
                <w:rFonts w:asciiTheme="minorHAnsi" w:hAnsiTheme="minorHAnsi" w:cstheme="minorHAnsi"/>
                <w:szCs w:val="22"/>
              </w:rPr>
            </w:pPr>
            <w:r w:rsidRPr="007E6911">
              <w:rPr>
                <w:rFonts w:asciiTheme="minorHAnsi" w:hAnsiTheme="minorHAnsi" w:cstheme="minorHAnsi"/>
                <w:szCs w:val="22"/>
              </w:rPr>
              <w:t>ACT Health Promotion Grants - tobacco</w:t>
            </w:r>
          </w:p>
        </w:tc>
      </w:tr>
      <w:tr w:rsidR="00342E7F" w:rsidRPr="00B172DC" w14:paraId="359E4550" w14:textId="77777777" w:rsidTr="00486EA0">
        <w:trPr>
          <w:cnfStyle w:val="000000100000" w:firstRow="0" w:lastRow="0" w:firstColumn="0" w:lastColumn="0" w:oddVBand="0" w:evenVBand="0" w:oddHBand="1" w:evenHBand="0" w:firstRowFirstColumn="0" w:firstRowLastColumn="0" w:lastRowFirstColumn="0" w:lastRowLastColumn="0"/>
        </w:trPr>
        <w:tc>
          <w:tcPr>
            <w:tcW w:w="808" w:type="dxa"/>
            <w:shd w:val="clear" w:color="auto" w:fill="FFFFFF" w:themeFill="background1"/>
            <w:vAlign w:val="top"/>
          </w:tcPr>
          <w:p w14:paraId="014F63CB" w14:textId="753CE8A7" w:rsidR="00342E7F" w:rsidRPr="00B172DC" w:rsidRDefault="00342E7F" w:rsidP="00342E7F">
            <w:pPr>
              <w:pStyle w:val="TableText0"/>
              <w:jc w:val="center"/>
              <w:rPr>
                <w:rFonts w:asciiTheme="minorHAnsi" w:hAnsiTheme="minorHAnsi" w:cstheme="minorHAnsi"/>
                <w:sz w:val="22"/>
                <w:szCs w:val="22"/>
              </w:rPr>
            </w:pPr>
            <w:r w:rsidRPr="007E6911">
              <w:rPr>
                <w:rFonts w:asciiTheme="minorHAnsi" w:hAnsiTheme="minorHAnsi" w:cstheme="minorHAnsi"/>
                <w:sz w:val="22"/>
                <w:szCs w:val="22"/>
              </w:rPr>
              <w:t>HCW Health 5</w:t>
            </w:r>
          </w:p>
        </w:tc>
        <w:tc>
          <w:tcPr>
            <w:tcW w:w="1102" w:type="dxa"/>
            <w:shd w:val="clear" w:color="auto" w:fill="FFFFFF" w:themeFill="background1"/>
            <w:vAlign w:val="top"/>
          </w:tcPr>
          <w:p w14:paraId="5DB40A9B" w14:textId="71E14C12" w:rsidR="00342E7F" w:rsidRPr="00B172DC" w:rsidRDefault="00342E7F" w:rsidP="00342E7F">
            <w:pPr>
              <w:pStyle w:val="TableText0"/>
              <w:jc w:val="center"/>
              <w:rPr>
                <w:rFonts w:asciiTheme="minorHAnsi" w:hAnsiTheme="minorHAnsi" w:cstheme="minorHAnsi"/>
                <w:sz w:val="22"/>
                <w:szCs w:val="22"/>
              </w:rPr>
            </w:pPr>
            <w:r w:rsidRPr="00CA768B">
              <w:rPr>
                <w:rFonts w:asciiTheme="minorHAnsi" w:hAnsiTheme="minorHAnsi" w:cstheme="minorHAnsi"/>
                <w:sz w:val="22"/>
                <w:szCs w:val="22"/>
              </w:rPr>
              <w:t>5 03 21</w:t>
            </w:r>
          </w:p>
        </w:tc>
        <w:tc>
          <w:tcPr>
            <w:tcW w:w="1481" w:type="dxa"/>
            <w:shd w:val="clear" w:color="auto" w:fill="FFFFFF" w:themeFill="background1"/>
            <w:vAlign w:val="top"/>
          </w:tcPr>
          <w:p w14:paraId="5F07CE6D" w14:textId="37336E31" w:rsidR="00342E7F" w:rsidRPr="00B172DC" w:rsidRDefault="00342E7F" w:rsidP="00342E7F">
            <w:pPr>
              <w:pStyle w:val="TableText0"/>
              <w:jc w:val="center"/>
              <w:rPr>
                <w:rFonts w:asciiTheme="minorHAnsi" w:hAnsiTheme="minorHAnsi" w:cstheme="minorHAnsi"/>
                <w:sz w:val="22"/>
                <w:szCs w:val="22"/>
              </w:rPr>
            </w:pPr>
            <w:r w:rsidRPr="00782044">
              <w:rPr>
                <w:rFonts w:asciiTheme="minorHAnsi" w:hAnsiTheme="minorHAnsi" w:cstheme="minorHAnsi"/>
                <w:sz w:val="22"/>
                <w:szCs w:val="22"/>
              </w:rPr>
              <w:t>Davis MLA</w:t>
            </w:r>
          </w:p>
        </w:tc>
        <w:tc>
          <w:tcPr>
            <w:tcW w:w="1959" w:type="dxa"/>
            <w:shd w:val="clear" w:color="auto" w:fill="FFFFFF" w:themeFill="background1"/>
            <w:vAlign w:val="top"/>
          </w:tcPr>
          <w:p w14:paraId="4987030A" w14:textId="7DD95327" w:rsidR="00342E7F" w:rsidRPr="00B172DC" w:rsidRDefault="00342E7F" w:rsidP="00342E7F">
            <w:pPr>
              <w:pStyle w:val="TableText0"/>
              <w:jc w:val="center"/>
              <w:rPr>
                <w:rFonts w:asciiTheme="minorHAnsi" w:hAnsiTheme="minorHAnsi" w:cstheme="minorHAnsi"/>
                <w:sz w:val="22"/>
                <w:szCs w:val="22"/>
              </w:rPr>
            </w:pPr>
            <w:r w:rsidRPr="00BA2E24">
              <w:rPr>
                <w:rFonts w:asciiTheme="minorHAnsi" w:hAnsiTheme="minorHAnsi" w:cstheme="minorHAnsi"/>
                <w:sz w:val="22"/>
                <w:szCs w:val="22"/>
              </w:rPr>
              <w:t>Canberra Health Services</w:t>
            </w:r>
          </w:p>
        </w:tc>
        <w:tc>
          <w:tcPr>
            <w:tcW w:w="4035" w:type="dxa"/>
            <w:shd w:val="clear" w:color="auto" w:fill="FFFFFF" w:themeFill="background1"/>
            <w:vAlign w:val="top"/>
          </w:tcPr>
          <w:p w14:paraId="5B8C6F7F" w14:textId="6CD73AC0" w:rsidR="00342E7F" w:rsidRPr="00B172DC" w:rsidRDefault="00342E7F" w:rsidP="00342E7F">
            <w:pPr>
              <w:pStyle w:val="TableText0"/>
              <w:rPr>
                <w:rFonts w:asciiTheme="minorHAnsi" w:hAnsiTheme="minorHAnsi" w:cstheme="minorHAnsi"/>
                <w:sz w:val="22"/>
                <w:szCs w:val="22"/>
              </w:rPr>
            </w:pPr>
            <w:r w:rsidRPr="007E6911">
              <w:rPr>
                <w:rFonts w:asciiTheme="minorHAnsi" w:hAnsiTheme="minorHAnsi" w:cstheme="minorHAnsi"/>
                <w:sz w:val="22"/>
                <w:szCs w:val="22"/>
              </w:rPr>
              <w:t>Health impacts on staff, patients etc from bushfire events</w:t>
            </w:r>
          </w:p>
        </w:tc>
      </w:tr>
      <w:tr w:rsidR="00342E7F" w:rsidRPr="00B172DC" w14:paraId="00DEF656" w14:textId="77777777" w:rsidTr="00486EA0">
        <w:tc>
          <w:tcPr>
            <w:tcW w:w="808" w:type="dxa"/>
            <w:shd w:val="clear" w:color="auto" w:fill="FFFFFF" w:themeFill="background1"/>
            <w:vAlign w:val="top"/>
          </w:tcPr>
          <w:p w14:paraId="13D5D04D" w14:textId="3CB6388B" w:rsidR="00342E7F" w:rsidRPr="00B172DC" w:rsidRDefault="00342E7F" w:rsidP="00342E7F">
            <w:pPr>
              <w:pStyle w:val="TableText0"/>
              <w:jc w:val="center"/>
              <w:rPr>
                <w:rFonts w:asciiTheme="minorHAnsi" w:hAnsiTheme="minorHAnsi" w:cstheme="minorHAnsi"/>
                <w:szCs w:val="22"/>
              </w:rPr>
            </w:pPr>
            <w:r w:rsidRPr="007E6911">
              <w:rPr>
                <w:rFonts w:asciiTheme="minorHAnsi" w:hAnsiTheme="minorHAnsi" w:cstheme="minorHAnsi"/>
                <w:szCs w:val="22"/>
              </w:rPr>
              <w:t>HCW Health 6</w:t>
            </w:r>
          </w:p>
        </w:tc>
        <w:tc>
          <w:tcPr>
            <w:tcW w:w="1102" w:type="dxa"/>
            <w:shd w:val="clear" w:color="auto" w:fill="FFFFFF" w:themeFill="background1"/>
            <w:vAlign w:val="top"/>
          </w:tcPr>
          <w:p w14:paraId="0CA4E355" w14:textId="6B303F3B" w:rsidR="00342E7F" w:rsidRPr="00B172DC" w:rsidRDefault="00342E7F" w:rsidP="00342E7F">
            <w:pPr>
              <w:pStyle w:val="TableText0"/>
              <w:jc w:val="center"/>
              <w:rPr>
                <w:rFonts w:asciiTheme="minorHAnsi" w:hAnsiTheme="minorHAnsi" w:cstheme="minorHAnsi"/>
                <w:szCs w:val="22"/>
              </w:rPr>
            </w:pPr>
            <w:r w:rsidRPr="00CA768B">
              <w:rPr>
                <w:rFonts w:asciiTheme="minorHAnsi" w:hAnsiTheme="minorHAnsi" w:cstheme="minorHAnsi"/>
                <w:szCs w:val="22"/>
              </w:rPr>
              <w:t>5 03 21</w:t>
            </w:r>
          </w:p>
        </w:tc>
        <w:tc>
          <w:tcPr>
            <w:tcW w:w="1481" w:type="dxa"/>
            <w:shd w:val="clear" w:color="auto" w:fill="FFFFFF" w:themeFill="background1"/>
            <w:vAlign w:val="top"/>
          </w:tcPr>
          <w:p w14:paraId="2CB1E0B0" w14:textId="4B1712E2" w:rsidR="00342E7F" w:rsidRPr="00B172DC" w:rsidRDefault="00342E7F" w:rsidP="00342E7F">
            <w:pPr>
              <w:pStyle w:val="TableText0"/>
              <w:jc w:val="center"/>
              <w:rPr>
                <w:rFonts w:asciiTheme="minorHAnsi" w:hAnsiTheme="minorHAnsi" w:cstheme="minorHAnsi"/>
                <w:szCs w:val="22"/>
              </w:rPr>
            </w:pPr>
            <w:r w:rsidRPr="00782044">
              <w:rPr>
                <w:rFonts w:asciiTheme="minorHAnsi" w:hAnsiTheme="minorHAnsi" w:cstheme="minorHAnsi"/>
                <w:szCs w:val="22"/>
              </w:rPr>
              <w:t>Davis MLA</w:t>
            </w:r>
          </w:p>
        </w:tc>
        <w:tc>
          <w:tcPr>
            <w:tcW w:w="1959" w:type="dxa"/>
            <w:shd w:val="clear" w:color="auto" w:fill="FFFFFF" w:themeFill="background1"/>
            <w:vAlign w:val="top"/>
          </w:tcPr>
          <w:p w14:paraId="3F058B3E" w14:textId="1557F9C1" w:rsidR="00342E7F" w:rsidRPr="00B172DC" w:rsidRDefault="00342E7F" w:rsidP="00342E7F">
            <w:pPr>
              <w:pStyle w:val="TableText0"/>
              <w:jc w:val="center"/>
              <w:rPr>
                <w:rFonts w:asciiTheme="minorHAnsi" w:hAnsiTheme="minorHAnsi" w:cstheme="minorHAnsi"/>
                <w:szCs w:val="22"/>
              </w:rPr>
            </w:pPr>
            <w:r w:rsidRPr="00BA2E24">
              <w:rPr>
                <w:rFonts w:asciiTheme="minorHAnsi" w:hAnsiTheme="minorHAnsi" w:cstheme="minorHAnsi"/>
                <w:szCs w:val="22"/>
              </w:rPr>
              <w:t>Canberra Health Services</w:t>
            </w:r>
          </w:p>
        </w:tc>
        <w:tc>
          <w:tcPr>
            <w:tcW w:w="4035" w:type="dxa"/>
            <w:shd w:val="clear" w:color="auto" w:fill="FFFFFF" w:themeFill="background1"/>
            <w:vAlign w:val="top"/>
          </w:tcPr>
          <w:p w14:paraId="52BB920E" w14:textId="17F5C573" w:rsidR="00342E7F" w:rsidRPr="00B172DC" w:rsidRDefault="00342E7F" w:rsidP="00342E7F">
            <w:pPr>
              <w:pStyle w:val="TableText0"/>
              <w:rPr>
                <w:rFonts w:asciiTheme="minorHAnsi" w:hAnsiTheme="minorHAnsi" w:cstheme="minorHAnsi"/>
                <w:szCs w:val="22"/>
              </w:rPr>
            </w:pPr>
            <w:r w:rsidRPr="007E6911">
              <w:rPr>
                <w:rFonts w:asciiTheme="minorHAnsi" w:hAnsiTheme="minorHAnsi" w:cstheme="minorHAnsi"/>
                <w:szCs w:val="22"/>
              </w:rPr>
              <w:t>Outreach Sexual Health Testing</w:t>
            </w:r>
          </w:p>
        </w:tc>
      </w:tr>
      <w:tr w:rsidR="00342E7F" w:rsidRPr="00B172DC" w14:paraId="3C0B0208" w14:textId="77777777" w:rsidTr="00486EA0">
        <w:trPr>
          <w:cnfStyle w:val="000000100000" w:firstRow="0" w:lastRow="0" w:firstColumn="0" w:lastColumn="0" w:oddVBand="0" w:evenVBand="0" w:oddHBand="1" w:evenHBand="0" w:firstRowFirstColumn="0" w:firstRowLastColumn="0" w:lastRowFirstColumn="0" w:lastRowLastColumn="0"/>
        </w:trPr>
        <w:tc>
          <w:tcPr>
            <w:tcW w:w="808" w:type="dxa"/>
            <w:shd w:val="clear" w:color="auto" w:fill="FFFFFF" w:themeFill="background1"/>
            <w:vAlign w:val="top"/>
          </w:tcPr>
          <w:p w14:paraId="049CED27" w14:textId="35A3F94C" w:rsidR="00342E7F" w:rsidRPr="00B172DC" w:rsidRDefault="00342E7F" w:rsidP="00342E7F">
            <w:pPr>
              <w:pStyle w:val="TableText0"/>
              <w:jc w:val="center"/>
              <w:rPr>
                <w:rFonts w:asciiTheme="minorHAnsi" w:hAnsiTheme="minorHAnsi" w:cstheme="minorHAnsi"/>
                <w:sz w:val="22"/>
                <w:szCs w:val="22"/>
              </w:rPr>
            </w:pPr>
            <w:r w:rsidRPr="007E6911">
              <w:rPr>
                <w:rFonts w:asciiTheme="minorHAnsi" w:hAnsiTheme="minorHAnsi" w:cstheme="minorHAnsi"/>
                <w:sz w:val="22"/>
                <w:szCs w:val="22"/>
              </w:rPr>
              <w:t>HCW Health 7</w:t>
            </w:r>
          </w:p>
        </w:tc>
        <w:tc>
          <w:tcPr>
            <w:tcW w:w="1102" w:type="dxa"/>
            <w:shd w:val="clear" w:color="auto" w:fill="FFFFFF" w:themeFill="background1"/>
            <w:vAlign w:val="top"/>
          </w:tcPr>
          <w:p w14:paraId="1342B595" w14:textId="34F69B77" w:rsidR="00342E7F" w:rsidRPr="00B172DC" w:rsidRDefault="00342E7F" w:rsidP="00342E7F">
            <w:pPr>
              <w:pStyle w:val="TableText0"/>
              <w:jc w:val="center"/>
              <w:rPr>
                <w:rFonts w:asciiTheme="minorHAnsi" w:hAnsiTheme="minorHAnsi" w:cstheme="minorHAnsi"/>
                <w:sz w:val="22"/>
                <w:szCs w:val="22"/>
              </w:rPr>
            </w:pPr>
            <w:r w:rsidRPr="00CA768B">
              <w:rPr>
                <w:rFonts w:asciiTheme="minorHAnsi" w:hAnsiTheme="minorHAnsi" w:cstheme="minorHAnsi"/>
                <w:sz w:val="22"/>
                <w:szCs w:val="22"/>
              </w:rPr>
              <w:t>5 03 21</w:t>
            </w:r>
          </w:p>
        </w:tc>
        <w:tc>
          <w:tcPr>
            <w:tcW w:w="1481" w:type="dxa"/>
            <w:shd w:val="clear" w:color="auto" w:fill="FFFFFF" w:themeFill="background1"/>
            <w:vAlign w:val="top"/>
          </w:tcPr>
          <w:p w14:paraId="013CCDE3" w14:textId="4F3C5413" w:rsidR="00342E7F" w:rsidRPr="00B172DC" w:rsidRDefault="00342E7F" w:rsidP="00342E7F">
            <w:pPr>
              <w:pStyle w:val="TableText0"/>
              <w:jc w:val="center"/>
              <w:rPr>
                <w:rFonts w:asciiTheme="minorHAnsi" w:hAnsiTheme="minorHAnsi" w:cstheme="minorHAnsi"/>
                <w:sz w:val="22"/>
                <w:szCs w:val="22"/>
              </w:rPr>
            </w:pPr>
            <w:r w:rsidRPr="00782044">
              <w:rPr>
                <w:rFonts w:asciiTheme="minorHAnsi" w:hAnsiTheme="minorHAnsi" w:cstheme="minorHAnsi"/>
                <w:sz w:val="22"/>
                <w:szCs w:val="22"/>
              </w:rPr>
              <w:t>Davis MLA</w:t>
            </w:r>
          </w:p>
        </w:tc>
        <w:tc>
          <w:tcPr>
            <w:tcW w:w="1959" w:type="dxa"/>
            <w:shd w:val="clear" w:color="auto" w:fill="FFFFFF" w:themeFill="background1"/>
            <w:vAlign w:val="top"/>
          </w:tcPr>
          <w:p w14:paraId="14B32CE1" w14:textId="6B151AE1" w:rsidR="00342E7F" w:rsidRPr="00B172DC" w:rsidRDefault="00342E7F" w:rsidP="00342E7F">
            <w:pPr>
              <w:pStyle w:val="TableText0"/>
              <w:jc w:val="center"/>
              <w:rPr>
                <w:rFonts w:asciiTheme="minorHAnsi" w:hAnsiTheme="minorHAnsi" w:cstheme="minorHAnsi"/>
                <w:sz w:val="22"/>
                <w:szCs w:val="22"/>
              </w:rPr>
            </w:pPr>
            <w:r w:rsidRPr="00BA2E24">
              <w:rPr>
                <w:rFonts w:asciiTheme="minorHAnsi" w:hAnsiTheme="minorHAnsi" w:cstheme="minorHAnsi"/>
                <w:sz w:val="22"/>
                <w:szCs w:val="22"/>
              </w:rPr>
              <w:t>Canberra Health Services</w:t>
            </w:r>
          </w:p>
        </w:tc>
        <w:tc>
          <w:tcPr>
            <w:tcW w:w="4035" w:type="dxa"/>
            <w:shd w:val="clear" w:color="auto" w:fill="FFFFFF" w:themeFill="background1"/>
            <w:vAlign w:val="top"/>
          </w:tcPr>
          <w:p w14:paraId="38CD6E3E" w14:textId="4AA47D41" w:rsidR="00342E7F" w:rsidRPr="00B172DC" w:rsidRDefault="00342E7F" w:rsidP="00342E7F">
            <w:pPr>
              <w:pStyle w:val="TableText0"/>
              <w:rPr>
                <w:rFonts w:asciiTheme="minorHAnsi" w:hAnsiTheme="minorHAnsi" w:cstheme="minorHAnsi"/>
                <w:sz w:val="22"/>
                <w:szCs w:val="22"/>
              </w:rPr>
            </w:pPr>
            <w:r w:rsidRPr="007E6911">
              <w:rPr>
                <w:rFonts w:asciiTheme="minorHAnsi" w:hAnsiTheme="minorHAnsi" w:cstheme="minorHAnsi"/>
                <w:sz w:val="22"/>
                <w:szCs w:val="22"/>
              </w:rPr>
              <w:t>Emergency Dept streaming</w:t>
            </w:r>
          </w:p>
        </w:tc>
      </w:tr>
      <w:tr w:rsidR="00342E7F" w:rsidRPr="00B172DC" w14:paraId="67F8D870" w14:textId="77777777" w:rsidTr="00486EA0">
        <w:tc>
          <w:tcPr>
            <w:tcW w:w="808" w:type="dxa"/>
            <w:shd w:val="clear" w:color="auto" w:fill="FFFFFF" w:themeFill="background1"/>
            <w:vAlign w:val="top"/>
          </w:tcPr>
          <w:p w14:paraId="0D59B571" w14:textId="6E9FB96A" w:rsidR="00342E7F" w:rsidRPr="00B172DC" w:rsidRDefault="00342E7F" w:rsidP="00342E7F">
            <w:pPr>
              <w:pStyle w:val="TableText0"/>
              <w:jc w:val="center"/>
              <w:rPr>
                <w:rFonts w:asciiTheme="minorHAnsi" w:hAnsiTheme="minorHAnsi" w:cstheme="minorHAnsi"/>
                <w:szCs w:val="22"/>
              </w:rPr>
            </w:pPr>
            <w:r w:rsidRPr="007E6911">
              <w:rPr>
                <w:rFonts w:asciiTheme="minorHAnsi" w:hAnsiTheme="minorHAnsi" w:cstheme="minorHAnsi"/>
                <w:szCs w:val="22"/>
              </w:rPr>
              <w:t>HCW Health 8</w:t>
            </w:r>
          </w:p>
        </w:tc>
        <w:tc>
          <w:tcPr>
            <w:tcW w:w="1102" w:type="dxa"/>
            <w:shd w:val="clear" w:color="auto" w:fill="FFFFFF" w:themeFill="background1"/>
            <w:vAlign w:val="top"/>
          </w:tcPr>
          <w:p w14:paraId="45925CEF" w14:textId="73B706C2" w:rsidR="00342E7F" w:rsidRPr="00B172DC" w:rsidRDefault="00342E7F" w:rsidP="00342E7F">
            <w:pPr>
              <w:pStyle w:val="TableText0"/>
              <w:jc w:val="center"/>
              <w:rPr>
                <w:rFonts w:asciiTheme="minorHAnsi" w:hAnsiTheme="minorHAnsi" w:cstheme="minorHAnsi"/>
                <w:szCs w:val="22"/>
              </w:rPr>
            </w:pPr>
            <w:r w:rsidRPr="00CA768B">
              <w:rPr>
                <w:rFonts w:asciiTheme="minorHAnsi" w:hAnsiTheme="minorHAnsi" w:cstheme="minorHAnsi"/>
                <w:szCs w:val="22"/>
              </w:rPr>
              <w:t>5 03 21</w:t>
            </w:r>
          </w:p>
        </w:tc>
        <w:tc>
          <w:tcPr>
            <w:tcW w:w="1481" w:type="dxa"/>
            <w:shd w:val="clear" w:color="auto" w:fill="FFFFFF" w:themeFill="background1"/>
            <w:vAlign w:val="top"/>
          </w:tcPr>
          <w:p w14:paraId="1B040F19" w14:textId="58722CED" w:rsidR="00342E7F" w:rsidRPr="00B172DC" w:rsidRDefault="00342E7F" w:rsidP="00342E7F">
            <w:pPr>
              <w:pStyle w:val="TableText0"/>
              <w:jc w:val="center"/>
              <w:rPr>
                <w:rFonts w:asciiTheme="minorHAnsi" w:hAnsiTheme="minorHAnsi" w:cstheme="minorHAnsi"/>
                <w:szCs w:val="22"/>
              </w:rPr>
            </w:pPr>
            <w:r w:rsidRPr="00782044">
              <w:rPr>
                <w:rFonts w:asciiTheme="minorHAnsi" w:hAnsiTheme="minorHAnsi" w:cstheme="minorHAnsi"/>
                <w:szCs w:val="22"/>
              </w:rPr>
              <w:t>Davis MLA</w:t>
            </w:r>
          </w:p>
        </w:tc>
        <w:tc>
          <w:tcPr>
            <w:tcW w:w="1959" w:type="dxa"/>
            <w:shd w:val="clear" w:color="auto" w:fill="FFFFFF" w:themeFill="background1"/>
            <w:vAlign w:val="top"/>
          </w:tcPr>
          <w:p w14:paraId="05C3F67F" w14:textId="23B52BAA" w:rsidR="00342E7F" w:rsidRPr="00B172DC" w:rsidRDefault="00342E7F" w:rsidP="00342E7F">
            <w:pPr>
              <w:pStyle w:val="TableText0"/>
              <w:jc w:val="center"/>
              <w:rPr>
                <w:rFonts w:asciiTheme="minorHAnsi" w:hAnsiTheme="minorHAnsi" w:cstheme="minorHAnsi"/>
                <w:szCs w:val="22"/>
              </w:rPr>
            </w:pPr>
            <w:r w:rsidRPr="00BA2E24">
              <w:rPr>
                <w:rFonts w:asciiTheme="minorHAnsi" w:hAnsiTheme="minorHAnsi" w:cstheme="minorHAnsi"/>
                <w:szCs w:val="22"/>
              </w:rPr>
              <w:t>Canberra Health Services</w:t>
            </w:r>
          </w:p>
        </w:tc>
        <w:tc>
          <w:tcPr>
            <w:tcW w:w="4035" w:type="dxa"/>
            <w:shd w:val="clear" w:color="auto" w:fill="FFFFFF" w:themeFill="background1"/>
            <w:vAlign w:val="top"/>
          </w:tcPr>
          <w:p w14:paraId="49D41365" w14:textId="23661476" w:rsidR="00342E7F" w:rsidRPr="00B172DC" w:rsidRDefault="00342E7F" w:rsidP="00342E7F">
            <w:pPr>
              <w:pStyle w:val="TableText0"/>
              <w:rPr>
                <w:rFonts w:asciiTheme="minorHAnsi" w:hAnsiTheme="minorHAnsi" w:cstheme="minorHAnsi"/>
                <w:szCs w:val="22"/>
              </w:rPr>
            </w:pPr>
            <w:r w:rsidRPr="007E6911">
              <w:rPr>
                <w:rFonts w:asciiTheme="minorHAnsi" w:hAnsiTheme="minorHAnsi" w:cstheme="minorHAnsi"/>
                <w:szCs w:val="22"/>
              </w:rPr>
              <w:t>Walk-in Centres</w:t>
            </w:r>
          </w:p>
        </w:tc>
      </w:tr>
      <w:tr w:rsidR="00342E7F" w:rsidRPr="00B172DC" w14:paraId="79A8A9AA" w14:textId="77777777" w:rsidTr="00486EA0">
        <w:trPr>
          <w:cnfStyle w:val="000000100000" w:firstRow="0" w:lastRow="0" w:firstColumn="0" w:lastColumn="0" w:oddVBand="0" w:evenVBand="0" w:oddHBand="1" w:evenHBand="0" w:firstRowFirstColumn="0" w:firstRowLastColumn="0" w:lastRowFirstColumn="0" w:lastRowLastColumn="0"/>
        </w:trPr>
        <w:tc>
          <w:tcPr>
            <w:tcW w:w="808" w:type="dxa"/>
            <w:shd w:val="clear" w:color="auto" w:fill="FFFFFF" w:themeFill="background1"/>
            <w:vAlign w:val="top"/>
          </w:tcPr>
          <w:p w14:paraId="50943D38" w14:textId="00990B6D" w:rsidR="00342E7F" w:rsidRPr="00B172DC" w:rsidRDefault="00342E7F" w:rsidP="00342E7F">
            <w:pPr>
              <w:pStyle w:val="TableText0"/>
              <w:jc w:val="center"/>
              <w:rPr>
                <w:rFonts w:asciiTheme="minorHAnsi" w:hAnsiTheme="minorHAnsi" w:cstheme="minorHAnsi"/>
                <w:sz w:val="22"/>
                <w:szCs w:val="22"/>
              </w:rPr>
            </w:pPr>
            <w:r w:rsidRPr="007E6911">
              <w:rPr>
                <w:rFonts w:asciiTheme="minorHAnsi" w:hAnsiTheme="minorHAnsi" w:cstheme="minorHAnsi"/>
                <w:sz w:val="22"/>
                <w:szCs w:val="22"/>
              </w:rPr>
              <w:t>HCW Health 9</w:t>
            </w:r>
          </w:p>
        </w:tc>
        <w:tc>
          <w:tcPr>
            <w:tcW w:w="1102" w:type="dxa"/>
            <w:shd w:val="clear" w:color="auto" w:fill="FFFFFF" w:themeFill="background1"/>
            <w:vAlign w:val="top"/>
          </w:tcPr>
          <w:p w14:paraId="61FD62D6" w14:textId="4F8B3B35" w:rsidR="00342E7F" w:rsidRPr="00B172DC" w:rsidRDefault="00342E7F" w:rsidP="00342E7F">
            <w:pPr>
              <w:pStyle w:val="TableText0"/>
              <w:jc w:val="center"/>
              <w:rPr>
                <w:rFonts w:asciiTheme="minorHAnsi" w:hAnsiTheme="minorHAnsi" w:cstheme="minorHAnsi"/>
                <w:sz w:val="22"/>
                <w:szCs w:val="22"/>
              </w:rPr>
            </w:pPr>
            <w:r w:rsidRPr="00CA768B">
              <w:rPr>
                <w:rFonts w:asciiTheme="minorHAnsi" w:hAnsiTheme="minorHAnsi" w:cstheme="minorHAnsi"/>
                <w:sz w:val="22"/>
                <w:szCs w:val="22"/>
              </w:rPr>
              <w:t>5 03 21</w:t>
            </w:r>
          </w:p>
        </w:tc>
        <w:tc>
          <w:tcPr>
            <w:tcW w:w="1481" w:type="dxa"/>
            <w:shd w:val="clear" w:color="auto" w:fill="FFFFFF" w:themeFill="background1"/>
            <w:vAlign w:val="top"/>
          </w:tcPr>
          <w:p w14:paraId="50C58F3F" w14:textId="2F3259A3" w:rsidR="00342E7F" w:rsidRPr="00B172DC" w:rsidRDefault="00342E7F" w:rsidP="00342E7F">
            <w:pPr>
              <w:pStyle w:val="TableText0"/>
              <w:jc w:val="center"/>
              <w:rPr>
                <w:rFonts w:asciiTheme="minorHAnsi" w:hAnsiTheme="minorHAnsi" w:cstheme="minorHAnsi"/>
                <w:sz w:val="22"/>
                <w:szCs w:val="22"/>
              </w:rPr>
            </w:pPr>
            <w:r w:rsidRPr="00782044">
              <w:rPr>
                <w:rFonts w:asciiTheme="minorHAnsi" w:hAnsiTheme="minorHAnsi" w:cstheme="minorHAnsi"/>
                <w:sz w:val="22"/>
                <w:szCs w:val="22"/>
              </w:rPr>
              <w:t>Davis MLA</w:t>
            </w:r>
          </w:p>
        </w:tc>
        <w:tc>
          <w:tcPr>
            <w:tcW w:w="1959" w:type="dxa"/>
            <w:shd w:val="clear" w:color="auto" w:fill="FFFFFF" w:themeFill="background1"/>
            <w:vAlign w:val="top"/>
          </w:tcPr>
          <w:p w14:paraId="4615461E" w14:textId="7858F165" w:rsidR="00342E7F" w:rsidRPr="00B172DC" w:rsidRDefault="00342E7F" w:rsidP="00342E7F">
            <w:pPr>
              <w:pStyle w:val="TableText0"/>
              <w:jc w:val="center"/>
              <w:rPr>
                <w:rFonts w:asciiTheme="minorHAnsi" w:hAnsiTheme="minorHAnsi" w:cstheme="minorHAnsi"/>
                <w:sz w:val="22"/>
                <w:szCs w:val="22"/>
              </w:rPr>
            </w:pPr>
            <w:r w:rsidRPr="00BA2E24">
              <w:rPr>
                <w:rFonts w:asciiTheme="minorHAnsi" w:hAnsiTheme="minorHAnsi" w:cstheme="minorHAnsi"/>
                <w:sz w:val="22"/>
                <w:szCs w:val="22"/>
              </w:rPr>
              <w:t>Canberra Health Services</w:t>
            </w:r>
          </w:p>
        </w:tc>
        <w:tc>
          <w:tcPr>
            <w:tcW w:w="4035" w:type="dxa"/>
            <w:shd w:val="clear" w:color="auto" w:fill="FFFFFF" w:themeFill="background1"/>
            <w:vAlign w:val="top"/>
          </w:tcPr>
          <w:p w14:paraId="392FCBC2" w14:textId="1E2BB149" w:rsidR="00342E7F" w:rsidRPr="00B172DC" w:rsidRDefault="00342E7F" w:rsidP="00342E7F">
            <w:pPr>
              <w:pStyle w:val="TableText0"/>
              <w:rPr>
                <w:rFonts w:asciiTheme="minorHAnsi" w:hAnsiTheme="minorHAnsi" w:cstheme="minorHAnsi"/>
                <w:sz w:val="22"/>
                <w:szCs w:val="22"/>
              </w:rPr>
            </w:pPr>
            <w:r w:rsidRPr="007E6911">
              <w:rPr>
                <w:rFonts w:asciiTheme="minorHAnsi" w:hAnsiTheme="minorHAnsi" w:cstheme="minorHAnsi"/>
                <w:sz w:val="22"/>
                <w:szCs w:val="22"/>
              </w:rPr>
              <w:t>Stillbirth and prenatal care</w:t>
            </w:r>
          </w:p>
        </w:tc>
      </w:tr>
      <w:tr w:rsidR="00342E7F" w:rsidRPr="00B172DC" w14:paraId="11CA0FC3" w14:textId="77777777" w:rsidTr="00486EA0">
        <w:tc>
          <w:tcPr>
            <w:tcW w:w="808" w:type="dxa"/>
            <w:shd w:val="clear" w:color="auto" w:fill="FFFFFF" w:themeFill="background1"/>
            <w:vAlign w:val="top"/>
          </w:tcPr>
          <w:p w14:paraId="5681D6F1" w14:textId="0A580814" w:rsidR="00342E7F" w:rsidRPr="00B172DC" w:rsidRDefault="00342E7F" w:rsidP="00342E7F">
            <w:pPr>
              <w:pStyle w:val="TableText0"/>
              <w:jc w:val="center"/>
              <w:rPr>
                <w:rFonts w:asciiTheme="minorHAnsi" w:hAnsiTheme="minorHAnsi" w:cstheme="minorHAnsi"/>
                <w:szCs w:val="22"/>
              </w:rPr>
            </w:pPr>
            <w:r w:rsidRPr="007E6911">
              <w:rPr>
                <w:rFonts w:asciiTheme="minorHAnsi" w:hAnsiTheme="minorHAnsi" w:cstheme="minorHAnsi"/>
                <w:szCs w:val="22"/>
              </w:rPr>
              <w:t>HCW Health 10</w:t>
            </w:r>
          </w:p>
        </w:tc>
        <w:tc>
          <w:tcPr>
            <w:tcW w:w="1102" w:type="dxa"/>
            <w:shd w:val="clear" w:color="auto" w:fill="FFFFFF" w:themeFill="background1"/>
            <w:vAlign w:val="top"/>
          </w:tcPr>
          <w:p w14:paraId="4E1FC2E0" w14:textId="2B6B4E7A" w:rsidR="00342E7F" w:rsidRPr="00B172DC" w:rsidRDefault="00342E7F" w:rsidP="00342E7F">
            <w:pPr>
              <w:pStyle w:val="TableText0"/>
              <w:jc w:val="center"/>
              <w:rPr>
                <w:rFonts w:asciiTheme="minorHAnsi" w:hAnsiTheme="minorHAnsi" w:cstheme="minorHAnsi"/>
                <w:szCs w:val="22"/>
              </w:rPr>
            </w:pPr>
            <w:r w:rsidRPr="00CA768B">
              <w:rPr>
                <w:rFonts w:asciiTheme="minorHAnsi" w:hAnsiTheme="minorHAnsi" w:cstheme="minorHAnsi"/>
                <w:szCs w:val="22"/>
              </w:rPr>
              <w:t>5 03 21</w:t>
            </w:r>
          </w:p>
        </w:tc>
        <w:tc>
          <w:tcPr>
            <w:tcW w:w="1481" w:type="dxa"/>
            <w:shd w:val="clear" w:color="auto" w:fill="FFFFFF" w:themeFill="background1"/>
            <w:vAlign w:val="top"/>
          </w:tcPr>
          <w:p w14:paraId="3383F7B9" w14:textId="39A59E61" w:rsidR="00342E7F" w:rsidRPr="00B172DC" w:rsidRDefault="00342E7F" w:rsidP="00342E7F">
            <w:pPr>
              <w:pStyle w:val="TableText0"/>
              <w:jc w:val="center"/>
              <w:rPr>
                <w:rFonts w:asciiTheme="minorHAnsi" w:hAnsiTheme="minorHAnsi" w:cstheme="minorHAnsi"/>
                <w:szCs w:val="22"/>
              </w:rPr>
            </w:pPr>
            <w:r w:rsidRPr="00782044">
              <w:rPr>
                <w:rFonts w:asciiTheme="minorHAnsi" w:hAnsiTheme="minorHAnsi" w:cstheme="minorHAnsi"/>
                <w:szCs w:val="22"/>
              </w:rPr>
              <w:t>Davis MLA</w:t>
            </w:r>
          </w:p>
        </w:tc>
        <w:tc>
          <w:tcPr>
            <w:tcW w:w="1959" w:type="dxa"/>
            <w:shd w:val="clear" w:color="auto" w:fill="FFFFFF" w:themeFill="background1"/>
            <w:vAlign w:val="top"/>
          </w:tcPr>
          <w:p w14:paraId="68C340B5" w14:textId="3F85CD82" w:rsidR="00342E7F" w:rsidRPr="00B172DC" w:rsidRDefault="00342E7F" w:rsidP="00342E7F">
            <w:pPr>
              <w:pStyle w:val="TableText0"/>
              <w:jc w:val="center"/>
              <w:rPr>
                <w:rFonts w:asciiTheme="minorHAnsi" w:hAnsiTheme="minorHAnsi" w:cstheme="minorHAnsi"/>
                <w:szCs w:val="22"/>
              </w:rPr>
            </w:pPr>
            <w:r w:rsidRPr="00BA2E24">
              <w:rPr>
                <w:rFonts w:asciiTheme="minorHAnsi" w:hAnsiTheme="minorHAnsi" w:cstheme="minorHAnsi"/>
                <w:szCs w:val="22"/>
              </w:rPr>
              <w:t>Canberra Health Services</w:t>
            </w:r>
          </w:p>
        </w:tc>
        <w:tc>
          <w:tcPr>
            <w:tcW w:w="4035" w:type="dxa"/>
            <w:shd w:val="clear" w:color="auto" w:fill="FFFFFF" w:themeFill="background1"/>
            <w:vAlign w:val="top"/>
          </w:tcPr>
          <w:p w14:paraId="25964B0E" w14:textId="0D3CFCC3" w:rsidR="00342E7F" w:rsidRPr="00B172DC" w:rsidRDefault="00342E7F" w:rsidP="00342E7F">
            <w:pPr>
              <w:pStyle w:val="TableText0"/>
              <w:rPr>
                <w:rFonts w:asciiTheme="minorHAnsi" w:hAnsiTheme="minorHAnsi" w:cstheme="minorHAnsi"/>
                <w:szCs w:val="22"/>
              </w:rPr>
            </w:pPr>
            <w:r w:rsidRPr="007E6911">
              <w:rPr>
                <w:rFonts w:asciiTheme="minorHAnsi" w:hAnsiTheme="minorHAnsi" w:cstheme="minorHAnsi"/>
                <w:szCs w:val="22"/>
              </w:rPr>
              <w:t>Contractors</w:t>
            </w:r>
          </w:p>
        </w:tc>
      </w:tr>
      <w:tr w:rsidR="00342E7F" w:rsidRPr="00B172DC" w14:paraId="404D31F5" w14:textId="77777777" w:rsidTr="00486EA0">
        <w:trPr>
          <w:cnfStyle w:val="000000100000" w:firstRow="0" w:lastRow="0" w:firstColumn="0" w:lastColumn="0" w:oddVBand="0" w:evenVBand="0" w:oddHBand="1" w:evenHBand="0" w:firstRowFirstColumn="0" w:firstRowLastColumn="0" w:lastRowFirstColumn="0" w:lastRowLastColumn="0"/>
        </w:trPr>
        <w:tc>
          <w:tcPr>
            <w:tcW w:w="808" w:type="dxa"/>
            <w:shd w:val="clear" w:color="auto" w:fill="FFFFFF" w:themeFill="background1"/>
            <w:vAlign w:val="top"/>
          </w:tcPr>
          <w:p w14:paraId="0FCB5DBF" w14:textId="6E3A9293" w:rsidR="00342E7F" w:rsidRPr="00B172DC" w:rsidRDefault="00342E7F" w:rsidP="00342E7F">
            <w:pPr>
              <w:pStyle w:val="TableText0"/>
              <w:jc w:val="center"/>
              <w:rPr>
                <w:rFonts w:asciiTheme="minorHAnsi" w:hAnsiTheme="minorHAnsi" w:cstheme="minorHAnsi"/>
                <w:sz w:val="22"/>
                <w:szCs w:val="22"/>
              </w:rPr>
            </w:pPr>
            <w:r w:rsidRPr="007E6911">
              <w:rPr>
                <w:rFonts w:asciiTheme="minorHAnsi" w:hAnsiTheme="minorHAnsi" w:cstheme="minorHAnsi"/>
                <w:sz w:val="22"/>
                <w:szCs w:val="22"/>
              </w:rPr>
              <w:t>HCW Health 11</w:t>
            </w:r>
          </w:p>
        </w:tc>
        <w:tc>
          <w:tcPr>
            <w:tcW w:w="1102" w:type="dxa"/>
            <w:shd w:val="clear" w:color="auto" w:fill="FFFFFF" w:themeFill="background1"/>
            <w:vAlign w:val="top"/>
          </w:tcPr>
          <w:p w14:paraId="07D81AD1" w14:textId="4EAE5937" w:rsidR="00342E7F" w:rsidRPr="00B172DC" w:rsidRDefault="00342E7F" w:rsidP="00342E7F">
            <w:pPr>
              <w:pStyle w:val="TableText0"/>
              <w:jc w:val="center"/>
              <w:rPr>
                <w:rFonts w:asciiTheme="minorHAnsi" w:hAnsiTheme="minorHAnsi" w:cstheme="minorHAnsi"/>
                <w:sz w:val="22"/>
                <w:szCs w:val="22"/>
              </w:rPr>
            </w:pPr>
            <w:r w:rsidRPr="00CA768B">
              <w:rPr>
                <w:rFonts w:asciiTheme="minorHAnsi" w:hAnsiTheme="minorHAnsi" w:cstheme="minorHAnsi"/>
                <w:sz w:val="22"/>
                <w:szCs w:val="22"/>
              </w:rPr>
              <w:t>5 03 21</w:t>
            </w:r>
          </w:p>
        </w:tc>
        <w:tc>
          <w:tcPr>
            <w:tcW w:w="1481" w:type="dxa"/>
            <w:shd w:val="clear" w:color="auto" w:fill="FFFFFF" w:themeFill="background1"/>
            <w:vAlign w:val="top"/>
          </w:tcPr>
          <w:p w14:paraId="088980C5" w14:textId="21B9B2C0" w:rsidR="00342E7F" w:rsidRPr="00B172DC" w:rsidRDefault="00342E7F" w:rsidP="00342E7F">
            <w:pPr>
              <w:pStyle w:val="TableText0"/>
              <w:jc w:val="center"/>
              <w:rPr>
                <w:rFonts w:asciiTheme="minorHAnsi" w:hAnsiTheme="minorHAnsi" w:cstheme="minorHAnsi"/>
                <w:sz w:val="22"/>
                <w:szCs w:val="22"/>
              </w:rPr>
            </w:pPr>
            <w:r w:rsidRPr="00782044">
              <w:rPr>
                <w:rFonts w:asciiTheme="minorHAnsi" w:hAnsiTheme="minorHAnsi" w:cstheme="minorHAnsi"/>
                <w:sz w:val="22"/>
                <w:szCs w:val="22"/>
              </w:rPr>
              <w:t>Davis MLA</w:t>
            </w:r>
          </w:p>
        </w:tc>
        <w:tc>
          <w:tcPr>
            <w:tcW w:w="1959" w:type="dxa"/>
            <w:shd w:val="clear" w:color="auto" w:fill="FFFFFF" w:themeFill="background1"/>
            <w:vAlign w:val="top"/>
          </w:tcPr>
          <w:p w14:paraId="1E1DCBED" w14:textId="0B29D33D" w:rsidR="00342E7F" w:rsidRPr="00B172DC" w:rsidRDefault="00342E7F" w:rsidP="00342E7F">
            <w:pPr>
              <w:pStyle w:val="TableText0"/>
              <w:jc w:val="center"/>
              <w:rPr>
                <w:rFonts w:asciiTheme="minorHAnsi" w:hAnsiTheme="minorHAnsi" w:cstheme="minorHAnsi"/>
                <w:sz w:val="22"/>
                <w:szCs w:val="22"/>
              </w:rPr>
            </w:pPr>
            <w:r w:rsidRPr="00BA2E24">
              <w:rPr>
                <w:rFonts w:asciiTheme="minorHAnsi" w:hAnsiTheme="minorHAnsi" w:cstheme="minorHAnsi"/>
                <w:sz w:val="22"/>
                <w:szCs w:val="22"/>
              </w:rPr>
              <w:t>Canberra Health Services</w:t>
            </w:r>
          </w:p>
        </w:tc>
        <w:tc>
          <w:tcPr>
            <w:tcW w:w="4035" w:type="dxa"/>
            <w:shd w:val="clear" w:color="auto" w:fill="FFFFFF" w:themeFill="background1"/>
            <w:vAlign w:val="top"/>
          </w:tcPr>
          <w:p w14:paraId="78250C13" w14:textId="77B98400" w:rsidR="00342E7F" w:rsidRPr="00B172DC" w:rsidRDefault="00342E7F" w:rsidP="00342E7F">
            <w:pPr>
              <w:pStyle w:val="TableText0"/>
              <w:rPr>
                <w:rFonts w:asciiTheme="minorHAnsi" w:hAnsiTheme="minorHAnsi" w:cstheme="minorHAnsi"/>
                <w:sz w:val="22"/>
                <w:szCs w:val="22"/>
              </w:rPr>
            </w:pPr>
            <w:r w:rsidRPr="007E6911">
              <w:rPr>
                <w:rFonts w:asciiTheme="minorHAnsi" w:hAnsiTheme="minorHAnsi" w:cstheme="minorHAnsi"/>
                <w:sz w:val="22"/>
                <w:szCs w:val="22"/>
              </w:rPr>
              <w:t>Elective Surgery</w:t>
            </w:r>
          </w:p>
        </w:tc>
      </w:tr>
      <w:tr w:rsidR="00342E7F" w:rsidRPr="00B172DC" w14:paraId="6088E44D" w14:textId="77777777" w:rsidTr="00486EA0">
        <w:tc>
          <w:tcPr>
            <w:tcW w:w="808" w:type="dxa"/>
            <w:shd w:val="clear" w:color="auto" w:fill="FFFFFF" w:themeFill="background1"/>
            <w:vAlign w:val="top"/>
          </w:tcPr>
          <w:p w14:paraId="6C8263FC" w14:textId="5815F64B" w:rsidR="00342E7F" w:rsidRPr="00B172DC" w:rsidRDefault="00342E7F" w:rsidP="00342E7F">
            <w:pPr>
              <w:pStyle w:val="TableText0"/>
              <w:jc w:val="center"/>
              <w:rPr>
                <w:rFonts w:asciiTheme="minorHAnsi" w:hAnsiTheme="minorHAnsi" w:cstheme="minorHAnsi"/>
                <w:szCs w:val="22"/>
              </w:rPr>
            </w:pPr>
            <w:r w:rsidRPr="007E6911">
              <w:rPr>
                <w:rFonts w:asciiTheme="minorHAnsi" w:hAnsiTheme="minorHAnsi" w:cstheme="minorHAnsi"/>
                <w:szCs w:val="22"/>
              </w:rPr>
              <w:t>HCW Health 12</w:t>
            </w:r>
          </w:p>
        </w:tc>
        <w:tc>
          <w:tcPr>
            <w:tcW w:w="1102" w:type="dxa"/>
            <w:shd w:val="clear" w:color="auto" w:fill="FFFFFF" w:themeFill="background1"/>
            <w:vAlign w:val="top"/>
          </w:tcPr>
          <w:p w14:paraId="6142AE89" w14:textId="11A163FB" w:rsidR="00342E7F" w:rsidRPr="00B172DC" w:rsidRDefault="00342E7F" w:rsidP="00342E7F">
            <w:pPr>
              <w:pStyle w:val="TableText0"/>
              <w:jc w:val="center"/>
              <w:rPr>
                <w:rFonts w:asciiTheme="minorHAnsi" w:hAnsiTheme="minorHAnsi" w:cstheme="minorHAnsi"/>
                <w:szCs w:val="22"/>
              </w:rPr>
            </w:pPr>
            <w:r w:rsidRPr="00CA768B">
              <w:rPr>
                <w:rFonts w:asciiTheme="minorHAnsi" w:hAnsiTheme="minorHAnsi" w:cstheme="minorHAnsi"/>
                <w:szCs w:val="22"/>
              </w:rPr>
              <w:t>5 03 21</w:t>
            </w:r>
          </w:p>
        </w:tc>
        <w:tc>
          <w:tcPr>
            <w:tcW w:w="1481" w:type="dxa"/>
            <w:shd w:val="clear" w:color="auto" w:fill="FFFFFF" w:themeFill="background1"/>
            <w:vAlign w:val="top"/>
          </w:tcPr>
          <w:p w14:paraId="562E9E80" w14:textId="6C0B3C79" w:rsidR="00342E7F" w:rsidRPr="00B172DC" w:rsidRDefault="00342E7F" w:rsidP="00342E7F">
            <w:pPr>
              <w:pStyle w:val="TableText0"/>
              <w:jc w:val="center"/>
              <w:rPr>
                <w:rFonts w:asciiTheme="minorHAnsi" w:hAnsiTheme="minorHAnsi" w:cstheme="minorHAnsi"/>
                <w:szCs w:val="22"/>
              </w:rPr>
            </w:pPr>
            <w:r w:rsidRPr="00782044">
              <w:rPr>
                <w:rFonts w:asciiTheme="minorHAnsi" w:hAnsiTheme="minorHAnsi" w:cstheme="minorHAnsi"/>
                <w:szCs w:val="22"/>
              </w:rPr>
              <w:t>Davis MLA</w:t>
            </w:r>
          </w:p>
        </w:tc>
        <w:tc>
          <w:tcPr>
            <w:tcW w:w="1959" w:type="dxa"/>
            <w:shd w:val="clear" w:color="auto" w:fill="FFFFFF" w:themeFill="background1"/>
            <w:vAlign w:val="top"/>
          </w:tcPr>
          <w:p w14:paraId="55838172" w14:textId="5E998AEC" w:rsidR="00342E7F" w:rsidRPr="00B172DC" w:rsidRDefault="00342E7F" w:rsidP="00342E7F">
            <w:pPr>
              <w:pStyle w:val="TableText0"/>
              <w:jc w:val="center"/>
              <w:rPr>
                <w:rFonts w:asciiTheme="minorHAnsi" w:hAnsiTheme="minorHAnsi" w:cstheme="minorHAnsi"/>
                <w:szCs w:val="22"/>
              </w:rPr>
            </w:pPr>
            <w:r w:rsidRPr="00BA2E24">
              <w:rPr>
                <w:rFonts w:asciiTheme="minorHAnsi" w:hAnsiTheme="minorHAnsi" w:cstheme="minorHAnsi"/>
                <w:szCs w:val="22"/>
              </w:rPr>
              <w:t>Canberra Health Services</w:t>
            </w:r>
          </w:p>
        </w:tc>
        <w:tc>
          <w:tcPr>
            <w:tcW w:w="4035" w:type="dxa"/>
            <w:shd w:val="clear" w:color="auto" w:fill="FFFFFF" w:themeFill="background1"/>
            <w:vAlign w:val="top"/>
          </w:tcPr>
          <w:p w14:paraId="3109D04D" w14:textId="2309F8ED" w:rsidR="00342E7F" w:rsidRPr="00B172DC" w:rsidRDefault="00342E7F" w:rsidP="00342E7F">
            <w:pPr>
              <w:pStyle w:val="TableText0"/>
              <w:rPr>
                <w:rFonts w:asciiTheme="minorHAnsi" w:hAnsiTheme="minorHAnsi" w:cstheme="minorHAnsi"/>
                <w:szCs w:val="22"/>
              </w:rPr>
            </w:pPr>
            <w:r w:rsidRPr="007E6911">
              <w:rPr>
                <w:rFonts w:asciiTheme="minorHAnsi" w:hAnsiTheme="minorHAnsi" w:cstheme="minorHAnsi"/>
                <w:szCs w:val="22"/>
              </w:rPr>
              <w:t>Thriving Workplace strategy (ATSI staff)</w:t>
            </w:r>
          </w:p>
        </w:tc>
      </w:tr>
      <w:tr w:rsidR="004659BD" w:rsidRPr="004659BD" w14:paraId="4B2D17FE" w14:textId="77777777" w:rsidTr="00486EA0">
        <w:trPr>
          <w:cnfStyle w:val="000000100000" w:firstRow="0" w:lastRow="0" w:firstColumn="0" w:lastColumn="0" w:oddVBand="0" w:evenVBand="0" w:oddHBand="1" w:evenHBand="0" w:firstRowFirstColumn="0" w:firstRowLastColumn="0" w:lastRowFirstColumn="0" w:lastRowLastColumn="0"/>
        </w:trPr>
        <w:tc>
          <w:tcPr>
            <w:tcW w:w="808" w:type="dxa"/>
            <w:shd w:val="clear" w:color="auto" w:fill="FFFFFF" w:themeFill="background1"/>
            <w:vAlign w:val="top"/>
          </w:tcPr>
          <w:p w14:paraId="7EAB3F00" w14:textId="408D15C0" w:rsidR="00342E7F" w:rsidRPr="004659BD" w:rsidRDefault="00342E7F" w:rsidP="00342E7F">
            <w:pPr>
              <w:pStyle w:val="TableText0"/>
              <w:jc w:val="center"/>
              <w:rPr>
                <w:rFonts w:asciiTheme="minorHAnsi" w:hAnsiTheme="minorHAnsi" w:cstheme="minorHAnsi"/>
                <w:sz w:val="22"/>
                <w:szCs w:val="22"/>
              </w:rPr>
            </w:pPr>
            <w:r w:rsidRPr="004659BD">
              <w:rPr>
                <w:rFonts w:asciiTheme="minorHAnsi" w:hAnsiTheme="minorHAnsi" w:cstheme="minorHAnsi"/>
                <w:sz w:val="22"/>
                <w:szCs w:val="22"/>
              </w:rPr>
              <w:t>HCW Health 13</w:t>
            </w:r>
          </w:p>
        </w:tc>
        <w:tc>
          <w:tcPr>
            <w:tcW w:w="1102" w:type="dxa"/>
            <w:shd w:val="clear" w:color="auto" w:fill="FFFFFF" w:themeFill="background1"/>
            <w:vAlign w:val="top"/>
          </w:tcPr>
          <w:p w14:paraId="0A9CEBD3" w14:textId="0630A025" w:rsidR="00342E7F" w:rsidRPr="004659BD" w:rsidRDefault="00342E7F" w:rsidP="00342E7F">
            <w:pPr>
              <w:pStyle w:val="TableText0"/>
              <w:jc w:val="center"/>
              <w:rPr>
                <w:rFonts w:asciiTheme="minorHAnsi" w:hAnsiTheme="minorHAnsi" w:cstheme="minorHAnsi"/>
                <w:sz w:val="22"/>
                <w:szCs w:val="22"/>
              </w:rPr>
            </w:pPr>
            <w:r w:rsidRPr="004659BD">
              <w:rPr>
                <w:rFonts w:asciiTheme="minorHAnsi" w:hAnsiTheme="minorHAnsi" w:cstheme="minorHAnsi"/>
                <w:sz w:val="22"/>
                <w:szCs w:val="22"/>
              </w:rPr>
              <w:t>18.03.21</w:t>
            </w:r>
          </w:p>
        </w:tc>
        <w:tc>
          <w:tcPr>
            <w:tcW w:w="1481" w:type="dxa"/>
            <w:shd w:val="clear" w:color="auto" w:fill="FFFFFF" w:themeFill="background1"/>
            <w:vAlign w:val="top"/>
          </w:tcPr>
          <w:p w14:paraId="410FA4D7" w14:textId="13FB1E4E" w:rsidR="00342E7F" w:rsidRPr="004659BD" w:rsidRDefault="00342E7F" w:rsidP="00342E7F">
            <w:pPr>
              <w:pStyle w:val="TableText0"/>
              <w:jc w:val="center"/>
              <w:rPr>
                <w:rFonts w:asciiTheme="minorHAnsi" w:hAnsiTheme="minorHAnsi" w:cstheme="minorHAnsi"/>
                <w:sz w:val="22"/>
                <w:szCs w:val="22"/>
              </w:rPr>
            </w:pPr>
            <w:r w:rsidRPr="004659BD">
              <w:rPr>
                <w:rFonts w:asciiTheme="minorHAnsi" w:hAnsiTheme="minorHAnsi" w:cstheme="minorHAnsi"/>
                <w:sz w:val="22"/>
                <w:szCs w:val="22"/>
              </w:rPr>
              <w:t>Jones MLA</w:t>
            </w:r>
          </w:p>
        </w:tc>
        <w:tc>
          <w:tcPr>
            <w:tcW w:w="1959" w:type="dxa"/>
            <w:shd w:val="clear" w:color="auto" w:fill="FFFFFF" w:themeFill="background1"/>
            <w:vAlign w:val="top"/>
          </w:tcPr>
          <w:p w14:paraId="1033A5DF" w14:textId="43736FAD" w:rsidR="00342E7F" w:rsidRPr="004659BD" w:rsidRDefault="00342E7F" w:rsidP="00342E7F">
            <w:pPr>
              <w:pStyle w:val="TableText0"/>
              <w:jc w:val="center"/>
              <w:rPr>
                <w:rFonts w:asciiTheme="minorHAnsi" w:hAnsiTheme="minorHAnsi" w:cstheme="minorHAnsi"/>
                <w:sz w:val="22"/>
                <w:szCs w:val="22"/>
              </w:rPr>
            </w:pPr>
            <w:r w:rsidRPr="004659BD">
              <w:rPr>
                <w:rFonts w:asciiTheme="minorHAnsi" w:hAnsiTheme="minorHAnsi" w:cstheme="minorHAnsi"/>
                <w:sz w:val="22"/>
                <w:szCs w:val="22"/>
              </w:rPr>
              <w:t>Canberra Health Services</w:t>
            </w:r>
          </w:p>
        </w:tc>
        <w:tc>
          <w:tcPr>
            <w:tcW w:w="4035" w:type="dxa"/>
            <w:shd w:val="clear" w:color="auto" w:fill="FFFFFF" w:themeFill="background1"/>
            <w:vAlign w:val="top"/>
          </w:tcPr>
          <w:p w14:paraId="286F26B8" w14:textId="6E010B38" w:rsidR="00342E7F" w:rsidRPr="004659BD" w:rsidRDefault="00342E7F" w:rsidP="00342E7F">
            <w:pPr>
              <w:pStyle w:val="TableText0"/>
              <w:rPr>
                <w:rFonts w:asciiTheme="minorHAnsi" w:hAnsiTheme="minorHAnsi" w:cstheme="minorHAnsi"/>
                <w:sz w:val="22"/>
                <w:szCs w:val="22"/>
              </w:rPr>
            </w:pPr>
            <w:r w:rsidRPr="004659BD">
              <w:rPr>
                <w:rFonts w:asciiTheme="minorHAnsi" w:hAnsiTheme="minorHAnsi" w:cstheme="minorHAnsi"/>
                <w:sz w:val="22"/>
                <w:szCs w:val="22"/>
              </w:rPr>
              <w:t>Hotel Quarantine Food Vouchers</w:t>
            </w:r>
          </w:p>
        </w:tc>
      </w:tr>
      <w:tr w:rsidR="004659BD" w:rsidRPr="004659BD" w14:paraId="1CC1E41F" w14:textId="77777777" w:rsidTr="00486EA0">
        <w:tc>
          <w:tcPr>
            <w:tcW w:w="808" w:type="dxa"/>
            <w:shd w:val="clear" w:color="auto" w:fill="FFFFFF" w:themeFill="background1"/>
            <w:vAlign w:val="top"/>
          </w:tcPr>
          <w:p w14:paraId="1BFE3920" w14:textId="7F883832" w:rsidR="00342E7F" w:rsidRPr="004659BD" w:rsidRDefault="00342E7F" w:rsidP="00342E7F">
            <w:pPr>
              <w:pStyle w:val="TableText0"/>
              <w:jc w:val="center"/>
              <w:rPr>
                <w:rFonts w:asciiTheme="minorHAnsi" w:hAnsiTheme="minorHAnsi" w:cstheme="minorHAnsi"/>
                <w:szCs w:val="22"/>
              </w:rPr>
            </w:pPr>
            <w:r w:rsidRPr="004659BD">
              <w:rPr>
                <w:rFonts w:asciiTheme="minorHAnsi" w:hAnsiTheme="minorHAnsi" w:cstheme="minorHAnsi"/>
                <w:szCs w:val="22"/>
              </w:rPr>
              <w:t>HCW Health 14</w:t>
            </w:r>
          </w:p>
        </w:tc>
        <w:tc>
          <w:tcPr>
            <w:tcW w:w="1102" w:type="dxa"/>
            <w:shd w:val="clear" w:color="auto" w:fill="FFFFFF" w:themeFill="background1"/>
            <w:vAlign w:val="top"/>
          </w:tcPr>
          <w:p w14:paraId="02E24FE7" w14:textId="292E5762" w:rsidR="00342E7F" w:rsidRPr="004659BD" w:rsidRDefault="00342E7F" w:rsidP="00342E7F">
            <w:pPr>
              <w:pStyle w:val="TableText0"/>
              <w:jc w:val="center"/>
              <w:rPr>
                <w:rFonts w:asciiTheme="minorHAnsi" w:hAnsiTheme="minorHAnsi" w:cstheme="minorHAnsi"/>
                <w:szCs w:val="22"/>
              </w:rPr>
            </w:pPr>
            <w:r w:rsidRPr="004659BD">
              <w:rPr>
                <w:rFonts w:asciiTheme="minorHAnsi" w:hAnsiTheme="minorHAnsi" w:cstheme="minorHAnsi"/>
                <w:szCs w:val="22"/>
              </w:rPr>
              <w:t>18.03.21</w:t>
            </w:r>
          </w:p>
        </w:tc>
        <w:tc>
          <w:tcPr>
            <w:tcW w:w="1481" w:type="dxa"/>
            <w:shd w:val="clear" w:color="auto" w:fill="FFFFFF" w:themeFill="background1"/>
            <w:vAlign w:val="top"/>
          </w:tcPr>
          <w:p w14:paraId="3F200B23" w14:textId="23C64DEF" w:rsidR="00342E7F" w:rsidRPr="004659BD" w:rsidRDefault="00342E7F" w:rsidP="00342E7F">
            <w:pPr>
              <w:pStyle w:val="TableText0"/>
              <w:jc w:val="center"/>
              <w:rPr>
                <w:rFonts w:asciiTheme="minorHAnsi" w:hAnsiTheme="minorHAnsi" w:cstheme="minorHAnsi"/>
                <w:szCs w:val="22"/>
              </w:rPr>
            </w:pPr>
            <w:r w:rsidRPr="004659BD">
              <w:rPr>
                <w:rFonts w:asciiTheme="minorHAnsi" w:hAnsiTheme="minorHAnsi" w:cstheme="minorHAnsi"/>
                <w:szCs w:val="22"/>
              </w:rPr>
              <w:t>Pettersson MLA</w:t>
            </w:r>
          </w:p>
        </w:tc>
        <w:tc>
          <w:tcPr>
            <w:tcW w:w="1959" w:type="dxa"/>
            <w:shd w:val="clear" w:color="auto" w:fill="FFFFFF" w:themeFill="background1"/>
            <w:vAlign w:val="top"/>
          </w:tcPr>
          <w:p w14:paraId="4B581CBA" w14:textId="2494E458" w:rsidR="00342E7F" w:rsidRPr="004659BD" w:rsidRDefault="00342E7F" w:rsidP="00342E7F">
            <w:pPr>
              <w:pStyle w:val="TableText0"/>
              <w:jc w:val="center"/>
              <w:rPr>
                <w:rFonts w:asciiTheme="minorHAnsi" w:hAnsiTheme="minorHAnsi" w:cstheme="minorHAnsi"/>
                <w:szCs w:val="22"/>
              </w:rPr>
            </w:pPr>
            <w:r w:rsidRPr="004659BD">
              <w:rPr>
                <w:rFonts w:asciiTheme="minorHAnsi" w:hAnsiTheme="minorHAnsi" w:cstheme="minorHAnsi"/>
                <w:szCs w:val="22"/>
              </w:rPr>
              <w:t>Canberra Health Services</w:t>
            </w:r>
          </w:p>
        </w:tc>
        <w:tc>
          <w:tcPr>
            <w:tcW w:w="4035" w:type="dxa"/>
            <w:shd w:val="clear" w:color="auto" w:fill="FFFFFF" w:themeFill="background1"/>
            <w:vAlign w:val="top"/>
          </w:tcPr>
          <w:p w14:paraId="0E52E257" w14:textId="39185F33" w:rsidR="00342E7F" w:rsidRPr="004659BD" w:rsidRDefault="00342E7F" w:rsidP="00342E7F">
            <w:pPr>
              <w:pStyle w:val="TableText0"/>
              <w:rPr>
                <w:rFonts w:asciiTheme="minorHAnsi" w:hAnsiTheme="minorHAnsi" w:cstheme="minorHAnsi"/>
                <w:szCs w:val="22"/>
              </w:rPr>
            </w:pPr>
            <w:r w:rsidRPr="004659BD">
              <w:rPr>
                <w:rFonts w:asciiTheme="minorHAnsi" w:hAnsiTheme="minorHAnsi" w:cstheme="minorHAnsi"/>
                <w:szCs w:val="22"/>
              </w:rPr>
              <w:t>Improved Hospital Services</w:t>
            </w:r>
          </w:p>
        </w:tc>
      </w:tr>
    </w:tbl>
    <w:p w14:paraId="1C3CD2E2" w14:textId="1BB8FE05" w:rsidR="00E07D72" w:rsidRDefault="00E07D72"/>
    <w:p w14:paraId="22F5C642" w14:textId="33C54D18" w:rsidR="00D77402" w:rsidRDefault="00D77402">
      <w:r>
        <w:t xml:space="preserve">Answers to all </w:t>
      </w:r>
      <w:proofErr w:type="spellStart"/>
      <w:r>
        <w:t>QoNs</w:t>
      </w:r>
      <w:proofErr w:type="spellEnd"/>
      <w:r>
        <w:t xml:space="preserve"> are at </w:t>
      </w:r>
      <w:hyperlink r:id="rId36" w:history="1">
        <w:r w:rsidRPr="00672AFF">
          <w:rPr>
            <w:rStyle w:val="Hyperlink"/>
          </w:rPr>
          <w:t>https://www.parliament.act.gov.au/parliamentary-business/in-committees/committees/hcw/inquiries-into-annual-and-financial-reports-20192020-and-act-budget-20202021</w:t>
        </w:r>
      </w:hyperlink>
    </w:p>
    <w:p w14:paraId="2A36AA0A" w14:textId="77777777" w:rsidR="00D77402" w:rsidRDefault="00D77402"/>
    <w:sectPr w:rsidR="00D77402" w:rsidSect="00592C9A">
      <w:pgSz w:w="11907" w:h="16840" w:code="9"/>
      <w:pgMar w:top="1588" w:right="1418" w:bottom="1418" w:left="1418" w:header="720" w:footer="8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B5D5F3" w14:textId="77777777" w:rsidR="002D39FA" w:rsidRDefault="002D39FA" w:rsidP="00842335">
      <w:r>
        <w:separator/>
      </w:r>
    </w:p>
  </w:endnote>
  <w:endnote w:type="continuationSeparator" w:id="0">
    <w:p w14:paraId="63F4777B" w14:textId="77777777" w:rsidR="002D39FA" w:rsidRDefault="002D39FA" w:rsidP="00842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Univers LT Std 45 Light">
    <w:altName w:val="Calibri"/>
    <w:panose1 w:val="00000000000000000000"/>
    <w:charset w:val="00"/>
    <w:family w:val="swiss"/>
    <w:notTrueType/>
    <w:pitch w:val="variable"/>
    <w:sig w:usb0="800000AF" w:usb1="4000204A" w:usb2="00000000" w:usb3="00000000" w:csb0="00000001" w:csb1="00000000"/>
  </w:font>
  <w:font w:name="Univers LT Std 55">
    <w:altName w:val="Trebuchet MS"/>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ZWAdobeF">
    <w:panose1 w:val="00000000000000000000"/>
    <w:charset w:val="00"/>
    <w:family w:val="auto"/>
    <w:pitch w:val="variable"/>
    <w:sig w:usb0="20002A87" w:usb1="00000000" w:usb2="00000000" w:usb3="00000000" w:csb0="000001FF" w:csb1="00000000"/>
  </w:font>
  <w:font w:name="Source Sans Pro">
    <w:panose1 w:val="020B0503030403020204"/>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B465E" w14:textId="77777777" w:rsidR="002D39FA" w:rsidRDefault="002D39FA" w:rsidP="004D0B16">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iii</w:t>
    </w:r>
    <w:r>
      <w:rPr>
        <w:rStyle w:val="PageNumber"/>
      </w:rPr>
      <w:fldChar w:fldCharType="end"/>
    </w:r>
  </w:p>
  <w:p w14:paraId="5D0773CA" w14:textId="77777777" w:rsidR="002D39FA" w:rsidRDefault="002D39FA" w:rsidP="004D0B16">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B72631" w14:textId="77777777" w:rsidR="002D39FA" w:rsidRDefault="002D39FA">
    <w:pPr>
      <w:pStyle w:val="Footer"/>
    </w:pPr>
    <w:r>
      <w:fldChar w:fldCharType="begin"/>
    </w:r>
    <w:r>
      <w:instrText xml:space="preserve"> PAGE   \* MERGEFORMAT </w:instrText>
    </w:r>
    <w:r>
      <w:fldChar w:fldCharType="separate"/>
    </w:r>
    <w:r>
      <w:rPr>
        <w:noProof/>
      </w:rPr>
      <w:t>viii</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C49D76" w14:textId="77777777" w:rsidR="002D39FA" w:rsidRDefault="002D39FA" w:rsidP="004D0B16">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iii</w:t>
    </w:r>
    <w:r>
      <w:rPr>
        <w:rStyle w:val="PageNumber"/>
      </w:rPr>
      <w:fldChar w:fldCharType="end"/>
    </w:r>
  </w:p>
  <w:p w14:paraId="1AD982B9" w14:textId="77777777" w:rsidR="002D39FA" w:rsidRDefault="002D39FA" w:rsidP="004D0B16">
    <w:pPr>
      <w:pStyle w:val="Footer"/>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1752CA" w14:textId="77777777" w:rsidR="002D39FA" w:rsidRDefault="002D39FA" w:rsidP="004D0B16">
    <w:pPr>
      <w:pStyle w:val="Footer"/>
      <w:jc w:val="right"/>
    </w:pPr>
    <w:r>
      <w:fldChar w:fldCharType="begin"/>
    </w:r>
    <w:r>
      <w:instrText xml:space="preserve"> PAGE   \* MERGEFORMAT </w:instrText>
    </w:r>
    <w:r>
      <w:fldChar w:fldCharType="separate"/>
    </w:r>
    <w:r>
      <w:rPr>
        <w:noProof/>
      </w:rPr>
      <w:t>ix</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441CE2" w14:textId="2F844CCD" w:rsidR="002D39FA" w:rsidRDefault="002D39FA" w:rsidP="004D0B16">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9A2A6B" w14:textId="77777777" w:rsidR="002D39FA" w:rsidRDefault="002D39FA" w:rsidP="004D0B16">
    <w:pPr>
      <w:pStyle w:val="Footer"/>
      <w:ind w:right="360" w:firstLine="360"/>
      <w:jc w:val="right"/>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3B5774" w14:textId="77777777" w:rsidR="002D39FA" w:rsidRDefault="002D39FA" w:rsidP="00842335">
      <w:r>
        <w:separator/>
      </w:r>
    </w:p>
  </w:footnote>
  <w:footnote w:type="continuationSeparator" w:id="0">
    <w:p w14:paraId="0662CE99" w14:textId="77777777" w:rsidR="002D39FA" w:rsidRDefault="002D39FA" w:rsidP="00842335">
      <w:r>
        <w:continuationSeparator/>
      </w:r>
    </w:p>
  </w:footnote>
  <w:footnote w:id="1">
    <w:p w14:paraId="30A4280D" w14:textId="4D6EE297" w:rsidR="002D39FA" w:rsidRDefault="002D39FA">
      <w:pPr>
        <w:pStyle w:val="FootnoteText"/>
      </w:pPr>
      <w:r>
        <w:rPr>
          <w:rStyle w:val="FootnoteReference"/>
        </w:rPr>
        <w:footnoteRef/>
      </w:r>
      <w:r>
        <w:t xml:space="preserve"> ACT Legislative Assembly, Minutes of Proceedings No. 2, pp. 17-21.</w:t>
      </w:r>
    </w:p>
  </w:footnote>
  <w:footnote w:id="2">
    <w:p w14:paraId="60A50396" w14:textId="53923248" w:rsidR="002D39FA" w:rsidRDefault="002D39FA">
      <w:pPr>
        <w:pStyle w:val="FootnoteText"/>
      </w:pPr>
      <w:r>
        <w:rPr>
          <w:rStyle w:val="FootnoteReference"/>
        </w:rPr>
        <w:footnoteRef/>
      </w:r>
      <w:r>
        <w:t xml:space="preserve"> ACT Legislative Assembly, Minutes of Proceedings No. 6, 11 February 2021, p. 72.</w:t>
      </w:r>
    </w:p>
  </w:footnote>
  <w:footnote w:id="3">
    <w:p w14:paraId="7E3D5388" w14:textId="31B138BB" w:rsidR="002D39FA" w:rsidRDefault="002D39FA" w:rsidP="00DC3D79">
      <w:pPr>
        <w:pStyle w:val="FootnoteText"/>
        <w:ind w:left="0" w:firstLine="0"/>
      </w:pPr>
      <w:r>
        <w:t>.</w:t>
      </w:r>
    </w:p>
  </w:footnote>
  <w:footnote w:id="4">
    <w:p w14:paraId="11BA7D86" w14:textId="603F5FA0" w:rsidR="002D39FA" w:rsidRDefault="002D39FA" w:rsidP="00842335">
      <w:pPr>
        <w:pStyle w:val="FootnoteText"/>
      </w:pPr>
      <w:r>
        <w:rPr>
          <w:rStyle w:val="FootnoteReference"/>
        </w:rPr>
        <w:footnoteRef/>
      </w:r>
      <w:r>
        <w:t xml:space="preserve"> ACT Legislative Assembly, </w:t>
      </w:r>
      <w:r w:rsidRPr="007E1CED">
        <w:rPr>
          <w:i/>
        </w:rPr>
        <w:t>Minutes of Proceedings</w:t>
      </w:r>
      <w:r>
        <w:t xml:space="preserve">, </w:t>
      </w:r>
      <w:proofErr w:type="gramStart"/>
      <w:r>
        <w:t>No. .</w:t>
      </w:r>
      <w:proofErr w:type="gramEnd"/>
    </w:p>
  </w:footnote>
  <w:footnote w:id="5">
    <w:p w14:paraId="357FFBCC" w14:textId="57790C75" w:rsidR="002D39FA" w:rsidRDefault="002D39FA">
      <w:pPr>
        <w:pStyle w:val="FootnoteText"/>
      </w:pPr>
      <w:r>
        <w:rPr>
          <w:rStyle w:val="FootnoteReference"/>
        </w:rPr>
        <w:footnoteRef/>
      </w:r>
      <w:r>
        <w:t xml:space="preserve"> ACT Government, ACT Health, Annual Report 2019-20, </w:t>
      </w:r>
      <w:hyperlink r:id="rId1" w:history="1">
        <w:r w:rsidRPr="00F05CBF">
          <w:rPr>
            <w:rStyle w:val="Hyperlink"/>
          </w:rPr>
          <w:t>https://www.health.act.gov.au/sites/default/files/2020-12/ACT%20Health%20Directorate%20Annual%20Report%202019-20%20Accessible.pdf</w:t>
        </w:r>
      </w:hyperlink>
    </w:p>
  </w:footnote>
  <w:footnote w:id="6">
    <w:p w14:paraId="284A43B2" w14:textId="1F864E14" w:rsidR="002D39FA" w:rsidRDefault="002D39FA">
      <w:pPr>
        <w:pStyle w:val="FootnoteText"/>
      </w:pPr>
      <w:r>
        <w:rPr>
          <w:rStyle w:val="FootnoteReference"/>
        </w:rPr>
        <w:footnoteRef/>
      </w:r>
      <w:r>
        <w:t xml:space="preserve"> ACT Government, Canberra Health Service, Annual Report 2019-20, </w:t>
      </w:r>
      <w:hyperlink r:id="rId2" w:history="1">
        <w:r w:rsidRPr="00F05CBF">
          <w:rPr>
            <w:rStyle w:val="Hyperlink"/>
          </w:rPr>
          <w:t>https://www.health.act.gov.au/sites/default/files/2020-12/CHS%20Annual%20Report%202019-20%20-%20Accessible.pdf</w:t>
        </w:r>
      </w:hyperlink>
    </w:p>
  </w:footnote>
  <w:footnote w:id="7">
    <w:p w14:paraId="2ACF524C" w14:textId="534CD615" w:rsidR="002D39FA" w:rsidRDefault="002D39FA" w:rsidP="009119D3">
      <w:pPr>
        <w:pStyle w:val="FootnoteText"/>
      </w:pPr>
      <w:r>
        <w:rPr>
          <w:rStyle w:val="FootnoteReference"/>
        </w:rPr>
        <w:footnoteRef/>
      </w:r>
      <w:r>
        <w:t xml:space="preserve"> ACT Government, Community Services Directorate, Annual Report 2019-20, ACT Government, Canberra Health Service, Annual Report 2019-20, </w:t>
      </w:r>
      <w:hyperlink r:id="rId3" w:history="1">
        <w:r w:rsidRPr="00F05CBF">
          <w:rPr>
            <w:rStyle w:val="Hyperlink"/>
          </w:rPr>
          <w:t>https://www.health.act.gov.au/sites/default/files/2020-12/CHS%20Annual%20Report%202019-20%20-%20Accessible.pdf</w:t>
        </w:r>
      </w:hyperlink>
    </w:p>
    <w:p w14:paraId="5BC14C4D" w14:textId="6E94EA26" w:rsidR="002D39FA" w:rsidRDefault="002D39FA">
      <w:pPr>
        <w:pStyle w:val="FootnoteText"/>
      </w:pPr>
    </w:p>
  </w:footnote>
  <w:footnote w:id="8">
    <w:p w14:paraId="3A453373" w14:textId="77777777" w:rsidR="002D39FA" w:rsidRDefault="002D39FA" w:rsidP="006A4D77">
      <w:pPr>
        <w:pStyle w:val="FootnoteText"/>
      </w:pPr>
      <w:r>
        <w:rPr>
          <w:rStyle w:val="FootnoteReference"/>
        </w:rPr>
        <w:footnoteRef/>
      </w:r>
      <w:r>
        <w:t xml:space="preserve"> Transcripts for these public hearings are available from the ACT Legislative Assembly website at:</w:t>
      </w:r>
      <w:r w:rsidRPr="002C3F9A">
        <w:t xml:space="preserve"> </w:t>
      </w:r>
    </w:p>
  </w:footnote>
  <w:footnote w:id="9">
    <w:p w14:paraId="73BDFE4F" w14:textId="1CCF1472" w:rsidR="002D39FA" w:rsidRDefault="002D39FA">
      <w:pPr>
        <w:pStyle w:val="FootnoteText"/>
      </w:pPr>
      <w:r>
        <w:rPr>
          <w:rStyle w:val="FootnoteReference"/>
        </w:rPr>
        <w:footnoteRef/>
      </w:r>
      <w:r>
        <w:t xml:space="preserve"> ACT Legislative Assembly, Minutes of Proceedings, No. 4, 9 February 2021 – p. 54.</w:t>
      </w:r>
      <w:r w:rsidRPr="00437547">
        <w:t xml:space="preserve"> </w:t>
      </w:r>
      <w:hyperlink r:id="rId4" w:history="1">
        <w:r w:rsidRPr="00F05CBF">
          <w:rPr>
            <w:rStyle w:val="Hyperlink"/>
          </w:rPr>
          <w:t>https://www.parliament.act.gov.au/__data/assets/pdf_file/0005/1700087/MoP004F.pdf</w:t>
        </w:r>
      </w:hyperlink>
    </w:p>
  </w:footnote>
  <w:footnote w:id="10">
    <w:p w14:paraId="10A86568" w14:textId="609CECF5" w:rsidR="002D39FA" w:rsidRDefault="002D39FA">
      <w:pPr>
        <w:pStyle w:val="FootnoteText"/>
      </w:pPr>
      <w:r>
        <w:rPr>
          <w:rStyle w:val="FootnoteReference"/>
        </w:rPr>
        <w:footnoteRef/>
      </w:r>
      <w:proofErr w:type="gramStart"/>
      <w:r>
        <w:t>.Driving</w:t>
      </w:r>
      <w:proofErr w:type="gramEnd"/>
      <w:r>
        <w:t xml:space="preserve"> Canberra’s Recovery, ACT Budget, Budget Statement C, Budget, ACT Health Directorate, Canberra Health Services, ACT Local Hospital Network. </w:t>
      </w:r>
      <w:hyperlink r:id="rId5" w:history="1">
        <w:r w:rsidRPr="00F05CBF">
          <w:rPr>
            <w:rStyle w:val="Hyperlink"/>
          </w:rPr>
          <w:t>https://apps.treasury.act.gov.au/__data/assets/pdf_file/0004/1698934/2020-21-Budget-Statements-C.pdf</w:t>
        </w:r>
      </w:hyperlink>
    </w:p>
  </w:footnote>
  <w:footnote w:id="11">
    <w:p w14:paraId="0A8FF982" w14:textId="6B07323D" w:rsidR="002D39FA" w:rsidRDefault="002D39FA">
      <w:pPr>
        <w:pStyle w:val="FootnoteText"/>
      </w:pPr>
      <w:r>
        <w:rPr>
          <w:rStyle w:val="FootnoteReference"/>
        </w:rPr>
        <w:footnoteRef/>
      </w:r>
      <w:r>
        <w:t xml:space="preserve"> Driving Canberra’s Recovery, ACT Budget, Budget Statement G, Budget, Community Services Directorate; Housing ACT. </w:t>
      </w:r>
      <w:hyperlink r:id="rId6" w:history="1">
        <w:r w:rsidRPr="00F05CBF">
          <w:rPr>
            <w:rStyle w:val="Hyperlink"/>
          </w:rPr>
          <w:t>https://apps.treasury.act.gov.au/__data/assets/pdf_file/0010/1698940/2020-21-Budget-Statements-G.pdf</w:t>
        </w:r>
      </w:hyperlink>
    </w:p>
    <w:p w14:paraId="394F2506" w14:textId="77777777" w:rsidR="002D39FA" w:rsidRDefault="002D39FA">
      <w:pPr>
        <w:pStyle w:val="FootnoteText"/>
      </w:pPr>
    </w:p>
  </w:footnote>
  <w:footnote w:id="12">
    <w:p w14:paraId="7FC3D5FE" w14:textId="1BB6D420" w:rsidR="002D39FA" w:rsidRDefault="002D39FA">
      <w:pPr>
        <w:pStyle w:val="FootnoteText"/>
      </w:pPr>
      <w:r>
        <w:rPr>
          <w:rStyle w:val="FootnoteReference"/>
        </w:rPr>
        <w:footnoteRef/>
      </w:r>
      <w:r>
        <w:t xml:space="preserve"> Budget Statement C, p,3</w:t>
      </w:r>
    </w:p>
  </w:footnote>
  <w:footnote w:id="13">
    <w:p w14:paraId="4C8EA895" w14:textId="7F78D770" w:rsidR="002D39FA" w:rsidRDefault="002D39FA">
      <w:pPr>
        <w:pStyle w:val="FootnoteText"/>
      </w:pPr>
      <w:r>
        <w:rPr>
          <w:rStyle w:val="FootnoteReference"/>
        </w:rPr>
        <w:footnoteRef/>
      </w:r>
      <w:r>
        <w:t xml:space="preserve"> 26 February 2021, </w:t>
      </w:r>
      <w:r w:rsidRPr="0084284E">
        <w:rPr>
          <w:i/>
          <w:iCs/>
        </w:rPr>
        <w:t>Proof Hansard</w:t>
      </w:r>
      <w:r>
        <w:t xml:space="preserve">, </w:t>
      </w:r>
      <w:proofErr w:type="gramStart"/>
      <w:r>
        <w:t>pp..</w:t>
      </w:r>
      <w:proofErr w:type="gramEnd"/>
      <w:r>
        <w:t xml:space="preserve"> 2-3</w:t>
      </w:r>
    </w:p>
  </w:footnote>
  <w:footnote w:id="14">
    <w:p w14:paraId="1524C3EC" w14:textId="50B3D9AF" w:rsidR="002D39FA" w:rsidRDefault="002D39FA">
      <w:pPr>
        <w:pStyle w:val="FootnoteText"/>
      </w:pPr>
      <w:r>
        <w:rPr>
          <w:rStyle w:val="FootnoteReference"/>
        </w:rPr>
        <w:footnoteRef/>
      </w:r>
      <w:r>
        <w:t xml:space="preserve"> 26 February 2021, </w:t>
      </w:r>
      <w:r w:rsidRPr="0084284E">
        <w:rPr>
          <w:i/>
          <w:iCs/>
        </w:rPr>
        <w:t>Proof Hansard</w:t>
      </w:r>
      <w:r>
        <w:t xml:space="preserve">, </w:t>
      </w:r>
      <w:proofErr w:type="gramStart"/>
      <w:r>
        <w:t>p.-3</w:t>
      </w:r>
      <w:proofErr w:type="gramEnd"/>
    </w:p>
  </w:footnote>
  <w:footnote w:id="15">
    <w:p w14:paraId="6001CAE2" w14:textId="264197EB" w:rsidR="002D39FA" w:rsidRDefault="002D39FA">
      <w:pPr>
        <w:pStyle w:val="FootnoteText"/>
      </w:pPr>
      <w:r>
        <w:rPr>
          <w:rStyle w:val="FootnoteReference"/>
        </w:rPr>
        <w:footnoteRef/>
      </w:r>
      <w:r>
        <w:t xml:space="preserve"> 26 February 2021, </w:t>
      </w:r>
      <w:r w:rsidRPr="0084284E">
        <w:rPr>
          <w:i/>
          <w:iCs/>
        </w:rPr>
        <w:t>Proof Hansard</w:t>
      </w:r>
      <w:r>
        <w:t>, pp. 2-3</w:t>
      </w:r>
    </w:p>
  </w:footnote>
  <w:footnote w:id="16">
    <w:p w14:paraId="3A95C76D" w14:textId="5D6FF14D" w:rsidR="002D39FA" w:rsidRDefault="002D39FA">
      <w:pPr>
        <w:pStyle w:val="FootnoteText"/>
      </w:pPr>
      <w:r>
        <w:rPr>
          <w:rStyle w:val="FootnoteReference"/>
        </w:rPr>
        <w:footnoteRef/>
      </w:r>
      <w:r>
        <w:t xml:space="preserve"> 26 February 2021, </w:t>
      </w:r>
      <w:r w:rsidRPr="0084284E">
        <w:rPr>
          <w:i/>
          <w:iCs/>
        </w:rPr>
        <w:t>Proof Hansard</w:t>
      </w:r>
      <w:r>
        <w:t>, pp. 7-9</w:t>
      </w:r>
    </w:p>
  </w:footnote>
  <w:footnote w:id="17">
    <w:p w14:paraId="4440794A" w14:textId="3D87B5F7" w:rsidR="002D39FA" w:rsidRDefault="002D39FA">
      <w:pPr>
        <w:pStyle w:val="FootnoteText"/>
      </w:pPr>
      <w:r>
        <w:rPr>
          <w:rStyle w:val="FootnoteReference"/>
        </w:rPr>
        <w:footnoteRef/>
      </w:r>
      <w:r>
        <w:t xml:space="preserve"> 26 February 2021, </w:t>
      </w:r>
      <w:r w:rsidRPr="0084284E">
        <w:rPr>
          <w:i/>
          <w:iCs/>
        </w:rPr>
        <w:t>Proof Hansard</w:t>
      </w:r>
      <w:r>
        <w:t>, pp. 9-11</w:t>
      </w:r>
    </w:p>
  </w:footnote>
  <w:footnote w:id="18">
    <w:p w14:paraId="38BF6574" w14:textId="5A6465F7" w:rsidR="002D39FA" w:rsidRDefault="002D39FA">
      <w:pPr>
        <w:pStyle w:val="FootnoteText"/>
      </w:pPr>
      <w:r>
        <w:rPr>
          <w:rStyle w:val="FootnoteReference"/>
        </w:rPr>
        <w:footnoteRef/>
      </w:r>
      <w:r>
        <w:t xml:space="preserve"> 26 February 2021, </w:t>
      </w:r>
      <w:r w:rsidRPr="0084284E">
        <w:rPr>
          <w:i/>
          <w:iCs/>
        </w:rPr>
        <w:t>Proof Hansard</w:t>
      </w:r>
      <w:r>
        <w:t>, pp. 11-12</w:t>
      </w:r>
    </w:p>
  </w:footnote>
  <w:footnote w:id="19">
    <w:p w14:paraId="5857B0E4" w14:textId="79516EB4" w:rsidR="002D39FA" w:rsidRDefault="002D39FA">
      <w:pPr>
        <w:pStyle w:val="FootnoteText"/>
      </w:pPr>
      <w:r>
        <w:rPr>
          <w:rStyle w:val="FootnoteReference"/>
        </w:rPr>
        <w:footnoteRef/>
      </w:r>
      <w:r>
        <w:t xml:space="preserve"> 26 February 2021, </w:t>
      </w:r>
      <w:r w:rsidRPr="0084284E">
        <w:rPr>
          <w:i/>
          <w:iCs/>
        </w:rPr>
        <w:t>Proof Hansard</w:t>
      </w:r>
      <w:r>
        <w:t>, pp. 12-13</w:t>
      </w:r>
    </w:p>
  </w:footnote>
  <w:footnote w:id="20">
    <w:p w14:paraId="6829D752" w14:textId="10AB9BAF" w:rsidR="002D39FA" w:rsidRDefault="002D39FA">
      <w:pPr>
        <w:pStyle w:val="FootnoteText"/>
      </w:pPr>
      <w:r>
        <w:rPr>
          <w:rStyle w:val="FootnoteReference"/>
        </w:rPr>
        <w:footnoteRef/>
      </w:r>
      <w:r>
        <w:t xml:space="preserve"> 26 February 2021, </w:t>
      </w:r>
      <w:r w:rsidRPr="0084284E">
        <w:rPr>
          <w:i/>
          <w:iCs/>
        </w:rPr>
        <w:t>Proof Hansard</w:t>
      </w:r>
      <w:r>
        <w:t>, pp. 13 - 14</w:t>
      </w:r>
    </w:p>
  </w:footnote>
  <w:footnote w:id="21">
    <w:p w14:paraId="405203CD" w14:textId="317D168C" w:rsidR="002D39FA" w:rsidRDefault="002D39FA">
      <w:pPr>
        <w:pStyle w:val="FootnoteText"/>
      </w:pPr>
      <w:r>
        <w:rPr>
          <w:rStyle w:val="FootnoteReference"/>
        </w:rPr>
        <w:footnoteRef/>
      </w:r>
      <w:r>
        <w:t xml:space="preserve"> 26 February 2021, </w:t>
      </w:r>
      <w:r w:rsidRPr="0084284E">
        <w:rPr>
          <w:i/>
          <w:iCs/>
        </w:rPr>
        <w:t>Proof Hansard</w:t>
      </w:r>
      <w:r>
        <w:t>, pp. 15 - 18</w:t>
      </w:r>
    </w:p>
  </w:footnote>
  <w:footnote w:id="22">
    <w:p w14:paraId="7467F9F0" w14:textId="59E2AD79" w:rsidR="002D39FA" w:rsidRDefault="002D39FA">
      <w:pPr>
        <w:pStyle w:val="FootnoteText"/>
      </w:pPr>
      <w:r>
        <w:rPr>
          <w:rStyle w:val="FootnoteReference"/>
        </w:rPr>
        <w:footnoteRef/>
      </w:r>
      <w:r>
        <w:t xml:space="preserve"> 26 February 2021, </w:t>
      </w:r>
      <w:r w:rsidRPr="0084284E">
        <w:rPr>
          <w:i/>
          <w:iCs/>
        </w:rPr>
        <w:t>Proof Hansard</w:t>
      </w:r>
      <w:r>
        <w:t>, pp. 18 - 20</w:t>
      </w:r>
    </w:p>
  </w:footnote>
  <w:footnote w:id="23">
    <w:p w14:paraId="7BB5EEEF" w14:textId="20EB0453" w:rsidR="002D39FA" w:rsidRDefault="002D39FA">
      <w:pPr>
        <w:pStyle w:val="FootnoteText"/>
      </w:pPr>
      <w:r>
        <w:rPr>
          <w:rStyle w:val="FootnoteReference"/>
        </w:rPr>
        <w:footnoteRef/>
      </w:r>
      <w:r>
        <w:t xml:space="preserve"> 26 February 2021, </w:t>
      </w:r>
      <w:r w:rsidRPr="0084284E">
        <w:rPr>
          <w:i/>
          <w:iCs/>
        </w:rPr>
        <w:t>Proof Hansard</w:t>
      </w:r>
      <w:r>
        <w:t>, pp. 20-22</w:t>
      </w:r>
    </w:p>
  </w:footnote>
  <w:footnote w:id="24">
    <w:p w14:paraId="3B4AAEF3" w14:textId="5A8AFADE" w:rsidR="002D39FA" w:rsidRDefault="002D39FA">
      <w:pPr>
        <w:pStyle w:val="FootnoteText"/>
      </w:pPr>
      <w:r>
        <w:rPr>
          <w:rStyle w:val="FootnoteReference"/>
        </w:rPr>
        <w:footnoteRef/>
      </w:r>
      <w:r>
        <w:t xml:space="preserve"> 26 February 2021, </w:t>
      </w:r>
      <w:r w:rsidRPr="0084284E">
        <w:rPr>
          <w:i/>
          <w:iCs/>
        </w:rPr>
        <w:t>Proof Hansard</w:t>
      </w:r>
      <w:r>
        <w:t>, pp. 22 - 25</w:t>
      </w:r>
    </w:p>
  </w:footnote>
  <w:footnote w:id="25">
    <w:p w14:paraId="71B7C58A" w14:textId="54B1D119" w:rsidR="002D39FA" w:rsidRDefault="002D39FA">
      <w:pPr>
        <w:pStyle w:val="FootnoteText"/>
      </w:pPr>
      <w:r>
        <w:rPr>
          <w:rStyle w:val="FootnoteReference"/>
        </w:rPr>
        <w:footnoteRef/>
      </w:r>
      <w:r>
        <w:t xml:space="preserve"> 26 February 2021, </w:t>
      </w:r>
      <w:r w:rsidRPr="0084284E">
        <w:rPr>
          <w:i/>
          <w:iCs/>
        </w:rPr>
        <w:t>Proof Hansard</w:t>
      </w:r>
      <w:r>
        <w:t>, pp. 25 - 26</w:t>
      </w:r>
    </w:p>
  </w:footnote>
  <w:footnote w:id="26">
    <w:p w14:paraId="549166DC" w14:textId="7FA54C9B" w:rsidR="002D39FA" w:rsidRDefault="002D39FA">
      <w:pPr>
        <w:pStyle w:val="FootnoteText"/>
      </w:pPr>
      <w:r>
        <w:rPr>
          <w:rStyle w:val="FootnoteReference"/>
        </w:rPr>
        <w:footnoteRef/>
      </w:r>
      <w:r>
        <w:t xml:space="preserve"> 26 February 2021, </w:t>
      </w:r>
      <w:r w:rsidRPr="0084284E">
        <w:rPr>
          <w:i/>
          <w:iCs/>
        </w:rPr>
        <w:t>Proof Hansard</w:t>
      </w:r>
      <w:r>
        <w:t>, pp. 26 - 27</w:t>
      </w:r>
    </w:p>
  </w:footnote>
  <w:footnote w:id="27">
    <w:p w14:paraId="2A492E07" w14:textId="15F58E35" w:rsidR="002D39FA" w:rsidRDefault="002D39FA">
      <w:pPr>
        <w:pStyle w:val="FootnoteText"/>
      </w:pPr>
      <w:r>
        <w:rPr>
          <w:rStyle w:val="FootnoteReference"/>
        </w:rPr>
        <w:footnoteRef/>
      </w:r>
      <w:r>
        <w:t xml:space="preserve"> 26 February 2021, </w:t>
      </w:r>
      <w:r w:rsidRPr="0084284E">
        <w:rPr>
          <w:i/>
          <w:iCs/>
        </w:rPr>
        <w:t>Proof Hansard</w:t>
      </w:r>
      <w:r>
        <w:t>, pp. 27 - 29</w:t>
      </w:r>
    </w:p>
  </w:footnote>
  <w:footnote w:id="28">
    <w:p w14:paraId="19E80D03" w14:textId="56D053B2" w:rsidR="002D39FA" w:rsidRDefault="002D39FA">
      <w:pPr>
        <w:pStyle w:val="FootnoteText"/>
      </w:pPr>
      <w:r>
        <w:rPr>
          <w:rStyle w:val="FootnoteReference"/>
        </w:rPr>
        <w:footnoteRef/>
      </w:r>
      <w:r>
        <w:t xml:space="preserve"> 26 February 2021, </w:t>
      </w:r>
      <w:r w:rsidRPr="0084284E">
        <w:rPr>
          <w:i/>
          <w:iCs/>
        </w:rPr>
        <w:t>Proof Hansard</w:t>
      </w:r>
      <w:r>
        <w:t>, pp. 29 - 31</w:t>
      </w:r>
    </w:p>
  </w:footnote>
  <w:footnote w:id="29">
    <w:p w14:paraId="42CF0578" w14:textId="74C1F95F" w:rsidR="002D39FA" w:rsidRDefault="002D39FA">
      <w:pPr>
        <w:pStyle w:val="FootnoteText"/>
      </w:pPr>
      <w:r>
        <w:rPr>
          <w:rStyle w:val="FootnoteReference"/>
        </w:rPr>
        <w:footnoteRef/>
      </w:r>
      <w:r>
        <w:t xml:space="preserve"> 26 February 2021, </w:t>
      </w:r>
      <w:r w:rsidRPr="0084284E">
        <w:rPr>
          <w:i/>
          <w:iCs/>
        </w:rPr>
        <w:t>Proof Hansard</w:t>
      </w:r>
      <w:r>
        <w:t>, pp.31-33</w:t>
      </w:r>
    </w:p>
  </w:footnote>
  <w:footnote w:id="30">
    <w:p w14:paraId="161BB099" w14:textId="737C8035" w:rsidR="002D39FA" w:rsidRDefault="002D39FA">
      <w:pPr>
        <w:pStyle w:val="FootnoteText"/>
      </w:pPr>
      <w:r>
        <w:rPr>
          <w:rStyle w:val="FootnoteReference"/>
        </w:rPr>
        <w:footnoteRef/>
      </w:r>
      <w:r>
        <w:t xml:space="preserve"> 26 February 2021, </w:t>
      </w:r>
      <w:r w:rsidRPr="0084284E">
        <w:rPr>
          <w:i/>
          <w:iCs/>
        </w:rPr>
        <w:t>Proof Hansard</w:t>
      </w:r>
      <w:r>
        <w:t>, pp. 33 - 34</w:t>
      </w:r>
    </w:p>
  </w:footnote>
  <w:footnote w:id="31">
    <w:p w14:paraId="278D83F9" w14:textId="2C9F1332" w:rsidR="002D39FA" w:rsidRDefault="002D39FA">
      <w:pPr>
        <w:pStyle w:val="FootnoteText"/>
      </w:pPr>
      <w:r>
        <w:rPr>
          <w:rStyle w:val="FootnoteReference"/>
        </w:rPr>
        <w:footnoteRef/>
      </w:r>
      <w:r>
        <w:t xml:space="preserve"> 26 February 2021, </w:t>
      </w:r>
      <w:r w:rsidRPr="0084284E">
        <w:rPr>
          <w:i/>
          <w:iCs/>
        </w:rPr>
        <w:t>Proof Hansard</w:t>
      </w:r>
      <w:r>
        <w:t>, pp. 34-36</w:t>
      </w:r>
    </w:p>
  </w:footnote>
  <w:footnote w:id="32">
    <w:p w14:paraId="170CC169" w14:textId="150E4817" w:rsidR="002D39FA" w:rsidRDefault="002D39FA">
      <w:pPr>
        <w:pStyle w:val="FootnoteText"/>
      </w:pPr>
      <w:r>
        <w:rPr>
          <w:rStyle w:val="FootnoteReference"/>
        </w:rPr>
        <w:footnoteRef/>
      </w:r>
      <w:r>
        <w:t xml:space="preserve"> 26 February 2021, </w:t>
      </w:r>
      <w:r w:rsidRPr="0084284E">
        <w:rPr>
          <w:i/>
          <w:iCs/>
        </w:rPr>
        <w:t>Proof Hansard</w:t>
      </w:r>
      <w:r>
        <w:t>, pp. 36 - 37</w:t>
      </w:r>
    </w:p>
  </w:footnote>
  <w:footnote w:id="33">
    <w:p w14:paraId="7B33DC3D" w14:textId="7D45AD97" w:rsidR="002D39FA" w:rsidRDefault="002D39FA">
      <w:pPr>
        <w:pStyle w:val="FootnoteText"/>
      </w:pPr>
      <w:r>
        <w:rPr>
          <w:rStyle w:val="FootnoteReference"/>
        </w:rPr>
        <w:footnoteRef/>
      </w:r>
      <w:r>
        <w:t xml:space="preserve"> 26 February 2021, </w:t>
      </w:r>
      <w:r w:rsidRPr="0084284E">
        <w:rPr>
          <w:i/>
          <w:iCs/>
        </w:rPr>
        <w:t>Proof Hansard</w:t>
      </w:r>
      <w:r>
        <w:t>, pp. 37 - 39</w:t>
      </w:r>
    </w:p>
  </w:footnote>
  <w:footnote w:id="34">
    <w:p w14:paraId="3F711B68" w14:textId="5DCADA0D" w:rsidR="002D39FA" w:rsidRDefault="002D39FA">
      <w:pPr>
        <w:pStyle w:val="FootnoteText"/>
      </w:pPr>
      <w:r>
        <w:rPr>
          <w:rStyle w:val="FootnoteReference"/>
        </w:rPr>
        <w:footnoteRef/>
      </w:r>
      <w:r>
        <w:t xml:space="preserve"> 26 February 2021, </w:t>
      </w:r>
      <w:r w:rsidRPr="0084284E">
        <w:rPr>
          <w:i/>
          <w:iCs/>
        </w:rPr>
        <w:t>Proof Hansard</w:t>
      </w:r>
      <w:r>
        <w:t>, pp. 39 -40</w:t>
      </w:r>
    </w:p>
  </w:footnote>
  <w:footnote w:id="35">
    <w:p w14:paraId="73E864F1" w14:textId="21412BAD" w:rsidR="002D39FA" w:rsidRDefault="002D39FA">
      <w:pPr>
        <w:pStyle w:val="FootnoteText"/>
      </w:pPr>
      <w:r>
        <w:rPr>
          <w:rStyle w:val="FootnoteReference"/>
        </w:rPr>
        <w:footnoteRef/>
      </w:r>
      <w:r>
        <w:t xml:space="preserve"> 26 February 2021, </w:t>
      </w:r>
      <w:r>
        <w:rPr>
          <w:i/>
          <w:iCs/>
        </w:rPr>
        <w:t>Proof Hansard</w:t>
      </w:r>
      <w:r>
        <w:t>, pp. 40 -42</w:t>
      </w:r>
    </w:p>
  </w:footnote>
  <w:footnote w:id="36">
    <w:p w14:paraId="44779879" w14:textId="78EEC632" w:rsidR="002D39FA" w:rsidRDefault="002D39FA">
      <w:pPr>
        <w:pStyle w:val="FootnoteText"/>
      </w:pPr>
      <w:r>
        <w:rPr>
          <w:rStyle w:val="FootnoteReference"/>
        </w:rPr>
        <w:footnoteRef/>
      </w:r>
      <w:r>
        <w:t xml:space="preserve"> 26 February 2021, </w:t>
      </w:r>
      <w:r>
        <w:rPr>
          <w:i/>
          <w:iCs/>
        </w:rPr>
        <w:t>Proof Hansard</w:t>
      </w:r>
      <w:r>
        <w:t>, pp. 42 -43</w:t>
      </w:r>
    </w:p>
  </w:footnote>
  <w:footnote w:id="37">
    <w:p w14:paraId="4889C487" w14:textId="0F47D259" w:rsidR="002D39FA" w:rsidRDefault="002D39FA">
      <w:pPr>
        <w:pStyle w:val="FootnoteText"/>
      </w:pPr>
      <w:r>
        <w:rPr>
          <w:rStyle w:val="FootnoteReference"/>
        </w:rPr>
        <w:footnoteRef/>
      </w:r>
      <w:r>
        <w:t xml:space="preserve"> 26 February 2021, </w:t>
      </w:r>
      <w:r>
        <w:rPr>
          <w:i/>
          <w:iCs/>
        </w:rPr>
        <w:t>Proof Hansard</w:t>
      </w:r>
      <w:r>
        <w:t>, pp. 43 - 44 -</w:t>
      </w:r>
    </w:p>
  </w:footnote>
  <w:footnote w:id="38">
    <w:p w14:paraId="3153BBC3" w14:textId="179D6DC0" w:rsidR="002D39FA" w:rsidRDefault="002D39FA">
      <w:pPr>
        <w:pStyle w:val="FootnoteText"/>
      </w:pPr>
      <w:r>
        <w:rPr>
          <w:rStyle w:val="FootnoteReference"/>
        </w:rPr>
        <w:footnoteRef/>
      </w:r>
      <w:r>
        <w:t xml:space="preserve"> 26 February 2021, </w:t>
      </w:r>
      <w:r>
        <w:rPr>
          <w:i/>
          <w:iCs/>
        </w:rPr>
        <w:t>Proof Hansard</w:t>
      </w:r>
      <w:r>
        <w:t>, pp. 44 - 46</w:t>
      </w:r>
    </w:p>
  </w:footnote>
  <w:footnote w:id="39">
    <w:p w14:paraId="4AAF9A0B" w14:textId="50ECB5F8" w:rsidR="002D39FA" w:rsidRDefault="002D39FA">
      <w:pPr>
        <w:pStyle w:val="FootnoteText"/>
      </w:pPr>
      <w:r>
        <w:rPr>
          <w:rStyle w:val="FootnoteReference"/>
        </w:rPr>
        <w:footnoteRef/>
      </w:r>
      <w:r>
        <w:t xml:space="preserve"> 26 February 2021, </w:t>
      </w:r>
      <w:r>
        <w:rPr>
          <w:i/>
          <w:iCs/>
        </w:rPr>
        <w:t>Proof Hansard</w:t>
      </w:r>
      <w:r>
        <w:t>, pp. 46 - 48</w:t>
      </w:r>
    </w:p>
  </w:footnote>
  <w:footnote w:id="40">
    <w:p w14:paraId="07C356DA" w14:textId="43B8B05F" w:rsidR="002D39FA" w:rsidRDefault="002D39FA">
      <w:pPr>
        <w:pStyle w:val="FootnoteText"/>
      </w:pPr>
      <w:r>
        <w:rPr>
          <w:rStyle w:val="FootnoteReference"/>
        </w:rPr>
        <w:footnoteRef/>
      </w:r>
      <w:r>
        <w:t xml:space="preserve"> 26 February 2021, </w:t>
      </w:r>
      <w:r>
        <w:rPr>
          <w:i/>
          <w:iCs/>
        </w:rPr>
        <w:t>Proof Hansard</w:t>
      </w:r>
      <w:r>
        <w:t>, pp. 48 -49</w:t>
      </w:r>
    </w:p>
  </w:footnote>
  <w:footnote w:id="41">
    <w:p w14:paraId="21E8822F" w14:textId="577F789A" w:rsidR="002D39FA" w:rsidRDefault="002D39FA">
      <w:pPr>
        <w:pStyle w:val="FootnoteText"/>
      </w:pPr>
      <w:r>
        <w:rPr>
          <w:rStyle w:val="FootnoteReference"/>
        </w:rPr>
        <w:footnoteRef/>
      </w:r>
      <w:r>
        <w:t xml:space="preserve"> 26 February 2021, </w:t>
      </w:r>
      <w:r>
        <w:rPr>
          <w:i/>
          <w:iCs/>
        </w:rPr>
        <w:t>Proof Hansard</w:t>
      </w:r>
      <w:r>
        <w:t>, pp. 49 - 52</w:t>
      </w:r>
    </w:p>
  </w:footnote>
  <w:footnote w:id="42">
    <w:p w14:paraId="3CD5A264" w14:textId="4D9C2F69" w:rsidR="002D39FA" w:rsidRDefault="002D39FA">
      <w:pPr>
        <w:pStyle w:val="FootnoteText"/>
      </w:pPr>
      <w:r>
        <w:rPr>
          <w:rStyle w:val="FootnoteReference"/>
        </w:rPr>
        <w:footnoteRef/>
      </w:r>
      <w:r>
        <w:t xml:space="preserve"> 26 February 2021, </w:t>
      </w:r>
      <w:r>
        <w:rPr>
          <w:i/>
          <w:iCs/>
        </w:rPr>
        <w:t>Proof Hansard</w:t>
      </w:r>
      <w:r>
        <w:t xml:space="preserve">, pp. 52 </w:t>
      </w:r>
      <w:proofErr w:type="gramStart"/>
      <w:r>
        <w:t>-  -</w:t>
      </w:r>
      <w:proofErr w:type="gramEnd"/>
    </w:p>
  </w:footnote>
  <w:footnote w:id="43">
    <w:p w14:paraId="3FD01359" w14:textId="282083C4" w:rsidR="002D39FA" w:rsidRDefault="002D39FA">
      <w:pPr>
        <w:pStyle w:val="FootnoteText"/>
      </w:pPr>
      <w:r>
        <w:rPr>
          <w:rStyle w:val="FootnoteReference"/>
        </w:rPr>
        <w:footnoteRef/>
      </w:r>
      <w:r>
        <w:t xml:space="preserve"> 26 February 2021, </w:t>
      </w:r>
      <w:r>
        <w:rPr>
          <w:i/>
          <w:iCs/>
        </w:rPr>
        <w:t>Proof Hansard</w:t>
      </w:r>
      <w:r>
        <w:t>, p.11.</w:t>
      </w:r>
    </w:p>
  </w:footnote>
  <w:footnote w:id="44">
    <w:p w14:paraId="4D4F5106" w14:textId="4DA23FB8" w:rsidR="002D39FA" w:rsidRDefault="002D39FA">
      <w:pPr>
        <w:pStyle w:val="FootnoteText"/>
      </w:pPr>
      <w:r>
        <w:rPr>
          <w:rStyle w:val="FootnoteReference"/>
        </w:rPr>
        <w:footnoteRef/>
      </w:r>
      <w:r>
        <w:t xml:space="preserve"> 26 February 2021, </w:t>
      </w:r>
      <w:r>
        <w:rPr>
          <w:i/>
          <w:iCs/>
        </w:rPr>
        <w:t>Proof Hansard</w:t>
      </w:r>
      <w:r>
        <w:t>, p.12,</w:t>
      </w:r>
    </w:p>
  </w:footnote>
  <w:footnote w:id="45">
    <w:p w14:paraId="074B168D" w14:textId="3FB98653" w:rsidR="002D39FA" w:rsidRDefault="002D39FA">
      <w:pPr>
        <w:pStyle w:val="FootnoteText"/>
      </w:pPr>
      <w:r>
        <w:rPr>
          <w:rStyle w:val="FootnoteReference"/>
        </w:rPr>
        <w:footnoteRef/>
      </w:r>
      <w:r>
        <w:t xml:space="preserve"> 26 February 2021, </w:t>
      </w:r>
      <w:r w:rsidRPr="006A7411">
        <w:rPr>
          <w:i/>
          <w:iCs/>
        </w:rPr>
        <w:t>Transcript of Evidence</w:t>
      </w:r>
      <w:r>
        <w:t>, p. 12.</w:t>
      </w:r>
    </w:p>
  </w:footnote>
  <w:footnote w:id="46">
    <w:p w14:paraId="04BF0EE8" w14:textId="5A248FB9" w:rsidR="002D39FA" w:rsidRDefault="002D39FA">
      <w:pPr>
        <w:pStyle w:val="FootnoteText"/>
      </w:pPr>
      <w:r>
        <w:rPr>
          <w:rStyle w:val="FootnoteReference"/>
        </w:rPr>
        <w:footnoteRef/>
      </w:r>
      <w:r>
        <w:t xml:space="preserve"> 26 February 2021, </w:t>
      </w:r>
      <w:r w:rsidRPr="006A7411">
        <w:rPr>
          <w:i/>
          <w:iCs/>
        </w:rPr>
        <w:t>Transcript of Evidence</w:t>
      </w:r>
      <w:r>
        <w:t>, pp. 12 - 13</w:t>
      </w:r>
    </w:p>
  </w:footnote>
  <w:footnote w:id="47">
    <w:p w14:paraId="20ACDD66" w14:textId="7295FA09" w:rsidR="002D39FA" w:rsidRDefault="002D39FA">
      <w:pPr>
        <w:pStyle w:val="FootnoteText"/>
      </w:pPr>
      <w:r>
        <w:rPr>
          <w:rStyle w:val="FootnoteReference"/>
        </w:rPr>
        <w:footnoteRef/>
      </w:r>
      <w:r>
        <w:t xml:space="preserve"> 26 February 2021, </w:t>
      </w:r>
      <w:r w:rsidRPr="006A7411">
        <w:rPr>
          <w:i/>
          <w:iCs/>
        </w:rPr>
        <w:t>Transcript of Evidence</w:t>
      </w:r>
      <w:r>
        <w:t>, p. 20.</w:t>
      </w:r>
    </w:p>
  </w:footnote>
  <w:footnote w:id="48">
    <w:p w14:paraId="01E944AD" w14:textId="6FF84F0C" w:rsidR="002D39FA" w:rsidRDefault="002D39FA">
      <w:pPr>
        <w:pStyle w:val="FootnoteText"/>
      </w:pPr>
      <w:r>
        <w:rPr>
          <w:rStyle w:val="FootnoteReference"/>
        </w:rPr>
        <w:footnoteRef/>
      </w:r>
      <w:r>
        <w:t xml:space="preserve"> 26 February 2021, </w:t>
      </w:r>
      <w:r w:rsidRPr="006A7411">
        <w:rPr>
          <w:i/>
          <w:iCs/>
        </w:rPr>
        <w:t>Transcript of Evidence</w:t>
      </w:r>
      <w:r>
        <w:t>, pp. 20-21.</w:t>
      </w:r>
    </w:p>
  </w:footnote>
  <w:footnote w:id="49">
    <w:p w14:paraId="1563EC75" w14:textId="419EBDBF" w:rsidR="002D39FA" w:rsidRDefault="002D39FA">
      <w:pPr>
        <w:pStyle w:val="FootnoteText"/>
      </w:pPr>
      <w:r>
        <w:rPr>
          <w:rStyle w:val="FootnoteReference"/>
        </w:rPr>
        <w:footnoteRef/>
      </w:r>
      <w:r>
        <w:t xml:space="preserve"> 26 February 2021, </w:t>
      </w:r>
      <w:r w:rsidRPr="006A7411">
        <w:rPr>
          <w:i/>
          <w:iCs/>
        </w:rPr>
        <w:t>Transcript of Evidence</w:t>
      </w:r>
      <w:r>
        <w:t>, pp. 29-30.</w:t>
      </w:r>
    </w:p>
  </w:footnote>
  <w:footnote w:id="50">
    <w:p w14:paraId="34132211" w14:textId="77777777" w:rsidR="002D39FA" w:rsidRDefault="002D39FA" w:rsidP="00F1579E">
      <w:pPr>
        <w:pStyle w:val="FootnoteText"/>
      </w:pPr>
      <w:r>
        <w:rPr>
          <w:rStyle w:val="FootnoteReference"/>
        </w:rPr>
        <w:footnoteRef/>
      </w:r>
      <w:r>
        <w:t xml:space="preserve"> 26 February 2021, </w:t>
      </w:r>
      <w:r w:rsidRPr="006A7411">
        <w:rPr>
          <w:i/>
          <w:iCs/>
        </w:rPr>
        <w:t>Transcript of Evidence</w:t>
      </w:r>
      <w:r>
        <w:t>, p. 30</w:t>
      </w:r>
    </w:p>
  </w:footnote>
  <w:footnote w:id="51">
    <w:p w14:paraId="14FDA70A" w14:textId="64491CD1" w:rsidR="002D39FA" w:rsidRDefault="002D39FA">
      <w:pPr>
        <w:pStyle w:val="FootnoteText"/>
      </w:pPr>
      <w:r>
        <w:rPr>
          <w:rStyle w:val="FootnoteReference"/>
        </w:rPr>
        <w:footnoteRef/>
      </w:r>
      <w:r>
        <w:t xml:space="preserve"> 26 February 2021, </w:t>
      </w:r>
      <w:r w:rsidRPr="006A7411">
        <w:rPr>
          <w:i/>
          <w:iCs/>
        </w:rPr>
        <w:t>Transcript of Evidence</w:t>
      </w:r>
      <w:r>
        <w:t>, pp. 40-42</w:t>
      </w:r>
    </w:p>
  </w:footnote>
  <w:footnote w:id="52">
    <w:p w14:paraId="1744C8EA" w14:textId="7F84C61C" w:rsidR="002D39FA" w:rsidRDefault="002D39FA">
      <w:pPr>
        <w:pStyle w:val="FootnoteText"/>
      </w:pPr>
      <w:r>
        <w:rPr>
          <w:rStyle w:val="FootnoteReference"/>
        </w:rPr>
        <w:footnoteRef/>
      </w:r>
      <w:r>
        <w:t xml:space="preserve"> See - </w:t>
      </w:r>
      <w:hyperlink r:id="rId7" w:history="1">
        <w:r w:rsidRPr="00924727">
          <w:rPr>
            <w:rStyle w:val="Hyperlink"/>
          </w:rPr>
          <w:t>https://www.medicaltrainingsurvey.gov.au/</w:t>
        </w:r>
      </w:hyperlink>
      <w:r>
        <w:t>; 26 February 2021, Transcript of Evidence, pp. 31-33.</w:t>
      </w:r>
    </w:p>
  </w:footnote>
  <w:footnote w:id="53">
    <w:p w14:paraId="4E53E8BC" w14:textId="00460653" w:rsidR="002D39FA" w:rsidRDefault="002D39FA">
      <w:pPr>
        <w:pStyle w:val="FootnoteText"/>
      </w:pPr>
      <w:r>
        <w:rPr>
          <w:rStyle w:val="FootnoteReference"/>
        </w:rPr>
        <w:footnoteRef/>
      </w:r>
      <w:r>
        <w:t xml:space="preserve"> 26 February 2021, </w:t>
      </w:r>
      <w:r w:rsidRPr="00533D69">
        <w:rPr>
          <w:i/>
          <w:iCs/>
        </w:rPr>
        <w:t>Transcript of Evidence</w:t>
      </w:r>
      <w:r>
        <w:t>, p. 31</w:t>
      </w:r>
    </w:p>
  </w:footnote>
  <w:footnote w:id="54">
    <w:p w14:paraId="7284741A" w14:textId="4087E093" w:rsidR="002D39FA" w:rsidRDefault="002D39FA">
      <w:pPr>
        <w:pStyle w:val="FootnoteText"/>
      </w:pPr>
      <w:r>
        <w:rPr>
          <w:rStyle w:val="FootnoteReference"/>
        </w:rPr>
        <w:footnoteRef/>
      </w:r>
      <w:r>
        <w:t xml:space="preserve"> 26 February 2021, </w:t>
      </w:r>
      <w:r w:rsidRPr="00533D69">
        <w:rPr>
          <w:i/>
          <w:iCs/>
        </w:rPr>
        <w:t>Transcript of Evidence</w:t>
      </w:r>
      <w:r>
        <w:t>, p. 33-34.</w:t>
      </w:r>
    </w:p>
  </w:footnote>
  <w:footnote w:id="55">
    <w:p w14:paraId="0D7D4B07" w14:textId="0B807F04" w:rsidR="002D39FA" w:rsidRDefault="002D39FA">
      <w:pPr>
        <w:pStyle w:val="FootnoteText"/>
      </w:pPr>
      <w:r>
        <w:rPr>
          <w:rStyle w:val="FootnoteReference"/>
        </w:rPr>
        <w:footnoteRef/>
      </w:r>
      <w:r>
        <w:t xml:space="preserve"> 26 February 2021, </w:t>
      </w:r>
      <w:r w:rsidRPr="00081AB9">
        <w:rPr>
          <w:i/>
          <w:iCs/>
        </w:rPr>
        <w:t>Transcript of Evidence</w:t>
      </w:r>
      <w:r>
        <w:t>, p. 47</w:t>
      </w:r>
    </w:p>
  </w:footnote>
  <w:footnote w:id="56">
    <w:p w14:paraId="3BEBCB6A" w14:textId="5E87727D" w:rsidR="002D39FA" w:rsidRDefault="002D39FA">
      <w:pPr>
        <w:pStyle w:val="FootnoteText"/>
      </w:pPr>
      <w:r>
        <w:rPr>
          <w:rStyle w:val="FootnoteReference"/>
        </w:rPr>
        <w:footnoteRef/>
      </w:r>
      <w:r>
        <w:t xml:space="preserve"> See: </w:t>
      </w:r>
      <w:hyperlink r:id="rId8" w:history="1">
        <w:r w:rsidRPr="00924727">
          <w:rPr>
            <w:rStyle w:val="Hyperlink"/>
          </w:rPr>
          <w:t>https://www.health.act.gov.au/about-our-health-system/population-health/act-drug-strategy-action-plan</w:t>
        </w:r>
      </w:hyperlink>
    </w:p>
    <w:p w14:paraId="774C8268" w14:textId="77777777" w:rsidR="002D39FA" w:rsidRDefault="002D39FA">
      <w:pPr>
        <w:pStyle w:val="FootnoteText"/>
      </w:pPr>
    </w:p>
  </w:footnote>
  <w:footnote w:id="57">
    <w:p w14:paraId="538883F9" w14:textId="4986C22C" w:rsidR="002D39FA" w:rsidRDefault="002D39FA">
      <w:pPr>
        <w:pStyle w:val="FootnoteText"/>
      </w:pPr>
      <w:r>
        <w:rPr>
          <w:rStyle w:val="FootnoteReference"/>
        </w:rPr>
        <w:footnoteRef/>
      </w:r>
      <w:r>
        <w:t xml:space="preserve"> 26 February 2021, </w:t>
      </w:r>
      <w:r w:rsidRPr="007459A8">
        <w:rPr>
          <w:i/>
          <w:iCs/>
        </w:rPr>
        <w:t>Transcript of Evidence</w:t>
      </w:r>
      <w:r>
        <w:t>, pp. 52-54</w:t>
      </w:r>
    </w:p>
  </w:footnote>
  <w:footnote w:id="58">
    <w:p w14:paraId="008B98FC" w14:textId="3E442092" w:rsidR="002D39FA" w:rsidRDefault="002D39FA" w:rsidP="00746163">
      <w:pPr>
        <w:pStyle w:val="Quote"/>
        <w:ind w:left="0"/>
      </w:pPr>
      <w:r>
        <w:rPr>
          <w:rStyle w:val="FootnoteReference"/>
        </w:rPr>
        <w:footnoteRef/>
      </w:r>
      <w:r>
        <w:t xml:space="preserve"> </w:t>
      </w:r>
      <w:r w:rsidRPr="00746163">
        <w:rPr>
          <w:i/>
          <w:iCs w:val="0"/>
          <w:lang w:eastAsia="en-AU"/>
        </w:rPr>
        <w:t>(AR)</w:t>
      </w:r>
      <w:r>
        <w:rPr>
          <w:lang w:eastAsia="en-AU"/>
        </w:rPr>
        <w:t xml:space="preserve"> indicates a matter raised from the Annual Report.</w:t>
      </w:r>
    </w:p>
  </w:footnote>
  <w:footnote w:id="59">
    <w:p w14:paraId="2A24E3AD" w14:textId="40757544" w:rsidR="002D39FA" w:rsidRDefault="002D39FA">
      <w:pPr>
        <w:pStyle w:val="FootnoteText"/>
      </w:pPr>
      <w:r>
        <w:rPr>
          <w:rStyle w:val="FootnoteReference"/>
        </w:rPr>
        <w:footnoteRef/>
      </w:r>
      <w:r>
        <w:t xml:space="preserve"> 26 February 2021, </w:t>
      </w:r>
      <w:r>
        <w:rPr>
          <w:i/>
          <w:iCs/>
        </w:rPr>
        <w:t>Proof Hansard</w:t>
      </w:r>
      <w:r>
        <w:t>, pp. 55 - 58</w:t>
      </w:r>
    </w:p>
  </w:footnote>
  <w:footnote w:id="60">
    <w:p w14:paraId="531AA69E" w14:textId="50122369" w:rsidR="002D39FA" w:rsidRDefault="002D39FA">
      <w:pPr>
        <w:pStyle w:val="FootnoteText"/>
      </w:pPr>
      <w:r>
        <w:rPr>
          <w:rStyle w:val="FootnoteReference"/>
        </w:rPr>
        <w:footnoteRef/>
      </w:r>
      <w:r>
        <w:t xml:space="preserve"> 26 February 2021, </w:t>
      </w:r>
      <w:r>
        <w:rPr>
          <w:i/>
          <w:iCs/>
        </w:rPr>
        <w:t>Proof Hansard</w:t>
      </w:r>
      <w:r>
        <w:t>, pp. 58 - 59</w:t>
      </w:r>
    </w:p>
  </w:footnote>
  <w:footnote w:id="61">
    <w:p w14:paraId="3B2CB705" w14:textId="3E136647" w:rsidR="002D39FA" w:rsidRDefault="002D39FA">
      <w:pPr>
        <w:pStyle w:val="FootnoteText"/>
      </w:pPr>
      <w:r>
        <w:rPr>
          <w:rStyle w:val="FootnoteReference"/>
        </w:rPr>
        <w:footnoteRef/>
      </w:r>
      <w:r>
        <w:t xml:space="preserve"> 26 February 2021, </w:t>
      </w:r>
      <w:r>
        <w:rPr>
          <w:i/>
          <w:iCs/>
        </w:rPr>
        <w:t>Proof Hansard</w:t>
      </w:r>
      <w:r>
        <w:t>, pp. 59 - 60</w:t>
      </w:r>
    </w:p>
  </w:footnote>
  <w:footnote w:id="62">
    <w:p w14:paraId="59FA4FB1" w14:textId="1F738DEB" w:rsidR="002D39FA" w:rsidRDefault="002D39FA">
      <w:pPr>
        <w:pStyle w:val="FootnoteText"/>
      </w:pPr>
      <w:r>
        <w:rPr>
          <w:rStyle w:val="FootnoteReference"/>
        </w:rPr>
        <w:footnoteRef/>
      </w:r>
      <w:r>
        <w:t xml:space="preserve"> 26 February 2021, </w:t>
      </w:r>
      <w:r>
        <w:rPr>
          <w:i/>
          <w:iCs/>
        </w:rPr>
        <w:t>Proof Hansard</w:t>
      </w:r>
      <w:r>
        <w:t>, pp. 60 -63</w:t>
      </w:r>
    </w:p>
  </w:footnote>
  <w:footnote w:id="63">
    <w:p w14:paraId="577F6FE7" w14:textId="050BA606" w:rsidR="002D39FA" w:rsidRDefault="002D39FA">
      <w:pPr>
        <w:pStyle w:val="FootnoteText"/>
      </w:pPr>
      <w:r>
        <w:rPr>
          <w:rStyle w:val="FootnoteReference"/>
        </w:rPr>
        <w:footnoteRef/>
      </w:r>
      <w:r>
        <w:t xml:space="preserve"> 26 February 2021, </w:t>
      </w:r>
      <w:r>
        <w:rPr>
          <w:i/>
          <w:iCs/>
        </w:rPr>
        <w:t>Proof Hansard</w:t>
      </w:r>
      <w:r>
        <w:t>, pp. 63 - 65</w:t>
      </w:r>
    </w:p>
  </w:footnote>
  <w:footnote w:id="64">
    <w:p w14:paraId="6B341F45" w14:textId="092A3842" w:rsidR="002D39FA" w:rsidRDefault="002D39FA">
      <w:pPr>
        <w:pStyle w:val="FootnoteText"/>
      </w:pPr>
      <w:r>
        <w:rPr>
          <w:rStyle w:val="FootnoteReference"/>
        </w:rPr>
        <w:footnoteRef/>
      </w:r>
      <w:r>
        <w:t xml:space="preserve"> 26 February 2021, </w:t>
      </w:r>
      <w:r>
        <w:rPr>
          <w:i/>
          <w:iCs/>
        </w:rPr>
        <w:t>Proof Hansard</w:t>
      </w:r>
      <w:r>
        <w:t>, p. 65</w:t>
      </w:r>
    </w:p>
  </w:footnote>
  <w:footnote w:id="65">
    <w:p w14:paraId="3D754EF0" w14:textId="2529F6AB" w:rsidR="002D39FA" w:rsidRDefault="002D39FA">
      <w:pPr>
        <w:pStyle w:val="FootnoteText"/>
      </w:pPr>
      <w:r>
        <w:rPr>
          <w:rStyle w:val="FootnoteReference"/>
        </w:rPr>
        <w:footnoteRef/>
      </w:r>
      <w:r>
        <w:t xml:space="preserve"> 26 February 2021, </w:t>
      </w:r>
      <w:r>
        <w:rPr>
          <w:i/>
          <w:iCs/>
        </w:rPr>
        <w:t>Proof Hansard</w:t>
      </w:r>
      <w:r>
        <w:t>, pp. 65 - 69</w:t>
      </w:r>
    </w:p>
  </w:footnote>
  <w:footnote w:id="66">
    <w:p w14:paraId="0F8E712F" w14:textId="5F7DC435" w:rsidR="002D39FA" w:rsidRDefault="002D39FA">
      <w:pPr>
        <w:pStyle w:val="FootnoteText"/>
      </w:pPr>
      <w:r>
        <w:rPr>
          <w:rStyle w:val="FootnoteReference"/>
        </w:rPr>
        <w:footnoteRef/>
      </w:r>
      <w:r>
        <w:t xml:space="preserve"> 26 February 2021, </w:t>
      </w:r>
      <w:r>
        <w:rPr>
          <w:i/>
          <w:iCs/>
        </w:rPr>
        <w:t>Proof Hansard</w:t>
      </w:r>
      <w:r>
        <w:t>, pp. 69 - 74</w:t>
      </w:r>
    </w:p>
  </w:footnote>
  <w:footnote w:id="67">
    <w:p w14:paraId="58C327EF" w14:textId="2881EEAD" w:rsidR="002D39FA" w:rsidRDefault="002D39FA">
      <w:pPr>
        <w:pStyle w:val="FootnoteText"/>
      </w:pPr>
      <w:r>
        <w:rPr>
          <w:rStyle w:val="FootnoteReference"/>
        </w:rPr>
        <w:footnoteRef/>
      </w:r>
      <w:r>
        <w:t xml:space="preserve"> 26 February 2021, </w:t>
      </w:r>
      <w:r>
        <w:rPr>
          <w:i/>
          <w:iCs/>
        </w:rPr>
        <w:t>Proof Hansard</w:t>
      </w:r>
      <w:r>
        <w:t>, pp.74 - 77</w:t>
      </w:r>
    </w:p>
  </w:footnote>
  <w:footnote w:id="68">
    <w:p w14:paraId="10F562AC" w14:textId="414F03D0" w:rsidR="002D39FA" w:rsidRDefault="002D39FA">
      <w:pPr>
        <w:pStyle w:val="FootnoteText"/>
      </w:pPr>
      <w:r>
        <w:rPr>
          <w:rStyle w:val="FootnoteReference"/>
        </w:rPr>
        <w:footnoteRef/>
      </w:r>
      <w:r>
        <w:t xml:space="preserve"> 26 February 2021, </w:t>
      </w:r>
      <w:r>
        <w:rPr>
          <w:i/>
          <w:iCs/>
        </w:rPr>
        <w:t>Proof Hansard</w:t>
      </w:r>
      <w:r>
        <w:t>, p. 54,</w:t>
      </w:r>
    </w:p>
  </w:footnote>
  <w:footnote w:id="69">
    <w:p w14:paraId="2E3AA755" w14:textId="4EB575CB" w:rsidR="002D39FA" w:rsidRDefault="002D39FA">
      <w:pPr>
        <w:pStyle w:val="FootnoteText"/>
      </w:pPr>
      <w:r>
        <w:rPr>
          <w:rStyle w:val="FootnoteReference"/>
        </w:rPr>
        <w:footnoteRef/>
      </w:r>
      <w:r>
        <w:t xml:space="preserve"> 26 February 2021, </w:t>
      </w:r>
      <w:r>
        <w:rPr>
          <w:i/>
          <w:iCs/>
        </w:rPr>
        <w:t>Proof Hansard</w:t>
      </w:r>
      <w:r>
        <w:t>, p.55.</w:t>
      </w:r>
    </w:p>
  </w:footnote>
  <w:footnote w:id="70">
    <w:p w14:paraId="16362141" w14:textId="6CA13B83" w:rsidR="002D39FA" w:rsidRDefault="002D39FA">
      <w:pPr>
        <w:pStyle w:val="FootnoteText"/>
      </w:pPr>
      <w:r>
        <w:rPr>
          <w:rStyle w:val="FootnoteReference"/>
        </w:rPr>
        <w:footnoteRef/>
      </w:r>
      <w:r>
        <w:t xml:space="preserve"> 26 February 2021, </w:t>
      </w:r>
      <w:r>
        <w:rPr>
          <w:i/>
          <w:iCs/>
        </w:rPr>
        <w:t>Proof Hansard</w:t>
      </w:r>
      <w:r>
        <w:t>, pp. 55-56.</w:t>
      </w:r>
    </w:p>
  </w:footnote>
  <w:footnote w:id="71">
    <w:p w14:paraId="652D338E" w14:textId="61E38859" w:rsidR="002D39FA" w:rsidRDefault="002D39FA">
      <w:pPr>
        <w:pStyle w:val="FootnoteText"/>
      </w:pPr>
      <w:r>
        <w:rPr>
          <w:rStyle w:val="FootnoteReference"/>
        </w:rPr>
        <w:footnoteRef/>
      </w:r>
      <w:r>
        <w:t xml:space="preserve"> 26 February 2021, </w:t>
      </w:r>
      <w:r w:rsidRPr="003575CD">
        <w:rPr>
          <w:i/>
          <w:iCs/>
        </w:rPr>
        <w:t>Transcript of Evidence</w:t>
      </w:r>
      <w:r>
        <w:t>, pp, 56-57.</w:t>
      </w:r>
    </w:p>
  </w:footnote>
  <w:footnote w:id="72">
    <w:p w14:paraId="09A211FD" w14:textId="0BC7E333" w:rsidR="002D39FA" w:rsidRDefault="002D39FA">
      <w:pPr>
        <w:pStyle w:val="FootnoteText"/>
      </w:pPr>
      <w:r>
        <w:rPr>
          <w:rStyle w:val="FootnoteReference"/>
        </w:rPr>
        <w:footnoteRef/>
      </w:r>
      <w:r>
        <w:t xml:space="preserve"> 26 February 2021, </w:t>
      </w:r>
      <w:r w:rsidRPr="003575CD">
        <w:rPr>
          <w:i/>
          <w:iCs/>
        </w:rPr>
        <w:t>Transcript of Evidence</w:t>
      </w:r>
      <w:r>
        <w:t>, p. 58.</w:t>
      </w:r>
    </w:p>
  </w:footnote>
  <w:footnote w:id="73">
    <w:p w14:paraId="3CC09330" w14:textId="7E633B2E" w:rsidR="002D39FA" w:rsidRDefault="002D39FA">
      <w:pPr>
        <w:pStyle w:val="FootnoteText"/>
      </w:pPr>
      <w:r>
        <w:rPr>
          <w:rStyle w:val="FootnoteReference"/>
        </w:rPr>
        <w:footnoteRef/>
      </w:r>
      <w:r>
        <w:t xml:space="preserve"> 26 February 2021, </w:t>
      </w:r>
      <w:r w:rsidRPr="00D17E57">
        <w:rPr>
          <w:i/>
          <w:iCs/>
        </w:rPr>
        <w:t>Transcript of Evidence</w:t>
      </w:r>
      <w:r>
        <w:t>, p. 59.</w:t>
      </w:r>
    </w:p>
  </w:footnote>
  <w:footnote w:id="74">
    <w:p w14:paraId="542DE3F6" w14:textId="667A85AE" w:rsidR="002D39FA" w:rsidRDefault="002D39FA">
      <w:pPr>
        <w:pStyle w:val="FootnoteText"/>
      </w:pPr>
      <w:r>
        <w:rPr>
          <w:rStyle w:val="FootnoteReference"/>
        </w:rPr>
        <w:footnoteRef/>
      </w:r>
      <w:r>
        <w:t xml:space="preserve"> 26 February 2021, </w:t>
      </w:r>
      <w:r w:rsidRPr="00D17E57">
        <w:rPr>
          <w:i/>
          <w:iCs/>
        </w:rPr>
        <w:t>Transcript of Evidence</w:t>
      </w:r>
      <w:r>
        <w:t>, p. 65</w:t>
      </w:r>
    </w:p>
  </w:footnote>
  <w:footnote w:id="75">
    <w:p w14:paraId="4AFEEAE4" w14:textId="412DCB9B" w:rsidR="002D39FA" w:rsidRDefault="002D39FA">
      <w:pPr>
        <w:pStyle w:val="FootnoteText"/>
      </w:pPr>
      <w:r>
        <w:rPr>
          <w:rStyle w:val="FootnoteReference"/>
        </w:rPr>
        <w:footnoteRef/>
      </w:r>
      <w:r>
        <w:t xml:space="preserve"> 26 February 2021, </w:t>
      </w:r>
      <w:r w:rsidRPr="00047E77">
        <w:rPr>
          <w:i/>
          <w:iCs/>
        </w:rPr>
        <w:t>Transcript of Evidence</w:t>
      </w:r>
      <w:r>
        <w:t xml:space="preserve">, p. </w:t>
      </w:r>
    </w:p>
  </w:footnote>
  <w:footnote w:id="76">
    <w:p w14:paraId="4C9426DB" w14:textId="10F2332C" w:rsidR="002D39FA" w:rsidRPr="00D26D98" w:rsidRDefault="002D39FA">
      <w:pPr>
        <w:pStyle w:val="FootnoteText"/>
        <w:rPr>
          <w:i/>
          <w:iCs/>
        </w:rPr>
      </w:pPr>
      <w:r>
        <w:rPr>
          <w:rStyle w:val="FootnoteReference"/>
        </w:rPr>
        <w:footnoteRef/>
      </w:r>
      <w:r>
        <w:t xml:space="preserve"> See generally Budget Paper C, </w:t>
      </w:r>
      <w:r>
        <w:rPr>
          <w:i/>
          <w:iCs/>
        </w:rPr>
        <w:t>Mental Health, Justice Health and Alcohol and Drug Services,</w:t>
      </w:r>
      <w:r w:rsidRPr="00D26D98">
        <w:t xml:space="preserve"> pp. 39-42</w:t>
      </w:r>
      <w:r>
        <w:rPr>
          <w:i/>
          <w:iCs/>
        </w:rPr>
        <w:t>.</w:t>
      </w:r>
    </w:p>
  </w:footnote>
  <w:footnote w:id="77">
    <w:p w14:paraId="08D32C62" w14:textId="3F56895D" w:rsidR="002D39FA" w:rsidRDefault="002D39FA">
      <w:pPr>
        <w:pStyle w:val="FootnoteText"/>
      </w:pPr>
      <w:r>
        <w:rPr>
          <w:rStyle w:val="FootnoteReference"/>
        </w:rPr>
        <w:footnoteRef/>
      </w:r>
      <w:r>
        <w:t xml:space="preserve"> 26 February 2021, </w:t>
      </w:r>
      <w:r>
        <w:rPr>
          <w:i/>
          <w:iCs/>
        </w:rPr>
        <w:t>Proof Hansard</w:t>
      </w:r>
      <w:r>
        <w:t>, pp. 80 - 82</w:t>
      </w:r>
    </w:p>
  </w:footnote>
  <w:footnote w:id="78">
    <w:p w14:paraId="03624F92" w14:textId="23C520A7" w:rsidR="002D39FA" w:rsidRDefault="002D39FA">
      <w:pPr>
        <w:pStyle w:val="FootnoteText"/>
      </w:pPr>
      <w:r>
        <w:rPr>
          <w:rStyle w:val="FootnoteReference"/>
        </w:rPr>
        <w:footnoteRef/>
      </w:r>
      <w:r>
        <w:t xml:space="preserve"> 26 February 2021, </w:t>
      </w:r>
      <w:r>
        <w:rPr>
          <w:i/>
          <w:iCs/>
        </w:rPr>
        <w:t>Proof Hansard</w:t>
      </w:r>
      <w:r>
        <w:t>, pp. 82 - 83</w:t>
      </w:r>
    </w:p>
  </w:footnote>
  <w:footnote w:id="79">
    <w:p w14:paraId="6AF95BC3" w14:textId="76FA1B37" w:rsidR="002D39FA" w:rsidRDefault="002D39FA">
      <w:pPr>
        <w:pStyle w:val="FootnoteText"/>
      </w:pPr>
      <w:r>
        <w:rPr>
          <w:rStyle w:val="FootnoteReference"/>
        </w:rPr>
        <w:footnoteRef/>
      </w:r>
      <w:r>
        <w:t xml:space="preserve"> 26 February 2021, </w:t>
      </w:r>
      <w:r>
        <w:rPr>
          <w:i/>
          <w:iCs/>
        </w:rPr>
        <w:t>Proof Hansard</w:t>
      </w:r>
      <w:r>
        <w:t>, p. 83</w:t>
      </w:r>
    </w:p>
  </w:footnote>
  <w:footnote w:id="80">
    <w:p w14:paraId="0EDA890B" w14:textId="576C3479" w:rsidR="002D39FA" w:rsidRDefault="002D39FA">
      <w:pPr>
        <w:pStyle w:val="FootnoteText"/>
      </w:pPr>
      <w:r>
        <w:rPr>
          <w:rStyle w:val="FootnoteReference"/>
        </w:rPr>
        <w:footnoteRef/>
      </w:r>
      <w:r>
        <w:t xml:space="preserve"> 26 February 2021, </w:t>
      </w:r>
      <w:r>
        <w:rPr>
          <w:i/>
          <w:iCs/>
        </w:rPr>
        <w:t>Proof Hansard</w:t>
      </w:r>
      <w:r>
        <w:t>, pp. 83-84</w:t>
      </w:r>
    </w:p>
  </w:footnote>
  <w:footnote w:id="81">
    <w:p w14:paraId="670DA0C0" w14:textId="54003307" w:rsidR="002D39FA" w:rsidRDefault="002D39FA">
      <w:pPr>
        <w:pStyle w:val="FootnoteText"/>
      </w:pPr>
      <w:r>
        <w:rPr>
          <w:rStyle w:val="FootnoteReference"/>
        </w:rPr>
        <w:footnoteRef/>
      </w:r>
      <w:r>
        <w:t xml:space="preserve"> 26 February 2021, </w:t>
      </w:r>
      <w:r>
        <w:rPr>
          <w:i/>
          <w:iCs/>
        </w:rPr>
        <w:t>Proof Hansard</w:t>
      </w:r>
      <w:r>
        <w:t>, pp. 84 - 85</w:t>
      </w:r>
    </w:p>
  </w:footnote>
  <w:footnote w:id="82">
    <w:p w14:paraId="37DE8C0B" w14:textId="602EE845" w:rsidR="002D39FA" w:rsidRDefault="002D39FA">
      <w:pPr>
        <w:pStyle w:val="FootnoteText"/>
      </w:pPr>
      <w:r>
        <w:rPr>
          <w:rStyle w:val="FootnoteReference"/>
        </w:rPr>
        <w:footnoteRef/>
      </w:r>
      <w:r>
        <w:t xml:space="preserve"> 26 February 2021, </w:t>
      </w:r>
      <w:r>
        <w:rPr>
          <w:i/>
          <w:iCs/>
        </w:rPr>
        <w:t>Proof Hansard</w:t>
      </w:r>
      <w:r>
        <w:t>, p. 86</w:t>
      </w:r>
    </w:p>
  </w:footnote>
  <w:footnote w:id="83">
    <w:p w14:paraId="6EA2AEE7" w14:textId="30AADD99" w:rsidR="002D39FA" w:rsidRDefault="002D39FA">
      <w:pPr>
        <w:pStyle w:val="FootnoteText"/>
      </w:pPr>
      <w:r>
        <w:rPr>
          <w:rStyle w:val="FootnoteReference"/>
        </w:rPr>
        <w:footnoteRef/>
      </w:r>
      <w:r>
        <w:t xml:space="preserve"> 26 February 2021, </w:t>
      </w:r>
      <w:r>
        <w:rPr>
          <w:i/>
          <w:iCs/>
        </w:rPr>
        <w:t>Proof Hansard</w:t>
      </w:r>
      <w:r>
        <w:t>, pp. 86 - 87</w:t>
      </w:r>
    </w:p>
  </w:footnote>
  <w:footnote w:id="84">
    <w:p w14:paraId="6D75269D" w14:textId="3CC1F03F" w:rsidR="002D39FA" w:rsidRDefault="002D39FA">
      <w:pPr>
        <w:pStyle w:val="FootnoteText"/>
      </w:pPr>
      <w:r>
        <w:rPr>
          <w:rStyle w:val="FootnoteReference"/>
        </w:rPr>
        <w:footnoteRef/>
      </w:r>
      <w:r>
        <w:t xml:space="preserve"> 26 February 2021, </w:t>
      </w:r>
      <w:r>
        <w:rPr>
          <w:i/>
          <w:iCs/>
        </w:rPr>
        <w:t>Proof Hansard</w:t>
      </w:r>
      <w:r>
        <w:t>, pp. 87 - 89</w:t>
      </w:r>
    </w:p>
  </w:footnote>
  <w:footnote w:id="85">
    <w:p w14:paraId="0DCE9D9C" w14:textId="7495CFFC" w:rsidR="002D39FA" w:rsidRDefault="002D39FA">
      <w:pPr>
        <w:pStyle w:val="FootnoteText"/>
      </w:pPr>
      <w:r>
        <w:rPr>
          <w:rStyle w:val="FootnoteReference"/>
        </w:rPr>
        <w:footnoteRef/>
      </w:r>
      <w:r>
        <w:t xml:space="preserve"> 26 February 2021, </w:t>
      </w:r>
      <w:r>
        <w:rPr>
          <w:i/>
          <w:iCs/>
        </w:rPr>
        <w:t>Proof Hansard</w:t>
      </w:r>
      <w:r>
        <w:t>, pp. 89 - 90</w:t>
      </w:r>
    </w:p>
  </w:footnote>
  <w:footnote w:id="86">
    <w:p w14:paraId="0F86AD7E" w14:textId="5C5A3F1B" w:rsidR="002D39FA" w:rsidRDefault="002D39FA">
      <w:pPr>
        <w:pStyle w:val="FootnoteText"/>
      </w:pPr>
      <w:r>
        <w:rPr>
          <w:rStyle w:val="FootnoteReference"/>
        </w:rPr>
        <w:footnoteRef/>
      </w:r>
      <w:r>
        <w:t xml:space="preserve"> 26 February 2021, </w:t>
      </w:r>
      <w:r>
        <w:rPr>
          <w:i/>
          <w:iCs/>
        </w:rPr>
        <w:t>Proof Hansard</w:t>
      </w:r>
      <w:r>
        <w:t xml:space="preserve">, pp. 90 -92 </w:t>
      </w:r>
    </w:p>
  </w:footnote>
  <w:footnote w:id="87">
    <w:p w14:paraId="6A2E068C" w14:textId="4038E88B" w:rsidR="002D39FA" w:rsidRDefault="002D39FA">
      <w:pPr>
        <w:pStyle w:val="FootnoteText"/>
      </w:pPr>
      <w:r>
        <w:rPr>
          <w:rStyle w:val="FootnoteReference"/>
        </w:rPr>
        <w:footnoteRef/>
      </w:r>
      <w:r>
        <w:t xml:space="preserve"> 26 February 2021, </w:t>
      </w:r>
      <w:r>
        <w:rPr>
          <w:i/>
          <w:iCs/>
        </w:rPr>
        <w:t>Proof Hansard</w:t>
      </w:r>
      <w:r>
        <w:t>, pp. 92 - 93</w:t>
      </w:r>
    </w:p>
  </w:footnote>
  <w:footnote w:id="88">
    <w:p w14:paraId="1AEDD57D" w14:textId="7E6C3EA2" w:rsidR="002D39FA" w:rsidRDefault="002D39FA">
      <w:pPr>
        <w:pStyle w:val="FootnoteText"/>
      </w:pPr>
      <w:r>
        <w:rPr>
          <w:rStyle w:val="FootnoteReference"/>
        </w:rPr>
        <w:footnoteRef/>
      </w:r>
      <w:r>
        <w:t xml:space="preserve"> 26 February 2021, </w:t>
      </w:r>
      <w:r>
        <w:rPr>
          <w:i/>
          <w:iCs/>
        </w:rPr>
        <w:t>Proof Hansard</w:t>
      </w:r>
      <w:r>
        <w:t>, pp. 93 - 95</w:t>
      </w:r>
    </w:p>
  </w:footnote>
  <w:footnote w:id="89">
    <w:p w14:paraId="31AD6CE7" w14:textId="2EE7DBF1" w:rsidR="002D39FA" w:rsidRDefault="002D39FA">
      <w:pPr>
        <w:pStyle w:val="FootnoteText"/>
      </w:pPr>
      <w:r>
        <w:rPr>
          <w:rStyle w:val="FootnoteReference"/>
        </w:rPr>
        <w:footnoteRef/>
      </w:r>
      <w:r>
        <w:t xml:space="preserve"> 26 February 2021, </w:t>
      </w:r>
      <w:r>
        <w:rPr>
          <w:i/>
          <w:iCs/>
        </w:rPr>
        <w:t>Proof Hansard</w:t>
      </w:r>
      <w:r>
        <w:t xml:space="preserve">, pp. 95 98 </w:t>
      </w:r>
    </w:p>
  </w:footnote>
  <w:footnote w:id="90">
    <w:p w14:paraId="7FFF5E8C" w14:textId="6BAA2284" w:rsidR="002D39FA" w:rsidRDefault="002D39FA">
      <w:pPr>
        <w:pStyle w:val="FootnoteText"/>
      </w:pPr>
      <w:r>
        <w:rPr>
          <w:rStyle w:val="FootnoteReference"/>
        </w:rPr>
        <w:footnoteRef/>
      </w:r>
      <w:r>
        <w:t xml:space="preserve">26 February 2021, </w:t>
      </w:r>
      <w:r>
        <w:rPr>
          <w:i/>
          <w:iCs/>
        </w:rPr>
        <w:t>Proof Hansard</w:t>
      </w:r>
      <w:r>
        <w:t>, pp. 98 -99</w:t>
      </w:r>
    </w:p>
  </w:footnote>
  <w:footnote w:id="91">
    <w:p w14:paraId="760AD7E9" w14:textId="0A6A78EA" w:rsidR="002D39FA" w:rsidRDefault="002D39FA">
      <w:pPr>
        <w:pStyle w:val="FootnoteText"/>
      </w:pPr>
      <w:r>
        <w:rPr>
          <w:rStyle w:val="FootnoteReference"/>
        </w:rPr>
        <w:footnoteRef/>
      </w:r>
      <w:r>
        <w:t xml:space="preserve"> 26 February 2021, </w:t>
      </w:r>
      <w:r>
        <w:rPr>
          <w:i/>
          <w:iCs/>
        </w:rPr>
        <w:t>Proof Hansard</w:t>
      </w:r>
      <w:r>
        <w:t>, pp. 99 – 101</w:t>
      </w:r>
    </w:p>
  </w:footnote>
  <w:footnote w:id="92">
    <w:p w14:paraId="268C689D" w14:textId="4E760490" w:rsidR="002D39FA" w:rsidRDefault="002D39FA">
      <w:pPr>
        <w:pStyle w:val="FootnoteText"/>
      </w:pPr>
      <w:r>
        <w:rPr>
          <w:rStyle w:val="FootnoteReference"/>
        </w:rPr>
        <w:footnoteRef/>
      </w:r>
      <w:r>
        <w:t xml:space="preserve"> 26 February 2021, </w:t>
      </w:r>
      <w:r>
        <w:rPr>
          <w:i/>
          <w:iCs/>
        </w:rPr>
        <w:t>Proof Hansard</w:t>
      </w:r>
      <w:r>
        <w:t>, pp. 101 - 103</w:t>
      </w:r>
    </w:p>
  </w:footnote>
  <w:footnote w:id="93">
    <w:p w14:paraId="75E6CB2D" w14:textId="487E7217" w:rsidR="002D39FA" w:rsidRDefault="002D39FA">
      <w:pPr>
        <w:pStyle w:val="FootnoteText"/>
      </w:pPr>
      <w:r>
        <w:rPr>
          <w:rStyle w:val="FootnoteReference"/>
        </w:rPr>
        <w:footnoteRef/>
      </w:r>
      <w:r>
        <w:t xml:space="preserve"> 26 February 2021, </w:t>
      </w:r>
      <w:r>
        <w:rPr>
          <w:i/>
          <w:iCs/>
        </w:rPr>
        <w:t>Proof Hansard</w:t>
      </w:r>
      <w:r>
        <w:t>, pp. 103 -104</w:t>
      </w:r>
    </w:p>
  </w:footnote>
  <w:footnote w:id="94">
    <w:p w14:paraId="28391809" w14:textId="43ED4538" w:rsidR="002D39FA" w:rsidRDefault="002D39FA">
      <w:pPr>
        <w:pStyle w:val="FootnoteText"/>
      </w:pPr>
      <w:r>
        <w:rPr>
          <w:rStyle w:val="FootnoteReference"/>
        </w:rPr>
        <w:footnoteRef/>
      </w:r>
      <w:r>
        <w:t xml:space="preserve"> 26 February 2021, </w:t>
      </w:r>
      <w:r>
        <w:rPr>
          <w:i/>
          <w:iCs/>
        </w:rPr>
        <w:t>Proof Hansard</w:t>
      </w:r>
      <w:r>
        <w:t>, pp. 104 - 106</w:t>
      </w:r>
    </w:p>
  </w:footnote>
  <w:footnote w:id="95">
    <w:p w14:paraId="5E2742FF" w14:textId="481EEE38" w:rsidR="002D39FA" w:rsidRDefault="002D39FA">
      <w:pPr>
        <w:pStyle w:val="FootnoteText"/>
      </w:pPr>
      <w:r>
        <w:rPr>
          <w:rStyle w:val="FootnoteReference"/>
        </w:rPr>
        <w:footnoteRef/>
      </w:r>
      <w:r>
        <w:t xml:space="preserve"> 26 February 2021, </w:t>
      </w:r>
      <w:r>
        <w:rPr>
          <w:i/>
          <w:iCs/>
        </w:rPr>
        <w:t>Proof Hansard</w:t>
      </w:r>
      <w:r>
        <w:t>, pp. 106 - 108</w:t>
      </w:r>
    </w:p>
  </w:footnote>
  <w:footnote w:id="96">
    <w:p w14:paraId="6126D4AB" w14:textId="4C52F434" w:rsidR="002D39FA" w:rsidRDefault="002D39FA">
      <w:pPr>
        <w:pStyle w:val="FootnoteText"/>
      </w:pPr>
      <w:r>
        <w:rPr>
          <w:rStyle w:val="FootnoteReference"/>
        </w:rPr>
        <w:footnoteRef/>
      </w:r>
      <w:r>
        <w:t xml:space="preserve"> 26 February 2021, </w:t>
      </w:r>
      <w:r>
        <w:rPr>
          <w:i/>
          <w:iCs/>
        </w:rPr>
        <w:t>Proof Hansard</w:t>
      </w:r>
      <w:r>
        <w:t>, pp. 108 - 112</w:t>
      </w:r>
    </w:p>
  </w:footnote>
  <w:footnote w:id="97">
    <w:p w14:paraId="5C5B7966" w14:textId="6269B456" w:rsidR="002D39FA" w:rsidRDefault="002D39FA">
      <w:pPr>
        <w:pStyle w:val="FootnoteText"/>
      </w:pPr>
      <w:r>
        <w:rPr>
          <w:rStyle w:val="FootnoteReference"/>
        </w:rPr>
        <w:footnoteRef/>
      </w:r>
      <w:r>
        <w:t xml:space="preserve"> 26 February 2021, </w:t>
      </w:r>
      <w:r>
        <w:rPr>
          <w:i/>
          <w:iCs/>
        </w:rPr>
        <w:t>Proof Hansard</w:t>
      </w:r>
      <w:r>
        <w:t>, p. 112</w:t>
      </w:r>
    </w:p>
  </w:footnote>
  <w:footnote w:id="98">
    <w:p w14:paraId="3390D994" w14:textId="597C5F9B" w:rsidR="002D39FA" w:rsidRDefault="002D39FA">
      <w:pPr>
        <w:pStyle w:val="FootnoteText"/>
      </w:pPr>
      <w:r>
        <w:rPr>
          <w:rStyle w:val="FootnoteReference"/>
        </w:rPr>
        <w:footnoteRef/>
      </w:r>
      <w:r>
        <w:t xml:space="preserve"> 26 February 2021, </w:t>
      </w:r>
      <w:r>
        <w:rPr>
          <w:i/>
          <w:iCs/>
        </w:rPr>
        <w:t>Proof Hansard</w:t>
      </w:r>
      <w:r>
        <w:t>, pp. 112 - 114</w:t>
      </w:r>
    </w:p>
  </w:footnote>
  <w:footnote w:id="99">
    <w:p w14:paraId="5CF5B025" w14:textId="5F4D3247" w:rsidR="002D39FA" w:rsidRDefault="002D39FA">
      <w:pPr>
        <w:pStyle w:val="FootnoteText"/>
      </w:pPr>
      <w:r>
        <w:rPr>
          <w:rStyle w:val="FootnoteReference"/>
        </w:rPr>
        <w:footnoteRef/>
      </w:r>
      <w:r>
        <w:t xml:space="preserve"> </w:t>
      </w:r>
    </w:p>
  </w:footnote>
  <w:footnote w:id="100">
    <w:p w14:paraId="0FB11437" w14:textId="02BF3B80" w:rsidR="002D39FA" w:rsidRDefault="002D39FA">
      <w:pPr>
        <w:pStyle w:val="FootnoteText"/>
      </w:pPr>
      <w:r>
        <w:rPr>
          <w:rStyle w:val="FootnoteReference"/>
        </w:rPr>
        <w:footnoteRef/>
      </w:r>
      <w:r>
        <w:t xml:space="preserve"> 26 February 2021, </w:t>
      </w:r>
      <w:r w:rsidRPr="00CE421B">
        <w:rPr>
          <w:i/>
          <w:iCs/>
        </w:rPr>
        <w:t>Transcript of Evidence</w:t>
      </w:r>
      <w:r>
        <w:t>, p. 85.</w:t>
      </w:r>
    </w:p>
  </w:footnote>
  <w:footnote w:id="101">
    <w:p w14:paraId="0D89246D" w14:textId="5FCC93F0" w:rsidR="002D39FA" w:rsidRDefault="002D39FA">
      <w:pPr>
        <w:pStyle w:val="FootnoteText"/>
      </w:pPr>
      <w:r>
        <w:rPr>
          <w:rStyle w:val="FootnoteReference"/>
        </w:rPr>
        <w:footnoteRef/>
      </w:r>
      <w:r>
        <w:t xml:space="preserve"> 26 February 2021, </w:t>
      </w:r>
      <w:r w:rsidRPr="00CE421B">
        <w:rPr>
          <w:i/>
          <w:iCs/>
        </w:rPr>
        <w:t>Transcript of Evidence</w:t>
      </w:r>
      <w:r>
        <w:t>, p. 86</w:t>
      </w:r>
    </w:p>
  </w:footnote>
  <w:footnote w:id="102">
    <w:p w14:paraId="7C729F08" w14:textId="77777777" w:rsidR="002D39FA" w:rsidRPr="00ED0AAD" w:rsidRDefault="002D39FA" w:rsidP="00394272">
      <w:pPr>
        <w:pStyle w:val="FootnoteText"/>
        <w:rPr>
          <w:lang w:val="en-US"/>
        </w:rPr>
      </w:pPr>
      <w:r>
        <w:rPr>
          <w:rStyle w:val="FootnoteReference"/>
        </w:rPr>
        <w:footnoteRef/>
      </w:r>
      <w:r>
        <w:t xml:space="preserve"> </w:t>
      </w:r>
      <w:r>
        <w:rPr>
          <w:i/>
          <w:iCs/>
        </w:rPr>
        <w:t xml:space="preserve">Transcript of Evidence, </w:t>
      </w:r>
      <w:r>
        <w:t xml:space="preserve">3 March 2021, pp. 115 – 117. </w:t>
      </w:r>
    </w:p>
  </w:footnote>
  <w:footnote w:id="103">
    <w:p w14:paraId="544BF7E8" w14:textId="77777777" w:rsidR="002D39FA" w:rsidRPr="003A5167" w:rsidRDefault="002D39FA" w:rsidP="00394272">
      <w:pPr>
        <w:pStyle w:val="FootnoteText"/>
        <w:rPr>
          <w:lang w:val="en-US"/>
        </w:rPr>
      </w:pPr>
      <w:r>
        <w:rPr>
          <w:rStyle w:val="FootnoteReference"/>
        </w:rPr>
        <w:footnoteRef/>
      </w:r>
      <w:r>
        <w:t xml:space="preserve"> </w:t>
      </w:r>
      <w:r>
        <w:rPr>
          <w:i/>
          <w:iCs/>
        </w:rPr>
        <w:t xml:space="preserve">Transcript of Evidence, </w:t>
      </w:r>
      <w:r>
        <w:t>3 March 2021, p. 117.</w:t>
      </w:r>
    </w:p>
  </w:footnote>
  <w:footnote w:id="104">
    <w:p w14:paraId="01725ED2" w14:textId="77777777" w:rsidR="002D39FA" w:rsidRPr="003A5167" w:rsidRDefault="002D39FA" w:rsidP="00394272">
      <w:pPr>
        <w:pStyle w:val="FootnoteText"/>
        <w:rPr>
          <w:lang w:val="en-US"/>
        </w:rPr>
      </w:pPr>
      <w:r>
        <w:rPr>
          <w:rStyle w:val="FootnoteReference"/>
        </w:rPr>
        <w:footnoteRef/>
      </w:r>
      <w:r>
        <w:t xml:space="preserve"> </w:t>
      </w:r>
      <w:r>
        <w:rPr>
          <w:i/>
          <w:iCs/>
        </w:rPr>
        <w:t xml:space="preserve">Transcript of Evidence, </w:t>
      </w:r>
      <w:r>
        <w:t>3 March 2021, pp. 117 – 118.</w:t>
      </w:r>
    </w:p>
  </w:footnote>
  <w:footnote w:id="105">
    <w:p w14:paraId="1BAC421B" w14:textId="77777777" w:rsidR="002D39FA" w:rsidRPr="00EA796A" w:rsidRDefault="002D39FA" w:rsidP="00394272">
      <w:pPr>
        <w:pStyle w:val="FootnoteText"/>
        <w:rPr>
          <w:lang w:val="en-US"/>
        </w:rPr>
      </w:pPr>
      <w:r>
        <w:rPr>
          <w:rStyle w:val="FootnoteReference"/>
        </w:rPr>
        <w:footnoteRef/>
      </w:r>
      <w:r>
        <w:t xml:space="preserve"> </w:t>
      </w:r>
      <w:r>
        <w:rPr>
          <w:i/>
          <w:iCs/>
        </w:rPr>
        <w:t xml:space="preserve">Transcript of Evidence, </w:t>
      </w:r>
      <w:r>
        <w:t>3 March 2021, pp. 118 – 119.</w:t>
      </w:r>
    </w:p>
  </w:footnote>
  <w:footnote w:id="106">
    <w:p w14:paraId="3A70D8E8" w14:textId="0CFDE569" w:rsidR="002D39FA" w:rsidRPr="00DB1D8C" w:rsidRDefault="002D39FA" w:rsidP="00394272">
      <w:pPr>
        <w:pStyle w:val="FootnoteText"/>
        <w:rPr>
          <w:lang w:val="en-US"/>
        </w:rPr>
      </w:pPr>
      <w:r>
        <w:rPr>
          <w:rStyle w:val="FootnoteReference"/>
        </w:rPr>
        <w:footnoteRef/>
      </w:r>
      <w:r>
        <w:t xml:space="preserve"> </w:t>
      </w:r>
      <w:r>
        <w:rPr>
          <w:i/>
          <w:iCs/>
        </w:rPr>
        <w:t xml:space="preserve">Transcript of Evidence, </w:t>
      </w:r>
      <w:r>
        <w:t xml:space="preserve">3 March 2021, p. 141; </w:t>
      </w:r>
    </w:p>
  </w:footnote>
  <w:footnote w:id="107">
    <w:p w14:paraId="163E0C1F" w14:textId="77777777" w:rsidR="002D39FA" w:rsidRPr="00EA796A" w:rsidRDefault="002D39FA" w:rsidP="00394272">
      <w:pPr>
        <w:pStyle w:val="FootnoteText"/>
        <w:rPr>
          <w:lang w:val="en-US"/>
        </w:rPr>
      </w:pPr>
      <w:r>
        <w:rPr>
          <w:rStyle w:val="FootnoteReference"/>
        </w:rPr>
        <w:footnoteRef/>
      </w:r>
      <w:r>
        <w:t xml:space="preserve"> </w:t>
      </w:r>
      <w:r>
        <w:rPr>
          <w:i/>
          <w:iCs/>
        </w:rPr>
        <w:t xml:space="preserve">Transcript of Evidence, </w:t>
      </w:r>
      <w:r>
        <w:t>3 March 2021, p. 119.</w:t>
      </w:r>
    </w:p>
  </w:footnote>
  <w:footnote w:id="108">
    <w:p w14:paraId="6563B629" w14:textId="77777777" w:rsidR="002D39FA" w:rsidRPr="00F07E2E" w:rsidRDefault="002D39FA" w:rsidP="00394272">
      <w:pPr>
        <w:pStyle w:val="FootnoteText"/>
        <w:rPr>
          <w:lang w:val="en-US"/>
        </w:rPr>
      </w:pPr>
      <w:r>
        <w:rPr>
          <w:rStyle w:val="FootnoteReference"/>
        </w:rPr>
        <w:footnoteRef/>
      </w:r>
      <w:r>
        <w:t xml:space="preserve"> </w:t>
      </w:r>
      <w:r>
        <w:rPr>
          <w:i/>
          <w:iCs/>
        </w:rPr>
        <w:t xml:space="preserve">Transcript of Evidence, </w:t>
      </w:r>
      <w:r>
        <w:t xml:space="preserve">3 March 2021, pp. 119 – 120. </w:t>
      </w:r>
    </w:p>
  </w:footnote>
  <w:footnote w:id="109">
    <w:p w14:paraId="3D5025E0" w14:textId="7A703C34" w:rsidR="002D39FA" w:rsidRPr="00BD7174" w:rsidRDefault="002D39FA" w:rsidP="00394272">
      <w:pPr>
        <w:pStyle w:val="FootnoteText"/>
        <w:rPr>
          <w:lang w:val="en-US"/>
        </w:rPr>
      </w:pPr>
      <w:r>
        <w:rPr>
          <w:rStyle w:val="FootnoteReference"/>
        </w:rPr>
        <w:footnoteRef/>
      </w:r>
      <w:r>
        <w:t xml:space="preserve"> </w:t>
      </w:r>
      <w:r>
        <w:rPr>
          <w:i/>
          <w:iCs/>
        </w:rPr>
        <w:t xml:space="preserve">Transcript of Evidence, </w:t>
      </w:r>
      <w:r>
        <w:t xml:space="preserve">3 March 2021, pp. 120 – 121; </w:t>
      </w:r>
    </w:p>
  </w:footnote>
  <w:footnote w:id="110">
    <w:p w14:paraId="46C9DA31" w14:textId="2BBA27D9" w:rsidR="002D39FA" w:rsidRPr="00BD7174" w:rsidRDefault="002D39FA" w:rsidP="00394272">
      <w:pPr>
        <w:pStyle w:val="FootnoteText"/>
        <w:rPr>
          <w:lang w:val="en-US"/>
        </w:rPr>
      </w:pPr>
      <w:r>
        <w:rPr>
          <w:rStyle w:val="FootnoteReference"/>
        </w:rPr>
        <w:footnoteRef/>
      </w:r>
      <w:r>
        <w:t xml:space="preserve"> </w:t>
      </w:r>
      <w:r>
        <w:rPr>
          <w:i/>
          <w:iCs/>
        </w:rPr>
        <w:t xml:space="preserve">Transcript of Evidence, </w:t>
      </w:r>
      <w:r>
        <w:t xml:space="preserve">3 March 2021, pp. 121 – 122; </w:t>
      </w:r>
    </w:p>
  </w:footnote>
  <w:footnote w:id="111">
    <w:p w14:paraId="48C45F25" w14:textId="77777777" w:rsidR="002D39FA" w:rsidRPr="00540A4B" w:rsidRDefault="002D39FA" w:rsidP="00394272">
      <w:pPr>
        <w:pStyle w:val="FootnoteText"/>
        <w:rPr>
          <w:lang w:val="en-US"/>
        </w:rPr>
      </w:pPr>
      <w:r>
        <w:rPr>
          <w:rStyle w:val="FootnoteReference"/>
        </w:rPr>
        <w:footnoteRef/>
      </w:r>
      <w:r>
        <w:t xml:space="preserve"> </w:t>
      </w:r>
      <w:r>
        <w:rPr>
          <w:i/>
          <w:iCs/>
        </w:rPr>
        <w:t xml:space="preserve">Transcript of Evidence, </w:t>
      </w:r>
      <w:r>
        <w:t>3 March 2021, p. 122.</w:t>
      </w:r>
    </w:p>
  </w:footnote>
  <w:footnote w:id="112">
    <w:p w14:paraId="3082E403" w14:textId="77777777" w:rsidR="002D39FA" w:rsidRPr="00540A4B" w:rsidRDefault="002D39FA" w:rsidP="00394272">
      <w:pPr>
        <w:pStyle w:val="FootnoteText"/>
        <w:rPr>
          <w:lang w:val="en-US"/>
        </w:rPr>
      </w:pPr>
      <w:r>
        <w:rPr>
          <w:rStyle w:val="FootnoteReference"/>
        </w:rPr>
        <w:footnoteRef/>
      </w:r>
      <w:r>
        <w:t xml:space="preserve"> </w:t>
      </w:r>
      <w:r>
        <w:rPr>
          <w:i/>
          <w:iCs/>
        </w:rPr>
        <w:t xml:space="preserve">Transcript of Evidence, </w:t>
      </w:r>
      <w:r>
        <w:t>3 March 2021, p. 123.</w:t>
      </w:r>
    </w:p>
  </w:footnote>
  <w:footnote w:id="113">
    <w:p w14:paraId="28720B34" w14:textId="77777777" w:rsidR="002D39FA" w:rsidRPr="00540A4B" w:rsidRDefault="002D39FA" w:rsidP="00394272">
      <w:pPr>
        <w:pStyle w:val="FootnoteText"/>
        <w:rPr>
          <w:lang w:val="en-US"/>
        </w:rPr>
      </w:pPr>
      <w:r>
        <w:rPr>
          <w:rStyle w:val="FootnoteReference"/>
        </w:rPr>
        <w:footnoteRef/>
      </w:r>
      <w:r>
        <w:t xml:space="preserve"> </w:t>
      </w:r>
      <w:r>
        <w:rPr>
          <w:i/>
          <w:iCs/>
        </w:rPr>
        <w:t xml:space="preserve">Transcript of Evidence, </w:t>
      </w:r>
      <w:r>
        <w:t>3 March 2021, pp. 123 – 124.</w:t>
      </w:r>
    </w:p>
  </w:footnote>
  <w:footnote w:id="114">
    <w:p w14:paraId="3A2481A3" w14:textId="77777777" w:rsidR="002D39FA" w:rsidRPr="00540A4B" w:rsidRDefault="002D39FA" w:rsidP="00394272">
      <w:pPr>
        <w:pStyle w:val="FootnoteText"/>
        <w:rPr>
          <w:lang w:val="en-US"/>
        </w:rPr>
      </w:pPr>
      <w:r>
        <w:rPr>
          <w:rStyle w:val="FootnoteReference"/>
        </w:rPr>
        <w:footnoteRef/>
      </w:r>
      <w:r>
        <w:t xml:space="preserve"> </w:t>
      </w:r>
      <w:r>
        <w:rPr>
          <w:i/>
          <w:iCs/>
        </w:rPr>
        <w:t xml:space="preserve">Transcript of Evidence, </w:t>
      </w:r>
      <w:r>
        <w:t>3 March 2021, p. 124.</w:t>
      </w:r>
    </w:p>
  </w:footnote>
  <w:footnote w:id="115">
    <w:p w14:paraId="74FA5C9E" w14:textId="35278CC3" w:rsidR="002D39FA" w:rsidRDefault="002D39FA">
      <w:pPr>
        <w:pStyle w:val="FootnoteText"/>
      </w:pPr>
      <w:r>
        <w:rPr>
          <w:rStyle w:val="FootnoteReference"/>
        </w:rPr>
        <w:footnoteRef/>
      </w:r>
      <w:r>
        <w:t xml:space="preserve"> </w:t>
      </w:r>
      <w:r>
        <w:rPr>
          <w:i/>
          <w:iCs/>
        </w:rPr>
        <w:t xml:space="preserve">Transcript of Evidence, </w:t>
      </w:r>
      <w:r>
        <w:t>3 March 2021, pp. 120-21.</w:t>
      </w:r>
    </w:p>
  </w:footnote>
  <w:footnote w:id="116">
    <w:p w14:paraId="0692A035" w14:textId="4D33E6CE" w:rsidR="002D39FA" w:rsidRDefault="002D39FA">
      <w:pPr>
        <w:pStyle w:val="FootnoteText"/>
      </w:pPr>
      <w:r>
        <w:rPr>
          <w:rStyle w:val="FootnoteReference"/>
        </w:rPr>
        <w:footnoteRef/>
      </w:r>
      <w:r>
        <w:t xml:space="preserve"> </w:t>
      </w:r>
      <w:r>
        <w:rPr>
          <w:i/>
          <w:iCs/>
        </w:rPr>
        <w:t xml:space="preserve">Transcript of Evidence, </w:t>
      </w:r>
      <w:r>
        <w:t>3 March 2021, pp. 120-21.</w:t>
      </w:r>
    </w:p>
  </w:footnote>
  <w:footnote w:id="117">
    <w:p w14:paraId="40C971E8" w14:textId="4D290C6C" w:rsidR="002D39FA" w:rsidRDefault="002D39FA">
      <w:pPr>
        <w:pStyle w:val="FootnoteText"/>
      </w:pPr>
      <w:r>
        <w:rPr>
          <w:rStyle w:val="FootnoteReference"/>
        </w:rPr>
        <w:footnoteRef/>
      </w:r>
      <w:r>
        <w:t xml:space="preserve"> </w:t>
      </w:r>
      <w:r>
        <w:rPr>
          <w:i/>
          <w:iCs/>
        </w:rPr>
        <w:t xml:space="preserve">Transcript of Evidence, </w:t>
      </w:r>
      <w:r>
        <w:t>3 March 2021, p. 121</w:t>
      </w:r>
    </w:p>
  </w:footnote>
  <w:footnote w:id="118">
    <w:p w14:paraId="5EA70ABA" w14:textId="77777777" w:rsidR="002D39FA" w:rsidRPr="00501CD5" w:rsidRDefault="002D39FA" w:rsidP="00394272">
      <w:pPr>
        <w:pStyle w:val="FootnoteText"/>
        <w:rPr>
          <w:lang w:val="en-US"/>
        </w:rPr>
      </w:pPr>
      <w:r>
        <w:rPr>
          <w:rStyle w:val="FootnoteReference"/>
        </w:rPr>
        <w:footnoteRef/>
      </w:r>
      <w:r>
        <w:t xml:space="preserve"> </w:t>
      </w:r>
      <w:r>
        <w:rPr>
          <w:i/>
          <w:iCs/>
        </w:rPr>
        <w:t xml:space="preserve">Transcript of Evidence, </w:t>
      </w:r>
      <w:r>
        <w:t>3 March 2021, pp. 124 – 127.</w:t>
      </w:r>
    </w:p>
  </w:footnote>
  <w:footnote w:id="119">
    <w:p w14:paraId="495359E9" w14:textId="77777777" w:rsidR="002D39FA" w:rsidRPr="008F7C0D" w:rsidRDefault="002D39FA" w:rsidP="00394272">
      <w:pPr>
        <w:pStyle w:val="FootnoteText"/>
        <w:rPr>
          <w:lang w:val="en-US"/>
        </w:rPr>
      </w:pPr>
      <w:r>
        <w:rPr>
          <w:rStyle w:val="FootnoteReference"/>
        </w:rPr>
        <w:footnoteRef/>
      </w:r>
      <w:r>
        <w:t xml:space="preserve"> </w:t>
      </w:r>
      <w:r>
        <w:rPr>
          <w:i/>
          <w:iCs/>
        </w:rPr>
        <w:t xml:space="preserve">Transcript of Evidence, </w:t>
      </w:r>
      <w:r>
        <w:t>3 March 2021, p. 127.</w:t>
      </w:r>
    </w:p>
  </w:footnote>
  <w:footnote w:id="120">
    <w:p w14:paraId="1DAD1F68" w14:textId="77777777" w:rsidR="002D39FA" w:rsidRPr="007F147C" w:rsidRDefault="002D39FA" w:rsidP="00394272">
      <w:pPr>
        <w:pStyle w:val="FootnoteText"/>
        <w:rPr>
          <w:lang w:val="en-US"/>
        </w:rPr>
      </w:pPr>
      <w:r>
        <w:rPr>
          <w:rStyle w:val="FootnoteReference"/>
        </w:rPr>
        <w:footnoteRef/>
      </w:r>
      <w:r>
        <w:t xml:space="preserve"> </w:t>
      </w:r>
      <w:r>
        <w:rPr>
          <w:i/>
          <w:iCs/>
        </w:rPr>
        <w:t xml:space="preserve">Transcript of Evidence, </w:t>
      </w:r>
      <w:r>
        <w:t xml:space="preserve">3 March 2021, pp. 127 – 129. </w:t>
      </w:r>
    </w:p>
  </w:footnote>
  <w:footnote w:id="121">
    <w:p w14:paraId="159A9181" w14:textId="7D6F7A27" w:rsidR="002D39FA" w:rsidRPr="00BD7174" w:rsidRDefault="002D39FA" w:rsidP="00394272">
      <w:pPr>
        <w:pStyle w:val="FootnoteText"/>
        <w:rPr>
          <w:lang w:val="en-US"/>
        </w:rPr>
      </w:pPr>
      <w:r>
        <w:rPr>
          <w:rStyle w:val="FootnoteReference"/>
        </w:rPr>
        <w:footnoteRef/>
      </w:r>
      <w:r>
        <w:t xml:space="preserve"> </w:t>
      </w:r>
      <w:r>
        <w:rPr>
          <w:i/>
          <w:iCs/>
        </w:rPr>
        <w:t xml:space="preserve">Transcript of Evidence, </w:t>
      </w:r>
      <w:r>
        <w:t xml:space="preserve">3 March 2021, pp. 129 – 130; </w:t>
      </w:r>
    </w:p>
  </w:footnote>
  <w:footnote w:id="122">
    <w:p w14:paraId="65CCC898" w14:textId="77777777" w:rsidR="002D39FA" w:rsidRPr="00B95242" w:rsidRDefault="002D39FA" w:rsidP="00394272">
      <w:pPr>
        <w:pStyle w:val="FootnoteText"/>
        <w:rPr>
          <w:lang w:val="en-US"/>
        </w:rPr>
      </w:pPr>
      <w:r>
        <w:rPr>
          <w:rStyle w:val="FootnoteReference"/>
        </w:rPr>
        <w:footnoteRef/>
      </w:r>
      <w:r>
        <w:t xml:space="preserve"> </w:t>
      </w:r>
      <w:r>
        <w:rPr>
          <w:i/>
          <w:iCs/>
        </w:rPr>
        <w:t xml:space="preserve">Transcript of Evidence, </w:t>
      </w:r>
      <w:r>
        <w:t>3 March 2021, pp. 130 – 131.</w:t>
      </w:r>
    </w:p>
  </w:footnote>
  <w:footnote w:id="123">
    <w:p w14:paraId="7C385B0A" w14:textId="77777777" w:rsidR="002D39FA" w:rsidRPr="000E173D" w:rsidRDefault="002D39FA" w:rsidP="00394272">
      <w:pPr>
        <w:pStyle w:val="FootnoteText"/>
        <w:rPr>
          <w:lang w:val="en-US"/>
        </w:rPr>
      </w:pPr>
      <w:r>
        <w:rPr>
          <w:rStyle w:val="FootnoteReference"/>
        </w:rPr>
        <w:footnoteRef/>
      </w:r>
      <w:r>
        <w:t xml:space="preserve"> </w:t>
      </w:r>
      <w:r>
        <w:rPr>
          <w:i/>
          <w:iCs/>
        </w:rPr>
        <w:t xml:space="preserve">Transcript of Evidence, </w:t>
      </w:r>
      <w:r>
        <w:t xml:space="preserve">3 March 2021, pp. 131 – 132. </w:t>
      </w:r>
    </w:p>
  </w:footnote>
  <w:footnote w:id="124">
    <w:p w14:paraId="19097716" w14:textId="77777777" w:rsidR="002D39FA" w:rsidRPr="00567B23" w:rsidRDefault="002D39FA" w:rsidP="00394272">
      <w:pPr>
        <w:pStyle w:val="FootnoteText"/>
        <w:rPr>
          <w:lang w:val="en-US"/>
        </w:rPr>
      </w:pPr>
      <w:r>
        <w:rPr>
          <w:rStyle w:val="FootnoteReference"/>
        </w:rPr>
        <w:footnoteRef/>
      </w:r>
      <w:r>
        <w:t xml:space="preserve"> </w:t>
      </w:r>
      <w:r>
        <w:rPr>
          <w:i/>
          <w:iCs/>
        </w:rPr>
        <w:t xml:space="preserve">Transcript of Evidence, </w:t>
      </w:r>
      <w:r>
        <w:t>3 March 2021, pp. 132 – 133.</w:t>
      </w:r>
    </w:p>
  </w:footnote>
  <w:footnote w:id="125">
    <w:p w14:paraId="1B2A4290" w14:textId="6BD67540" w:rsidR="002D39FA" w:rsidRPr="002B7478" w:rsidRDefault="002D39FA" w:rsidP="00394272">
      <w:pPr>
        <w:pStyle w:val="FootnoteText"/>
        <w:rPr>
          <w:lang w:val="en-US"/>
        </w:rPr>
      </w:pPr>
      <w:r>
        <w:rPr>
          <w:rStyle w:val="FootnoteReference"/>
        </w:rPr>
        <w:footnoteRef/>
      </w:r>
      <w:r>
        <w:t xml:space="preserve"> </w:t>
      </w:r>
      <w:r>
        <w:rPr>
          <w:i/>
          <w:iCs/>
        </w:rPr>
        <w:t xml:space="preserve">Transcript of Evidence, </w:t>
      </w:r>
      <w:r>
        <w:t>3 March 2021, pp. 134 – 135;</w:t>
      </w:r>
    </w:p>
  </w:footnote>
  <w:footnote w:id="126">
    <w:p w14:paraId="571F0FF5" w14:textId="642F4973" w:rsidR="002D39FA" w:rsidRDefault="002D39FA">
      <w:pPr>
        <w:pStyle w:val="FootnoteText"/>
      </w:pPr>
      <w:r>
        <w:rPr>
          <w:rStyle w:val="FootnoteReference"/>
        </w:rPr>
        <w:footnoteRef/>
      </w:r>
      <w:r>
        <w:t xml:space="preserve"> </w:t>
      </w:r>
      <w:r>
        <w:rPr>
          <w:i/>
          <w:iCs/>
        </w:rPr>
        <w:t xml:space="preserve">Transcript of Evidence, </w:t>
      </w:r>
      <w:r>
        <w:t>3 March 2021, p.128.</w:t>
      </w:r>
    </w:p>
  </w:footnote>
  <w:footnote w:id="127">
    <w:p w14:paraId="74B0854A" w14:textId="124E7760" w:rsidR="002D39FA" w:rsidRDefault="002D39FA">
      <w:pPr>
        <w:pStyle w:val="FootnoteText"/>
      </w:pPr>
      <w:r>
        <w:rPr>
          <w:rStyle w:val="FootnoteReference"/>
        </w:rPr>
        <w:footnoteRef/>
      </w:r>
      <w:r>
        <w:t xml:space="preserve"> 3 March 2021, </w:t>
      </w:r>
      <w:r w:rsidRPr="00CC326C">
        <w:rPr>
          <w:i/>
          <w:iCs/>
        </w:rPr>
        <w:t>Transcript of Evidence</w:t>
      </w:r>
      <w:r>
        <w:t>, p. 129.</w:t>
      </w:r>
    </w:p>
  </w:footnote>
  <w:footnote w:id="128">
    <w:p w14:paraId="7DF35FEC" w14:textId="44EB1C7E" w:rsidR="002D39FA" w:rsidRDefault="002D39FA">
      <w:pPr>
        <w:pStyle w:val="FootnoteText"/>
      </w:pPr>
      <w:r>
        <w:rPr>
          <w:rStyle w:val="FootnoteReference"/>
        </w:rPr>
        <w:footnoteRef/>
      </w:r>
      <w:r>
        <w:t xml:space="preserve"> 3 March 2021, </w:t>
      </w:r>
      <w:r w:rsidRPr="00CC326C">
        <w:rPr>
          <w:i/>
          <w:iCs/>
        </w:rPr>
        <w:t>Transcript of Evidence</w:t>
      </w:r>
      <w:r>
        <w:t>, p. 130.</w:t>
      </w:r>
    </w:p>
  </w:footnote>
  <w:footnote w:id="129">
    <w:p w14:paraId="0D46B451" w14:textId="3C6621C4" w:rsidR="002D39FA" w:rsidRDefault="002D39FA" w:rsidP="00CC326C">
      <w:pPr>
        <w:pStyle w:val="FootnoteText"/>
      </w:pPr>
      <w:r>
        <w:rPr>
          <w:rStyle w:val="FootnoteReference"/>
        </w:rPr>
        <w:footnoteRef/>
      </w:r>
      <w:r>
        <w:t xml:space="preserve"> 3 March 2021, </w:t>
      </w:r>
      <w:r w:rsidRPr="00CC326C">
        <w:rPr>
          <w:i/>
          <w:iCs/>
        </w:rPr>
        <w:t>Transcript of Evidence</w:t>
      </w:r>
      <w:r>
        <w:t>, p. 131.</w:t>
      </w:r>
    </w:p>
    <w:p w14:paraId="62ED8888" w14:textId="6C803E45" w:rsidR="002D39FA" w:rsidRDefault="002D39FA">
      <w:pPr>
        <w:pStyle w:val="FootnoteText"/>
      </w:pPr>
    </w:p>
  </w:footnote>
  <w:footnote w:id="130">
    <w:p w14:paraId="1169AADC" w14:textId="77777777" w:rsidR="002D39FA" w:rsidRPr="00D719E6" w:rsidRDefault="002D39FA" w:rsidP="00394272">
      <w:pPr>
        <w:pStyle w:val="FootnoteText"/>
        <w:rPr>
          <w:lang w:val="en-US"/>
        </w:rPr>
      </w:pPr>
      <w:r>
        <w:rPr>
          <w:rStyle w:val="FootnoteReference"/>
        </w:rPr>
        <w:footnoteRef/>
      </w:r>
      <w:r>
        <w:t xml:space="preserve"> </w:t>
      </w:r>
      <w:r>
        <w:rPr>
          <w:i/>
          <w:iCs/>
        </w:rPr>
        <w:t xml:space="preserve">Transcript of Evidence, </w:t>
      </w:r>
      <w:r>
        <w:t>3 March 2021, pp. 136 – 137.</w:t>
      </w:r>
    </w:p>
  </w:footnote>
  <w:footnote w:id="131">
    <w:p w14:paraId="1DCC78CA" w14:textId="77777777" w:rsidR="002D39FA" w:rsidRPr="00D719E6" w:rsidRDefault="002D39FA" w:rsidP="00394272">
      <w:pPr>
        <w:pStyle w:val="FootnoteText"/>
        <w:rPr>
          <w:lang w:val="en-US"/>
        </w:rPr>
      </w:pPr>
      <w:r>
        <w:rPr>
          <w:rStyle w:val="FootnoteReference"/>
        </w:rPr>
        <w:footnoteRef/>
      </w:r>
      <w:r>
        <w:t xml:space="preserve"> </w:t>
      </w:r>
      <w:r>
        <w:rPr>
          <w:i/>
          <w:iCs/>
        </w:rPr>
        <w:t xml:space="preserve">Transcript of Evidence, </w:t>
      </w:r>
      <w:r>
        <w:t>3 March 2021, pp. 137 – 138.</w:t>
      </w:r>
    </w:p>
  </w:footnote>
  <w:footnote w:id="132">
    <w:p w14:paraId="4842A012" w14:textId="77777777" w:rsidR="002D39FA" w:rsidRPr="00FB2EE5" w:rsidRDefault="002D39FA" w:rsidP="00394272">
      <w:pPr>
        <w:pStyle w:val="FootnoteText"/>
        <w:rPr>
          <w:lang w:val="en-US"/>
        </w:rPr>
      </w:pPr>
      <w:r>
        <w:rPr>
          <w:rStyle w:val="FootnoteReference"/>
        </w:rPr>
        <w:footnoteRef/>
      </w:r>
      <w:r>
        <w:t xml:space="preserve"> </w:t>
      </w:r>
      <w:r>
        <w:rPr>
          <w:i/>
          <w:iCs/>
        </w:rPr>
        <w:t xml:space="preserve">Transcript of Evidence, </w:t>
      </w:r>
      <w:r>
        <w:t xml:space="preserve">3 March 2021, pp. 138 – 139. </w:t>
      </w:r>
    </w:p>
  </w:footnote>
  <w:footnote w:id="133">
    <w:p w14:paraId="3F039F57" w14:textId="77777777" w:rsidR="002D39FA" w:rsidRPr="006A7D62" w:rsidRDefault="002D39FA" w:rsidP="00394272">
      <w:pPr>
        <w:pStyle w:val="FootnoteText"/>
      </w:pPr>
      <w:r>
        <w:rPr>
          <w:rStyle w:val="FootnoteReference"/>
        </w:rPr>
        <w:footnoteRef/>
      </w:r>
      <w:r>
        <w:t xml:space="preserve"> </w:t>
      </w:r>
      <w:r>
        <w:rPr>
          <w:i/>
          <w:iCs/>
        </w:rPr>
        <w:t xml:space="preserve">Transcript of Evidence, </w:t>
      </w:r>
      <w:r>
        <w:t xml:space="preserve">3 March 2021, pp. 139 – 141. </w:t>
      </w:r>
      <w:r>
        <w:rPr>
          <w:i/>
          <w:iCs/>
        </w:rPr>
        <w:t>Question Taken on Notice No. 12,</w:t>
      </w:r>
      <w:r>
        <w:t xml:space="preserve"> answered 12 March 2021.</w:t>
      </w:r>
    </w:p>
  </w:footnote>
  <w:footnote w:id="134">
    <w:p w14:paraId="0904AD6B" w14:textId="77777777" w:rsidR="002D39FA" w:rsidRPr="00DB1D8C" w:rsidRDefault="002D39FA" w:rsidP="00394272">
      <w:pPr>
        <w:pStyle w:val="FootnoteText"/>
        <w:rPr>
          <w:lang w:val="en-US"/>
        </w:rPr>
      </w:pPr>
      <w:r>
        <w:rPr>
          <w:rStyle w:val="FootnoteReference"/>
        </w:rPr>
        <w:footnoteRef/>
      </w:r>
      <w:r>
        <w:t xml:space="preserve"> </w:t>
      </w:r>
      <w:r>
        <w:rPr>
          <w:i/>
          <w:iCs/>
        </w:rPr>
        <w:t xml:space="preserve">Transcript of Evidence, </w:t>
      </w:r>
      <w:r>
        <w:t xml:space="preserve">3 March 2021, pp. 141 – 142. </w:t>
      </w:r>
    </w:p>
  </w:footnote>
  <w:footnote w:id="135">
    <w:p w14:paraId="137D8910" w14:textId="77777777" w:rsidR="002D39FA" w:rsidRPr="00DB1D8C" w:rsidRDefault="002D39FA" w:rsidP="00394272">
      <w:pPr>
        <w:pStyle w:val="FootnoteText"/>
        <w:rPr>
          <w:lang w:val="en-US"/>
        </w:rPr>
      </w:pPr>
      <w:r>
        <w:rPr>
          <w:rStyle w:val="FootnoteReference"/>
        </w:rPr>
        <w:footnoteRef/>
      </w:r>
      <w:r>
        <w:t xml:space="preserve"> </w:t>
      </w:r>
      <w:r>
        <w:rPr>
          <w:i/>
          <w:iCs/>
        </w:rPr>
        <w:t xml:space="preserve">Transcript of Evidence, </w:t>
      </w:r>
      <w:r>
        <w:t>3 March 2021, pp. 142 – 144.</w:t>
      </w:r>
    </w:p>
  </w:footnote>
  <w:footnote w:id="136">
    <w:p w14:paraId="51FFDE36" w14:textId="77777777" w:rsidR="002D39FA" w:rsidRPr="008A4B38" w:rsidRDefault="002D39FA" w:rsidP="00394272">
      <w:pPr>
        <w:pStyle w:val="FootnoteText"/>
      </w:pPr>
      <w:r>
        <w:rPr>
          <w:rStyle w:val="FootnoteReference"/>
        </w:rPr>
        <w:footnoteRef/>
      </w:r>
      <w:r>
        <w:t xml:space="preserve"> </w:t>
      </w:r>
      <w:r>
        <w:rPr>
          <w:i/>
          <w:iCs/>
        </w:rPr>
        <w:t xml:space="preserve">Transcript of Evidence, </w:t>
      </w:r>
      <w:r>
        <w:t>3 March 2021, pp. 144 – 145.</w:t>
      </w:r>
    </w:p>
  </w:footnote>
  <w:footnote w:id="137">
    <w:p w14:paraId="5FFCAEAF" w14:textId="77777777" w:rsidR="002D39FA" w:rsidRPr="008A4B38" w:rsidRDefault="002D39FA" w:rsidP="00394272">
      <w:pPr>
        <w:pStyle w:val="FootnoteText"/>
        <w:rPr>
          <w:lang w:val="en-US"/>
        </w:rPr>
      </w:pPr>
      <w:r>
        <w:rPr>
          <w:rStyle w:val="FootnoteReference"/>
        </w:rPr>
        <w:footnoteRef/>
      </w:r>
      <w:r>
        <w:t xml:space="preserve"> </w:t>
      </w:r>
      <w:r>
        <w:rPr>
          <w:i/>
          <w:iCs/>
        </w:rPr>
        <w:t xml:space="preserve">Transcript of Evidence, </w:t>
      </w:r>
      <w:r>
        <w:t>3 March 2021, pp. 145 – 146.</w:t>
      </w:r>
    </w:p>
  </w:footnote>
  <w:footnote w:id="138">
    <w:p w14:paraId="7BC64D15" w14:textId="77777777" w:rsidR="002D39FA" w:rsidRPr="008A4B38" w:rsidRDefault="002D39FA" w:rsidP="00394272">
      <w:pPr>
        <w:pStyle w:val="FootnoteText"/>
        <w:rPr>
          <w:lang w:val="en-US"/>
        </w:rPr>
      </w:pPr>
      <w:r>
        <w:rPr>
          <w:rStyle w:val="FootnoteReference"/>
        </w:rPr>
        <w:footnoteRef/>
      </w:r>
      <w:r>
        <w:t xml:space="preserve"> </w:t>
      </w:r>
      <w:r>
        <w:rPr>
          <w:i/>
          <w:iCs/>
        </w:rPr>
        <w:t xml:space="preserve">Transcript of Evidence, </w:t>
      </w:r>
      <w:r>
        <w:t xml:space="preserve">3 March 2021, pp. 146 – 147; </w:t>
      </w:r>
      <w:r>
        <w:rPr>
          <w:i/>
          <w:iCs/>
        </w:rPr>
        <w:t xml:space="preserve">Question Taken on Notice No. 14, </w:t>
      </w:r>
      <w:r>
        <w:t>answered 12 March 2021.</w:t>
      </w:r>
    </w:p>
  </w:footnote>
  <w:footnote w:id="139">
    <w:p w14:paraId="018812D9" w14:textId="77777777" w:rsidR="002D39FA" w:rsidRPr="00484C4B" w:rsidRDefault="002D39FA" w:rsidP="00394272">
      <w:pPr>
        <w:pStyle w:val="FootnoteText"/>
        <w:rPr>
          <w:lang w:val="en-US"/>
        </w:rPr>
      </w:pPr>
      <w:r>
        <w:rPr>
          <w:rStyle w:val="FootnoteReference"/>
        </w:rPr>
        <w:footnoteRef/>
      </w:r>
      <w:r>
        <w:t xml:space="preserve"> </w:t>
      </w:r>
      <w:r>
        <w:rPr>
          <w:i/>
          <w:iCs/>
        </w:rPr>
        <w:t xml:space="preserve">Transcript of Evidence, </w:t>
      </w:r>
      <w:r>
        <w:t xml:space="preserve">3 March 2021, pp. 147 – 148. </w:t>
      </w:r>
    </w:p>
  </w:footnote>
  <w:footnote w:id="140">
    <w:p w14:paraId="5C47B7D1" w14:textId="77777777" w:rsidR="002D39FA" w:rsidRPr="00E24E2C" w:rsidRDefault="002D39FA" w:rsidP="00394272">
      <w:pPr>
        <w:pStyle w:val="FootnoteText"/>
        <w:rPr>
          <w:lang w:val="en-US"/>
        </w:rPr>
      </w:pPr>
      <w:r>
        <w:rPr>
          <w:rStyle w:val="FootnoteReference"/>
        </w:rPr>
        <w:footnoteRef/>
      </w:r>
      <w:r>
        <w:t xml:space="preserve"> </w:t>
      </w:r>
      <w:r>
        <w:rPr>
          <w:i/>
          <w:iCs/>
        </w:rPr>
        <w:t xml:space="preserve">Transcript of Evidence, </w:t>
      </w:r>
      <w:r>
        <w:t>3 March 2021, pp. 149 – 149.</w:t>
      </w:r>
    </w:p>
  </w:footnote>
  <w:footnote w:id="141">
    <w:p w14:paraId="4663B47A" w14:textId="77777777" w:rsidR="002D39FA" w:rsidRPr="00E24E2C" w:rsidRDefault="002D39FA" w:rsidP="00394272">
      <w:pPr>
        <w:pStyle w:val="FootnoteText"/>
        <w:rPr>
          <w:lang w:val="en-US"/>
        </w:rPr>
      </w:pPr>
      <w:r>
        <w:rPr>
          <w:rStyle w:val="FootnoteReference"/>
        </w:rPr>
        <w:footnoteRef/>
      </w:r>
      <w:r>
        <w:t xml:space="preserve"> </w:t>
      </w:r>
      <w:r>
        <w:rPr>
          <w:i/>
          <w:iCs/>
        </w:rPr>
        <w:t xml:space="preserve">Transcript of Evidence, </w:t>
      </w:r>
      <w:r>
        <w:t xml:space="preserve">3 March 2021, pp. 149 – 150. </w:t>
      </w:r>
    </w:p>
  </w:footnote>
  <w:footnote w:id="142">
    <w:p w14:paraId="7A0F92AB" w14:textId="77777777" w:rsidR="002D39FA" w:rsidRPr="00CA40F5" w:rsidRDefault="002D39FA" w:rsidP="00394272">
      <w:pPr>
        <w:pStyle w:val="FootnoteText"/>
        <w:rPr>
          <w:lang w:val="en-US"/>
        </w:rPr>
      </w:pPr>
      <w:r>
        <w:rPr>
          <w:rStyle w:val="FootnoteReference"/>
        </w:rPr>
        <w:footnoteRef/>
      </w:r>
      <w:r>
        <w:t xml:space="preserve"> </w:t>
      </w:r>
      <w:r>
        <w:rPr>
          <w:i/>
          <w:iCs/>
        </w:rPr>
        <w:t xml:space="preserve">Transcript of Evidence, </w:t>
      </w:r>
      <w:r>
        <w:t xml:space="preserve">3 March 2021, pp. 150 – 151. </w:t>
      </w:r>
    </w:p>
  </w:footnote>
  <w:footnote w:id="143">
    <w:p w14:paraId="39786AD5" w14:textId="16BA4BF7" w:rsidR="002D39FA" w:rsidRDefault="002D39FA">
      <w:pPr>
        <w:pStyle w:val="FootnoteText"/>
      </w:pPr>
      <w:r>
        <w:rPr>
          <w:rStyle w:val="FootnoteReference"/>
        </w:rPr>
        <w:footnoteRef/>
      </w:r>
      <w:r>
        <w:t xml:space="preserve"> </w:t>
      </w:r>
      <w:r>
        <w:rPr>
          <w:i/>
          <w:iCs/>
        </w:rPr>
        <w:t xml:space="preserve">Transcript of Evidence, </w:t>
      </w:r>
      <w:r>
        <w:t>3 March 2021, pp. 139 – 140.</w:t>
      </w:r>
    </w:p>
  </w:footnote>
  <w:footnote w:id="144">
    <w:p w14:paraId="157806ED" w14:textId="07423666" w:rsidR="002D39FA" w:rsidRDefault="002D39FA" w:rsidP="008B35F6">
      <w:pPr>
        <w:pStyle w:val="FootnoteText"/>
      </w:pPr>
      <w:r>
        <w:rPr>
          <w:rStyle w:val="FootnoteReference"/>
        </w:rPr>
        <w:footnoteRef/>
      </w:r>
      <w:r>
        <w:t xml:space="preserve"> </w:t>
      </w:r>
      <w:r>
        <w:rPr>
          <w:i/>
          <w:iCs/>
        </w:rPr>
        <w:t xml:space="preserve">Transcript of Evidence, </w:t>
      </w:r>
      <w:r>
        <w:t>3 March 2021, p. 141.</w:t>
      </w:r>
    </w:p>
    <w:p w14:paraId="4F36511E" w14:textId="38AE5F94" w:rsidR="002D39FA" w:rsidRDefault="002D39FA">
      <w:pPr>
        <w:pStyle w:val="FootnoteText"/>
      </w:pPr>
    </w:p>
  </w:footnote>
  <w:footnote w:id="145">
    <w:p w14:paraId="606717E5" w14:textId="77777777" w:rsidR="002D39FA" w:rsidRPr="00F36715" w:rsidRDefault="002D39FA" w:rsidP="00977530">
      <w:pPr>
        <w:pStyle w:val="FootnoteText"/>
        <w:ind w:left="0" w:firstLine="0"/>
        <w:rPr>
          <w:lang w:val="en-US"/>
        </w:rPr>
      </w:pPr>
      <w:r>
        <w:rPr>
          <w:rStyle w:val="FootnoteReference"/>
        </w:rPr>
        <w:footnoteRef/>
      </w:r>
      <w:r>
        <w:rPr>
          <w:lang w:val="en-US"/>
        </w:rPr>
        <w:t xml:space="preserve"> </w:t>
      </w:r>
      <w:r>
        <w:rPr>
          <w:i/>
          <w:iCs/>
        </w:rPr>
        <w:t xml:space="preserve">Transcript of Evidence, </w:t>
      </w:r>
      <w:r>
        <w:t>3 March 2021, p. 152.</w:t>
      </w:r>
    </w:p>
  </w:footnote>
  <w:footnote w:id="146">
    <w:p w14:paraId="6E0CA2E0" w14:textId="398876DD" w:rsidR="002D39FA" w:rsidRPr="000071F6" w:rsidRDefault="002D39FA" w:rsidP="00977530">
      <w:pPr>
        <w:pStyle w:val="FootnoteText"/>
        <w:rPr>
          <w:lang w:val="en-US"/>
        </w:rPr>
      </w:pPr>
      <w:r>
        <w:rPr>
          <w:rStyle w:val="FootnoteReference"/>
        </w:rPr>
        <w:footnoteRef/>
      </w:r>
      <w:r>
        <w:t xml:space="preserve"> </w:t>
      </w:r>
      <w:r>
        <w:rPr>
          <w:i/>
          <w:iCs/>
        </w:rPr>
        <w:t xml:space="preserve">Transcript of Evidence, </w:t>
      </w:r>
      <w:r>
        <w:t>3 March 2021, p.  153</w:t>
      </w:r>
    </w:p>
  </w:footnote>
  <w:footnote w:id="147">
    <w:p w14:paraId="75D160C9" w14:textId="1F67CAD4" w:rsidR="002D39FA" w:rsidRPr="004623F6" w:rsidRDefault="002D39FA" w:rsidP="00977530">
      <w:pPr>
        <w:pStyle w:val="FootnoteText"/>
        <w:rPr>
          <w:lang w:val="en-US"/>
        </w:rPr>
      </w:pPr>
      <w:r>
        <w:rPr>
          <w:rStyle w:val="FootnoteReference"/>
        </w:rPr>
        <w:footnoteRef/>
      </w:r>
      <w:r>
        <w:t xml:space="preserve"> </w:t>
      </w:r>
      <w:r>
        <w:rPr>
          <w:i/>
          <w:iCs/>
        </w:rPr>
        <w:t xml:space="preserve">Transcript of Evidence, </w:t>
      </w:r>
      <w:r>
        <w:t xml:space="preserve">3 March 2021, pp. 153 – 154; </w:t>
      </w:r>
    </w:p>
  </w:footnote>
  <w:footnote w:id="148">
    <w:p w14:paraId="7C7AF122" w14:textId="77777777" w:rsidR="002D39FA" w:rsidRPr="004623F6" w:rsidRDefault="002D39FA" w:rsidP="00977530">
      <w:pPr>
        <w:pStyle w:val="FootnoteText"/>
        <w:rPr>
          <w:lang w:val="en-US"/>
        </w:rPr>
      </w:pPr>
      <w:r>
        <w:rPr>
          <w:rStyle w:val="FootnoteReference"/>
        </w:rPr>
        <w:footnoteRef/>
      </w:r>
      <w:r>
        <w:t xml:space="preserve"> </w:t>
      </w:r>
      <w:r>
        <w:rPr>
          <w:i/>
          <w:iCs/>
        </w:rPr>
        <w:t xml:space="preserve">Transcript of Evidence, </w:t>
      </w:r>
      <w:r>
        <w:t>3 March 2021, pp. 154 – 155.</w:t>
      </w:r>
    </w:p>
  </w:footnote>
  <w:footnote w:id="149">
    <w:p w14:paraId="138197C5" w14:textId="4EBD963E" w:rsidR="002D39FA" w:rsidRPr="004623F6" w:rsidRDefault="002D39FA" w:rsidP="00977530">
      <w:pPr>
        <w:pStyle w:val="FootnoteText"/>
        <w:rPr>
          <w:lang w:val="en-US"/>
        </w:rPr>
      </w:pPr>
      <w:r>
        <w:rPr>
          <w:rStyle w:val="FootnoteReference"/>
        </w:rPr>
        <w:footnoteRef/>
      </w:r>
      <w:r>
        <w:t xml:space="preserve"> </w:t>
      </w:r>
      <w:r>
        <w:rPr>
          <w:i/>
          <w:iCs/>
        </w:rPr>
        <w:t xml:space="preserve">Transcript of Evidence, </w:t>
      </w:r>
      <w:r>
        <w:t xml:space="preserve">3 March 2021, p. 155; </w:t>
      </w:r>
    </w:p>
  </w:footnote>
  <w:footnote w:id="150">
    <w:p w14:paraId="6DA82220" w14:textId="77777777" w:rsidR="002D39FA" w:rsidRPr="002E6E78" w:rsidRDefault="002D39FA" w:rsidP="00977530">
      <w:pPr>
        <w:pStyle w:val="FootnoteText"/>
        <w:rPr>
          <w:lang w:val="en-US"/>
        </w:rPr>
      </w:pPr>
      <w:r>
        <w:rPr>
          <w:rStyle w:val="FootnoteReference"/>
        </w:rPr>
        <w:footnoteRef/>
      </w:r>
      <w:r>
        <w:t xml:space="preserve"> </w:t>
      </w:r>
      <w:r>
        <w:rPr>
          <w:i/>
          <w:iCs/>
        </w:rPr>
        <w:t xml:space="preserve">Transcript of Evidence, </w:t>
      </w:r>
      <w:r>
        <w:t>3 March 2021, p. 155.</w:t>
      </w:r>
    </w:p>
  </w:footnote>
  <w:footnote w:id="151">
    <w:p w14:paraId="6632235A" w14:textId="77777777" w:rsidR="002D39FA" w:rsidRPr="002E6E78" w:rsidRDefault="002D39FA" w:rsidP="00977530">
      <w:pPr>
        <w:pStyle w:val="FootnoteText"/>
        <w:rPr>
          <w:lang w:val="en-US"/>
        </w:rPr>
      </w:pPr>
      <w:r>
        <w:rPr>
          <w:rStyle w:val="FootnoteReference"/>
        </w:rPr>
        <w:footnoteRef/>
      </w:r>
      <w:r>
        <w:t xml:space="preserve"> </w:t>
      </w:r>
      <w:r>
        <w:rPr>
          <w:i/>
          <w:iCs/>
        </w:rPr>
        <w:t xml:space="preserve">Transcript of Evidence, </w:t>
      </w:r>
      <w:r>
        <w:t>3 March 2021, p. 156.</w:t>
      </w:r>
    </w:p>
  </w:footnote>
  <w:footnote w:id="152">
    <w:p w14:paraId="2C832C1B" w14:textId="77777777" w:rsidR="002D39FA" w:rsidRPr="002E6E78" w:rsidRDefault="002D39FA" w:rsidP="00977530">
      <w:pPr>
        <w:pStyle w:val="FootnoteText"/>
        <w:rPr>
          <w:lang w:val="en-US"/>
        </w:rPr>
      </w:pPr>
      <w:r>
        <w:rPr>
          <w:rStyle w:val="FootnoteReference"/>
        </w:rPr>
        <w:footnoteRef/>
      </w:r>
      <w:r>
        <w:t xml:space="preserve"> </w:t>
      </w:r>
      <w:r>
        <w:rPr>
          <w:i/>
          <w:iCs/>
        </w:rPr>
        <w:t xml:space="preserve">Transcript of Evidence, </w:t>
      </w:r>
      <w:r>
        <w:t>3 March 2021, pp. 156 - 157.</w:t>
      </w:r>
    </w:p>
  </w:footnote>
  <w:footnote w:id="153">
    <w:p w14:paraId="3F3FDDAD" w14:textId="4BA0F381" w:rsidR="002D39FA" w:rsidRPr="006A7D62" w:rsidRDefault="002D39FA" w:rsidP="00977530">
      <w:pPr>
        <w:pStyle w:val="FootnoteText"/>
        <w:rPr>
          <w:lang w:val="en-US"/>
        </w:rPr>
      </w:pPr>
      <w:r>
        <w:rPr>
          <w:rStyle w:val="FootnoteReference"/>
        </w:rPr>
        <w:footnoteRef/>
      </w:r>
      <w:r>
        <w:t xml:space="preserve"> </w:t>
      </w:r>
      <w:r>
        <w:rPr>
          <w:i/>
          <w:iCs/>
        </w:rPr>
        <w:t xml:space="preserve">Transcript of Evidence, </w:t>
      </w:r>
      <w:r>
        <w:t>3 March 2021, pp. 159 – 160.</w:t>
      </w:r>
    </w:p>
  </w:footnote>
  <w:footnote w:id="154">
    <w:p w14:paraId="102815D6" w14:textId="77777777" w:rsidR="002D39FA" w:rsidRPr="00AC0627" w:rsidRDefault="002D39FA" w:rsidP="00977530">
      <w:pPr>
        <w:pStyle w:val="FootnoteText"/>
      </w:pPr>
      <w:r>
        <w:rPr>
          <w:rStyle w:val="FootnoteReference"/>
        </w:rPr>
        <w:footnoteRef/>
      </w:r>
      <w:r>
        <w:t xml:space="preserve"> </w:t>
      </w:r>
      <w:r>
        <w:rPr>
          <w:i/>
          <w:iCs/>
        </w:rPr>
        <w:t xml:space="preserve">Transcript of Evidence, </w:t>
      </w:r>
      <w:r>
        <w:t xml:space="preserve">3 March 2021, pp. 160 – 161. </w:t>
      </w:r>
    </w:p>
  </w:footnote>
  <w:footnote w:id="155">
    <w:p w14:paraId="6CDA5A01" w14:textId="77777777" w:rsidR="002D39FA" w:rsidRPr="000D3641" w:rsidRDefault="002D39FA" w:rsidP="00977530">
      <w:pPr>
        <w:pStyle w:val="FootnoteText"/>
        <w:rPr>
          <w:lang w:val="en-US"/>
        </w:rPr>
      </w:pPr>
      <w:r>
        <w:rPr>
          <w:rStyle w:val="FootnoteReference"/>
        </w:rPr>
        <w:footnoteRef/>
      </w:r>
      <w:r>
        <w:t xml:space="preserve"> </w:t>
      </w:r>
      <w:r>
        <w:rPr>
          <w:i/>
          <w:iCs/>
        </w:rPr>
        <w:t xml:space="preserve">Transcript of Evidence, </w:t>
      </w:r>
      <w:r>
        <w:t>3 March 2021, p. 161.</w:t>
      </w:r>
    </w:p>
  </w:footnote>
  <w:footnote w:id="156">
    <w:p w14:paraId="0FBBB919" w14:textId="77777777" w:rsidR="002D39FA" w:rsidRPr="000D3641" w:rsidRDefault="002D39FA" w:rsidP="00977530">
      <w:pPr>
        <w:pStyle w:val="FootnoteText"/>
        <w:rPr>
          <w:lang w:val="en-US"/>
        </w:rPr>
      </w:pPr>
      <w:r>
        <w:rPr>
          <w:rStyle w:val="FootnoteReference"/>
        </w:rPr>
        <w:footnoteRef/>
      </w:r>
      <w:r>
        <w:t xml:space="preserve"> </w:t>
      </w:r>
      <w:r>
        <w:rPr>
          <w:i/>
          <w:iCs/>
        </w:rPr>
        <w:t xml:space="preserve">Transcript of Evidence, </w:t>
      </w:r>
      <w:r>
        <w:t>3 March 2021, p. 161.</w:t>
      </w:r>
    </w:p>
  </w:footnote>
  <w:footnote w:id="157">
    <w:p w14:paraId="2FB8BABE" w14:textId="77777777" w:rsidR="002D39FA" w:rsidRPr="000D3641" w:rsidRDefault="002D39FA" w:rsidP="00977530">
      <w:pPr>
        <w:pStyle w:val="FootnoteText"/>
        <w:rPr>
          <w:lang w:val="en-US"/>
        </w:rPr>
      </w:pPr>
      <w:r>
        <w:rPr>
          <w:rStyle w:val="FootnoteReference"/>
        </w:rPr>
        <w:footnoteRef/>
      </w:r>
      <w:r>
        <w:t xml:space="preserve"> </w:t>
      </w:r>
      <w:r>
        <w:rPr>
          <w:i/>
          <w:iCs/>
        </w:rPr>
        <w:t xml:space="preserve">Transcript of Evidence, </w:t>
      </w:r>
      <w:r>
        <w:t xml:space="preserve">3 March 2021, pp. 162 – 163; </w:t>
      </w:r>
      <w:r>
        <w:rPr>
          <w:i/>
          <w:iCs/>
        </w:rPr>
        <w:t xml:space="preserve">Question Taken on Notice No. 10, </w:t>
      </w:r>
      <w:r>
        <w:t>answered 11 March 2021.</w:t>
      </w:r>
    </w:p>
  </w:footnote>
  <w:footnote w:id="158">
    <w:p w14:paraId="5CE0C983" w14:textId="77777777" w:rsidR="002D39FA" w:rsidRPr="00665CCA" w:rsidRDefault="002D39FA" w:rsidP="00977530">
      <w:pPr>
        <w:pStyle w:val="FootnoteText"/>
        <w:rPr>
          <w:lang w:val="en-US"/>
        </w:rPr>
      </w:pPr>
      <w:r>
        <w:rPr>
          <w:rStyle w:val="FootnoteReference"/>
        </w:rPr>
        <w:footnoteRef/>
      </w:r>
      <w:r>
        <w:t xml:space="preserve"> </w:t>
      </w:r>
      <w:r>
        <w:rPr>
          <w:i/>
          <w:iCs/>
        </w:rPr>
        <w:t xml:space="preserve">Transcript of Evidence, </w:t>
      </w:r>
      <w:r>
        <w:t xml:space="preserve">3 March 2021, pp. 163 – 165; </w:t>
      </w:r>
      <w:r>
        <w:rPr>
          <w:i/>
          <w:iCs/>
        </w:rPr>
        <w:t xml:space="preserve">Question Taken on Notice No. 11, </w:t>
      </w:r>
      <w:r>
        <w:t>answered 17 March 2021.</w:t>
      </w:r>
    </w:p>
  </w:footnote>
  <w:footnote w:id="159">
    <w:p w14:paraId="369F9329" w14:textId="77777777" w:rsidR="002D39FA" w:rsidRPr="00665CCA" w:rsidRDefault="002D39FA" w:rsidP="00977530">
      <w:pPr>
        <w:pStyle w:val="FootnoteText"/>
        <w:rPr>
          <w:lang w:val="en-US"/>
        </w:rPr>
      </w:pPr>
      <w:r>
        <w:rPr>
          <w:rStyle w:val="FootnoteReference"/>
        </w:rPr>
        <w:footnoteRef/>
      </w:r>
      <w:r>
        <w:t xml:space="preserve"> </w:t>
      </w:r>
      <w:r>
        <w:rPr>
          <w:i/>
          <w:iCs/>
        </w:rPr>
        <w:t xml:space="preserve">Transcript of Evidence, </w:t>
      </w:r>
      <w:r>
        <w:t>3 March 2021, p. 165.</w:t>
      </w:r>
    </w:p>
  </w:footnote>
  <w:footnote w:id="160">
    <w:p w14:paraId="22DD6D4E" w14:textId="77777777" w:rsidR="002D39FA" w:rsidRPr="00952976" w:rsidRDefault="002D39FA" w:rsidP="00977530">
      <w:pPr>
        <w:pStyle w:val="FootnoteText"/>
        <w:rPr>
          <w:lang w:val="en-US"/>
        </w:rPr>
      </w:pPr>
      <w:r>
        <w:rPr>
          <w:rStyle w:val="FootnoteReference"/>
        </w:rPr>
        <w:footnoteRef/>
      </w:r>
      <w:r>
        <w:t xml:space="preserve"> </w:t>
      </w:r>
      <w:r>
        <w:rPr>
          <w:i/>
          <w:iCs/>
        </w:rPr>
        <w:t xml:space="preserve">Transcript of Evidence, </w:t>
      </w:r>
      <w:r>
        <w:t>3 March 2021, pp. 165 – 167.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93EF93" w14:textId="7E598F06" w:rsidR="002D39FA" w:rsidRDefault="002D39FA" w:rsidP="004D0B16">
    <w:pPr>
      <w:pStyle w:val="Header"/>
      <w:ind w:left="0" w:right="357" w:firstLine="6"/>
    </w:pPr>
  </w:p>
  <w:p w14:paraId="7D5AA746" w14:textId="77777777" w:rsidR="002D39FA" w:rsidRDefault="002D39FA"/>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7E580E" w14:textId="4B8826BE" w:rsidR="002D39FA" w:rsidRDefault="002D39FA">
    <w:pPr>
      <w:pStyle w:val="Header"/>
    </w:pPr>
    <w:r>
      <w:rPr>
        <w:noProof/>
      </w:rPr>
      <mc:AlternateContent>
        <mc:Choice Requires="wps">
          <w:drawing>
            <wp:anchor distT="0" distB="0" distL="114300" distR="114300" simplePos="0" relativeHeight="251660288" behindDoc="1" locked="0" layoutInCell="0" allowOverlap="1" wp14:anchorId="01C7C0D4" wp14:editId="7C810F3A">
              <wp:simplePos x="0" y="0"/>
              <wp:positionH relativeFrom="margin">
                <wp:align>center</wp:align>
              </wp:positionH>
              <wp:positionV relativeFrom="margin">
                <wp:align>center</wp:align>
              </wp:positionV>
              <wp:extent cx="6694170" cy="1426210"/>
              <wp:effectExtent l="0" t="1895475" r="0" b="17551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94170" cy="142621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FDE1CDE" w14:textId="77777777" w:rsidR="002D39FA" w:rsidRDefault="002D39FA" w:rsidP="00842335">
                          <w:pPr>
                            <w:jc w:val="center"/>
                            <w:rPr>
                              <w:sz w:val="24"/>
                            </w:rPr>
                          </w:pPr>
                          <w:r>
                            <w:rPr>
                              <w:rFonts w:cs="Calibri"/>
                              <w:color w:val="C0C0C0"/>
                              <w:sz w:val="2"/>
                              <w:szCs w:val="2"/>
                            </w:rPr>
                            <w:t>Confidential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1C7C0D4" id="_x0000_t202" coordsize="21600,21600" o:spt="202" path="m,l,21600r21600,l21600,xe">
              <v:stroke joinstyle="miter"/>
              <v:path gradientshapeok="t" o:connecttype="rect"/>
            </v:shapetype>
            <v:shape id="Text Box 1" o:spid="_x0000_s1027" type="#_x0000_t202" style="position:absolute;left:0;text-align:left;margin-left:0;margin-top:0;width:527.1pt;height:112.3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" o:allowincell="f" filled="f" stroked="f">
              <v:stroke joinstyle="round"/>
              <o:lock v:ext="edit" shapetype="t"/>
              <v:textbox style="mso-fit-shape-to-text:t">
                <w:txbxContent>
                  <w:p w14:paraId="5FDE1CDE" w14:textId="77777777" w:rsidR="002D39FA" w:rsidRDefault="002D39FA" w:rsidP="00842335">
                    <w:pPr>
                      <w:jc w:val="center"/>
                      <w:rPr>
                        <w:sz w:val="24"/>
                      </w:rPr>
                    </w:pPr>
                    <w:r>
                      <w:rPr>
                        <w:rFonts w:cs="Calibri"/>
                        <w:color w:val="C0C0C0"/>
                        <w:sz w:val="2"/>
                        <w:szCs w:val="2"/>
                      </w:rPr>
                      <w:t>Confidential draft</w:t>
                    </w:r>
                  </w:p>
                </w:txbxContent>
              </v:textbox>
              <w10:wrap anchorx="margin" anchory="margin"/>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A39C76" w14:textId="4143352B" w:rsidR="002D39FA" w:rsidRDefault="002D39F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C18B08" w14:textId="4A5B8CE9" w:rsidR="002D39FA" w:rsidRDefault="002D39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CA488B" w14:textId="4CD0E0E0" w:rsidR="002D39FA" w:rsidRDefault="002D39FA">
    <w:pPr>
      <w:pStyle w:val="Header"/>
      <w:jc w:val="right"/>
    </w:pPr>
    <w:r w:rsidRPr="00523498">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7CEAFC" w14:textId="51E66E14" w:rsidR="002D39FA" w:rsidRDefault="002D39FA" w:rsidP="00592C9A">
    <w:pPr>
      <w:pStyle w:val="Header"/>
      <w:pBdr>
        <w:bottom w:val="single" w:sz="4" w:space="1" w:color="A6A6A6"/>
      </w:pBdr>
      <w:rPr>
        <w:caps w:val="0"/>
        <w:smallCaps/>
      </w:rPr>
    </w:pPr>
  </w:p>
  <w:p w14:paraId="1019D999" w14:textId="77777777" w:rsidR="002D39FA" w:rsidRDefault="002D39FA" w:rsidP="00592C9A">
    <w:pPr>
      <w:pStyle w:val="Header"/>
      <w:pBdr>
        <w:bottom w:val="single" w:sz="4" w:space="1" w:color="A6A6A6"/>
      </w:pBdr>
      <w:rPr>
        <w:caps w:val="0"/>
        <w:smallCaps/>
      </w:rPr>
    </w:pPr>
  </w:p>
  <w:p w14:paraId="2624AE2C" w14:textId="157C5E79" w:rsidR="002D39FA" w:rsidRPr="002046E5" w:rsidRDefault="002D39FA" w:rsidP="00391606">
    <w:pPr>
      <w:pStyle w:val="Header"/>
      <w:pBdr>
        <w:bottom w:val="single" w:sz="4" w:space="1" w:color="A6A6A6"/>
      </w:pBdr>
      <w:rPr>
        <w:caps w:val="0"/>
        <w:smallCaps/>
        <w:noProof/>
      </w:rPr>
    </w:pPr>
    <w:r w:rsidRPr="002046E5">
      <w:rPr>
        <w:caps w:val="0"/>
        <w:smallCaps/>
      </w:rPr>
      <w:fldChar w:fldCharType="begin"/>
    </w:r>
    <w:r w:rsidRPr="002046E5">
      <w:rPr>
        <w:caps w:val="0"/>
        <w:smallCaps/>
      </w:rPr>
      <w:instrText xml:space="preserve"> STYLEREF  "Committee Name"  \* MERGEFORMAT </w:instrText>
    </w:r>
    <w:r w:rsidRPr="002046E5">
      <w:rPr>
        <w:caps w:val="0"/>
        <w:smallCaps/>
      </w:rPr>
      <w:fldChar w:fldCharType="separate"/>
    </w:r>
    <w:r w:rsidR="00486EA0">
      <w:rPr>
        <w:caps w:val="0"/>
        <w:smallCaps/>
        <w:noProof/>
      </w:rPr>
      <w:t>Standing Committee on Health and Community Wellbeing</w:t>
    </w:r>
    <w:r w:rsidRPr="002046E5">
      <w:rPr>
        <w:caps w:val="0"/>
        <w:smallCaps/>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A60106" w14:textId="5CFF2821" w:rsidR="002D39FA" w:rsidRDefault="002D39FA" w:rsidP="00391606">
    <w:pPr>
      <w:pStyle w:val="Header"/>
      <w:pBdr>
        <w:bottom w:val="single" w:sz="4" w:space="1" w:color="A6A6A6"/>
      </w:pBdr>
      <w:jc w:val="right"/>
    </w:pPr>
    <w:r>
      <w:rPr>
        <w:caps w:val="0"/>
        <w:smallCaps/>
      </w:rPr>
      <w:t xml:space="preserve">Annual </w:t>
    </w:r>
    <w:r w:rsidRPr="002046E5">
      <w:rPr>
        <w:caps w:val="0"/>
        <w:smallCaps/>
      </w:rPr>
      <w:fldChar w:fldCharType="begin"/>
    </w:r>
    <w:r w:rsidRPr="002046E5">
      <w:rPr>
        <w:caps w:val="0"/>
        <w:smallCaps/>
      </w:rPr>
      <w:instrText xml:space="preserve"> STYLEREF  "Committee Name"  \* MERGEFORMAT </w:instrText>
    </w:r>
    <w:r w:rsidRPr="002046E5">
      <w:rPr>
        <w:caps w:val="0"/>
        <w:smallCaps/>
      </w:rPr>
      <w:fldChar w:fldCharType="separate"/>
    </w:r>
    <w:r w:rsidR="00486EA0">
      <w:rPr>
        <w:caps w:val="0"/>
        <w:smallCaps/>
        <w:noProof/>
      </w:rPr>
      <w:t>Standing Committee on Health and Community Wellbeing</w:t>
    </w:r>
    <w:r w:rsidRPr="002046E5">
      <w:rPr>
        <w:caps w:val="0"/>
        <w:smallCaps/>
        <w:noProof/>
      </w:rPr>
      <w:fldChar w:fldCharType="end"/>
    </w:r>
    <w:r>
      <w:rPr>
        <w:caps w:val="0"/>
        <w:smallCaps/>
        <w:noProof/>
      </w:rPr>
      <w:t>and Financial Reports 2019-2020, Appropriation Bill 2020-2021 and Appropriation (Office of the Legislative Assembly) Bill 2020-2021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42DADB" w14:textId="044FC96B" w:rsidR="002D39FA" w:rsidRDefault="002D39F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81206A" w14:textId="03EED1C3" w:rsidR="002D39FA" w:rsidRDefault="002D39F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A73254" w14:textId="5AAA269E" w:rsidR="002D39FA" w:rsidRDefault="002D39FA" w:rsidP="00391606">
    <w:pPr>
      <w:pStyle w:val="Header"/>
      <w:pBdr>
        <w:bottom w:val="single" w:sz="4" w:space="1" w:color="A6A6A6"/>
      </w:pBdr>
      <w:jc w:val="right"/>
    </w:pPr>
    <w:r>
      <w:rPr>
        <w:caps w:val="0"/>
        <w:smallCaps/>
      </w:rPr>
      <w:t xml:space="preserve">Annual </w:t>
    </w:r>
    <w:r w:rsidRPr="002046E5">
      <w:rPr>
        <w:caps w:val="0"/>
        <w:smallCaps/>
      </w:rPr>
      <w:fldChar w:fldCharType="begin"/>
    </w:r>
    <w:r w:rsidRPr="002046E5">
      <w:rPr>
        <w:caps w:val="0"/>
        <w:smallCaps/>
      </w:rPr>
      <w:instrText xml:space="preserve"> STYLEREF  "Committee Name"  \* MERGEFORMAT </w:instrText>
    </w:r>
    <w:r w:rsidRPr="002046E5">
      <w:rPr>
        <w:caps w:val="0"/>
        <w:smallCaps/>
      </w:rPr>
      <w:fldChar w:fldCharType="separate"/>
    </w:r>
    <w:r w:rsidR="00486EA0">
      <w:rPr>
        <w:caps w:val="0"/>
        <w:smallCaps/>
        <w:noProof/>
      </w:rPr>
      <w:t>Standing Committee on Health and Community Wellbeing</w:t>
    </w:r>
    <w:r w:rsidRPr="002046E5">
      <w:rPr>
        <w:caps w:val="0"/>
        <w:smallCaps/>
        <w:noProof/>
      </w:rPr>
      <w:fldChar w:fldCharType="end"/>
    </w:r>
    <w:r>
      <w:rPr>
        <w:caps w:val="0"/>
        <w:smallCaps/>
        <w:noProof/>
      </w:rPr>
      <w:t>and Financial Reports 2019-2020, Appropriation Bill 2020-2021 and Appropriation (Office of the Legislative Assembly) Bill 2020-2021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FAD9B7" w14:textId="7BF1C8AE" w:rsidR="002D39FA" w:rsidRDefault="002D39F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8FED4F" w14:textId="05ACA6D0" w:rsidR="002D39FA" w:rsidRDefault="002D39FA">
    <w:pPr>
      <w:pStyle w:val="Header"/>
    </w:pPr>
    <w:r>
      <w:rPr>
        <w:noProof/>
      </w:rPr>
      <mc:AlternateContent>
        <mc:Choice Requires="wps">
          <w:drawing>
            <wp:anchor distT="0" distB="0" distL="114300" distR="114300" simplePos="0" relativeHeight="251659264" behindDoc="1" locked="0" layoutInCell="0" allowOverlap="1" wp14:anchorId="540FEB6E" wp14:editId="17FAA523">
              <wp:simplePos x="0" y="0"/>
              <wp:positionH relativeFrom="margin">
                <wp:align>center</wp:align>
              </wp:positionH>
              <wp:positionV relativeFrom="margin">
                <wp:align>center</wp:align>
              </wp:positionV>
              <wp:extent cx="6694170" cy="1426210"/>
              <wp:effectExtent l="0" t="1895475" r="0" b="17551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94170" cy="142621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A463E5C" w14:textId="77777777" w:rsidR="002D39FA" w:rsidRDefault="002D39FA" w:rsidP="00842335">
                          <w:pPr>
                            <w:jc w:val="center"/>
                            <w:rPr>
                              <w:sz w:val="24"/>
                            </w:rPr>
                          </w:pPr>
                          <w:r>
                            <w:rPr>
                              <w:rFonts w:cs="Calibri"/>
                              <w:color w:val="C0C0C0"/>
                              <w:sz w:val="2"/>
                              <w:szCs w:val="2"/>
                            </w:rPr>
                            <w:t>Confidential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40FEB6E" id="_x0000_t202" coordsize="21600,21600" o:spt="202" path="m,l,21600r21600,l21600,xe">
              <v:stroke joinstyle="miter"/>
              <v:path gradientshapeok="t" o:connecttype="rect"/>
            </v:shapetype>
            <v:shape id="Text Box 2" o:spid="_x0000_s1026" type="#_x0000_t202" style="position:absolute;left:0;text-align:left;margin-left:0;margin-top:0;width:527.1pt;height:112.3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" o:allowincell="f" filled="f" stroked="f">
              <v:stroke joinstyle="round"/>
              <o:lock v:ext="edit" shapetype="t"/>
              <v:textbox style="mso-fit-shape-to-text:t">
                <w:txbxContent>
                  <w:p w14:paraId="2A463E5C" w14:textId="77777777" w:rsidR="002D39FA" w:rsidRDefault="002D39FA" w:rsidP="00842335">
                    <w:pPr>
                      <w:jc w:val="center"/>
                      <w:rPr>
                        <w:sz w:val="24"/>
                      </w:rPr>
                    </w:pPr>
                    <w:r>
                      <w:rPr>
                        <w:rFonts w:cs="Calibri"/>
                        <w:color w:val="C0C0C0"/>
                        <w:sz w:val="2"/>
                        <w:szCs w:val="2"/>
                      </w:rPr>
                      <w:t>Confidential 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72A29F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A6E6134"/>
    <w:lvl w:ilvl="0">
      <w:start w:val="1"/>
      <w:numFmt w:val="decimal"/>
      <w:pStyle w:val="ListNumber4"/>
      <w:lvlText w:val="%1."/>
      <w:lvlJc w:val="left"/>
      <w:pPr>
        <w:tabs>
          <w:tab w:val="num" w:pos="1209"/>
        </w:tabs>
        <w:ind w:left="1209" w:hanging="360"/>
      </w:pPr>
    </w:lvl>
  </w:abstractNum>
  <w:abstractNum w:abstractNumId="2" w15:restartNumberingAfterBreak="0">
    <w:nsid w:val="FFFFFF7F"/>
    <w:multiLevelType w:val="singleLevel"/>
    <w:tmpl w:val="0E9E10CA"/>
    <w:lvl w:ilvl="0">
      <w:start w:val="1"/>
      <w:numFmt w:val="decimal"/>
      <w:pStyle w:val="ListNumber2"/>
      <w:lvlText w:val="%1."/>
      <w:lvlJc w:val="left"/>
      <w:pPr>
        <w:tabs>
          <w:tab w:val="num" w:pos="643"/>
        </w:tabs>
        <w:ind w:left="643" w:hanging="360"/>
      </w:pPr>
    </w:lvl>
  </w:abstractNum>
  <w:abstractNum w:abstractNumId="3" w15:restartNumberingAfterBreak="0">
    <w:nsid w:val="FFFFFF80"/>
    <w:multiLevelType w:val="singleLevel"/>
    <w:tmpl w:val="88CC59AA"/>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A04E6DDA"/>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01C072BC"/>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1948434C"/>
    <w:lvl w:ilvl="0">
      <w:start w:val="1"/>
      <w:numFmt w:val="bullet"/>
      <w:pStyle w:val="ListBullet2"/>
      <w:lvlText w:val=""/>
      <w:lvlJc w:val="left"/>
      <w:pPr>
        <w:tabs>
          <w:tab w:val="num" w:pos="1247"/>
        </w:tabs>
        <w:ind w:left="1247" w:hanging="283"/>
      </w:pPr>
      <w:rPr>
        <w:rFonts w:ascii="Symbol" w:hAnsi="Symbol" w:hint="default"/>
        <w:color w:val="999999"/>
        <w:sz w:val="20"/>
        <w:szCs w:val="20"/>
      </w:rPr>
    </w:lvl>
  </w:abstractNum>
  <w:abstractNum w:abstractNumId="7" w15:restartNumberingAfterBreak="0">
    <w:nsid w:val="FFFFFF88"/>
    <w:multiLevelType w:val="singleLevel"/>
    <w:tmpl w:val="0E86AAF6"/>
    <w:lvl w:ilvl="0">
      <w:start w:val="1"/>
      <w:numFmt w:val="decimal"/>
      <w:pStyle w:val="ListNumber"/>
      <w:lvlText w:val="%1."/>
      <w:lvlJc w:val="left"/>
      <w:pPr>
        <w:tabs>
          <w:tab w:val="num" w:pos="360"/>
        </w:tabs>
        <w:ind w:left="360" w:hanging="360"/>
      </w:pPr>
    </w:lvl>
  </w:abstractNum>
  <w:abstractNum w:abstractNumId="8" w15:restartNumberingAfterBreak="0">
    <w:nsid w:val="00000001"/>
    <w:multiLevelType w:val="hybridMultilevel"/>
    <w:tmpl w:val="ECA61E9E"/>
    <w:lvl w:ilvl="0" w:tplc="C166F56C">
      <w:start w:val="1"/>
      <w:numFmt w:val="bullet"/>
      <w:pStyle w:val="BSbullet1"/>
      <w:lvlText w:val=""/>
      <w:lvlJc w:val="left"/>
      <w:pPr>
        <w:tabs>
          <w:tab w:val="num" w:pos="360"/>
        </w:tabs>
        <w:ind w:left="357" w:hanging="357"/>
      </w:pPr>
      <w:rPr>
        <w:rFonts w:ascii="Symbol" w:hAnsi="Symbol" w:hint="default"/>
        <w:sz w:val="24"/>
      </w:rPr>
    </w:lvl>
    <w:lvl w:ilvl="1" w:tplc="B5B6B852">
      <w:start w:val="1"/>
      <w:numFmt w:val="bullet"/>
      <w:lvlText w:val="o"/>
      <w:lvlJc w:val="left"/>
      <w:pPr>
        <w:tabs>
          <w:tab w:val="num" w:pos="1800"/>
        </w:tabs>
        <w:ind w:left="1800" w:hanging="360"/>
      </w:pPr>
      <w:rPr>
        <w:rFonts w:ascii="Courier New" w:hAnsi="Courier New" w:hint="default"/>
      </w:rPr>
    </w:lvl>
    <w:lvl w:ilvl="2" w:tplc="BFF8241C">
      <w:start w:val="1"/>
      <w:numFmt w:val="bullet"/>
      <w:lvlText w:val=""/>
      <w:lvlJc w:val="left"/>
      <w:pPr>
        <w:tabs>
          <w:tab w:val="num" w:pos="2520"/>
        </w:tabs>
        <w:ind w:left="2520" w:hanging="360"/>
      </w:pPr>
      <w:rPr>
        <w:rFonts w:ascii="Wingdings" w:hAnsi="Wingdings" w:hint="default"/>
      </w:rPr>
    </w:lvl>
    <w:lvl w:ilvl="3" w:tplc="BD54E31E">
      <w:start w:val="1"/>
      <w:numFmt w:val="bullet"/>
      <w:lvlText w:val=""/>
      <w:lvlJc w:val="left"/>
      <w:pPr>
        <w:tabs>
          <w:tab w:val="num" w:pos="3240"/>
        </w:tabs>
        <w:ind w:left="3240" w:hanging="360"/>
      </w:pPr>
      <w:rPr>
        <w:rFonts w:ascii="Symbol" w:hAnsi="Symbol" w:hint="default"/>
      </w:rPr>
    </w:lvl>
    <w:lvl w:ilvl="4" w:tplc="AB765FA8">
      <w:start w:val="1"/>
      <w:numFmt w:val="bullet"/>
      <w:lvlText w:val="o"/>
      <w:lvlJc w:val="left"/>
      <w:pPr>
        <w:tabs>
          <w:tab w:val="num" w:pos="3960"/>
        </w:tabs>
        <w:ind w:left="3960" w:hanging="360"/>
      </w:pPr>
      <w:rPr>
        <w:rFonts w:ascii="Courier New" w:hAnsi="Courier New" w:hint="default"/>
      </w:rPr>
    </w:lvl>
    <w:lvl w:ilvl="5" w:tplc="1144D5E4">
      <w:start w:val="1"/>
      <w:numFmt w:val="bullet"/>
      <w:lvlText w:val=""/>
      <w:lvlJc w:val="left"/>
      <w:pPr>
        <w:tabs>
          <w:tab w:val="num" w:pos="4680"/>
        </w:tabs>
        <w:ind w:left="4680" w:hanging="360"/>
      </w:pPr>
      <w:rPr>
        <w:rFonts w:ascii="Wingdings" w:hAnsi="Wingdings" w:hint="default"/>
      </w:rPr>
    </w:lvl>
    <w:lvl w:ilvl="6" w:tplc="11068D7E">
      <w:start w:val="1"/>
      <w:numFmt w:val="bullet"/>
      <w:lvlText w:val=""/>
      <w:lvlJc w:val="left"/>
      <w:pPr>
        <w:tabs>
          <w:tab w:val="num" w:pos="5400"/>
        </w:tabs>
        <w:ind w:left="5400" w:hanging="360"/>
      </w:pPr>
      <w:rPr>
        <w:rFonts w:ascii="Symbol" w:hAnsi="Symbol" w:hint="default"/>
      </w:rPr>
    </w:lvl>
    <w:lvl w:ilvl="7" w:tplc="9BCEC4C2">
      <w:start w:val="1"/>
      <w:numFmt w:val="bullet"/>
      <w:lvlText w:val="o"/>
      <w:lvlJc w:val="left"/>
      <w:pPr>
        <w:tabs>
          <w:tab w:val="num" w:pos="6120"/>
        </w:tabs>
        <w:ind w:left="6120" w:hanging="360"/>
      </w:pPr>
      <w:rPr>
        <w:rFonts w:ascii="Courier New" w:hAnsi="Courier New" w:hint="default"/>
      </w:rPr>
    </w:lvl>
    <w:lvl w:ilvl="8" w:tplc="CC429A9A">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0A6F7859"/>
    <w:multiLevelType w:val="multilevel"/>
    <w:tmpl w:val="0C09001D"/>
    <w:styleLink w:val="CommitteeNumberedPar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7B11FB6"/>
    <w:multiLevelType w:val="multilevel"/>
    <w:tmpl w:val="71A08D7E"/>
    <w:styleLink w:val="test1"/>
    <w:lvl w:ilvl="0">
      <w:start w:val="1"/>
      <w:numFmt w:val="decimal"/>
      <w:pStyle w:val="Heading1"/>
      <w:lvlText w:val="%1"/>
      <w:lvlJc w:val="left"/>
      <w:pPr>
        <w:tabs>
          <w:tab w:val="num" w:pos="680"/>
        </w:tabs>
        <w:ind w:left="567" w:hanging="567"/>
      </w:pPr>
      <w:rPr>
        <w:rFonts w:ascii="Arial Narrow" w:hAnsi="Arial Narrow" w:hint="default"/>
        <w:b/>
        <w:i w:val="0"/>
        <w:sz w:val="44"/>
      </w:rPr>
    </w:lvl>
    <w:lvl w:ilvl="1">
      <w:start w:val="1"/>
      <w:numFmt w:val="none"/>
      <w:lvlRestart w:val="0"/>
      <w:pStyle w:val="Headinglevel2"/>
      <w:lvlText w:val=""/>
      <w:lvlJc w:val="left"/>
      <w:pPr>
        <w:tabs>
          <w:tab w:val="num" w:pos="680"/>
        </w:tabs>
        <w:ind w:left="454" w:hanging="454"/>
      </w:pPr>
      <w:rPr>
        <w:rFonts w:ascii="Palatino Linotype" w:hAnsi="Palatino Linotype" w:hint="default"/>
        <w:b w:val="0"/>
        <w:i w:val="0"/>
        <w:caps w:val="0"/>
        <w:vanish w:val="0"/>
        <w:w w:val="95"/>
        <w:sz w:val="22"/>
        <w:szCs w:val="22"/>
      </w:rPr>
    </w:lvl>
    <w:lvl w:ilvl="2">
      <w:start w:val="1"/>
      <w:numFmt w:val="none"/>
      <w:lvlRestart w:val="0"/>
      <w:pStyle w:val="Headinglevel3"/>
      <w:lvlText w:val=""/>
      <w:lvlJc w:val="left"/>
      <w:pPr>
        <w:tabs>
          <w:tab w:val="num" w:pos="720"/>
        </w:tabs>
        <w:ind w:left="454" w:hanging="454"/>
      </w:pPr>
      <w:rPr>
        <w:rFonts w:hint="default"/>
      </w:rPr>
    </w:lvl>
    <w:lvl w:ilvl="3">
      <w:start w:val="1"/>
      <w:numFmt w:val="none"/>
      <w:lvlRestart w:val="0"/>
      <w:pStyle w:val="Headinglevel4"/>
      <w:lvlText w:val=""/>
      <w:lvlJc w:val="left"/>
      <w:pPr>
        <w:tabs>
          <w:tab w:val="num" w:pos="864"/>
        </w:tabs>
        <w:ind w:left="340" w:hanging="340"/>
      </w:pPr>
      <w:rPr>
        <w:rFonts w:hint="default"/>
      </w:rPr>
    </w:lvl>
    <w:lvl w:ilvl="4">
      <w:start w:val="1"/>
      <w:numFmt w:val="none"/>
      <w:lvlRestart w:val="0"/>
      <w:pStyle w:val="Headinglevel5"/>
      <w:lvlText w:val=""/>
      <w:lvlJc w:val="left"/>
      <w:pPr>
        <w:tabs>
          <w:tab w:val="num" w:pos="1008"/>
        </w:tabs>
        <w:ind w:left="340" w:hanging="340"/>
      </w:pPr>
      <w:rPr>
        <w:rFonts w:hint="default"/>
      </w:rPr>
    </w:lvl>
    <w:lvl w:ilvl="5">
      <w:start w:val="1"/>
      <w:numFmt w:val="decimal"/>
      <w:lvlRestart w:val="1"/>
      <w:pStyle w:val="BodyText1"/>
      <w:lvlText w:val="%1.%6"/>
      <w:lvlJc w:val="left"/>
      <w:pPr>
        <w:ind w:left="567" w:hanging="567"/>
      </w:pPr>
      <w:rPr>
        <w:rFonts w:ascii="Calibri" w:hAnsi="Calibri" w:hint="default"/>
        <w:sz w:val="22"/>
      </w:rPr>
    </w:lvl>
    <w:lvl w:ilvl="6">
      <w:start w:val="1"/>
      <w:numFmt w:val="decimal"/>
      <w:lvlRestart w:val="0"/>
      <w:pStyle w:val="Recommendation"/>
      <w:lvlText w:val="Recommendation %7"/>
      <w:lvlJc w:val="left"/>
      <w:pPr>
        <w:ind w:left="142" w:firstLine="0"/>
      </w:pPr>
      <w:rPr>
        <w:rFonts w:ascii="Arial Narrow" w:hAnsi="Arial Narrow" w:hint="default"/>
        <w:b/>
        <w:i w:val="0"/>
        <w:sz w:val="28"/>
      </w:rPr>
    </w:lvl>
    <w:lvl w:ilvl="7">
      <w:start w:val="1"/>
      <w:numFmt w:val="upperLetter"/>
      <w:pStyle w:val="AppendixHeading1"/>
      <w:lvlText w:val="Appendix %8"/>
      <w:lvlJc w:val="left"/>
      <w:pPr>
        <w:tabs>
          <w:tab w:val="num" w:pos="1440"/>
        </w:tabs>
        <w:ind w:left="1440" w:hanging="1440"/>
      </w:pPr>
      <w:rPr>
        <w:rFonts w:ascii="Arial Narrow" w:hAnsi="Arial Narrow" w:hint="default"/>
        <w:caps w:val="0"/>
        <w:sz w:val="36"/>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19D1170C"/>
    <w:multiLevelType w:val="hybridMultilevel"/>
    <w:tmpl w:val="D6A65AE8"/>
    <w:lvl w:ilvl="0" w:tplc="0C090001">
      <w:start w:val="1"/>
      <w:numFmt w:val="bullet"/>
      <w:lvlText w:val=""/>
      <w:lvlJc w:val="left"/>
      <w:pPr>
        <w:ind w:left="720" w:hanging="360"/>
      </w:pPr>
      <w:rPr>
        <w:rFonts w:ascii="Symbol" w:hAnsi="Symbol" w:hint="default"/>
      </w:rPr>
    </w:lvl>
    <w:lvl w:ilvl="1" w:tplc="0C090003">
      <w:start w:val="1"/>
      <w:numFmt w:val="bullet"/>
      <w:pStyle w:val="FindingTex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E222A15"/>
    <w:multiLevelType w:val="hybridMultilevel"/>
    <w:tmpl w:val="620A783C"/>
    <w:lvl w:ilvl="0" w:tplc="FC3C580E">
      <w:start w:val="1"/>
      <w:numFmt w:val="bullet"/>
      <w:pStyle w:val="BulletedTextKM"/>
      <w:lvlText w:val="•"/>
      <w:lvlJc w:val="left"/>
      <w:pPr>
        <w:tabs>
          <w:tab w:val="num" w:pos="1247"/>
        </w:tabs>
        <w:ind w:left="1247" w:hanging="567"/>
      </w:pPr>
      <w:rPr>
        <w:rFonts w:ascii="Arial" w:hAnsi="Arial" w:hint="default"/>
        <w:color w:val="000000"/>
        <w:sz w:val="28"/>
        <w:szCs w:val="28"/>
      </w:rPr>
    </w:lvl>
    <w:lvl w:ilvl="1" w:tplc="04090003" w:tentative="1">
      <w:start w:val="1"/>
      <w:numFmt w:val="bullet"/>
      <w:lvlText w:val="o"/>
      <w:lvlJc w:val="left"/>
      <w:pPr>
        <w:tabs>
          <w:tab w:val="num" w:pos="2120"/>
        </w:tabs>
        <w:ind w:left="2120" w:hanging="360"/>
      </w:pPr>
      <w:rPr>
        <w:rFonts w:ascii="Courier New" w:hAnsi="Courier New" w:cs="Courier New" w:hint="default"/>
      </w:rPr>
    </w:lvl>
    <w:lvl w:ilvl="2" w:tplc="04090005" w:tentative="1">
      <w:start w:val="1"/>
      <w:numFmt w:val="bullet"/>
      <w:lvlText w:val=""/>
      <w:lvlJc w:val="left"/>
      <w:pPr>
        <w:tabs>
          <w:tab w:val="num" w:pos="2840"/>
        </w:tabs>
        <w:ind w:left="2840" w:hanging="360"/>
      </w:pPr>
      <w:rPr>
        <w:rFonts w:ascii="Wingdings" w:hAnsi="Wingdings" w:hint="default"/>
      </w:rPr>
    </w:lvl>
    <w:lvl w:ilvl="3" w:tplc="04090001" w:tentative="1">
      <w:start w:val="1"/>
      <w:numFmt w:val="bullet"/>
      <w:lvlText w:val=""/>
      <w:lvlJc w:val="left"/>
      <w:pPr>
        <w:tabs>
          <w:tab w:val="num" w:pos="3560"/>
        </w:tabs>
        <w:ind w:left="3560" w:hanging="360"/>
      </w:pPr>
      <w:rPr>
        <w:rFonts w:ascii="Symbol" w:hAnsi="Symbol" w:hint="default"/>
      </w:rPr>
    </w:lvl>
    <w:lvl w:ilvl="4" w:tplc="04090003" w:tentative="1">
      <w:start w:val="1"/>
      <w:numFmt w:val="bullet"/>
      <w:lvlText w:val="o"/>
      <w:lvlJc w:val="left"/>
      <w:pPr>
        <w:tabs>
          <w:tab w:val="num" w:pos="4280"/>
        </w:tabs>
        <w:ind w:left="4280" w:hanging="360"/>
      </w:pPr>
      <w:rPr>
        <w:rFonts w:ascii="Courier New" w:hAnsi="Courier New" w:cs="Courier New" w:hint="default"/>
      </w:rPr>
    </w:lvl>
    <w:lvl w:ilvl="5" w:tplc="04090005" w:tentative="1">
      <w:start w:val="1"/>
      <w:numFmt w:val="bullet"/>
      <w:lvlText w:val=""/>
      <w:lvlJc w:val="left"/>
      <w:pPr>
        <w:tabs>
          <w:tab w:val="num" w:pos="5000"/>
        </w:tabs>
        <w:ind w:left="5000" w:hanging="360"/>
      </w:pPr>
      <w:rPr>
        <w:rFonts w:ascii="Wingdings" w:hAnsi="Wingdings" w:hint="default"/>
      </w:rPr>
    </w:lvl>
    <w:lvl w:ilvl="6" w:tplc="04090001" w:tentative="1">
      <w:start w:val="1"/>
      <w:numFmt w:val="bullet"/>
      <w:lvlText w:val=""/>
      <w:lvlJc w:val="left"/>
      <w:pPr>
        <w:tabs>
          <w:tab w:val="num" w:pos="5720"/>
        </w:tabs>
        <w:ind w:left="5720" w:hanging="360"/>
      </w:pPr>
      <w:rPr>
        <w:rFonts w:ascii="Symbol" w:hAnsi="Symbol" w:hint="default"/>
      </w:rPr>
    </w:lvl>
    <w:lvl w:ilvl="7" w:tplc="04090003" w:tentative="1">
      <w:start w:val="1"/>
      <w:numFmt w:val="bullet"/>
      <w:lvlText w:val="o"/>
      <w:lvlJc w:val="left"/>
      <w:pPr>
        <w:tabs>
          <w:tab w:val="num" w:pos="6440"/>
        </w:tabs>
        <w:ind w:left="6440" w:hanging="360"/>
      </w:pPr>
      <w:rPr>
        <w:rFonts w:ascii="Courier New" w:hAnsi="Courier New" w:cs="Courier New" w:hint="default"/>
      </w:rPr>
    </w:lvl>
    <w:lvl w:ilvl="8" w:tplc="04090005" w:tentative="1">
      <w:start w:val="1"/>
      <w:numFmt w:val="bullet"/>
      <w:lvlText w:val=""/>
      <w:lvlJc w:val="left"/>
      <w:pPr>
        <w:tabs>
          <w:tab w:val="num" w:pos="7160"/>
        </w:tabs>
        <w:ind w:left="7160" w:hanging="360"/>
      </w:pPr>
      <w:rPr>
        <w:rFonts w:ascii="Wingdings" w:hAnsi="Wingdings" w:hint="default"/>
      </w:rPr>
    </w:lvl>
  </w:abstractNum>
  <w:abstractNum w:abstractNumId="13" w15:restartNumberingAfterBreak="0">
    <w:nsid w:val="325344C7"/>
    <w:multiLevelType w:val="multilevel"/>
    <w:tmpl w:val="6F8CB9FC"/>
    <w:name w:val="new2"/>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4" w15:restartNumberingAfterBreak="0">
    <w:nsid w:val="3BFB55FD"/>
    <w:multiLevelType w:val="multilevel"/>
    <w:tmpl w:val="142AEF88"/>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Wingdings" w:hAnsi="Wingding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0C912CD"/>
    <w:multiLevelType w:val="hybridMultilevel"/>
    <w:tmpl w:val="0D1EB06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40F11D6F"/>
    <w:multiLevelType w:val="multilevel"/>
    <w:tmpl w:val="0D8AEBE0"/>
    <w:lvl w:ilvl="0">
      <w:start w:val="1"/>
      <w:numFmt w:val="decimal"/>
      <w:lvlText w:val="%1"/>
      <w:lvlJc w:val="left"/>
      <w:pPr>
        <w:tabs>
          <w:tab w:val="num" w:pos="680"/>
        </w:tabs>
        <w:ind w:left="567" w:hanging="567"/>
      </w:pPr>
      <w:rPr>
        <w:rFonts w:ascii="Arial Narrow" w:hAnsi="Arial Narrow" w:hint="default"/>
        <w:b/>
        <w:i w:val="0"/>
        <w:sz w:val="44"/>
      </w:rPr>
    </w:lvl>
    <w:lvl w:ilvl="1">
      <w:start w:val="1"/>
      <w:numFmt w:val="decimal"/>
      <w:lvlText w:val="%1.%2"/>
      <w:lvlJc w:val="left"/>
      <w:pPr>
        <w:ind w:left="567" w:hanging="567"/>
      </w:pPr>
      <w:rPr>
        <w:rFonts w:ascii="Calibri" w:hAnsi="Calibri" w:hint="default"/>
        <w:sz w:val="22"/>
      </w:rPr>
    </w:lvl>
    <w:lvl w:ilvl="2">
      <w:start w:val="1"/>
      <w:numFmt w:val="bullet"/>
      <w:lvlRestart w:val="0"/>
      <w:lvlText w:val=""/>
      <w:lvlJc w:val="left"/>
      <w:pPr>
        <w:ind w:left="964" w:hanging="397"/>
      </w:pPr>
      <w:rPr>
        <w:rFonts w:ascii="Wingdings" w:hAnsi="Wingdings" w:hint="default"/>
        <w:sz w:val="24"/>
      </w:rPr>
    </w:lvl>
    <w:lvl w:ilvl="3">
      <w:start w:val="1"/>
      <w:numFmt w:val="bullet"/>
      <w:lvlRestart w:val="0"/>
      <w:lvlText w:val=""/>
      <w:lvlJc w:val="left"/>
      <w:pPr>
        <w:ind w:left="1276" w:hanging="284"/>
      </w:pPr>
      <w:rPr>
        <w:rFonts w:ascii="Wingdings" w:hAnsi="Wingdings" w:hint="default"/>
        <w:color w:val="999999"/>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1656FEC"/>
    <w:multiLevelType w:val="multilevel"/>
    <w:tmpl w:val="EC6A4658"/>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Wingdings" w:hAnsi="Wingding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8F34367"/>
    <w:multiLevelType w:val="multilevel"/>
    <w:tmpl w:val="1ED09366"/>
    <w:lvl w:ilvl="0">
      <w:start w:val="1"/>
      <w:numFmt w:val="decimal"/>
      <w:lvlText w:val="%1"/>
      <w:lvlJc w:val="left"/>
      <w:pPr>
        <w:tabs>
          <w:tab w:val="num" w:pos="680"/>
        </w:tabs>
        <w:ind w:left="567" w:hanging="567"/>
      </w:pPr>
      <w:rPr>
        <w:rFonts w:ascii="Arial Narrow" w:hAnsi="Arial Narrow" w:hint="default"/>
        <w:b/>
        <w:i w:val="0"/>
        <w:sz w:val="44"/>
      </w:rPr>
    </w:lvl>
    <w:lvl w:ilvl="1">
      <w:start w:val="19"/>
      <w:numFmt w:val="none"/>
      <w:lvlRestart w:val="0"/>
      <w:lvlText w:val=""/>
      <w:lvlJc w:val="left"/>
      <w:pPr>
        <w:tabs>
          <w:tab w:val="num" w:pos="680"/>
        </w:tabs>
        <w:ind w:left="454" w:hanging="454"/>
      </w:pPr>
      <w:rPr>
        <w:rFonts w:ascii="Palatino Linotype" w:hAnsi="Palatino Linotype" w:hint="default"/>
        <w:b w:val="0"/>
        <w:i w:val="0"/>
        <w:caps w:val="0"/>
        <w:vanish w:val="0"/>
        <w:w w:val="95"/>
        <w:sz w:val="22"/>
        <w:szCs w:val="22"/>
      </w:rPr>
    </w:lvl>
    <w:lvl w:ilvl="2">
      <w:start w:val="8"/>
      <w:numFmt w:val="none"/>
      <w:lvlRestart w:val="0"/>
      <w:lvlText w:val=""/>
      <w:lvlJc w:val="left"/>
      <w:pPr>
        <w:tabs>
          <w:tab w:val="num" w:pos="720"/>
        </w:tabs>
        <w:ind w:left="454" w:hanging="454"/>
      </w:pPr>
      <w:rPr>
        <w:rFonts w:hint="default"/>
      </w:rPr>
    </w:lvl>
    <w:lvl w:ilvl="3">
      <w:start w:val="36"/>
      <w:numFmt w:val="none"/>
      <w:lvlRestart w:val="0"/>
      <w:lvlText w:val=""/>
      <w:lvlJc w:val="left"/>
      <w:pPr>
        <w:tabs>
          <w:tab w:val="num" w:pos="864"/>
        </w:tabs>
        <w:ind w:left="340" w:hanging="340"/>
      </w:pPr>
      <w:rPr>
        <w:rFonts w:hint="default"/>
      </w:rPr>
    </w:lvl>
    <w:lvl w:ilvl="4">
      <w:start w:val="89"/>
      <w:numFmt w:val="none"/>
      <w:lvlRestart w:val="0"/>
      <w:lvlText w:val=""/>
      <w:lvlJc w:val="left"/>
      <w:pPr>
        <w:tabs>
          <w:tab w:val="num" w:pos="1008"/>
        </w:tabs>
        <w:ind w:left="340" w:hanging="340"/>
      </w:pPr>
      <w:rPr>
        <w:rFonts w:hint="default"/>
      </w:rPr>
    </w:lvl>
    <w:lvl w:ilvl="5">
      <w:start w:val="2"/>
      <w:numFmt w:val="decimal"/>
      <w:lvlRestart w:val="1"/>
      <w:lvlText w:val="%1.%6"/>
      <w:lvlJc w:val="left"/>
      <w:pPr>
        <w:ind w:left="567" w:hanging="567"/>
      </w:pPr>
      <w:rPr>
        <w:rFonts w:ascii="Calibri" w:hAnsi="Calibri" w:hint="default"/>
        <w:sz w:val="22"/>
      </w:rPr>
    </w:lvl>
    <w:lvl w:ilvl="6">
      <w:start w:val="14"/>
      <w:numFmt w:val="decimal"/>
      <w:lvlRestart w:val="0"/>
      <w:lvlText w:val="Recommendation %7"/>
      <w:lvlJc w:val="left"/>
      <w:pPr>
        <w:ind w:left="1135"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7">
      <w:start w:val="3"/>
      <w:numFmt w:val="upperLetter"/>
      <w:lvlText w:val="Appendix %8"/>
      <w:lvlJc w:val="left"/>
      <w:pPr>
        <w:tabs>
          <w:tab w:val="num" w:pos="1440"/>
        </w:tabs>
        <w:ind w:left="1440" w:hanging="1440"/>
      </w:pPr>
      <w:rPr>
        <w:rFonts w:ascii="Arial Narrow" w:hAnsi="Arial Narrow" w:hint="default"/>
        <w:caps w:val="0"/>
        <w:sz w:val="36"/>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58E7707B"/>
    <w:multiLevelType w:val="hybridMultilevel"/>
    <w:tmpl w:val="27729904"/>
    <w:lvl w:ilvl="0" w:tplc="6116F4E4">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0" w15:restartNumberingAfterBreak="0">
    <w:nsid w:val="5CDE7DD4"/>
    <w:multiLevelType w:val="hybridMultilevel"/>
    <w:tmpl w:val="F2B23F4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61676B71"/>
    <w:multiLevelType w:val="hybridMultilevel"/>
    <w:tmpl w:val="23001E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9A34DF2"/>
    <w:multiLevelType w:val="multilevel"/>
    <w:tmpl w:val="10A62A5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Wingdings" w:hAnsi="Wingding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5797F65"/>
    <w:multiLevelType w:val="multilevel"/>
    <w:tmpl w:val="42368D4C"/>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Wingdings" w:hAnsi="Wingding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7CD465E"/>
    <w:multiLevelType w:val="multilevel"/>
    <w:tmpl w:val="B02867B4"/>
    <w:lvl w:ilvl="0">
      <w:start w:val="1"/>
      <w:numFmt w:val="bullet"/>
      <w:pStyle w:val="ListNumber3"/>
      <w:lvlText w:val=""/>
      <w:lvlJc w:val="left"/>
      <w:pPr>
        <w:tabs>
          <w:tab w:val="num" w:pos="1724"/>
        </w:tabs>
        <w:ind w:left="1724" w:hanging="284"/>
      </w:pPr>
      <w:rPr>
        <w:rFonts w:ascii="Wingdings" w:hAnsi="Wingdings" w:hint="default"/>
        <w:sz w:val="24"/>
        <w:szCs w:val="24"/>
      </w:rPr>
    </w:lvl>
    <w:lvl w:ilvl="1">
      <w:start w:val="1"/>
      <w:numFmt w:val="bullet"/>
      <w:pStyle w:val="ListNumber3"/>
      <w:lvlText w:val=""/>
      <w:lvlJc w:val="left"/>
      <w:pPr>
        <w:tabs>
          <w:tab w:val="num" w:pos="1044"/>
        </w:tabs>
        <w:ind w:left="1044" w:hanging="284"/>
      </w:pPr>
      <w:rPr>
        <w:rFonts w:ascii="Symbol" w:hAnsi="Symbol" w:hint="default"/>
      </w:rPr>
    </w:lvl>
    <w:lvl w:ilvl="2">
      <w:start w:val="1"/>
      <w:numFmt w:val="decimal"/>
      <w:lvlText w:val="%1.%2.%3"/>
      <w:lvlJc w:val="left"/>
      <w:pPr>
        <w:tabs>
          <w:tab w:val="num" w:pos="1480"/>
        </w:tabs>
        <w:ind w:left="1480" w:hanging="720"/>
      </w:pPr>
      <w:rPr>
        <w:rFonts w:hint="default"/>
      </w:rPr>
    </w:lvl>
    <w:lvl w:ilvl="3">
      <w:start w:val="1"/>
      <w:numFmt w:val="decimal"/>
      <w:lvlText w:val="%1.%2.%3.%4"/>
      <w:lvlJc w:val="left"/>
      <w:pPr>
        <w:tabs>
          <w:tab w:val="num" w:pos="1624"/>
        </w:tabs>
        <w:ind w:left="1624" w:hanging="864"/>
      </w:pPr>
      <w:rPr>
        <w:rFonts w:hint="default"/>
      </w:rPr>
    </w:lvl>
    <w:lvl w:ilvl="4">
      <w:start w:val="1"/>
      <w:numFmt w:val="decimal"/>
      <w:lvlText w:val="%1.%2.%3.%4.%5"/>
      <w:lvlJc w:val="left"/>
      <w:pPr>
        <w:tabs>
          <w:tab w:val="num" w:pos="1768"/>
        </w:tabs>
        <w:ind w:left="1768" w:hanging="1008"/>
      </w:pPr>
      <w:rPr>
        <w:rFonts w:hint="default"/>
      </w:rPr>
    </w:lvl>
    <w:lvl w:ilvl="5">
      <w:start w:val="1"/>
      <w:numFmt w:val="decimal"/>
      <w:lvlText w:val="%1.%2.%3.%4.%5.%6"/>
      <w:lvlJc w:val="left"/>
      <w:pPr>
        <w:tabs>
          <w:tab w:val="num" w:pos="1912"/>
        </w:tabs>
        <w:ind w:left="1912" w:hanging="1152"/>
      </w:pPr>
      <w:rPr>
        <w:rFonts w:hint="default"/>
      </w:rPr>
    </w:lvl>
    <w:lvl w:ilvl="6">
      <w:start w:val="1"/>
      <w:numFmt w:val="decimal"/>
      <w:lvlText w:val="%1.%2.%3.%4.%5.%6.%7"/>
      <w:lvlJc w:val="left"/>
      <w:pPr>
        <w:tabs>
          <w:tab w:val="num" w:pos="2056"/>
        </w:tabs>
        <w:ind w:left="2056" w:hanging="1296"/>
      </w:pPr>
      <w:rPr>
        <w:rFonts w:hint="default"/>
      </w:rPr>
    </w:lvl>
    <w:lvl w:ilvl="7">
      <w:start w:val="1"/>
      <w:numFmt w:val="decimal"/>
      <w:lvlText w:val="%1.%2.%3.%4.%5.%6.%7.%8"/>
      <w:lvlJc w:val="left"/>
      <w:pPr>
        <w:tabs>
          <w:tab w:val="num" w:pos="2200"/>
        </w:tabs>
        <w:ind w:left="2200" w:hanging="1440"/>
      </w:pPr>
      <w:rPr>
        <w:rFonts w:hint="default"/>
      </w:rPr>
    </w:lvl>
    <w:lvl w:ilvl="8">
      <w:start w:val="1"/>
      <w:numFmt w:val="decimal"/>
      <w:lvlText w:val="%1.%2.%3.%4.%5.%6.%7.%8.%9"/>
      <w:lvlJc w:val="left"/>
      <w:pPr>
        <w:tabs>
          <w:tab w:val="num" w:pos="2344"/>
        </w:tabs>
        <w:ind w:left="2344" w:hanging="1584"/>
      </w:pPr>
      <w:rPr>
        <w:rFonts w:hint="default"/>
      </w:rPr>
    </w:lvl>
  </w:abstractNum>
  <w:abstractNum w:abstractNumId="25" w15:restartNumberingAfterBreak="0">
    <w:nsid w:val="7A084AE5"/>
    <w:multiLevelType w:val="hybridMultilevel"/>
    <w:tmpl w:val="0F52FD9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24"/>
  </w:num>
  <w:num w:numId="2">
    <w:abstractNumId w:val="6"/>
  </w:num>
  <w:num w:numId="3">
    <w:abstractNumId w:val="12"/>
  </w:num>
  <w:num w:numId="4">
    <w:abstractNumId w:val="10"/>
  </w:num>
  <w:num w:numId="5">
    <w:abstractNumId w:val="18"/>
    <w:lvlOverride w:ilvl="0">
      <w:startOverride w:val="6"/>
    </w:lvlOverride>
    <w:lvlOverride w:ilvl="1">
      <w:startOverride w:val="37"/>
    </w:lvlOverride>
    <w:lvlOverride w:ilvl="2">
      <w:startOverride w:val="21"/>
    </w:lvlOverride>
    <w:lvlOverride w:ilvl="3">
      <w:startOverride w:val="106"/>
    </w:lvlOverride>
    <w:lvlOverride w:ilvl="4">
      <w:startOverride w:val="118"/>
    </w:lvlOverride>
    <w:lvlOverride w:ilvl="5">
      <w:startOverride w:val="2"/>
    </w:lvlOverride>
    <w:lvlOverride w:ilvl="6">
      <w:startOverride w:val="23"/>
    </w:lvlOverride>
    <w:lvlOverride w:ilvl="7">
      <w:startOverride w:val="1"/>
    </w:lvlOverride>
    <w:lvlOverride w:ilvl="8">
      <w:startOverride w:val="1"/>
    </w:lvlOverride>
  </w:num>
  <w:num w:numId="6">
    <w:abstractNumId w:val="5"/>
  </w:num>
  <w:num w:numId="7">
    <w:abstractNumId w:val="4"/>
  </w:num>
  <w:num w:numId="8">
    <w:abstractNumId w:val="3"/>
  </w:num>
  <w:num w:numId="9">
    <w:abstractNumId w:val="7"/>
  </w:num>
  <w:num w:numId="10">
    <w:abstractNumId w:val="2"/>
  </w:num>
  <w:num w:numId="11">
    <w:abstractNumId w:val="1"/>
  </w:num>
  <w:num w:numId="12">
    <w:abstractNumId w:val="0"/>
  </w:num>
  <w:num w:numId="13">
    <w:abstractNumId w:val="19"/>
  </w:num>
  <w:num w:numId="14">
    <w:abstractNumId w:val="9"/>
  </w:num>
  <w:num w:numId="15">
    <w:abstractNumId w:val="23"/>
  </w:num>
  <w:num w:numId="16">
    <w:abstractNumId w:val="14"/>
  </w:num>
  <w:num w:numId="17">
    <w:abstractNumId w:val="22"/>
  </w:num>
  <w:num w:numId="18">
    <w:abstractNumId w:val="17"/>
  </w:num>
  <w:num w:numId="19">
    <w:abstractNumId w:val="10"/>
    <w:lvlOverride w:ilvl="0">
      <w:startOverride w:val="1"/>
    </w:lvlOverride>
  </w:num>
  <w:num w:numId="20">
    <w:abstractNumId w:val="8"/>
  </w:num>
  <w:num w:numId="21">
    <w:abstractNumId w:val="15"/>
  </w:num>
  <w:num w:numId="22">
    <w:abstractNumId w:val="20"/>
  </w:num>
  <w:num w:numId="23">
    <w:abstractNumId w:val="11"/>
  </w:num>
  <w:num w:numId="24">
    <w:abstractNumId w:val="10"/>
  </w:num>
  <w:num w:numId="25">
    <w:abstractNumId w:val="10"/>
  </w:num>
  <w:num w:numId="26">
    <w:abstractNumId w:val="10"/>
  </w:num>
  <w:num w:numId="27">
    <w:abstractNumId w:val="10"/>
  </w:num>
  <w:num w:numId="28">
    <w:abstractNumId w:val="10"/>
  </w:num>
  <w:num w:numId="29">
    <w:abstractNumId w:val="16"/>
  </w:num>
  <w:num w:numId="30">
    <w:abstractNumId w:val="10"/>
  </w:num>
  <w:num w:numId="31">
    <w:abstractNumId w:val="10"/>
  </w:num>
  <w:num w:numId="32">
    <w:abstractNumId w:val="10"/>
  </w:num>
  <w:num w:numId="33">
    <w:abstractNumId w:val="10"/>
  </w:num>
  <w:num w:numId="34">
    <w:abstractNumId w:val="10"/>
  </w:num>
  <w:num w:numId="35">
    <w:abstractNumId w:val="10"/>
  </w:num>
  <w:num w:numId="36">
    <w:abstractNumId w:val="10"/>
  </w:num>
  <w:num w:numId="37">
    <w:abstractNumId w:val="10"/>
  </w:num>
  <w:num w:numId="38">
    <w:abstractNumId w:val="21"/>
  </w:num>
  <w:num w:numId="39">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335"/>
    <w:rsid w:val="000223A2"/>
    <w:rsid w:val="000225F4"/>
    <w:rsid w:val="000232E3"/>
    <w:rsid w:val="00034143"/>
    <w:rsid w:val="000375C5"/>
    <w:rsid w:val="000378C8"/>
    <w:rsid w:val="00037F76"/>
    <w:rsid w:val="00047E77"/>
    <w:rsid w:val="00047E7A"/>
    <w:rsid w:val="000563BE"/>
    <w:rsid w:val="00081AB9"/>
    <w:rsid w:val="00092615"/>
    <w:rsid w:val="0009361F"/>
    <w:rsid w:val="000A1386"/>
    <w:rsid w:val="000A154C"/>
    <w:rsid w:val="000B1B41"/>
    <w:rsid w:val="000B5504"/>
    <w:rsid w:val="000D12F7"/>
    <w:rsid w:val="000F0B54"/>
    <w:rsid w:val="000F3EC9"/>
    <w:rsid w:val="000F46B8"/>
    <w:rsid w:val="00117F47"/>
    <w:rsid w:val="00121D14"/>
    <w:rsid w:val="0012326B"/>
    <w:rsid w:val="00124C11"/>
    <w:rsid w:val="00125BB6"/>
    <w:rsid w:val="00127E46"/>
    <w:rsid w:val="00137CC9"/>
    <w:rsid w:val="00150D77"/>
    <w:rsid w:val="00153087"/>
    <w:rsid w:val="00156029"/>
    <w:rsid w:val="00164C70"/>
    <w:rsid w:val="00165E58"/>
    <w:rsid w:val="00165F6C"/>
    <w:rsid w:val="00171BC6"/>
    <w:rsid w:val="001B2124"/>
    <w:rsid w:val="001B438F"/>
    <w:rsid w:val="001C1D28"/>
    <w:rsid w:val="001C3EFA"/>
    <w:rsid w:val="001E057B"/>
    <w:rsid w:val="001E6E0B"/>
    <w:rsid w:val="001F3520"/>
    <w:rsid w:val="001F3DE2"/>
    <w:rsid w:val="001F5282"/>
    <w:rsid w:val="001F5CF5"/>
    <w:rsid w:val="001F75CB"/>
    <w:rsid w:val="001F79FB"/>
    <w:rsid w:val="002045E0"/>
    <w:rsid w:val="0020599A"/>
    <w:rsid w:val="0021363A"/>
    <w:rsid w:val="002139BA"/>
    <w:rsid w:val="0021670E"/>
    <w:rsid w:val="002214F4"/>
    <w:rsid w:val="00231A20"/>
    <w:rsid w:val="002332E6"/>
    <w:rsid w:val="00242202"/>
    <w:rsid w:val="0024748E"/>
    <w:rsid w:val="00260442"/>
    <w:rsid w:val="002604D4"/>
    <w:rsid w:val="00266F38"/>
    <w:rsid w:val="0026702D"/>
    <w:rsid w:val="002674B6"/>
    <w:rsid w:val="00281B7D"/>
    <w:rsid w:val="002902DA"/>
    <w:rsid w:val="00290F90"/>
    <w:rsid w:val="00292D9B"/>
    <w:rsid w:val="002A4E14"/>
    <w:rsid w:val="002C495F"/>
    <w:rsid w:val="002C72A4"/>
    <w:rsid w:val="002D39FA"/>
    <w:rsid w:val="002E1AC1"/>
    <w:rsid w:val="002E1C34"/>
    <w:rsid w:val="002E21D8"/>
    <w:rsid w:val="002F0640"/>
    <w:rsid w:val="002F5A5E"/>
    <w:rsid w:val="002F7FE8"/>
    <w:rsid w:val="00313EEF"/>
    <w:rsid w:val="003145AF"/>
    <w:rsid w:val="00321215"/>
    <w:rsid w:val="003276E0"/>
    <w:rsid w:val="0033731F"/>
    <w:rsid w:val="00342E7F"/>
    <w:rsid w:val="00343F9B"/>
    <w:rsid w:val="003575CD"/>
    <w:rsid w:val="00361A53"/>
    <w:rsid w:val="003765EC"/>
    <w:rsid w:val="00382D4C"/>
    <w:rsid w:val="00386616"/>
    <w:rsid w:val="00391606"/>
    <w:rsid w:val="00391E12"/>
    <w:rsid w:val="00394272"/>
    <w:rsid w:val="0039636B"/>
    <w:rsid w:val="003B3B60"/>
    <w:rsid w:val="003B6000"/>
    <w:rsid w:val="003B621B"/>
    <w:rsid w:val="003B7A40"/>
    <w:rsid w:val="003C1BDA"/>
    <w:rsid w:val="003C335A"/>
    <w:rsid w:val="003C390D"/>
    <w:rsid w:val="003D744C"/>
    <w:rsid w:val="003E04F8"/>
    <w:rsid w:val="003E2C20"/>
    <w:rsid w:val="003E6D3A"/>
    <w:rsid w:val="003F209A"/>
    <w:rsid w:val="003F5633"/>
    <w:rsid w:val="003F643F"/>
    <w:rsid w:val="00400657"/>
    <w:rsid w:val="004159C0"/>
    <w:rsid w:val="00432641"/>
    <w:rsid w:val="00437547"/>
    <w:rsid w:val="00445DA4"/>
    <w:rsid w:val="0044751C"/>
    <w:rsid w:val="00450B82"/>
    <w:rsid w:val="0045155A"/>
    <w:rsid w:val="00463CD1"/>
    <w:rsid w:val="00464E4D"/>
    <w:rsid w:val="004659BD"/>
    <w:rsid w:val="00465CF2"/>
    <w:rsid w:val="004733B8"/>
    <w:rsid w:val="00486627"/>
    <w:rsid w:val="00486EA0"/>
    <w:rsid w:val="004A0050"/>
    <w:rsid w:val="004B1260"/>
    <w:rsid w:val="004B1E41"/>
    <w:rsid w:val="004B2D35"/>
    <w:rsid w:val="004B72DA"/>
    <w:rsid w:val="004B7723"/>
    <w:rsid w:val="004C0F4C"/>
    <w:rsid w:val="004D0B16"/>
    <w:rsid w:val="004D1E60"/>
    <w:rsid w:val="004D2C0F"/>
    <w:rsid w:val="004D7A74"/>
    <w:rsid w:val="004E05BB"/>
    <w:rsid w:val="004E093E"/>
    <w:rsid w:val="004E21CD"/>
    <w:rsid w:val="004E2A73"/>
    <w:rsid w:val="004F4A47"/>
    <w:rsid w:val="005161A4"/>
    <w:rsid w:val="00521920"/>
    <w:rsid w:val="00523498"/>
    <w:rsid w:val="00525FD2"/>
    <w:rsid w:val="00526698"/>
    <w:rsid w:val="00533D69"/>
    <w:rsid w:val="005415DE"/>
    <w:rsid w:val="00544AB7"/>
    <w:rsid w:val="00551739"/>
    <w:rsid w:val="00553B1D"/>
    <w:rsid w:val="005622B6"/>
    <w:rsid w:val="0056249B"/>
    <w:rsid w:val="00575B7C"/>
    <w:rsid w:val="005877C3"/>
    <w:rsid w:val="00590215"/>
    <w:rsid w:val="00592C9A"/>
    <w:rsid w:val="005A0245"/>
    <w:rsid w:val="005A1F32"/>
    <w:rsid w:val="005B42A9"/>
    <w:rsid w:val="005C2A39"/>
    <w:rsid w:val="005C5DCB"/>
    <w:rsid w:val="005D38D2"/>
    <w:rsid w:val="005F0D0B"/>
    <w:rsid w:val="005F3C7B"/>
    <w:rsid w:val="00604832"/>
    <w:rsid w:val="00612B3D"/>
    <w:rsid w:val="00624582"/>
    <w:rsid w:val="006313A7"/>
    <w:rsid w:val="00634DCD"/>
    <w:rsid w:val="006372D8"/>
    <w:rsid w:val="006376BE"/>
    <w:rsid w:val="006425E0"/>
    <w:rsid w:val="00643BA0"/>
    <w:rsid w:val="006479B1"/>
    <w:rsid w:val="00653D69"/>
    <w:rsid w:val="00661825"/>
    <w:rsid w:val="00663C3F"/>
    <w:rsid w:val="00665195"/>
    <w:rsid w:val="00670416"/>
    <w:rsid w:val="006719B1"/>
    <w:rsid w:val="006919F7"/>
    <w:rsid w:val="00692264"/>
    <w:rsid w:val="006928DE"/>
    <w:rsid w:val="006A0285"/>
    <w:rsid w:val="006A1C2D"/>
    <w:rsid w:val="006A3C98"/>
    <w:rsid w:val="006A4D77"/>
    <w:rsid w:val="006A66AB"/>
    <w:rsid w:val="006A70C6"/>
    <w:rsid w:val="006A7411"/>
    <w:rsid w:val="006B6E1E"/>
    <w:rsid w:val="006C36D2"/>
    <w:rsid w:val="006C5B9D"/>
    <w:rsid w:val="006D290A"/>
    <w:rsid w:val="006D2A59"/>
    <w:rsid w:val="006E1CFA"/>
    <w:rsid w:val="00701802"/>
    <w:rsid w:val="007030B1"/>
    <w:rsid w:val="00704107"/>
    <w:rsid w:val="00711156"/>
    <w:rsid w:val="007127B1"/>
    <w:rsid w:val="00724EF0"/>
    <w:rsid w:val="00733F30"/>
    <w:rsid w:val="00745448"/>
    <w:rsid w:val="007459A8"/>
    <w:rsid w:val="00746163"/>
    <w:rsid w:val="00751124"/>
    <w:rsid w:val="00754287"/>
    <w:rsid w:val="0076788C"/>
    <w:rsid w:val="0078050D"/>
    <w:rsid w:val="00794816"/>
    <w:rsid w:val="007A2EC0"/>
    <w:rsid w:val="007B0FFA"/>
    <w:rsid w:val="007C0315"/>
    <w:rsid w:val="007C2711"/>
    <w:rsid w:val="007C7F26"/>
    <w:rsid w:val="007D404D"/>
    <w:rsid w:val="007D57A7"/>
    <w:rsid w:val="007E000B"/>
    <w:rsid w:val="007E1B9F"/>
    <w:rsid w:val="007E44E1"/>
    <w:rsid w:val="007F25BD"/>
    <w:rsid w:val="00804111"/>
    <w:rsid w:val="008068D4"/>
    <w:rsid w:val="00807A05"/>
    <w:rsid w:val="0081096C"/>
    <w:rsid w:val="008214FD"/>
    <w:rsid w:val="00832BC8"/>
    <w:rsid w:val="00842335"/>
    <w:rsid w:val="0084284E"/>
    <w:rsid w:val="00843258"/>
    <w:rsid w:val="00850A96"/>
    <w:rsid w:val="008559E0"/>
    <w:rsid w:val="00866C2E"/>
    <w:rsid w:val="00881E2E"/>
    <w:rsid w:val="008965E5"/>
    <w:rsid w:val="008A0E0C"/>
    <w:rsid w:val="008A3CEA"/>
    <w:rsid w:val="008A3D24"/>
    <w:rsid w:val="008B35F6"/>
    <w:rsid w:val="008B62F4"/>
    <w:rsid w:val="008C237E"/>
    <w:rsid w:val="008C56A4"/>
    <w:rsid w:val="008C57FB"/>
    <w:rsid w:val="008D0365"/>
    <w:rsid w:val="008D258C"/>
    <w:rsid w:val="008D2A7E"/>
    <w:rsid w:val="008D3099"/>
    <w:rsid w:val="008D41A3"/>
    <w:rsid w:val="008E3E45"/>
    <w:rsid w:val="008F3B4B"/>
    <w:rsid w:val="008F5683"/>
    <w:rsid w:val="008F6FEF"/>
    <w:rsid w:val="009020E8"/>
    <w:rsid w:val="00903F72"/>
    <w:rsid w:val="009119D3"/>
    <w:rsid w:val="00924177"/>
    <w:rsid w:val="00925F23"/>
    <w:rsid w:val="00931882"/>
    <w:rsid w:val="00942157"/>
    <w:rsid w:val="00956249"/>
    <w:rsid w:val="009657EF"/>
    <w:rsid w:val="00977530"/>
    <w:rsid w:val="00983494"/>
    <w:rsid w:val="009852F5"/>
    <w:rsid w:val="0099284F"/>
    <w:rsid w:val="0099724B"/>
    <w:rsid w:val="009A6DC9"/>
    <w:rsid w:val="009C0E2D"/>
    <w:rsid w:val="009C1312"/>
    <w:rsid w:val="009C7AEF"/>
    <w:rsid w:val="009D73EC"/>
    <w:rsid w:val="009E6CFC"/>
    <w:rsid w:val="009E768D"/>
    <w:rsid w:val="009E78A0"/>
    <w:rsid w:val="009F0885"/>
    <w:rsid w:val="009F316F"/>
    <w:rsid w:val="009F5E0B"/>
    <w:rsid w:val="009F765A"/>
    <w:rsid w:val="00A02FEE"/>
    <w:rsid w:val="00A05AAD"/>
    <w:rsid w:val="00A06FB7"/>
    <w:rsid w:val="00A10FA5"/>
    <w:rsid w:val="00A119A5"/>
    <w:rsid w:val="00A12EB6"/>
    <w:rsid w:val="00A138B8"/>
    <w:rsid w:val="00A152C1"/>
    <w:rsid w:val="00A25771"/>
    <w:rsid w:val="00A3231A"/>
    <w:rsid w:val="00A3521C"/>
    <w:rsid w:val="00A3684B"/>
    <w:rsid w:val="00A36DF5"/>
    <w:rsid w:val="00A6202A"/>
    <w:rsid w:val="00A629A2"/>
    <w:rsid w:val="00A67995"/>
    <w:rsid w:val="00A7108E"/>
    <w:rsid w:val="00A76148"/>
    <w:rsid w:val="00A80B8F"/>
    <w:rsid w:val="00A86962"/>
    <w:rsid w:val="00A87D05"/>
    <w:rsid w:val="00A97640"/>
    <w:rsid w:val="00A97BEF"/>
    <w:rsid w:val="00AA00A2"/>
    <w:rsid w:val="00AA7502"/>
    <w:rsid w:val="00AB3BFA"/>
    <w:rsid w:val="00AB7DA5"/>
    <w:rsid w:val="00AD0783"/>
    <w:rsid w:val="00AD6ED9"/>
    <w:rsid w:val="00AD7463"/>
    <w:rsid w:val="00AF05FA"/>
    <w:rsid w:val="00AF16A7"/>
    <w:rsid w:val="00B00905"/>
    <w:rsid w:val="00B02E01"/>
    <w:rsid w:val="00B139CB"/>
    <w:rsid w:val="00B16CFC"/>
    <w:rsid w:val="00B172DC"/>
    <w:rsid w:val="00B1748E"/>
    <w:rsid w:val="00B22D51"/>
    <w:rsid w:val="00B358C3"/>
    <w:rsid w:val="00B45AE3"/>
    <w:rsid w:val="00B46332"/>
    <w:rsid w:val="00B5375C"/>
    <w:rsid w:val="00B54B5C"/>
    <w:rsid w:val="00B5613C"/>
    <w:rsid w:val="00B6729B"/>
    <w:rsid w:val="00B67834"/>
    <w:rsid w:val="00B83464"/>
    <w:rsid w:val="00B96EE5"/>
    <w:rsid w:val="00B970A6"/>
    <w:rsid w:val="00BA2E24"/>
    <w:rsid w:val="00BA686F"/>
    <w:rsid w:val="00BB0164"/>
    <w:rsid w:val="00BB0BC8"/>
    <w:rsid w:val="00BC08AF"/>
    <w:rsid w:val="00BC33DA"/>
    <w:rsid w:val="00BE1436"/>
    <w:rsid w:val="00BE5D29"/>
    <w:rsid w:val="00BF186C"/>
    <w:rsid w:val="00C04CF0"/>
    <w:rsid w:val="00C114BE"/>
    <w:rsid w:val="00C11B91"/>
    <w:rsid w:val="00C13452"/>
    <w:rsid w:val="00C25486"/>
    <w:rsid w:val="00C320BC"/>
    <w:rsid w:val="00C35820"/>
    <w:rsid w:val="00C43664"/>
    <w:rsid w:val="00C54FA8"/>
    <w:rsid w:val="00C577AD"/>
    <w:rsid w:val="00C66C2E"/>
    <w:rsid w:val="00C73CAA"/>
    <w:rsid w:val="00C74160"/>
    <w:rsid w:val="00C76B48"/>
    <w:rsid w:val="00C80BAA"/>
    <w:rsid w:val="00C95992"/>
    <w:rsid w:val="00CA7980"/>
    <w:rsid w:val="00CB39ED"/>
    <w:rsid w:val="00CB5F6A"/>
    <w:rsid w:val="00CC326C"/>
    <w:rsid w:val="00CD2246"/>
    <w:rsid w:val="00CD2910"/>
    <w:rsid w:val="00CD78BA"/>
    <w:rsid w:val="00CE05E3"/>
    <w:rsid w:val="00CE233E"/>
    <w:rsid w:val="00CE421B"/>
    <w:rsid w:val="00CF4A93"/>
    <w:rsid w:val="00D00DDF"/>
    <w:rsid w:val="00D015AC"/>
    <w:rsid w:val="00D03660"/>
    <w:rsid w:val="00D13C75"/>
    <w:rsid w:val="00D13DF4"/>
    <w:rsid w:val="00D17E57"/>
    <w:rsid w:val="00D2044A"/>
    <w:rsid w:val="00D26D98"/>
    <w:rsid w:val="00D37A47"/>
    <w:rsid w:val="00D40CFD"/>
    <w:rsid w:val="00D446A0"/>
    <w:rsid w:val="00D463A7"/>
    <w:rsid w:val="00D53BE4"/>
    <w:rsid w:val="00D56ACE"/>
    <w:rsid w:val="00D5727E"/>
    <w:rsid w:val="00D63601"/>
    <w:rsid w:val="00D6441F"/>
    <w:rsid w:val="00D77402"/>
    <w:rsid w:val="00D94D8E"/>
    <w:rsid w:val="00D966A0"/>
    <w:rsid w:val="00DA0028"/>
    <w:rsid w:val="00DA2D31"/>
    <w:rsid w:val="00DA7AAC"/>
    <w:rsid w:val="00DB49DD"/>
    <w:rsid w:val="00DB5279"/>
    <w:rsid w:val="00DB6E42"/>
    <w:rsid w:val="00DC3D79"/>
    <w:rsid w:val="00DC4FFF"/>
    <w:rsid w:val="00DD425D"/>
    <w:rsid w:val="00DD75C5"/>
    <w:rsid w:val="00DD7BFA"/>
    <w:rsid w:val="00DE0060"/>
    <w:rsid w:val="00DF1254"/>
    <w:rsid w:val="00DF31AB"/>
    <w:rsid w:val="00E0214B"/>
    <w:rsid w:val="00E052BA"/>
    <w:rsid w:val="00E07D72"/>
    <w:rsid w:val="00E45414"/>
    <w:rsid w:val="00E529C6"/>
    <w:rsid w:val="00E60929"/>
    <w:rsid w:val="00E61DEE"/>
    <w:rsid w:val="00E67CD5"/>
    <w:rsid w:val="00E7046E"/>
    <w:rsid w:val="00E73B90"/>
    <w:rsid w:val="00E76B02"/>
    <w:rsid w:val="00EB2C26"/>
    <w:rsid w:val="00EB3D0D"/>
    <w:rsid w:val="00EB55C1"/>
    <w:rsid w:val="00EC143C"/>
    <w:rsid w:val="00EC7FC4"/>
    <w:rsid w:val="00ED0C3A"/>
    <w:rsid w:val="00ED14BA"/>
    <w:rsid w:val="00ED7CA4"/>
    <w:rsid w:val="00EE185F"/>
    <w:rsid w:val="00EE261D"/>
    <w:rsid w:val="00EF61A2"/>
    <w:rsid w:val="00EF7E5A"/>
    <w:rsid w:val="00F0609D"/>
    <w:rsid w:val="00F11330"/>
    <w:rsid w:val="00F1322A"/>
    <w:rsid w:val="00F1579E"/>
    <w:rsid w:val="00F178A7"/>
    <w:rsid w:val="00F20ACE"/>
    <w:rsid w:val="00F2294A"/>
    <w:rsid w:val="00F272D0"/>
    <w:rsid w:val="00F323CB"/>
    <w:rsid w:val="00F35260"/>
    <w:rsid w:val="00F37856"/>
    <w:rsid w:val="00F42E06"/>
    <w:rsid w:val="00F45D85"/>
    <w:rsid w:val="00F478C6"/>
    <w:rsid w:val="00F50608"/>
    <w:rsid w:val="00F50CAB"/>
    <w:rsid w:val="00F529B6"/>
    <w:rsid w:val="00F53A1A"/>
    <w:rsid w:val="00F652F7"/>
    <w:rsid w:val="00F72380"/>
    <w:rsid w:val="00F818CF"/>
    <w:rsid w:val="00F82368"/>
    <w:rsid w:val="00F831D7"/>
    <w:rsid w:val="00F83BB8"/>
    <w:rsid w:val="00F8412C"/>
    <w:rsid w:val="00F90255"/>
    <w:rsid w:val="00F971F5"/>
    <w:rsid w:val="00FA2052"/>
    <w:rsid w:val="00FB12E1"/>
    <w:rsid w:val="00FC56EF"/>
    <w:rsid w:val="00FD2225"/>
    <w:rsid w:val="00FD33BC"/>
    <w:rsid w:val="00FD55CE"/>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8C79237"/>
  <w15:chartTrackingRefBased/>
  <w15:docId w15:val="{6E8917E4-B1BE-4019-AE50-5C66F531E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qFormat="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335"/>
    <w:pPr>
      <w:spacing w:after="0" w:line="240" w:lineRule="auto"/>
    </w:pPr>
    <w:rPr>
      <w:rFonts w:ascii="Calibri" w:eastAsia="Times New Roman" w:hAnsi="Calibri" w:cs="Times New Roman"/>
      <w:szCs w:val="24"/>
    </w:rPr>
  </w:style>
  <w:style w:type="paragraph" w:styleId="Heading1">
    <w:name w:val="heading 1"/>
    <w:aliases w:val="numbered,h1"/>
    <w:next w:val="BodyText1"/>
    <w:link w:val="Heading1Char"/>
    <w:qFormat/>
    <w:rsid w:val="005415DE"/>
    <w:pPr>
      <w:keepNext/>
      <w:pageBreakBefore/>
      <w:widowControl w:val="0"/>
      <w:numPr>
        <w:numId w:val="4"/>
      </w:numPr>
      <w:tabs>
        <w:tab w:val="left" w:pos="567"/>
      </w:tabs>
      <w:spacing w:before="360" w:after="0" w:line="312" w:lineRule="auto"/>
      <w:outlineLvl w:val="0"/>
    </w:pPr>
    <w:rPr>
      <w:rFonts w:ascii="Arial Narrow" w:eastAsia="Times New Roman" w:hAnsi="Arial Narrow" w:cs="Arial"/>
      <w:bCs/>
      <w:smallCaps/>
      <w:spacing w:val="40"/>
      <w:kern w:val="32"/>
      <w:sz w:val="44"/>
      <w:szCs w:val="36"/>
    </w:rPr>
  </w:style>
  <w:style w:type="paragraph" w:styleId="Heading2">
    <w:name w:val="heading 2"/>
    <w:basedOn w:val="Heading1"/>
    <w:next w:val="Normal"/>
    <w:link w:val="Heading2Char"/>
    <w:qFormat/>
    <w:rsid w:val="00842335"/>
    <w:pPr>
      <w:pageBreakBefore w:val="0"/>
      <w:spacing w:before="480" w:after="60"/>
      <w:outlineLvl w:val="1"/>
    </w:pPr>
    <w:rPr>
      <w:bCs w:val="0"/>
      <w:iCs/>
      <w:caps/>
      <w:spacing w:val="0"/>
      <w:kern w:val="0"/>
      <w:sz w:val="34"/>
      <w:szCs w:val="34"/>
    </w:rPr>
  </w:style>
  <w:style w:type="paragraph" w:styleId="Heading3">
    <w:name w:val="heading 3"/>
    <w:basedOn w:val="Heading2"/>
    <w:next w:val="Normal"/>
    <w:link w:val="Heading3Char"/>
    <w:qFormat/>
    <w:rsid w:val="00842335"/>
    <w:pPr>
      <w:numPr>
        <w:numId w:val="0"/>
      </w:numPr>
      <w:spacing w:before="320" w:after="100"/>
      <w:outlineLvl w:val="2"/>
    </w:pPr>
    <w:rPr>
      <w:bCs/>
      <w:sz w:val="28"/>
      <w:szCs w:val="28"/>
    </w:rPr>
  </w:style>
  <w:style w:type="paragraph" w:styleId="Heading4">
    <w:name w:val="heading 4"/>
    <w:basedOn w:val="Heading3"/>
    <w:next w:val="Normal"/>
    <w:link w:val="Heading4Char"/>
    <w:qFormat/>
    <w:rsid w:val="00842335"/>
    <w:pPr>
      <w:tabs>
        <w:tab w:val="num" w:pos="864"/>
      </w:tabs>
      <w:spacing w:before="280" w:after="80"/>
      <w:ind w:left="340" w:hanging="340"/>
      <w:outlineLvl w:val="3"/>
    </w:pPr>
    <w:rPr>
      <w:bCs w:val="0"/>
      <w:sz w:val="24"/>
      <w:szCs w:val="24"/>
    </w:rPr>
  </w:style>
  <w:style w:type="paragraph" w:styleId="Heading5">
    <w:name w:val="heading 5"/>
    <w:basedOn w:val="Normal"/>
    <w:next w:val="BodyText"/>
    <w:link w:val="Heading5Char"/>
    <w:unhideWhenUsed/>
    <w:qFormat/>
    <w:rsid w:val="00842335"/>
    <w:pPr>
      <w:keepNext/>
      <w:widowControl w:val="0"/>
      <w:spacing w:before="280" w:after="80" w:line="312" w:lineRule="auto"/>
      <w:ind w:left="567" w:hanging="567"/>
      <w:outlineLvl w:val="4"/>
    </w:pPr>
    <w:rPr>
      <w:rFonts w:ascii="Arial Narrow" w:hAnsi="Arial Narrow" w:cs="Arial"/>
      <w:smallCaps/>
      <w:spacing w:val="20"/>
      <w:sz w:val="26"/>
    </w:rPr>
  </w:style>
  <w:style w:type="paragraph" w:styleId="Heading6">
    <w:name w:val="heading 6"/>
    <w:basedOn w:val="Normal"/>
    <w:next w:val="Normal"/>
    <w:link w:val="Heading6Char"/>
    <w:unhideWhenUsed/>
    <w:qFormat/>
    <w:rsid w:val="00842335"/>
    <w:pPr>
      <w:keepNext/>
      <w:widowControl w:val="0"/>
      <w:spacing w:before="280" w:after="80" w:line="312" w:lineRule="auto"/>
      <w:ind w:left="567" w:hanging="567"/>
      <w:outlineLvl w:val="5"/>
    </w:pPr>
    <w:rPr>
      <w:rFonts w:ascii="Arial Narrow" w:hAnsi="Arial Narrow" w:cs="Arial"/>
      <w:smallCaps/>
      <w:spacing w:val="20"/>
      <w:szCs w:val="22"/>
    </w:rPr>
  </w:style>
  <w:style w:type="paragraph" w:styleId="Heading7">
    <w:name w:val="heading 7"/>
    <w:basedOn w:val="Normal"/>
    <w:next w:val="Normal"/>
    <w:link w:val="Heading7Char"/>
    <w:semiHidden/>
    <w:unhideWhenUsed/>
    <w:qFormat/>
    <w:rsid w:val="00842335"/>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84233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84233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Char,h1 Char"/>
    <w:basedOn w:val="DefaultParagraphFont"/>
    <w:link w:val="Heading1"/>
    <w:rsid w:val="005415DE"/>
    <w:rPr>
      <w:rFonts w:ascii="Arial Narrow" w:eastAsia="Times New Roman" w:hAnsi="Arial Narrow" w:cs="Arial"/>
      <w:bCs/>
      <w:smallCaps/>
      <w:spacing w:val="40"/>
      <w:kern w:val="32"/>
      <w:sz w:val="44"/>
      <w:szCs w:val="36"/>
    </w:rPr>
  </w:style>
  <w:style w:type="character" w:customStyle="1" w:styleId="Heading2Char">
    <w:name w:val="Heading 2 Char"/>
    <w:basedOn w:val="DefaultParagraphFont"/>
    <w:link w:val="Heading2"/>
    <w:rsid w:val="00842335"/>
    <w:rPr>
      <w:rFonts w:ascii="Arial Narrow" w:eastAsia="Times New Roman" w:hAnsi="Arial Narrow" w:cs="Arial"/>
      <w:iCs/>
      <w:caps/>
      <w:smallCaps/>
      <w:sz w:val="34"/>
      <w:szCs w:val="34"/>
    </w:rPr>
  </w:style>
  <w:style w:type="character" w:customStyle="1" w:styleId="Heading3Char">
    <w:name w:val="Heading 3 Char"/>
    <w:basedOn w:val="DefaultParagraphFont"/>
    <w:link w:val="Heading3"/>
    <w:rsid w:val="00842335"/>
    <w:rPr>
      <w:rFonts w:ascii="Arial Narrow" w:eastAsia="Times New Roman" w:hAnsi="Arial Narrow" w:cs="Arial"/>
      <w:bCs/>
      <w:iCs/>
      <w:caps/>
      <w:smallCaps/>
      <w:sz w:val="28"/>
      <w:szCs w:val="28"/>
    </w:rPr>
  </w:style>
  <w:style w:type="character" w:customStyle="1" w:styleId="Heading4Char">
    <w:name w:val="Heading 4 Char"/>
    <w:basedOn w:val="DefaultParagraphFont"/>
    <w:link w:val="Heading4"/>
    <w:rsid w:val="00842335"/>
    <w:rPr>
      <w:rFonts w:ascii="Arial Narrow" w:eastAsia="Times New Roman" w:hAnsi="Arial Narrow" w:cs="Arial"/>
      <w:iCs/>
      <w:caps/>
      <w:smallCaps/>
      <w:sz w:val="24"/>
      <w:szCs w:val="24"/>
    </w:rPr>
  </w:style>
  <w:style w:type="character" w:customStyle="1" w:styleId="Heading5Char">
    <w:name w:val="Heading 5 Char"/>
    <w:basedOn w:val="DefaultParagraphFont"/>
    <w:link w:val="Heading5"/>
    <w:rsid w:val="00842335"/>
    <w:rPr>
      <w:rFonts w:ascii="Arial Narrow" w:eastAsia="Times New Roman" w:hAnsi="Arial Narrow" w:cs="Arial"/>
      <w:smallCaps/>
      <w:spacing w:val="20"/>
      <w:sz w:val="26"/>
      <w:szCs w:val="24"/>
    </w:rPr>
  </w:style>
  <w:style w:type="character" w:customStyle="1" w:styleId="Heading6Char">
    <w:name w:val="Heading 6 Char"/>
    <w:basedOn w:val="DefaultParagraphFont"/>
    <w:link w:val="Heading6"/>
    <w:rsid w:val="00842335"/>
    <w:rPr>
      <w:rFonts w:ascii="Arial Narrow" w:eastAsia="Times New Roman" w:hAnsi="Arial Narrow" w:cs="Arial"/>
      <w:smallCaps/>
      <w:spacing w:val="20"/>
    </w:rPr>
  </w:style>
  <w:style w:type="character" w:customStyle="1" w:styleId="Heading7Char">
    <w:name w:val="Heading 7 Char"/>
    <w:basedOn w:val="DefaultParagraphFont"/>
    <w:link w:val="Heading7"/>
    <w:semiHidden/>
    <w:rsid w:val="00842335"/>
    <w:rPr>
      <w:rFonts w:asciiTheme="majorHAnsi" w:eastAsiaTheme="majorEastAsia" w:hAnsiTheme="majorHAnsi" w:cstheme="majorBidi"/>
      <w:i/>
      <w:iCs/>
      <w:color w:val="1F3763" w:themeColor="accent1" w:themeShade="7F"/>
      <w:szCs w:val="24"/>
    </w:rPr>
  </w:style>
  <w:style w:type="character" w:customStyle="1" w:styleId="Heading8Char">
    <w:name w:val="Heading 8 Char"/>
    <w:basedOn w:val="DefaultParagraphFont"/>
    <w:link w:val="Heading8"/>
    <w:semiHidden/>
    <w:rsid w:val="0084233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842335"/>
    <w:rPr>
      <w:rFonts w:asciiTheme="majorHAnsi" w:eastAsiaTheme="majorEastAsia" w:hAnsiTheme="majorHAnsi" w:cstheme="majorBidi"/>
      <w:i/>
      <w:iCs/>
      <w:color w:val="272727" w:themeColor="text1" w:themeTint="D8"/>
      <w:sz w:val="21"/>
      <w:szCs w:val="21"/>
    </w:rPr>
  </w:style>
  <w:style w:type="paragraph" w:customStyle="1" w:styleId="Committeename">
    <w:name w:val="Committee name"/>
    <w:rsid w:val="00842335"/>
    <w:pPr>
      <w:spacing w:before="600" w:after="600" w:line="480" w:lineRule="exact"/>
      <w:jc w:val="right"/>
    </w:pPr>
    <w:rPr>
      <w:rFonts w:ascii="Arial Narrow" w:eastAsia="Times New Roman" w:hAnsi="Arial Narrow" w:cs="Times New Roman"/>
      <w:smallCaps/>
      <w:spacing w:val="40"/>
      <w:sz w:val="28"/>
      <w:szCs w:val="28"/>
    </w:rPr>
  </w:style>
  <w:style w:type="paragraph" w:customStyle="1" w:styleId="Reporttitle">
    <w:name w:val="Report title"/>
    <w:basedOn w:val="Normal"/>
    <w:next w:val="Committeename"/>
    <w:rsid w:val="00842335"/>
    <w:pPr>
      <w:spacing w:before="320" w:after="600" w:line="500" w:lineRule="exact"/>
      <w:jc w:val="right"/>
    </w:pPr>
    <w:rPr>
      <w:rFonts w:ascii="Arial Narrow" w:hAnsi="Arial Narrow"/>
      <w:smallCaps/>
      <w:spacing w:val="4"/>
      <w:kern w:val="42"/>
      <w:sz w:val="42"/>
      <w:szCs w:val="36"/>
    </w:rPr>
  </w:style>
  <w:style w:type="paragraph" w:customStyle="1" w:styleId="Reportnumber">
    <w:name w:val="Report number"/>
    <w:basedOn w:val="Reporttitle"/>
    <w:rsid w:val="00842335"/>
    <w:pPr>
      <w:spacing w:before="1100" w:after="0"/>
    </w:pPr>
    <w:rPr>
      <w:spacing w:val="20"/>
      <w:sz w:val="24"/>
      <w:szCs w:val="20"/>
    </w:rPr>
  </w:style>
  <w:style w:type="paragraph" w:styleId="ListNumber3">
    <w:name w:val="List Number 3"/>
    <w:basedOn w:val="Normal"/>
    <w:rsid w:val="00842335"/>
    <w:pPr>
      <w:numPr>
        <w:ilvl w:val="1"/>
        <w:numId w:val="1"/>
      </w:numPr>
      <w:tabs>
        <w:tab w:val="num" w:pos="964"/>
      </w:tabs>
      <w:spacing w:before="40" w:after="60" w:line="288" w:lineRule="auto"/>
      <w:ind w:left="964"/>
    </w:pPr>
  </w:style>
  <w:style w:type="paragraph" w:customStyle="1" w:styleId="Headinglevel3">
    <w:name w:val="Heading level 3"/>
    <w:basedOn w:val="Headinglevel2"/>
    <w:next w:val="BodyText1"/>
    <w:link w:val="Headinglevel3Char"/>
    <w:rsid w:val="00842335"/>
    <w:pPr>
      <w:numPr>
        <w:ilvl w:val="2"/>
      </w:numPr>
      <w:spacing w:before="320" w:after="100"/>
    </w:pPr>
    <w:rPr>
      <w:iCs w:val="0"/>
      <w:sz w:val="30"/>
      <w:szCs w:val="28"/>
    </w:rPr>
  </w:style>
  <w:style w:type="paragraph" w:styleId="ListBullet">
    <w:name w:val="List Bullet"/>
    <w:link w:val="ListBulletChar"/>
    <w:autoRedefine/>
    <w:qFormat/>
    <w:rsid w:val="00842335"/>
    <w:pPr>
      <w:spacing w:before="40" w:after="60" w:line="288" w:lineRule="auto"/>
      <w:ind w:left="567"/>
    </w:pPr>
    <w:rPr>
      <w:rFonts w:ascii="Calibri" w:eastAsia="Times New Roman" w:hAnsi="Calibri" w:cs="Times New Roman"/>
    </w:rPr>
  </w:style>
  <w:style w:type="paragraph" w:styleId="ListBullet2">
    <w:name w:val="List Bullet 2"/>
    <w:autoRedefine/>
    <w:rsid w:val="00842335"/>
    <w:pPr>
      <w:numPr>
        <w:numId w:val="2"/>
      </w:numPr>
      <w:spacing w:after="60" w:line="288" w:lineRule="auto"/>
      <w:ind w:left="1248" w:hanging="284"/>
    </w:pPr>
    <w:rPr>
      <w:rFonts w:ascii="Calibri" w:eastAsia="Times New Roman" w:hAnsi="Calibri" w:cs="Times New Roman"/>
      <w:szCs w:val="24"/>
    </w:rPr>
  </w:style>
  <w:style w:type="paragraph" w:styleId="Caption">
    <w:name w:val="caption"/>
    <w:next w:val="Normal"/>
    <w:qFormat/>
    <w:rsid w:val="00842335"/>
    <w:pPr>
      <w:keepNext/>
      <w:spacing w:before="400" w:after="60" w:line="312" w:lineRule="auto"/>
      <w:ind w:left="680"/>
    </w:pPr>
    <w:rPr>
      <w:rFonts w:ascii="Arial Narrow" w:eastAsia="Times New Roman" w:hAnsi="Arial Narrow" w:cs="Times New Roman"/>
      <w:bCs/>
      <w:kern w:val="26"/>
      <w:sz w:val="26"/>
      <w:szCs w:val="20"/>
    </w:rPr>
  </w:style>
  <w:style w:type="paragraph" w:styleId="TOC4">
    <w:name w:val="toc 4"/>
    <w:basedOn w:val="Normal"/>
    <w:next w:val="Normal"/>
    <w:autoRedefine/>
    <w:uiPriority w:val="39"/>
    <w:rsid w:val="00842335"/>
    <w:pPr>
      <w:ind w:left="720"/>
    </w:pPr>
    <w:rPr>
      <w:rFonts w:ascii="Arial Narrow" w:hAnsi="Arial Narrow"/>
    </w:rPr>
  </w:style>
  <w:style w:type="paragraph" w:customStyle="1" w:styleId="Prelimminorheading">
    <w:name w:val="Prelim minor heading"/>
    <w:basedOn w:val="Heading3"/>
    <w:link w:val="PrelimminorheadingChar"/>
    <w:rsid w:val="00842335"/>
    <w:rPr>
      <w:caps w:val="0"/>
      <w:spacing w:val="2"/>
    </w:rPr>
  </w:style>
  <w:style w:type="paragraph" w:customStyle="1" w:styleId="Bodytextnonumbering">
    <w:name w:val="Body text no numbering"/>
    <w:basedOn w:val="Normal"/>
    <w:rsid w:val="00842335"/>
    <w:pPr>
      <w:keepNext/>
      <w:spacing w:before="160" w:after="80" w:line="288" w:lineRule="auto"/>
      <w:outlineLvl w:val="1"/>
    </w:pPr>
    <w:rPr>
      <w:rFonts w:cs="Arial"/>
      <w:iCs/>
    </w:rPr>
  </w:style>
  <w:style w:type="paragraph" w:customStyle="1" w:styleId="Prelimmajorheading">
    <w:name w:val="Prelim major heading"/>
    <w:basedOn w:val="Heading1"/>
    <w:rsid w:val="00842335"/>
    <w:pPr>
      <w:spacing w:after="720"/>
      <w:ind w:left="680"/>
    </w:pPr>
    <w:rPr>
      <w:b/>
      <w:spacing w:val="20"/>
      <w:sz w:val="34"/>
      <w:szCs w:val="46"/>
    </w:rPr>
  </w:style>
  <w:style w:type="character" w:styleId="Hyperlink">
    <w:name w:val="Hyperlink"/>
    <w:uiPriority w:val="99"/>
    <w:rsid w:val="00842335"/>
    <w:rPr>
      <w:color w:val="0000FF"/>
      <w:u w:val="single"/>
    </w:rPr>
  </w:style>
  <w:style w:type="paragraph" w:styleId="TOC1">
    <w:name w:val="toc 1"/>
    <w:next w:val="Normal"/>
    <w:autoRedefine/>
    <w:uiPriority w:val="39"/>
    <w:rsid w:val="00842335"/>
    <w:pPr>
      <w:tabs>
        <w:tab w:val="right" w:leader="dot" w:pos="9061"/>
      </w:tabs>
      <w:spacing w:before="180" w:after="40" w:line="312" w:lineRule="auto"/>
      <w:ind w:left="1020" w:hanging="340"/>
    </w:pPr>
    <w:rPr>
      <w:rFonts w:ascii="Calibri" w:eastAsia="Times New Roman" w:hAnsi="Calibri" w:cs="Calibri"/>
      <w:b/>
      <w:smallCaps/>
      <w:noProof/>
      <w:spacing w:val="40"/>
      <w:sz w:val="24"/>
    </w:rPr>
  </w:style>
  <w:style w:type="paragraph" w:styleId="TOC2">
    <w:name w:val="toc 2"/>
    <w:autoRedefine/>
    <w:uiPriority w:val="39"/>
    <w:rsid w:val="00842335"/>
    <w:pPr>
      <w:tabs>
        <w:tab w:val="left" w:pos="1680"/>
        <w:tab w:val="right" w:leader="dot" w:pos="9061"/>
      </w:tabs>
      <w:spacing w:before="40" w:after="0" w:line="312" w:lineRule="auto"/>
      <w:ind w:left="1588" w:hanging="567"/>
    </w:pPr>
    <w:rPr>
      <w:rFonts w:ascii="Calibri" w:eastAsia="Times New Roman" w:hAnsi="Calibri" w:cs="Calibri"/>
      <w:b/>
      <w:noProof/>
      <w:szCs w:val="24"/>
    </w:rPr>
  </w:style>
  <w:style w:type="paragraph" w:styleId="Header">
    <w:name w:val="header"/>
    <w:link w:val="HeaderChar"/>
    <w:uiPriority w:val="99"/>
    <w:rsid w:val="00842335"/>
    <w:pPr>
      <w:tabs>
        <w:tab w:val="right" w:pos="8640"/>
      </w:tabs>
      <w:spacing w:after="0" w:line="240" w:lineRule="auto"/>
      <w:ind w:left="680" w:hanging="680"/>
    </w:pPr>
    <w:rPr>
      <w:rFonts w:ascii="Calibri" w:eastAsia="Times New Roman" w:hAnsi="Calibri" w:cs="Times New Roman"/>
      <w:caps/>
      <w:spacing w:val="40"/>
      <w:sz w:val="20"/>
      <w:szCs w:val="14"/>
    </w:rPr>
  </w:style>
  <w:style w:type="character" w:customStyle="1" w:styleId="HeaderChar">
    <w:name w:val="Header Char"/>
    <w:basedOn w:val="DefaultParagraphFont"/>
    <w:link w:val="Header"/>
    <w:uiPriority w:val="99"/>
    <w:rsid w:val="00842335"/>
    <w:rPr>
      <w:rFonts w:ascii="Calibri" w:eastAsia="Times New Roman" w:hAnsi="Calibri" w:cs="Times New Roman"/>
      <w:caps/>
      <w:spacing w:val="40"/>
      <w:sz w:val="20"/>
      <w:szCs w:val="14"/>
    </w:rPr>
  </w:style>
  <w:style w:type="paragraph" w:styleId="TableofFigures">
    <w:name w:val="table of figures"/>
    <w:next w:val="Normal"/>
    <w:semiHidden/>
    <w:rsid w:val="00842335"/>
    <w:pPr>
      <w:spacing w:before="240" w:after="0" w:line="240" w:lineRule="auto"/>
      <w:ind w:left="1162" w:hanging="482"/>
    </w:pPr>
    <w:rPr>
      <w:rFonts w:ascii="Arial" w:eastAsia="Times New Roman" w:hAnsi="Arial" w:cs="Times New Roman"/>
      <w:b/>
      <w:sz w:val="20"/>
      <w:szCs w:val="20"/>
    </w:rPr>
  </w:style>
  <w:style w:type="paragraph" w:styleId="Footer">
    <w:name w:val="footer"/>
    <w:basedOn w:val="Normal"/>
    <w:link w:val="FooterChar"/>
    <w:uiPriority w:val="99"/>
    <w:rsid w:val="00842335"/>
    <w:pPr>
      <w:tabs>
        <w:tab w:val="center" w:pos="4320"/>
        <w:tab w:val="right" w:pos="8640"/>
      </w:tabs>
    </w:pPr>
    <w:rPr>
      <w:sz w:val="20"/>
    </w:rPr>
  </w:style>
  <w:style w:type="character" w:customStyle="1" w:styleId="FooterChar">
    <w:name w:val="Footer Char"/>
    <w:basedOn w:val="DefaultParagraphFont"/>
    <w:link w:val="Footer"/>
    <w:uiPriority w:val="99"/>
    <w:rsid w:val="00842335"/>
    <w:rPr>
      <w:rFonts w:ascii="Calibri" w:eastAsia="Times New Roman" w:hAnsi="Calibri" w:cs="Times New Roman"/>
      <w:sz w:val="20"/>
      <w:szCs w:val="24"/>
    </w:rPr>
  </w:style>
  <w:style w:type="character" w:styleId="PageNumber">
    <w:name w:val="page number"/>
    <w:rsid w:val="00842335"/>
    <w:rPr>
      <w:rFonts w:ascii="Calibri" w:hAnsi="Calibri"/>
      <w:sz w:val="20"/>
      <w:szCs w:val="18"/>
    </w:rPr>
  </w:style>
  <w:style w:type="paragraph" w:styleId="TOC5">
    <w:name w:val="toc 5"/>
    <w:basedOn w:val="Normal"/>
    <w:next w:val="Normal"/>
    <w:autoRedefine/>
    <w:uiPriority w:val="39"/>
    <w:rsid w:val="00842335"/>
    <w:pPr>
      <w:ind w:left="960"/>
    </w:pPr>
    <w:rPr>
      <w:rFonts w:ascii="Arial Narrow" w:hAnsi="Arial Narrow"/>
    </w:rPr>
  </w:style>
  <w:style w:type="paragraph" w:customStyle="1" w:styleId="AppendixHeading1">
    <w:name w:val="Appendix Heading 1"/>
    <w:next w:val="Bodytextnonumbering"/>
    <w:rsid w:val="00842335"/>
    <w:pPr>
      <w:keepNext/>
      <w:pageBreakBefore/>
      <w:numPr>
        <w:ilvl w:val="7"/>
        <w:numId w:val="4"/>
      </w:numPr>
      <w:spacing w:before="720" w:after="180" w:line="312" w:lineRule="auto"/>
    </w:pPr>
    <w:rPr>
      <w:rFonts w:ascii="Arial Narrow" w:eastAsia="Times New Roman" w:hAnsi="Arial Narrow" w:cs="Times New Roman"/>
      <w:b/>
      <w:smallCaps/>
      <w:sz w:val="36"/>
      <w:szCs w:val="24"/>
    </w:rPr>
  </w:style>
  <w:style w:type="paragraph" w:customStyle="1" w:styleId="AppendixHeading2">
    <w:name w:val="Appendix Heading 2"/>
    <w:next w:val="Bodytextnonumbering"/>
    <w:rsid w:val="00842335"/>
    <w:pPr>
      <w:spacing w:before="480" w:after="60" w:line="312" w:lineRule="auto"/>
    </w:pPr>
    <w:rPr>
      <w:rFonts w:ascii="Arial Narrow" w:eastAsia="Times New Roman" w:hAnsi="Arial Narrow" w:cs="Arial"/>
      <w:iCs/>
      <w:spacing w:val="2"/>
      <w:sz w:val="34"/>
      <w:szCs w:val="34"/>
    </w:rPr>
  </w:style>
  <w:style w:type="paragraph" w:customStyle="1" w:styleId="TableHeading">
    <w:name w:val="Table Heading"/>
    <w:next w:val="Tabletext"/>
    <w:rsid w:val="00842335"/>
    <w:pPr>
      <w:spacing w:before="40" w:after="40" w:line="240" w:lineRule="auto"/>
    </w:pPr>
    <w:rPr>
      <w:rFonts w:ascii="Arial Narrow" w:eastAsia="Times New Roman" w:hAnsi="Arial Narrow" w:cs="Times New Roman"/>
      <w:color w:val="000000"/>
      <w:sz w:val="24"/>
      <w:szCs w:val="20"/>
    </w:rPr>
  </w:style>
  <w:style w:type="paragraph" w:customStyle="1" w:styleId="Para">
    <w:name w:val="Para"/>
    <w:basedOn w:val="Normal"/>
    <w:rsid w:val="00842335"/>
    <w:pPr>
      <w:keepNext/>
      <w:spacing w:before="160" w:after="80" w:line="288" w:lineRule="auto"/>
      <w:ind w:left="709"/>
      <w:outlineLvl w:val="1"/>
    </w:pPr>
    <w:rPr>
      <w:rFonts w:ascii="Palatino Linotype" w:hAnsi="Palatino Linotype" w:cs="Arial"/>
      <w:iCs/>
    </w:rPr>
  </w:style>
  <w:style w:type="paragraph" w:customStyle="1" w:styleId="Tabletext">
    <w:name w:val="Table text"/>
    <w:basedOn w:val="Normal"/>
    <w:rsid w:val="00842335"/>
    <w:pPr>
      <w:keepNext/>
      <w:spacing w:before="160" w:after="80" w:line="288" w:lineRule="auto"/>
      <w:outlineLvl w:val="1"/>
    </w:pPr>
    <w:rPr>
      <w:rFonts w:ascii="Arial Narrow" w:hAnsi="Arial Narrow" w:cs="Arial"/>
      <w:iCs/>
      <w:color w:val="000000"/>
      <w:sz w:val="20"/>
      <w:szCs w:val="20"/>
    </w:rPr>
  </w:style>
  <w:style w:type="paragraph" w:customStyle="1" w:styleId="BulletedTextKM">
    <w:name w:val="Bulleted Text KM"/>
    <w:basedOn w:val="Normal"/>
    <w:semiHidden/>
    <w:rsid w:val="00842335"/>
    <w:pPr>
      <w:numPr>
        <w:numId w:val="3"/>
      </w:numPr>
    </w:pPr>
  </w:style>
  <w:style w:type="paragraph" w:customStyle="1" w:styleId="Reportdate">
    <w:name w:val="Report date"/>
    <w:basedOn w:val="Reporttitle"/>
    <w:rsid w:val="00842335"/>
    <w:pPr>
      <w:spacing w:before="0"/>
    </w:pPr>
    <w:rPr>
      <w:caps/>
      <w:spacing w:val="60"/>
      <w:sz w:val="22"/>
      <w:szCs w:val="22"/>
    </w:rPr>
  </w:style>
  <w:style w:type="paragraph" w:styleId="Quote">
    <w:name w:val="Quote"/>
    <w:basedOn w:val="Normal"/>
    <w:link w:val="QuoteChar"/>
    <w:qFormat/>
    <w:rsid w:val="00842335"/>
    <w:pPr>
      <w:spacing w:before="60" w:after="80" w:line="288" w:lineRule="auto"/>
      <w:ind w:left="1247"/>
      <w:outlineLvl w:val="1"/>
    </w:pPr>
    <w:rPr>
      <w:rFonts w:cs="Arial"/>
      <w:iCs/>
    </w:rPr>
  </w:style>
  <w:style w:type="character" w:customStyle="1" w:styleId="QuoteChar">
    <w:name w:val="Quote Char"/>
    <w:basedOn w:val="DefaultParagraphFont"/>
    <w:link w:val="Quote"/>
    <w:rsid w:val="00842335"/>
    <w:rPr>
      <w:rFonts w:ascii="Calibri" w:eastAsia="Times New Roman" w:hAnsi="Calibri" w:cs="Arial"/>
      <w:iCs/>
      <w:szCs w:val="24"/>
    </w:rPr>
  </w:style>
  <w:style w:type="paragraph" w:styleId="FootnoteText">
    <w:name w:val="footnote text"/>
    <w:aliases w:val="Footnote Text Char Char Char Char Char Char,Footnote Text Char1,Footnote Text Char Char,Footnote Text Char1 Char Char,Footnote Text Char Char Char Char,Footnote Text Char1 Char Char Char Char,Footnote Text Char Char2"/>
    <w:basedOn w:val="Normal"/>
    <w:link w:val="FootnoteTextChar"/>
    <w:rsid w:val="00842335"/>
    <w:pPr>
      <w:spacing w:before="80" w:after="80" w:line="160" w:lineRule="exact"/>
      <w:ind w:left="170" w:hanging="170"/>
    </w:pPr>
    <w:rPr>
      <w:sz w:val="18"/>
      <w:szCs w:val="20"/>
    </w:rPr>
  </w:style>
  <w:style w:type="character" w:customStyle="1" w:styleId="FootnoteTextChar">
    <w:name w:val="Footnote Text Char"/>
    <w:aliases w:val="Footnote Text Char Char Char Char Char Char Char,Footnote Text Char1 Char,Footnote Text Char Char Char,Footnote Text Char1 Char Char Char,Footnote Text Char Char Char Char Char,Footnote Text Char1 Char Char Char Char Char"/>
    <w:basedOn w:val="DefaultParagraphFont"/>
    <w:link w:val="FootnoteText"/>
    <w:rsid w:val="00842335"/>
    <w:rPr>
      <w:rFonts w:ascii="Calibri" w:eastAsia="Times New Roman" w:hAnsi="Calibri" w:cs="Times New Roman"/>
      <w:sz w:val="18"/>
      <w:szCs w:val="20"/>
    </w:rPr>
  </w:style>
  <w:style w:type="character" w:styleId="FootnoteReference">
    <w:name w:val="footnote reference"/>
    <w:rsid w:val="00842335"/>
    <w:rPr>
      <w:vertAlign w:val="superscript"/>
    </w:rPr>
  </w:style>
  <w:style w:type="paragraph" w:customStyle="1" w:styleId="TOCHeading1">
    <w:name w:val="TOC Heading1"/>
    <w:basedOn w:val="Prelimmajorheading"/>
    <w:rsid w:val="00842335"/>
    <w:rPr>
      <w:b w:val="0"/>
    </w:rPr>
  </w:style>
  <w:style w:type="paragraph" w:styleId="TOC3">
    <w:name w:val="toc 3"/>
    <w:basedOn w:val="TOC2"/>
    <w:next w:val="Normal"/>
    <w:autoRedefine/>
    <w:uiPriority w:val="39"/>
    <w:rsid w:val="00842335"/>
  </w:style>
  <w:style w:type="paragraph" w:customStyle="1" w:styleId="StyleCommitteenameBlack">
    <w:name w:val="Style Committee name + Black"/>
    <w:semiHidden/>
    <w:rsid w:val="00842335"/>
    <w:pPr>
      <w:spacing w:after="0" w:line="240" w:lineRule="auto"/>
    </w:pPr>
    <w:rPr>
      <w:rFonts w:ascii="Univers LT Std 45 Light" w:eastAsia="Times New Roman" w:hAnsi="Univers LT Std 45 Light" w:cs="Times New Roman"/>
      <w:caps/>
      <w:color w:val="000000"/>
      <w:spacing w:val="40"/>
      <w:sz w:val="28"/>
      <w:szCs w:val="28"/>
    </w:rPr>
  </w:style>
  <w:style w:type="paragraph" w:customStyle="1" w:styleId="Recommendation">
    <w:name w:val="Recommendation"/>
    <w:basedOn w:val="Caption"/>
    <w:next w:val="RecommendationText"/>
    <w:rsid w:val="00842335"/>
    <w:pPr>
      <w:numPr>
        <w:ilvl w:val="6"/>
        <w:numId w:val="4"/>
      </w:numPr>
    </w:pPr>
    <w:rPr>
      <w:b/>
      <w:smallCaps/>
      <w:spacing w:val="20"/>
      <w:sz w:val="44"/>
    </w:rPr>
  </w:style>
  <w:style w:type="character" w:styleId="FollowedHyperlink">
    <w:name w:val="FollowedHyperlink"/>
    <w:rsid w:val="00842335"/>
    <w:rPr>
      <w:color w:val="800080"/>
      <w:u w:val="single"/>
    </w:rPr>
  </w:style>
  <w:style w:type="paragraph" w:customStyle="1" w:styleId="StyleBodyTextArialNarrowBoldBlackLeft0cmFirstlin">
    <w:name w:val="Style Body Text + Arial Narrow Bold Black Left:  0 cm First lin..."/>
    <w:basedOn w:val="Normal"/>
    <w:semiHidden/>
    <w:rsid w:val="00842335"/>
    <w:pPr>
      <w:keepNext/>
      <w:tabs>
        <w:tab w:val="num" w:pos="680"/>
      </w:tabs>
      <w:spacing w:before="160" w:after="80" w:line="288" w:lineRule="auto"/>
      <w:outlineLvl w:val="1"/>
    </w:pPr>
    <w:rPr>
      <w:rFonts w:ascii="Univers LT Std 55" w:hAnsi="Univers LT Std 55" w:cs="Arial"/>
      <w:b/>
      <w:bCs/>
      <w:iCs/>
      <w:color w:val="000000"/>
      <w:szCs w:val="20"/>
    </w:rPr>
  </w:style>
  <w:style w:type="paragraph" w:customStyle="1" w:styleId="Secretariat">
    <w:name w:val="Secretariat"/>
    <w:basedOn w:val="Prelimminorheading"/>
    <w:link w:val="SecretariatChar"/>
    <w:qFormat/>
    <w:rsid w:val="00842335"/>
    <w:rPr>
      <w:spacing w:val="4"/>
      <w:sz w:val="30"/>
      <w:szCs w:val="30"/>
    </w:rPr>
  </w:style>
  <w:style w:type="paragraph" w:customStyle="1" w:styleId="Headinglevel2">
    <w:name w:val="Heading level 2"/>
    <w:next w:val="BodyText1"/>
    <w:link w:val="Headinglevel2Char"/>
    <w:qFormat/>
    <w:rsid w:val="00842335"/>
    <w:pPr>
      <w:keepNext/>
      <w:widowControl w:val="0"/>
      <w:numPr>
        <w:ilvl w:val="1"/>
        <w:numId w:val="4"/>
      </w:numPr>
      <w:tabs>
        <w:tab w:val="left" w:pos="567"/>
      </w:tabs>
      <w:spacing w:before="480" w:after="60" w:line="312" w:lineRule="auto"/>
    </w:pPr>
    <w:rPr>
      <w:rFonts w:ascii="Arial Narrow" w:eastAsia="Times New Roman" w:hAnsi="Arial Narrow" w:cs="Arial"/>
      <w:iCs/>
      <w:smallCaps/>
      <w:spacing w:val="20"/>
      <w:sz w:val="36"/>
      <w:szCs w:val="34"/>
    </w:rPr>
  </w:style>
  <w:style w:type="paragraph" w:customStyle="1" w:styleId="BodyText1">
    <w:name w:val="Body Text1"/>
    <w:basedOn w:val="Normal"/>
    <w:link w:val="BodytextChar"/>
    <w:rsid w:val="00842335"/>
    <w:pPr>
      <w:numPr>
        <w:ilvl w:val="5"/>
        <w:numId w:val="4"/>
      </w:numPr>
      <w:spacing w:before="240" w:after="100" w:line="288" w:lineRule="auto"/>
    </w:pPr>
  </w:style>
  <w:style w:type="paragraph" w:styleId="TOC6">
    <w:name w:val="toc 6"/>
    <w:basedOn w:val="Normal"/>
    <w:next w:val="Normal"/>
    <w:autoRedefine/>
    <w:uiPriority w:val="39"/>
    <w:rsid w:val="00842335"/>
    <w:pPr>
      <w:ind w:left="1200"/>
    </w:pPr>
    <w:rPr>
      <w:rFonts w:ascii="Arial Narrow" w:hAnsi="Arial Narrow"/>
    </w:rPr>
  </w:style>
  <w:style w:type="paragraph" w:customStyle="1" w:styleId="Headinglevel4">
    <w:name w:val="Heading level 4"/>
    <w:basedOn w:val="Headinglevel3"/>
    <w:next w:val="BodyText1"/>
    <w:rsid w:val="00842335"/>
    <w:pPr>
      <w:numPr>
        <w:ilvl w:val="3"/>
      </w:numPr>
      <w:spacing w:before="280" w:after="80"/>
    </w:pPr>
    <w:rPr>
      <w:sz w:val="26"/>
      <w:szCs w:val="24"/>
    </w:rPr>
  </w:style>
  <w:style w:type="paragraph" w:styleId="TOC7">
    <w:name w:val="toc 7"/>
    <w:basedOn w:val="Normal"/>
    <w:next w:val="Normal"/>
    <w:autoRedefine/>
    <w:uiPriority w:val="39"/>
    <w:rsid w:val="00842335"/>
    <w:pPr>
      <w:ind w:left="1440"/>
    </w:pPr>
    <w:rPr>
      <w:rFonts w:ascii="Arial Narrow" w:hAnsi="Arial Narrow"/>
    </w:rPr>
  </w:style>
  <w:style w:type="paragraph" w:styleId="TOC8">
    <w:name w:val="toc 8"/>
    <w:basedOn w:val="Normal"/>
    <w:next w:val="Normal"/>
    <w:autoRedefine/>
    <w:uiPriority w:val="39"/>
    <w:rsid w:val="00842335"/>
    <w:pPr>
      <w:ind w:left="1680"/>
    </w:pPr>
    <w:rPr>
      <w:rFonts w:ascii="Arial Narrow" w:hAnsi="Arial Narrow"/>
    </w:rPr>
  </w:style>
  <w:style w:type="paragraph" w:styleId="TOC9">
    <w:name w:val="toc 9"/>
    <w:basedOn w:val="Normal"/>
    <w:next w:val="Normal"/>
    <w:autoRedefine/>
    <w:uiPriority w:val="39"/>
    <w:rsid w:val="00842335"/>
    <w:pPr>
      <w:ind w:left="1920"/>
    </w:pPr>
    <w:rPr>
      <w:rFonts w:ascii="Arial Narrow" w:hAnsi="Arial Narrow"/>
    </w:rPr>
  </w:style>
  <w:style w:type="paragraph" w:customStyle="1" w:styleId="Headinglevel5">
    <w:name w:val="Heading level 5"/>
    <w:basedOn w:val="Headinglevel4"/>
    <w:next w:val="BodyText1"/>
    <w:qFormat/>
    <w:rsid w:val="00842335"/>
    <w:pPr>
      <w:numPr>
        <w:ilvl w:val="4"/>
      </w:numPr>
    </w:pPr>
    <w:rPr>
      <w:sz w:val="22"/>
    </w:rPr>
  </w:style>
  <w:style w:type="paragraph" w:customStyle="1" w:styleId="StyleBodytextnonumberingBefore0ptAfter0ptLinesp">
    <w:name w:val="Style Body text no numbering + Before:  0 pt After:  0 pt Line sp..."/>
    <w:basedOn w:val="Bodytextnonumbering"/>
    <w:rsid w:val="00842335"/>
    <w:pPr>
      <w:spacing w:before="0" w:after="0" w:line="240" w:lineRule="auto"/>
    </w:pPr>
    <w:rPr>
      <w:rFonts w:cs="Times New Roman"/>
      <w:iCs w:val="0"/>
      <w:szCs w:val="20"/>
    </w:rPr>
  </w:style>
  <w:style w:type="paragraph" w:customStyle="1" w:styleId="StyleReportnumberBefore78pt">
    <w:name w:val="Style Report number + Before:  78 pt"/>
    <w:basedOn w:val="Reportnumber"/>
    <w:rsid w:val="00842335"/>
    <w:pPr>
      <w:spacing w:before="1560"/>
    </w:pPr>
    <w:rPr>
      <w:bCs/>
      <w:smallCaps w:val="0"/>
    </w:rPr>
  </w:style>
  <w:style w:type="paragraph" w:customStyle="1" w:styleId="StylePrelimminorheadingLeft0cmFirstline0cm">
    <w:name w:val="Style Prelim minor heading + Left:  0 cm First line:  0 cm"/>
    <w:basedOn w:val="Prelimminorheading"/>
    <w:rsid w:val="00842335"/>
    <w:rPr>
      <w:rFonts w:cs="Times New Roman"/>
      <w:iCs w:val="0"/>
      <w:szCs w:val="20"/>
    </w:rPr>
  </w:style>
  <w:style w:type="paragraph" w:customStyle="1" w:styleId="StylePrelimminorheadingLeft0cmFirstline0cm1">
    <w:name w:val="Style Prelim minor heading + Left:  0 cm First line:  0 cm1"/>
    <w:basedOn w:val="Prelimminorheading"/>
    <w:rsid w:val="00842335"/>
    <w:rPr>
      <w:rFonts w:cs="Times New Roman"/>
      <w:iCs w:val="0"/>
      <w:szCs w:val="20"/>
    </w:rPr>
  </w:style>
  <w:style w:type="paragraph" w:customStyle="1" w:styleId="StyleReportdateLinespacingAtleast12pt">
    <w:name w:val="Style Report date + Line spacing:  At least 12 pt"/>
    <w:basedOn w:val="Reportdate"/>
    <w:rsid w:val="00842335"/>
    <w:pPr>
      <w:spacing w:line="240" w:lineRule="atLeast"/>
    </w:pPr>
    <w:rPr>
      <w:caps w:val="0"/>
      <w:spacing w:val="20"/>
      <w:szCs w:val="20"/>
    </w:rPr>
  </w:style>
  <w:style w:type="paragraph" w:customStyle="1" w:styleId="StyleReporttitleBefore0ptLinespacingAtleast12pt">
    <w:name w:val="Style Report title + Before:  0 pt Line spacing:  At least 12 pt"/>
    <w:basedOn w:val="Reporttitle"/>
    <w:rsid w:val="00842335"/>
    <w:pPr>
      <w:spacing w:before="0" w:line="240" w:lineRule="atLeast"/>
    </w:pPr>
    <w:rPr>
      <w:spacing w:val="20"/>
      <w:szCs w:val="20"/>
    </w:rPr>
  </w:style>
  <w:style w:type="paragraph" w:customStyle="1" w:styleId="StylePrelimminorheadingLeft0cmFirstline0cm2">
    <w:name w:val="Style Prelim minor heading + Left:  0 cm First line:  0 cm2"/>
    <w:basedOn w:val="Prelimminorheading"/>
    <w:rsid w:val="00842335"/>
    <w:rPr>
      <w:rFonts w:cs="Times New Roman"/>
      <w:b/>
      <w:iCs w:val="0"/>
      <w:szCs w:val="20"/>
    </w:rPr>
  </w:style>
  <w:style w:type="paragraph" w:customStyle="1" w:styleId="StylePrelimminorheadingLeft0cmFirstline0cm3">
    <w:name w:val="Style Prelim minor heading + Left:  0 cm First line:  0 cm3"/>
    <w:basedOn w:val="Prelimminorheading"/>
    <w:rsid w:val="00842335"/>
    <w:rPr>
      <w:rFonts w:cs="Times New Roman"/>
      <w:b/>
      <w:iCs w:val="0"/>
      <w:szCs w:val="20"/>
    </w:rPr>
  </w:style>
  <w:style w:type="numbering" w:customStyle="1" w:styleId="test1">
    <w:name w:val="test1"/>
    <w:uiPriority w:val="99"/>
    <w:rsid w:val="00842335"/>
    <w:pPr>
      <w:numPr>
        <w:numId w:val="4"/>
      </w:numPr>
    </w:pPr>
  </w:style>
  <w:style w:type="paragraph" w:customStyle="1" w:styleId="RecommendationText">
    <w:name w:val="Recommendation Text"/>
    <w:basedOn w:val="BodyText1"/>
    <w:next w:val="BodyText1"/>
    <w:link w:val="RecommendationTextChar"/>
    <w:qFormat/>
    <w:rsid w:val="00842335"/>
    <w:pPr>
      <w:spacing w:before="120" w:after="240"/>
    </w:pPr>
    <w:rPr>
      <w:b/>
    </w:rPr>
  </w:style>
  <w:style w:type="paragraph" w:customStyle="1" w:styleId="Contactinformation">
    <w:name w:val="Contact information"/>
    <w:basedOn w:val="Prelimminorheading"/>
    <w:link w:val="ContactinformationChar"/>
    <w:qFormat/>
    <w:rsid w:val="00842335"/>
  </w:style>
  <w:style w:type="character" w:customStyle="1" w:styleId="BodytextChar">
    <w:name w:val="Body text Char"/>
    <w:link w:val="BodyText1"/>
    <w:rsid w:val="00842335"/>
    <w:rPr>
      <w:rFonts w:ascii="Calibri" w:eastAsia="Times New Roman" w:hAnsi="Calibri" w:cs="Times New Roman"/>
      <w:szCs w:val="24"/>
    </w:rPr>
  </w:style>
  <w:style w:type="character" w:customStyle="1" w:styleId="RecommendationTextChar">
    <w:name w:val="Recommendation Text Char"/>
    <w:link w:val="RecommendationText"/>
    <w:rsid w:val="00842335"/>
    <w:rPr>
      <w:rFonts w:ascii="Calibri" w:eastAsia="Times New Roman" w:hAnsi="Calibri" w:cs="Times New Roman"/>
      <w:b/>
      <w:szCs w:val="24"/>
    </w:rPr>
  </w:style>
  <w:style w:type="character" w:customStyle="1" w:styleId="Headinglevel2Char">
    <w:name w:val="Heading level 2 Char"/>
    <w:link w:val="Headinglevel2"/>
    <w:rsid w:val="00842335"/>
    <w:rPr>
      <w:rFonts w:ascii="Arial Narrow" w:eastAsia="Times New Roman" w:hAnsi="Arial Narrow" w:cs="Arial"/>
      <w:iCs/>
      <w:smallCaps/>
      <w:spacing w:val="20"/>
      <w:sz w:val="36"/>
      <w:szCs w:val="34"/>
    </w:rPr>
  </w:style>
  <w:style w:type="character" w:customStyle="1" w:styleId="Headinglevel3Char">
    <w:name w:val="Heading level 3 Char"/>
    <w:link w:val="Headinglevel3"/>
    <w:rsid w:val="00842335"/>
    <w:rPr>
      <w:rFonts w:ascii="Arial Narrow" w:eastAsia="Times New Roman" w:hAnsi="Arial Narrow" w:cs="Arial"/>
      <w:smallCaps/>
      <w:spacing w:val="20"/>
      <w:sz w:val="30"/>
      <w:szCs w:val="28"/>
    </w:rPr>
  </w:style>
  <w:style w:type="paragraph" w:customStyle="1" w:styleId="StylePrelimminorheadingLeft0cmFirstline0cm4">
    <w:name w:val="Style Prelim minor heading + Left:  0 cm First line:  0 cm4"/>
    <w:basedOn w:val="Prelimminorheading"/>
    <w:rsid w:val="00842335"/>
    <w:rPr>
      <w:rFonts w:cs="Times New Roman"/>
      <w:bCs w:val="0"/>
      <w:iCs w:val="0"/>
      <w:szCs w:val="20"/>
    </w:rPr>
  </w:style>
  <w:style w:type="paragraph" w:customStyle="1" w:styleId="StylePrelimminorheadingLeft0cmFirstline0cm5">
    <w:name w:val="Style Prelim minor heading + Left:  0 cm First line:  0 cm5"/>
    <w:basedOn w:val="Prelimminorheading"/>
    <w:rsid w:val="00842335"/>
    <w:rPr>
      <w:rFonts w:cs="Times New Roman"/>
      <w:bCs w:val="0"/>
      <w:iCs w:val="0"/>
      <w:szCs w:val="20"/>
    </w:rPr>
  </w:style>
  <w:style w:type="paragraph" w:customStyle="1" w:styleId="StylePrelimminorheadingLeft0cmFirstline0cmExpand">
    <w:name w:val="Style Prelim minor heading + Left:  0 cm First line:  0 cm Expand..."/>
    <w:basedOn w:val="Prelimminorheading"/>
    <w:rsid w:val="00842335"/>
    <w:rPr>
      <w:rFonts w:cs="Times New Roman"/>
      <w:bCs w:val="0"/>
      <w:iCs w:val="0"/>
      <w:spacing w:val="4"/>
      <w:sz w:val="30"/>
      <w:szCs w:val="20"/>
    </w:rPr>
  </w:style>
  <w:style w:type="character" w:customStyle="1" w:styleId="PrelimminorheadingChar">
    <w:name w:val="Prelim minor heading Char"/>
    <w:link w:val="Prelimminorheading"/>
    <w:rsid w:val="00842335"/>
    <w:rPr>
      <w:rFonts w:ascii="Arial Narrow" w:eastAsia="Times New Roman" w:hAnsi="Arial Narrow" w:cs="Arial"/>
      <w:bCs/>
      <w:iCs/>
      <w:smallCaps/>
      <w:spacing w:val="2"/>
      <w:sz w:val="28"/>
      <w:szCs w:val="28"/>
    </w:rPr>
  </w:style>
  <w:style w:type="character" w:customStyle="1" w:styleId="SecretariatChar">
    <w:name w:val="Secretariat Char"/>
    <w:basedOn w:val="PrelimminorheadingChar"/>
    <w:link w:val="Secretariat"/>
    <w:rsid w:val="00842335"/>
    <w:rPr>
      <w:rFonts w:ascii="Arial Narrow" w:eastAsia="Times New Roman" w:hAnsi="Arial Narrow" w:cs="Arial"/>
      <w:bCs/>
      <w:iCs/>
      <w:smallCaps/>
      <w:spacing w:val="4"/>
      <w:sz w:val="30"/>
      <w:szCs w:val="30"/>
    </w:rPr>
  </w:style>
  <w:style w:type="paragraph" w:customStyle="1" w:styleId="RecommendationBullet">
    <w:name w:val="Recommendation Bullet"/>
    <w:basedOn w:val="ListBullet"/>
    <w:link w:val="RecommendationBulletChar"/>
    <w:qFormat/>
    <w:rsid w:val="00842335"/>
    <w:rPr>
      <w:b/>
    </w:rPr>
  </w:style>
  <w:style w:type="character" w:customStyle="1" w:styleId="ContactinformationChar">
    <w:name w:val="Contact information Char"/>
    <w:basedOn w:val="PrelimminorheadingChar"/>
    <w:link w:val="Contactinformation"/>
    <w:rsid w:val="00842335"/>
    <w:rPr>
      <w:rFonts w:ascii="Arial Narrow" w:eastAsia="Times New Roman" w:hAnsi="Arial Narrow" w:cs="Arial"/>
      <w:bCs/>
      <w:iCs/>
      <w:smallCaps/>
      <w:spacing w:val="2"/>
      <w:sz w:val="28"/>
      <w:szCs w:val="28"/>
    </w:rPr>
  </w:style>
  <w:style w:type="character" w:customStyle="1" w:styleId="ListBulletChar">
    <w:name w:val="List Bullet Char"/>
    <w:link w:val="ListBullet"/>
    <w:rsid w:val="00842335"/>
    <w:rPr>
      <w:rFonts w:ascii="Calibri" w:eastAsia="Times New Roman" w:hAnsi="Calibri" w:cs="Times New Roman"/>
    </w:rPr>
  </w:style>
  <w:style w:type="character" w:customStyle="1" w:styleId="RecommendationBulletChar">
    <w:name w:val="Recommendation Bullet Char"/>
    <w:basedOn w:val="ListBulletChar"/>
    <w:link w:val="RecommendationBullet"/>
    <w:rsid w:val="00842335"/>
    <w:rPr>
      <w:rFonts w:ascii="Calibri" w:eastAsia="Times New Roman" w:hAnsi="Calibri" w:cs="Times New Roman"/>
      <w:b/>
    </w:rPr>
  </w:style>
  <w:style w:type="character" w:customStyle="1" w:styleId="Agendasub-itemChar">
    <w:name w:val="Agenda sub-item Char"/>
    <w:basedOn w:val="DefaultParagraphFont"/>
    <w:link w:val="Agendasub-item"/>
    <w:locked/>
    <w:rsid w:val="00842335"/>
    <w:rPr>
      <w:rFonts w:ascii="Calibri" w:hAnsi="Calibri" w:cs="Calibri"/>
      <w:color w:val="000000"/>
    </w:rPr>
  </w:style>
  <w:style w:type="paragraph" w:customStyle="1" w:styleId="Agendasub-item">
    <w:name w:val="Agenda sub-item"/>
    <w:basedOn w:val="Normal"/>
    <w:link w:val="Agendasub-itemChar"/>
    <w:qFormat/>
    <w:rsid w:val="00842335"/>
    <w:pPr>
      <w:spacing w:after="120" w:line="300" w:lineRule="exact"/>
      <w:ind w:left="340"/>
    </w:pPr>
    <w:rPr>
      <w:rFonts w:eastAsiaTheme="minorHAnsi" w:cs="Calibri"/>
      <w:color w:val="000000"/>
      <w:szCs w:val="22"/>
    </w:rPr>
  </w:style>
  <w:style w:type="paragraph" w:styleId="ListParagraph">
    <w:name w:val="List Paragraph"/>
    <w:basedOn w:val="Normal"/>
    <w:uiPriority w:val="34"/>
    <w:qFormat/>
    <w:rsid w:val="00842335"/>
    <w:pPr>
      <w:ind w:left="720"/>
      <w:contextualSpacing/>
    </w:pPr>
  </w:style>
  <w:style w:type="character" w:styleId="Emphasis">
    <w:name w:val="Emphasis"/>
    <w:basedOn w:val="DefaultParagraphFont"/>
    <w:uiPriority w:val="20"/>
    <w:qFormat/>
    <w:rsid w:val="00842335"/>
    <w:rPr>
      <w:i/>
      <w:iCs/>
    </w:rPr>
  </w:style>
  <w:style w:type="paragraph" w:customStyle="1" w:styleId="BodyText2">
    <w:name w:val="Body Text2"/>
    <w:basedOn w:val="Normal"/>
    <w:rsid w:val="00842335"/>
    <w:pPr>
      <w:spacing w:before="240" w:after="100" w:line="288" w:lineRule="auto"/>
      <w:ind w:left="567" w:hanging="567"/>
    </w:pPr>
  </w:style>
  <w:style w:type="paragraph" w:customStyle="1" w:styleId="TOCHeading2">
    <w:name w:val="TOC Heading2"/>
    <w:basedOn w:val="Prelimmajorheading"/>
    <w:rsid w:val="00842335"/>
    <w:rPr>
      <w:b w:val="0"/>
    </w:rPr>
  </w:style>
  <w:style w:type="paragraph" w:styleId="BalloonText">
    <w:name w:val="Balloon Text"/>
    <w:basedOn w:val="Normal"/>
    <w:link w:val="BalloonTextChar"/>
    <w:rsid w:val="00842335"/>
    <w:rPr>
      <w:rFonts w:ascii="Tahoma" w:hAnsi="Tahoma" w:cs="Tahoma"/>
      <w:sz w:val="16"/>
      <w:szCs w:val="16"/>
    </w:rPr>
  </w:style>
  <w:style w:type="character" w:customStyle="1" w:styleId="BalloonTextChar">
    <w:name w:val="Balloon Text Char"/>
    <w:basedOn w:val="DefaultParagraphFont"/>
    <w:link w:val="BalloonText"/>
    <w:rsid w:val="00842335"/>
    <w:rPr>
      <w:rFonts w:ascii="Tahoma" w:eastAsia="Times New Roman" w:hAnsi="Tahoma" w:cs="Tahoma"/>
      <w:sz w:val="16"/>
      <w:szCs w:val="16"/>
    </w:rPr>
  </w:style>
  <w:style w:type="character" w:styleId="CommentReference">
    <w:name w:val="annotation reference"/>
    <w:basedOn w:val="DefaultParagraphFont"/>
    <w:rsid w:val="00842335"/>
    <w:rPr>
      <w:sz w:val="16"/>
      <w:szCs w:val="16"/>
    </w:rPr>
  </w:style>
  <w:style w:type="paragraph" w:styleId="CommentText">
    <w:name w:val="annotation text"/>
    <w:basedOn w:val="Normal"/>
    <w:link w:val="CommentTextChar"/>
    <w:rsid w:val="00842335"/>
    <w:rPr>
      <w:sz w:val="20"/>
      <w:szCs w:val="20"/>
    </w:rPr>
  </w:style>
  <w:style w:type="character" w:customStyle="1" w:styleId="CommentTextChar">
    <w:name w:val="Comment Text Char"/>
    <w:basedOn w:val="DefaultParagraphFont"/>
    <w:link w:val="CommentText"/>
    <w:rsid w:val="00842335"/>
    <w:rPr>
      <w:rFonts w:ascii="Calibri" w:eastAsia="Times New Roman" w:hAnsi="Calibri" w:cs="Times New Roman"/>
      <w:sz w:val="20"/>
      <w:szCs w:val="20"/>
    </w:rPr>
  </w:style>
  <w:style w:type="paragraph" w:styleId="CommentSubject">
    <w:name w:val="annotation subject"/>
    <w:basedOn w:val="CommentText"/>
    <w:next w:val="CommentText"/>
    <w:link w:val="CommentSubjectChar"/>
    <w:rsid w:val="00842335"/>
    <w:rPr>
      <w:b/>
      <w:bCs/>
    </w:rPr>
  </w:style>
  <w:style w:type="character" w:customStyle="1" w:styleId="CommentSubjectChar">
    <w:name w:val="Comment Subject Char"/>
    <w:basedOn w:val="CommentTextChar"/>
    <w:link w:val="CommentSubject"/>
    <w:rsid w:val="00842335"/>
    <w:rPr>
      <w:rFonts w:ascii="Calibri" w:eastAsia="Times New Roman" w:hAnsi="Calibri" w:cs="Times New Roman"/>
      <w:b/>
      <w:bCs/>
      <w:sz w:val="20"/>
      <w:szCs w:val="20"/>
    </w:rPr>
  </w:style>
  <w:style w:type="paragraph" w:styleId="NormalWeb">
    <w:name w:val="Normal (Web)"/>
    <w:basedOn w:val="Normal"/>
    <w:uiPriority w:val="99"/>
    <w:unhideWhenUsed/>
    <w:rsid w:val="00842335"/>
    <w:rPr>
      <w:rFonts w:ascii="Times New Roman" w:hAnsi="Times New Roman"/>
      <w:sz w:val="24"/>
      <w:lang w:eastAsia="en-AU"/>
    </w:rPr>
  </w:style>
  <w:style w:type="numbering" w:customStyle="1" w:styleId="test11">
    <w:name w:val="test11"/>
    <w:uiPriority w:val="99"/>
    <w:rsid w:val="00842335"/>
  </w:style>
  <w:style w:type="table" w:styleId="TableGrid">
    <w:name w:val="Table Grid"/>
    <w:basedOn w:val="TableNormal"/>
    <w:rsid w:val="00842335"/>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est12">
    <w:name w:val="test12"/>
    <w:uiPriority w:val="99"/>
    <w:rsid w:val="00842335"/>
  </w:style>
  <w:style w:type="character" w:styleId="UnresolvedMention">
    <w:name w:val="Unresolved Mention"/>
    <w:basedOn w:val="DefaultParagraphFont"/>
    <w:uiPriority w:val="99"/>
    <w:semiHidden/>
    <w:unhideWhenUsed/>
    <w:rsid w:val="00842335"/>
    <w:rPr>
      <w:color w:val="605E5C"/>
      <w:shd w:val="clear" w:color="auto" w:fill="E1DFDD"/>
    </w:rPr>
  </w:style>
  <w:style w:type="paragraph" w:styleId="BodyText">
    <w:name w:val="Body Text"/>
    <w:basedOn w:val="Normal"/>
    <w:link w:val="BodyTextChar0"/>
    <w:unhideWhenUsed/>
    <w:qFormat/>
    <w:rsid w:val="00842335"/>
    <w:pPr>
      <w:spacing w:before="240" w:after="100" w:line="288" w:lineRule="auto"/>
      <w:ind w:left="567" w:hanging="567"/>
    </w:pPr>
  </w:style>
  <w:style w:type="character" w:customStyle="1" w:styleId="BodyTextChar0">
    <w:name w:val="Body Text Char"/>
    <w:basedOn w:val="DefaultParagraphFont"/>
    <w:link w:val="BodyText"/>
    <w:rsid w:val="00842335"/>
    <w:rPr>
      <w:rFonts w:ascii="Calibri" w:eastAsia="Times New Roman" w:hAnsi="Calibri" w:cs="Times New Roman"/>
      <w:szCs w:val="24"/>
    </w:rPr>
  </w:style>
  <w:style w:type="paragraph" w:styleId="Bibliography">
    <w:name w:val="Bibliography"/>
    <w:basedOn w:val="Normal"/>
    <w:next w:val="Normal"/>
    <w:uiPriority w:val="37"/>
    <w:semiHidden/>
    <w:unhideWhenUsed/>
    <w:rsid w:val="00842335"/>
  </w:style>
  <w:style w:type="paragraph" w:styleId="BlockText">
    <w:name w:val="Block Text"/>
    <w:basedOn w:val="Normal"/>
    <w:semiHidden/>
    <w:unhideWhenUsed/>
    <w:rsid w:val="00842335"/>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cstheme="minorBidi"/>
      <w:i/>
      <w:iCs/>
      <w:color w:val="4472C4" w:themeColor="accent1"/>
    </w:rPr>
  </w:style>
  <w:style w:type="paragraph" w:styleId="BodyText20">
    <w:name w:val="Body Text 2"/>
    <w:basedOn w:val="Normal"/>
    <w:link w:val="BodyText2Char"/>
    <w:semiHidden/>
    <w:unhideWhenUsed/>
    <w:rsid w:val="00842335"/>
    <w:pPr>
      <w:spacing w:after="120" w:line="480" w:lineRule="auto"/>
    </w:pPr>
  </w:style>
  <w:style w:type="character" w:customStyle="1" w:styleId="BodyText2Char">
    <w:name w:val="Body Text 2 Char"/>
    <w:basedOn w:val="DefaultParagraphFont"/>
    <w:link w:val="BodyText20"/>
    <w:semiHidden/>
    <w:rsid w:val="00842335"/>
    <w:rPr>
      <w:rFonts w:ascii="Calibri" w:eastAsia="Times New Roman" w:hAnsi="Calibri" w:cs="Times New Roman"/>
      <w:szCs w:val="24"/>
    </w:rPr>
  </w:style>
  <w:style w:type="paragraph" w:styleId="BodyText3">
    <w:name w:val="Body Text 3"/>
    <w:basedOn w:val="Normal"/>
    <w:link w:val="BodyText3Char"/>
    <w:semiHidden/>
    <w:unhideWhenUsed/>
    <w:rsid w:val="00842335"/>
    <w:pPr>
      <w:spacing w:after="120"/>
    </w:pPr>
    <w:rPr>
      <w:sz w:val="16"/>
      <w:szCs w:val="16"/>
    </w:rPr>
  </w:style>
  <w:style w:type="character" w:customStyle="1" w:styleId="BodyText3Char">
    <w:name w:val="Body Text 3 Char"/>
    <w:basedOn w:val="DefaultParagraphFont"/>
    <w:link w:val="BodyText3"/>
    <w:semiHidden/>
    <w:rsid w:val="00842335"/>
    <w:rPr>
      <w:rFonts w:ascii="Calibri" w:eastAsia="Times New Roman" w:hAnsi="Calibri" w:cs="Times New Roman"/>
      <w:sz w:val="16"/>
      <w:szCs w:val="16"/>
    </w:rPr>
  </w:style>
  <w:style w:type="paragraph" w:styleId="BodyTextFirstIndent">
    <w:name w:val="Body Text First Indent"/>
    <w:basedOn w:val="BodyText"/>
    <w:link w:val="BodyTextFirstIndentChar"/>
    <w:rsid w:val="00842335"/>
    <w:pPr>
      <w:spacing w:before="0" w:after="0" w:line="240" w:lineRule="auto"/>
      <w:ind w:left="0" w:firstLine="360"/>
    </w:pPr>
  </w:style>
  <w:style w:type="character" w:customStyle="1" w:styleId="BodyTextFirstIndentChar">
    <w:name w:val="Body Text First Indent Char"/>
    <w:basedOn w:val="BodyTextChar0"/>
    <w:link w:val="BodyTextFirstIndent"/>
    <w:rsid w:val="00842335"/>
    <w:rPr>
      <w:rFonts w:ascii="Calibri" w:eastAsia="Times New Roman" w:hAnsi="Calibri" w:cs="Times New Roman"/>
      <w:szCs w:val="24"/>
    </w:rPr>
  </w:style>
  <w:style w:type="paragraph" w:styleId="BodyTextIndent">
    <w:name w:val="Body Text Indent"/>
    <w:basedOn w:val="Normal"/>
    <w:link w:val="BodyTextIndentChar"/>
    <w:semiHidden/>
    <w:unhideWhenUsed/>
    <w:rsid w:val="00842335"/>
    <w:pPr>
      <w:spacing w:after="120"/>
      <w:ind w:left="283"/>
    </w:pPr>
  </w:style>
  <w:style w:type="character" w:customStyle="1" w:styleId="BodyTextIndentChar">
    <w:name w:val="Body Text Indent Char"/>
    <w:basedOn w:val="DefaultParagraphFont"/>
    <w:link w:val="BodyTextIndent"/>
    <w:semiHidden/>
    <w:rsid w:val="00842335"/>
    <w:rPr>
      <w:rFonts w:ascii="Calibri" w:eastAsia="Times New Roman" w:hAnsi="Calibri" w:cs="Times New Roman"/>
      <w:szCs w:val="24"/>
    </w:rPr>
  </w:style>
  <w:style w:type="paragraph" w:styleId="BodyTextFirstIndent2">
    <w:name w:val="Body Text First Indent 2"/>
    <w:basedOn w:val="BodyTextIndent"/>
    <w:link w:val="BodyTextFirstIndent2Char"/>
    <w:semiHidden/>
    <w:unhideWhenUsed/>
    <w:rsid w:val="00842335"/>
    <w:pPr>
      <w:spacing w:after="0"/>
      <w:ind w:left="360" w:firstLine="360"/>
    </w:pPr>
  </w:style>
  <w:style w:type="character" w:customStyle="1" w:styleId="BodyTextFirstIndent2Char">
    <w:name w:val="Body Text First Indent 2 Char"/>
    <w:basedOn w:val="BodyTextIndentChar"/>
    <w:link w:val="BodyTextFirstIndent2"/>
    <w:semiHidden/>
    <w:rsid w:val="00842335"/>
    <w:rPr>
      <w:rFonts w:ascii="Calibri" w:eastAsia="Times New Roman" w:hAnsi="Calibri" w:cs="Times New Roman"/>
      <w:szCs w:val="24"/>
    </w:rPr>
  </w:style>
  <w:style w:type="paragraph" w:styleId="BodyTextIndent2">
    <w:name w:val="Body Text Indent 2"/>
    <w:basedOn w:val="Normal"/>
    <w:link w:val="BodyTextIndent2Char"/>
    <w:semiHidden/>
    <w:unhideWhenUsed/>
    <w:rsid w:val="00842335"/>
    <w:pPr>
      <w:spacing w:after="120" w:line="480" w:lineRule="auto"/>
      <w:ind w:left="283"/>
    </w:pPr>
  </w:style>
  <w:style w:type="character" w:customStyle="1" w:styleId="BodyTextIndent2Char">
    <w:name w:val="Body Text Indent 2 Char"/>
    <w:basedOn w:val="DefaultParagraphFont"/>
    <w:link w:val="BodyTextIndent2"/>
    <w:semiHidden/>
    <w:rsid w:val="00842335"/>
    <w:rPr>
      <w:rFonts w:ascii="Calibri" w:eastAsia="Times New Roman" w:hAnsi="Calibri" w:cs="Times New Roman"/>
      <w:szCs w:val="24"/>
    </w:rPr>
  </w:style>
  <w:style w:type="paragraph" w:styleId="BodyTextIndent3">
    <w:name w:val="Body Text Indent 3"/>
    <w:basedOn w:val="Normal"/>
    <w:link w:val="BodyTextIndent3Char"/>
    <w:semiHidden/>
    <w:unhideWhenUsed/>
    <w:rsid w:val="00842335"/>
    <w:pPr>
      <w:spacing w:after="120"/>
      <w:ind w:left="283"/>
    </w:pPr>
    <w:rPr>
      <w:sz w:val="16"/>
      <w:szCs w:val="16"/>
    </w:rPr>
  </w:style>
  <w:style w:type="character" w:customStyle="1" w:styleId="BodyTextIndent3Char">
    <w:name w:val="Body Text Indent 3 Char"/>
    <w:basedOn w:val="DefaultParagraphFont"/>
    <w:link w:val="BodyTextIndent3"/>
    <w:semiHidden/>
    <w:rsid w:val="00842335"/>
    <w:rPr>
      <w:rFonts w:ascii="Calibri" w:eastAsia="Times New Roman" w:hAnsi="Calibri" w:cs="Times New Roman"/>
      <w:sz w:val="16"/>
      <w:szCs w:val="16"/>
    </w:rPr>
  </w:style>
  <w:style w:type="paragraph" w:styleId="Closing">
    <w:name w:val="Closing"/>
    <w:basedOn w:val="Normal"/>
    <w:link w:val="ClosingChar"/>
    <w:semiHidden/>
    <w:unhideWhenUsed/>
    <w:rsid w:val="00842335"/>
    <w:pPr>
      <w:ind w:left="4252"/>
    </w:pPr>
  </w:style>
  <w:style w:type="character" w:customStyle="1" w:styleId="ClosingChar">
    <w:name w:val="Closing Char"/>
    <w:basedOn w:val="DefaultParagraphFont"/>
    <w:link w:val="Closing"/>
    <w:semiHidden/>
    <w:rsid w:val="00842335"/>
    <w:rPr>
      <w:rFonts w:ascii="Calibri" w:eastAsia="Times New Roman" w:hAnsi="Calibri" w:cs="Times New Roman"/>
      <w:szCs w:val="24"/>
    </w:rPr>
  </w:style>
  <w:style w:type="paragraph" w:styleId="Date">
    <w:name w:val="Date"/>
    <w:basedOn w:val="Normal"/>
    <w:next w:val="Normal"/>
    <w:link w:val="DateChar"/>
    <w:rsid w:val="00842335"/>
  </w:style>
  <w:style w:type="character" w:customStyle="1" w:styleId="DateChar">
    <w:name w:val="Date Char"/>
    <w:basedOn w:val="DefaultParagraphFont"/>
    <w:link w:val="Date"/>
    <w:rsid w:val="00842335"/>
    <w:rPr>
      <w:rFonts w:ascii="Calibri" w:eastAsia="Times New Roman" w:hAnsi="Calibri" w:cs="Times New Roman"/>
      <w:szCs w:val="24"/>
    </w:rPr>
  </w:style>
  <w:style w:type="paragraph" w:styleId="DocumentMap">
    <w:name w:val="Document Map"/>
    <w:basedOn w:val="Normal"/>
    <w:link w:val="DocumentMapChar"/>
    <w:semiHidden/>
    <w:unhideWhenUsed/>
    <w:rsid w:val="00842335"/>
    <w:rPr>
      <w:rFonts w:ascii="Segoe UI" w:hAnsi="Segoe UI" w:cs="Segoe UI"/>
      <w:sz w:val="16"/>
      <w:szCs w:val="16"/>
    </w:rPr>
  </w:style>
  <w:style w:type="character" w:customStyle="1" w:styleId="DocumentMapChar">
    <w:name w:val="Document Map Char"/>
    <w:basedOn w:val="DefaultParagraphFont"/>
    <w:link w:val="DocumentMap"/>
    <w:semiHidden/>
    <w:rsid w:val="00842335"/>
    <w:rPr>
      <w:rFonts w:ascii="Segoe UI" w:eastAsia="Times New Roman" w:hAnsi="Segoe UI" w:cs="Segoe UI"/>
      <w:sz w:val="16"/>
      <w:szCs w:val="16"/>
    </w:rPr>
  </w:style>
  <w:style w:type="paragraph" w:styleId="E-mailSignature">
    <w:name w:val="E-mail Signature"/>
    <w:basedOn w:val="Normal"/>
    <w:link w:val="E-mailSignatureChar"/>
    <w:semiHidden/>
    <w:unhideWhenUsed/>
    <w:rsid w:val="00842335"/>
  </w:style>
  <w:style w:type="character" w:customStyle="1" w:styleId="E-mailSignatureChar">
    <w:name w:val="E-mail Signature Char"/>
    <w:basedOn w:val="DefaultParagraphFont"/>
    <w:link w:val="E-mailSignature"/>
    <w:semiHidden/>
    <w:rsid w:val="00842335"/>
    <w:rPr>
      <w:rFonts w:ascii="Calibri" w:eastAsia="Times New Roman" w:hAnsi="Calibri" w:cs="Times New Roman"/>
      <w:szCs w:val="24"/>
    </w:rPr>
  </w:style>
  <w:style w:type="paragraph" w:styleId="EndnoteText">
    <w:name w:val="endnote text"/>
    <w:basedOn w:val="Normal"/>
    <w:link w:val="EndnoteTextChar"/>
    <w:semiHidden/>
    <w:unhideWhenUsed/>
    <w:rsid w:val="00842335"/>
    <w:rPr>
      <w:sz w:val="20"/>
      <w:szCs w:val="20"/>
    </w:rPr>
  </w:style>
  <w:style w:type="character" w:customStyle="1" w:styleId="EndnoteTextChar">
    <w:name w:val="Endnote Text Char"/>
    <w:basedOn w:val="DefaultParagraphFont"/>
    <w:link w:val="EndnoteText"/>
    <w:semiHidden/>
    <w:rsid w:val="00842335"/>
    <w:rPr>
      <w:rFonts w:ascii="Calibri" w:eastAsia="Times New Roman" w:hAnsi="Calibri" w:cs="Times New Roman"/>
      <w:sz w:val="20"/>
      <w:szCs w:val="20"/>
    </w:rPr>
  </w:style>
  <w:style w:type="paragraph" w:styleId="EnvelopeAddress">
    <w:name w:val="envelope address"/>
    <w:basedOn w:val="Normal"/>
    <w:semiHidden/>
    <w:unhideWhenUsed/>
    <w:rsid w:val="00842335"/>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semiHidden/>
    <w:unhideWhenUsed/>
    <w:rsid w:val="00842335"/>
    <w:rPr>
      <w:rFonts w:asciiTheme="majorHAnsi" w:eastAsiaTheme="majorEastAsia" w:hAnsiTheme="majorHAnsi" w:cstheme="majorBidi"/>
      <w:sz w:val="20"/>
      <w:szCs w:val="20"/>
    </w:rPr>
  </w:style>
  <w:style w:type="paragraph" w:styleId="HTMLAddress">
    <w:name w:val="HTML Address"/>
    <w:basedOn w:val="Normal"/>
    <w:link w:val="HTMLAddressChar"/>
    <w:semiHidden/>
    <w:unhideWhenUsed/>
    <w:rsid w:val="00842335"/>
    <w:rPr>
      <w:i/>
      <w:iCs/>
    </w:rPr>
  </w:style>
  <w:style w:type="character" w:customStyle="1" w:styleId="HTMLAddressChar">
    <w:name w:val="HTML Address Char"/>
    <w:basedOn w:val="DefaultParagraphFont"/>
    <w:link w:val="HTMLAddress"/>
    <w:semiHidden/>
    <w:rsid w:val="00842335"/>
    <w:rPr>
      <w:rFonts w:ascii="Calibri" w:eastAsia="Times New Roman" w:hAnsi="Calibri" w:cs="Times New Roman"/>
      <w:i/>
      <w:iCs/>
      <w:szCs w:val="24"/>
    </w:rPr>
  </w:style>
  <w:style w:type="paragraph" w:styleId="HTMLPreformatted">
    <w:name w:val="HTML Preformatted"/>
    <w:basedOn w:val="Normal"/>
    <w:link w:val="HTMLPreformattedChar"/>
    <w:semiHidden/>
    <w:unhideWhenUsed/>
    <w:rsid w:val="00842335"/>
    <w:rPr>
      <w:rFonts w:ascii="Consolas" w:hAnsi="Consolas"/>
      <w:sz w:val="20"/>
      <w:szCs w:val="20"/>
    </w:rPr>
  </w:style>
  <w:style w:type="character" w:customStyle="1" w:styleId="HTMLPreformattedChar">
    <w:name w:val="HTML Preformatted Char"/>
    <w:basedOn w:val="DefaultParagraphFont"/>
    <w:link w:val="HTMLPreformatted"/>
    <w:semiHidden/>
    <w:rsid w:val="00842335"/>
    <w:rPr>
      <w:rFonts w:ascii="Consolas" w:eastAsia="Times New Roman" w:hAnsi="Consolas" w:cs="Times New Roman"/>
      <w:sz w:val="20"/>
      <w:szCs w:val="20"/>
    </w:rPr>
  </w:style>
  <w:style w:type="paragraph" w:styleId="Index1">
    <w:name w:val="index 1"/>
    <w:basedOn w:val="Normal"/>
    <w:next w:val="Normal"/>
    <w:autoRedefine/>
    <w:uiPriority w:val="99"/>
    <w:unhideWhenUsed/>
    <w:qFormat/>
    <w:rsid w:val="00842335"/>
    <w:pPr>
      <w:ind w:left="220" w:hanging="220"/>
    </w:pPr>
  </w:style>
  <w:style w:type="paragraph" w:styleId="Index2">
    <w:name w:val="index 2"/>
    <w:basedOn w:val="Normal"/>
    <w:next w:val="Normal"/>
    <w:autoRedefine/>
    <w:uiPriority w:val="99"/>
    <w:unhideWhenUsed/>
    <w:qFormat/>
    <w:rsid w:val="00842335"/>
    <w:pPr>
      <w:ind w:left="440" w:hanging="220"/>
    </w:pPr>
  </w:style>
  <w:style w:type="paragraph" w:styleId="Index3">
    <w:name w:val="index 3"/>
    <w:basedOn w:val="Normal"/>
    <w:next w:val="Normal"/>
    <w:autoRedefine/>
    <w:uiPriority w:val="99"/>
    <w:unhideWhenUsed/>
    <w:qFormat/>
    <w:rsid w:val="00842335"/>
    <w:pPr>
      <w:ind w:left="660" w:hanging="220"/>
    </w:pPr>
  </w:style>
  <w:style w:type="paragraph" w:styleId="Index4">
    <w:name w:val="index 4"/>
    <w:basedOn w:val="Normal"/>
    <w:next w:val="Normal"/>
    <w:autoRedefine/>
    <w:uiPriority w:val="99"/>
    <w:unhideWhenUsed/>
    <w:qFormat/>
    <w:rsid w:val="00842335"/>
    <w:pPr>
      <w:ind w:left="880" w:hanging="220"/>
    </w:pPr>
  </w:style>
  <w:style w:type="paragraph" w:styleId="Index5">
    <w:name w:val="index 5"/>
    <w:basedOn w:val="Normal"/>
    <w:next w:val="Normal"/>
    <w:autoRedefine/>
    <w:uiPriority w:val="99"/>
    <w:unhideWhenUsed/>
    <w:qFormat/>
    <w:rsid w:val="00842335"/>
    <w:pPr>
      <w:ind w:left="1100" w:hanging="220"/>
    </w:pPr>
  </w:style>
  <w:style w:type="paragraph" w:styleId="Index6">
    <w:name w:val="index 6"/>
    <w:basedOn w:val="Normal"/>
    <w:next w:val="Normal"/>
    <w:autoRedefine/>
    <w:uiPriority w:val="99"/>
    <w:unhideWhenUsed/>
    <w:qFormat/>
    <w:rsid w:val="00842335"/>
    <w:pPr>
      <w:ind w:left="1320" w:hanging="220"/>
    </w:pPr>
  </w:style>
  <w:style w:type="paragraph" w:styleId="Index7">
    <w:name w:val="index 7"/>
    <w:basedOn w:val="Normal"/>
    <w:next w:val="Normal"/>
    <w:autoRedefine/>
    <w:uiPriority w:val="99"/>
    <w:unhideWhenUsed/>
    <w:qFormat/>
    <w:rsid w:val="00842335"/>
    <w:pPr>
      <w:ind w:left="1540" w:hanging="220"/>
    </w:pPr>
  </w:style>
  <w:style w:type="paragraph" w:styleId="Index8">
    <w:name w:val="index 8"/>
    <w:basedOn w:val="Normal"/>
    <w:next w:val="Normal"/>
    <w:autoRedefine/>
    <w:uiPriority w:val="99"/>
    <w:unhideWhenUsed/>
    <w:qFormat/>
    <w:rsid w:val="00842335"/>
    <w:pPr>
      <w:ind w:left="1760" w:hanging="220"/>
    </w:pPr>
  </w:style>
  <w:style w:type="paragraph" w:styleId="Index9">
    <w:name w:val="index 9"/>
    <w:basedOn w:val="Normal"/>
    <w:next w:val="Normal"/>
    <w:autoRedefine/>
    <w:semiHidden/>
    <w:unhideWhenUsed/>
    <w:rsid w:val="00842335"/>
    <w:pPr>
      <w:ind w:left="1980" w:hanging="220"/>
    </w:pPr>
  </w:style>
  <w:style w:type="paragraph" w:styleId="IndexHeading">
    <w:name w:val="index heading"/>
    <w:basedOn w:val="Normal"/>
    <w:next w:val="Index1"/>
    <w:semiHidden/>
    <w:unhideWhenUsed/>
    <w:rsid w:val="0084233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4233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42335"/>
    <w:rPr>
      <w:rFonts w:ascii="Calibri" w:eastAsia="Times New Roman" w:hAnsi="Calibri" w:cs="Times New Roman"/>
      <w:i/>
      <w:iCs/>
      <w:color w:val="4472C4" w:themeColor="accent1"/>
      <w:szCs w:val="24"/>
    </w:rPr>
  </w:style>
  <w:style w:type="paragraph" w:styleId="List">
    <w:name w:val="List"/>
    <w:basedOn w:val="Normal"/>
    <w:semiHidden/>
    <w:unhideWhenUsed/>
    <w:rsid w:val="00842335"/>
    <w:pPr>
      <w:ind w:left="283" w:hanging="283"/>
      <w:contextualSpacing/>
    </w:pPr>
  </w:style>
  <w:style w:type="paragraph" w:styleId="List2">
    <w:name w:val="List 2"/>
    <w:basedOn w:val="Normal"/>
    <w:semiHidden/>
    <w:unhideWhenUsed/>
    <w:rsid w:val="00842335"/>
    <w:pPr>
      <w:ind w:left="566" w:hanging="283"/>
      <w:contextualSpacing/>
    </w:pPr>
  </w:style>
  <w:style w:type="paragraph" w:styleId="List3">
    <w:name w:val="List 3"/>
    <w:basedOn w:val="Normal"/>
    <w:semiHidden/>
    <w:unhideWhenUsed/>
    <w:rsid w:val="00842335"/>
    <w:pPr>
      <w:ind w:left="849" w:hanging="283"/>
      <w:contextualSpacing/>
    </w:pPr>
  </w:style>
  <w:style w:type="paragraph" w:styleId="List4">
    <w:name w:val="List 4"/>
    <w:basedOn w:val="Normal"/>
    <w:rsid w:val="00842335"/>
    <w:pPr>
      <w:ind w:left="1132" w:hanging="283"/>
      <w:contextualSpacing/>
    </w:pPr>
  </w:style>
  <w:style w:type="paragraph" w:styleId="List5">
    <w:name w:val="List 5"/>
    <w:basedOn w:val="Normal"/>
    <w:rsid w:val="00842335"/>
    <w:pPr>
      <w:ind w:left="1415" w:hanging="283"/>
      <w:contextualSpacing/>
    </w:pPr>
  </w:style>
  <w:style w:type="paragraph" w:styleId="ListBullet3">
    <w:name w:val="List Bullet 3"/>
    <w:basedOn w:val="Normal"/>
    <w:unhideWhenUsed/>
    <w:rsid w:val="00842335"/>
    <w:pPr>
      <w:numPr>
        <w:numId w:val="6"/>
      </w:numPr>
      <w:contextualSpacing/>
    </w:pPr>
  </w:style>
  <w:style w:type="paragraph" w:styleId="ListBullet4">
    <w:name w:val="List Bullet 4"/>
    <w:basedOn w:val="Normal"/>
    <w:semiHidden/>
    <w:unhideWhenUsed/>
    <w:rsid w:val="00842335"/>
    <w:pPr>
      <w:numPr>
        <w:numId w:val="7"/>
      </w:numPr>
      <w:contextualSpacing/>
    </w:pPr>
  </w:style>
  <w:style w:type="paragraph" w:styleId="ListBullet5">
    <w:name w:val="List Bullet 5"/>
    <w:basedOn w:val="Normal"/>
    <w:semiHidden/>
    <w:unhideWhenUsed/>
    <w:rsid w:val="00842335"/>
    <w:pPr>
      <w:numPr>
        <w:numId w:val="8"/>
      </w:numPr>
      <w:contextualSpacing/>
    </w:pPr>
  </w:style>
  <w:style w:type="paragraph" w:styleId="ListContinue">
    <w:name w:val="List Continue"/>
    <w:basedOn w:val="Normal"/>
    <w:semiHidden/>
    <w:unhideWhenUsed/>
    <w:rsid w:val="00842335"/>
    <w:pPr>
      <w:spacing w:after="120"/>
      <w:ind w:left="283"/>
      <w:contextualSpacing/>
    </w:pPr>
  </w:style>
  <w:style w:type="paragraph" w:styleId="ListContinue2">
    <w:name w:val="List Continue 2"/>
    <w:basedOn w:val="Normal"/>
    <w:semiHidden/>
    <w:unhideWhenUsed/>
    <w:rsid w:val="00842335"/>
    <w:pPr>
      <w:spacing w:after="120"/>
      <w:ind w:left="566"/>
      <w:contextualSpacing/>
    </w:pPr>
  </w:style>
  <w:style w:type="paragraph" w:styleId="ListContinue3">
    <w:name w:val="List Continue 3"/>
    <w:basedOn w:val="Normal"/>
    <w:semiHidden/>
    <w:unhideWhenUsed/>
    <w:rsid w:val="00842335"/>
    <w:pPr>
      <w:spacing w:after="120"/>
      <w:ind w:left="849"/>
      <w:contextualSpacing/>
    </w:pPr>
  </w:style>
  <w:style w:type="paragraph" w:styleId="ListContinue4">
    <w:name w:val="List Continue 4"/>
    <w:basedOn w:val="Normal"/>
    <w:semiHidden/>
    <w:unhideWhenUsed/>
    <w:rsid w:val="00842335"/>
    <w:pPr>
      <w:spacing w:after="120"/>
      <w:ind w:left="1132"/>
      <w:contextualSpacing/>
    </w:pPr>
  </w:style>
  <w:style w:type="paragraph" w:styleId="ListContinue5">
    <w:name w:val="List Continue 5"/>
    <w:basedOn w:val="Normal"/>
    <w:semiHidden/>
    <w:unhideWhenUsed/>
    <w:rsid w:val="00842335"/>
    <w:pPr>
      <w:spacing w:after="120"/>
      <w:ind w:left="1415"/>
      <w:contextualSpacing/>
    </w:pPr>
  </w:style>
  <w:style w:type="paragraph" w:styleId="ListNumber">
    <w:name w:val="List Number"/>
    <w:basedOn w:val="Normal"/>
    <w:rsid w:val="00842335"/>
    <w:pPr>
      <w:numPr>
        <w:numId w:val="9"/>
      </w:numPr>
      <w:contextualSpacing/>
    </w:pPr>
  </w:style>
  <w:style w:type="paragraph" w:styleId="ListNumber2">
    <w:name w:val="List Number 2"/>
    <w:basedOn w:val="Normal"/>
    <w:semiHidden/>
    <w:unhideWhenUsed/>
    <w:rsid w:val="00842335"/>
    <w:pPr>
      <w:numPr>
        <w:numId w:val="10"/>
      </w:numPr>
      <w:contextualSpacing/>
    </w:pPr>
  </w:style>
  <w:style w:type="paragraph" w:styleId="ListNumber4">
    <w:name w:val="List Number 4"/>
    <w:basedOn w:val="Normal"/>
    <w:semiHidden/>
    <w:unhideWhenUsed/>
    <w:rsid w:val="00842335"/>
    <w:pPr>
      <w:numPr>
        <w:numId w:val="11"/>
      </w:numPr>
      <w:contextualSpacing/>
    </w:pPr>
  </w:style>
  <w:style w:type="paragraph" w:styleId="ListNumber5">
    <w:name w:val="List Number 5"/>
    <w:basedOn w:val="Normal"/>
    <w:semiHidden/>
    <w:unhideWhenUsed/>
    <w:rsid w:val="00842335"/>
    <w:pPr>
      <w:numPr>
        <w:numId w:val="12"/>
      </w:numPr>
      <w:contextualSpacing/>
    </w:pPr>
  </w:style>
  <w:style w:type="paragraph" w:styleId="MacroText">
    <w:name w:val="macro"/>
    <w:link w:val="MacroTextChar"/>
    <w:semiHidden/>
    <w:unhideWhenUsed/>
    <w:rsid w:val="00842335"/>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rPr>
  </w:style>
  <w:style w:type="character" w:customStyle="1" w:styleId="MacroTextChar">
    <w:name w:val="Macro Text Char"/>
    <w:basedOn w:val="DefaultParagraphFont"/>
    <w:link w:val="MacroText"/>
    <w:semiHidden/>
    <w:rsid w:val="00842335"/>
    <w:rPr>
      <w:rFonts w:ascii="Consolas" w:eastAsia="Times New Roman" w:hAnsi="Consolas" w:cs="Times New Roman"/>
      <w:sz w:val="20"/>
      <w:szCs w:val="20"/>
    </w:rPr>
  </w:style>
  <w:style w:type="paragraph" w:styleId="MessageHeader">
    <w:name w:val="Message Header"/>
    <w:basedOn w:val="Normal"/>
    <w:link w:val="MessageHeaderChar"/>
    <w:semiHidden/>
    <w:unhideWhenUsed/>
    <w:rsid w:val="0084233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semiHidden/>
    <w:rsid w:val="00842335"/>
    <w:rPr>
      <w:rFonts w:asciiTheme="majorHAnsi" w:eastAsiaTheme="majorEastAsia" w:hAnsiTheme="majorHAnsi" w:cstheme="majorBidi"/>
      <w:sz w:val="24"/>
      <w:szCs w:val="24"/>
      <w:shd w:val="pct20" w:color="auto" w:fill="auto"/>
    </w:rPr>
  </w:style>
  <w:style w:type="paragraph" w:styleId="NoSpacing">
    <w:name w:val="No Spacing"/>
    <w:uiPriority w:val="1"/>
    <w:qFormat/>
    <w:rsid w:val="00842335"/>
    <w:pPr>
      <w:spacing w:after="0" w:line="240" w:lineRule="auto"/>
    </w:pPr>
    <w:rPr>
      <w:rFonts w:ascii="Calibri" w:eastAsia="Times New Roman" w:hAnsi="Calibri" w:cs="Times New Roman"/>
      <w:szCs w:val="24"/>
    </w:rPr>
  </w:style>
  <w:style w:type="paragraph" w:styleId="NormalIndent">
    <w:name w:val="Normal Indent"/>
    <w:basedOn w:val="Normal"/>
    <w:semiHidden/>
    <w:unhideWhenUsed/>
    <w:rsid w:val="00842335"/>
    <w:pPr>
      <w:ind w:left="720"/>
    </w:pPr>
  </w:style>
  <w:style w:type="paragraph" w:styleId="NoteHeading">
    <w:name w:val="Note Heading"/>
    <w:basedOn w:val="Normal"/>
    <w:next w:val="Normal"/>
    <w:link w:val="NoteHeadingChar"/>
    <w:semiHidden/>
    <w:unhideWhenUsed/>
    <w:rsid w:val="00842335"/>
  </w:style>
  <w:style w:type="character" w:customStyle="1" w:styleId="NoteHeadingChar">
    <w:name w:val="Note Heading Char"/>
    <w:basedOn w:val="DefaultParagraphFont"/>
    <w:link w:val="NoteHeading"/>
    <w:semiHidden/>
    <w:rsid w:val="00842335"/>
    <w:rPr>
      <w:rFonts w:ascii="Calibri" w:eastAsia="Times New Roman" w:hAnsi="Calibri" w:cs="Times New Roman"/>
      <w:szCs w:val="24"/>
    </w:rPr>
  </w:style>
  <w:style w:type="paragraph" w:styleId="PlainText">
    <w:name w:val="Plain Text"/>
    <w:basedOn w:val="Normal"/>
    <w:link w:val="PlainTextChar"/>
    <w:semiHidden/>
    <w:unhideWhenUsed/>
    <w:rsid w:val="00842335"/>
    <w:rPr>
      <w:rFonts w:ascii="Consolas" w:hAnsi="Consolas"/>
      <w:sz w:val="21"/>
      <w:szCs w:val="21"/>
    </w:rPr>
  </w:style>
  <w:style w:type="character" w:customStyle="1" w:styleId="PlainTextChar">
    <w:name w:val="Plain Text Char"/>
    <w:basedOn w:val="DefaultParagraphFont"/>
    <w:link w:val="PlainText"/>
    <w:semiHidden/>
    <w:rsid w:val="00842335"/>
    <w:rPr>
      <w:rFonts w:ascii="Consolas" w:eastAsia="Times New Roman" w:hAnsi="Consolas" w:cs="Times New Roman"/>
      <w:sz w:val="21"/>
      <w:szCs w:val="21"/>
    </w:rPr>
  </w:style>
  <w:style w:type="paragraph" w:styleId="Salutation">
    <w:name w:val="Salutation"/>
    <w:basedOn w:val="Normal"/>
    <w:next w:val="Normal"/>
    <w:link w:val="SalutationChar"/>
    <w:rsid w:val="00842335"/>
  </w:style>
  <w:style w:type="character" w:customStyle="1" w:styleId="SalutationChar">
    <w:name w:val="Salutation Char"/>
    <w:basedOn w:val="DefaultParagraphFont"/>
    <w:link w:val="Salutation"/>
    <w:rsid w:val="00842335"/>
    <w:rPr>
      <w:rFonts w:ascii="Calibri" w:eastAsia="Times New Roman" w:hAnsi="Calibri" w:cs="Times New Roman"/>
      <w:szCs w:val="24"/>
    </w:rPr>
  </w:style>
  <w:style w:type="paragraph" w:styleId="Signature">
    <w:name w:val="Signature"/>
    <w:basedOn w:val="Normal"/>
    <w:link w:val="SignatureChar"/>
    <w:semiHidden/>
    <w:unhideWhenUsed/>
    <w:rsid w:val="00842335"/>
    <w:pPr>
      <w:ind w:left="4252"/>
    </w:pPr>
  </w:style>
  <w:style w:type="character" w:customStyle="1" w:styleId="SignatureChar">
    <w:name w:val="Signature Char"/>
    <w:basedOn w:val="DefaultParagraphFont"/>
    <w:link w:val="Signature"/>
    <w:semiHidden/>
    <w:rsid w:val="00842335"/>
    <w:rPr>
      <w:rFonts w:ascii="Calibri" w:eastAsia="Times New Roman" w:hAnsi="Calibri" w:cs="Times New Roman"/>
      <w:szCs w:val="24"/>
    </w:rPr>
  </w:style>
  <w:style w:type="paragraph" w:styleId="Subtitle">
    <w:name w:val="Subtitle"/>
    <w:basedOn w:val="Normal"/>
    <w:next w:val="Normal"/>
    <w:link w:val="SubtitleChar"/>
    <w:qFormat/>
    <w:rsid w:val="00842335"/>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842335"/>
    <w:rPr>
      <w:rFonts w:eastAsiaTheme="minorEastAsia"/>
      <w:color w:val="5A5A5A" w:themeColor="text1" w:themeTint="A5"/>
      <w:spacing w:val="15"/>
    </w:rPr>
  </w:style>
  <w:style w:type="paragraph" w:styleId="TableofAuthorities">
    <w:name w:val="table of authorities"/>
    <w:basedOn w:val="Normal"/>
    <w:next w:val="Normal"/>
    <w:semiHidden/>
    <w:unhideWhenUsed/>
    <w:rsid w:val="00842335"/>
    <w:pPr>
      <w:ind w:left="220" w:hanging="220"/>
    </w:pPr>
  </w:style>
  <w:style w:type="paragraph" w:styleId="Title">
    <w:name w:val="Title"/>
    <w:basedOn w:val="Normal"/>
    <w:next w:val="Normal"/>
    <w:link w:val="TitleChar"/>
    <w:qFormat/>
    <w:rsid w:val="0084233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42335"/>
    <w:rPr>
      <w:rFonts w:asciiTheme="majorHAnsi" w:eastAsiaTheme="majorEastAsia" w:hAnsiTheme="majorHAnsi" w:cstheme="majorBidi"/>
      <w:spacing w:val="-10"/>
      <w:kern w:val="28"/>
      <w:sz w:val="56"/>
      <w:szCs w:val="56"/>
    </w:rPr>
  </w:style>
  <w:style w:type="paragraph" w:styleId="TOAHeading">
    <w:name w:val="toa heading"/>
    <w:basedOn w:val="Normal"/>
    <w:next w:val="Normal"/>
    <w:semiHidden/>
    <w:unhideWhenUsed/>
    <w:rsid w:val="00842335"/>
    <w:pPr>
      <w:spacing w:before="120"/>
    </w:pPr>
    <w:rPr>
      <w:rFonts w:asciiTheme="majorHAnsi" w:eastAsiaTheme="majorEastAsia" w:hAnsiTheme="majorHAnsi" w:cstheme="majorBidi"/>
      <w:b/>
      <w:bCs/>
      <w:sz w:val="24"/>
    </w:rPr>
  </w:style>
  <w:style w:type="paragraph" w:styleId="TOCHeading">
    <w:name w:val="TOC Heading"/>
    <w:basedOn w:val="Heading1"/>
    <w:next w:val="Normal"/>
    <w:uiPriority w:val="39"/>
    <w:semiHidden/>
    <w:unhideWhenUsed/>
    <w:qFormat/>
    <w:rsid w:val="00842335"/>
    <w:pPr>
      <w:keepLines/>
      <w:pageBreakBefore w:val="0"/>
      <w:widowControl/>
      <w:tabs>
        <w:tab w:val="clear" w:pos="567"/>
      </w:tabs>
      <w:spacing w:before="240" w:line="240" w:lineRule="auto"/>
      <w:outlineLvl w:val="9"/>
    </w:pPr>
    <w:rPr>
      <w:rFonts w:asciiTheme="majorHAnsi" w:eastAsiaTheme="majorEastAsia" w:hAnsiTheme="majorHAnsi" w:cstheme="majorBidi"/>
      <w:bCs w:val="0"/>
      <w:smallCaps w:val="0"/>
      <w:color w:val="2F5496" w:themeColor="accent1" w:themeShade="BF"/>
      <w:spacing w:val="0"/>
      <w:kern w:val="0"/>
      <w:sz w:val="32"/>
      <w:szCs w:val="32"/>
    </w:rPr>
  </w:style>
  <w:style w:type="numbering" w:customStyle="1" w:styleId="CommitteeNumberedPara">
    <w:name w:val="Committee Numbered Para"/>
    <w:uiPriority w:val="99"/>
    <w:rsid w:val="00394272"/>
    <w:pPr>
      <w:numPr>
        <w:numId w:val="14"/>
      </w:numPr>
    </w:pPr>
  </w:style>
  <w:style w:type="numbering" w:customStyle="1" w:styleId="CommitteeNumberedPara1">
    <w:name w:val="Committee Numbered Para1"/>
    <w:uiPriority w:val="99"/>
    <w:rsid w:val="00394272"/>
  </w:style>
  <w:style w:type="numbering" w:customStyle="1" w:styleId="CommitteeNumberedPara2">
    <w:name w:val="Committee Numbered Para2"/>
    <w:uiPriority w:val="99"/>
    <w:rsid w:val="00394272"/>
  </w:style>
  <w:style w:type="numbering" w:customStyle="1" w:styleId="CommitteeNumberedPara3">
    <w:name w:val="Committee Numbered Para3"/>
    <w:uiPriority w:val="99"/>
    <w:rsid w:val="00977530"/>
  </w:style>
  <w:style w:type="paragraph" w:customStyle="1" w:styleId="DPSEntryDetail">
    <w:name w:val="DPSEntryDetail"/>
    <w:link w:val="DPSEntryDetailChar"/>
    <w:rsid w:val="009E768D"/>
    <w:pPr>
      <w:tabs>
        <w:tab w:val="left" w:pos="1197"/>
        <w:tab w:val="left" w:pos="1767"/>
      </w:tabs>
      <w:spacing w:before="120" w:after="0" w:line="240" w:lineRule="auto"/>
      <w:ind w:left="720"/>
    </w:pPr>
    <w:rPr>
      <w:rFonts w:ascii="Calibri" w:eastAsia="Times New Roman" w:hAnsi="Calibri" w:cs="Times New Roman"/>
      <w:sz w:val="24"/>
      <w:szCs w:val="20"/>
      <w:lang w:eastAsia="en-AU"/>
    </w:rPr>
  </w:style>
  <w:style w:type="paragraph" w:customStyle="1" w:styleId="DPSEntryDetailIndentLev1">
    <w:name w:val="DPSEntryDetailIndentLev1"/>
    <w:link w:val="DPSEntryDetailIndentLev1Char"/>
    <w:rsid w:val="009E768D"/>
    <w:pPr>
      <w:tabs>
        <w:tab w:val="left" w:pos="1350"/>
      </w:tabs>
      <w:spacing w:before="120" w:after="0" w:line="240" w:lineRule="auto"/>
      <w:ind w:left="864"/>
    </w:pPr>
    <w:rPr>
      <w:rFonts w:ascii="Calibri" w:eastAsia="Times New Roman" w:hAnsi="Calibri" w:cs="Times New Roman"/>
      <w:sz w:val="24"/>
      <w:szCs w:val="20"/>
      <w:lang w:eastAsia="en-AU"/>
    </w:rPr>
  </w:style>
  <w:style w:type="paragraph" w:customStyle="1" w:styleId="DPSEntryDetailIndentLev2">
    <w:name w:val="DPSEntryDetailIndentLev2"/>
    <w:rsid w:val="009E768D"/>
    <w:pPr>
      <w:tabs>
        <w:tab w:val="left" w:pos="1980"/>
      </w:tabs>
      <w:spacing w:before="120" w:after="0" w:line="240" w:lineRule="auto"/>
      <w:ind w:left="1008"/>
    </w:pPr>
    <w:rPr>
      <w:rFonts w:ascii="Calibri" w:eastAsia="Times New Roman" w:hAnsi="Calibri" w:cs="Times New Roman"/>
      <w:sz w:val="24"/>
      <w:szCs w:val="20"/>
      <w:lang w:eastAsia="en-AU"/>
    </w:rPr>
  </w:style>
  <w:style w:type="character" w:customStyle="1" w:styleId="DPSEntryDetailIndentLev1Char">
    <w:name w:val="DPSEntryDetailIndentLev1 Char"/>
    <w:basedOn w:val="DefaultParagraphFont"/>
    <w:link w:val="DPSEntryDetailIndentLev1"/>
    <w:rsid w:val="009E768D"/>
    <w:rPr>
      <w:rFonts w:ascii="Calibri" w:eastAsia="Times New Roman" w:hAnsi="Calibri" w:cs="Times New Roman"/>
      <w:sz w:val="24"/>
      <w:szCs w:val="20"/>
      <w:lang w:eastAsia="en-AU"/>
    </w:rPr>
  </w:style>
  <w:style w:type="character" w:customStyle="1" w:styleId="DPSEntryDetailChar">
    <w:name w:val="DPSEntryDetail Char"/>
    <w:basedOn w:val="DefaultParagraphFont"/>
    <w:link w:val="DPSEntryDetail"/>
    <w:rsid w:val="009E768D"/>
    <w:rPr>
      <w:rFonts w:ascii="Calibri" w:eastAsia="Times New Roman" w:hAnsi="Calibri" w:cs="Times New Roman"/>
      <w:sz w:val="24"/>
      <w:szCs w:val="20"/>
      <w:lang w:eastAsia="en-AU"/>
    </w:rPr>
  </w:style>
  <w:style w:type="paragraph" w:customStyle="1" w:styleId="BodyText10">
    <w:name w:val="Body Text 1"/>
    <w:basedOn w:val="Normal"/>
    <w:rsid w:val="00B139CB"/>
    <w:pPr>
      <w:spacing w:before="200" w:after="200"/>
      <w:jc w:val="both"/>
    </w:pPr>
    <w:rPr>
      <w:sz w:val="24"/>
      <w:szCs w:val="20"/>
    </w:rPr>
  </w:style>
  <w:style w:type="paragraph" w:customStyle="1" w:styleId="BSbullet1">
    <w:name w:val="BS_bullet 1"/>
    <w:basedOn w:val="BodyTextIndent"/>
    <w:link w:val="BSbullet1Char"/>
    <w:qFormat/>
    <w:rsid w:val="00B139CB"/>
    <w:pPr>
      <w:numPr>
        <w:numId w:val="20"/>
      </w:numPr>
      <w:spacing w:before="200"/>
    </w:pPr>
    <w:rPr>
      <w:sz w:val="24"/>
    </w:rPr>
  </w:style>
  <w:style w:type="character" w:customStyle="1" w:styleId="BSbullet1Char">
    <w:name w:val="BS_bullet 1 Char"/>
    <w:basedOn w:val="BodyTextIndentChar"/>
    <w:link w:val="BSbullet1"/>
    <w:rsid w:val="00B139CB"/>
    <w:rPr>
      <w:rFonts w:ascii="Calibri" w:eastAsia="Times New Roman" w:hAnsi="Calibri" w:cs="Times New Roman"/>
      <w:sz w:val="24"/>
      <w:szCs w:val="24"/>
    </w:rPr>
  </w:style>
  <w:style w:type="table" w:customStyle="1" w:styleId="CommitteeTable">
    <w:name w:val="Committee Table"/>
    <w:basedOn w:val="TableNormal"/>
    <w:uiPriority w:val="99"/>
    <w:rsid w:val="00A152C1"/>
    <w:pPr>
      <w:spacing w:before="160" w:after="80" w:line="240" w:lineRule="auto"/>
    </w:pPr>
    <w:rPr>
      <w:rFonts w:ascii="Calibri" w:eastAsia="Times New Roman" w:hAnsi="Calibri" w:cs="Times New Roman"/>
      <w:szCs w:val="20"/>
      <w:lang w:eastAsia="en-AU"/>
    </w:rPr>
    <w:tblPr>
      <w:tblStyleRowBandSize w:val="1"/>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vAlign w:val="center"/>
    </w:tcPr>
    <w:tblStylePr w:type="firstRow">
      <w:pPr>
        <w:wordWrap/>
        <w:spacing w:beforeLines="0" w:before="160" w:beforeAutospacing="0" w:afterLines="0" w:after="80" w:afterAutospacing="0" w:line="288" w:lineRule="auto"/>
      </w:pPr>
      <w:rPr>
        <w:rFonts w:ascii="Arial Narrow" w:hAnsi="Arial Narrow"/>
        <w:b/>
        <w:sz w:val="22"/>
      </w:rPr>
      <w:tblPr/>
      <w:trPr>
        <w:tblHeader/>
      </w:trPr>
    </w:tblStylePr>
    <w:tblStylePr w:type="band1Horz">
      <w:rPr>
        <w:rFonts w:ascii="Arial Narrow" w:hAnsi="Arial Narrow"/>
        <w:sz w:val="20"/>
      </w:rPr>
      <w:tblPr/>
      <w:tcPr>
        <w:shd w:val="clear" w:color="auto" w:fill="F2F2F2"/>
      </w:tcPr>
    </w:tblStylePr>
  </w:style>
  <w:style w:type="paragraph" w:customStyle="1" w:styleId="TableText0">
    <w:name w:val="Table Text"/>
    <w:basedOn w:val="Normal"/>
    <w:qFormat/>
    <w:rsid w:val="00A152C1"/>
    <w:pPr>
      <w:spacing w:before="160" w:after="80" w:line="288" w:lineRule="auto"/>
    </w:pPr>
  </w:style>
  <w:style w:type="paragraph" w:customStyle="1" w:styleId="RecommendationHeading">
    <w:name w:val="Recommendation Heading"/>
    <w:basedOn w:val="Normal"/>
    <w:next w:val="RecommendationText"/>
    <w:qFormat/>
    <w:rsid w:val="00592C9A"/>
    <w:pPr>
      <w:spacing w:before="400" w:after="100" w:line="312" w:lineRule="auto"/>
    </w:pPr>
    <w:rPr>
      <w:rFonts w:ascii="Arial Narrow" w:hAnsi="Arial Narrow"/>
      <w:b/>
      <w:spacing w:val="20"/>
      <w:sz w:val="28"/>
      <w:szCs w:val="28"/>
    </w:rPr>
  </w:style>
  <w:style w:type="paragraph" w:customStyle="1" w:styleId="FindingHeading">
    <w:name w:val="Finding Heading"/>
    <w:basedOn w:val="RecommendationHeading"/>
    <w:next w:val="FindingText"/>
    <w:qFormat/>
    <w:rsid w:val="00592C9A"/>
  </w:style>
  <w:style w:type="paragraph" w:customStyle="1" w:styleId="FindingText">
    <w:name w:val="Finding Text"/>
    <w:basedOn w:val="RecommendationText"/>
    <w:next w:val="BodyText"/>
    <w:qFormat/>
    <w:rsid w:val="00592C9A"/>
    <w:pPr>
      <w:numPr>
        <w:ilvl w:val="1"/>
        <w:numId w:val="23"/>
      </w:numPr>
      <w:spacing w:after="100"/>
    </w:pPr>
  </w:style>
  <w:style w:type="paragraph" w:customStyle="1" w:styleId="FindingBullet">
    <w:name w:val="Finding Bullet"/>
    <w:basedOn w:val="RecommendationBullet"/>
    <w:qFormat/>
    <w:rsid w:val="00592C9A"/>
    <w:pPr>
      <w:numPr>
        <w:ilvl w:val="2"/>
      </w:numPr>
      <w:ind w:left="964" w:hanging="39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567872">
      <w:bodyDiv w:val="1"/>
      <w:marLeft w:val="0"/>
      <w:marRight w:val="0"/>
      <w:marTop w:val="0"/>
      <w:marBottom w:val="0"/>
      <w:divBdr>
        <w:top w:val="none" w:sz="0" w:space="0" w:color="auto"/>
        <w:left w:val="none" w:sz="0" w:space="0" w:color="auto"/>
        <w:bottom w:val="none" w:sz="0" w:space="0" w:color="auto"/>
        <w:right w:val="none" w:sz="0" w:space="0" w:color="auto"/>
      </w:divBdr>
    </w:div>
    <w:div w:id="396588174">
      <w:bodyDiv w:val="1"/>
      <w:marLeft w:val="0"/>
      <w:marRight w:val="0"/>
      <w:marTop w:val="0"/>
      <w:marBottom w:val="0"/>
      <w:divBdr>
        <w:top w:val="none" w:sz="0" w:space="0" w:color="auto"/>
        <w:left w:val="none" w:sz="0" w:space="0" w:color="auto"/>
        <w:bottom w:val="none" w:sz="0" w:space="0" w:color="auto"/>
        <w:right w:val="none" w:sz="0" w:space="0" w:color="auto"/>
      </w:divBdr>
    </w:div>
    <w:div w:id="416292192">
      <w:bodyDiv w:val="1"/>
      <w:marLeft w:val="0"/>
      <w:marRight w:val="0"/>
      <w:marTop w:val="0"/>
      <w:marBottom w:val="0"/>
      <w:divBdr>
        <w:top w:val="none" w:sz="0" w:space="0" w:color="auto"/>
        <w:left w:val="none" w:sz="0" w:space="0" w:color="auto"/>
        <w:bottom w:val="none" w:sz="0" w:space="0" w:color="auto"/>
        <w:right w:val="none" w:sz="0" w:space="0" w:color="auto"/>
      </w:divBdr>
    </w:div>
    <w:div w:id="580913909">
      <w:bodyDiv w:val="1"/>
      <w:marLeft w:val="0"/>
      <w:marRight w:val="0"/>
      <w:marTop w:val="0"/>
      <w:marBottom w:val="0"/>
      <w:divBdr>
        <w:top w:val="none" w:sz="0" w:space="0" w:color="auto"/>
        <w:left w:val="none" w:sz="0" w:space="0" w:color="auto"/>
        <w:bottom w:val="none" w:sz="0" w:space="0" w:color="auto"/>
        <w:right w:val="none" w:sz="0" w:space="0" w:color="auto"/>
      </w:divBdr>
    </w:div>
    <w:div w:id="582106432">
      <w:bodyDiv w:val="1"/>
      <w:marLeft w:val="0"/>
      <w:marRight w:val="0"/>
      <w:marTop w:val="0"/>
      <w:marBottom w:val="0"/>
      <w:divBdr>
        <w:top w:val="none" w:sz="0" w:space="0" w:color="auto"/>
        <w:left w:val="none" w:sz="0" w:space="0" w:color="auto"/>
        <w:bottom w:val="none" w:sz="0" w:space="0" w:color="auto"/>
        <w:right w:val="none" w:sz="0" w:space="0" w:color="auto"/>
      </w:divBdr>
    </w:div>
    <w:div w:id="811024958">
      <w:bodyDiv w:val="1"/>
      <w:marLeft w:val="0"/>
      <w:marRight w:val="0"/>
      <w:marTop w:val="0"/>
      <w:marBottom w:val="0"/>
      <w:divBdr>
        <w:top w:val="none" w:sz="0" w:space="0" w:color="auto"/>
        <w:left w:val="none" w:sz="0" w:space="0" w:color="auto"/>
        <w:bottom w:val="none" w:sz="0" w:space="0" w:color="auto"/>
        <w:right w:val="none" w:sz="0" w:space="0" w:color="auto"/>
      </w:divBdr>
    </w:div>
    <w:div w:id="976109986">
      <w:bodyDiv w:val="1"/>
      <w:marLeft w:val="0"/>
      <w:marRight w:val="0"/>
      <w:marTop w:val="0"/>
      <w:marBottom w:val="0"/>
      <w:divBdr>
        <w:top w:val="none" w:sz="0" w:space="0" w:color="auto"/>
        <w:left w:val="none" w:sz="0" w:space="0" w:color="auto"/>
        <w:bottom w:val="none" w:sz="0" w:space="0" w:color="auto"/>
        <w:right w:val="none" w:sz="0" w:space="0" w:color="auto"/>
      </w:divBdr>
    </w:div>
    <w:div w:id="1042285140">
      <w:bodyDiv w:val="1"/>
      <w:marLeft w:val="0"/>
      <w:marRight w:val="0"/>
      <w:marTop w:val="0"/>
      <w:marBottom w:val="0"/>
      <w:divBdr>
        <w:top w:val="none" w:sz="0" w:space="0" w:color="auto"/>
        <w:left w:val="none" w:sz="0" w:space="0" w:color="auto"/>
        <w:bottom w:val="none" w:sz="0" w:space="0" w:color="auto"/>
        <w:right w:val="none" w:sz="0" w:space="0" w:color="auto"/>
      </w:divBdr>
    </w:div>
    <w:div w:id="1915820436">
      <w:bodyDiv w:val="1"/>
      <w:marLeft w:val="0"/>
      <w:marRight w:val="0"/>
      <w:marTop w:val="0"/>
      <w:marBottom w:val="0"/>
      <w:divBdr>
        <w:top w:val="none" w:sz="0" w:space="0" w:color="auto"/>
        <w:left w:val="none" w:sz="0" w:space="0" w:color="auto"/>
        <w:bottom w:val="none" w:sz="0" w:space="0" w:color="auto"/>
        <w:right w:val="none" w:sz="0" w:space="0" w:color="auto"/>
      </w:divBdr>
    </w:div>
    <w:div w:id="2112894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hyperlink" Target="https://www.health.gov.au/sites/default/files/national-drug-strategy-2017-2026_1.pdf" TargetMode="External"/><Relationship Id="rId3" Type="http://schemas.openxmlformats.org/officeDocument/2006/relationships/styles" Target="styles.xml"/><Relationship Id="rId21" Type="http://schemas.openxmlformats.org/officeDocument/2006/relationships/hyperlink" Target="https://www.parliament.act.gov.au/parliamentary-business/in-committees/committees/hcw/inquiries-into-annual-and-financial-reports-20192020-and-act-budget-20202021" TargetMode="External"/><Relationship Id="rId34" Type="http://schemas.openxmlformats.org/officeDocument/2006/relationships/header" Target="header12.xml"/><Relationship Id="rId7" Type="http://schemas.openxmlformats.org/officeDocument/2006/relationships/endnotes" Target="endnotes.xml"/><Relationship Id="rId12" Type="http://schemas.openxmlformats.org/officeDocument/2006/relationships/hyperlink" Target="http://www.parliament.act.gov.au" TargetMode="External"/><Relationship Id="rId17" Type="http://schemas.openxmlformats.org/officeDocument/2006/relationships/header" Target="header5.xml"/><Relationship Id="rId25" Type="http://schemas.openxmlformats.org/officeDocument/2006/relationships/hyperlink" Target="https://www.yoursay.act.gov.au/download_file/view/3018/935" TargetMode="External"/><Relationship Id="rId33" Type="http://schemas.openxmlformats.org/officeDocument/2006/relationships/footer" Target="footer6.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www.parliament.act.gov.au/parliamentary-business/in-committees/committees/hcw/inquiries-into-annual-and-financial-reports-20192020-and-act-budget-20202021"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CommitteeHCW@parliament.act.gov.au" TargetMode="External"/><Relationship Id="rId24" Type="http://schemas.openxmlformats.org/officeDocument/2006/relationships/hyperlink" Target="https://www.cmtedd.act.gov.au/open_government/report/annual_reports" TargetMode="External"/><Relationship Id="rId32" Type="http://schemas.openxmlformats.org/officeDocument/2006/relationships/header" Target="header11.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www.hansard.act.gov.au/hansard/2021/comms/hcw02.pdf" TargetMode="External"/><Relationship Id="rId28" Type="http://schemas.openxmlformats.org/officeDocument/2006/relationships/footer" Target="footer5.xml"/><Relationship Id="rId36" Type="http://schemas.openxmlformats.org/officeDocument/2006/relationships/hyperlink" Target="https://www.parliament.act.gov.au/parliamentary-business/in-committees/committees/hcw/inquiries-into-annual-and-financial-reports-20192020-and-act-budget-20202021" TargetMode="Externa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www.hansard.act.gov.au/hansard/2021/comms/hcw01.pdf" TargetMode="External"/><Relationship Id="rId27" Type="http://schemas.openxmlformats.org/officeDocument/2006/relationships/header" Target="header7.xml"/><Relationship Id="rId30" Type="http://schemas.openxmlformats.org/officeDocument/2006/relationships/header" Target="header9.xml"/><Relationship Id="rId35" Type="http://schemas.openxmlformats.org/officeDocument/2006/relationships/hyperlink" Target="https://www.parliament.act.gov.au/parliamentary-business/in-committees/committees/hcw/inquiries-into-annual-and-financial-reports-20192020-and-act-budget-20202021"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health.act.gov.au/about-our-health-system/population-health/act-drug-strategy-action-plan" TargetMode="External"/><Relationship Id="rId3" Type="http://schemas.openxmlformats.org/officeDocument/2006/relationships/hyperlink" Target="https://www.health.act.gov.au/sites/default/files/2020-12/CHS%20Annual%20Report%202019-20%20-%20Accessible.pdf" TargetMode="External"/><Relationship Id="rId7" Type="http://schemas.openxmlformats.org/officeDocument/2006/relationships/hyperlink" Target="https://www.medicaltrainingsurvey.gov.au/" TargetMode="External"/><Relationship Id="rId2" Type="http://schemas.openxmlformats.org/officeDocument/2006/relationships/hyperlink" Target="https://www.health.act.gov.au/sites/default/files/2020-12/CHS%20Annual%20Report%202019-20%20-%20Accessible.pdf" TargetMode="External"/><Relationship Id="rId1" Type="http://schemas.openxmlformats.org/officeDocument/2006/relationships/hyperlink" Target="https://www.health.act.gov.au/sites/default/files/2020-12/ACT%20Health%20Directorate%20Annual%20Report%202019-20%20Accessible.pdf" TargetMode="External"/><Relationship Id="rId6" Type="http://schemas.openxmlformats.org/officeDocument/2006/relationships/hyperlink" Target="https://apps.treasury.act.gov.au/__data/assets/pdf_file/0010/1698940/2020-21-Budget-Statements-G.pdf" TargetMode="External"/><Relationship Id="rId5" Type="http://schemas.openxmlformats.org/officeDocument/2006/relationships/hyperlink" Target="https://apps.treasury.act.gov.au/__data/assets/pdf_file/0004/1698934/2020-21-Budget-Statements-C.pdf" TargetMode="External"/><Relationship Id="rId4" Type="http://schemas.openxmlformats.org/officeDocument/2006/relationships/hyperlink" Target="https://www.parliament.act.gov.au/__data/assets/pdf_file/0005/1700087/MoP004F.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24EFE-8106-478A-8F4E-25FD6EB44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73</Pages>
  <Words>15437</Words>
  <Characters>87991</Characters>
  <Application>Microsoft Office Word</Application>
  <DocSecurity>4</DocSecurity>
  <Lines>733</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Snedden, Andrew</dc:creator>
  <cp:keywords/>
  <dc:description/>
  <cp:lastModifiedBy>Atkins, Michelle</cp:lastModifiedBy>
  <cp:revision>2</cp:revision>
  <cp:lastPrinted>2021-04-08T22:55:00Z</cp:lastPrinted>
  <dcterms:created xsi:type="dcterms:W3CDTF">2021-04-19T01:14:00Z</dcterms:created>
  <dcterms:modified xsi:type="dcterms:W3CDTF">2021-04-19T01:14:00Z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2021-03-26T01:34:13Z</vt:lpwstr>
  </property>
  <property fmtid="{D5CDD505-2E9C-101B-9397-08002B2CF9AE}" pid="4" name="MSIP_Label_69af8531-eb46-4968-8cb3-105d2f5ea87e_Method">
    <vt:lpwstr>Privileged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5401eb83-9ce8-4349-b949-4e2c0863555b</vt:lpwstr>
  </property>
  <property fmtid="{D5CDD505-2E9C-101B-9397-08002B2CF9AE}" pid="8" name="MSIP_Label_69af8531-eb46-4968-8cb3-105d2f5ea87e_ContentBits">
    <vt:lpwstr>0</vt:lpwstr>
  </property>
</Properties>
</file>