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218F5B" w14:textId="77777777" w:rsidR="00D1002F" w:rsidRDefault="00D1002F" w:rsidP="00C325F9">
      <w:pPr>
        <w:pStyle w:val="Contactinformation"/>
      </w:pPr>
    </w:p>
    <w:p w14:paraId="50855752" w14:textId="77777777" w:rsidR="00D1002F" w:rsidRDefault="00D1002F" w:rsidP="00973B5B">
      <w:pPr>
        <w:pStyle w:val="Contactinformation"/>
        <w:ind w:firstLine="720"/>
      </w:pPr>
    </w:p>
    <w:p w14:paraId="2673C6A6" w14:textId="77777777" w:rsidR="00D1002F" w:rsidRDefault="00D1002F" w:rsidP="00C325F9">
      <w:pPr>
        <w:pStyle w:val="Contactinformation"/>
      </w:pPr>
    </w:p>
    <w:p w14:paraId="42988A53" w14:textId="77777777" w:rsidR="00D1002F" w:rsidRDefault="00D1002F" w:rsidP="00C325F9">
      <w:pPr>
        <w:pStyle w:val="Contactinformation"/>
      </w:pPr>
    </w:p>
    <w:p w14:paraId="70FF5895" w14:textId="77777777" w:rsidR="00D1002F" w:rsidRDefault="00D1002F" w:rsidP="00C325F9">
      <w:pPr>
        <w:pStyle w:val="Contactinformation"/>
      </w:pPr>
    </w:p>
    <w:p w14:paraId="0EF64272" w14:textId="77777777" w:rsidR="00D1002F" w:rsidRDefault="00D1002F" w:rsidP="00C325F9">
      <w:pPr>
        <w:pStyle w:val="Contactinformation"/>
      </w:pPr>
    </w:p>
    <w:p w14:paraId="185FBBB3" w14:textId="45E1A0AF" w:rsidR="00D1002F" w:rsidRDefault="00D1002F" w:rsidP="00C325F9">
      <w:pPr>
        <w:pStyle w:val="Contactinformation"/>
      </w:pPr>
    </w:p>
    <w:p w14:paraId="7BDE31D6" w14:textId="77392FB1" w:rsidR="00715135" w:rsidRDefault="00715135" w:rsidP="00C325F9">
      <w:pPr>
        <w:pStyle w:val="Contactinformation"/>
      </w:pPr>
    </w:p>
    <w:p w14:paraId="2BB082EB" w14:textId="77777777" w:rsidR="00D1002F" w:rsidRDefault="00D1002F" w:rsidP="00C325F9">
      <w:pPr>
        <w:pStyle w:val="Contactinformation"/>
      </w:pPr>
    </w:p>
    <w:p w14:paraId="2D9B3063" w14:textId="09E80158" w:rsidR="00D1002F" w:rsidRDefault="00D1002F" w:rsidP="00C325F9">
      <w:pPr>
        <w:pStyle w:val="Contactinformation"/>
      </w:pPr>
    </w:p>
    <w:p w14:paraId="24883967" w14:textId="77777777" w:rsidR="00752D58" w:rsidRDefault="00752D58" w:rsidP="00C325F9">
      <w:pPr>
        <w:pStyle w:val="Contactinformation"/>
      </w:pPr>
    </w:p>
    <w:p w14:paraId="359C1697" w14:textId="5BDD7C27" w:rsidR="008909CB" w:rsidRDefault="007F4BF0" w:rsidP="008909CB">
      <w:pPr>
        <w:pStyle w:val="Reporttitle"/>
      </w:pPr>
      <w:r>
        <w:t xml:space="preserve">Inquiry into COVID-19 Emergency Response Legislation Amendment Bill 2020 </w:t>
      </w:r>
      <w:r w:rsidR="003C2DD9">
        <w:t>(</w:t>
      </w:r>
      <w:r>
        <w:t>No 3</w:t>
      </w:r>
      <w:r w:rsidR="003C2DD9">
        <w:t>)</w:t>
      </w:r>
    </w:p>
    <w:p w14:paraId="401B636A" w14:textId="0443F5BC" w:rsidR="008909CB" w:rsidRDefault="00F979FF" w:rsidP="00F22201">
      <w:pPr>
        <w:pStyle w:val="Committeename"/>
        <w:spacing w:before="480" w:after="480"/>
      </w:pPr>
      <w:r>
        <w:t xml:space="preserve">Standing </w:t>
      </w:r>
      <w:r w:rsidR="008909CB">
        <w:t xml:space="preserve">Committee </w:t>
      </w:r>
      <w:r>
        <w:t xml:space="preserve">on </w:t>
      </w:r>
      <w:r w:rsidR="007F4BF0">
        <w:t>Economy and Gender and Economic Equality</w:t>
      </w:r>
    </w:p>
    <w:p w14:paraId="75C1BB10" w14:textId="32429556" w:rsidR="008909CB" w:rsidRDefault="007F4BF0" w:rsidP="00F22201">
      <w:pPr>
        <w:pStyle w:val="Reportdate"/>
        <w:spacing w:after="360"/>
      </w:pPr>
      <w:r>
        <w:t>January 2021</w:t>
      </w:r>
    </w:p>
    <w:p w14:paraId="243241AF" w14:textId="20FA2402" w:rsidR="008909CB" w:rsidRDefault="008909CB" w:rsidP="00F22201">
      <w:pPr>
        <w:pStyle w:val="Reportnumber"/>
        <w:spacing w:before="720"/>
      </w:pPr>
      <w:r>
        <w:t xml:space="preserve">Report </w:t>
      </w:r>
      <w:r w:rsidR="004B3D74">
        <w:t>1</w:t>
      </w:r>
    </w:p>
    <w:p w14:paraId="370EAD91" w14:textId="77777777" w:rsidR="008909CB" w:rsidRDefault="008909CB">
      <w:pPr>
        <w:pStyle w:val="Prelimminorheading"/>
        <w:numPr>
          <w:ilvl w:val="0"/>
          <w:numId w:val="0"/>
        </w:numPr>
      </w:pPr>
    </w:p>
    <w:p w14:paraId="49256918" w14:textId="77777777" w:rsidR="008909CB" w:rsidRDefault="008909CB">
      <w:pPr>
        <w:pStyle w:val="Prelimminorheading"/>
        <w:numPr>
          <w:ilvl w:val="0"/>
          <w:numId w:val="0"/>
        </w:numPr>
      </w:pPr>
    </w:p>
    <w:p w14:paraId="3B3D9A41" w14:textId="77777777" w:rsidR="008909CB" w:rsidRDefault="008909CB">
      <w:pPr>
        <w:pStyle w:val="Prelimminorheading"/>
        <w:numPr>
          <w:ilvl w:val="0"/>
          <w:numId w:val="0"/>
        </w:numPr>
      </w:pPr>
    </w:p>
    <w:p w14:paraId="455395F7" w14:textId="77777777" w:rsidR="008909CB" w:rsidRDefault="008909CB">
      <w:pPr>
        <w:pStyle w:val="Prelimminorheading"/>
        <w:numPr>
          <w:ilvl w:val="0"/>
          <w:numId w:val="0"/>
        </w:numPr>
        <w:sectPr w:rsidR="008909CB" w:rsidSect="009D46B6">
          <w:headerReference w:type="even" r:id="rId9"/>
          <w:headerReference w:type="default" r:id="rId10"/>
          <w:footerReference w:type="even" r:id="rId11"/>
          <w:footerReference w:type="default" r:id="rId12"/>
          <w:headerReference w:type="first" r:id="rId13"/>
          <w:footerReference w:type="first" r:id="rId14"/>
          <w:pgSz w:w="11907" w:h="16840" w:code="9"/>
          <w:pgMar w:top="1588" w:right="1418" w:bottom="425" w:left="1418" w:header="720" w:footer="851" w:gutter="0"/>
          <w:pgNumType w:fmt="lowerRoman"/>
          <w:cols w:space="720"/>
          <w:titlePg/>
          <w:docGrid w:linePitch="360"/>
        </w:sectPr>
      </w:pPr>
    </w:p>
    <w:p w14:paraId="32AD0337" w14:textId="77777777" w:rsidR="00AC2589" w:rsidRPr="00AC2589" w:rsidRDefault="00AC2589" w:rsidP="00AC2589">
      <w:pPr>
        <w:pStyle w:val="Heading1"/>
        <w:numPr>
          <w:ilvl w:val="0"/>
          <w:numId w:val="0"/>
        </w:numPr>
      </w:pPr>
      <w:bookmarkStart w:id="0" w:name="_Toc62740022"/>
      <w:bookmarkStart w:id="1" w:name="_Toc170711045"/>
      <w:bookmarkStart w:id="2" w:name="_Toc341433411"/>
      <w:bookmarkStart w:id="3" w:name="_Toc341687854"/>
      <w:r w:rsidRPr="00AC2589">
        <w:lastRenderedPageBreak/>
        <w:t>T</w:t>
      </w:r>
      <w:r>
        <w:t>he Committee</w:t>
      </w:r>
      <w:bookmarkEnd w:id="0"/>
    </w:p>
    <w:p w14:paraId="326130B2" w14:textId="4CD17C09" w:rsidR="002E676A" w:rsidRPr="00BD6446" w:rsidRDefault="00AF784F" w:rsidP="002E676A">
      <w:pPr>
        <w:pStyle w:val="Prelimminorheading"/>
        <w:numPr>
          <w:ilvl w:val="0"/>
          <w:numId w:val="0"/>
        </w:numPr>
        <w:rPr>
          <w:spacing w:val="4"/>
          <w:sz w:val="30"/>
          <w:szCs w:val="30"/>
        </w:rPr>
      </w:pPr>
      <w:bookmarkStart w:id="4" w:name="_Toc62740023"/>
      <w:r w:rsidRPr="00BD6446">
        <w:rPr>
          <w:spacing w:val="4"/>
          <w:sz w:val="30"/>
          <w:szCs w:val="30"/>
        </w:rPr>
        <w:t xml:space="preserve">Committee </w:t>
      </w:r>
      <w:r w:rsidR="007F4BF0">
        <w:rPr>
          <w:spacing w:val="4"/>
          <w:sz w:val="30"/>
          <w:szCs w:val="30"/>
        </w:rPr>
        <w:t>m</w:t>
      </w:r>
      <w:r w:rsidR="002E676A" w:rsidRPr="00BD6446">
        <w:rPr>
          <w:spacing w:val="4"/>
          <w:sz w:val="30"/>
          <w:szCs w:val="30"/>
        </w:rPr>
        <w:t>embership</w:t>
      </w:r>
      <w:bookmarkEnd w:id="1"/>
      <w:bookmarkEnd w:id="2"/>
      <w:bookmarkEnd w:id="3"/>
      <w:bookmarkEnd w:id="4"/>
    </w:p>
    <w:p w14:paraId="762401D5" w14:textId="01D13D9B" w:rsidR="007F4BF0" w:rsidRDefault="007F4BF0" w:rsidP="007F4BF0">
      <w:pPr>
        <w:pStyle w:val="Bodytextnonumbering"/>
      </w:pPr>
      <w:bookmarkStart w:id="5" w:name="_Toc170711046"/>
      <w:bookmarkStart w:id="6" w:name="_Toc341433413"/>
      <w:bookmarkStart w:id="7" w:name="_Toc341687856"/>
      <w:r w:rsidRPr="007F4BF0">
        <w:t>Ms Nicole Lawder MLA</w:t>
      </w:r>
      <w:r w:rsidRPr="007F4BF0">
        <w:tab/>
      </w:r>
      <w:r w:rsidRPr="007F4BF0">
        <w:tab/>
        <w:t>Chair (from 8 December 2020)</w:t>
      </w:r>
    </w:p>
    <w:p w14:paraId="53350B3F" w14:textId="392120C7" w:rsidR="00F92316" w:rsidRPr="007F4BF0" w:rsidRDefault="00F92316" w:rsidP="007F4BF0">
      <w:pPr>
        <w:pStyle w:val="Bodytextnonumbering"/>
      </w:pPr>
      <w:r>
        <w:tab/>
      </w:r>
      <w:r>
        <w:tab/>
      </w:r>
      <w:r>
        <w:tab/>
      </w:r>
      <w:r>
        <w:tab/>
        <w:t>Member (from 2 December 2020)</w:t>
      </w:r>
    </w:p>
    <w:p w14:paraId="5E67328D" w14:textId="7C7CF8B6" w:rsidR="007F4BF0" w:rsidRDefault="007F4BF0" w:rsidP="007F4BF0">
      <w:pPr>
        <w:pStyle w:val="Bodytextnonumbering"/>
      </w:pPr>
      <w:r w:rsidRPr="007F4BF0">
        <w:t>Ms Suzanne Orr MLA</w:t>
      </w:r>
      <w:r w:rsidRPr="007F4BF0">
        <w:tab/>
      </w:r>
      <w:r w:rsidRPr="007F4BF0">
        <w:tab/>
        <w:t>Deputy Chair (from 8 December 2020)</w:t>
      </w:r>
    </w:p>
    <w:p w14:paraId="615E50AE" w14:textId="289CC8DC" w:rsidR="00F92316" w:rsidRPr="007F4BF0" w:rsidRDefault="00F92316" w:rsidP="007F4BF0">
      <w:pPr>
        <w:pStyle w:val="Bodytextnonumbering"/>
      </w:pPr>
      <w:r>
        <w:tab/>
      </w:r>
      <w:r>
        <w:tab/>
      </w:r>
      <w:r>
        <w:tab/>
      </w:r>
      <w:r>
        <w:tab/>
        <w:t>Member (from 2 December 2020)</w:t>
      </w:r>
    </w:p>
    <w:p w14:paraId="380B33E6" w14:textId="77777777" w:rsidR="007F4BF0" w:rsidRPr="007F4BF0" w:rsidRDefault="007F4BF0" w:rsidP="007F4BF0">
      <w:pPr>
        <w:pStyle w:val="Bodytextnonumbering"/>
      </w:pPr>
      <w:r w:rsidRPr="007F4BF0">
        <w:t>Mr Johnathan Davis MLA</w:t>
      </w:r>
      <w:r w:rsidRPr="007F4BF0">
        <w:tab/>
        <w:t>Member (from 2 December 2020)</w:t>
      </w:r>
    </w:p>
    <w:p w14:paraId="4E7C1998" w14:textId="417233D2" w:rsidR="002E676A" w:rsidRPr="007F4BF0" w:rsidRDefault="002E676A" w:rsidP="007F4BF0">
      <w:pPr>
        <w:pStyle w:val="Prelimminorheading"/>
        <w:numPr>
          <w:ilvl w:val="0"/>
          <w:numId w:val="0"/>
        </w:numPr>
        <w:rPr>
          <w:bCs w:val="0"/>
          <w:iCs w:val="0"/>
          <w:spacing w:val="4"/>
          <w:sz w:val="30"/>
        </w:rPr>
      </w:pPr>
      <w:bookmarkStart w:id="8" w:name="_Toc62740024"/>
      <w:r w:rsidRPr="007F4BF0">
        <w:rPr>
          <w:bCs w:val="0"/>
          <w:iCs w:val="0"/>
          <w:spacing w:val="4"/>
          <w:sz w:val="30"/>
        </w:rPr>
        <w:t>Secretariat</w:t>
      </w:r>
      <w:bookmarkEnd w:id="5"/>
      <w:bookmarkEnd w:id="6"/>
      <w:bookmarkEnd w:id="7"/>
      <w:bookmarkEnd w:id="8"/>
    </w:p>
    <w:p w14:paraId="09EEB576" w14:textId="10E8BD5D" w:rsidR="002F1527" w:rsidRDefault="002F1527" w:rsidP="00BC0D93">
      <w:pPr>
        <w:pStyle w:val="Bodytextnonumbering"/>
        <w:keepNext w:val="0"/>
      </w:pPr>
      <w:bookmarkStart w:id="9" w:name="_Toc341433414"/>
      <w:bookmarkStart w:id="10" w:name="_Toc341687857"/>
      <w:r w:rsidRPr="005F53F0">
        <w:t xml:space="preserve">Dr Andréa Cullen </w:t>
      </w:r>
      <w:r w:rsidR="00A2047B">
        <w:rPr>
          <w:sz w:val="16"/>
          <w:szCs w:val="16"/>
        </w:rPr>
        <w:t>FGIA</w:t>
      </w:r>
      <w:r w:rsidRPr="005F53F0">
        <w:rPr>
          <w:sz w:val="16"/>
          <w:szCs w:val="16"/>
        </w:rPr>
        <w:t xml:space="preserve"> </w:t>
      </w:r>
      <w:r w:rsidR="00A2047B">
        <w:rPr>
          <w:sz w:val="16"/>
          <w:szCs w:val="16"/>
        </w:rPr>
        <w:t>F</w:t>
      </w:r>
      <w:r w:rsidRPr="005F53F0">
        <w:rPr>
          <w:sz w:val="16"/>
          <w:szCs w:val="16"/>
        </w:rPr>
        <w:t>CIS</w:t>
      </w:r>
      <w:r w:rsidR="00D15D3A">
        <w:rPr>
          <w:sz w:val="16"/>
          <w:szCs w:val="16"/>
        </w:rPr>
        <w:t xml:space="preserve"> </w:t>
      </w:r>
      <w:r w:rsidR="007F4BF0">
        <w:rPr>
          <w:sz w:val="16"/>
          <w:szCs w:val="16"/>
        </w:rPr>
        <w:t>(</w:t>
      </w:r>
      <w:r w:rsidR="00D15D3A">
        <w:rPr>
          <w:sz w:val="16"/>
          <w:szCs w:val="16"/>
        </w:rPr>
        <w:t>CS</w:t>
      </w:r>
      <w:r w:rsidR="007F4BF0">
        <w:rPr>
          <w:sz w:val="16"/>
          <w:szCs w:val="16"/>
        </w:rPr>
        <w:t>, CGP)</w:t>
      </w:r>
      <w:r w:rsidRPr="005F53F0">
        <w:tab/>
      </w:r>
      <w:r w:rsidR="007F4BF0">
        <w:t xml:space="preserve">Senior Committee </w:t>
      </w:r>
      <w:r w:rsidRPr="005F53F0">
        <w:t>Secretary</w:t>
      </w:r>
      <w:r>
        <w:t xml:space="preserve"> </w:t>
      </w:r>
    </w:p>
    <w:p w14:paraId="25B43028" w14:textId="77C6BF58" w:rsidR="002F1527" w:rsidRPr="005F53F0" w:rsidRDefault="002F1527" w:rsidP="002F1527">
      <w:pPr>
        <w:pStyle w:val="Bodytextnonumbering"/>
      </w:pPr>
      <w:bookmarkStart w:id="11" w:name="_Hlk62744487"/>
      <w:r>
        <w:t>Ms Lydia Chung</w:t>
      </w:r>
      <w:r>
        <w:tab/>
      </w:r>
      <w:r>
        <w:tab/>
      </w:r>
      <w:r>
        <w:tab/>
        <w:t xml:space="preserve">Administrative </w:t>
      </w:r>
      <w:r w:rsidR="00752D58">
        <w:t>A</w:t>
      </w:r>
      <w:r w:rsidR="00DD713E">
        <w:t>ssistance</w:t>
      </w:r>
    </w:p>
    <w:p w14:paraId="0CA84288" w14:textId="7B937087" w:rsidR="002E676A" w:rsidRPr="007F4BF0" w:rsidRDefault="00AF784F" w:rsidP="007F4BF0">
      <w:pPr>
        <w:pStyle w:val="Prelimminorheading"/>
        <w:numPr>
          <w:ilvl w:val="0"/>
          <w:numId w:val="0"/>
        </w:numPr>
        <w:rPr>
          <w:bCs w:val="0"/>
          <w:iCs w:val="0"/>
          <w:spacing w:val="4"/>
          <w:sz w:val="30"/>
        </w:rPr>
      </w:pPr>
      <w:bookmarkStart w:id="12" w:name="_Toc162949737"/>
      <w:bookmarkStart w:id="13" w:name="_Toc170711047"/>
      <w:bookmarkStart w:id="14" w:name="_Toc341433415"/>
      <w:bookmarkStart w:id="15" w:name="_Toc341687858"/>
      <w:bookmarkStart w:id="16" w:name="_Toc62740025"/>
      <w:bookmarkStart w:id="17" w:name="_Hlk29563964"/>
      <w:bookmarkEnd w:id="9"/>
      <w:bookmarkEnd w:id="10"/>
      <w:bookmarkEnd w:id="11"/>
      <w:r w:rsidRPr="007F4BF0">
        <w:rPr>
          <w:bCs w:val="0"/>
          <w:iCs w:val="0"/>
          <w:spacing w:val="4"/>
          <w:sz w:val="30"/>
        </w:rPr>
        <w:t>Contact i</w:t>
      </w:r>
      <w:r w:rsidR="002E676A" w:rsidRPr="007F4BF0">
        <w:rPr>
          <w:bCs w:val="0"/>
          <w:iCs w:val="0"/>
          <w:spacing w:val="4"/>
          <w:sz w:val="30"/>
        </w:rPr>
        <w:t>nformation</w:t>
      </w:r>
      <w:bookmarkEnd w:id="12"/>
      <w:bookmarkEnd w:id="13"/>
      <w:bookmarkEnd w:id="14"/>
      <w:bookmarkEnd w:id="15"/>
      <w:bookmarkEnd w:id="16"/>
    </w:p>
    <w:bookmarkEnd w:id="17"/>
    <w:p w14:paraId="7A60E8FF" w14:textId="77777777" w:rsidR="007F4BF0" w:rsidRDefault="007F4BF0" w:rsidP="007F4BF0">
      <w:pPr>
        <w:pStyle w:val="Bodytextnonumbering"/>
      </w:pPr>
      <w:r>
        <w:t>Telephone</w:t>
      </w:r>
      <w:r>
        <w:tab/>
        <w:t>02 6205 0136</w:t>
      </w:r>
    </w:p>
    <w:p w14:paraId="72D76B0E" w14:textId="66F8DB1B" w:rsidR="007F4BF0" w:rsidRDefault="007F4BF0" w:rsidP="007F4BF0">
      <w:pPr>
        <w:pStyle w:val="Bodytextnonumbering"/>
      </w:pPr>
      <w:r>
        <w:t>Post</w:t>
      </w:r>
      <w:r>
        <w:tab/>
      </w:r>
      <w:r>
        <w:tab/>
        <w:t>GPO Box 1020, CANBERRA ACT 2601</w:t>
      </w:r>
    </w:p>
    <w:p w14:paraId="4D32F1FE" w14:textId="39874052" w:rsidR="007F4BF0" w:rsidRDefault="007F4BF0" w:rsidP="007F4BF0">
      <w:pPr>
        <w:pStyle w:val="Bodytextnonumbering"/>
      </w:pPr>
      <w:r>
        <w:t>Email</w:t>
      </w:r>
      <w:r>
        <w:tab/>
      </w:r>
      <w:r>
        <w:tab/>
      </w:r>
      <w:hyperlink r:id="rId15" w:history="1">
        <w:r w:rsidRPr="00242961">
          <w:rPr>
            <w:rStyle w:val="Hyperlink"/>
          </w:rPr>
          <w:t>committees@parliament.act.gov.au</w:t>
        </w:r>
      </w:hyperlink>
    </w:p>
    <w:p w14:paraId="367A8B7E" w14:textId="77777777" w:rsidR="007F4BF0" w:rsidRDefault="007F4BF0" w:rsidP="007F4BF0">
      <w:pPr>
        <w:pStyle w:val="Bodytextnonumbering"/>
      </w:pPr>
      <w:r>
        <w:t>Website</w:t>
      </w:r>
      <w:r>
        <w:tab/>
      </w:r>
      <w:hyperlink r:id="rId16" w:history="1">
        <w:r w:rsidRPr="005B531D">
          <w:rPr>
            <w:rStyle w:val="Hyperlink"/>
          </w:rPr>
          <w:t>www.parliament.act.gov.au</w:t>
        </w:r>
      </w:hyperlink>
      <w:r>
        <w:t xml:space="preserve"> </w:t>
      </w:r>
    </w:p>
    <w:p w14:paraId="7017BD79" w14:textId="10FC3AAA" w:rsidR="002E676A" w:rsidRPr="00C2492A" w:rsidRDefault="002E676A" w:rsidP="002E676A">
      <w:pPr>
        <w:pStyle w:val="Prelimminorheading"/>
        <w:numPr>
          <w:ilvl w:val="0"/>
          <w:numId w:val="0"/>
        </w:numPr>
        <w:rPr>
          <w:sz w:val="30"/>
          <w:szCs w:val="30"/>
        </w:rPr>
      </w:pPr>
      <w:r>
        <w:br w:type="page"/>
      </w:r>
      <w:bookmarkStart w:id="18" w:name="_Toc162949738"/>
      <w:bookmarkStart w:id="19" w:name="_Toc170711048"/>
      <w:bookmarkStart w:id="20" w:name="_Toc341433421"/>
      <w:bookmarkStart w:id="21" w:name="_Toc341687864"/>
      <w:bookmarkStart w:id="22" w:name="_Toc62740026"/>
      <w:r w:rsidR="00AF784F" w:rsidRPr="00C2492A">
        <w:rPr>
          <w:sz w:val="30"/>
          <w:szCs w:val="30"/>
        </w:rPr>
        <w:lastRenderedPageBreak/>
        <w:t xml:space="preserve">Resolution of </w:t>
      </w:r>
      <w:r w:rsidR="007F4BF0">
        <w:rPr>
          <w:sz w:val="30"/>
          <w:szCs w:val="30"/>
        </w:rPr>
        <w:t>Establishment</w:t>
      </w:r>
      <w:bookmarkEnd w:id="18"/>
      <w:bookmarkEnd w:id="19"/>
      <w:bookmarkEnd w:id="20"/>
      <w:bookmarkEnd w:id="21"/>
      <w:bookmarkEnd w:id="22"/>
    </w:p>
    <w:p w14:paraId="6070B7D4" w14:textId="2B6FB5D4" w:rsidR="00FA055C" w:rsidRDefault="00AC2589" w:rsidP="00AC2589">
      <w:pPr>
        <w:pStyle w:val="Bodytextnonumbering"/>
      </w:pPr>
      <w:r w:rsidRPr="00AC2589">
        <w:t xml:space="preserve">The </w:t>
      </w:r>
      <w:r w:rsidR="00F92316">
        <w:t>10</w:t>
      </w:r>
      <w:r w:rsidR="00F92316" w:rsidRPr="00F92316">
        <w:rPr>
          <w:vertAlign w:val="superscript"/>
        </w:rPr>
        <w:t>th</w:t>
      </w:r>
      <w:r w:rsidR="00F92316">
        <w:t xml:space="preserve"> </w:t>
      </w:r>
      <w:r w:rsidRPr="00AC2589">
        <w:t xml:space="preserve">ACT Legislative Assembly appointed the Standing Committee on </w:t>
      </w:r>
      <w:r w:rsidR="00A83B48">
        <w:t>Economy and Gender</w:t>
      </w:r>
      <w:r w:rsidR="00FA055C">
        <w:t xml:space="preserve"> and Economic Equality</w:t>
      </w:r>
      <w:r w:rsidRPr="00AC2589">
        <w:t xml:space="preserve"> on</w:t>
      </w:r>
      <w:r w:rsidR="00FA055C">
        <w:t xml:space="preserve"> 2 </w:t>
      </w:r>
      <w:r w:rsidRPr="00AC2589">
        <w:t>December 20</w:t>
      </w:r>
      <w:r w:rsidR="00FA055C">
        <w:t>20</w:t>
      </w:r>
      <w:r w:rsidRPr="00AC2589">
        <w:t>.</w:t>
      </w:r>
      <w:r w:rsidR="00FA055C">
        <w:t xml:space="preserve">  </w:t>
      </w:r>
    </w:p>
    <w:p w14:paraId="1EA96C18" w14:textId="7519236B" w:rsidR="00AC2589" w:rsidRDefault="00AC2589" w:rsidP="00AC2589">
      <w:pPr>
        <w:pStyle w:val="Bodytextnonumbering"/>
      </w:pPr>
      <w:r w:rsidRPr="00AC2589">
        <w:t xml:space="preserve">Specifically, the resolution of </w:t>
      </w:r>
      <w:r w:rsidR="00FA055C">
        <w:t xml:space="preserve">2 </w:t>
      </w:r>
      <w:r w:rsidRPr="00AC2589">
        <w:t>December 20</w:t>
      </w:r>
      <w:r w:rsidR="00FA055C">
        <w:t>20</w:t>
      </w:r>
      <w:r w:rsidRPr="00AC2589">
        <w:t xml:space="preserve"> establishing the Standing Committees of the </w:t>
      </w:r>
      <w:r w:rsidR="00FA055C">
        <w:t>10</w:t>
      </w:r>
      <w:r w:rsidRPr="00AC2589">
        <w:rPr>
          <w:vertAlign w:val="superscript"/>
        </w:rPr>
        <w:t>th </w:t>
      </w:r>
      <w:r w:rsidRPr="00AC2589">
        <w:t xml:space="preserve">Assembly </w:t>
      </w:r>
      <w:bookmarkStart w:id="23" w:name="_Hlk60845276"/>
      <w:r w:rsidRPr="00AC2589">
        <w:t xml:space="preserve">as it relates to the Standing Committee on </w:t>
      </w:r>
      <w:r w:rsidR="00FA055C">
        <w:t>Economy and Gender and Economic Equality</w:t>
      </w:r>
      <w:r w:rsidRPr="00AC2589">
        <w:t xml:space="preserve"> </w:t>
      </w:r>
      <w:bookmarkEnd w:id="23"/>
      <w:r w:rsidRPr="00AC2589">
        <w:t>states:</w:t>
      </w:r>
    </w:p>
    <w:p w14:paraId="62EB3697" w14:textId="77777777" w:rsidR="00FA055C" w:rsidRPr="00FA055C" w:rsidRDefault="00FA055C" w:rsidP="00FA055C">
      <w:pPr>
        <w:pStyle w:val="Bodytextnonumbering"/>
        <w:ind w:left="567"/>
        <w:rPr>
          <w:iCs w:val="0"/>
        </w:rPr>
      </w:pPr>
      <w:r w:rsidRPr="00FA055C">
        <w:rPr>
          <w:iCs w:val="0"/>
        </w:rPr>
        <w:t>“That</w:t>
      </w:r>
    </w:p>
    <w:p w14:paraId="749A2188" w14:textId="77777777" w:rsidR="00FA055C" w:rsidRPr="00FA055C" w:rsidRDefault="00FA055C" w:rsidP="00FA055C">
      <w:pPr>
        <w:pStyle w:val="Bodytextnonumbering"/>
        <w:ind w:left="567"/>
        <w:rPr>
          <w:iCs w:val="0"/>
        </w:rPr>
      </w:pPr>
      <w:r w:rsidRPr="00FA055C">
        <w:rPr>
          <w:iCs w:val="0"/>
        </w:rPr>
        <w:t xml:space="preserve">(1) 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of taxpayer funded agencies; </w:t>
      </w:r>
    </w:p>
    <w:p w14:paraId="58056713" w14:textId="77777777" w:rsidR="00FA055C" w:rsidRPr="00FA055C" w:rsidRDefault="00FA055C" w:rsidP="00FA055C">
      <w:pPr>
        <w:pStyle w:val="Bodytextnonumbering"/>
        <w:ind w:left="567"/>
        <w:rPr>
          <w:iCs w:val="0"/>
        </w:rPr>
      </w:pPr>
      <w:r w:rsidRPr="00FA055C">
        <w:rPr>
          <w:iCs w:val="0"/>
        </w:rPr>
        <w:t>(2) the committees so established may inquire and report on matters referred to it by the Assembly or matters that are considered by the committee to be of concern to the community and within the nominated areas of responsibility;</w:t>
      </w:r>
    </w:p>
    <w:p w14:paraId="625029BA" w14:textId="77777777" w:rsidR="00FA055C" w:rsidRPr="00FA055C" w:rsidRDefault="00FA055C" w:rsidP="00FA055C">
      <w:pPr>
        <w:pStyle w:val="Bodytextnonumbering"/>
        <w:ind w:left="567"/>
        <w:rPr>
          <w:iCs w:val="0"/>
        </w:rPr>
      </w:pPr>
      <w:r w:rsidRPr="00FA055C">
        <w:rPr>
          <w:iCs w:val="0"/>
        </w:rPr>
        <w:t xml:space="preserve">(3) calendar and financial year annual and financial reports stand referred to the relevant standing committee for inquiry and report by 31 March of the year after the presentation of the report to the Assembly pursuant to the </w:t>
      </w:r>
      <w:r w:rsidRPr="00FA055C">
        <w:rPr>
          <w:i/>
          <w:iCs w:val="0"/>
        </w:rPr>
        <w:t>Annual Reports (Government Agencies) Act 2004</w:t>
      </w:r>
      <w:r w:rsidRPr="00FA055C">
        <w:rPr>
          <w:iCs w:val="0"/>
        </w:rPr>
        <w:t>;</w:t>
      </w:r>
    </w:p>
    <w:p w14:paraId="385DBF01" w14:textId="77777777" w:rsidR="00FA055C" w:rsidRPr="00FA055C" w:rsidRDefault="00FA055C" w:rsidP="00FA055C">
      <w:pPr>
        <w:pStyle w:val="Bodytextnonumbering"/>
        <w:ind w:left="567"/>
        <w:rPr>
          <w:iCs w:val="0"/>
        </w:rPr>
      </w:pPr>
      <w:r w:rsidRPr="00FA055C">
        <w:rPr>
          <w:iCs w:val="0"/>
        </w:rPr>
        <w:t>(4) notwithstanding standing order 229, only one standing committee may meet for the consideration of the inquiry into the calendar and financial year annual and financial reports at any given time;</w:t>
      </w:r>
    </w:p>
    <w:p w14:paraId="544660C1" w14:textId="77777777" w:rsidR="00FA055C" w:rsidRPr="00FA055C" w:rsidRDefault="00FA055C" w:rsidP="00FA055C">
      <w:pPr>
        <w:pStyle w:val="Bodytextnonumbering"/>
        <w:ind w:left="567"/>
        <w:rPr>
          <w:iCs w:val="0"/>
        </w:rPr>
      </w:pPr>
      <w:r w:rsidRPr="00FA055C">
        <w:rPr>
          <w:iCs w:val="0"/>
        </w:rPr>
        <w:t xml:space="preserve">(5) </w:t>
      </w:r>
      <w:bookmarkStart w:id="24" w:name="_Hlk60757392"/>
      <w:r w:rsidRPr="00FA055C">
        <w:rPr>
          <w:iCs w:val="0"/>
        </w:rPr>
        <w:t xml:space="preserve">all bills presented to the Assembly stand referred to the relevant standing committee for inquiry and report </w:t>
      </w:r>
      <w:bookmarkStart w:id="25" w:name="_Hlk60754645"/>
      <w:r w:rsidRPr="00FA055C">
        <w:rPr>
          <w:iCs w:val="0"/>
        </w:rPr>
        <w:t>within two months from the presentation of the bill</w:t>
      </w:r>
      <w:bookmarkEnd w:id="25"/>
      <w:r w:rsidRPr="00FA055C">
        <w:rPr>
          <w:iCs w:val="0"/>
        </w:rPr>
        <w:t>. Should the standing committee resolve not to undertake an inquiry, the chair shall advise the Assembly and the responsible minister within 14 days of the presentation of the bill in the Assembly</w:t>
      </w:r>
      <w:bookmarkEnd w:id="24"/>
      <w:r w:rsidRPr="00FA055C">
        <w:rPr>
          <w:iCs w:val="0"/>
        </w:rPr>
        <w:t>;</w:t>
      </w:r>
    </w:p>
    <w:p w14:paraId="2AFAA3DB" w14:textId="77777777" w:rsidR="00FA055C" w:rsidRPr="00FA055C" w:rsidRDefault="00FA055C" w:rsidP="00FA055C">
      <w:pPr>
        <w:pStyle w:val="Bodytextnonumbering"/>
        <w:spacing w:before="0" w:after="0" w:line="240" w:lineRule="auto"/>
        <w:ind w:left="567"/>
        <w:rPr>
          <w:iCs w:val="0"/>
        </w:rPr>
      </w:pPr>
      <w:r w:rsidRPr="00FA055C">
        <w:rPr>
          <w:iCs w:val="0"/>
        </w:rPr>
        <w:t>…</w:t>
      </w:r>
    </w:p>
    <w:p w14:paraId="6C6CD6EE" w14:textId="3B0A22AE" w:rsidR="00FA055C" w:rsidRPr="00FA055C" w:rsidRDefault="00FA055C" w:rsidP="00FA055C">
      <w:pPr>
        <w:pStyle w:val="Bodytextnonumbering"/>
        <w:keepNext w:val="0"/>
        <w:widowControl w:val="0"/>
        <w:ind w:left="567"/>
        <w:rPr>
          <w:iCs w:val="0"/>
        </w:rPr>
      </w:pPr>
      <w:r w:rsidRPr="00FA055C">
        <w:rPr>
          <w:iCs w:val="0"/>
        </w:rPr>
        <w:t>(7) 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267E6884" w14:textId="77777777" w:rsidR="00FA055C" w:rsidRPr="00FA055C" w:rsidRDefault="00FA055C" w:rsidP="00FA055C">
      <w:pPr>
        <w:pStyle w:val="Bodytextnonumbering"/>
        <w:keepNext w:val="0"/>
        <w:widowControl w:val="0"/>
        <w:spacing w:before="0" w:after="0" w:line="240" w:lineRule="auto"/>
        <w:ind w:left="567"/>
        <w:rPr>
          <w:iCs w:val="0"/>
        </w:rPr>
      </w:pPr>
      <w:r w:rsidRPr="00FA055C">
        <w:rPr>
          <w:iCs w:val="0"/>
        </w:rPr>
        <w:t>…</w:t>
      </w:r>
    </w:p>
    <w:p w14:paraId="5A7C53C3" w14:textId="77777777" w:rsidR="00FA055C" w:rsidRPr="00FA055C" w:rsidRDefault="00FA055C" w:rsidP="00FA055C">
      <w:pPr>
        <w:pStyle w:val="Bodytextnonumbering"/>
        <w:keepNext w:val="0"/>
        <w:widowControl w:val="0"/>
        <w:ind w:left="567"/>
        <w:rPr>
          <w:iCs w:val="0"/>
        </w:rPr>
      </w:pPr>
      <w:r w:rsidRPr="00FA055C">
        <w:rPr>
          <w:iCs w:val="0"/>
        </w:rPr>
        <w:t>(12) each committee shall have power to consider and make use of the evidence and records of the relevant standing committee appointed during the previous Assembly;</w:t>
      </w:r>
    </w:p>
    <w:p w14:paraId="6EA64870" w14:textId="46967C02" w:rsidR="00FA055C" w:rsidRPr="00FA055C" w:rsidRDefault="00FA055C" w:rsidP="00FA055C">
      <w:pPr>
        <w:pStyle w:val="Bodytextnonumbering"/>
        <w:keepNext w:val="0"/>
        <w:widowControl w:val="0"/>
        <w:ind w:left="567"/>
        <w:rPr>
          <w:iCs w:val="0"/>
        </w:rPr>
      </w:pPr>
      <w:r w:rsidRPr="00FA055C">
        <w:rPr>
          <w:iCs w:val="0"/>
        </w:rPr>
        <w:t>(13) each committee be provided with necessary staff, facilities and resources;</w:t>
      </w:r>
    </w:p>
    <w:p w14:paraId="79301491" w14:textId="77777777" w:rsidR="00FA055C" w:rsidRPr="00FA055C" w:rsidRDefault="00FA055C" w:rsidP="00FA055C">
      <w:pPr>
        <w:pStyle w:val="Bodytextnonumbering"/>
        <w:ind w:left="567"/>
        <w:rPr>
          <w:iCs w:val="0"/>
        </w:rPr>
      </w:pPr>
      <w:r w:rsidRPr="00FA055C">
        <w:rPr>
          <w:iCs w:val="0"/>
        </w:rPr>
        <w:lastRenderedPageBreak/>
        <w:t>(14) the foregoing provisions of this resolution, so far as they are inconsistent with the standing orders, have effect notwithstanding anything contained in the standing orders;</w:t>
      </w:r>
    </w:p>
    <w:p w14:paraId="4491F164" w14:textId="77777777" w:rsidR="00FA055C" w:rsidRPr="00FA055C" w:rsidRDefault="00FA055C" w:rsidP="00FA055C">
      <w:pPr>
        <w:pStyle w:val="Bodytextnonumbering"/>
        <w:ind w:left="567"/>
        <w:rPr>
          <w:iCs w:val="0"/>
        </w:rPr>
      </w:pPr>
      <w:r w:rsidRPr="00FA055C">
        <w:rPr>
          <w:iCs w:val="0"/>
        </w:rPr>
        <w:t>(15) each general-purpose committee shall consist of three members, nominated by each of the three whips, with the chair of each such committee agreed by the members of that committee; and</w:t>
      </w:r>
    </w:p>
    <w:p w14:paraId="2DE67527" w14:textId="243A7584" w:rsidR="00FA055C" w:rsidRPr="00FA055C" w:rsidRDefault="00FA055C" w:rsidP="00FA055C">
      <w:pPr>
        <w:pStyle w:val="Bodytextnonumbering"/>
        <w:ind w:left="567"/>
        <w:rPr>
          <w:iCs w:val="0"/>
        </w:rPr>
      </w:pPr>
      <w:r w:rsidRPr="00FA055C">
        <w:rPr>
          <w:iCs w:val="0"/>
        </w:rPr>
        <w:t>(16) nominations for membership of these committees be notified in writing to the Speaker within two hours following conclusion of the debate on the matter.</w:t>
      </w:r>
      <w:r w:rsidR="00F92316">
        <w:rPr>
          <w:iCs w:val="0"/>
        </w:rPr>
        <w:t>”</w:t>
      </w:r>
    </w:p>
    <w:p w14:paraId="54CEE83B" w14:textId="3A0551D3" w:rsidR="00FA055C" w:rsidRDefault="00F92316" w:rsidP="00AC2589">
      <w:pPr>
        <w:pStyle w:val="Bodytextnonumbering"/>
      </w:pPr>
      <w:r>
        <w:t xml:space="preserve">The following </w:t>
      </w:r>
      <w:r w:rsidR="00FA055C">
        <w:t xml:space="preserve">extract from the table to the Resolution of Establishment </w:t>
      </w:r>
      <w:r w:rsidR="00FA055C" w:rsidRPr="00FA055C">
        <w:t>relates to the Standing Committee on Economy and Gender and Economic Equality</w:t>
      </w:r>
      <w:r w:rsidR="00FA055C">
        <w:t>:</w:t>
      </w:r>
    </w:p>
    <w:p w14:paraId="7920E9AF" w14:textId="77777777" w:rsidR="00752D58" w:rsidRDefault="00752D58" w:rsidP="00AC2589">
      <w:pPr>
        <w:pStyle w:val="Bodytextnonumbering"/>
      </w:pPr>
    </w:p>
    <w:tbl>
      <w:tblPr>
        <w:tblW w:w="9101" w:type="dxa"/>
        <w:tblInd w:w="108" w:type="dxa"/>
        <w:tblCellMar>
          <w:left w:w="0" w:type="dxa"/>
          <w:right w:w="0" w:type="dxa"/>
        </w:tblCellMar>
        <w:tblLook w:val="04A0" w:firstRow="1" w:lastRow="0" w:firstColumn="1" w:lastColumn="0" w:noHBand="0" w:noVBand="1"/>
      </w:tblPr>
      <w:tblGrid>
        <w:gridCol w:w="2581"/>
        <w:gridCol w:w="2126"/>
        <w:gridCol w:w="4394"/>
      </w:tblGrid>
      <w:tr w:rsidR="00FA055C" w:rsidRPr="00FA055C" w14:paraId="58EA69BA" w14:textId="77777777" w:rsidTr="00106745">
        <w:trPr>
          <w:trHeight w:val="567"/>
          <w:tblHeader/>
        </w:trPr>
        <w:tc>
          <w:tcPr>
            <w:tcW w:w="2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367AC7" w14:textId="77777777" w:rsidR="00FA055C" w:rsidRPr="00FA055C" w:rsidRDefault="00FA055C" w:rsidP="00FA055C">
            <w:pPr>
              <w:pStyle w:val="Bodytextnonumbering"/>
              <w:spacing w:before="0" w:after="0" w:line="240" w:lineRule="auto"/>
              <w:rPr>
                <w:b/>
                <w:bCs/>
              </w:rPr>
            </w:pPr>
            <w:r w:rsidRPr="00FA055C">
              <w:rPr>
                <w:b/>
                <w:bCs/>
              </w:rPr>
              <w:t>Committee</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1104E0" w14:textId="77777777" w:rsidR="00FA055C" w:rsidRPr="00FA055C" w:rsidRDefault="00FA055C" w:rsidP="00FA055C">
            <w:pPr>
              <w:pStyle w:val="Bodytextnonumbering"/>
              <w:spacing w:before="0" w:after="0" w:line="240" w:lineRule="auto"/>
              <w:rPr>
                <w:b/>
                <w:bCs/>
              </w:rPr>
            </w:pPr>
            <w:r w:rsidRPr="00FA055C">
              <w:rPr>
                <w:b/>
                <w:bCs/>
              </w:rPr>
              <w:t>Primary Wellbeing Indicator/s</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F4E463" w14:textId="77777777" w:rsidR="00FA055C" w:rsidRPr="00FA055C" w:rsidRDefault="00FA055C" w:rsidP="00FA055C">
            <w:pPr>
              <w:pStyle w:val="Bodytextnonumbering"/>
              <w:spacing w:before="0" w:after="0" w:line="240" w:lineRule="auto"/>
              <w:rPr>
                <w:b/>
                <w:bCs/>
              </w:rPr>
            </w:pPr>
            <w:r w:rsidRPr="00FA055C">
              <w:rPr>
                <w:b/>
                <w:bCs/>
              </w:rPr>
              <w:t>Areas of Responsibility</w:t>
            </w:r>
          </w:p>
        </w:tc>
      </w:tr>
      <w:tr w:rsidR="00FA055C" w:rsidRPr="00FA055C" w14:paraId="452CEC6C" w14:textId="77777777" w:rsidTr="00106745">
        <w:trPr>
          <w:trHeight w:val="883"/>
        </w:trPr>
        <w:tc>
          <w:tcPr>
            <w:tcW w:w="2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E6F484" w14:textId="1418C1F3" w:rsidR="00FA055C" w:rsidRPr="00FA055C" w:rsidRDefault="00FA055C" w:rsidP="00FA055C">
            <w:pPr>
              <w:pStyle w:val="Bodytextnonumbering"/>
              <w:spacing w:before="0" w:after="0" w:line="240" w:lineRule="auto"/>
              <w:rPr>
                <w:sz w:val="20"/>
                <w:szCs w:val="20"/>
              </w:rPr>
            </w:pPr>
            <w:r w:rsidRPr="00FA055C">
              <w:rPr>
                <w:sz w:val="20"/>
                <w:szCs w:val="20"/>
              </w:rPr>
              <w:t>3.</w:t>
            </w:r>
            <w:r w:rsidRPr="00C822FD">
              <w:rPr>
                <w:sz w:val="20"/>
                <w:szCs w:val="20"/>
              </w:rPr>
              <w:t xml:space="preserve"> </w:t>
            </w:r>
            <w:r w:rsidRPr="00FA055C">
              <w:rPr>
                <w:sz w:val="20"/>
                <w:szCs w:val="20"/>
              </w:rPr>
              <w:t>Economy and Gender and Economic Equality</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3E3F2DAA" w14:textId="77777777" w:rsidR="00FA055C" w:rsidRPr="00FA055C" w:rsidRDefault="00FA055C" w:rsidP="00FA055C">
            <w:pPr>
              <w:pStyle w:val="Bodytextnonumbering"/>
              <w:spacing w:before="0" w:after="0" w:line="240" w:lineRule="auto"/>
              <w:rPr>
                <w:sz w:val="20"/>
                <w:szCs w:val="20"/>
              </w:rPr>
            </w:pPr>
            <w:r w:rsidRPr="00FA055C">
              <w:rPr>
                <w:sz w:val="20"/>
                <w:szCs w:val="20"/>
              </w:rPr>
              <w:t>Economy, Living Standards and Time</w:t>
            </w:r>
          </w:p>
          <w:p w14:paraId="18C7B810" w14:textId="77777777" w:rsidR="00FA055C" w:rsidRPr="00FA055C" w:rsidRDefault="00FA055C" w:rsidP="00FA055C">
            <w:pPr>
              <w:pStyle w:val="Bodytextnonumbering"/>
              <w:spacing w:before="0" w:after="0" w:line="240" w:lineRule="auto"/>
              <w:rPr>
                <w:sz w:val="20"/>
                <w:szCs w:val="20"/>
              </w:rPr>
            </w:pP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0ED0778"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 xml:space="preserve">Chief Minister’s responsibilities </w:t>
            </w:r>
          </w:p>
          <w:p w14:paraId="60444F46"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Treasury including taxation and revenue</w:t>
            </w:r>
          </w:p>
          <w:p w14:paraId="37A2119D"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Economic development and diversification</w:t>
            </w:r>
          </w:p>
          <w:p w14:paraId="5F8A7E10"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Tourism</w:t>
            </w:r>
          </w:p>
          <w:p w14:paraId="5F131755"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Industrial Relations and Workplace Safety</w:t>
            </w:r>
          </w:p>
          <w:p w14:paraId="7A730AD1" w14:textId="35AB0D31"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Social impacts and outcomes of economic polic</w:t>
            </w:r>
            <w:r w:rsidR="00F92316">
              <w:rPr>
                <w:sz w:val="20"/>
                <w:szCs w:val="20"/>
              </w:rPr>
              <w:t>i</w:t>
            </w:r>
            <w:r w:rsidRPr="00FA055C">
              <w:rPr>
                <w:sz w:val="20"/>
                <w:szCs w:val="20"/>
              </w:rPr>
              <w:t>es including gender considerations (excluding Office for Women)</w:t>
            </w:r>
          </w:p>
          <w:p w14:paraId="2A72E631" w14:textId="586B7FCD"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 xml:space="preserve">Minister of State </w:t>
            </w:r>
            <w:r w:rsidR="00F92316">
              <w:rPr>
                <w:sz w:val="20"/>
                <w:szCs w:val="20"/>
              </w:rPr>
              <w:t>r</w:t>
            </w:r>
            <w:r w:rsidRPr="00FA055C">
              <w:rPr>
                <w:sz w:val="20"/>
                <w:szCs w:val="20"/>
              </w:rPr>
              <w:t>esponsibilities (excluding Justice and Community Safety Directorate reporting areas)</w:t>
            </w:r>
          </w:p>
          <w:p w14:paraId="14F5BFCB"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Business and Better Regulation</w:t>
            </w:r>
          </w:p>
          <w:p w14:paraId="32CB87FE" w14:textId="77777777" w:rsidR="00FA055C" w:rsidRPr="00FA055C" w:rsidRDefault="00FA055C" w:rsidP="00FA055C">
            <w:pPr>
              <w:pStyle w:val="Bodytextnonumbering"/>
              <w:numPr>
                <w:ilvl w:val="0"/>
                <w:numId w:val="31"/>
              </w:numPr>
              <w:spacing w:before="0" w:after="0" w:line="240" w:lineRule="auto"/>
              <w:rPr>
                <w:sz w:val="20"/>
                <w:szCs w:val="20"/>
              </w:rPr>
            </w:pPr>
            <w:r w:rsidRPr="00FA055C">
              <w:rPr>
                <w:sz w:val="20"/>
                <w:szCs w:val="20"/>
              </w:rPr>
              <w:t>Arts</w:t>
            </w:r>
          </w:p>
        </w:tc>
      </w:tr>
    </w:tbl>
    <w:p w14:paraId="042A9DE4" w14:textId="77777777" w:rsidR="002E676A" w:rsidRPr="00C2492A" w:rsidRDefault="00AF784F" w:rsidP="002E676A">
      <w:pPr>
        <w:pStyle w:val="Prelimminorheading"/>
        <w:numPr>
          <w:ilvl w:val="0"/>
          <w:numId w:val="0"/>
        </w:numPr>
        <w:rPr>
          <w:sz w:val="30"/>
          <w:szCs w:val="30"/>
        </w:rPr>
      </w:pPr>
      <w:bookmarkStart w:id="26" w:name="_Toc162949739"/>
      <w:bookmarkStart w:id="27" w:name="_Toc170711049"/>
      <w:bookmarkStart w:id="28" w:name="_Toc341433422"/>
      <w:bookmarkStart w:id="29" w:name="_Toc341687866"/>
      <w:bookmarkStart w:id="30" w:name="_Toc62740027"/>
      <w:r w:rsidRPr="00C2492A">
        <w:rPr>
          <w:sz w:val="30"/>
          <w:szCs w:val="30"/>
        </w:rPr>
        <w:t>Terms of r</w:t>
      </w:r>
      <w:r w:rsidR="002E676A" w:rsidRPr="00C2492A">
        <w:rPr>
          <w:sz w:val="30"/>
          <w:szCs w:val="30"/>
        </w:rPr>
        <w:t>eference</w:t>
      </w:r>
      <w:bookmarkEnd w:id="26"/>
      <w:bookmarkEnd w:id="27"/>
      <w:bookmarkEnd w:id="28"/>
      <w:bookmarkEnd w:id="29"/>
      <w:bookmarkEnd w:id="30"/>
    </w:p>
    <w:p w14:paraId="05F75C95" w14:textId="77777777" w:rsidR="00C822FD" w:rsidRPr="00C822FD" w:rsidRDefault="00C822FD" w:rsidP="00C822FD">
      <w:pPr>
        <w:pStyle w:val="Bodytextnonumbering"/>
        <w:rPr>
          <w:rFonts w:eastAsia="Calibri"/>
        </w:rPr>
      </w:pPr>
      <w:bookmarkStart w:id="31" w:name="_Toc341687867"/>
      <w:r w:rsidRPr="00C822FD">
        <w:rPr>
          <w:rFonts w:eastAsia="Calibri"/>
        </w:rPr>
        <w:t xml:space="preserve">Pursuant to clause 5 of </w:t>
      </w:r>
      <w:bookmarkStart w:id="32" w:name="_Hlk61342977"/>
      <w:r w:rsidRPr="00C822FD">
        <w:rPr>
          <w:rFonts w:eastAsia="Calibri"/>
        </w:rPr>
        <w:t>the Resolution of Establishment for general-purpose standing committees of the 10</w:t>
      </w:r>
      <w:r w:rsidRPr="00C822FD">
        <w:rPr>
          <w:rFonts w:eastAsia="Calibri"/>
          <w:vertAlign w:val="superscript"/>
        </w:rPr>
        <w:t>th</w:t>
      </w:r>
      <w:r w:rsidRPr="00C822FD">
        <w:rPr>
          <w:rFonts w:eastAsia="Calibri"/>
        </w:rPr>
        <w:t xml:space="preserve"> Assembly</w:t>
      </w:r>
      <w:bookmarkEnd w:id="32"/>
      <w:r w:rsidRPr="00C822FD">
        <w:rPr>
          <w:rFonts w:eastAsia="Calibri"/>
        </w:rPr>
        <w:t>—the terms of reference are to inquire into and report on the referred Bill within two months from its presentation.</w:t>
      </w:r>
    </w:p>
    <w:p w14:paraId="785160A6" w14:textId="77777777" w:rsidR="00C822FD" w:rsidRDefault="00C822FD" w:rsidP="00A156E2">
      <w:pPr>
        <w:spacing w:after="200" w:line="276" w:lineRule="auto"/>
        <w:rPr>
          <w:rFonts w:eastAsia="Calibri"/>
          <w:szCs w:val="22"/>
        </w:rPr>
      </w:pPr>
    </w:p>
    <w:p w14:paraId="48BE7217" w14:textId="77777777" w:rsidR="00BF17A0" w:rsidRDefault="00BF17A0" w:rsidP="00E13F34">
      <w:pPr>
        <w:pStyle w:val="TOCHeading1"/>
        <w:sectPr w:rsidR="00BF17A0" w:rsidSect="0038734F">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bookmarkStart w:id="33" w:name="_Toc341433423"/>
      <w:bookmarkStart w:id="34" w:name="_Toc341687868"/>
      <w:bookmarkEnd w:id="31"/>
    </w:p>
    <w:p w14:paraId="4C802361" w14:textId="42C989F6" w:rsidR="00D561BC" w:rsidRDefault="00D561BC" w:rsidP="00E13F34">
      <w:pPr>
        <w:pStyle w:val="TOCHeading1"/>
      </w:pPr>
      <w:r>
        <w:lastRenderedPageBreak/>
        <w:t>Table of contents</w:t>
      </w:r>
      <w:bookmarkEnd w:id="33"/>
      <w:bookmarkEnd w:id="34"/>
      <w:r>
        <w:t xml:space="preserve"> </w:t>
      </w:r>
    </w:p>
    <w:p w14:paraId="497F4CD4" w14:textId="5AA492CB" w:rsidR="00F76363" w:rsidRDefault="00C96FAD">
      <w:pPr>
        <w:pStyle w:val="TOC1"/>
        <w:rPr>
          <w:rFonts w:asciiTheme="minorHAnsi" w:eastAsiaTheme="minorEastAsia" w:hAnsiTheme="minorHAnsi" w:cstheme="minorBidi"/>
          <w:b w:val="0"/>
          <w:smallCaps w:val="0"/>
          <w:spacing w:val="0"/>
          <w:sz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62740022" w:history="1">
        <w:r w:rsidR="00F76363" w:rsidRPr="00A02F68">
          <w:rPr>
            <w:rStyle w:val="Hyperlink"/>
          </w:rPr>
          <w:t>The Committee</w:t>
        </w:r>
        <w:r w:rsidR="00F76363">
          <w:rPr>
            <w:webHidden/>
          </w:rPr>
          <w:tab/>
        </w:r>
        <w:r w:rsidR="00F76363">
          <w:rPr>
            <w:webHidden/>
          </w:rPr>
          <w:fldChar w:fldCharType="begin"/>
        </w:r>
        <w:r w:rsidR="00F76363">
          <w:rPr>
            <w:webHidden/>
          </w:rPr>
          <w:instrText xml:space="preserve"> PAGEREF _Toc62740022 \h </w:instrText>
        </w:r>
        <w:r w:rsidR="00F76363">
          <w:rPr>
            <w:webHidden/>
          </w:rPr>
        </w:r>
        <w:r w:rsidR="00F76363">
          <w:rPr>
            <w:webHidden/>
          </w:rPr>
          <w:fldChar w:fldCharType="separate"/>
        </w:r>
        <w:r w:rsidR="00357920">
          <w:rPr>
            <w:webHidden/>
          </w:rPr>
          <w:t>i</w:t>
        </w:r>
        <w:r w:rsidR="00F76363">
          <w:rPr>
            <w:webHidden/>
          </w:rPr>
          <w:fldChar w:fldCharType="end"/>
        </w:r>
      </w:hyperlink>
    </w:p>
    <w:p w14:paraId="33B33B75" w14:textId="0A0B1710" w:rsidR="00F76363" w:rsidRDefault="00357920">
      <w:pPr>
        <w:pStyle w:val="TOC3"/>
        <w:rPr>
          <w:rFonts w:asciiTheme="minorHAnsi" w:eastAsiaTheme="minorEastAsia" w:hAnsiTheme="minorHAnsi" w:cstheme="minorBidi"/>
          <w:b w:val="0"/>
          <w:szCs w:val="22"/>
          <w:lang w:eastAsia="en-AU"/>
        </w:rPr>
      </w:pPr>
      <w:hyperlink w:anchor="_Toc62740023" w:history="1">
        <w:r w:rsidR="00F76363" w:rsidRPr="00A02F68">
          <w:rPr>
            <w:rStyle w:val="Hyperlink"/>
            <w:spacing w:val="4"/>
          </w:rPr>
          <w:t>Committee membership</w:t>
        </w:r>
        <w:r w:rsidR="00F76363">
          <w:rPr>
            <w:webHidden/>
          </w:rPr>
          <w:tab/>
        </w:r>
        <w:r w:rsidR="00F76363">
          <w:rPr>
            <w:webHidden/>
          </w:rPr>
          <w:fldChar w:fldCharType="begin"/>
        </w:r>
        <w:r w:rsidR="00F76363">
          <w:rPr>
            <w:webHidden/>
          </w:rPr>
          <w:instrText xml:space="preserve"> PAGEREF _Toc62740023 \h </w:instrText>
        </w:r>
        <w:r w:rsidR="00F76363">
          <w:rPr>
            <w:webHidden/>
          </w:rPr>
        </w:r>
        <w:r w:rsidR="00F76363">
          <w:rPr>
            <w:webHidden/>
          </w:rPr>
          <w:fldChar w:fldCharType="separate"/>
        </w:r>
        <w:r>
          <w:rPr>
            <w:webHidden/>
          </w:rPr>
          <w:t>i</w:t>
        </w:r>
        <w:r w:rsidR="00F76363">
          <w:rPr>
            <w:webHidden/>
          </w:rPr>
          <w:fldChar w:fldCharType="end"/>
        </w:r>
      </w:hyperlink>
    </w:p>
    <w:p w14:paraId="7DFCB431" w14:textId="6B94FA0D" w:rsidR="00F76363" w:rsidRDefault="00357920">
      <w:pPr>
        <w:pStyle w:val="TOC3"/>
        <w:rPr>
          <w:rFonts w:asciiTheme="minorHAnsi" w:eastAsiaTheme="minorEastAsia" w:hAnsiTheme="minorHAnsi" w:cstheme="minorBidi"/>
          <w:b w:val="0"/>
          <w:szCs w:val="22"/>
          <w:lang w:eastAsia="en-AU"/>
        </w:rPr>
      </w:pPr>
      <w:hyperlink w:anchor="_Toc62740024" w:history="1">
        <w:r w:rsidR="00F76363" w:rsidRPr="00A02F68">
          <w:rPr>
            <w:rStyle w:val="Hyperlink"/>
            <w:spacing w:val="4"/>
          </w:rPr>
          <w:t>Secretariat</w:t>
        </w:r>
        <w:r w:rsidR="00F76363">
          <w:rPr>
            <w:webHidden/>
          </w:rPr>
          <w:tab/>
        </w:r>
        <w:r w:rsidR="00F76363">
          <w:rPr>
            <w:webHidden/>
          </w:rPr>
          <w:fldChar w:fldCharType="begin"/>
        </w:r>
        <w:r w:rsidR="00F76363">
          <w:rPr>
            <w:webHidden/>
          </w:rPr>
          <w:instrText xml:space="preserve"> PAGEREF _Toc62740024 \h </w:instrText>
        </w:r>
        <w:r w:rsidR="00F76363">
          <w:rPr>
            <w:webHidden/>
          </w:rPr>
        </w:r>
        <w:r w:rsidR="00F76363">
          <w:rPr>
            <w:webHidden/>
          </w:rPr>
          <w:fldChar w:fldCharType="separate"/>
        </w:r>
        <w:r>
          <w:rPr>
            <w:webHidden/>
          </w:rPr>
          <w:t>i</w:t>
        </w:r>
        <w:r w:rsidR="00F76363">
          <w:rPr>
            <w:webHidden/>
          </w:rPr>
          <w:fldChar w:fldCharType="end"/>
        </w:r>
      </w:hyperlink>
    </w:p>
    <w:p w14:paraId="6299C0F2" w14:textId="1EE70E5F" w:rsidR="00F76363" w:rsidRDefault="00357920">
      <w:pPr>
        <w:pStyle w:val="TOC3"/>
        <w:rPr>
          <w:rFonts w:asciiTheme="minorHAnsi" w:eastAsiaTheme="minorEastAsia" w:hAnsiTheme="minorHAnsi" w:cstheme="minorBidi"/>
          <w:b w:val="0"/>
          <w:szCs w:val="22"/>
          <w:lang w:eastAsia="en-AU"/>
        </w:rPr>
      </w:pPr>
      <w:hyperlink w:anchor="_Toc62740025" w:history="1">
        <w:r w:rsidR="00F76363" w:rsidRPr="00A02F68">
          <w:rPr>
            <w:rStyle w:val="Hyperlink"/>
            <w:spacing w:val="4"/>
          </w:rPr>
          <w:t>Contact information</w:t>
        </w:r>
        <w:r w:rsidR="00F76363">
          <w:rPr>
            <w:webHidden/>
          </w:rPr>
          <w:tab/>
        </w:r>
        <w:r w:rsidR="00F76363">
          <w:rPr>
            <w:webHidden/>
          </w:rPr>
          <w:fldChar w:fldCharType="begin"/>
        </w:r>
        <w:r w:rsidR="00F76363">
          <w:rPr>
            <w:webHidden/>
          </w:rPr>
          <w:instrText xml:space="preserve"> PAGEREF _Toc62740025 \h </w:instrText>
        </w:r>
        <w:r w:rsidR="00F76363">
          <w:rPr>
            <w:webHidden/>
          </w:rPr>
        </w:r>
        <w:r w:rsidR="00F76363">
          <w:rPr>
            <w:webHidden/>
          </w:rPr>
          <w:fldChar w:fldCharType="separate"/>
        </w:r>
        <w:r>
          <w:rPr>
            <w:webHidden/>
          </w:rPr>
          <w:t>i</w:t>
        </w:r>
        <w:r w:rsidR="00F76363">
          <w:rPr>
            <w:webHidden/>
          </w:rPr>
          <w:fldChar w:fldCharType="end"/>
        </w:r>
      </w:hyperlink>
    </w:p>
    <w:p w14:paraId="3F8BFB93" w14:textId="407192D9" w:rsidR="00F76363" w:rsidRDefault="00357920">
      <w:pPr>
        <w:pStyle w:val="TOC3"/>
        <w:rPr>
          <w:rFonts w:asciiTheme="minorHAnsi" w:eastAsiaTheme="minorEastAsia" w:hAnsiTheme="minorHAnsi" w:cstheme="minorBidi"/>
          <w:b w:val="0"/>
          <w:szCs w:val="22"/>
          <w:lang w:eastAsia="en-AU"/>
        </w:rPr>
      </w:pPr>
      <w:hyperlink w:anchor="_Toc62740026" w:history="1">
        <w:r w:rsidR="00F76363" w:rsidRPr="00A02F68">
          <w:rPr>
            <w:rStyle w:val="Hyperlink"/>
          </w:rPr>
          <w:t>Resolution of Establishment</w:t>
        </w:r>
        <w:r w:rsidR="00F76363">
          <w:rPr>
            <w:webHidden/>
          </w:rPr>
          <w:tab/>
        </w:r>
        <w:r w:rsidR="00F76363">
          <w:rPr>
            <w:webHidden/>
          </w:rPr>
          <w:fldChar w:fldCharType="begin"/>
        </w:r>
        <w:r w:rsidR="00F76363">
          <w:rPr>
            <w:webHidden/>
          </w:rPr>
          <w:instrText xml:space="preserve"> PAGEREF _Toc62740026 \h </w:instrText>
        </w:r>
        <w:r w:rsidR="00F76363">
          <w:rPr>
            <w:webHidden/>
          </w:rPr>
        </w:r>
        <w:r w:rsidR="00F76363">
          <w:rPr>
            <w:webHidden/>
          </w:rPr>
          <w:fldChar w:fldCharType="separate"/>
        </w:r>
        <w:r>
          <w:rPr>
            <w:webHidden/>
          </w:rPr>
          <w:t>ii</w:t>
        </w:r>
        <w:r w:rsidR="00F76363">
          <w:rPr>
            <w:webHidden/>
          </w:rPr>
          <w:fldChar w:fldCharType="end"/>
        </w:r>
      </w:hyperlink>
    </w:p>
    <w:p w14:paraId="783F134F" w14:textId="144F59E5" w:rsidR="00F76363" w:rsidRDefault="00357920">
      <w:pPr>
        <w:pStyle w:val="TOC3"/>
        <w:rPr>
          <w:rFonts w:asciiTheme="minorHAnsi" w:eastAsiaTheme="minorEastAsia" w:hAnsiTheme="minorHAnsi" w:cstheme="minorBidi"/>
          <w:b w:val="0"/>
          <w:szCs w:val="22"/>
          <w:lang w:eastAsia="en-AU"/>
        </w:rPr>
      </w:pPr>
      <w:hyperlink w:anchor="_Toc62740027" w:history="1">
        <w:r w:rsidR="00F76363" w:rsidRPr="00A02F68">
          <w:rPr>
            <w:rStyle w:val="Hyperlink"/>
          </w:rPr>
          <w:t>Terms of reference</w:t>
        </w:r>
        <w:r w:rsidR="00F76363">
          <w:rPr>
            <w:webHidden/>
          </w:rPr>
          <w:tab/>
        </w:r>
        <w:r w:rsidR="00F76363">
          <w:rPr>
            <w:webHidden/>
          </w:rPr>
          <w:fldChar w:fldCharType="begin"/>
        </w:r>
        <w:r w:rsidR="00F76363">
          <w:rPr>
            <w:webHidden/>
          </w:rPr>
          <w:instrText xml:space="preserve"> PAGEREF _Toc62740027 \h </w:instrText>
        </w:r>
        <w:r w:rsidR="00F76363">
          <w:rPr>
            <w:webHidden/>
          </w:rPr>
        </w:r>
        <w:r w:rsidR="00F76363">
          <w:rPr>
            <w:webHidden/>
          </w:rPr>
          <w:fldChar w:fldCharType="separate"/>
        </w:r>
        <w:r>
          <w:rPr>
            <w:webHidden/>
          </w:rPr>
          <w:t>iii</w:t>
        </w:r>
        <w:r w:rsidR="00F76363">
          <w:rPr>
            <w:webHidden/>
          </w:rPr>
          <w:fldChar w:fldCharType="end"/>
        </w:r>
      </w:hyperlink>
    </w:p>
    <w:p w14:paraId="26D4C6E5" w14:textId="65EE4E9B" w:rsidR="00F76363" w:rsidRDefault="00357920">
      <w:pPr>
        <w:pStyle w:val="TOC1"/>
        <w:rPr>
          <w:rFonts w:asciiTheme="minorHAnsi" w:eastAsiaTheme="minorEastAsia" w:hAnsiTheme="minorHAnsi" w:cstheme="minorBidi"/>
          <w:b w:val="0"/>
          <w:smallCaps w:val="0"/>
          <w:spacing w:val="0"/>
          <w:sz w:val="22"/>
          <w:lang w:eastAsia="en-AU"/>
        </w:rPr>
      </w:pPr>
      <w:hyperlink w:anchor="_Toc62740028" w:history="1">
        <w:r w:rsidR="00F76363" w:rsidRPr="00A02F68">
          <w:rPr>
            <w:rStyle w:val="Hyperlink"/>
          </w:rPr>
          <w:t>Recommendations</w:t>
        </w:r>
        <w:r w:rsidR="00F76363">
          <w:rPr>
            <w:webHidden/>
          </w:rPr>
          <w:tab/>
        </w:r>
        <w:r w:rsidR="00F76363">
          <w:rPr>
            <w:webHidden/>
          </w:rPr>
          <w:fldChar w:fldCharType="begin"/>
        </w:r>
        <w:r w:rsidR="00F76363">
          <w:rPr>
            <w:webHidden/>
          </w:rPr>
          <w:instrText xml:space="preserve"> PAGEREF _Toc62740028 \h </w:instrText>
        </w:r>
        <w:r w:rsidR="00F76363">
          <w:rPr>
            <w:webHidden/>
          </w:rPr>
        </w:r>
        <w:r w:rsidR="00F76363">
          <w:rPr>
            <w:webHidden/>
          </w:rPr>
          <w:fldChar w:fldCharType="separate"/>
        </w:r>
        <w:r>
          <w:rPr>
            <w:webHidden/>
          </w:rPr>
          <w:t>vii</w:t>
        </w:r>
        <w:r w:rsidR="00F76363">
          <w:rPr>
            <w:webHidden/>
          </w:rPr>
          <w:fldChar w:fldCharType="end"/>
        </w:r>
      </w:hyperlink>
    </w:p>
    <w:p w14:paraId="4BDF0925" w14:textId="010429DD" w:rsidR="00F76363" w:rsidRDefault="00357920">
      <w:pPr>
        <w:pStyle w:val="TOC1"/>
        <w:tabs>
          <w:tab w:val="left" w:pos="1588"/>
        </w:tabs>
        <w:rPr>
          <w:rFonts w:asciiTheme="minorHAnsi" w:eastAsiaTheme="minorEastAsia" w:hAnsiTheme="minorHAnsi" w:cstheme="minorBidi"/>
          <w:b w:val="0"/>
          <w:smallCaps w:val="0"/>
          <w:spacing w:val="0"/>
          <w:sz w:val="22"/>
          <w:lang w:eastAsia="en-AU"/>
        </w:rPr>
      </w:pPr>
      <w:hyperlink w:anchor="_Toc62740029" w:history="1">
        <w:r w:rsidR="00F76363" w:rsidRPr="00A02F68">
          <w:rPr>
            <w:rStyle w:val="Hyperlink"/>
          </w:rPr>
          <w:t>1</w:t>
        </w:r>
        <w:r w:rsidR="00F76363">
          <w:rPr>
            <w:rFonts w:asciiTheme="minorHAnsi" w:eastAsiaTheme="minorEastAsia" w:hAnsiTheme="minorHAnsi" w:cstheme="minorBidi"/>
            <w:b w:val="0"/>
            <w:smallCaps w:val="0"/>
            <w:spacing w:val="0"/>
            <w:sz w:val="22"/>
            <w:lang w:eastAsia="en-AU"/>
          </w:rPr>
          <w:tab/>
        </w:r>
        <w:r w:rsidR="00F76363" w:rsidRPr="00A02F68">
          <w:rPr>
            <w:rStyle w:val="Hyperlink"/>
          </w:rPr>
          <w:t>Introduction and conduct of inquiry</w:t>
        </w:r>
        <w:r w:rsidR="00F76363">
          <w:rPr>
            <w:webHidden/>
          </w:rPr>
          <w:tab/>
        </w:r>
        <w:r w:rsidR="00F76363">
          <w:rPr>
            <w:webHidden/>
          </w:rPr>
          <w:fldChar w:fldCharType="begin"/>
        </w:r>
        <w:r w:rsidR="00F76363">
          <w:rPr>
            <w:webHidden/>
          </w:rPr>
          <w:instrText xml:space="preserve"> PAGEREF _Toc62740029 \h </w:instrText>
        </w:r>
        <w:r w:rsidR="00F76363">
          <w:rPr>
            <w:webHidden/>
          </w:rPr>
        </w:r>
        <w:r w:rsidR="00F76363">
          <w:rPr>
            <w:webHidden/>
          </w:rPr>
          <w:fldChar w:fldCharType="separate"/>
        </w:r>
        <w:r>
          <w:rPr>
            <w:webHidden/>
          </w:rPr>
          <w:t>1</w:t>
        </w:r>
        <w:r w:rsidR="00F76363">
          <w:rPr>
            <w:webHidden/>
          </w:rPr>
          <w:fldChar w:fldCharType="end"/>
        </w:r>
      </w:hyperlink>
    </w:p>
    <w:p w14:paraId="466EB4FF" w14:textId="3A4D82D1" w:rsidR="00F76363" w:rsidRDefault="00357920">
      <w:pPr>
        <w:pStyle w:val="TOC2"/>
        <w:rPr>
          <w:rFonts w:asciiTheme="minorHAnsi" w:eastAsiaTheme="minorEastAsia" w:hAnsiTheme="minorHAnsi" w:cstheme="minorBidi"/>
          <w:b w:val="0"/>
          <w:szCs w:val="22"/>
          <w:lang w:eastAsia="en-AU"/>
        </w:rPr>
      </w:pPr>
      <w:hyperlink w:anchor="_Toc62740030" w:history="1">
        <w:r w:rsidR="00F76363" w:rsidRPr="00A02F68">
          <w:rPr>
            <w:rStyle w:val="Hyperlink"/>
          </w:rPr>
          <w:t>Inquiry referral</w:t>
        </w:r>
        <w:r w:rsidR="00F76363">
          <w:rPr>
            <w:webHidden/>
          </w:rPr>
          <w:tab/>
        </w:r>
        <w:r w:rsidR="00F76363">
          <w:rPr>
            <w:webHidden/>
          </w:rPr>
          <w:fldChar w:fldCharType="begin"/>
        </w:r>
        <w:r w:rsidR="00F76363">
          <w:rPr>
            <w:webHidden/>
          </w:rPr>
          <w:instrText xml:space="preserve"> PAGEREF _Toc62740030 \h </w:instrText>
        </w:r>
        <w:r w:rsidR="00F76363">
          <w:rPr>
            <w:webHidden/>
          </w:rPr>
        </w:r>
        <w:r w:rsidR="00F76363">
          <w:rPr>
            <w:webHidden/>
          </w:rPr>
          <w:fldChar w:fldCharType="separate"/>
        </w:r>
        <w:r>
          <w:rPr>
            <w:webHidden/>
          </w:rPr>
          <w:t>1</w:t>
        </w:r>
        <w:r w:rsidR="00F76363">
          <w:rPr>
            <w:webHidden/>
          </w:rPr>
          <w:fldChar w:fldCharType="end"/>
        </w:r>
      </w:hyperlink>
    </w:p>
    <w:p w14:paraId="20226B56" w14:textId="040225BC" w:rsidR="00F76363" w:rsidRDefault="00357920">
      <w:pPr>
        <w:pStyle w:val="TOC2"/>
        <w:rPr>
          <w:rFonts w:asciiTheme="minorHAnsi" w:eastAsiaTheme="minorEastAsia" w:hAnsiTheme="minorHAnsi" w:cstheme="minorBidi"/>
          <w:b w:val="0"/>
          <w:szCs w:val="22"/>
          <w:lang w:eastAsia="en-AU"/>
        </w:rPr>
      </w:pPr>
      <w:hyperlink w:anchor="_Toc62740031" w:history="1">
        <w:r w:rsidR="00F76363" w:rsidRPr="00A02F68">
          <w:rPr>
            <w:rStyle w:val="Hyperlink"/>
          </w:rPr>
          <w:t>Conduct of the inquiry</w:t>
        </w:r>
        <w:r w:rsidR="00F76363">
          <w:rPr>
            <w:webHidden/>
          </w:rPr>
          <w:tab/>
        </w:r>
        <w:r w:rsidR="00F76363">
          <w:rPr>
            <w:webHidden/>
          </w:rPr>
          <w:fldChar w:fldCharType="begin"/>
        </w:r>
        <w:r w:rsidR="00F76363">
          <w:rPr>
            <w:webHidden/>
          </w:rPr>
          <w:instrText xml:space="preserve"> PAGEREF _Toc62740031 \h </w:instrText>
        </w:r>
        <w:r w:rsidR="00F76363">
          <w:rPr>
            <w:webHidden/>
          </w:rPr>
        </w:r>
        <w:r w:rsidR="00F76363">
          <w:rPr>
            <w:webHidden/>
          </w:rPr>
          <w:fldChar w:fldCharType="separate"/>
        </w:r>
        <w:r>
          <w:rPr>
            <w:webHidden/>
          </w:rPr>
          <w:t>1</w:t>
        </w:r>
        <w:r w:rsidR="00F76363">
          <w:rPr>
            <w:webHidden/>
          </w:rPr>
          <w:fldChar w:fldCharType="end"/>
        </w:r>
      </w:hyperlink>
    </w:p>
    <w:p w14:paraId="637C8DC5" w14:textId="61038341" w:rsidR="00F76363" w:rsidRDefault="00357920">
      <w:pPr>
        <w:pStyle w:val="TOC2"/>
        <w:rPr>
          <w:rFonts w:asciiTheme="minorHAnsi" w:eastAsiaTheme="minorEastAsia" w:hAnsiTheme="minorHAnsi" w:cstheme="minorBidi"/>
          <w:b w:val="0"/>
          <w:szCs w:val="22"/>
          <w:lang w:eastAsia="en-AU"/>
        </w:rPr>
      </w:pPr>
      <w:hyperlink w:anchor="_Toc62740032" w:history="1">
        <w:r w:rsidR="00F76363" w:rsidRPr="00A02F68">
          <w:rPr>
            <w:rStyle w:val="Hyperlink"/>
          </w:rPr>
          <w:t>Structure of the Committee’s report</w:t>
        </w:r>
        <w:r w:rsidR="00F76363">
          <w:rPr>
            <w:webHidden/>
          </w:rPr>
          <w:tab/>
        </w:r>
        <w:r w:rsidR="00F76363">
          <w:rPr>
            <w:webHidden/>
          </w:rPr>
          <w:fldChar w:fldCharType="begin"/>
        </w:r>
        <w:r w:rsidR="00F76363">
          <w:rPr>
            <w:webHidden/>
          </w:rPr>
          <w:instrText xml:space="preserve"> PAGEREF _Toc62740032 \h </w:instrText>
        </w:r>
        <w:r w:rsidR="00F76363">
          <w:rPr>
            <w:webHidden/>
          </w:rPr>
        </w:r>
        <w:r w:rsidR="00F76363">
          <w:rPr>
            <w:webHidden/>
          </w:rPr>
          <w:fldChar w:fldCharType="separate"/>
        </w:r>
        <w:r>
          <w:rPr>
            <w:webHidden/>
          </w:rPr>
          <w:t>1</w:t>
        </w:r>
        <w:r w:rsidR="00F76363">
          <w:rPr>
            <w:webHidden/>
          </w:rPr>
          <w:fldChar w:fldCharType="end"/>
        </w:r>
      </w:hyperlink>
    </w:p>
    <w:p w14:paraId="3C579C01" w14:textId="4F7A8FB0" w:rsidR="00F76363" w:rsidRDefault="00357920">
      <w:pPr>
        <w:pStyle w:val="TOC2"/>
        <w:rPr>
          <w:rFonts w:asciiTheme="minorHAnsi" w:eastAsiaTheme="minorEastAsia" w:hAnsiTheme="minorHAnsi" w:cstheme="minorBidi"/>
          <w:b w:val="0"/>
          <w:szCs w:val="22"/>
          <w:lang w:eastAsia="en-AU"/>
        </w:rPr>
      </w:pPr>
      <w:hyperlink w:anchor="_Toc62740033" w:history="1">
        <w:r w:rsidR="00F76363" w:rsidRPr="00A02F68">
          <w:rPr>
            <w:rStyle w:val="Hyperlink"/>
          </w:rPr>
          <w:t>Acknowledgements</w:t>
        </w:r>
        <w:r w:rsidR="00F76363">
          <w:rPr>
            <w:webHidden/>
          </w:rPr>
          <w:tab/>
        </w:r>
        <w:r w:rsidR="00F76363">
          <w:rPr>
            <w:webHidden/>
          </w:rPr>
          <w:fldChar w:fldCharType="begin"/>
        </w:r>
        <w:r w:rsidR="00F76363">
          <w:rPr>
            <w:webHidden/>
          </w:rPr>
          <w:instrText xml:space="preserve"> PAGEREF _Toc62740033 \h </w:instrText>
        </w:r>
        <w:r w:rsidR="00F76363">
          <w:rPr>
            <w:webHidden/>
          </w:rPr>
        </w:r>
        <w:r w:rsidR="00F76363">
          <w:rPr>
            <w:webHidden/>
          </w:rPr>
          <w:fldChar w:fldCharType="separate"/>
        </w:r>
        <w:r>
          <w:rPr>
            <w:webHidden/>
          </w:rPr>
          <w:t>2</w:t>
        </w:r>
        <w:r w:rsidR="00F76363">
          <w:rPr>
            <w:webHidden/>
          </w:rPr>
          <w:fldChar w:fldCharType="end"/>
        </w:r>
      </w:hyperlink>
    </w:p>
    <w:p w14:paraId="08089940" w14:textId="60570CD3" w:rsidR="00F76363" w:rsidRDefault="00357920">
      <w:pPr>
        <w:pStyle w:val="TOC1"/>
        <w:tabs>
          <w:tab w:val="left" w:pos="1588"/>
        </w:tabs>
        <w:rPr>
          <w:rFonts w:asciiTheme="minorHAnsi" w:eastAsiaTheme="minorEastAsia" w:hAnsiTheme="minorHAnsi" w:cstheme="minorBidi"/>
          <w:b w:val="0"/>
          <w:smallCaps w:val="0"/>
          <w:spacing w:val="0"/>
          <w:sz w:val="22"/>
          <w:lang w:eastAsia="en-AU"/>
        </w:rPr>
      </w:pPr>
      <w:hyperlink w:anchor="_Toc62740034" w:history="1">
        <w:r w:rsidR="00F76363" w:rsidRPr="00A02F68">
          <w:rPr>
            <w:rStyle w:val="Hyperlink"/>
          </w:rPr>
          <w:t>2</w:t>
        </w:r>
        <w:r w:rsidR="00F76363">
          <w:rPr>
            <w:rFonts w:asciiTheme="minorHAnsi" w:eastAsiaTheme="minorEastAsia" w:hAnsiTheme="minorHAnsi" w:cstheme="minorBidi"/>
            <w:b w:val="0"/>
            <w:smallCaps w:val="0"/>
            <w:spacing w:val="0"/>
            <w:sz w:val="22"/>
            <w:lang w:eastAsia="en-AU"/>
          </w:rPr>
          <w:tab/>
        </w:r>
        <w:r w:rsidR="00F76363" w:rsidRPr="00A02F68">
          <w:rPr>
            <w:rStyle w:val="Hyperlink"/>
          </w:rPr>
          <w:t>Bill context</w:t>
        </w:r>
        <w:r w:rsidR="00F76363">
          <w:rPr>
            <w:webHidden/>
          </w:rPr>
          <w:tab/>
        </w:r>
        <w:r w:rsidR="00F76363">
          <w:rPr>
            <w:webHidden/>
          </w:rPr>
          <w:fldChar w:fldCharType="begin"/>
        </w:r>
        <w:r w:rsidR="00F76363">
          <w:rPr>
            <w:webHidden/>
          </w:rPr>
          <w:instrText xml:space="preserve"> PAGEREF _Toc62740034 \h </w:instrText>
        </w:r>
        <w:r w:rsidR="00F76363">
          <w:rPr>
            <w:webHidden/>
          </w:rPr>
        </w:r>
        <w:r w:rsidR="00F76363">
          <w:rPr>
            <w:webHidden/>
          </w:rPr>
          <w:fldChar w:fldCharType="separate"/>
        </w:r>
        <w:r>
          <w:rPr>
            <w:webHidden/>
          </w:rPr>
          <w:t>3</w:t>
        </w:r>
        <w:r w:rsidR="00F76363">
          <w:rPr>
            <w:webHidden/>
          </w:rPr>
          <w:fldChar w:fldCharType="end"/>
        </w:r>
      </w:hyperlink>
    </w:p>
    <w:p w14:paraId="4CEBD948" w14:textId="70CFF17E" w:rsidR="00F76363" w:rsidRDefault="00357920">
      <w:pPr>
        <w:pStyle w:val="TOC2"/>
        <w:rPr>
          <w:rFonts w:asciiTheme="minorHAnsi" w:eastAsiaTheme="minorEastAsia" w:hAnsiTheme="minorHAnsi" w:cstheme="minorBidi"/>
          <w:b w:val="0"/>
          <w:szCs w:val="22"/>
          <w:lang w:eastAsia="en-AU"/>
        </w:rPr>
      </w:pPr>
      <w:hyperlink w:anchor="_Toc62740035" w:history="1">
        <w:r w:rsidR="00F76363" w:rsidRPr="00A02F68">
          <w:rPr>
            <w:rStyle w:val="Hyperlink"/>
          </w:rPr>
          <w:t>Background</w:t>
        </w:r>
        <w:r w:rsidR="00F76363">
          <w:rPr>
            <w:webHidden/>
          </w:rPr>
          <w:tab/>
        </w:r>
        <w:r w:rsidR="00F76363">
          <w:rPr>
            <w:webHidden/>
          </w:rPr>
          <w:fldChar w:fldCharType="begin"/>
        </w:r>
        <w:r w:rsidR="00F76363">
          <w:rPr>
            <w:webHidden/>
          </w:rPr>
          <w:instrText xml:space="preserve"> PAGEREF _Toc62740035 \h </w:instrText>
        </w:r>
        <w:r w:rsidR="00F76363">
          <w:rPr>
            <w:webHidden/>
          </w:rPr>
        </w:r>
        <w:r w:rsidR="00F76363">
          <w:rPr>
            <w:webHidden/>
          </w:rPr>
          <w:fldChar w:fldCharType="separate"/>
        </w:r>
        <w:r>
          <w:rPr>
            <w:webHidden/>
          </w:rPr>
          <w:t>3</w:t>
        </w:r>
        <w:r w:rsidR="00F76363">
          <w:rPr>
            <w:webHidden/>
          </w:rPr>
          <w:fldChar w:fldCharType="end"/>
        </w:r>
      </w:hyperlink>
    </w:p>
    <w:p w14:paraId="0EFB7F5E" w14:textId="18A33B77" w:rsidR="00F76363" w:rsidRDefault="00357920">
      <w:pPr>
        <w:pStyle w:val="TOC2"/>
        <w:rPr>
          <w:rFonts w:asciiTheme="minorHAnsi" w:eastAsiaTheme="minorEastAsia" w:hAnsiTheme="minorHAnsi" w:cstheme="minorBidi"/>
          <w:b w:val="0"/>
          <w:szCs w:val="22"/>
          <w:lang w:eastAsia="en-AU"/>
        </w:rPr>
      </w:pPr>
      <w:hyperlink w:anchor="_Toc62740036" w:history="1">
        <w:r w:rsidR="00F76363" w:rsidRPr="00A02F68">
          <w:rPr>
            <w:rStyle w:val="Hyperlink"/>
          </w:rPr>
          <w:t>Pre-legislative scrutiny</w:t>
        </w:r>
        <w:r w:rsidR="00F76363">
          <w:rPr>
            <w:webHidden/>
          </w:rPr>
          <w:tab/>
        </w:r>
        <w:r w:rsidR="00F76363">
          <w:rPr>
            <w:webHidden/>
          </w:rPr>
          <w:fldChar w:fldCharType="begin"/>
        </w:r>
        <w:r w:rsidR="00F76363">
          <w:rPr>
            <w:webHidden/>
          </w:rPr>
          <w:instrText xml:space="preserve"> PAGEREF _Toc62740036 \h </w:instrText>
        </w:r>
        <w:r w:rsidR="00F76363">
          <w:rPr>
            <w:webHidden/>
          </w:rPr>
        </w:r>
        <w:r w:rsidR="00F76363">
          <w:rPr>
            <w:webHidden/>
          </w:rPr>
          <w:fldChar w:fldCharType="separate"/>
        </w:r>
        <w:r>
          <w:rPr>
            <w:webHidden/>
          </w:rPr>
          <w:t>4</w:t>
        </w:r>
        <w:r w:rsidR="00F76363">
          <w:rPr>
            <w:webHidden/>
          </w:rPr>
          <w:fldChar w:fldCharType="end"/>
        </w:r>
      </w:hyperlink>
    </w:p>
    <w:p w14:paraId="6151F550" w14:textId="6091851C" w:rsidR="00F76363" w:rsidRDefault="00357920">
      <w:pPr>
        <w:pStyle w:val="TOC2"/>
        <w:rPr>
          <w:rFonts w:asciiTheme="minorHAnsi" w:eastAsiaTheme="minorEastAsia" w:hAnsiTheme="minorHAnsi" w:cstheme="minorBidi"/>
          <w:b w:val="0"/>
          <w:szCs w:val="22"/>
          <w:lang w:eastAsia="en-AU"/>
        </w:rPr>
      </w:pPr>
      <w:hyperlink w:anchor="_Toc62740037" w:history="1">
        <w:r w:rsidR="00F76363" w:rsidRPr="00A02F68">
          <w:rPr>
            <w:rStyle w:val="Hyperlink"/>
          </w:rPr>
          <w:t xml:space="preserve">Compatibility with </w:t>
        </w:r>
        <w:r w:rsidR="00F76363" w:rsidRPr="00A02F68">
          <w:rPr>
            <w:rStyle w:val="Hyperlink"/>
            <w:i/>
          </w:rPr>
          <w:t>Human Rights Act 2004</w:t>
        </w:r>
        <w:r w:rsidR="00F76363" w:rsidRPr="00A02F68">
          <w:rPr>
            <w:rStyle w:val="Hyperlink"/>
          </w:rPr>
          <w:t xml:space="preserve"> (s. 37)</w:t>
        </w:r>
        <w:r w:rsidR="00F76363">
          <w:rPr>
            <w:webHidden/>
          </w:rPr>
          <w:tab/>
        </w:r>
        <w:r w:rsidR="00F76363">
          <w:rPr>
            <w:webHidden/>
          </w:rPr>
          <w:fldChar w:fldCharType="begin"/>
        </w:r>
        <w:r w:rsidR="00F76363">
          <w:rPr>
            <w:webHidden/>
          </w:rPr>
          <w:instrText xml:space="preserve"> PAGEREF _Toc62740037 \h </w:instrText>
        </w:r>
        <w:r w:rsidR="00F76363">
          <w:rPr>
            <w:webHidden/>
          </w:rPr>
        </w:r>
        <w:r w:rsidR="00F76363">
          <w:rPr>
            <w:webHidden/>
          </w:rPr>
          <w:fldChar w:fldCharType="separate"/>
        </w:r>
        <w:r>
          <w:rPr>
            <w:webHidden/>
          </w:rPr>
          <w:t>4</w:t>
        </w:r>
        <w:r w:rsidR="00F76363">
          <w:rPr>
            <w:webHidden/>
          </w:rPr>
          <w:fldChar w:fldCharType="end"/>
        </w:r>
      </w:hyperlink>
    </w:p>
    <w:p w14:paraId="203CF8CC" w14:textId="7661B7C6" w:rsidR="00F76363" w:rsidRDefault="00357920">
      <w:pPr>
        <w:pStyle w:val="TOC2"/>
        <w:rPr>
          <w:rFonts w:asciiTheme="minorHAnsi" w:eastAsiaTheme="minorEastAsia" w:hAnsiTheme="minorHAnsi" w:cstheme="minorBidi"/>
          <w:b w:val="0"/>
          <w:szCs w:val="22"/>
          <w:lang w:eastAsia="en-AU"/>
        </w:rPr>
      </w:pPr>
      <w:hyperlink w:anchor="_Toc62740038" w:history="1">
        <w:r w:rsidR="00F76363" w:rsidRPr="00A02F68">
          <w:rPr>
            <w:rStyle w:val="Hyperlink"/>
          </w:rPr>
          <w:t>Summary of measures the Bill is seeking to enact</w:t>
        </w:r>
        <w:r w:rsidR="00F76363">
          <w:rPr>
            <w:webHidden/>
          </w:rPr>
          <w:tab/>
        </w:r>
        <w:r w:rsidR="00F76363">
          <w:rPr>
            <w:webHidden/>
          </w:rPr>
          <w:fldChar w:fldCharType="begin"/>
        </w:r>
        <w:r w:rsidR="00F76363">
          <w:rPr>
            <w:webHidden/>
          </w:rPr>
          <w:instrText xml:space="preserve"> PAGEREF _Toc62740038 \h </w:instrText>
        </w:r>
        <w:r w:rsidR="00F76363">
          <w:rPr>
            <w:webHidden/>
          </w:rPr>
        </w:r>
        <w:r w:rsidR="00F76363">
          <w:rPr>
            <w:webHidden/>
          </w:rPr>
          <w:fldChar w:fldCharType="separate"/>
        </w:r>
        <w:r>
          <w:rPr>
            <w:webHidden/>
          </w:rPr>
          <w:t>5</w:t>
        </w:r>
        <w:r w:rsidR="00F76363">
          <w:rPr>
            <w:webHidden/>
          </w:rPr>
          <w:fldChar w:fldCharType="end"/>
        </w:r>
      </w:hyperlink>
    </w:p>
    <w:p w14:paraId="5E2171D0" w14:textId="6D5BA734" w:rsidR="00F76363" w:rsidRDefault="00357920">
      <w:pPr>
        <w:pStyle w:val="TOC1"/>
        <w:tabs>
          <w:tab w:val="left" w:pos="1588"/>
        </w:tabs>
        <w:rPr>
          <w:rFonts w:asciiTheme="minorHAnsi" w:eastAsiaTheme="minorEastAsia" w:hAnsiTheme="minorHAnsi" w:cstheme="minorBidi"/>
          <w:b w:val="0"/>
          <w:smallCaps w:val="0"/>
          <w:spacing w:val="0"/>
          <w:sz w:val="22"/>
          <w:lang w:eastAsia="en-AU"/>
        </w:rPr>
      </w:pPr>
      <w:hyperlink w:anchor="_Toc62740039" w:history="1">
        <w:r w:rsidR="00F76363" w:rsidRPr="00A02F68">
          <w:rPr>
            <w:rStyle w:val="Hyperlink"/>
          </w:rPr>
          <w:t>3</w:t>
        </w:r>
        <w:r w:rsidR="00F76363">
          <w:rPr>
            <w:rFonts w:asciiTheme="minorHAnsi" w:eastAsiaTheme="minorEastAsia" w:hAnsiTheme="minorHAnsi" w:cstheme="minorBidi"/>
            <w:b w:val="0"/>
            <w:smallCaps w:val="0"/>
            <w:spacing w:val="0"/>
            <w:sz w:val="22"/>
            <w:lang w:eastAsia="en-AU"/>
          </w:rPr>
          <w:tab/>
        </w:r>
        <w:r w:rsidR="00F76363" w:rsidRPr="00A02F68">
          <w:rPr>
            <w:rStyle w:val="Hyperlink"/>
          </w:rPr>
          <w:t>Committee consideration</w:t>
        </w:r>
        <w:r w:rsidR="00F76363">
          <w:rPr>
            <w:webHidden/>
          </w:rPr>
          <w:tab/>
        </w:r>
        <w:r w:rsidR="00F76363">
          <w:rPr>
            <w:webHidden/>
          </w:rPr>
          <w:fldChar w:fldCharType="begin"/>
        </w:r>
        <w:r w:rsidR="00F76363">
          <w:rPr>
            <w:webHidden/>
          </w:rPr>
          <w:instrText xml:space="preserve"> PAGEREF _Toc62740039 \h </w:instrText>
        </w:r>
        <w:r w:rsidR="00F76363">
          <w:rPr>
            <w:webHidden/>
          </w:rPr>
        </w:r>
        <w:r w:rsidR="00F76363">
          <w:rPr>
            <w:webHidden/>
          </w:rPr>
          <w:fldChar w:fldCharType="separate"/>
        </w:r>
        <w:r>
          <w:rPr>
            <w:webHidden/>
          </w:rPr>
          <w:t>9</w:t>
        </w:r>
        <w:r w:rsidR="00F76363">
          <w:rPr>
            <w:webHidden/>
          </w:rPr>
          <w:fldChar w:fldCharType="end"/>
        </w:r>
      </w:hyperlink>
    </w:p>
    <w:p w14:paraId="4418323F" w14:textId="23751CEB" w:rsidR="00F76363" w:rsidRDefault="00357920">
      <w:pPr>
        <w:pStyle w:val="TOC2"/>
        <w:rPr>
          <w:rFonts w:asciiTheme="minorHAnsi" w:eastAsiaTheme="minorEastAsia" w:hAnsiTheme="minorHAnsi" w:cstheme="minorBidi"/>
          <w:b w:val="0"/>
          <w:szCs w:val="22"/>
          <w:lang w:eastAsia="en-AU"/>
        </w:rPr>
      </w:pPr>
      <w:hyperlink w:anchor="_Toc62740040" w:history="1">
        <w:r w:rsidR="00F76363" w:rsidRPr="00A02F68">
          <w:rPr>
            <w:rStyle w:val="Hyperlink"/>
          </w:rPr>
          <w:t>Emergency legislation</w:t>
        </w:r>
        <w:r w:rsidR="00F76363">
          <w:rPr>
            <w:webHidden/>
          </w:rPr>
          <w:tab/>
        </w:r>
        <w:r w:rsidR="00F76363">
          <w:rPr>
            <w:webHidden/>
          </w:rPr>
          <w:fldChar w:fldCharType="begin"/>
        </w:r>
        <w:r w:rsidR="00F76363">
          <w:rPr>
            <w:webHidden/>
          </w:rPr>
          <w:instrText xml:space="preserve"> PAGEREF _Toc62740040 \h </w:instrText>
        </w:r>
        <w:r w:rsidR="00F76363">
          <w:rPr>
            <w:webHidden/>
          </w:rPr>
        </w:r>
        <w:r w:rsidR="00F76363">
          <w:rPr>
            <w:webHidden/>
          </w:rPr>
          <w:fldChar w:fldCharType="separate"/>
        </w:r>
        <w:r>
          <w:rPr>
            <w:webHidden/>
          </w:rPr>
          <w:t>9</w:t>
        </w:r>
        <w:r w:rsidR="00F76363">
          <w:rPr>
            <w:webHidden/>
          </w:rPr>
          <w:fldChar w:fldCharType="end"/>
        </w:r>
      </w:hyperlink>
    </w:p>
    <w:p w14:paraId="6F4C7420" w14:textId="4DE11B9A" w:rsidR="00F76363" w:rsidRDefault="00357920">
      <w:pPr>
        <w:pStyle w:val="TOC2"/>
        <w:rPr>
          <w:rFonts w:asciiTheme="minorHAnsi" w:eastAsiaTheme="minorEastAsia" w:hAnsiTheme="minorHAnsi" w:cstheme="minorBidi"/>
          <w:b w:val="0"/>
          <w:szCs w:val="22"/>
          <w:lang w:eastAsia="en-AU"/>
        </w:rPr>
      </w:pPr>
      <w:hyperlink w:anchor="_Toc62740041" w:history="1">
        <w:r w:rsidR="00F76363" w:rsidRPr="00A02F68">
          <w:rPr>
            <w:rStyle w:val="Hyperlink"/>
          </w:rPr>
          <w:t>Measures the Bill seeks to enact</w:t>
        </w:r>
        <w:r w:rsidR="00F76363">
          <w:rPr>
            <w:webHidden/>
          </w:rPr>
          <w:tab/>
        </w:r>
        <w:r w:rsidR="00F76363">
          <w:rPr>
            <w:webHidden/>
          </w:rPr>
          <w:fldChar w:fldCharType="begin"/>
        </w:r>
        <w:r w:rsidR="00F76363">
          <w:rPr>
            <w:webHidden/>
          </w:rPr>
          <w:instrText xml:space="preserve"> PAGEREF _Toc62740041 \h </w:instrText>
        </w:r>
        <w:r w:rsidR="00F76363">
          <w:rPr>
            <w:webHidden/>
          </w:rPr>
        </w:r>
        <w:r w:rsidR="00F76363">
          <w:rPr>
            <w:webHidden/>
          </w:rPr>
          <w:fldChar w:fldCharType="separate"/>
        </w:r>
        <w:r>
          <w:rPr>
            <w:webHidden/>
          </w:rPr>
          <w:t>11</w:t>
        </w:r>
        <w:r w:rsidR="00F76363">
          <w:rPr>
            <w:webHidden/>
          </w:rPr>
          <w:fldChar w:fldCharType="end"/>
        </w:r>
      </w:hyperlink>
    </w:p>
    <w:p w14:paraId="630FD646" w14:textId="467B0F0E" w:rsidR="00F76363" w:rsidRDefault="00357920">
      <w:pPr>
        <w:pStyle w:val="TOC2"/>
        <w:rPr>
          <w:rFonts w:asciiTheme="minorHAnsi" w:eastAsiaTheme="minorEastAsia" w:hAnsiTheme="minorHAnsi" w:cstheme="minorBidi"/>
          <w:b w:val="0"/>
          <w:szCs w:val="22"/>
          <w:lang w:eastAsia="en-AU"/>
        </w:rPr>
      </w:pPr>
      <w:hyperlink w:anchor="_Toc62740042" w:history="1">
        <w:r w:rsidR="00F76363" w:rsidRPr="00A02F68">
          <w:rPr>
            <w:rStyle w:val="Hyperlink"/>
          </w:rPr>
          <w:t>Reporting requirements to the Assembly</w:t>
        </w:r>
        <w:r w:rsidR="00F76363">
          <w:rPr>
            <w:webHidden/>
          </w:rPr>
          <w:tab/>
        </w:r>
        <w:r w:rsidR="00F76363">
          <w:rPr>
            <w:webHidden/>
          </w:rPr>
          <w:fldChar w:fldCharType="begin"/>
        </w:r>
        <w:r w:rsidR="00F76363">
          <w:rPr>
            <w:webHidden/>
          </w:rPr>
          <w:instrText xml:space="preserve"> PAGEREF _Toc62740042 \h </w:instrText>
        </w:r>
        <w:r w:rsidR="00F76363">
          <w:rPr>
            <w:webHidden/>
          </w:rPr>
        </w:r>
        <w:r w:rsidR="00F76363">
          <w:rPr>
            <w:webHidden/>
          </w:rPr>
          <w:fldChar w:fldCharType="separate"/>
        </w:r>
        <w:r>
          <w:rPr>
            <w:webHidden/>
          </w:rPr>
          <w:t>13</w:t>
        </w:r>
        <w:r w:rsidR="00F76363">
          <w:rPr>
            <w:webHidden/>
          </w:rPr>
          <w:fldChar w:fldCharType="end"/>
        </w:r>
      </w:hyperlink>
    </w:p>
    <w:p w14:paraId="719C35EF" w14:textId="0AA076BD" w:rsidR="00F76363" w:rsidRDefault="00357920">
      <w:pPr>
        <w:pStyle w:val="TOC1"/>
        <w:tabs>
          <w:tab w:val="left" w:pos="1588"/>
        </w:tabs>
        <w:rPr>
          <w:rFonts w:asciiTheme="minorHAnsi" w:eastAsiaTheme="minorEastAsia" w:hAnsiTheme="minorHAnsi" w:cstheme="minorBidi"/>
          <w:b w:val="0"/>
          <w:smallCaps w:val="0"/>
          <w:spacing w:val="0"/>
          <w:sz w:val="22"/>
          <w:lang w:eastAsia="en-AU"/>
        </w:rPr>
      </w:pPr>
      <w:hyperlink w:anchor="_Toc62740043" w:history="1">
        <w:r w:rsidR="00F76363" w:rsidRPr="00A02F68">
          <w:rPr>
            <w:rStyle w:val="Hyperlink"/>
          </w:rPr>
          <w:t>4</w:t>
        </w:r>
        <w:r w:rsidR="00F76363">
          <w:rPr>
            <w:rFonts w:asciiTheme="minorHAnsi" w:eastAsiaTheme="minorEastAsia" w:hAnsiTheme="minorHAnsi" w:cstheme="minorBidi"/>
            <w:b w:val="0"/>
            <w:smallCaps w:val="0"/>
            <w:spacing w:val="0"/>
            <w:sz w:val="22"/>
            <w:lang w:eastAsia="en-AU"/>
          </w:rPr>
          <w:tab/>
        </w:r>
        <w:r w:rsidR="00F76363" w:rsidRPr="00A02F68">
          <w:rPr>
            <w:rStyle w:val="Hyperlink"/>
          </w:rPr>
          <w:t>Conclusion</w:t>
        </w:r>
        <w:r w:rsidR="00F76363">
          <w:rPr>
            <w:webHidden/>
          </w:rPr>
          <w:tab/>
        </w:r>
        <w:r w:rsidR="00F76363">
          <w:rPr>
            <w:webHidden/>
          </w:rPr>
          <w:fldChar w:fldCharType="begin"/>
        </w:r>
        <w:r w:rsidR="00F76363">
          <w:rPr>
            <w:webHidden/>
          </w:rPr>
          <w:instrText xml:space="preserve"> PAGEREF _Toc62740043 \h </w:instrText>
        </w:r>
        <w:r w:rsidR="00F76363">
          <w:rPr>
            <w:webHidden/>
          </w:rPr>
        </w:r>
        <w:r w:rsidR="00F76363">
          <w:rPr>
            <w:webHidden/>
          </w:rPr>
          <w:fldChar w:fldCharType="separate"/>
        </w:r>
        <w:r>
          <w:rPr>
            <w:webHidden/>
          </w:rPr>
          <w:t>17</w:t>
        </w:r>
        <w:r w:rsidR="00F76363">
          <w:rPr>
            <w:webHidden/>
          </w:rPr>
          <w:fldChar w:fldCharType="end"/>
        </w:r>
      </w:hyperlink>
    </w:p>
    <w:p w14:paraId="10CE115B" w14:textId="6714FA1D" w:rsidR="00F76363" w:rsidRDefault="00357920">
      <w:pPr>
        <w:pStyle w:val="TOC1"/>
        <w:tabs>
          <w:tab w:val="left" w:pos="2329"/>
        </w:tabs>
        <w:rPr>
          <w:rFonts w:asciiTheme="minorHAnsi" w:eastAsiaTheme="minorEastAsia" w:hAnsiTheme="minorHAnsi" w:cstheme="minorBidi"/>
          <w:b w:val="0"/>
          <w:smallCaps w:val="0"/>
          <w:spacing w:val="0"/>
          <w:sz w:val="22"/>
          <w:lang w:eastAsia="en-AU"/>
        </w:rPr>
      </w:pPr>
      <w:hyperlink w:anchor="_Toc62740044" w:history="1">
        <w:r w:rsidR="00F76363" w:rsidRPr="00A02F68">
          <w:rPr>
            <w:rStyle w:val="Hyperlink"/>
          </w:rPr>
          <w:t>Appendix A</w:t>
        </w:r>
        <w:r w:rsidR="00F76363">
          <w:rPr>
            <w:rFonts w:asciiTheme="minorHAnsi" w:eastAsiaTheme="minorEastAsia" w:hAnsiTheme="minorHAnsi" w:cstheme="minorBidi"/>
            <w:b w:val="0"/>
            <w:smallCaps w:val="0"/>
            <w:spacing w:val="0"/>
            <w:sz w:val="22"/>
            <w:lang w:eastAsia="en-AU"/>
          </w:rPr>
          <w:tab/>
        </w:r>
        <w:r w:rsidR="00F76363" w:rsidRPr="00A02F68">
          <w:rPr>
            <w:rStyle w:val="Hyperlink"/>
          </w:rPr>
          <w:t>Correspondence from Chief Minister (15/01/21)</w:t>
        </w:r>
        <w:r w:rsidR="00F76363">
          <w:rPr>
            <w:webHidden/>
          </w:rPr>
          <w:fldChar w:fldCharType="begin"/>
        </w:r>
        <w:r w:rsidR="00F76363">
          <w:rPr>
            <w:webHidden/>
          </w:rPr>
          <w:instrText xml:space="preserve"> PAGEREF _Toc62740044 \h </w:instrText>
        </w:r>
        <w:r w:rsidR="00F76363">
          <w:rPr>
            <w:webHidden/>
          </w:rPr>
        </w:r>
        <w:r w:rsidR="00F76363">
          <w:rPr>
            <w:webHidden/>
          </w:rPr>
          <w:fldChar w:fldCharType="separate"/>
        </w:r>
        <w:r>
          <w:rPr>
            <w:webHidden/>
          </w:rPr>
          <w:t>19</w:t>
        </w:r>
        <w:r w:rsidR="00F76363">
          <w:rPr>
            <w:webHidden/>
          </w:rPr>
          <w:fldChar w:fldCharType="end"/>
        </w:r>
      </w:hyperlink>
    </w:p>
    <w:p w14:paraId="1EA4FDB5" w14:textId="4C7C8987" w:rsidR="00E8651F" w:rsidRDefault="00C96FAD">
      <w:pPr>
        <w:pStyle w:val="Prelimmajorheading"/>
        <w:keepNext w:val="0"/>
        <w:pageBreakBefore w:val="0"/>
        <w:rPr>
          <w:rFonts w:ascii="Arial" w:hAnsi="Arial" w:cs="Times New Roman"/>
          <w:bCs w:val="0"/>
          <w:spacing w:val="0"/>
          <w:kern w:val="0"/>
          <w:sz w:val="20"/>
          <w:szCs w:val="20"/>
        </w:rPr>
        <w:sectPr w:rsidR="00E8651F" w:rsidSect="00BF17A0">
          <w:type w:val="oddPage"/>
          <w:pgSz w:w="11907" w:h="16840" w:code="9"/>
          <w:pgMar w:top="1588" w:right="1418" w:bottom="1418" w:left="1418" w:header="720" w:footer="851" w:gutter="0"/>
          <w:pgNumType w:fmt="lowerRoman"/>
          <w:cols w:space="720"/>
          <w:docGrid w:linePitch="360"/>
        </w:sectPr>
      </w:pPr>
      <w:r>
        <w:rPr>
          <w:rFonts w:ascii="Arial" w:hAnsi="Arial" w:cs="Times New Roman"/>
          <w:bCs w:val="0"/>
          <w:spacing w:val="0"/>
          <w:kern w:val="0"/>
          <w:sz w:val="20"/>
          <w:szCs w:val="20"/>
        </w:rPr>
        <w:fldChar w:fldCharType="end"/>
      </w:r>
    </w:p>
    <w:p w14:paraId="3AA5D64E" w14:textId="77777777" w:rsidR="00D561BC" w:rsidRDefault="00D561BC" w:rsidP="00176E97">
      <w:pPr>
        <w:pStyle w:val="Prelimmajorheading"/>
        <w:keepNext w:val="0"/>
        <w:pageBreakBefore w:val="0"/>
        <w:spacing w:after="480"/>
        <w:ind w:left="567"/>
      </w:pPr>
      <w:bookmarkStart w:id="35" w:name="_Toc341433424"/>
      <w:bookmarkStart w:id="36" w:name="_Toc341687869"/>
      <w:bookmarkStart w:id="37" w:name="_Toc62740028"/>
      <w:r>
        <w:lastRenderedPageBreak/>
        <w:t>Recommendations</w:t>
      </w:r>
      <w:bookmarkEnd w:id="35"/>
      <w:bookmarkEnd w:id="36"/>
      <w:bookmarkEnd w:id="37"/>
    </w:p>
    <w:p w14:paraId="2BCFDEB9" w14:textId="77777777" w:rsidR="00AF012D" w:rsidRDefault="00C96FAD">
      <w:pPr>
        <w:pStyle w:val="TOC1"/>
        <w:rPr>
          <w:rFonts w:asciiTheme="minorHAnsi" w:eastAsiaTheme="minorEastAsia" w:hAnsiTheme="minorHAnsi" w:cstheme="minorBidi"/>
          <w:b w:val="0"/>
          <w:smallCaps w:val="0"/>
          <w:spacing w:val="0"/>
          <w:sz w:val="22"/>
          <w:lang w:eastAsia="en-AU"/>
        </w:rPr>
      </w:pPr>
      <w:r w:rsidRPr="00B830B0">
        <w:rPr>
          <w:b w:val="0"/>
          <w:bCs/>
          <w:highlight w:val="yellow"/>
        </w:rPr>
        <w:fldChar w:fldCharType="begin"/>
      </w:r>
      <w:r w:rsidR="007A5CB5" w:rsidRPr="00B830B0">
        <w:rPr>
          <w:b w:val="0"/>
          <w:bCs/>
          <w:highlight w:val="yellow"/>
        </w:rPr>
        <w:instrText xml:space="preserve"> TOC \n \p " " \h \z \t "Recommendation,1,Recommendation Text,2,Recommendation Bullet,3" </w:instrText>
      </w:r>
      <w:r w:rsidRPr="00B830B0">
        <w:rPr>
          <w:b w:val="0"/>
          <w:bCs/>
          <w:highlight w:val="yellow"/>
        </w:rPr>
        <w:fldChar w:fldCharType="separate"/>
      </w:r>
      <w:hyperlink w:anchor="_Toc63076453" w:history="1">
        <w:r w:rsidR="00AF012D" w:rsidRPr="000164AE">
          <w:rPr>
            <w:rStyle w:val="Hyperlink"/>
          </w:rPr>
          <w:t>Recommendation 1</w:t>
        </w:r>
      </w:hyperlink>
    </w:p>
    <w:p w14:paraId="60A03200" w14:textId="77777777" w:rsidR="00AF012D" w:rsidRDefault="00357920">
      <w:pPr>
        <w:pStyle w:val="TOC2"/>
        <w:rPr>
          <w:rFonts w:asciiTheme="minorHAnsi" w:eastAsiaTheme="minorEastAsia" w:hAnsiTheme="minorHAnsi" w:cstheme="minorBidi"/>
          <w:b w:val="0"/>
          <w:szCs w:val="22"/>
          <w:lang w:eastAsia="en-AU"/>
        </w:rPr>
      </w:pPr>
      <w:hyperlink w:anchor="_Toc63076454" w:history="1">
        <w:r w:rsidR="00AF012D" w:rsidRPr="000164AE">
          <w:rPr>
            <w:rStyle w:val="Hyperlink"/>
          </w:rPr>
          <w:t>3.11</w:t>
        </w:r>
        <w:r w:rsidR="00AF012D">
          <w:rPr>
            <w:rFonts w:asciiTheme="minorHAnsi" w:eastAsiaTheme="minorEastAsia" w:hAnsiTheme="minorHAnsi" w:cstheme="minorBidi"/>
            <w:b w:val="0"/>
            <w:szCs w:val="22"/>
            <w:lang w:eastAsia="en-AU"/>
          </w:rPr>
          <w:tab/>
        </w:r>
        <w:r w:rsidR="00AF012D" w:rsidRPr="000164AE">
          <w:rPr>
            <w:rStyle w:val="Hyperlink"/>
          </w:rPr>
          <w:t>The Committee recommends (to the extent that work is not already taking place) after the COVID-19 pandemic crisis has passed and the ACT has exited from its state of emergency, the ACT Government give consideration to examining and reviewing the emergency measures that were enacted.  This should not be limited to the ACT but should also include emerging evidence of good practice from across Australia and the globe.</w:t>
        </w:r>
      </w:hyperlink>
    </w:p>
    <w:p w14:paraId="7CAB1F2F" w14:textId="77777777" w:rsidR="00AF012D" w:rsidRDefault="00357920">
      <w:pPr>
        <w:pStyle w:val="TOC1"/>
        <w:rPr>
          <w:rFonts w:asciiTheme="minorHAnsi" w:eastAsiaTheme="minorEastAsia" w:hAnsiTheme="minorHAnsi" w:cstheme="minorBidi"/>
          <w:b w:val="0"/>
          <w:smallCaps w:val="0"/>
          <w:spacing w:val="0"/>
          <w:sz w:val="22"/>
          <w:lang w:eastAsia="en-AU"/>
        </w:rPr>
      </w:pPr>
      <w:hyperlink w:anchor="_Toc63076455" w:history="1">
        <w:r w:rsidR="00AF012D" w:rsidRPr="000164AE">
          <w:rPr>
            <w:rStyle w:val="Hyperlink"/>
          </w:rPr>
          <w:t>Recommendation 2</w:t>
        </w:r>
      </w:hyperlink>
    </w:p>
    <w:p w14:paraId="4BD85193" w14:textId="77777777" w:rsidR="00AF012D" w:rsidRDefault="00357920">
      <w:pPr>
        <w:pStyle w:val="TOC2"/>
        <w:rPr>
          <w:rFonts w:asciiTheme="minorHAnsi" w:eastAsiaTheme="minorEastAsia" w:hAnsiTheme="minorHAnsi" w:cstheme="minorBidi"/>
          <w:b w:val="0"/>
          <w:szCs w:val="22"/>
          <w:lang w:eastAsia="en-AU"/>
        </w:rPr>
      </w:pPr>
      <w:hyperlink w:anchor="_Toc63076456" w:history="1">
        <w:r w:rsidR="00AF012D" w:rsidRPr="000164AE">
          <w:rPr>
            <w:rStyle w:val="Hyperlink"/>
          </w:rPr>
          <w:t>3.17</w:t>
        </w:r>
        <w:r w:rsidR="00AF012D">
          <w:rPr>
            <w:rFonts w:asciiTheme="minorHAnsi" w:eastAsiaTheme="minorEastAsia" w:hAnsiTheme="minorHAnsi" w:cstheme="minorBidi"/>
            <w:b w:val="0"/>
            <w:szCs w:val="22"/>
            <w:lang w:eastAsia="en-AU"/>
          </w:rPr>
          <w:tab/>
        </w:r>
        <w:r w:rsidR="00AF012D" w:rsidRPr="000164AE">
          <w:rPr>
            <w:rStyle w:val="Hyperlink"/>
          </w:rPr>
          <w:t>The Committee recommends that the ACT Legislative Assembly give consideration to amending clause 5 of the Resolution of Establishment for general-purpose standing committees to provide a reporting timeframe that allows for these committees to consider the views of the Scrutiny of Bills Committee where inquiries are undertaken into referred bills.</w:t>
        </w:r>
      </w:hyperlink>
    </w:p>
    <w:p w14:paraId="44BE45D9" w14:textId="77777777" w:rsidR="00AF012D" w:rsidRDefault="00357920">
      <w:pPr>
        <w:pStyle w:val="TOC1"/>
        <w:rPr>
          <w:rFonts w:asciiTheme="minorHAnsi" w:eastAsiaTheme="minorEastAsia" w:hAnsiTheme="minorHAnsi" w:cstheme="minorBidi"/>
          <w:b w:val="0"/>
          <w:smallCaps w:val="0"/>
          <w:spacing w:val="0"/>
          <w:sz w:val="22"/>
          <w:lang w:eastAsia="en-AU"/>
        </w:rPr>
      </w:pPr>
      <w:hyperlink w:anchor="_Toc63076457" w:history="1">
        <w:r w:rsidR="00AF012D" w:rsidRPr="000164AE">
          <w:rPr>
            <w:rStyle w:val="Hyperlink"/>
          </w:rPr>
          <w:t>Recommendation 3</w:t>
        </w:r>
      </w:hyperlink>
    </w:p>
    <w:p w14:paraId="528A80AE" w14:textId="77777777" w:rsidR="00AF012D" w:rsidRDefault="00357920">
      <w:pPr>
        <w:pStyle w:val="TOC2"/>
        <w:rPr>
          <w:rFonts w:asciiTheme="minorHAnsi" w:eastAsiaTheme="minorEastAsia" w:hAnsiTheme="minorHAnsi" w:cstheme="minorBidi"/>
          <w:b w:val="0"/>
          <w:szCs w:val="22"/>
          <w:lang w:eastAsia="en-AU"/>
        </w:rPr>
      </w:pPr>
      <w:hyperlink w:anchor="_Toc63076458" w:history="1">
        <w:r w:rsidR="00AF012D" w:rsidRPr="000164AE">
          <w:rPr>
            <w:rStyle w:val="Hyperlink"/>
          </w:rPr>
          <w:t>3.27</w:t>
        </w:r>
        <w:r w:rsidR="00AF012D">
          <w:rPr>
            <w:rFonts w:asciiTheme="minorHAnsi" w:eastAsiaTheme="minorEastAsia" w:hAnsiTheme="minorHAnsi" w:cstheme="minorBidi"/>
            <w:b w:val="0"/>
            <w:szCs w:val="22"/>
            <w:lang w:eastAsia="en-AU"/>
          </w:rPr>
          <w:tab/>
        </w:r>
        <w:r w:rsidR="00AF012D" w:rsidRPr="000164AE">
          <w:rPr>
            <w:rStyle w:val="Hyperlink"/>
          </w:rPr>
          <w:t>The Committee recommends that the ACT Government update the ACT Legislative Assembly [prior to the Assembly proceeding to the next stage of its consideration of the COVID-19 Emergency Response Legislation Amendment Bill 2020 (No 3)]—why data are unavailable for the seven emergency response legislative measures for which details of their use could not be provided (as per monthly reporting at 30 November 2020).</w:t>
        </w:r>
      </w:hyperlink>
    </w:p>
    <w:p w14:paraId="26776DCD" w14:textId="77777777" w:rsidR="00AF012D" w:rsidRDefault="00357920">
      <w:pPr>
        <w:pStyle w:val="TOC1"/>
        <w:rPr>
          <w:rFonts w:asciiTheme="minorHAnsi" w:eastAsiaTheme="minorEastAsia" w:hAnsiTheme="minorHAnsi" w:cstheme="minorBidi"/>
          <w:b w:val="0"/>
          <w:smallCaps w:val="0"/>
          <w:spacing w:val="0"/>
          <w:sz w:val="22"/>
          <w:lang w:eastAsia="en-AU"/>
        </w:rPr>
      </w:pPr>
      <w:hyperlink w:anchor="_Toc63076459" w:history="1">
        <w:r w:rsidR="00AF012D" w:rsidRPr="000164AE">
          <w:rPr>
            <w:rStyle w:val="Hyperlink"/>
          </w:rPr>
          <w:t>Recommendation 4</w:t>
        </w:r>
      </w:hyperlink>
    </w:p>
    <w:p w14:paraId="4EBC1C1A" w14:textId="77777777" w:rsidR="00AF012D" w:rsidRDefault="00357920">
      <w:pPr>
        <w:pStyle w:val="TOC2"/>
        <w:rPr>
          <w:rFonts w:asciiTheme="minorHAnsi" w:eastAsiaTheme="minorEastAsia" w:hAnsiTheme="minorHAnsi" w:cstheme="minorBidi"/>
          <w:b w:val="0"/>
          <w:szCs w:val="22"/>
          <w:lang w:eastAsia="en-AU"/>
        </w:rPr>
      </w:pPr>
      <w:hyperlink w:anchor="_Toc63076460" w:history="1">
        <w:r w:rsidR="00AF012D" w:rsidRPr="000164AE">
          <w:rPr>
            <w:rStyle w:val="Hyperlink"/>
          </w:rPr>
          <w:t>3.31</w:t>
        </w:r>
        <w:r w:rsidR="00AF012D">
          <w:rPr>
            <w:rFonts w:asciiTheme="minorHAnsi" w:eastAsiaTheme="minorEastAsia" w:hAnsiTheme="minorHAnsi" w:cstheme="minorBidi"/>
            <w:b w:val="0"/>
            <w:szCs w:val="22"/>
            <w:lang w:eastAsia="en-AU"/>
          </w:rPr>
          <w:tab/>
        </w:r>
        <w:r w:rsidR="00AF012D" w:rsidRPr="000164AE">
          <w:rPr>
            <w:rStyle w:val="Hyperlink"/>
          </w:rPr>
          <w:t xml:space="preserve">The Committee recommends that the ACT Government continue monthly reporting to the ACT Legislative Assembly on emergency response measures provided for under the </w:t>
        </w:r>
        <w:r w:rsidR="00AF012D" w:rsidRPr="000164AE">
          <w:rPr>
            <w:rStyle w:val="Hyperlink"/>
            <w:i/>
            <w:iCs/>
          </w:rPr>
          <w:t xml:space="preserve">COVID-19 Emergency Response Act 2020 </w:t>
        </w:r>
        <w:r w:rsidR="00AF012D" w:rsidRPr="000164AE">
          <w:rPr>
            <w:rStyle w:val="Hyperlink"/>
          </w:rPr>
          <w:t>and the</w:t>
        </w:r>
        <w:r w:rsidR="00AF012D" w:rsidRPr="000164AE">
          <w:rPr>
            <w:rStyle w:val="Hyperlink"/>
            <w:i/>
            <w:iCs/>
          </w:rPr>
          <w:t xml:space="preserve"> COVID-19 Emergency Response Legislation Amendment Act 2020</w:t>
        </w:r>
        <w:r w:rsidR="00AF012D" w:rsidRPr="000164AE">
          <w:rPr>
            <w:rStyle w:val="Hyperlink"/>
          </w:rPr>
          <w:t>.  Monthly reporting should continue until such time as each measure, at a minimum, has 12 months of reported data for each measure.</w:t>
        </w:r>
      </w:hyperlink>
    </w:p>
    <w:p w14:paraId="5D613AED" w14:textId="218EE7FD" w:rsidR="003606E5" w:rsidRDefault="00C96FAD" w:rsidP="00C60ED1">
      <w:pPr>
        <w:pStyle w:val="Heading1"/>
        <w:keepNext w:val="0"/>
        <w:pageBreakBefore w:val="0"/>
        <w:numPr>
          <w:ilvl w:val="0"/>
          <w:numId w:val="0"/>
        </w:numPr>
        <w:ind w:left="567"/>
        <w:sectPr w:rsidR="003606E5" w:rsidSect="000E7567">
          <w:headerReference w:type="even" r:id="rId22"/>
          <w:headerReference w:type="default" r:id="rId23"/>
          <w:footerReference w:type="default" r:id="rId24"/>
          <w:headerReference w:type="first" r:id="rId25"/>
          <w:type w:val="oddPage"/>
          <w:pgSz w:w="11907" w:h="16840" w:code="9"/>
          <w:pgMar w:top="1588" w:right="1418" w:bottom="1418" w:left="1418" w:header="720" w:footer="851" w:gutter="0"/>
          <w:pgNumType w:fmt="lowerRoman"/>
          <w:cols w:space="720"/>
          <w:docGrid w:linePitch="360"/>
        </w:sectPr>
      </w:pPr>
      <w:r w:rsidRPr="00B830B0">
        <w:rPr>
          <w:rFonts w:ascii="Calibri" w:hAnsi="Calibri" w:cs="Calibri"/>
          <w:b/>
          <w:bCs w:val="0"/>
          <w:noProof/>
          <w:kern w:val="0"/>
          <w:sz w:val="24"/>
          <w:szCs w:val="22"/>
          <w:highlight w:val="yellow"/>
        </w:rPr>
        <w:fldChar w:fldCharType="end"/>
      </w:r>
    </w:p>
    <w:p w14:paraId="761E7E2C" w14:textId="77777777" w:rsidR="00D561BC" w:rsidRDefault="007E1CED" w:rsidP="006464A3">
      <w:pPr>
        <w:pStyle w:val="Heading1"/>
      </w:pPr>
      <w:bookmarkStart w:id="38" w:name="_Toc341433425"/>
      <w:bookmarkStart w:id="39" w:name="_Toc341687870"/>
      <w:bookmarkStart w:id="40" w:name="_Toc62740029"/>
      <w:r>
        <w:lastRenderedPageBreak/>
        <w:t>Introduction</w:t>
      </w:r>
      <w:bookmarkEnd w:id="38"/>
      <w:bookmarkEnd w:id="39"/>
      <w:r w:rsidR="00FE6CA8">
        <w:t xml:space="preserve"> and conduct of inquiry</w:t>
      </w:r>
      <w:bookmarkEnd w:id="40"/>
    </w:p>
    <w:p w14:paraId="6E9531A6" w14:textId="2789601B" w:rsidR="000D4178" w:rsidRDefault="000D4178" w:rsidP="000D4178">
      <w:pPr>
        <w:pStyle w:val="Headinglevel2"/>
      </w:pPr>
      <w:bookmarkStart w:id="41" w:name="_Toc62740030"/>
      <w:r>
        <w:t>Inquiry referral</w:t>
      </w:r>
      <w:bookmarkEnd w:id="41"/>
    </w:p>
    <w:p w14:paraId="53D760BC" w14:textId="6C2A9BFD" w:rsidR="00E46857" w:rsidRDefault="00E46857" w:rsidP="00980C2A">
      <w:pPr>
        <w:pStyle w:val="BodyText1"/>
      </w:pPr>
      <w:bookmarkStart w:id="42" w:name="_Hlk60847663"/>
      <w:r w:rsidRPr="00E46857">
        <w:t xml:space="preserve">COVID-19 Emergency Response Legislation Amendment Bill 2020 (No 3) </w:t>
      </w:r>
      <w:bookmarkEnd w:id="42"/>
      <w:r w:rsidRPr="00E46857">
        <w:t>(the Bill) was presented to the ACT Legislative Assembly (the Assembly) on 2 December 2020.  After agreement in principle, pursuant to clause 5 of the Resolution of Establishment for 10</w:t>
      </w:r>
      <w:r w:rsidRPr="00B4677A">
        <w:rPr>
          <w:vertAlign w:val="superscript"/>
        </w:rPr>
        <w:t>th</w:t>
      </w:r>
      <w:r w:rsidR="006817F3">
        <w:rPr>
          <w:vertAlign w:val="superscript"/>
        </w:rPr>
        <w:t> </w:t>
      </w:r>
      <w:r w:rsidRPr="00E46857">
        <w:t>Assembly general-purpose standing committees (the Resolution of Establishment)</w:t>
      </w:r>
      <w:r w:rsidR="0000250A">
        <w:t xml:space="preserve">, </w:t>
      </w:r>
      <w:r w:rsidR="0000250A" w:rsidRPr="00E46857">
        <w:t>the Bill was referred to the Standing Committee on Economy and Gender and Economic Equality (the Committee) for inquiry and report</w:t>
      </w:r>
      <w:r w:rsidRPr="00E46857">
        <w:t xml:space="preserve">.      </w:t>
      </w:r>
    </w:p>
    <w:p w14:paraId="32E89044" w14:textId="71A10CB0" w:rsidR="00980C2A" w:rsidRDefault="00E46857" w:rsidP="00980C2A">
      <w:pPr>
        <w:pStyle w:val="BodyText1"/>
      </w:pPr>
      <w:r w:rsidRPr="00E46857">
        <w:t xml:space="preserve">Pursuant to the Resolution of Establishment, all bills presented to the Assembly stand referred to the relevant standing committee for inquiry and report within two months from presentation.  A </w:t>
      </w:r>
      <w:r w:rsidR="00DD4512">
        <w:t>s</w:t>
      </w:r>
      <w:r w:rsidRPr="00E46857">
        <w:t xml:space="preserve">tanding committee has 14 days from presentation to determine whether it will undertake an inquiry into </w:t>
      </w:r>
      <w:r w:rsidR="0000250A">
        <w:t>a</w:t>
      </w:r>
      <w:r w:rsidRPr="00E46857">
        <w:t xml:space="preserve"> referred bill.</w:t>
      </w:r>
    </w:p>
    <w:p w14:paraId="101D95A4" w14:textId="7A5409A3" w:rsidR="000D4178" w:rsidRDefault="000D4178" w:rsidP="000D4178">
      <w:pPr>
        <w:pStyle w:val="Headinglevel2"/>
      </w:pPr>
      <w:bookmarkStart w:id="43" w:name="_Toc62740031"/>
      <w:r>
        <w:t>Conduct of the inquiry</w:t>
      </w:r>
      <w:bookmarkEnd w:id="43"/>
    </w:p>
    <w:p w14:paraId="68930000" w14:textId="77777777" w:rsidR="00E46857" w:rsidRDefault="00E46857" w:rsidP="001951C7">
      <w:pPr>
        <w:pStyle w:val="BodyText1"/>
      </w:pPr>
      <w:r w:rsidRPr="00E46857">
        <w:t>The Committee resolved on 8 December 2020 to undertake an inquiry into the Bill.</w:t>
      </w:r>
    </w:p>
    <w:p w14:paraId="0AB94387" w14:textId="23B03139" w:rsidR="00970F3D" w:rsidRDefault="00E46857" w:rsidP="001951C7">
      <w:pPr>
        <w:pStyle w:val="BodyText1"/>
      </w:pPr>
      <w:r w:rsidRPr="00E46857">
        <w:t xml:space="preserve">The Committee wrote to the Speaker and </w:t>
      </w:r>
      <w:r w:rsidR="00F92316">
        <w:t xml:space="preserve">the </w:t>
      </w:r>
      <w:r w:rsidRPr="00E46857">
        <w:t xml:space="preserve">Chief Minister (as the responsible Minister) on </w:t>
      </w:r>
      <w:r w:rsidR="0000250A">
        <w:t>10 </w:t>
      </w:r>
      <w:r w:rsidRPr="00E46857">
        <w:t>December 2020 to inform each stakeholder of its decision.</w:t>
      </w:r>
    </w:p>
    <w:p w14:paraId="0CF4D979" w14:textId="662E2A97" w:rsidR="00E46857" w:rsidRDefault="00E46857" w:rsidP="00B97BB2">
      <w:pPr>
        <w:pStyle w:val="BodyText1"/>
      </w:pPr>
      <w:r w:rsidRPr="00E46857">
        <w:t>In its correspondence to the Chief Minister</w:t>
      </w:r>
      <w:r w:rsidR="00F92316">
        <w:t>,</w:t>
      </w:r>
      <w:r w:rsidRPr="00E46857">
        <w:t xml:space="preserve"> the Committee asked that it be provided with further information </w:t>
      </w:r>
      <w:r w:rsidR="00F92316">
        <w:t xml:space="preserve">about </w:t>
      </w:r>
      <w:r w:rsidRPr="00E46857">
        <w:t xml:space="preserve"> a proposed </w:t>
      </w:r>
      <w:r w:rsidR="0000250A">
        <w:t xml:space="preserve">amendment </w:t>
      </w:r>
      <w:r w:rsidRPr="00E46857">
        <w:t xml:space="preserve">to reporting requirements to the Assembly for COVID-19 measures made under the </w:t>
      </w:r>
      <w:r w:rsidRPr="00E46857">
        <w:rPr>
          <w:i/>
          <w:iCs/>
        </w:rPr>
        <w:t>COVID-19 Emergency Response Act 2020</w:t>
      </w:r>
      <w:r w:rsidRPr="00E46857">
        <w:t xml:space="preserve"> and the </w:t>
      </w:r>
      <w:r w:rsidRPr="00E46857">
        <w:rPr>
          <w:i/>
          <w:iCs/>
        </w:rPr>
        <w:t>COVID-19 Emergency Response Legislation Amendment Act 2020</w:t>
      </w:r>
      <w:r w:rsidRPr="00E46857">
        <w:t>.  The Committee asked that it be provided with this information by no later than</w:t>
      </w:r>
      <w:r w:rsidR="00F92316">
        <w:t xml:space="preserve"> close of business</w:t>
      </w:r>
      <w:r w:rsidRPr="00E46857">
        <w:t xml:space="preserve"> Friday 15 January 2021.</w:t>
      </w:r>
      <w:r w:rsidR="00DD4512">
        <w:t xml:space="preserve">  Further information on this matter is set out in </w:t>
      </w:r>
      <w:r w:rsidR="0000250A">
        <w:t>C</w:t>
      </w:r>
      <w:r w:rsidR="00DD4512">
        <w:t>hapter three.</w:t>
      </w:r>
      <w:r w:rsidRPr="00E46857">
        <w:t xml:space="preserve">     </w:t>
      </w:r>
    </w:p>
    <w:p w14:paraId="1C10A158" w14:textId="742EED50" w:rsidR="00A110E8" w:rsidRDefault="00E46857" w:rsidP="0068379B">
      <w:pPr>
        <w:pStyle w:val="BodyText1"/>
      </w:pPr>
      <w:r w:rsidRPr="00E46857">
        <w:t xml:space="preserve">The Committee met </w:t>
      </w:r>
      <w:r w:rsidRPr="00E61ADC">
        <w:t>on</w:t>
      </w:r>
      <w:r w:rsidR="00E61ADC">
        <w:t xml:space="preserve"> 21</w:t>
      </w:r>
      <w:r w:rsidR="00B90A15">
        <w:t xml:space="preserve"> and 27 </w:t>
      </w:r>
      <w:r w:rsidR="00E61ADC">
        <w:t xml:space="preserve">January 2021 </w:t>
      </w:r>
      <w:r w:rsidRPr="00E46857">
        <w:t>to consider the Chair’s draft report which was adopted on</w:t>
      </w:r>
      <w:r w:rsidR="00B90A15">
        <w:t xml:space="preserve"> 27 January 2021</w:t>
      </w:r>
      <w:r w:rsidRPr="00E61ADC">
        <w:t>.</w:t>
      </w:r>
    </w:p>
    <w:p w14:paraId="35B98600" w14:textId="30AD8A92" w:rsidR="000D4178" w:rsidRDefault="000D4178" w:rsidP="000D4178">
      <w:pPr>
        <w:pStyle w:val="Headinglevel2"/>
      </w:pPr>
      <w:bookmarkStart w:id="44" w:name="_Toc62740032"/>
      <w:bookmarkStart w:id="45" w:name="_Hlk35422023"/>
      <w:r>
        <w:t>Structure of the Committee’s report</w:t>
      </w:r>
      <w:bookmarkEnd w:id="44"/>
    </w:p>
    <w:p w14:paraId="38C1EB01" w14:textId="427C3EB6" w:rsidR="002801FA" w:rsidRDefault="002801FA" w:rsidP="00970F3D">
      <w:pPr>
        <w:pStyle w:val="BodyText1"/>
      </w:pPr>
      <w:r>
        <w:t xml:space="preserve">The Committee’s report is divided </w:t>
      </w:r>
      <w:r w:rsidR="00580994">
        <w:t>into t</w:t>
      </w:r>
      <w:r w:rsidR="001E182B">
        <w:t>wo</w:t>
      </w:r>
      <w:r w:rsidR="00580994">
        <w:t xml:space="preserve"> parts, comprising </w:t>
      </w:r>
      <w:r w:rsidR="00F92316">
        <w:t xml:space="preserve">a total of </w:t>
      </w:r>
      <w:r w:rsidR="00580994">
        <w:t>f</w:t>
      </w:r>
      <w:r w:rsidR="00E46857">
        <w:t>our</w:t>
      </w:r>
      <w:r w:rsidR="00580994">
        <w:t xml:space="preserve"> chapters, covering the following main topics:</w:t>
      </w:r>
    </w:p>
    <w:p w14:paraId="5C54106F" w14:textId="3CBBC733" w:rsidR="00580994" w:rsidRPr="001E182B" w:rsidRDefault="00580994" w:rsidP="001E182B">
      <w:pPr>
        <w:pStyle w:val="Bodytextnonumbering"/>
        <w:ind w:left="567"/>
        <w:rPr>
          <w:i/>
          <w:iCs w:val="0"/>
        </w:rPr>
      </w:pPr>
      <w:r w:rsidRPr="001E182B">
        <w:rPr>
          <w:i/>
          <w:iCs w:val="0"/>
        </w:rPr>
        <w:lastRenderedPageBreak/>
        <w:t>Part 1—Context to the inquiry</w:t>
      </w:r>
    </w:p>
    <w:p w14:paraId="07A381BE" w14:textId="6A0EE038" w:rsidR="00580994" w:rsidRDefault="00580994" w:rsidP="00A33656">
      <w:pPr>
        <w:pStyle w:val="Bodytextnonumbering"/>
        <w:numPr>
          <w:ilvl w:val="0"/>
          <w:numId w:val="13"/>
        </w:numPr>
      </w:pPr>
      <w:r>
        <w:t xml:space="preserve">Chapter 1—Introduction and </w:t>
      </w:r>
      <w:r w:rsidR="00F92316">
        <w:t xml:space="preserve">conduct </w:t>
      </w:r>
      <w:r w:rsidR="00E41EA2">
        <w:t>of the</w:t>
      </w:r>
      <w:r w:rsidR="00015268">
        <w:t xml:space="preserve"> i</w:t>
      </w:r>
      <w:r>
        <w:t>nquiry</w:t>
      </w:r>
    </w:p>
    <w:p w14:paraId="52BF8603" w14:textId="57E05E48" w:rsidR="00580994" w:rsidRDefault="00580994" w:rsidP="00A33656">
      <w:pPr>
        <w:pStyle w:val="Bodytextnonumbering"/>
        <w:numPr>
          <w:ilvl w:val="0"/>
          <w:numId w:val="13"/>
        </w:numPr>
      </w:pPr>
      <w:r>
        <w:t>Chapter 2—</w:t>
      </w:r>
      <w:r w:rsidR="00E46857">
        <w:t xml:space="preserve">Bill </w:t>
      </w:r>
      <w:r>
        <w:t>c</w:t>
      </w:r>
      <w:r w:rsidR="00BE5A52">
        <w:t>o</w:t>
      </w:r>
      <w:r>
        <w:t>ntext</w:t>
      </w:r>
    </w:p>
    <w:p w14:paraId="2C327DA0" w14:textId="273A5207" w:rsidR="00BE5A52" w:rsidRPr="001E182B" w:rsidRDefault="00BE5A52" w:rsidP="001E182B">
      <w:pPr>
        <w:pStyle w:val="Bodytextnonumbering"/>
        <w:ind w:left="567"/>
        <w:rPr>
          <w:i/>
          <w:iCs w:val="0"/>
        </w:rPr>
      </w:pPr>
      <w:r w:rsidRPr="001E182B">
        <w:rPr>
          <w:i/>
          <w:iCs w:val="0"/>
        </w:rPr>
        <w:t>Part 2—Views of the Committee</w:t>
      </w:r>
    </w:p>
    <w:p w14:paraId="03699FC0" w14:textId="02DDC792" w:rsidR="00BE5A52" w:rsidRDefault="00BE5A52" w:rsidP="00A33656">
      <w:pPr>
        <w:pStyle w:val="Bodytextnonumbering"/>
        <w:numPr>
          <w:ilvl w:val="0"/>
          <w:numId w:val="15"/>
        </w:numPr>
        <w:ind w:left="927"/>
      </w:pPr>
      <w:r>
        <w:t xml:space="preserve">Chapter </w:t>
      </w:r>
      <w:r w:rsidR="00E46857">
        <w:t>3</w:t>
      </w:r>
      <w:r w:rsidR="00433805">
        <w:t>—</w:t>
      </w:r>
      <w:r w:rsidR="004B3D74">
        <w:t xml:space="preserve">Committee </w:t>
      </w:r>
      <w:r w:rsidR="00A110E8">
        <w:t>consideration</w:t>
      </w:r>
    </w:p>
    <w:p w14:paraId="0A6E5DAF" w14:textId="2760A3D8" w:rsidR="00BE5A52" w:rsidRDefault="00BE5A52" w:rsidP="00A33656">
      <w:pPr>
        <w:pStyle w:val="Bodytextnonumbering"/>
        <w:numPr>
          <w:ilvl w:val="0"/>
          <w:numId w:val="14"/>
        </w:numPr>
        <w:ind w:left="927"/>
      </w:pPr>
      <w:r>
        <w:t xml:space="preserve">Chapter </w:t>
      </w:r>
      <w:r w:rsidR="00E46857">
        <w:t>4</w:t>
      </w:r>
      <w:r>
        <w:t>—Conclusion</w:t>
      </w:r>
    </w:p>
    <w:p w14:paraId="455DC040" w14:textId="6C72050D" w:rsidR="001E182B" w:rsidRDefault="001E182B" w:rsidP="001E182B">
      <w:pPr>
        <w:pStyle w:val="Headinglevel2"/>
      </w:pPr>
      <w:bookmarkStart w:id="46" w:name="_Toc62740033"/>
      <w:bookmarkStart w:id="47" w:name="_Hlk62744537"/>
      <w:r>
        <w:t>Acknowledgements</w:t>
      </w:r>
      <w:bookmarkEnd w:id="46"/>
    </w:p>
    <w:p w14:paraId="63BDB427" w14:textId="427D500C" w:rsidR="00547273" w:rsidRDefault="00E46857" w:rsidP="00752D58">
      <w:pPr>
        <w:pStyle w:val="BodyText1"/>
      </w:pPr>
      <w:r w:rsidRPr="00E46857">
        <w:t xml:space="preserve">The Committee thanks the Chief Minister, as well as officials from the Chief Minister, Treasury and Economic Development Directorate, who assisted the Committee during its inquiry.   </w:t>
      </w:r>
      <w:bookmarkEnd w:id="45"/>
    </w:p>
    <w:p w14:paraId="30D59408" w14:textId="525D6377" w:rsidR="00547273" w:rsidRDefault="00547273" w:rsidP="00547273">
      <w:pPr>
        <w:pStyle w:val="BodyText1"/>
        <w:numPr>
          <w:ilvl w:val="0"/>
          <w:numId w:val="0"/>
        </w:numPr>
        <w:sectPr w:rsidR="00547273" w:rsidSect="002C4A87">
          <w:headerReference w:type="even" r:id="rId26"/>
          <w:headerReference w:type="default" r:id="rId27"/>
          <w:footerReference w:type="even" r:id="rId28"/>
          <w:footerReference w:type="default" r:id="rId29"/>
          <w:headerReference w:type="first" r:id="rId30"/>
          <w:type w:val="oddPage"/>
          <w:pgSz w:w="11907" w:h="16840" w:code="9"/>
          <w:pgMar w:top="1588" w:right="1418" w:bottom="1418" w:left="1418" w:header="720" w:footer="851" w:gutter="0"/>
          <w:pgNumType w:start="1"/>
          <w:cols w:space="720"/>
          <w:docGrid w:linePitch="360"/>
        </w:sectPr>
      </w:pPr>
    </w:p>
    <w:p w14:paraId="0C9CC37D" w14:textId="153B55BF" w:rsidR="00217BE4" w:rsidRDefault="00E46857" w:rsidP="00217BE4">
      <w:pPr>
        <w:pStyle w:val="Heading1"/>
      </w:pPr>
      <w:bookmarkStart w:id="48" w:name="_Toc62740034"/>
      <w:bookmarkEnd w:id="47"/>
      <w:r>
        <w:lastRenderedPageBreak/>
        <w:t>Bill c</w:t>
      </w:r>
      <w:r w:rsidR="00FE6CA8">
        <w:t>ontext</w:t>
      </w:r>
      <w:bookmarkEnd w:id="48"/>
    </w:p>
    <w:p w14:paraId="42AC7642" w14:textId="544424A0" w:rsidR="00E46857" w:rsidRDefault="00E46857" w:rsidP="00E46857">
      <w:pPr>
        <w:pStyle w:val="Headinglevel2"/>
      </w:pPr>
      <w:bookmarkStart w:id="49" w:name="_Toc62740035"/>
      <w:bookmarkStart w:id="50" w:name="_Hlk30004056"/>
      <w:r>
        <w:t>Background</w:t>
      </w:r>
      <w:bookmarkEnd w:id="49"/>
    </w:p>
    <w:p w14:paraId="7D9CB283" w14:textId="37711D1C" w:rsidR="00221F33" w:rsidRDefault="00221F33" w:rsidP="00221F33">
      <w:pPr>
        <w:pStyle w:val="BodyText1"/>
      </w:pPr>
      <w:bookmarkStart w:id="51" w:name="_Hlk61339448"/>
      <w:r>
        <w:t>Across the globe, in reaction to the</w:t>
      </w:r>
      <w:r w:rsidRPr="00C42436">
        <w:t xml:space="preserve"> coronavirus</w:t>
      </w:r>
      <w:r w:rsidR="00F92316">
        <w:t xml:space="preserve"> disease</w:t>
      </w:r>
      <w:r w:rsidRPr="00C42436">
        <w:t xml:space="preserve"> (COVID-19) pandemic</w:t>
      </w:r>
      <w:r>
        <w:t>, over 100 countries have passed emergency laws or declared states of emergency to respond to the unfolding crisis.</w:t>
      </w:r>
      <w:r w:rsidR="00990418">
        <w:rPr>
          <w:rStyle w:val="FootnoteReference"/>
        </w:rPr>
        <w:footnoteReference w:id="1"/>
      </w:r>
      <w:r>
        <w:t xml:space="preserve">   </w:t>
      </w:r>
      <w:bookmarkEnd w:id="51"/>
      <w:r>
        <w:t>This action followed the World Health Organization’s (WHO) declaration</w:t>
      </w:r>
      <w:r>
        <w:rPr>
          <w:rStyle w:val="FootnoteReference"/>
        </w:rPr>
        <w:footnoteReference w:id="2"/>
      </w:r>
      <w:r>
        <w:t xml:space="preserve"> that COVID-19 was a global pandemic and that all countries urgently needed to take the required measures to prepare emergency response systems.</w:t>
      </w:r>
    </w:p>
    <w:p w14:paraId="7F7939A8" w14:textId="77777777" w:rsidR="00221F33" w:rsidRDefault="00221F33" w:rsidP="00221F33">
      <w:pPr>
        <w:pStyle w:val="BodyText1"/>
      </w:pPr>
      <w:r>
        <w:t xml:space="preserve">In the ACT, on 16 March 2020, the Minister for Health declared a public health emergency under section 119 of the </w:t>
      </w:r>
      <w:r w:rsidRPr="00221F33">
        <w:rPr>
          <w:i/>
          <w:iCs/>
        </w:rPr>
        <w:t>Public Health Act 1997</w:t>
      </w:r>
      <w:r>
        <w:t xml:space="preserve"> due to the public health risk to the ACT community posed by COVID-19.  On 17 November 2020, the Minister for Health further extended the Public Health (Emergency) Declaration 2020 (No 1)</w:t>
      </w:r>
      <w:r>
        <w:rPr>
          <w:rStyle w:val="FootnoteReference"/>
        </w:rPr>
        <w:footnoteReference w:id="3"/>
      </w:r>
      <w:r>
        <w:t xml:space="preserve"> for 90 days due to the ongoing public health risk posed by COVID-19. The Declaration ends on 17 February 2021.</w:t>
      </w:r>
      <w:r>
        <w:rPr>
          <w:rStyle w:val="FootnoteReference"/>
        </w:rPr>
        <w:footnoteReference w:id="4"/>
      </w:r>
    </w:p>
    <w:p w14:paraId="68A5DBCA" w14:textId="6F131C4C" w:rsidR="00221F33" w:rsidRPr="0095745C" w:rsidRDefault="00221F33" w:rsidP="00221F33">
      <w:pPr>
        <w:pStyle w:val="BodyText1"/>
      </w:pPr>
      <w:r>
        <w:t>As at 24 November 2020, the ACT had 115 confirmed cases and 3 people had died from</w:t>
      </w:r>
      <w:r w:rsidR="007E06A0">
        <w:t xml:space="preserve"> </w:t>
      </w:r>
      <w:r w:rsidR="00735B75">
        <w:t xml:space="preserve"> </w:t>
      </w:r>
      <w:r>
        <w:t>COVID</w:t>
      </w:r>
      <w:r w:rsidR="00735B75">
        <w:t>-</w:t>
      </w:r>
      <w:r>
        <w:t>19.  Internationally, the impact of COVID-19 on regions, communities and health systems continues with many countries experiencing second and, in some cases, third waves of transmission.</w:t>
      </w:r>
      <w:r>
        <w:rPr>
          <w:rStyle w:val="FootnoteReference"/>
        </w:rPr>
        <w:footnoteReference w:id="5"/>
      </w:r>
    </w:p>
    <w:p w14:paraId="246E7467" w14:textId="6F55A087" w:rsidR="00735B75" w:rsidRDefault="00E46857" w:rsidP="0095745C">
      <w:pPr>
        <w:pStyle w:val="BodyText1"/>
      </w:pPr>
      <w:bookmarkStart w:id="53" w:name="_Hlk61337215"/>
      <w:r w:rsidRPr="00E46857">
        <w:t>The Bill is for an Act to amend legislation to provide for emergency measures in response to the COVID-19 emergency, and for other purposes.  The Bill is the fourth in a series of omnibus COVID-19 Bills.</w:t>
      </w:r>
      <w:r w:rsidR="00DB6E3E">
        <w:rPr>
          <w:rStyle w:val="FootnoteReference"/>
        </w:rPr>
        <w:footnoteReference w:id="6"/>
      </w:r>
    </w:p>
    <w:p w14:paraId="42FC5FD1" w14:textId="77777777" w:rsidR="00735B75" w:rsidRDefault="00735B75">
      <w:r>
        <w:br w:type="page"/>
      </w:r>
    </w:p>
    <w:bookmarkEnd w:id="53"/>
    <w:p w14:paraId="013C9F97" w14:textId="77777777" w:rsidR="00DD4512" w:rsidRDefault="00DD4512" w:rsidP="0095745C">
      <w:pPr>
        <w:pStyle w:val="BodyText1"/>
      </w:pPr>
      <w:r>
        <w:lastRenderedPageBreak/>
        <w:t>In presenting the Bill, the Chief Minister told the Assembly:</w:t>
      </w:r>
    </w:p>
    <w:p w14:paraId="4A0B7E0F" w14:textId="3EA0EB0C" w:rsidR="00DD4512" w:rsidRDefault="00D15F2D" w:rsidP="00D15F2D">
      <w:pPr>
        <w:pStyle w:val="Quote"/>
      </w:pPr>
      <w:r>
        <w:t>This is the fourth in a series of government omnibus bills enacted in response to the pandemic. The bills have made necessary changes to our legislative framework to ensure that the government is able to continue to carry out various tasks in a way that reduces risks associated with the emergency. In common with other COVID omnibus bills, the bill will amend a range of territory laws across ministerial portfolios. It primarily amends current expiry provisions for COVID-19 measures so that they can continue to be used for the duration of the emergency.</w:t>
      </w:r>
      <w:r>
        <w:rPr>
          <w:rStyle w:val="FootnoteReference"/>
        </w:rPr>
        <w:footnoteReference w:id="7"/>
      </w:r>
    </w:p>
    <w:p w14:paraId="76CC1231" w14:textId="5824EBB1" w:rsidR="00C42436" w:rsidRDefault="00910EBD" w:rsidP="0095745C">
      <w:pPr>
        <w:pStyle w:val="BodyText1"/>
      </w:pPr>
      <w:bookmarkStart w:id="56" w:name="_Hlk61337592"/>
      <w:r>
        <w:t xml:space="preserve">The Bill </w:t>
      </w:r>
      <w:r w:rsidR="00DB6E3E">
        <w:t xml:space="preserve">is proposed to </w:t>
      </w:r>
      <w:r>
        <w:t xml:space="preserve">form part of a suite </w:t>
      </w:r>
      <w:r w:rsidR="00106745">
        <w:t xml:space="preserve">of </w:t>
      </w:r>
      <w:r>
        <w:t>measures that have been</w:t>
      </w:r>
      <w:r w:rsidR="00106745">
        <w:t xml:space="preserve"> </w:t>
      </w:r>
      <w:bookmarkStart w:id="57" w:name="_Hlk61337449"/>
      <w:r w:rsidR="00106745">
        <w:t xml:space="preserve">enacted in response to managing the risks associated with the </w:t>
      </w:r>
      <w:bookmarkStart w:id="58" w:name="_Hlk61283857"/>
      <w:r w:rsidR="00106745">
        <w:t xml:space="preserve">COVID-19 pandemic </w:t>
      </w:r>
      <w:bookmarkEnd w:id="58"/>
      <w:r w:rsidR="00106745">
        <w:t>in the ACT</w:t>
      </w:r>
      <w:r w:rsidR="0000250A">
        <w:t xml:space="preserve">.  Specifically, this included measures </w:t>
      </w:r>
      <w:r w:rsidR="00106745">
        <w:t xml:space="preserve">to provide flexibility under specific ACT laws and to support operational areas to provide services during the pandemic </w:t>
      </w:r>
      <w:r w:rsidR="00C42436">
        <w:t>and, in some cases, within the 12-month period following the expiry of the emergency response.</w:t>
      </w:r>
      <w:r w:rsidR="00FC4095">
        <w:rPr>
          <w:rStyle w:val="FootnoteReference"/>
        </w:rPr>
        <w:footnoteReference w:id="8"/>
      </w:r>
    </w:p>
    <w:p w14:paraId="2CD1F40B" w14:textId="663EB333" w:rsidR="00E46857" w:rsidRDefault="00E46857" w:rsidP="00E46857">
      <w:pPr>
        <w:pStyle w:val="Headinglevel2"/>
      </w:pPr>
      <w:bookmarkStart w:id="59" w:name="_Toc62740036"/>
      <w:bookmarkEnd w:id="56"/>
      <w:bookmarkEnd w:id="57"/>
      <w:r>
        <w:t>Pre-legislative scrutiny</w:t>
      </w:r>
      <w:bookmarkEnd w:id="59"/>
    </w:p>
    <w:p w14:paraId="26DC44EE" w14:textId="067BD665" w:rsidR="00E46857" w:rsidRDefault="00E46857" w:rsidP="000F2694">
      <w:pPr>
        <w:pStyle w:val="BodyText1"/>
      </w:pPr>
      <w:r w:rsidRPr="00E46857">
        <w:t xml:space="preserve">ACT Government Directorates and justice </w:t>
      </w:r>
      <w:r w:rsidR="0000250A">
        <w:t>s</w:t>
      </w:r>
      <w:r w:rsidRPr="00E46857">
        <w:t xml:space="preserve">tatutory </w:t>
      </w:r>
      <w:r w:rsidR="0000250A">
        <w:t>o</w:t>
      </w:r>
      <w:r w:rsidRPr="00E46857">
        <w:t xml:space="preserve">ffice </w:t>
      </w:r>
      <w:r w:rsidR="0000250A">
        <w:t>h</w:t>
      </w:r>
      <w:r w:rsidRPr="00E46857">
        <w:t>olders were consulted in the preparation of the Bill.  The following business units were consulted in relation to suitability to extend or amend the measures within their operational areas: Access Canberra; ACT</w:t>
      </w:r>
      <w:r w:rsidR="001C0D7D">
        <w:t> </w:t>
      </w:r>
      <w:r w:rsidRPr="00E46857">
        <w:t>Corrective Services; ACT Courts and Tribunal; ACT Policing; Chief Minister, Treasury and Economic Development Directorate; Community Services Directorate; Education Directorate; Human Rights Commission; Legal Aid ACT; ACT Director of Public Prosecutions; and the Sentence Administration Board.  The ACT Bar Association and ACT Law Society were also consulted on the draft Bill.</w:t>
      </w:r>
      <w:r>
        <w:rPr>
          <w:rStyle w:val="FootnoteReference"/>
        </w:rPr>
        <w:footnoteReference w:id="9"/>
      </w:r>
      <w:r w:rsidRPr="00E46857">
        <w:t xml:space="preserve">      </w:t>
      </w:r>
    </w:p>
    <w:p w14:paraId="43373199" w14:textId="6182337B" w:rsidR="00E46857" w:rsidRDefault="00E46857" w:rsidP="000E4651">
      <w:pPr>
        <w:pStyle w:val="Headinglevel2"/>
      </w:pPr>
      <w:bookmarkStart w:id="63" w:name="_Toc62740037"/>
      <w:r>
        <w:t xml:space="preserve">Compatibility with </w:t>
      </w:r>
      <w:r w:rsidR="000E4651" w:rsidRPr="000E4651">
        <w:rPr>
          <w:i/>
        </w:rPr>
        <w:t>Human Rights Act 2004</w:t>
      </w:r>
      <w:r w:rsidR="000E4651">
        <w:t xml:space="preserve"> (s. 37)</w:t>
      </w:r>
      <w:bookmarkEnd w:id="63"/>
    </w:p>
    <w:p w14:paraId="73D50178" w14:textId="657822AA" w:rsidR="000E4651" w:rsidRDefault="000E4651" w:rsidP="000F2694">
      <w:pPr>
        <w:pStyle w:val="BodyText1"/>
      </w:pPr>
      <w:r w:rsidRPr="000E4651">
        <w:t xml:space="preserve">Pursuant to section 37 of the </w:t>
      </w:r>
      <w:r w:rsidRPr="000E4651">
        <w:rPr>
          <w:i/>
          <w:iCs/>
        </w:rPr>
        <w:t>Human Rights Act 2004</w:t>
      </w:r>
      <w:r w:rsidRPr="000E4651">
        <w:t xml:space="preserve">—in the opinion of the Attorney General, having regard to the outline of the policy considerations and justification of any limitations on rights outlined in the </w:t>
      </w:r>
      <w:r w:rsidR="003E0381">
        <w:t>E</w:t>
      </w:r>
      <w:r w:rsidRPr="000E4651">
        <w:t xml:space="preserve">xplanatory </w:t>
      </w:r>
      <w:r w:rsidR="003E0381">
        <w:t>S</w:t>
      </w:r>
      <w:r w:rsidRPr="000E4651">
        <w:t>tatement, the Bill as presented to the Assembly</w:t>
      </w:r>
      <w:r w:rsidR="0000250A">
        <w:t>,</w:t>
      </w:r>
      <w:r w:rsidRPr="000E4651">
        <w:t xml:space="preserve"> is consistent with the </w:t>
      </w:r>
      <w:r w:rsidRPr="000E4651">
        <w:rPr>
          <w:i/>
          <w:iCs/>
        </w:rPr>
        <w:t>Human Rights Act 2004</w:t>
      </w:r>
      <w:r w:rsidRPr="000E4651">
        <w:t>.</w:t>
      </w:r>
      <w:r w:rsidR="003E0381">
        <w:rPr>
          <w:rStyle w:val="FootnoteReference"/>
        </w:rPr>
        <w:footnoteReference w:id="10"/>
      </w:r>
    </w:p>
    <w:p w14:paraId="18102254" w14:textId="4FD21F85" w:rsidR="00BB54D4" w:rsidRPr="00735B75" w:rsidRDefault="000E4651" w:rsidP="00566FA2">
      <w:pPr>
        <w:pStyle w:val="BodyText1"/>
        <w:rPr>
          <w:rFonts w:ascii="Arial Narrow" w:hAnsi="Arial Narrow" w:cs="Arial"/>
          <w:iCs/>
          <w:smallCaps/>
          <w:spacing w:val="20"/>
          <w:sz w:val="36"/>
          <w:szCs w:val="34"/>
        </w:rPr>
      </w:pPr>
      <w:r w:rsidRPr="000E4651">
        <w:lastRenderedPageBreak/>
        <w:t xml:space="preserve">The </w:t>
      </w:r>
      <w:r w:rsidR="003E0381">
        <w:t>E</w:t>
      </w:r>
      <w:r w:rsidRPr="000E4651">
        <w:t xml:space="preserve">xplanatory </w:t>
      </w:r>
      <w:r w:rsidR="003E0381">
        <w:t>S</w:t>
      </w:r>
      <w:r w:rsidRPr="000E4651">
        <w:t>tatement summarises how extending the emergency measures engages human rights.</w:t>
      </w:r>
      <w:r w:rsidR="00735B75">
        <w:t xml:space="preserve"> </w:t>
      </w:r>
    </w:p>
    <w:p w14:paraId="1DB33F38" w14:textId="4667D2D5" w:rsidR="000E4651" w:rsidRDefault="000E4651" w:rsidP="000E4651">
      <w:pPr>
        <w:pStyle w:val="Headinglevel2"/>
      </w:pPr>
      <w:bookmarkStart w:id="65" w:name="_Toc62740038"/>
      <w:r>
        <w:t>Summary of measures the Bill is seeking to enact</w:t>
      </w:r>
      <w:bookmarkEnd w:id="65"/>
    </w:p>
    <w:p w14:paraId="74AFC98A" w14:textId="2785D476" w:rsidR="00F72CB7" w:rsidRDefault="000E4651" w:rsidP="005D0C52">
      <w:pPr>
        <w:pStyle w:val="BodyText1"/>
      </w:pPr>
      <w:r w:rsidRPr="000E4651">
        <w:t xml:space="preserve">The primary purpose of the Bill is to extend or revise certain existing COVID-19 legislative </w:t>
      </w:r>
      <w:bookmarkStart w:id="66" w:name="_Hlk61349536"/>
      <w:r w:rsidRPr="000E4651">
        <w:t xml:space="preserve">measures adopted with the </w:t>
      </w:r>
      <w:r w:rsidRPr="001C0D7D">
        <w:rPr>
          <w:i/>
          <w:iCs/>
        </w:rPr>
        <w:t>COVID-19 Emergency Response Act 2020</w:t>
      </w:r>
      <w:r w:rsidRPr="000E4651">
        <w:t xml:space="preserve"> and </w:t>
      </w:r>
      <w:r w:rsidRPr="001C0D7D">
        <w:rPr>
          <w:i/>
          <w:iCs/>
        </w:rPr>
        <w:t>COVID-19 Emergency Response Legislation Amendment Act 2020</w:t>
      </w:r>
      <w:r w:rsidRPr="000E4651">
        <w:t xml:space="preserve">.  </w:t>
      </w:r>
      <w:r w:rsidR="003758B6">
        <w:t xml:space="preserve">In the main, the </w:t>
      </w:r>
      <w:r w:rsidRPr="000E4651">
        <w:t xml:space="preserve">Bill extends measures that are due to expire and </w:t>
      </w:r>
      <w:r w:rsidR="003758B6">
        <w:t xml:space="preserve">which are considered </w:t>
      </w:r>
      <w:r w:rsidRPr="000E4651">
        <w:t xml:space="preserve">necessary to continue.  The measures to be extended remain temporary. </w:t>
      </w:r>
    </w:p>
    <w:bookmarkEnd w:id="66"/>
    <w:p w14:paraId="1F6A8D57" w14:textId="50E1726F" w:rsidR="003758B6" w:rsidRDefault="000E4651" w:rsidP="005D0C52">
      <w:pPr>
        <w:pStyle w:val="BodyText1"/>
      </w:pPr>
      <w:r w:rsidRPr="000E4651">
        <w:t xml:space="preserve">The Bill </w:t>
      </w:r>
      <w:r w:rsidR="007F68CA">
        <w:t xml:space="preserve">proposes to </w:t>
      </w:r>
      <w:r w:rsidRPr="000E4651">
        <w:t xml:space="preserve">amend COVID-19 legislative measures under 16 Acts—namely: </w:t>
      </w:r>
      <w:r w:rsidRPr="001C0D7D">
        <w:rPr>
          <w:i/>
          <w:iCs/>
        </w:rPr>
        <w:t>Associations Incorporation Act 1991</w:t>
      </w:r>
      <w:r w:rsidRPr="000E4651">
        <w:t xml:space="preserve">; </w:t>
      </w:r>
      <w:r w:rsidRPr="001C0D7D">
        <w:rPr>
          <w:i/>
          <w:iCs/>
        </w:rPr>
        <w:t>Bail Act 1992</w:t>
      </w:r>
      <w:r w:rsidRPr="000E4651">
        <w:t xml:space="preserve">; </w:t>
      </w:r>
      <w:r w:rsidRPr="001C0D7D">
        <w:rPr>
          <w:i/>
          <w:iCs/>
        </w:rPr>
        <w:t>Corrections Management Act 2007</w:t>
      </w:r>
      <w:r w:rsidRPr="000E4651">
        <w:t xml:space="preserve">; </w:t>
      </w:r>
      <w:r w:rsidRPr="001C0D7D">
        <w:rPr>
          <w:i/>
          <w:iCs/>
        </w:rPr>
        <w:t>COVID-19 Emergency Response Act 2020</w:t>
      </w:r>
      <w:r w:rsidRPr="000E4651">
        <w:t xml:space="preserve">; </w:t>
      </w:r>
      <w:r w:rsidRPr="001C0D7D">
        <w:rPr>
          <w:i/>
          <w:iCs/>
        </w:rPr>
        <w:t>Crimes Act 1900</w:t>
      </w:r>
      <w:r w:rsidRPr="000E4651">
        <w:t xml:space="preserve">; </w:t>
      </w:r>
      <w:r w:rsidRPr="001C0D7D">
        <w:rPr>
          <w:i/>
          <w:iCs/>
        </w:rPr>
        <w:t>Crimes (Sentence Administration) Act 2005</w:t>
      </w:r>
      <w:r w:rsidRPr="000E4651">
        <w:t xml:space="preserve">; </w:t>
      </w:r>
      <w:r w:rsidRPr="001C0D7D">
        <w:rPr>
          <w:i/>
          <w:iCs/>
        </w:rPr>
        <w:t>Crimes (Sentencing) Act 2005</w:t>
      </w:r>
      <w:r w:rsidRPr="000E4651">
        <w:t xml:space="preserve">; </w:t>
      </w:r>
      <w:r w:rsidRPr="001C0D7D">
        <w:rPr>
          <w:i/>
          <w:iCs/>
        </w:rPr>
        <w:t>Drugs of Dependence Act 1989</w:t>
      </w:r>
      <w:r w:rsidRPr="000E4651">
        <w:t xml:space="preserve">; </w:t>
      </w:r>
      <w:r w:rsidRPr="001C0D7D">
        <w:rPr>
          <w:i/>
          <w:iCs/>
        </w:rPr>
        <w:t>Education Act 2004; Evidence (Miscellaneous Provisions) Act 1991</w:t>
      </w:r>
      <w:r w:rsidRPr="000E4651">
        <w:t xml:space="preserve">; </w:t>
      </w:r>
      <w:r w:rsidRPr="001C0D7D">
        <w:rPr>
          <w:i/>
          <w:iCs/>
        </w:rPr>
        <w:t>Family Violence Act 2016</w:t>
      </w:r>
      <w:r w:rsidRPr="000E4651">
        <w:t xml:space="preserve">; </w:t>
      </w:r>
      <w:r w:rsidRPr="001C0D7D">
        <w:rPr>
          <w:i/>
          <w:iCs/>
        </w:rPr>
        <w:t>Gaming Machine Regulation 2004</w:t>
      </w:r>
      <w:r w:rsidRPr="000E4651">
        <w:t xml:space="preserve">; </w:t>
      </w:r>
      <w:r w:rsidRPr="001C0D7D">
        <w:rPr>
          <w:i/>
          <w:iCs/>
        </w:rPr>
        <w:t>Personal Violence Act 2016</w:t>
      </w:r>
      <w:r w:rsidRPr="000E4651">
        <w:t xml:space="preserve">; </w:t>
      </w:r>
      <w:r w:rsidRPr="001C0D7D">
        <w:rPr>
          <w:i/>
          <w:iCs/>
        </w:rPr>
        <w:t>Retirement Villages Act 2012</w:t>
      </w:r>
      <w:r w:rsidRPr="000E4651">
        <w:t xml:space="preserve">; </w:t>
      </w:r>
      <w:r w:rsidRPr="001C0D7D">
        <w:rPr>
          <w:i/>
          <w:iCs/>
        </w:rPr>
        <w:t>Supreme Court</w:t>
      </w:r>
      <w:r w:rsidR="0000250A">
        <w:rPr>
          <w:i/>
          <w:iCs/>
        </w:rPr>
        <w:t> </w:t>
      </w:r>
      <w:r w:rsidRPr="001C0D7D">
        <w:rPr>
          <w:i/>
          <w:iCs/>
        </w:rPr>
        <w:t>Act</w:t>
      </w:r>
      <w:r w:rsidR="0000250A">
        <w:rPr>
          <w:i/>
          <w:iCs/>
        </w:rPr>
        <w:t> </w:t>
      </w:r>
      <w:r w:rsidRPr="001C0D7D">
        <w:rPr>
          <w:i/>
          <w:iCs/>
        </w:rPr>
        <w:t>1933</w:t>
      </w:r>
      <w:r w:rsidRPr="000E4651">
        <w:t xml:space="preserve">; and </w:t>
      </w:r>
      <w:r w:rsidRPr="001C0D7D">
        <w:rPr>
          <w:i/>
          <w:iCs/>
        </w:rPr>
        <w:t>Working with Vulnerable People (Background Checking) Act 2011</w:t>
      </w:r>
      <w:r w:rsidRPr="000E4651">
        <w:t xml:space="preserve">.  </w:t>
      </w:r>
    </w:p>
    <w:p w14:paraId="7E42390C" w14:textId="7F66E50A" w:rsidR="00487A22" w:rsidRDefault="00BB1B45" w:rsidP="00487A22">
      <w:pPr>
        <w:pStyle w:val="Headinglevel4"/>
      </w:pPr>
      <w:r>
        <w:t xml:space="preserve">Amendments </w:t>
      </w:r>
      <w:r w:rsidR="001B05EE">
        <w:t>to</w:t>
      </w:r>
      <w:r w:rsidR="00487A22">
        <w:t xml:space="preserve"> expiry </w:t>
      </w:r>
      <w:r w:rsidR="001B05EE">
        <w:t>provisions</w:t>
      </w:r>
    </w:p>
    <w:p w14:paraId="713F5F3A" w14:textId="3D276AD7" w:rsidR="00487A22" w:rsidRDefault="00BB1B45" w:rsidP="00A06572">
      <w:pPr>
        <w:pStyle w:val="BodyText1"/>
      </w:pPr>
      <w:r>
        <w:t>The Bill proposes to amend expiry provisions for legislative measures enacted in response to managing the risks associated with the COVID-19 pandemic in the ACT.  G</w:t>
      </w:r>
      <w:r w:rsidR="003758B6" w:rsidRPr="000E4651">
        <w:t xml:space="preserve">enerally, amendments to the expiry provisions of COVID-19 measures align with the expiry of the </w:t>
      </w:r>
      <w:r w:rsidR="003758B6" w:rsidRPr="00C55F67">
        <w:rPr>
          <w:i/>
          <w:iCs/>
        </w:rPr>
        <w:t>COVID-19 Emergency Response Act</w:t>
      </w:r>
      <w:r w:rsidR="00DB6E3E" w:rsidRPr="00C55F67">
        <w:rPr>
          <w:i/>
          <w:iCs/>
        </w:rPr>
        <w:t xml:space="preserve"> 2020</w:t>
      </w:r>
      <w:r w:rsidR="003758B6" w:rsidRPr="000E4651">
        <w:t>, which will expire at the end of a 12-month period during which no COVID-19 public health emergency declaration has been in force.</w:t>
      </w:r>
      <w:r w:rsidR="00487A22">
        <w:t xml:space="preserve">  The Chief Minister informed the Assembly that the purpose of ‘rolling expiry arrangements’:</w:t>
      </w:r>
    </w:p>
    <w:p w14:paraId="55A008D6" w14:textId="07B43DD3" w:rsidR="003758B6" w:rsidRDefault="00487A22" w:rsidP="00487A22">
      <w:pPr>
        <w:pStyle w:val="Quote"/>
      </w:pPr>
      <w:r>
        <w:t>…</w:t>
      </w:r>
      <w:r w:rsidRPr="00487A22">
        <w:t>is to ensure that emergency response measures can be available to support operational and service responses in circumstances where there is a break of no more than 12 months between the emergency declaration being enforced. In most cases the measures can only be used if a COVID-19 emergency is enforced.</w:t>
      </w:r>
      <w:r>
        <w:rPr>
          <w:rStyle w:val="FootnoteReference"/>
        </w:rPr>
        <w:footnoteReference w:id="11"/>
      </w:r>
    </w:p>
    <w:p w14:paraId="777FCC89" w14:textId="177719B9" w:rsidR="003758B6" w:rsidRDefault="003758B6" w:rsidP="00735B75">
      <w:pPr>
        <w:pStyle w:val="BodyText1"/>
      </w:pPr>
      <w:r w:rsidRPr="00D63B4E">
        <w:lastRenderedPageBreak/>
        <w:t xml:space="preserve">A small number of </w:t>
      </w:r>
      <w:r>
        <w:t xml:space="preserve">proposed amendments concern </w:t>
      </w:r>
      <w:r w:rsidRPr="00D63B4E">
        <w:t xml:space="preserve">measures </w:t>
      </w:r>
      <w:r>
        <w:t xml:space="preserve">where expiry is not aligned with the </w:t>
      </w:r>
      <w:r w:rsidRPr="00D63B4E">
        <w:t xml:space="preserve">expiry of the </w:t>
      </w:r>
      <w:r w:rsidR="00DB6E3E" w:rsidRPr="00C55F67">
        <w:rPr>
          <w:i/>
          <w:iCs/>
        </w:rPr>
        <w:t xml:space="preserve">COVID-19 </w:t>
      </w:r>
      <w:r w:rsidRPr="00C55F67">
        <w:rPr>
          <w:i/>
          <w:iCs/>
        </w:rPr>
        <w:t>Emergency Response Act</w:t>
      </w:r>
      <w:r w:rsidR="00DB6E3E" w:rsidRPr="00C55F67">
        <w:rPr>
          <w:i/>
          <w:iCs/>
        </w:rPr>
        <w:t xml:space="preserve"> 2020</w:t>
      </w:r>
      <w:r>
        <w:t xml:space="preserve">—namely, measures in the </w:t>
      </w:r>
      <w:r w:rsidRPr="003758B6">
        <w:rPr>
          <w:i/>
          <w:iCs/>
        </w:rPr>
        <w:t>Associations Incorporation Act 1991</w:t>
      </w:r>
      <w:r>
        <w:rPr>
          <w:rStyle w:val="FootnoteReference"/>
        </w:rPr>
        <w:footnoteReference w:id="12"/>
      </w:r>
      <w:r>
        <w:t xml:space="preserve"> and the </w:t>
      </w:r>
      <w:r w:rsidRPr="003758B6">
        <w:rPr>
          <w:i/>
          <w:iCs/>
        </w:rPr>
        <w:t>Supreme Court Act 19</w:t>
      </w:r>
      <w:r w:rsidR="00DB6E3E">
        <w:rPr>
          <w:i/>
          <w:iCs/>
        </w:rPr>
        <w:t>3</w:t>
      </w:r>
      <w:r w:rsidRPr="003758B6">
        <w:rPr>
          <w:i/>
          <w:iCs/>
        </w:rPr>
        <w:t>3</w:t>
      </w:r>
      <w:r>
        <w:rPr>
          <w:rStyle w:val="FootnoteReference"/>
        </w:rPr>
        <w:footnoteReference w:id="13"/>
      </w:r>
      <w:r w:rsidRPr="00D63B4E">
        <w:t>.</w:t>
      </w:r>
    </w:p>
    <w:p w14:paraId="606A9C75" w14:textId="0333511E" w:rsidR="00487A22" w:rsidRDefault="00487A22" w:rsidP="00487A22">
      <w:pPr>
        <w:pStyle w:val="Headinglevel4"/>
      </w:pPr>
      <w:r>
        <w:t>Repealed measures</w:t>
      </w:r>
    </w:p>
    <w:p w14:paraId="5A4FF177" w14:textId="2F65689A" w:rsidR="000E4651" w:rsidRDefault="000E4651" w:rsidP="005D0C52">
      <w:pPr>
        <w:pStyle w:val="BodyText1"/>
      </w:pPr>
      <w:bookmarkStart w:id="68" w:name="_Hlk61349102"/>
      <w:r w:rsidRPr="000E4651">
        <w:t>The Bill repeals two measures</w:t>
      </w:r>
      <w:r w:rsidR="00D83D72">
        <w:rPr>
          <w:rStyle w:val="FootnoteReference"/>
        </w:rPr>
        <w:footnoteReference w:id="14"/>
      </w:r>
      <w:r w:rsidRPr="000E4651">
        <w:t xml:space="preserve"> under one Act—the </w:t>
      </w:r>
      <w:r w:rsidRPr="001C0D7D">
        <w:rPr>
          <w:i/>
          <w:iCs/>
        </w:rPr>
        <w:t>Crimes (Sentence Administration) Act 2005</w:t>
      </w:r>
      <w:r w:rsidRPr="000E4651">
        <w:t>—that are no longer required</w:t>
      </w:r>
      <w:r>
        <w:t>.</w:t>
      </w:r>
    </w:p>
    <w:bookmarkEnd w:id="68"/>
    <w:p w14:paraId="4B050E2A" w14:textId="4DBC0543" w:rsidR="00487A22" w:rsidRDefault="00487A22" w:rsidP="00487A22">
      <w:pPr>
        <w:pStyle w:val="Headinglevel4"/>
      </w:pPr>
      <w:r>
        <w:t xml:space="preserve">Amendments to reporting provisions to the Assembly </w:t>
      </w:r>
    </w:p>
    <w:p w14:paraId="7EC7C0C6" w14:textId="0016AEDF" w:rsidR="00D63B4E" w:rsidRDefault="007F68CA" w:rsidP="00D63B4E">
      <w:pPr>
        <w:pStyle w:val="BodyText1"/>
      </w:pPr>
      <w:bookmarkStart w:id="69" w:name="_Hlk61347905"/>
      <w:r>
        <w:t xml:space="preserve">The Bill proposes </w:t>
      </w:r>
      <w:r w:rsidRPr="007F68CA">
        <w:t xml:space="preserve">two amendments under the COVID-19 Emergency Response Act to </w:t>
      </w:r>
      <w:r>
        <w:t xml:space="preserve">provide for </w:t>
      </w:r>
      <w:r w:rsidRPr="007F68CA">
        <w:t xml:space="preserve">scrutiny </w:t>
      </w:r>
      <w:r>
        <w:t xml:space="preserve">by the Assembly </w:t>
      </w:r>
      <w:r w:rsidRPr="007F68CA">
        <w:t>of the emergency response measures.</w:t>
      </w:r>
      <w:r>
        <w:t xml:space="preserve">  The first </w:t>
      </w:r>
      <w:r w:rsidRPr="007F68CA">
        <w:t>amendment</w:t>
      </w:r>
      <w:r>
        <w:t xml:space="preserve"> proposes a </w:t>
      </w:r>
      <w:r w:rsidRPr="007F68CA">
        <w:t>change</w:t>
      </w:r>
      <w:r>
        <w:t xml:space="preserve"> to</w:t>
      </w:r>
      <w:r w:rsidRPr="007F68CA">
        <w:t xml:space="preserve"> the period for the rep</w:t>
      </w:r>
      <w:r>
        <w:t xml:space="preserve">orting </w:t>
      </w:r>
      <w:r w:rsidRPr="007F68CA">
        <w:t>of the application of emergency response measures</w:t>
      </w:r>
      <w:r>
        <w:t xml:space="preserve"> from one month to quarterly</w:t>
      </w:r>
      <w:r w:rsidRPr="007F68CA">
        <w:t>.</w:t>
      </w:r>
      <w:r>
        <w:t xml:space="preserve">  The Chief Minister told the Assembly that</w:t>
      </w:r>
      <w:r w:rsidR="00D63B4E">
        <w:t xml:space="preserve"> amending ‘the reporting period so that reports </w:t>
      </w:r>
      <w:r w:rsidRPr="007F68CA">
        <w:t>will be made for each quarter that the declaration is in force</w:t>
      </w:r>
      <w:r w:rsidR="00D63B4E">
        <w:t>’</w:t>
      </w:r>
      <w:r w:rsidRPr="007F68CA">
        <w:t>, reflect</w:t>
      </w:r>
      <w:r w:rsidR="00D63B4E">
        <w:t>s:</w:t>
      </w:r>
    </w:p>
    <w:p w14:paraId="0A3EE9C3" w14:textId="603415EA" w:rsidR="007F68CA" w:rsidRDefault="00D63B4E" w:rsidP="00D63B4E">
      <w:pPr>
        <w:pStyle w:val="Quote"/>
      </w:pPr>
      <w:r>
        <w:t>…</w:t>
      </w:r>
      <w:r w:rsidR="007F68CA" w:rsidRPr="007F68CA">
        <w:t>the practical reality of zero monthly reports most of the time so far. Quarterly reports will of course ensure that the Assembly is able to continue to monitor trends over time and aligns with the length of time a public health emergency declaration may be extended by the Minister for Health under the Public Health Act 1997.</w:t>
      </w:r>
      <w:r>
        <w:rPr>
          <w:rStyle w:val="FootnoteReference"/>
        </w:rPr>
        <w:footnoteReference w:id="15"/>
      </w:r>
    </w:p>
    <w:p w14:paraId="3BF85FD2" w14:textId="7A02A05B" w:rsidR="007F68CA" w:rsidRDefault="007F68CA" w:rsidP="00D63B4E">
      <w:pPr>
        <w:pStyle w:val="BodyText1"/>
      </w:pPr>
      <w:r>
        <w:t xml:space="preserve">The second amendment proposes a change to </w:t>
      </w:r>
      <w:r w:rsidRPr="007F68CA">
        <w:t>presentation requirements for subordinate laws and disallowable instruments made under a COVID-19 emergency response measure</w:t>
      </w:r>
      <w:r>
        <w:t xml:space="preserve"> from </w:t>
      </w:r>
      <w:r w:rsidRPr="007F68CA">
        <w:t>within one sitting day after they are notified on the legislation register</w:t>
      </w:r>
      <w:r>
        <w:t xml:space="preserve"> to </w:t>
      </w:r>
      <w:r w:rsidRPr="007F68CA">
        <w:t>two sitting days after notification</w:t>
      </w:r>
      <w:r>
        <w:t>.  The Chief Minister also told the Assembly that this amendment:</w:t>
      </w:r>
    </w:p>
    <w:p w14:paraId="0DBD191A" w14:textId="3FC39681" w:rsidR="007F68CA" w:rsidRDefault="007F68CA" w:rsidP="007F68CA">
      <w:pPr>
        <w:pStyle w:val="Quote"/>
      </w:pPr>
      <w:r>
        <w:lastRenderedPageBreak/>
        <w:t>…</w:t>
      </w:r>
      <w:r w:rsidRPr="007F68CA">
        <w:t>will reduce the possibility that a subordinate law or disallowable instrument will be repealed as a result of failing to meet the presentation requirement.</w:t>
      </w:r>
      <w:r>
        <w:rPr>
          <w:rStyle w:val="FootnoteReference"/>
        </w:rPr>
        <w:footnoteReference w:id="16"/>
      </w:r>
    </w:p>
    <w:bookmarkEnd w:id="69"/>
    <w:p w14:paraId="4D719A92" w14:textId="1DE2E74F" w:rsidR="00487A22" w:rsidRDefault="00487A22" w:rsidP="00487A22">
      <w:pPr>
        <w:pStyle w:val="Headinglevel4"/>
      </w:pPr>
      <w:r>
        <w:t>Technical amendments</w:t>
      </w:r>
    </w:p>
    <w:p w14:paraId="04263B43" w14:textId="76288D40" w:rsidR="004B547B" w:rsidRDefault="00487A22" w:rsidP="00487A22">
      <w:pPr>
        <w:pStyle w:val="BodyText1"/>
      </w:pPr>
      <w:r w:rsidRPr="00487A22">
        <w:t xml:space="preserve">The </w:t>
      </w:r>
      <w:r w:rsidR="004B547B">
        <w:t>B</w:t>
      </w:r>
      <w:r w:rsidRPr="00487A22">
        <w:t xml:space="preserve">ill </w:t>
      </w:r>
      <w:r w:rsidR="004B547B">
        <w:t xml:space="preserve">proposes </w:t>
      </w:r>
      <w:r w:rsidRPr="00487A22">
        <w:t>technical amendments</w:t>
      </w:r>
      <w:r w:rsidR="004B547B">
        <w:rPr>
          <w:rStyle w:val="FootnoteReference"/>
        </w:rPr>
        <w:footnoteReference w:id="17"/>
      </w:r>
      <w:r w:rsidRPr="00487A22">
        <w:t xml:space="preserve"> to the provisions for the extension of registrations</w:t>
      </w:r>
      <w:r w:rsidR="004B547B">
        <w:t xml:space="preserve"> </w:t>
      </w:r>
      <w:r w:rsidRPr="00487A22">
        <w:t xml:space="preserve">under the </w:t>
      </w:r>
      <w:r w:rsidRPr="004B547B">
        <w:rPr>
          <w:i/>
          <w:iCs/>
        </w:rPr>
        <w:t>Working with Vulnerable People (Background Checking) Act</w:t>
      </w:r>
      <w:r w:rsidR="004B547B" w:rsidRPr="004B547B">
        <w:rPr>
          <w:i/>
          <w:iCs/>
        </w:rPr>
        <w:t xml:space="preserve"> 2011</w:t>
      </w:r>
      <w:r w:rsidRPr="00487A22">
        <w:t xml:space="preserve">. </w:t>
      </w:r>
      <w:r w:rsidR="004B547B">
        <w:t>Initially</w:t>
      </w:r>
      <w:r w:rsidR="00A22EDE">
        <w:t>,</w:t>
      </w:r>
      <w:r w:rsidR="004B547B">
        <w:t xml:space="preserve"> registrations due to end </w:t>
      </w:r>
      <w:r w:rsidR="004B547B" w:rsidRPr="00487A22">
        <w:t xml:space="preserve">during the COVID-19 emergency period </w:t>
      </w:r>
      <w:r w:rsidR="004B547B">
        <w:t xml:space="preserve">were extended </w:t>
      </w:r>
      <w:r w:rsidR="004B547B" w:rsidRPr="00487A22">
        <w:t>to a single fixed date six months after the end of the emergency</w:t>
      </w:r>
      <w:r w:rsidR="004B547B">
        <w:t>.</w:t>
      </w:r>
    </w:p>
    <w:p w14:paraId="7DE5D78D" w14:textId="63689F2B" w:rsidR="004B547B" w:rsidRDefault="00487A22" w:rsidP="00487A22">
      <w:pPr>
        <w:pStyle w:val="BodyText1"/>
      </w:pPr>
      <w:r w:rsidRPr="00487A22">
        <w:t xml:space="preserve">The </w:t>
      </w:r>
      <w:r w:rsidR="004B547B">
        <w:t>B</w:t>
      </w:r>
      <w:r w:rsidRPr="00487A22">
        <w:t xml:space="preserve">ill </w:t>
      </w:r>
      <w:r w:rsidR="00A22EDE">
        <w:t xml:space="preserve">instead </w:t>
      </w:r>
      <w:r w:rsidR="004B547B">
        <w:t>proposes t</w:t>
      </w:r>
      <w:r w:rsidRPr="00487A22">
        <w:t>o extend registrations that end during the emergency period to end 12</w:t>
      </w:r>
      <w:r w:rsidR="004B547B">
        <w:t> </w:t>
      </w:r>
      <w:r w:rsidRPr="00487A22">
        <w:t>months after the registration was due to end. The</w:t>
      </w:r>
      <w:r w:rsidR="004B547B">
        <w:t>se</w:t>
      </w:r>
      <w:r w:rsidRPr="00487A22">
        <w:t xml:space="preserve"> amendments</w:t>
      </w:r>
      <w:r w:rsidR="004B547B">
        <w:t>:</w:t>
      </w:r>
    </w:p>
    <w:p w14:paraId="24D08D01" w14:textId="687F5266" w:rsidR="00487A22" w:rsidRPr="00487A22" w:rsidRDefault="004B547B" w:rsidP="004B547B">
      <w:pPr>
        <w:pStyle w:val="Quote"/>
      </w:pPr>
      <w:r>
        <w:t>…</w:t>
      </w:r>
      <w:r w:rsidR="00487A22" w:rsidRPr="00487A22">
        <w:t>aim to ensure an effective and orderly transition back to normal registration processes.</w:t>
      </w:r>
      <w:r>
        <w:rPr>
          <w:rStyle w:val="FootnoteReference"/>
        </w:rPr>
        <w:footnoteReference w:id="18"/>
      </w:r>
    </w:p>
    <w:bookmarkEnd w:id="50"/>
    <w:p w14:paraId="4E82AB52" w14:textId="77777777" w:rsidR="002B21C2" w:rsidRDefault="002B21C2" w:rsidP="002001C6">
      <w:pPr>
        <w:pStyle w:val="Bodytextnonumbering"/>
      </w:pPr>
    </w:p>
    <w:p w14:paraId="05F33765" w14:textId="77777777" w:rsidR="00A121B1" w:rsidRPr="00D85C07" w:rsidRDefault="00A121B1" w:rsidP="002001C6">
      <w:pPr>
        <w:pStyle w:val="Bodytextnonumbering"/>
        <w:sectPr w:rsidR="00A121B1" w:rsidRPr="00D85C07" w:rsidSect="00A643D7">
          <w:footerReference w:type="even" r:id="rId31"/>
          <w:footerReference w:type="default" r:id="rId32"/>
          <w:headerReference w:type="first" r:id="rId33"/>
          <w:type w:val="oddPage"/>
          <w:pgSz w:w="11907" w:h="16840" w:code="9"/>
          <w:pgMar w:top="1588" w:right="1418" w:bottom="1418" w:left="1418" w:header="720" w:footer="851" w:gutter="0"/>
          <w:cols w:space="720"/>
          <w:docGrid w:linePitch="360"/>
        </w:sectPr>
      </w:pPr>
    </w:p>
    <w:p w14:paraId="5EA0BF8F" w14:textId="097C4DB8" w:rsidR="000937BF" w:rsidRDefault="000E4651" w:rsidP="00A121B1">
      <w:pPr>
        <w:pStyle w:val="Heading1"/>
      </w:pPr>
      <w:bookmarkStart w:id="73" w:name="_Toc62740039"/>
      <w:bookmarkStart w:id="74" w:name="_Toc479770964"/>
      <w:r>
        <w:lastRenderedPageBreak/>
        <w:t>Committee co</w:t>
      </w:r>
      <w:r w:rsidR="00603085">
        <w:t>nsideration</w:t>
      </w:r>
      <w:bookmarkEnd w:id="73"/>
    </w:p>
    <w:p w14:paraId="67C5DA87" w14:textId="191F673B" w:rsidR="00BB1B45" w:rsidRDefault="0000250A" w:rsidP="00BB1B45">
      <w:pPr>
        <w:pStyle w:val="BodyText1"/>
      </w:pPr>
      <w:r>
        <w:t>As noted previously, t</w:t>
      </w:r>
      <w:r w:rsidR="00603085" w:rsidRPr="00603085">
        <w:t xml:space="preserve">he </w:t>
      </w:r>
      <w:r w:rsidR="00603085">
        <w:t xml:space="preserve">Bill </w:t>
      </w:r>
      <w:r w:rsidR="00603085" w:rsidRPr="00603085">
        <w:t xml:space="preserve">referred to the Committee for inquiry and report </w:t>
      </w:r>
      <w:r w:rsidR="00BB1B45" w:rsidRPr="00E46857">
        <w:t>is for an Act to amend legislation to provide for emergency measures in response to the COVID-19 emergency, and for other purposes.  The Bill is the fourth in a series of omnibus COVID-19 Bills.</w:t>
      </w:r>
    </w:p>
    <w:p w14:paraId="56CED190" w14:textId="254D46C9" w:rsidR="001B05EE" w:rsidRDefault="001B05EE" w:rsidP="001B05EE">
      <w:pPr>
        <w:pStyle w:val="BodyText1"/>
      </w:pPr>
      <w:r>
        <w:t xml:space="preserve">The amendments proposed under the Bill can be grouped </w:t>
      </w:r>
      <w:r w:rsidR="00A24D2F">
        <w:t xml:space="preserve">under </w:t>
      </w:r>
      <w:r>
        <w:t xml:space="preserve"> four general categories—namely amendments: (i) to expiry provisions for legislative measures enacted to assist with managing risks associated with the </w:t>
      </w:r>
      <w:r w:rsidR="00CB7237">
        <w:t xml:space="preserve">COVID-19 </w:t>
      </w:r>
      <w:r>
        <w:t>pandemic; (ii) repealing measures that are no longer required; (i</w:t>
      </w:r>
      <w:r w:rsidR="00FE296F">
        <w:t>i</w:t>
      </w:r>
      <w:r>
        <w:t>i) to reporting provisions to the Assembly</w:t>
      </w:r>
      <w:r w:rsidR="00CB7237">
        <w:t xml:space="preserve"> for the purposes of scrutiny and oversight</w:t>
      </w:r>
      <w:r>
        <w:t xml:space="preserve">; and (iv) </w:t>
      </w:r>
      <w:r w:rsidR="0000250A">
        <w:t xml:space="preserve">of a </w:t>
      </w:r>
      <w:r>
        <w:t xml:space="preserve">technical </w:t>
      </w:r>
      <w:r w:rsidR="0000250A">
        <w:t>nature</w:t>
      </w:r>
      <w:r>
        <w:t>.</w:t>
      </w:r>
    </w:p>
    <w:p w14:paraId="008DF9E0" w14:textId="06A04DBC" w:rsidR="00221F33" w:rsidRPr="00603085" w:rsidRDefault="00603085" w:rsidP="00A06572">
      <w:pPr>
        <w:pStyle w:val="BodyText1"/>
      </w:pPr>
      <w:r w:rsidRPr="00603085">
        <w:t>This chapter sets out the Committee’s consideration of the issues concerning the</w:t>
      </w:r>
      <w:r w:rsidR="00FE296F">
        <w:t xml:space="preserve"> proposed </w:t>
      </w:r>
      <w:r w:rsidR="00CC7C6E">
        <w:t>amendments</w:t>
      </w:r>
      <w:r w:rsidRPr="00603085">
        <w:t>.</w:t>
      </w:r>
    </w:p>
    <w:p w14:paraId="1B506FE1" w14:textId="01C682AE" w:rsidR="000E4651" w:rsidRDefault="000E4651" w:rsidP="000E4651">
      <w:pPr>
        <w:pStyle w:val="Headinglevel2"/>
      </w:pPr>
      <w:bookmarkStart w:id="75" w:name="_Toc62740040"/>
      <w:r>
        <w:t>Emergency legislation</w:t>
      </w:r>
      <w:bookmarkEnd w:id="75"/>
    </w:p>
    <w:p w14:paraId="379002DC" w14:textId="2CB142C1" w:rsidR="000E4651" w:rsidRDefault="000E4651" w:rsidP="005D0C52">
      <w:pPr>
        <w:pStyle w:val="BodyText1"/>
      </w:pPr>
      <w:bookmarkStart w:id="76" w:name="_Hlk61350033"/>
      <w:r w:rsidRPr="000E4651">
        <w:t xml:space="preserve">The Bill </w:t>
      </w:r>
      <w:r w:rsidRPr="000E4651">
        <w:rPr>
          <w:i/>
          <w:iCs/>
        </w:rPr>
        <w:t>per se</w:t>
      </w:r>
      <w:r w:rsidRPr="000E4651">
        <w:t xml:space="preserve"> falls into the category of legislation </w:t>
      </w:r>
      <w:bookmarkStart w:id="77" w:name="_Hlk61345207"/>
      <w:r w:rsidRPr="000E4651">
        <w:t xml:space="preserve">to respond to exceptional or emergency circumstances. </w:t>
      </w:r>
      <w:bookmarkEnd w:id="77"/>
      <w:r w:rsidRPr="000E4651">
        <w:t xml:space="preserve"> </w:t>
      </w:r>
      <w:r w:rsidR="00CB7237">
        <w:t>In reaction to the</w:t>
      </w:r>
      <w:r w:rsidR="00CB7237" w:rsidRPr="00C42436">
        <w:t xml:space="preserve"> COVID-19 pandemic</w:t>
      </w:r>
      <w:r w:rsidR="00CB7237">
        <w:t xml:space="preserve">, countries across the </w:t>
      </w:r>
      <w:r w:rsidR="00E41EA2">
        <w:t>world have</w:t>
      </w:r>
      <w:r w:rsidR="00CB7237">
        <w:t xml:space="preserve"> passed emergency laws or declared states of emergency to respond to the unfolding crisis.</w:t>
      </w:r>
      <w:r w:rsidR="00A06572">
        <w:t xml:space="preserve">  In an international symposium</w:t>
      </w:r>
      <w:r w:rsidR="00A06572">
        <w:rPr>
          <w:rStyle w:val="FootnoteReference"/>
        </w:rPr>
        <w:footnoteReference w:id="19"/>
      </w:r>
      <w:r w:rsidR="00A06572">
        <w:t xml:space="preserve"> held from 6 April to 26 May 2020 analysing global use of emergency powers in response to COVID-19 it was reported at that time that 80 per cent of the global population was affected in some way by emergency and executive action taken in response to COVID-19.  </w:t>
      </w:r>
      <w:r w:rsidR="00CB7237">
        <w:t xml:space="preserve">   </w:t>
      </w:r>
    </w:p>
    <w:bookmarkEnd w:id="76"/>
    <w:p w14:paraId="3565CE0C" w14:textId="45154756" w:rsidR="000E4651" w:rsidRDefault="000E4651" w:rsidP="005D0C52">
      <w:pPr>
        <w:pStyle w:val="BodyText1"/>
      </w:pPr>
      <w:r w:rsidRPr="000E4651">
        <w:t xml:space="preserve">It is useful to consider the measures the Bill is seeking to enact against the </w:t>
      </w:r>
      <w:bookmarkStart w:id="79" w:name="_Hlk61346248"/>
      <w:r w:rsidRPr="000E4651">
        <w:t xml:space="preserve">UK Hansard Society’s Principles to guide </w:t>
      </w:r>
      <w:r w:rsidR="00396837">
        <w:t xml:space="preserve">the UK </w:t>
      </w:r>
      <w:r w:rsidRPr="000E4651">
        <w:t>Parliament’s response to the pandemic</w:t>
      </w:r>
      <w:bookmarkEnd w:id="79"/>
      <w:r w:rsidRPr="000E4651">
        <w:t>.</w:t>
      </w:r>
      <w:r w:rsidR="007640AE">
        <w:t xml:space="preserve">  </w:t>
      </w:r>
      <w:r w:rsidRPr="000E4651">
        <w:t>In a contribution jointly authored during April 2020 with Professor Meg Russell of the Constitution Unit at U</w:t>
      </w:r>
      <w:r w:rsidR="007640AE">
        <w:t xml:space="preserve">niversity </w:t>
      </w:r>
      <w:r w:rsidRPr="000E4651">
        <w:t>C</w:t>
      </w:r>
      <w:r w:rsidR="007640AE">
        <w:t xml:space="preserve">ollege </w:t>
      </w:r>
      <w:r w:rsidRPr="000E4651">
        <w:t>L</w:t>
      </w:r>
      <w:r w:rsidR="007640AE">
        <w:t>ondon</w:t>
      </w:r>
      <w:r w:rsidRPr="000E4651">
        <w:t>, the UK Hansard Society set</w:t>
      </w:r>
      <w:r w:rsidR="007640AE">
        <w:t>s</w:t>
      </w:r>
      <w:r w:rsidRPr="000E4651">
        <w:t xml:space="preserve"> out principles that should govern the UK House of Commons’ decisions on arrangements for the pandemic.  </w:t>
      </w:r>
    </w:p>
    <w:p w14:paraId="3C8E940A" w14:textId="2B90D767" w:rsidR="000E4651" w:rsidRDefault="000E4651" w:rsidP="00BB54D4">
      <w:pPr>
        <w:pStyle w:val="BodyText1"/>
        <w:keepLines/>
        <w:widowControl w:val="0"/>
      </w:pPr>
      <w:r w:rsidRPr="000E4651">
        <w:t>These principles include:</w:t>
      </w:r>
    </w:p>
    <w:p w14:paraId="208AF0E8" w14:textId="21C973D1" w:rsidR="000E4651" w:rsidRDefault="000E4651" w:rsidP="00BB54D4">
      <w:pPr>
        <w:pStyle w:val="ListBullet2"/>
        <w:keepLines/>
        <w:widowControl w:val="0"/>
        <w:numPr>
          <w:ilvl w:val="0"/>
          <w:numId w:val="32"/>
        </w:numPr>
      </w:pPr>
      <w:r>
        <w:t>‘crisis arrangements should be based on wide and transparent consultation with Members to maximise support’;</w:t>
      </w:r>
    </w:p>
    <w:p w14:paraId="0D48A55D" w14:textId="637A7065" w:rsidR="000E4651" w:rsidRDefault="000E4651" w:rsidP="00BB54D4">
      <w:pPr>
        <w:pStyle w:val="ListBullet2"/>
        <w:keepLines/>
        <w:widowControl w:val="0"/>
        <w:numPr>
          <w:ilvl w:val="0"/>
          <w:numId w:val="32"/>
        </w:numPr>
      </w:pPr>
      <w:r>
        <w:t>they should be sunsetted ‘to make clear that they are temporary and create no automatic precedent for the post-crisis era’;</w:t>
      </w:r>
    </w:p>
    <w:p w14:paraId="36FC934A" w14:textId="3079477C" w:rsidR="000E4651" w:rsidRDefault="000E4651" w:rsidP="00BB54D4">
      <w:pPr>
        <w:pStyle w:val="ListBullet2"/>
        <w:keepLines/>
        <w:widowControl w:val="0"/>
        <w:numPr>
          <w:ilvl w:val="0"/>
          <w:numId w:val="32"/>
        </w:numPr>
      </w:pPr>
      <w:r>
        <w:lastRenderedPageBreak/>
        <w:t>they ‘must ensure fair representation for all Members and parties’;</w:t>
      </w:r>
    </w:p>
    <w:p w14:paraId="12AB41B2" w14:textId="6CF02D5D" w:rsidR="000E4651" w:rsidRDefault="000E4651" w:rsidP="00BB54D4">
      <w:pPr>
        <w:pStyle w:val="ListBullet2"/>
        <w:keepLines/>
        <w:widowControl w:val="0"/>
        <w:numPr>
          <w:ilvl w:val="0"/>
          <w:numId w:val="32"/>
        </w:numPr>
      </w:pPr>
      <w:r>
        <w:t>‘the crisis and Parliament’s response to it should not become a pretext to shift power further towards the executive and party managers’; and</w:t>
      </w:r>
    </w:p>
    <w:p w14:paraId="508E2985" w14:textId="18CD6D66" w:rsidR="000E4651" w:rsidRDefault="000E4651" w:rsidP="00BB54D4">
      <w:pPr>
        <w:pStyle w:val="ListBullet2"/>
        <w:keepLines/>
        <w:widowControl w:val="0"/>
        <w:numPr>
          <w:ilvl w:val="0"/>
          <w:numId w:val="32"/>
        </w:numPr>
      </w:pPr>
      <w:r>
        <w:t>‘these principles should continue to guide the House’s decisions as it considers its future arrangements’.</w:t>
      </w:r>
      <w:r>
        <w:rPr>
          <w:rStyle w:val="FootnoteReference"/>
        </w:rPr>
        <w:footnoteReference w:id="20"/>
      </w:r>
    </w:p>
    <w:p w14:paraId="1D0CD0E7" w14:textId="3B7FA54D" w:rsidR="003A1E9B" w:rsidRDefault="00F174BB" w:rsidP="00396837">
      <w:pPr>
        <w:pStyle w:val="BodyText1"/>
      </w:pPr>
      <w:r>
        <w:t xml:space="preserve">The </w:t>
      </w:r>
      <w:r w:rsidRPr="00F174BB">
        <w:t xml:space="preserve">UK Hansard Society’s Principles </w:t>
      </w:r>
      <w:r>
        <w:t xml:space="preserve">identify best practice </w:t>
      </w:r>
      <w:r w:rsidR="00E41EA2">
        <w:t>in the</w:t>
      </w:r>
      <w:r>
        <w:t xml:space="preserve"> use of emergency measures—namely, th</w:t>
      </w:r>
      <w:r w:rsidR="003A1E9B">
        <w:t>e universal principles that:</w:t>
      </w:r>
    </w:p>
    <w:p w14:paraId="1BEAAC63" w14:textId="2B8939B1" w:rsidR="00396837" w:rsidRDefault="003A1E9B" w:rsidP="003A1E9B">
      <w:pPr>
        <w:pStyle w:val="Quote"/>
      </w:pPr>
      <w:r>
        <w:t>…</w:t>
      </w:r>
      <w:r w:rsidRPr="003A1E9B">
        <w:t>delegation of power must be time-limited, and clear as to legitimate scope for its use. The use of power must be legally prescribed and proportionate to that legitimate aim. There must be meaningful oversight by an independent body, as well as the possibility for review for those subject to the law.</w:t>
      </w:r>
      <w:r>
        <w:rPr>
          <w:rStyle w:val="FootnoteReference"/>
        </w:rPr>
        <w:footnoteReference w:id="21"/>
      </w:r>
    </w:p>
    <w:p w14:paraId="223AEC2F" w14:textId="61A0B031" w:rsidR="007640AE" w:rsidRDefault="007640AE" w:rsidP="007640AE">
      <w:pPr>
        <w:pStyle w:val="Headinglevel4"/>
      </w:pPr>
      <w:r>
        <w:t>Committee comment</w:t>
      </w:r>
    </w:p>
    <w:p w14:paraId="33C06014" w14:textId="55C8E6C5" w:rsidR="00BC3E4E" w:rsidRDefault="00BC3E4E" w:rsidP="007640AE">
      <w:pPr>
        <w:pStyle w:val="BodyText1"/>
      </w:pPr>
      <w:r>
        <w:t>The Committee acknowledges that due to the urgency of action</w:t>
      </w:r>
      <w:r w:rsidRPr="00BC3E4E">
        <w:t xml:space="preserve"> </w:t>
      </w:r>
      <w:r>
        <w:t xml:space="preserve">needed </w:t>
      </w:r>
      <w:r w:rsidRPr="00BC3E4E">
        <w:t>to respond to exceptional or emergency circumstances</w:t>
      </w:r>
      <w:r>
        <w:t>—such as in the case of the COVID-19 pandemic</w:t>
      </w:r>
      <w:r w:rsidR="00156076" w:rsidRPr="00ED68F6">
        <w:t>—</w:t>
      </w:r>
      <w:r>
        <w:t xml:space="preserve"> </w:t>
      </w:r>
      <w:r w:rsidR="003A1E9B">
        <w:t xml:space="preserve">executive action and emergency </w:t>
      </w:r>
      <w:r>
        <w:t>measures do not undergo the same level of scrutiny or stages of approval that would be the default outside of such circumstances.  Notwithstanding, this does not imply, or should not give rise to, emergency measures that are without limits or conditions.</w:t>
      </w:r>
    </w:p>
    <w:p w14:paraId="569D7E20" w14:textId="26B0287F" w:rsidR="00F174BB" w:rsidRDefault="00BC3E4E" w:rsidP="007640AE">
      <w:pPr>
        <w:pStyle w:val="BodyText1"/>
      </w:pPr>
      <w:r>
        <w:t xml:space="preserve">The Committee notes that </w:t>
      </w:r>
      <w:r w:rsidR="00F174BB">
        <w:t xml:space="preserve">there are circumstances where emergency measures are necessary and essential.  Where such measures are enacted they should be </w:t>
      </w:r>
      <w:r>
        <w:t>underpinned by universal principles—</w:t>
      </w:r>
      <w:r w:rsidR="00F174BB">
        <w:t>namely, that they</w:t>
      </w:r>
      <w:r w:rsidR="00FC4095">
        <w:t xml:space="preserve"> must conform</w:t>
      </w:r>
      <w:r w:rsidR="00F174BB">
        <w:t>:</w:t>
      </w:r>
    </w:p>
    <w:p w14:paraId="6C942D8D" w14:textId="5D0FA84E" w:rsidR="007640AE" w:rsidRDefault="00F174BB" w:rsidP="00F174BB">
      <w:pPr>
        <w:pStyle w:val="Quote"/>
      </w:pPr>
      <w:r>
        <w:t>…</w:t>
      </w:r>
      <w:r w:rsidRPr="00F174BB">
        <w:t xml:space="preserve"> in so far as possible in the first instance to the principles of legality, legal certainty, clarity, and transparency; or be corrected to align to these principles as soon as practicable.</w:t>
      </w:r>
      <w:r>
        <w:rPr>
          <w:rStyle w:val="FootnoteReference"/>
        </w:rPr>
        <w:footnoteReference w:id="22"/>
      </w:r>
    </w:p>
    <w:p w14:paraId="2E2EB474" w14:textId="2295B05E" w:rsidR="003A1E9B" w:rsidRDefault="003A1E9B" w:rsidP="003A1E9B">
      <w:pPr>
        <w:pStyle w:val="BodyText1"/>
      </w:pPr>
      <w:r>
        <w:t xml:space="preserve">The Committee points out that </w:t>
      </w:r>
      <w:bookmarkStart w:id="81" w:name="_Hlk62133461"/>
      <w:r>
        <w:t>after the COVID-19 pandemic crisis has passed</w:t>
      </w:r>
      <w:r w:rsidR="00A766D5">
        <w:t xml:space="preserve"> and jurisdictions are exiting states of emergency</w:t>
      </w:r>
      <w:r>
        <w:t>,</w:t>
      </w:r>
      <w:bookmarkEnd w:id="81"/>
      <w:r>
        <w:t xml:space="preserve"> there will be an opportunity </w:t>
      </w:r>
      <w:bookmarkStart w:id="82" w:name="_Hlk62133679"/>
      <w:r>
        <w:t xml:space="preserve">to examine and review the emergency measures that were enacted in the ACT.  The Committee is of the view that there would be merit in examining further any lessons that can be learned </w:t>
      </w:r>
      <w:r w:rsidR="00A766D5">
        <w:t xml:space="preserve">concerning the emergency frameworks enacted during this time.  </w:t>
      </w:r>
      <w:bookmarkEnd w:id="82"/>
      <w:r w:rsidR="00A766D5">
        <w:t xml:space="preserve">This should not be limited to the ACT but should also include emerging evidence of good practice from across the globe.  </w:t>
      </w:r>
      <w:r>
        <w:t xml:space="preserve">   </w:t>
      </w:r>
    </w:p>
    <w:p w14:paraId="639BD75E" w14:textId="54314308" w:rsidR="00A766D5" w:rsidRDefault="00A766D5" w:rsidP="00A766D5">
      <w:pPr>
        <w:pStyle w:val="Recommendation"/>
      </w:pPr>
      <w:bookmarkStart w:id="83" w:name="_Toc63076453"/>
      <w:bookmarkEnd w:id="83"/>
    </w:p>
    <w:p w14:paraId="00E55BF5" w14:textId="0E83B758" w:rsidR="00A766D5" w:rsidRPr="007C6BEB" w:rsidRDefault="007C6BEB" w:rsidP="00B50F67">
      <w:pPr>
        <w:pStyle w:val="RecommendationText"/>
      </w:pPr>
      <w:bookmarkStart w:id="84" w:name="_Toc63076454"/>
      <w:r>
        <w:t>The Committee recommends</w:t>
      </w:r>
      <w:r w:rsidR="00FA0779">
        <w:t xml:space="preserve"> (</w:t>
      </w:r>
      <w:r>
        <w:t xml:space="preserve">to the extent that work is not already </w:t>
      </w:r>
      <w:r w:rsidR="00FA0779">
        <w:t>taking place)</w:t>
      </w:r>
      <w:r w:rsidRPr="007C6BEB">
        <w:t xml:space="preserve"> </w:t>
      </w:r>
      <w:r>
        <w:t>after the COVID-19 pandemic crisis has passed and the ACT</w:t>
      </w:r>
      <w:r w:rsidR="004521F4">
        <w:t xml:space="preserve"> has </w:t>
      </w:r>
      <w:r>
        <w:t>exi</w:t>
      </w:r>
      <w:r w:rsidR="004521F4">
        <w:t xml:space="preserve">ted </w:t>
      </w:r>
      <w:r>
        <w:t>from its state of emergency,</w:t>
      </w:r>
      <w:r w:rsidR="00F76363">
        <w:t xml:space="preserve"> </w:t>
      </w:r>
      <w:r>
        <w:t xml:space="preserve">the ACT Government </w:t>
      </w:r>
      <w:r w:rsidR="004521F4">
        <w:t>give consideration to examining and reviewing the emergency measures that were enacted.  This should not be limited to the ACT but should also include emerging evidence of good practice from across Australia and the globe.</w:t>
      </w:r>
      <w:bookmarkEnd w:id="84"/>
      <w:r w:rsidR="004521F4">
        <w:t xml:space="preserve"> </w:t>
      </w:r>
    </w:p>
    <w:p w14:paraId="7298492C" w14:textId="66348B4F" w:rsidR="000E4651" w:rsidRDefault="000E4651" w:rsidP="000E4651">
      <w:pPr>
        <w:pStyle w:val="Headinglevel2"/>
      </w:pPr>
      <w:bookmarkStart w:id="85" w:name="_Toc62740041"/>
      <w:r>
        <w:t>Measures the Bill seeks to enact</w:t>
      </w:r>
      <w:bookmarkEnd w:id="85"/>
    </w:p>
    <w:p w14:paraId="3B7E6C4C" w14:textId="7FAAE976" w:rsidR="000E4651" w:rsidRDefault="000E4651" w:rsidP="005D0C52">
      <w:pPr>
        <w:pStyle w:val="BodyText1"/>
      </w:pPr>
      <w:r w:rsidRPr="000E4651">
        <w:t xml:space="preserve">Taking the </w:t>
      </w:r>
      <w:r w:rsidR="003800A5" w:rsidRPr="000E4651">
        <w:t>measures</w:t>
      </w:r>
      <w:r w:rsidR="00636F1E">
        <w:t xml:space="preserve"> that</w:t>
      </w:r>
      <w:r w:rsidRPr="000E4651">
        <w:t xml:space="preserve"> the Bill seeks to either extend, repeal and/or revise together with </w:t>
      </w:r>
      <w:r w:rsidR="00636F1E">
        <w:t xml:space="preserve">the </w:t>
      </w:r>
      <w:r w:rsidRPr="000E4651">
        <w:t>consultation processes on the draft Bill—they broadly comply with the UK Hansard Society’s Principles to guide Parliament’s response to the pandemic.  The measures are sunsetted, in preparing and drafting the Bill—ACT Government Directorates and justice statutory office holders have been consulted in relation to the suitability to extend or amend measures within</w:t>
      </w:r>
      <w:r>
        <w:t xml:space="preserve"> </w:t>
      </w:r>
      <w:r w:rsidRPr="000E4651">
        <w:t xml:space="preserve">their operational areas.  The ACT Bar Association and ACT Law Society were also consulted on the draft Bill.  The Bill has also been referred to </w:t>
      </w:r>
      <w:r w:rsidR="0000250A">
        <w:t xml:space="preserve">two </w:t>
      </w:r>
      <w:r w:rsidRPr="000E4651">
        <w:t xml:space="preserve">Assembly committee for consideration.  </w:t>
      </w:r>
    </w:p>
    <w:p w14:paraId="58BBD0E3" w14:textId="0D3477D0" w:rsidR="007640AE" w:rsidRDefault="007640AE" w:rsidP="007640AE">
      <w:pPr>
        <w:pStyle w:val="Headinglevel4"/>
      </w:pPr>
      <w:r>
        <w:t>Committee comment</w:t>
      </w:r>
    </w:p>
    <w:p w14:paraId="2A1E6E37" w14:textId="70767ABD" w:rsidR="00A107AA" w:rsidRDefault="00A107AA" w:rsidP="00A107AA">
      <w:pPr>
        <w:pStyle w:val="BodyText1"/>
      </w:pPr>
      <w:bookmarkStart w:id="86" w:name="_Hlk61350293"/>
      <w:r>
        <w:t xml:space="preserve">The Committee is of the view that the </w:t>
      </w:r>
      <w:r w:rsidRPr="000E4651">
        <w:t xml:space="preserve">measures the Bill seeks to either extend, repeal and/or revise together with consultation processes </w:t>
      </w:r>
      <w:r>
        <w:t>used during drafting</w:t>
      </w:r>
      <w:r w:rsidRPr="000E4651">
        <w:t xml:space="preserve">—broadly comply with the UK Hansard Society’s Principles to guide Parliament’s response to the pandemic.  The measures are </w:t>
      </w:r>
      <w:r w:rsidR="00AB2965">
        <w:t>time-limited</w:t>
      </w:r>
      <w:r w:rsidRPr="000E4651">
        <w:t>, in preparing and drafting the Bill</w:t>
      </w:r>
      <w:r w:rsidR="0000250A">
        <w:t xml:space="preserve">, the Committee notes that </w:t>
      </w:r>
      <w:r w:rsidRPr="000E4651">
        <w:t xml:space="preserve">ACT Government Directorates and justice statutory office holders </w:t>
      </w:r>
      <w:r>
        <w:t xml:space="preserve">were </w:t>
      </w:r>
      <w:r w:rsidRPr="000E4651">
        <w:t>consulted in relation to the suitability to extend or amend measures within</w:t>
      </w:r>
      <w:r>
        <w:t xml:space="preserve"> </w:t>
      </w:r>
      <w:r w:rsidRPr="000E4651">
        <w:t xml:space="preserve">their operational areas.  The </w:t>
      </w:r>
      <w:r w:rsidR="0000250A">
        <w:t xml:space="preserve">Committee also notes that the </w:t>
      </w:r>
      <w:r w:rsidRPr="000E4651">
        <w:t>ACT Bar Association and ACT Law Society were also consulted</w:t>
      </w:r>
      <w:bookmarkEnd w:id="86"/>
      <w:r w:rsidRPr="000E4651">
        <w:t xml:space="preserve">. </w:t>
      </w:r>
    </w:p>
    <w:p w14:paraId="657B59CE" w14:textId="6CD9BC87" w:rsidR="00A107AA" w:rsidRDefault="00A107AA" w:rsidP="000866E5">
      <w:pPr>
        <w:pStyle w:val="BodyText1"/>
        <w:widowControl w:val="0"/>
      </w:pPr>
      <w:r>
        <w:t>Further, t</w:t>
      </w:r>
      <w:r w:rsidRPr="000E4651">
        <w:t xml:space="preserve">he Bill has also been referred to </w:t>
      </w:r>
      <w:r w:rsidR="00317D64">
        <w:t xml:space="preserve">two </w:t>
      </w:r>
      <w:r w:rsidRPr="000E4651">
        <w:t>Assembly committee</w:t>
      </w:r>
      <w:r w:rsidR="00317D64">
        <w:t>s</w:t>
      </w:r>
      <w:r w:rsidRPr="000E4651">
        <w:t xml:space="preserve"> for consideration.</w:t>
      </w:r>
      <w:r w:rsidR="00317D64">
        <w:t xml:space="preserve">  The Justice and Community Safety Committee performing a legislative scrutiny role (the Scrutiny of Bills Committee) is required to: (i) consider clauses of bills introduced into the Assembly for compliance against a number of technical</w:t>
      </w:r>
      <w:r w:rsidR="00636F1E">
        <w:t xml:space="preserve"> parameters</w:t>
      </w:r>
      <w:r w:rsidR="00DD7483">
        <w:rPr>
          <w:rStyle w:val="FootnoteReference"/>
        </w:rPr>
        <w:footnoteReference w:id="23"/>
      </w:r>
      <w:r w:rsidR="00317D64">
        <w:t xml:space="preserve"> ; (ii) report on human rights issues raised by bills presented to the Assembly pursuant to section 38 of the </w:t>
      </w:r>
      <w:r w:rsidR="00317D64" w:rsidRPr="00317D64">
        <w:rPr>
          <w:i/>
          <w:iCs/>
        </w:rPr>
        <w:t xml:space="preserve">Human Rights Act </w:t>
      </w:r>
      <w:r w:rsidR="00317D64" w:rsidRPr="00B66AA9">
        <w:rPr>
          <w:i/>
          <w:iCs/>
        </w:rPr>
        <w:lastRenderedPageBreak/>
        <w:t>2004</w:t>
      </w:r>
      <w:r w:rsidR="00317D64" w:rsidRPr="00A766D5">
        <w:t>; (iii) consider whether any instrument of a legislative nature made under an Act which is subject to disallowance and/or disapproval by the Assembly (including a regulation,</w:t>
      </w:r>
      <w:r w:rsidR="00317D64" w:rsidRPr="00317D64">
        <w:t xml:space="preserve"> rule or by-law)</w:t>
      </w:r>
      <w:r w:rsidR="00317D64">
        <w:t xml:space="preserve"> complies with a number of technical</w:t>
      </w:r>
      <w:r w:rsidR="00D578CA">
        <w:t xml:space="preserve"> parameters</w:t>
      </w:r>
      <w:r w:rsidR="00DD7483">
        <w:rPr>
          <w:rStyle w:val="FootnoteReference"/>
        </w:rPr>
        <w:footnoteReference w:id="24"/>
      </w:r>
      <w:r w:rsidR="00D578CA">
        <w:t>; and (iv) c</w:t>
      </w:r>
      <w:r w:rsidR="00D578CA" w:rsidRPr="00D578CA">
        <w:t>onsider whether any explanatory statement or explanatory memorandum associated with legislation and any regulatory impact statement meets the technical or stylistic standards expected by the Assembly</w:t>
      </w:r>
      <w:r w:rsidR="00317D64">
        <w:t xml:space="preserve">.    </w:t>
      </w:r>
    </w:p>
    <w:p w14:paraId="40FF2493" w14:textId="7A26B538" w:rsidR="005315C1" w:rsidRDefault="00D10C2A" w:rsidP="000A29BB">
      <w:pPr>
        <w:pStyle w:val="BodyText1"/>
      </w:pPr>
      <w:r w:rsidRPr="000A29BB">
        <w:t>The Committee notes that given the timeframe</w:t>
      </w:r>
      <w:r w:rsidRPr="000A29BB">
        <w:rPr>
          <w:rStyle w:val="FootnoteReference"/>
        </w:rPr>
        <w:footnoteReference w:id="25"/>
      </w:r>
      <w:r w:rsidRPr="000A29BB">
        <w:rPr>
          <w:vertAlign w:val="superscript"/>
        </w:rPr>
        <w:t xml:space="preserve"> </w:t>
      </w:r>
      <w:r w:rsidRPr="000A29BB">
        <w:t>specified for bill inquiries to Assembly standing committees</w:t>
      </w:r>
      <w:r w:rsidRPr="000A29BB">
        <w:rPr>
          <w:rStyle w:val="FootnoteReference"/>
        </w:rPr>
        <w:footnoteReference w:id="26"/>
      </w:r>
      <w:r w:rsidRPr="000A29BB">
        <w:t xml:space="preserve">, </w:t>
      </w:r>
      <w:r w:rsidR="009D37A3">
        <w:t xml:space="preserve">at the time of considering its report, </w:t>
      </w:r>
      <w:r w:rsidRPr="000A29BB">
        <w:t>the Scrutiny of Bills Committee</w:t>
      </w:r>
      <w:r w:rsidR="005315C1" w:rsidRPr="000A29BB">
        <w:rPr>
          <w:rStyle w:val="FootnoteReference"/>
        </w:rPr>
        <w:footnoteReference w:id="27"/>
      </w:r>
      <w:r w:rsidRPr="000A29BB">
        <w:t xml:space="preserve"> </w:t>
      </w:r>
      <w:r w:rsidR="009D37A3">
        <w:t>had not</w:t>
      </w:r>
      <w:r w:rsidRPr="000A29BB">
        <w:t xml:space="preserve"> report</w:t>
      </w:r>
      <w:r w:rsidR="009D37A3">
        <w:t>ed</w:t>
      </w:r>
      <w:r w:rsidR="0000250A" w:rsidRPr="000A29BB">
        <w:t xml:space="preserve"> on its examination of the Bill</w:t>
      </w:r>
      <w:r w:rsidRPr="000A29BB">
        <w:t xml:space="preserve">.    </w:t>
      </w:r>
      <w:r w:rsidR="00B66AA9" w:rsidRPr="000A29BB">
        <w:t>T</w:t>
      </w:r>
      <w:r w:rsidRPr="000A29BB">
        <w:t xml:space="preserve">he Committee </w:t>
      </w:r>
      <w:r w:rsidR="00B66AA9" w:rsidRPr="000A29BB">
        <w:t xml:space="preserve">acknowledges </w:t>
      </w:r>
      <w:r w:rsidRPr="000A29BB">
        <w:t>that each committee to which the Bill has been referred ha</w:t>
      </w:r>
      <w:r w:rsidR="00B66AA9" w:rsidRPr="000A29BB">
        <w:t>s a</w:t>
      </w:r>
      <w:r w:rsidRPr="000A29BB">
        <w:t xml:space="preserve"> distinctive </w:t>
      </w:r>
      <w:r w:rsidR="00EF4B2B">
        <w:t xml:space="preserve">legislative </w:t>
      </w:r>
      <w:r w:rsidR="00B66AA9" w:rsidRPr="000A29BB">
        <w:t xml:space="preserve">oversight </w:t>
      </w:r>
      <w:r w:rsidRPr="000A29BB">
        <w:t>role</w:t>
      </w:r>
      <w:r w:rsidR="00B66AA9" w:rsidRPr="000A29BB">
        <w:t xml:space="preserve">.  The </w:t>
      </w:r>
      <w:r w:rsidR="00A423AC" w:rsidRPr="000A29BB">
        <w:t>current timeframe</w:t>
      </w:r>
      <w:r w:rsidR="00EF4B2B">
        <w:rPr>
          <w:rStyle w:val="FootnoteReference"/>
        </w:rPr>
        <w:footnoteReference w:id="28"/>
      </w:r>
      <w:r w:rsidR="00A423AC" w:rsidRPr="000A29BB">
        <w:t xml:space="preserve"> d</w:t>
      </w:r>
      <w:r w:rsidR="00C25E20" w:rsidRPr="000A29BB">
        <w:t xml:space="preserve">id </w:t>
      </w:r>
      <w:r w:rsidR="00A423AC" w:rsidRPr="000A29BB">
        <w:t>not p</w:t>
      </w:r>
      <w:r w:rsidR="0000250A" w:rsidRPr="000A29BB">
        <w:t>e</w:t>
      </w:r>
      <w:r w:rsidR="00A423AC" w:rsidRPr="000A29BB">
        <w:t>r</w:t>
      </w:r>
      <w:r w:rsidR="0000250A" w:rsidRPr="000A29BB">
        <w:t xml:space="preserve">mit </w:t>
      </w:r>
      <w:r w:rsidR="00C25E20" w:rsidRPr="000A29BB">
        <w:t>the Committee</w:t>
      </w:r>
      <w:r w:rsidR="00A423AC" w:rsidRPr="000A29BB">
        <w:t xml:space="preserve"> to have the benefit of considering a focused examination of the Bill against a set of specific accountability standards</w:t>
      </w:r>
      <w:r w:rsidR="005315C1" w:rsidRPr="000A29BB">
        <w:rPr>
          <w:rStyle w:val="FootnoteReference"/>
        </w:rPr>
        <w:footnoteReference w:id="29"/>
      </w:r>
      <w:r w:rsidR="0000250A" w:rsidRPr="000A29BB">
        <w:rPr>
          <w:vertAlign w:val="superscript"/>
        </w:rPr>
        <w:t xml:space="preserve"> </w:t>
      </w:r>
      <w:r w:rsidR="0000250A" w:rsidRPr="000A29BB">
        <w:t>as is provided by the Scrutiny of Bills</w:t>
      </w:r>
      <w:r w:rsidR="00A14BE3" w:rsidRPr="000A29BB">
        <w:t xml:space="preserve"> Committee</w:t>
      </w:r>
      <w:r w:rsidR="00A423AC" w:rsidRPr="000A29BB">
        <w:t>.</w:t>
      </w:r>
      <w:r w:rsidR="006D5284" w:rsidRPr="000A29BB">
        <w:t xml:space="preserve">  In the Committee’s view this information would have assisted it in its examination of the Bill.</w:t>
      </w:r>
    </w:p>
    <w:p w14:paraId="4724259E" w14:textId="390F8EEE" w:rsidR="00965267" w:rsidRPr="000A29BB" w:rsidRDefault="00965267" w:rsidP="000A29BB">
      <w:pPr>
        <w:pStyle w:val="BodyText1"/>
      </w:pPr>
      <w:r>
        <w:t xml:space="preserve">The </w:t>
      </w:r>
      <w:r w:rsidR="003A5B38">
        <w:t xml:space="preserve">Minister with responsibility for the Bill </w:t>
      </w:r>
      <w:r w:rsidR="00D578CA">
        <w:t xml:space="preserve">should note that the Committee </w:t>
      </w:r>
      <w:r w:rsidR="003A5B38">
        <w:t>was not in a position to consider the views of the Scrutiny of Bills Committee as part of its inquiry and report.</w:t>
      </w:r>
    </w:p>
    <w:p w14:paraId="33D41A4F" w14:textId="77777777" w:rsidR="005315C1" w:rsidRDefault="005315C1" w:rsidP="005315C1">
      <w:pPr>
        <w:pStyle w:val="Recommendation"/>
      </w:pPr>
      <w:bookmarkStart w:id="90" w:name="_Toc63076455"/>
      <w:bookmarkEnd w:id="90"/>
    </w:p>
    <w:p w14:paraId="29C30B2F" w14:textId="00F5748F" w:rsidR="000A29BB" w:rsidRPr="000A29BB" w:rsidRDefault="000A29BB" w:rsidP="006D5284">
      <w:pPr>
        <w:pStyle w:val="RecommendationText"/>
      </w:pPr>
      <w:bookmarkStart w:id="91" w:name="_Toc63076456"/>
      <w:bookmarkStart w:id="92" w:name="_Hlk61347549"/>
      <w:r>
        <w:t>The Committee</w:t>
      </w:r>
      <w:r w:rsidR="00FC0957">
        <w:t xml:space="preserve"> recommends that the ACT Legislative Assembly give consideration to amending </w:t>
      </w:r>
      <w:bookmarkStart w:id="93" w:name="_Hlk62142362"/>
      <w:r w:rsidR="00FC0957">
        <w:t>clause 5 of the Resolution of Establishment for general-purpose standing committees</w:t>
      </w:r>
      <w:bookmarkEnd w:id="93"/>
      <w:r w:rsidR="00FC0957">
        <w:t xml:space="preserve"> to provide a reporting timeframe</w:t>
      </w:r>
      <w:r w:rsidR="00A56225">
        <w:t xml:space="preserve"> that allows</w:t>
      </w:r>
      <w:r w:rsidR="00FA0779">
        <w:t xml:space="preserve"> </w:t>
      </w:r>
      <w:r w:rsidR="00FC0957">
        <w:t>for</w:t>
      </w:r>
      <w:r w:rsidR="00A56225">
        <w:t xml:space="preserve"> these committees to consider the views of the Scrutiny of Bills Committee where inquiries are undertaken into referred bills.</w:t>
      </w:r>
      <w:bookmarkEnd w:id="91"/>
      <w:r w:rsidR="00FC0957">
        <w:t xml:space="preserve">     </w:t>
      </w:r>
    </w:p>
    <w:p w14:paraId="529C190C" w14:textId="1930BE8F" w:rsidR="000E4651" w:rsidRDefault="000E4651" w:rsidP="000E4651">
      <w:pPr>
        <w:pStyle w:val="Headinglevel2"/>
      </w:pPr>
      <w:bookmarkStart w:id="94" w:name="_Toc62740042"/>
      <w:bookmarkEnd w:id="92"/>
      <w:r>
        <w:lastRenderedPageBreak/>
        <w:t>Reporting requirements to the Assembly</w:t>
      </w:r>
      <w:bookmarkEnd w:id="94"/>
    </w:p>
    <w:p w14:paraId="3A67B0C8" w14:textId="4DAE2B21" w:rsidR="0089372D" w:rsidRDefault="0089372D" w:rsidP="005D0C52">
      <w:pPr>
        <w:pStyle w:val="BodyText1"/>
      </w:pPr>
      <w:r w:rsidRPr="0089372D">
        <w:t xml:space="preserve">The Bill proposes two amendments to measures under the </w:t>
      </w:r>
      <w:bookmarkStart w:id="95" w:name="_Hlk62140954"/>
      <w:r w:rsidRPr="00C55F67">
        <w:rPr>
          <w:i/>
          <w:iCs/>
        </w:rPr>
        <w:t>COVID-19 Emergency Response Act</w:t>
      </w:r>
      <w:r w:rsidR="00636F1E" w:rsidRPr="00C55F67">
        <w:rPr>
          <w:i/>
          <w:iCs/>
        </w:rPr>
        <w:t xml:space="preserve"> 2020</w:t>
      </w:r>
      <w:r w:rsidRPr="0089372D">
        <w:t xml:space="preserve"> </w:t>
      </w:r>
      <w:bookmarkStart w:id="96" w:name="_Hlk62140842"/>
      <w:bookmarkEnd w:id="95"/>
      <w:r w:rsidRPr="0089372D">
        <w:t>to provide for scrutiny by the Assembly of the emergency response measures.  The first amendment proposes a change to the period for the reporting of the application of emergency response measures from one month to quarterly</w:t>
      </w:r>
      <w:bookmarkEnd w:id="96"/>
      <w:r w:rsidRPr="0089372D">
        <w:t>.</w:t>
      </w:r>
      <w:r>
        <w:t xml:space="preserve">  The second amendment proposes a change to </w:t>
      </w:r>
      <w:r w:rsidRPr="007F68CA">
        <w:t>presentation requirements for subordinate laws and disallowable instruments made under a COVID-19 emergency response measure</w:t>
      </w:r>
      <w:r>
        <w:t xml:space="preserve"> from </w:t>
      </w:r>
      <w:r w:rsidRPr="007F68CA">
        <w:t>within one sitting day after they are notified on the legislation register</w:t>
      </w:r>
      <w:r>
        <w:t xml:space="preserve"> to </w:t>
      </w:r>
      <w:r w:rsidRPr="007F68CA">
        <w:t>two sitting days after notification</w:t>
      </w:r>
      <w:r>
        <w:t xml:space="preserve">.  </w:t>
      </w:r>
    </w:p>
    <w:p w14:paraId="52062AA3" w14:textId="2DD8DB9E" w:rsidR="0089372D" w:rsidRDefault="0089372D" w:rsidP="0089372D">
      <w:pPr>
        <w:pStyle w:val="BodyText1"/>
      </w:pPr>
      <w:r>
        <w:t>S</w:t>
      </w:r>
      <w:r w:rsidRPr="00603085">
        <w:t xml:space="preserve">pecifically, the focus of the Committee’s </w:t>
      </w:r>
      <w:r>
        <w:t xml:space="preserve">decision to undertake an inquiry into the </w:t>
      </w:r>
      <w:r w:rsidRPr="00603085">
        <w:t xml:space="preserve">Bill </w:t>
      </w:r>
      <w:r>
        <w:t xml:space="preserve">concerned the </w:t>
      </w:r>
      <w:r w:rsidRPr="00603085">
        <w:t xml:space="preserve">proposed change </w:t>
      </w:r>
      <w:r>
        <w:t xml:space="preserve">to </w:t>
      </w:r>
      <w:r w:rsidRPr="00603085">
        <w:t>the</w:t>
      </w:r>
      <w:r>
        <w:t xml:space="preserve"> </w:t>
      </w:r>
      <w:r w:rsidRPr="00603085">
        <w:t xml:space="preserve">reporting requirements to the Assembly for COVID-19 measures made under the </w:t>
      </w:r>
      <w:r w:rsidRPr="00603085">
        <w:rPr>
          <w:i/>
          <w:iCs/>
        </w:rPr>
        <w:t>COVID-19 Emergency Response Act 2020</w:t>
      </w:r>
      <w:r w:rsidRPr="00603085">
        <w:t xml:space="preserve"> and the </w:t>
      </w:r>
      <w:r w:rsidRPr="00603085">
        <w:rPr>
          <w:i/>
          <w:iCs/>
        </w:rPr>
        <w:t>COVID-19 Emergency Response Legislation Amendment Act 2020</w:t>
      </w:r>
      <w:r w:rsidRPr="00603085">
        <w:t>, from monthly to quarterly.</w:t>
      </w:r>
      <w:r>
        <w:rPr>
          <w:rStyle w:val="FootnoteReference"/>
        </w:rPr>
        <w:footnoteReference w:id="30"/>
      </w:r>
      <w:r w:rsidRPr="00603085">
        <w:t xml:space="preserve">   </w:t>
      </w:r>
    </w:p>
    <w:p w14:paraId="7AAF67A9" w14:textId="7754141F" w:rsidR="000E4651" w:rsidRDefault="0089372D" w:rsidP="005D0C52">
      <w:pPr>
        <w:pStyle w:val="BodyText1"/>
      </w:pPr>
      <w:r>
        <w:t xml:space="preserve">The </w:t>
      </w:r>
      <w:r w:rsidR="000E4651" w:rsidRPr="000E4651">
        <w:t>Explanatory Statement notes that:</w:t>
      </w:r>
    </w:p>
    <w:p w14:paraId="404349EE" w14:textId="40779508" w:rsidR="004225B1" w:rsidRDefault="004225B1" w:rsidP="004225B1">
      <w:pPr>
        <w:pStyle w:val="Quote"/>
      </w:pPr>
      <w:r w:rsidRPr="004225B1">
        <w:t>This amendment supports continuing scrutiny by the Legislative Assembly of COVID-19 emergency response measures by changing the reporting frequency without affecting the substantive reporting requirement.</w:t>
      </w:r>
      <w:r w:rsidR="00B70E5D">
        <w:rPr>
          <w:rStyle w:val="FootnoteReference"/>
        </w:rPr>
        <w:footnoteReference w:id="31"/>
      </w:r>
    </w:p>
    <w:p w14:paraId="76332D39" w14:textId="6D211F9C" w:rsidR="0089372D" w:rsidRDefault="007B25BF" w:rsidP="0089372D">
      <w:pPr>
        <w:pStyle w:val="BodyText1"/>
      </w:pPr>
      <w:r>
        <w:t>T</w:t>
      </w:r>
      <w:r w:rsidR="0089372D">
        <w:t xml:space="preserve">he Chief Minister told the Assembly that amending ‘the reporting period so that reports </w:t>
      </w:r>
      <w:r w:rsidR="0089372D" w:rsidRPr="007F68CA">
        <w:t>will be made for each quarter that the declaration is in force</w:t>
      </w:r>
      <w:r w:rsidR="0089372D">
        <w:t>’</w:t>
      </w:r>
      <w:r w:rsidR="0089372D" w:rsidRPr="007F68CA">
        <w:t>, reflect</w:t>
      </w:r>
      <w:r w:rsidR="0089372D">
        <w:t>s:</w:t>
      </w:r>
    </w:p>
    <w:p w14:paraId="245AD06E" w14:textId="77777777" w:rsidR="0089372D" w:rsidRDefault="0089372D" w:rsidP="0089372D">
      <w:pPr>
        <w:pStyle w:val="Quote"/>
      </w:pPr>
      <w:r>
        <w:t>…</w:t>
      </w:r>
      <w:bookmarkStart w:id="98" w:name="_Hlk61348702"/>
      <w:r w:rsidRPr="007F68CA">
        <w:t xml:space="preserve">the practical reality of zero monthly reports most of the time so far. </w:t>
      </w:r>
      <w:bookmarkEnd w:id="98"/>
      <w:r w:rsidRPr="007F68CA">
        <w:t>Quarterly reports will of course ensure that the Assembly is able to continue to monitor trends over time and aligns with the length of time a public health emergency declaration may be extended by the Minister for Health under the Public Health Act 1997.</w:t>
      </w:r>
      <w:r>
        <w:rPr>
          <w:rStyle w:val="FootnoteReference"/>
        </w:rPr>
        <w:footnoteReference w:id="32"/>
      </w:r>
    </w:p>
    <w:p w14:paraId="7DFC4B68" w14:textId="7657E3CF" w:rsidR="00603085" w:rsidRDefault="00603085" w:rsidP="005D0C52">
      <w:pPr>
        <w:pStyle w:val="BodyText1"/>
      </w:pPr>
      <w:r w:rsidRPr="00603085">
        <w:t>The Committee wrote</w:t>
      </w:r>
      <w:r>
        <w:rPr>
          <w:rStyle w:val="FootnoteReference"/>
        </w:rPr>
        <w:footnoteReference w:id="33"/>
      </w:r>
      <w:r>
        <w:t xml:space="preserve"> </w:t>
      </w:r>
      <w:r w:rsidRPr="00603085">
        <w:t xml:space="preserve">to the Chief Minister asking </w:t>
      </w:r>
      <w:r w:rsidR="002B39DA">
        <w:t xml:space="preserve">for </w:t>
      </w:r>
      <w:r w:rsidRPr="00603085">
        <w:t>further information as to the rationale/basis for the proposed change in reporting frequency to the Assembly.</w:t>
      </w:r>
      <w:r w:rsidR="00CF704E">
        <w:t xml:space="preserve">  A copy of the Chief Minister’s response is at </w:t>
      </w:r>
      <w:r w:rsidR="00CF704E" w:rsidRPr="00CF704E">
        <w:rPr>
          <w:b/>
          <w:bCs/>
        </w:rPr>
        <w:t>Appendix A</w:t>
      </w:r>
      <w:r w:rsidR="00CF704E">
        <w:t>.</w:t>
      </w:r>
    </w:p>
    <w:p w14:paraId="74D8FB1F" w14:textId="5CD63CB9" w:rsidR="007640AE" w:rsidRDefault="007640AE" w:rsidP="005D0C52">
      <w:pPr>
        <w:pStyle w:val="BodyText1"/>
      </w:pPr>
      <w:r>
        <w:t>In response, the Chief Minister explained:</w:t>
      </w:r>
    </w:p>
    <w:p w14:paraId="449B4E1E" w14:textId="77777777" w:rsidR="002F0100" w:rsidRPr="002F0100" w:rsidRDefault="002F0100" w:rsidP="002F0100">
      <w:pPr>
        <w:pStyle w:val="Quote"/>
      </w:pPr>
      <w:r w:rsidRPr="002F0100">
        <w:t>Essentially, the proposed shift is intended to reduce the costs associated with monthly reporting, while preserving a good level of transparency for the Legislative Assembly.</w:t>
      </w:r>
    </w:p>
    <w:p w14:paraId="21E4668B" w14:textId="55BBB071" w:rsidR="002F0100" w:rsidRDefault="002F0100" w:rsidP="002F0100">
      <w:pPr>
        <w:pStyle w:val="Quote"/>
      </w:pPr>
      <w:r w:rsidRPr="002F0100">
        <w:lastRenderedPageBreak/>
        <w:t xml:space="preserve">Monthly reporting on the use of emergency response legislative </w:t>
      </w:r>
      <w:r>
        <w:t>measures was very apt last year—when the measures were new and the way in which they might be used was less clear.  However, the measures and their use are now more matur</w:t>
      </w:r>
      <w:r w:rsidR="00105490">
        <w:t>e</w:t>
      </w:r>
      <w:r>
        <w:t>.</w:t>
      </w:r>
      <w:r>
        <w:rPr>
          <w:rStyle w:val="FootnoteReference"/>
        </w:rPr>
        <w:footnoteReference w:id="34"/>
      </w:r>
      <w:r>
        <w:t xml:space="preserve"> </w:t>
      </w:r>
    </w:p>
    <w:p w14:paraId="055E69A2" w14:textId="22C8DC6D" w:rsidR="00CF704E" w:rsidRDefault="00CF704E" w:rsidP="002F0100">
      <w:pPr>
        <w:pStyle w:val="BodyText1"/>
      </w:pPr>
      <w:r>
        <w:t>As to recent monthly reporting, the Chief Minister advised the Committee:</w:t>
      </w:r>
    </w:p>
    <w:p w14:paraId="6419D754" w14:textId="77777777" w:rsidR="00444D36" w:rsidRDefault="00CF704E" w:rsidP="00CF704E">
      <w:pPr>
        <w:pStyle w:val="Quote"/>
      </w:pPr>
      <w:r>
        <w:t xml:space="preserve"> …as at 30 November 2020, 12 measures had not been used at all and that</w:t>
      </w:r>
      <w:r w:rsidR="000866E5">
        <w:t xml:space="preserve"> for the 1–30 November 2020 reporting period:</w:t>
      </w:r>
      <w:r>
        <w:t xml:space="preserve"> </w:t>
      </w:r>
    </w:p>
    <w:p w14:paraId="2F748D2B" w14:textId="3D8AD021" w:rsidR="00444D36" w:rsidRDefault="00444D36" w:rsidP="00444D36">
      <w:pPr>
        <w:pStyle w:val="Quote"/>
        <w:numPr>
          <w:ilvl w:val="0"/>
          <w:numId w:val="33"/>
        </w:numPr>
      </w:pPr>
      <w:r>
        <w:t xml:space="preserve">only 24 of the 55 reported measures were used; and </w:t>
      </w:r>
    </w:p>
    <w:p w14:paraId="51170689" w14:textId="5F4B6A6B" w:rsidR="002F0100" w:rsidRPr="002F0100" w:rsidRDefault="00444D36" w:rsidP="00444D36">
      <w:pPr>
        <w:pStyle w:val="Quote"/>
        <w:numPr>
          <w:ilvl w:val="0"/>
          <w:numId w:val="33"/>
        </w:numPr>
      </w:pPr>
      <w:r>
        <w:t>details of the use of seven measures could not be provided due to unavailability of data.</w:t>
      </w:r>
      <w:r>
        <w:rPr>
          <w:rStyle w:val="FootnoteReference"/>
        </w:rPr>
        <w:footnoteReference w:id="35"/>
      </w:r>
      <w:r>
        <w:t xml:space="preserve"> </w:t>
      </w:r>
      <w:r w:rsidR="00CF704E">
        <w:t xml:space="preserve"> </w:t>
      </w:r>
    </w:p>
    <w:p w14:paraId="0862E1C2" w14:textId="3EB75EF1" w:rsidR="007640AE" w:rsidRDefault="007640AE" w:rsidP="007640AE">
      <w:pPr>
        <w:pStyle w:val="Headinglevel4"/>
      </w:pPr>
      <w:r>
        <w:t>Committee comment</w:t>
      </w:r>
    </w:p>
    <w:p w14:paraId="4DDBEEA4" w14:textId="762BB141" w:rsidR="007640AE" w:rsidRDefault="001F6EE9" w:rsidP="005D0C52">
      <w:pPr>
        <w:pStyle w:val="BodyText1"/>
      </w:pPr>
      <w:r>
        <w:t>The Committee notes the Chief Minister’s advice</w:t>
      </w:r>
      <w:r w:rsidR="00BF6A90">
        <w:t xml:space="preserve"> that the proposed change in reporting frequency ‘is intended to reduce the costs associated with monthly reporting, while preserving a good level of transparency for the Legislative Assembly’.</w:t>
      </w:r>
      <w:r w:rsidR="00BF6A90">
        <w:rPr>
          <w:rStyle w:val="FootnoteReference"/>
        </w:rPr>
        <w:footnoteReference w:id="36"/>
      </w:r>
      <w:r w:rsidR="00BF6A90">
        <w:t xml:space="preserve">  The Committee also notes that </w:t>
      </w:r>
      <w:r w:rsidR="00B50F67">
        <w:t xml:space="preserve">monthly reporting as at 30 November 2020 indicated that ‘details of the use of </w:t>
      </w:r>
      <w:r w:rsidR="00BF6A90">
        <w:t>seven measures could not be</w:t>
      </w:r>
      <w:r w:rsidR="00B50F67">
        <w:t xml:space="preserve"> provided due to </w:t>
      </w:r>
      <w:r w:rsidR="00BF6A90">
        <w:t xml:space="preserve">the unavailability </w:t>
      </w:r>
      <w:r w:rsidR="00B50F67">
        <w:t>of data’.</w:t>
      </w:r>
      <w:r w:rsidR="00B50F67">
        <w:rPr>
          <w:rStyle w:val="FootnoteReference"/>
        </w:rPr>
        <w:footnoteReference w:id="37"/>
      </w:r>
      <w:r w:rsidR="00BF6A90">
        <w:t xml:space="preserve">     </w:t>
      </w:r>
    </w:p>
    <w:p w14:paraId="19475B35" w14:textId="17641410" w:rsidR="00B50F67" w:rsidRDefault="00B50F67" w:rsidP="005D0C52">
      <w:pPr>
        <w:pStyle w:val="BodyText1"/>
      </w:pPr>
      <w:r>
        <w:t xml:space="preserve">The Committee </w:t>
      </w:r>
      <w:r w:rsidR="00FA0779">
        <w:t>believes that</w:t>
      </w:r>
      <w:r w:rsidR="003E5D67">
        <w:t xml:space="preserve"> information as to</w:t>
      </w:r>
      <w:r w:rsidR="00916AF4">
        <w:t xml:space="preserve"> </w:t>
      </w:r>
      <w:r w:rsidR="003E5D67">
        <w:t xml:space="preserve">why </w:t>
      </w:r>
      <w:r w:rsidR="00406A57">
        <w:t>data are unavailable for the seven</w:t>
      </w:r>
      <w:r w:rsidR="009564F5">
        <w:t xml:space="preserve"> emergency response legislative</w:t>
      </w:r>
      <w:r w:rsidR="00406A57">
        <w:t xml:space="preserve"> measures for which details of their use could not be provided</w:t>
      </w:r>
      <w:r w:rsidR="003E5D67">
        <w:t>—</w:t>
      </w:r>
      <w:r w:rsidR="00ED68F6">
        <w:t xml:space="preserve">should </w:t>
      </w:r>
      <w:r w:rsidR="003E5D67">
        <w:t>be</w:t>
      </w:r>
      <w:r w:rsidR="00916AF4">
        <w:t xml:space="preserve"> made available</w:t>
      </w:r>
      <w:bookmarkStart w:id="103" w:name="_Hlk62139796"/>
      <w:r w:rsidR="00916AF4">
        <w:t xml:space="preserve"> </w:t>
      </w:r>
      <w:r w:rsidR="003E5D67">
        <w:t xml:space="preserve">prior to the Assembly </w:t>
      </w:r>
      <w:r w:rsidR="00FA0779">
        <w:t>proceeding to the next stage of its consideration of the Bill</w:t>
      </w:r>
      <w:r w:rsidR="003E5D67">
        <w:t>.</w:t>
      </w:r>
      <w:r>
        <w:t xml:space="preserve"> </w:t>
      </w:r>
    </w:p>
    <w:p w14:paraId="03EE351B" w14:textId="1EC145ED" w:rsidR="003E5D67" w:rsidRDefault="003E5D67" w:rsidP="003E5D67">
      <w:pPr>
        <w:pStyle w:val="Recommendation"/>
      </w:pPr>
      <w:bookmarkStart w:id="104" w:name="_Toc63076457"/>
      <w:bookmarkEnd w:id="103"/>
      <w:bookmarkEnd w:id="104"/>
    </w:p>
    <w:p w14:paraId="77A4510A" w14:textId="18237B38" w:rsidR="003E5D67" w:rsidRPr="003E5D67" w:rsidRDefault="003E5D67" w:rsidP="00DA5897">
      <w:pPr>
        <w:pStyle w:val="RecommendationText"/>
      </w:pPr>
      <w:bookmarkStart w:id="105" w:name="_Toc63076458"/>
      <w:r>
        <w:t>The Committee recommends that the ACT Government</w:t>
      </w:r>
      <w:r w:rsidR="00DA5897">
        <w:t xml:space="preserve"> </w:t>
      </w:r>
      <w:r w:rsidR="00916AF4">
        <w:t xml:space="preserve">update </w:t>
      </w:r>
      <w:r w:rsidR="005840F9">
        <w:t xml:space="preserve">the </w:t>
      </w:r>
      <w:r w:rsidR="00DA5897">
        <w:t>ACT Legislative Assembly [</w:t>
      </w:r>
      <w:r w:rsidR="00DA5897" w:rsidRPr="00DA5897">
        <w:t xml:space="preserve">prior to the Assembly proceeding to the next stage of its consideration of the </w:t>
      </w:r>
      <w:r w:rsidR="00DA5897">
        <w:t>COVID-19 Emergency Response Legislation Amendment Bill 2020 (No 3)]</w:t>
      </w:r>
      <w:r w:rsidR="009564F5">
        <w:t>—</w:t>
      </w:r>
      <w:r w:rsidR="00406A57">
        <w:t xml:space="preserve">why data are unavailable for the seven </w:t>
      </w:r>
      <w:r w:rsidR="009564F5">
        <w:t xml:space="preserve">emergency response legislative </w:t>
      </w:r>
      <w:r w:rsidR="00406A57">
        <w:t>measures for which details of their use could not be provided</w:t>
      </w:r>
      <w:r w:rsidR="00871C37">
        <w:t xml:space="preserve"> </w:t>
      </w:r>
      <w:r w:rsidR="009564F5">
        <w:t>(</w:t>
      </w:r>
      <w:r w:rsidR="00871C37">
        <w:t>as per</w:t>
      </w:r>
      <w:r w:rsidR="009564F5">
        <w:t xml:space="preserve"> </w:t>
      </w:r>
      <w:r w:rsidR="00871C37">
        <w:t>monthly report</w:t>
      </w:r>
      <w:r w:rsidR="009564F5">
        <w:t>ing</w:t>
      </w:r>
      <w:r w:rsidR="00871C37">
        <w:t xml:space="preserve"> at 30 November 2020</w:t>
      </w:r>
      <w:r w:rsidR="009564F5">
        <w:t>)</w:t>
      </w:r>
      <w:r w:rsidR="00DA5897">
        <w:t>.</w:t>
      </w:r>
      <w:bookmarkEnd w:id="105"/>
      <w:r w:rsidR="00DA5897">
        <w:t xml:space="preserve"> </w:t>
      </w:r>
    </w:p>
    <w:p w14:paraId="37D35D66" w14:textId="0CC2FF69" w:rsidR="001F6EE9" w:rsidRDefault="001F6EE9" w:rsidP="005D0C52">
      <w:pPr>
        <w:pStyle w:val="BodyText1"/>
      </w:pPr>
      <w:r>
        <w:t>The Committee acknowledges the considerable administrative burden placed on directorate officers where monthly reporting to the Assembly on matters is required—</w:t>
      </w:r>
      <w:r w:rsidR="002317CC">
        <w:t xml:space="preserve">especially </w:t>
      </w:r>
      <w:r>
        <w:t>in</w:t>
      </w:r>
      <w:r w:rsidR="002317CC">
        <w:t xml:space="preserve"> times </w:t>
      </w:r>
      <w:r w:rsidR="002317CC">
        <w:lastRenderedPageBreak/>
        <w:t>of</w:t>
      </w:r>
      <w:r>
        <w:t xml:space="preserve"> exceptional or emergency circumstances.</w:t>
      </w:r>
      <w:r w:rsidR="004D6DBF">
        <w:t xml:space="preserve">  </w:t>
      </w:r>
      <w:bookmarkStart w:id="106" w:name="_Hlk61350233"/>
      <w:r w:rsidR="004D6DBF">
        <w:t>The Committee</w:t>
      </w:r>
      <w:r w:rsidR="002317CC">
        <w:t>, however,</w:t>
      </w:r>
      <w:r w:rsidR="004D6DBF">
        <w:t xml:space="preserve"> considers that exceptional </w:t>
      </w:r>
      <w:r w:rsidR="009F38DD">
        <w:t xml:space="preserve">or emergency </w:t>
      </w:r>
      <w:r w:rsidR="004D6DBF">
        <w:t xml:space="preserve">circumstances support extraordinary scrutiny.  </w:t>
      </w:r>
      <w:bookmarkEnd w:id="106"/>
    </w:p>
    <w:p w14:paraId="376CF07C" w14:textId="77777777" w:rsidR="00B50F67" w:rsidRDefault="001F6EE9" w:rsidP="00617FD9">
      <w:pPr>
        <w:pStyle w:val="BodyText1"/>
      </w:pPr>
      <w:r>
        <w:t xml:space="preserve">The Committee also acknowledges </w:t>
      </w:r>
      <w:r w:rsidR="00A14BE3">
        <w:t>(</w:t>
      </w:r>
      <w:r>
        <w:t>to date</w:t>
      </w:r>
      <w:r w:rsidR="00A14BE3">
        <w:t>)</w:t>
      </w:r>
      <w:r>
        <w:t xml:space="preserve"> ‘</w:t>
      </w:r>
      <w:r w:rsidRPr="001F6EE9">
        <w:t>the practical reality of zero monthly reports most of the time so far</w:t>
      </w:r>
      <w:r>
        <w:t>’</w:t>
      </w:r>
      <w:r w:rsidRPr="001F6EE9">
        <w:t>.</w:t>
      </w:r>
      <w:r w:rsidR="004D6DBF">
        <w:rPr>
          <w:rStyle w:val="FootnoteReference"/>
        </w:rPr>
        <w:footnoteReference w:id="38"/>
      </w:r>
      <w:r>
        <w:t xml:space="preserve">  Notwithstanding, in the Committee’s view the limited number of monthly reports to date is a separate matter and does not </w:t>
      </w:r>
      <w:r w:rsidR="00AB2965">
        <w:t xml:space="preserve">provide the grounds for reducing capacity for legislative oversight.  Further, </w:t>
      </w:r>
      <w:r w:rsidR="00F12C2E">
        <w:t>t</w:t>
      </w:r>
      <w:r w:rsidR="00AB2965">
        <w:t xml:space="preserve">he Committee notes that </w:t>
      </w:r>
      <w:r w:rsidR="00F12C2E">
        <w:t>a</w:t>
      </w:r>
      <w:r w:rsidR="00AB2965">
        <w:t xml:space="preserve">side from </w:t>
      </w:r>
      <w:r w:rsidR="00AB2965" w:rsidRPr="000E4651">
        <w:t>two measures</w:t>
      </w:r>
      <w:r w:rsidR="00AB2965">
        <w:rPr>
          <w:rStyle w:val="FootnoteReference"/>
        </w:rPr>
        <w:footnoteReference w:id="39"/>
      </w:r>
      <w:r w:rsidR="00AB2965" w:rsidRPr="000E4651">
        <w:t xml:space="preserve"> </w:t>
      </w:r>
      <w:r w:rsidR="00F12C2E">
        <w:t xml:space="preserve">repealed under </w:t>
      </w:r>
      <w:r w:rsidR="00AB2965" w:rsidRPr="000E4651">
        <w:t>one Act</w:t>
      </w:r>
      <w:r w:rsidR="00F12C2E">
        <w:rPr>
          <w:rStyle w:val="FootnoteReference"/>
        </w:rPr>
        <w:footnoteReference w:id="40"/>
      </w:r>
      <w:r w:rsidR="004078C6">
        <w:t>, in the main</w:t>
      </w:r>
      <w:r w:rsidR="00A14BE3">
        <w:t>,</w:t>
      </w:r>
      <w:r w:rsidR="004078C6">
        <w:t xml:space="preserve"> the </w:t>
      </w:r>
      <w:r w:rsidR="00AB2965">
        <w:t>emergency measures</w:t>
      </w:r>
      <w:r w:rsidR="004078C6">
        <w:t xml:space="preserve"> adopted under </w:t>
      </w:r>
      <w:r w:rsidR="004078C6" w:rsidRPr="000E4651">
        <w:t xml:space="preserve">the </w:t>
      </w:r>
      <w:r w:rsidR="004078C6" w:rsidRPr="004078C6">
        <w:rPr>
          <w:i/>
          <w:iCs/>
        </w:rPr>
        <w:t>COVID-19 Emergency Response Act 2020</w:t>
      </w:r>
      <w:r w:rsidR="004078C6" w:rsidRPr="000E4651">
        <w:t xml:space="preserve"> and </w:t>
      </w:r>
      <w:r w:rsidR="004078C6" w:rsidRPr="004078C6">
        <w:rPr>
          <w:i/>
          <w:iCs/>
        </w:rPr>
        <w:t>COVID-19 Emergency Response Legislation Amendment Act 2020</w:t>
      </w:r>
      <w:r w:rsidR="004078C6" w:rsidRPr="004078C6">
        <w:t xml:space="preserve">, whilst time-limited, </w:t>
      </w:r>
      <w:r w:rsidR="004078C6">
        <w:t>continue</w:t>
      </w:r>
      <w:r w:rsidR="004078C6" w:rsidRPr="004078C6">
        <w:t>.</w:t>
      </w:r>
      <w:r w:rsidR="004078C6">
        <w:t xml:space="preserve">  I</w:t>
      </w:r>
      <w:r w:rsidR="00AB2965">
        <w:t>n proportionate terms</w:t>
      </w:r>
      <w:r w:rsidR="004078C6">
        <w:t xml:space="preserve">, </w:t>
      </w:r>
      <w:r w:rsidR="00AB2965">
        <w:t xml:space="preserve">monthly reporting on these measures should </w:t>
      </w:r>
      <w:r w:rsidR="00A14BE3">
        <w:t>continue</w:t>
      </w:r>
      <w:r w:rsidR="00AB2965">
        <w:t xml:space="preserve">.   </w:t>
      </w:r>
    </w:p>
    <w:p w14:paraId="74633CFB" w14:textId="1056E651" w:rsidR="001F6EE9" w:rsidRDefault="00B50F67" w:rsidP="00617FD9">
      <w:pPr>
        <w:pStyle w:val="BodyText1"/>
      </w:pPr>
      <w:r>
        <w:t xml:space="preserve">The Committee is </w:t>
      </w:r>
      <w:r w:rsidR="00876EA8">
        <w:t xml:space="preserve">also </w:t>
      </w:r>
      <w:r>
        <w:t>of the view</w:t>
      </w:r>
      <w:r w:rsidR="00DA5897">
        <w:t xml:space="preserve"> that it would be more meaningful if monthly reporting was continued.  This is informed by best practice principles regarding data collection, analysis and research—including: (i)</w:t>
      </w:r>
      <w:r w:rsidR="00876EA8">
        <w:t xml:space="preserve"> if reporting timeframes are changed—there is inconsistency in data collection time periods, and this creates problems for comparing data; </w:t>
      </w:r>
      <w:r w:rsidR="00406A57">
        <w:t xml:space="preserve">(ii) the more time points—the better the data; </w:t>
      </w:r>
      <w:r w:rsidR="00876EA8">
        <w:t>and (i</w:t>
      </w:r>
      <w:r w:rsidR="00406A57">
        <w:t>i</w:t>
      </w:r>
      <w:r w:rsidR="00876EA8">
        <w:t xml:space="preserve">i) at a minimum for interrogating data to identify trends—a data set comprising 12 months of data </w:t>
      </w:r>
      <w:r w:rsidR="00406A57">
        <w:t xml:space="preserve">for each measure </w:t>
      </w:r>
      <w:r w:rsidR="00876EA8">
        <w:t xml:space="preserve">is required.       </w:t>
      </w:r>
      <w:r w:rsidR="00DA5897">
        <w:t xml:space="preserve">     </w:t>
      </w:r>
      <w:r>
        <w:t xml:space="preserve">  </w:t>
      </w:r>
      <w:r w:rsidR="001F6EE9">
        <w:t xml:space="preserve">  </w:t>
      </w:r>
      <w:r w:rsidR="001F6EE9" w:rsidRPr="001F6EE9">
        <w:t xml:space="preserve"> </w:t>
      </w:r>
      <w:r w:rsidR="001F6EE9">
        <w:t xml:space="preserve"> </w:t>
      </w:r>
    </w:p>
    <w:p w14:paraId="071451BB" w14:textId="1C4AD0C4" w:rsidR="007640AE" w:rsidRDefault="007640AE" w:rsidP="00584D64">
      <w:pPr>
        <w:pStyle w:val="Recommendation"/>
      </w:pPr>
      <w:bookmarkStart w:id="107" w:name="_Toc63076459"/>
      <w:bookmarkEnd w:id="107"/>
    </w:p>
    <w:p w14:paraId="0ADE89EB" w14:textId="6E9039AA" w:rsidR="00876EA8" w:rsidRDefault="00876EA8" w:rsidP="00584D64">
      <w:pPr>
        <w:pStyle w:val="RecommendationText"/>
      </w:pPr>
      <w:bookmarkStart w:id="108" w:name="_Toc63076460"/>
      <w:r>
        <w:t xml:space="preserve">The Committee recommends that the ACT Government continue monthly reporting to the ACT Legislative Assembly on </w:t>
      </w:r>
      <w:r w:rsidRPr="00876EA8">
        <w:t>emergency response measures</w:t>
      </w:r>
      <w:r>
        <w:t xml:space="preserve"> </w:t>
      </w:r>
      <w:r w:rsidR="00627C29">
        <w:t xml:space="preserve">provided for under the </w:t>
      </w:r>
      <w:r w:rsidR="00627C29" w:rsidRPr="00ED68F6">
        <w:rPr>
          <w:i/>
          <w:iCs/>
        </w:rPr>
        <w:t>COVID-19 Emergency Response Act 2020</w:t>
      </w:r>
      <w:r w:rsidR="00A82935">
        <w:rPr>
          <w:i/>
          <w:iCs/>
        </w:rPr>
        <w:t xml:space="preserve"> </w:t>
      </w:r>
      <w:r w:rsidR="00A82935" w:rsidRPr="00A82935">
        <w:t>and the</w:t>
      </w:r>
      <w:r w:rsidR="00A82935">
        <w:rPr>
          <w:i/>
          <w:iCs/>
        </w:rPr>
        <w:t xml:space="preserve"> COVID-19 Emergency Response Legislation Amendment Act 2020</w:t>
      </w:r>
      <w:r w:rsidRPr="00876EA8">
        <w:t>.</w:t>
      </w:r>
      <w:r w:rsidR="00627C29">
        <w:t xml:space="preserve">  Monthly reporting should </w:t>
      </w:r>
      <w:r w:rsidR="005840F9">
        <w:t xml:space="preserve">continue </w:t>
      </w:r>
      <w:r w:rsidR="00627C29">
        <w:t>until such time as each measure, at a minimum, has 12</w:t>
      </w:r>
      <w:r w:rsidR="00E41EA2">
        <w:t> </w:t>
      </w:r>
      <w:r w:rsidR="00627C29">
        <w:t>months of reported data</w:t>
      </w:r>
      <w:r w:rsidR="00406A57">
        <w:t xml:space="preserve"> for each measure</w:t>
      </w:r>
      <w:r w:rsidR="00627C29">
        <w:t>.</w:t>
      </w:r>
      <w:bookmarkEnd w:id="108"/>
      <w:r>
        <w:t xml:space="preserve"> </w:t>
      </w:r>
    </w:p>
    <w:bookmarkEnd w:id="74"/>
    <w:p w14:paraId="06C50127" w14:textId="77777777" w:rsidR="00A121B1" w:rsidRPr="00910CCE" w:rsidRDefault="00DD7708" w:rsidP="00910CCE">
      <w:pPr>
        <w:pStyle w:val="Bodytextnonumbering"/>
      </w:pPr>
      <w:r w:rsidRPr="00910CCE">
        <w:t xml:space="preserve">  </w:t>
      </w:r>
    </w:p>
    <w:p w14:paraId="4EC9DE01" w14:textId="77777777" w:rsidR="00096D13" w:rsidRDefault="00096D13" w:rsidP="00910CCE">
      <w:pPr>
        <w:pStyle w:val="Bodytextnonumbering"/>
        <w:sectPr w:rsidR="00096D13" w:rsidSect="0066252C">
          <w:headerReference w:type="default" r:id="rId34"/>
          <w:headerReference w:type="first" r:id="rId35"/>
          <w:type w:val="oddPage"/>
          <w:pgSz w:w="11907" w:h="16840" w:code="9"/>
          <w:pgMar w:top="1588" w:right="1418" w:bottom="1418" w:left="1418" w:header="720" w:footer="851" w:gutter="0"/>
          <w:cols w:space="720"/>
          <w:docGrid w:linePitch="360"/>
        </w:sectPr>
      </w:pPr>
    </w:p>
    <w:p w14:paraId="3156A5FB" w14:textId="7F48B73C" w:rsidR="00567240" w:rsidRPr="00567240" w:rsidRDefault="008C250D" w:rsidP="00567240">
      <w:pPr>
        <w:pStyle w:val="Heading1"/>
      </w:pPr>
      <w:bookmarkStart w:id="109" w:name="_Toc62740043"/>
      <w:r>
        <w:lastRenderedPageBreak/>
        <w:t>Co</w:t>
      </w:r>
      <w:r w:rsidR="00603085">
        <w:t>nclusion</w:t>
      </w:r>
      <w:bookmarkEnd w:id="109"/>
    </w:p>
    <w:p w14:paraId="3C8125E1" w14:textId="15BCF41A" w:rsidR="009F38DD" w:rsidRDefault="009F38DD" w:rsidP="009F38DD">
      <w:pPr>
        <w:pStyle w:val="BodyText1"/>
      </w:pPr>
      <w:bookmarkStart w:id="110" w:name="_Hlk60846825"/>
      <w:bookmarkStart w:id="111" w:name="_Hlk35446698"/>
      <w:bookmarkStart w:id="112" w:name="_Hlk30006779"/>
      <w:r w:rsidRPr="000E4651">
        <w:t xml:space="preserve">The Bill </w:t>
      </w:r>
      <w:r w:rsidRPr="000E4651">
        <w:rPr>
          <w:i/>
          <w:iCs/>
        </w:rPr>
        <w:t>per se</w:t>
      </w:r>
      <w:r w:rsidRPr="000E4651">
        <w:t xml:space="preserve"> falls into the category of legislation to respond to exceptional or emergency circumstances.  </w:t>
      </w:r>
      <w:r>
        <w:t>In reaction to the</w:t>
      </w:r>
      <w:r w:rsidRPr="00C42436">
        <w:t xml:space="preserve"> COVID-19 pandemic</w:t>
      </w:r>
      <w:r>
        <w:t>, countries across the globe have passed emergency laws or declared states of emergency to respond to the unfolding crisis.  The Committee observes that as reported in an international symposium</w:t>
      </w:r>
      <w:r>
        <w:rPr>
          <w:rStyle w:val="FootnoteReference"/>
        </w:rPr>
        <w:footnoteReference w:id="41"/>
      </w:r>
      <w:r>
        <w:t xml:space="preserve"> analysing global use of emergency powers in response to COVID-19, approximately 80 per cent of the global population, including the ACT community, has been affected in some way by emergency and executive action taken in response to COVID-19.     </w:t>
      </w:r>
    </w:p>
    <w:p w14:paraId="6CB4A7EB" w14:textId="41C260A3" w:rsidR="009F38DD" w:rsidRDefault="009F38DD" w:rsidP="00681CA1">
      <w:pPr>
        <w:pStyle w:val="BodyText1"/>
        <w:rPr>
          <w:lang w:eastAsia="en-AU"/>
        </w:rPr>
      </w:pPr>
      <w:r>
        <w:t xml:space="preserve">The Committee is of the view that the </w:t>
      </w:r>
      <w:r w:rsidRPr="000E4651">
        <w:t xml:space="preserve">measures the Bill seeks to either extend, repeal and/or revise together with consultation processes </w:t>
      </w:r>
      <w:r>
        <w:t>used in the drafting stage</w:t>
      </w:r>
      <w:r w:rsidRPr="000E4651">
        <w:t xml:space="preserve">—broadly comply with the UK Hansard Society’s Principles to guide Parliament’s response to the pandemic.  </w:t>
      </w:r>
    </w:p>
    <w:p w14:paraId="4E2B0D7D" w14:textId="39731AC1" w:rsidR="009F38DD" w:rsidRDefault="009F38DD" w:rsidP="00681CA1">
      <w:pPr>
        <w:pStyle w:val="BodyText1"/>
        <w:rPr>
          <w:lang w:eastAsia="en-AU"/>
        </w:rPr>
      </w:pPr>
      <w:r w:rsidRPr="009F38DD">
        <w:rPr>
          <w:lang w:eastAsia="en-AU"/>
        </w:rPr>
        <w:t>The Committee considers that exceptional or emergency circumstances support extraordinary scrutiny</w:t>
      </w:r>
      <w:r>
        <w:rPr>
          <w:lang w:eastAsia="en-AU"/>
        </w:rPr>
        <w:t xml:space="preserve"> and has made recommendations</w:t>
      </w:r>
      <w:r w:rsidR="005840F9">
        <w:rPr>
          <w:lang w:eastAsia="en-AU"/>
        </w:rPr>
        <w:t xml:space="preserve"> </w:t>
      </w:r>
      <w:r>
        <w:rPr>
          <w:lang w:eastAsia="en-AU"/>
        </w:rPr>
        <w:t>that align with this concept.</w:t>
      </w:r>
      <w:r w:rsidR="005840F9">
        <w:rPr>
          <w:lang w:eastAsia="en-AU"/>
        </w:rPr>
        <w:t xml:space="preserve">  The Committee has also made a recommendation regarding the timeframe specified for report</w:t>
      </w:r>
      <w:r w:rsidR="00762FB1">
        <w:rPr>
          <w:lang w:eastAsia="en-AU"/>
        </w:rPr>
        <w:t>ing</w:t>
      </w:r>
      <w:r w:rsidR="005840F9">
        <w:rPr>
          <w:lang w:eastAsia="en-AU"/>
        </w:rPr>
        <w:t xml:space="preserve"> on </w:t>
      </w:r>
      <w:r w:rsidR="00762FB1">
        <w:rPr>
          <w:lang w:eastAsia="en-AU"/>
        </w:rPr>
        <w:t xml:space="preserve">inquiries undertaken by Assembly committees into </w:t>
      </w:r>
      <w:r w:rsidR="005840F9">
        <w:rPr>
          <w:lang w:eastAsia="en-AU"/>
        </w:rPr>
        <w:t>referred bills</w:t>
      </w:r>
      <w:r w:rsidR="00762FB1">
        <w:rPr>
          <w:lang w:eastAsia="en-AU"/>
        </w:rPr>
        <w:t>.</w:t>
      </w:r>
      <w:r w:rsidR="00762FB1">
        <w:rPr>
          <w:rStyle w:val="FootnoteReference"/>
          <w:lang w:eastAsia="en-AU"/>
        </w:rPr>
        <w:footnoteReference w:id="42"/>
      </w:r>
      <w:r w:rsidR="005840F9">
        <w:rPr>
          <w:lang w:eastAsia="en-AU"/>
        </w:rPr>
        <w:t xml:space="preserve">   </w:t>
      </w:r>
      <w:r w:rsidR="00C445F5">
        <w:rPr>
          <w:lang w:eastAsia="en-AU"/>
        </w:rPr>
        <w:t xml:space="preserve">  </w:t>
      </w:r>
    </w:p>
    <w:p w14:paraId="4D5A7F68" w14:textId="77777777" w:rsidR="00DC4984" w:rsidRDefault="009F38DD" w:rsidP="0000250A">
      <w:pPr>
        <w:pStyle w:val="BodyText1"/>
      </w:pPr>
      <w:r>
        <w:rPr>
          <w:lang w:eastAsia="en-AU"/>
        </w:rPr>
        <w:t xml:space="preserve">The Committee acknowledges the extraordinary efforts that </w:t>
      </w:r>
      <w:r w:rsidR="00617FD9">
        <w:rPr>
          <w:lang w:eastAsia="en-AU"/>
        </w:rPr>
        <w:t>have been undertaken by the ACT</w:t>
      </w:r>
      <w:r w:rsidR="00A14BE3">
        <w:rPr>
          <w:lang w:eastAsia="en-AU"/>
        </w:rPr>
        <w:t> </w:t>
      </w:r>
      <w:r w:rsidR="00617FD9">
        <w:rPr>
          <w:lang w:eastAsia="en-AU"/>
        </w:rPr>
        <w:t>Public Service and its employees to manage the risks for the ACT community at the time the COVID-19 crisis was unfolding in March 2020</w:t>
      </w:r>
      <w:r w:rsidR="004A55B8">
        <w:rPr>
          <w:lang w:eastAsia="en-AU"/>
        </w:rPr>
        <w:t>, throughout 2020</w:t>
      </w:r>
      <w:r w:rsidR="00A14BE3">
        <w:rPr>
          <w:lang w:eastAsia="en-AU"/>
        </w:rPr>
        <w:t>,</w:t>
      </w:r>
      <w:r w:rsidR="00617FD9">
        <w:rPr>
          <w:lang w:eastAsia="en-AU"/>
        </w:rPr>
        <w:t xml:space="preserve"> and </w:t>
      </w:r>
      <w:r w:rsidR="00D528C6">
        <w:rPr>
          <w:lang w:eastAsia="en-AU"/>
        </w:rPr>
        <w:t>now into 2021</w:t>
      </w:r>
      <w:r w:rsidR="00617FD9">
        <w:rPr>
          <w:lang w:eastAsia="en-AU"/>
        </w:rPr>
        <w:t>.</w:t>
      </w:r>
      <w:r w:rsidR="004A55B8">
        <w:rPr>
          <w:lang w:eastAsia="en-AU"/>
        </w:rPr>
        <w:t xml:space="preserve">  </w:t>
      </w:r>
      <w:r w:rsidR="00617FD9">
        <w:rPr>
          <w:lang w:eastAsia="en-AU"/>
        </w:rPr>
        <w:t xml:space="preserve">The Committee further acknowledges that it is these efforts that have managed the health response, </w:t>
      </w:r>
      <w:r w:rsidR="00A32714">
        <w:rPr>
          <w:lang w:eastAsia="en-AU"/>
        </w:rPr>
        <w:t xml:space="preserve">worked to keep the ACT </w:t>
      </w:r>
      <w:r w:rsidR="00617FD9">
        <w:rPr>
          <w:lang w:eastAsia="en-AU"/>
        </w:rPr>
        <w:t>community safe, provided economic support to business</w:t>
      </w:r>
      <w:r w:rsidR="00A32714">
        <w:rPr>
          <w:lang w:eastAsia="en-AU"/>
        </w:rPr>
        <w:t>es</w:t>
      </w:r>
      <w:r w:rsidR="00617FD9">
        <w:rPr>
          <w:lang w:eastAsia="en-AU"/>
        </w:rPr>
        <w:t xml:space="preserve"> and individuals under considerable stress</w:t>
      </w:r>
      <w:r w:rsidR="00D528C6">
        <w:rPr>
          <w:lang w:eastAsia="en-AU"/>
        </w:rPr>
        <w:t>,</w:t>
      </w:r>
      <w:r w:rsidR="00617FD9">
        <w:rPr>
          <w:lang w:eastAsia="en-AU"/>
        </w:rPr>
        <w:t xml:space="preserve"> and </w:t>
      </w:r>
      <w:r w:rsidR="00617FD9">
        <w:t xml:space="preserve">supported operational areas to provide services during the pandemic.  The Committee also recognises the co-operation, work and contribution </w:t>
      </w:r>
      <w:r w:rsidR="00A32714">
        <w:t xml:space="preserve">from </w:t>
      </w:r>
      <w:r w:rsidR="00617FD9">
        <w:t xml:space="preserve">the </w:t>
      </w:r>
      <w:r w:rsidR="006F3587">
        <w:t xml:space="preserve">Federal government, </w:t>
      </w:r>
      <w:r w:rsidR="00617FD9">
        <w:t xml:space="preserve">private sector, non-government organisations, the ACT community and countless other organisations and individuals that have been instrumental in the efforts </w:t>
      </w:r>
      <w:r w:rsidR="004A55B8">
        <w:t xml:space="preserve">and initiatives </w:t>
      </w:r>
      <w:r w:rsidR="00617FD9">
        <w:t>to</w:t>
      </w:r>
      <w:r w:rsidR="004A55B8">
        <w:t xml:space="preserve"> support the health, economic and social challenges faced by our community during this unprecedented time.</w:t>
      </w:r>
    </w:p>
    <w:p w14:paraId="79EECD7E" w14:textId="77777777" w:rsidR="00DC4984" w:rsidRDefault="00DC4984">
      <w:r>
        <w:br w:type="page"/>
      </w:r>
    </w:p>
    <w:bookmarkEnd w:id="110"/>
    <w:bookmarkEnd w:id="111"/>
    <w:bookmarkEnd w:id="112"/>
    <w:p w14:paraId="0B650CBF" w14:textId="59FA391C" w:rsidR="001023BC" w:rsidRPr="000D6E41" w:rsidRDefault="006A39B3" w:rsidP="00375C86">
      <w:pPr>
        <w:pStyle w:val="BodyText1"/>
      </w:pPr>
      <w:r w:rsidRPr="006A39B3">
        <w:lastRenderedPageBreak/>
        <w:t xml:space="preserve">The Committee has made </w:t>
      </w:r>
      <w:r w:rsidR="005840F9" w:rsidRPr="00F76363">
        <w:rPr>
          <w:b/>
          <w:bCs/>
        </w:rPr>
        <w:t>4</w:t>
      </w:r>
      <w:r w:rsidR="005840F9" w:rsidRPr="005840F9">
        <w:t xml:space="preserve"> </w:t>
      </w:r>
      <w:r w:rsidRPr="006A39B3">
        <w:t>recommendations in relation to its inquiry into the COVID-19 Emergency Response Legislation Amendment Bill 2020 (No 3).</w:t>
      </w:r>
    </w:p>
    <w:p w14:paraId="7BDA570E" w14:textId="77777777" w:rsidR="008D0B9E" w:rsidRPr="00DC4984" w:rsidRDefault="008D0B9E" w:rsidP="00DC4984">
      <w:pPr>
        <w:pStyle w:val="Bodytextnonumbering"/>
      </w:pPr>
    </w:p>
    <w:p w14:paraId="32A226F0" w14:textId="53201D95" w:rsidR="008D0B9E" w:rsidRDefault="008D0B9E" w:rsidP="00DC4984">
      <w:pPr>
        <w:pStyle w:val="Bodytextnonumbering"/>
      </w:pPr>
    </w:p>
    <w:p w14:paraId="121BC8CE" w14:textId="7DC7F546" w:rsidR="00DC4984" w:rsidRDefault="00DC4984" w:rsidP="00DC4984">
      <w:pPr>
        <w:pStyle w:val="Bodytextnonumbering"/>
      </w:pPr>
    </w:p>
    <w:p w14:paraId="7B196FA5" w14:textId="77777777" w:rsidR="00DC4984" w:rsidRPr="00DC4984" w:rsidRDefault="00DC4984" w:rsidP="00DC4984">
      <w:pPr>
        <w:pStyle w:val="Bodytextnonumbering"/>
      </w:pPr>
    </w:p>
    <w:p w14:paraId="1A7B3260" w14:textId="3011B6E4" w:rsidR="00960E9A" w:rsidRPr="00960E9A" w:rsidRDefault="00960E9A" w:rsidP="00960E9A">
      <w:pPr>
        <w:pStyle w:val="BodyText1"/>
        <w:numPr>
          <w:ilvl w:val="0"/>
          <w:numId w:val="0"/>
        </w:numPr>
        <w:ind w:left="680" w:hanging="680"/>
      </w:pPr>
      <w:r>
        <w:t xml:space="preserve">Ms </w:t>
      </w:r>
      <w:r w:rsidR="006A39B3">
        <w:t xml:space="preserve">Nicole Lawder </w:t>
      </w:r>
      <w:r w:rsidRPr="00960E9A">
        <w:t>MLA</w:t>
      </w:r>
    </w:p>
    <w:p w14:paraId="03484BE5" w14:textId="7F2E6B97" w:rsidR="00960E9A" w:rsidRDefault="00960E9A" w:rsidP="00960E9A">
      <w:pPr>
        <w:spacing w:before="240" w:after="100" w:line="288" w:lineRule="auto"/>
        <w:ind w:left="680" w:hanging="680"/>
      </w:pPr>
      <w:r w:rsidRPr="00960E9A">
        <w:t>Chair</w:t>
      </w:r>
    </w:p>
    <w:p w14:paraId="32E26DC7" w14:textId="1C22D652" w:rsidR="009D37A3" w:rsidRPr="00960E9A" w:rsidRDefault="009D37A3" w:rsidP="00960E9A">
      <w:pPr>
        <w:spacing w:before="240" w:after="100" w:line="288" w:lineRule="auto"/>
        <w:ind w:left="680" w:hanging="680"/>
      </w:pPr>
      <w:r>
        <w:t>27 January 2021</w:t>
      </w:r>
    </w:p>
    <w:p w14:paraId="214FB679" w14:textId="0F08AA23" w:rsidR="00C6758B" w:rsidRDefault="000866E5" w:rsidP="00C6758B">
      <w:pPr>
        <w:pStyle w:val="AppendixHeading1"/>
      </w:pPr>
      <w:bookmarkStart w:id="113" w:name="_Toc62740044"/>
      <w:r>
        <w:lastRenderedPageBreak/>
        <w:t>Correspondence from Chief Minister</w:t>
      </w:r>
      <w:r w:rsidR="00932DE5">
        <w:t xml:space="preserve"> (15/01/21)</w:t>
      </w:r>
      <w:bookmarkEnd w:id="113"/>
      <w:r w:rsidR="00932DE5">
        <w:t xml:space="preserve"> </w:t>
      </w:r>
    </w:p>
    <w:p w14:paraId="4BFB04D6" w14:textId="77777777" w:rsidR="00182066" w:rsidRDefault="00182066"/>
    <w:p w14:paraId="7DA0DB44" w14:textId="2C9785F6" w:rsidR="00182066" w:rsidRDefault="00182066">
      <w:pPr>
        <w:sectPr w:rsidR="00182066" w:rsidSect="00E629E2">
          <w:headerReference w:type="first" r:id="rId36"/>
          <w:type w:val="oddPage"/>
          <w:pgSz w:w="11907" w:h="16840" w:code="9"/>
          <w:pgMar w:top="1588" w:right="1418" w:bottom="1418" w:left="1418" w:header="720" w:footer="851" w:gutter="0"/>
          <w:cols w:space="720"/>
          <w:docGrid w:linePitch="360"/>
        </w:sectPr>
      </w:pPr>
    </w:p>
    <w:p w14:paraId="65E7FD98" w14:textId="6D99769A" w:rsidR="00647E59" w:rsidRDefault="00647E59" w:rsidP="00603085">
      <w:pPr>
        <w:keepNext/>
        <w:keepLines/>
        <w:spacing w:before="240"/>
        <w:jc w:val="center"/>
        <w:outlineLvl w:val="0"/>
        <w:rPr>
          <w:rFonts w:eastAsia="Calibri"/>
          <w:sz w:val="24"/>
        </w:rPr>
      </w:pPr>
      <w:r w:rsidRPr="00647E59">
        <w:rPr>
          <w:rFonts w:eastAsia="Calibri"/>
          <w:noProof/>
          <w:sz w:val="24"/>
        </w:rPr>
        <w:lastRenderedPageBreak/>
        <w:drawing>
          <wp:inline distT="0" distB="0" distL="0" distR="0" wp14:anchorId="345EC34D" wp14:editId="13CF6673">
            <wp:extent cx="5727700" cy="80937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8093710"/>
                    </a:xfrm>
                    <a:prstGeom prst="rect">
                      <a:avLst/>
                    </a:prstGeom>
                    <a:noFill/>
                    <a:ln>
                      <a:noFill/>
                    </a:ln>
                  </pic:spPr>
                </pic:pic>
              </a:graphicData>
            </a:graphic>
          </wp:inline>
        </w:drawing>
      </w:r>
    </w:p>
    <w:p w14:paraId="3367DC92" w14:textId="77777777" w:rsidR="00647E59" w:rsidRDefault="00647E59">
      <w:pPr>
        <w:rPr>
          <w:rFonts w:eastAsia="Calibri"/>
          <w:sz w:val="24"/>
        </w:rPr>
      </w:pPr>
      <w:r>
        <w:rPr>
          <w:rFonts w:eastAsia="Calibri"/>
          <w:sz w:val="24"/>
        </w:rPr>
        <w:br w:type="page"/>
      </w:r>
    </w:p>
    <w:p w14:paraId="21D7C47B" w14:textId="4A15208F" w:rsidR="00182066" w:rsidRPr="00182066" w:rsidRDefault="00647E59" w:rsidP="00603085">
      <w:pPr>
        <w:keepNext/>
        <w:keepLines/>
        <w:spacing w:before="240"/>
        <w:jc w:val="center"/>
        <w:outlineLvl w:val="0"/>
        <w:rPr>
          <w:rFonts w:eastAsia="Calibri"/>
          <w:sz w:val="24"/>
        </w:rPr>
      </w:pPr>
      <w:r w:rsidRPr="00647E59">
        <w:rPr>
          <w:rFonts w:eastAsia="Calibri"/>
          <w:noProof/>
          <w:sz w:val="24"/>
        </w:rPr>
        <w:lastRenderedPageBreak/>
        <w:drawing>
          <wp:inline distT="0" distB="0" distL="0" distR="0" wp14:anchorId="51015E56" wp14:editId="301312DB">
            <wp:extent cx="5727700" cy="81019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8101965"/>
                    </a:xfrm>
                    <a:prstGeom prst="rect">
                      <a:avLst/>
                    </a:prstGeom>
                    <a:noFill/>
                    <a:ln>
                      <a:noFill/>
                    </a:ln>
                  </pic:spPr>
                </pic:pic>
              </a:graphicData>
            </a:graphic>
          </wp:inline>
        </w:drawing>
      </w:r>
    </w:p>
    <w:sectPr w:rsidR="00182066" w:rsidRPr="00182066" w:rsidSect="00905F76">
      <w:headerReference w:type="even" r:id="rId39"/>
      <w:headerReference w:type="default" r:id="rId40"/>
      <w:footerReference w:type="even" r:id="rId41"/>
      <w:footerReference w:type="default" r:id="rId42"/>
      <w:headerReference w:type="first" r:id="rId43"/>
      <w:footerReference w:type="first" r:id="rId44"/>
      <w:footnotePr>
        <w:numRestart w:val="eachSect"/>
      </w:footnotePr>
      <w:type w:val="continuous"/>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46AC8" w14:textId="77777777" w:rsidR="00AF012D" w:rsidRDefault="00AF012D">
      <w:r>
        <w:separator/>
      </w:r>
    </w:p>
    <w:p w14:paraId="4FE157DE" w14:textId="77777777" w:rsidR="00AF012D" w:rsidRDefault="00AF012D"/>
    <w:p w14:paraId="12F4B7FE" w14:textId="77777777" w:rsidR="00AF012D" w:rsidRDefault="00AF012D"/>
    <w:p w14:paraId="514344AB" w14:textId="77777777" w:rsidR="00AF012D" w:rsidRDefault="00AF012D"/>
  </w:endnote>
  <w:endnote w:type="continuationSeparator" w:id="0">
    <w:p w14:paraId="61EF3EFC" w14:textId="77777777" w:rsidR="00AF012D" w:rsidRDefault="00AF012D">
      <w:r>
        <w:continuationSeparator/>
      </w:r>
    </w:p>
    <w:p w14:paraId="3250355F" w14:textId="77777777" w:rsidR="00AF012D" w:rsidRDefault="00AF012D"/>
    <w:p w14:paraId="4A1C3F99" w14:textId="77777777" w:rsidR="00AF012D" w:rsidRDefault="00AF012D"/>
    <w:p w14:paraId="38C0B25D" w14:textId="77777777" w:rsidR="00AF012D" w:rsidRDefault="00AF0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7B6BFA2-5B7B-49A9-A48A-1501174A3889}"/>
    <w:embedBold r:id="rId2" w:fontKey="{ACAB1C9D-132C-41E4-A7BD-37719093A84C}"/>
    <w:embedItalic r:id="rId3" w:fontKey="{F42DEDF1-9250-42EA-BC52-36B053146F59}"/>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embedRegular r:id="rId4" w:fontKey="{4ACDF665-3A04-474C-9FCC-3684DA470D1B}"/>
    <w:embedBold r:id="rId5" w:fontKey="{EE5A2625-6E60-4D60-A6ED-099E458DC264}"/>
    <w:embedItalic r:id="rId6" w:fontKey="{E2D84F5C-C2E6-4650-9C1D-FD147395C46D}"/>
    <w:embedBoldItalic r:id="rId7" w:fontKey="{9BB32ACF-E2DC-4279-A86F-4ED29870DC50}"/>
  </w:font>
  <w:font w:name="Arial">
    <w:panose1 w:val="020B0604020202020204"/>
    <w:charset w:val="00"/>
    <w:family w:val="swiss"/>
    <w:pitch w:val="variable"/>
    <w:sig w:usb0="E0002EFF" w:usb1="C000785B" w:usb2="00000009" w:usb3="00000000" w:csb0="000001FF" w:csb1="00000000"/>
  </w:font>
  <w:font w:name="Univers LT Std 45 Light">
    <w:panose1 w:val="00000000000000000000"/>
    <w:charset w:val="00"/>
    <w:family w:val="swiss"/>
    <w:notTrueType/>
    <w:pitch w:val="variable"/>
    <w:sig w:usb0="00000003" w:usb1="00000000" w:usb2="00000000" w:usb3="00000000" w:csb0="00000001" w:csb1="00000000"/>
  </w:font>
  <w:font w:name="Univers LT Std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1248E" w14:textId="77777777" w:rsidR="00AF012D" w:rsidRDefault="00AF01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1D0B6" w14:textId="58C74220" w:rsidR="00AF012D" w:rsidRDefault="00AF012D" w:rsidP="0038734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0DA9" w14:textId="17A055CE" w:rsidR="00AF012D" w:rsidRPr="00905F76" w:rsidRDefault="00AF012D" w:rsidP="00905F76">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8471" w14:textId="462C53BF" w:rsidR="00AF012D" w:rsidRPr="00905F76" w:rsidRDefault="00AF012D" w:rsidP="00905F76">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3B4D" w14:textId="2B9C2EFA" w:rsidR="00AF012D" w:rsidRDefault="00AF012D">
    <w:pPr>
      <w:pStyle w:val="Footer"/>
      <w:jc w:val="center"/>
    </w:pPr>
  </w:p>
  <w:p w14:paraId="63725D3C" w14:textId="2BEA1CE0" w:rsidR="00AF012D" w:rsidRPr="001D4CB0" w:rsidRDefault="00AF012D" w:rsidP="001D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EBEFF" w14:textId="77777777" w:rsidR="00AF012D" w:rsidRDefault="00AF012D"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4E228B0" w14:textId="77777777" w:rsidR="00AF012D" w:rsidRDefault="00AF012D"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8719" w14:textId="77777777" w:rsidR="00AF012D" w:rsidRDefault="00AF01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862C7" w14:textId="5C2439BE" w:rsidR="00AF012D" w:rsidRPr="00D729D3" w:rsidRDefault="00AF012D" w:rsidP="00D729D3">
    <w:pPr>
      <w:pStyle w:val="Footer"/>
    </w:pPr>
    <w:r>
      <w:fldChar w:fldCharType="begin"/>
    </w:r>
    <w:r>
      <w:instrText xml:space="preserve"> PAGE   \* MERGEFORMAT </w:instrText>
    </w:r>
    <w:r>
      <w:fldChar w:fldCharType="separate"/>
    </w:r>
    <w:r>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83C42" w14:textId="77777777" w:rsidR="00AF012D" w:rsidRDefault="00AF012D"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96CA3E3" w14:textId="77777777" w:rsidR="00AF012D" w:rsidRDefault="00AF012D" w:rsidP="005E670D">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E32B3" w14:textId="77777777" w:rsidR="00AF012D" w:rsidRDefault="00AF012D" w:rsidP="0038734F">
    <w:pPr>
      <w:pStyle w:val="Footer"/>
      <w:jc w:val="right"/>
    </w:pPr>
    <w:r>
      <w:fldChar w:fldCharType="begin"/>
    </w:r>
    <w:r>
      <w:instrText xml:space="preserve"> PAGE   \* MERGEFORMAT </w:instrText>
    </w:r>
    <w:r>
      <w:fldChar w:fldCharType="separate"/>
    </w:r>
    <w:r>
      <w:rPr>
        <w:noProof/>
      </w:rPr>
      <w:t>vii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D532" w14:textId="18078F94" w:rsidR="00AF012D" w:rsidRPr="002C4A87" w:rsidRDefault="00AF012D" w:rsidP="002C4A87">
    <w:pPr>
      <w:pStyle w:val="Footer"/>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13D8" w14:textId="3E5384D0" w:rsidR="00AF012D" w:rsidRPr="003C0064" w:rsidRDefault="00AF012D" w:rsidP="003C0064">
    <w:pPr>
      <w:pStyle w:val="Footer"/>
      <w:jc w:val="right"/>
    </w:pPr>
    <w:r>
      <w:fldChar w:fldCharType="begin"/>
    </w:r>
    <w:r>
      <w:instrText xml:space="preserve"> PAGE   \* MERGEFORMAT </w:instrText>
    </w:r>
    <w:r>
      <w:fldChar w:fldCharType="separate"/>
    </w:r>
    <w: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D7EF6" w14:textId="2E48018F" w:rsidR="00AF012D" w:rsidRDefault="00AF012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29F5B" w14:textId="77777777" w:rsidR="00AF012D" w:rsidRDefault="00AF012D">
      <w:r>
        <w:separator/>
      </w:r>
    </w:p>
    <w:p w14:paraId="49384811" w14:textId="77777777" w:rsidR="00AF012D" w:rsidRDefault="00AF012D"/>
    <w:p w14:paraId="0F317E22" w14:textId="77777777" w:rsidR="00AF012D" w:rsidRDefault="00AF012D"/>
    <w:p w14:paraId="78C09C8A" w14:textId="77777777" w:rsidR="00AF012D" w:rsidRDefault="00AF012D"/>
  </w:footnote>
  <w:footnote w:type="continuationSeparator" w:id="0">
    <w:p w14:paraId="5B31B6C4" w14:textId="77777777" w:rsidR="00AF012D" w:rsidRDefault="00AF012D">
      <w:r>
        <w:continuationSeparator/>
      </w:r>
    </w:p>
    <w:p w14:paraId="1D3D619C" w14:textId="77777777" w:rsidR="00AF012D" w:rsidRDefault="00AF012D"/>
    <w:p w14:paraId="56D6606F" w14:textId="77777777" w:rsidR="00AF012D" w:rsidRDefault="00AF012D"/>
    <w:p w14:paraId="793E5617" w14:textId="77777777" w:rsidR="00AF012D" w:rsidRDefault="00AF012D"/>
  </w:footnote>
  <w:footnote w:id="1">
    <w:p w14:paraId="0D8E3F79" w14:textId="7C0BBBC4" w:rsidR="00AF012D" w:rsidRDefault="00AF012D">
      <w:pPr>
        <w:pStyle w:val="FootnoteText"/>
      </w:pPr>
      <w:r>
        <w:rPr>
          <w:rStyle w:val="FootnoteReference"/>
        </w:rPr>
        <w:footnoteRef/>
      </w:r>
      <w:r>
        <w:t xml:space="preserve"> Westminster Foundation for Democracy (WFD) and the Institute of Advanced Legal Studies (IALS), University of London, Digital Conference—Are emergency measures in response to COVID-19 a threat to democracy? Fact and Fiction, 10 September 2020&lt;</w:t>
      </w:r>
      <w:r w:rsidRPr="00990418">
        <w:t>https://www.wfd.org/2020/06/26/10-september-2020-ials-wfd-digital-conference-are-emergency-measures-in-response-to-covid-19-a-threat-to-democracy-fact-and-fiction/</w:t>
      </w:r>
      <w:r>
        <w:t xml:space="preserve">&gt;. </w:t>
      </w:r>
    </w:p>
  </w:footnote>
  <w:footnote w:id="2">
    <w:p w14:paraId="3DEDB4AB" w14:textId="77777777" w:rsidR="00AF012D" w:rsidRDefault="00AF012D" w:rsidP="00221F33">
      <w:pPr>
        <w:pStyle w:val="FootnoteText"/>
      </w:pPr>
      <w:r>
        <w:rPr>
          <w:rStyle w:val="FootnoteReference"/>
        </w:rPr>
        <w:footnoteRef/>
      </w:r>
      <w:r>
        <w:t xml:space="preserve"> 11 March 2020.</w:t>
      </w:r>
    </w:p>
  </w:footnote>
  <w:footnote w:id="3">
    <w:p w14:paraId="6338C741" w14:textId="77777777" w:rsidR="00AF012D" w:rsidRDefault="00AF012D" w:rsidP="00221F33">
      <w:pPr>
        <w:pStyle w:val="FootnoteText"/>
      </w:pPr>
      <w:r>
        <w:rPr>
          <w:rStyle w:val="FootnoteReference"/>
        </w:rPr>
        <w:footnoteRef/>
      </w:r>
      <w:r>
        <w:t xml:space="preserve"> Notifiable Instrument </w:t>
      </w:r>
      <w:r w:rsidRPr="00221F33">
        <w:t>NI2020-153</w:t>
      </w:r>
      <w:r>
        <w:t>.</w:t>
      </w:r>
    </w:p>
  </w:footnote>
  <w:footnote w:id="4">
    <w:p w14:paraId="1440FF3A" w14:textId="4458F156" w:rsidR="00AF012D" w:rsidRDefault="00AF012D" w:rsidP="00221F33">
      <w:pPr>
        <w:pStyle w:val="FootnoteText"/>
      </w:pPr>
      <w:r>
        <w:rPr>
          <w:rStyle w:val="FootnoteReference"/>
        </w:rPr>
        <w:footnoteRef/>
      </w:r>
      <w:r>
        <w:t xml:space="preserve"> </w:t>
      </w:r>
      <w:r w:rsidRPr="0094247C">
        <w:t xml:space="preserve">Explanatory </w:t>
      </w:r>
      <w:r>
        <w:t>S</w:t>
      </w:r>
      <w:r w:rsidRPr="0094247C">
        <w:t>tatement—COVID-19 Emergency Response Legislation Amendment Bill 2020 (No 3), p. 4.</w:t>
      </w:r>
    </w:p>
  </w:footnote>
  <w:footnote w:id="5">
    <w:p w14:paraId="1C8C1C27" w14:textId="2889D96E" w:rsidR="00AF012D" w:rsidRDefault="00AF012D" w:rsidP="00221F33">
      <w:pPr>
        <w:pStyle w:val="FootnoteText"/>
      </w:pPr>
      <w:r>
        <w:rPr>
          <w:rStyle w:val="FootnoteReference"/>
        </w:rPr>
        <w:footnoteRef/>
      </w:r>
      <w:r>
        <w:t xml:space="preserve"> </w:t>
      </w:r>
      <w:bookmarkStart w:id="52" w:name="_Hlk61284940"/>
      <w:r>
        <w:t>Ibid.</w:t>
      </w:r>
      <w:bookmarkEnd w:id="52"/>
    </w:p>
  </w:footnote>
  <w:footnote w:id="6">
    <w:p w14:paraId="0A2AD09F" w14:textId="697CEBB6" w:rsidR="00AF012D" w:rsidRDefault="00AF012D">
      <w:pPr>
        <w:pStyle w:val="FootnoteText"/>
      </w:pPr>
      <w:r>
        <w:rPr>
          <w:rStyle w:val="FootnoteReference"/>
        </w:rPr>
        <w:footnoteRef/>
      </w:r>
      <w:r>
        <w:t xml:space="preserve"> The other three bills were: (i) </w:t>
      </w:r>
      <w:r w:rsidRPr="00B14367">
        <w:t>COVID-19 Emergency Response Bill 2020</w:t>
      </w:r>
      <w:r>
        <w:t xml:space="preserve">; (ii) </w:t>
      </w:r>
      <w:r w:rsidRPr="00B14367">
        <w:t xml:space="preserve">COVID-19 Emergency Response Legislation Amendment </w:t>
      </w:r>
      <w:r>
        <w:t>Bill</w:t>
      </w:r>
      <w:r w:rsidRPr="00B14367">
        <w:t xml:space="preserve"> 2020</w:t>
      </w:r>
      <w:r>
        <w:t xml:space="preserve">; and (iii) </w:t>
      </w:r>
      <w:r w:rsidRPr="00B14367">
        <w:t>COVID-19 Emergency Response Legislation Amendment Bill 2020 (No 2).</w:t>
      </w:r>
    </w:p>
  </w:footnote>
  <w:footnote w:id="7">
    <w:p w14:paraId="3E6611B6" w14:textId="6D73BC05" w:rsidR="00AF012D" w:rsidRDefault="00AF012D">
      <w:pPr>
        <w:pStyle w:val="FootnoteText"/>
      </w:pPr>
      <w:r>
        <w:rPr>
          <w:rStyle w:val="FootnoteReference"/>
        </w:rPr>
        <w:footnoteRef/>
      </w:r>
      <w:r>
        <w:t xml:space="preserve"> </w:t>
      </w:r>
      <w:bookmarkStart w:id="54" w:name="_Hlk61335989"/>
      <w:bookmarkStart w:id="55" w:name="_Hlk61285842"/>
      <w:r>
        <w:t>Mr Andrew Barr MLA, Presentation Statement—</w:t>
      </w:r>
      <w:r w:rsidRPr="00106745">
        <w:t>COVID-19 Emergency Response Legislation Amendment Bill 2020 (No 3)</w:t>
      </w:r>
      <w:r>
        <w:t xml:space="preserve">, ACT Legislative Assembly, </w:t>
      </w:r>
      <w:r w:rsidRPr="00106745">
        <w:rPr>
          <w:i/>
          <w:iCs/>
        </w:rPr>
        <w:t>Hansard</w:t>
      </w:r>
      <w:r>
        <w:t>, 2 December 2020, p. 41.</w:t>
      </w:r>
      <w:bookmarkEnd w:id="54"/>
    </w:p>
    <w:bookmarkEnd w:id="55"/>
  </w:footnote>
  <w:footnote w:id="8">
    <w:p w14:paraId="1B72DB8A" w14:textId="3FA29EB8" w:rsidR="00AF012D" w:rsidRDefault="00AF012D">
      <w:pPr>
        <w:pStyle w:val="FootnoteText"/>
      </w:pPr>
      <w:r>
        <w:rPr>
          <w:rStyle w:val="FootnoteReference"/>
        </w:rPr>
        <w:footnoteRef/>
      </w:r>
      <w:r>
        <w:t xml:space="preserve"> Ibid.</w:t>
      </w:r>
    </w:p>
  </w:footnote>
  <w:footnote w:id="9">
    <w:p w14:paraId="0AF39B7D" w14:textId="38761276" w:rsidR="00AF012D" w:rsidRDefault="00AF012D">
      <w:pPr>
        <w:pStyle w:val="FootnoteText"/>
      </w:pPr>
      <w:r>
        <w:rPr>
          <w:rStyle w:val="FootnoteReference"/>
        </w:rPr>
        <w:footnoteRef/>
      </w:r>
      <w:r>
        <w:t xml:space="preserve"> </w:t>
      </w:r>
      <w:bookmarkStart w:id="60" w:name="_Hlk61284884"/>
      <w:bookmarkStart w:id="61" w:name="_Hlk61285094"/>
      <w:r w:rsidRPr="00E46857">
        <w:t xml:space="preserve">Explanatory </w:t>
      </w:r>
      <w:r>
        <w:t>S</w:t>
      </w:r>
      <w:r w:rsidRPr="00E46857">
        <w:t>tatement</w:t>
      </w:r>
      <w:r>
        <w:t>—</w:t>
      </w:r>
      <w:bookmarkStart w:id="62" w:name="_Hlk61282988"/>
      <w:r w:rsidRPr="001B35D9">
        <w:t>COVID-19 Emergency Response Legislation Amendment Bill 2020 (No 3)</w:t>
      </w:r>
      <w:bookmarkEnd w:id="60"/>
      <w:r>
        <w:t>, pp. 5-6.</w:t>
      </w:r>
      <w:bookmarkEnd w:id="61"/>
    </w:p>
    <w:bookmarkEnd w:id="62"/>
  </w:footnote>
  <w:footnote w:id="10">
    <w:p w14:paraId="39AABB34" w14:textId="6149DBF8" w:rsidR="00AF012D" w:rsidRDefault="00AF012D">
      <w:pPr>
        <w:pStyle w:val="FootnoteText"/>
      </w:pPr>
      <w:r>
        <w:rPr>
          <w:rStyle w:val="FootnoteReference"/>
        </w:rPr>
        <w:footnoteRef/>
      </w:r>
      <w:r>
        <w:t xml:space="preserve"> </w:t>
      </w:r>
      <w:bookmarkStart w:id="64" w:name="_Hlk61335156"/>
      <w:r>
        <w:t>Ibid., p. 16.</w:t>
      </w:r>
    </w:p>
    <w:bookmarkEnd w:id="64"/>
  </w:footnote>
  <w:footnote w:id="11">
    <w:p w14:paraId="7D21AE80" w14:textId="26BE3D61" w:rsidR="00AF012D" w:rsidRDefault="00AF012D">
      <w:pPr>
        <w:pStyle w:val="FootnoteText"/>
      </w:pPr>
      <w:r>
        <w:rPr>
          <w:rStyle w:val="FootnoteReference"/>
        </w:rPr>
        <w:footnoteRef/>
      </w:r>
      <w:r>
        <w:t xml:space="preserve"> Mr Andrew Barr MLA, Presentation Statement—</w:t>
      </w:r>
      <w:r w:rsidRPr="00106745">
        <w:t>COVID-19 Emergency Response Legislation Amendment Bill 2020 (No 3)</w:t>
      </w:r>
      <w:r>
        <w:t xml:space="preserve">, ACT Legislative Assembly, </w:t>
      </w:r>
      <w:r w:rsidRPr="00106745">
        <w:rPr>
          <w:i/>
          <w:iCs/>
        </w:rPr>
        <w:t>Hansard</w:t>
      </w:r>
      <w:r>
        <w:t>, 2 December 2020, p. 42.</w:t>
      </w:r>
    </w:p>
  </w:footnote>
  <w:footnote w:id="12">
    <w:p w14:paraId="7CD698F4" w14:textId="6DB4091C" w:rsidR="00AF012D" w:rsidRDefault="00AF012D" w:rsidP="003758B6">
      <w:pPr>
        <w:pStyle w:val="FootnoteText"/>
      </w:pPr>
      <w:r>
        <w:rPr>
          <w:rStyle w:val="FootnoteReference"/>
        </w:rPr>
        <w:footnoteRef/>
      </w:r>
      <w:r>
        <w:t xml:space="preserve"> M</w:t>
      </w:r>
      <w:r w:rsidRPr="00D63B4E">
        <w:t>easures allow</w:t>
      </w:r>
      <w:r>
        <w:t>ing</w:t>
      </w:r>
      <w:r w:rsidRPr="00D63B4E">
        <w:t xml:space="preserve"> incorporated associations to hold meetings other than in person, using alternative forms of communication to allow for proxy a</w:t>
      </w:r>
      <w:r>
        <w:t>rrange</w:t>
      </w:r>
      <w:r w:rsidRPr="00D63B4E">
        <w:t>ments and to allow the registrar-general to give general extensions of time for prescribed periods within which certain things are required under the act</w:t>
      </w:r>
      <w:r>
        <w:t>—</w:t>
      </w:r>
      <w:r w:rsidRPr="00D63B4E">
        <w:t>extended for a further six months</w:t>
      </w:r>
      <w:r>
        <w:t xml:space="preserve"> now</w:t>
      </w:r>
      <w:r w:rsidRPr="00D63B4E">
        <w:t xml:space="preserve"> due to expire on 8 </w:t>
      </w:r>
      <w:r>
        <w:t>October 2021</w:t>
      </w:r>
      <w:r w:rsidRPr="00D63B4E">
        <w:t>.</w:t>
      </w:r>
      <w:r>
        <w:t xml:space="preserve">  </w:t>
      </w:r>
      <w:r w:rsidRPr="00C81080">
        <w:t xml:space="preserve">This six-month </w:t>
      </w:r>
      <w:r>
        <w:t xml:space="preserve">extension </w:t>
      </w:r>
      <w:r w:rsidRPr="00C81080">
        <w:t xml:space="preserve">is to </w:t>
      </w:r>
      <w:r>
        <w:t>provide</w:t>
      </w:r>
      <w:r w:rsidRPr="00C81080">
        <w:t xml:space="preserve"> incorporated associations </w:t>
      </w:r>
      <w:r>
        <w:t xml:space="preserve">with </w:t>
      </w:r>
      <w:r w:rsidRPr="00C81080">
        <w:t xml:space="preserve">more time to amend their rules and to incorporate these more flexible </w:t>
      </w:r>
      <w:r>
        <w:t>arrangements</w:t>
      </w:r>
      <w:r w:rsidRPr="00C81080">
        <w:t xml:space="preserve">, should they </w:t>
      </w:r>
      <w:r>
        <w:t>be required</w:t>
      </w:r>
      <w:r w:rsidRPr="00C81080">
        <w:t xml:space="preserve"> in the future</w:t>
      </w:r>
      <w:bookmarkStart w:id="67" w:name="_Hlk63073597"/>
      <w:r>
        <w:t xml:space="preserve"> [Chief Minister’s Presentation Statement—</w:t>
      </w:r>
      <w:r w:rsidRPr="00FC4095">
        <w:t>COVID-19 Emergency Response Legislation Amendment Bill 2020 (No 3)</w:t>
      </w:r>
      <w:r>
        <w:t>, p. 42]</w:t>
      </w:r>
      <w:bookmarkEnd w:id="67"/>
      <w:r w:rsidRPr="00C81080">
        <w:t>.</w:t>
      </w:r>
    </w:p>
  </w:footnote>
  <w:footnote w:id="13">
    <w:p w14:paraId="4FB6CC24" w14:textId="2EFD0874" w:rsidR="00AF012D" w:rsidRDefault="00AF012D" w:rsidP="003758B6">
      <w:pPr>
        <w:pStyle w:val="FootnoteText"/>
      </w:pPr>
      <w:r>
        <w:rPr>
          <w:rStyle w:val="FootnoteReference"/>
        </w:rPr>
        <w:footnoteRef/>
      </w:r>
      <w:r>
        <w:t xml:space="preserve"> T</w:t>
      </w:r>
      <w:r w:rsidRPr="00C81080">
        <w:t>he Supreme Court Act includes a measure which allows an accused to elect to be tried by a judge alone for offences that would normally be required to be heard by a jury</w:t>
      </w:r>
      <w:r>
        <w:t xml:space="preserve">—to </w:t>
      </w:r>
      <w:r w:rsidRPr="00C81080">
        <w:t xml:space="preserve">expire on 31 December 2020, unless another date is prescribed by regulation. </w:t>
      </w:r>
      <w:r>
        <w:t xml:space="preserve">The bill proposes to amend </w:t>
      </w:r>
      <w:r w:rsidRPr="00C81080">
        <w:t xml:space="preserve">the expiry provision for the measure to provide for expiry on 30 June 2021. The </w:t>
      </w:r>
      <w:r>
        <w:t xml:space="preserve">extended timeframe for the </w:t>
      </w:r>
      <w:r w:rsidRPr="00C81080">
        <w:t xml:space="preserve">measure </w:t>
      </w:r>
      <w:r>
        <w:t xml:space="preserve">is to </w:t>
      </w:r>
      <w:r w:rsidRPr="00C81080">
        <w:t xml:space="preserve">assist the </w:t>
      </w:r>
      <w:r>
        <w:t xml:space="preserve">Court </w:t>
      </w:r>
      <w:r w:rsidRPr="00C81080">
        <w:t>in rescheduling trials and to avoid a bac</w:t>
      </w:r>
      <w:r>
        <w:t xml:space="preserve">klog </w:t>
      </w:r>
      <w:r w:rsidRPr="00C81080">
        <w:t>in trials developing at a time when COVID</w:t>
      </w:r>
      <w:r>
        <w:t>-19</w:t>
      </w:r>
      <w:r w:rsidRPr="00C81080">
        <w:t xml:space="preserve"> physical distancing measures require two courtrooms for each trial</w:t>
      </w:r>
      <w:r>
        <w:t xml:space="preserve"> </w:t>
      </w:r>
      <w:r w:rsidRPr="00FC4095">
        <w:t>[Chief Minister’s Presentation Statement—COVID-19 Emergency Response Legislation Amendment Bill 2020 (No 3), p. 42]</w:t>
      </w:r>
      <w:r w:rsidRPr="00C81080">
        <w:t xml:space="preserve">. </w:t>
      </w:r>
    </w:p>
  </w:footnote>
  <w:footnote w:id="14">
    <w:p w14:paraId="233F5B55" w14:textId="71196FD5" w:rsidR="00AF012D" w:rsidRDefault="00AF012D">
      <w:pPr>
        <w:pStyle w:val="FootnoteText"/>
      </w:pPr>
      <w:r>
        <w:rPr>
          <w:rStyle w:val="FootnoteReference"/>
        </w:rPr>
        <w:footnoteRef/>
      </w:r>
      <w:r>
        <w:t xml:space="preserve"> Under sections 182 and 185—</w:t>
      </w:r>
      <w:r w:rsidRPr="00D83D72">
        <w:t xml:space="preserve">measures </w:t>
      </w:r>
      <w:r>
        <w:t xml:space="preserve">to permit </w:t>
      </w:r>
      <w:r w:rsidRPr="00D83D72">
        <w:t>a single judicial officer to exercise a supervisory function for the Sentence Administration Board in relation to intensive correction orders or parole and constitute quorum at the Board</w:t>
      </w:r>
      <w:r>
        <w:t>’s</w:t>
      </w:r>
      <w:r w:rsidRPr="00D83D72">
        <w:t xml:space="preserve"> meetings during the COVID emergency.</w:t>
      </w:r>
      <w:r>
        <w:t xml:space="preserve"> </w:t>
      </w:r>
      <w:r w:rsidRPr="00D83D72">
        <w:t xml:space="preserve">These measures are no longer needed, as the </w:t>
      </w:r>
      <w:r>
        <w:t>B</w:t>
      </w:r>
      <w:r w:rsidRPr="00D83D72">
        <w:t xml:space="preserve">oard has been able to adopt the use of an audio-visual link to carry out its functions, </w:t>
      </w:r>
      <w:r>
        <w:t xml:space="preserve">as the </w:t>
      </w:r>
      <w:r w:rsidRPr="00D83D72">
        <w:t>need arises</w:t>
      </w:r>
      <w:r>
        <w:t xml:space="preserve"> [Chief Minister’s Presentation Statement—</w:t>
      </w:r>
      <w:r w:rsidRPr="00FC4095">
        <w:t>COVID-19 Emergency Response Legislation Amendment Bill 2020 (No 3)</w:t>
      </w:r>
      <w:r>
        <w:t>, p. 43]</w:t>
      </w:r>
      <w:r w:rsidRPr="00D83D72">
        <w:t>.</w:t>
      </w:r>
    </w:p>
  </w:footnote>
  <w:footnote w:id="15">
    <w:p w14:paraId="49398E78" w14:textId="2E8EB4BC" w:rsidR="00AF012D" w:rsidRDefault="00AF012D">
      <w:pPr>
        <w:pStyle w:val="FootnoteText"/>
      </w:pPr>
      <w:r>
        <w:rPr>
          <w:rStyle w:val="FootnoteReference"/>
        </w:rPr>
        <w:footnoteRef/>
      </w:r>
      <w:r>
        <w:t xml:space="preserve"> </w:t>
      </w:r>
      <w:bookmarkStart w:id="70" w:name="_Hlk63074260"/>
      <w:r>
        <w:t>Mr Andrew Barr MLA, Presentation Statement</w:t>
      </w:r>
      <w:bookmarkStart w:id="71" w:name="_Hlk63073570"/>
      <w:r>
        <w:t>—</w:t>
      </w:r>
      <w:r w:rsidRPr="00106745">
        <w:t>COVID-19 Emergency Response Legislation Amendment Bill 2020 (No 3)</w:t>
      </w:r>
      <w:bookmarkEnd w:id="71"/>
      <w:r>
        <w:t xml:space="preserve">, ACT Legislative Assembly, </w:t>
      </w:r>
      <w:r w:rsidRPr="00106745">
        <w:rPr>
          <w:i/>
          <w:iCs/>
        </w:rPr>
        <w:t>Hansard</w:t>
      </w:r>
      <w:r>
        <w:t>, 2 December 2020, p. 43.</w:t>
      </w:r>
      <w:bookmarkEnd w:id="70"/>
    </w:p>
  </w:footnote>
  <w:footnote w:id="16">
    <w:p w14:paraId="5BFFF240" w14:textId="0C3B1CF6" w:rsidR="00AF012D" w:rsidRDefault="00AF012D">
      <w:pPr>
        <w:pStyle w:val="FootnoteText"/>
      </w:pPr>
      <w:r>
        <w:rPr>
          <w:rStyle w:val="FootnoteReference"/>
        </w:rPr>
        <w:footnoteRef/>
      </w:r>
      <w:r>
        <w:t xml:space="preserve"> </w:t>
      </w:r>
      <w:bookmarkStart w:id="72" w:name="_Hlk61286131"/>
      <w:r>
        <w:t>Mr Andrew Barr MLA, Presentation Statement—</w:t>
      </w:r>
      <w:r w:rsidRPr="00106745">
        <w:t>COVID-19 Emergency Response Legislation Amendment Bill 2020 (No 3)</w:t>
      </w:r>
      <w:r>
        <w:t xml:space="preserve">, ACT Legislative Assembly, </w:t>
      </w:r>
      <w:r w:rsidRPr="00106745">
        <w:rPr>
          <w:i/>
          <w:iCs/>
        </w:rPr>
        <w:t>Hansard</w:t>
      </w:r>
      <w:r>
        <w:t>, 2 December 2020, p. 43.</w:t>
      </w:r>
      <w:bookmarkEnd w:id="72"/>
    </w:p>
  </w:footnote>
  <w:footnote w:id="17">
    <w:p w14:paraId="1ABF831C" w14:textId="7D57A165" w:rsidR="00AF012D" w:rsidRDefault="00AF012D">
      <w:pPr>
        <w:pStyle w:val="FootnoteText"/>
      </w:pPr>
      <w:r>
        <w:rPr>
          <w:rStyle w:val="FootnoteReference"/>
        </w:rPr>
        <w:footnoteRef/>
      </w:r>
      <w:r>
        <w:t xml:space="preserve"> </w:t>
      </w:r>
      <w:r w:rsidRPr="00487A22">
        <w:t xml:space="preserve">These amendments repeal sections 60B and 60C of the </w:t>
      </w:r>
      <w:r>
        <w:t>A</w:t>
      </w:r>
      <w:r w:rsidRPr="00487A22">
        <w:t>ct, which extended registrations due to end during the COVID-19 emergency period to a single fixed date six months after the end of the emergency.</w:t>
      </w:r>
    </w:p>
  </w:footnote>
  <w:footnote w:id="18">
    <w:p w14:paraId="3BF7A8EB" w14:textId="5F16BDDA" w:rsidR="00AF012D" w:rsidRDefault="00AF012D">
      <w:pPr>
        <w:pStyle w:val="FootnoteText"/>
      </w:pPr>
      <w:r>
        <w:rPr>
          <w:rStyle w:val="FootnoteReference"/>
        </w:rPr>
        <w:footnoteRef/>
      </w:r>
      <w:r>
        <w:t xml:space="preserve"> Mr Andrew Barr MLA, Presentation Statement—</w:t>
      </w:r>
      <w:r w:rsidRPr="00106745">
        <w:t>COVID-19 Emergency Response Legislation Amendment Bill 2020 (No 3)</w:t>
      </w:r>
      <w:r>
        <w:t xml:space="preserve">, ACT Legislative Assembly, </w:t>
      </w:r>
      <w:r w:rsidRPr="00106745">
        <w:rPr>
          <w:i/>
          <w:iCs/>
        </w:rPr>
        <w:t>Hansard</w:t>
      </w:r>
      <w:r>
        <w:t>, 2 December 2020, p. 43.</w:t>
      </w:r>
    </w:p>
  </w:footnote>
  <w:footnote w:id="19">
    <w:p w14:paraId="3D7305B2" w14:textId="7B6F397F" w:rsidR="00AF012D" w:rsidRDefault="00AF012D">
      <w:pPr>
        <w:pStyle w:val="FootnoteText"/>
      </w:pPr>
      <w:r>
        <w:rPr>
          <w:rStyle w:val="FootnoteReference"/>
        </w:rPr>
        <w:footnoteRef/>
      </w:r>
      <w:r>
        <w:t xml:space="preserve"> COVID-19 and States of Emergency Symposium—6 April to 26 May 2020, hosted by </w:t>
      </w:r>
      <w:bookmarkStart w:id="78" w:name="_Hlk61346140"/>
      <w:r>
        <w:t>Verfassungsblog</w:t>
      </w:r>
      <w:bookmarkEnd w:id="78"/>
      <w:r>
        <w:t xml:space="preserve"> and Democracy Reporting International, convened by Joelle Grogan, Middlesex University, London, UK.</w:t>
      </w:r>
    </w:p>
  </w:footnote>
  <w:footnote w:id="20">
    <w:p w14:paraId="617CDA20" w14:textId="4522FD82" w:rsidR="00AF012D" w:rsidRDefault="00AF012D">
      <w:pPr>
        <w:pStyle w:val="FootnoteText"/>
      </w:pPr>
      <w:r>
        <w:rPr>
          <w:rStyle w:val="FootnoteReference"/>
        </w:rPr>
        <w:footnoteRef/>
      </w:r>
      <w:r>
        <w:t xml:space="preserve"> </w:t>
      </w:r>
      <w:r w:rsidRPr="000E4651">
        <w:t>UK Hansard Society—Procedure under Coronavirus restrictions: written evidence to the House of Commons Procedure Committee, April 2020—&lt;https://www.hansardsociety.org.uk/publications/submissions/procedure-under-coronavirus-restrictions-written-evidence-to-the-house-of-commons-procedure-committee&gt;.</w:t>
      </w:r>
    </w:p>
  </w:footnote>
  <w:footnote w:id="21">
    <w:p w14:paraId="4A770495" w14:textId="2B853E3D" w:rsidR="00AF012D" w:rsidRDefault="00AF012D">
      <w:pPr>
        <w:pStyle w:val="FootnoteText"/>
      </w:pPr>
      <w:r>
        <w:rPr>
          <w:rStyle w:val="FootnoteReference"/>
        </w:rPr>
        <w:footnoteRef/>
      </w:r>
      <w:r>
        <w:t xml:space="preserve"> Grogan, J. (2020) States of Emergency, </w:t>
      </w:r>
      <w:r w:rsidRPr="00F174BB">
        <w:t>Verfassungsblog</w:t>
      </w:r>
      <w:r>
        <w:t>,</w:t>
      </w:r>
      <w:r w:rsidRPr="00F174BB">
        <w:t xml:space="preserve"> </w:t>
      </w:r>
      <w:r>
        <w:t>26 May&lt;v</w:t>
      </w:r>
      <w:r w:rsidRPr="00F174BB">
        <w:t>erfassungsblog</w:t>
      </w:r>
      <w:r>
        <w:t>.de/states-of-emergency/&gt;, p. 4.</w:t>
      </w:r>
    </w:p>
  </w:footnote>
  <w:footnote w:id="22">
    <w:p w14:paraId="16CA8E5A" w14:textId="5F301D72" w:rsidR="00AF012D" w:rsidRDefault="00AF012D">
      <w:pPr>
        <w:pStyle w:val="FootnoteText"/>
      </w:pPr>
      <w:r>
        <w:rPr>
          <w:rStyle w:val="FootnoteReference"/>
        </w:rPr>
        <w:footnoteRef/>
      </w:r>
      <w:r>
        <w:t xml:space="preserve"> </w:t>
      </w:r>
      <w:bookmarkStart w:id="80" w:name="_Hlk61346494"/>
      <w:r>
        <w:t xml:space="preserve">Ibid, p. 11. </w:t>
      </w:r>
      <w:bookmarkEnd w:id="80"/>
    </w:p>
  </w:footnote>
  <w:footnote w:id="23">
    <w:p w14:paraId="096E2390" w14:textId="56BC2B5D" w:rsidR="00AF012D" w:rsidRDefault="00AF012D">
      <w:pPr>
        <w:pStyle w:val="FootnoteText"/>
      </w:pPr>
      <w:r>
        <w:rPr>
          <w:rStyle w:val="FootnoteReference"/>
        </w:rPr>
        <w:footnoteRef/>
      </w:r>
      <w:r>
        <w:t xml:space="preserve"> C</w:t>
      </w:r>
      <w:r w:rsidRPr="00A423AC">
        <w:t>onsider whether the clauses of bills (and amendments proposed by the Government to its own bills) introduced into the Assembly:</w:t>
      </w:r>
      <w:r>
        <w:t xml:space="preserve"> </w:t>
      </w:r>
      <w:r w:rsidRPr="00A423AC">
        <w:t>(i) unduly trespass on personal rights and liberties; (ii) make rights, liberties and/or obligations unduly dependent upon insufficiently defined administrative powers; (iii) make rights, liberties and/or obligations unduly dependent upon non-reviewable decisions; (iv) inappropriately delegate legislative powers; or</w:t>
      </w:r>
      <w:r>
        <w:t xml:space="preserve"> </w:t>
      </w:r>
      <w:r w:rsidRPr="00A423AC">
        <w:t>(v) insufficiently subject the exercise of legislative power to parliamentary scrutiny; and</w:t>
      </w:r>
      <w:r>
        <w:t xml:space="preserve"> </w:t>
      </w:r>
      <w:r w:rsidRPr="00A423AC">
        <w:t>(vi) consider whether any explanatory statement associated with legislation meets the technical or stylistic standards expected by the Assembly</w:t>
      </w:r>
      <w:r>
        <w:t xml:space="preserve"> [Refer Standing Committee on Justice and Community Safety (Legislative Scrutiny Role)—homepage&lt;</w:t>
      </w:r>
      <w:r w:rsidRPr="00566FA2">
        <w:t>https://www.parliament.act.gov.au/parliamentary-business/in-committees/committees/JCS_Scrutiny</w:t>
      </w:r>
      <w:r>
        <w:t>&gt;].</w:t>
      </w:r>
    </w:p>
  </w:footnote>
  <w:footnote w:id="24">
    <w:p w14:paraId="5131B0A9" w14:textId="4D0D6CA3" w:rsidR="00AF012D" w:rsidRDefault="00AF012D">
      <w:pPr>
        <w:pStyle w:val="FootnoteText"/>
      </w:pPr>
      <w:r>
        <w:rPr>
          <w:rStyle w:val="FootnoteReference"/>
        </w:rPr>
        <w:footnoteRef/>
      </w:r>
      <w:r>
        <w:t xml:space="preserve"> C</w:t>
      </w:r>
      <w:r w:rsidRPr="00DD7483">
        <w:t>onsider whether any instrument of a legislative nature made under an Act which is subject to disallowance and/or disapproval by the Assembly (including a regulation, rule or by-law): (i) is in accord with the general objects of the Act under which it is made; (ii) unduly trespasses on rights previously established by law; (iii) makes rights, liberties and/or obligations unduly dependent upon non-reviewable decisions; or (iv) contains matter which in the opinion of the Committee should properly be dealt with in an Act of the Legislative Assembly</w:t>
      </w:r>
      <w:r>
        <w:t xml:space="preserve"> </w:t>
      </w:r>
      <w:bookmarkStart w:id="87" w:name="_Hlk63073962"/>
      <w:r>
        <w:t>[Refer Standing Committee on Justice and Community Safety (Legislative Scrutiny Role)—homepage&lt;</w:t>
      </w:r>
      <w:r w:rsidRPr="00566FA2">
        <w:t>https://www.parliament.act.gov.au/parliamentary-business/in-committees/committees/JCS_Scrutiny</w:t>
      </w:r>
      <w:r>
        <w:t>&gt;]</w:t>
      </w:r>
      <w:bookmarkEnd w:id="87"/>
      <w:r>
        <w:t xml:space="preserve">. </w:t>
      </w:r>
      <w:bookmarkStart w:id="88" w:name="_Hlk62458763"/>
    </w:p>
    <w:bookmarkEnd w:id="88"/>
  </w:footnote>
  <w:footnote w:id="25">
    <w:p w14:paraId="05B71A15" w14:textId="64A78D00" w:rsidR="00AF012D" w:rsidRDefault="00AF012D">
      <w:pPr>
        <w:pStyle w:val="FootnoteText"/>
      </w:pPr>
      <w:r>
        <w:rPr>
          <w:rStyle w:val="FootnoteReference"/>
        </w:rPr>
        <w:footnoteRef/>
      </w:r>
      <w:r>
        <w:t xml:space="preserve"> Two months after presentation of the Bill.  </w:t>
      </w:r>
    </w:p>
  </w:footnote>
  <w:footnote w:id="26">
    <w:p w14:paraId="2830DE89" w14:textId="572C6114" w:rsidR="00AF012D" w:rsidRDefault="00AF012D">
      <w:pPr>
        <w:pStyle w:val="FootnoteText"/>
      </w:pPr>
      <w:r>
        <w:rPr>
          <w:rStyle w:val="FootnoteReference"/>
        </w:rPr>
        <w:footnoteRef/>
      </w:r>
      <w:r>
        <w:t xml:space="preserve"> Refer </w:t>
      </w:r>
      <w:bookmarkStart w:id="89" w:name="_Hlk61344810"/>
      <w:r>
        <w:t>clause 5 of t</w:t>
      </w:r>
      <w:r w:rsidRPr="00D10C2A">
        <w:t>he Resolution of Establishment for general-purpose standing committees of the 10</w:t>
      </w:r>
      <w:r w:rsidRPr="00D10C2A">
        <w:rPr>
          <w:vertAlign w:val="superscript"/>
        </w:rPr>
        <w:t>th</w:t>
      </w:r>
      <w:r w:rsidRPr="00D10C2A">
        <w:t xml:space="preserve"> Assembly</w:t>
      </w:r>
      <w:bookmarkEnd w:id="89"/>
      <w:r>
        <w:t xml:space="preserve">. </w:t>
      </w:r>
    </w:p>
  </w:footnote>
  <w:footnote w:id="27">
    <w:p w14:paraId="50FB26BB" w14:textId="001DC320" w:rsidR="00AF012D" w:rsidRDefault="00AF012D">
      <w:pPr>
        <w:pStyle w:val="FootnoteText"/>
      </w:pPr>
      <w:r>
        <w:rPr>
          <w:rStyle w:val="FootnoteReference"/>
        </w:rPr>
        <w:footnoteRef/>
      </w:r>
      <w:r>
        <w:t xml:space="preserve"> T</w:t>
      </w:r>
      <w:r w:rsidRPr="005315C1">
        <w:t xml:space="preserve">he </w:t>
      </w:r>
      <w:r>
        <w:t>Scrutiny of Bills C</w:t>
      </w:r>
      <w:r w:rsidRPr="005315C1">
        <w:t>ommittee examines all bills and subordinate legislation presented to the Assembly. It does not comment on policy contained within legislation. Its scrutiny is non-partisan, non-political, and technical</w:t>
      </w:r>
      <w:r>
        <w:t>.  I</w:t>
      </w:r>
      <w:r w:rsidRPr="005315C1">
        <w:t xml:space="preserve">t </w:t>
      </w:r>
      <w:r>
        <w:t xml:space="preserve">assists </w:t>
      </w:r>
      <w:r w:rsidRPr="005315C1">
        <w:t xml:space="preserve">the Assembly </w:t>
      </w:r>
      <w:r>
        <w:t xml:space="preserve">to </w:t>
      </w:r>
      <w:r w:rsidRPr="005315C1">
        <w:t>pass laws which are well-written, follow best practice, and are human rights compli</w:t>
      </w:r>
      <w:r>
        <w:t>a</w:t>
      </w:r>
      <w:r w:rsidRPr="005315C1">
        <w:t>nt</w:t>
      </w:r>
      <w:r>
        <w:t xml:space="preserve"> [Refer Standing Committee on Justice and Community Safety (Legislative Scrutiny Role)—homepage&lt;</w:t>
      </w:r>
      <w:r w:rsidRPr="00566FA2">
        <w:t>https://www.parliament.act.gov.au/parliamentary-business/in-committees/committees/JCS_Scrutiny</w:t>
      </w:r>
      <w:r>
        <w:t>&gt;]</w:t>
      </w:r>
      <w:r w:rsidRPr="005315C1">
        <w:t>.</w:t>
      </w:r>
    </w:p>
  </w:footnote>
  <w:footnote w:id="28">
    <w:p w14:paraId="4A9D84C7" w14:textId="239FEC76" w:rsidR="00AF012D" w:rsidRDefault="00AF012D">
      <w:pPr>
        <w:pStyle w:val="FootnoteText"/>
      </w:pPr>
      <w:r>
        <w:rPr>
          <w:rStyle w:val="FootnoteReference"/>
        </w:rPr>
        <w:footnoteRef/>
      </w:r>
      <w:r>
        <w:t xml:space="preserve"> </w:t>
      </w:r>
      <w:r w:rsidRPr="00EF4B2B">
        <w:t xml:space="preserve">The Committee is required to report on its inquiry by </w:t>
      </w:r>
      <w:r>
        <w:t xml:space="preserve">no later than </w:t>
      </w:r>
      <w:r w:rsidRPr="00EF4B2B">
        <w:t>Tuesday 2 February 2021.</w:t>
      </w:r>
    </w:p>
  </w:footnote>
  <w:footnote w:id="29">
    <w:p w14:paraId="2E5CE7B8" w14:textId="03A1B05C" w:rsidR="00AF012D" w:rsidRDefault="00AF012D">
      <w:pPr>
        <w:pStyle w:val="FootnoteText"/>
      </w:pPr>
      <w:r>
        <w:rPr>
          <w:rStyle w:val="FootnoteReference"/>
        </w:rPr>
        <w:footnoteRef/>
      </w:r>
      <w:r>
        <w:t xml:space="preserve"> Broadly focused on: (i) protecting individual rights and liberties; (ii) keeping government accountable; (iii) maintaining administrative fairness and openness; and (iv) upholding parliamentary propriety. </w:t>
      </w:r>
    </w:p>
  </w:footnote>
  <w:footnote w:id="30">
    <w:p w14:paraId="4A362D2C" w14:textId="77777777" w:rsidR="00AF012D" w:rsidRDefault="00AF012D" w:rsidP="0089372D">
      <w:pPr>
        <w:pStyle w:val="FootnoteText"/>
      </w:pPr>
      <w:r>
        <w:rPr>
          <w:rStyle w:val="FootnoteReference"/>
        </w:rPr>
        <w:footnoteRef/>
      </w:r>
      <w:r>
        <w:t xml:space="preserve"> </w:t>
      </w:r>
      <w:r w:rsidRPr="00A7457D">
        <w:t xml:space="preserve">At section 3(1) </w:t>
      </w:r>
      <w:r w:rsidRPr="00A7457D">
        <w:rPr>
          <w:i/>
          <w:iCs/>
        </w:rPr>
        <w:t>COVID-19 Emergency Response Act 2020</w:t>
      </w:r>
      <w:r w:rsidRPr="00A7457D">
        <w:t>—effective for reporting from 2021.</w:t>
      </w:r>
    </w:p>
  </w:footnote>
  <w:footnote w:id="31">
    <w:p w14:paraId="469D1CD0" w14:textId="1CD727D4" w:rsidR="00AF012D" w:rsidRDefault="00AF012D">
      <w:pPr>
        <w:pStyle w:val="FootnoteText"/>
      </w:pPr>
      <w:r>
        <w:rPr>
          <w:rStyle w:val="FootnoteReference"/>
        </w:rPr>
        <w:footnoteRef/>
      </w:r>
      <w:r>
        <w:t xml:space="preserve"> </w:t>
      </w:r>
      <w:r w:rsidRPr="00E46857">
        <w:t xml:space="preserve">Explanatory </w:t>
      </w:r>
      <w:r>
        <w:t>S</w:t>
      </w:r>
      <w:r w:rsidRPr="00E46857">
        <w:t>tatement</w:t>
      </w:r>
      <w:r>
        <w:t>—</w:t>
      </w:r>
      <w:bookmarkStart w:id="97" w:name="_Hlk61342538"/>
      <w:r w:rsidRPr="001B35D9">
        <w:t>COVID-19 Emergency Response Legislation Amendment Bill 2020 (No 3</w:t>
      </w:r>
      <w:bookmarkEnd w:id="97"/>
      <w:r w:rsidRPr="001B35D9">
        <w:t>)</w:t>
      </w:r>
      <w:r>
        <w:t>, p. 22.</w:t>
      </w:r>
    </w:p>
  </w:footnote>
  <w:footnote w:id="32">
    <w:p w14:paraId="67D1AC52" w14:textId="77777777" w:rsidR="00AF012D" w:rsidRDefault="00AF012D" w:rsidP="0089372D">
      <w:pPr>
        <w:pStyle w:val="FootnoteText"/>
      </w:pPr>
      <w:r>
        <w:rPr>
          <w:rStyle w:val="FootnoteReference"/>
        </w:rPr>
        <w:footnoteRef/>
      </w:r>
      <w:r>
        <w:t xml:space="preserve"> </w:t>
      </w:r>
      <w:bookmarkStart w:id="99" w:name="_Hlk61349906"/>
      <w:r>
        <w:t>Mr Andrew Barr MLA, Presentation Statement—</w:t>
      </w:r>
      <w:r w:rsidRPr="00106745">
        <w:t>COVID-19 Emergency Response Legislation Amendment Bill 2020 (No 3)</w:t>
      </w:r>
      <w:r>
        <w:t xml:space="preserve">, ACT Legislative Assembly, </w:t>
      </w:r>
      <w:r w:rsidRPr="00106745">
        <w:rPr>
          <w:i/>
          <w:iCs/>
        </w:rPr>
        <w:t>Hansard</w:t>
      </w:r>
      <w:r>
        <w:t>, 2 December 2020, p. 43.</w:t>
      </w:r>
    </w:p>
    <w:bookmarkEnd w:id="99"/>
  </w:footnote>
  <w:footnote w:id="33">
    <w:p w14:paraId="1B82F9FC" w14:textId="5FD62426" w:rsidR="00AF012D" w:rsidRDefault="00AF012D">
      <w:pPr>
        <w:pStyle w:val="FootnoteText"/>
      </w:pPr>
      <w:r>
        <w:rPr>
          <w:rStyle w:val="FootnoteReference"/>
        </w:rPr>
        <w:footnoteRef/>
      </w:r>
      <w:r>
        <w:t xml:space="preserve"> 10 December 2020.</w:t>
      </w:r>
    </w:p>
  </w:footnote>
  <w:footnote w:id="34">
    <w:p w14:paraId="09F2042A" w14:textId="5200E391" w:rsidR="00AF012D" w:rsidRDefault="00AF012D">
      <w:pPr>
        <w:pStyle w:val="FootnoteText"/>
      </w:pPr>
      <w:r>
        <w:rPr>
          <w:rStyle w:val="FootnoteReference"/>
        </w:rPr>
        <w:footnoteRef/>
      </w:r>
      <w:r>
        <w:t xml:space="preserve"> </w:t>
      </w:r>
      <w:bookmarkStart w:id="100" w:name="_Hlk62137571"/>
      <w:bookmarkStart w:id="101" w:name="_Hlk61648972"/>
      <w:r>
        <w:t xml:space="preserve">Mr Andrew Barr MLA, Correspondence to the Standing Committee on Economy and Gender and Economic Equality, 15 January 2021. </w:t>
      </w:r>
      <w:bookmarkEnd w:id="100"/>
    </w:p>
    <w:bookmarkEnd w:id="101"/>
  </w:footnote>
  <w:footnote w:id="35">
    <w:p w14:paraId="6B3E8740" w14:textId="49B519FD" w:rsidR="00AF012D" w:rsidRDefault="00AF012D">
      <w:pPr>
        <w:pStyle w:val="FootnoteText"/>
      </w:pPr>
      <w:r>
        <w:rPr>
          <w:rStyle w:val="FootnoteReference"/>
        </w:rPr>
        <w:footnoteRef/>
      </w:r>
      <w:r>
        <w:t xml:space="preserve"> Ibid. </w:t>
      </w:r>
    </w:p>
  </w:footnote>
  <w:footnote w:id="36">
    <w:p w14:paraId="31D61B90" w14:textId="1B9E9C6A" w:rsidR="00AF012D" w:rsidRDefault="00AF012D">
      <w:pPr>
        <w:pStyle w:val="FootnoteText"/>
      </w:pPr>
      <w:r>
        <w:rPr>
          <w:rStyle w:val="FootnoteReference"/>
        </w:rPr>
        <w:footnoteRef/>
      </w:r>
      <w:r>
        <w:t xml:space="preserve"> </w:t>
      </w:r>
      <w:bookmarkStart w:id="102" w:name="_Hlk62138010"/>
      <w:r>
        <w:t>Ibid.</w:t>
      </w:r>
      <w:bookmarkEnd w:id="102"/>
    </w:p>
  </w:footnote>
  <w:footnote w:id="37">
    <w:p w14:paraId="792CF88A" w14:textId="4FD5C2D0" w:rsidR="00AF012D" w:rsidRDefault="00AF012D">
      <w:pPr>
        <w:pStyle w:val="FootnoteText"/>
      </w:pPr>
      <w:r>
        <w:rPr>
          <w:rStyle w:val="FootnoteReference"/>
        </w:rPr>
        <w:footnoteRef/>
      </w:r>
      <w:r>
        <w:t xml:space="preserve"> Ibid.</w:t>
      </w:r>
    </w:p>
  </w:footnote>
  <w:footnote w:id="38">
    <w:p w14:paraId="75047568" w14:textId="32CBCC01" w:rsidR="00AF012D" w:rsidRDefault="00AF012D">
      <w:pPr>
        <w:pStyle w:val="FootnoteText"/>
      </w:pPr>
      <w:r>
        <w:rPr>
          <w:rStyle w:val="FootnoteReference"/>
        </w:rPr>
        <w:footnoteRef/>
      </w:r>
      <w:r>
        <w:t xml:space="preserve"> Mr Andrew Barr MLA, Presentation Statement—</w:t>
      </w:r>
      <w:r w:rsidRPr="00106745">
        <w:t>COVID-19 Emergency Response Legislation Amendment Bill 2020 (No 3)</w:t>
      </w:r>
      <w:r>
        <w:t xml:space="preserve">, ACT Legislative Assembly, </w:t>
      </w:r>
      <w:r w:rsidRPr="00106745">
        <w:rPr>
          <w:i/>
          <w:iCs/>
        </w:rPr>
        <w:t>Hansard</w:t>
      </w:r>
      <w:r>
        <w:t>, 2 December 2020, p. 43.</w:t>
      </w:r>
    </w:p>
  </w:footnote>
  <w:footnote w:id="39">
    <w:p w14:paraId="636B9406" w14:textId="77777777" w:rsidR="00AF012D" w:rsidRDefault="00AF012D" w:rsidP="00AB2965">
      <w:pPr>
        <w:pStyle w:val="FootnoteText"/>
      </w:pPr>
      <w:r>
        <w:rPr>
          <w:rStyle w:val="FootnoteReference"/>
        </w:rPr>
        <w:footnoteRef/>
      </w:r>
      <w:r>
        <w:t xml:space="preserve"> Under sections 182 and 185—</w:t>
      </w:r>
      <w:r w:rsidRPr="00D83D72">
        <w:t xml:space="preserve">measures </w:t>
      </w:r>
      <w:r>
        <w:t xml:space="preserve">to permit </w:t>
      </w:r>
      <w:r w:rsidRPr="00D83D72">
        <w:t>a single judicial officer to exercise a supervisory function for the Sentence Administration Board in relation to intensive correction orders or parole and constitute quorum at the Board</w:t>
      </w:r>
      <w:r>
        <w:t>’s</w:t>
      </w:r>
      <w:r w:rsidRPr="00D83D72">
        <w:t xml:space="preserve"> meetings during the COVID emergency.</w:t>
      </w:r>
      <w:r>
        <w:t xml:space="preserve"> </w:t>
      </w:r>
      <w:r w:rsidRPr="00D83D72">
        <w:t xml:space="preserve">These measures are no longer needed, as the </w:t>
      </w:r>
      <w:r>
        <w:t>B</w:t>
      </w:r>
      <w:r w:rsidRPr="00D83D72">
        <w:t xml:space="preserve">oard has been able to adopt the use of an audio-visual link to carry out its functions, </w:t>
      </w:r>
      <w:r>
        <w:t xml:space="preserve">as the </w:t>
      </w:r>
      <w:r w:rsidRPr="00D83D72">
        <w:t>need arises.</w:t>
      </w:r>
    </w:p>
  </w:footnote>
  <w:footnote w:id="40">
    <w:p w14:paraId="26413E29" w14:textId="1F2F8913" w:rsidR="00AF012D" w:rsidRDefault="00AF012D">
      <w:pPr>
        <w:pStyle w:val="FootnoteText"/>
      </w:pPr>
      <w:r>
        <w:rPr>
          <w:rStyle w:val="FootnoteReference"/>
        </w:rPr>
        <w:footnoteRef/>
      </w:r>
      <w:r>
        <w:t xml:space="preserve"> </w:t>
      </w:r>
      <w:r w:rsidRPr="00F12C2E">
        <w:rPr>
          <w:i/>
          <w:iCs/>
        </w:rPr>
        <w:t>Crimes (Sentence Administration) Act 2005</w:t>
      </w:r>
      <w:r>
        <w:rPr>
          <w:i/>
          <w:iCs/>
        </w:rPr>
        <w:t>.</w:t>
      </w:r>
    </w:p>
  </w:footnote>
  <w:footnote w:id="41">
    <w:p w14:paraId="333DEF29" w14:textId="77777777" w:rsidR="00AF012D" w:rsidRDefault="00AF012D" w:rsidP="009F38DD">
      <w:pPr>
        <w:pStyle w:val="FootnoteText"/>
      </w:pPr>
      <w:r>
        <w:rPr>
          <w:rStyle w:val="FootnoteReference"/>
        </w:rPr>
        <w:footnoteRef/>
      </w:r>
      <w:r>
        <w:t xml:space="preserve"> COVID-19 and States of Emergency Symposium—6 April to 26 May 2020, hosted by Verfassungsblog and Democracy Reporting International, convened by Joelle Grogan, Middlesex University, London, UK.</w:t>
      </w:r>
    </w:p>
  </w:footnote>
  <w:footnote w:id="42">
    <w:p w14:paraId="61F9BD19" w14:textId="76284C92" w:rsidR="00AF012D" w:rsidRDefault="00AF012D">
      <w:pPr>
        <w:pStyle w:val="FootnoteText"/>
      </w:pPr>
      <w:r>
        <w:rPr>
          <w:rStyle w:val="FootnoteReference"/>
        </w:rPr>
        <w:footnoteRef/>
      </w:r>
      <w:r>
        <w:t xml:space="preserve"> Refer </w:t>
      </w:r>
      <w:r w:rsidRPr="00762FB1">
        <w:t>clause 5 of the Resolution of Establishment for general-purpose standing committees</w:t>
      </w:r>
      <w:r>
        <w:t xml:space="preserve"> (passed by the Assembly, 2 December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6CF9" w14:textId="51B9D299" w:rsidR="00AF012D" w:rsidRDefault="00AF012D" w:rsidP="00A8688C">
    <w:pPr>
      <w:pStyle w:val="Header"/>
      <w:ind w:left="0" w:right="357" w:firstLine="6"/>
    </w:pPr>
  </w:p>
  <w:p w14:paraId="4494506B" w14:textId="77777777" w:rsidR="00AF012D" w:rsidRDefault="00AF012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72BB1" w14:textId="41A9E5D0" w:rsidR="00AF012D" w:rsidRDefault="00AF012D" w:rsidP="003C0064">
    <w:pPr>
      <w:pStyle w:val="Header"/>
      <w:ind w:left="0" w:right="357" w:firstLine="6"/>
    </w:pPr>
    <w:r>
      <w:fldChar w:fldCharType="begin"/>
    </w:r>
    <w:r>
      <w:instrText xml:space="preserve"> STYLEREF "Committee name"</w:instrText>
    </w:r>
    <w:r>
      <w:fldChar w:fldCharType="separate"/>
    </w:r>
    <w:r w:rsidR="00357920">
      <w:rPr>
        <w:noProof/>
      </w:rPr>
      <w:t>Standing Committee on Economy and Gender and Economic Equality</w:t>
    </w:r>
    <w:r>
      <w:rPr>
        <w:noProof/>
      </w:rPr>
      <w:fldChar w:fldCharType="end"/>
    </w:r>
  </w:p>
  <w:p w14:paraId="20C3F613" w14:textId="77777777" w:rsidR="00AF012D" w:rsidRDefault="00357920" w:rsidP="003C0064">
    <w:r>
      <w:pict w14:anchorId="627C3C6E">
        <v:rect id="_x0000_i1029" style="width:0;height:1.5pt" o:hralign="center" o:hrstd="t" o:hr="t" fillcolor="gray" stroked="f"/>
      </w:pict>
    </w:r>
  </w:p>
  <w:p w14:paraId="0B65E8E7" w14:textId="3BE8867D" w:rsidR="00AF012D" w:rsidRPr="003C0064" w:rsidRDefault="00AF012D" w:rsidP="003C006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23A62" w14:textId="7270F630" w:rsidR="00AF012D" w:rsidRDefault="00357920" w:rsidP="00E32F7E">
    <w:pPr>
      <w:pStyle w:val="Header"/>
      <w:ind w:left="284" w:firstLine="0"/>
      <w:jc w:val="right"/>
    </w:pPr>
    <w:r>
      <w:fldChar w:fldCharType="begin"/>
    </w:r>
    <w:r>
      <w:instrText xml:space="preserve"> STYLEREF  "Report title" </w:instrText>
    </w:r>
    <w:r>
      <w:fldChar w:fldCharType="separate"/>
    </w:r>
    <w:r>
      <w:rPr>
        <w:noProof/>
      </w:rPr>
      <w:t>Inquiry into COVID-19 Emergency Response Legislation Amendment Bill 2020 (No 3)</w:t>
    </w:r>
    <w:r>
      <w:rPr>
        <w:noProof/>
      </w:rPr>
      <w:fldChar w:fldCharType="end"/>
    </w:r>
    <w:r w:rsidR="00AF012D">
      <w:t xml:space="preserve"> </w:t>
    </w:r>
  </w:p>
  <w:p w14:paraId="41F6930C" w14:textId="77777777" w:rsidR="00AF012D" w:rsidRDefault="00357920" w:rsidP="00AC22A0">
    <w:pPr>
      <w:pStyle w:val="Header"/>
      <w:ind w:left="0" w:firstLine="0"/>
      <w:jc w:val="right"/>
    </w:pPr>
    <w:r>
      <w:pict w14:anchorId="6C76AF5B">
        <v:rect id="_x0000_i1030" style="width:0;height:1.5pt" o:hralign="center" o:hrstd="t" o:hr="t" fillcolor="gray" stroked="f"/>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9AC2" w14:textId="78F987E1" w:rsidR="00AF012D" w:rsidRDefault="00AF01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C4D5E" w14:textId="58750BF4" w:rsidR="00AF012D" w:rsidRDefault="00AF01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75E00" w14:textId="0B629F80" w:rsidR="00AF012D" w:rsidRDefault="00357920">
    <w:pPr>
      <w:pStyle w:val="Header"/>
      <w:jc w:val="right"/>
    </w:pPr>
    <w:r>
      <w:fldChar w:fldCharType="begin"/>
    </w:r>
    <w:r>
      <w:instrText xml:space="preserve"> STYLEREF  "Report title" </w:instrText>
    </w:r>
    <w:r>
      <w:fldChar w:fldCharType="separate"/>
    </w:r>
    <w:r>
      <w:rPr>
        <w:noProof/>
      </w:rPr>
      <w:t>Inquiry into COVID-19 Emergency Response Legislation Amendment Bill 2020 (No 3)</w:t>
    </w:r>
    <w:r>
      <w:rPr>
        <w:noProof/>
      </w:rPr>
      <w:fldChar w:fldCharType="end"/>
    </w:r>
    <w:r w:rsidR="00AF012D">
      <w:t xml:space="preserve"> </w:t>
    </w:r>
  </w:p>
  <w:p w14:paraId="10BE2335" w14:textId="77777777" w:rsidR="00AF012D" w:rsidRDefault="00357920" w:rsidP="00AC22A0">
    <w:pPr>
      <w:pStyle w:val="Header"/>
      <w:ind w:left="0" w:firstLine="0"/>
      <w:jc w:val="right"/>
    </w:pPr>
    <w:r>
      <w:pict w14:anchorId="39C6D044">
        <v:rect id="_x0000_i1031" style="width:0;height:1.5pt" o:hralign="center" o:hrstd="t" o:hr="t" fillcolor="gray" stroked="f"/>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B400E" w14:textId="1D587B51" w:rsidR="00AF012D" w:rsidRDefault="00AF012D">
    <w:pPr>
      <w:pStyle w:val="Header"/>
    </w:pPr>
    <w:r>
      <w:rPr>
        <w:noProof/>
      </w:rPr>
      <mc:AlternateContent>
        <mc:Choice Requires="wps">
          <w:drawing>
            <wp:anchor distT="0" distB="0" distL="114300" distR="114300" simplePos="0" relativeHeight="251657728" behindDoc="1" locked="0" layoutInCell="0" allowOverlap="1" wp14:anchorId="1B3093E0" wp14:editId="66320CD4">
              <wp:simplePos x="0" y="0"/>
              <wp:positionH relativeFrom="margin">
                <wp:align>center</wp:align>
              </wp:positionH>
              <wp:positionV relativeFrom="margin">
                <wp:align>center</wp:align>
              </wp:positionV>
              <wp:extent cx="6694170" cy="1426210"/>
              <wp:effectExtent l="0" t="1895475" r="0" b="1755140"/>
              <wp:wrapNone/>
              <wp:docPr id="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4170" cy="1426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2680F0" w14:textId="77777777" w:rsidR="00AF012D" w:rsidRDefault="00AF012D" w:rsidP="00B31BD9">
                          <w:pPr>
                            <w:jc w:val="center"/>
                            <w:rPr>
                              <w:sz w:val="24"/>
                            </w:rPr>
                          </w:pPr>
                          <w:r>
                            <w:rPr>
                              <w:rFonts w:cs="Calibri"/>
                              <w:color w:val="C0C0C0"/>
                              <w:sz w:val="2"/>
                              <w:szCs w:val="2"/>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3093E0" id="_x0000_t202" coordsize="21600,21600" o:spt="202" path="m,l,21600r21600,l21600,xe">
              <v:stroke joinstyle="miter"/>
              <v:path gradientshapeok="t" o:connecttype="rect"/>
            </v:shapetype>
            <v:shape id="WordArt 40" o:spid="_x0000_s1026" type="#_x0000_t202" style="position:absolute;left:0;text-align:left;margin-left:0;margin-top:0;width:527.1pt;height:112.3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Z3AgIAAOoDAAAOAAAAZHJzL2Uyb0RvYy54bWysU8Fu2zAMvQ/YPwi6L46DLGuNOEXWrrt0&#10;W4Fm6JmR5NibZWqUEjt/P0pxk2K7DfNBsEj68b1Henkz2FYcDPkGu1Lmk6kUplOom25Xyu+b+3dX&#10;UvgAnYYWO1PKo/HyZvX2zbJ3hZlhja02JBik80XvSlmH4Ios86o2FvwEnek4WSFZCHylXaYJeka3&#10;bTabThdZj6QdoTLec/TulJSrhF9VRoVvVeVNEG0pmVtIJ6VzG89stYRiR+DqRo004B9YWGg6bnqG&#10;uoMAYk/NX1C2UYQeqzBRaDOsqkaZpIHV5NM/1DzV4EzSwuZ4d7bJ/z9Y9fXwSKLRPDspOrA8omd2&#10;dE1BzJM7vfMFFz05LgvDRxxiZVTq3QOqn150eFtDtzNrIuxrA5rZRawxnDRsjo6BU3RjhvBJNzyI&#10;PJqfvcKPQ/OMy522/RfU/AnsA6ZuQ0VWEMbPrq6n8UlhNlAwI57s8TxNbiAUBxeL63n+gVOKc/l8&#10;tpjlSVEGRUSLGhz58NmgFfGllMTrkmDh8OBDZHcpGalGdieeYdgOXBIpb1EfmXTPa1RK/2sPZNiA&#10;vb1F3jpWXRHa0dV4f+m8GZ6B3Ng7MO3H9mWNEoG0T3qcCugfDGRb3s4DtOJ9suBEcSweyZ5QTxNa&#10;s333TVJy4Tkq4YVKAsfljxv7+p6qLr/o6jcAAAD//wMAUEsDBBQABgAIAAAAIQDAABRY3AAAAAYB&#10;AAAPAAAAZHJzL2Rvd25yZXYueG1sTI/NTsMwEITvSLyDtUjcqNNQKhSyqRARhx77I85uvE1C7XWI&#10;nSbl6XG5wGWl0Yxmvs1XkzXiTL1vHSPMZwkI4srplmuE/e794RmED4q1Mo4J4UIeVsXtTa4y7Ube&#10;0HkbahFL2GcKoQmhy6T0VUNW+ZnriKN3dL1VIcq+lrpXYyy3RqZJspRWtRwXGtXRW0PVaTtYBP19&#10;vHSP47hbrzfl8GXasqSPT8T7u+n1BUSgKfyF4Yof0aGITAc3sPbCIMRHwu+9esnTIgVxQEjTxRJk&#10;kcv/+MUPAAAA//8DAFBLAQItABQABgAIAAAAIQC2gziS/gAAAOEBAAATAAAAAAAAAAAAAAAAAAAA&#10;AABbQ29udGVudF9UeXBlc10ueG1sUEsBAi0AFAAGAAgAAAAhADj9If/WAAAAlAEAAAsAAAAAAAAA&#10;AAAAAAAALwEAAF9yZWxzLy5yZWxzUEsBAi0AFAAGAAgAAAAhAHd1dncCAgAA6gMAAA4AAAAAAAAA&#10;AAAAAAAALgIAAGRycy9lMm9Eb2MueG1sUEsBAi0AFAAGAAgAAAAhAMAAFFjcAAAABgEAAA8AAAAA&#10;AAAAAAAAAAAAXAQAAGRycy9kb3ducmV2LnhtbFBLBQYAAAAABAAEAPMAAABlBQAAAAA=&#10;" o:allowincell="f" filled="f" stroked="f">
              <v:stroke joinstyle="round"/>
              <o:lock v:ext="edit" shapetype="t"/>
              <v:textbox style="mso-fit-shape-to-text:t">
                <w:txbxContent>
                  <w:p w14:paraId="602680F0" w14:textId="77777777" w:rsidR="00AF012D" w:rsidRDefault="00AF012D" w:rsidP="00B31BD9">
                    <w:pPr>
                      <w:jc w:val="center"/>
                      <w:rPr>
                        <w:sz w:val="24"/>
                      </w:rPr>
                    </w:pPr>
                    <w:r>
                      <w:rPr>
                        <w:rFonts w:cs="Calibri"/>
                        <w:color w:val="C0C0C0"/>
                        <w:sz w:val="2"/>
                        <w:szCs w:val="2"/>
                      </w:rPr>
                      <w:t>Confidential 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DDBD" w14:textId="455A9F6D" w:rsidR="00AF012D" w:rsidRDefault="00AF01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AC241" w14:textId="40A2F343" w:rsidR="00AF012D" w:rsidRDefault="00AF01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AFE86" w14:textId="465B22F0" w:rsidR="00AF012D" w:rsidRDefault="00AF012D" w:rsidP="00986A4A">
    <w:pPr>
      <w:pStyle w:val="Header"/>
      <w:tabs>
        <w:tab w:val="clear" w:pos="8640"/>
      </w:tabs>
      <w:ind w:left="540" w:right="341" w:hanging="36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A047C" w14:textId="77777777" w:rsidR="00AF012D" w:rsidRDefault="00AF01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23279" w14:textId="2F50A872" w:rsidR="00AF012D" w:rsidRDefault="00357920">
    <w:pPr>
      <w:pStyle w:val="Header"/>
      <w:jc w:val="right"/>
    </w:pPr>
    <w:r>
      <w:fldChar w:fldCharType="begin"/>
    </w:r>
    <w:r>
      <w:instrText xml:space="preserve"> STYLEREF  "Report title" </w:instrText>
    </w:r>
    <w:r>
      <w:fldChar w:fldCharType="separate"/>
    </w:r>
    <w:r>
      <w:rPr>
        <w:noProof/>
      </w:rPr>
      <w:t>Inquiry into COVID-19 Emergency Response Legislation Amendment Bill 2020 (No 3)</w:t>
    </w:r>
    <w:r>
      <w:rPr>
        <w:noProof/>
      </w:rPr>
      <w:fldChar w:fldCharType="end"/>
    </w:r>
    <w:r w:rsidR="00AF012D">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18451" w14:textId="77777777" w:rsidR="00AF012D" w:rsidRDefault="00AF01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C817" w14:textId="6441B104" w:rsidR="00AF012D" w:rsidRDefault="00AF012D" w:rsidP="00A8688C">
    <w:pPr>
      <w:pStyle w:val="Header"/>
      <w:ind w:left="0" w:right="357" w:firstLine="6"/>
    </w:pPr>
    <w:r>
      <w:fldChar w:fldCharType="begin"/>
    </w:r>
    <w:r>
      <w:instrText xml:space="preserve"> STYLEREF "Committee name"</w:instrText>
    </w:r>
    <w:r>
      <w:fldChar w:fldCharType="separate"/>
    </w:r>
    <w:r w:rsidR="00357920">
      <w:rPr>
        <w:noProof/>
      </w:rPr>
      <w:t>Standing Committee on Economy and Gender and Economic Equality</w:t>
    </w:r>
    <w:r>
      <w:rPr>
        <w:noProof/>
      </w:rPr>
      <w:fldChar w:fldCharType="end"/>
    </w:r>
  </w:p>
  <w:p w14:paraId="40251D41" w14:textId="77777777" w:rsidR="00AF012D" w:rsidRDefault="00357920" w:rsidP="00A54473">
    <w:r>
      <w:pict w14:anchorId="2A10C11D">
        <v:rect id="_x0000_i1025" style="width:0;height:1.5pt" o:hralign="center" o:hrstd="t" o:hr="t" fillcolor="gray"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BE16" w14:textId="790EAB4B" w:rsidR="00AF012D" w:rsidRDefault="00AF012D" w:rsidP="00387BBB">
    <w:pPr>
      <w:pStyle w:val="Header"/>
      <w:ind w:left="0" w:right="-19" w:firstLine="0"/>
      <w:jc w:val="right"/>
      <w:rPr>
        <w:rStyle w:val="PageNumber"/>
      </w:rPr>
    </w:pPr>
    <w:r>
      <w:t xml:space="preserve"> </w:t>
    </w:r>
    <w:r w:rsidR="00357920">
      <w:fldChar w:fldCharType="begin"/>
    </w:r>
    <w:r w:rsidR="00357920">
      <w:instrText xml:space="preserve"> STYLEREF  "Report title" </w:instrText>
    </w:r>
    <w:r w:rsidR="00357920">
      <w:fldChar w:fldCharType="separate"/>
    </w:r>
    <w:r w:rsidR="00357920">
      <w:rPr>
        <w:noProof/>
      </w:rPr>
      <w:t>Inquiry into COVID-19 Emergency Response Legislation Amendment Bill 2020 (No 3)</w:t>
    </w:r>
    <w:r w:rsidR="00357920">
      <w:rPr>
        <w:noProof/>
      </w:rPr>
      <w:fldChar w:fldCharType="end"/>
    </w:r>
  </w:p>
  <w:p w14:paraId="108529BD" w14:textId="77777777" w:rsidR="00AF012D" w:rsidRDefault="00357920" w:rsidP="00AC22A0">
    <w:pPr>
      <w:pStyle w:val="Header"/>
      <w:ind w:left="0" w:firstLine="0"/>
      <w:jc w:val="right"/>
    </w:pPr>
    <w:r>
      <w:pict w14:anchorId="5FCD4CFA">
        <v:rect id="_x0000_i1026" style="width:0;height:1.5pt" o:hralign="center" o:hrstd="t" o:hr="t" fillcolor="gray"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00ED" w14:textId="4F7F2EF1" w:rsidR="00AF012D" w:rsidRDefault="00AF01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8ADBD" w14:textId="172109C7" w:rsidR="00AF012D" w:rsidRPr="00C60ED1" w:rsidRDefault="00357920" w:rsidP="00B67C79">
    <w:pPr>
      <w:pStyle w:val="Header"/>
      <w:ind w:right="360"/>
    </w:pPr>
    <w:r>
      <w:fldChar w:fldCharType="begin"/>
    </w:r>
    <w:r>
      <w:instrText xml:space="preserve"> STYLEREF  "Committee name"  \* MERGEFORMAT </w:instrText>
    </w:r>
    <w:r>
      <w:fldChar w:fldCharType="separate"/>
    </w:r>
    <w:r w:rsidRPr="00357920">
      <w:rPr>
        <w:bCs/>
        <w:noProof/>
        <w:lang w:val="en-US"/>
      </w:rPr>
      <w:t>Standing</w:t>
    </w:r>
    <w:r>
      <w:rPr>
        <w:noProof/>
      </w:rPr>
      <w:t xml:space="preserve"> Committee on Economy and Gender and Economic Equality</w:t>
    </w:r>
    <w:r>
      <w:rPr>
        <w:noProof/>
      </w:rPr>
      <w:fldChar w:fldCharType="end"/>
    </w:r>
  </w:p>
  <w:p w14:paraId="541DFAEF" w14:textId="77777777" w:rsidR="00AF012D" w:rsidRDefault="00357920">
    <w:r>
      <w:pict w14:anchorId="620EEBAF">
        <v:rect id="_x0000_i1027" style="width:0;height:1.5pt" o:hralign="center" o:hrstd="t" o:hr="t" fillcolor="gray"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0BCA" w14:textId="30F82512" w:rsidR="00AF012D" w:rsidRDefault="00357920" w:rsidP="00E32F7E">
    <w:pPr>
      <w:pStyle w:val="Header"/>
      <w:ind w:left="284" w:firstLine="0"/>
      <w:jc w:val="right"/>
    </w:pPr>
    <w:r>
      <w:fldChar w:fldCharType="begin"/>
    </w:r>
    <w:r>
      <w:instrText xml:space="preserve"> STYLEREF  "Report title" </w:instrText>
    </w:r>
    <w:r>
      <w:fldChar w:fldCharType="separate"/>
    </w:r>
    <w:r>
      <w:rPr>
        <w:noProof/>
      </w:rPr>
      <w:t>Inquiry into COVID-19 Emergency Response Legislation Amendment Bill 2020 (No 3)</w:t>
    </w:r>
    <w:r>
      <w:rPr>
        <w:noProof/>
      </w:rPr>
      <w:fldChar w:fldCharType="end"/>
    </w:r>
    <w:r w:rsidR="00AF012D" w:rsidRPr="00E32F7E">
      <w:t xml:space="preserve"> </w:t>
    </w:r>
  </w:p>
  <w:p w14:paraId="26872A83" w14:textId="77777777" w:rsidR="00AF012D" w:rsidRDefault="00357920" w:rsidP="00AC22A0">
    <w:pPr>
      <w:pStyle w:val="Header"/>
      <w:ind w:left="0" w:firstLine="0"/>
      <w:jc w:val="right"/>
    </w:pPr>
    <w:r>
      <w:pict w14:anchorId="717482BF">
        <v:rect id="_x0000_i1028" style="width:0;height:1.5pt" o:hralign="center" o:hrstd="t" o:hr="t" fillcolor="gray"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6E2BF" w14:textId="177F40EC" w:rsidR="00AF012D" w:rsidRDefault="00AF0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15:restartNumberingAfterBreak="0">
    <w:nsid w:val="0FD05AB3"/>
    <w:multiLevelType w:val="hybridMultilevel"/>
    <w:tmpl w:val="7C0C5FD2"/>
    <w:lvl w:ilvl="0" w:tplc="DAB04416">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11C84B6C"/>
    <w:multiLevelType w:val="hybridMultilevel"/>
    <w:tmpl w:val="741E00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9F0E75"/>
    <w:multiLevelType w:val="hybridMultilevel"/>
    <w:tmpl w:val="7F463E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AA0269"/>
    <w:multiLevelType w:val="hybridMultilevel"/>
    <w:tmpl w:val="5D66997E"/>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B636A72"/>
    <w:multiLevelType w:val="hybridMultilevel"/>
    <w:tmpl w:val="AC26B0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2529535E"/>
    <w:multiLevelType w:val="hybridMultilevel"/>
    <w:tmpl w:val="18667E50"/>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4A1468E"/>
    <w:multiLevelType w:val="multilevel"/>
    <w:tmpl w:val="E5B29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5442E5"/>
    <w:multiLevelType w:val="hybridMultilevel"/>
    <w:tmpl w:val="1C5C67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BA5DED"/>
    <w:multiLevelType w:val="hybridMultilevel"/>
    <w:tmpl w:val="500C5B6A"/>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3" w15:restartNumberingAfterBreak="0">
    <w:nsid w:val="449551BE"/>
    <w:multiLevelType w:val="hybridMultilevel"/>
    <w:tmpl w:val="482C50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F34367"/>
    <w:multiLevelType w:val="multilevel"/>
    <w:tmpl w:val="1ED09366"/>
    <w:lvl w:ilvl="0">
      <w:start w:val="1"/>
      <w:numFmt w:val="decimal"/>
      <w:lvlText w:val="%1"/>
      <w:lvlJc w:val="left"/>
      <w:pPr>
        <w:tabs>
          <w:tab w:val="num" w:pos="680"/>
        </w:tabs>
        <w:ind w:left="567" w:hanging="567"/>
      </w:pPr>
      <w:rPr>
        <w:rFonts w:ascii="Arial Narrow" w:hAnsi="Arial Narrow" w:hint="default"/>
        <w:b/>
        <w:i w:val="0"/>
        <w:sz w:val="44"/>
      </w:rPr>
    </w:lvl>
    <w:lvl w:ilvl="1">
      <w:start w:val="19"/>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8"/>
      <w:numFmt w:val="none"/>
      <w:lvlRestart w:val="0"/>
      <w:lvlText w:val=""/>
      <w:lvlJc w:val="left"/>
      <w:pPr>
        <w:tabs>
          <w:tab w:val="num" w:pos="720"/>
        </w:tabs>
        <w:ind w:left="454" w:hanging="454"/>
      </w:pPr>
      <w:rPr>
        <w:rFonts w:hint="default"/>
      </w:rPr>
    </w:lvl>
    <w:lvl w:ilvl="3">
      <w:start w:val="36"/>
      <w:numFmt w:val="none"/>
      <w:lvlRestart w:val="0"/>
      <w:lvlText w:val=""/>
      <w:lvlJc w:val="left"/>
      <w:pPr>
        <w:tabs>
          <w:tab w:val="num" w:pos="864"/>
        </w:tabs>
        <w:ind w:left="340" w:hanging="340"/>
      </w:pPr>
      <w:rPr>
        <w:rFonts w:hint="default"/>
      </w:rPr>
    </w:lvl>
    <w:lvl w:ilvl="4">
      <w:start w:val="89"/>
      <w:numFmt w:val="none"/>
      <w:lvlRestart w:val="0"/>
      <w:lvlText w:val=""/>
      <w:lvlJc w:val="left"/>
      <w:pPr>
        <w:tabs>
          <w:tab w:val="num" w:pos="1008"/>
        </w:tabs>
        <w:ind w:left="340" w:hanging="340"/>
      </w:pPr>
      <w:rPr>
        <w:rFonts w:hint="default"/>
      </w:rPr>
    </w:lvl>
    <w:lvl w:ilvl="5">
      <w:start w:val="2"/>
      <w:numFmt w:val="decimal"/>
      <w:lvlRestart w:val="1"/>
      <w:lvlText w:val="%1.%6"/>
      <w:lvlJc w:val="left"/>
      <w:pPr>
        <w:ind w:left="567" w:hanging="567"/>
      </w:pPr>
      <w:rPr>
        <w:rFonts w:ascii="Calibri" w:hAnsi="Calibri" w:hint="default"/>
        <w:sz w:val="22"/>
      </w:rPr>
    </w:lvl>
    <w:lvl w:ilvl="6">
      <w:start w:val="14"/>
      <w:numFmt w:val="decimal"/>
      <w:lvlRestart w:val="0"/>
      <w:lvlText w:val="Recommendation %7"/>
      <w:lvlJc w:val="left"/>
      <w:pPr>
        <w:ind w:left="1135"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3"/>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CEC3461"/>
    <w:multiLevelType w:val="hybridMultilevel"/>
    <w:tmpl w:val="3C74A956"/>
    <w:lvl w:ilvl="0" w:tplc="0C090005">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51DD4ACD"/>
    <w:multiLevelType w:val="hybridMultilevel"/>
    <w:tmpl w:val="4EAEE1B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44114F1"/>
    <w:multiLevelType w:val="hybridMultilevel"/>
    <w:tmpl w:val="414C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E7707B"/>
    <w:multiLevelType w:val="hybridMultilevel"/>
    <w:tmpl w:val="27729904"/>
    <w:lvl w:ilvl="0" w:tplc="6116F4E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60323749"/>
    <w:multiLevelType w:val="hybridMultilevel"/>
    <w:tmpl w:val="6816A0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C73021"/>
    <w:multiLevelType w:val="hybridMultilevel"/>
    <w:tmpl w:val="32FC51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8C3218"/>
    <w:multiLevelType w:val="hybridMultilevel"/>
    <w:tmpl w:val="11845F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B4A0D34"/>
    <w:multiLevelType w:val="hybridMultilevel"/>
    <w:tmpl w:val="910865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E7E0C1E"/>
    <w:multiLevelType w:val="multilevel"/>
    <w:tmpl w:val="0F5CB2F6"/>
    <w:lvl w:ilvl="0">
      <w:start w:val="1"/>
      <w:numFmt w:val="lowerLetter"/>
      <w:lvlText w:val="%1)"/>
      <w:lvlJc w:val="left"/>
      <w:pPr>
        <w:tabs>
          <w:tab w:val="num" w:pos="964"/>
        </w:tabs>
        <w:ind w:left="964" w:hanging="284"/>
      </w:pPr>
      <w:rPr>
        <w:rFonts w:hint="default"/>
        <w:sz w:val="24"/>
        <w:szCs w:val="24"/>
      </w:rPr>
    </w:lvl>
    <w:lvl w:ilvl="1">
      <w:start w:val="1"/>
      <w:numFmt w:val="bullet"/>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3"/>
  </w:num>
  <w:num w:numId="2">
    <w:abstractNumId w:val="0"/>
  </w:num>
  <w:num w:numId="3">
    <w:abstractNumId w:val="15"/>
  </w:num>
  <w:num w:numId="4">
    <w:abstractNumId w:val="7"/>
  </w:num>
  <w:num w:numId="5">
    <w:abstractNumId w:val="9"/>
  </w:num>
  <w:num w:numId="6">
    <w:abstractNumId w:val="5"/>
  </w:num>
  <w:num w:numId="7">
    <w:abstractNumId w:val="14"/>
    <w:lvlOverride w:ilvl="0">
      <w:startOverride w:val="6"/>
    </w:lvlOverride>
    <w:lvlOverride w:ilvl="1">
      <w:startOverride w:val="37"/>
    </w:lvlOverride>
    <w:lvlOverride w:ilvl="2">
      <w:startOverride w:val="21"/>
    </w:lvlOverride>
    <w:lvlOverride w:ilvl="3">
      <w:startOverride w:val="106"/>
    </w:lvlOverride>
    <w:lvlOverride w:ilvl="4">
      <w:startOverride w:val="118"/>
    </w:lvlOverride>
    <w:lvlOverride w:ilvl="5">
      <w:startOverride w:val="2"/>
    </w:lvlOverride>
    <w:lvlOverride w:ilvl="6">
      <w:startOverride w:val="23"/>
    </w:lvlOverride>
    <w:lvlOverride w:ilvl="7">
      <w:startOverride w:val="1"/>
    </w:lvlOverride>
    <w:lvlOverride w:ilvl="8">
      <w:startOverride w:val="1"/>
    </w:lvlOverride>
  </w:num>
  <w:num w:numId="8">
    <w:abstractNumId w:val="21"/>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num>
  <w:num w:numId="15">
    <w:abstractNumId w:val="22"/>
  </w:num>
  <w:num w:numId="16">
    <w:abstractNumId w:val="3"/>
  </w:num>
  <w:num w:numId="17">
    <w:abstractNumId w:val="4"/>
  </w:num>
  <w:num w:numId="18">
    <w:abstractNumId w:val="1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7"/>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8"/>
  </w:num>
  <w:num w:numId="30">
    <w:abstractNumId w:val="20"/>
  </w:num>
  <w:num w:numId="31">
    <w:abstractNumId w:val="19"/>
  </w:num>
  <w:num w:numId="32">
    <w:abstractNumId w:val="2"/>
  </w:num>
  <w:num w:numId="33">
    <w:abstractNumId w:val="12"/>
  </w:num>
  <w:num w:numId="3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45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ED"/>
    <w:rsid w:val="000016AC"/>
    <w:rsid w:val="0000250A"/>
    <w:rsid w:val="00002730"/>
    <w:rsid w:val="00002748"/>
    <w:rsid w:val="00002E1B"/>
    <w:rsid w:val="0000355F"/>
    <w:rsid w:val="00005C89"/>
    <w:rsid w:val="000114BD"/>
    <w:rsid w:val="00012D7A"/>
    <w:rsid w:val="000135E9"/>
    <w:rsid w:val="00013685"/>
    <w:rsid w:val="00015268"/>
    <w:rsid w:val="000161FB"/>
    <w:rsid w:val="00017D52"/>
    <w:rsid w:val="00020BB5"/>
    <w:rsid w:val="00022C27"/>
    <w:rsid w:val="00022DFF"/>
    <w:rsid w:val="00023219"/>
    <w:rsid w:val="000234A4"/>
    <w:rsid w:val="00023CF7"/>
    <w:rsid w:val="00024877"/>
    <w:rsid w:val="000253AB"/>
    <w:rsid w:val="0002797A"/>
    <w:rsid w:val="000313FE"/>
    <w:rsid w:val="00031631"/>
    <w:rsid w:val="0003223C"/>
    <w:rsid w:val="00033629"/>
    <w:rsid w:val="000336F3"/>
    <w:rsid w:val="00033FA5"/>
    <w:rsid w:val="0003424F"/>
    <w:rsid w:val="00035AED"/>
    <w:rsid w:val="00037305"/>
    <w:rsid w:val="00037907"/>
    <w:rsid w:val="00037A31"/>
    <w:rsid w:val="00040FA7"/>
    <w:rsid w:val="0004137A"/>
    <w:rsid w:val="00041506"/>
    <w:rsid w:val="00042ACA"/>
    <w:rsid w:val="00042CFA"/>
    <w:rsid w:val="000431CD"/>
    <w:rsid w:val="000439EC"/>
    <w:rsid w:val="0005321A"/>
    <w:rsid w:val="000557F4"/>
    <w:rsid w:val="000579A0"/>
    <w:rsid w:val="00057E2C"/>
    <w:rsid w:val="000612CB"/>
    <w:rsid w:val="0006234D"/>
    <w:rsid w:val="000643C1"/>
    <w:rsid w:val="000656B2"/>
    <w:rsid w:val="0006685D"/>
    <w:rsid w:val="00067318"/>
    <w:rsid w:val="000706C7"/>
    <w:rsid w:val="00070D39"/>
    <w:rsid w:val="00070F74"/>
    <w:rsid w:val="0007124C"/>
    <w:rsid w:val="00076E0D"/>
    <w:rsid w:val="00080526"/>
    <w:rsid w:val="00080F68"/>
    <w:rsid w:val="0008221E"/>
    <w:rsid w:val="00085D78"/>
    <w:rsid w:val="000866E5"/>
    <w:rsid w:val="0008705A"/>
    <w:rsid w:val="00087E0C"/>
    <w:rsid w:val="00090618"/>
    <w:rsid w:val="00091AF9"/>
    <w:rsid w:val="000937BF"/>
    <w:rsid w:val="00093BA6"/>
    <w:rsid w:val="00096713"/>
    <w:rsid w:val="00096D13"/>
    <w:rsid w:val="00096E3A"/>
    <w:rsid w:val="000979E3"/>
    <w:rsid w:val="000A29BB"/>
    <w:rsid w:val="000A49E3"/>
    <w:rsid w:val="000A7D30"/>
    <w:rsid w:val="000B135F"/>
    <w:rsid w:val="000B22C0"/>
    <w:rsid w:val="000B2B62"/>
    <w:rsid w:val="000B3C3F"/>
    <w:rsid w:val="000B4094"/>
    <w:rsid w:val="000B4F44"/>
    <w:rsid w:val="000B69DF"/>
    <w:rsid w:val="000B69EB"/>
    <w:rsid w:val="000B793A"/>
    <w:rsid w:val="000C0204"/>
    <w:rsid w:val="000C1EAE"/>
    <w:rsid w:val="000C4206"/>
    <w:rsid w:val="000C45D2"/>
    <w:rsid w:val="000C4EFA"/>
    <w:rsid w:val="000C53BF"/>
    <w:rsid w:val="000C604A"/>
    <w:rsid w:val="000C7D16"/>
    <w:rsid w:val="000D19A9"/>
    <w:rsid w:val="000D2895"/>
    <w:rsid w:val="000D2CDD"/>
    <w:rsid w:val="000D3E58"/>
    <w:rsid w:val="000D4178"/>
    <w:rsid w:val="000D5421"/>
    <w:rsid w:val="000D594B"/>
    <w:rsid w:val="000D6E41"/>
    <w:rsid w:val="000E2EF4"/>
    <w:rsid w:val="000E3239"/>
    <w:rsid w:val="000E3D2F"/>
    <w:rsid w:val="000E435E"/>
    <w:rsid w:val="000E4651"/>
    <w:rsid w:val="000E51A4"/>
    <w:rsid w:val="000E5897"/>
    <w:rsid w:val="000E5A53"/>
    <w:rsid w:val="000E7567"/>
    <w:rsid w:val="000E76DF"/>
    <w:rsid w:val="000F1428"/>
    <w:rsid w:val="000F144E"/>
    <w:rsid w:val="000F1CAA"/>
    <w:rsid w:val="000F2694"/>
    <w:rsid w:val="000F33CA"/>
    <w:rsid w:val="000F43A7"/>
    <w:rsid w:val="000F5A93"/>
    <w:rsid w:val="000F7A85"/>
    <w:rsid w:val="000F7E2B"/>
    <w:rsid w:val="000F7F5F"/>
    <w:rsid w:val="00101B3D"/>
    <w:rsid w:val="001023BC"/>
    <w:rsid w:val="001024C9"/>
    <w:rsid w:val="00103442"/>
    <w:rsid w:val="00104C36"/>
    <w:rsid w:val="00105490"/>
    <w:rsid w:val="001057DC"/>
    <w:rsid w:val="0010596C"/>
    <w:rsid w:val="00105E53"/>
    <w:rsid w:val="00106745"/>
    <w:rsid w:val="0010713C"/>
    <w:rsid w:val="0011009F"/>
    <w:rsid w:val="00110FA4"/>
    <w:rsid w:val="00112260"/>
    <w:rsid w:val="0011255B"/>
    <w:rsid w:val="00113E77"/>
    <w:rsid w:val="00116528"/>
    <w:rsid w:val="00116AEF"/>
    <w:rsid w:val="001177AB"/>
    <w:rsid w:val="0011795D"/>
    <w:rsid w:val="00120008"/>
    <w:rsid w:val="00121710"/>
    <w:rsid w:val="0012342E"/>
    <w:rsid w:val="00123676"/>
    <w:rsid w:val="00123C42"/>
    <w:rsid w:val="00124E07"/>
    <w:rsid w:val="00124F8D"/>
    <w:rsid w:val="00125E8B"/>
    <w:rsid w:val="001277D1"/>
    <w:rsid w:val="00132165"/>
    <w:rsid w:val="0013539A"/>
    <w:rsid w:val="001363A2"/>
    <w:rsid w:val="00136778"/>
    <w:rsid w:val="001400AD"/>
    <w:rsid w:val="00140146"/>
    <w:rsid w:val="00141AA0"/>
    <w:rsid w:val="001429A4"/>
    <w:rsid w:val="001444E7"/>
    <w:rsid w:val="0014488E"/>
    <w:rsid w:val="001459AE"/>
    <w:rsid w:val="00147B24"/>
    <w:rsid w:val="00150E53"/>
    <w:rsid w:val="001511D4"/>
    <w:rsid w:val="00155BC9"/>
    <w:rsid w:val="00155C25"/>
    <w:rsid w:val="00156076"/>
    <w:rsid w:val="0015794F"/>
    <w:rsid w:val="00160393"/>
    <w:rsid w:val="00161FE9"/>
    <w:rsid w:val="001647BE"/>
    <w:rsid w:val="00167854"/>
    <w:rsid w:val="00167EA2"/>
    <w:rsid w:val="001716E4"/>
    <w:rsid w:val="00172BCE"/>
    <w:rsid w:val="00172E87"/>
    <w:rsid w:val="001752DC"/>
    <w:rsid w:val="00176E97"/>
    <w:rsid w:val="00180210"/>
    <w:rsid w:val="00181210"/>
    <w:rsid w:val="00181211"/>
    <w:rsid w:val="00181FF4"/>
    <w:rsid w:val="00182066"/>
    <w:rsid w:val="00183FBF"/>
    <w:rsid w:val="001857E5"/>
    <w:rsid w:val="0018610F"/>
    <w:rsid w:val="00187F9D"/>
    <w:rsid w:val="0019227B"/>
    <w:rsid w:val="00192F69"/>
    <w:rsid w:val="001949AF"/>
    <w:rsid w:val="001951C7"/>
    <w:rsid w:val="0019556F"/>
    <w:rsid w:val="00196340"/>
    <w:rsid w:val="001A02EE"/>
    <w:rsid w:val="001A0DBE"/>
    <w:rsid w:val="001A0EE0"/>
    <w:rsid w:val="001A24EC"/>
    <w:rsid w:val="001A2DCB"/>
    <w:rsid w:val="001A5DB1"/>
    <w:rsid w:val="001A60EB"/>
    <w:rsid w:val="001B05EE"/>
    <w:rsid w:val="001B0739"/>
    <w:rsid w:val="001B14D2"/>
    <w:rsid w:val="001B15B9"/>
    <w:rsid w:val="001B2B71"/>
    <w:rsid w:val="001B35D9"/>
    <w:rsid w:val="001B5F6D"/>
    <w:rsid w:val="001B6601"/>
    <w:rsid w:val="001B6952"/>
    <w:rsid w:val="001B73E8"/>
    <w:rsid w:val="001C0D7D"/>
    <w:rsid w:val="001C0F01"/>
    <w:rsid w:val="001C1568"/>
    <w:rsid w:val="001C1E70"/>
    <w:rsid w:val="001C4805"/>
    <w:rsid w:val="001C49DC"/>
    <w:rsid w:val="001C5513"/>
    <w:rsid w:val="001C5C3E"/>
    <w:rsid w:val="001C6DE9"/>
    <w:rsid w:val="001C746F"/>
    <w:rsid w:val="001C7F39"/>
    <w:rsid w:val="001D009F"/>
    <w:rsid w:val="001D05A1"/>
    <w:rsid w:val="001D17CF"/>
    <w:rsid w:val="001D46ED"/>
    <w:rsid w:val="001D4CB0"/>
    <w:rsid w:val="001D4CC1"/>
    <w:rsid w:val="001E182B"/>
    <w:rsid w:val="001E2D30"/>
    <w:rsid w:val="001E3751"/>
    <w:rsid w:val="001E3A56"/>
    <w:rsid w:val="001E7D6C"/>
    <w:rsid w:val="001F09E9"/>
    <w:rsid w:val="001F10FC"/>
    <w:rsid w:val="001F28D4"/>
    <w:rsid w:val="001F37A7"/>
    <w:rsid w:val="001F4DD7"/>
    <w:rsid w:val="001F58CC"/>
    <w:rsid w:val="001F6EE9"/>
    <w:rsid w:val="002001C6"/>
    <w:rsid w:val="002010B6"/>
    <w:rsid w:val="002013E1"/>
    <w:rsid w:val="0020680D"/>
    <w:rsid w:val="00206FFC"/>
    <w:rsid w:val="002114D7"/>
    <w:rsid w:val="00211DBE"/>
    <w:rsid w:val="0021616E"/>
    <w:rsid w:val="00216E50"/>
    <w:rsid w:val="00217BE4"/>
    <w:rsid w:val="00217FBA"/>
    <w:rsid w:val="00220559"/>
    <w:rsid w:val="002216DF"/>
    <w:rsid w:val="00221F33"/>
    <w:rsid w:val="00225F4F"/>
    <w:rsid w:val="0022671E"/>
    <w:rsid w:val="00230EC8"/>
    <w:rsid w:val="002317CC"/>
    <w:rsid w:val="00234526"/>
    <w:rsid w:val="00236829"/>
    <w:rsid w:val="00236873"/>
    <w:rsid w:val="00237898"/>
    <w:rsid w:val="00240531"/>
    <w:rsid w:val="002410A2"/>
    <w:rsid w:val="0024321A"/>
    <w:rsid w:val="0024325A"/>
    <w:rsid w:val="00243BBE"/>
    <w:rsid w:val="0024725D"/>
    <w:rsid w:val="00250704"/>
    <w:rsid w:val="00250897"/>
    <w:rsid w:val="00251F66"/>
    <w:rsid w:val="00254238"/>
    <w:rsid w:val="00257BB2"/>
    <w:rsid w:val="00260F29"/>
    <w:rsid w:val="002630CA"/>
    <w:rsid w:val="002634A3"/>
    <w:rsid w:val="002642D8"/>
    <w:rsid w:val="0026478E"/>
    <w:rsid w:val="00264A76"/>
    <w:rsid w:val="00265F91"/>
    <w:rsid w:val="00266ED6"/>
    <w:rsid w:val="0026700E"/>
    <w:rsid w:val="0026798A"/>
    <w:rsid w:val="00270214"/>
    <w:rsid w:val="002726EB"/>
    <w:rsid w:val="0027325D"/>
    <w:rsid w:val="00274422"/>
    <w:rsid w:val="0027586E"/>
    <w:rsid w:val="002801FA"/>
    <w:rsid w:val="002819D5"/>
    <w:rsid w:val="002846AA"/>
    <w:rsid w:val="0028515B"/>
    <w:rsid w:val="0028581D"/>
    <w:rsid w:val="002868FF"/>
    <w:rsid w:val="00286F82"/>
    <w:rsid w:val="00290925"/>
    <w:rsid w:val="00291E22"/>
    <w:rsid w:val="0029368C"/>
    <w:rsid w:val="00295091"/>
    <w:rsid w:val="002960C2"/>
    <w:rsid w:val="0029755C"/>
    <w:rsid w:val="002A28DE"/>
    <w:rsid w:val="002A2C4A"/>
    <w:rsid w:val="002A3951"/>
    <w:rsid w:val="002A518B"/>
    <w:rsid w:val="002A51AF"/>
    <w:rsid w:val="002A61FD"/>
    <w:rsid w:val="002A64FA"/>
    <w:rsid w:val="002B05E3"/>
    <w:rsid w:val="002B1698"/>
    <w:rsid w:val="002B1F09"/>
    <w:rsid w:val="002B21C2"/>
    <w:rsid w:val="002B39DA"/>
    <w:rsid w:val="002B5C68"/>
    <w:rsid w:val="002B5D24"/>
    <w:rsid w:val="002C11AA"/>
    <w:rsid w:val="002C35A8"/>
    <w:rsid w:val="002C3F9A"/>
    <w:rsid w:val="002C4A87"/>
    <w:rsid w:val="002C4E6E"/>
    <w:rsid w:val="002D0882"/>
    <w:rsid w:val="002D0BC9"/>
    <w:rsid w:val="002D1020"/>
    <w:rsid w:val="002D13C4"/>
    <w:rsid w:val="002D19EA"/>
    <w:rsid w:val="002D1F26"/>
    <w:rsid w:val="002D2DBA"/>
    <w:rsid w:val="002D5959"/>
    <w:rsid w:val="002D5FCE"/>
    <w:rsid w:val="002D7ACD"/>
    <w:rsid w:val="002D7CA0"/>
    <w:rsid w:val="002E1A91"/>
    <w:rsid w:val="002E3DF0"/>
    <w:rsid w:val="002E4208"/>
    <w:rsid w:val="002E676A"/>
    <w:rsid w:val="002E7752"/>
    <w:rsid w:val="002E7B78"/>
    <w:rsid w:val="002E7BD8"/>
    <w:rsid w:val="002F0100"/>
    <w:rsid w:val="002F1527"/>
    <w:rsid w:val="002F26C1"/>
    <w:rsid w:val="002F2B6A"/>
    <w:rsid w:val="002F3F93"/>
    <w:rsid w:val="002F68AE"/>
    <w:rsid w:val="00300A7C"/>
    <w:rsid w:val="00301919"/>
    <w:rsid w:val="0030230B"/>
    <w:rsid w:val="00302AF7"/>
    <w:rsid w:val="00303C55"/>
    <w:rsid w:val="00305EE9"/>
    <w:rsid w:val="00306748"/>
    <w:rsid w:val="00306D05"/>
    <w:rsid w:val="00306E95"/>
    <w:rsid w:val="003161A0"/>
    <w:rsid w:val="00317820"/>
    <w:rsid w:val="00317D64"/>
    <w:rsid w:val="00321819"/>
    <w:rsid w:val="003228DD"/>
    <w:rsid w:val="00327F83"/>
    <w:rsid w:val="003302E1"/>
    <w:rsid w:val="0033086E"/>
    <w:rsid w:val="00331E2F"/>
    <w:rsid w:val="003332E2"/>
    <w:rsid w:val="00333AC5"/>
    <w:rsid w:val="0033446E"/>
    <w:rsid w:val="003346A6"/>
    <w:rsid w:val="00335C1D"/>
    <w:rsid w:val="003374BA"/>
    <w:rsid w:val="0033777B"/>
    <w:rsid w:val="003441D8"/>
    <w:rsid w:val="00345634"/>
    <w:rsid w:val="00346818"/>
    <w:rsid w:val="0034795F"/>
    <w:rsid w:val="00347AF5"/>
    <w:rsid w:val="0035001E"/>
    <w:rsid w:val="0035100E"/>
    <w:rsid w:val="003536AD"/>
    <w:rsid w:val="00353D9F"/>
    <w:rsid w:val="00353F13"/>
    <w:rsid w:val="003557A9"/>
    <w:rsid w:val="00355CF2"/>
    <w:rsid w:val="00357521"/>
    <w:rsid w:val="00357920"/>
    <w:rsid w:val="003579C8"/>
    <w:rsid w:val="003606E5"/>
    <w:rsid w:val="00361A24"/>
    <w:rsid w:val="00362A10"/>
    <w:rsid w:val="00362F61"/>
    <w:rsid w:val="0036359D"/>
    <w:rsid w:val="003700E1"/>
    <w:rsid w:val="00370C68"/>
    <w:rsid w:val="003719F4"/>
    <w:rsid w:val="003734C7"/>
    <w:rsid w:val="00373C86"/>
    <w:rsid w:val="00375326"/>
    <w:rsid w:val="00375700"/>
    <w:rsid w:val="003758B6"/>
    <w:rsid w:val="00375C86"/>
    <w:rsid w:val="00375DC8"/>
    <w:rsid w:val="00376F00"/>
    <w:rsid w:val="003800A5"/>
    <w:rsid w:val="00380BCF"/>
    <w:rsid w:val="0038248A"/>
    <w:rsid w:val="003865CB"/>
    <w:rsid w:val="0038734F"/>
    <w:rsid w:val="00387BBB"/>
    <w:rsid w:val="0039042B"/>
    <w:rsid w:val="00390FA1"/>
    <w:rsid w:val="003919F1"/>
    <w:rsid w:val="00392466"/>
    <w:rsid w:val="00392660"/>
    <w:rsid w:val="003927F2"/>
    <w:rsid w:val="00392FBF"/>
    <w:rsid w:val="0039320B"/>
    <w:rsid w:val="00395F0B"/>
    <w:rsid w:val="00396837"/>
    <w:rsid w:val="003A1E9B"/>
    <w:rsid w:val="003A23CE"/>
    <w:rsid w:val="003A4087"/>
    <w:rsid w:val="003A4417"/>
    <w:rsid w:val="003A5B38"/>
    <w:rsid w:val="003A6403"/>
    <w:rsid w:val="003A784A"/>
    <w:rsid w:val="003B13F7"/>
    <w:rsid w:val="003B253C"/>
    <w:rsid w:val="003B5A9F"/>
    <w:rsid w:val="003B7E6A"/>
    <w:rsid w:val="003C0064"/>
    <w:rsid w:val="003C24EC"/>
    <w:rsid w:val="003C2DD9"/>
    <w:rsid w:val="003C3A65"/>
    <w:rsid w:val="003C4E99"/>
    <w:rsid w:val="003C5E85"/>
    <w:rsid w:val="003C71F2"/>
    <w:rsid w:val="003D1FE1"/>
    <w:rsid w:val="003D6C00"/>
    <w:rsid w:val="003E0381"/>
    <w:rsid w:val="003E0CF7"/>
    <w:rsid w:val="003E346B"/>
    <w:rsid w:val="003E3CCC"/>
    <w:rsid w:val="003E5D67"/>
    <w:rsid w:val="003E5F29"/>
    <w:rsid w:val="003E694F"/>
    <w:rsid w:val="003E6CE0"/>
    <w:rsid w:val="003E7EED"/>
    <w:rsid w:val="003F32A9"/>
    <w:rsid w:val="003F3EB8"/>
    <w:rsid w:val="003F6179"/>
    <w:rsid w:val="003F679A"/>
    <w:rsid w:val="003F7A6E"/>
    <w:rsid w:val="0040472A"/>
    <w:rsid w:val="004067ED"/>
    <w:rsid w:val="00406A57"/>
    <w:rsid w:val="00406C40"/>
    <w:rsid w:val="004078C6"/>
    <w:rsid w:val="00411F9C"/>
    <w:rsid w:val="004128E7"/>
    <w:rsid w:val="00412D25"/>
    <w:rsid w:val="00414477"/>
    <w:rsid w:val="004152E9"/>
    <w:rsid w:val="004153A1"/>
    <w:rsid w:val="0041568A"/>
    <w:rsid w:val="00415731"/>
    <w:rsid w:val="00415CDF"/>
    <w:rsid w:val="00415D81"/>
    <w:rsid w:val="00415EE0"/>
    <w:rsid w:val="00415EF1"/>
    <w:rsid w:val="00416360"/>
    <w:rsid w:val="00416520"/>
    <w:rsid w:val="00416B5B"/>
    <w:rsid w:val="00417F9C"/>
    <w:rsid w:val="00420F18"/>
    <w:rsid w:val="00421D13"/>
    <w:rsid w:val="004222B2"/>
    <w:rsid w:val="004225B1"/>
    <w:rsid w:val="0042350B"/>
    <w:rsid w:val="00424B6E"/>
    <w:rsid w:val="00433805"/>
    <w:rsid w:val="00440232"/>
    <w:rsid w:val="00444D36"/>
    <w:rsid w:val="00445CAA"/>
    <w:rsid w:val="00446CD7"/>
    <w:rsid w:val="00450878"/>
    <w:rsid w:val="004521F4"/>
    <w:rsid w:val="004525EA"/>
    <w:rsid w:val="00452F07"/>
    <w:rsid w:val="00457684"/>
    <w:rsid w:val="00462F49"/>
    <w:rsid w:val="004634CD"/>
    <w:rsid w:val="00464054"/>
    <w:rsid w:val="0046470A"/>
    <w:rsid w:val="004669D4"/>
    <w:rsid w:val="00466A32"/>
    <w:rsid w:val="00467835"/>
    <w:rsid w:val="00470CE9"/>
    <w:rsid w:val="00472519"/>
    <w:rsid w:val="00472683"/>
    <w:rsid w:val="00472938"/>
    <w:rsid w:val="00475450"/>
    <w:rsid w:val="004764C9"/>
    <w:rsid w:val="00477710"/>
    <w:rsid w:val="00480711"/>
    <w:rsid w:val="00481022"/>
    <w:rsid w:val="00483254"/>
    <w:rsid w:val="00483A9C"/>
    <w:rsid w:val="00483D2B"/>
    <w:rsid w:val="00486B31"/>
    <w:rsid w:val="00487A22"/>
    <w:rsid w:val="00487A9A"/>
    <w:rsid w:val="0049117B"/>
    <w:rsid w:val="0049189B"/>
    <w:rsid w:val="004A045C"/>
    <w:rsid w:val="004A2FD4"/>
    <w:rsid w:val="004A31E4"/>
    <w:rsid w:val="004A3218"/>
    <w:rsid w:val="004A3333"/>
    <w:rsid w:val="004A55B8"/>
    <w:rsid w:val="004A6306"/>
    <w:rsid w:val="004A724D"/>
    <w:rsid w:val="004B161B"/>
    <w:rsid w:val="004B2229"/>
    <w:rsid w:val="004B2653"/>
    <w:rsid w:val="004B3D74"/>
    <w:rsid w:val="004B48C0"/>
    <w:rsid w:val="004B547B"/>
    <w:rsid w:val="004B78F1"/>
    <w:rsid w:val="004C001F"/>
    <w:rsid w:val="004C1B96"/>
    <w:rsid w:val="004C3546"/>
    <w:rsid w:val="004C36C3"/>
    <w:rsid w:val="004C71BD"/>
    <w:rsid w:val="004C754C"/>
    <w:rsid w:val="004D0037"/>
    <w:rsid w:val="004D2989"/>
    <w:rsid w:val="004D2B81"/>
    <w:rsid w:val="004D2CD2"/>
    <w:rsid w:val="004D3265"/>
    <w:rsid w:val="004D3964"/>
    <w:rsid w:val="004D5217"/>
    <w:rsid w:val="004D6DBF"/>
    <w:rsid w:val="004E580B"/>
    <w:rsid w:val="004E58E1"/>
    <w:rsid w:val="004E5C9A"/>
    <w:rsid w:val="004E6025"/>
    <w:rsid w:val="004E740B"/>
    <w:rsid w:val="004E78B4"/>
    <w:rsid w:val="004F0B79"/>
    <w:rsid w:val="004F10FB"/>
    <w:rsid w:val="004F5B53"/>
    <w:rsid w:val="00500D4E"/>
    <w:rsid w:val="00501A77"/>
    <w:rsid w:val="00501AE3"/>
    <w:rsid w:val="00501BB1"/>
    <w:rsid w:val="00502781"/>
    <w:rsid w:val="00503B5D"/>
    <w:rsid w:val="00504729"/>
    <w:rsid w:val="0050563D"/>
    <w:rsid w:val="00505904"/>
    <w:rsid w:val="00505ABD"/>
    <w:rsid w:val="00506026"/>
    <w:rsid w:val="005069CF"/>
    <w:rsid w:val="005072C5"/>
    <w:rsid w:val="00507460"/>
    <w:rsid w:val="0050750A"/>
    <w:rsid w:val="005100B7"/>
    <w:rsid w:val="00510D65"/>
    <w:rsid w:val="005112C0"/>
    <w:rsid w:val="00511B9C"/>
    <w:rsid w:val="00515FC8"/>
    <w:rsid w:val="00521EDC"/>
    <w:rsid w:val="00524118"/>
    <w:rsid w:val="005257F2"/>
    <w:rsid w:val="00526A4B"/>
    <w:rsid w:val="00527AE9"/>
    <w:rsid w:val="00527DF7"/>
    <w:rsid w:val="005315C1"/>
    <w:rsid w:val="00531663"/>
    <w:rsid w:val="00536AD5"/>
    <w:rsid w:val="00537F34"/>
    <w:rsid w:val="00540B42"/>
    <w:rsid w:val="00540D7C"/>
    <w:rsid w:val="00542D81"/>
    <w:rsid w:val="00542FA6"/>
    <w:rsid w:val="00543C71"/>
    <w:rsid w:val="00546DCF"/>
    <w:rsid w:val="00546FAC"/>
    <w:rsid w:val="00547273"/>
    <w:rsid w:val="00547D56"/>
    <w:rsid w:val="00553611"/>
    <w:rsid w:val="00554643"/>
    <w:rsid w:val="00554B36"/>
    <w:rsid w:val="005562E3"/>
    <w:rsid w:val="005563BB"/>
    <w:rsid w:val="00556E2B"/>
    <w:rsid w:val="00557E55"/>
    <w:rsid w:val="00557FF2"/>
    <w:rsid w:val="00561D41"/>
    <w:rsid w:val="00566897"/>
    <w:rsid w:val="005668DD"/>
    <w:rsid w:val="00566FA2"/>
    <w:rsid w:val="00567240"/>
    <w:rsid w:val="00570563"/>
    <w:rsid w:val="0057080F"/>
    <w:rsid w:val="005726BB"/>
    <w:rsid w:val="005731A8"/>
    <w:rsid w:val="005757BB"/>
    <w:rsid w:val="00575C40"/>
    <w:rsid w:val="00580886"/>
    <w:rsid w:val="00580994"/>
    <w:rsid w:val="005829E8"/>
    <w:rsid w:val="005834B1"/>
    <w:rsid w:val="005840F9"/>
    <w:rsid w:val="00584492"/>
    <w:rsid w:val="00584D64"/>
    <w:rsid w:val="00585337"/>
    <w:rsid w:val="005876D5"/>
    <w:rsid w:val="00590DEA"/>
    <w:rsid w:val="00593891"/>
    <w:rsid w:val="005945A7"/>
    <w:rsid w:val="00595668"/>
    <w:rsid w:val="005962BB"/>
    <w:rsid w:val="00597C27"/>
    <w:rsid w:val="005A4086"/>
    <w:rsid w:val="005A45FC"/>
    <w:rsid w:val="005A50D4"/>
    <w:rsid w:val="005A74F5"/>
    <w:rsid w:val="005B03DC"/>
    <w:rsid w:val="005B0565"/>
    <w:rsid w:val="005B15D9"/>
    <w:rsid w:val="005B17C1"/>
    <w:rsid w:val="005B424B"/>
    <w:rsid w:val="005B60C2"/>
    <w:rsid w:val="005B6153"/>
    <w:rsid w:val="005C09C1"/>
    <w:rsid w:val="005C1855"/>
    <w:rsid w:val="005C1AF5"/>
    <w:rsid w:val="005C1D81"/>
    <w:rsid w:val="005C64F0"/>
    <w:rsid w:val="005C6A2D"/>
    <w:rsid w:val="005C71E7"/>
    <w:rsid w:val="005C77EA"/>
    <w:rsid w:val="005D087B"/>
    <w:rsid w:val="005D0C52"/>
    <w:rsid w:val="005D17D5"/>
    <w:rsid w:val="005D4695"/>
    <w:rsid w:val="005D554A"/>
    <w:rsid w:val="005D5AB2"/>
    <w:rsid w:val="005E3E6C"/>
    <w:rsid w:val="005E404D"/>
    <w:rsid w:val="005E670D"/>
    <w:rsid w:val="005E68E9"/>
    <w:rsid w:val="005F059D"/>
    <w:rsid w:val="005F0E26"/>
    <w:rsid w:val="005F2C11"/>
    <w:rsid w:val="005F4B90"/>
    <w:rsid w:val="005F5616"/>
    <w:rsid w:val="005F5955"/>
    <w:rsid w:val="005F627D"/>
    <w:rsid w:val="005F66CC"/>
    <w:rsid w:val="005F7F7D"/>
    <w:rsid w:val="0060058F"/>
    <w:rsid w:val="006007D9"/>
    <w:rsid w:val="00600AB5"/>
    <w:rsid w:val="00601ABF"/>
    <w:rsid w:val="006022E6"/>
    <w:rsid w:val="006029F4"/>
    <w:rsid w:val="00603052"/>
    <w:rsid w:val="00603085"/>
    <w:rsid w:val="00604B34"/>
    <w:rsid w:val="00605E8F"/>
    <w:rsid w:val="00610B5E"/>
    <w:rsid w:val="00611074"/>
    <w:rsid w:val="00612C3F"/>
    <w:rsid w:val="006144E7"/>
    <w:rsid w:val="006147A4"/>
    <w:rsid w:val="00614972"/>
    <w:rsid w:val="00617C19"/>
    <w:rsid w:val="00617FD9"/>
    <w:rsid w:val="00621267"/>
    <w:rsid w:val="00621E69"/>
    <w:rsid w:val="00621FE0"/>
    <w:rsid w:val="006257F6"/>
    <w:rsid w:val="00625AB6"/>
    <w:rsid w:val="00627BED"/>
    <w:rsid w:val="00627C29"/>
    <w:rsid w:val="00631F14"/>
    <w:rsid w:val="00632CA3"/>
    <w:rsid w:val="00633279"/>
    <w:rsid w:val="00633FF7"/>
    <w:rsid w:val="00634E4C"/>
    <w:rsid w:val="00635043"/>
    <w:rsid w:val="00635432"/>
    <w:rsid w:val="00635F9E"/>
    <w:rsid w:val="00635FB2"/>
    <w:rsid w:val="00636F1E"/>
    <w:rsid w:val="0064020A"/>
    <w:rsid w:val="00641949"/>
    <w:rsid w:val="00642EE7"/>
    <w:rsid w:val="0064337E"/>
    <w:rsid w:val="00644A10"/>
    <w:rsid w:val="00644B34"/>
    <w:rsid w:val="00645415"/>
    <w:rsid w:val="006464A3"/>
    <w:rsid w:val="00647ADE"/>
    <w:rsid w:val="00647E59"/>
    <w:rsid w:val="006510E2"/>
    <w:rsid w:val="0065142A"/>
    <w:rsid w:val="00653481"/>
    <w:rsid w:val="006534B0"/>
    <w:rsid w:val="00653503"/>
    <w:rsid w:val="00655140"/>
    <w:rsid w:val="00656F53"/>
    <w:rsid w:val="00660B34"/>
    <w:rsid w:val="00662153"/>
    <w:rsid w:val="0066252C"/>
    <w:rsid w:val="00662F15"/>
    <w:rsid w:val="006630D1"/>
    <w:rsid w:val="00663DA1"/>
    <w:rsid w:val="00664BFD"/>
    <w:rsid w:val="00665211"/>
    <w:rsid w:val="00665619"/>
    <w:rsid w:val="00672013"/>
    <w:rsid w:val="00672199"/>
    <w:rsid w:val="00672F13"/>
    <w:rsid w:val="0067329A"/>
    <w:rsid w:val="00676476"/>
    <w:rsid w:val="0067726A"/>
    <w:rsid w:val="006814A1"/>
    <w:rsid w:val="006817F3"/>
    <w:rsid w:val="00681CA1"/>
    <w:rsid w:val="0068379B"/>
    <w:rsid w:val="00684FE6"/>
    <w:rsid w:val="006864C5"/>
    <w:rsid w:val="00687687"/>
    <w:rsid w:val="00690648"/>
    <w:rsid w:val="00693538"/>
    <w:rsid w:val="00694152"/>
    <w:rsid w:val="00696DDB"/>
    <w:rsid w:val="00697906"/>
    <w:rsid w:val="00697D74"/>
    <w:rsid w:val="006A0128"/>
    <w:rsid w:val="006A110A"/>
    <w:rsid w:val="006A1814"/>
    <w:rsid w:val="006A39B3"/>
    <w:rsid w:val="006A4C64"/>
    <w:rsid w:val="006A5D41"/>
    <w:rsid w:val="006A6068"/>
    <w:rsid w:val="006A63E6"/>
    <w:rsid w:val="006A6AC0"/>
    <w:rsid w:val="006A70CD"/>
    <w:rsid w:val="006A7972"/>
    <w:rsid w:val="006B0E85"/>
    <w:rsid w:val="006B0F30"/>
    <w:rsid w:val="006B1FC2"/>
    <w:rsid w:val="006B2108"/>
    <w:rsid w:val="006B3691"/>
    <w:rsid w:val="006B485B"/>
    <w:rsid w:val="006B66F4"/>
    <w:rsid w:val="006B6E69"/>
    <w:rsid w:val="006B7111"/>
    <w:rsid w:val="006B793D"/>
    <w:rsid w:val="006C115F"/>
    <w:rsid w:val="006C1A34"/>
    <w:rsid w:val="006C2109"/>
    <w:rsid w:val="006C25CB"/>
    <w:rsid w:val="006C2C3D"/>
    <w:rsid w:val="006C3226"/>
    <w:rsid w:val="006C56BF"/>
    <w:rsid w:val="006C6158"/>
    <w:rsid w:val="006C75DC"/>
    <w:rsid w:val="006D1D58"/>
    <w:rsid w:val="006D247F"/>
    <w:rsid w:val="006D3874"/>
    <w:rsid w:val="006D5284"/>
    <w:rsid w:val="006D63AF"/>
    <w:rsid w:val="006D7318"/>
    <w:rsid w:val="006D76D3"/>
    <w:rsid w:val="006E11F0"/>
    <w:rsid w:val="006E146C"/>
    <w:rsid w:val="006E1DBB"/>
    <w:rsid w:val="006E216B"/>
    <w:rsid w:val="006E50CD"/>
    <w:rsid w:val="006E7667"/>
    <w:rsid w:val="006F01F3"/>
    <w:rsid w:val="006F0396"/>
    <w:rsid w:val="006F10AB"/>
    <w:rsid w:val="006F2D60"/>
    <w:rsid w:val="006F3587"/>
    <w:rsid w:val="006F4495"/>
    <w:rsid w:val="006F4D6F"/>
    <w:rsid w:val="006F7292"/>
    <w:rsid w:val="00700064"/>
    <w:rsid w:val="00700D33"/>
    <w:rsid w:val="007044B7"/>
    <w:rsid w:val="007076C1"/>
    <w:rsid w:val="00710C7F"/>
    <w:rsid w:val="00712DBC"/>
    <w:rsid w:val="00713E5B"/>
    <w:rsid w:val="00714A1D"/>
    <w:rsid w:val="00715135"/>
    <w:rsid w:val="00715A88"/>
    <w:rsid w:val="00715A96"/>
    <w:rsid w:val="007160C4"/>
    <w:rsid w:val="0071763B"/>
    <w:rsid w:val="00717CE2"/>
    <w:rsid w:val="00717EE8"/>
    <w:rsid w:val="00717FA2"/>
    <w:rsid w:val="00720278"/>
    <w:rsid w:val="00720B98"/>
    <w:rsid w:val="00720BD1"/>
    <w:rsid w:val="00720CE9"/>
    <w:rsid w:val="0072177C"/>
    <w:rsid w:val="00723FDB"/>
    <w:rsid w:val="0072606C"/>
    <w:rsid w:val="00726C63"/>
    <w:rsid w:val="00730554"/>
    <w:rsid w:val="00731172"/>
    <w:rsid w:val="007316BC"/>
    <w:rsid w:val="0073258B"/>
    <w:rsid w:val="00733CD3"/>
    <w:rsid w:val="007350CF"/>
    <w:rsid w:val="00735B32"/>
    <w:rsid w:val="00735B75"/>
    <w:rsid w:val="00735DF9"/>
    <w:rsid w:val="007402BD"/>
    <w:rsid w:val="007415C3"/>
    <w:rsid w:val="00741B8D"/>
    <w:rsid w:val="0074269A"/>
    <w:rsid w:val="0074442B"/>
    <w:rsid w:val="00744725"/>
    <w:rsid w:val="007447ED"/>
    <w:rsid w:val="007452C4"/>
    <w:rsid w:val="0074603C"/>
    <w:rsid w:val="007467DE"/>
    <w:rsid w:val="00746A72"/>
    <w:rsid w:val="00752D58"/>
    <w:rsid w:val="007548DF"/>
    <w:rsid w:val="007558E8"/>
    <w:rsid w:val="00755ED1"/>
    <w:rsid w:val="0076132E"/>
    <w:rsid w:val="00761966"/>
    <w:rsid w:val="0076272E"/>
    <w:rsid w:val="00762AED"/>
    <w:rsid w:val="00762FB1"/>
    <w:rsid w:val="007640AE"/>
    <w:rsid w:val="00764425"/>
    <w:rsid w:val="00764F6E"/>
    <w:rsid w:val="0076515C"/>
    <w:rsid w:val="00765BD5"/>
    <w:rsid w:val="00766832"/>
    <w:rsid w:val="00766BBD"/>
    <w:rsid w:val="00771B2F"/>
    <w:rsid w:val="00772107"/>
    <w:rsid w:val="00775065"/>
    <w:rsid w:val="007779BE"/>
    <w:rsid w:val="00780B47"/>
    <w:rsid w:val="007821C7"/>
    <w:rsid w:val="00782852"/>
    <w:rsid w:val="00786705"/>
    <w:rsid w:val="00790965"/>
    <w:rsid w:val="00795AAB"/>
    <w:rsid w:val="007A0441"/>
    <w:rsid w:val="007A284C"/>
    <w:rsid w:val="007A2958"/>
    <w:rsid w:val="007A31C8"/>
    <w:rsid w:val="007A3BDC"/>
    <w:rsid w:val="007A4A1F"/>
    <w:rsid w:val="007A598F"/>
    <w:rsid w:val="007A5CB5"/>
    <w:rsid w:val="007A6DD3"/>
    <w:rsid w:val="007B0E50"/>
    <w:rsid w:val="007B25BF"/>
    <w:rsid w:val="007B31F6"/>
    <w:rsid w:val="007B38D2"/>
    <w:rsid w:val="007B394F"/>
    <w:rsid w:val="007B4361"/>
    <w:rsid w:val="007B4FB3"/>
    <w:rsid w:val="007B53F1"/>
    <w:rsid w:val="007B5AD9"/>
    <w:rsid w:val="007B7771"/>
    <w:rsid w:val="007B7C76"/>
    <w:rsid w:val="007B7ED1"/>
    <w:rsid w:val="007C3B37"/>
    <w:rsid w:val="007C49E3"/>
    <w:rsid w:val="007C6BEB"/>
    <w:rsid w:val="007D13B2"/>
    <w:rsid w:val="007D2417"/>
    <w:rsid w:val="007D5B33"/>
    <w:rsid w:val="007D6311"/>
    <w:rsid w:val="007D661C"/>
    <w:rsid w:val="007D719B"/>
    <w:rsid w:val="007D77E1"/>
    <w:rsid w:val="007D7840"/>
    <w:rsid w:val="007E06A0"/>
    <w:rsid w:val="007E0F3A"/>
    <w:rsid w:val="007E1CED"/>
    <w:rsid w:val="007E2EA3"/>
    <w:rsid w:val="007E3E02"/>
    <w:rsid w:val="007E41E9"/>
    <w:rsid w:val="007E497D"/>
    <w:rsid w:val="007E6B58"/>
    <w:rsid w:val="007E7266"/>
    <w:rsid w:val="007E7C60"/>
    <w:rsid w:val="007F23D5"/>
    <w:rsid w:val="007F2475"/>
    <w:rsid w:val="007F2815"/>
    <w:rsid w:val="007F2DDA"/>
    <w:rsid w:val="007F32BC"/>
    <w:rsid w:val="007F3922"/>
    <w:rsid w:val="007F4BF0"/>
    <w:rsid w:val="007F547F"/>
    <w:rsid w:val="007F5E40"/>
    <w:rsid w:val="007F63B8"/>
    <w:rsid w:val="007F68CA"/>
    <w:rsid w:val="007F6A26"/>
    <w:rsid w:val="008007DE"/>
    <w:rsid w:val="00801058"/>
    <w:rsid w:val="00801BCE"/>
    <w:rsid w:val="0080224D"/>
    <w:rsid w:val="008027E6"/>
    <w:rsid w:val="00803833"/>
    <w:rsid w:val="00805BBF"/>
    <w:rsid w:val="008071BD"/>
    <w:rsid w:val="008075FD"/>
    <w:rsid w:val="008101B0"/>
    <w:rsid w:val="008115DA"/>
    <w:rsid w:val="00811F00"/>
    <w:rsid w:val="008134A6"/>
    <w:rsid w:val="00815DF6"/>
    <w:rsid w:val="00816A20"/>
    <w:rsid w:val="008170BD"/>
    <w:rsid w:val="00817D23"/>
    <w:rsid w:val="00820079"/>
    <w:rsid w:val="00821068"/>
    <w:rsid w:val="0082177F"/>
    <w:rsid w:val="00824B47"/>
    <w:rsid w:val="00824DC5"/>
    <w:rsid w:val="00825783"/>
    <w:rsid w:val="00826AD8"/>
    <w:rsid w:val="00826DFF"/>
    <w:rsid w:val="00827652"/>
    <w:rsid w:val="00827E53"/>
    <w:rsid w:val="0083184F"/>
    <w:rsid w:val="0083202C"/>
    <w:rsid w:val="00832652"/>
    <w:rsid w:val="008329CA"/>
    <w:rsid w:val="0083316C"/>
    <w:rsid w:val="00833FB2"/>
    <w:rsid w:val="008343A4"/>
    <w:rsid w:val="0083724C"/>
    <w:rsid w:val="00840793"/>
    <w:rsid w:val="00842CEE"/>
    <w:rsid w:val="0084561B"/>
    <w:rsid w:val="008465F5"/>
    <w:rsid w:val="00847067"/>
    <w:rsid w:val="00852334"/>
    <w:rsid w:val="00853964"/>
    <w:rsid w:val="0085480F"/>
    <w:rsid w:val="00857F98"/>
    <w:rsid w:val="00860758"/>
    <w:rsid w:val="00860AE3"/>
    <w:rsid w:val="00863361"/>
    <w:rsid w:val="00864654"/>
    <w:rsid w:val="00865FFC"/>
    <w:rsid w:val="00870D94"/>
    <w:rsid w:val="00871C37"/>
    <w:rsid w:val="00872271"/>
    <w:rsid w:val="00872B07"/>
    <w:rsid w:val="00873E9E"/>
    <w:rsid w:val="00874CFB"/>
    <w:rsid w:val="00876181"/>
    <w:rsid w:val="00876EA8"/>
    <w:rsid w:val="00877C3A"/>
    <w:rsid w:val="00880717"/>
    <w:rsid w:val="008837C7"/>
    <w:rsid w:val="008842F3"/>
    <w:rsid w:val="0088431B"/>
    <w:rsid w:val="00884885"/>
    <w:rsid w:val="0088653E"/>
    <w:rsid w:val="00887404"/>
    <w:rsid w:val="00887D19"/>
    <w:rsid w:val="008909CB"/>
    <w:rsid w:val="00890C93"/>
    <w:rsid w:val="0089372D"/>
    <w:rsid w:val="0089442E"/>
    <w:rsid w:val="0089483C"/>
    <w:rsid w:val="00896935"/>
    <w:rsid w:val="00897407"/>
    <w:rsid w:val="008A045A"/>
    <w:rsid w:val="008A09EA"/>
    <w:rsid w:val="008A3298"/>
    <w:rsid w:val="008A3EC6"/>
    <w:rsid w:val="008A473D"/>
    <w:rsid w:val="008B00EA"/>
    <w:rsid w:val="008B061D"/>
    <w:rsid w:val="008B1F04"/>
    <w:rsid w:val="008B35C5"/>
    <w:rsid w:val="008B3DFF"/>
    <w:rsid w:val="008C250D"/>
    <w:rsid w:val="008C4382"/>
    <w:rsid w:val="008D0B9E"/>
    <w:rsid w:val="008D0BC6"/>
    <w:rsid w:val="008D0D6E"/>
    <w:rsid w:val="008D2134"/>
    <w:rsid w:val="008D34E4"/>
    <w:rsid w:val="008D63A7"/>
    <w:rsid w:val="008E527F"/>
    <w:rsid w:val="008E6310"/>
    <w:rsid w:val="008F0D92"/>
    <w:rsid w:val="008F0E1A"/>
    <w:rsid w:val="008F0E2A"/>
    <w:rsid w:val="008F1502"/>
    <w:rsid w:val="008F18BD"/>
    <w:rsid w:val="008F2998"/>
    <w:rsid w:val="008F2BFC"/>
    <w:rsid w:val="008F3115"/>
    <w:rsid w:val="008F5039"/>
    <w:rsid w:val="008F727F"/>
    <w:rsid w:val="009014CD"/>
    <w:rsid w:val="00903200"/>
    <w:rsid w:val="00903481"/>
    <w:rsid w:val="00904D6C"/>
    <w:rsid w:val="00905F76"/>
    <w:rsid w:val="00905F87"/>
    <w:rsid w:val="00907A7F"/>
    <w:rsid w:val="00910431"/>
    <w:rsid w:val="00910CCE"/>
    <w:rsid w:val="00910EBD"/>
    <w:rsid w:val="00911628"/>
    <w:rsid w:val="00913287"/>
    <w:rsid w:val="00915831"/>
    <w:rsid w:val="00916AF4"/>
    <w:rsid w:val="0091720A"/>
    <w:rsid w:val="00917543"/>
    <w:rsid w:val="009212D8"/>
    <w:rsid w:val="00921302"/>
    <w:rsid w:val="00921433"/>
    <w:rsid w:val="009216BA"/>
    <w:rsid w:val="009235CB"/>
    <w:rsid w:val="00923EA4"/>
    <w:rsid w:val="00923FFF"/>
    <w:rsid w:val="009276BF"/>
    <w:rsid w:val="0092798A"/>
    <w:rsid w:val="00927C90"/>
    <w:rsid w:val="00931348"/>
    <w:rsid w:val="00932DE5"/>
    <w:rsid w:val="009338C7"/>
    <w:rsid w:val="0093696F"/>
    <w:rsid w:val="00940873"/>
    <w:rsid w:val="0094247C"/>
    <w:rsid w:val="009425B1"/>
    <w:rsid w:val="00945888"/>
    <w:rsid w:val="009458A5"/>
    <w:rsid w:val="00945F8D"/>
    <w:rsid w:val="00946CE1"/>
    <w:rsid w:val="00946F14"/>
    <w:rsid w:val="0095053F"/>
    <w:rsid w:val="0095156F"/>
    <w:rsid w:val="00951988"/>
    <w:rsid w:val="00952AEC"/>
    <w:rsid w:val="00954592"/>
    <w:rsid w:val="00955B14"/>
    <w:rsid w:val="009564F5"/>
    <w:rsid w:val="00957111"/>
    <w:rsid w:val="0095745C"/>
    <w:rsid w:val="00957513"/>
    <w:rsid w:val="00960E9A"/>
    <w:rsid w:val="009624D5"/>
    <w:rsid w:val="00962E35"/>
    <w:rsid w:val="00965267"/>
    <w:rsid w:val="00967112"/>
    <w:rsid w:val="0096732C"/>
    <w:rsid w:val="0096759F"/>
    <w:rsid w:val="00967B96"/>
    <w:rsid w:val="00970F3D"/>
    <w:rsid w:val="00972471"/>
    <w:rsid w:val="009733AF"/>
    <w:rsid w:val="00973B5B"/>
    <w:rsid w:val="009747DB"/>
    <w:rsid w:val="009758E2"/>
    <w:rsid w:val="00976F57"/>
    <w:rsid w:val="00977046"/>
    <w:rsid w:val="009808A3"/>
    <w:rsid w:val="00980C2A"/>
    <w:rsid w:val="00981335"/>
    <w:rsid w:val="009817B8"/>
    <w:rsid w:val="00981CB7"/>
    <w:rsid w:val="00982B5D"/>
    <w:rsid w:val="0098316E"/>
    <w:rsid w:val="0098389A"/>
    <w:rsid w:val="009843DD"/>
    <w:rsid w:val="009854CB"/>
    <w:rsid w:val="00985504"/>
    <w:rsid w:val="00985703"/>
    <w:rsid w:val="00986A4A"/>
    <w:rsid w:val="00986F36"/>
    <w:rsid w:val="00990418"/>
    <w:rsid w:val="009911E1"/>
    <w:rsid w:val="00992118"/>
    <w:rsid w:val="009924CB"/>
    <w:rsid w:val="0099294D"/>
    <w:rsid w:val="00992BEA"/>
    <w:rsid w:val="00993F9F"/>
    <w:rsid w:val="00995278"/>
    <w:rsid w:val="00997027"/>
    <w:rsid w:val="009A2091"/>
    <w:rsid w:val="009A2191"/>
    <w:rsid w:val="009A2910"/>
    <w:rsid w:val="009A34FC"/>
    <w:rsid w:val="009A3A91"/>
    <w:rsid w:val="009A3C1F"/>
    <w:rsid w:val="009A4057"/>
    <w:rsid w:val="009A58FC"/>
    <w:rsid w:val="009A60E2"/>
    <w:rsid w:val="009A6243"/>
    <w:rsid w:val="009B3F14"/>
    <w:rsid w:val="009B7848"/>
    <w:rsid w:val="009C17B7"/>
    <w:rsid w:val="009C20F3"/>
    <w:rsid w:val="009C3459"/>
    <w:rsid w:val="009C4CED"/>
    <w:rsid w:val="009C6BFF"/>
    <w:rsid w:val="009D1FD5"/>
    <w:rsid w:val="009D37A3"/>
    <w:rsid w:val="009D3D2D"/>
    <w:rsid w:val="009D46B6"/>
    <w:rsid w:val="009D5536"/>
    <w:rsid w:val="009D723B"/>
    <w:rsid w:val="009D7F3C"/>
    <w:rsid w:val="009E1310"/>
    <w:rsid w:val="009E13A6"/>
    <w:rsid w:val="009E160E"/>
    <w:rsid w:val="009E1EAF"/>
    <w:rsid w:val="009E5F21"/>
    <w:rsid w:val="009F38DD"/>
    <w:rsid w:val="009F422F"/>
    <w:rsid w:val="009F6112"/>
    <w:rsid w:val="009F6CBD"/>
    <w:rsid w:val="009F73F4"/>
    <w:rsid w:val="00A001AD"/>
    <w:rsid w:val="00A00272"/>
    <w:rsid w:val="00A01019"/>
    <w:rsid w:val="00A0240D"/>
    <w:rsid w:val="00A025AB"/>
    <w:rsid w:val="00A03CE2"/>
    <w:rsid w:val="00A0572E"/>
    <w:rsid w:val="00A05B51"/>
    <w:rsid w:val="00A06572"/>
    <w:rsid w:val="00A0740D"/>
    <w:rsid w:val="00A075D4"/>
    <w:rsid w:val="00A107AA"/>
    <w:rsid w:val="00A110E8"/>
    <w:rsid w:val="00A11D25"/>
    <w:rsid w:val="00A121B1"/>
    <w:rsid w:val="00A14BE3"/>
    <w:rsid w:val="00A1506E"/>
    <w:rsid w:val="00A156E2"/>
    <w:rsid w:val="00A15852"/>
    <w:rsid w:val="00A2047B"/>
    <w:rsid w:val="00A20F27"/>
    <w:rsid w:val="00A22EDE"/>
    <w:rsid w:val="00A233B7"/>
    <w:rsid w:val="00A23664"/>
    <w:rsid w:val="00A23BE5"/>
    <w:rsid w:val="00A2446A"/>
    <w:rsid w:val="00A24D2F"/>
    <w:rsid w:val="00A26BE4"/>
    <w:rsid w:val="00A27A28"/>
    <w:rsid w:val="00A27ECA"/>
    <w:rsid w:val="00A306E8"/>
    <w:rsid w:val="00A307F7"/>
    <w:rsid w:val="00A32714"/>
    <w:rsid w:val="00A330A9"/>
    <w:rsid w:val="00A331F9"/>
    <w:rsid w:val="00A33656"/>
    <w:rsid w:val="00A35B9F"/>
    <w:rsid w:val="00A36E0A"/>
    <w:rsid w:val="00A422EE"/>
    <w:rsid w:val="00A423AC"/>
    <w:rsid w:val="00A4243F"/>
    <w:rsid w:val="00A44089"/>
    <w:rsid w:val="00A54473"/>
    <w:rsid w:val="00A55C73"/>
    <w:rsid w:val="00A56225"/>
    <w:rsid w:val="00A6033A"/>
    <w:rsid w:val="00A6048D"/>
    <w:rsid w:val="00A6362B"/>
    <w:rsid w:val="00A643D7"/>
    <w:rsid w:val="00A644DD"/>
    <w:rsid w:val="00A65557"/>
    <w:rsid w:val="00A66C15"/>
    <w:rsid w:val="00A70D25"/>
    <w:rsid w:val="00A71307"/>
    <w:rsid w:val="00A7225C"/>
    <w:rsid w:val="00A72E10"/>
    <w:rsid w:val="00A743C5"/>
    <w:rsid w:val="00A7457D"/>
    <w:rsid w:val="00A74D49"/>
    <w:rsid w:val="00A756AA"/>
    <w:rsid w:val="00A76400"/>
    <w:rsid w:val="00A766D5"/>
    <w:rsid w:val="00A808E3"/>
    <w:rsid w:val="00A81176"/>
    <w:rsid w:val="00A820DB"/>
    <w:rsid w:val="00A82935"/>
    <w:rsid w:val="00A83ACA"/>
    <w:rsid w:val="00A83B48"/>
    <w:rsid w:val="00A85593"/>
    <w:rsid w:val="00A85BED"/>
    <w:rsid w:val="00A8688C"/>
    <w:rsid w:val="00A90D2E"/>
    <w:rsid w:val="00A91806"/>
    <w:rsid w:val="00A921FB"/>
    <w:rsid w:val="00A92229"/>
    <w:rsid w:val="00AA0380"/>
    <w:rsid w:val="00AA1E48"/>
    <w:rsid w:val="00AA2B69"/>
    <w:rsid w:val="00AA2E12"/>
    <w:rsid w:val="00AA3388"/>
    <w:rsid w:val="00AA3A15"/>
    <w:rsid w:val="00AA4000"/>
    <w:rsid w:val="00AA528E"/>
    <w:rsid w:val="00AA61CC"/>
    <w:rsid w:val="00AB000D"/>
    <w:rsid w:val="00AB0310"/>
    <w:rsid w:val="00AB2965"/>
    <w:rsid w:val="00AB3965"/>
    <w:rsid w:val="00AB39D8"/>
    <w:rsid w:val="00AB4450"/>
    <w:rsid w:val="00AB4D13"/>
    <w:rsid w:val="00AC22A0"/>
    <w:rsid w:val="00AC2589"/>
    <w:rsid w:val="00AC2CA7"/>
    <w:rsid w:val="00AC4ED4"/>
    <w:rsid w:val="00AC5E7C"/>
    <w:rsid w:val="00AC703A"/>
    <w:rsid w:val="00AD0359"/>
    <w:rsid w:val="00AD21C6"/>
    <w:rsid w:val="00AD2420"/>
    <w:rsid w:val="00AD3580"/>
    <w:rsid w:val="00AD4279"/>
    <w:rsid w:val="00AD438E"/>
    <w:rsid w:val="00AD4898"/>
    <w:rsid w:val="00AD6E66"/>
    <w:rsid w:val="00AD6F11"/>
    <w:rsid w:val="00AD6FAF"/>
    <w:rsid w:val="00AD7937"/>
    <w:rsid w:val="00AD79AC"/>
    <w:rsid w:val="00AE206A"/>
    <w:rsid w:val="00AE4148"/>
    <w:rsid w:val="00AE4F8F"/>
    <w:rsid w:val="00AE630F"/>
    <w:rsid w:val="00AE78B3"/>
    <w:rsid w:val="00AF012D"/>
    <w:rsid w:val="00AF2EE9"/>
    <w:rsid w:val="00AF6BB5"/>
    <w:rsid w:val="00AF6D72"/>
    <w:rsid w:val="00AF724F"/>
    <w:rsid w:val="00AF784F"/>
    <w:rsid w:val="00AF7D15"/>
    <w:rsid w:val="00B001AC"/>
    <w:rsid w:val="00B011D7"/>
    <w:rsid w:val="00B02CC5"/>
    <w:rsid w:val="00B04260"/>
    <w:rsid w:val="00B05CFC"/>
    <w:rsid w:val="00B0632B"/>
    <w:rsid w:val="00B10EFC"/>
    <w:rsid w:val="00B11B74"/>
    <w:rsid w:val="00B122E7"/>
    <w:rsid w:val="00B12EC6"/>
    <w:rsid w:val="00B14351"/>
    <w:rsid w:val="00B14367"/>
    <w:rsid w:val="00B15CEF"/>
    <w:rsid w:val="00B214A7"/>
    <w:rsid w:val="00B22AF0"/>
    <w:rsid w:val="00B22D4B"/>
    <w:rsid w:val="00B24315"/>
    <w:rsid w:val="00B24F67"/>
    <w:rsid w:val="00B27424"/>
    <w:rsid w:val="00B316F9"/>
    <w:rsid w:val="00B31BD9"/>
    <w:rsid w:val="00B343A7"/>
    <w:rsid w:val="00B34CDC"/>
    <w:rsid w:val="00B34F30"/>
    <w:rsid w:val="00B35A3F"/>
    <w:rsid w:val="00B37BFB"/>
    <w:rsid w:val="00B37EEF"/>
    <w:rsid w:val="00B411D1"/>
    <w:rsid w:val="00B4193C"/>
    <w:rsid w:val="00B4364F"/>
    <w:rsid w:val="00B441C4"/>
    <w:rsid w:val="00B45F29"/>
    <w:rsid w:val="00B464C1"/>
    <w:rsid w:val="00B4677A"/>
    <w:rsid w:val="00B46CE7"/>
    <w:rsid w:val="00B472F6"/>
    <w:rsid w:val="00B47817"/>
    <w:rsid w:val="00B501A9"/>
    <w:rsid w:val="00B50EF3"/>
    <w:rsid w:val="00B50F67"/>
    <w:rsid w:val="00B521BC"/>
    <w:rsid w:val="00B54760"/>
    <w:rsid w:val="00B57A0F"/>
    <w:rsid w:val="00B57A95"/>
    <w:rsid w:val="00B6001D"/>
    <w:rsid w:val="00B604DE"/>
    <w:rsid w:val="00B60E0B"/>
    <w:rsid w:val="00B62111"/>
    <w:rsid w:val="00B628CF"/>
    <w:rsid w:val="00B62FEB"/>
    <w:rsid w:val="00B644E4"/>
    <w:rsid w:val="00B65B83"/>
    <w:rsid w:val="00B66AA9"/>
    <w:rsid w:val="00B66B0B"/>
    <w:rsid w:val="00B66ECA"/>
    <w:rsid w:val="00B67C79"/>
    <w:rsid w:val="00B70E5D"/>
    <w:rsid w:val="00B7398D"/>
    <w:rsid w:val="00B75992"/>
    <w:rsid w:val="00B77B54"/>
    <w:rsid w:val="00B77D37"/>
    <w:rsid w:val="00B82891"/>
    <w:rsid w:val="00B830B0"/>
    <w:rsid w:val="00B8439D"/>
    <w:rsid w:val="00B85191"/>
    <w:rsid w:val="00B85C8B"/>
    <w:rsid w:val="00B86F88"/>
    <w:rsid w:val="00B8727D"/>
    <w:rsid w:val="00B90A15"/>
    <w:rsid w:val="00B927AB"/>
    <w:rsid w:val="00B92FD9"/>
    <w:rsid w:val="00B933F3"/>
    <w:rsid w:val="00B94284"/>
    <w:rsid w:val="00B94C15"/>
    <w:rsid w:val="00B958A8"/>
    <w:rsid w:val="00B9717D"/>
    <w:rsid w:val="00B978BB"/>
    <w:rsid w:val="00B97BB2"/>
    <w:rsid w:val="00BA015A"/>
    <w:rsid w:val="00BA24C1"/>
    <w:rsid w:val="00BA405E"/>
    <w:rsid w:val="00BA5175"/>
    <w:rsid w:val="00BA5ABA"/>
    <w:rsid w:val="00BA5EFD"/>
    <w:rsid w:val="00BA6385"/>
    <w:rsid w:val="00BA71C4"/>
    <w:rsid w:val="00BA7CF1"/>
    <w:rsid w:val="00BB1B45"/>
    <w:rsid w:val="00BB1D72"/>
    <w:rsid w:val="00BB4090"/>
    <w:rsid w:val="00BB4523"/>
    <w:rsid w:val="00BB54D4"/>
    <w:rsid w:val="00BB6351"/>
    <w:rsid w:val="00BB6A15"/>
    <w:rsid w:val="00BC0D93"/>
    <w:rsid w:val="00BC1355"/>
    <w:rsid w:val="00BC31F1"/>
    <w:rsid w:val="00BC3E4E"/>
    <w:rsid w:val="00BC61A5"/>
    <w:rsid w:val="00BC7303"/>
    <w:rsid w:val="00BC73A1"/>
    <w:rsid w:val="00BC76E0"/>
    <w:rsid w:val="00BD04FD"/>
    <w:rsid w:val="00BD382D"/>
    <w:rsid w:val="00BD4BB1"/>
    <w:rsid w:val="00BD58D9"/>
    <w:rsid w:val="00BD5AFE"/>
    <w:rsid w:val="00BD6446"/>
    <w:rsid w:val="00BD6A20"/>
    <w:rsid w:val="00BD748B"/>
    <w:rsid w:val="00BE00F5"/>
    <w:rsid w:val="00BE0EF8"/>
    <w:rsid w:val="00BE2A56"/>
    <w:rsid w:val="00BE4BFD"/>
    <w:rsid w:val="00BE5310"/>
    <w:rsid w:val="00BE59A5"/>
    <w:rsid w:val="00BE5A52"/>
    <w:rsid w:val="00BE6713"/>
    <w:rsid w:val="00BE7F91"/>
    <w:rsid w:val="00BF0C5B"/>
    <w:rsid w:val="00BF137D"/>
    <w:rsid w:val="00BF146D"/>
    <w:rsid w:val="00BF17A0"/>
    <w:rsid w:val="00BF2894"/>
    <w:rsid w:val="00BF2BC9"/>
    <w:rsid w:val="00BF39F5"/>
    <w:rsid w:val="00BF4832"/>
    <w:rsid w:val="00BF6A90"/>
    <w:rsid w:val="00BF7342"/>
    <w:rsid w:val="00C01738"/>
    <w:rsid w:val="00C017D4"/>
    <w:rsid w:val="00C01B34"/>
    <w:rsid w:val="00C03F50"/>
    <w:rsid w:val="00C07FBE"/>
    <w:rsid w:val="00C109FA"/>
    <w:rsid w:val="00C10F49"/>
    <w:rsid w:val="00C11368"/>
    <w:rsid w:val="00C11AB3"/>
    <w:rsid w:val="00C11D3D"/>
    <w:rsid w:val="00C131B9"/>
    <w:rsid w:val="00C13554"/>
    <w:rsid w:val="00C1411B"/>
    <w:rsid w:val="00C148DF"/>
    <w:rsid w:val="00C14BA3"/>
    <w:rsid w:val="00C15DDB"/>
    <w:rsid w:val="00C205D8"/>
    <w:rsid w:val="00C21275"/>
    <w:rsid w:val="00C23420"/>
    <w:rsid w:val="00C2492A"/>
    <w:rsid w:val="00C25516"/>
    <w:rsid w:val="00C25E20"/>
    <w:rsid w:val="00C26948"/>
    <w:rsid w:val="00C31D95"/>
    <w:rsid w:val="00C325F9"/>
    <w:rsid w:val="00C33609"/>
    <w:rsid w:val="00C35055"/>
    <w:rsid w:val="00C36116"/>
    <w:rsid w:val="00C37551"/>
    <w:rsid w:val="00C40BF1"/>
    <w:rsid w:val="00C4202D"/>
    <w:rsid w:val="00C42436"/>
    <w:rsid w:val="00C438D8"/>
    <w:rsid w:val="00C445F5"/>
    <w:rsid w:val="00C44A57"/>
    <w:rsid w:val="00C454F4"/>
    <w:rsid w:val="00C4644C"/>
    <w:rsid w:val="00C47021"/>
    <w:rsid w:val="00C47818"/>
    <w:rsid w:val="00C50161"/>
    <w:rsid w:val="00C52966"/>
    <w:rsid w:val="00C52A80"/>
    <w:rsid w:val="00C55D23"/>
    <w:rsid w:val="00C55F67"/>
    <w:rsid w:val="00C5657F"/>
    <w:rsid w:val="00C60ED1"/>
    <w:rsid w:val="00C6176B"/>
    <w:rsid w:val="00C618E9"/>
    <w:rsid w:val="00C61937"/>
    <w:rsid w:val="00C620F1"/>
    <w:rsid w:val="00C625D9"/>
    <w:rsid w:val="00C64A78"/>
    <w:rsid w:val="00C6542E"/>
    <w:rsid w:val="00C6758B"/>
    <w:rsid w:val="00C7196A"/>
    <w:rsid w:val="00C76206"/>
    <w:rsid w:val="00C7682F"/>
    <w:rsid w:val="00C8035E"/>
    <w:rsid w:val="00C81080"/>
    <w:rsid w:val="00C822FD"/>
    <w:rsid w:val="00C86774"/>
    <w:rsid w:val="00C92422"/>
    <w:rsid w:val="00C924FD"/>
    <w:rsid w:val="00C92AB4"/>
    <w:rsid w:val="00C951BE"/>
    <w:rsid w:val="00C96FAD"/>
    <w:rsid w:val="00CA0CA8"/>
    <w:rsid w:val="00CA1F3A"/>
    <w:rsid w:val="00CA2032"/>
    <w:rsid w:val="00CA2B31"/>
    <w:rsid w:val="00CA3569"/>
    <w:rsid w:val="00CA414E"/>
    <w:rsid w:val="00CA4C1D"/>
    <w:rsid w:val="00CA771C"/>
    <w:rsid w:val="00CB0EAE"/>
    <w:rsid w:val="00CB0F67"/>
    <w:rsid w:val="00CB1E60"/>
    <w:rsid w:val="00CB3186"/>
    <w:rsid w:val="00CB62F1"/>
    <w:rsid w:val="00CB7237"/>
    <w:rsid w:val="00CB75F3"/>
    <w:rsid w:val="00CC03D8"/>
    <w:rsid w:val="00CC13F0"/>
    <w:rsid w:val="00CC21B2"/>
    <w:rsid w:val="00CC21D5"/>
    <w:rsid w:val="00CC2289"/>
    <w:rsid w:val="00CC325F"/>
    <w:rsid w:val="00CC3AEC"/>
    <w:rsid w:val="00CC41D7"/>
    <w:rsid w:val="00CC44A4"/>
    <w:rsid w:val="00CC59DE"/>
    <w:rsid w:val="00CC5C64"/>
    <w:rsid w:val="00CC63C4"/>
    <w:rsid w:val="00CC651E"/>
    <w:rsid w:val="00CC6721"/>
    <w:rsid w:val="00CC77FD"/>
    <w:rsid w:val="00CC7C51"/>
    <w:rsid w:val="00CC7C6E"/>
    <w:rsid w:val="00CD2032"/>
    <w:rsid w:val="00CD4561"/>
    <w:rsid w:val="00CD48F3"/>
    <w:rsid w:val="00CD73C4"/>
    <w:rsid w:val="00CE3CC0"/>
    <w:rsid w:val="00CE4DAD"/>
    <w:rsid w:val="00CE521F"/>
    <w:rsid w:val="00CF0C82"/>
    <w:rsid w:val="00CF20CD"/>
    <w:rsid w:val="00CF5FCB"/>
    <w:rsid w:val="00CF704E"/>
    <w:rsid w:val="00CF7197"/>
    <w:rsid w:val="00CF74C7"/>
    <w:rsid w:val="00D000AD"/>
    <w:rsid w:val="00D0012A"/>
    <w:rsid w:val="00D01F1A"/>
    <w:rsid w:val="00D02316"/>
    <w:rsid w:val="00D042C8"/>
    <w:rsid w:val="00D04F4D"/>
    <w:rsid w:val="00D07C19"/>
    <w:rsid w:val="00D1002F"/>
    <w:rsid w:val="00D10C2A"/>
    <w:rsid w:val="00D11419"/>
    <w:rsid w:val="00D11B02"/>
    <w:rsid w:val="00D124F5"/>
    <w:rsid w:val="00D14F84"/>
    <w:rsid w:val="00D152F2"/>
    <w:rsid w:val="00D15D3A"/>
    <w:rsid w:val="00D15F2D"/>
    <w:rsid w:val="00D16F5F"/>
    <w:rsid w:val="00D20679"/>
    <w:rsid w:val="00D219E8"/>
    <w:rsid w:val="00D21E58"/>
    <w:rsid w:val="00D2275E"/>
    <w:rsid w:val="00D22C5F"/>
    <w:rsid w:val="00D2342A"/>
    <w:rsid w:val="00D23930"/>
    <w:rsid w:val="00D24446"/>
    <w:rsid w:val="00D275E7"/>
    <w:rsid w:val="00D30520"/>
    <w:rsid w:val="00D31B32"/>
    <w:rsid w:val="00D331A1"/>
    <w:rsid w:val="00D3353D"/>
    <w:rsid w:val="00D33F96"/>
    <w:rsid w:val="00D3609E"/>
    <w:rsid w:val="00D36A99"/>
    <w:rsid w:val="00D42485"/>
    <w:rsid w:val="00D4255A"/>
    <w:rsid w:val="00D430A9"/>
    <w:rsid w:val="00D43784"/>
    <w:rsid w:val="00D45B22"/>
    <w:rsid w:val="00D45F5F"/>
    <w:rsid w:val="00D4706C"/>
    <w:rsid w:val="00D47416"/>
    <w:rsid w:val="00D474D3"/>
    <w:rsid w:val="00D50ADD"/>
    <w:rsid w:val="00D51419"/>
    <w:rsid w:val="00D515E3"/>
    <w:rsid w:val="00D5213A"/>
    <w:rsid w:val="00D52471"/>
    <w:rsid w:val="00D5262A"/>
    <w:rsid w:val="00D528C6"/>
    <w:rsid w:val="00D5296D"/>
    <w:rsid w:val="00D52D6B"/>
    <w:rsid w:val="00D54AFE"/>
    <w:rsid w:val="00D561BC"/>
    <w:rsid w:val="00D578CA"/>
    <w:rsid w:val="00D609DD"/>
    <w:rsid w:val="00D63B4E"/>
    <w:rsid w:val="00D63F48"/>
    <w:rsid w:val="00D63F67"/>
    <w:rsid w:val="00D6467A"/>
    <w:rsid w:val="00D646DA"/>
    <w:rsid w:val="00D669C8"/>
    <w:rsid w:val="00D729D3"/>
    <w:rsid w:val="00D731EE"/>
    <w:rsid w:val="00D73442"/>
    <w:rsid w:val="00D75B7E"/>
    <w:rsid w:val="00D75D26"/>
    <w:rsid w:val="00D76557"/>
    <w:rsid w:val="00D77411"/>
    <w:rsid w:val="00D813BB"/>
    <w:rsid w:val="00D82E88"/>
    <w:rsid w:val="00D83D72"/>
    <w:rsid w:val="00D84C00"/>
    <w:rsid w:val="00D8576F"/>
    <w:rsid w:val="00D86534"/>
    <w:rsid w:val="00D865DB"/>
    <w:rsid w:val="00D870CD"/>
    <w:rsid w:val="00D87101"/>
    <w:rsid w:val="00D902B6"/>
    <w:rsid w:val="00D9098C"/>
    <w:rsid w:val="00D90D0A"/>
    <w:rsid w:val="00D90F7A"/>
    <w:rsid w:val="00D91E40"/>
    <w:rsid w:val="00D9326E"/>
    <w:rsid w:val="00D938D6"/>
    <w:rsid w:val="00D93EF3"/>
    <w:rsid w:val="00D9558D"/>
    <w:rsid w:val="00D95D33"/>
    <w:rsid w:val="00D97850"/>
    <w:rsid w:val="00DA0D40"/>
    <w:rsid w:val="00DA0DA6"/>
    <w:rsid w:val="00DA161F"/>
    <w:rsid w:val="00DA3B18"/>
    <w:rsid w:val="00DA5897"/>
    <w:rsid w:val="00DA5DCB"/>
    <w:rsid w:val="00DA67CD"/>
    <w:rsid w:val="00DA7832"/>
    <w:rsid w:val="00DB22E4"/>
    <w:rsid w:val="00DB2D62"/>
    <w:rsid w:val="00DB31A9"/>
    <w:rsid w:val="00DB39B4"/>
    <w:rsid w:val="00DB6926"/>
    <w:rsid w:val="00DB6E3E"/>
    <w:rsid w:val="00DC1CC5"/>
    <w:rsid w:val="00DC4984"/>
    <w:rsid w:val="00DC6155"/>
    <w:rsid w:val="00DD4512"/>
    <w:rsid w:val="00DD58B1"/>
    <w:rsid w:val="00DD67B5"/>
    <w:rsid w:val="00DD70C1"/>
    <w:rsid w:val="00DD713E"/>
    <w:rsid w:val="00DD7483"/>
    <w:rsid w:val="00DD76D8"/>
    <w:rsid w:val="00DD7708"/>
    <w:rsid w:val="00DE3F13"/>
    <w:rsid w:val="00DE4024"/>
    <w:rsid w:val="00DE4E5C"/>
    <w:rsid w:val="00DE521E"/>
    <w:rsid w:val="00DE7B4D"/>
    <w:rsid w:val="00DF1AEA"/>
    <w:rsid w:val="00DF23BC"/>
    <w:rsid w:val="00DF27EF"/>
    <w:rsid w:val="00DF35C6"/>
    <w:rsid w:val="00DF38D5"/>
    <w:rsid w:val="00DF3F10"/>
    <w:rsid w:val="00DF51E5"/>
    <w:rsid w:val="00DF5FC2"/>
    <w:rsid w:val="00DF6265"/>
    <w:rsid w:val="00DF7914"/>
    <w:rsid w:val="00E0056C"/>
    <w:rsid w:val="00E01E58"/>
    <w:rsid w:val="00E025EA"/>
    <w:rsid w:val="00E0563E"/>
    <w:rsid w:val="00E0629A"/>
    <w:rsid w:val="00E06A96"/>
    <w:rsid w:val="00E074DB"/>
    <w:rsid w:val="00E11C5E"/>
    <w:rsid w:val="00E13F34"/>
    <w:rsid w:val="00E156A6"/>
    <w:rsid w:val="00E22ACE"/>
    <w:rsid w:val="00E277D6"/>
    <w:rsid w:val="00E27A39"/>
    <w:rsid w:val="00E30DC1"/>
    <w:rsid w:val="00E320A7"/>
    <w:rsid w:val="00E32F7E"/>
    <w:rsid w:val="00E365EE"/>
    <w:rsid w:val="00E377C5"/>
    <w:rsid w:val="00E37F26"/>
    <w:rsid w:val="00E41EA2"/>
    <w:rsid w:val="00E4447A"/>
    <w:rsid w:val="00E46857"/>
    <w:rsid w:val="00E46CAA"/>
    <w:rsid w:val="00E47CFB"/>
    <w:rsid w:val="00E47D21"/>
    <w:rsid w:val="00E47D25"/>
    <w:rsid w:val="00E47EF1"/>
    <w:rsid w:val="00E51942"/>
    <w:rsid w:val="00E5196E"/>
    <w:rsid w:val="00E53BF3"/>
    <w:rsid w:val="00E55AFF"/>
    <w:rsid w:val="00E564CE"/>
    <w:rsid w:val="00E57313"/>
    <w:rsid w:val="00E60DC2"/>
    <w:rsid w:val="00E61ADC"/>
    <w:rsid w:val="00E629E2"/>
    <w:rsid w:val="00E6341D"/>
    <w:rsid w:val="00E70BE5"/>
    <w:rsid w:val="00E71976"/>
    <w:rsid w:val="00E7218C"/>
    <w:rsid w:val="00E758D7"/>
    <w:rsid w:val="00E76720"/>
    <w:rsid w:val="00E77CA6"/>
    <w:rsid w:val="00E77FCE"/>
    <w:rsid w:val="00E81204"/>
    <w:rsid w:val="00E81DF1"/>
    <w:rsid w:val="00E83A8D"/>
    <w:rsid w:val="00E84963"/>
    <w:rsid w:val="00E84BB5"/>
    <w:rsid w:val="00E85544"/>
    <w:rsid w:val="00E858FD"/>
    <w:rsid w:val="00E8651F"/>
    <w:rsid w:val="00E87AFA"/>
    <w:rsid w:val="00E92FEE"/>
    <w:rsid w:val="00E932A4"/>
    <w:rsid w:val="00E9727F"/>
    <w:rsid w:val="00E976F6"/>
    <w:rsid w:val="00E977A0"/>
    <w:rsid w:val="00EA3423"/>
    <w:rsid w:val="00EA45AE"/>
    <w:rsid w:val="00EA48FD"/>
    <w:rsid w:val="00EA4D2A"/>
    <w:rsid w:val="00EA56A5"/>
    <w:rsid w:val="00EA737C"/>
    <w:rsid w:val="00EA7C66"/>
    <w:rsid w:val="00EB4D32"/>
    <w:rsid w:val="00EB4E0E"/>
    <w:rsid w:val="00EB5B86"/>
    <w:rsid w:val="00EB78AB"/>
    <w:rsid w:val="00EC0C52"/>
    <w:rsid w:val="00EC0E58"/>
    <w:rsid w:val="00EC118D"/>
    <w:rsid w:val="00EC1D19"/>
    <w:rsid w:val="00EC28BA"/>
    <w:rsid w:val="00EC2DFF"/>
    <w:rsid w:val="00EC35A6"/>
    <w:rsid w:val="00EC360E"/>
    <w:rsid w:val="00EC3D05"/>
    <w:rsid w:val="00EC3D09"/>
    <w:rsid w:val="00EC5178"/>
    <w:rsid w:val="00EC67F1"/>
    <w:rsid w:val="00EC7FD0"/>
    <w:rsid w:val="00ED2A09"/>
    <w:rsid w:val="00ED2F8F"/>
    <w:rsid w:val="00ED4FC7"/>
    <w:rsid w:val="00ED506C"/>
    <w:rsid w:val="00ED523B"/>
    <w:rsid w:val="00ED5249"/>
    <w:rsid w:val="00ED6026"/>
    <w:rsid w:val="00ED68F6"/>
    <w:rsid w:val="00ED6FC7"/>
    <w:rsid w:val="00EE057B"/>
    <w:rsid w:val="00EE267E"/>
    <w:rsid w:val="00EE548B"/>
    <w:rsid w:val="00EE6C92"/>
    <w:rsid w:val="00EF03CC"/>
    <w:rsid w:val="00EF262C"/>
    <w:rsid w:val="00EF2BDE"/>
    <w:rsid w:val="00EF4B2B"/>
    <w:rsid w:val="00EF55AB"/>
    <w:rsid w:val="00EF73D2"/>
    <w:rsid w:val="00F01C8F"/>
    <w:rsid w:val="00F0612C"/>
    <w:rsid w:val="00F07913"/>
    <w:rsid w:val="00F07B03"/>
    <w:rsid w:val="00F100F0"/>
    <w:rsid w:val="00F11459"/>
    <w:rsid w:val="00F11676"/>
    <w:rsid w:val="00F128C9"/>
    <w:rsid w:val="00F12C2E"/>
    <w:rsid w:val="00F14364"/>
    <w:rsid w:val="00F15D03"/>
    <w:rsid w:val="00F15D60"/>
    <w:rsid w:val="00F167CC"/>
    <w:rsid w:val="00F174BB"/>
    <w:rsid w:val="00F176BC"/>
    <w:rsid w:val="00F17898"/>
    <w:rsid w:val="00F204E9"/>
    <w:rsid w:val="00F20750"/>
    <w:rsid w:val="00F22201"/>
    <w:rsid w:val="00F223DE"/>
    <w:rsid w:val="00F22A3C"/>
    <w:rsid w:val="00F22B4F"/>
    <w:rsid w:val="00F26FB5"/>
    <w:rsid w:val="00F3144F"/>
    <w:rsid w:val="00F33739"/>
    <w:rsid w:val="00F35431"/>
    <w:rsid w:val="00F357E3"/>
    <w:rsid w:val="00F412C4"/>
    <w:rsid w:val="00F4139D"/>
    <w:rsid w:val="00F41478"/>
    <w:rsid w:val="00F43B6C"/>
    <w:rsid w:val="00F46C52"/>
    <w:rsid w:val="00F51AA8"/>
    <w:rsid w:val="00F52673"/>
    <w:rsid w:val="00F53177"/>
    <w:rsid w:val="00F55C12"/>
    <w:rsid w:val="00F61D50"/>
    <w:rsid w:val="00F65F07"/>
    <w:rsid w:val="00F6696D"/>
    <w:rsid w:val="00F712A3"/>
    <w:rsid w:val="00F72CB7"/>
    <w:rsid w:val="00F74901"/>
    <w:rsid w:val="00F74C60"/>
    <w:rsid w:val="00F74FFB"/>
    <w:rsid w:val="00F75EA1"/>
    <w:rsid w:val="00F76363"/>
    <w:rsid w:val="00F854B8"/>
    <w:rsid w:val="00F87A3F"/>
    <w:rsid w:val="00F91CE4"/>
    <w:rsid w:val="00F92316"/>
    <w:rsid w:val="00F94170"/>
    <w:rsid w:val="00F97068"/>
    <w:rsid w:val="00F979FF"/>
    <w:rsid w:val="00FA00FC"/>
    <w:rsid w:val="00FA055C"/>
    <w:rsid w:val="00FA0779"/>
    <w:rsid w:val="00FA17F2"/>
    <w:rsid w:val="00FA18A1"/>
    <w:rsid w:val="00FA3D57"/>
    <w:rsid w:val="00FA53C9"/>
    <w:rsid w:val="00FA7B83"/>
    <w:rsid w:val="00FB03D4"/>
    <w:rsid w:val="00FB2672"/>
    <w:rsid w:val="00FB4A6C"/>
    <w:rsid w:val="00FB4C03"/>
    <w:rsid w:val="00FB668B"/>
    <w:rsid w:val="00FC01C3"/>
    <w:rsid w:val="00FC029F"/>
    <w:rsid w:val="00FC0957"/>
    <w:rsid w:val="00FC4095"/>
    <w:rsid w:val="00FC4180"/>
    <w:rsid w:val="00FC4247"/>
    <w:rsid w:val="00FC446B"/>
    <w:rsid w:val="00FC47EE"/>
    <w:rsid w:val="00FC5CAF"/>
    <w:rsid w:val="00FC7AE1"/>
    <w:rsid w:val="00FD014D"/>
    <w:rsid w:val="00FD1862"/>
    <w:rsid w:val="00FD6E98"/>
    <w:rsid w:val="00FE04BB"/>
    <w:rsid w:val="00FE0522"/>
    <w:rsid w:val="00FE0D6F"/>
    <w:rsid w:val="00FE296F"/>
    <w:rsid w:val="00FE2D46"/>
    <w:rsid w:val="00FE3985"/>
    <w:rsid w:val="00FE4BA3"/>
    <w:rsid w:val="00FE4D11"/>
    <w:rsid w:val="00FE5129"/>
    <w:rsid w:val="00FE6CA8"/>
    <w:rsid w:val="00FE7856"/>
    <w:rsid w:val="00FF44F4"/>
    <w:rsid w:val="00FF4E5C"/>
    <w:rsid w:val="00FF594A"/>
    <w:rsid w:val="00FF74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4"/>
    <o:shapelayout v:ext="edit">
      <o:idmap v:ext="edit" data="1"/>
    </o:shapelayout>
  </w:shapeDefaults>
  <w:decimalSymbol w:val="."/>
  <w:listSeparator w:val=","/>
  <w14:docId w14:val="536A51DE"/>
  <w15:docId w15:val="{1497FAB9-BDB5-483D-949F-3ECCE2576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42A"/>
    <w:rPr>
      <w:rFonts w:ascii="Calibri" w:hAnsi="Calibri"/>
      <w:sz w:val="22"/>
      <w:szCs w:val="24"/>
      <w:lang w:eastAsia="en-US"/>
    </w:rPr>
  </w:style>
  <w:style w:type="paragraph" w:styleId="Heading1">
    <w:name w:val="heading 1"/>
    <w:aliases w:val="numbered,h1"/>
    <w:next w:val="BodyText1"/>
    <w:link w:val="Heading1Char"/>
    <w:qFormat/>
    <w:rsid w:val="00FA18A1"/>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rsid w:val="00416360"/>
    <w:pPr>
      <w:spacing w:before="40" w:after="60" w:line="288" w:lineRule="auto"/>
      <w:ind w:left="567"/>
    </w:pPr>
    <w:rPr>
      <w:rFonts w:ascii="Calibri" w:hAnsi="Calibri"/>
      <w:sz w:val="22"/>
      <w:szCs w:val="22"/>
      <w:lang w:eastAsia="en-US"/>
    </w:rPr>
  </w:style>
  <w:style w:type="paragraph" w:styleId="ListBullet2">
    <w:name w:val="List Bullet 2"/>
    <w:autoRedefine/>
    <w:rsid w:val="0015794F"/>
    <w:pPr>
      <w:numPr>
        <w:numId w:val="2"/>
      </w:numPr>
      <w:spacing w:after="60" w:line="288" w:lineRule="auto"/>
      <w:ind w:left="1248" w:hanging="284"/>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301919"/>
    <w:pPr>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uiPriority w:val="99"/>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B214A7"/>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pPr>
    <w:rPr>
      <w:b/>
      <w:smallCaps/>
      <w:spacing w:val="20"/>
      <w:sz w:val="44"/>
    </w:rPr>
  </w:style>
  <w:style w:type="character" w:styleId="FollowedHyperlink">
    <w:name w:val="FollowedHyperlink"/>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qFormat/>
    <w:rsid w:val="00EA3423"/>
    <w:pPr>
      <w:keepNext/>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6"/>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1"/>
    <w:qFormat/>
    <w:rsid w:val="00EA3423"/>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EC3D05"/>
    <w:pPr>
      <w:spacing w:before="120" w:after="24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link w:val="BodyText1"/>
    <w:rsid w:val="00FA18A1"/>
    <w:rPr>
      <w:rFonts w:ascii="Calibri" w:hAnsi="Calibri"/>
      <w:sz w:val="22"/>
      <w:szCs w:val="24"/>
      <w:lang w:eastAsia="en-US"/>
    </w:rPr>
  </w:style>
  <w:style w:type="character" w:customStyle="1" w:styleId="RecommendationTextChar">
    <w:name w:val="Recommendation Text Char"/>
    <w:link w:val="RecommendationText"/>
    <w:rsid w:val="00EC3D05"/>
    <w:rPr>
      <w:rFonts w:ascii="Calibri" w:hAnsi="Calibri"/>
      <w:b/>
      <w:sz w:val="22"/>
      <w:szCs w:val="24"/>
      <w:lang w:eastAsia="en-US"/>
    </w:rPr>
  </w:style>
  <w:style w:type="character" w:customStyle="1" w:styleId="Headinglevel2Char">
    <w:name w:val="Heading level 2 Char"/>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link w:val="Headinglevel3"/>
    <w:rsid w:val="00B85C8B"/>
    <w:rPr>
      <w:rFonts w:ascii="Arial Narrow" w:hAnsi="Arial Narrow" w:cs="Arial"/>
      <w:smallCaps/>
      <w:spacing w:val="20"/>
      <w:sz w:val="30"/>
      <w:szCs w:val="28"/>
      <w:lang w:eastAsia="en-US"/>
    </w:rPr>
  </w:style>
  <w:style w:type="character" w:customStyle="1" w:styleId="Heading1Char">
    <w:name w:val="Heading 1 Char"/>
    <w:aliases w:val="numbered Char,h1 Char"/>
    <w:link w:val="Heading1"/>
    <w:rsid w:val="00FA18A1"/>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link w:val="Heading2"/>
    <w:rsid w:val="00EB4D32"/>
    <w:rPr>
      <w:rFonts w:ascii="Arial Narrow" w:hAnsi="Arial Narrow" w:cs="Arial"/>
      <w:iCs/>
      <w:caps/>
      <w:smallCaps/>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link w:val="Heading3"/>
    <w:rsid w:val="00EB4D32"/>
    <w:rPr>
      <w:rFonts w:ascii="Arial Narrow" w:hAnsi="Arial Narrow" w:cs="Arial"/>
      <w:bCs/>
      <w:iCs/>
      <w:caps/>
      <w:smallCaps/>
      <w:sz w:val="28"/>
      <w:szCs w:val="28"/>
      <w:lang w:eastAsia="en-US"/>
    </w:rPr>
  </w:style>
  <w:style w:type="character" w:customStyle="1" w:styleId="PrelimminorheadingChar">
    <w:name w:val="Prelim minor heading Char"/>
    <w:link w:val="Prelimminorheading"/>
    <w:rsid w:val="00EB4D32"/>
    <w:rPr>
      <w:rFonts w:ascii="Arial Narrow" w:hAnsi="Arial Narrow" w:cs="Arial"/>
      <w:bCs/>
      <w:iCs/>
      <w:smallCaps/>
      <w:spacing w:val="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val="0"/>
      <w:iCs/>
      <w:caps/>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val="0"/>
      <w:iCs/>
      <w:caps/>
      <w:smallCaps/>
      <w:spacing w:val="2"/>
      <w:kern w:val="32"/>
      <w:sz w:val="28"/>
      <w:szCs w:val="28"/>
      <w:lang w:val="en-AU" w:eastAsia="en-US" w:bidi="ar-SA"/>
    </w:rPr>
  </w:style>
  <w:style w:type="character" w:customStyle="1" w:styleId="ListBulletChar">
    <w:name w:val="List Bullet Char"/>
    <w:link w:val="ListBullet"/>
    <w:rsid w:val="00416360"/>
    <w:rPr>
      <w:rFonts w:ascii="Calibri" w:hAnsi="Calibri"/>
      <w:sz w:val="22"/>
      <w:szCs w:val="22"/>
      <w:lang w:eastAsia="en-US"/>
    </w:rPr>
  </w:style>
  <w:style w:type="character" w:customStyle="1" w:styleId="RecommendationBulletChar">
    <w:name w:val="Recommendation Bullet Char"/>
    <w:basedOn w:val="ListBulletChar"/>
    <w:link w:val="RecommendationBullet"/>
    <w:rsid w:val="00462F49"/>
    <w:rPr>
      <w:rFonts w:ascii="Calibri" w:hAnsi="Calibri"/>
      <w:b/>
      <w:sz w:val="22"/>
      <w:szCs w:val="22"/>
      <w:lang w:eastAsia="en-US"/>
    </w:rPr>
  </w:style>
  <w:style w:type="character" w:customStyle="1" w:styleId="Agendasub-itemChar">
    <w:name w:val="Agenda sub-item Char"/>
    <w:basedOn w:val="DefaultParagraphFont"/>
    <w:link w:val="Agendasub-item"/>
    <w:locked/>
    <w:rsid w:val="00D95D33"/>
    <w:rPr>
      <w:rFonts w:ascii="Calibri" w:hAnsi="Calibri" w:cs="Calibri"/>
      <w:color w:val="000000"/>
      <w:sz w:val="22"/>
    </w:rPr>
  </w:style>
  <w:style w:type="paragraph" w:customStyle="1" w:styleId="Agendasub-item">
    <w:name w:val="Agenda sub-item"/>
    <w:basedOn w:val="Normal"/>
    <w:link w:val="Agendasub-itemChar"/>
    <w:qFormat/>
    <w:rsid w:val="00D95D33"/>
    <w:pPr>
      <w:spacing w:after="120" w:line="300" w:lineRule="exact"/>
      <w:ind w:left="340"/>
    </w:pPr>
    <w:rPr>
      <w:rFonts w:cs="Calibri"/>
      <w:color w:val="000000"/>
      <w:szCs w:val="20"/>
      <w:lang w:eastAsia="en-AU"/>
    </w:rPr>
  </w:style>
  <w:style w:type="paragraph" w:styleId="ListParagraph">
    <w:name w:val="List Paragraph"/>
    <w:basedOn w:val="Normal"/>
    <w:uiPriority w:val="34"/>
    <w:qFormat/>
    <w:rsid w:val="00771B2F"/>
    <w:pPr>
      <w:ind w:left="720"/>
      <w:contextualSpacing/>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2C3F9A"/>
    <w:rPr>
      <w:rFonts w:ascii="Calibri" w:hAnsi="Calibri"/>
      <w:sz w:val="18"/>
      <w:lang w:eastAsia="en-US"/>
    </w:rPr>
  </w:style>
  <w:style w:type="character" w:styleId="Emphasis">
    <w:name w:val="Emphasis"/>
    <w:basedOn w:val="DefaultParagraphFont"/>
    <w:uiPriority w:val="20"/>
    <w:qFormat/>
    <w:rsid w:val="00087E0C"/>
    <w:rPr>
      <w:i/>
      <w:iCs/>
    </w:rPr>
  </w:style>
  <w:style w:type="paragraph" w:customStyle="1" w:styleId="BodyText2">
    <w:name w:val="Body Text2"/>
    <w:basedOn w:val="Normal"/>
    <w:rsid w:val="000F1428"/>
    <w:pPr>
      <w:spacing w:before="240" w:after="100" w:line="288" w:lineRule="auto"/>
      <w:ind w:left="567" w:hanging="567"/>
    </w:pPr>
  </w:style>
  <w:style w:type="paragraph" w:customStyle="1" w:styleId="TOCHeading2">
    <w:name w:val="TOC Heading2"/>
    <w:basedOn w:val="Prelimmajorheading"/>
    <w:rsid w:val="00A121B1"/>
    <w:rPr>
      <w:b w:val="0"/>
    </w:rPr>
  </w:style>
  <w:style w:type="paragraph" w:styleId="BalloonText">
    <w:name w:val="Balloon Text"/>
    <w:basedOn w:val="Normal"/>
    <w:link w:val="BalloonTextChar"/>
    <w:rsid w:val="00E564CE"/>
    <w:rPr>
      <w:rFonts w:ascii="Tahoma" w:hAnsi="Tahoma" w:cs="Tahoma"/>
      <w:sz w:val="16"/>
      <w:szCs w:val="16"/>
    </w:rPr>
  </w:style>
  <w:style w:type="character" w:customStyle="1" w:styleId="BalloonTextChar">
    <w:name w:val="Balloon Text Char"/>
    <w:basedOn w:val="DefaultParagraphFont"/>
    <w:link w:val="BalloonText"/>
    <w:rsid w:val="00E564CE"/>
    <w:rPr>
      <w:rFonts w:ascii="Tahoma" w:hAnsi="Tahoma" w:cs="Tahoma"/>
      <w:sz w:val="16"/>
      <w:szCs w:val="16"/>
      <w:lang w:eastAsia="en-US"/>
    </w:rPr>
  </w:style>
  <w:style w:type="character" w:styleId="CommentReference">
    <w:name w:val="annotation reference"/>
    <w:basedOn w:val="DefaultParagraphFont"/>
    <w:rsid w:val="00A306E8"/>
    <w:rPr>
      <w:sz w:val="16"/>
      <w:szCs w:val="16"/>
    </w:rPr>
  </w:style>
  <w:style w:type="paragraph" w:styleId="CommentText">
    <w:name w:val="annotation text"/>
    <w:basedOn w:val="Normal"/>
    <w:link w:val="CommentTextChar"/>
    <w:rsid w:val="00A306E8"/>
    <w:rPr>
      <w:sz w:val="20"/>
      <w:szCs w:val="20"/>
    </w:rPr>
  </w:style>
  <w:style w:type="character" w:customStyle="1" w:styleId="CommentTextChar">
    <w:name w:val="Comment Text Char"/>
    <w:basedOn w:val="DefaultParagraphFont"/>
    <w:link w:val="CommentText"/>
    <w:rsid w:val="00A306E8"/>
    <w:rPr>
      <w:rFonts w:ascii="Calibri" w:hAnsi="Calibri"/>
      <w:lang w:eastAsia="en-US"/>
    </w:rPr>
  </w:style>
  <w:style w:type="paragraph" w:styleId="CommentSubject">
    <w:name w:val="annotation subject"/>
    <w:basedOn w:val="CommentText"/>
    <w:next w:val="CommentText"/>
    <w:link w:val="CommentSubjectChar"/>
    <w:rsid w:val="00A306E8"/>
    <w:rPr>
      <w:b/>
      <w:bCs/>
    </w:rPr>
  </w:style>
  <w:style w:type="character" w:customStyle="1" w:styleId="CommentSubjectChar">
    <w:name w:val="Comment Subject Char"/>
    <w:basedOn w:val="CommentTextChar"/>
    <w:link w:val="CommentSubject"/>
    <w:rsid w:val="00A306E8"/>
    <w:rPr>
      <w:rFonts w:ascii="Calibri" w:hAnsi="Calibri"/>
      <w:b/>
      <w:bCs/>
      <w:lang w:eastAsia="en-US"/>
    </w:rPr>
  </w:style>
  <w:style w:type="paragraph" w:styleId="NormalWeb">
    <w:name w:val="Normal (Web)"/>
    <w:basedOn w:val="Normal"/>
    <w:uiPriority w:val="99"/>
    <w:unhideWhenUsed/>
    <w:rsid w:val="00D52D6B"/>
    <w:rPr>
      <w:rFonts w:ascii="Times New Roman" w:hAnsi="Times New Roman"/>
      <w:sz w:val="24"/>
      <w:lang w:eastAsia="en-AU"/>
    </w:rPr>
  </w:style>
  <w:style w:type="numbering" w:customStyle="1" w:styleId="test11">
    <w:name w:val="test11"/>
    <w:uiPriority w:val="99"/>
    <w:rsid w:val="002B21C2"/>
  </w:style>
  <w:style w:type="table" w:styleId="TableGrid">
    <w:name w:val="Table Grid"/>
    <w:basedOn w:val="TableNormal"/>
    <w:rsid w:val="006D6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D30520"/>
    <w:rPr>
      <w:rFonts w:ascii="Calibri" w:hAnsi="Calibri" w:cs="Arial"/>
      <w:iCs/>
      <w:sz w:val="22"/>
      <w:szCs w:val="24"/>
      <w:lang w:eastAsia="en-US"/>
    </w:rPr>
  </w:style>
  <w:style w:type="numbering" w:customStyle="1" w:styleId="test12">
    <w:name w:val="test12"/>
    <w:uiPriority w:val="99"/>
    <w:rsid w:val="00F6696D"/>
  </w:style>
  <w:style w:type="character" w:customStyle="1" w:styleId="UnresolvedMention1">
    <w:name w:val="Unresolved Mention1"/>
    <w:basedOn w:val="DefaultParagraphFont"/>
    <w:uiPriority w:val="99"/>
    <w:semiHidden/>
    <w:unhideWhenUsed/>
    <w:rsid w:val="009A3A91"/>
    <w:rPr>
      <w:color w:val="605E5C"/>
      <w:shd w:val="clear" w:color="auto" w:fill="E1DFDD"/>
    </w:rPr>
  </w:style>
  <w:style w:type="table" w:customStyle="1" w:styleId="TableGrid1">
    <w:name w:val="Table Grid1"/>
    <w:basedOn w:val="TableNormal"/>
    <w:next w:val="TableGrid"/>
    <w:uiPriority w:val="59"/>
    <w:rsid w:val="009214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2066"/>
  </w:style>
  <w:style w:type="character" w:styleId="UnresolvedMention">
    <w:name w:val="Unresolved Mention"/>
    <w:basedOn w:val="DefaultParagraphFont"/>
    <w:uiPriority w:val="99"/>
    <w:semiHidden/>
    <w:unhideWhenUsed/>
    <w:rsid w:val="007F4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90390">
      <w:bodyDiv w:val="1"/>
      <w:marLeft w:val="0"/>
      <w:marRight w:val="0"/>
      <w:marTop w:val="0"/>
      <w:marBottom w:val="0"/>
      <w:divBdr>
        <w:top w:val="none" w:sz="0" w:space="0" w:color="auto"/>
        <w:left w:val="none" w:sz="0" w:space="0" w:color="auto"/>
        <w:bottom w:val="none" w:sz="0" w:space="0" w:color="auto"/>
        <w:right w:val="none" w:sz="0" w:space="0" w:color="auto"/>
      </w:divBdr>
    </w:div>
    <w:div w:id="253586578">
      <w:bodyDiv w:val="1"/>
      <w:marLeft w:val="0"/>
      <w:marRight w:val="0"/>
      <w:marTop w:val="0"/>
      <w:marBottom w:val="0"/>
      <w:divBdr>
        <w:top w:val="none" w:sz="0" w:space="0" w:color="auto"/>
        <w:left w:val="none" w:sz="0" w:space="0" w:color="auto"/>
        <w:bottom w:val="none" w:sz="0" w:space="0" w:color="auto"/>
        <w:right w:val="none" w:sz="0" w:space="0" w:color="auto"/>
      </w:divBdr>
    </w:div>
    <w:div w:id="272321484">
      <w:bodyDiv w:val="1"/>
      <w:marLeft w:val="0"/>
      <w:marRight w:val="0"/>
      <w:marTop w:val="0"/>
      <w:marBottom w:val="0"/>
      <w:divBdr>
        <w:top w:val="none" w:sz="0" w:space="0" w:color="auto"/>
        <w:left w:val="none" w:sz="0" w:space="0" w:color="auto"/>
        <w:bottom w:val="none" w:sz="0" w:space="0" w:color="auto"/>
        <w:right w:val="none" w:sz="0" w:space="0" w:color="auto"/>
      </w:divBdr>
    </w:div>
    <w:div w:id="619724576">
      <w:bodyDiv w:val="1"/>
      <w:marLeft w:val="0"/>
      <w:marRight w:val="0"/>
      <w:marTop w:val="0"/>
      <w:marBottom w:val="0"/>
      <w:divBdr>
        <w:top w:val="none" w:sz="0" w:space="0" w:color="auto"/>
        <w:left w:val="none" w:sz="0" w:space="0" w:color="auto"/>
        <w:bottom w:val="none" w:sz="0" w:space="0" w:color="auto"/>
        <w:right w:val="none" w:sz="0" w:space="0" w:color="auto"/>
      </w:divBdr>
    </w:div>
    <w:div w:id="632902720">
      <w:bodyDiv w:val="1"/>
      <w:marLeft w:val="0"/>
      <w:marRight w:val="0"/>
      <w:marTop w:val="0"/>
      <w:marBottom w:val="0"/>
      <w:divBdr>
        <w:top w:val="none" w:sz="0" w:space="0" w:color="auto"/>
        <w:left w:val="none" w:sz="0" w:space="0" w:color="auto"/>
        <w:bottom w:val="none" w:sz="0" w:space="0" w:color="auto"/>
        <w:right w:val="none" w:sz="0" w:space="0" w:color="auto"/>
      </w:divBdr>
      <w:divsChild>
        <w:div w:id="1716269740">
          <w:marLeft w:val="0"/>
          <w:marRight w:val="0"/>
          <w:marTop w:val="0"/>
          <w:marBottom w:val="0"/>
          <w:divBdr>
            <w:top w:val="none" w:sz="0" w:space="0" w:color="auto"/>
            <w:left w:val="none" w:sz="0" w:space="0" w:color="auto"/>
            <w:bottom w:val="none" w:sz="0" w:space="0" w:color="auto"/>
            <w:right w:val="none" w:sz="0" w:space="0" w:color="auto"/>
          </w:divBdr>
        </w:div>
        <w:div w:id="391779857">
          <w:marLeft w:val="0"/>
          <w:marRight w:val="0"/>
          <w:marTop w:val="0"/>
          <w:marBottom w:val="0"/>
          <w:divBdr>
            <w:top w:val="none" w:sz="0" w:space="0" w:color="auto"/>
            <w:left w:val="none" w:sz="0" w:space="0" w:color="auto"/>
            <w:bottom w:val="none" w:sz="0" w:space="0" w:color="auto"/>
            <w:right w:val="none" w:sz="0" w:space="0" w:color="auto"/>
          </w:divBdr>
        </w:div>
      </w:divsChild>
    </w:div>
    <w:div w:id="1141461234">
      <w:bodyDiv w:val="1"/>
      <w:marLeft w:val="0"/>
      <w:marRight w:val="0"/>
      <w:marTop w:val="0"/>
      <w:marBottom w:val="0"/>
      <w:divBdr>
        <w:top w:val="none" w:sz="0" w:space="0" w:color="auto"/>
        <w:left w:val="none" w:sz="0" w:space="0" w:color="auto"/>
        <w:bottom w:val="none" w:sz="0" w:space="0" w:color="auto"/>
        <w:right w:val="none" w:sz="0" w:space="0" w:color="auto"/>
      </w:divBdr>
      <w:divsChild>
        <w:div w:id="1329214476">
          <w:marLeft w:val="0"/>
          <w:marRight w:val="0"/>
          <w:marTop w:val="0"/>
          <w:marBottom w:val="0"/>
          <w:divBdr>
            <w:top w:val="none" w:sz="0" w:space="0" w:color="auto"/>
            <w:left w:val="none" w:sz="0" w:space="0" w:color="auto"/>
            <w:bottom w:val="none" w:sz="0" w:space="0" w:color="auto"/>
            <w:right w:val="none" w:sz="0" w:space="0" w:color="auto"/>
          </w:divBdr>
          <w:divsChild>
            <w:div w:id="2097626081">
              <w:marLeft w:val="0"/>
              <w:marRight w:val="0"/>
              <w:marTop w:val="0"/>
              <w:marBottom w:val="0"/>
              <w:divBdr>
                <w:top w:val="none" w:sz="0" w:space="0" w:color="auto"/>
                <w:left w:val="none" w:sz="0" w:space="0" w:color="auto"/>
                <w:bottom w:val="none" w:sz="0" w:space="0" w:color="auto"/>
                <w:right w:val="none" w:sz="0" w:space="0" w:color="auto"/>
              </w:divBdr>
              <w:divsChild>
                <w:div w:id="785849716">
                  <w:marLeft w:val="0"/>
                  <w:marRight w:val="0"/>
                  <w:marTop w:val="0"/>
                  <w:marBottom w:val="0"/>
                  <w:divBdr>
                    <w:top w:val="none" w:sz="0" w:space="0" w:color="auto"/>
                    <w:left w:val="none" w:sz="0" w:space="0" w:color="auto"/>
                    <w:bottom w:val="none" w:sz="0" w:space="0" w:color="auto"/>
                    <w:right w:val="none" w:sz="0" w:space="0" w:color="auto"/>
                  </w:divBdr>
                  <w:divsChild>
                    <w:div w:id="2079667675">
                      <w:marLeft w:val="2487"/>
                      <w:marRight w:val="0"/>
                      <w:marTop w:val="0"/>
                      <w:marBottom w:val="262"/>
                      <w:divBdr>
                        <w:top w:val="none" w:sz="0" w:space="0" w:color="auto"/>
                        <w:left w:val="none" w:sz="0" w:space="0" w:color="auto"/>
                        <w:bottom w:val="none" w:sz="0" w:space="0" w:color="auto"/>
                        <w:right w:val="none" w:sz="0" w:space="0" w:color="auto"/>
                      </w:divBdr>
                      <w:divsChild>
                        <w:div w:id="1766269020">
                          <w:marLeft w:val="262"/>
                          <w:marRight w:val="0"/>
                          <w:marTop w:val="0"/>
                          <w:marBottom w:val="0"/>
                          <w:divBdr>
                            <w:top w:val="none" w:sz="0" w:space="0" w:color="auto"/>
                            <w:left w:val="none" w:sz="0" w:space="0" w:color="auto"/>
                            <w:bottom w:val="none" w:sz="0" w:space="0" w:color="auto"/>
                            <w:right w:val="none" w:sz="0" w:space="0" w:color="auto"/>
                          </w:divBdr>
                          <w:divsChild>
                            <w:div w:id="265383376">
                              <w:marLeft w:val="0"/>
                              <w:marRight w:val="0"/>
                              <w:marTop w:val="0"/>
                              <w:marBottom w:val="0"/>
                              <w:divBdr>
                                <w:top w:val="none" w:sz="0" w:space="0" w:color="auto"/>
                                <w:left w:val="none" w:sz="0" w:space="0" w:color="auto"/>
                                <w:bottom w:val="none" w:sz="0" w:space="0" w:color="auto"/>
                                <w:right w:val="none" w:sz="0" w:space="0" w:color="auto"/>
                              </w:divBdr>
                              <w:divsChild>
                                <w:div w:id="636111888">
                                  <w:marLeft w:val="0"/>
                                  <w:marRight w:val="0"/>
                                  <w:marTop w:val="0"/>
                                  <w:marBottom w:val="0"/>
                                  <w:divBdr>
                                    <w:top w:val="none" w:sz="0" w:space="0" w:color="auto"/>
                                    <w:left w:val="none" w:sz="0" w:space="0" w:color="auto"/>
                                    <w:bottom w:val="none" w:sz="0" w:space="0" w:color="auto"/>
                                    <w:right w:val="none" w:sz="0" w:space="0" w:color="auto"/>
                                  </w:divBdr>
                                  <w:divsChild>
                                    <w:div w:id="650060600">
                                      <w:marLeft w:val="0"/>
                                      <w:marRight w:val="0"/>
                                      <w:marTop w:val="0"/>
                                      <w:marBottom w:val="0"/>
                                      <w:divBdr>
                                        <w:top w:val="none" w:sz="0" w:space="0" w:color="auto"/>
                                        <w:left w:val="none" w:sz="0" w:space="0" w:color="auto"/>
                                        <w:bottom w:val="none" w:sz="0" w:space="0" w:color="auto"/>
                                        <w:right w:val="none" w:sz="0" w:space="0" w:color="auto"/>
                                      </w:divBdr>
                                      <w:divsChild>
                                        <w:div w:id="1777139973">
                                          <w:marLeft w:val="0"/>
                                          <w:marRight w:val="0"/>
                                          <w:marTop w:val="65"/>
                                          <w:marBottom w:val="0"/>
                                          <w:divBdr>
                                            <w:top w:val="none" w:sz="0" w:space="0" w:color="auto"/>
                                            <w:left w:val="none" w:sz="0" w:space="0" w:color="auto"/>
                                            <w:bottom w:val="none" w:sz="0" w:space="0" w:color="auto"/>
                                            <w:right w:val="none" w:sz="0" w:space="0" w:color="auto"/>
                                          </w:divBdr>
                                          <w:divsChild>
                                            <w:div w:id="5137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6626241">
      <w:bodyDiv w:val="1"/>
      <w:marLeft w:val="0"/>
      <w:marRight w:val="0"/>
      <w:marTop w:val="0"/>
      <w:marBottom w:val="0"/>
      <w:divBdr>
        <w:top w:val="none" w:sz="0" w:space="0" w:color="auto"/>
        <w:left w:val="none" w:sz="0" w:space="0" w:color="auto"/>
        <w:bottom w:val="none" w:sz="0" w:space="0" w:color="auto"/>
        <w:right w:val="none" w:sz="0" w:space="0" w:color="auto"/>
      </w:divBdr>
    </w:div>
    <w:div w:id="1526404903">
      <w:bodyDiv w:val="1"/>
      <w:marLeft w:val="0"/>
      <w:marRight w:val="0"/>
      <w:marTop w:val="0"/>
      <w:marBottom w:val="0"/>
      <w:divBdr>
        <w:top w:val="none" w:sz="0" w:space="0" w:color="auto"/>
        <w:left w:val="none" w:sz="0" w:space="0" w:color="auto"/>
        <w:bottom w:val="none" w:sz="0" w:space="0" w:color="auto"/>
        <w:right w:val="none" w:sz="0" w:space="0" w:color="auto"/>
      </w:divBdr>
    </w:div>
    <w:div w:id="1899900012">
      <w:bodyDiv w:val="1"/>
      <w:marLeft w:val="0"/>
      <w:marRight w:val="0"/>
      <w:marTop w:val="0"/>
      <w:marBottom w:val="0"/>
      <w:divBdr>
        <w:top w:val="none" w:sz="0" w:space="0" w:color="auto"/>
        <w:left w:val="none" w:sz="0" w:space="0" w:color="auto"/>
        <w:bottom w:val="none" w:sz="0" w:space="0" w:color="auto"/>
        <w:right w:val="none" w:sz="0" w:space="0" w:color="auto"/>
      </w:divBdr>
    </w:div>
    <w:div w:id="21189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7.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2.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image" Target="media/image1.emf"/><Relationship Id="rId40" Type="http://schemas.openxmlformats.org/officeDocument/2006/relationships/header" Target="header1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1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5584A797-AF20-4BA8-8849-D676DC57F181}">
  <ds:schemaRefs>
    <ds:schemaRef ds:uri="http://schemas.openxmlformats.org/officeDocument/2006/bibliography"/>
  </ds:schemaRefs>
</ds:datastoreItem>
</file>

<file path=customXml/itemProps2.xml><?xml version="1.0" encoding="utf-8"?>
<ds:datastoreItem xmlns:ds="http://schemas.openxmlformats.org/officeDocument/2006/customXml" ds:itemID="{A54A8CDB-EF79-4303-A864-58DD611FDB4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32</Pages>
  <Words>5206</Words>
  <Characters>30200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OCTAVO</Company>
  <LinksUpToDate>false</LinksUpToDate>
  <CharactersWithSpaces>35336</CharactersWithSpaces>
  <SharedDoc>false</SharedDoc>
  <HLinks>
    <vt:vector size="234" baseType="variant">
      <vt:variant>
        <vt:i4>1048637</vt:i4>
      </vt:variant>
      <vt:variant>
        <vt:i4>188</vt:i4>
      </vt:variant>
      <vt:variant>
        <vt:i4>0</vt:i4>
      </vt:variant>
      <vt:variant>
        <vt:i4>5</vt:i4>
      </vt:variant>
      <vt:variant>
        <vt:lpwstr/>
      </vt:variant>
      <vt:variant>
        <vt:lpwstr>_Toc348338585</vt:lpwstr>
      </vt:variant>
      <vt:variant>
        <vt:i4>1048637</vt:i4>
      </vt:variant>
      <vt:variant>
        <vt:i4>185</vt:i4>
      </vt:variant>
      <vt:variant>
        <vt:i4>0</vt:i4>
      </vt:variant>
      <vt:variant>
        <vt:i4>5</vt:i4>
      </vt:variant>
      <vt:variant>
        <vt:lpwstr/>
      </vt:variant>
      <vt:variant>
        <vt:lpwstr>_Toc348338584</vt:lpwstr>
      </vt:variant>
      <vt:variant>
        <vt:i4>1048637</vt:i4>
      </vt:variant>
      <vt:variant>
        <vt:i4>182</vt:i4>
      </vt:variant>
      <vt:variant>
        <vt:i4>0</vt:i4>
      </vt:variant>
      <vt:variant>
        <vt:i4>5</vt:i4>
      </vt:variant>
      <vt:variant>
        <vt:lpwstr/>
      </vt:variant>
      <vt:variant>
        <vt:lpwstr>_Toc348338583</vt:lpwstr>
      </vt:variant>
      <vt:variant>
        <vt:i4>1048637</vt:i4>
      </vt:variant>
      <vt:variant>
        <vt:i4>179</vt:i4>
      </vt:variant>
      <vt:variant>
        <vt:i4>0</vt:i4>
      </vt:variant>
      <vt:variant>
        <vt:i4>5</vt:i4>
      </vt:variant>
      <vt:variant>
        <vt:lpwstr/>
      </vt:variant>
      <vt:variant>
        <vt:lpwstr>_Toc348338582</vt:lpwstr>
      </vt:variant>
      <vt:variant>
        <vt:i4>1048637</vt:i4>
      </vt:variant>
      <vt:variant>
        <vt:i4>176</vt:i4>
      </vt:variant>
      <vt:variant>
        <vt:i4>0</vt:i4>
      </vt:variant>
      <vt:variant>
        <vt:i4>5</vt:i4>
      </vt:variant>
      <vt:variant>
        <vt:lpwstr/>
      </vt:variant>
      <vt:variant>
        <vt:lpwstr>_Toc348338581</vt:lpwstr>
      </vt:variant>
      <vt:variant>
        <vt:i4>1048637</vt:i4>
      </vt:variant>
      <vt:variant>
        <vt:i4>173</vt:i4>
      </vt:variant>
      <vt:variant>
        <vt:i4>0</vt:i4>
      </vt:variant>
      <vt:variant>
        <vt:i4>5</vt:i4>
      </vt:variant>
      <vt:variant>
        <vt:lpwstr/>
      </vt:variant>
      <vt:variant>
        <vt:lpwstr>_Toc348338580</vt:lpwstr>
      </vt:variant>
      <vt:variant>
        <vt:i4>2031677</vt:i4>
      </vt:variant>
      <vt:variant>
        <vt:i4>170</vt:i4>
      </vt:variant>
      <vt:variant>
        <vt:i4>0</vt:i4>
      </vt:variant>
      <vt:variant>
        <vt:i4>5</vt:i4>
      </vt:variant>
      <vt:variant>
        <vt:lpwstr/>
      </vt:variant>
      <vt:variant>
        <vt:lpwstr>_Toc348338579</vt:lpwstr>
      </vt:variant>
      <vt:variant>
        <vt:i4>2031677</vt:i4>
      </vt:variant>
      <vt:variant>
        <vt:i4>167</vt:i4>
      </vt:variant>
      <vt:variant>
        <vt:i4>0</vt:i4>
      </vt:variant>
      <vt:variant>
        <vt:i4>5</vt:i4>
      </vt:variant>
      <vt:variant>
        <vt:lpwstr/>
      </vt:variant>
      <vt:variant>
        <vt:lpwstr>_Toc348338578</vt:lpwstr>
      </vt:variant>
      <vt:variant>
        <vt:i4>2031677</vt:i4>
      </vt:variant>
      <vt:variant>
        <vt:i4>164</vt:i4>
      </vt:variant>
      <vt:variant>
        <vt:i4>0</vt:i4>
      </vt:variant>
      <vt:variant>
        <vt:i4>5</vt:i4>
      </vt:variant>
      <vt:variant>
        <vt:lpwstr/>
      </vt:variant>
      <vt:variant>
        <vt:lpwstr>_Toc348338577</vt:lpwstr>
      </vt:variant>
      <vt:variant>
        <vt:i4>2031677</vt:i4>
      </vt:variant>
      <vt:variant>
        <vt:i4>161</vt:i4>
      </vt:variant>
      <vt:variant>
        <vt:i4>0</vt:i4>
      </vt:variant>
      <vt:variant>
        <vt:i4>5</vt:i4>
      </vt:variant>
      <vt:variant>
        <vt:lpwstr/>
      </vt:variant>
      <vt:variant>
        <vt:lpwstr>_Toc348338576</vt:lpwstr>
      </vt:variant>
      <vt:variant>
        <vt:i4>2031677</vt:i4>
      </vt:variant>
      <vt:variant>
        <vt:i4>158</vt:i4>
      </vt:variant>
      <vt:variant>
        <vt:i4>0</vt:i4>
      </vt:variant>
      <vt:variant>
        <vt:i4>5</vt:i4>
      </vt:variant>
      <vt:variant>
        <vt:lpwstr/>
      </vt:variant>
      <vt:variant>
        <vt:lpwstr>_Toc348338575</vt:lpwstr>
      </vt:variant>
      <vt:variant>
        <vt:i4>2031677</vt:i4>
      </vt:variant>
      <vt:variant>
        <vt:i4>155</vt:i4>
      </vt:variant>
      <vt:variant>
        <vt:i4>0</vt:i4>
      </vt:variant>
      <vt:variant>
        <vt:i4>5</vt:i4>
      </vt:variant>
      <vt:variant>
        <vt:lpwstr/>
      </vt:variant>
      <vt:variant>
        <vt:lpwstr>_Toc348338574</vt:lpwstr>
      </vt:variant>
      <vt:variant>
        <vt:i4>2031677</vt:i4>
      </vt:variant>
      <vt:variant>
        <vt:i4>152</vt:i4>
      </vt:variant>
      <vt:variant>
        <vt:i4>0</vt:i4>
      </vt:variant>
      <vt:variant>
        <vt:i4>5</vt:i4>
      </vt:variant>
      <vt:variant>
        <vt:lpwstr/>
      </vt:variant>
      <vt:variant>
        <vt:lpwstr>_Toc348338573</vt:lpwstr>
      </vt:variant>
      <vt:variant>
        <vt:i4>2031677</vt:i4>
      </vt:variant>
      <vt:variant>
        <vt:i4>149</vt:i4>
      </vt:variant>
      <vt:variant>
        <vt:i4>0</vt:i4>
      </vt:variant>
      <vt:variant>
        <vt:i4>5</vt:i4>
      </vt:variant>
      <vt:variant>
        <vt:lpwstr/>
      </vt:variant>
      <vt:variant>
        <vt:lpwstr>_Toc348338572</vt:lpwstr>
      </vt:variant>
      <vt:variant>
        <vt:i4>1376304</vt:i4>
      </vt:variant>
      <vt:variant>
        <vt:i4>140</vt:i4>
      </vt:variant>
      <vt:variant>
        <vt:i4>0</vt:i4>
      </vt:variant>
      <vt:variant>
        <vt:i4>5</vt:i4>
      </vt:variant>
      <vt:variant>
        <vt:lpwstr/>
      </vt:variant>
      <vt:variant>
        <vt:lpwstr>_Toc475444552</vt:lpwstr>
      </vt:variant>
      <vt:variant>
        <vt:i4>1376304</vt:i4>
      </vt:variant>
      <vt:variant>
        <vt:i4>134</vt:i4>
      </vt:variant>
      <vt:variant>
        <vt:i4>0</vt:i4>
      </vt:variant>
      <vt:variant>
        <vt:i4>5</vt:i4>
      </vt:variant>
      <vt:variant>
        <vt:lpwstr/>
      </vt:variant>
      <vt:variant>
        <vt:lpwstr>_Toc475444551</vt:lpwstr>
      </vt:variant>
      <vt:variant>
        <vt:i4>1376304</vt:i4>
      </vt:variant>
      <vt:variant>
        <vt:i4>128</vt:i4>
      </vt:variant>
      <vt:variant>
        <vt:i4>0</vt:i4>
      </vt:variant>
      <vt:variant>
        <vt:i4>5</vt:i4>
      </vt:variant>
      <vt:variant>
        <vt:lpwstr/>
      </vt:variant>
      <vt:variant>
        <vt:lpwstr>_Toc475444550</vt:lpwstr>
      </vt:variant>
      <vt:variant>
        <vt:i4>1310768</vt:i4>
      </vt:variant>
      <vt:variant>
        <vt:i4>122</vt:i4>
      </vt:variant>
      <vt:variant>
        <vt:i4>0</vt:i4>
      </vt:variant>
      <vt:variant>
        <vt:i4>5</vt:i4>
      </vt:variant>
      <vt:variant>
        <vt:lpwstr/>
      </vt:variant>
      <vt:variant>
        <vt:lpwstr>_Toc475444549</vt:lpwstr>
      </vt:variant>
      <vt:variant>
        <vt:i4>1310768</vt:i4>
      </vt:variant>
      <vt:variant>
        <vt:i4>116</vt:i4>
      </vt:variant>
      <vt:variant>
        <vt:i4>0</vt:i4>
      </vt:variant>
      <vt:variant>
        <vt:i4>5</vt:i4>
      </vt:variant>
      <vt:variant>
        <vt:lpwstr/>
      </vt:variant>
      <vt:variant>
        <vt:lpwstr>_Toc475444548</vt:lpwstr>
      </vt:variant>
      <vt:variant>
        <vt:i4>1310768</vt:i4>
      </vt:variant>
      <vt:variant>
        <vt:i4>110</vt:i4>
      </vt:variant>
      <vt:variant>
        <vt:i4>0</vt:i4>
      </vt:variant>
      <vt:variant>
        <vt:i4>5</vt:i4>
      </vt:variant>
      <vt:variant>
        <vt:lpwstr/>
      </vt:variant>
      <vt:variant>
        <vt:lpwstr>_Toc475444547</vt:lpwstr>
      </vt:variant>
      <vt:variant>
        <vt:i4>1310768</vt:i4>
      </vt:variant>
      <vt:variant>
        <vt:i4>104</vt:i4>
      </vt:variant>
      <vt:variant>
        <vt:i4>0</vt:i4>
      </vt:variant>
      <vt:variant>
        <vt:i4>5</vt:i4>
      </vt:variant>
      <vt:variant>
        <vt:lpwstr/>
      </vt:variant>
      <vt:variant>
        <vt:lpwstr>_Toc475444546</vt:lpwstr>
      </vt:variant>
      <vt:variant>
        <vt:i4>1310768</vt:i4>
      </vt:variant>
      <vt:variant>
        <vt:i4>98</vt:i4>
      </vt:variant>
      <vt:variant>
        <vt:i4>0</vt:i4>
      </vt:variant>
      <vt:variant>
        <vt:i4>5</vt:i4>
      </vt:variant>
      <vt:variant>
        <vt:lpwstr/>
      </vt:variant>
      <vt:variant>
        <vt:lpwstr>_Toc475444545</vt:lpwstr>
      </vt:variant>
      <vt:variant>
        <vt:i4>1310768</vt:i4>
      </vt:variant>
      <vt:variant>
        <vt:i4>92</vt:i4>
      </vt:variant>
      <vt:variant>
        <vt:i4>0</vt:i4>
      </vt:variant>
      <vt:variant>
        <vt:i4>5</vt:i4>
      </vt:variant>
      <vt:variant>
        <vt:lpwstr/>
      </vt:variant>
      <vt:variant>
        <vt:lpwstr>_Toc475444544</vt:lpwstr>
      </vt:variant>
      <vt:variant>
        <vt:i4>1310768</vt:i4>
      </vt:variant>
      <vt:variant>
        <vt:i4>86</vt:i4>
      </vt:variant>
      <vt:variant>
        <vt:i4>0</vt:i4>
      </vt:variant>
      <vt:variant>
        <vt:i4>5</vt:i4>
      </vt:variant>
      <vt:variant>
        <vt:lpwstr/>
      </vt:variant>
      <vt:variant>
        <vt:lpwstr>_Toc475444543</vt:lpwstr>
      </vt:variant>
      <vt:variant>
        <vt:i4>1310768</vt:i4>
      </vt:variant>
      <vt:variant>
        <vt:i4>80</vt:i4>
      </vt:variant>
      <vt:variant>
        <vt:i4>0</vt:i4>
      </vt:variant>
      <vt:variant>
        <vt:i4>5</vt:i4>
      </vt:variant>
      <vt:variant>
        <vt:lpwstr/>
      </vt:variant>
      <vt:variant>
        <vt:lpwstr>_Toc475444542</vt:lpwstr>
      </vt:variant>
      <vt:variant>
        <vt:i4>1310768</vt:i4>
      </vt:variant>
      <vt:variant>
        <vt:i4>74</vt:i4>
      </vt:variant>
      <vt:variant>
        <vt:i4>0</vt:i4>
      </vt:variant>
      <vt:variant>
        <vt:i4>5</vt:i4>
      </vt:variant>
      <vt:variant>
        <vt:lpwstr/>
      </vt:variant>
      <vt:variant>
        <vt:lpwstr>_Toc475444541</vt:lpwstr>
      </vt:variant>
      <vt:variant>
        <vt:i4>1310768</vt:i4>
      </vt:variant>
      <vt:variant>
        <vt:i4>68</vt:i4>
      </vt:variant>
      <vt:variant>
        <vt:i4>0</vt:i4>
      </vt:variant>
      <vt:variant>
        <vt:i4>5</vt:i4>
      </vt:variant>
      <vt:variant>
        <vt:lpwstr/>
      </vt:variant>
      <vt:variant>
        <vt:lpwstr>_Toc475444540</vt:lpwstr>
      </vt:variant>
      <vt:variant>
        <vt:i4>1245232</vt:i4>
      </vt:variant>
      <vt:variant>
        <vt:i4>62</vt:i4>
      </vt:variant>
      <vt:variant>
        <vt:i4>0</vt:i4>
      </vt:variant>
      <vt:variant>
        <vt:i4>5</vt:i4>
      </vt:variant>
      <vt:variant>
        <vt:lpwstr/>
      </vt:variant>
      <vt:variant>
        <vt:lpwstr>_Toc475444539</vt:lpwstr>
      </vt:variant>
      <vt:variant>
        <vt:i4>1245232</vt:i4>
      </vt:variant>
      <vt:variant>
        <vt:i4>56</vt:i4>
      </vt:variant>
      <vt:variant>
        <vt:i4>0</vt:i4>
      </vt:variant>
      <vt:variant>
        <vt:i4>5</vt:i4>
      </vt:variant>
      <vt:variant>
        <vt:lpwstr/>
      </vt:variant>
      <vt:variant>
        <vt:lpwstr>_Toc475444538</vt:lpwstr>
      </vt:variant>
      <vt:variant>
        <vt:i4>1245232</vt:i4>
      </vt:variant>
      <vt:variant>
        <vt:i4>50</vt:i4>
      </vt:variant>
      <vt:variant>
        <vt:i4>0</vt:i4>
      </vt:variant>
      <vt:variant>
        <vt:i4>5</vt:i4>
      </vt:variant>
      <vt:variant>
        <vt:lpwstr/>
      </vt:variant>
      <vt:variant>
        <vt:lpwstr>_Toc475444537</vt:lpwstr>
      </vt:variant>
      <vt:variant>
        <vt:i4>1245232</vt:i4>
      </vt:variant>
      <vt:variant>
        <vt:i4>44</vt:i4>
      </vt:variant>
      <vt:variant>
        <vt:i4>0</vt:i4>
      </vt:variant>
      <vt:variant>
        <vt:i4>5</vt:i4>
      </vt:variant>
      <vt:variant>
        <vt:lpwstr/>
      </vt:variant>
      <vt:variant>
        <vt:lpwstr>_Toc475444536</vt:lpwstr>
      </vt:variant>
      <vt:variant>
        <vt:i4>1245232</vt:i4>
      </vt:variant>
      <vt:variant>
        <vt:i4>38</vt:i4>
      </vt:variant>
      <vt:variant>
        <vt:i4>0</vt:i4>
      </vt:variant>
      <vt:variant>
        <vt:i4>5</vt:i4>
      </vt:variant>
      <vt:variant>
        <vt:lpwstr/>
      </vt:variant>
      <vt:variant>
        <vt:lpwstr>_Toc475444535</vt:lpwstr>
      </vt:variant>
      <vt:variant>
        <vt:i4>1245232</vt:i4>
      </vt:variant>
      <vt:variant>
        <vt:i4>32</vt:i4>
      </vt:variant>
      <vt:variant>
        <vt:i4>0</vt:i4>
      </vt:variant>
      <vt:variant>
        <vt:i4>5</vt:i4>
      </vt:variant>
      <vt:variant>
        <vt:lpwstr/>
      </vt:variant>
      <vt:variant>
        <vt:lpwstr>_Toc475444534</vt:lpwstr>
      </vt:variant>
      <vt:variant>
        <vt:i4>1245232</vt:i4>
      </vt:variant>
      <vt:variant>
        <vt:i4>26</vt:i4>
      </vt:variant>
      <vt:variant>
        <vt:i4>0</vt:i4>
      </vt:variant>
      <vt:variant>
        <vt:i4>5</vt:i4>
      </vt:variant>
      <vt:variant>
        <vt:lpwstr/>
      </vt:variant>
      <vt:variant>
        <vt:lpwstr>_Toc475444533</vt:lpwstr>
      </vt:variant>
      <vt:variant>
        <vt:i4>1245232</vt:i4>
      </vt:variant>
      <vt:variant>
        <vt:i4>20</vt:i4>
      </vt:variant>
      <vt:variant>
        <vt:i4>0</vt:i4>
      </vt:variant>
      <vt:variant>
        <vt:i4>5</vt:i4>
      </vt:variant>
      <vt:variant>
        <vt:lpwstr/>
      </vt:variant>
      <vt:variant>
        <vt:lpwstr>_Toc475444532</vt:lpwstr>
      </vt:variant>
      <vt:variant>
        <vt:i4>1245232</vt:i4>
      </vt:variant>
      <vt:variant>
        <vt:i4>14</vt:i4>
      </vt:variant>
      <vt:variant>
        <vt:i4>0</vt:i4>
      </vt:variant>
      <vt:variant>
        <vt:i4>5</vt:i4>
      </vt:variant>
      <vt:variant>
        <vt:lpwstr/>
      </vt:variant>
      <vt:variant>
        <vt:lpwstr>_Toc475444531</vt:lpwstr>
      </vt:variant>
      <vt:variant>
        <vt:i4>1245232</vt:i4>
      </vt:variant>
      <vt:variant>
        <vt:i4>8</vt:i4>
      </vt:variant>
      <vt:variant>
        <vt:i4>0</vt:i4>
      </vt:variant>
      <vt:variant>
        <vt:i4>5</vt:i4>
      </vt:variant>
      <vt:variant>
        <vt:lpwstr/>
      </vt:variant>
      <vt:variant>
        <vt:lpwstr>_Toc475444530</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Cullen</dc:creator>
  <dc:description/>
  <cp:lastModifiedBy>Chung, Lydia</cp:lastModifiedBy>
  <cp:revision>13</cp:revision>
  <cp:lastPrinted>2021-01-15T05:28:00Z</cp:lastPrinted>
  <dcterms:created xsi:type="dcterms:W3CDTF">2021-01-28T05:19:00Z</dcterms:created>
  <dcterms:modified xsi:type="dcterms:W3CDTF">2021-02-01T02:45:00Z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7500a2e5-37a3-4a62-ad70-afe40d3c06f8</vt:lpwstr>
  </property>
  <property fmtid="{D5CDD505-2E9C-101B-9397-08002B2CF9AE}" pid="3" name="bjSaver">
    <vt:lpwstr>L+v7C4hIrKKpqWXgYPzoepPkYohaR6zr</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