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D13B4C">
      <w:pPr>
        <w:tabs>
          <w:tab w:val="left" w:pos="4653"/>
        </w:tabs>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1B0F10">
        <w:t>51</w:t>
      </w:r>
    </w:p>
    <w:p w:rsidR="00D4210F" w:rsidRPr="00104A8B" w:rsidRDefault="001B0F10" w:rsidP="00A014F1">
      <w:pPr>
        <w:spacing w:before="1800" w:after="240"/>
        <w:jc w:val="right"/>
        <w:rPr>
          <w:sz w:val="24"/>
          <w:szCs w:val="24"/>
        </w:rPr>
      </w:pPr>
      <w:r>
        <w:rPr>
          <w:sz w:val="24"/>
          <w:szCs w:val="24"/>
        </w:rPr>
        <w:t>8 SEPTEMBER</w:t>
      </w:r>
      <w:r w:rsidR="00701E54" w:rsidRPr="00C01717">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DF4EFB">
      <w:pPr>
        <w:pStyle w:val="Heading2"/>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DF4EFB">
      <w:pPr>
        <w:pStyle w:val="Heading2"/>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35437926"/>
      <w:bookmarkStart w:id="72" w:name="_Toc38270536"/>
      <w:bookmarkStart w:id="73" w:name="_Toc38362387"/>
      <w:bookmarkStart w:id="74" w:name="_Toc38441868"/>
      <w:bookmarkStart w:id="75" w:name="_Toc38442375"/>
      <w:bookmarkStart w:id="76" w:name="_Toc38976313"/>
      <w:bookmarkStart w:id="77" w:name="_Toc40693084"/>
      <w:bookmarkStart w:id="78" w:name="_Toc40693225"/>
      <w:bookmarkStart w:id="79" w:name="_Toc41570911"/>
      <w:bookmarkStart w:id="80" w:name="_Toc42874993"/>
      <w:bookmarkStart w:id="81" w:name="_Toc44074210"/>
      <w:bookmarkStart w:id="82" w:name="_Toc44317221"/>
      <w:bookmarkStart w:id="83" w:name="_Toc44323924"/>
      <w:bookmarkStart w:id="84" w:name="_Toc45878796"/>
      <w:bookmarkStart w:id="85" w:name="_Toc46130600"/>
      <w:bookmarkStart w:id="86" w:name="_Toc46484319"/>
      <w:bookmarkStart w:id="87" w:name="_Toc46734580"/>
      <w:bookmarkStart w:id="88" w:name="_Toc46735460"/>
      <w:bookmarkStart w:id="89" w:name="_Toc47939829"/>
      <w:bookmarkStart w:id="90" w:name="_Toc47940101"/>
      <w:bookmarkStart w:id="91" w:name="_Toc47940140"/>
      <w:bookmarkStart w:id="92" w:name="_Toc47947454"/>
      <w:bookmarkStart w:id="93" w:name="_Toc47952730"/>
      <w:bookmarkStart w:id="94" w:name="_Toc47952774"/>
      <w:bookmarkStart w:id="95" w:name="_Toc48547802"/>
      <w:bookmarkStart w:id="96" w:name="_Toc49153795"/>
      <w:bookmarkStart w:id="97" w:name="_Toc49158550"/>
      <w:bookmarkStart w:id="98" w:name="_Toc49170848"/>
      <w:bookmarkStart w:id="99" w:name="_Toc50111088"/>
      <w:bookmarkStart w:id="100" w:name="_Toc500938169"/>
      <w:bookmarkStart w:id="101" w:name="_Toc500947017"/>
      <w:bookmarkStart w:id="102" w:name="_Toc501547026"/>
      <w:bookmarkStart w:id="103" w:name="_Toc501547381"/>
      <w:bookmarkStart w:id="104" w:name="_Toc505005665"/>
      <w:bookmarkStart w:id="105" w:name="_Toc505153756"/>
      <w:bookmarkStart w:id="106" w:name="_Toc508283424"/>
      <w:bookmarkStart w:id="107" w:name="_Toc510081780"/>
      <w:bookmarkStart w:id="108" w:name="_Toc511812217"/>
      <w:bookmarkStart w:id="109" w:name="_Toc512240155"/>
      <w:bookmarkStart w:id="110" w:name="_Toc513192152"/>
      <w:bookmarkStart w:id="111" w:name="_Toc514832414"/>
      <w:bookmarkStart w:id="112" w:name="_Toc50457153"/>
      <w:bookmarkEnd w:id="13"/>
      <w:bookmarkEnd w:id="14"/>
      <w:r w:rsidRPr="00104A8B">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12"/>
    </w:p>
    <w:p w:rsidR="000B0846" w:rsidRPr="00104A8B" w:rsidRDefault="000B0846" w:rsidP="002A185D">
      <w:pPr>
        <w:pStyle w:val="Heading3"/>
        <w:rPr>
          <w:rFonts w:asciiTheme="minorHAnsi" w:hAnsiTheme="minorHAnsi"/>
        </w:rPr>
      </w:pPr>
      <w:bookmarkStart w:id="113" w:name="_Toc514837959"/>
      <w:bookmarkStart w:id="114" w:name="_Toc514943593"/>
      <w:bookmarkStart w:id="115" w:name="_Toc515352036"/>
      <w:bookmarkStart w:id="116" w:name="_Toc518297245"/>
      <w:bookmarkStart w:id="117" w:name="_Toc519069303"/>
      <w:bookmarkStart w:id="118" w:name="_Toc519069364"/>
      <w:bookmarkStart w:id="119" w:name="_Toc519520731"/>
      <w:bookmarkStart w:id="120" w:name="_Toc520188710"/>
      <w:bookmarkStart w:id="121" w:name="_Toc521054227"/>
      <w:bookmarkStart w:id="122" w:name="_Toc521054314"/>
      <w:bookmarkStart w:id="123" w:name="_Toc521054386"/>
      <w:bookmarkStart w:id="124" w:name="_Toc523753609"/>
      <w:bookmarkStart w:id="125" w:name="_Toc523814158"/>
      <w:bookmarkStart w:id="126" w:name="_Toc523900449"/>
      <w:bookmarkStart w:id="127" w:name="_Toc526855810"/>
      <w:bookmarkStart w:id="128" w:name="_Toc528155836"/>
      <w:bookmarkStart w:id="129" w:name="_Toc528157195"/>
      <w:bookmarkStart w:id="130" w:name="_Toc528310848"/>
      <w:bookmarkStart w:id="131" w:name="_Toc529974527"/>
      <w:bookmarkStart w:id="132" w:name="_Toc530039422"/>
      <w:bookmarkStart w:id="133" w:name="_Toc536527670"/>
      <w:bookmarkStart w:id="134" w:name="_Toc536527833"/>
      <w:bookmarkStart w:id="135" w:name="_Toc536615371"/>
      <w:bookmarkStart w:id="136" w:name="_Toc172149"/>
      <w:bookmarkStart w:id="137" w:name="_Toc506074"/>
      <w:bookmarkStart w:id="138" w:name="_Toc945918"/>
      <w:bookmarkStart w:id="139" w:name="_Toc965808"/>
      <w:bookmarkStart w:id="140" w:name="_Toc2839572"/>
      <w:bookmarkStart w:id="141" w:name="_Toc2850232"/>
      <w:bookmarkStart w:id="142" w:name="_Toc3271209"/>
      <w:bookmarkStart w:id="143" w:name="_Toc4588270"/>
      <w:bookmarkStart w:id="144" w:name="_Toc4652916"/>
      <w:bookmarkStart w:id="145" w:name="_Toc5003658"/>
      <w:bookmarkStart w:id="146" w:name="_Toc6211031"/>
      <w:bookmarkStart w:id="147" w:name="_Toc9499989"/>
      <w:bookmarkStart w:id="148" w:name="_Toc14266111"/>
      <w:bookmarkStart w:id="149" w:name="_Toc14334600"/>
      <w:bookmarkStart w:id="150" w:name="_Toc14775950"/>
      <w:bookmarkStart w:id="151" w:name="_Toc15285028"/>
      <w:bookmarkStart w:id="152" w:name="_Toc15630648"/>
      <w:bookmarkStart w:id="153" w:name="_Toc18415320"/>
      <w:bookmarkStart w:id="154" w:name="_Toc18487688"/>
      <w:bookmarkStart w:id="155" w:name="_Toc19708391"/>
      <w:bookmarkStart w:id="156" w:name="_Toc20131680"/>
      <w:bookmarkStart w:id="157" w:name="_Toc21595438"/>
      <w:bookmarkStart w:id="158" w:name="_Toc22025439"/>
      <w:bookmarkStart w:id="159" w:name="_Toc24463702"/>
      <w:bookmarkStart w:id="160" w:name="_Toc24617699"/>
      <w:bookmarkStart w:id="161" w:name="_Toc25050771"/>
      <w:bookmarkStart w:id="162" w:name="_Toc31202135"/>
      <w:bookmarkStart w:id="163" w:name="_Toc31202256"/>
      <w:bookmarkStart w:id="164" w:name="_Toc32390196"/>
      <w:bookmarkStart w:id="165" w:name="_Toc32566837"/>
      <w:bookmarkStart w:id="166" w:name="_Toc35437927"/>
      <w:bookmarkStart w:id="167" w:name="_Toc38270537"/>
      <w:bookmarkStart w:id="168" w:name="_Toc38362388"/>
      <w:bookmarkStart w:id="169" w:name="_Toc38441869"/>
      <w:bookmarkStart w:id="170" w:name="_Toc38442376"/>
      <w:bookmarkStart w:id="171" w:name="_Toc38976314"/>
      <w:bookmarkStart w:id="172" w:name="_Toc40693085"/>
      <w:bookmarkStart w:id="173" w:name="_Toc40693226"/>
      <w:bookmarkStart w:id="174" w:name="_Toc41570912"/>
      <w:bookmarkStart w:id="175" w:name="_Toc42874994"/>
      <w:bookmarkStart w:id="176" w:name="_Toc44074211"/>
      <w:bookmarkStart w:id="177" w:name="_Toc44317222"/>
      <w:bookmarkStart w:id="178" w:name="_Toc44323925"/>
      <w:bookmarkStart w:id="179" w:name="_Toc45878797"/>
      <w:bookmarkStart w:id="180" w:name="_Toc46130601"/>
      <w:bookmarkStart w:id="181" w:name="_Toc46484320"/>
      <w:bookmarkStart w:id="182" w:name="_Toc46734581"/>
      <w:bookmarkStart w:id="183" w:name="_Toc46735461"/>
      <w:bookmarkStart w:id="184" w:name="_Toc47939830"/>
      <w:bookmarkStart w:id="185" w:name="_Toc47940102"/>
      <w:bookmarkStart w:id="186" w:name="_Toc47940141"/>
      <w:bookmarkStart w:id="187" w:name="_Toc47947455"/>
      <w:bookmarkStart w:id="188" w:name="_Toc47952731"/>
      <w:bookmarkStart w:id="189" w:name="_Toc47952775"/>
      <w:bookmarkStart w:id="190" w:name="_Toc48547803"/>
      <w:bookmarkStart w:id="191" w:name="_Toc49153796"/>
      <w:bookmarkStart w:id="192" w:name="_Toc49158551"/>
      <w:bookmarkStart w:id="193" w:name="_Toc49170849"/>
      <w:bookmarkStart w:id="194" w:name="_Toc50111089"/>
      <w:bookmarkStart w:id="195" w:name="_Toc50457154"/>
      <w:r w:rsidRPr="00104A8B">
        <w:rPr>
          <w:rFonts w:asciiTheme="minorHAnsi" w:hAnsiTheme="minorHAnsi"/>
        </w:rPr>
        <w:t>C</w:t>
      </w:r>
      <w:r w:rsidR="00474136" w:rsidRPr="00104A8B">
        <w:rPr>
          <w:rFonts w:asciiTheme="minorHAnsi" w:hAnsiTheme="minorHAnsi"/>
        </w:rPr>
        <w:t>ommittee Membership</w:t>
      </w:r>
      <w:bookmarkEnd w:id="100"/>
      <w:bookmarkEnd w:id="101"/>
      <w:bookmarkEnd w:id="102"/>
      <w:bookmarkEnd w:id="103"/>
      <w:bookmarkEnd w:id="104"/>
      <w:bookmarkEnd w:id="105"/>
      <w:bookmarkEnd w:id="106"/>
      <w:bookmarkEnd w:id="107"/>
      <w:bookmarkEnd w:id="108"/>
      <w:bookmarkEnd w:id="109"/>
      <w:bookmarkEnd w:id="110"/>
      <w:bookmarkEnd w:id="11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96" w:name="_Toc500938170"/>
      <w:bookmarkStart w:id="197" w:name="_Toc500947018"/>
      <w:bookmarkStart w:id="198" w:name="_Toc501547027"/>
      <w:bookmarkStart w:id="199" w:name="_Toc501547382"/>
      <w:bookmarkStart w:id="200" w:name="_Toc505005666"/>
      <w:bookmarkStart w:id="201" w:name="_Toc505153757"/>
      <w:bookmarkStart w:id="202" w:name="_Toc508283425"/>
      <w:bookmarkStart w:id="203" w:name="_Toc510081781"/>
      <w:bookmarkStart w:id="204" w:name="_Toc511812218"/>
      <w:bookmarkStart w:id="205" w:name="_Toc512240156"/>
      <w:bookmarkStart w:id="206" w:name="_Toc513192153"/>
      <w:bookmarkStart w:id="207" w:name="_Toc514832415"/>
      <w:bookmarkStart w:id="208" w:name="_Toc514837960"/>
      <w:bookmarkStart w:id="209" w:name="_Toc514943594"/>
      <w:bookmarkStart w:id="210" w:name="_Toc515352037"/>
      <w:bookmarkStart w:id="211" w:name="_Toc518297246"/>
      <w:bookmarkStart w:id="212" w:name="_Toc519069304"/>
      <w:bookmarkStart w:id="213" w:name="_Toc519069365"/>
      <w:bookmarkStart w:id="214" w:name="_Toc519520732"/>
      <w:bookmarkStart w:id="215" w:name="_Toc520188711"/>
      <w:bookmarkStart w:id="216" w:name="_Toc521054228"/>
      <w:bookmarkStart w:id="217" w:name="_Toc521054315"/>
      <w:bookmarkStart w:id="218" w:name="_Toc521054387"/>
      <w:bookmarkStart w:id="219" w:name="_Toc523753610"/>
      <w:bookmarkStart w:id="220" w:name="_Toc523814159"/>
      <w:bookmarkStart w:id="221" w:name="_Toc523900450"/>
      <w:bookmarkStart w:id="222" w:name="_Toc526855811"/>
      <w:bookmarkStart w:id="223" w:name="_Toc528155837"/>
      <w:bookmarkStart w:id="224" w:name="_Toc528157196"/>
      <w:bookmarkStart w:id="225" w:name="_Toc528310849"/>
      <w:bookmarkStart w:id="226" w:name="_Toc529974528"/>
      <w:bookmarkStart w:id="227" w:name="_Toc530039423"/>
      <w:bookmarkStart w:id="228" w:name="_Toc536527671"/>
      <w:bookmarkStart w:id="229" w:name="_Toc536527834"/>
      <w:bookmarkStart w:id="230" w:name="_Toc536615372"/>
      <w:bookmarkStart w:id="231" w:name="_Toc172150"/>
      <w:bookmarkStart w:id="232" w:name="_Toc506075"/>
      <w:bookmarkStart w:id="233" w:name="_Toc945919"/>
      <w:bookmarkStart w:id="234" w:name="_Toc965809"/>
      <w:bookmarkStart w:id="235" w:name="_Toc2839573"/>
      <w:bookmarkStart w:id="236" w:name="_Toc2850233"/>
      <w:bookmarkStart w:id="237" w:name="_Toc3271210"/>
      <w:bookmarkStart w:id="238" w:name="_Toc4588271"/>
      <w:bookmarkStart w:id="239" w:name="_Toc4652917"/>
      <w:bookmarkStart w:id="240" w:name="_Toc5003659"/>
      <w:bookmarkStart w:id="241" w:name="_Toc6211032"/>
      <w:bookmarkStart w:id="242" w:name="_Toc9499990"/>
      <w:bookmarkStart w:id="243" w:name="_Toc14266112"/>
      <w:bookmarkStart w:id="244" w:name="_Toc14334601"/>
      <w:bookmarkStart w:id="245" w:name="_Toc14775951"/>
      <w:bookmarkStart w:id="246" w:name="_Toc15285029"/>
      <w:bookmarkStart w:id="247" w:name="_Toc15630649"/>
      <w:bookmarkStart w:id="248" w:name="_Toc18415321"/>
      <w:bookmarkStart w:id="249" w:name="_Toc18487689"/>
      <w:bookmarkStart w:id="250" w:name="_Toc19708392"/>
      <w:bookmarkStart w:id="251" w:name="_Toc20131681"/>
      <w:bookmarkStart w:id="252" w:name="_Toc21595439"/>
      <w:bookmarkStart w:id="253" w:name="_Toc22025440"/>
      <w:bookmarkStart w:id="254" w:name="_Toc24463703"/>
      <w:bookmarkStart w:id="255" w:name="_Toc24617700"/>
      <w:bookmarkStart w:id="256" w:name="_Toc25050772"/>
      <w:bookmarkStart w:id="257" w:name="_Toc31202136"/>
      <w:bookmarkStart w:id="258" w:name="_Toc31202257"/>
      <w:bookmarkStart w:id="259" w:name="_Toc32390197"/>
      <w:bookmarkStart w:id="260" w:name="_Toc32566838"/>
      <w:bookmarkStart w:id="261" w:name="_Toc35437928"/>
      <w:bookmarkStart w:id="262" w:name="_Toc38270538"/>
      <w:bookmarkStart w:id="263" w:name="_Toc38362389"/>
      <w:bookmarkStart w:id="264" w:name="_Toc38441870"/>
      <w:bookmarkStart w:id="265" w:name="_Toc38442377"/>
      <w:bookmarkStart w:id="266" w:name="_Toc38976315"/>
      <w:bookmarkStart w:id="267" w:name="_Toc40693086"/>
      <w:bookmarkStart w:id="268" w:name="_Toc40693227"/>
      <w:bookmarkStart w:id="269" w:name="_Toc41570913"/>
      <w:bookmarkStart w:id="270" w:name="_Toc42874995"/>
      <w:bookmarkStart w:id="271" w:name="_Toc44074212"/>
      <w:bookmarkStart w:id="272" w:name="_Toc44317223"/>
      <w:bookmarkStart w:id="273" w:name="_Toc44323926"/>
      <w:bookmarkStart w:id="274" w:name="_Toc45878798"/>
      <w:bookmarkStart w:id="275" w:name="_Toc46130602"/>
      <w:bookmarkStart w:id="276" w:name="_Toc46484321"/>
      <w:bookmarkStart w:id="277" w:name="_Toc46734582"/>
      <w:bookmarkStart w:id="278" w:name="_Toc46735462"/>
      <w:bookmarkStart w:id="279" w:name="_Toc47939831"/>
      <w:bookmarkStart w:id="280" w:name="_Toc47940103"/>
      <w:bookmarkStart w:id="281" w:name="_Toc47940142"/>
      <w:bookmarkStart w:id="282" w:name="_Toc47947456"/>
      <w:bookmarkStart w:id="283" w:name="_Toc47952732"/>
      <w:bookmarkStart w:id="284" w:name="_Toc47952776"/>
      <w:bookmarkStart w:id="285" w:name="_Toc48547804"/>
      <w:bookmarkStart w:id="286" w:name="_Toc49153797"/>
      <w:bookmarkStart w:id="287" w:name="_Toc49158552"/>
      <w:bookmarkStart w:id="288" w:name="_Toc49170850"/>
      <w:bookmarkStart w:id="289" w:name="_Toc50111090"/>
      <w:bookmarkStart w:id="290" w:name="_Toc50457155"/>
      <w:r w:rsidRPr="00104A8B">
        <w:rPr>
          <w:rFonts w:asciiTheme="minorHAnsi" w:hAnsiTheme="minorHAnsi"/>
        </w:rPr>
        <w:t>S</w:t>
      </w:r>
      <w:bookmarkEnd w:id="196"/>
      <w:r w:rsidR="00474136" w:rsidRPr="00104A8B">
        <w:rPr>
          <w:rFonts w:asciiTheme="minorHAnsi" w:hAnsiTheme="minorHAnsi"/>
        </w:rPr>
        <w:t>ecretariat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C210A9" w:rsidRDefault="00C210A9" w:rsidP="009C4F5B">
      <w:pPr>
        <w:pStyle w:val="ListParagraph"/>
        <w:spacing w:after="360"/>
        <w:ind w:left="0"/>
      </w:pPr>
      <w:r>
        <w:t>Ms Sophie Milne (Chamber Support)</w:t>
      </w:r>
    </w:p>
    <w:p w:rsidR="000B0846" w:rsidRPr="00104A8B" w:rsidRDefault="000B0846" w:rsidP="002A185D">
      <w:pPr>
        <w:pStyle w:val="Heading3"/>
        <w:rPr>
          <w:rFonts w:asciiTheme="minorHAnsi" w:hAnsiTheme="minorHAnsi"/>
        </w:rPr>
      </w:pPr>
      <w:bookmarkStart w:id="291" w:name="_Toc500938171"/>
      <w:bookmarkStart w:id="292" w:name="_Toc500947019"/>
      <w:bookmarkStart w:id="293" w:name="_Toc501547028"/>
      <w:bookmarkStart w:id="294" w:name="_Toc501547383"/>
      <w:bookmarkStart w:id="295" w:name="_Toc505005667"/>
      <w:bookmarkStart w:id="296" w:name="_Toc505153758"/>
      <w:bookmarkStart w:id="297" w:name="_Toc508283426"/>
      <w:bookmarkStart w:id="298" w:name="_Toc510081782"/>
      <w:bookmarkStart w:id="299" w:name="_Toc511812219"/>
      <w:bookmarkStart w:id="300" w:name="_Toc512240157"/>
      <w:bookmarkStart w:id="301" w:name="_Toc513192154"/>
      <w:bookmarkStart w:id="302" w:name="_Toc514832416"/>
      <w:bookmarkStart w:id="303" w:name="_Toc514837961"/>
      <w:bookmarkStart w:id="304" w:name="_Toc514943595"/>
      <w:bookmarkStart w:id="305" w:name="_Toc515352038"/>
      <w:bookmarkStart w:id="306" w:name="_Toc518297247"/>
      <w:bookmarkStart w:id="307" w:name="_Toc519069305"/>
      <w:bookmarkStart w:id="308" w:name="_Toc519069366"/>
      <w:bookmarkStart w:id="309" w:name="_Toc519520733"/>
      <w:bookmarkStart w:id="310" w:name="_Toc520188712"/>
      <w:bookmarkStart w:id="311" w:name="_Toc521054229"/>
      <w:bookmarkStart w:id="312" w:name="_Toc521054316"/>
      <w:bookmarkStart w:id="313" w:name="_Toc521054388"/>
      <w:bookmarkStart w:id="314" w:name="_Toc523753611"/>
      <w:bookmarkStart w:id="315" w:name="_Toc523814160"/>
      <w:bookmarkStart w:id="316" w:name="_Toc523900451"/>
      <w:bookmarkStart w:id="317" w:name="_Toc526855812"/>
      <w:bookmarkStart w:id="318" w:name="_Toc528155838"/>
      <w:bookmarkStart w:id="319" w:name="_Toc528157197"/>
      <w:bookmarkStart w:id="320" w:name="_Toc528310850"/>
      <w:bookmarkStart w:id="321" w:name="_Toc529974529"/>
      <w:bookmarkStart w:id="322" w:name="_Toc530039424"/>
      <w:bookmarkStart w:id="323" w:name="_Toc536527672"/>
      <w:bookmarkStart w:id="324" w:name="_Toc536527835"/>
      <w:bookmarkStart w:id="325" w:name="_Toc536615373"/>
      <w:bookmarkStart w:id="326" w:name="_Toc172151"/>
      <w:bookmarkStart w:id="327" w:name="_Toc506076"/>
      <w:bookmarkStart w:id="328" w:name="_Toc945920"/>
      <w:bookmarkStart w:id="329" w:name="_Toc965810"/>
      <w:bookmarkStart w:id="330" w:name="_Toc2839574"/>
      <w:bookmarkStart w:id="331" w:name="_Toc2850234"/>
      <w:bookmarkStart w:id="332" w:name="_Toc3271211"/>
      <w:bookmarkStart w:id="333" w:name="_Toc4588272"/>
      <w:bookmarkStart w:id="334" w:name="_Toc4652918"/>
      <w:bookmarkStart w:id="335" w:name="_Toc5003660"/>
      <w:bookmarkStart w:id="336" w:name="_Toc6211033"/>
      <w:bookmarkStart w:id="337" w:name="_Toc9499991"/>
      <w:bookmarkStart w:id="338" w:name="_Toc14266113"/>
      <w:bookmarkStart w:id="339" w:name="_Toc14334602"/>
      <w:bookmarkStart w:id="340" w:name="_Toc14775952"/>
      <w:bookmarkStart w:id="341" w:name="_Toc15285030"/>
      <w:bookmarkStart w:id="342" w:name="_Toc15630650"/>
      <w:bookmarkStart w:id="343" w:name="_Toc18415322"/>
      <w:bookmarkStart w:id="344" w:name="_Toc18487690"/>
      <w:bookmarkStart w:id="345" w:name="_Toc19708393"/>
      <w:bookmarkStart w:id="346" w:name="_Toc20131682"/>
      <w:bookmarkStart w:id="347" w:name="_Toc21595440"/>
      <w:bookmarkStart w:id="348" w:name="_Toc22025441"/>
      <w:bookmarkStart w:id="349" w:name="_Toc24463704"/>
      <w:bookmarkStart w:id="350" w:name="_Toc24617701"/>
      <w:bookmarkStart w:id="351" w:name="_Toc25050773"/>
      <w:bookmarkStart w:id="352" w:name="_Toc31202137"/>
      <w:bookmarkStart w:id="353" w:name="_Toc31202258"/>
      <w:bookmarkStart w:id="354" w:name="_Toc32390198"/>
      <w:bookmarkStart w:id="355" w:name="_Toc32566839"/>
      <w:bookmarkStart w:id="356" w:name="_Toc35437929"/>
      <w:bookmarkStart w:id="357" w:name="_Toc38270539"/>
      <w:bookmarkStart w:id="358" w:name="_Toc38362390"/>
      <w:bookmarkStart w:id="359" w:name="_Toc38441871"/>
      <w:bookmarkStart w:id="360" w:name="_Toc38442378"/>
      <w:bookmarkStart w:id="361" w:name="_Toc38976316"/>
      <w:bookmarkStart w:id="362" w:name="_Toc40693087"/>
      <w:bookmarkStart w:id="363" w:name="_Toc40693228"/>
      <w:bookmarkStart w:id="364" w:name="_Toc41570914"/>
      <w:bookmarkStart w:id="365" w:name="_Toc42874996"/>
      <w:bookmarkStart w:id="366" w:name="_Toc44074213"/>
      <w:bookmarkStart w:id="367" w:name="_Toc44317224"/>
      <w:bookmarkStart w:id="368" w:name="_Toc44323927"/>
      <w:bookmarkStart w:id="369" w:name="_Toc45878799"/>
      <w:bookmarkStart w:id="370" w:name="_Toc46130603"/>
      <w:bookmarkStart w:id="371" w:name="_Toc46484322"/>
      <w:bookmarkStart w:id="372" w:name="_Toc46734583"/>
      <w:bookmarkStart w:id="373" w:name="_Toc46735463"/>
      <w:bookmarkStart w:id="374" w:name="_Toc47939832"/>
      <w:bookmarkStart w:id="375" w:name="_Toc47940104"/>
      <w:bookmarkStart w:id="376" w:name="_Toc47940143"/>
      <w:bookmarkStart w:id="377" w:name="_Toc47947457"/>
      <w:bookmarkStart w:id="378" w:name="_Toc47952733"/>
      <w:bookmarkStart w:id="379" w:name="_Toc47952777"/>
      <w:bookmarkStart w:id="380" w:name="_Toc48547805"/>
      <w:bookmarkStart w:id="381" w:name="_Toc49153798"/>
      <w:bookmarkStart w:id="382" w:name="_Toc49158553"/>
      <w:bookmarkStart w:id="383" w:name="_Toc49170851"/>
      <w:bookmarkStart w:id="384" w:name="_Toc50111091"/>
      <w:bookmarkStart w:id="385" w:name="_Toc50457156"/>
      <w:r w:rsidRPr="00104A8B">
        <w:rPr>
          <w:rFonts w:asciiTheme="minorHAnsi" w:hAnsiTheme="minorHAnsi"/>
        </w:rPr>
        <w:t>C</w:t>
      </w:r>
      <w:r w:rsidR="00474136" w:rsidRPr="00104A8B">
        <w:rPr>
          <w:rFonts w:asciiTheme="minorHAnsi" w:hAnsiTheme="minorHAnsi"/>
        </w:rPr>
        <w:t>ontact Information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386" w:name="_Toc500938172"/>
      <w:bookmarkStart w:id="387" w:name="_Toc500947020"/>
      <w:bookmarkStart w:id="388" w:name="_Toc501547029"/>
      <w:bookmarkStart w:id="389" w:name="_Toc501547384"/>
      <w:bookmarkStart w:id="390" w:name="_Toc505005668"/>
      <w:bookmarkStart w:id="391" w:name="_Toc505153759"/>
      <w:bookmarkStart w:id="392" w:name="_Toc508283427"/>
      <w:bookmarkStart w:id="393" w:name="_Toc510081783"/>
      <w:bookmarkStart w:id="394" w:name="_Toc511812220"/>
      <w:bookmarkStart w:id="395" w:name="_Toc512240158"/>
      <w:bookmarkStart w:id="396" w:name="_Toc513192155"/>
      <w:bookmarkStart w:id="397" w:name="_Toc514832417"/>
      <w:bookmarkStart w:id="398" w:name="_Toc514837962"/>
      <w:bookmarkStart w:id="399" w:name="_Toc514943596"/>
      <w:bookmarkStart w:id="400" w:name="_Toc515352039"/>
      <w:bookmarkStart w:id="401" w:name="_Toc518297248"/>
      <w:bookmarkStart w:id="402" w:name="_Toc519069306"/>
      <w:bookmarkStart w:id="403" w:name="_Toc519069367"/>
      <w:bookmarkStart w:id="404" w:name="_Toc519520734"/>
      <w:bookmarkStart w:id="405" w:name="_Toc520188713"/>
      <w:bookmarkStart w:id="406" w:name="_Toc521054230"/>
      <w:bookmarkStart w:id="407" w:name="_Toc521054317"/>
      <w:bookmarkStart w:id="408" w:name="_Toc521054389"/>
      <w:bookmarkStart w:id="409" w:name="_Toc523753612"/>
      <w:bookmarkStart w:id="410" w:name="_Toc523814161"/>
      <w:bookmarkStart w:id="411" w:name="_Toc523900452"/>
      <w:bookmarkStart w:id="412" w:name="_Toc526855813"/>
      <w:bookmarkStart w:id="413" w:name="_Toc528155839"/>
      <w:bookmarkStart w:id="414" w:name="_Toc528157198"/>
      <w:bookmarkStart w:id="415" w:name="_Toc528310851"/>
      <w:bookmarkStart w:id="416" w:name="_Toc529974530"/>
      <w:bookmarkStart w:id="417" w:name="_Toc530039425"/>
      <w:bookmarkStart w:id="418" w:name="_Toc536527673"/>
      <w:bookmarkStart w:id="419" w:name="_Toc536527836"/>
      <w:bookmarkStart w:id="420" w:name="_Toc536615374"/>
      <w:bookmarkStart w:id="421" w:name="_Toc172152"/>
      <w:bookmarkStart w:id="422" w:name="_Toc506077"/>
      <w:bookmarkStart w:id="423" w:name="_Toc945921"/>
      <w:bookmarkStart w:id="424" w:name="_Toc965811"/>
      <w:bookmarkStart w:id="425" w:name="_Toc2839575"/>
      <w:bookmarkStart w:id="426" w:name="_Toc2850235"/>
      <w:bookmarkStart w:id="427" w:name="_Toc3271212"/>
      <w:bookmarkStart w:id="428" w:name="_Toc4588273"/>
      <w:bookmarkStart w:id="429" w:name="_Toc4652919"/>
      <w:bookmarkStart w:id="430" w:name="_Toc5003661"/>
      <w:bookmarkStart w:id="431" w:name="_Toc6211034"/>
      <w:bookmarkStart w:id="432" w:name="_Toc9499992"/>
      <w:bookmarkStart w:id="433" w:name="_Toc14266114"/>
      <w:bookmarkStart w:id="434" w:name="_Toc14334603"/>
      <w:bookmarkStart w:id="435" w:name="_Toc14775953"/>
      <w:bookmarkStart w:id="436" w:name="_Toc15285031"/>
      <w:bookmarkStart w:id="437" w:name="_Toc15630651"/>
      <w:bookmarkStart w:id="438" w:name="_Toc18415323"/>
      <w:bookmarkStart w:id="439" w:name="_Toc18487691"/>
      <w:bookmarkStart w:id="440" w:name="_Toc19708394"/>
      <w:bookmarkStart w:id="441" w:name="_Toc20131683"/>
      <w:bookmarkStart w:id="442" w:name="_Toc21595441"/>
      <w:bookmarkStart w:id="443" w:name="_Toc22025442"/>
      <w:bookmarkStart w:id="444" w:name="_Toc24463705"/>
      <w:bookmarkStart w:id="445" w:name="_Toc24617702"/>
      <w:bookmarkStart w:id="446" w:name="_Toc25050774"/>
      <w:bookmarkStart w:id="447" w:name="_Toc31202138"/>
      <w:bookmarkStart w:id="448" w:name="_Toc31202259"/>
      <w:bookmarkStart w:id="449" w:name="_Toc32390199"/>
      <w:bookmarkStart w:id="450" w:name="_Toc32566840"/>
      <w:bookmarkStart w:id="451" w:name="_Toc35437930"/>
      <w:bookmarkStart w:id="452" w:name="_Toc38270540"/>
      <w:bookmarkStart w:id="453" w:name="_Toc38362391"/>
      <w:bookmarkStart w:id="454" w:name="_Toc38441872"/>
      <w:bookmarkStart w:id="455" w:name="_Toc38442379"/>
      <w:bookmarkStart w:id="456" w:name="_Toc38976317"/>
      <w:bookmarkStart w:id="457" w:name="_Toc40693088"/>
      <w:bookmarkStart w:id="458" w:name="_Toc40693229"/>
      <w:bookmarkStart w:id="459" w:name="_Toc41570915"/>
      <w:bookmarkStart w:id="460" w:name="_Toc42874997"/>
      <w:bookmarkStart w:id="461" w:name="_Toc44074214"/>
      <w:bookmarkStart w:id="462" w:name="_Toc44317225"/>
      <w:bookmarkStart w:id="463" w:name="_Toc44323928"/>
      <w:bookmarkStart w:id="464" w:name="_Toc45878800"/>
      <w:bookmarkStart w:id="465" w:name="_Toc46130604"/>
      <w:bookmarkStart w:id="466" w:name="_Toc46484323"/>
      <w:bookmarkStart w:id="467" w:name="_Toc46734584"/>
      <w:bookmarkStart w:id="468" w:name="_Toc46735464"/>
      <w:bookmarkStart w:id="469" w:name="_Toc47939833"/>
      <w:bookmarkStart w:id="470" w:name="_Toc47940105"/>
      <w:bookmarkStart w:id="471" w:name="_Toc47940144"/>
      <w:bookmarkStart w:id="472" w:name="_Toc47947458"/>
      <w:bookmarkStart w:id="473" w:name="_Toc47952734"/>
      <w:bookmarkStart w:id="474" w:name="_Toc47952778"/>
      <w:bookmarkStart w:id="475" w:name="_Toc48547806"/>
      <w:bookmarkStart w:id="476" w:name="_Toc49153799"/>
      <w:bookmarkStart w:id="477" w:name="_Toc49158554"/>
      <w:bookmarkStart w:id="478" w:name="_Toc49170852"/>
      <w:bookmarkStart w:id="479" w:name="_Toc50111092"/>
      <w:bookmarkStart w:id="480" w:name="_Toc50457157"/>
      <w:r w:rsidRPr="00104A8B">
        <w:rPr>
          <w:rFonts w:asciiTheme="minorHAnsi" w:hAnsiTheme="minorHAnsi"/>
        </w:rPr>
        <w:t>R</w:t>
      </w:r>
      <w:r w:rsidR="00474136" w:rsidRPr="00104A8B">
        <w:rPr>
          <w:rFonts w:asciiTheme="minorHAnsi" w:hAnsiTheme="minorHAnsi"/>
        </w:rPr>
        <w:t>ole of Committee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DF4EFB">
      <w:pPr>
        <w:pStyle w:val="Heading2"/>
      </w:pPr>
      <w:r w:rsidRPr="00104A8B">
        <w:br w:type="page"/>
      </w:r>
      <w:bookmarkStart w:id="481" w:name="_Toc500938173"/>
      <w:bookmarkStart w:id="482" w:name="_Toc500947021"/>
      <w:bookmarkStart w:id="483" w:name="_Toc501547030"/>
      <w:bookmarkStart w:id="484" w:name="_Toc501547385"/>
      <w:bookmarkStart w:id="485" w:name="_Toc505005669"/>
      <w:bookmarkStart w:id="486" w:name="_Toc505153760"/>
      <w:bookmarkStart w:id="487" w:name="_Toc508283428"/>
      <w:bookmarkStart w:id="488" w:name="_Toc510081784"/>
      <w:bookmarkStart w:id="489" w:name="_Toc511812221"/>
      <w:bookmarkStart w:id="490" w:name="_Toc512240159"/>
      <w:bookmarkStart w:id="491" w:name="_Toc513192156"/>
      <w:bookmarkStart w:id="492" w:name="_Toc514832418"/>
      <w:bookmarkStart w:id="493" w:name="_Toc514837963"/>
      <w:bookmarkStart w:id="494" w:name="_Toc518297249"/>
      <w:bookmarkStart w:id="495" w:name="_Toc519069307"/>
      <w:bookmarkStart w:id="496" w:name="_Toc519069368"/>
      <w:bookmarkStart w:id="497" w:name="_Toc519520735"/>
      <w:bookmarkStart w:id="498" w:name="_Toc520188714"/>
      <w:bookmarkStart w:id="499" w:name="_Toc521054231"/>
      <w:bookmarkStart w:id="500" w:name="_Toc521054318"/>
      <w:bookmarkStart w:id="501" w:name="_Toc521054390"/>
      <w:bookmarkStart w:id="502" w:name="_Toc523753613"/>
      <w:bookmarkStart w:id="503" w:name="_Toc523814162"/>
      <w:bookmarkStart w:id="504" w:name="_Toc523900453"/>
      <w:bookmarkStart w:id="505" w:name="_Toc526855814"/>
      <w:bookmarkStart w:id="506" w:name="_Toc528155840"/>
      <w:bookmarkStart w:id="507" w:name="_Toc528157199"/>
      <w:bookmarkStart w:id="508" w:name="_Toc528310852"/>
      <w:bookmarkStart w:id="509" w:name="_Toc529974531"/>
      <w:bookmarkStart w:id="510" w:name="_Toc530039426"/>
      <w:bookmarkStart w:id="511" w:name="_Toc536527674"/>
      <w:bookmarkStart w:id="512" w:name="_Toc536527837"/>
      <w:bookmarkStart w:id="513" w:name="_Toc536615375"/>
      <w:bookmarkStart w:id="514" w:name="_Toc172153"/>
      <w:bookmarkStart w:id="515" w:name="_Toc506078"/>
      <w:bookmarkStart w:id="516" w:name="_Toc945922"/>
      <w:bookmarkStart w:id="517" w:name="_Toc965812"/>
      <w:bookmarkStart w:id="518" w:name="_Toc2839576"/>
      <w:bookmarkStart w:id="519" w:name="_Toc2850236"/>
      <w:bookmarkStart w:id="520" w:name="_Toc3271213"/>
      <w:bookmarkStart w:id="521" w:name="_Toc4588274"/>
      <w:bookmarkStart w:id="522" w:name="_Toc4652920"/>
      <w:bookmarkStart w:id="523" w:name="_Toc5003662"/>
      <w:bookmarkStart w:id="524" w:name="_Toc6211035"/>
      <w:bookmarkStart w:id="525" w:name="_Toc9499993"/>
      <w:bookmarkStart w:id="526" w:name="_Toc14266115"/>
      <w:bookmarkStart w:id="527" w:name="_Toc14334604"/>
      <w:bookmarkStart w:id="528" w:name="_Toc14775954"/>
      <w:bookmarkStart w:id="529" w:name="_Toc15285032"/>
      <w:bookmarkStart w:id="530" w:name="_Toc15630652"/>
      <w:bookmarkStart w:id="531" w:name="_Toc18415324"/>
      <w:bookmarkStart w:id="532" w:name="_Toc18487692"/>
      <w:bookmarkStart w:id="533" w:name="_Toc19708395"/>
      <w:bookmarkStart w:id="534" w:name="_Toc20131684"/>
      <w:bookmarkStart w:id="535" w:name="_Toc21595442"/>
      <w:bookmarkStart w:id="536" w:name="_Toc22025443"/>
      <w:bookmarkStart w:id="537" w:name="_Toc24463706"/>
      <w:bookmarkStart w:id="538" w:name="_Toc24617703"/>
      <w:bookmarkStart w:id="539" w:name="_Toc25050775"/>
      <w:bookmarkStart w:id="540" w:name="_Toc31202139"/>
      <w:bookmarkStart w:id="541" w:name="_Toc31202260"/>
      <w:bookmarkStart w:id="542" w:name="_Toc32390200"/>
      <w:bookmarkStart w:id="543" w:name="_Toc32566841"/>
      <w:bookmarkStart w:id="544" w:name="_Toc35437931"/>
      <w:bookmarkStart w:id="545" w:name="_Toc38270541"/>
      <w:bookmarkStart w:id="546" w:name="_Toc38362392"/>
      <w:bookmarkStart w:id="547" w:name="_Toc38441873"/>
      <w:bookmarkStart w:id="548" w:name="_Toc38442380"/>
      <w:bookmarkStart w:id="549" w:name="_Toc38976318"/>
      <w:bookmarkStart w:id="550" w:name="_Toc40693089"/>
      <w:bookmarkStart w:id="551" w:name="_Toc40693230"/>
      <w:bookmarkStart w:id="552" w:name="_Toc41570916"/>
      <w:bookmarkStart w:id="553" w:name="_Toc42874998"/>
      <w:bookmarkStart w:id="554" w:name="_Toc44074215"/>
      <w:bookmarkStart w:id="555" w:name="_Toc44317226"/>
      <w:bookmarkStart w:id="556" w:name="_Toc44323929"/>
      <w:bookmarkStart w:id="557" w:name="_Toc45878801"/>
      <w:bookmarkStart w:id="558" w:name="_Toc46130605"/>
      <w:bookmarkStart w:id="559" w:name="_Toc46484324"/>
      <w:bookmarkStart w:id="560" w:name="_Toc46734585"/>
      <w:bookmarkStart w:id="561" w:name="_Toc46735465"/>
      <w:bookmarkStart w:id="562" w:name="_Toc47939834"/>
      <w:bookmarkStart w:id="563" w:name="_Toc47940106"/>
      <w:bookmarkStart w:id="564" w:name="_Toc47940145"/>
      <w:bookmarkStart w:id="565" w:name="_Toc47947459"/>
      <w:bookmarkStart w:id="566" w:name="_Toc47952735"/>
      <w:bookmarkStart w:id="567" w:name="_Toc47952779"/>
      <w:bookmarkStart w:id="568" w:name="_Toc48547807"/>
      <w:bookmarkStart w:id="569" w:name="_Toc49153800"/>
      <w:bookmarkStart w:id="570" w:name="_Toc49158555"/>
      <w:bookmarkStart w:id="571" w:name="_Toc49170853"/>
      <w:bookmarkStart w:id="572" w:name="_Toc50111093"/>
      <w:bookmarkStart w:id="573" w:name="_Toc50457158"/>
      <w:r w:rsidR="00045F75" w:rsidRPr="00104A8B">
        <w:lastRenderedPageBreak/>
        <w:t>Resolution of Appointment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CF5714" w:rsidRDefault="00D447D3" w:rsidP="00854AEF">
      <w:pPr>
        <w:pStyle w:val="TOCHeading"/>
        <w:keepNext w:val="0"/>
        <w:keepLines w:val="0"/>
        <w:spacing w:before="120" w:after="360" w:line="500" w:lineRule="exact"/>
        <w:outlineLvl w:val="1"/>
        <w:rPr>
          <w:noProof/>
        </w:rPr>
      </w:pPr>
      <w:bookmarkStart w:id="574" w:name="_Toc514837964"/>
      <w:r w:rsidRPr="00104A8B">
        <w:rPr>
          <w:rFonts w:asciiTheme="minorHAnsi" w:eastAsia="Times New Roman" w:hAnsiTheme="minorHAnsi" w:cs="Times New Roman"/>
          <w:smallCaps/>
          <w:spacing w:val="20"/>
          <w:kern w:val="42"/>
          <w:sz w:val="44"/>
          <w:szCs w:val="44"/>
        </w:rPr>
        <w:lastRenderedPageBreak/>
        <w:t>Table of Contents</w:t>
      </w:r>
      <w:bookmarkEnd w:id="574"/>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CF5714" w:rsidRDefault="00CF5714">
      <w:pPr>
        <w:pStyle w:val="TOC1"/>
        <w:rPr>
          <w:rFonts w:asciiTheme="minorHAnsi" w:eastAsiaTheme="minorEastAsia" w:hAnsiTheme="minorHAnsi" w:cstheme="minorBidi"/>
          <w:bCs w:val="0"/>
          <w:smallCaps w:val="0"/>
          <w:spacing w:val="0"/>
          <w:sz w:val="22"/>
          <w:szCs w:val="22"/>
          <w:lang w:eastAsia="en-AU"/>
        </w:rPr>
      </w:pPr>
      <w:hyperlink w:anchor="_Toc50457159" w:history="1">
        <w:r w:rsidRPr="00616527">
          <w:rPr>
            <w:rStyle w:val="Hyperlink"/>
            <w:rFonts w:eastAsia="Calibri"/>
            <w:lang w:eastAsia="en-AU"/>
          </w:rPr>
          <w:t>Bill</w:t>
        </w:r>
        <w:r>
          <w:rPr>
            <w:webHidden/>
          </w:rPr>
          <w:tab/>
        </w:r>
        <w:r>
          <w:rPr>
            <w:webHidden/>
          </w:rPr>
          <w:fldChar w:fldCharType="begin"/>
        </w:r>
        <w:r>
          <w:rPr>
            <w:webHidden/>
          </w:rPr>
          <w:instrText xml:space="preserve"> PAGEREF _Toc50457159 \h </w:instrText>
        </w:r>
        <w:r>
          <w:rPr>
            <w:webHidden/>
          </w:rPr>
        </w:r>
        <w:r>
          <w:rPr>
            <w:webHidden/>
          </w:rPr>
          <w:fldChar w:fldCharType="separate"/>
        </w:r>
        <w:r w:rsidR="00673C28">
          <w:rPr>
            <w:webHidden/>
          </w:rPr>
          <w:t>1</w:t>
        </w:r>
        <w:r>
          <w:rPr>
            <w:webHidden/>
          </w:rPr>
          <w:fldChar w:fldCharType="end"/>
        </w:r>
      </w:hyperlink>
    </w:p>
    <w:p w:rsidR="00CF5714" w:rsidRDefault="00CF5714">
      <w:pPr>
        <w:pStyle w:val="TOC2"/>
        <w:rPr>
          <w:rFonts w:asciiTheme="minorHAnsi" w:eastAsiaTheme="minorEastAsia" w:hAnsiTheme="minorHAnsi" w:cstheme="minorBidi"/>
          <w:b w:val="0"/>
          <w:noProof/>
          <w:sz w:val="22"/>
          <w:szCs w:val="22"/>
          <w:lang w:eastAsia="en-AU"/>
        </w:rPr>
      </w:pPr>
      <w:hyperlink w:anchor="_Toc50457160" w:history="1">
        <w:r w:rsidRPr="00616527">
          <w:rPr>
            <w:rStyle w:val="Hyperlink"/>
            <w:rFonts w:eastAsia="Calibri"/>
            <w:noProof/>
            <w:lang w:eastAsia="en-AU"/>
          </w:rPr>
          <w:t>Bill—Comment</w:t>
        </w:r>
        <w:r>
          <w:rPr>
            <w:noProof/>
            <w:webHidden/>
          </w:rPr>
          <w:tab/>
        </w:r>
        <w:r>
          <w:rPr>
            <w:noProof/>
            <w:webHidden/>
          </w:rPr>
          <w:fldChar w:fldCharType="begin"/>
        </w:r>
        <w:r>
          <w:rPr>
            <w:noProof/>
            <w:webHidden/>
          </w:rPr>
          <w:instrText xml:space="preserve"> PAGEREF _Toc50457160 \h </w:instrText>
        </w:r>
        <w:r>
          <w:rPr>
            <w:noProof/>
            <w:webHidden/>
          </w:rPr>
        </w:r>
        <w:r>
          <w:rPr>
            <w:noProof/>
            <w:webHidden/>
          </w:rPr>
          <w:fldChar w:fldCharType="separate"/>
        </w:r>
        <w:r w:rsidR="00673C28">
          <w:rPr>
            <w:noProof/>
            <w:webHidden/>
          </w:rPr>
          <w:t>1</w:t>
        </w:r>
        <w:r>
          <w:rPr>
            <w:noProof/>
            <w:webHidden/>
          </w:rPr>
          <w:fldChar w:fldCharType="end"/>
        </w:r>
      </w:hyperlink>
    </w:p>
    <w:p w:rsidR="00CF5714" w:rsidRDefault="00CF5714">
      <w:pPr>
        <w:pStyle w:val="TOC3"/>
        <w:rPr>
          <w:rFonts w:eastAsiaTheme="minorEastAsia"/>
          <w:b w:val="0"/>
          <w:smallCaps w:val="0"/>
          <w:lang w:eastAsia="en-AU"/>
        </w:rPr>
      </w:pPr>
      <w:hyperlink w:anchor="_Toc50457161" w:history="1">
        <w:r w:rsidRPr="00616527">
          <w:rPr>
            <w:rStyle w:val="Hyperlink"/>
          </w:rPr>
          <w:t>Electri</w:t>
        </w:r>
        <w:r w:rsidRPr="00616527">
          <w:rPr>
            <w:rStyle w:val="Hyperlink"/>
          </w:rPr>
          <w:t>c</w:t>
        </w:r>
        <w:r w:rsidRPr="00616527">
          <w:rPr>
            <w:rStyle w:val="Hyperlink"/>
          </w:rPr>
          <w:t>ity Feed-in (Large-scale Renewable Energy Generation) Amendment Bill 2020</w:t>
        </w:r>
        <w:r>
          <w:rPr>
            <w:webHidden/>
          </w:rPr>
          <w:tab/>
        </w:r>
        <w:r>
          <w:rPr>
            <w:webHidden/>
          </w:rPr>
          <w:fldChar w:fldCharType="begin"/>
        </w:r>
        <w:r>
          <w:rPr>
            <w:webHidden/>
          </w:rPr>
          <w:instrText xml:space="preserve"> PAGEREF _Toc50457161 \h </w:instrText>
        </w:r>
        <w:r>
          <w:rPr>
            <w:webHidden/>
          </w:rPr>
        </w:r>
        <w:r>
          <w:rPr>
            <w:webHidden/>
          </w:rPr>
          <w:fldChar w:fldCharType="separate"/>
        </w:r>
        <w:r w:rsidR="00673C28">
          <w:rPr>
            <w:webHidden/>
          </w:rPr>
          <w:t>1</w:t>
        </w:r>
        <w:r>
          <w:rPr>
            <w:webHidden/>
          </w:rPr>
          <w:fldChar w:fldCharType="end"/>
        </w:r>
      </w:hyperlink>
    </w:p>
    <w:p w:rsidR="00CF5714" w:rsidRDefault="00CF5714">
      <w:pPr>
        <w:pStyle w:val="TOC1"/>
        <w:rPr>
          <w:rFonts w:asciiTheme="minorHAnsi" w:eastAsiaTheme="minorEastAsia" w:hAnsiTheme="minorHAnsi" w:cstheme="minorBidi"/>
          <w:bCs w:val="0"/>
          <w:smallCaps w:val="0"/>
          <w:spacing w:val="0"/>
          <w:sz w:val="22"/>
          <w:szCs w:val="22"/>
          <w:lang w:eastAsia="en-AU"/>
        </w:rPr>
      </w:pPr>
      <w:hyperlink w:anchor="_Toc50457162" w:history="1">
        <w:r w:rsidRPr="00616527">
          <w:rPr>
            <w:rStyle w:val="Hyperlink"/>
            <w:rFonts w:eastAsia="Calibri"/>
            <w:lang w:eastAsia="en-AU"/>
          </w:rPr>
          <w:t>Subordinate Legislation</w:t>
        </w:r>
        <w:r>
          <w:rPr>
            <w:webHidden/>
          </w:rPr>
          <w:tab/>
        </w:r>
        <w:r>
          <w:rPr>
            <w:webHidden/>
          </w:rPr>
          <w:fldChar w:fldCharType="begin"/>
        </w:r>
        <w:r>
          <w:rPr>
            <w:webHidden/>
          </w:rPr>
          <w:instrText xml:space="preserve"> PAGEREF _Toc50457162 \h </w:instrText>
        </w:r>
        <w:r>
          <w:rPr>
            <w:webHidden/>
          </w:rPr>
        </w:r>
        <w:r>
          <w:rPr>
            <w:webHidden/>
          </w:rPr>
          <w:fldChar w:fldCharType="separate"/>
        </w:r>
        <w:r w:rsidR="00673C28">
          <w:rPr>
            <w:webHidden/>
          </w:rPr>
          <w:t>2</w:t>
        </w:r>
        <w:r>
          <w:rPr>
            <w:webHidden/>
          </w:rPr>
          <w:fldChar w:fldCharType="end"/>
        </w:r>
      </w:hyperlink>
    </w:p>
    <w:p w:rsidR="00CF5714" w:rsidRDefault="00CF5714">
      <w:pPr>
        <w:pStyle w:val="TOC2"/>
        <w:rPr>
          <w:rFonts w:asciiTheme="minorHAnsi" w:eastAsiaTheme="minorEastAsia" w:hAnsiTheme="minorHAnsi" w:cstheme="minorBidi"/>
          <w:b w:val="0"/>
          <w:noProof/>
          <w:sz w:val="22"/>
          <w:szCs w:val="22"/>
          <w:lang w:eastAsia="en-AU"/>
        </w:rPr>
      </w:pPr>
      <w:hyperlink w:anchor="_Toc50457163" w:history="1">
        <w:r w:rsidRPr="00616527">
          <w:rPr>
            <w:rStyle w:val="Hyperlink"/>
            <w:rFonts w:eastAsia="Calibri"/>
            <w:noProof/>
            <w:lang w:eastAsia="en-AU"/>
          </w:rPr>
          <w:t>Disallowable Instruments—No comment</w:t>
        </w:r>
        <w:r>
          <w:rPr>
            <w:noProof/>
            <w:webHidden/>
          </w:rPr>
          <w:tab/>
        </w:r>
        <w:r>
          <w:rPr>
            <w:noProof/>
            <w:webHidden/>
          </w:rPr>
          <w:fldChar w:fldCharType="begin"/>
        </w:r>
        <w:r>
          <w:rPr>
            <w:noProof/>
            <w:webHidden/>
          </w:rPr>
          <w:instrText xml:space="preserve"> PAGEREF _Toc50457163 \h </w:instrText>
        </w:r>
        <w:r>
          <w:rPr>
            <w:noProof/>
            <w:webHidden/>
          </w:rPr>
        </w:r>
        <w:r>
          <w:rPr>
            <w:noProof/>
            <w:webHidden/>
          </w:rPr>
          <w:fldChar w:fldCharType="separate"/>
        </w:r>
        <w:r w:rsidR="00673C28">
          <w:rPr>
            <w:noProof/>
            <w:webHidden/>
          </w:rPr>
          <w:t>2</w:t>
        </w:r>
        <w:r>
          <w:rPr>
            <w:noProof/>
            <w:webHidden/>
          </w:rPr>
          <w:fldChar w:fldCharType="end"/>
        </w:r>
      </w:hyperlink>
    </w:p>
    <w:p w:rsidR="00CF5714" w:rsidRDefault="00CF5714">
      <w:pPr>
        <w:pStyle w:val="TOC2"/>
        <w:rPr>
          <w:rFonts w:asciiTheme="minorHAnsi" w:eastAsiaTheme="minorEastAsia" w:hAnsiTheme="minorHAnsi" w:cstheme="minorBidi"/>
          <w:b w:val="0"/>
          <w:noProof/>
          <w:sz w:val="22"/>
          <w:szCs w:val="22"/>
          <w:lang w:eastAsia="en-AU"/>
        </w:rPr>
      </w:pPr>
      <w:hyperlink w:anchor="_Toc50457164" w:history="1">
        <w:r w:rsidRPr="00616527">
          <w:rPr>
            <w:rStyle w:val="Hyperlink"/>
            <w:rFonts w:eastAsia="Calibri"/>
            <w:noProof/>
            <w:lang w:eastAsia="en-AU"/>
          </w:rPr>
          <w:t>Disallowable Instruments—Comment</w:t>
        </w:r>
        <w:r>
          <w:rPr>
            <w:noProof/>
            <w:webHidden/>
          </w:rPr>
          <w:tab/>
        </w:r>
        <w:r>
          <w:rPr>
            <w:noProof/>
            <w:webHidden/>
          </w:rPr>
          <w:fldChar w:fldCharType="begin"/>
        </w:r>
        <w:r>
          <w:rPr>
            <w:noProof/>
            <w:webHidden/>
          </w:rPr>
          <w:instrText xml:space="preserve"> PAGEREF _Toc50457164 \h </w:instrText>
        </w:r>
        <w:r>
          <w:rPr>
            <w:noProof/>
            <w:webHidden/>
          </w:rPr>
        </w:r>
        <w:r>
          <w:rPr>
            <w:noProof/>
            <w:webHidden/>
          </w:rPr>
          <w:fldChar w:fldCharType="separate"/>
        </w:r>
        <w:r w:rsidR="00673C28">
          <w:rPr>
            <w:noProof/>
            <w:webHidden/>
          </w:rPr>
          <w:t>3</w:t>
        </w:r>
        <w:r>
          <w:rPr>
            <w:noProof/>
            <w:webHidden/>
          </w:rPr>
          <w:fldChar w:fldCharType="end"/>
        </w:r>
      </w:hyperlink>
    </w:p>
    <w:p w:rsidR="00CF5714" w:rsidRDefault="00CF5714">
      <w:pPr>
        <w:pStyle w:val="TOC1"/>
        <w:rPr>
          <w:rFonts w:asciiTheme="minorHAnsi" w:eastAsiaTheme="minorEastAsia" w:hAnsiTheme="minorHAnsi" w:cstheme="minorBidi"/>
          <w:bCs w:val="0"/>
          <w:smallCaps w:val="0"/>
          <w:spacing w:val="0"/>
          <w:sz w:val="22"/>
          <w:szCs w:val="22"/>
          <w:lang w:eastAsia="en-AU"/>
        </w:rPr>
      </w:pPr>
      <w:hyperlink w:anchor="_Toc50457165" w:history="1">
        <w:r w:rsidRPr="00616527">
          <w:rPr>
            <w:rStyle w:val="Hyperlink"/>
            <w:rFonts w:eastAsia="Calibri"/>
            <w:lang w:eastAsia="en-AU"/>
          </w:rPr>
          <w:t>National Regulations—Comment</w:t>
        </w:r>
        <w:r>
          <w:rPr>
            <w:webHidden/>
          </w:rPr>
          <w:tab/>
        </w:r>
        <w:r>
          <w:rPr>
            <w:webHidden/>
          </w:rPr>
          <w:fldChar w:fldCharType="begin"/>
        </w:r>
        <w:r>
          <w:rPr>
            <w:webHidden/>
          </w:rPr>
          <w:instrText xml:space="preserve"> PAGEREF _Toc50457165 \h </w:instrText>
        </w:r>
        <w:r>
          <w:rPr>
            <w:webHidden/>
          </w:rPr>
        </w:r>
        <w:r>
          <w:rPr>
            <w:webHidden/>
          </w:rPr>
          <w:fldChar w:fldCharType="separate"/>
        </w:r>
        <w:r w:rsidR="00673C28">
          <w:rPr>
            <w:webHidden/>
          </w:rPr>
          <w:t>12</w:t>
        </w:r>
        <w:r>
          <w:rPr>
            <w:webHidden/>
          </w:rPr>
          <w:fldChar w:fldCharType="end"/>
        </w:r>
      </w:hyperlink>
    </w:p>
    <w:p w:rsidR="00CF5714" w:rsidRDefault="00CF5714">
      <w:pPr>
        <w:pStyle w:val="TOC1"/>
        <w:rPr>
          <w:rFonts w:asciiTheme="minorHAnsi" w:eastAsiaTheme="minorEastAsia" w:hAnsiTheme="minorHAnsi" w:cstheme="minorBidi"/>
          <w:bCs w:val="0"/>
          <w:smallCaps w:val="0"/>
          <w:spacing w:val="0"/>
          <w:sz w:val="22"/>
          <w:szCs w:val="22"/>
          <w:lang w:eastAsia="en-AU"/>
        </w:rPr>
      </w:pPr>
      <w:hyperlink w:anchor="_Toc50457166" w:history="1">
        <w:r w:rsidRPr="00616527">
          <w:rPr>
            <w:rStyle w:val="Hyperlink"/>
            <w:rFonts w:eastAsia="Calibri"/>
            <w:lang w:eastAsia="en-AU"/>
          </w:rPr>
          <w:t>Regulatory impact statements—No comment</w:t>
        </w:r>
        <w:r>
          <w:rPr>
            <w:webHidden/>
          </w:rPr>
          <w:tab/>
        </w:r>
        <w:r>
          <w:rPr>
            <w:webHidden/>
          </w:rPr>
          <w:fldChar w:fldCharType="begin"/>
        </w:r>
        <w:r>
          <w:rPr>
            <w:webHidden/>
          </w:rPr>
          <w:instrText xml:space="preserve"> PAGEREF _Toc50457166 \h </w:instrText>
        </w:r>
        <w:r>
          <w:rPr>
            <w:webHidden/>
          </w:rPr>
        </w:r>
        <w:r>
          <w:rPr>
            <w:webHidden/>
          </w:rPr>
          <w:fldChar w:fldCharType="separate"/>
        </w:r>
        <w:r w:rsidR="00673C28">
          <w:rPr>
            <w:webHidden/>
          </w:rPr>
          <w:t>13</w:t>
        </w:r>
        <w:r>
          <w:rPr>
            <w:webHidden/>
          </w:rPr>
          <w:fldChar w:fldCharType="end"/>
        </w:r>
      </w:hyperlink>
    </w:p>
    <w:p w:rsidR="00CF5714" w:rsidRDefault="00CF5714">
      <w:pPr>
        <w:pStyle w:val="TOC1"/>
        <w:rPr>
          <w:rFonts w:asciiTheme="minorHAnsi" w:eastAsiaTheme="minorEastAsia" w:hAnsiTheme="minorHAnsi" w:cstheme="minorBidi"/>
          <w:bCs w:val="0"/>
          <w:smallCaps w:val="0"/>
          <w:spacing w:val="0"/>
          <w:sz w:val="22"/>
          <w:szCs w:val="22"/>
          <w:lang w:eastAsia="en-AU"/>
        </w:rPr>
      </w:pPr>
      <w:hyperlink w:anchor="_Toc50457167" w:history="1">
        <w:r w:rsidRPr="00616527">
          <w:rPr>
            <w:rStyle w:val="Hyperlink"/>
            <w:rFonts w:eastAsia="Calibri"/>
            <w:lang w:eastAsia="en-AU"/>
          </w:rPr>
          <w:t>Responses</w:t>
        </w:r>
        <w:r>
          <w:rPr>
            <w:webHidden/>
          </w:rPr>
          <w:tab/>
        </w:r>
        <w:r>
          <w:rPr>
            <w:webHidden/>
          </w:rPr>
          <w:fldChar w:fldCharType="begin"/>
        </w:r>
        <w:r>
          <w:rPr>
            <w:webHidden/>
          </w:rPr>
          <w:instrText xml:space="preserve"> PAGEREF _Toc50457167 \h </w:instrText>
        </w:r>
        <w:r>
          <w:rPr>
            <w:webHidden/>
          </w:rPr>
        </w:r>
        <w:r>
          <w:rPr>
            <w:webHidden/>
          </w:rPr>
          <w:fldChar w:fldCharType="separate"/>
        </w:r>
        <w:r w:rsidR="00673C28">
          <w:rPr>
            <w:webHidden/>
          </w:rPr>
          <w:t>13</w:t>
        </w:r>
        <w:r>
          <w:rPr>
            <w:webHidden/>
          </w:rPr>
          <w:fldChar w:fldCharType="end"/>
        </w:r>
      </w:hyperlink>
    </w:p>
    <w:p w:rsidR="00CF5714" w:rsidRDefault="00CF5714">
      <w:pPr>
        <w:pStyle w:val="TOC2"/>
        <w:rPr>
          <w:rFonts w:asciiTheme="minorHAnsi" w:eastAsiaTheme="minorEastAsia" w:hAnsiTheme="minorHAnsi" w:cstheme="minorBidi"/>
          <w:b w:val="0"/>
          <w:noProof/>
          <w:sz w:val="22"/>
          <w:szCs w:val="22"/>
          <w:lang w:eastAsia="en-AU"/>
        </w:rPr>
      </w:pPr>
      <w:hyperlink w:anchor="_Toc50457168" w:history="1">
        <w:r w:rsidRPr="00616527">
          <w:rPr>
            <w:rStyle w:val="Hyperlink"/>
            <w:noProof/>
            <w:lang w:eastAsia="en-AU"/>
          </w:rPr>
          <w:t>Government responses</w:t>
        </w:r>
        <w:r>
          <w:rPr>
            <w:noProof/>
            <w:webHidden/>
          </w:rPr>
          <w:tab/>
        </w:r>
        <w:r>
          <w:rPr>
            <w:noProof/>
            <w:webHidden/>
          </w:rPr>
          <w:fldChar w:fldCharType="begin"/>
        </w:r>
        <w:r>
          <w:rPr>
            <w:noProof/>
            <w:webHidden/>
          </w:rPr>
          <w:instrText xml:space="preserve"> PAGEREF _Toc50457168 \h </w:instrText>
        </w:r>
        <w:r>
          <w:rPr>
            <w:noProof/>
            <w:webHidden/>
          </w:rPr>
        </w:r>
        <w:r>
          <w:rPr>
            <w:noProof/>
            <w:webHidden/>
          </w:rPr>
          <w:fldChar w:fldCharType="separate"/>
        </w:r>
        <w:r w:rsidR="00673C28">
          <w:rPr>
            <w:noProof/>
            <w:webHidden/>
          </w:rPr>
          <w:t>13</w:t>
        </w:r>
        <w:r>
          <w:rPr>
            <w:noProof/>
            <w:webHidden/>
          </w:rPr>
          <w:fldChar w:fldCharType="end"/>
        </w:r>
      </w:hyperlink>
    </w:p>
    <w:p w:rsidR="00CF5714" w:rsidRDefault="00CF5714">
      <w:pPr>
        <w:pStyle w:val="TOC2"/>
        <w:rPr>
          <w:rFonts w:asciiTheme="minorHAnsi" w:eastAsiaTheme="minorEastAsia" w:hAnsiTheme="minorHAnsi" w:cstheme="minorBidi"/>
          <w:b w:val="0"/>
          <w:noProof/>
          <w:sz w:val="22"/>
          <w:szCs w:val="22"/>
          <w:lang w:eastAsia="en-AU"/>
        </w:rPr>
      </w:pPr>
      <w:hyperlink w:anchor="_Toc50457169" w:history="1">
        <w:r w:rsidRPr="00616527">
          <w:rPr>
            <w:rStyle w:val="Hyperlink"/>
            <w:rFonts w:eastAsia="Calibri"/>
            <w:noProof/>
            <w:lang w:eastAsia="en-AU"/>
          </w:rPr>
          <w:t>Government responses—Comment</w:t>
        </w:r>
        <w:r>
          <w:rPr>
            <w:noProof/>
            <w:webHidden/>
          </w:rPr>
          <w:tab/>
        </w:r>
        <w:r>
          <w:rPr>
            <w:noProof/>
            <w:webHidden/>
          </w:rPr>
          <w:fldChar w:fldCharType="begin"/>
        </w:r>
        <w:r>
          <w:rPr>
            <w:noProof/>
            <w:webHidden/>
          </w:rPr>
          <w:instrText xml:space="preserve"> PAGEREF _Toc50457169 \h </w:instrText>
        </w:r>
        <w:r>
          <w:rPr>
            <w:noProof/>
            <w:webHidden/>
          </w:rPr>
        </w:r>
        <w:r>
          <w:rPr>
            <w:noProof/>
            <w:webHidden/>
          </w:rPr>
          <w:fldChar w:fldCharType="separate"/>
        </w:r>
        <w:r w:rsidR="00673C28">
          <w:rPr>
            <w:noProof/>
            <w:webHidden/>
          </w:rPr>
          <w:t>14</w:t>
        </w:r>
        <w:r>
          <w:rPr>
            <w:noProof/>
            <w:webHidden/>
          </w:rPr>
          <w:fldChar w:fldCharType="end"/>
        </w:r>
      </w:hyperlink>
    </w:p>
    <w:p w:rsidR="00CF5714" w:rsidRDefault="00CF5714">
      <w:pPr>
        <w:pStyle w:val="TOC1"/>
        <w:rPr>
          <w:rFonts w:asciiTheme="minorHAnsi" w:eastAsiaTheme="minorEastAsia" w:hAnsiTheme="minorHAnsi" w:cstheme="minorBidi"/>
          <w:bCs w:val="0"/>
          <w:smallCaps w:val="0"/>
          <w:spacing w:val="0"/>
          <w:sz w:val="22"/>
          <w:szCs w:val="22"/>
          <w:lang w:eastAsia="en-AU"/>
        </w:rPr>
      </w:pPr>
      <w:hyperlink w:anchor="_Toc50457170" w:history="1">
        <w:r w:rsidRPr="00616527">
          <w:rPr>
            <w:rStyle w:val="Hyperlink"/>
          </w:rPr>
          <w:t>Outstanding Responses</w:t>
        </w:r>
        <w:r>
          <w:rPr>
            <w:webHidden/>
          </w:rPr>
          <w:tab/>
        </w:r>
        <w:r>
          <w:rPr>
            <w:webHidden/>
          </w:rPr>
          <w:fldChar w:fldCharType="begin"/>
        </w:r>
        <w:r>
          <w:rPr>
            <w:webHidden/>
          </w:rPr>
          <w:instrText xml:space="preserve"> PAGEREF _Toc50457170 \h </w:instrText>
        </w:r>
        <w:r>
          <w:rPr>
            <w:webHidden/>
          </w:rPr>
        </w:r>
        <w:r>
          <w:rPr>
            <w:webHidden/>
          </w:rPr>
          <w:fldChar w:fldCharType="separate"/>
        </w:r>
        <w:r w:rsidR="00673C28">
          <w:rPr>
            <w:webHidden/>
          </w:rPr>
          <w:t>16</w:t>
        </w:r>
        <w:r>
          <w:rPr>
            <w:webHidden/>
          </w:rPr>
          <w:fldChar w:fldCharType="end"/>
        </w:r>
      </w:hyperlink>
    </w:p>
    <w:p w:rsidR="00CF5714" w:rsidRDefault="00CF5714">
      <w:pPr>
        <w:pStyle w:val="TOC2"/>
        <w:rPr>
          <w:rFonts w:asciiTheme="minorHAnsi" w:eastAsiaTheme="minorEastAsia" w:hAnsiTheme="minorHAnsi" w:cstheme="minorBidi"/>
          <w:b w:val="0"/>
          <w:noProof/>
          <w:sz w:val="22"/>
          <w:szCs w:val="22"/>
          <w:lang w:eastAsia="en-AU"/>
        </w:rPr>
      </w:pPr>
      <w:hyperlink w:anchor="_Toc50457171" w:history="1">
        <w:r w:rsidRPr="00616527">
          <w:rPr>
            <w:rStyle w:val="Hyperlink"/>
            <w:noProof/>
          </w:rPr>
          <w:t>Bills/Subordinate Legislation</w:t>
        </w:r>
        <w:r>
          <w:rPr>
            <w:noProof/>
            <w:webHidden/>
          </w:rPr>
          <w:tab/>
        </w:r>
        <w:r>
          <w:rPr>
            <w:noProof/>
            <w:webHidden/>
          </w:rPr>
          <w:fldChar w:fldCharType="begin"/>
        </w:r>
        <w:r>
          <w:rPr>
            <w:noProof/>
            <w:webHidden/>
          </w:rPr>
          <w:instrText xml:space="preserve"> PAGEREF _Toc50457171 \h </w:instrText>
        </w:r>
        <w:r>
          <w:rPr>
            <w:noProof/>
            <w:webHidden/>
          </w:rPr>
        </w:r>
        <w:r>
          <w:rPr>
            <w:noProof/>
            <w:webHidden/>
          </w:rPr>
          <w:fldChar w:fldCharType="separate"/>
        </w:r>
        <w:r w:rsidR="00673C28">
          <w:rPr>
            <w:noProof/>
            <w:webHidden/>
          </w:rPr>
          <w:t>16</w:t>
        </w:r>
        <w:r>
          <w:rPr>
            <w:noProof/>
            <w:webHidden/>
          </w:rPr>
          <w:fldChar w:fldCharType="end"/>
        </w:r>
      </w:hyperlink>
    </w:p>
    <w:p w:rsidR="00351AD0" w:rsidRPr="00104A8B" w:rsidRDefault="00CD5AD5" w:rsidP="00A0668C">
      <w:pPr>
        <w:pStyle w:val="TOC1"/>
      </w:pPr>
      <w:r w:rsidRPr="00104A8B">
        <w:fldChar w:fldCharType="end"/>
      </w:r>
    </w:p>
    <w:p w:rsidR="00351AD0" w:rsidRPr="00104A8B" w:rsidRDefault="00673C28"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roofErr w:type="gramStart"/>
      <w:r>
        <w:t>p</w:t>
      </w:r>
      <w:proofErr w:type="gramEnd"/>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456BF4" w:rsidRDefault="00456BF4" w:rsidP="00456BF4">
      <w:pPr>
        <w:pStyle w:val="Heading2"/>
        <w:rPr>
          <w:rFonts w:eastAsia="Calibri"/>
          <w:lang w:eastAsia="en-AU"/>
        </w:rPr>
      </w:pPr>
      <w:bookmarkStart w:id="575" w:name="_Toc500938174"/>
      <w:bookmarkStart w:id="576" w:name="_Toc501448805"/>
      <w:bookmarkStart w:id="577" w:name="_Toc505153761"/>
      <w:bookmarkStart w:id="578" w:name="_Toc338841796"/>
      <w:bookmarkStart w:id="579" w:name="_Hlk496454859"/>
      <w:bookmarkStart w:id="580" w:name="_Toc514837978"/>
      <w:bookmarkStart w:id="581" w:name="_Toc526855824"/>
      <w:bookmarkStart w:id="582" w:name="_Toc338841795"/>
      <w:bookmarkStart w:id="583" w:name="_Hlk483295725"/>
      <w:bookmarkStart w:id="584" w:name="_Toc50457159"/>
      <w:r w:rsidRPr="00F23CCD">
        <w:rPr>
          <w:rFonts w:eastAsia="Calibri"/>
          <w:lang w:eastAsia="en-AU"/>
        </w:rPr>
        <w:lastRenderedPageBreak/>
        <w:t>Bill</w:t>
      </w:r>
      <w:bookmarkEnd w:id="575"/>
      <w:bookmarkEnd w:id="576"/>
      <w:bookmarkEnd w:id="577"/>
      <w:bookmarkEnd w:id="584"/>
    </w:p>
    <w:p w:rsidR="00456BF4" w:rsidRPr="00F23CCD" w:rsidRDefault="00456BF4" w:rsidP="00456BF4">
      <w:pPr>
        <w:pStyle w:val="Heading3"/>
        <w:rPr>
          <w:rFonts w:eastAsia="Calibri"/>
          <w:lang w:eastAsia="en-AU"/>
        </w:rPr>
      </w:pPr>
      <w:bookmarkStart w:id="585" w:name="_Toc500938176"/>
      <w:bookmarkStart w:id="586" w:name="_Toc501448808"/>
      <w:bookmarkStart w:id="587" w:name="_Toc505153762"/>
      <w:bookmarkStart w:id="588" w:name="_Toc50457160"/>
      <w:r w:rsidRPr="00F23CCD">
        <w:rPr>
          <w:rFonts w:eastAsia="Calibri"/>
          <w:lang w:eastAsia="en-AU"/>
        </w:rPr>
        <w:t>B</w:t>
      </w:r>
      <w:bookmarkEnd w:id="585"/>
      <w:r w:rsidR="00874709">
        <w:rPr>
          <w:rFonts w:eastAsia="Calibri"/>
          <w:lang w:eastAsia="en-AU"/>
        </w:rPr>
        <w:t>ill</w:t>
      </w:r>
      <w:r w:rsidRPr="00F23CCD">
        <w:rPr>
          <w:rFonts w:eastAsia="Calibri"/>
          <w:lang w:eastAsia="en-AU"/>
        </w:rPr>
        <w:t>—Comment</w:t>
      </w:r>
      <w:bookmarkEnd w:id="586"/>
      <w:bookmarkEnd w:id="587"/>
      <w:bookmarkEnd w:id="588"/>
    </w:p>
    <w:p w:rsidR="00456BF4" w:rsidRDefault="00456BF4" w:rsidP="00456BF4">
      <w:r w:rsidRPr="00261783">
        <w:t xml:space="preserve">The Committee has examined the following </w:t>
      </w:r>
      <w:r w:rsidR="00874709">
        <w:t>bill</w:t>
      </w:r>
      <w:r>
        <w:t xml:space="preserve"> </w:t>
      </w:r>
      <w:r w:rsidRPr="00261783">
        <w:t xml:space="preserve">and offers </w:t>
      </w:r>
      <w:r>
        <w:t>these</w:t>
      </w:r>
      <w:r w:rsidRPr="00261783">
        <w:t xml:space="preserve"> comment</w:t>
      </w:r>
      <w:r>
        <w:t>s</w:t>
      </w:r>
      <w:r w:rsidRPr="00261783">
        <w:t xml:space="preserve"> on </w:t>
      </w:r>
      <w:r w:rsidR="00874709">
        <w:t>it</w:t>
      </w:r>
      <w:r w:rsidRPr="00261783">
        <w:t>:</w:t>
      </w:r>
    </w:p>
    <w:p w:rsidR="00727BDF" w:rsidRDefault="00727BDF" w:rsidP="00727BDF">
      <w:pPr>
        <w:pStyle w:val="Heading4"/>
        <w:pBdr>
          <w:bottom w:val="single" w:sz="6" w:space="1" w:color="000000"/>
        </w:pBdr>
        <w:rPr>
          <w:rFonts w:eastAsia="Times New Roman"/>
        </w:rPr>
      </w:pPr>
      <w:bookmarkStart w:id="589" w:name="_Toc50457161"/>
      <w:bookmarkStart w:id="590" w:name="_GoBack"/>
      <w:bookmarkEnd w:id="590"/>
      <w:r>
        <w:rPr>
          <w:rFonts w:eastAsia="Times New Roman"/>
        </w:rPr>
        <w:t>Electricity Feed-in (Large-scale Renewable Energy Generation) Amendment Bill 2020</w:t>
      </w:r>
      <w:bookmarkEnd w:id="589"/>
    </w:p>
    <w:p w:rsidR="00727BDF" w:rsidRDefault="00727BDF" w:rsidP="00727BDF">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This Bill amends the </w:t>
      </w:r>
      <w:r>
        <w:rPr>
          <w:i/>
          <w:iCs/>
          <w:sz w:val="23"/>
          <w:szCs w:val="23"/>
        </w:rPr>
        <w:t xml:space="preserve">Electricity Feed-in (Large-scale Renewable Energy Generation) Act 2011 </w:t>
      </w:r>
      <w:r>
        <w:rPr>
          <w:iCs/>
          <w:sz w:val="23"/>
          <w:szCs w:val="23"/>
        </w:rPr>
        <w:t xml:space="preserve">to displace certain provisions </w:t>
      </w:r>
      <w:r>
        <w:rPr>
          <w:sz w:val="23"/>
          <w:szCs w:val="23"/>
        </w:rPr>
        <w:t>that would otherwise delay the granting of feed-in tariff (</w:t>
      </w:r>
      <w:proofErr w:type="spellStart"/>
      <w:r>
        <w:rPr>
          <w:sz w:val="23"/>
          <w:szCs w:val="23"/>
        </w:rPr>
        <w:t>FiT</w:t>
      </w:r>
      <w:proofErr w:type="spellEnd"/>
      <w:r>
        <w:rPr>
          <w:sz w:val="23"/>
          <w:szCs w:val="23"/>
        </w:rPr>
        <w:t>) entitlements to give effect to the outcom</w:t>
      </w:r>
      <w:r w:rsidR="00790808">
        <w:rPr>
          <w:sz w:val="23"/>
          <w:szCs w:val="23"/>
        </w:rPr>
        <w:t>es of the renewables Auction 5.</w:t>
      </w:r>
    </w:p>
    <w:p w:rsidR="00727BDF" w:rsidRDefault="00727BDF" w:rsidP="00727BDF">
      <w:pPr>
        <w:pStyle w:val="Bodycopy"/>
        <w:rPr>
          <w:b/>
          <w:bCs/>
          <w:i/>
        </w:rPr>
      </w:pPr>
      <w:r>
        <w:rPr>
          <w:b/>
          <w:bCs/>
          <w:i/>
        </w:rPr>
        <w:t>Do any provisions of the Bill insufficiently subject the exercise of legislative pow</w:t>
      </w:r>
      <w:r w:rsidR="00A814CA">
        <w:rPr>
          <w:b/>
          <w:bCs/>
          <w:i/>
        </w:rPr>
        <w:t>er to parliamentary scrutiny?—</w:t>
      </w:r>
      <w:r>
        <w:rPr>
          <w:b/>
          <w:bCs/>
          <w:i/>
        </w:rPr>
        <w:t>Committee terms of reference paragraph (3</w:t>
      </w:r>
      <w:proofErr w:type="gramStart"/>
      <w:r>
        <w:rPr>
          <w:b/>
          <w:bCs/>
          <w:i/>
        </w:rPr>
        <w:t>)(</w:t>
      </w:r>
      <w:proofErr w:type="gramEnd"/>
      <w:r>
        <w:rPr>
          <w:b/>
          <w:bCs/>
          <w:i/>
        </w:rPr>
        <w:t>e)</w:t>
      </w:r>
    </w:p>
    <w:p w:rsidR="00727BDF" w:rsidRDefault="00727BDF" w:rsidP="00727BDF">
      <w:pPr>
        <w:pStyle w:val="Heading5"/>
      </w:pPr>
      <w:r>
        <w:t xml:space="preserve">Displacement of section 65 of the </w:t>
      </w:r>
      <w:r w:rsidRPr="00727BDF">
        <w:rPr>
          <w:i/>
        </w:rPr>
        <w:t>Legislation Act 2001</w:t>
      </w:r>
    </w:p>
    <w:p w:rsidR="00727BDF" w:rsidRDefault="00727BDF" w:rsidP="00727BDF">
      <w:pPr>
        <w:rPr>
          <w:lang w:eastAsia="en-AU"/>
        </w:rPr>
      </w:pPr>
      <w:r>
        <w:rPr>
          <w:lang w:eastAsia="en-AU"/>
        </w:rPr>
        <w:t xml:space="preserve">The Electricity Feed-in (Large-scale Renewable Energy Generation) Act provides for large renewable energy generators who hold what are termed </w:t>
      </w:r>
      <w:proofErr w:type="spellStart"/>
      <w:r>
        <w:rPr>
          <w:lang w:eastAsia="en-AU"/>
        </w:rPr>
        <w:t>FiT</w:t>
      </w:r>
      <w:proofErr w:type="spellEnd"/>
      <w:r>
        <w:rPr>
          <w:lang w:eastAsia="en-AU"/>
        </w:rPr>
        <w:t xml:space="preserve"> entitlements to receive support payments up to the value of the entitlement’s feed-in tariff. Under section 10, the Minister may make a determination allowing </w:t>
      </w:r>
      <w:proofErr w:type="spellStart"/>
      <w:r>
        <w:rPr>
          <w:lang w:eastAsia="en-AU"/>
        </w:rPr>
        <w:t>FiT</w:t>
      </w:r>
      <w:proofErr w:type="spellEnd"/>
      <w:r>
        <w:rPr>
          <w:lang w:eastAsia="en-AU"/>
        </w:rPr>
        <w:t xml:space="preserve"> entitlements to be granted, whether by a competitive process or by direct grant to any person the Minister considers appropriate. A determination is a disallowable instrument, and subject to disal</w:t>
      </w:r>
      <w:r w:rsidR="00A814CA">
        <w:rPr>
          <w:lang w:eastAsia="en-AU"/>
        </w:rPr>
        <w:t>lowance by the Assembly within six</w:t>
      </w:r>
      <w:r>
        <w:rPr>
          <w:lang w:eastAsia="en-AU"/>
        </w:rPr>
        <w:t xml:space="preserve"> sitting days of being tabled after notification under section 65 of the </w:t>
      </w:r>
      <w:r>
        <w:rPr>
          <w:i/>
          <w:lang w:eastAsia="en-AU"/>
        </w:rPr>
        <w:t>Legislation Act 2001</w:t>
      </w:r>
      <w:r>
        <w:rPr>
          <w:lang w:eastAsia="en-AU"/>
        </w:rPr>
        <w:t xml:space="preserve">. Any grant of a </w:t>
      </w:r>
      <w:proofErr w:type="spellStart"/>
      <w:r>
        <w:rPr>
          <w:lang w:eastAsia="en-AU"/>
        </w:rPr>
        <w:t>FiT</w:t>
      </w:r>
      <w:proofErr w:type="spellEnd"/>
      <w:r>
        <w:rPr>
          <w:lang w:eastAsia="en-AU"/>
        </w:rPr>
        <w:t xml:space="preserve"> entitlement is delayed until after the Assembly has had the opportunity to consider disallowance (section 11).</w:t>
      </w:r>
    </w:p>
    <w:p w:rsidR="00727BDF" w:rsidRDefault="00727BDF" w:rsidP="00727BDF">
      <w:pPr>
        <w:rPr>
          <w:lang w:eastAsia="en-AU"/>
        </w:rPr>
      </w:pPr>
      <w:r>
        <w:rPr>
          <w:lang w:eastAsia="en-AU"/>
        </w:rPr>
        <w:t>The Bill will remove the ability of the Assembly to disallow the determination under section 65 of the Legislation Act and the requirement to wait for the possibility of disallowance. However, it only acts in relation to a particular determination, namely the El</w:t>
      </w:r>
      <w:r w:rsidR="00A814CA">
        <w:rPr>
          <w:lang w:eastAsia="en-AU"/>
        </w:rPr>
        <w:t>ectricity Feed-in (Large-scale</w:t>
      </w:r>
      <w:r>
        <w:rPr>
          <w:lang w:eastAsia="en-AU"/>
        </w:rPr>
        <w:t xml:space="preserve"> Renewable Energy Generation) </w:t>
      </w:r>
      <w:proofErr w:type="spellStart"/>
      <w:r>
        <w:rPr>
          <w:lang w:eastAsia="en-AU"/>
        </w:rPr>
        <w:t>FiT</w:t>
      </w:r>
      <w:proofErr w:type="spellEnd"/>
      <w:r>
        <w:rPr>
          <w:lang w:eastAsia="en-AU"/>
        </w:rPr>
        <w:t xml:space="preserve"> Capacity Release Determination 2020 (No 1) (DI2020-250)</w:t>
      </w:r>
      <w:r w:rsidR="00A814CA">
        <w:rPr>
          <w:lang w:eastAsia="en-AU"/>
        </w:rPr>
        <w:t>,</w:t>
      </w:r>
      <w:r>
        <w:rPr>
          <w:lang w:eastAsia="en-AU"/>
        </w:rPr>
        <w:t xml:space="preserve"> which was </w:t>
      </w:r>
      <w:r w:rsidRPr="00A814CA">
        <w:rPr>
          <w:spacing w:val="-2"/>
          <w:lang w:eastAsia="en-AU"/>
        </w:rPr>
        <w:t>notified on 24 August 2020 (the relevant determination). This determination releases 250 megawatts</w:t>
      </w:r>
      <w:r>
        <w:rPr>
          <w:lang w:eastAsia="en-AU"/>
        </w:rPr>
        <w:t xml:space="preserve"> of capacity to be released in the form of a competitive process, for 10 or 14 years, applies to large renewable energy generators located with the Territory or participating jurisdiction, and is for a minimum of 20MW. As a result of the passage of the Bill, the </w:t>
      </w:r>
      <w:proofErr w:type="spellStart"/>
      <w:r>
        <w:rPr>
          <w:lang w:eastAsia="en-AU"/>
        </w:rPr>
        <w:t>FiT</w:t>
      </w:r>
      <w:proofErr w:type="spellEnd"/>
      <w:r>
        <w:rPr>
          <w:lang w:eastAsia="en-AU"/>
        </w:rPr>
        <w:t xml:space="preserve"> entitlements provided for in the relevant determination will be able to be granted without waiting for six sitting days or any motion f</w:t>
      </w:r>
      <w:r w:rsidR="00A814CA">
        <w:rPr>
          <w:lang w:eastAsia="en-AU"/>
        </w:rPr>
        <w:t>or disallowance to be resolved.</w:t>
      </w:r>
    </w:p>
    <w:p w:rsidR="00727BDF" w:rsidRDefault="00727BDF" w:rsidP="00727BDF">
      <w:pPr>
        <w:rPr>
          <w:lang w:eastAsia="en-AU"/>
        </w:rPr>
      </w:pPr>
      <w:r>
        <w:rPr>
          <w:lang w:eastAsia="en-AU"/>
        </w:rPr>
        <w:t xml:space="preserve">The Committee notes that the displacement of section 65 of the Legislation Act and the delay on grant of the entitlements will mean that there is limited capacity for the Assembly to subject the determination to independent scrutiny. The explanatory statement accompanying the Bill states that scrutiny of the determination by the Assembly will be retained through the scrutiny that is applied to this Bill. However, the Committee notes that the Bill was introduced in the Assembly on 27 August 2020, the final sitting day of this Assembly, and passed on that same day. The Bill was therefore not subject to scrutiny by this Committee prior to debate on the Bill, and any concerns that may have been raised by this Committee were not therefore available to the Assembly </w:t>
      </w:r>
      <w:r w:rsidR="00A814CA">
        <w:rPr>
          <w:lang w:eastAsia="en-AU"/>
        </w:rPr>
        <w:t>in considering the Bill.</w:t>
      </w:r>
    </w:p>
    <w:p w:rsidR="00727BDF" w:rsidRDefault="00727BDF" w:rsidP="00727BDF">
      <w:pPr>
        <w:rPr>
          <w:lang w:eastAsia="en-AU"/>
        </w:rPr>
      </w:pPr>
      <w:r>
        <w:rPr>
          <w:lang w:eastAsia="en-AU"/>
        </w:rPr>
        <w:t>The Committee therefore considers that the Bill, particularly in the circumstances in which it was presented to the Assembly, provides for a determination by the Minister to be given legislative effect without sufficient parliamen</w:t>
      </w:r>
      <w:r w:rsidR="00A814CA">
        <w:rPr>
          <w:lang w:eastAsia="en-AU"/>
        </w:rPr>
        <w:t>tary scrutiny.</w:t>
      </w:r>
    </w:p>
    <w:p w:rsidR="00727BDF" w:rsidRDefault="00727BDF" w:rsidP="00727BDF">
      <w:pPr>
        <w:pStyle w:val="Bodycopy"/>
        <w:spacing w:line="280" w:lineRule="exact"/>
        <w:rPr>
          <w:b/>
          <w:i/>
        </w:rPr>
      </w:pPr>
      <w:r>
        <w:rPr>
          <w:b/>
          <w:i/>
          <w:lang w:val="en-US"/>
        </w:rPr>
        <w:lastRenderedPageBreak/>
        <w:t>Whether any explanatory statement or explanatory memorandum associated with legislation and any regulatory impact statement meets the technical or stylistic standards expected by the Committee—Committee</w:t>
      </w:r>
      <w:r w:rsidR="00A814CA">
        <w:rPr>
          <w:b/>
          <w:i/>
          <w:lang w:val="en-US"/>
        </w:rPr>
        <w:t xml:space="preserve"> terms of reference paragraph </w:t>
      </w:r>
      <w:r w:rsidR="00CE2C9D">
        <w:rPr>
          <w:b/>
          <w:i/>
          <w:lang w:val="en-US"/>
        </w:rPr>
        <w:t>(</w:t>
      </w:r>
      <w:r w:rsidR="00A814CA">
        <w:rPr>
          <w:b/>
          <w:i/>
          <w:lang w:val="en-US"/>
        </w:rPr>
        <w:t>2</w:t>
      </w:r>
      <w:r w:rsidR="00CE2C9D">
        <w:rPr>
          <w:b/>
          <w:i/>
          <w:lang w:val="en-US"/>
        </w:rPr>
        <w:t>)</w:t>
      </w:r>
    </w:p>
    <w:p w:rsidR="00727BDF" w:rsidRDefault="00727BDF" w:rsidP="00727BDF">
      <w:pPr>
        <w:widowControl w:val="0"/>
        <w:tabs>
          <w:tab w:val="left" w:pos="1276"/>
        </w:tabs>
        <w:rPr>
          <w:rFonts w:ascii="Calibri" w:eastAsia="Calibri" w:hAnsi="Calibri" w:cs="Calibri"/>
          <w:b/>
          <w:bCs/>
          <w:i/>
          <w:color w:val="000000"/>
          <w:szCs w:val="20"/>
          <w:lang w:eastAsia="en-AU"/>
        </w:rPr>
      </w:pPr>
      <w:r>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Pr>
          <w:rFonts w:ascii="Calibri" w:eastAsia="Calibri" w:hAnsi="Calibri" w:cs="Calibri"/>
          <w:b/>
          <w:bCs/>
          <w:i/>
          <w:color w:val="000000"/>
          <w:szCs w:val="20"/>
          <w:lang w:eastAsia="en-AU"/>
        </w:rPr>
        <w:t>)(</w:t>
      </w:r>
      <w:proofErr w:type="gramEnd"/>
      <w:r>
        <w:rPr>
          <w:rFonts w:ascii="Calibri" w:eastAsia="Calibri" w:hAnsi="Calibri" w:cs="Calibri"/>
          <w:b/>
          <w:bCs/>
          <w:i/>
          <w:color w:val="000000"/>
          <w:szCs w:val="20"/>
          <w:lang w:eastAsia="en-AU"/>
        </w:rPr>
        <w:t>a)</w:t>
      </w:r>
    </w:p>
    <w:p w:rsidR="00727BDF" w:rsidRDefault="00727BDF" w:rsidP="00CE2C9D">
      <w:pPr>
        <w:pStyle w:val="Heading5"/>
        <w:rPr>
          <w:rFonts w:eastAsiaTheme="majorEastAsia"/>
          <w:szCs w:val="22"/>
          <w:lang w:eastAsia="en-US"/>
        </w:rPr>
      </w:pPr>
      <w:r>
        <w:t xml:space="preserve">Retrospective operation </w:t>
      </w:r>
    </w:p>
    <w:p w:rsidR="00727BDF" w:rsidRDefault="00727BDF" w:rsidP="00727BDF">
      <w:pPr>
        <w:rPr>
          <w:lang w:eastAsia="en-AU"/>
        </w:rPr>
      </w:pPr>
      <w:r>
        <w:rPr>
          <w:lang w:eastAsia="en-AU"/>
        </w:rPr>
        <w:t xml:space="preserve">The Bill will amend the Act so that the relevant determination will be taken to have commenced on 11 November 2019. The Bill further provides for the Act to be amended so that (in proposed subsection </w:t>
      </w:r>
      <w:proofErr w:type="gramStart"/>
      <w:r>
        <w:rPr>
          <w:lang w:eastAsia="en-AU"/>
        </w:rPr>
        <w:t>22A(</w:t>
      </w:r>
      <w:proofErr w:type="gramEnd"/>
      <w:r>
        <w:rPr>
          <w:lang w:eastAsia="en-AU"/>
        </w:rPr>
        <w:t>4)):</w:t>
      </w:r>
    </w:p>
    <w:p w:rsidR="00727BDF" w:rsidRDefault="00727BDF" w:rsidP="00CE2C9D">
      <w:pPr>
        <w:ind w:left="360"/>
        <w:rPr>
          <w:lang w:eastAsia="en-AU"/>
        </w:rPr>
      </w:pPr>
      <w:proofErr w:type="gramStart"/>
      <w:r>
        <w:rPr>
          <w:lang w:eastAsia="en-AU"/>
        </w:rPr>
        <w:t>any</w:t>
      </w:r>
      <w:proofErr w:type="gramEnd"/>
      <w:r>
        <w:rPr>
          <w:lang w:eastAsia="en-AU"/>
        </w:rPr>
        <w:t xml:space="preserve"> act done on or after the deemed commencement day and before the notification day of the relevant determination in reliance on the relevant determination having been validly made, is taken to have been validly done.</w:t>
      </w:r>
    </w:p>
    <w:p w:rsidR="00727BDF" w:rsidRDefault="00727BDF" w:rsidP="00727BDF">
      <w:pPr>
        <w:rPr>
          <w:lang w:eastAsia="en-AU"/>
        </w:rPr>
      </w:pPr>
      <w:r>
        <w:rPr>
          <w:lang w:eastAsia="en-AU"/>
        </w:rPr>
        <w:t xml:space="preserve">There is no discussion of these provisions in the explanatory statement nor justification for their inclusion. </w:t>
      </w:r>
    </w:p>
    <w:p w:rsidR="00727BDF" w:rsidRDefault="00727BDF" w:rsidP="00727BDF">
      <w:pPr>
        <w:rPr>
          <w:lang w:eastAsia="en-AU"/>
        </w:rPr>
      </w:pPr>
      <w:r>
        <w:rPr>
          <w:lang w:eastAsia="en-AU"/>
        </w:rPr>
        <w:t>The Committee notes that, in presenting the Bill to the Assembly on 27 August 2020, the Minister refers to an administrative error in not registering the determination at the time at which it was signed on 10 November 2019. The provisions and urgency in passing the Bill was therefore:</w:t>
      </w:r>
    </w:p>
    <w:p w:rsidR="00727BDF" w:rsidRDefault="00727BDF" w:rsidP="004B1E54">
      <w:pPr>
        <w:ind w:left="360"/>
        <w:rPr>
          <w:lang w:eastAsia="en-AU"/>
        </w:rPr>
      </w:pPr>
      <w:proofErr w:type="gramStart"/>
      <w:r>
        <w:rPr>
          <w:lang w:eastAsia="en-AU"/>
        </w:rPr>
        <w:t>the</w:t>
      </w:r>
      <w:proofErr w:type="gramEnd"/>
      <w:r>
        <w:rPr>
          <w:lang w:eastAsia="en-AU"/>
        </w:rPr>
        <w:t xml:space="preserve"> combination of an administrative error, election timing, our current health emergency, and the special circumstances of the legislation affected. I do not anticipate that we will ever see this combination of issues in future.</w:t>
      </w:r>
      <w:r>
        <w:rPr>
          <w:rStyle w:val="FootnoteReference"/>
          <w:lang w:eastAsia="en-AU"/>
        </w:rPr>
        <w:footnoteReference w:id="1"/>
      </w:r>
    </w:p>
    <w:p w:rsidR="00727BDF" w:rsidRDefault="00727BDF" w:rsidP="00727BDF">
      <w:pPr>
        <w:rPr>
          <w:lang w:eastAsia="en-AU"/>
        </w:rPr>
      </w:pPr>
      <w:r>
        <w:rPr>
          <w:lang w:eastAsia="en-AU"/>
        </w:rPr>
        <w:t xml:space="preserve">The Committee acknowledges the urgency of the Bill, but is concerned that the explanatory statement did not acknowledge the circumstances in which the Bill arose and set out the justification for the retrospective commencement and validation of any actions taken since 11 November 2019. That justification should have included a detailed explanation of what actions were taken that would be validated by the Bill, the extent to which those actions, in the absence of the validation provision included in the Bill, may have been unlawful, and the extent to which those actions may have prejudiced the interests of persons outside of government. </w:t>
      </w:r>
    </w:p>
    <w:p w:rsidR="00727BDF" w:rsidRDefault="00727BDF" w:rsidP="00727BDF">
      <w:pPr>
        <w:pStyle w:val="Bodycopy"/>
        <w:rPr>
          <w:b/>
        </w:rPr>
      </w:pPr>
      <w:r>
        <w:rPr>
          <w:b/>
        </w:rPr>
        <w:t>This comment does not require a response from the Minister.</w:t>
      </w:r>
    </w:p>
    <w:p w:rsidR="00874709" w:rsidRDefault="00874709" w:rsidP="004B1E54">
      <w:pPr>
        <w:pStyle w:val="Heading2"/>
        <w:keepNext w:val="0"/>
        <w:rPr>
          <w:rFonts w:eastAsia="Calibri"/>
          <w:lang w:eastAsia="en-AU"/>
        </w:rPr>
      </w:pPr>
      <w:bookmarkStart w:id="591" w:name="_Toc50457162"/>
      <w:bookmarkEnd w:id="578"/>
      <w:bookmarkEnd w:id="579"/>
      <w:r>
        <w:rPr>
          <w:rFonts w:eastAsia="Calibri"/>
          <w:lang w:eastAsia="en-AU"/>
        </w:rPr>
        <w:t>Subordinate Legislation</w:t>
      </w:r>
      <w:bookmarkEnd w:id="591"/>
    </w:p>
    <w:p w:rsidR="00B52E07" w:rsidRDefault="00B52E07" w:rsidP="00B52E07">
      <w:pPr>
        <w:pStyle w:val="Heading3"/>
        <w:keepNext w:val="0"/>
        <w:rPr>
          <w:rFonts w:eastAsia="Calibri"/>
          <w:lang w:eastAsia="en-AU"/>
        </w:rPr>
      </w:pPr>
      <w:bookmarkStart w:id="592" w:name="_Toc50457163"/>
      <w:r>
        <w:rPr>
          <w:rFonts w:eastAsia="Calibri"/>
          <w:lang w:eastAsia="en-AU"/>
        </w:rPr>
        <w:t>Disallowable Instruments—No comment</w:t>
      </w:r>
      <w:bookmarkEnd w:id="592"/>
    </w:p>
    <w:p w:rsidR="00B52E07" w:rsidRDefault="00B52E07" w:rsidP="00B52E07">
      <w:r w:rsidRPr="00261783">
        <w:t xml:space="preserve">The Committee has examined the following </w:t>
      </w:r>
      <w:r>
        <w:t xml:space="preserve">disallowable instruments </w:t>
      </w:r>
      <w:r w:rsidRPr="00261783">
        <w:t xml:space="preserve">and offers </w:t>
      </w:r>
      <w:r>
        <w:t>no</w:t>
      </w:r>
      <w:r w:rsidRPr="00261783">
        <w:t xml:space="preserve"> comment</w:t>
      </w:r>
      <w:r>
        <w:t>s</w:t>
      </w:r>
      <w:r w:rsidRPr="00261783">
        <w:t xml:space="preserve"> on </w:t>
      </w:r>
      <w:r>
        <w:t>them</w:t>
      </w:r>
      <w:r w:rsidRPr="00261783">
        <w:t>:</w:t>
      </w:r>
    </w:p>
    <w:p w:rsidR="00B52E07" w:rsidRPr="00842199" w:rsidRDefault="00B52E07" w:rsidP="000378E4">
      <w:pPr>
        <w:pStyle w:val="Bodycopy"/>
        <w:keepNext/>
        <w:keepLines/>
        <w:numPr>
          <w:ilvl w:val="0"/>
          <w:numId w:val="27"/>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DI2020-217</w:t>
      </w:r>
      <w:r w:rsidRPr="00451C85">
        <w:rPr>
          <w:b/>
        </w:rPr>
        <w:t xml:space="preserve"> being the </w:t>
      </w:r>
      <w:r>
        <w:rPr>
          <w:b/>
        </w:rPr>
        <w:t xml:space="preserve">Long Service Leave (Portable Schemes) Interest Rate Guidelines 2020 made under section 53 of the </w:t>
      </w:r>
      <w:r>
        <w:rPr>
          <w:i/>
        </w:rPr>
        <w:t>Long Service Leave (Portable Schemes) Act 2009</w:t>
      </w:r>
      <w:r w:rsidRPr="00236BDD">
        <w:rPr>
          <w:b/>
        </w:rPr>
        <w:t xml:space="preserve"> </w:t>
      </w:r>
      <w:r>
        <w:rPr>
          <w:b/>
        </w:rPr>
        <w:t>determines interest rate guidelines for levies payable under the Act.</w:t>
      </w:r>
    </w:p>
    <w:p w:rsidR="00B52E07" w:rsidRPr="00842199" w:rsidRDefault="00B52E07" w:rsidP="000378E4">
      <w:pPr>
        <w:pStyle w:val="Bodycopy"/>
        <w:numPr>
          <w:ilvl w:val="0"/>
          <w:numId w:val="27"/>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DI2020-223</w:t>
      </w:r>
      <w:r w:rsidRPr="00451C85">
        <w:rPr>
          <w:b/>
        </w:rPr>
        <w:t xml:space="preserve"> being the </w:t>
      </w:r>
      <w:r>
        <w:rPr>
          <w:b/>
        </w:rPr>
        <w:t xml:space="preserve">Official Visitor (Disability Services) Appointment 2020 (No 2) made under paragraph 10(1)(c) of the </w:t>
      </w:r>
      <w:r>
        <w:rPr>
          <w:i/>
        </w:rPr>
        <w:t>Official Visitor Act 2012</w:t>
      </w:r>
      <w:r w:rsidRPr="00236BDD">
        <w:rPr>
          <w:b/>
        </w:rPr>
        <w:t xml:space="preserve"> </w:t>
      </w:r>
      <w:r>
        <w:rPr>
          <w:b/>
        </w:rPr>
        <w:t xml:space="preserve">appoints a specified person as an official visitor for the purposes of the </w:t>
      </w:r>
      <w:r w:rsidRPr="00270570">
        <w:rPr>
          <w:b/>
          <w:i/>
          <w:iCs/>
        </w:rPr>
        <w:t>Disability Services Act 1991</w:t>
      </w:r>
      <w:r>
        <w:rPr>
          <w:b/>
        </w:rPr>
        <w:t>.</w:t>
      </w:r>
    </w:p>
    <w:p w:rsidR="00B52E07" w:rsidRDefault="00B52E07" w:rsidP="000378E4">
      <w:pPr>
        <w:pStyle w:val="Bodycopy"/>
        <w:numPr>
          <w:ilvl w:val="0"/>
          <w:numId w:val="27"/>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DI2020-226</w:t>
      </w:r>
      <w:r w:rsidRPr="00451C85">
        <w:rPr>
          <w:b/>
        </w:rPr>
        <w:t xml:space="preserve"> being the </w:t>
      </w:r>
      <w:r>
        <w:rPr>
          <w:b/>
        </w:rPr>
        <w:t xml:space="preserve">Cemeteries and Crematoria (Governing Board) Appointment 2020 (No 1) made under sections 117 and 118 of the </w:t>
      </w:r>
      <w:r>
        <w:rPr>
          <w:i/>
        </w:rPr>
        <w:t xml:space="preserve">Cemeteries and Crematoria Act 2020 </w:t>
      </w:r>
      <w:r>
        <w:rPr>
          <w:b/>
        </w:rPr>
        <w:t xml:space="preserve">and under sections 78 and 79 of the </w:t>
      </w:r>
      <w:r>
        <w:rPr>
          <w:i/>
        </w:rPr>
        <w:t>Financial Management Act 1996</w:t>
      </w:r>
      <w:r w:rsidRPr="00236BDD">
        <w:rPr>
          <w:b/>
        </w:rPr>
        <w:t xml:space="preserve"> </w:t>
      </w:r>
      <w:r>
        <w:rPr>
          <w:b/>
        </w:rPr>
        <w:t>appoints specified persons as chair, deputy chair and members of the ACT Public Cemeteries Authority Governing Board.</w:t>
      </w:r>
    </w:p>
    <w:p w:rsidR="00874709" w:rsidRDefault="00874709" w:rsidP="000378E4">
      <w:pPr>
        <w:pStyle w:val="Heading3"/>
        <w:keepNext w:val="0"/>
        <w:rPr>
          <w:rFonts w:eastAsia="Calibri"/>
          <w:lang w:eastAsia="en-AU"/>
        </w:rPr>
      </w:pPr>
      <w:bookmarkStart w:id="593" w:name="_Toc50457164"/>
      <w:r>
        <w:rPr>
          <w:rFonts w:eastAsia="Calibri"/>
          <w:lang w:eastAsia="en-AU"/>
        </w:rPr>
        <w:t>Disallowable Instrument</w:t>
      </w:r>
      <w:r w:rsidR="00B52E07">
        <w:rPr>
          <w:rFonts w:eastAsia="Calibri"/>
          <w:lang w:eastAsia="en-AU"/>
        </w:rPr>
        <w:t>s</w:t>
      </w:r>
      <w:r>
        <w:rPr>
          <w:rFonts w:eastAsia="Calibri"/>
          <w:lang w:eastAsia="en-AU"/>
        </w:rPr>
        <w:t>—Comment</w:t>
      </w:r>
      <w:bookmarkEnd w:id="593"/>
    </w:p>
    <w:p w:rsidR="000378E4" w:rsidRDefault="000378E4" w:rsidP="000378E4">
      <w:r w:rsidRPr="00261783">
        <w:t xml:space="preserve">The Committee has examined the following </w:t>
      </w:r>
      <w:r>
        <w:t xml:space="preserve">disallowable instruments </w:t>
      </w:r>
      <w:r w:rsidRPr="00261783">
        <w:t xml:space="preserve">and offers </w:t>
      </w:r>
      <w:r>
        <w:t>these</w:t>
      </w:r>
      <w:r w:rsidRPr="00261783">
        <w:t xml:space="preserve"> comment</w:t>
      </w:r>
      <w:r>
        <w:t>s</w:t>
      </w:r>
      <w:r w:rsidRPr="00261783">
        <w:t xml:space="preserve"> on </w:t>
      </w:r>
      <w:r>
        <w:t>them</w:t>
      </w:r>
      <w:r w:rsidRPr="00261783">
        <w:t>:</w:t>
      </w:r>
    </w:p>
    <w:p w:rsidR="000378E4" w:rsidRPr="000378E4" w:rsidRDefault="000378E4" w:rsidP="000378E4">
      <w:pPr>
        <w:pStyle w:val="Heading4nonumber"/>
        <w:rPr>
          <w:sz w:val="22"/>
          <w:szCs w:val="22"/>
        </w:rPr>
      </w:pPr>
      <w:r w:rsidRPr="000378E4">
        <w:rPr>
          <w:sz w:val="22"/>
          <w:szCs w:val="22"/>
        </w:rPr>
        <w:t xml:space="preserve">Disapplication of subsections 47(6) and (7) of the </w:t>
      </w:r>
      <w:r w:rsidRPr="00AF16A6">
        <w:rPr>
          <w:i/>
          <w:sz w:val="22"/>
          <w:szCs w:val="22"/>
        </w:rPr>
        <w:t>Legislation Act 2001</w:t>
      </w:r>
    </w:p>
    <w:p w:rsidR="000378E4" w:rsidRPr="00842199" w:rsidRDefault="000378E4" w:rsidP="00AF16A6">
      <w:pPr>
        <w:pStyle w:val="Bodycopy"/>
        <w:tabs>
          <w:tab w:val="clear" w:pos="1276"/>
          <w:tab w:val="left" w:pos="810"/>
        </w:tabs>
        <w:spacing w:before="160" w:after="160" w:line="280" w:lineRule="exact"/>
        <w:rPr>
          <w:b/>
        </w:rPr>
      </w:pPr>
      <w:bookmarkStart w:id="594" w:name="_Hlk49930803"/>
      <w:r>
        <w:rPr>
          <w:b/>
        </w:rPr>
        <w:t>Disallowable Instrument</w:t>
      </w:r>
      <w:r w:rsidRPr="00451C85">
        <w:rPr>
          <w:b/>
        </w:rPr>
        <w:t xml:space="preserve"> </w:t>
      </w:r>
      <w:r>
        <w:rPr>
          <w:b/>
        </w:rPr>
        <w:t>DI2020-218</w:t>
      </w:r>
      <w:r w:rsidRPr="00451C85">
        <w:rPr>
          <w:b/>
        </w:rPr>
        <w:t xml:space="preserve"> being the </w:t>
      </w:r>
      <w:r>
        <w:rPr>
          <w:b/>
        </w:rPr>
        <w:t xml:space="preserve">Energy Efficiency (Cost of Living) Improvement (Eligible Activities) Determination 2020 (No 2) made under section 10 of the </w:t>
      </w:r>
      <w:r>
        <w:rPr>
          <w:i/>
        </w:rPr>
        <w:t>Energy Efficiency (Cost of Living) Improvement Act 2012</w:t>
      </w:r>
      <w:r w:rsidRPr="00236BDD">
        <w:rPr>
          <w:b/>
        </w:rPr>
        <w:t xml:space="preserve"> </w:t>
      </w:r>
      <w:r>
        <w:rPr>
          <w:b/>
        </w:rPr>
        <w:t xml:space="preserve">revokes DI2020-32 and describes eligible activities intended to reduce the consumption of energy, in accordance with the Act. </w:t>
      </w:r>
    </w:p>
    <w:bookmarkEnd w:id="594"/>
    <w:p w:rsidR="000378E4" w:rsidRPr="00B71A2A" w:rsidRDefault="000378E4" w:rsidP="00AF16A6">
      <w:pPr>
        <w:widowControl w:val="0"/>
        <w:spacing w:line="280" w:lineRule="atLeast"/>
        <w:rPr>
          <w:rFonts w:ascii="Calibri" w:hAnsi="Calibri" w:cs="Calibri"/>
          <w:color w:val="000000"/>
        </w:rPr>
      </w:pPr>
      <w:r>
        <w:rPr>
          <w:rFonts w:ascii="Calibri" w:hAnsi="Calibri" w:cs="Calibri"/>
          <w:color w:val="000000"/>
        </w:rPr>
        <w:t xml:space="preserve">This instrument determines “eligible activities”, for section 10 of the </w:t>
      </w:r>
      <w:r>
        <w:rPr>
          <w:rFonts w:ascii="Calibri" w:hAnsi="Calibri" w:cs="Calibri"/>
          <w:i/>
          <w:iCs/>
          <w:color w:val="000000"/>
        </w:rPr>
        <w:t>Energy Efficiency (Cost of Living) Improvement Act 2012</w:t>
      </w:r>
      <w:r>
        <w:rPr>
          <w:rFonts w:ascii="Calibri" w:hAnsi="Calibri" w:cs="Calibri"/>
          <w:color w:val="000000"/>
        </w:rPr>
        <w:t>.  According to the explanatory statement for the instrument</w:t>
      </w:r>
      <w:r w:rsidRPr="00B71A2A">
        <w:rPr>
          <w:rFonts w:ascii="Calibri" w:hAnsi="Calibri" w:cs="Calibri"/>
        </w:rPr>
        <w:t>, these are “</w:t>
      </w:r>
      <w:r w:rsidRPr="00B71A2A">
        <w:rPr>
          <w:rFonts w:ascii="Calibri" w:hAnsi="Calibri" w:cs="Calibri"/>
          <w:color w:val="000000"/>
        </w:rPr>
        <w:t>activities that are intended to reduce the consumption of energy, provided for by the Act”.</w:t>
      </w:r>
    </w:p>
    <w:p w:rsidR="000378E4" w:rsidRDefault="000378E4" w:rsidP="00AF16A6">
      <w:pPr>
        <w:widowControl w:val="0"/>
        <w:spacing w:line="280" w:lineRule="atLeast"/>
        <w:rPr>
          <w:rFonts w:ascii="Calibri" w:hAnsi="Calibri" w:cs="Calibri"/>
          <w:color w:val="000000"/>
        </w:rPr>
      </w:pPr>
      <w:r>
        <w:rPr>
          <w:rFonts w:ascii="Calibri" w:hAnsi="Calibri" w:cs="Calibri"/>
          <w:color w:val="000000"/>
        </w:rPr>
        <w:t xml:space="preserve">Subsection 10(4) of the </w:t>
      </w:r>
      <w:r w:rsidRPr="00C21B61">
        <w:rPr>
          <w:rFonts w:ascii="Calibri" w:hAnsi="Calibri" w:cs="Calibri"/>
          <w:color w:val="000000"/>
        </w:rPr>
        <w:t>Energy Efficiency (Cost of Living) Improvement Act</w:t>
      </w:r>
      <w:r>
        <w:rPr>
          <w:rFonts w:ascii="Calibri" w:hAnsi="Calibri" w:cs="Calibri"/>
          <w:color w:val="000000"/>
        </w:rPr>
        <w:t xml:space="preserve"> provides:</w:t>
      </w:r>
    </w:p>
    <w:p w:rsidR="000378E4" w:rsidRPr="00C21B61" w:rsidRDefault="00AF16A6" w:rsidP="00AF16A6">
      <w:pPr>
        <w:widowControl w:val="0"/>
        <w:tabs>
          <w:tab w:val="left" w:pos="810"/>
        </w:tabs>
        <w:spacing w:line="280" w:lineRule="atLeast"/>
        <w:ind w:left="810" w:hanging="450"/>
        <w:rPr>
          <w:rFonts w:ascii="Calibri" w:hAnsi="Calibri" w:cs="Calibri"/>
          <w:color w:val="000000"/>
        </w:rPr>
      </w:pPr>
      <w:r>
        <w:rPr>
          <w:rFonts w:ascii="Calibri" w:hAnsi="Calibri" w:cs="Calibri"/>
          <w:color w:val="000000"/>
        </w:rPr>
        <w:t>(4)</w:t>
      </w:r>
      <w:r>
        <w:rPr>
          <w:rFonts w:ascii="Calibri" w:hAnsi="Calibri" w:cs="Calibri"/>
          <w:color w:val="000000"/>
        </w:rPr>
        <w:tab/>
      </w:r>
      <w:r w:rsidR="000378E4" w:rsidRPr="00C21B61">
        <w:rPr>
          <w:rFonts w:ascii="Calibri" w:hAnsi="Calibri" w:cs="Calibri"/>
          <w:color w:val="000000"/>
        </w:rPr>
        <w:t>A determination of an eligible activity must include the following:</w:t>
      </w:r>
    </w:p>
    <w:p w:rsidR="000378E4" w:rsidRPr="00C21B61" w:rsidRDefault="000378E4" w:rsidP="00AF16A6">
      <w:pPr>
        <w:widowControl w:val="0"/>
        <w:tabs>
          <w:tab w:val="left" w:pos="810"/>
        </w:tabs>
        <w:spacing w:line="280" w:lineRule="atLeast"/>
        <w:ind w:left="1350" w:hanging="540"/>
        <w:rPr>
          <w:rFonts w:ascii="Calibri" w:hAnsi="Calibri" w:cs="Calibri"/>
          <w:color w:val="000000"/>
        </w:rPr>
      </w:pPr>
      <w:r w:rsidRPr="00C21B61">
        <w:rPr>
          <w:rFonts w:ascii="Calibri" w:hAnsi="Calibri" w:cs="Calibri"/>
          <w:color w:val="000000"/>
        </w:rPr>
        <w:t>(a)</w:t>
      </w:r>
      <w:r w:rsidR="00AF16A6">
        <w:rPr>
          <w:rFonts w:ascii="Calibri" w:hAnsi="Calibri" w:cs="Calibri"/>
          <w:color w:val="000000"/>
        </w:rPr>
        <w:tab/>
      </w:r>
      <w:proofErr w:type="gramStart"/>
      <w:r w:rsidRPr="00C21B61">
        <w:rPr>
          <w:rFonts w:ascii="Calibri" w:hAnsi="Calibri" w:cs="Calibri"/>
          <w:color w:val="000000"/>
        </w:rPr>
        <w:t>a</w:t>
      </w:r>
      <w:proofErr w:type="gramEnd"/>
      <w:r w:rsidRPr="00C21B61">
        <w:rPr>
          <w:rFonts w:ascii="Calibri" w:hAnsi="Calibri" w:cs="Calibri"/>
          <w:color w:val="000000"/>
        </w:rPr>
        <w:t xml:space="preserve"> description of the activity;</w:t>
      </w:r>
    </w:p>
    <w:p w:rsidR="000378E4" w:rsidRPr="00C21B61" w:rsidRDefault="000378E4" w:rsidP="00AF16A6">
      <w:pPr>
        <w:widowControl w:val="0"/>
        <w:tabs>
          <w:tab w:val="left" w:pos="810"/>
        </w:tabs>
        <w:spacing w:line="280" w:lineRule="atLeast"/>
        <w:ind w:left="1350" w:hanging="540"/>
        <w:rPr>
          <w:rFonts w:ascii="Calibri" w:hAnsi="Calibri" w:cs="Calibri"/>
          <w:color w:val="000000"/>
        </w:rPr>
      </w:pPr>
      <w:r w:rsidRPr="00C21B61">
        <w:rPr>
          <w:rFonts w:ascii="Calibri" w:hAnsi="Calibri" w:cs="Calibri"/>
          <w:color w:val="000000"/>
        </w:rPr>
        <w:t>(b)</w:t>
      </w:r>
      <w:r w:rsidR="00AF16A6">
        <w:rPr>
          <w:rFonts w:ascii="Calibri" w:hAnsi="Calibri" w:cs="Calibri"/>
          <w:color w:val="000000"/>
        </w:rPr>
        <w:tab/>
      </w:r>
      <w:proofErr w:type="gramStart"/>
      <w:r w:rsidRPr="00C21B61">
        <w:rPr>
          <w:rFonts w:ascii="Calibri" w:hAnsi="Calibri" w:cs="Calibri"/>
          <w:color w:val="000000"/>
        </w:rPr>
        <w:t>the</w:t>
      </w:r>
      <w:proofErr w:type="gramEnd"/>
      <w:r w:rsidRPr="00C21B61">
        <w:rPr>
          <w:rFonts w:ascii="Calibri" w:hAnsi="Calibri" w:cs="Calibri"/>
          <w:color w:val="000000"/>
        </w:rPr>
        <w:t xml:space="preserve"> minimum specifications for the performance of the activity;</w:t>
      </w:r>
    </w:p>
    <w:p w:rsidR="000378E4" w:rsidRPr="00C21B61" w:rsidRDefault="000378E4" w:rsidP="00AF16A6">
      <w:pPr>
        <w:widowControl w:val="0"/>
        <w:tabs>
          <w:tab w:val="left" w:pos="810"/>
        </w:tabs>
        <w:spacing w:line="280" w:lineRule="atLeast"/>
        <w:ind w:left="1350" w:hanging="540"/>
        <w:rPr>
          <w:rFonts w:ascii="Calibri" w:hAnsi="Calibri" w:cs="Calibri"/>
          <w:color w:val="000000"/>
        </w:rPr>
      </w:pPr>
      <w:r w:rsidRPr="00C21B61">
        <w:rPr>
          <w:rFonts w:ascii="Calibri" w:hAnsi="Calibri" w:cs="Calibri"/>
          <w:color w:val="000000"/>
        </w:rPr>
        <w:t>(c)</w:t>
      </w:r>
      <w:r w:rsidR="00AF16A6">
        <w:rPr>
          <w:rFonts w:ascii="Calibri" w:hAnsi="Calibri" w:cs="Calibri"/>
          <w:color w:val="000000"/>
        </w:rPr>
        <w:tab/>
      </w:r>
      <w:proofErr w:type="gramStart"/>
      <w:r w:rsidRPr="00C21B61">
        <w:rPr>
          <w:rFonts w:ascii="Calibri" w:hAnsi="Calibri" w:cs="Calibri"/>
          <w:color w:val="000000"/>
        </w:rPr>
        <w:t>the</w:t>
      </w:r>
      <w:proofErr w:type="gramEnd"/>
      <w:r w:rsidRPr="00C21B61">
        <w:rPr>
          <w:rFonts w:ascii="Calibri" w:hAnsi="Calibri" w:cs="Calibri"/>
          <w:color w:val="000000"/>
        </w:rPr>
        <w:t xml:space="preserve"> abatement factor for the activity;</w:t>
      </w:r>
    </w:p>
    <w:p w:rsidR="000378E4" w:rsidRPr="00C21B61" w:rsidRDefault="000378E4" w:rsidP="00AF16A6">
      <w:pPr>
        <w:widowControl w:val="0"/>
        <w:tabs>
          <w:tab w:val="left" w:pos="810"/>
        </w:tabs>
        <w:spacing w:line="280" w:lineRule="atLeast"/>
        <w:ind w:left="1350" w:hanging="540"/>
        <w:rPr>
          <w:rFonts w:ascii="Calibri" w:hAnsi="Calibri" w:cs="Calibri"/>
          <w:color w:val="000000"/>
        </w:rPr>
      </w:pPr>
      <w:r w:rsidRPr="00C21B61">
        <w:rPr>
          <w:rFonts w:ascii="Calibri" w:hAnsi="Calibri" w:cs="Calibri"/>
          <w:color w:val="000000"/>
        </w:rPr>
        <w:t>(d)</w:t>
      </w:r>
      <w:r w:rsidR="00AF16A6">
        <w:rPr>
          <w:rFonts w:ascii="Calibri" w:hAnsi="Calibri" w:cs="Calibri"/>
          <w:color w:val="000000"/>
        </w:rPr>
        <w:tab/>
      </w:r>
      <w:proofErr w:type="gramStart"/>
      <w:r w:rsidRPr="00C21B61">
        <w:rPr>
          <w:rFonts w:ascii="Calibri" w:hAnsi="Calibri" w:cs="Calibri"/>
          <w:color w:val="000000"/>
        </w:rPr>
        <w:t>the</w:t>
      </w:r>
      <w:proofErr w:type="gramEnd"/>
      <w:r w:rsidRPr="00C21B61">
        <w:rPr>
          <w:rFonts w:ascii="Calibri" w:hAnsi="Calibri" w:cs="Calibri"/>
          <w:color w:val="000000"/>
        </w:rPr>
        <w:t xml:space="preserve"> time at which the activity is taken to be completed.</w:t>
      </w:r>
    </w:p>
    <w:p w:rsidR="000378E4" w:rsidRDefault="000378E4" w:rsidP="00AF16A6">
      <w:pPr>
        <w:widowControl w:val="0"/>
        <w:tabs>
          <w:tab w:val="left" w:pos="1276"/>
        </w:tabs>
        <w:spacing w:line="280" w:lineRule="atLeast"/>
        <w:rPr>
          <w:rFonts w:ascii="Calibri" w:hAnsi="Calibri" w:cs="Calibri"/>
          <w:color w:val="000000"/>
        </w:rPr>
      </w:pPr>
      <w:r>
        <w:rPr>
          <w:rFonts w:ascii="Calibri" w:hAnsi="Calibri" w:cs="Calibri"/>
          <w:color w:val="000000"/>
        </w:rPr>
        <w:t xml:space="preserve">It is important to note that a determination </w:t>
      </w:r>
      <w:r w:rsidRPr="00FE7207">
        <w:rPr>
          <w:rFonts w:ascii="Calibri" w:hAnsi="Calibri" w:cs="Calibri"/>
          <w:color w:val="000000"/>
          <w:u w:val="single"/>
        </w:rPr>
        <w:t>must</w:t>
      </w:r>
      <w:r>
        <w:rPr>
          <w:rFonts w:ascii="Calibri" w:hAnsi="Calibri" w:cs="Calibri"/>
          <w:color w:val="000000"/>
        </w:rPr>
        <w:t xml:space="preserve"> include each of the things mentioned in paragraphs 10(4</w:t>
      </w:r>
      <w:proofErr w:type="gramStart"/>
      <w:r>
        <w:rPr>
          <w:rFonts w:ascii="Calibri" w:hAnsi="Calibri" w:cs="Calibri"/>
          <w:color w:val="000000"/>
        </w:rPr>
        <w:t>)(</w:t>
      </w:r>
      <w:proofErr w:type="gramEnd"/>
      <w:r>
        <w:rPr>
          <w:rFonts w:ascii="Calibri" w:hAnsi="Calibri" w:cs="Calibri"/>
          <w:color w:val="000000"/>
        </w:rPr>
        <w:t>a) to (d).  The Committee notes that the instrument makes no reference to “abatement factors”, for paragraph 10(4</w:t>
      </w:r>
      <w:proofErr w:type="gramStart"/>
      <w:r>
        <w:rPr>
          <w:rFonts w:ascii="Calibri" w:hAnsi="Calibri" w:cs="Calibri"/>
          <w:color w:val="000000"/>
        </w:rPr>
        <w:t>)(</w:t>
      </w:r>
      <w:proofErr w:type="gramEnd"/>
      <w:r>
        <w:rPr>
          <w:rFonts w:ascii="Calibri" w:hAnsi="Calibri" w:cs="Calibri"/>
          <w:color w:val="000000"/>
        </w:rPr>
        <w:t xml:space="preserve">c).  However, the Committee also notes that the explanatory statement for the instrument states: </w:t>
      </w:r>
    </w:p>
    <w:p w:rsidR="000378E4" w:rsidRPr="00B71A2A" w:rsidRDefault="000378E4" w:rsidP="00AF16A6">
      <w:pPr>
        <w:spacing w:line="280" w:lineRule="atLeast"/>
        <w:ind w:left="360"/>
        <w:rPr>
          <w:rFonts w:ascii="Calibri" w:hAnsi="Calibri" w:cs="Calibri"/>
        </w:rPr>
      </w:pPr>
      <w:r w:rsidRPr="00B71A2A">
        <w:rPr>
          <w:rFonts w:ascii="Calibri" w:hAnsi="Calibri" w:cs="Calibri"/>
        </w:rPr>
        <w:t>This Determination differs from earlier versions in that the metric used for quantifying credits awarded to each activity in the schedule to the determination has been revised. Previously, credits took the form of “Abatement Factors” using the metric of tonnes of carbon dioxide equivalent (tCO</w:t>
      </w:r>
      <w:r w:rsidRPr="00B71A2A">
        <w:rPr>
          <w:rFonts w:ascii="Calibri" w:hAnsi="Calibri" w:cs="Calibri"/>
          <w:vertAlign w:val="subscript"/>
        </w:rPr>
        <w:t>2-e</w:t>
      </w:r>
      <w:r w:rsidRPr="00B71A2A">
        <w:rPr>
          <w:rFonts w:ascii="Calibri" w:hAnsi="Calibri" w:cs="Calibri"/>
        </w:rPr>
        <w:t xml:space="preserve">). Under this determination, the abatement factors have been converted into “Energy Savings Factors” using the metric of Megawatt-hours (MWh). These changes can be </w:t>
      </w:r>
      <w:r w:rsidRPr="00B71A2A">
        <w:rPr>
          <w:rFonts w:ascii="Calibri" w:hAnsi="Calibri" w:cs="Calibri"/>
        </w:rPr>
        <w:lastRenderedPageBreak/>
        <w:t>found in subsection 5 of each of the scheduled activities as described in the schedules transition from its current carbon emissions metric to an energy saving metric meaning that the EEIS targets would be expressed in terms of megawatt hours (MWh) of electricity saved (with gas savings converted to MWh).</w:t>
      </w:r>
    </w:p>
    <w:p w:rsidR="000378E4" w:rsidRDefault="000378E4" w:rsidP="00AF16A6">
      <w:pPr>
        <w:widowControl w:val="0"/>
        <w:tabs>
          <w:tab w:val="left" w:pos="1276"/>
        </w:tabs>
        <w:spacing w:line="280" w:lineRule="atLeast"/>
        <w:rPr>
          <w:rFonts w:ascii="Calibri" w:hAnsi="Calibri" w:cs="Calibri"/>
          <w:color w:val="000000"/>
        </w:rPr>
      </w:pPr>
      <w:r>
        <w:rPr>
          <w:rFonts w:ascii="Calibri" w:hAnsi="Calibri" w:cs="Calibri"/>
          <w:color w:val="000000"/>
        </w:rPr>
        <w:t>A table that follows the above statement describes the changes made to the previous determination by this instrument.  It indicates that</w:t>
      </w:r>
    </w:p>
    <w:p w:rsidR="000378E4" w:rsidRPr="00FE7207" w:rsidRDefault="000378E4" w:rsidP="00AF16A6">
      <w:pPr>
        <w:widowControl w:val="0"/>
        <w:tabs>
          <w:tab w:val="left" w:pos="1276"/>
        </w:tabs>
        <w:spacing w:line="280" w:lineRule="atLeast"/>
        <w:ind w:left="360"/>
        <w:rPr>
          <w:rFonts w:ascii="Calibri" w:hAnsi="Calibri" w:cs="Calibri"/>
          <w:color w:val="000000"/>
        </w:rPr>
      </w:pPr>
      <w:r w:rsidRPr="00FE1C7E">
        <w:rPr>
          <w:rFonts w:ascii="Calibri" w:hAnsi="Calibri" w:cs="Calibri"/>
          <w:color w:val="000000"/>
        </w:rPr>
        <w:t>“Abatement Factors” replaced with references to “Energy Savings Factors”</w:t>
      </w:r>
    </w:p>
    <w:p w:rsidR="000378E4" w:rsidRPr="00386243" w:rsidRDefault="00386243" w:rsidP="00AF16A6">
      <w:pPr>
        <w:widowControl w:val="0"/>
        <w:tabs>
          <w:tab w:val="left" w:pos="1276"/>
        </w:tabs>
        <w:spacing w:line="280" w:lineRule="atLeast"/>
        <w:rPr>
          <w:rFonts w:ascii="Calibri" w:hAnsi="Calibri" w:cs="Calibri"/>
        </w:rPr>
      </w:pPr>
      <w:r>
        <w:rPr>
          <w:rFonts w:ascii="Calibri" w:hAnsi="Calibri" w:cs="Calibri"/>
          <w:color w:val="000000"/>
        </w:rPr>
        <w:t>T</w:t>
      </w:r>
      <w:r w:rsidR="000378E4">
        <w:rPr>
          <w:rFonts w:ascii="Calibri" w:hAnsi="Calibri" w:cs="Calibri"/>
          <w:color w:val="000000"/>
        </w:rPr>
        <w:t xml:space="preserve">he Committee notes that the instrument does not commence until 21 January 2021 and that the explanatory statement indicates that this (delayed) commencement is linked to the commencement of amendments to the </w:t>
      </w:r>
      <w:r w:rsidR="000378E4" w:rsidRPr="00FE1C7E">
        <w:rPr>
          <w:rFonts w:ascii="Calibri" w:hAnsi="Calibri" w:cs="Calibri"/>
          <w:color w:val="000000"/>
        </w:rPr>
        <w:t>Energy Efficiency (Cost of Living) Improvement Act</w:t>
      </w:r>
      <w:r w:rsidR="000378E4">
        <w:rPr>
          <w:rFonts w:ascii="Calibri" w:hAnsi="Calibri" w:cs="Calibri"/>
          <w:color w:val="000000"/>
        </w:rPr>
        <w:t xml:space="preserve"> </w:t>
      </w:r>
      <w:bookmarkStart w:id="595" w:name="_Hlk48665309"/>
      <w:r w:rsidR="000378E4">
        <w:rPr>
          <w:rFonts w:ascii="Calibri" w:hAnsi="Calibri" w:cs="Calibri"/>
          <w:color w:val="000000"/>
        </w:rPr>
        <w:t xml:space="preserve">made by the </w:t>
      </w:r>
      <w:r w:rsidR="000378E4" w:rsidRPr="00FE1C7E">
        <w:rPr>
          <w:rFonts w:ascii="Calibri" w:hAnsi="Calibri" w:cs="Calibri"/>
          <w:i/>
          <w:iCs/>
          <w:color w:val="000000"/>
        </w:rPr>
        <w:t>Energy Efficiency (Cost of Living) Improvement Amendment Act 2019</w:t>
      </w:r>
      <w:r w:rsidR="000378E4">
        <w:rPr>
          <w:rFonts w:ascii="Calibri" w:hAnsi="Calibri" w:cs="Calibri"/>
          <w:i/>
          <w:iCs/>
          <w:color w:val="000000"/>
        </w:rPr>
        <w:t xml:space="preserve"> </w:t>
      </w:r>
      <w:bookmarkEnd w:id="595"/>
      <w:r w:rsidR="000378E4">
        <w:rPr>
          <w:rFonts w:ascii="Calibri" w:hAnsi="Calibri" w:cs="Calibri"/>
          <w:color w:val="000000"/>
        </w:rPr>
        <w:t xml:space="preserve">(including amendments to section 10) that are yet to commence.  </w:t>
      </w:r>
      <w:r w:rsidRPr="00386243">
        <w:t>The Committee notes that the amendments made by section 34 of the Amendment Act include an amendment that changes references in subsection 10(4) to “abatement” to “energy savings”.  This means that the requirement in paragraph 10(4</w:t>
      </w:r>
      <w:proofErr w:type="gramStart"/>
      <w:r w:rsidRPr="00386243">
        <w:t>)(</w:t>
      </w:r>
      <w:proofErr w:type="gramEnd"/>
      <w:r w:rsidRPr="00386243">
        <w:t xml:space="preserve">c) to include an “abatement factor” in any determination becomes a requirement to include an “energy saving factor”.  As a result, the determination appears to conform </w:t>
      </w:r>
      <w:proofErr w:type="gramStart"/>
      <w:r w:rsidRPr="00386243">
        <w:t>with</w:t>
      </w:r>
      <w:proofErr w:type="gramEnd"/>
      <w:r w:rsidRPr="00386243">
        <w:t xml:space="preserve"> the formal requirements.</w:t>
      </w:r>
    </w:p>
    <w:p w:rsidR="000378E4" w:rsidRDefault="000378E4" w:rsidP="00AF16A6">
      <w:pPr>
        <w:widowControl w:val="0"/>
        <w:tabs>
          <w:tab w:val="left" w:pos="1276"/>
        </w:tabs>
        <w:spacing w:line="280" w:lineRule="atLeast"/>
        <w:rPr>
          <w:rFonts w:ascii="Calibri" w:hAnsi="Calibri" w:cs="Calibri"/>
          <w:b/>
          <w:bCs/>
          <w:color w:val="000000"/>
        </w:rPr>
      </w:pPr>
      <w:r>
        <w:rPr>
          <w:rFonts w:ascii="Calibri" w:hAnsi="Calibri" w:cs="Calibri"/>
          <w:b/>
          <w:bCs/>
          <w:color w:val="000000"/>
        </w:rPr>
        <w:t xml:space="preserve">The comment </w:t>
      </w:r>
      <w:r w:rsidR="00386243">
        <w:rPr>
          <w:rFonts w:ascii="Calibri" w:hAnsi="Calibri" w:cs="Calibri"/>
          <w:b/>
          <w:bCs/>
          <w:color w:val="000000"/>
        </w:rPr>
        <w:t>does not require</w:t>
      </w:r>
      <w:r>
        <w:rPr>
          <w:rFonts w:ascii="Calibri" w:hAnsi="Calibri" w:cs="Calibri"/>
          <w:b/>
          <w:bCs/>
          <w:color w:val="000000"/>
        </w:rPr>
        <w:t xml:space="preserve"> a response from the Minister.</w:t>
      </w:r>
    </w:p>
    <w:p w:rsidR="000378E4" w:rsidRDefault="000378E4" w:rsidP="00AF16A6">
      <w:pPr>
        <w:widowControl w:val="0"/>
        <w:tabs>
          <w:tab w:val="left" w:pos="1276"/>
        </w:tabs>
        <w:spacing w:line="280" w:lineRule="atLeast"/>
        <w:rPr>
          <w:rFonts w:ascii="Calibri" w:hAnsi="Calibri" w:cs="Calibri"/>
          <w:color w:val="000000"/>
        </w:rPr>
      </w:pPr>
      <w:r>
        <w:rPr>
          <w:rFonts w:ascii="Calibri" w:hAnsi="Calibri" w:cs="Calibri"/>
          <w:color w:val="000000"/>
        </w:rPr>
        <w:t>The Committee notes that section 4 of the instrument provides:</w:t>
      </w:r>
    </w:p>
    <w:p w:rsidR="000378E4" w:rsidRPr="00B71A2A" w:rsidRDefault="000378E4" w:rsidP="00AF16A6">
      <w:pPr>
        <w:spacing w:line="280" w:lineRule="atLeast"/>
        <w:ind w:left="1080" w:hanging="720"/>
        <w:rPr>
          <w:rFonts w:ascii="Calibri" w:hAnsi="Calibri" w:cs="Calibri"/>
          <w:b/>
          <w:bCs/>
        </w:rPr>
      </w:pPr>
      <w:r w:rsidRPr="00B71A2A">
        <w:rPr>
          <w:rFonts w:ascii="Calibri" w:hAnsi="Calibri" w:cs="Calibri"/>
          <w:b/>
          <w:bCs/>
        </w:rPr>
        <w:t>4</w:t>
      </w:r>
      <w:r w:rsidRPr="00B71A2A">
        <w:rPr>
          <w:rFonts w:ascii="Calibri" w:hAnsi="Calibri" w:cs="Calibri"/>
          <w:b/>
          <w:bCs/>
        </w:rPr>
        <w:tab/>
        <w:t xml:space="preserve">Disapplication of Legislation Act, </w:t>
      </w:r>
      <w:proofErr w:type="gramStart"/>
      <w:r w:rsidRPr="00B71A2A">
        <w:rPr>
          <w:rFonts w:ascii="Calibri" w:hAnsi="Calibri" w:cs="Calibri"/>
          <w:b/>
          <w:bCs/>
        </w:rPr>
        <w:t>s47(</w:t>
      </w:r>
      <w:proofErr w:type="gramEnd"/>
      <w:r w:rsidRPr="00B71A2A">
        <w:rPr>
          <w:rFonts w:ascii="Calibri" w:hAnsi="Calibri" w:cs="Calibri"/>
          <w:b/>
          <w:bCs/>
        </w:rPr>
        <w:t>5) and 47(6)</w:t>
      </w:r>
    </w:p>
    <w:p w:rsidR="000378E4" w:rsidRPr="00B71A2A" w:rsidRDefault="000378E4" w:rsidP="00AF16A6">
      <w:pPr>
        <w:autoSpaceDE w:val="0"/>
        <w:autoSpaceDN w:val="0"/>
        <w:adjustRightInd w:val="0"/>
        <w:spacing w:line="280" w:lineRule="atLeast"/>
        <w:ind w:left="1080"/>
        <w:rPr>
          <w:rFonts w:ascii="Calibri" w:hAnsi="Calibri" w:cs="Calibri"/>
          <w:color w:val="000000"/>
        </w:rPr>
      </w:pPr>
      <w:bookmarkStart w:id="596" w:name="_Hlk31189748"/>
      <w:r w:rsidRPr="00B71A2A">
        <w:rPr>
          <w:rFonts w:ascii="Calibri" w:hAnsi="Calibri" w:cs="Calibri"/>
          <w:color w:val="000000"/>
        </w:rPr>
        <w:t xml:space="preserve">The </w:t>
      </w:r>
      <w:r w:rsidRPr="00B71A2A">
        <w:rPr>
          <w:rFonts w:ascii="Calibri" w:hAnsi="Calibri" w:cs="Calibri"/>
          <w:i/>
          <w:iCs/>
          <w:color w:val="000000"/>
        </w:rPr>
        <w:t>Legislation Act 2001</w:t>
      </w:r>
      <w:r w:rsidRPr="00B71A2A">
        <w:rPr>
          <w:rFonts w:ascii="Calibri" w:hAnsi="Calibri" w:cs="Calibri"/>
          <w:color w:val="000000"/>
        </w:rPr>
        <w:t xml:space="preserve">, sections 47(5) and 47(6) </w:t>
      </w:r>
      <w:bookmarkEnd w:id="596"/>
      <w:r w:rsidRPr="00B71A2A">
        <w:rPr>
          <w:rFonts w:ascii="Calibri" w:hAnsi="Calibri" w:cs="Calibri"/>
          <w:color w:val="000000"/>
        </w:rPr>
        <w:t>do not apply in relation to an instrument applied, adopted or incorporated under this instrument.</w:t>
      </w:r>
    </w:p>
    <w:p w:rsidR="000378E4" w:rsidRPr="00B71A2A" w:rsidRDefault="000378E4" w:rsidP="00AF16A6">
      <w:pPr>
        <w:autoSpaceDE w:val="0"/>
        <w:autoSpaceDN w:val="0"/>
        <w:adjustRightInd w:val="0"/>
        <w:spacing w:line="280" w:lineRule="atLeast"/>
        <w:rPr>
          <w:rFonts w:ascii="Calibri" w:hAnsi="Calibri" w:cs="Calibri"/>
          <w:color w:val="000000"/>
        </w:rPr>
      </w:pPr>
      <w:r w:rsidRPr="00B71A2A">
        <w:rPr>
          <w:rFonts w:ascii="Calibri" w:hAnsi="Calibri" w:cs="Calibri"/>
          <w:color w:val="000000"/>
        </w:rPr>
        <w:t xml:space="preserve">The disapplication of subsections 47(5) and (6) of the </w:t>
      </w:r>
      <w:r w:rsidRPr="00B71A2A">
        <w:rPr>
          <w:rFonts w:ascii="Calibri" w:hAnsi="Calibri" w:cs="Calibri"/>
          <w:i/>
          <w:iCs/>
          <w:color w:val="000000"/>
        </w:rPr>
        <w:t xml:space="preserve">Legislation Act 2001 </w:t>
      </w:r>
      <w:r w:rsidRPr="00B71A2A">
        <w:rPr>
          <w:rFonts w:ascii="Calibri" w:hAnsi="Calibri" w:cs="Calibri"/>
          <w:color w:val="000000"/>
        </w:rPr>
        <w:t>is addressed in the explanatory statement for the instrument, which states:</w:t>
      </w:r>
      <w:r w:rsidRPr="00B71A2A">
        <w:rPr>
          <w:rFonts w:ascii="Calibri" w:hAnsi="Calibri" w:cs="Calibri"/>
          <w:i/>
          <w:iCs/>
          <w:color w:val="000000"/>
        </w:rPr>
        <w:t xml:space="preserve"> </w:t>
      </w:r>
      <w:r w:rsidRPr="00B71A2A">
        <w:rPr>
          <w:rFonts w:ascii="Calibri" w:hAnsi="Calibri" w:cs="Calibri"/>
          <w:color w:val="000000"/>
        </w:rPr>
        <w:t xml:space="preserve"> </w:t>
      </w:r>
    </w:p>
    <w:p w:rsidR="000378E4" w:rsidRPr="00B71A2A" w:rsidRDefault="000378E4" w:rsidP="00AF16A6">
      <w:pPr>
        <w:spacing w:line="280" w:lineRule="atLeast"/>
        <w:ind w:left="360"/>
        <w:rPr>
          <w:rFonts w:ascii="Calibri" w:hAnsi="Calibri" w:cs="Calibri"/>
          <w:iCs/>
          <w:color w:val="000000"/>
        </w:rPr>
      </w:pPr>
      <w:r w:rsidRPr="00B71A2A">
        <w:rPr>
          <w:rFonts w:ascii="Calibri" w:hAnsi="Calibri" w:cs="Calibri"/>
          <w:b/>
          <w:bCs/>
          <w:iCs/>
          <w:color w:val="000000"/>
        </w:rPr>
        <w:t>Clause 4</w:t>
      </w:r>
      <w:r w:rsidRPr="00B71A2A">
        <w:rPr>
          <w:rFonts w:ascii="Calibri" w:hAnsi="Calibri" w:cs="Calibri"/>
          <w:iCs/>
          <w:color w:val="000000"/>
        </w:rPr>
        <w:t xml:space="preserve"> disapplies </w:t>
      </w:r>
      <w:r w:rsidRPr="00B71A2A">
        <w:rPr>
          <w:rFonts w:ascii="Calibri" w:hAnsi="Calibri" w:cs="Calibri"/>
          <w:i/>
          <w:iCs/>
          <w:color w:val="000000"/>
        </w:rPr>
        <w:t xml:space="preserve">The Legislation Act 2001, </w:t>
      </w:r>
      <w:r w:rsidRPr="00B71A2A">
        <w:rPr>
          <w:rFonts w:ascii="Calibri" w:hAnsi="Calibri" w:cs="Calibri"/>
          <w:color w:val="000000"/>
        </w:rPr>
        <w:t xml:space="preserve">sections 47(5) and 47(6). </w:t>
      </w:r>
      <w:r w:rsidRPr="00B71A2A">
        <w:rPr>
          <w:rFonts w:ascii="Calibri" w:hAnsi="Calibri" w:cs="Calibri"/>
          <w:iCs/>
          <w:color w:val="000000"/>
        </w:rPr>
        <w:t xml:space="preserve">These sections are </w:t>
      </w:r>
      <w:proofErr w:type="spellStart"/>
      <w:r w:rsidRPr="00B71A2A">
        <w:rPr>
          <w:rFonts w:ascii="Calibri" w:hAnsi="Calibri" w:cs="Calibri"/>
          <w:iCs/>
          <w:color w:val="000000"/>
        </w:rPr>
        <w:t>disapplied</w:t>
      </w:r>
      <w:proofErr w:type="spellEnd"/>
      <w:r w:rsidRPr="00B71A2A">
        <w:rPr>
          <w:rFonts w:ascii="Calibri" w:hAnsi="Calibri" w:cs="Calibri"/>
          <w:iCs/>
          <w:color w:val="000000"/>
        </w:rPr>
        <w:t xml:space="preserve"> because they stipulate that any external text which is to be applied as law in the ACT needs to be republished as a notifiable instrument. It is not possible to republish text contained in Australian Standards documents as they are protected by copyright. It is not practical to republish information in the National Construction Code as it contains over 400 pages of information across 4 volumes. </w:t>
      </w:r>
    </w:p>
    <w:p w:rsidR="000378E4" w:rsidRPr="00B71A2A" w:rsidRDefault="000378E4" w:rsidP="00AF16A6">
      <w:pPr>
        <w:spacing w:line="280" w:lineRule="atLeast"/>
        <w:rPr>
          <w:rFonts w:ascii="Calibri" w:hAnsi="Calibri" w:cs="Calibri"/>
          <w:iCs/>
          <w:color w:val="000000"/>
        </w:rPr>
      </w:pPr>
      <w:r w:rsidRPr="00B71A2A">
        <w:rPr>
          <w:rFonts w:ascii="Calibri" w:hAnsi="Calibri" w:cs="Calibri"/>
          <w:iCs/>
          <w:color w:val="000000"/>
        </w:rPr>
        <w:t xml:space="preserve">However, the Committee notes that section 4 would appear to be unnecessary, given that subsections 10(7) and (8) of the </w:t>
      </w:r>
      <w:r w:rsidRPr="00E84E59">
        <w:rPr>
          <w:rFonts w:ascii="Calibri" w:hAnsi="Calibri" w:cs="Calibri"/>
          <w:iCs/>
          <w:color w:val="000000"/>
        </w:rPr>
        <w:t>Energy Efficiency (Cost of Living) Improvement Act</w:t>
      </w:r>
      <w:r>
        <w:rPr>
          <w:rFonts w:ascii="Calibri" w:hAnsi="Calibri" w:cs="Calibri"/>
          <w:iCs/>
          <w:color w:val="000000"/>
        </w:rPr>
        <w:t xml:space="preserve"> provide:</w:t>
      </w:r>
    </w:p>
    <w:p w:rsidR="000378E4" w:rsidRPr="00AF16A6" w:rsidRDefault="000378E4" w:rsidP="00AF16A6">
      <w:pPr>
        <w:widowControl w:val="0"/>
        <w:tabs>
          <w:tab w:val="left" w:pos="810"/>
        </w:tabs>
        <w:spacing w:line="280" w:lineRule="atLeast"/>
        <w:ind w:left="810" w:hanging="450"/>
        <w:rPr>
          <w:rFonts w:ascii="Calibri" w:hAnsi="Calibri" w:cs="Calibri"/>
          <w:color w:val="000000"/>
        </w:rPr>
      </w:pPr>
      <w:r w:rsidRPr="00B71A2A">
        <w:rPr>
          <w:rFonts w:ascii="Calibri" w:hAnsi="Calibri" w:cs="Calibri"/>
          <w:color w:val="000000"/>
        </w:rPr>
        <w:t>(7)</w:t>
      </w:r>
      <w:r w:rsidR="00AF16A6">
        <w:rPr>
          <w:rFonts w:ascii="Calibri" w:hAnsi="Calibri" w:cs="Calibri"/>
          <w:color w:val="000000"/>
        </w:rPr>
        <w:tab/>
      </w:r>
      <w:r w:rsidRPr="00B71A2A">
        <w:rPr>
          <w:rFonts w:ascii="Calibri" w:hAnsi="Calibri" w:cs="Calibri"/>
          <w:color w:val="000000"/>
        </w:rPr>
        <w:t xml:space="preserve">A determination may </w:t>
      </w:r>
      <w:r w:rsidRPr="00AF16A6">
        <w:rPr>
          <w:rFonts w:ascii="Calibri" w:hAnsi="Calibri" w:cs="Calibri"/>
          <w:color w:val="000000"/>
        </w:rPr>
        <w:t xml:space="preserve">apply, adopt or incorporate </w:t>
      </w:r>
      <w:r w:rsidRPr="00B71A2A">
        <w:rPr>
          <w:rFonts w:ascii="Calibri" w:hAnsi="Calibri" w:cs="Calibri"/>
          <w:color w:val="000000"/>
        </w:rPr>
        <w:t xml:space="preserve">a law of another jurisdiction or </w:t>
      </w:r>
      <w:r w:rsidRPr="00AF16A6">
        <w:rPr>
          <w:rFonts w:ascii="Calibri" w:hAnsi="Calibri" w:cs="Calibri"/>
          <w:color w:val="000000"/>
        </w:rPr>
        <w:t>instrument as in force from time to time.</w:t>
      </w:r>
    </w:p>
    <w:p w:rsidR="000378E4" w:rsidRPr="00B71A2A" w:rsidRDefault="000378E4" w:rsidP="002D2761">
      <w:pPr>
        <w:keepNext/>
        <w:keepLines/>
        <w:widowControl w:val="0"/>
        <w:tabs>
          <w:tab w:val="left" w:pos="810"/>
        </w:tabs>
        <w:spacing w:line="280" w:lineRule="atLeast"/>
        <w:ind w:left="806" w:hanging="446"/>
        <w:rPr>
          <w:rFonts w:ascii="Calibri" w:hAnsi="Calibri" w:cs="Calibri"/>
          <w:color w:val="000000"/>
        </w:rPr>
      </w:pPr>
      <w:r w:rsidRPr="00B71A2A">
        <w:rPr>
          <w:rFonts w:ascii="Calibri" w:hAnsi="Calibri" w:cs="Calibri"/>
          <w:color w:val="000000"/>
        </w:rPr>
        <w:t>(8)</w:t>
      </w:r>
      <w:r w:rsidR="00AF16A6">
        <w:rPr>
          <w:rFonts w:ascii="Calibri" w:hAnsi="Calibri" w:cs="Calibri"/>
          <w:color w:val="000000"/>
        </w:rPr>
        <w:tab/>
      </w:r>
      <w:r w:rsidRPr="00B71A2A">
        <w:rPr>
          <w:rFonts w:ascii="Calibri" w:hAnsi="Calibri" w:cs="Calibri"/>
          <w:color w:val="000000"/>
        </w:rPr>
        <w:t xml:space="preserve">The </w:t>
      </w:r>
      <w:hyperlink r:id="rId24" w:tooltip="A2001-14" w:history="1">
        <w:r w:rsidRPr="00AF16A6">
          <w:t>Legislation Act</w:t>
        </w:r>
      </w:hyperlink>
      <w:r w:rsidRPr="00B71A2A">
        <w:rPr>
          <w:rFonts w:ascii="Calibri" w:hAnsi="Calibri" w:cs="Calibri"/>
          <w:color w:val="000000"/>
        </w:rPr>
        <w:t>, section 47(5) or (6) does not apply in relation to the law of another jurisdiction or instrument applied, adopted or incorporated under a determination.</w:t>
      </w:r>
    </w:p>
    <w:p w:rsidR="000378E4" w:rsidRPr="00872007" w:rsidRDefault="000378E4" w:rsidP="00872007">
      <w:pPr>
        <w:ind w:left="1530" w:hanging="720"/>
        <w:rPr>
          <w:sz w:val="20"/>
          <w:szCs w:val="20"/>
        </w:rPr>
      </w:pPr>
      <w:r w:rsidRPr="00872007">
        <w:rPr>
          <w:rStyle w:val="charItals"/>
          <w:rFonts w:ascii="Calibri" w:hAnsi="Calibri" w:cs="Calibri"/>
          <w:color w:val="000000"/>
          <w:sz w:val="20"/>
          <w:szCs w:val="20"/>
        </w:rPr>
        <w:t>Note</w:t>
      </w:r>
      <w:r w:rsidRPr="00872007">
        <w:rPr>
          <w:sz w:val="20"/>
          <w:szCs w:val="20"/>
        </w:rPr>
        <w:tab/>
        <w:t xml:space="preserve">Laws of another jurisdiction and instruments mentioned in </w:t>
      </w:r>
      <w:proofErr w:type="gramStart"/>
      <w:r w:rsidRPr="00872007">
        <w:rPr>
          <w:sz w:val="20"/>
          <w:szCs w:val="20"/>
        </w:rPr>
        <w:t>s(</w:t>
      </w:r>
      <w:proofErr w:type="gramEnd"/>
      <w:r w:rsidRPr="00872007">
        <w:rPr>
          <w:sz w:val="20"/>
          <w:szCs w:val="20"/>
        </w:rPr>
        <w:t xml:space="preserve">8) </w:t>
      </w:r>
      <w:r w:rsidRPr="00872007">
        <w:rPr>
          <w:snapToGrid w:val="0"/>
          <w:sz w:val="20"/>
          <w:szCs w:val="20"/>
        </w:rPr>
        <w:t xml:space="preserve">do not need to be notified under the </w:t>
      </w:r>
      <w:hyperlink r:id="rId25" w:tooltip="A2001-14" w:history="1">
        <w:r w:rsidRPr="00872007">
          <w:rPr>
            <w:rStyle w:val="charCitHyperlinkAbbrev"/>
            <w:rFonts w:ascii="Calibri" w:hAnsi="Calibri" w:cs="Calibri"/>
            <w:color w:val="000000"/>
            <w:sz w:val="20"/>
            <w:szCs w:val="20"/>
          </w:rPr>
          <w:t>Legislation Act</w:t>
        </w:r>
      </w:hyperlink>
      <w:r w:rsidRPr="00872007">
        <w:rPr>
          <w:snapToGrid w:val="0"/>
          <w:sz w:val="20"/>
          <w:szCs w:val="20"/>
        </w:rPr>
        <w:t xml:space="preserve"> because s 47(5) and (6)</w:t>
      </w:r>
      <w:r w:rsidRPr="00872007">
        <w:rPr>
          <w:sz w:val="20"/>
          <w:szCs w:val="20"/>
        </w:rPr>
        <w:t xml:space="preserve"> do not apply (see </w:t>
      </w:r>
      <w:hyperlink r:id="rId26" w:tooltip="A2001-14" w:history="1">
        <w:r w:rsidRPr="00872007">
          <w:rPr>
            <w:rStyle w:val="charCitHyperlinkAbbrev"/>
            <w:rFonts w:ascii="Calibri" w:hAnsi="Calibri" w:cs="Calibri"/>
            <w:color w:val="000000"/>
            <w:sz w:val="20"/>
            <w:szCs w:val="20"/>
          </w:rPr>
          <w:t>Legislation Act</w:t>
        </w:r>
      </w:hyperlink>
      <w:r w:rsidRPr="00872007">
        <w:rPr>
          <w:sz w:val="20"/>
          <w:szCs w:val="20"/>
        </w:rPr>
        <w:t>, s 47(7)).</w:t>
      </w:r>
    </w:p>
    <w:p w:rsidR="000378E4" w:rsidRPr="00B71A2A" w:rsidRDefault="000378E4" w:rsidP="00386243">
      <w:pPr>
        <w:keepNext/>
        <w:spacing w:line="280" w:lineRule="atLeast"/>
        <w:rPr>
          <w:rFonts w:ascii="Calibri" w:hAnsi="Calibri" w:cs="Calibri"/>
          <w:iCs/>
          <w:color w:val="000000"/>
        </w:rPr>
      </w:pPr>
      <w:r w:rsidRPr="00B71A2A">
        <w:rPr>
          <w:rFonts w:ascii="Calibri" w:hAnsi="Calibri" w:cs="Calibri"/>
          <w:iCs/>
          <w:color w:val="000000"/>
        </w:rPr>
        <w:lastRenderedPageBreak/>
        <w:t>In any event, the Committee notes (with approval) that section 5 of the instrument provides:</w:t>
      </w:r>
    </w:p>
    <w:p w:rsidR="000378E4" w:rsidRPr="00B71A2A" w:rsidRDefault="000378E4" w:rsidP="00872007">
      <w:pPr>
        <w:spacing w:line="280" w:lineRule="atLeast"/>
        <w:ind w:left="1080" w:hanging="720"/>
        <w:rPr>
          <w:rFonts w:ascii="Calibri" w:hAnsi="Calibri" w:cs="Calibri"/>
          <w:b/>
          <w:bCs/>
          <w:color w:val="000000"/>
        </w:rPr>
      </w:pPr>
      <w:bookmarkStart w:id="597" w:name="_Hlk32498910"/>
      <w:r w:rsidRPr="00B71A2A">
        <w:rPr>
          <w:rFonts w:ascii="Calibri" w:hAnsi="Calibri" w:cs="Calibri"/>
          <w:b/>
          <w:bCs/>
          <w:color w:val="000000"/>
        </w:rPr>
        <w:t>5</w:t>
      </w:r>
      <w:r w:rsidRPr="00B71A2A">
        <w:rPr>
          <w:rFonts w:ascii="Calibri" w:hAnsi="Calibri" w:cs="Calibri"/>
          <w:b/>
          <w:bCs/>
          <w:color w:val="000000"/>
        </w:rPr>
        <w:tab/>
        <w:t>Referenced documents</w:t>
      </w:r>
    </w:p>
    <w:p w:rsidR="000378E4" w:rsidRPr="00B71A2A" w:rsidRDefault="000378E4" w:rsidP="00872007">
      <w:pPr>
        <w:autoSpaceDE w:val="0"/>
        <w:autoSpaceDN w:val="0"/>
        <w:adjustRightInd w:val="0"/>
        <w:spacing w:line="280" w:lineRule="atLeast"/>
        <w:ind w:left="1080"/>
        <w:rPr>
          <w:rFonts w:ascii="Calibri" w:hAnsi="Calibri" w:cs="Calibri"/>
          <w:color w:val="000000"/>
        </w:rPr>
      </w:pPr>
      <w:bookmarkStart w:id="598" w:name="_Hlk34131741"/>
      <w:r w:rsidRPr="00B71A2A">
        <w:rPr>
          <w:rFonts w:ascii="Calibri" w:hAnsi="Calibri" w:cs="Calibri"/>
          <w:color w:val="000000"/>
        </w:rPr>
        <w:t xml:space="preserve">1) Australian Standards are available for purchase at </w:t>
      </w:r>
      <w:hyperlink r:id="rId27" w:history="1">
        <w:r w:rsidRPr="00B71A2A">
          <w:rPr>
            <w:rStyle w:val="Hyperlink"/>
            <w:rFonts w:ascii="Calibri" w:hAnsi="Calibri" w:cs="Calibri"/>
            <w:i/>
            <w:iCs/>
            <w:color w:val="000000"/>
          </w:rPr>
          <w:t>www.standards.org.au</w:t>
        </w:r>
      </w:hyperlink>
      <w:r w:rsidRPr="00B71A2A">
        <w:rPr>
          <w:rStyle w:val="Hyperlink"/>
          <w:rFonts w:ascii="Calibri" w:hAnsi="Calibri" w:cs="Calibri"/>
          <w:color w:val="000000"/>
        </w:rPr>
        <w:t xml:space="preserve"> and are available for inspection by members of the public between 9am and 4.30pm on business days at the Access Canberra shopfront in Dickson. </w:t>
      </w:r>
    </w:p>
    <w:bookmarkEnd w:id="598"/>
    <w:p w:rsidR="000378E4" w:rsidRPr="00B71A2A" w:rsidRDefault="000378E4" w:rsidP="00872007">
      <w:pPr>
        <w:autoSpaceDE w:val="0"/>
        <w:autoSpaceDN w:val="0"/>
        <w:adjustRightInd w:val="0"/>
        <w:spacing w:line="280" w:lineRule="atLeast"/>
        <w:ind w:left="1080"/>
        <w:rPr>
          <w:rFonts w:ascii="Calibri" w:hAnsi="Calibri" w:cs="Calibri"/>
          <w:color w:val="000000"/>
        </w:rPr>
      </w:pPr>
      <w:r w:rsidRPr="00B71A2A">
        <w:rPr>
          <w:rFonts w:ascii="Calibri" w:hAnsi="Calibri" w:cs="Calibri"/>
          <w:color w:val="000000"/>
        </w:rPr>
        <w:t xml:space="preserve">2) A copy of the National Construction Code, which incorporates the Building Code of Australia and the Plumbing Code of Australia, is freely available for inspection at </w:t>
      </w:r>
      <w:r w:rsidRPr="00872007">
        <w:rPr>
          <w:rStyle w:val="Hyperlink"/>
          <w:rFonts w:ascii="Calibri" w:hAnsi="Calibri" w:cs="Calibri"/>
          <w:color w:val="000000"/>
        </w:rPr>
        <w:t>www.abcb.gov.au</w:t>
      </w:r>
      <w:r w:rsidRPr="00B71A2A">
        <w:rPr>
          <w:rFonts w:ascii="Calibri" w:hAnsi="Calibri" w:cs="Calibri"/>
          <w:color w:val="000000"/>
        </w:rPr>
        <w:t xml:space="preserve"> or </w:t>
      </w:r>
      <w:r w:rsidRPr="00B71A2A">
        <w:rPr>
          <w:rStyle w:val="Hyperlink"/>
          <w:rFonts w:ascii="Calibri" w:hAnsi="Calibri" w:cs="Calibri"/>
          <w:color w:val="000000"/>
        </w:rPr>
        <w:t>for inspection by members of the public between 9am and 4.30pm on business days at the Access Canberra shopfront in Dickson.</w:t>
      </w:r>
    </w:p>
    <w:bookmarkEnd w:id="597"/>
    <w:p w:rsidR="000378E4" w:rsidRDefault="000378E4" w:rsidP="00AF16A6">
      <w:pPr>
        <w:spacing w:line="280" w:lineRule="atLeast"/>
        <w:rPr>
          <w:rFonts w:ascii="Calibri" w:hAnsi="Calibri" w:cs="Calibri"/>
          <w:iCs/>
          <w:color w:val="000000"/>
        </w:rPr>
      </w:pPr>
      <w:r w:rsidRPr="00B71A2A">
        <w:rPr>
          <w:rFonts w:ascii="Calibri" w:hAnsi="Calibri" w:cs="Calibri"/>
          <w:iCs/>
          <w:color w:val="000000"/>
        </w:rPr>
        <w:t>The explanatory statement for the instrument also notes that “</w:t>
      </w:r>
      <w:r w:rsidRPr="00E84E59">
        <w:rPr>
          <w:rFonts w:ascii="Calibri" w:hAnsi="Calibri" w:cs="Calibri"/>
          <w:iCs/>
          <w:color w:val="000000"/>
        </w:rPr>
        <w:t xml:space="preserve">the Shopfront is scheduled to move to 480 </w:t>
      </w:r>
      <w:proofErr w:type="spellStart"/>
      <w:r w:rsidRPr="00E84E59">
        <w:rPr>
          <w:rFonts w:ascii="Calibri" w:hAnsi="Calibri" w:cs="Calibri"/>
          <w:iCs/>
          <w:color w:val="000000"/>
        </w:rPr>
        <w:t>Northbourn</w:t>
      </w:r>
      <w:r w:rsidR="002D2761">
        <w:rPr>
          <w:rFonts w:ascii="Calibri" w:hAnsi="Calibri" w:cs="Calibri"/>
          <w:iCs/>
          <w:color w:val="000000"/>
        </w:rPr>
        <w:t>e</w:t>
      </w:r>
      <w:proofErr w:type="spellEnd"/>
      <w:r w:rsidR="002D2761">
        <w:rPr>
          <w:rFonts w:ascii="Calibri" w:hAnsi="Calibri" w:cs="Calibri"/>
          <w:iCs/>
          <w:color w:val="000000"/>
        </w:rPr>
        <w:t xml:space="preserve"> Avenue, Dickson later in 2020</w:t>
      </w:r>
      <w:r>
        <w:rPr>
          <w:rFonts w:ascii="Calibri" w:hAnsi="Calibri" w:cs="Calibri"/>
          <w:iCs/>
          <w:color w:val="000000"/>
        </w:rPr>
        <w:t>”</w:t>
      </w:r>
      <w:r w:rsidR="002D2761">
        <w:rPr>
          <w:rFonts w:ascii="Calibri" w:hAnsi="Calibri" w:cs="Calibri"/>
          <w:iCs/>
          <w:color w:val="000000"/>
        </w:rPr>
        <w:t>.</w:t>
      </w:r>
    </w:p>
    <w:p w:rsidR="000378E4" w:rsidRDefault="00386243" w:rsidP="00AF16A6">
      <w:pPr>
        <w:spacing w:line="280" w:lineRule="atLeast"/>
        <w:rPr>
          <w:rFonts w:ascii="Calibri" w:hAnsi="Calibri" w:cs="Calibri"/>
          <w:b/>
          <w:bCs/>
          <w:iCs/>
          <w:color w:val="000000"/>
        </w:rPr>
      </w:pPr>
      <w:r>
        <w:rPr>
          <w:rFonts w:ascii="Calibri" w:hAnsi="Calibri" w:cs="Calibri"/>
          <w:b/>
          <w:bCs/>
          <w:iCs/>
          <w:color w:val="000000"/>
        </w:rPr>
        <w:t>This comment does not require a response from the Minister</w:t>
      </w:r>
      <w:r w:rsidR="000378E4">
        <w:rPr>
          <w:rFonts w:ascii="Calibri" w:hAnsi="Calibri" w:cs="Calibri"/>
          <w:b/>
          <w:bCs/>
          <w:iCs/>
          <w:color w:val="000000"/>
        </w:rPr>
        <w:t>.</w:t>
      </w:r>
    </w:p>
    <w:p w:rsidR="000378E4" w:rsidRPr="00AF16A6" w:rsidRDefault="000378E4" w:rsidP="00AF16A6">
      <w:pPr>
        <w:pStyle w:val="Heading4nonumber"/>
        <w:rPr>
          <w:sz w:val="22"/>
          <w:szCs w:val="22"/>
        </w:rPr>
      </w:pPr>
      <w:r w:rsidRPr="00AF16A6">
        <w:rPr>
          <w:sz w:val="22"/>
          <w:szCs w:val="22"/>
        </w:rPr>
        <w:t xml:space="preserve">Human rights issues / Application of section 81 of the </w:t>
      </w:r>
      <w:r w:rsidRPr="00AF16A6">
        <w:rPr>
          <w:i/>
          <w:sz w:val="22"/>
          <w:szCs w:val="22"/>
        </w:rPr>
        <w:t>Legislation Act 2001</w:t>
      </w:r>
    </w:p>
    <w:p w:rsidR="000378E4" w:rsidRPr="00842199" w:rsidRDefault="000378E4" w:rsidP="00872007">
      <w:pPr>
        <w:pStyle w:val="Bodycopy"/>
        <w:numPr>
          <w:ilvl w:val="0"/>
          <w:numId w:val="27"/>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DI2020-219</w:t>
      </w:r>
      <w:r w:rsidRPr="00451C85">
        <w:rPr>
          <w:b/>
        </w:rPr>
        <w:t xml:space="preserve"> being the </w:t>
      </w:r>
      <w:r>
        <w:rPr>
          <w:b/>
        </w:rPr>
        <w:t xml:space="preserve">Energy Efficiency (Cost of Living) Improvement (Energy Savings Target) Determination 2020 (No 1), including a regulatory impact statement, made under section 7 of the </w:t>
      </w:r>
      <w:r>
        <w:rPr>
          <w:i/>
        </w:rPr>
        <w:t>Energy Efficiency (Cost of Living) Improvement Act 2012</w:t>
      </w:r>
      <w:r w:rsidRPr="00236BDD">
        <w:rPr>
          <w:b/>
        </w:rPr>
        <w:t xml:space="preserve"> </w:t>
      </w:r>
      <w:r>
        <w:rPr>
          <w:b/>
        </w:rPr>
        <w:t xml:space="preserve">determines the energy savings targets for specified compliance periods. </w:t>
      </w:r>
    </w:p>
    <w:p w:rsidR="000378E4" w:rsidRPr="00842199" w:rsidRDefault="000378E4" w:rsidP="000378E4">
      <w:pPr>
        <w:pStyle w:val="Bodycopy"/>
        <w:numPr>
          <w:ilvl w:val="0"/>
          <w:numId w:val="27"/>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DI2020-220</w:t>
      </w:r>
      <w:r w:rsidRPr="00451C85">
        <w:rPr>
          <w:b/>
        </w:rPr>
        <w:t xml:space="preserve"> being the </w:t>
      </w:r>
      <w:r>
        <w:rPr>
          <w:b/>
        </w:rPr>
        <w:t xml:space="preserve">Energy Efficiency (Cost of Living) Improvement (Energy Savings Contribution) Determination 2020 (No 1), including a regulatory impact statement, made under section 11 of the </w:t>
      </w:r>
      <w:r>
        <w:rPr>
          <w:i/>
        </w:rPr>
        <w:t>Energy Efficiency (Cost of Living) Improvement Act 2012</w:t>
      </w:r>
      <w:r w:rsidRPr="00236BDD">
        <w:rPr>
          <w:b/>
        </w:rPr>
        <w:t xml:space="preserve"> </w:t>
      </w:r>
      <w:r>
        <w:rPr>
          <w:b/>
        </w:rPr>
        <w:t xml:space="preserve">determines the energy savings contribution for specified compliance periods. </w:t>
      </w:r>
    </w:p>
    <w:p w:rsidR="000378E4" w:rsidRPr="00842199" w:rsidRDefault="000378E4" w:rsidP="000378E4">
      <w:pPr>
        <w:pStyle w:val="Bodycopy"/>
        <w:numPr>
          <w:ilvl w:val="0"/>
          <w:numId w:val="27"/>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DI2020-221</w:t>
      </w:r>
      <w:r w:rsidRPr="00451C85">
        <w:rPr>
          <w:b/>
        </w:rPr>
        <w:t xml:space="preserve"> being the </w:t>
      </w:r>
      <w:r>
        <w:rPr>
          <w:b/>
        </w:rPr>
        <w:t xml:space="preserve">Energy Efficiency (Cost of Living) Improvement (Penalties for Noncompliance) Determination 2020 (No 1), including a regulatory impact statement, made under section 22 of the </w:t>
      </w:r>
      <w:r>
        <w:rPr>
          <w:i/>
        </w:rPr>
        <w:t>Energy Efficiency (Cost of Living) Improvement Act 2012</w:t>
      </w:r>
      <w:r w:rsidRPr="00236BDD">
        <w:rPr>
          <w:b/>
        </w:rPr>
        <w:t xml:space="preserve"> </w:t>
      </w:r>
      <w:r>
        <w:rPr>
          <w:b/>
        </w:rPr>
        <w:t xml:space="preserve">determines the penalties for noncompliance for the specified compliance period. </w:t>
      </w:r>
    </w:p>
    <w:p w:rsidR="000378E4" w:rsidRPr="00842199" w:rsidRDefault="000378E4" w:rsidP="000378E4">
      <w:pPr>
        <w:pStyle w:val="Bodycopy"/>
        <w:numPr>
          <w:ilvl w:val="0"/>
          <w:numId w:val="27"/>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DI2020-222</w:t>
      </w:r>
      <w:r w:rsidRPr="00451C85">
        <w:rPr>
          <w:b/>
        </w:rPr>
        <w:t xml:space="preserve"> being the </w:t>
      </w:r>
      <w:r>
        <w:rPr>
          <w:b/>
        </w:rPr>
        <w:t xml:space="preserve">Energy Efficiency (Cost of Living) Improvement (Priority Household Target) Determination 2020, including a regulatory impact statement, made under section 8 of the </w:t>
      </w:r>
      <w:r>
        <w:rPr>
          <w:i/>
        </w:rPr>
        <w:t>Energy Efficiency (Cost of Living) Improvement Act 2012</w:t>
      </w:r>
      <w:r w:rsidRPr="00236BDD">
        <w:rPr>
          <w:b/>
        </w:rPr>
        <w:t xml:space="preserve"> </w:t>
      </w:r>
      <w:r>
        <w:rPr>
          <w:b/>
        </w:rPr>
        <w:t xml:space="preserve">determines the priority household target for the purposes of the Act. </w:t>
      </w:r>
    </w:p>
    <w:p w:rsidR="000378E4" w:rsidRDefault="000378E4" w:rsidP="00AF16A6">
      <w:pPr>
        <w:rPr>
          <w:rFonts w:ascii="Calibri" w:hAnsi="Calibri" w:cs="Calibri"/>
          <w:color w:val="000000"/>
        </w:rPr>
      </w:pPr>
      <w:r w:rsidRPr="00B71A2A">
        <w:rPr>
          <w:rFonts w:ascii="Calibri" w:hAnsi="Calibri" w:cs="Calibri"/>
          <w:iCs/>
          <w:color w:val="000000"/>
        </w:rPr>
        <w:t xml:space="preserve">The instruments mentioned above determine “energy savings targets”, “energy savings contributions”, “penalties for noncompliance” and “priority </w:t>
      </w:r>
      <w:proofErr w:type="gramStart"/>
      <w:r w:rsidRPr="00B71A2A">
        <w:rPr>
          <w:rFonts w:ascii="Calibri" w:hAnsi="Calibri" w:cs="Calibri"/>
          <w:iCs/>
          <w:color w:val="000000"/>
        </w:rPr>
        <w:t>households</w:t>
      </w:r>
      <w:proofErr w:type="gramEnd"/>
      <w:r w:rsidRPr="00B71A2A">
        <w:rPr>
          <w:rFonts w:ascii="Calibri" w:hAnsi="Calibri" w:cs="Calibri"/>
          <w:iCs/>
          <w:color w:val="000000"/>
        </w:rPr>
        <w:t xml:space="preserve"> targets”, for sections 7, 11, 22 and 8 of the </w:t>
      </w:r>
      <w:r>
        <w:rPr>
          <w:rFonts w:ascii="Calibri" w:hAnsi="Calibri" w:cs="Calibri"/>
          <w:i/>
          <w:iCs/>
          <w:color w:val="000000"/>
        </w:rPr>
        <w:t>Energy Efficiency (Cost of Living) Improvement Act 2012</w:t>
      </w:r>
      <w:r>
        <w:rPr>
          <w:rFonts w:ascii="Calibri" w:hAnsi="Calibri" w:cs="Calibri"/>
          <w:color w:val="000000"/>
        </w:rPr>
        <w:t>, respectively.  The Committee notes that the explanatory statement for the first instrument mentioned above addresses possible human rights implications, arising from the instrument:</w:t>
      </w:r>
    </w:p>
    <w:p w:rsidR="000378E4" w:rsidRPr="00B71A2A" w:rsidRDefault="000378E4" w:rsidP="00872007">
      <w:pPr>
        <w:ind w:left="360"/>
        <w:rPr>
          <w:rFonts w:ascii="Calibri" w:hAnsi="Calibri" w:cs="Calibri"/>
          <w:iCs/>
          <w:color w:val="000000"/>
        </w:rPr>
      </w:pPr>
      <w:r w:rsidRPr="00DB0175">
        <w:rPr>
          <w:rFonts w:ascii="Calibri" w:hAnsi="Calibri" w:cs="Calibri"/>
          <w:iCs/>
          <w:color w:val="000000"/>
        </w:rPr>
        <w:t xml:space="preserve">The determination does not engage human rights under the </w:t>
      </w:r>
      <w:r w:rsidRPr="00DB0175">
        <w:rPr>
          <w:rFonts w:ascii="Calibri" w:hAnsi="Calibri" w:cs="Calibri"/>
          <w:i/>
          <w:color w:val="000000"/>
        </w:rPr>
        <w:t>Human Rights Act 2004</w:t>
      </w:r>
      <w:r w:rsidRPr="00DB0175">
        <w:rPr>
          <w:rFonts w:ascii="Calibri" w:hAnsi="Calibri" w:cs="Calibri"/>
          <w:iCs/>
          <w:color w:val="000000"/>
        </w:rPr>
        <w:t>.</w:t>
      </w:r>
    </w:p>
    <w:p w:rsidR="000378E4" w:rsidRPr="00B71A2A" w:rsidRDefault="000378E4" w:rsidP="00872007">
      <w:pPr>
        <w:keepLines/>
        <w:rPr>
          <w:rFonts w:ascii="Calibri" w:hAnsi="Calibri" w:cs="Calibri"/>
          <w:iCs/>
          <w:color w:val="000000"/>
        </w:rPr>
      </w:pPr>
      <w:r w:rsidRPr="00B71A2A">
        <w:rPr>
          <w:rFonts w:ascii="Calibri" w:hAnsi="Calibri" w:cs="Calibri"/>
          <w:iCs/>
          <w:color w:val="000000"/>
        </w:rPr>
        <w:t>The Committee notes that a similar statement appears in the explan</w:t>
      </w:r>
      <w:r w:rsidR="00872007">
        <w:rPr>
          <w:rFonts w:ascii="Calibri" w:hAnsi="Calibri" w:cs="Calibri"/>
          <w:iCs/>
          <w:color w:val="000000"/>
        </w:rPr>
        <w:t>atory statements for the other three</w:t>
      </w:r>
      <w:r w:rsidRPr="00B71A2A">
        <w:rPr>
          <w:rFonts w:ascii="Calibri" w:hAnsi="Calibri" w:cs="Calibri"/>
          <w:iCs/>
          <w:color w:val="000000"/>
        </w:rPr>
        <w:t xml:space="preserve"> instruments mentioned above.  The Committee also notes that a similar statement appears in the regulatory im</w:t>
      </w:r>
      <w:r w:rsidR="00872007">
        <w:rPr>
          <w:rFonts w:ascii="Calibri" w:hAnsi="Calibri" w:cs="Calibri"/>
          <w:iCs/>
          <w:color w:val="000000"/>
        </w:rPr>
        <w:t>pact statement for each of the four</w:t>
      </w:r>
      <w:r w:rsidRPr="00B71A2A">
        <w:rPr>
          <w:rFonts w:ascii="Calibri" w:hAnsi="Calibri" w:cs="Calibri"/>
          <w:iCs/>
          <w:color w:val="000000"/>
        </w:rPr>
        <w:t xml:space="preserve"> instruments</w:t>
      </w:r>
      <w:r w:rsidRPr="00E11045">
        <w:rPr>
          <w:rFonts w:ascii="Calibri" w:hAnsi="Calibri" w:cs="Calibri"/>
          <w:iCs/>
          <w:color w:val="000000"/>
        </w:rPr>
        <w:t xml:space="preserve"> (noting that DI2020-219, D</w:t>
      </w:r>
      <w:r>
        <w:rPr>
          <w:rFonts w:ascii="Calibri" w:hAnsi="Calibri" w:cs="Calibri"/>
          <w:iCs/>
          <w:color w:val="000000"/>
        </w:rPr>
        <w:t>I</w:t>
      </w:r>
      <w:r w:rsidR="00855769">
        <w:rPr>
          <w:rFonts w:ascii="Calibri" w:hAnsi="Calibri" w:cs="Calibri"/>
          <w:iCs/>
          <w:color w:val="000000"/>
        </w:rPr>
        <w:t>2020</w:t>
      </w:r>
      <w:r w:rsidR="00855769">
        <w:rPr>
          <w:rFonts w:ascii="Calibri" w:hAnsi="Calibri" w:cs="Calibri"/>
          <w:iCs/>
          <w:color w:val="000000"/>
        </w:rPr>
        <w:noBreakHyphen/>
      </w:r>
      <w:r w:rsidRPr="00E11045">
        <w:rPr>
          <w:rFonts w:ascii="Calibri" w:hAnsi="Calibri" w:cs="Calibri"/>
          <w:iCs/>
          <w:color w:val="000000"/>
        </w:rPr>
        <w:t>220 and DI2020-2021 share a regulatory impact statement)</w:t>
      </w:r>
      <w:r w:rsidRPr="00B71A2A">
        <w:rPr>
          <w:rFonts w:ascii="Calibri" w:hAnsi="Calibri" w:cs="Calibri"/>
          <w:iCs/>
          <w:color w:val="000000"/>
        </w:rPr>
        <w:t>.</w:t>
      </w:r>
    </w:p>
    <w:p w:rsidR="000378E4" w:rsidRPr="000C60C8" w:rsidRDefault="000378E4" w:rsidP="00AF16A6">
      <w:pPr>
        <w:rPr>
          <w:rFonts w:ascii="Calibri" w:hAnsi="Calibri" w:cs="Calibri"/>
        </w:rPr>
      </w:pPr>
      <w:r w:rsidRPr="00A66BED">
        <w:rPr>
          <w:rFonts w:ascii="Calibri" w:hAnsi="Calibri" w:cs="Calibri"/>
          <w:b/>
          <w:bCs/>
        </w:rPr>
        <w:lastRenderedPageBreak/>
        <w:t>The Committee draws the attention of the Legislative Assembly to the discussion of human rights issues in the explanatory statement</w:t>
      </w:r>
      <w:r>
        <w:rPr>
          <w:rFonts w:ascii="Calibri" w:hAnsi="Calibri" w:cs="Calibri"/>
          <w:b/>
          <w:bCs/>
        </w:rPr>
        <w:t>s</w:t>
      </w:r>
      <w:r w:rsidRPr="00A66BED">
        <w:rPr>
          <w:rFonts w:ascii="Calibri" w:hAnsi="Calibri" w:cs="Calibri"/>
          <w:b/>
          <w:bCs/>
        </w:rPr>
        <w:t xml:space="preserve"> </w:t>
      </w:r>
      <w:r>
        <w:rPr>
          <w:rFonts w:ascii="Calibri" w:hAnsi="Calibri" w:cs="Calibri"/>
          <w:b/>
          <w:bCs/>
        </w:rPr>
        <w:t xml:space="preserve">and regulatory impact statements </w:t>
      </w:r>
      <w:r w:rsidRPr="00A66BED">
        <w:rPr>
          <w:rFonts w:ascii="Calibri" w:hAnsi="Calibri" w:cs="Calibri"/>
          <w:b/>
          <w:bCs/>
        </w:rPr>
        <w:t>for th</w:t>
      </w:r>
      <w:r>
        <w:rPr>
          <w:rFonts w:ascii="Calibri" w:hAnsi="Calibri" w:cs="Calibri"/>
          <w:b/>
          <w:bCs/>
        </w:rPr>
        <w:t xml:space="preserve">ese </w:t>
      </w:r>
      <w:r w:rsidRPr="00A66BED">
        <w:rPr>
          <w:rFonts w:ascii="Calibri" w:hAnsi="Calibri" w:cs="Calibri"/>
          <w:b/>
          <w:bCs/>
        </w:rPr>
        <w:t>instrument</w:t>
      </w:r>
      <w:r>
        <w:rPr>
          <w:rFonts w:ascii="Calibri" w:hAnsi="Calibri" w:cs="Calibri"/>
          <w:b/>
          <w:bCs/>
        </w:rPr>
        <w:t>s</w:t>
      </w:r>
      <w:r w:rsidRPr="00A66BED">
        <w:rPr>
          <w:rFonts w:ascii="Calibri" w:hAnsi="Calibri" w:cs="Calibri"/>
          <w:b/>
          <w:bCs/>
        </w:rPr>
        <w:t>.</w:t>
      </w:r>
    </w:p>
    <w:p w:rsidR="000378E4" w:rsidRDefault="000378E4" w:rsidP="00AF16A6">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0378E4" w:rsidRPr="00B71A2A" w:rsidRDefault="000378E4" w:rsidP="00AF16A6">
      <w:pPr>
        <w:rPr>
          <w:rFonts w:ascii="Calibri" w:hAnsi="Calibri" w:cs="Calibri"/>
          <w:iCs/>
          <w:color w:val="000000"/>
        </w:rPr>
      </w:pPr>
      <w:r w:rsidRPr="00B71A2A">
        <w:rPr>
          <w:rFonts w:ascii="Calibri" w:hAnsi="Calibri" w:cs="Calibri"/>
          <w:iCs/>
          <w:color w:val="000000"/>
        </w:rPr>
        <w:t>The Committee notes that section 4 of the first instrument mentioned above provides:</w:t>
      </w:r>
    </w:p>
    <w:p w:rsidR="000378E4" w:rsidRPr="00B71A2A" w:rsidRDefault="00872007" w:rsidP="00872007">
      <w:pPr>
        <w:ind w:left="1080" w:hanging="720"/>
        <w:rPr>
          <w:rFonts w:ascii="Calibri" w:hAnsi="Calibri" w:cs="Calibri"/>
          <w:b/>
          <w:bCs/>
        </w:rPr>
      </w:pPr>
      <w:bookmarkStart w:id="599" w:name="_Hlk41506840"/>
      <w:r>
        <w:rPr>
          <w:rFonts w:ascii="Calibri" w:hAnsi="Calibri" w:cs="Calibri"/>
          <w:b/>
          <w:bCs/>
        </w:rPr>
        <w:t>4</w:t>
      </w:r>
      <w:r w:rsidR="000378E4" w:rsidRPr="00B71A2A">
        <w:rPr>
          <w:rFonts w:ascii="Calibri" w:hAnsi="Calibri" w:cs="Calibri"/>
          <w:b/>
          <w:bCs/>
        </w:rPr>
        <w:tab/>
        <w:t xml:space="preserve">Application of section 81(6) of the </w:t>
      </w:r>
      <w:r w:rsidR="000378E4" w:rsidRPr="00B71A2A">
        <w:rPr>
          <w:rFonts w:ascii="Calibri" w:hAnsi="Calibri" w:cs="Calibri"/>
          <w:b/>
          <w:bCs/>
          <w:i/>
          <w:iCs/>
        </w:rPr>
        <w:t>Legislation Act 2001</w:t>
      </w:r>
    </w:p>
    <w:p w:rsidR="000378E4" w:rsidRPr="00B71A2A" w:rsidRDefault="000378E4" w:rsidP="00872007">
      <w:pPr>
        <w:pStyle w:val="ListParagraph"/>
        <w:autoSpaceDE w:val="0"/>
        <w:autoSpaceDN w:val="0"/>
        <w:adjustRightInd w:val="0"/>
        <w:ind w:left="1080"/>
        <w:contextualSpacing w:val="0"/>
        <w:rPr>
          <w:rFonts w:cs="Calibri"/>
          <w:i/>
          <w:iCs/>
          <w:color w:val="000000"/>
          <w:lang w:eastAsia="en-AU"/>
        </w:rPr>
      </w:pPr>
      <w:r w:rsidRPr="00B71A2A">
        <w:rPr>
          <w:rFonts w:cs="Calibri"/>
          <w:color w:val="000000"/>
          <w:lang w:eastAsia="en-AU"/>
        </w:rPr>
        <w:t xml:space="preserve">This instrument declares that subsection 81(6) of the </w:t>
      </w:r>
      <w:r w:rsidRPr="00B71A2A">
        <w:rPr>
          <w:rFonts w:cs="Calibri"/>
          <w:i/>
          <w:iCs/>
          <w:color w:val="000000"/>
          <w:lang w:eastAsia="en-AU"/>
        </w:rPr>
        <w:t>Legislation Act 2001</w:t>
      </w:r>
      <w:r w:rsidRPr="00B71A2A">
        <w:rPr>
          <w:rFonts w:cs="Calibri"/>
          <w:color w:val="000000"/>
          <w:lang w:eastAsia="en-AU"/>
        </w:rPr>
        <w:t xml:space="preserve"> applies.</w:t>
      </w:r>
    </w:p>
    <w:bookmarkEnd w:id="599"/>
    <w:p w:rsidR="000378E4" w:rsidRDefault="000378E4" w:rsidP="00AF16A6">
      <w:pPr>
        <w:rPr>
          <w:rFonts w:ascii="Calibri" w:hAnsi="Calibri" w:cs="Calibri"/>
          <w:color w:val="000000"/>
        </w:rPr>
      </w:pPr>
      <w:r w:rsidRPr="00B71A2A">
        <w:rPr>
          <w:rFonts w:ascii="Calibri" w:hAnsi="Calibri" w:cs="Calibri"/>
        </w:rPr>
        <w:t xml:space="preserve">Similar provisions appear in each of the other 3 instruments mentioned above.  </w:t>
      </w:r>
      <w:r>
        <w:rPr>
          <w:rFonts w:ascii="Calibri" w:hAnsi="Calibri" w:cs="Calibri"/>
        </w:rPr>
        <w:t xml:space="preserve">The </w:t>
      </w:r>
      <w:r w:rsidRPr="00B71A2A">
        <w:rPr>
          <w:rFonts w:ascii="Calibri" w:hAnsi="Calibri" w:cs="Calibri"/>
        </w:rPr>
        <w:t xml:space="preserve">Committee notes that the reliance on subsection 81(6) of the </w:t>
      </w:r>
      <w:r w:rsidRPr="00B71A2A">
        <w:rPr>
          <w:rFonts w:ascii="Calibri" w:hAnsi="Calibri" w:cs="Calibri"/>
          <w:i/>
          <w:iCs/>
        </w:rPr>
        <w:t>Legislation Act 2001</w:t>
      </w:r>
      <w:r w:rsidRPr="00B71A2A">
        <w:rPr>
          <w:rFonts w:ascii="Calibri" w:hAnsi="Calibri" w:cs="Calibri"/>
        </w:rPr>
        <w:t xml:space="preserve"> reflects the fact that the various instruments rely on amendments to the </w:t>
      </w:r>
      <w:r w:rsidRPr="00297DF0">
        <w:rPr>
          <w:rFonts w:ascii="Calibri" w:hAnsi="Calibri" w:cs="Calibri"/>
        </w:rPr>
        <w:t>Energy Efficiency (Cost of Living) Improvement Act</w:t>
      </w:r>
      <w:r w:rsidRPr="00297DF0">
        <w:rPr>
          <w:rFonts w:ascii="Calibri" w:hAnsi="Calibri" w:cs="Calibri"/>
          <w:color w:val="000000"/>
        </w:rPr>
        <w:t xml:space="preserve"> </w:t>
      </w:r>
      <w:r>
        <w:rPr>
          <w:rFonts w:ascii="Calibri" w:hAnsi="Calibri" w:cs="Calibri"/>
          <w:color w:val="000000"/>
        </w:rPr>
        <w:t xml:space="preserve">made by the </w:t>
      </w:r>
      <w:r w:rsidRPr="00FE1C7E">
        <w:rPr>
          <w:rFonts w:ascii="Calibri" w:hAnsi="Calibri" w:cs="Calibri"/>
          <w:i/>
          <w:iCs/>
          <w:color w:val="000000"/>
        </w:rPr>
        <w:t>Energy Efficiency (Cost of Living) Improvement Amendment Act 2019</w:t>
      </w:r>
      <w:r>
        <w:rPr>
          <w:rFonts w:ascii="Calibri" w:hAnsi="Calibri" w:cs="Calibri"/>
          <w:color w:val="000000"/>
        </w:rPr>
        <w:t xml:space="preserve"> (mentioned above) that have not yet commenced.  The Committee notes that section 81 of the Legislation Act allows certain things to be done (including the making or relevant instruments, etc) prior to the commencement of empowering legislation and that, in particular, subsection 81(6) allows instruments such as these to commence on the day after their notification day (as each of them are expressed to do), despite the fact that the relevant empowering provisions have not commenced.</w:t>
      </w:r>
    </w:p>
    <w:p w:rsidR="000378E4" w:rsidRDefault="000378E4" w:rsidP="00AF16A6">
      <w:pPr>
        <w:rPr>
          <w:rFonts w:ascii="Calibri" w:hAnsi="Calibri" w:cs="Calibri"/>
          <w:b/>
          <w:bCs/>
          <w:color w:val="000000"/>
        </w:rPr>
      </w:pPr>
      <w:r>
        <w:rPr>
          <w:rFonts w:ascii="Calibri" w:hAnsi="Calibri" w:cs="Calibri"/>
          <w:b/>
          <w:bCs/>
          <w:color w:val="000000"/>
        </w:rPr>
        <w:t>The comment immediately above does not require a response from the Minister.</w:t>
      </w:r>
    </w:p>
    <w:p w:rsidR="000378E4" w:rsidRPr="00AF16A6" w:rsidRDefault="000378E4" w:rsidP="00AF16A6">
      <w:pPr>
        <w:pStyle w:val="Heading4nonumber"/>
        <w:rPr>
          <w:sz w:val="22"/>
          <w:szCs w:val="22"/>
        </w:rPr>
      </w:pPr>
      <w:r w:rsidRPr="00AF16A6">
        <w:rPr>
          <w:sz w:val="22"/>
          <w:szCs w:val="22"/>
        </w:rPr>
        <w:t>COVID-19-related instruments / Retrospectivity</w:t>
      </w:r>
    </w:p>
    <w:p w:rsidR="000378E4" w:rsidRPr="00842199" w:rsidRDefault="000378E4" w:rsidP="000378E4">
      <w:pPr>
        <w:pStyle w:val="Bodycopy"/>
        <w:numPr>
          <w:ilvl w:val="0"/>
          <w:numId w:val="27"/>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DI2020-224</w:t>
      </w:r>
      <w:r w:rsidRPr="00451C85">
        <w:rPr>
          <w:b/>
        </w:rPr>
        <w:t xml:space="preserve"> being the </w:t>
      </w:r>
      <w:r>
        <w:rPr>
          <w:b/>
        </w:rPr>
        <w:t xml:space="preserve">Planning and Development (Remission of Lease Variation Charges—Construction Sector Recovery) Determination 2020 made under section 278 of the </w:t>
      </w:r>
      <w:r>
        <w:rPr>
          <w:i/>
        </w:rPr>
        <w:t>Planning and Development Act 2007</w:t>
      </w:r>
      <w:r w:rsidRPr="00236BDD">
        <w:rPr>
          <w:b/>
        </w:rPr>
        <w:t xml:space="preserve"> </w:t>
      </w:r>
      <w:r>
        <w:rPr>
          <w:b/>
        </w:rPr>
        <w:t xml:space="preserve">determines the circumstances and the amounts that must be remitted in relation to the reduction of the Leave Variation Charge, as part of the Construction Sector Recovery Package. </w:t>
      </w:r>
    </w:p>
    <w:p w:rsidR="000378E4" w:rsidRPr="00842199" w:rsidRDefault="000378E4" w:rsidP="000378E4">
      <w:pPr>
        <w:pStyle w:val="Bodycopy"/>
        <w:numPr>
          <w:ilvl w:val="0"/>
          <w:numId w:val="27"/>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DI2020-225</w:t>
      </w:r>
      <w:r w:rsidRPr="00451C85">
        <w:rPr>
          <w:b/>
        </w:rPr>
        <w:t xml:space="preserve"> being the </w:t>
      </w:r>
      <w:r>
        <w:rPr>
          <w:b/>
        </w:rPr>
        <w:t xml:space="preserve">Planning and Development (Lease Variation Charge Deferred Payment Scheme) Determination 2020 made under paragraphs 279AA(1)(b) and (c) and subsection 279AC(2) of the </w:t>
      </w:r>
      <w:r>
        <w:rPr>
          <w:i/>
        </w:rPr>
        <w:t>Planning and Development Act 2007</w:t>
      </w:r>
      <w:r w:rsidRPr="00236BDD">
        <w:rPr>
          <w:b/>
        </w:rPr>
        <w:t xml:space="preserve"> </w:t>
      </w:r>
      <w:r>
        <w:rPr>
          <w:b/>
        </w:rPr>
        <w:t xml:space="preserve">revokes DI2019-236 determines the amount of the lease variation charge to be deferred for the purposes of the Act. </w:t>
      </w:r>
    </w:p>
    <w:p w:rsidR="000378E4" w:rsidRPr="00B71A2A" w:rsidRDefault="000378E4" w:rsidP="00AF16A6">
      <w:pPr>
        <w:rPr>
          <w:rFonts w:ascii="Calibri" w:hAnsi="Calibri" w:cs="Calibri"/>
          <w:iCs/>
          <w:color w:val="000000"/>
        </w:rPr>
      </w:pPr>
      <w:r w:rsidRPr="00B71A2A">
        <w:rPr>
          <w:rFonts w:ascii="Calibri" w:hAnsi="Calibri" w:cs="Calibri"/>
          <w:iCs/>
          <w:color w:val="000000"/>
        </w:rPr>
        <w:t xml:space="preserve">The first instrument mentioned above, made under section 278 of the </w:t>
      </w:r>
      <w:r w:rsidRPr="00B71A2A">
        <w:rPr>
          <w:rFonts w:ascii="Calibri" w:hAnsi="Calibri" w:cs="Calibri"/>
          <w:i/>
          <w:color w:val="000000"/>
        </w:rPr>
        <w:t>Planning and Land Development Act 2007</w:t>
      </w:r>
      <w:r w:rsidR="00872007">
        <w:rPr>
          <w:rFonts w:ascii="Calibri" w:hAnsi="Calibri" w:cs="Calibri"/>
          <w:iCs/>
          <w:color w:val="000000"/>
        </w:rPr>
        <w:t xml:space="preserve">, </w:t>
      </w:r>
      <w:proofErr w:type="gramStart"/>
      <w:r w:rsidRPr="00D063BB">
        <w:rPr>
          <w:rFonts w:ascii="Calibri" w:hAnsi="Calibri" w:cs="Calibri"/>
          <w:iCs/>
          <w:color w:val="000000"/>
        </w:rPr>
        <w:t>determine</w:t>
      </w:r>
      <w:r>
        <w:rPr>
          <w:rFonts w:ascii="Calibri" w:hAnsi="Calibri" w:cs="Calibri"/>
          <w:iCs/>
          <w:color w:val="000000"/>
        </w:rPr>
        <w:t>s</w:t>
      </w:r>
      <w:proofErr w:type="gramEnd"/>
      <w:r w:rsidRPr="00D063BB">
        <w:rPr>
          <w:rFonts w:ascii="Calibri" w:hAnsi="Calibri" w:cs="Calibri"/>
          <w:iCs/>
          <w:color w:val="000000"/>
        </w:rPr>
        <w:t xml:space="preserve"> circumstances in which an amount of a lease variation charge </w:t>
      </w:r>
      <w:r>
        <w:rPr>
          <w:rFonts w:ascii="Calibri" w:hAnsi="Calibri" w:cs="Calibri"/>
          <w:iCs/>
          <w:color w:val="000000"/>
        </w:rPr>
        <w:t>(</w:t>
      </w:r>
      <w:r>
        <w:rPr>
          <w:rFonts w:ascii="Calibri" w:hAnsi="Calibri" w:cs="Calibri"/>
          <w:b/>
          <w:bCs/>
          <w:iCs/>
          <w:color w:val="000000"/>
        </w:rPr>
        <w:t>LVC</w:t>
      </w:r>
      <w:r>
        <w:rPr>
          <w:rFonts w:ascii="Calibri" w:hAnsi="Calibri" w:cs="Calibri"/>
          <w:iCs/>
          <w:color w:val="000000"/>
        </w:rPr>
        <w:t xml:space="preserve">) </w:t>
      </w:r>
      <w:r w:rsidRPr="00D063BB">
        <w:rPr>
          <w:rFonts w:ascii="Calibri" w:hAnsi="Calibri" w:cs="Calibri"/>
          <w:iCs/>
          <w:color w:val="000000"/>
        </w:rPr>
        <w:t>for a chargeable variation of a nominal rent lease must be remitted</w:t>
      </w:r>
      <w:r>
        <w:rPr>
          <w:rFonts w:ascii="Calibri" w:hAnsi="Calibri" w:cs="Calibri"/>
          <w:iCs/>
          <w:color w:val="000000"/>
        </w:rPr>
        <w:t>.  This particular instrument is made in the context of the COVID-19 pandemic.  The explanatory statement for the instrument states:</w:t>
      </w:r>
    </w:p>
    <w:p w:rsidR="000378E4" w:rsidRPr="00B71A2A" w:rsidRDefault="000378E4" w:rsidP="00872007">
      <w:pPr>
        <w:pStyle w:val="NormalWeb"/>
        <w:keepLines/>
        <w:ind w:left="360"/>
        <w:rPr>
          <w:rFonts w:ascii="Calibri" w:hAnsi="Calibri" w:cs="Calibri"/>
          <w:sz w:val="22"/>
          <w:szCs w:val="22"/>
        </w:rPr>
      </w:pPr>
      <w:r w:rsidRPr="00B71A2A">
        <w:rPr>
          <w:rFonts w:ascii="Calibri" w:hAnsi="Calibri" w:cs="Calibri"/>
          <w:sz w:val="22"/>
          <w:szCs w:val="22"/>
        </w:rPr>
        <w:t xml:space="preserve">On 25 June 2020, the Government announced a Construction Sector Recovery Package (Recovery Package) to help construction activity continue in the ACT and support the local economy to recover from the effects of the COVID-19 pandemic. As part of the Recovery Package, the Government is reducing the Lease Variation Charge (LVC) by 50 per cent of the amount payable up to $250,000 for developments requiring a lease variation. </w:t>
      </w:r>
    </w:p>
    <w:p w:rsidR="000378E4" w:rsidRPr="00B71A2A" w:rsidRDefault="000378E4" w:rsidP="004D7139">
      <w:pPr>
        <w:pStyle w:val="NormalWeb"/>
        <w:keepLines/>
        <w:spacing w:line="260" w:lineRule="exact"/>
        <w:ind w:left="360"/>
        <w:rPr>
          <w:rFonts w:ascii="Calibri" w:hAnsi="Calibri" w:cs="Calibri"/>
          <w:sz w:val="22"/>
          <w:szCs w:val="22"/>
        </w:rPr>
      </w:pPr>
      <w:r w:rsidRPr="00B71A2A">
        <w:rPr>
          <w:rFonts w:ascii="Calibri" w:hAnsi="Calibri" w:cs="Calibri"/>
          <w:sz w:val="22"/>
          <w:szCs w:val="22"/>
        </w:rPr>
        <w:lastRenderedPageBreak/>
        <w:t>Reducing the LVC will provide an incentive for builders to begin construction activity that might not have otherwise occurred during the COVID-19 recovery phase and create more jobs for the local industry. This measure aims to encourage projects that are ready to commence construction by 31 March 2021.</w:t>
      </w:r>
    </w:p>
    <w:p w:rsidR="000378E4" w:rsidRPr="00B71A2A" w:rsidRDefault="000378E4" w:rsidP="004D7139">
      <w:pPr>
        <w:pStyle w:val="NormalWeb"/>
        <w:spacing w:line="260" w:lineRule="exact"/>
        <w:ind w:left="360"/>
        <w:rPr>
          <w:rFonts w:ascii="Calibri" w:hAnsi="Calibri" w:cs="Calibri"/>
          <w:sz w:val="22"/>
          <w:szCs w:val="22"/>
        </w:rPr>
      </w:pPr>
      <w:r w:rsidRPr="00B71A2A">
        <w:rPr>
          <w:rFonts w:ascii="Calibri" w:hAnsi="Calibri" w:cs="Calibri"/>
          <w:sz w:val="22"/>
          <w:szCs w:val="22"/>
        </w:rPr>
        <w:t>The 50 percent reduction (up to $250,000) will be available for LVC amounts deferred (excluding previously paid or deferred amounts) from 25 June 2020 until 23 December 2020 with a requirement that construction must commence by 31 March 2021 regardless of when the development application was lodged or approved.</w:t>
      </w:r>
    </w:p>
    <w:p w:rsidR="000378E4" w:rsidRPr="00B71A2A" w:rsidRDefault="000378E4" w:rsidP="004D7139">
      <w:pPr>
        <w:pStyle w:val="NormalWeb"/>
        <w:spacing w:line="260" w:lineRule="exact"/>
        <w:rPr>
          <w:rFonts w:ascii="Calibri" w:hAnsi="Calibri" w:cs="Calibri"/>
          <w:sz w:val="22"/>
          <w:szCs w:val="22"/>
        </w:rPr>
      </w:pPr>
      <w:r w:rsidRPr="00B71A2A">
        <w:rPr>
          <w:rFonts w:ascii="Calibri" w:hAnsi="Calibri" w:cs="Calibri"/>
          <w:sz w:val="22"/>
          <w:szCs w:val="22"/>
        </w:rPr>
        <w:t xml:space="preserve">Section 2 of the instrument provides that the instrument is taken to </w:t>
      </w:r>
      <w:r w:rsidR="00872007">
        <w:rPr>
          <w:rFonts w:ascii="Calibri" w:hAnsi="Calibri" w:cs="Calibri"/>
          <w:sz w:val="22"/>
          <w:szCs w:val="22"/>
        </w:rPr>
        <w:t xml:space="preserve">have </w:t>
      </w:r>
      <w:r w:rsidRPr="00B71A2A">
        <w:rPr>
          <w:rFonts w:ascii="Calibri" w:hAnsi="Calibri" w:cs="Calibri"/>
          <w:sz w:val="22"/>
          <w:szCs w:val="22"/>
        </w:rPr>
        <w:t>commenced on 25 June 2020.  This means that the instrument has a retrospective operation.  The Committee notes, with approval, that the retrospectivity issue is addressed in the explanatory statement for the instrument, which states:</w:t>
      </w:r>
    </w:p>
    <w:p w:rsidR="000378E4" w:rsidRPr="00B71A2A" w:rsidRDefault="000378E4" w:rsidP="004D7139">
      <w:pPr>
        <w:spacing w:line="260" w:lineRule="exact"/>
        <w:ind w:left="360"/>
        <w:rPr>
          <w:rFonts w:ascii="Calibri" w:hAnsi="Calibri" w:cs="Calibri"/>
        </w:rPr>
      </w:pPr>
      <w:bookmarkStart w:id="600" w:name="_Hlk44595111"/>
      <w:r w:rsidRPr="00B71A2A">
        <w:rPr>
          <w:rFonts w:ascii="Calibri" w:hAnsi="Calibri" w:cs="Calibri"/>
          <w:b/>
          <w:bCs/>
        </w:rPr>
        <w:t>Retrospectivity</w:t>
      </w:r>
    </w:p>
    <w:p w:rsidR="000378E4" w:rsidRPr="00B71A2A" w:rsidRDefault="000378E4" w:rsidP="004D7139">
      <w:pPr>
        <w:spacing w:line="260" w:lineRule="exact"/>
        <w:ind w:left="360"/>
        <w:rPr>
          <w:rFonts w:ascii="Calibri" w:hAnsi="Calibri" w:cs="Calibri"/>
        </w:rPr>
      </w:pPr>
      <w:r w:rsidRPr="00B71A2A">
        <w:rPr>
          <w:rFonts w:ascii="Calibri" w:hAnsi="Calibri" w:cs="Calibri"/>
        </w:rPr>
        <w:t>This instrument has retrospective commencement from 25 June 2020 to align with the announcement of the Recovery Package and the criterion requiring LVC to have not been paid or deferred prior to that date.</w:t>
      </w:r>
    </w:p>
    <w:p w:rsidR="000378E4" w:rsidRPr="00B71A2A" w:rsidRDefault="000378E4" w:rsidP="004D7139">
      <w:pPr>
        <w:spacing w:line="260" w:lineRule="exact"/>
        <w:ind w:left="360"/>
        <w:rPr>
          <w:rFonts w:ascii="Calibri" w:hAnsi="Calibri" w:cs="Calibri"/>
        </w:rPr>
      </w:pPr>
      <w:r w:rsidRPr="00B71A2A">
        <w:rPr>
          <w:rFonts w:ascii="Calibri" w:hAnsi="Calibri" w:cs="Calibri"/>
        </w:rPr>
        <w:t xml:space="preserve">Section 76(1) of the </w:t>
      </w:r>
      <w:r w:rsidRPr="00B71A2A">
        <w:rPr>
          <w:rFonts w:ascii="Calibri" w:hAnsi="Calibri" w:cs="Calibri"/>
          <w:i/>
          <w:iCs/>
        </w:rPr>
        <w:t>Legislation Act 2001</w:t>
      </w:r>
      <w:r w:rsidRPr="00B71A2A">
        <w:rPr>
          <w:rFonts w:ascii="Calibri" w:hAnsi="Calibri" w:cs="Calibri"/>
        </w:rPr>
        <w:t xml:space="preserve"> provides that a statutory instrument may commence retrospectively provided it is non-prejudicial, that it does not operate to the disadvantage of a person by adversely affecting the person’s rights or imposing liabilities on the person. This instrument provides a concession on the LVC payable for land that is developed in a manner that supports economic recovery from COVID-19. It promotes a purpose which will be of overall benefit to the ACT community.</w:t>
      </w:r>
      <w:bookmarkEnd w:id="600"/>
    </w:p>
    <w:p w:rsidR="000378E4" w:rsidRDefault="000378E4" w:rsidP="004D7139">
      <w:pPr>
        <w:pStyle w:val="NormalWeb"/>
        <w:spacing w:line="260" w:lineRule="exact"/>
        <w:rPr>
          <w:rFonts w:ascii="Calibri" w:hAnsi="Calibri" w:cs="Calibri"/>
          <w:sz w:val="22"/>
          <w:szCs w:val="22"/>
        </w:rPr>
      </w:pPr>
      <w:r w:rsidRPr="00B71A2A">
        <w:rPr>
          <w:rFonts w:ascii="Calibri" w:hAnsi="Calibri" w:cs="Calibri"/>
          <w:sz w:val="22"/>
          <w:szCs w:val="22"/>
        </w:rPr>
        <w:t>The explanatory statement for the second instrument mentioned above, made under paragraph </w:t>
      </w:r>
      <w:proofErr w:type="gramStart"/>
      <w:r w:rsidRPr="00364A07">
        <w:rPr>
          <w:rFonts w:ascii="Calibri" w:hAnsi="Calibri" w:cs="Calibri"/>
          <w:sz w:val="22"/>
          <w:szCs w:val="22"/>
        </w:rPr>
        <w:t>279AA(</w:t>
      </w:r>
      <w:proofErr w:type="gramEnd"/>
      <w:r w:rsidRPr="00364A07">
        <w:rPr>
          <w:rFonts w:ascii="Calibri" w:hAnsi="Calibri" w:cs="Calibri"/>
          <w:sz w:val="22"/>
          <w:szCs w:val="22"/>
        </w:rPr>
        <w:t xml:space="preserve">1)(b) </w:t>
      </w:r>
      <w:r>
        <w:rPr>
          <w:rFonts w:ascii="Calibri" w:hAnsi="Calibri" w:cs="Calibri"/>
          <w:sz w:val="22"/>
          <w:szCs w:val="22"/>
        </w:rPr>
        <w:t xml:space="preserve">and subsection </w:t>
      </w:r>
      <w:r w:rsidRPr="00364A07">
        <w:rPr>
          <w:rFonts w:ascii="Calibri" w:hAnsi="Calibri" w:cs="Calibri"/>
          <w:sz w:val="22"/>
          <w:szCs w:val="22"/>
        </w:rPr>
        <w:t>279AC(2)</w:t>
      </w:r>
      <w:r>
        <w:rPr>
          <w:rFonts w:ascii="Calibri" w:hAnsi="Calibri" w:cs="Calibri"/>
          <w:sz w:val="22"/>
          <w:szCs w:val="22"/>
        </w:rPr>
        <w:t xml:space="preserve"> of the Planning and Development Act, indicates that it is consequential on the making of the first instrument mentioned above.  It determines the minimum amount of LVC applicable to an applicant who seeks to defer payment of a LVC, for </w:t>
      </w:r>
      <w:r w:rsidRPr="00364A07">
        <w:rPr>
          <w:rFonts w:ascii="Calibri" w:hAnsi="Calibri" w:cs="Calibri"/>
          <w:sz w:val="22"/>
          <w:szCs w:val="22"/>
        </w:rPr>
        <w:t>paragraph 279AA(1)(b)</w:t>
      </w:r>
      <w:r>
        <w:rPr>
          <w:rFonts w:ascii="Calibri" w:hAnsi="Calibri" w:cs="Calibri"/>
          <w:sz w:val="22"/>
          <w:szCs w:val="22"/>
        </w:rPr>
        <w:t xml:space="preserve">, and also determines </w:t>
      </w:r>
      <w:r w:rsidRPr="00BC7704">
        <w:rPr>
          <w:rFonts w:ascii="Calibri" w:hAnsi="Calibri" w:cs="Calibri"/>
          <w:sz w:val="22"/>
          <w:szCs w:val="22"/>
        </w:rPr>
        <w:t>conditions to which a</w:t>
      </w:r>
      <w:r>
        <w:rPr>
          <w:rFonts w:ascii="Calibri" w:hAnsi="Calibri" w:cs="Calibri"/>
          <w:sz w:val="22"/>
          <w:szCs w:val="22"/>
        </w:rPr>
        <w:t>ny</w:t>
      </w:r>
      <w:r w:rsidRPr="00BC7704">
        <w:rPr>
          <w:rFonts w:ascii="Calibri" w:hAnsi="Calibri" w:cs="Calibri"/>
          <w:sz w:val="22"/>
          <w:szCs w:val="22"/>
        </w:rPr>
        <w:t xml:space="preserve"> deferral arrangement is subject, including the rate of interest charged on the amount payable under the arrangement</w:t>
      </w:r>
      <w:r>
        <w:rPr>
          <w:rFonts w:ascii="Calibri" w:hAnsi="Calibri" w:cs="Calibri"/>
          <w:sz w:val="22"/>
          <w:szCs w:val="22"/>
        </w:rPr>
        <w:t xml:space="preserve">, for subsection </w:t>
      </w:r>
      <w:r w:rsidRPr="00BC7704">
        <w:rPr>
          <w:rFonts w:ascii="Calibri" w:hAnsi="Calibri" w:cs="Calibri"/>
          <w:sz w:val="22"/>
          <w:szCs w:val="22"/>
        </w:rPr>
        <w:t>279AC(2)</w:t>
      </w:r>
      <w:r>
        <w:rPr>
          <w:rFonts w:ascii="Calibri" w:hAnsi="Calibri" w:cs="Calibri"/>
          <w:sz w:val="22"/>
          <w:szCs w:val="22"/>
        </w:rPr>
        <w:t xml:space="preserve">.  </w:t>
      </w:r>
    </w:p>
    <w:p w:rsidR="000378E4" w:rsidRDefault="000378E4" w:rsidP="004D7139">
      <w:pPr>
        <w:pStyle w:val="NormalWeb"/>
        <w:spacing w:line="260" w:lineRule="exact"/>
        <w:rPr>
          <w:rFonts w:ascii="Calibri" w:hAnsi="Calibri" w:cs="Calibri"/>
          <w:sz w:val="22"/>
          <w:szCs w:val="22"/>
        </w:rPr>
      </w:pPr>
      <w:r>
        <w:rPr>
          <w:rFonts w:ascii="Calibri" w:hAnsi="Calibri" w:cs="Calibri"/>
          <w:sz w:val="22"/>
          <w:szCs w:val="22"/>
        </w:rPr>
        <w:t>Given the intention that the instruments operate together, section 2 of the second instrument mentioned above also provides that the instrument is taken to have commenced on 25 June 2020.  The Committee notes, with approval, that the explanatory statement for the second instrument addresses the retrospectivity issue, in similar terms to the explanatory statement for the first instrument.</w:t>
      </w:r>
    </w:p>
    <w:p w:rsidR="000378E4" w:rsidRDefault="000378E4" w:rsidP="004D7139">
      <w:pPr>
        <w:pStyle w:val="NormalWeb"/>
        <w:keepLines/>
        <w:spacing w:line="260" w:lineRule="exact"/>
        <w:rPr>
          <w:rFonts w:ascii="Calibri" w:hAnsi="Calibri" w:cs="Calibri"/>
          <w:sz w:val="22"/>
          <w:szCs w:val="22"/>
        </w:rPr>
      </w:pPr>
      <w:r>
        <w:rPr>
          <w:rFonts w:ascii="Calibri" w:hAnsi="Calibri" w:cs="Calibri"/>
          <w:sz w:val="22"/>
          <w:szCs w:val="22"/>
        </w:rPr>
        <w:t xml:space="preserve">The Committee also notes that, in addition to what is set out in the explanatory statements for these instruments, the Chief Minister confirmed the non-prejudicial operation of the instruments, in his response to the Committee’s comments on the </w:t>
      </w:r>
      <w:hyperlink r:id="rId28" w:history="1">
        <w:r w:rsidRPr="002D2761">
          <w:rPr>
            <w:rStyle w:val="Hyperlink"/>
            <w:rFonts w:ascii="Calibri" w:hAnsi="Calibri" w:cs="Calibri"/>
            <w:sz w:val="22"/>
            <w:szCs w:val="22"/>
          </w:rPr>
          <w:t>Taxation Administration (Owner Occupier Duty) COVID-19 Exemption Scheme Determination 2020</w:t>
        </w:r>
      </w:hyperlink>
      <w:r w:rsidR="002D2761">
        <w:rPr>
          <w:rFonts w:ascii="Calibri" w:hAnsi="Calibri" w:cs="Calibri"/>
          <w:sz w:val="22"/>
          <w:szCs w:val="22"/>
        </w:rPr>
        <w:t xml:space="preserve"> </w:t>
      </w:r>
      <w:r w:rsidR="002D2761" w:rsidRPr="00E17293">
        <w:rPr>
          <w:rFonts w:ascii="Calibri" w:hAnsi="Calibri" w:cs="Calibri"/>
          <w:sz w:val="22"/>
          <w:szCs w:val="22"/>
        </w:rPr>
        <w:t>(DI2020-205)</w:t>
      </w:r>
      <w:r w:rsidR="002D2761">
        <w:rPr>
          <w:rFonts w:ascii="Calibri" w:hAnsi="Calibri" w:cs="Calibri"/>
          <w:sz w:val="22"/>
          <w:szCs w:val="22"/>
        </w:rPr>
        <w:t>,</w:t>
      </w:r>
      <w:r w:rsidR="00872007">
        <w:rPr>
          <w:rStyle w:val="FootnoteReference"/>
          <w:rFonts w:ascii="Calibri" w:hAnsi="Calibri" w:cs="Calibri"/>
          <w:sz w:val="22"/>
          <w:szCs w:val="22"/>
        </w:rPr>
        <w:footnoteReference w:id="2"/>
      </w:r>
      <w:r>
        <w:rPr>
          <w:rFonts w:ascii="Calibri" w:hAnsi="Calibri" w:cs="Calibri"/>
          <w:sz w:val="22"/>
          <w:szCs w:val="22"/>
        </w:rPr>
        <w:t xml:space="preserve"> dated 19 August 2020.</w:t>
      </w:r>
    </w:p>
    <w:p w:rsidR="000378E4" w:rsidRDefault="000378E4" w:rsidP="00AF16A6">
      <w:pPr>
        <w:pStyle w:val="NormalWeb"/>
        <w:rPr>
          <w:rFonts w:ascii="Calibri" w:hAnsi="Calibri" w:cs="Calibri"/>
          <w:b/>
          <w:bCs/>
          <w:sz w:val="22"/>
          <w:szCs w:val="22"/>
        </w:rPr>
      </w:pPr>
      <w:r>
        <w:rPr>
          <w:rFonts w:ascii="Calibri" w:hAnsi="Calibri" w:cs="Calibri"/>
          <w:b/>
          <w:bCs/>
          <w:sz w:val="22"/>
          <w:szCs w:val="22"/>
        </w:rPr>
        <w:t>This comment does not require a response from the Minister.</w:t>
      </w:r>
    </w:p>
    <w:p w:rsidR="000378E4" w:rsidRPr="00AF16A6" w:rsidRDefault="000378E4" w:rsidP="00AF16A6">
      <w:pPr>
        <w:pStyle w:val="Heading4nonumber"/>
        <w:rPr>
          <w:sz w:val="22"/>
          <w:szCs w:val="22"/>
        </w:rPr>
      </w:pPr>
      <w:bookmarkStart w:id="601" w:name="_Hlk49933603"/>
      <w:r w:rsidRPr="00AF16A6">
        <w:rPr>
          <w:sz w:val="22"/>
          <w:szCs w:val="22"/>
        </w:rPr>
        <w:lastRenderedPageBreak/>
        <w:t>Why has it taken so long to notify this instrument? / Human rights issues</w:t>
      </w:r>
    </w:p>
    <w:bookmarkEnd w:id="601"/>
    <w:p w:rsidR="000378E4" w:rsidRPr="00A20C7C" w:rsidRDefault="000378E4" w:rsidP="00B17ACF">
      <w:pPr>
        <w:pStyle w:val="NormalWeb"/>
        <w:spacing w:before="120" w:after="120" w:line="240" w:lineRule="auto"/>
        <w:rPr>
          <w:rFonts w:ascii="Calibri" w:hAnsi="Calibri" w:cs="Calibri"/>
          <w:b/>
          <w:bCs/>
          <w:sz w:val="22"/>
          <w:szCs w:val="22"/>
        </w:rPr>
      </w:pPr>
      <w:r w:rsidRPr="00A20C7C">
        <w:rPr>
          <w:rFonts w:ascii="Calibri" w:hAnsi="Calibri" w:cs="Calibri"/>
          <w:b/>
          <w:sz w:val="22"/>
          <w:szCs w:val="22"/>
        </w:rPr>
        <w:t xml:space="preserve">Disallowable Instrument DI2020-249 being the Electricity Feed-in (Large-scale Renewable Energy Generation) Renewable Energy Source Declaration 2020 made under section 6 of the </w:t>
      </w:r>
      <w:r w:rsidRPr="00A20C7C">
        <w:rPr>
          <w:rFonts w:ascii="Calibri" w:hAnsi="Calibri" w:cs="Calibri"/>
          <w:i/>
          <w:sz w:val="22"/>
          <w:szCs w:val="22"/>
        </w:rPr>
        <w:t>Electricity Feed-in (Large-scale Renewable Energy Generation) Act 2011</w:t>
      </w:r>
      <w:r w:rsidRPr="00A20C7C">
        <w:rPr>
          <w:rFonts w:ascii="Calibri" w:hAnsi="Calibri" w:cs="Calibri"/>
          <w:b/>
          <w:sz w:val="22"/>
          <w:szCs w:val="22"/>
        </w:rPr>
        <w:t xml:space="preserve"> declares a number of new renewable energy sources, in accordance with the Act.</w:t>
      </w:r>
    </w:p>
    <w:p w:rsidR="000378E4" w:rsidRDefault="000378E4" w:rsidP="00AF16A6">
      <w:pPr>
        <w:pStyle w:val="NormalWeb"/>
        <w:rPr>
          <w:rFonts w:ascii="Calibri" w:hAnsi="Calibri" w:cs="Calibri"/>
          <w:iCs/>
          <w:sz w:val="22"/>
          <w:szCs w:val="22"/>
        </w:rPr>
      </w:pPr>
      <w:r>
        <w:rPr>
          <w:rFonts w:ascii="Calibri" w:hAnsi="Calibri" w:cs="Calibri"/>
          <w:sz w:val="22"/>
          <w:szCs w:val="22"/>
        </w:rPr>
        <w:t xml:space="preserve">This instrument declares a number of new “renewable energy sources”, for section 6 of the </w:t>
      </w:r>
      <w:r w:rsidRPr="00521B03">
        <w:rPr>
          <w:rFonts w:ascii="Calibri" w:hAnsi="Calibri" w:cs="Calibri"/>
          <w:i/>
          <w:sz w:val="22"/>
          <w:szCs w:val="22"/>
        </w:rPr>
        <w:t>Electricity Feed-in (Large-scale Renewable Energy Generation) Act 2011</w:t>
      </w:r>
      <w:r>
        <w:rPr>
          <w:rFonts w:ascii="Calibri" w:hAnsi="Calibri" w:cs="Calibri"/>
          <w:iCs/>
          <w:sz w:val="22"/>
          <w:szCs w:val="22"/>
        </w:rPr>
        <w:t>.</w:t>
      </w:r>
    </w:p>
    <w:p w:rsidR="000378E4" w:rsidRDefault="000378E4" w:rsidP="00AF16A6">
      <w:pPr>
        <w:pStyle w:val="NormalWeb"/>
        <w:rPr>
          <w:rFonts w:ascii="Calibri" w:hAnsi="Calibri" w:cs="Calibri"/>
          <w:iCs/>
          <w:sz w:val="22"/>
          <w:szCs w:val="22"/>
        </w:rPr>
      </w:pPr>
      <w:r>
        <w:rPr>
          <w:rFonts w:ascii="Calibri" w:hAnsi="Calibri" w:cs="Calibri"/>
          <w:iCs/>
          <w:sz w:val="22"/>
          <w:szCs w:val="22"/>
        </w:rPr>
        <w:t>The Committee notes that the instrument is dated 10 November 2019</w:t>
      </w:r>
      <w:r w:rsidR="00B17ACF">
        <w:rPr>
          <w:rFonts w:ascii="Calibri" w:hAnsi="Calibri" w:cs="Calibri"/>
          <w:iCs/>
          <w:sz w:val="22"/>
          <w:szCs w:val="22"/>
        </w:rPr>
        <w:t>,</w:t>
      </w:r>
      <w:r>
        <w:rPr>
          <w:rFonts w:ascii="Calibri" w:hAnsi="Calibri" w:cs="Calibri"/>
          <w:iCs/>
          <w:sz w:val="22"/>
          <w:szCs w:val="22"/>
        </w:rPr>
        <w:t xml:space="preserve"> but was not notified on the ACT Legislation Register until 24 August 2020.  The Committee cannot identify any explanation for this delay in notification.</w:t>
      </w:r>
    </w:p>
    <w:p w:rsidR="000378E4" w:rsidRDefault="000378E4" w:rsidP="00AF16A6">
      <w:pPr>
        <w:pStyle w:val="NormalWeb"/>
        <w:rPr>
          <w:rFonts w:ascii="Calibri" w:hAnsi="Calibri" w:cs="Calibri"/>
          <w:iCs/>
          <w:sz w:val="22"/>
          <w:szCs w:val="22"/>
        </w:rPr>
      </w:pPr>
      <w:r>
        <w:rPr>
          <w:rFonts w:ascii="Calibri" w:hAnsi="Calibri" w:cs="Calibri"/>
          <w:iCs/>
          <w:sz w:val="22"/>
          <w:szCs w:val="22"/>
        </w:rPr>
        <w:t xml:space="preserve">In making this comment, the Committee notes that it has not identified, in the </w:t>
      </w:r>
      <w:r>
        <w:rPr>
          <w:rFonts w:ascii="Calibri" w:hAnsi="Calibri" w:cs="Calibri"/>
          <w:i/>
          <w:sz w:val="22"/>
          <w:szCs w:val="22"/>
        </w:rPr>
        <w:t>Legislation Act 2001</w:t>
      </w:r>
      <w:r>
        <w:rPr>
          <w:rFonts w:ascii="Calibri" w:hAnsi="Calibri" w:cs="Calibri"/>
          <w:iCs/>
          <w:sz w:val="22"/>
          <w:szCs w:val="22"/>
        </w:rPr>
        <w:t>, a formal requirement that an instrument be notified within a certain time after being made.  The only possibly-relevant provision appears to be section 20 of the Legislation Act, which imposes a (general) obligation on the Parliamentary Counsel, in relation to registration:</w:t>
      </w:r>
    </w:p>
    <w:p w:rsidR="000378E4" w:rsidRPr="00A20C7C" w:rsidRDefault="00B17ACF" w:rsidP="00B17ACF">
      <w:pPr>
        <w:ind w:left="1080" w:hanging="720"/>
        <w:rPr>
          <w:rFonts w:ascii="Calibri" w:hAnsi="Calibri" w:cs="Calibri"/>
        </w:rPr>
      </w:pPr>
      <w:r>
        <w:rPr>
          <w:rFonts w:ascii="Calibri" w:hAnsi="Calibri" w:cs="Calibri"/>
          <w:b/>
          <w:bCs/>
          <w:color w:val="000000"/>
        </w:rPr>
        <w:t>20</w:t>
      </w:r>
      <w:r>
        <w:rPr>
          <w:rFonts w:ascii="Calibri" w:hAnsi="Calibri" w:cs="Calibri"/>
          <w:b/>
          <w:bCs/>
          <w:color w:val="000000"/>
        </w:rPr>
        <w:tab/>
      </w:r>
      <w:r w:rsidR="000378E4" w:rsidRPr="00A20C7C">
        <w:rPr>
          <w:rFonts w:ascii="Calibri" w:hAnsi="Calibri" w:cs="Calibri"/>
          <w:b/>
          <w:bCs/>
          <w:color w:val="000000"/>
        </w:rPr>
        <w:t>Prompt registration</w:t>
      </w:r>
    </w:p>
    <w:p w:rsidR="000378E4" w:rsidRPr="00A20C7C" w:rsidRDefault="000378E4" w:rsidP="00B17ACF">
      <w:pPr>
        <w:ind w:left="1080"/>
        <w:rPr>
          <w:rFonts w:ascii="Calibri" w:hAnsi="Calibri" w:cs="Calibri"/>
          <w:color w:val="000000"/>
        </w:rPr>
      </w:pPr>
      <w:r w:rsidRPr="00A20C7C">
        <w:rPr>
          <w:rFonts w:ascii="Calibri" w:hAnsi="Calibri" w:cs="Calibri"/>
          <w:color w:val="000000"/>
        </w:rPr>
        <w:t>The parliamentary counsel must ensure that anything the parliamentary counsel is required to do in relation to the register is done promptly.</w:t>
      </w:r>
    </w:p>
    <w:p w:rsidR="000378E4" w:rsidRPr="00A20C7C" w:rsidRDefault="000378E4" w:rsidP="00AF16A6">
      <w:pPr>
        <w:rPr>
          <w:rFonts w:ascii="Calibri" w:hAnsi="Calibri" w:cs="Calibri"/>
          <w:color w:val="000000"/>
        </w:rPr>
      </w:pPr>
      <w:r w:rsidRPr="00A20C7C">
        <w:rPr>
          <w:rFonts w:ascii="Calibri" w:hAnsi="Calibri" w:cs="Calibri"/>
          <w:color w:val="000000"/>
        </w:rPr>
        <w:t>In making this comment, the Committee notes that there is no issue with retrospective operation of the instrument.  Section 2 of the instrument provides that the instrument commences on the day after its notification.</w:t>
      </w:r>
    </w:p>
    <w:p w:rsidR="000378E4" w:rsidRPr="00A20C7C" w:rsidRDefault="000378E4" w:rsidP="00AF16A6">
      <w:pPr>
        <w:rPr>
          <w:rFonts w:ascii="Calibri" w:hAnsi="Calibri" w:cs="Calibri"/>
          <w:b/>
          <w:bCs/>
          <w:color w:val="000000"/>
        </w:rPr>
      </w:pPr>
      <w:r w:rsidRPr="00A20C7C">
        <w:rPr>
          <w:rFonts w:ascii="Calibri" w:hAnsi="Calibri" w:cs="Calibri"/>
          <w:b/>
          <w:bCs/>
          <w:color w:val="000000"/>
        </w:rPr>
        <w:t>The Committee seeks the Minister’s advice as to why there was a delay in notifying this instrument.</w:t>
      </w:r>
    </w:p>
    <w:p w:rsidR="000378E4" w:rsidRPr="00A20C7C" w:rsidRDefault="000378E4" w:rsidP="00AF16A6">
      <w:pPr>
        <w:rPr>
          <w:rFonts w:ascii="Calibri" w:hAnsi="Calibri" w:cs="Calibri"/>
          <w:b/>
          <w:bCs/>
          <w:color w:val="000000"/>
        </w:rPr>
      </w:pPr>
      <w:r w:rsidRPr="00A20C7C">
        <w:rPr>
          <w:rFonts w:ascii="Calibri" w:hAnsi="Calibri" w:cs="Calibri"/>
          <w:b/>
          <w:bCs/>
          <w:color w:val="000000"/>
        </w:rPr>
        <w:t>This comment requires a response from the Minister.</w:t>
      </w:r>
    </w:p>
    <w:p w:rsidR="000378E4" w:rsidRPr="00A20C7C" w:rsidRDefault="000378E4" w:rsidP="00AF16A6">
      <w:pPr>
        <w:rPr>
          <w:rFonts w:ascii="Calibri" w:hAnsi="Calibri" w:cs="Calibri"/>
          <w:color w:val="000000"/>
        </w:rPr>
      </w:pPr>
      <w:r w:rsidRPr="00A20C7C">
        <w:rPr>
          <w:rFonts w:ascii="Calibri" w:hAnsi="Calibri" w:cs="Calibri"/>
          <w:color w:val="000000"/>
        </w:rPr>
        <w:t>The Committee notes that the explanatory statement for this instrument discusses potential human rights implications for the instrument.  It states:</w:t>
      </w:r>
    </w:p>
    <w:p w:rsidR="000378E4" w:rsidRPr="00A20C7C" w:rsidRDefault="000378E4" w:rsidP="00B17ACF">
      <w:pPr>
        <w:autoSpaceDE w:val="0"/>
        <w:autoSpaceDN w:val="0"/>
        <w:adjustRightInd w:val="0"/>
        <w:ind w:left="1080" w:hanging="720"/>
        <w:rPr>
          <w:rFonts w:ascii="Calibri" w:hAnsi="Calibri" w:cs="Calibri"/>
          <w:b/>
        </w:rPr>
      </w:pPr>
      <w:r w:rsidRPr="00A20C7C">
        <w:rPr>
          <w:rFonts w:ascii="Calibri" w:hAnsi="Calibri" w:cs="Calibri"/>
          <w:b/>
        </w:rPr>
        <w:t>Human Rights</w:t>
      </w:r>
    </w:p>
    <w:p w:rsidR="000378E4" w:rsidRPr="00A20C7C" w:rsidRDefault="000378E4" w:rsidP="00B17ACF">
      <w:pPr>
        <w:autoSpaceDE w:val="0"/>
        <w:autoSpaceDN w:val="0"/>
        <w:adjustRightInd w:val="0"/>
        <w:ind w:left="1080" w:hanging="720"/>
        <w:rPr>
          <w:rFonts w:ascii="Calibri" w:hAnsi="Calibri" w:cs="Calibri"/>
        </w:rPr>
      </w:pPr>
      <w:r w:rsidRPr="00A20C7C">
        <w:rPr>
          <w:rFonts w:ascii="Calibri" w:hAnsi="Calibri" w:cs="Calibri"/>
        </w:rPr>
        <w:t>This instrument does not engage with or limit any human rights.</w:t>
      </w:r>
    </w:p>
    <w:p w:rsidR="000378E4" w:rsidRPr="00A20C7C" w:rsidRDefault="000378E4" w:rsidP="00AF16A6">
      <w:pPr>
        <w:autoSpaceDE w:val="0"/>
        <w:autoSpaceDN w:val="0"/>
        <w:adjustRightInd w:val="0"/>
        <w:rPr>
          <w:rFonts w:ascii="Calibri" w:hAnsi="Calibri" w:cs="Calibri"/>
          <w:bCs/>
        </w:rPr>
      </w:pPr>
      <w:bookmarkStart w:id="602" w:name="_Hlk20141018"/>
      <w:r w:rsidRPr="00A20C7C">
        <w:rPr>
          <w:rFonts w:ascii="Calibri" w:hAnsi="Calibri" w:cs="Calibri"/>
          <w:bCs/>
        </w:rPr>
        <w:t>The explanatory statement goes on to address the instrument’s consistency with the scrutiny principles against which the Committee examines legislation:</w:t>
      </w:r>
    </w:p>
    <w:bookmarkEnd w:id="602"/>
    <w:p w:rsidR="000378E4" w:rsidRPr="00A20C7C" w:rsidRDefault="000378E4" w:rsidP="00AF16A6">
      <w:pPr>
        <w:autoSpaceDE w:val="0"/>
        <w:autoSpaceDN w:val="0"/>
        <w:adjustRightInd w:val="0"/>
        <w:ind w:left="720"/>
        <w:rPr>
          <w:rFonts w:ascii="Calibri" w:hAnsi="Calibri" w:cs="Calibri"/>
          <w:b/>
        </w:rPr>
      </w:pPr>
      <w:r w:rsidRPr="00A20C7C">
        <w:rPr>
          <w:rFonts w:ascii="Calibri" w:hAnsi="Calibri" w:cs="Calibri"/>
          <w:b/>
        </w:rPr>
        <w:t>Scrutiny of Bills Committee Principles</w:t>
      </w:r>
    </w:p>
    <w:p w:rsidR="000378E4" w:rsidRPr="00A20C7C" w:rsidRDefault="000378E4" w:rsidP="00AF16A6">
      <w:pPr>
        <w:autoSpaceDE w:val="0"/>
        <w:autoSpaceDN w:val="0"/>
        <w:adjustRightInd w:val="0"/>
        <w:ind w:left="720"/>
        <w:rPr>
          <w:rFonts w:ascii="Calibri" w:hAnsi="Calibri" w:cs="Calibri"/>
        </w:rPr>
      </w:pPr>
      <w:r w:rsidRPr="00A20C7C">
        <w:rPr>
          <w:rFonts w:ascii="Calibri" w:hAnsi="Calibri" w:cs="Calibri"/>
        </w:rPr>
        <w:t>This instrument is consistent with the Scrutiny of Bills Committee Principles in that it:</w:t>
      </w:r>
    </w:p>
    <w:p w:rsidR="000378E4" w:rsidRPr="00A20C7C" w:rsidRDefault="000378E4" w:rsidP="00B17ACF">
      <w:pPr>
        <w:pStyle w:val="ListParagraph"/>
        <w:numPr>
          <w:ilvl w:val="0"/>
          <w:numId w:val="29"/>
        </w:numPr>
        <w:autoSpaceDE w:val="0"/>
        <w:autoSpaceDN w:val="0"/>
        <w:adjustRightInd w:val="0"/>
        <w:spacing w:before="0" w:after="0"/>
        <w:ind w:left="1440" w:hanging="446"/>
        <w:contextualSpacing w:val="0"/>
        <w:rPr>
          <w:rFonts w:cs="Calibri"/>
        </w:rPr>
      </w:pPr>
      <w:r w:rsidRPr="00A20C7C">
        <w:rPr>
          <w:rFonts w:cs="Calibri"/>
        </w:rPr>
        <w:t>Does not unduly trespass on personal rights and liberties;</w:t>
      </w:r>
    </w:p>
    <w:p w:rsidR="000378E4" w:rsidRPr="00A20C7C" w:rsidRDefault="000378E4" w:rsidP="00B17ACF">
      <w:pPr>
        <w:pStyle w:val="ListParagraph"/>
        <w:numPr>
          <w:ilvl w:val="0"/>
          <w:numId w:val="29"/>
        </w:numPr>
        <w:autoSpaceDE w:val="0"/>
        <w:autoSpaceDN w:val="0"/>
        <w:adjustRightInd w:val="0"/>
        <w:spacing w:before="0" w:after="0"/>
        <w:ind w:left="1440" w:hanging="446"/>
        <w:contextualSpacing w:val="0"/>
        <w:rPr>
          <w:rFonts w:cs="Calibri"/>
        </w:rPr>
      </w:pPr>
      <w:r w:rsidRPr="00A20C7C">
        <w:rPr>
          <w:rFonts w:cs="Calibri"/>
        </w:rPr>
        <w:t>Does not make rights, liberties, and/or obligations unduly dependent upon insufficiently defined administrative powers;</w:t>
      </w:r>
    </w:p>
    <w:p w:rsidR="000378E4" w:rsidRPr="00A20C7C" w:rsidRDefault="000378E4" w:rsidP="00B17ACF">
      <w:pPr>
        <w:pStyle w:val="ListParagraph"/>
        <w:numPr>
          <w:ilvl w:val="0"/>
          <w:numId w:val="29"/>
        </w:numPr>
        <w:autoSpaceDE w:val="0"/>
        <w:autoSpaceDN w:val="0"/>
        <w:adjustRightInd w:val="0"/>
        <w:spacing w:before="0" w:after="0"/>
        <w:ind w:left="1440" w:hanging="446"/>
        <w:contextualSpacing w:val="0"/>
        <w:rPr>
          <w:rFonts w:cs="Calibri"/>
        </w:rPr>
      </w:pPr>
      <w:r w:rsidRPr="00A20C7C">
        <w:rPr>
          <w:rFonts w:cs="Calibri"/>
        </w:rPr>
        <w:t xml:space="preserve">Does not make rights, liberties and/or obligations unduly dependent upon </w:t>
      </w:r>
      <w:proofErr w:type="spellStart"/>
      <w:r w:rsidRPr="00A20C7C">
        <w:rPr>
          <w:rFonts w:cs="Calibri"/>
        </w:rPr>
        <w:t>nonreviewable</w:t>
      </w:r>
      <w:proofErr w:type="spellEnd"/>
      <w:r w:rsidRPr="00A20C7C">
        <w:rPr>
          <w:rFonts w:cs="Calibri"/>
        </w:rPr>
        <w:t xml:space="preserve"> decisions;</w:t>
      </w:r>
    </w:p>
    <w:p w:rsidR="000378E4" w:rsidRPr="00A20C7C" w:rsidRDefault="000378E4" w:rsidP="00B17ACF">
      <w:pPr>
        <w:pStyle w:val="ListParagraph"/>
        <w:numPr>
          <w:ilvl w:val="0"/>
          <w:numId w:val="29"/>
        </w:numPr>
        <w:autoSpaceDE w:val="0"/>
        <w:autoSpaceDN w:val="0"/>
        <w:adjustRightInd w:val="0"/>
        <w:spacing w:before="0" w:after="0"/>
        <w:ind w:left="1440" w:hanging="446"/>
        <w:contextualSpacing w:val="0"/>
        <w:rPr>
          <w:rFonts w:cs="Calibri"/>
        </w:rPr>
      </w:pPr>
      <w:r w:rsidRPr="00A20C7C">
        <w:rPr>
          <w:rFonts w:cs="Calibri"/>
        </w:rPr>
        <w:t>Does not inappropriately delegate legislative powers; and</w:t>
      </w:r>
    </w:p>
    <w:p w:rsidR="000378E4" w:rsidRPr="00A20C7C" w:rsidRDefault="000378E4" w:rsidP="00B17ACF">
      <w:pPr>
        <w:pStyle w:val="ListParagraph"/>
        <w:numPr>
          <w:ilvl w:val="0"/>
          <w:numId w:val="29"/>
        </w:numPr>
        <w:autoSpaceDE w:val="0"/>
        <w:autoSpaceDN w:val="0"/>
        <w:adjustRightInd w:val="0"/>
        <w:spacing w:before="0" w:after="0"/>
        <w:ind w:left="1440" w:hanging="446"/>
        <w:contextualSpacing w:val="0"/>
        <w:rPr>
          <w:rFonts w:cs="Calibri"/>
        </w:rPr>
      </w:pPr>
      <w:r w:rsidRPr="00A20C7C">
        <w:rPr>
          <w:rFonts w:cs="Calibri"/>
        </w:rPr>
        <w:lastRenderedPageBreak/>
        <w:t>Does not insufficiently subject the exercise of legislative power to parliamentary scrutiny</w:t>
      </w:r>
    </w:p>
    <w:p w:rsidR="000378E4" w:rsidRPr="00A20C7C" w:rsidRDefault="000378E4" w:rsidP="00AF16A6">
      <w:pPr>
        <w:rPr>
          <w:rFonts w:ascii="Calibri" w:hAnsi="Calibri" w:cs="Calibri"/>
          <w:color w:val="000000"/>
        </w:rPr>
      </w:pPr>
      <w:r w:rsidRPr="00A20C7C">
        <w:rPr>
          <w:rFonts w:ascii="Calibri" w:hAnsi="Calibri" w:cs="Calibri"/>
          <w:color w:val="000000"/>
        </w:rPr>
        <w:t xml:space="preserve">While the Committee notes that the principles listed in the explanatory statement do not </w:t>
      </w:r>
      <w:r w:rsidRPr="00A20C7C">
        <w:rPr>
          <w:rFonts w:ascii="Calibri" w:hAnsi="Calibri" w:cs="Calibri"/>
          <w:i/>
          <w:iCs/>
          <w:color w:val="000000"/>
        </w:rPr>
        <w:t>precisely</w:t>
      </w:r>
      <w:r w:rsidRPr="00A20C7C">
        <w:rPr>
          <w:rFonts w:ascii="Calibri" w:hAnsi="Calibri" w:cs="Calibri"/>
          <w:color w:val="000000"/>
        </w:rPr>
        <w:t xml:space="preserve"> correspond to the principles against which the Committee examines subordinate legislation (set out in principle (1) of the Committee’s terms of reference), the information provided is, nevertheless, of assistance.</w:t>
      </w:r>
    </w:p>
    <w:p w:rsidR="000378E4" w:rsidRPr="000C60C8" w:rsidRDefault="000378E4" w:rsidP="00AF16A6">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 xml:space="preserve">is </w:t>
      </w:r>
      <w:r w:rsidRPr="00A66BED">
        <w:rPr>
          <w:rFonts w:ascii="Calibri" w:hAnsi="Calibri" w:cs="Calibri"/>
          <w:b/>
          <w:bCs/>
        </w:rPr>
        <w:t>instrument.</w:t>
      </w:r>
    </w:p>
    <w:p w:rsidR="000378E4" w:rsidRDefault="000378E4" w:rsidP="00AF16A6">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w:t>
      </w:r>
      <w:r>
        <w:rPr>
          <w:rFonts w:ascii="Calibri" w:hAnsi="Calibri" w:cs="Calibri"/>
          <w:b/>
          <w:bCs/>
          <w:sz w:val="22"/>
          <w:szCs w:val="22"/>
          <w:lang w:eastAsia="en-AU"/>
        </w:rPr>
        <w:t>e</w:t>
      </w:r>
      <w:r w:rsidRPr="00A66BED">
        <w:rPr>
          <w:rFonts w:ascii="Calibri" w:hAnsi="Calibri" w:cs="Calibri"/>
          <w:b/>
          <w:bCs/>
          <w:sz w:val="22"/>
          <w:szCs w:val="22"/>
          <w:lang w:eastAsia="en-AU"/>
        </w:rPr>
        <w:t xml:space="preserve"> comment </w:t>
      </w:r>
      <w:r>
        <w:rPr>
          <w:rFonts w:ascii="Calibri" w:hAnsi="Calibri" w:cs="Calibri"/>
          <w:b/>
          <w:bCs/>
          <w:sz w:val="22"/>
          <w:szCs w:val="22"/>
          <w:lang w:eastAsia="en-AU"/>
        </w:rPr>
        <w:t xml:space="preserve">immediately above </w:t>
      </w:r>
      <w:r w:rsidRPr="00A66BED">
        <w:rPr>
          <w:rFonts w:ascii="Calibri" w:hAnsi="Calibri" w:cs="Calibri"/>
          <w:b/>
          <w:bCs/>
          <w:sz w:val="22"/>
          <w:szCs w:val="22"/>
          <w:lang w:eastAsia="en-AU"/>
        </w:rPr>
        <w:t>does not require a response from the Minister.</w:t>
      </w:r>
    </w:p>
    <w:p w:rsidR="000378E4" w:rsidRPr="00AF16A6" w:rsidRDefault="000378E4" w:rsidP="00AF16A6">
      <w:pPr>
        <w:pStyle w:val="Heading4nonumber"/>
        <w:rPr>
          <w:sz w:val="22"/>
          <w:szCs w:val="22"/>
        </w:rPr>
      </w:pPr>
      <w:r w:rsidRPr="00AF16A6">
        <w:rPr>
          <w:sz w:val="22"/>
          <w:szCs w:val="22"/>
        </w:rPr>
        <w:t>Why has it taken so long to notify this instrument? / Human rights issues</w:t>
      </w:r>
    </w:p>
    <w:p w:rsidR="000378E4" w:rsidRPr="00842199" w:rsidRDefault="000378E4" w:rsidP="00B17ACF">
      <w:pPr>
        <w:pStyle w:val="Bodycopy"/>
        <w:tabs>
          <w:tab w:val="clear" w:pos="1276"/>
          <w:tab w:val="left" w:pos="360"/>
        </w:tabs>
        <w:spacing w:before="160" w:after="160" w:line="280" w:lineRule="exact"/>
        <w:rPr>
          <w:b/>
        </w:rPr>
      </w:pPr>
      <w:r>
        <w:rPr>
          <w:b/>
        </w:rPr>
        <w:t>Disallowable Instrument</w:t>
      </w:r>
      <w:r w:rsidRPr="00451C85">
        <w:rPr>
          <w:b/>
        </w:rPr>
        <w:t xml:space="preserve"> </w:t>
      </w:r>
      <w:r>
        <w:rPr>
          <w:b/>
        </w:rPr>
        <w:t>DI2020-250</w:t>
      </w:r>
      <w:r w:rsidRPr="00451C85">
        <w:rPr>
          <w:b/>
        </w:rPr>
        <w:t xml:space="preserve"> being the </w:t>
      </w:r>
      <w:r>
        <w:rPr>
          <w:b/>
        </w:rPr>
        <w:t xml:space="preserve">Electricity Feed-in (Large-scale Renewable Energy Generation) </w:t>
      </w:r>
      <w:proofErr w:type="spellStart"/>
      <w:r>
        <w:rPr>
          <w:b/>
        </w:rPr>
        <w:t>FiT</w:t>
      </w:r>
      <w:proofErr w:type="spellEnd"/>
      <w:r>
        <w:rPr>
          <w:b/>
        </w:rPr>
        <w:t xml:space="preserve"> Capacity Release Determination 2020 (No 1) made under section 10 of the </w:t>
      </w:r>
      <w:r>
        <w:rPr>
          <w:i/>
        </w:rPr>
        <w:t>Electricity Feed-in (Large-scale Renewable Energy Generation) Act 2011</w:t>
      </w:r>
      <w:r w:rsidRPr="00236BDD">
        <w:rPr>
          <w:b/>
        </w:rPr>
        <w:t xml:space="preserve"> </w:t>
      </w:r>
      <w:r>
        <w:rPr>
          <w:b/>
        </w:rPr>
        <w:t xml:space="preserve">allows 250 MW to be released in the form of an energy auction to be conducted by the Environment, Planning and Sustainable Development Directorates in 2019 and 2020. </w:t>
      </w:r>
    </w:p>
    <w:p w:rsidR="000378E4" w:rsidRDefault="000378E4" w:rsidP="00AF16A6">
      <w:pPr>
        <w:rPr>
          <w:rFonts w:ascii="Calibri" w:hAnsi="Calibri" w:cs="Calibri"/>
          <w:color w:val="000000"/>
        </w:rPr>
      </w:pPr>
      <w:r w:rsidRPr="00A20C7C">
        <w:rPr>
          <w:rFonts w:ascii="Calibri" w:hAnsi="Calibri" w:cs="Calibri"/>
          <w:color w:val="000000"/>
        </w:rPr>
        <w:t xml:space="preserve">This instrument, made under section 10 of </w:t>
      </w:r>
      <w:r w:rsidRPr="00A20C7C">
        <w:rPr>
          <w:rFonts w:ascii="Calibri" w:hAnsi="Calibri" w:cs="Calibri"/>
          <w:i/>
          <w:iCs/>
          <w:color w:val="000000"/>
        </w:rPr>
        <w:t xml:space="preserve">the </w:t>
      </w:r>
      <w:r w:rsidRPr="0033065E">
        <w:rPr>
          <w:rFonts w:ascii="Calibri" w:hAnsi="Calibri" w:cs="Calibri"/>
          <w:i/>
          <w:iCs/>
          <w:color w:val="000000"/>
        </w:rPr>
        <w:t>Electricity Feed-in (Large-scale Renewable Energy Generation) Act 2011</w:t>
      </w:r>
      <w:r>
        <w:rPr>
          <w:rFonts w:ascii="Calibri" w:hAnsi="Calibri" w:cs="Calibri"/>
          <w:color w:val="000000"/>
        </w:rPr>
        <w:t>, determines a “</w:t>
      </w:r>
      <w:proofErr w:type="spellStart"/>
      <w:r>
        <w:rPr>
          <w:rFonts w:ascii="Calibri" w:hAnsi="Calibri" w:cs="Calibri"/>
          <w:color w:val="000000"/>
        </w:rPr>
        <w:t>FiT</w:t>
      </w:r>
      <w:proofErr w:type="spellEnd"/>
      <w:r>
        <w:rPr>
          <w:rFonts w:ascii="Calibri" w:hAnsi="Calibri" w:cs="Calibri"/>
          <w:color w:val="000000"/>
        </w:rPr>
        <w:t xml:space="preserve"> capacity release”.  “</w:t>
      </w:r>
      <w:proofErr w:type="spellStart"/>
      <w:r>
        <w:rPr>
          <w:rFonts w:ascii="Calibri" w:hAnsi="Calibri" w:cs="Calibri"/>
          <w:color w:val="000000"/>
        </w:rPr>
        <w:t>FiT</w:t>
      </w:r>
      <w:proofErr w:type="spellEnd"/>
      <w:r>
        <w:rPr>
          <w:rFonts w:ascii="Calibri" w:hAnsi="Calibri" w:cs="Calibri"/>
          <w:color w:val="000000"/>
        </w:rPr>
        <w:t>” refers to “feed-in tariffs”, which can be granted to renewable energy generators.  According to the explanatory statement for this instrument:</w:t>
      </w:r>
    </w:p>
    <w:p w:rsidR="000378E4" w:rsidRPr="00A20C7C" w:rsidRDefault="000378E4" w:rsidP="00B17ACF">
      <w:pPr>
        <w:autoSpaceDE w:val="0"/>
        <w:autoSpaceDN w:val="0"/>
        <w:adjustRightInd w:val="0"/>
        <w:ind w:left="360"/>
        <w:rPr>
          <w:rFonts w:ascii="Calibri" w:hAnsi="Calibri" w:cs="Calibri"/>
        </w:rPr>
      </w:pPr>
      <w:proofErr w:type="spellStart"/>
      <w:r w:rsidRPr="00A20C7C">
        <w:rPr>
          <w:rFonts w:ascii="Calibri" w:hAnsi="Calibri" w:cs="Calibri"/>
        </w:rPr>
        <w:t>FiTs</w:t>
      </w:r>
      <w:proofErr w:type="spellEnd"/>
      <w:r w:rsidRPr="00A20C7C">
        <w:rPr>
          <w:rFonts w:ascii="Calibri" w:hAnsi="Calibri" w:cs="Calibri"/>
        </w:rPr>
        <w:t xml:space="preserve"> represent a guaranteed price for the energy created by the generators.</w:t>
      </w:r>
    </w:p>
    <w:p w:rsidR="000378E4" w:rsidRPr="00A20C7C" w:rsidRDefault="000378E4" w:rsidP="00AF16A6">
      <w:pPr>
        <w:rPr>
          <w:rFonts w:ascii="Calibri" w:hAnsi="Calibri" w:cs="Calibri"/>
        </w:rPr>
      </w:pPr>
      <w:r w:rsidRPr="00A20C7C">
        <w:rPr>
          <w:rFonts w:ascii="Calibri" w:hAnsi="Calibri" w:cs="Calibri"/>
        </w:rPr>
        <w:t>A “</w:t>
      </w:r>
      <w:proofErr w:type="spellStart"/>
      <w:r w:rsidRPr="00A20C7C">
        <w:rPr>
          <w:rFonts w:ascii="Calibri" w:hAnsi="Calibri" w:cs="Calibri"/>
        </w:rPr>
        <w:t>FiT</w:t>
      </w:r>
      <w:proofErr w:type="spellEnd"/>
      <w:r w:rsidRPr="00A20C7C">
        <w:rPr>
          <w:rFonts w:ascii="Calibri" w:hAnsi="Calibri" w:cs="Calibri"/>
        </w:rPr>
        <w:t xml:space="preserve"> capacity release” is made available </w:t>
      </w:r>
      <w:r>
        <w:rPr>
          <w:rFonts w:ascii="Calibri" w:hAnsi="Calibri" w:cs="Calibri"/>
        </w:rPr>
        <w:t xml:space="preserve">in order </w:t>
      </w:r>
      <w:r w:rsidRPr="00A20C7C">
        <w:rPr>
          <w:rFonts w:ascii="Calibri" w:hAnsi="Calibri" w:cs="Calibri"/>
        </w:rPr>
        <w:t>to grant “Fit entitlements” to renewable energy generators.  In this particular case, the “</w:t>
      </w:r>
      <w:proofErr w:type="spellStart"/>
      <w:r w:rsidRPr="00A20C7C">
        <w:rPr>
          <w:rFonts w:ascii="Calibri" w:hAnsi="Calibri" w:cs="Calibri"/>
        </w:rPr>
        <w:t>FiT</w:t>
      </w:r>
      <w:proofErr w:type="spellEnd"/>
      <w:r w:rsidRPr="00A20C7C">
        <w:rPr>
          <w:rFonts w:ascii="Calibri" w:hAnsi="Calibri" w:cs="Calibri"/>
        </w:rPr>
        <w:t xml:space="preserve"> capacity release</w:t>
      </w:r>
      <w:r>
        <w:rPr>
          <w:rFonts w:ascii="Calibri" w:hAnsi="Calibri" w:cs="Calibri"/>
        </w:rPr>
        <w:t>”</w:t>
      </w:r>
      <w:r w:rsidRPr="00A20C7C">
        <w:rPr>
          <w:rFonts w:ascii="Calibri" w:hAnsi="Calibri" w:cs="Calibri"/>
        </w:rPr>
        <w:t xml:space="preserve"> is determined at 250 MW.  The explanatory statement for the instrument indicates that </w:t>
      </w:r>
    </w:p>
    <w:p w:rsidR="000378E4" w:rsidRPr="00A20C7C" w:rsidRDefault="000378E4" w:rsidP="00B17ACF">
      <w:pPr>
        <w:ind w:left="360"/>
        <w:rPr>
          <w:rFonts w:ascii="Calibri" w:hAnsi="Calibri" w:cs="Calibri"/>
        </w:rPr>
      </w:pPr>
      <w:r w:rsidRPr="00A20C7C">
        <w:rPr>
          <w:rFonts w:ascii="Calibri" w:hAnsi="Calibri" w:cs="Calibri"/>
        </w:rPr>
        <w:t xml:space="preserve">The purpose of this disallowable instrument is to determine 250 megawatts of capacity to be released in the form of a competitive process, an energy auction, to be conducted by the Environment, Planning and Sustainable Development Directorate in 2019 and 2020. A </w:t>
      </w:r>
      <w:proofErr w:type="spellStart"/>
      <w:r w:rsidRPr="00A20C7C">
        <w:rPr>
          <w:rFonts w:ascii="Calibri" w:hAnsi="Calibri" w:cs="Calibri"/>
        </w:rPr>
        <w:t>FiT</w:t>
      </w:r>
      <w:proofErr w:type="spellEnd"/>
      <w:r w:rsidRPr="00A20C7C">
        <w:rPr>
          <w:rFonts w:ascii="Calibri" w:hAnsi="Calibri" w:cs="Calibri"/>
        </w:rPr>
        <w:t xml:space="preserve"> entitlement may be granted under the release to a large-scale renewable energy generator using wind, solar or another energy source declared by the Minister to be a renewable energy source, in the ACT or another participating jurisdiction.</w:t>
      </w:r>
    </w:p>
    <w:p w:rsidR="000378E4" w:rsidRDefault="000378E4" w:rsidP="006D668E">
      <w:pPr>
        <w:keepLines/>
        <w:rPr>
          <w:rFonts w:ascii="Calibri" w:hAnsi="Calibri" w:cs="Calibri"/>
          <w:iCs/>
        </w:rPr>
      </w:pPr>
      <w:r w:rsidRPr="00A20C7C">
        <w:rPr>
          <w:rFonts w:ascii="Calibri" w:hAnsi="Calibri" w:cs="Calibri"/>
        </w:rPr>
        <w:t xml:space="preserve">The Committee notes that, as with DI2020-49 (discussed immediately above), this instrument is dated 10 November 2019 but was not notified on the ACT Legislation Register </w:t>
      </w:r>
      <w:r>
        <w:rPr>
          <w:rFonts w:ascii="Calibri" w:hAnsi="Calibri" w:cs="Calibri"/>
          <w:iCs/>
        </w:rPr>
        <w:t>until 24 August 2020.  Again, the Committee cannot identify, in the explanatory statement for the instrument, any explanation for this delay in notification.</w:t>
      </w:r>
      <w:r>
        <w:rPr>
          <w:rStyle w:val="FootnoteReference"/>
          <w:rFonts w:ascii="Calibri" w:hAnsi="Calibri"/>
          <w:iCs/>
        </w:rPr>
        <w:footnoteReference w:id="3"/>
      </w:r>
      <w:r>
        <w:rPr>
          <w:rFonts w:ascii="Calibri" w:hAnsi="Calibri" w:cs="Calibri"/>
          <w:iCs/>
        </w:rPr>
        <w:t xml:space="preserve">  Again, however, the Committee notes that (on the face of this instrument) there is no issue of retrospective operation (though the Committee returns to this issue, below).</w:t>
      </w:r>
    </w:p>
    <w:p w:rsidR="000378E4" w:rsidRDefault="000378E4" w:rsidP="00AF16A6">
      <w:pPr>
        <w:rPr>
          <w:rFonts w:ascii="Calibri" w:hAnsi="Calibri" w:cs="Calibri"/>
          <w:b/>
          <w:bCs/>
          <w:iCs/>
        </w:rPr>
      </w:pPr>
      <w:r>
        <w:rPr>
          <w:rFonts w:ascii="Calibri" w:hAnsi="Calibri" w:cs="Calibri"/>
          <w:b/>
          <w:bCs/>
          <w:iCs/>
        </w:rPr>
        <w:lastRenderedPageBreak/>
        <w:t>The Committee repeats the comments made, above, in relation to DI2020-249, in relation</w:t>
      </w:r>
      <w:r w:rsidR="006D668E">
        <w:rPr>
          <w:rFonts w:ascii="Calibri" w:hAnsi="Calibri" w:cs="Calibri"/>
          <w:b/>
          <w:bCs/>
          <w:iCs/>
        </w:rPr>
        <w:t xml:space="preserve"> to the delay in notification.</w:t>
      </w:r>
    </w:p>
    <w:p w:rsidR="000378E4" w:rsidRPr="000D7103" w:rsidRDefault="000378E4" w:rsidP="00AF16A6">
      <w:pPr>
        <w:rPr>
          <w:rFonts w:ascii="Calibri" w:hAnsi="Calibri" w:cs="Calibri"/>
          <w:b/>
          <w:bCs/>
          <w:color w:val="000000"/>
        </w:rPr>
      </w:pPr>
      <w:r w:rsidRPr="000D7103">
        <w:rPr>
          <w:rFonts w:ascii="Calibri" w:hAnsi="Calibri" w:cs="Calibri"/>
          <w:b/>
          <w:bCs/>
          <w:color w:val="000000"/>
        </w:rPr>
        <w:t>The Committee seeks the Minister’s advice as to why there was a delay in notifying this instrument.</w:t>
      </w:r>
    </w:p>
    <w:p w:rsidR="000378E4" w:rsidRPr="000D7103" w:rsidRDefault="000378E4" w:rsidP="00AF16A6">
      <w:pPr>
        <w:rPr>
          <w:rFonts w:ascii="Calibri" w:hAnsi="Calibri" w:cs="Calibri"/>
          <w:b/>
          <w:bCs/>
          <w:color w:val="000000"/>
        </w:rPr>
      </w:pPr>
      <w:r w:rsidRPr="000D7103">
        <w:rPr>
          <w:rFonts w:ascii="Calibri" w:hAnsi="Calibri" w:cs="Calibri"/>
          <w:b/>
          <w:bCs/>
          <w:color w:val="000000"/>
        </w:rPr>
        <w:t>This comment requires a response from the Minister.</w:t>
      </w:r>
    </w:p>
    <w:p w:rsidR="000378E4" w:rsidRDefault="000378E4" w:rsidP="00AF16A6">
      <w:pPr>
        <w:rPr>
          <w:rFonts w:ascii="Calibri" w:hAnsi="Calibri" w:cs="Calibri"/>
          <w:color w:val="000000"/>
        </w:rPr>
      </w:pPr>
      <w:r w:rsidRPr="000D7103">
        <w:rPr>
          <w:rFonts w:ascii="Calibri" w:hAnsi="Calibri" w:cs="Calibri"/>
          <w:color w:val="000000"/>
        </w:rPr>
        <w:t>The Committee notes that the explanatory statement for this instrument discusses potential human rights implications for the instrument</w:t>
      </w:r>
      <w:r>
        <w:rPr>
          <w:rFonts w:ascii="Calibri" w:hAnsi="Calibri" w:cs="Calibri"/>
          <w:color w:val="000000"/>
        </w:rPr>
        <w:t>, in similar terms to the discussion in the explanatory statement for DI2020-249</w:t>
      </w:r>
      <w:r w:rsidRPr="000D7103">
        <w:rPr>
          <w:rFonts w:ascii="Calibri" w:hAnsi="Calibri" w:cs="Calibri"/>
          <w:color w:val="000000"/>
        </w:rPr>
        <w:t>.</w:t>
      </w:r>
      <w:r>
        <w:rPr>
          <w:rFonts w:ascii="Calibri" w:hAnsi="Calibri" w:cs="Calibri"/>
          <w:color w:val="000000"/>
        </w:rPr>
        <w:t xml:space="preserve">  Similarly, the explanatory statement discusses the instrument against this Committee’s “scrutiny principles”.  The Committee re-iterates (in relation to this instrument) its comments (above) in relation to DI2020-249.</w:t>
      </w:r>
    </w:p>
    <w:p w:rsidR="000378E4" w:rsidRPr="000C60C8" w:rsidRDefault="000378E4" w:rsidP="00AF16A6">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 xml:space="preserve">is </w:t>
      </w:r>
      <w:r w:rsidRPr="00A66BED">
        <w:rPr>
          <w:rFonts w:ascii="Calibri" w:hAnsi="Calibri" w:cs="Calibri"/>
          <w:b/>
          <w:bCs/>
        </w:rPr>
        <w:t>instrument.</w:t>
      </w:r>
    </w:p>
    <w:p w:rsidR="000378E4" w:rsidRDefault="000378E4" w:rsidP="00AF16A6">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w:t>
      </w:r>
      <w:r>
        <w:rPr>
          <w:rFonts w:ascii="Calibri" w:hAnsi="Calibri" w:cs="Calibri"/>
          <w:b/>
          <w:bCs/>
          <w:sz w:val="22"/>
          <w:szCs w:val="22"/>
          <w:lang w:eastAsia="en-AU"/>
        </w:rPr>
        <w:t>e</w:t>
      </w:r>
      <w:r w:rsidRPr="00A66BED">
        <w:rPr>
          <w:rFonts w:ascii="Calibri" w:hAnsi="Calibri" w:cs="Calibri"/>
          <w:b/>
          <w:bCs/>
          <w:sz w:val="22"/>
          <w:szCs w:val="22"/>
          <w:lang w:eastAsia="en-AU"/>
        </w:rPr>
        <w:t xml:space="preserve"> comment </w:t>
      </w:r>
      <w:r>
        <w:rPr>
          <w:rFonts w:ascii="Calibri" w:hAnsi="Calibri" w:cs="Calibri"/>
          <w:b/>
          <w:bCs/>
          <w:sz w:val="22"/>
          <w:szCs w:val="22"/>
          <w:lang w:eastAsia="en-AU"/>
        </w:rPr>
        <w:t xml:space="preserve">immediately above </w:t>
      </w:r>
      <w:r w:rsidRPr="00A66BED">
        <w:rPr>
          <w:rFonts w:ascii="Calibri" w:hAnsi="Calibri" w:cs="Calibri"/>
          <w:b/>
          <w:bCs/>
          <w:sz w:val="22"/>
          <w:szCs w:val="22"/>
          <w:lang w:eastAsia="en-AU"/>
        </w:rPr>
        <w:t>does not require a response from the Minister.</w:t>
      </w:r>
    </w:p>
    <w:p w:rsidR="000378E4" w:rsidRPr="00AF16A6" w:rsidRDefault="000378E4" w:rsidP="00AF16A6">
      <w:pPr>
        <w:pStyle w:val="Heading4nonumber"/>
        <w:rPr>
          <w:sz w:val="22"/>
          <w:szCs w:val="22"/>
        </w:rPr>
      </w:pPr>
      <w:r w:rsidRPr="00AF16A6">
        <w:rPr>
          <w:sz w:val="22"/>
          <w:szCs w:val="22"/>
        </w:rPr>
        <w:t xml:space="preserve">Interaction of instrument with Electricity Feed-in (Large-scale Renewable Energy Generation) Bill 2020 </w:t>
      </w:r>
    </w:p>
    <w:p w:rsidR="00ED7CDA" w:rsidRPr="00ED7CDA" w:rsidRDefault="000378E4" w:rsidP="00AF16A6">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 xml:space="preserve">The Committee has indicated above that, </w:t>
      </w:r>
      <w:r>
        <w:rPr>
          <w:rFonts w:ascii="Calibri" w:hAnsi="Calibri" w:cs="Calibri"/>
          <w:sz w:val="22"/>
          <w:szCs w:val="22"/>
          <w:u w:val="single"/>
          <w:lang w:eastAsia="en-AU"/>
        </w:rPr>
        <w:t>on the face of this instrument</w:t>
      </w:r>
      <w:r>
        <w:rPr>
          <w:rFonts w:ascii="Calibri" w:hAnsi="Calibri" w:cs="Calibri"/>
          <w:sz w:val="22"/>
          <w:szCs w:val="22"/>
          <w:lang w:eastAsia="en-AU"/>
        </w:rPr>
        <w:t>, the delay in notification does not create any issue with retrospectivity, since the instrument did not commence until the day after the day that it was notified on the ACT Legislation Register (</w:t>
      </w:r>
      <w:proofErr w:type="spellStart"/>
      <w:r>
        <w:rPr>
          <w:rFonts w:ascii="Calibri" w:hAnsi="Calibri" w:cs="Calibri"/>
          <w:sz w:val="22"/>
          <w:szCs w:val="22"/>
          <w:lang w:eastAsia="en-AU"/>
        </w:rPr>
        <w:t>ie</w:t>
      </w:r>
      <w:proofErr w:type="spellEnd"/>
      <w:r>
        <w:rPr>
          <w:rFonts w:ascii="Calibri" w:hAnsi="Calibri" w:cs="Calibri"/>
          <w:sz w:val="22"/>
          <w:szCs w:val="22"/>
          <w:lang w:eastAsia="en-AU"/>
        </w:rPr>
        <w:t xml:space="preserve"> 24 August 2020).  However, this proposition is undermined by the effect of the </w:t>
      </w:r>
      <w:r w:rsidRPr="00272507">
        <w:rPr>
          <w:rFonts w:ascii="Calibri" w:hAnsi="Calibri" w:cs="Calibri"/>
          <w:i/>
          <w:iCs/>
          <w:sz w:val="22"/>
          <w:szCs w:val="22"/>
          <w:lang w:eastAsia="en-AU"/>
        </w:rPr>
        <w:t>Electricity Feed-in (Large-scale Renewable Energy Generation) Bill 2020</w:t>
      </w:r>
      <w:r>
        <w:rPr>
          <w:rFonts w:ascii="Calibri" w:hAnsi="Calibri" w:cs="Calibri"/>
          <w:sz w:val="22"/>
          <w:szCs w:val="22"/>
          <w:lang w:eastAsia="en-AU"/>
        </w:rPr>
        <w:t xml:space="preserve">, which was presented to the Legislative Assembly on 27 August 2020 and passed by the Legislative Assembly, on that day. </w:t>
      </w:r>
      <w:r w:rsidRPr="00ED7CDA">
        <w:rPr>
          <w:rFonts w:ascii="Calibri" w:hAnsi="Calibri" w:cs="Calibri"/>
          <w:sz w:val="22"/>
          <w:szCs w:val="22"/>
          <w:lang w:eastAsia="en-AU"/>
        </w:rPr>
        <w:t xml:space="preserve"> </w:t>
      </w:r>
      <w:r w:rsidR="00ED7CDA" w:rsidRPr="00ED7CDA">
        <w:rPr>
          <w:rFonts w:ascii="Calibri" w:hAnsi="Calibri" w:cs="Calibri"/>
          <w:sz w:val="22"/>
          <w:szCs w:val="22"/>
          <w:lang w:eastAsia="en-AU"/>
        </w:rPr>
        <w:t xml:space="preserve">The Committee notes that the Bill was notified, on the ACT Legislation Register on </w:t>
      </w:r>
      <w:r w:rsidR="00ED7CDA">
        <w:rPr>
          <w:rFonts w:ascii="Calibri" w:hAnsi="Calibri" w:cs="Calibri"/>
          <w:sz w:val="22"/>
          <w:szCs w:val="22"/>
          <w:lang w:eastAsia="en-AU"/>
        </w:rPr>
        <w:t>3</w:t>
      </w:r>
      <w:r w:rsidR="00ED7CDA" w:rsidRPr="00ED7CDA">
        <w:rPr>
          <w:rFonts w:ascii="Calibri" w:hAnsi="Calibri" w:cs="Calibri"/>
          <w:sz w:val="22"/>
          <w:szCs w:val="22"/>
          <w:lang w:eastAsia="en-AU"/>
        </w:rPr>
        <w:t xml:space="preserve"> September 2020 and is now effective.</w:t>
      </w:r>
    </w:p>
    <w:p w:rsidR="000378E4" w:rsidRDefault="000378E4" w:rsidP="00AF16A6">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 xml:space="preserve">The Committee notes that the amendments made by the Bill have particular effect </w:t>
      </w:r>
      <w:r>
        <w:rPr>
          <w:rFonts w:ascii="Calibri" w:hAnsi="Calibri" w:cs="Calibri"/>
          <w:i/>
          <w:iCs/>
          <w:sz w:val="22"/>
          <w:szCs w:val="22"/>
          <w:lang w:eastAsia="en-AU"/>
        </w:rPr>
        <w:t>in relation to the instrument mentioned above</w:t>
      </w:r>
      <w:r>
        <w:rPr>
          <w:rFonts w:ascii="Calibri" w:hAnsi="Calibri" w:cs="Calibri"/>
          <w:sz w:val="22"/>
          <w:szCs w:val="22"/>
          <w:lang w:eastAsia="en-AU"/>
        </w:rPr>
        <w:t>.  Section 4 of the Bill inse</w:t>
      </w:r>
      <w:r w:rsidR="00ED7CDA">
        <w:rPr>
          <w:rFonts w:ascii="Calibri" w:hAnsi="Calibri" w:cs="Calibri"/>
          <w:sz w:val="22"/>
          <w:szCs w:val="22"/>
          <w:lang w:eastAsia="en-AU"/>
        </w:rPr>
        <w:t xml:space="preserve">rts a new section 22A into the </w:t>
      </w:r>
      <w:r w:rsidRPr="00D435C5">
        <w:rPr>
          <w:rFonts w:ascii="Calibri" w:hAnsi="Calibri" w:cs="Calibri"/>
          <w:i/>
          <w:iCs/>
          <w:sz w:val="22"/>
          <w:szCs w:val="22"/>
          <w:lang w:eastAsia="en-AU"/>
        </w:rPr>
        <w:t>Electricity Feed-in (Large-scale Renewable Energy Generation) Act 201</w:t>
      </w:r>
      <w:r>
        <w:rPr>
          <w:rFonts w:ascii="Calibri" w:hAnsi="Calibri" w:cs="Calibri"/>
          <w:i/>
          <w:iCs/>
          <w:sz w:val="22"/>
          <w:szCs w:val="22"/>
          <w:lang w:eastAsia="en-AU"/>
        </w:rPr>
        <w:t xml:space="preserve">1 </w:t>
      </w:r>
      <w:r>
        <w:rPr>
          <w:rFonts w:ascii="Calibri" w:hAnsi="Calibri" w:cs="Calibri"/>
          <w:sz w:val="22"/>
          <w:szCs w:val="22"/>
          <w:lang w:eastAsia="en-AU"/>
        </w:rPr>
        <w:t>that:</w:t>
      </w:r>
    </w:p>
    <w:p w:rsidR="000378E4" w:rsidRDefault="000378E4" w:rsidP="00BF39C0">
      <w:pPr>
        <w:pStyle w:val="Paper"/>
        <w:numPr>
          <w:ilvl w:val="0"/>
          <w:numId w:val="27"/>
        </w:numPr>
        <w:spacing w:before="220" w:after="220" w:line="280" w:lineRule="exact"/>
        <w:ind w:left="360"/>
        <w:rPr>
          <w:rFonts w:ascii="Calibri" w:hAnsi="Calibri" w:cs="Calibri"/>
          <w:sz w:val="22"/>
          <w:szCs w:val="22"/>
          <w:lang w:eastAsia="en-AU"/>
        </w:rPr>
      </w:pPr>
      <w:r>
        <w:rPr>
          <w:rFonts w:ascii="Calibri" w:hAnsi="Calibri" w:cs="Calibri"/>
          <w:sz w:val="22"/>
          <w:szCs w:val="22"/>
          <w:lang w:eastAsia="en-AU"/>
        </w:rPr>
        <w:t xml:space="preserve">provides that the instrument is taken to have commenced on 11 November 2019 (meaning that, in fact, it </w:t>
      </w:r>
      <w:r>
        <w:rPr>
          <w:rFonts w:ascii="Calibri" w:hAnsi="Calibri" w:cs="Calibri"/>
          <w:sz w:val="22"/>
          <w:szCs w:val="22"/>
          <w:u w:val="single"/>
          <w:lang w:eastAsia="en-AU"/>
        </w:rPr>
        <w:t>does</w:t>
      </w:r>
      <w:r>
        <w:rPr>
          <w:rFonts w:ascii="Calibri" w:hAnsi="Calibri" w:cs="Calibri"/>
          <w:sz w:val="22"/>
          <w:szCs w:val="22"/>
          <w:lang w:eastAsia="en-AU"/>
        </w:rPr>
        <w:t xml:space="preserve"> have a retrospective operation, as a result of the Bill)); and</w:t>
      </w:r>
    </w:p>
    <w:p w:rsidR="000378E4" w:rsidRDefault="000378E4" w:rsidP="00BF39C0">
      <w:pPr>
        <w:pStyle w:val="Paper"/>
        <w:numPr>
          <w:ilvl w:val="0"/>
          <w:numId w:val="27"/>
        </w:numPr>
        <w:spacing w:before="220" w:after="220" w:line="280" w:lineRule="exact"/>
        <w:ind w:left="360"/>
        <w:rPr>
          <w:rFonts w:ascii="Calibri" w:hAnsi="Calibri" w:cs="Calibri"/>
          <w:sz w:val="22"/>
          <w:szCs w:val="22"/>
          <w:lang w:eastAsia="en-AU"/>
        </w:rPr>
      </w:pPr>
      <w:r>
        <w:rPr>
          <w:rFonts w:ascii="Calibri" w:hAnsi="Calibri" w:cs="Calibri"/>
          <w:sz w:val="22"/>
          <w:szCs w:val="22"/>
          <w:lang w:eastAsia="en-AU"/>
        </w:rPr>
        <w:t xml:space="preserve">disapplies section 65 of the Legislation Act to this instrument, meaning that it is </w:t>
      </w:r>
      <w:r>
        <w:rPr>
          <w:rFonts w:ascii="Calibri" w:hAnsi="Calibri" w:cs="Calibri"/>
          <w:sz w:val="22"/>
          <w:szCs w:val="22"/>
          <w:u w:val="single"/>
          <w:lang w:eastAsia="en-AU"/>
        </w:rPr>
        <w:t>not</w:t>
      </w:r>
      <w:r>
        <w:rPr>
          <w:rFonts w:ascii="Calibri" w:hAnsi="Calibri" w:cs="Calibri"/>
          <w:sz w:val="22"/>
          <w:szCs w:val="22"/>
          <w:lang w:eastAsia="en-AU"/>
        </w:rPr>
        <w:t xml:space="preserve"> subject to disallowance by the Legislative Assembly (and, as a result, is also beyond the scrutiny jurisdiction of this Committee); and</w:t>
      </w:r>
    </w:p>
    <w:p w:rsidR="000378E4" w:rsidRDefault="000378E4" w:rsidP="00BF39C0">
      <w:pPr>
        <w:pStyle w:val="Paper"/>
        <w:numPr>
          <w:ilvl w:val="0"/>
          <w:numId w:val="27"/>
        </w:numPr>
        <w:spacing w:before="220" w:after="220" w:line="280" w:lineRule="exact"/>
        <w:ind w:left="360"/>
        <w:rPr>
          <w:rFonts w:ascii="Calibri" w:hAnsi="Calibri" w:cs="Calibri"/>
          <w:sz w:val="22"/>
          <w:szCs w:val="22"/>
          <w:lang w:eastAsia="en-AU"/>
        </w:rPr>
      </w:pPr>
      <w:proofErr w:type="gramStart"/>
      <w:r>
        <w:rPr>
          <w:rFonts w:ascii="Calibri" w:hAnsi="Calibri" w:cs="Calibri"/>
          <w:sz w:val="22"/>
          <w:szCs w:val="22"/>
          <w:lang w:eastAsia="en-AU"/>
        </w:rPr>
        <w:t>in</w:t>
      </w:r>
      <w:proofErr w:type="gramEnd"/>
      <w:r>
        <w:rPr>
          <w:rFonts w:ascii="Calibri" w:hAnsi="Calibri" w:cs="Calibri"/>
          <w:sz w:val="22"/>
          <w:szCs w:val="22"/>
          <w:lang w:eastAsia="en-AU"/>
        </w:rPr>
        <w:t xml:space="preserve"> effect, validates anything done under the instrument, after the “deemed” commencement day (</w:t>
      </w:r>
      <w:proofErr w:type="spellStart"/>
      <w:r>
        <w:rPr>
          <w:rFonts w:ascii="Calibri" w:hAnsi="Calibri" w:cs="Calibri"/>
          <w:sz w:val="22"/>
          <w:szCs w:val="22"/>
          <w:lang w:eastAsia="en-AU"/>
        </w:rPr>
        <w:t>ie</w:t>
      </w:r>
      <w:proofErr w:type="spellEnd"/>
      <w:r>
        <w:rPr>
          <w:rFonts w:ascii="Calibri" w:hAnsi="Calibri" w:cs="Calibri"/>
          <w:sz w:val="22"/>
          <w:szCs w:val="22"/>
          <w:lang w:eastAsia="en-AU"/>
        </w:rPr>
        <w:t xml:space="preserve"> after 11 November 2019).</w:t>
      </w:r>
    </w:p>
    <w:p w:rsidR="000378E4" w:rsidRDefault="000378E4" w:rsidP="00AF16A6">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 xml:space="preserve">Clearly, these are significant measures, both in terms of the retrospective operation of the instrument </w:t>
      </w:r>
      <w:r w:rsidRPr="00CF271E">
        <w:rPr>
          <w:rFonts w:ascii="Calibri" w:hAnsi="Calibri" w:cs="Calibri"/>
          <w:sz w:val="22"/>
          <w:szCs w:val="22"/>
          <w:u w:val="single"/>
          <w:lang w:eastAsia="en-AU"/>
        </w:rPr>
        <w:t>and</w:t>
      </w:r>
      <w:r>
        <w:rPr>
          <w:rFonts w:ascii="Calibri" w:hAnsi="Calibri" w:cs="Calibri"/>
          <w:sz w:val="22"/>
          <w:szCs w:val="22"/>
          <w:lang w:eastAsia="en-AU"/>
        </w:rPr>
        <w:t xml:space="preserve"> the exclusion of the Legislative Assembly’s capacity to disallow (and the exclusion of the Committee’s jurisdiction, as a result).</w:t>
      </w:r>
    </w:p>
    <w:p w:rsidR="000378E4" w:rsidRDefault="000378E4" w:rsidP="00AF16A6">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The justification that has been provided for these (quite unusual) measures, in the “overview” of the explanatory statement for the Bill (which is brief), is:</w:t>
      </w:r>
    </w:p>
    <w:p w:rsidR="000378E4" w:rsidRPr="00A20C7C" w:rsidRDefault="000378E4" w:rsidP="006D668E">
      <w:pPr>
        <w:ind w:left="360" w:right="-45"/>
        <w:rPr>
          <w:rFonts w:ascii="Calibri" w:hAnsi="Calibri" w:cs="Calibri"/>
          <w:bCs/>
        </w:rPr>
      </w:pPr>
      <w:r w:rsidRPr="00A20C7C">
        <w:rPr>
          <w:rFonts w:ascii="Calibri" w:hAnsi="Calibri" w:cs="Calibri"/>
          <w:bCs/>
        </w:rPr>
        <w:lastRenderedPageBreak/>
        <w:t xml:space="preserve">The Bill disapplies certain provisions in the </w:t>
      </w:r>
      <w:r w:rsidRPr="00A20C7C">
        <w:rPr>
          <w:rFonts w:ascii="Calibri" w:hAnsi="Calibri" w:cs="Calibri"/>
          <w:bCs/>
          <w:i/>
          <w:iCs/>
        </w:rPr>
        <w:t xml:space="preserve">Electricity Feed-in (Large-scale Renewable Energy Generation) Act 2011 </w:t>
      </w:r>
      <w:r w:rsidRPr="00A20C7C">
        <w:rPr>
          <w:rFonts w:ascii="Calibri" w:hAnsi="Calibri" w:cs="Calibri"/>
          <w:bCs/>
        </w:rPr>
        <w:t>that would otherwise delay the granting of feed-in tariff (</w:t>
      </w:r>
      <w:proofErr w:type="spellStart"/>
      <w:r w:rsidRPr="00A20C7C">
        <w:rPr>
          <w:rFonts w:ascii="Calibri" w:hAnsi="Calibri" w:cs="Calibri"/>
          <w:bCs/>
        </w:rPr>
        <w:t>FiT</w:t>
      </w:r>
      <w:proofErr w:type="spellEnd"/>
      <w:r w:rsidRPr="00A20C7C">
        <w:rPr>
          <w:rFonts w:ascii="Calibri" w:hAnsi="Calibri" w:cs="Calibri"/>
          <w:bCs/>
        </w:rPr>
        <w:t>) entitlements to give effect to the outcomes of the renewables Auction 5.</w:t>
      </w:r>
    </w:p>
    <w:p w:rsidR="000378E4" w:rsidRPr="00A20C7C" w:rsidRDefault="000378E4" w:rsidP="006D668E">
      <w:pPr>
        <w:ind w:left="360" w:right="-45"/>
        <w:rPr>
          <w:rFonts w:ascii="Calibri" w:hAnsi="Calibri" w:cs="Calibri"/>
          <w:bCs/>
        </w:rPr>
      </w:pPr>
      <w:r w:rsidRPr="00A20C7C">
        <w:rPr>
          <w:rFonts w:ascii="Calibri" w:hAnsi="Calibri" w:cs="Calibri"/>
          <w:bCs/>
        </w:rPr>
        <w:t xml:space="preserve">By disapplying these sections, the Minister for Climate Change &amp; Sustainability will be able to grant </w:t>
      </w:r>
      <w:proofErr w:type="spellStart"/>
      <w:r w:rsidRPr="00A20C7C">
        <w:rPr>
          <w:rFonts w:ascii="Calibri" w:hAnsi="Calibri" w:cs="Calibri"/>
          <w:bCs/>
        </w:rPr>
        <w:t>FiT</w:t>
      </w:r>
      <w:proofErr w:type="spellEnd"/>
      <w:r w:rsidRPr="00A20C7C">
        <w:rPr>
          <w:rFonts w:ascii="Calibri" w:hAnsi="Calibri" w:cs="Calibri"/>
          <w:bCs/>
        </w:rPr>
        <w:t xml:space="preserve"> entitlements to the auction winners immediately, rather than waiting for the day after the sixth sitting day after the relevant capacity release is </w:t>
      </w:r>
      <w:proofErr w:type="gramStart"/>
      <w:r w:rsidRPr="00A20C7C">
        <w:rPr>
          <w:rFonts w:ascii="Calibri" w:hAnsi="Calibri" w:cs="Calibri"/>
          <w:bCs/>
        </w:rPr>
        <w:t>Tabled</w:t>
      </w:r>
      <w:proofErr w:type="gramEnd"/>
      <w:r w:rsidRPr="00A20C7C">
        <w:rPr>
          <w:rFonts w:ascii="Calibri" w:hAnsi="Calibri" w:cs="Calibri"/>
          <w:bCs/>
        </w:rPr>
        <w:t xml:space="preserve"> in the Assembly.</w:t>
      </w:r>
    </w:p>
    <w:p w:rsidR="000378E4" w:rsidRPr="00A20C7C" w:rsidRDefault="000378E4" w:rsidP="006D668E">
      <w:pPr>
        <w:ind w:left="360" w:right="-45"/>
        <w:rPr>
          <w:rFonts w:ascii="Calibri" w:hAnsi="Calibri" w:cs="Calibri"/>
          <w:bCs/>
        </w:rPr>
      </w:pPr>
      <w:r w:rsidRPr="00A20C7C">
        <w:rPr>
          <w:rFonts w:ascii="Calibri" w:hAnsi="Calibri" w:cs="Calibri"/>
          <w:bCs/>
        </w:rPr>
        <w:t>This Bill continues to provide for scrutiny by the Assembly of the capacity release, through the scrutiny that is applied to this Bill.</w:t>
      </w:r>
    </w:p>
    <w:p w:rsidR="000378E4" w:rsidRDefault="000378E4" w:rsidP="00AF16A6">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 xml:space="preserve">The Committee notes that the discussion of the Bill in the Bills part of this </w:t>
      </w:r>
      <w:r w:rsidRPr="00825B35">
        <w:rPr>
          <w:rFonts w:ascii="Calibri" w:hAnsi="Calibri" w:cs="Calibri"/>
          <w:i/>
          <w:iCs/>
          <w:sz w:val="22"/>
          <w:szCs w:val="22"/>
          <w:lang w:eastAsia="en-AU"/>
        </w:rPr>
        <w:t>Scrutiny Report</w:t>
      </w:r>
      <w:r>
        <w:rPr>
          <w:rFonts w:ascii="Calibri" w:hAnsi="Calibri" w:cs="Calibri"/>
          <w:sz w:val="22"/>
          <w:szCs w:val="22"/>
          <w:lang w:eastAsia="en-AU"/>
        </w:rPr>
        <w:t>, above, refers to additional comments made by the Minister, in presenting the Bill.</w:t>
      </w:r>
    </w:p>
    <w:p w:rsidR="000378E4" w:rsidRDefault="000378E4" w:rsidP="00AF16A6">
      <w:pPr>
        <w:pStyle w:val="Paper"/>
        <w:spacing w:before="220" w:after="220" w:line="280" w:lineRule="exact"/>
        <w:rPr>
          <w:rFonts w:ascii="Calibri" w:hAnsi="Calibri" w:cs="Calibri"/>
          <w:b/>
          <w:bCs/>
          <w:sz w:val="22"/>
          <w:szCs w:val="22"/>
          <w:lang w:eastAsia="en-AU"/>
        </w:rPr>
      </w:pPr>
      <w:r>
        <w:rPr>
          <w:rFonts w:ascii="Calibri" w:hAnsi="Calibri" w:cs="Calibri"/>
          <w:b/>
          <w:bCs/>
          <w:sz w:val="22"/>
          <w:szCs w:val="22"/>
          <w:lang w:eastAsia="en-AU"/>
        </w:rPr>
        <w:t>The comments immediately above do not require a response from the Minister (</w:t>
      </w:r>
      <w:proofErr w:type="spellStart"/>
      <w:r>
        <w:rPr>
          <w:rFonts w:ascii="Calibri" w:hAnsi="Calibri" w:cs="Calibri"/>
          <w:b/>
          <w:bCs/>
          <w:sz w:val="22"/>
          <w:szCs w:val="22"/>
          <w:lang w:eastAsia="en-AU"/>
        </w:rPr>
        <w:t>ie</w:t>
      </w:r>
      <w:proofErr w:type="spellEnd"/>
      <w:r>
        <w:rPr>
          <w:rFonts w:ascii="Calibri" w:hAnsi="Calibri" w:cs="Calibri"/>
          <w:b/>
          <w:bCs/>
          <w:sz w:val="22"/>
          <w:szCs w:val="22"/>
          <w:lang w:eastAsia="en-AU"/>
        </w:rPr>
        <w:t xml:space="preserve"> in addition to any responses required in relation to the comments the Committee has made on the Bill, in the Bills part of this </w:t>
      </w:r>
      <w:r>
        <w:rPr>
          <w:rFonts w:ascii="Calibri" w:hAnsi="Calibri" w:cs="Calibri"/>
          <w:b/>
          <w:bCs/>
          <w:i/>
          <w:iCs/>
          <w:sz w:val="22"/>
          <w:szCs w:val="22"/>
          <w:lang w:eastAsia="en-AU"/>
        </w:rPr>
        <w:t>Scrutiny Report</w:t>
      </w:r>
      <w:r>
        <w:rPr>
          <w:rFonts w:ascii="Calibri" w:hAnsi="Calibri" w:cs="Calibri"/>
          <w:b/>
          <w:bCs/>
          <w:sz w:val="22"/>
          <w:szCs w:val="22"/>
          <w:lang w:eastAsia="en-AU"/>
        </w:rPr>
        <w:t>).  However, the Committee reminds the Legislative Assembly of the importance of the disallowance mechanism, in relation to subordinate legislation, and, further, the importance of the scrutiny of the Committee, in relation to subordinate legislation that is subject to disallowance, by the Legislative Assembly.</w:t>
      </w:r>
    </w:p>
    <w:p w:rsidR="000378E4" w:rsidRPr="00AF16A6" w:rsidRDefault="000378E4" w:rsidP="00AF16A6">
      <w:pPr>
        <w:pStyle w:val="Heading4nonumber"/>
        <w:rPr>
          <w:sz w:val="22"/>
          <w:szCs w:val="22"/>
        </w:rPr>
      </w:pPr>
      <w:r w:rsidRPr="00AF16A6">
        <w:rPr>
          <w:sz w:val="22"/>
          <w:szCs w:val="22"/>
        </w:rPr>
        <w:t>COVID-19-related instrument</w:t>
      </w:r>
    </w:p>
    <w:p w:rsidR="000378E4" w:rsidRPr="00842199" w:rsidRDefault="000378E4" w:rsidP="006D668E">
      <w:pPr>
        <w:pStyle w:val="Bodycopy"/>
        <w:tabs>
          <w:tab w:val="clear" w:pos="1276"/>
          <w:tab w:val="left" w:pos="0"/>
        </w:tabs>
        <w:spacing w:before="160" w:after="160" w:line="280" w:lineRule="exact"/>
        <w:rPr>
          <w:b/>
        </w:rPr>
      </w:pPr>
      <w:r>
        <w:rPr>
          <w:b/>
        </w:rPr>
        <w:t>Disallowable Instrument</w:t>
      </w:r>
      <w:r w:rsidRPr="00451C85">
        <w:rPr>
          <w:b/>
        </w:rPr>
        <w:t xml:space="preserve"> </w:t>
      </w:r>
      <w:r>
        <w:rPr>
          <w:b/>
        </w:rPr>
        <w:t>DI2020-252</w:t>
      </w:r>
      <w:r w:rsidRPr="00451C85">
        <w:rPr>
          <w:b/>
        </w:rPr>
        <w:t xml:space="preserve"> being the </w:t>
      </w:r>
      <w:r>
        <w:rPr>
          <w:b/>
        </w:rPr>
        <w:t xml:space="preserve">Gaming Machine (Emergency Community Purpose Contribution—Local Live Performance Industry) Declaration 2020 section 166A of the </w:t>
      </w:r>
      <w:r>
        <w:rPr>
          <w:i/>
        </w:rPr>
        <w:t>Gaming Machine Act 2004</w:t>
      </w:r>
      <w:r w:rsidRPr="00236BDD">
        <w:rPr>
          <w:b/>
        </w:rPr>
        <w:t xml:space="preserve"> </w:t>
      </w:r>
      <w:r>
        <w:rPr>
          <w:b/>
        </w:rPr>
        <w:t xml:space="preserve">provides for contributions made to, or for the benefit of, a member of the local live performance industry for the purpose of providing music or other live entertainment (other than sport) for the club members and patrons, to be community purpose contributions for the purpose of providing relief or assistance to the community in relation to a COVID-19 emergency. </w:t>
      </w:r>
    </w:p>
    <w:p w:rsidR="000378E4" w:rsidRDefault="000378E4" w:rsidP="00AF16A6">
      <w:pPr>
        <w:widowControl w:val="0"/>
        <w:rPr>
          <w:rFonts w:ascii="Calibri" w:hAnsi="Calibri" w:cs="Calibri"/>
          <w:color w:val="000000"/>
        </w:rPr>
      </w:pPr>
      <w:r>
        <w:rPr>
          <w:rFonts w:ascii="Calibri" w:hAnsi="Calibri" w:cs="Calibri"/>
          <w:color w:val="000000"/>
        </w:rPr>
        <w:t xml:space="preserve">This instrument is made under section 166A of the </w:t>
      </w:r>
      <w:r w:rsidRPr="007A5934">
        <w:rPr>
          <w:rFonts w:ascii="Calibri" w:hAnsi="Calibri" w:cs="Calibri"/>
          <w:i/>
          <w:iCs/>
          <w:color w:val="000000"/>
        </w:rPr>
        <w:t>Gaming Machine Act 2004</w:t>
      </w:r>
      <w:r>
        <w:rPr>
          <w:rFonts w:ascii="Calibri" w:hAnsi="Calibri" w:cs="Calibri"/>
          <w:color w:val="000000"/>
        </w:rPr>
        <w:t xml:space="preserve">, which was inserted into that Act as part of the legislative response to the COVID-19 pandemic.  Section 166A allows the Minister (while a “COVID-19 emergency” is in force) to make an “emergency community purpose contribution declaration”.  The effect of such a declaration is that a relevant contribution, by a licensee that is a club, is a “community purpose contribution”.  Clubs are required, under Part 12 of the Gaming Machine Act, </w:t>
      </w:r>
      <w:r w:rsidRPr="00AE07A9">
        <w:rPr>
          <w:rFonts w:ascii="Calibri" w:hAnsi="Calibri" w:cs="Calibri"/>
          <w:color w:val="000000"/>
        </w:rPr>
        <w:t xml:space="preserve">to make </w:t>
      </w:r>
      <w:r>
        <w:rPr>
          <w:rFonts w:ascii="Calibri" w:hAnsi="Calibri" w:cs="Calibri"/>
          <w:color w:val="000000"/>
        </w:rPr>
        <w:t>“</w:t>
      </w:r>
      <w:r w:rsidRPr="00AE07A9">
        <w:rPr>
          <w:rFonts w:ascii="Calibri" w:hAnsi="Calibri" w:cs="Calibri"/>
          <w:color w:val="000000"/>
        </w:rPr>
        <w:t>community purpose contributions</w:t>
      </w:r>
      <w:r>
        <w:rPr>
          <w:rFonts w:ascii="Calibri" w:hAnsi="Calibri" w:cs="Calibri"/>
          <w:color w:val="000000"/>
        </w:rPr>
        <w:t>” in the amount of at least 8%</w:t>
      </w:r>
      <w:r w:rsidRPr="00AE07A9">
        <w:rPr>
          <w:rFonts w:ascii="Calibri" w:hAnsi="Calibri" w:cs="Calibri"/>
          <w:color w:val="000000"/>
        </w:rPr>
        <w:t xml:space="preserve"> of the net gaming machine revenue that the club receives in a reporting year.</w:t>
      </w:r>
    </w:p>
    <w:p w:rsidR="000378E4" w:rsidRDefault="000378E4" w:rsidP="00AF16A6">
      <w:pPr>
        <w:widowControl w:val="0"/>
        <w:rPr>
          <w:rFonts w:ascii="Calibri" w:hAnsi="Calibri" w:cs="Calibri"/>
          <w:color w:val="000000"/>
        </w:rPr>
      </w:pPr>
      <w:r>
        <w:rPr>
          <w:rFonts w:ascii="Calibri" w:hAnsi="Calibri" w:cs="Calibri"/>
          <w:color w:val="000000"/>
        </w:rPr>
        <w:t>The explanatory statement for this instrument states:</w:t>
      </w:r>
    </w:p>
    <w:p w:rsidR="000378E4" w:rsidRPr="00A20C7C" w:rsidRDefault="000378E4" w:rsidP="00CF7203">
      <w:pPr>
        <w:keepLines/>
        <w:spacing w:before="200" w:after="200" w:line="260" w:lineRule="exact"/>
        <w:ind w:left="360"/>
        <w:rPr>
          <w:rFonts w:ascii="Calibri" w:hAnsi="Calibri" w:cs="Calibri"/>
        </w:rPr>
      </w:pPr>
      <w:r w:rsidRPr="00A20C7C">
        <w:rPr>
          <w:rFonts w:ascii="Calibri" w:hAnsi="Calibri" w:cs="Calibri"/>
        </w:rPr>
        <w:t xml:space="preserve">The </w:t>
      </w:r>
      <w:r w:rsidRPr="00A20C7C">
        <w:rPr>
          <w:rFonts w:ascii="Calibri" w:hAnsi="Calibri" w:cs="Calibri"/>
          <w:i/>
          <w:iCs/>
        </w:rPr>
        <w:t>Gaming Machine (Emergency Community Purpose Contribution—Local Live Performance Industry) Declaration 2020</w:t>
      </w:r>
      <w:r w:rsidRPr="00A20C7C">
        <w:rPr>
          <w:rFonts w:ascii="Calibri" w:hAnsi="Calibri" w:cs="Calibri"/>
        </w:rPr>
        <w:t xml:space="preserve"> provides for contributions made to, or for the benefit of, a member of the local live performance industry for the purpose of providing music or other live entertainment (other than sport) for club members and patrons, to be community purpose contributions for the purpose of providing relief or assistance to the community in relation to a COVID-19 emergency.</w:t>
      </w:r>
    </w:p>
    <w:p w:rsidR="000378E4" w:rsidRPr="00A20C7C" w:rsidRDefault="000378E4" w:rsidP="00CF7203">
      <w:pPr>
        <w:spacing w:before="200" w:after="200" w:line="260" w:lineRule="exact"/>
        <w:rPr>
          <w:rFonts w:ascii="Calibri" w:hAnsi="Calibri" w:cs="Calibri"/>
          <w:b/>
          <w:bCs/>
        </w:rPr>
      </w:pPr>
      <w:r w:rsidRPr="00A20C7C">
        <w:rPr>
          <w:rFonts w:ascii="Calibri" w:hAnsi="Calibri" w:cs="Calibri"/>
          <w:b/>
          <w:bCs/>
        </w:rPr>
        <w:t>This comment does not require a response from the Minister.</w:t>
      </w:r>
    </w:p>
    <w:p w:rsidR="00E07D11" w:rsidRPr="00E07D11" w:rsidRDefault="00E07D11" w:rsidP="00E07D11">
      <w:pPr>
        <w:pStyle w:val="Heading2"/>
        <w:rPr>
          <w:rFonts w:eastAsia="Calibri"/>
          <w:lang w:eastAsia="en-AU"/>
        </w:rPr>
      </w:pPr>
      <w:bookmarkStart w:id="603" w:name="_Toc50457165"/>
      <w:r w:rsidRPr="00E07D11">
        <w:rPr>
          <w:rFonts w:eastAsia="Calibri"/>
          <w:lang w:eastAsia="en-AU"/>
        </w:rPr>
        <w:lastRenderedPageBreak/>
        <w:t>National Regulations—Comment</w:t>
      </w:r>
      <w:bookmarkEnd w:id="603"/>
    </w:p>
    <w:p w:rsidR="00E07D11" w:rsidRDefault="00E07D11" w:rsidP="006D668E">
      <w:pPr>
        <w:pStyle w:val="NormalWeb"/>
        <w:spacing w:line="260" w:lineRule="exact"/>
        <w:rPr>
          <w:rFonts w:ascii="Calibri" w:hAnsi="Calibri" w:cs="Calibri"/>
          <w:color w:val="000000"/>
          <w:sz w:val="22"/>
          <w:szCs w:val="22"/>
        </w:rPr>
      </w:pPr>
      <w:r w:rsidRPr="00E07D11">
        <w:rPr>
          <w:rFonts w:ascii="Calibri" w:hAnsi="Calibri" w:cs="Calibri"/>
          <w:color w:val="000000"/>
          <w:sz w:val="22"/>
          <w:szCs w:val="22"/>
        </w:rPr>
        <w:t>The Committee has examined th</w:t>
      </w:r>
      <w:r>
        <w:rPr>
          <w:rFonts w:ascii="Calibri" w:hAnsi="Calibri" w:cs="Calibri"/>
          <w:color w:val="000000"/>
          <w:sz w:val="22"/>
          <w:szCs w:val="22"/>
        </w:rPr>
        <w:t>e following national regulation</w:t>
      </w:r>
      <w:r w:rsidRPr="00E07D11">
        <w:rPr>
          <w:rFonts w:ascii="Calibri" w:hAnsi="Calibri" w:cs="Calibri"/>
          <w:color w:val="000000"/>
          <w:sz w:val="22"/>
          <w:szCs w:val="22"/>
        </w:rPr>
        <w:t xml:space="preserve"> and offers these comments on </w:t>
      </w:r>
      <w:r>
        <w:rPr>
          <w:rFonts w:ascii="Calibri" w:hAnsi="Calibri" w:cs="Calibri"/>
          <w:color w:val="000000"/>
          <w:sz w:val="22"/>
          <w:szCs w:val="22"/>
        </w:rPr>
        <w:t>it</w:t>
      </w:r>
      <w:r w:rsidRPr="00E07D11">
        <w:rPr>
          <w:rFonts w:ascii="Calibri" w:hAnsi="Calibri" w:cs="Calibri"/>
          <w:color w:val="000000"/>
          <w:sz w:val="22"/>
          <w:szCs w:val="22"/>
        </w:rPr>
        <w:t>:</w:t>
      </w:r>
    </w:p>
    <w:p w:rsidR="005757E5" w:rsidRPr="00AF16A6" w:rsidRDefault="005757E5" w:rsidP="00AF16A6">
      <w:pPr>
        <w:pStyle w:val="Heading4nonumber"/>
        <w:rPr>
          <w:sz w:val="22"/>
          <w:szCs w:val="22"/>
        </w:rPr>
      </w:pPr>
      <w:r w:rsidRPr="00AF16A6">
        <w:rPr>
          <w:sz w:val="22"/>
          <w:szCs w:val="22"/>
        </w:rPr>
        <w:t>Human rights issues</w:t>
      </w:r>
    </w:p>
    <w:p w:rsidR="005757E5" w:rsidRDefault="005757E5" w:rsidP="00CF7203">
      <w:pPr>
        <w:spacing w:before="200" w:after="200" w:line="260" w:lineRule="exact"/>
        <w:rPr>
          <w:rFonts w:ascii="Calibri" w:hAnsi="Calibri" w:cs="Calibri"/>
          <w:b/>
          <w:bCs/>
          <w:color w:val="000000"/>
        </w:rPr>
      </w:pPr>
      <w:r>
        <w:rPr>
          <w:rFonts w:ascii="Calibri" w:hAnsi="Calibri" w:cs="Calibri"/>
          <w:b/>
          <w:bCs/>
          <w:color w:val="000000"/>
        </w:rPr>
        <w:t>Rail Safety National Law—Rail Safety National Law National Regulations (Fees and Other Measures) Variation Regulations 2020 (2020 No 322).</w:t>
      </w:r>
    </w:p>
    <w:p w:rsidR="005757E5" w:rsidRDefault="005757E5" w:rsidP="00CF7203">
      <w:pPr>
        <w:pStyle w:val="NormalWeb"/>
        <w:spacing w:before="200" w:after="200" w:line="260" w:lineRule="exact"/>
        <w:rPr>
          <w:rFonts w:ascii="Calibri" w:hAnsi="Calibri" w:cs="Calibri"/>
          <w:color w:val="000000"/>
          <w:sz w:val="22"/>
          <w:szCs w:val="22"/>
        </w:rPr>
      </w:pPr>
      <w:r>
        <w:rPr>
          <w:rFonts w:ascii="Calibri" w:hAnsi="Calibri" w:cs="Calibri"/>
          <w:color w:val="000000"/>
          <w:sz w:val="22"/>
          <w:szCs w:val="22"/>
        </w:rPr>
        <w:t xml:space="preserve">These national regulations are made under section 264 of the Rail Safety National Law, set out in the </w:t>
      </w:r>
      <w:r>
        <w:rPr>
          <w:rFonts w:ascii="Calibri" w:hAnsi="Calibri" w:cs="Calibri"/>
          <w:i/>
          <w:iCs/>
          <w:color w:val="000000"/>
          <w:sz w:val="22"/>
          <w:szCs w:val="22"/>
        </w:rPr>
        <w:t>Rail Safety National Law (South Australia) Act 2012</w:t>
      </w:r>
      <w:r>
        <w:rPr>
          <w:rFonts w:ascii="Calibri" w:hAnsi="Calibri" w:cs="Calibri"/>
          <w:color w:val="000000"/>
          <w:sz w:val="22"/>
          <w:szCs w:val="22"/>
        </w:rPr>
        <w:t xml:space="preserve"> (SA).  It applies in the ACT under the </w:t>
      </w:r>
      <w:r>
        <w:rPr>
          <w:rFonts w:ascii="Calibri" w:hAnsi="Calibri" w:cs="Calibri"/>
          <w:i/>
          <w:iCs/>
          <w:color w:val="000000"/>
          <w:sz w:val="22"/>
          <w:szCs w:val="22"/>
        </w:rPr>
        <w:t>Rail Safety National Law (ACT) Act 2014</w:t>
      </w:r>
      <w:r>
        <w:rPr>
          <w:rFonts w:ascii="Calibri" w:hAnsi="Calibri" w:cs="Calibri"/>
          <w:color w:val="000000"/>
          <w:sz w:val="22"/>
          <w:szCs w:val="22"/>
        </w:rPr>
        <w:t>.  The substantive amendments made by the subordinate law include increases in the fees payable by a rail transport operator, under the Rail Safety National Law, and other, (apparently relatively minor) technical amendments.</w:t>
      </w:r>
    </w:p>
    <w:p w:rsidR="005757E5" w:rsidRDefault="005757E5" w:rsidP="00CF7203">
      <w:pPr>
        <w:pStyle w:val="NormalWeb"/>
        <w:spacing w:before="200" w:after="200" w:line="260" w:lineRule="exact"/>
        <w:rPr>
          <w:rFonts w:ascii="Calibri" w:hAnsi="Calibri" w:cs="Calibri"/>
          <w:color w:val="000000"/>
          <w:sz w:val="22"/>
          <w:szCs w:val="22"/>
        </w:rPr>
      </w:pPr>
      <w:r>
        <w:rPr>
          <w:rFonts w:ascii="Calibri" w:hAnsi="Calibri" w:cs="Calibri"/>
          <w:color w:val="000000"/>
          <w:sz w:val="22"/>
          <w:szCs w:val="22"/>
        </w:rPr>
        <w:t>The Committee notes, with approval, that a relatively detailed and helpful explanatory statement has been provided, with the national regulations.  In relation to the fees increases, the explanatory statement states that the fees have been increased ….</w:t>
      </w:r>
    </w:p>
    <w:p w:rsidR="005757E5" w:rsidRDefault="005757E5" w:rsidP="00CF7203">
      <w:pPr>
        <w:pStyle w:val="NormalWeb"/>
        <w:spacing w:before="200" w:after="200" w:line="260" w:lineRule="exact"/>
        <w:ind w:left="360"/>
        <w:rPr>
          <w:rFonts w:ascii="Calibri" w:hAnsi="Calibri" w:cs="Calibri"/>
          <w:color w:val="000000"/>
          <w:sz w:val="22"/>
          <w:szCs w:val="22"/>
        </w:rPr>
      </w:pPr>
      <w:r>
        <w:rPr>
          <w:rFonts w:ascii="Calibri" w:hAnsi="Calibri" w:cs="Calibri"/>
          <w:color w:val="000000"/>
          <w:sz w:val="22"/>
          <w:szCs w:val="22"/>
        </w:rPr>
        <w:t xml:space="preserve"> … in accordance with the cost recovery model agreed by the Transport and Infrastructure Council, to address the capacity of the Office of the National Rail Safety Regulator to undertake regulatory oversight.  </w:t>
      </w:r>
    </w:p>
    <w:p w:rsidR="005757E5" w:rsidRDefault="005757E5" w:rsidP="00CF7203">
      <w:pPr>
        <w:pStyle w:val="NormalWeb"/>
        <w:spacing w:before="200" w:after="200" w:line="260" w:lineRule="exact"/>
        <w:rPr>
          <w:rFonts w:ascii="Calibri" w:hAnsi="Calibri" w:cs="Calibri"/>
          <w:color w:val="000000"/>
          <w:sz w:val="22"/>
          <w:szCs w:val="22"/>
        </w:rPr>
      </w:pPr>
      <w:r>
        <w:rPr>
          <w:rFonts w:ascii="Calibri" w:hAnsi="Calibri" w:cs="Calibri"/>
          <w:color w:val="000000"/>
          <w:sz w:val="22"/>
          <w:szCs w:val="22"/>
        </w:rPr>
        <w:t>If this were an ACT-originated instrument, the Committee would have preferred to also see the fees increases explained by reference to the “old” and “new” fees and the percentage of the increase.  However, in the circumstances of national regulations, the Committee does not press the point, at this time.</w:t>
      </w:r>
    </w:p>
    <w:p w:rsidR="005757E5" w:rsidRDefault="005757E5" w:rsidP="00CF7203">
      <w:pPr>
        <w:pStyle w:val="NormalWeb"/>
        <w:spacing w:before="200" w:after="200" w:line="260" w:lineRule="exact"/>
        <w:rPr>
          <w:rFonts w:ascii="Calibri" w:hAnsi="Calibri" w:cs="Calibri"/>
          <w:color w:val="000000"/>
          <w:sz w:val="22"/>
          <w:szCs w:val="22"/>
        </w:rPr>
      </w:pPr>
      <w:r>
        <w:rPr>
          <w:rFonts w:ascii="Calibri" w:hAnsi="Calibri" w:cs="Calibri"/>
          <w:color w:val="000000"/>
          <w:sz w:val="22"/>
          <w:szCs w:val="22"/>
        </w:rPr>
        <w:t xml:space="preserve">The national regulations were tabled in the Legislative Assembly on </w:t>
      </w:r>
      <w:r w:rsidR="006D668E">
        <w:rPr>
          <w:rFonts w:ascii="Calibri" w:hAnsi="Calibri" w:cs="Calibri"/>
          <w:color w:val="000000"/>
          <w:sz w:val="22"/>
          <w:szCs w:val="22"/>
        </w:rPr>
        <w:t xml:space="preserve">27 August 2020. </w:t>
      </w:r>
      <w:r>
        <w:rPr>
          <w:rFonts w:ascii="Calibri" w:hAnsi="Calibri" w:cs="Calibri"/>
          <w:color w:val="000000"/>
          <w:sz w:val="22"/>
          <w:szCs w:val="22"/>
        </w:rPr>
        <w:t xml:space="preserve"> The Committee notes that, under section 2 of the national regulations, the substantive amendments made by the national regulations commenced on 1 July 2020.  However, there is (technically) no retrospective operation, as (consistent with the relevant requirements of the Rail Safety National Law) the national regulations were published on the NSW legislation website on 22 June 2020, prior to their commencement.  Nevertheless, the Committee retains a concern about the extent to which persons in the ACT who are affected by the amendments made by these national regulations are aware </w:t>
      </w:r>
      <w:r w:rsidR="006D668E">
        <w:rPr>
          <w:rFonts w:ascii="Calibri" w:hAnsi="Calibri" w:cs="Calibri"/>
          <w:color w:val="000000"/>
          <w:sz w:val="22"/>
          <w:szCs w:val="22"/>
        </w:rPr>
        <w:t xml:space="preserve">of amendments that appear on </w:t>
      </w:r>
      <w:proofErr w:type="gramStart"/>
      <w:r w:rsidR="006D668E">
        <w:rPr>
          <w:rFonts w:ascii="Calibri" w:hAnsi="Calibri" w:cs="Calibri"/>
          <w:color w:val="000000"/>
          <w:sz w:val="22"/>
          <w:szCs w:val="22"/>
        </w:rPr>
        <w:t xml:space="preserve">an </w:t>
      </w:r>
      <w:r>
        <w:rPr>
          <w:rFonts w:ascii="Calibri" w:hAnsi="Calibri" w:cs="Calibri"/>
          <w:color w:val="000000"/>
          <w:sz w:val="22"/>
          <w:szCs w:val="22"/>
        </w:rPr>
        <w:t>other</w:t>
      </w:r>
      <w:proofErr w:type="gramEnd"/>
      <w:r>
        <w:rPr>
          <w:rFonts w:ascii="Calibri" w:hAnsi="Calibri" w:cs="Calibri"/>
          <w:color w:val="000000"/>
          <w:sz w:val="22"/>
          <w:szCs w:val="22"/>
        </w:rPr>
        <w:t>-than-ACT legislation website.</w:t>
      </w:r>
    </w:p>
    <w:p w:rsidR="005757E5" w:rsidRDefault="005757E5" w:rsidP="00CF7203">
      <w:pPr>
        <w:pStyle w:val="NormalWeb"/>
        <w:spacing w:before="200" w:after="200" w:line="260" w:lineRule="exact"/>
        <w:rPr>
          <w:rFonts w:ascii="Calibri" w:hAnsi="Calibri" w:cs="Calibri"/>
          <w:b/>
          <w:bCs/>
          <w:color w:val="000000"/>
          <w:sz w:val="22"/>
          <w:szCs w:val="22"/>
        </w:rPr>
      </w:pPr>
      <w:r>
        <w:rPr>
          <w:rFonts w:ascii="Calibri" w:hAnsi="Calibri" w:cs="Calibri"/>
          <w:b/>
          <w:bCs/>
          <w:color w:val="000000"/>
          <w:sz w:val="22"/>
          <w:szCs w:val="22"/>
        </w:rPr>
        <w:t>The Committee seeks the Minister’s advice on this issue and, in particular, as to what steps were taken to ensure that persons in the ACT who are affected by the amendments made by these national regulations were aware of the making and commencement of the national regulations.</w:t>
      </w:r>
    </w:p>
    <w:p w:rsidR="005757E5" w:rsidRDefault="005757E5" w:rsidP="00CF7203">
      <w:pPr>
        <w:pStyle w:val="NormalWeb"/>
        <w:spacing w:before="200" w:after="200" w:line="260" w:lineRule="exact"/>
        <w:rPr>
          <w:rFonts w:ascii="Calibri" w:hAnsi="Calibri" w:cs="Calibri"/>
          <w:color w:val="000000"/>
          <w:sz w:val="22"/>
          <w:szCs w:val="22"/>
        </w:rPr>
      </w:pPr>
      <w:r>
        <w:rPr>
          <w:rFonts w:ascii="Calibri" w:hAnsi="Calibri" w:cs="Calibri"/>
          <w:color w:val="000000"/>
          <w:sz w:val="22"/>
          <w:szCs w:val="22"/>
        </w:rPr>
        <w:t>The Committee notes, with approval, that the explanatory statement for these national regulations addresses the particular application of the national regulations the ACT, in relation to potential human rights issues.  It states:</w:t>
      </w:r>
    </w:p>
    <w:p w:rsidR="005757E5" w:rsidRDefault="005757E5" w:rsidP="00CF7203">
      <w:pPr>
        <w:pStyle w:val="NormalWeb"/>
        <w:spacing w:before="160" w:after="0" w:line="260" w:lineRule="exact"/>
        <w:ind w:left="360"/>
        <w:rPr>
          <w:rFonts w:ascii="Calibri" w:hAnsi="Calibri" w:cs="Calibri"/>
          <w:color w:val="000000"/>
          <w:sz w:val="22"/>
          <w:szCs w:val="22"/>
        </w:rPr>
      </w:pPr>
      <w:r>
        <w:rPr>
          <w:rFonts w:ascii="Calibri" w:hAnsi="Calibri" w:cs="Calibri"/>
          <w:color w:val="000000"/>
          <w:sz w:val="22"/>
          <w:szCs w:val="22"/>
        </w:rPr>
        <w:t>There are no human rights or climate change implications arising from this regulation.</w:t>
      </w:r>
    </w:p>
    <w:p w:rsidR="005757E5" w:rsidRDefault="005757E5" w:rsidP="00AF16A6">
      <w:pPr>
        <w:rPr>
          <w:rFonts w:ascii="Calibri" w:hAnsi="Calibri" w:cs="Calibri"/>
          <w:color w:val="000000"/>
        </w:rPr>
      </w:pPr>
      <w:r>
        <w:rPr>
          <w:rFonts w:ascii="Calibri" w:hAnsi="Calibri" w:cs="Calibri"/>
          <w:b/>
          <w:bCs/>
          <w:color w:val="000000"/>
        </w:rPr>
        <w:t>The Committee draws the attention of the Legislative Assembly to the discussion of human rights issues in the explanatory statement for these national regulations.</w:t>
      </w:r>
    </w:p>
    <w:p w:rsidR="005757E5" w:rsidRDefault="005757E5" w:rsidP="00AF16A6">
      <w:pPr>
        <w:pStyle w:val="Paper"/>
        <w:spacing w:before="220" w:after="220" w:line="280" w:lineRule="exact"/>
        <w:rPr>
          <w:rFonts w:ascii="Calibri" w:hAnsi="Calibri" w:cs="Calibri"/>
          <w:b/>
          <w:bCs/>
          <w:color w:val="000000"/>
          <w:sz w:val="22"/>
          <w:szCs w:val="22"/>
          <w:lang w:eastAsia="en-AU"/>
        </w:rPr>
      </w:pPr>
      <w:r>
        <w:rPr>
          <w:rFonts w:ascii="Calibri" w:hAnsi="Calibri" w:cs="Calibri"/>
          <w:b/>
          <w:bCs/>
          <w:color w:val="000000"/>
          <w:sz w:val="22"/>
          <w:szCs w:val="22"/>
          <w:lang w:eastAsia="en-AU"/>
        </w:rPr>
        <w:t>The comment immediately above does not require a response from the Minister.</w:t>
      </w:r>
    </w:p>
    <w:p w:rsidR="005757E5" w:rsidRPr="00E07D11" w:rsidRDefault="005757E5" w:rsidP="005757E5">
      <w:pPr>
        <w:pStyle w:val="Heading2"/>
        <w:rPr>
          <w:rFonts w:eastAsia="Calibri"/>
          <w:lang w:eastAsia="en-AU"/>
        </w:rPr>
      </w:pPr>
      <w:bookmarkStart w:id="604" w:name="_Toc50457166"/>
      <w:r>
        <w:rPr>
          <w:rFonts w:eastAsia="Calibri"/>
          <w:lang w:eastAsia="en-AU"/>
        </w:rPr>
        <w:lastRenderedPageBreak/>
        <w:t>Regulatory impact statements—No c</w:t>
      </w:r>
      <w:r w:rsidRPr="00E07D11">
        <w:rPr>
          <w:rFonts w:eastAsia="Calibri"/>
          <w:lang w:eastAsia="en-AU"/>
        </w:rPr>
        <w:t>omment</w:t>
      </w:r>
      <w:bookmarkEnd w:id="604"/>
    </w:p>
    <w:p w:rsidR="005757E5" w:rsidRDefault="005757E5" w:rsidP="005757E5">
      <w:pPr>
        <w:pStyle w:val="NormalWeb"/>
        <w:rPr>
          <w:rFonts w:ascii="Calibri" w:hAnsi="Calibri" w:cs="Calibri"/>
          <w:color w:val="000000"/>
          <w:sz w:val="22"/>
          <w:szCs w:val="22"/>
        </w:rPr>
      </w:pPr>
      <w:r w:rsidRPr="00E07D11">
        <w:rPr>
          <w:rFonts w:ascii="Calibri" w:hAnsi="Calibri" w:cs="Calibri"/>
          <w:color w:val="000000"/>
          <w:sz w:val="22"/>
          <w:szCs w:val="22"/>
        </w:rPr>
        <w:t xml:space="preserve">The Committee has examined </w:t>
      </w:r>
      <w:r>
        <w:rPr>
          <w:rFonts w:ascii="Calibri" w:hAnsi="Calibri" w:cs="Calibri"/>
          <w:color w:val="000000"/>
          <w:sz w:val="22"/>
          <w:szCs w:val="22"/>
        </w:rPr>
        <w:t xml:space="preserve">regulatory impact statements for the following disallowable instruments </w:t>
      </w:r>
      <w:r w:rsidRPr="00E07D11">
        <w:rPr>
          <w:rFonts w:ascii="Calibri" w:hAnsi="Calibri" w:cs="Calibri"/>
          <w:color w:val="000000"/>
          <w:sz w:val="22"/>
          <w:szCs w:val="22"/>
        </w:rPr>
        <w:t>and offers</w:t>
      </w:r>
      <w:r>
        <w:rPr>
          <w:rFonts w:ascii="Calibri" w:hAnsi="Calibri" w:cs="Calibri"/>
          <w:color w:val="000000"/>
          <w:sz w:val="22"/>
          <w:szCs w:val="22"/>
        </w:rPr>
        <w:t xml:space="preserve"> no </w:t>
      </w:r>
      <w:r w:rsidRPr="00E07D11">
        <w:rPr>
          <w:rFonts w:ascii="Calibri" w:hAnsi="Calibri" w:cs="Calibri"/>
          <w:color w:val="000000"/>
          <w:sz w:val="22"/>
          <w:szCs w:val="22"/>
        </w:rPr>
        <w:t xml:space="preserve">comments on </w:t>
      </w:r>
      <w:r>
        <w:rPr>
          <w:rFonts w:ascii="Calibri" w:hAnsi="Calibri" w:cs="Calibri"/>
          <w:color w:val="000000"/>
          <w:sz w:val="22"/>
          <w:szCs w:val="22"/>
        </w:rPr>
        <w:t>them</w:t>
      </w:r>
      <w:r w:rsidRPr="00E07D11">
        <w:rPr>
          <w:rFonts w:ascii="Calibri" w:hAnsi="Calibri" w:cs="Calibri"/>
          <w:color w:val="000000"/>
          <w:sz w:val="22"/>
          <w:szCs w:val="22"/>
        </w:rPr>
        <w:t>:</w:t>
      </w:r>
    </w:p>
    <w:p w:rsidR="005757E5" w:rsidRDefault="005757E5" w:rsidP="00CF7203">
      <w:pPr>
        <w:pStyle w:val="Bodycopy"/>
        <w:numPr>
          <w:ilvl w:val="0"/>
          <w:numId w:val="31"/>
        </w:numPr>
        <w:tabs>
          <w:tab w:val="left" w:pos="66"/>
        </w:tabs>
        <w:spacing w:before="160" w:after="160" w:line="280" w:lineRule="exact"/>
        <w:ind w:left="432"/>
        <w:rPr>
          <w:b/>
        </w:rPr>
      </w:pPr>
      <w:r>
        <w:rPr>
          <w:b/>
        </w:rPr>
        <w:t>Disallowable Instrument DI2020-218 being the Energy Efficiency (Cost of Living) Improvement (Eligible Activities) Determination 2020 (No 2).</w:t>
      </w:r>
    </w:p>
    <w:p w:rsidR="005757E5" w:rsidRDefault="005757E5" w:rsidP="00CF7203">
      <w:pPr>
        <w:pStyle w:val="Bodycopy"/>
        <w:numPr>
          <w:ilvl w:val="0"/>
          <w:numId w:val="31"/>
        </w:numPr>
        <w:tabs>
          <w:tab w:val="left" w:pos="66"/>
        </w:tabs>
        <w:spacing w:before="160" w:after="160" w:line="280" w:lineRule="exact"/>
        <w:ind w:left="432"/>
        <w:rPr>
          <w:b/>
        </w:rPr>
      </w:pPr>
      <w:r>
        <w:rPr>
          <w:b/>
        </w:rPr>
        <w:t>Disallowable Instrument DI2020-219 being the Energy Efficiency (Cost of Living) Improvement (Energy Savings Target) Determination 2020 (No 1).</w:t>
      </w:r>
    </w:p>
    <w:p w:rsidR="005757E5" w:rsidRDefault="005757E5" w:rsidP="00CF7203">
      <w:pPr>
        <w:pStyle w:val="Bodycopy"/>
        <w:numPr>
          <w:ilvl w:val="0"/>
          <w:numId w:val="31"/>
        </w:numPr>
        <w:tabs>
          <w:tab w:val="left" w:pos="66"/>
        </w:tabs>
        <w:spacing w:before="160" w:after="160" w:line="280" w:lineRule="exact"/>
        <w:ind w:left="432"/>
        <w:rPr>
          <w:b/>
        </w:rPr>
      </w:pPr>
      <w:r>
        <w:rPr>
          <w:b/>
        </w:rPr>
        <w:t>Disallowable Instrument DI2020-220 being the Energy Efficiency (Cost of Living) Improvement (Energy Savings Contribution) Determination 2020 (No 1).</w:t>
      </w:r>
    </w:p>
    <w:p w:rsidR="005757E5" w:rsidRDefault="005757E5" w:rsidP="00CF7203">
      <w:pPr>
        <w:pStyle w:val="Bodycopy"/>
        <w:numPr>
          <w:ilvl w:val="0"/>
          <w:numId w:val="31"/>
        </w:numPr>
        <w:tabs>
          <w:tab w:val="left" w:pos="66"/>
        </w:tabs>
        <w:spacing w:before="160" w:after="160" w:line="280" w:lineRule="exact"/>
        <w:ind w:left="432"/>
        <w:rPr>
          <w:b/>
        </w:rPr>
      </w:pPr>
      <w:r>
        <w:rPr>
          <w:b/>
        </w:rPr>
        <w:t>Disallowable Instrument DI2020-221 being the Energy Efficiency (Cost of Living) Improvement (Penalties for Noncompliance) Determination 2020 (No 1).</w:t>
      </w:r>
    </w:p>
    <w:p w:rsidR="005757E5" w:rsidRDefault="005757E5" w:rsidP="00CF7203">
      <w:pPr>
        <w:pStyle w:val="Bodycopy"/>
        <w:numPr>
          <w:ilvl w:val="0"/>
          <w:numId w:val="31"/>
        </w:numPr>
        <w:tabs>
          <w:tab w:val="left" w:pos="66"/>
        </w:tabs>
        <w:spacing w:before="160" w:after="160" w:line="280" w:lineRule="exact"/>
        <w:ind w:left="432"/>
        <w:rPr>
          <w:b/>
        </w:rPr>
      </w:pPr>
      <w:r>
        <w:rPr>
          <w:b/>
        </w:rPr>
        <w:t>Disallowable Instrument DI2020-222 being the Energy Efficiency (Cost of Living) Improvement (Priority Household Target) Determination 2020.</w:t>
      </w:r>
    </w:p>
    <w:p w:rsidR="00F753CA" w:rsidRDefault="00F753CA" w:rsidP="00E66A97">
      <w:pPr>
        <w:pStyle w:val="Heading2"/>
        <w:spacing w:line="240" w:lineRule="auto"/>
        <w:rPr>
          <w:rFonts w:eastAsia="Calibri"/>
          <w:lang w:eastAsia="en-AU"/>
        </w:rPr>
      </w:pPr>
      <w:bookmarkStart w:id="605" w:name="_Toc50457167"/>
      <w:r>
        <w:rPr>
          <w:rFonts w:eastAsia="Calibri"/>
          <w:lang w:eastAsia="en-AU"/>
        </w:rPr>
        <w:t>Response</w:t>
      </w:r>
      <w:r w:rsidR="00874709">
        <w:rPr>
          <w:rFonts w:eastAsia="Calibri"/>
          <w:lang w:eastAsia="en-AU"/>
        </w:rPr>
        <w:t>s</w:t>
      </w:r>
      <w:bookmarkEnd w:id="605"/>
    </w:p>
    <w:p w:rsidR="00D9488E" w:rsidRPr="00D9488E" w:rsidRDefault="00D9488E" w:rsidP="00E66A97">
      <w:pPr>
        <w:pStyle w:val="Heading3"/>
        <w:spacing w:line="240" w:lineRule="auto"/>
        <w:rPr>
          <w:lang w:eastAsia="en-AU"/>
        </w:rPr>
      </w:pPr>
      <w:bookmarkStart w:id="606" w:name="_Toc44074226"/>
      <w:bookmarkStart w:id="607" w:name="_Toc44323943"/>
      <w:bookmarkStart w:id="608" w:name="_Toc46484331"/>
      <w:bookmarkStart w:id="609" w:name="_Toc50457168"/>
      <w:r>
        <w:rPr>
          <w:lang w:eastAsia="en-AU"/>
        </w:rPr>
        <w:t>Government response</w:t>
      </w:r>
      <w:bookmarkEnd w:id="606"/>
      <w:bookmarkEnd w:id="607"/>
      <w:bookmarkEnd w:id="608"/>
      <w:r w:rsidR="002F4156">
        <w:rPr>
          <w:lang w:eastAsia="en-AU"/>
        </w:rPr>
        <w:t>s</w:t>
      </w:r>
      <w:bookmarkEnd w:id="609"/>
    </w:p>
    <w:bookmarkEnd w:id="580"/>
    <w:bookmarkEnd w:id="581"/>
    <w:p w:rsidR="0063726C" w:rsidRDefault="00F65983" w:rsidP="003C6084">
      <w:pPr>
        <w:spacing w:line="240" w:lineRule="auto"/>
        <w:rPr>
          <w:rFonts w:ascii="Calibri" w:eastAsia="Calibri" w:hAnsi="Calibri" w:cs="Times New Roman"/>
        </w:rPr>
      </w:pPr>
      <w:r w:rsidRPr="00F65983">
        <w:rPr>
          <w:rFonts w:ascii="Calibri" w:eastAsia="Calibri" w:hAnsi="Calibri" w:cs="Times New Roman"/>
        </w:rPr>
        <w:t>The Committee has received</w:t>
      </w:r>
      <w:r w:rsidR="00CD7B44">
        <w:rPr>
          <w:rFonts w:ascii="Calibri" w:eastAsia="Calibri" w:hAnsi="Calibri" w:cs="Times New Roman"/>
        </w:rPr>
        <w:t xml:space="preserve"> </w:t>
      </w:r>
      <w:r w:rsidR="003379D7">
        <w:rPr>
          <w:rFonts w:ascii="Calibri" w:eastAsia="Calibri" w:hAnsi="Calibri" w:cs="Times New Roman"/>
        </w:rPr>
        <w:t>response</w:t>
      </w:r>
      <w:r w:rsidR="0063726C">
        <w:rPr>
          <w:rFonts w:ascii="Calibri" w:eastAsia="Calibri" w:hAnsi="Calibri" w:cs="Times New Roman"/>
        </w:rPr>
        <w:t>s</w:t>
      </w:r>
      <w:r w:rsidRPr="00F65983">
        <w:rPr>
          <w:rFonts w:ascii="Calibri" w:eastAsia="Calibri" w:hAnsi="Calibri" w:cs="Times New Roman"/>
        </w:rPr>
        <w:t xml:space="preserve"> from</w:t>
      </w:r>
      <w:r w:rsidR="0063726C">
        <w:rPr>
          <w:rFonts w:ascii="Calibri" w:eastAsia="Calibri" w:hAnsi="Calibri" w:cs="Times New Roman"/>
        </w:rPr>
        <w:t>:</w:t>
      </w:r>
    </w:p>
    <w:bookmarkEnd w:id="582"/>
    <w:bookmarkEnd w:id="583"/>
    <w:p w:rsidR="00CD7B44" w:rsidRDefault="0063726C" w:rsidP="00CF7203">
      <w:pPr>
        <w:pStyle w:val="ListParagraph"/>
        <w:numPr>
          <w:ilvl w:val="0"/>
          <w:numId w:val="25"/>
        </w:numPr>
        <w:ind w:left="360"/>
        <w:contextualSpacing w:val="0"/>
      </w:pPr>
      <w:r>
        <w:rPr>
          <w:rFonts w:ascii="Calibri" w:eastAsia="Calibri" w:hAnsi="Calibri" w:cs="Times New Roman"/>
        </w:rPr>
        <w:t>T</w:t>
      </w:r>
      <w:r w:rsidR="001B3CAE">
        <w:t xml:space="preserve">he </w:t>
      </w:r>
      <w:r w:rsidR="009273D7">
        <w:t>Chief Minister</w:t>
      </w:r>
      <w:r w:rsidR="001B3CAE">
        <w:t xml:space="preserve">, </w:t>
      </w:r>
      <w:r w:rsidR="009273D7">
        <w:t xml:space="preserve">dated 27 August 2020, in relation to </w:t>
      </w:r>
      <w:r w:rsidR="007A631C">
        <w:t xml:space="preserve">further </w:t>
      </w:r>
      <w:r w:rsidR="009273D7">
        <w:t>comments made in Scrutiny Report 50 concerning the Sexuality and Gender Identity Conversion Practices Bill 2020.</w:t>
      </w:r>
    </w:p>
    <w:p w:rsidR="009273D7" w:rsidRDefault="009273D7" w:rsidP="00CF7203">
      <w:pPr>
        <w:pStyle w:val="ListParagraph"/>
        <w:numPr>
          <w:ilvl w:val="0"/>
          <w:numId w:val="25"/>
        </w:numPr>
        <w:ind w:left="360"/>
        <w:contextualSpacing w:val="0"/>
      </w:pPr>
      <w:r>
        <w:t>The Chief Minister and the Attorney-General, dated 27 August 2020, in relation to comments made in Scrutiny Report 41 concerning the COVID-19 Emergency Response Bill 2020.</w:t>
      </w:r>
    </w:p>
    <w:p w:rsidR="007A631C" w:rsidRDefault="007A631C" w:rsidP="00CF7203">
      <w:pPr>
        <w:pStyle w:val="ListParagraph"/>
        <w:numPr>
          <w:ilvl w:val="0"/>
          <w:numId w:val="25"/>
        </w:numPr>
        <w:ind w:left="360"/>
        <w:contextualSpacing w:val="0"/>
      </w:pPr>
      <w:r>
        <w:t>The Minister for Mental Health, dated 1 September 2020, in relation to further comments made in Scrutiny Report 50 concerning the Mental Health Amendment Bill 2020.</w:t>
      </w:r>
    </w:p>
    <w:p w:rsidR="00ED7CDA" w:rsidRDefault="00ED7CDA" w:rsidP="00CF7203">
      <w:pPr>
        <w:pStyle w:val="ListParagraph"/>
        <w:numPr>
          <w:ilvl w:val="0"/>
          <w:numId w:val="25"/>
        </w:numPr>
        <w:ind w:left="360"/>
        <w:contextualSpacing w:val="0"/>
      </w:pPr>
      <w:r>
        <w:t>The Attorney-General, dated 3 September 2020, in relation to further comments made in Scrutiny Report 48 concerning the Royal Commission Criminal Justice Legislation Amendment Bill 2020.</w:t>
      </w:r>
    </w:p>
    <w:p w:rsidR="00D762B9" w:rsidRDefault="00D762B9" w:rsidP="00CF7203">
      <w:pPr>
        <w:pStyle w:val="ListParagraph"/>
        <w:numPr>
          <w:ilvl w:val="0"/>
          <w:numId w:val="25"/>
        </w:numPr>
        <w:ind w:left="360"/>
        <w:contextualSpacing w:val="0"/>
      </w:pPr>
      <w:r>
        <w:t>The Minister for Police and Emergency Services, dated 4 September 2020, in relation to comments made in Scrutiny Report 50 concerning the Emergencies Amendment Bill 2020.</w:t>
      </w:r>
    </w:p>
    <w:p w:rsidR="00D66A47" w:rsidRDefault="00673C28" w:rsidP="00CF7203">
      <w:pPr>
        <w:widowControl w:val="0"/>
        <w:spacing w:before="160" w:after="160" w:line="260" w:lineRule="exact"/>
        <w:rPr>
          <w:rFonts w:ascii="Calibri" w:eastAsia="Calibri" w:hAnsi="Calibri" w:cs="Times New Roman"/>
          <w:b/>
          <w:lang w:eastAsia="en-AU"/>
        </w:rPr>
      </w:pPr>
      <w:hyperlink r:id="rId29" w:history="1">
        <w:r w:rsidR="00D66A47">
          <w:rPr>
            <w:rStyle w:val="Hyperlink"/>
            <w:rFonts w:ascii="Calibri" w:eastAsia="Calibri" w:hAnsi="Calibri" w:cs="Times New Roman"/>
            <w:b/>
            <w:lang w:eastAsia="en-AU"/>
          </w:rPr>
          <w:t>These response</w:t>
        </w:r>
      </w:hyperlink>
      <w:r w:rsidR="00D66A47">
        <w:rPr>
          <w:rStyle w:val="Hyperlink"/>
          <w:rFonts w:ascii="Calibri" w:eastAsia="Calibri" w:hAnsi="Calibri" w:cs="Times New Roman"/>
          <w:b/>
          <w:lang w:eastAsia="en-AU"/>
        </w:rPr>
        <w:t>s</w:t>
      </w:r>
      <w:r w:rsidR="00D66A47" w:rsidRPr="00367B9B">
        <w:rPr>
          <w:rFonts w:ascii="Calibri" w:eastAsia="Calibri" w:hAnsi="Calibri" w:cs="Times New Roman"/>
          <w:b/>
          <w:i/>
          <w:vertAlign w:val="superscript"/>
          <w:lang w:eastAsia="en-AU"/>
        </w:rPr>
        <w:footnoteReference w:id="4"/>
      </w:r>
      <w:r w:rsidR="00D66A47" w:rsidRPr="00367B9B">
        <w:rPr>
          <w:rFonts w:ascii="Calibri" w:eastAsia="Calibri" w:hAnsi="Calibri" w:cs="Times New Roman"/>
          <w:b/>
          <w:i/>
          <w:lang w:eastAsia="en-AU"/>
        </w:rPr>
        <w:t xml:space="preserve"> </w:t>
      </w:r>
      <w:r w:rsidR="00D66A47" w:rsidRPr="00031636">
        <w:rPr>
          <w:rFonts w:ascii="Calibri" w:eastAsia="Calibri" w:hAnsi="Calibri" w:cs="Times New Roman"/>
          <w:b/>
          <w:lang w:eastAsia="en-AU"/>
        </w:rPr>
        <w:t>can be viewed online.</w:t>
      </w:r>
    </w:p>
    <w:p w:rsidR="00D66A47" w:rsidRDefault="00D66A47" w:rsidP="00765843">
      <w:pPr>
        <w:pStyle w:val="ListParagraph"/>
        <w:keepNext/>
        <w:numPr>
          <w:ilvl w:val="0"/>
          <w:numId w:val="25"/>
        </w:numPr>
        <w:spacing w:line="260" w:lineRule="exact"/>
        <w:ind w:left="360"/>
        <w:contextualSpacing w:val="0"/>
      </w:pPr>
      <w:r>
        <w:t xml:space="preserve">The </w:t>
      </w:r>
      <w:r w:rsidR="007A631C">
        <w:t>Minister for City Services</w:t>
      </w:r>
      <w:r>
        <w:t xml:space="preserve">, </w:t>
      </w:r>
      <w:r w:rsidR="007A631C">
        <w:t>dated 26 August 2020, in relation to comments made in Scrutiny Report 44 concerning Disallowable Instrument DI20202-93—Veterinary Practice (Fees) Determination 2020 (No 2).</w:t>
      </w:r>
    </w:p>
    <w:p w:rsidR="007A631C" w:rsidRDefault="007A631C" w:rsidP="00765843">
      <w:pPr>
        <w:pStyle w:val="ListParagraph"/>
        <w:numPr>
          <w:ilvl w:val="0"/>
          <w:numId w:val="25"/>
        </w:numPr>
        <w:ind w:left="360"/>
        <w:contextualSpacing w:val="0"/>
      </w:pPr>
      <w:r>
        <w:t>The Attorney-General, dated 27 August 2020, in relation to comments made in Scrutiny Reports 46 and 47 concerning the following instruments:</w:t>
      </w:r>
    </w:p>
    <w:p w:rsidR="00E446D5" w:rsidRPr="00ED7CDA" w:rsidRDefault="00E446D5" w:rsidP="00765843">
      <w:pPr>
        <w:pStyle w:val="ListParagraph"/>
        <w:numPr>
          <w:ilvl w:val="0"/>
          <w:numId w:val="26"/>
        </w:numPr>
        <w:contextualSpacing w:val="0"/>
        <w:rPr>
          <w:rFonts w:cstheme="minorHAnsi"/>
        </w:rPr>
      </w:pPr>
      <w:r w:rsidRPr="00ED7CDA">
        <w:rPr>
          <w:rFonts w:cstheme="minorHAnsi"/>
        </w:rPr>
        <w:t>Disallowable Instrument DI2020-130</w:t>
      </w:r>
      <w:r w:rsidR="005A28FA">
        <w:rPr>
          <w:rFonts w:cstheme="minorHAnsi"/>
        </w:rPr>
        <w:t>—</w:t>
      </w:r>
      <w:r w:rsidRPr="00ED7CDA">
        <w:rPr>
          <w:rFonts w:cstheme="minorHAnsi"/>
        </w:rPr>
        <w:t xml:space="preserve">the </w:t>
      </w:r>
      <w:r w:rsidRPr="00ED7CDA">
        <w:rPr>
          <w:rFonts w:cstheme="minorHAnsi"/>
          <w:iCs/>
        </w:rPr>
        <w:t>Gambling and Racing Control (Governing Board) Appointment 2020 (No 2)</w:t>
      </w:r>
      <w:r w:rsidRPr="00ED7CDA">
        <w:rPr>
          <w:rFonts w:cstheme="minorHAnsi"/>
        </w:rPr>
        <w:t>;</w:t>
      </w:r>
    </w:p>
    <w:p w:rsidR="00E446D5" w:rsidRPr="00ED7CDA" w:rsidRDefault="00E446D5" w:rsidP="00765843">
      <w:pPr>
        <w:pStyle w:val="ListParagraph"/>
        <w:numPr>
          <w:ilvl w:val="0"/>
          <w:numId w:val="26"/>
        </w:numPr>
        <w:contextualSpacing w:val="0"/>
        <w:rPr>
          <w:rFonts w:cstheme="minorHAnsi"/>
        </w:rPr>
      </w:pPr>
      <w:r w:rsidRPr="00ED7CDA">
        <w:rPr>
          <w:rFonts w:cstheme="minorHAnsi"/>
        </w:rPr>
        <w:t>Disallowable Instrument DI2020-131</w:t>
      </w:r>
      <w:r w:rsidR="005A28FA">
        <w:rPr>
          <w:rFonts w:cstheme="minorHAnsi"/>
        </w:rPr>
        <w:t>—</w:t>
      </w:r>
      <w:r w:rsidRPr="00ED7CDA">
        <w:rPr>
          <w:rFonts w:cstheme="minorHAnsi"/>
        </w:rPr>
        <w:t xml:space="preserve">the </w:t>
      </w:r>
      <w:r w:rsidRPr="00ED7CDA">
        <w:rPr>
          <w:rFonts w:cstheme="minorHAnsi"/>
          <w:iCs/>
        </w:rPr>
        <w:t>Gambling and Racing Control (Governing Board) Appointment 2020 (No 1)</w:t>
      </w:r>
      <w:r w:rsidRPr="00ED7CDA">
        <w:rPr>
          <w:rFonts w:cstheme="minorHAnsi"/>
        </w:rPr>
        <w:t xml:space="preserve">; </w:t>
      </w:r>
    </w:p>
    <w:p w:rsidR="00E446D5" w:rsidRPr="00ED7CDA" w:rsidRDefault="00E446D5" w:rsidP="00765843">
      <w:pPr>
        <w:pStyle w:val="ListParagraph"/>
        <w:numPr>
          <w:ilvl w:val="0"/>
          <w:numId w:val="26"/>
        </w:numPr>
        <w:contextualSpacing w:val="0"/>
        <w:rPr>
          <w:rFonts w:cstheme="minorHAnsi"/>
        </w:rPr>
      </w:pPr>
      <w:r w:rsidRPr="00ED7CDA">
        <w:rPr>
          <w:rFonts w:cstheme="minorHAnsi"/>
        </w:rPr>
        <w:t>Disallowable Instrument DI2020-132</w:t>
      </w:r>
      <w:r w:rsidR="005A28FA">
        <w:rPr>
          <w:rFonts w:cstheme="minorHAnsi"/>
        </w:rPr>
        <w:t>—</w:t>
      </w:r>
      <w:r w:rsidRPr="00ED7CDA">
        <w:rPr>
          <w:rFonts w:cstheme="minorHAnsi"/>
        </w:rPr>
        <w:t xml:space="preserve">the </w:t>
      </w:r>
      <w:r w:rsidRPr="00ED7CDA">
        <w:rPr>
          <w:rFonts w:cstheme="minorHAnsi"/>
          <w:iCs/>
        </w:rPr>
        <w:t>Lotteries (Fees) Determination 2020 (No 1)</w:t>
      </w:r>
      <w:r w:rsidRPr="00ED7CDA">
        <w:rPr>
          <w:rFonts w:cstheme="minorHAnsi"/>
        </w:rPr>
        <w:t>;</w:t>
      </w:r>
    </w:p>
    <w:p w:rsidR="00E446D5" w:rsidRPr="00ED7CDA" w:rsidRDefault="00E446D5" w:rsidP="00765843">
      <w:pPr>
        <w:pStyle w:val="ListParagraph"/>
        <w:numPr>
          <w:ilvl w:val="0"/>
          <w:numId w:val="26"/>
        </w:numPr>
        <w:contextualSpacing w:val="0"/>
        <w:rPr>
          <w:rFonts w:cstheme="minorHAnsi"/>
        </w:rPr>
      </w:pPr>
      <w:r w:rsidRPr="00ED7CDA">
        <w:rPr>
          <w:rFonts w:cstheme="minorHAnsi"/>
        </w:rPr>
        <w:t>Disallowable Instrument DI2020-171</w:t>
      </w:r>
      <w:r w:rsidR="005A28FA">
        <w:rPr>
          <w:rFonts w:cstheme="minorHAnsi"/>
        </w:rPr>
        <w:t>—</w:t>
      </w:r>
      <w:r w:rsidRPr="00ED7CDA">
        <w:rPr>
          <w:rFonts w:cstheme="minorHAnsi"/>
        </w:rPr>
        <w:t xml:space="preserve">the </w:t>
      </w:r>
      <w:r w:rsidRPr="00ED7CDA">
        <w:rPr>
          <w:rFonts w:cstheme="minorHAnsi"/>
          <w:iCs/>
        </w:rPr>
        <w:t>Lotteries (Fees) Determination 2020 (No 2)</w:t>
      </w:r>
      <w:r w:rsidRPr="00ED7CDA">
        <w:rPr>
          <w:rFonts w:cstheme="minorHAnsi"/>
        </w:rPr>
        <w:t>; and</w:t>
      </w:r>
    </w:p>
    <w:p w:rsidR="00E446D5" w:rsidRPr="00ED7CDA" w:rsidRDefault="00E446D5" w:rsidP="00765843">
      <w:pPr>
        <w:pStyle w:val="ListParagraph"/>
        <w:numPr>
          <w:ilvl w:val="0"/>
          <w:numId w:val="26"/>
        </w:numPr>
        <w:contextualSpacing w:val="0"/>
        <w:rPr>
          <w:rFonts w:cstheme="minorHAnsi"/>
        </w:rPr>
      </w:pPr>
      <w:r w:rsidRPr="00ED7CDA">
        <w:rPr>
          <w:rFonts w:cstheme="minorHAnsi"/>
        </w:rPr>
        <w:t>Subordinate Law SL2020-20</w:t>
      </w:r>
      <w:r w:rsidR="005A28FA">
        <w:rPr>
          <w:rFonts w:cstheme="minorHAnsi"/>
        </w:rPr>
        <w:t>—</w:t>
      </w:r>
      <w:r w:rsidRPr="00ED7CDA">
        <w:rPr>
          <w:rFonts w:cstheme="minorHAnsi"/>
        </w:rPr>
        <w:t xml:space="preserve">the </w:t>
      </w:r>
      <w:r w:rsidRPr="00ED7CDA">
        <w:rPr>
          <w:rFonts w:cstheme="minorHAnsi"/>
          <w:iCs/>
        </w:rPr>
        <w:t>Court Procedures Amendment Rules 2020 (No 3)</w:t>
      </w:r>
      <w:r w:rsidRPr="00ED7CDA">
        <w:rPr>
          <w:rFonts w:cstheme="minorHAnsi"/>
        </w:rPr>
        <w:t>.</w:t>
      </w:r>
    </w:p>
    <w:p w:rsidR="00D66A47" w:rsidRDefault="00673C28" w:rsidP="00765843">
      <w:pPr>
        <w:widowControl w:val="0"/>
        <w:rPr>
          <w:rFonts w:ascii="Calibri" w:eastAsia="Calibri" w:hAnsi="Calibri" w:cs="Times New Roman"/>
          <w:b/>
          <w:lang w:eastAsia="en-AU"/>
        </w:rPr>
      </w:pPr>
      <w:hyperlink r:id="rId30" w:history="1">
        <w:r w:rsidR="00E446D5">
          <w:rPr>
            <w:rStyle w:val="Hyperlink"/>
            <w:rFonts w:ascii="Calibri" w:eastAsia="Calibri" w:hAnsi="Calibri" w:cs="Times New Roman"/>
            <w:b/>
            <w:lang w:eastAsia="en-AU"/>
          </w:rPr>
          <w:t>These</w:t>
        </w:r>
        <w:r w:rsidR="00D66A47">
          <w:rPr>
            <w:rStyle w:val="Hyperlink"/>
            <w:rFonts w:ascii="Calibri" w:eastAsia="Calibri" w:hAnsi="Calibri" w:cs="Times New Roman"/>
            <w:b/>
            <w:lang w:eastAsia="en-AU"/>
          </w:rPr>
          <w:t xml:space="preserve"> response</w:t>
        </w:r>
      </w:hyperlink>
      <w:r w:rsidR="00E446D5">
        <w:rPr>
          <w:rStyle w:val="Hyperlink"/>
          <w:rFonts w:ascii="Calibri" w:eastAsia="Calibri" w:hAnsi="Calibri" w:cs="Times New Roman"/>
          <w:b/>
          <w:lang w:eastAsia="en-AU"/>
        </w:rPr>
        <w:t>s</w:t>
      </w:r>
      <w:r w:rsidR="00D66A47" w:rsidRPr="00367B9B">
        <w:rPr>
          <w:rFonts w:ascii="Calibri" w:eastAsia="Calibri" w:hAnsi="Calibri" w:cs="Times New Roman"/>
          <w:b/>
          <w:i/>
          <w:vertAlign w:val="superscript"/>
          <w:lang w:eastAsia="en-AU"/>
        </w:rPr>
        <w:footnoteReference w:id="5"/>
      </w:r>
      <w:r w:rsidR="00D66A47" w:rsidRPr="00367B9B">
        <w:rPr>
          <w:rFonts w:ascii="Calibri" w:eastAsia="Calibri" w:hAnsi="Calibri" w:cs="Times New Roman"/>
          <w:b/>
          <w:i/>
          <w:lang w:eastAsia="en-AU"/>
        </w:rPr>
        <w:t xml:space="preserve"> </w:t>
      </w:r>
      <w:r w:rsidR="00D66A47" w:rsidRPr="00031636">
        <w:rPr>
          <w:rFonts w:ascii="Calibri" w:eastAsia="Calibri" w:hAnsi="Calibri" w:cs="Times New Roman"/>
          <w:b/>
          <w:lang w:eastAsia="en-AU"/>
        </w:rPr>
        <w:t>can be viewed online.</w:t>
      </w:r>
    </w:p>
    <w:p w:rsidR="00D66A47" w:rsidRDefault="00D66A47" w:rsidP="00765843">
      <w:pPr>
        <w:rPr>
          <w:rFonts w:ascii="Calibri" w:eastAsia="Calibri" w:hAnsi="Calibri" w:cs="Times New Roman"/>
        </w:rPr>
      </w:pPr>
      <w:r w:rsidRPr="00F65983">
        <w:rPr>
          <w:rFonts w:ascii="Calibri" w:eastAsia="Calibri" w:hAnsi="Calibri" w:cs="Times New Roman"/>
        </w:rPr>
        <w:t xml:space="preserve">The Committee </w:t>
      </w:r>
      <w:r>
        <w:rPr>
          <w:rFonts w:ascii="Calibri" w:eastAsia="Calibri" w:hAnsi="Calibri" w:cs="Times New Roman"/>
        </w:rPr>
        <w:t>wishes to thank the</w:t>
      </w:r>
      <w:r w:rsidR="00E446D5">
        <w:rPr>
          <w:rFonts w:ascii="Calibri" w:eastAsia="Calibri" w:hAnsi="Calibri" w:cs="Times New Roman"/>
        </w:rPr>
        <w:t xml:space="preserve"> Chief Minister, the</w:t>
      </w:r>
      <w:r>
        <w:rPr>
          <w:rFonts w:ascii="Calibri" w:eastAsia="Calibri" w:hAnsi="Calibri" w:cs="Times New Roman"/>
        </w:rPr>
        <w:t xml:space="preserve"> Attorney-General, the </w:t>
      </w:r>
      <w:r w:rsidR="00E446D5">
        <w:rPr>
          <w:rFonts w:ascii="Calibri" w:eastAsia="Calibri" w:hAnsi="Calibri" w:cs="Times New Roman"/>
        </w:rPr>
        <w:t>M</w:t>
      </w:r>
      <w:r>
        <w:rPr>
          <w:rFonts w:ascii="Calibri" w:eastAsia="Calibri" w:hAnsi="Calibri" w:cs="Times New Roman"/>
        </w:rPr>
        <w:t>inister for Mental Health</w:t>
      </w:r>
      <w:r w:rsidR="002D3CC6">
        <w:rPr>
          <w:rFonts w:ascii="Calibri" w:eastAsia="Calibri" w:hAnsi="Calibri" w:cs="Times New Roman"/>
        </w:rPr>
        <w:t>,</w:t>
      </w:r>
      <w:r w:rsidR="00E446D5">
        <w:rPr>
          <w:rFonts w:ascii="Calibri" w:eastAsia="Calibri" w:hAnsi="Calibri" w:cs="Times New Roman"/>
        </w:rPr>
        <w:t xml:space="preserve"> the Minister for City Services</w:t>
      </w:r>
      <w:r w:rsidR="002D3CC6">
        <w:rPr>
          <w:rFonts w:ascii="Calibri" w:eastAsia="Calibri" w:hAnsi="Calibri" w:cs="Times New Roman"/>
        </w:rPr>
        <w:t xml:space="preserve"> and the Minister for Police and Emergency Services</w:t>
      </w:r>
      <w:r>
        <w:rPr>
          <w:rFonts w:ascii="Calibri" w:eastAsia="Calibri" w:hAnsi="Calibri" w:cs="Times New Roman"/>
        </w:rPr>
        <w:t xml:space="preserve"> for their </w:t>
      </w:r>
      <w:r w:rsidR="0060512C">
        <w:rPr>
          <w:rFonts w:ascii="Calibri" w:eastAsia="Calibri" w:hAnsi="Calibri" w:cs="Times New Roman"/>
        </w:rPr>
        <w:t xml:space="preserve">helpful </w:t>
      </w:r>
      <w:r>
        <w:rPr>
          <w:rFonts w:ascii="Calibri" w:eastAsia="Calibri" w:hAnsi="Calibri" w:cs="Times New Roman"/>
        </w:rPr>
        <w:t>responses.</w:t>
      </w:r>
    </w:p>
    <w:p w:rsidR="005A28FA" w:rsidRDefault="005A28FA" w:rsidP="005A28FA">
      <w:pPr>
        <w:pStyle w:val="Heading3"/>
        <w:rPr>
          <w:rFonts w:eastAsia="Calibri"/>
          <w:lang w:eastAsia="en-AU"/>
        </w:rPr>
      </w:pPr>
      <w:bookmarkStart w:id="610" w:name="_Toc50457169"/>
      <w:r>
        <w:rPr>
          <w:rFonts w:eastAsia="Calibri"/>
          <w:lang w:eastAsia="en-AU"/>
        </w:rPr>
        <w:t>Government responses</w:t>
      </w:r>
      <w:r w:rsidRPr="00F23CCD">
        <w:rPr>
          <w:rFonts w:eastAsia="Calibri"/>
          <w:lang w:eastAsia="en-AU"/>
        </w:rPr>
        <w:t>—Comment</w:t>
      </w:r>
      <w:bookmarkEnd w:id="610"/>
    </w:p>
    <w:p w:rsidR="00E601E8" w:rsidRDefault="00E601E8" w:rsidP="005A28FA">
      <w:pPr>
        <w:pStyle w:val="Heading4nonumber"/>
        <w:rPr>
          <w:b/>
          <w:sz w:val="24"/>
          <w:szCs w:val="24"/>
        </w:rPr>
      </w:pPr>
      <w:r>
        <w:rPr>
          <w:b/>
          <w:sz w:val="24"/>
          <w:szCs w:val="24"/>
        </w:rPr>
        <w:t>Sexuality and Gender Identity Conversion Practices Bill 2020</w:t>
      </w:r>
    </w:p>
    <w:p w:rsidR="0060512C" w:rsidRDefault="0060512C" w:rsidP="0060512C">
      <w:pPr>
        <w:rPr>
          <w:rFonts w:ascii="Calibri" w:eastAsia="Calibri" w:hAnsi="Calibri" w:cs="Times New Roman"/>
        </w:rPr>
      </w:pPr>
      <w:r>
        <w:rPr>
          <w:rFonts w:ascii="Calibri" w:eastAsia="Calibri" w:hAnsi="Calibri" w:cs="Times New Roman"/>
        </w:rPr>
        <w:t xml:space="preserve">On 27 August 2020, the Committee received a further response from the Chief Minister responding to comments in </w:t>
      </w:r>
      <w:r>
        <w:rPr>
          <w:rFonts w:ascii="Calibri" w:eastAsia="Calibri" w:hAnsi="Calibri" w:cs="Times New Roman"/>
          <w:i/>
        </w:rPr>
        <w:t>Scrutiny Report 50</w:t>
      </w:r>
      <w:r>
        <w:rPr>
          <w:rFonts w:ascii="Calibri" w:eastAsia="Calibri" w:hAnsi="Calibri" w:cs="Times New Roman"/>
        </w:rPr>
        <w:t xml:space="preserve"> on the </w:t>
      </w:r>
      <w:r w:rsidRPr="0060512C">
        <w:rPr>
          <w:rFonts w:ascii="Calibri" w:eastAsia="Calibri" w:hAnsi="Calibri" w:cs="Times New Roman"/>
        </w:rPr>
        <w:t>S</w:t>
      </w:r>
      <w:r>
        <w:rPr>
          <w:rFonts w:ascii="Calibri" w:eastAsia="Calibri" w:hAnsi="Calibri" w:cs="Times New Roman"/>
        </w:rPr>
        <w:t>exuality a</w:t>
      </w:r>
      <w:r w:rsidRPr="0060512C">
        <w:rPr>
          <w:rFonts w:ascii="Calibri" w:eastAsia="Calibri" w:hAnsi="Calibri" w:cs="Times New Roman"/>
        </w:rPr>
        <w:t>nd Gender Identity Conversion Practices Bill 2020</w:t>
      </w:r>
      <w:r>
        <w:rPr>
          <w:rFonts w:ascii="Calibri" w:eastAsia="Calibri" w:hAnsi="Calibri" w:cs="Times New Roman"/>
        </w:rPr>
        <w:t>.  The Committee thanks the Chief Minister for his timely response.</w:t>
      </w:r>
    </w:p>
    <w:p w:rsidR="00327E39" w:rsidRDefault="0060512C" w:rsidP="0060512C">
      <w:r>
        <w:rPr>
          <w:rFonts w:ascii="Calibri" w:eastAsia="Calibri" w:hAnsi="Calibri" w:cs="Times New Roman"/>
        </w:rPr>
        <w:t>In its comments, the Committee pointed to alternative approaches to the restriction of conversion practices, such as those presented in a report by researchers at La Trobe University</w:t>
      </w:r>
      <w:r w:rsidR="00CE7EC2">
        <w:rPr>
          <w:rFonts w:ascii="Calibri" w:eastAsia="Calibri" w:hAnsi="Calibri" w:cs="Times New Roman"/>
        </w:rPr>
        <w:t xml:space="preserve"> </w:t>
      </w:r>
      <w:r w:rsidR="00CE7EC2" w:rsidRPr="0032795A">
        <w:t xml:space="preserve">(La Trobe University, Gay &amp; Lesbian Health Victorians &amp; the Human Rights Law Centre, </w:t>
      </w:r>
      <w:r w:rsidR="00CE7EC2" w:rsidRPr="0032795A">
        <w:rPr>
          <w:i/>
        </w:rPr>
        <w:t>Preventing Harm, Promoting Justice: Responding to LGBT conversion therapy in Australia</w:t>
      </w:r>
      <w:r w:rsidR="00CE7EC2">
        <w:t xml:space="preserve"> (2018)).  The Committee asked for a further response from the Chief Minister as to why</w:t>
      </w:r>
      <w:r w:rsidR="004C26CB">
        <w:t xml:space="preserve"> such alternative approaches were</w:t>
      </w:r>
      <w:r w:rsidR="00CE7EC2">
        <w:t xml:space="preserve"> not considered adequate for the purposes of a justification for any human rights </w:t>
      </w:r>
      <w:r w:rsidR="004C26CB">
        <w:t>limitations</w:t>
      </w:r>
      <w:r w:rsidR="00CE7EC2">
        <w:t>.</w:t>
      </w:r>
    </w:p>
    <w:p w:rsidR="0060512C" w:rsidRDefault="00327E39" w:rsidP="0060512C">
      <w:r>
        <w:t>The Committee notes that the Chief Minister’s response does not identify any alternative approaches or set out why they were not considered adequate.</w:t>
      </w:r>
    </w:p>
    <w:p w:rsidR="00327E39" w:rsidRDefault="00327E39" w:rsidP="0060512C">
      <w:r>
        <w:t>The Committee acknowledges the reference in the Chief Minister’s response to the further consultation engaged in by the Government, and the amendment</w:t>
      </w:r>
      <w:r w:rsidR="00006740">
        <w:t xml:space="preserve"> to the Bill</w:t>
      </w:r>
      <w:r>
        <w:t xml:space="preserve"> which the Government put forward.</w:t>
      </w:r>
    </w:p>
    <w:p w:rsidR="00327E39" w:rsidRPr="0060512C" w:rsidRDefault="00327E39" w:rsidP="0060512C">
      <w:pPr>
        <w:rPr>
          <w:rFonts w:ascii="Calibri" w:eastAsia="Calibri" w:hAnsi="Calibri" w:cs="Times New Roman"/>
        </w:rPr>
      </w:pPr>
      <w:r>
        <w:t>The Committee has no further comments.</w:t>
      </w:r>
    </w:p>
    <w:p w:rsidR="005A28FA" w:rsidRDefault="00E601E8" w:rsidP="00006740">
      <w:pPr>
        <w:pStyle w:val="Heading4nonumber"/>
        <w:keepLines/>
        <w:spacing w:before="240"/>
        <w:rPr>
          <w:b/>
          <w:sz w:val="24"/>
          <w:szCs w:val="24"/>
        </w:rPr>
      </w:pPr>
      <w:r>
        <w:rPr>
          <w:b/>
          <w:sz w:val="24"/>
          <w:szCs w:val="24"/>
        </w:rPr>
        <w:t>Disallowable Instruments DI2020-130, DI2020-131, DI2020-132, DI2020-171 and Subordinate Law SL2020-20</w:t>
      </w:r>
    </w:p>
    <w:p w:rsidR="005A28FA" w:rsidRDefault="005A28FA" w:rsidP="006C6702">
      <w:pPr>
        <w:widowControl w:val="0"/>
        <w:tabs>
          <w:tab w:val="left" w:pos="-76"/>
        </w:tabs>
        <w:spacing w:before="200" w:after="200" w:line="260" w:lineRule="exact"/>
        <w:rPr>
          <w:rFonts w:ascii="Calibri" w:eastAsia="Calibri" w:hAnsi="Calibri" w:cs="Calibri"/>
        </w:rPr>
      </w:pPr>
      <w:r>
        <w:rPr>
          <w:rFonts w:ascii="Calibri" w:hAnsi="Calibri" w:cs="Calibri"/>
          <w:color w:val="000000"/>
        </w:rPr>
        <w:t xml:space="preserve">The Committee notes that it has received a response from the Attorney-General, dated 27 August 2020, in relation to issues raised by the Committee in relation to various instruments and a subordinate law.  In relation to the instruments—DI2020-130, </w:t>
      </w:r>
      <w:r>
        <w:rPr>
          <w:rFonts w:ascii="Calibri" w:eastAsia="Calibri" w:hAnsi="Calibri" w:cs="Calibri"/>
        </w:rPr>
        <w:t>DI</w:t>
      </w:r>
      <w:r w:rsidR="006D668E">
        <w:rPr>
          <w:rFonts w:ascii="Calibri" w:eastAsia="Calibri" w:hAnsi="Calibri" w:cs="Calibri"/>
        </w:rPr>
        <w:t>2020-131, DI2020-132 and DI2020</w:t>
      </w:r>
      <w:r w:rsidR="006D668E">
        <w:rPr>
          <w:rFonts w:ascii="Calibri" w:eastAsia="Calibri" w:hAnsi="Calibri" w:cs="Calibri"/>
        </w:rPr>
        <w:noBreakHyphen/>
      </w:r>
      <w:r>
        <w:rPr>
          <w:rFonts w:ascii="Calibri" w:eastAsia="Calibri" w:hAnsi="Calibri" w:cs="Calibri"/>
        </w:rPr>
        <w:t>171—the Attorney-General has addressed the Committee’s concerns and the Committee has nothing to add, in relation to these instruments.  However, the Committee has some further comments in relation to the Attorney-General’s response in relation to the Committee’s comments on the subordinate law—the Court Procedures Amendment Rules 2020 (No 3) (SL2020-20).</w:t>
      </w:r>
    </w:p>
    <w:p w:rsidR="005A28FA" w:rsidRDefault="005A28FA" w:rsidP="006C6702">
      <w:pPr>
        <w:widowControl w:val="0"/>
        <w:tabs>
          <w:tab w:val="left" w:pos="-76"/>
        </w:tabs>
        <w:spacing w:before="200" w:after="200" w:line="260" w:lineRule="exact"/>
        <w:rPr>
          <w:rFonts w:ascii="Calibri" w:eastAsia="Calibri" w:hAnsi="Calibri" w:cs="Calibri"/>
        </w:rPr>
      </w:pPr>
      <w:r>
        <w:rPr>
          <w:rFonts w:ascii="Calibri" w:eastAsia="Calibri" w:hAnsi="Calibri" w:cs="Calibri"/>
        </w:rPr>
        <w:t xml:space="preserve">The Committee initially considered the subordinate law in question in </w:t>
      </w:r>
      <w:r>
        <w:rPr>
          <w:rFonts w:ascii="Calibri" w:eastAsia="Calibri" w:hAnsi="Calibri" w:cs="Calibri"/>
          <w:i/>
          <w:iCs/>
        </w:rPr>
        <w:t xml:space="preserve">Scrutiny Report 46 </w:t>
      </w:r>
      <w:r>
        <w:rPr>
          <w:rFonts w:ascii="Calibri" w:eastAsia="Calibri" w:hAnsi="Calibri" w:cs="Calibri"/>
        </w:rPr>
        <w:t>of the 9</w:t>
      </w:r>
      <w:r>
        <w:rPr>
          <w:rFonts w:ascii="Calibri" w:eastAsia="Calibri" w:hAnsi="Calibri" w:cs="Calibri"/>
          <w:vertAlign w:val="superscript"/>
        </w:rPr>
        <w:t>th</w:t>
      </w:r>
      <w:r>
        <w:rPr>
          <w:rFonts w:ascii="Calibri" w:eastAsia="Calibri" w:hAnsi="Calibri" w:cs="Calibri"/>
        </w:rPr>
        <w:t xml:space="preserve"> Assembly (21 July 2020).  Amendments made by the subordinate law included amendments in relation to fees that can be charged by solicitors, etc in relation to their work.  The Committee’s concern was that the explanatory statement for the subordinate law did not address the changes in fees in the way that the Committee has always expected of instruments that determine fees.  As the Attorney-General has noted, in his response, the Committee indicated that, while there appeared to be no increase in charges involved in the amendments made by the subordinate law …</w:t>
      </w:r>
    </w:p>
    <w:p w:rsidR="005A28FA" w:rsidRDefault="005A28FA" w:rsidP="006C6702">
      <w:pPr>
        <w:autoSpaceDE w:val="0"/>
        <w:autoSpaceDN w:val="0"/>
        <w:adjustRightInd w:val="0"/>
        <w:spacing w:before="200" w:after="200" w:line="260" w:lineRule="exact"/>
        <w:ind w:left="36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it</w:t>
      </w:r>
      <w:proofErr w:type="gramEnd"/>
      <w:r>
        <w:rPr>
          <w:rFonts w:ascii="Calibri" w:eastAsia="Calibri" w:hAnsi="Calibri" w:cs="Calibri"/>
        </w:rPr>
        <w:t xml:space="preserve"> would have been preferable if this had been made clear, in the explanatory statement for the subordinate law.</w:t>
      </w:r>
    </w:p>
    <w:p w:rsidR="005A28FA" w:rsidRDefault="005A28FA" w:rsidP="006C6702">
      <w:pPr>
        <w:keepNext/>
        <w:autoSpaceDE w:val="0"/>
        <w:autoSpaceDN w:val="0"/>
        <w:adjustRightInd w:val="0"/>
        <w:spacing w:before="200" w:after="200" w:line="260" w:lineRule="exact"/>
        <w:rPr>
          <w:rFonts w:ascii="Calibri" w:eastAsia="Calibri" w:hAnsi="Calibri" w:cs="Calibri"/>
        </w:rPr>
      </w:pPr>
      <w:r>
        <w:rPr>
          <w:rFonts w:ascii="Calibri" w:eastAsia="Calibri" w:hAnsi="Calibri" w:cs="Calibri"/>
        </w:rPr>
        <w:t>In response, the Attorney-General states:</w:t>
      </w:r>
    </w:p>
    <w:p w:rsidR="005A28FA" w:rsidRDefault="005A28FA" w:rsidP="006C6702">
      <w:pPr>
        <w:autoSpaceDE w:val="0"/>
        <w:autoSpaceDN w:val="0"/>
        <w:adjustRightInd w:val="0"/>
        <w:spacing w:before="200" w:after="200" w:line="260" w:lineRule="exact"/>
        <w:ind w:left="360"/>
        <w:rPr>
          <w:rFonts w:ascii="Calibri" w:eastAsia="Calibri" w:hAnsi="Calibri" w:cs="Calibri"/>
        </w:rPr>
      </w:pPr>
      <w:r>
        <w:rPr>
          <w:rFonts w:ascii="Calibri" w:eastAsia="Calibri" w:hAnsi="Calibri" w:cs="Calibri"/>
        </w:rPr>
        <w:t xml:space="preserve">The Rule-Making Committee (currently comprising the Chief Justice, Justice </w:t>
      </w:r>
      <w:proofErr w:type="spellStart"/>
      <w:r>
        <w:rPr>
          <w:rFonts w:ascii="Calibri" w:eastAsia="Calibri" w:hAnsi="Calibri" w:cs="Calibri"/>
        </w:rPr>
        <w:t>Elkaim</w:t>
      </w:r>
      <w:proofErr w:type="spellEnd"/>
      <w:r>
        <w:rPr>
          <w:rFonts w:ascii="Calibri" w:eastAsia="Calibri" w:hAnsi="Calibri" w:cs="Calibri"/>
        </w:rPr>
        <w:t xml:space="preserve">, Acting Chief Magistrate and Magistrate Morrison) makes rules in relation to the practice and procedure of ACT Courts and their registries, pursuant to section 7 of the </w:t>
      </w:r>
      <w:r>
        <w:rPr>
          <w:rFonts w:ascii="Calibri" w:eastAsia="Calibri" w:hAnsi="Calibri" w:cs="Calibri"/>
          <w:i/>
          <w:iCs/>
        </w:rPr>
        <w:t>Court Procedures Act 2004</w:t>
      </w:r>
      <w:r>
        <w:rPr>
          <w:rFonts w:ascii="Calibri" w:eastAsia="Calibri" w:hAnsi="Calibri" w:cs="Calibri"/>
        </w:rPr>
        <w:t xml:space="preserve">. The Courts and the Joint Rules Advisory Committee continuously conduct a consultative review of </w:t>
      </w:r>
      <w:r>
        <w:rPr>
          <w:rFonts w:ascii="Calibri" w:eastAsia="Calibri" w:hAnsi="Calibri" w:cs="Calibri"/>
        </w:rPr>
        <w:lastRenderedPageBreak/>
        <w:t xml:space="preserve">the rules, which may result in amendments to the </w:t>
      </w:r>
      <w:r>
        <w:rPr>
          <w:rFonts w:ascii="Calibri" w:eastAsia="Calibri" w:hAnsi="Calibri" w:cs="Calibri"/>
          <w:i/>
          <w:iCs/>
        </w:rPr>
        <w:t xml:space="preserve">Court Procedures Rules 2006 </w:t>
      </w:r>
      <w:r>
        <w:rPr>
          <w:rFonts w:ascii="Calibri" w:eastAsia="Calibri" w:hAnsi="Calibri" w:cs="Calibri"/>
        </w:rPr>
        <w:t>(the Rules). The Rules are made by the Judiciary and not by the Executive.</w:t>
      </w:r>
    </w:p>
    <w:p w:rsidR="005A28FA" w:rsidRDefault="005A28FA" w:rsidP="006C6702">
      <w:pPr>
        <w:autoSpaceDE w:val="0"/>
        <w:autoSpaceDN w:val="0"/>
        <w:adjustRightInd w:val="0"/>
        <w:spacing w:before="200" w:after="200" w:line="260" w:lineRule="exact"/>
        <w:rPr>
          <w:rFonts w:ascii="Calibri" w:eastAsia="Calibri" w:hAnsi="Calibri" w:cs="Calibri"/>
        </w:rPr>
      </w:pPr>
      <w:r>
        <w:rPr>
          <w:rFonts w:ascii="Calibri" w:eastAsia="Calibri" w:hAnsi="Calibri" w:cs="Calibri"/>
        </w:rPr>
        <w:t>The Committee notes that it is aware that the Rules in question are made by the judiciary and not by the Executive.  However, the Committee notes that this does not in any way diminish the Committee’s expectations, in relation to the explanations, etc provided in relation to subordinate legislation scrutinised by the Committee.</w:t>
      </w:r>
    </w:p>
    <w:p w:rsidR="005A28FA" w:rsidRDefault="005A28FA" w:rsidP="006C6702">
      <w:pPr>
        <w:autoSpaceDE w:val="0"/>
        <w:autoSpaceDN w:val="0"/>
        <w:adjustRightInd w:val="0"/>
        <w:spacing w:before="200" w:after="200" w:line="260" w:lineRule="exact"/>
        <w:rPr>
          <w:rFonts w:ascii="Calibri" w:eastAsia="Calibri" w:hAnsi="Calibri" w:cs="Calibri"/>
        </w:rPr>
      </w:pPr>
      <w:r>
        <w:rPr>
          <w:rFonts w:ascii="Calibri" w:eastAsia="Calibri" w:hAnsi="Calibri" w:cs="Calibri"/>
        </w:rPr>
        <w:t>The Committee notes that the Attorney-General’s response goes on to state:</w:t>
      </w:r>
    </w:p>
    <w:p w:rsidR="005A28FA" w:rsidRDefault="005A28FA" w:rsidP="006C6702">
      <w:pPr>
        <w:autoSpaceDE w:val="0"/>
        <w:autoSpaceDN w:val="0"/>
        <w:adjustRightInd w:val="0"/>
        <w:spacing w:before="200" w:after="200" w:line="260" w:lineRule="exact"/>
        <w:ind w:left="360"/>
        <w:rPr>
          <w:rFonts w:ascii="Calibri" w:eastAsia="Calibri" w:hAnsi="Calibri" w:cs="Calibri"/>
        </w:rPr>
      </w:pPr>
      <w:r>
        <w:rPr>
          <w:rFonts w:ascii="Calibri" w:eastAsia="Calibri" w:hAnsi="Calibri" w:cs="Calibri"/>
        </w:rPr>
        <w:t xml:space="preserve">Schedule 4 of the Rules sets out the scale of costs allowed to be charged for tasks upon the taxation of a legal matter. SL2020-20 amends Schedule 4, Part 4.2, </w:t>
      </w:r>
      <w:proofErr w:type="gramStart"/>
      <w:r>
        <w:rPr>
          <w:rFonts w:ascii="Calibri" w:eastAsia="Calibri" w:hAnsi="Calibri" w:cs="Calibri"/>
        </w:rPr>
        <w:t>Division</w:t>
      </w:r>
      <w:proofErr w:type="gramEnd"/>
      <w:r>
        <w:rPr>
          <w:rFonts w:ascii="Calibri" w:eastAsia="Calibri" w:hAnsi="Calibri" w:cs="Calibri"/>
        </w:rPr>
        <w:t xml:space="preserve"> 4.2.6 of the Rules by collapsing several chargeable items undertaken by a solicitor into one item, allowing for a streamlined process in assessing allowable costs.</w:t>
      </w:r>
    </w:p>
    <w:p w:rsidR="005A28FA" w:rsidRDefault="005A28FA" w:rsidP="006C6702">
      <w:pPr>
        <w:autoSpaceDE w:val="0"/>
        <w:autoSpaceDN w:val="0"/>
        <w:adjustRightInd w:val="0"/>
        <w:spacing w:before="200" w:after="200" w:line="260" w:lineRule="exact"/>
        <w:ind w:left="360"/>
        <w:rPr>
          <w:rFonts w:ascii="Calibri" w:eastAsia="Calibri" w:hAnsi="Calibri" w:cs="Calibri"/>
        </w:rPr>
      </w:pPr>
      <w:r>
        <w:rPr>
          <w:rFonts w:ascii="Calibri" w:eastAsia="Calibri" w:hAnsi="Calibri" w:cs="Calibri"/>
        </w:rPr>
        <w:t>I note that this explanation is largely reflected in the Explanatory Statement issued with the authority of the Rule-Making Committee.</w:t>
      </w:r>
    </w:p>
    <w:p w:rsidR="005A28FA" w:rsidRDefault="005A28FA" w:rsidP="006C6702">
      <w:pPr>
        <w:widowControl w:val="0"/>
        <w:tabs>
          <w:tab w:val="left" w:pos="-76"/>
        </w:tabs>
        <w:spacing w:before="200" w:after="200" w:line="260" w:lineRule="exact"/>
        <w:rPr>
          <w:rFonts w:ascii="Calibri" w:eastAsia="Calibri" w:hAnsi="Calibri" w:cs="Calibri"/>
        </w:rPr>
      </w:pPr>
      <w:r>
        <w:rPr>
          <w:rFonts w:ascii="Calibri" w:eastAsia="Calibri" w:hAnsi="Calibri" w:cs="Calibri"/>
        </w:rPr>
        <w:t>The Committee thanks the Attorney-General for providing this further information, which is helpful.</w:t>
      </w:r>
    </w:p>
    <w:p w:rsidR="005A28FA" w:rsidRDefault="005A28FA" w:rsidP="006C6702">
      <w:pPr>
        <w:widowControl w:val="0"/>
        <w:tabs>
          <w:tab w:val="left" w:pos="-76"/>
        </w:tabs>
        <w:spacing w:before="200" w:after="200" w:line="260" w:lineRule="exact"/>
        <w:rPr>
          <w:rFonts w:ascii="Calibri" w:eastAsia="Calibri" w:hAnsi="Calibri" w:cs="Calibri"/>
          <w:b/>
          <w:bCs/>
        </w:rPr>
      </w:pPr>
      <w:r>
        <w:rPr>
          <w:rFonts w:ascii="Calibri" w:eastAsia="Calibri" w:hAnsi="Calibri" w:cs="Calibri"/>
          <w:b/>
          <w:bCs/>
        </w:rPr>
        <w:t>This comment does not require any further response from the Attorney-General.</w:t>
      </w:r>
    </w:p>
    <w:p w:rsidR="004F019A" w:rsidRPr="00104A8B" w:rsidRDefault="001B0F10" w:rsidP="006C6702">
      <w:pPr>
        <w:spacing w:before="760" w:after="0"/>
      </w:pPr>
      <w:r>
        <w:t xml:space="preserve">Giulia Jones </w:t>
      </w:r>
      <w:r w:rsidR="004F019A" w:rsidRPr="00104A8B">
        <w:t>MLA</w:t>
      </w:r>
    </w:p>
    <w:p w:rsidR="00393D9F" w:rsidRDefault="004F019A" w:rsidP="006C6702">
      <w:pPr>
        <w:spacing w:before="0" w:after="0"/>
      </w:pPr>
      <w:r w:rsidRPr="00104A8B">
        <w:t>Chair</w:t>
      </w:r>
    </w:p>
    <w:p w:rsidR="003F186C" w:rsidRPr="00FF2947" w:rsidRDefault="002C740D" w:rsidP="006C6702">
      <w:pPr>
        <w:spacing w:before="120" w:after="0"/>
        <w:sectPr w:rsidR="003F186C" w:rsidRPr="00FF2947" w:rsidSect="00685D6D">
          <w:headerReference w:type="even" r:id="rId31"/>
          <w:headerReference w:type="default" r:id="rId32"/>
          <w:footerReference w:type="even" r:id="rId33"/>
          <w:footerReference w:type="default" r:id="rId34"/>
          <w:headerReference w:type="first" r:id="rId35"/>
          <w:pgSz w:w="11906" w:h="16838"/>
          <w:pgMar w:top="1710" w:right="1440" w:bottom="1170" w:left="1440" w:header="708" w:footer="543" w:gutter="0"/>
          <w:pgNumType w:start="1"/>
          <w:cols w:space="708"/>
          <w:docGrid w:linePitch="360"/>
        </w:sectPr>
      </w:pPr>
      <w:r>
        <w:t>8</w:t>
      </w:r>
      <w:r w:rsidR="001B0F10">
        <w:t xml:space="preserve"> September</w:t>
      </w:r>
      <w:r w:rsidR="00053DC1" w:rsidRPr="00FF2947">
        <w:t>2020</w:t>
      </w:r>
    </w:p>
    <w:p w:rsidR="003F186C" w:rsidRPr="00104A8B" w:rsidRDefault="003F186C" w:rsidP="00DF4EFB">
      <w:pPr>
        <w:pStyle w:val="Heading2"/>
      </w:pPr>
      <w:bookmarkStart w:id="611" w:name="_Toc514837979"/>
      <w:bookmarkStart w:id="612" w:name="_Toc50457170"/>
      <w:r w:rsidRPr="00104A8B">
        <w:lastRenderedPageBreak/>
        <w:t>Outstanding Responses</w:t>
      </w:r>
      <w:bookmarkEnd w:id="611"/>
      <w:bookmarkEnd w:id="612"/>
    </w:p>
    <w:p w:rsidR="003F186C" w:rsidRPr="00104A8B" w:rsidRDefault="003F186C" w:rsidP="003F186C">
      <w:pPr>
        <w:pStyle w:val="Heading3"/>
        <w:rPr>
          <w:rFonts w:asciiTheme="minorHAnsi" w:hAnsiTheme="minorHAnsi"/>
        </w:rPr>
      </w:pPr>
      <w:bookmarkStart w:id="613" w:name="_Toc505005688"/>
      <w:bookmarkStart w:id="614" w:name="_Toc505153779"/>
      <w:bookmarkStart w:id="615" w:name="_Toc508283444"/>
      <w:bookmarkStart w:id="616" w:name="_Toc510081804"/>
      <w:bookmarkStart w:id="617" w:name="_Toc511812230"/>
      <w:bookmarkStart w:id="618" w:name="_Toc512240173"/>
      <w:bookmarkStart w:id="619" w:name="_Toc513192173"/>
      <w:bookmarkStart w:id="620" w:name="_Toc514832434"/>
      <w:bookmarkStart w:id="621" w:name="_Toc514837980"/>
      <w:bookmarkStart w:id="622" w:name="_Toc514838144"/>
      <w:bookmarkStart w:id="623" w:name="_Toc514943619"/>
      <w:bookmarkStart w:id="624" w:name="_Toc515352064"/>
      <w:bookmarkStart w:id="625" w:name="_Toc518297261"/>
      <w:bookmarkStart w:id="626" w:name="_Toc519520755"/>
      <w:bookmarkStart w:id="627" w:name="_Toc520188735"/>
      <w:bookmarkStart w:id="628" w:name="_Toc521054338"/>
      <w:bookmarkStart w:id="629" w:name="_Toc521054410"/>
      <w:bookmarkStart w:id="630" w:name="_Toc523814181"/>
      <w:bookmarkStart w:id="631" w:name="_Toc523900477"/>
      <w:bookmarkStart w:id="632" w:name="_Toc526855826"/>
      <w:bookmarkStart w:id="633" w:name="_Toc528155854"/>
      <w:bookmarkStart w:id="634" w:name="_Toc528157213"/>
      <w:bookmarkStart w:id="635" w:name="_Toc528310867"/>
      <w:bookmarkStart w:id="636" w:name="_Toc529974547"/>
      <w:bookmarkStart w:id="637" w:name="_Toc530039442"/>
      <w:bookmarkStart w:id="638" w:name="_Toc536527689"/>
      <w:bookmarkStart w:id="639" w:name="_Toc536527863"/>
      <w:bookmarkStart w:id="640" w:name="_Toc536615405"/>
      <w:bookmarkStart w:id="641" w:name="_Toc172184"/>
      <w:bookmarkStart w:id="642" w:name="_Toc506087"/>
      <w:bookmarkStart w:id="643" w:name="_Toc965832"/>
      <w:bookmarkStart w:id="644" w:name="_Toc6211048"/>
      <w:bookmarkStart w:id="645" w:name="_Toc9500017"/>
      <w:bookmarkStart w:id="646" w:name="_Toc14334625"/>
      <w:bookmarkStart w:id="647" w:name="_Toc14775975"/>
      <w:bookmarkStart w:id="648" w:name="_Toc15285040"/>
      <w:bookmarkStart w:id="649" w:name="_Toc15630677"/>
      <w:bookmarkStart w:id="650" w:name="_Toc18415350"/>
      <w:bookmarkStart w:id="651" w:name="_Toc18487717"/>
      <w:bookmarkStart w:id="652" w:name="_Toc19708407"/>
      <w:bookmarkStart w:id="653" w:name="_Toc20131698"/>
      <w:bookmarkStart w:id="654" w:name="_Toc21595465"/>
      <w:bookmarkStart w:id="655" w:name="_Toc22025468"/>
      <w:bookmarkStart w:id="656" w:name="_Toc24463733"/>
      <w:bookmarkStart w:id="657" w:name="_Toc24617731"/>
      <w:bookmarkStart w:id="658" w:name="_Toc25050804"/>
      <w:bookmarkStart w:id="659" w:name="_Toc31202278"/>
      <w:bookmarkStart w:id="660" w:name="_Toc32390211"/>
      <w:bookmarkStart w:id="661" w:name="_Toc32566855"/>
      <w:bookmarkStart w:id="662" w:name="_Toc35437959"/>
      <w:bookmarkStart w:id="663" w:name="_Toc38270552"/>
      <w:bookmarkStart w:id="664" w:name="_Toc38362407"/>
      <w:bookmarkStart w:id="665" w:name="_Toc38442400"/>
      <w:bookmarkStart w:id="666" w:name="_Toc38976339"/>
      <w:bookmarkStart w:id="667" w:name="_Toc40693261"/>
      <w:bookmarkStart w:id="668" w:name="_Toc41570939"/>
      <w:bookmarkStart w:id="669" w:name="_Toc42875016"/>
      <w:bookmarkStart w:id="670" w:name="_Toc44074228"/>
      <w:bookmarkStart w:id="671" w:name="_Toc44323945"/>
      <w:bookmarkStart w:id="672" w:name="_Toc46484333"/>
      <w:bookmarkStart w:id="673" w:name="_Toc47947475"/>
      <w:bookmarkStart w:id="674" w:name="_Toc49153810"/>
      <w:bookmarkStart w:id="675" w:name="_Toc49158567"/>
      <w:bookmarkStart w:id="676" w:name="_Toc49170865"/>
      <w:bookmarkStart w:id="677" w:name="_Toc50111106"/>
      <w:bookmarkStart w:id="678" w:name="_Toc50457171"/>
      <w:r w:rsidRPr="00104A8B">
        <w:rPr>
          <w:rFonts w:asciiTheme="minorHAnsi" w:hAnsiTheme="minorHAnsi"/>
        </w:rPr>
        <w:t>Bills/Subordinate Legislation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0378E4">
      <w:pPr>
        <w:pStyle w:val="ListParagraph"/>
        <w:numPr>
          <w:ilvl w:val="0"/>
          <w:numId w:val="2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0378E4">
      <w:pPr>
        <w:pStyle w:val="ListParagraph"/>
        <w:numPr>
          <w:ilvl w:val="0"/>
          <w:numId w:val="24"/>
        </w:numPr>
        <w:spacing w:before="120" w:after="0"/>
        <w:ind w:left="720"/>
        <w:contextualSpacing w:val="0"/>
      </w:pPr>
      <w:r>
        <w:t>Domestic Animals (Disqualified Keepers Register) Amendment Bill 2019</w:t>
      </w:r>
      <w:r w:rsidR="00F73BFE">
        <w:t xml:space="preserve"> (PMB)</w:t>
      </w:r>
      <w:r>
        <w:t>.</w:t>
      </w:r>
    </w:p>
    <w:p w:rsidR="00F477BB" w:rsidRDefault="00254B7A" w:rsidP="000378E4">
      <w:pPr>
        <w:pStyle w:val="ListParagraph"/>
        <w:numPr>
          <w:ilvl w:val="0"/>
          <w:numId w:val="2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0378E4">
      <w:pPr>
        <w:pStyle w:val="ListParagraph"/>
        <w:numPr>
          <w:ilvl w:val="0"/>
          <w:numId w:val="2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w:t>
      </w:r>
      <w:r w:rsidR="00FF2947">
        <w:rPr>
          <w:b/>
        </w:rPr>
        <w:t>eport 39, dated 17 February 2020</w:t>
      </w:r>
    </w:p>
    <w:p w:rsidR="007848D1" w:rsidRDefault="000F6652" w:rsidP="000378E4">
      <w:pPr>
        <w:pStyle w:val="ListParagraph"/>
        <w:numPr>
          <w:ilvl w:val="0"/>
          <w:numId w:val="24"/>
        </w:numPr>
        <w:spacing w:before="120" w:after="0"/>
        <w:ind w:left="720"/>
        <w:contextualSpacing w:val="0"/>
      </w:pPr>
      <w:r>
        <w:t>Unit Titles Amendment Bill 2019 (Private Member’s amendments).</w:t>
      </w:r>
    </w:p>
    <w:p w:rsidR="00094472" w:rsidRPr="00094472" w:rsidRDefault="00094472" w:rsidP="00094472">
      <w:pPr>
        <w:pStyle w:val="ListParagraph"/>
        <w:numPr>
          <w:ilvl w:val="0"/>
          <w:numId w:val="12"/>
        </w:numPr>
        <w:spacing w:before="240" w:after="0"/>
        <w:ind w:left="357" w:hanging="357"/>
        <w:contextualSpacing w:val="0"/>
        <w:rPr>
          <w:b/>
        </w:rPr>
      </w:pPr>
      <w:r w:rsidRPr="00094472">
        <w:rPr>
          <w:b/>
        </w:rPr>
        <w:t>Report 44, dated 16 June 2020</w:t>
      </w:r>
    </w:p>
    <w:p w:rsidR="00094472" w:rsidRDefault="00094472" w:rsidP="000378E4">
      <w:pPr>
        <w:pStyle w:val="ListParagraph"/>
        <w:numPr>
          <w:ilvl w:val="0"/>
          <w:numId w:val="24"/>
        </w:numPr>
        <w:spacing w:before="120" w:after="0"/>
        <w:ind w:left="720"/>
        <w:contextualSpacing w:val="0"/>
      </w:pPr>
      <w:r>
        <w:t>Residential Tenancies Amendment Bill 2020 (Private Member</w:t>
      </w:r>
      <w:r w:rsidR="009027F8">
        <w:t>’s amendments</w:t>
      </w:r>
      <w:r>
        <w:t>).</w:t>
      </w:r>
    </w:p>
    <w:p w:rsidR="008767A8" w:rsidRPr="008767A8" w:rsidRDefault="008767A8" w:rsidP="008767A8">
      <w:pPr>
        <w:pStyle w:val="ListParagraph"/>
        <w:numPr>
          <w:ilvl w:val="0"/>
          <w:numId w:val="12"/>
        </w:numPr>
        <w:spacing w:before="240" w:after="0"/>
        <w:ind w:left="357" w:hanging="357"/>
        <w:contextualSpacing w:val="0"/>
        <w:rPr>
          <w:b/>
        </w:rPr>
      </w:pPr>
      <w:r w:rsidRPr="008767A8">
        <w:rPr>
          <w:b/>
        </w:rPr>
        <w:t>Report 45, dated 30 June 2020</w:t>
      </w:r>
    </w:p>
    <w:p w:rsidR="008767A8" w:rsidRDefault="008767A8" w:rsidP="000378E4">
      <w:pPr>
        <w:pStyle w:val="ListParagraph"/>
        <w:numPr>
          <w:ilvl w:val="0"/>
          <w:numId w:val="24"/>
        </w:numPr>
        <w:spacing w:before="120" w:after="0"/>
        <w:ind w:left="720"/>
        <w:contextualSpacing w:val="0"/>
      </w:pPr>
      <w:r>
        <w:t>Disallowable Instrument DI2020-117 Liquor (Fees) Determination 2020.</w:t>
      </w:r>
    </w:p>
    <w:p w:rsidR="008767A8" w:rsidRDefault="008767A8" w:rsidP="000378E4">
      <w:pPr>
        <w:pStyle w:val="ListParagraph"/>
        <w:numPr>
          <w:ilvl w:val="0"/>
          <w:numId w:val="24"/>
        </w:numPr>
        <w:spacing w:before="120" w:after="0"/>
        <w:ind w:left="720"/>
        <w:contextualSpacing w:val="0"/>
      </w:pPr>
      <w:r>
        <w:t>Disallowable Instrument DI2020-119 Liquor (COVID-19 Emergency Response—Licence Fee Waiver) Declaration 2020.</w:t>
      </w:r>
    </w:p>
    <w:p w:rsidR="008767A8" w:rsidRDefault="008767A8" w:rsidP="000378E4">
      <w:pPr>
        <w:pStyle w:val="ListParagraph"/>
        <w:numPr>
          <w:ilvl w:val="0"/>
          <w:numId w:val="24"/>
        </w:numPr>
        <w:spacing w:before="120" w:after="0"/>
        <w:ind w:left="720"/>
        <w:contextualSpacing w:val="0"/>
      </w:pPr>
      <w:r>
        <w:t>Disallowable Instrument DI2020-120 Liquor (COVID-19 Emergency Response—Permit Fee Waiver) Declaration 2020.</w:t>
      </w:r>
    </w:p>
    <w:p w:rsidR="00D92D57" w:rsidRPr="00D92D57" w:rsidRDefault="00D92D57" w:rsidP="00280928">
      <w:pPr>
        <w:pStyle w:val="ListParagraph"/>
        <w:keepNext/>
        <w:numPr>
          <w:ilvl w:val="0"/>
          <w:numId w:val="12"/>
        </w:numPr>
        <w:spacing w:before="240" w:after="0"/>
        <w:ind w:left="360"/>
        <w:contextualSpacing w:val="0"/>
        <w:rPr>
          <w:b/>
        </w:rPr>
      </w:pPr>
      <w:r w:rsidRPr="00D92D57">
        <w:rPr>
          <w:b/>
        </w:rPr>
        <w:t>Report 47, dated 28 July 2020</w:t>
      </w:r>
    </w:p>
    <w:p w:rsidR="00D92D57" w:rsidRDefault="00D92D57" w:rsidP="000378E4">
      <w:pPr>
        <w:pStyle w:val="ListParagraph"/>
        <w:numPr>
          <w:ilvl w:val="0"/>
          <w:numId w:val="24"/>
        </w:numPr>
        <w:spacing w:before="120" w:after="0"/>
        <w:ind w:left="720"/>
        <w:contextualSpacing w:val="0"/>
      </w:pPr>
      <w:r>
        <w:t>Disallowable Instrument DI2020-147 Animal Welfare (Advisory Committee) Establishment 2020 (No 1).</w:t>
      </w:r>
    </w:p>
    <w:p w:rsidR="0021202E" w:rsidRPr="00961FD1" w:rsidRDefault="0021202E" w:rsidP="00961FD1">
      <w:pPr>
        <w:pStyle w:val="ListParagraph"/>
        <w:numPr>
          <w:ilvl w:val="0"/>
          <w:numId w:val="12"/>
        </w:numPr>
        <w:spacing w:before="240" w:after="0"/>
        <w:ind w:left="357" w:hanging="357"/>
        <w:contextualSpacing w:val="0"/>
        <w:rPr>
          <w:b/>
        </w:rPr>
      </w:pPr>
      <w:r w:rsidRPr="00961FD1">
        <w:rPr>
          <w:b/>
        </w:rPr>
        <w:t>Report 48, dated 11 August 2020</w:t>
      </w:r>
    </w:p>
    <w:p w:rsidR="0021202E" w:rsidRDefault="0021202E" w:rsidP="000378E4">
      <w:pPr>
        <w:pStyle w:val="ListParagraph"/>
        <w:numPr>
          <w:ilvl w:val="0"/>
          <w:numId w:val="24"/>
        </w:numPr>
        <w:spacing w:before="120" w:after="0"/>
        <w:ind w:left="720"/>
        <w:contextualSpacing w:val="0"/>
      </w:pPr>
      <w:r>
        <w:t>Disallowable Instrument DI2020-216 Residential Tenancies (COVID-19 Emergency Re</w:t>
      </w:r>
      <w:r w:rsidR="00961FD1">
        <w:t>sponse) Declaration 2020 (No 2).</w:t>
      </w:r>
    </w:p>
    <w:p w:rsidR="00B1219F" w:rsidRPr="00B1219F" w:rsidRDefault="00B1219F" w:rsidP="00B1219F">
      <w:pPr>
        <w:pStyle w:val="ListParagraph"/>
        <w:numPr>
          <w:ilvl w:val="0"/>
          <w:numId w:val="12"/>
        </w:numPr>
        <w:spacing w:before="240" w:after="0"/>
        <w:ind w:left="357" w:hanging="357"/>
        <w:contextualSpacing w:val="0"/>
        <w:rPr>
          <w:b/>
        </w:rPr>
      </w:pPr>
      <w:r w:rsidRPr="00B1219F">
        <w:rPr>
          <w:b/>
        </w:rPr>
        <w:t>Report 50, dated 25 August 2020</w:t>
      </w:r>
    </w:p>
    <w:p w:rsidR="0017494E" w:rsidRDefault="0017494E" w:rsidP="000378E4">
      <w:pPr>
        <w:pStyle w:val="ListParagraph"/>
        <w:numPr>
          <w:ilvl w:val="0"/>
          <w:numId w:val="24"/>
        </w:numPr>
        <w:spacing w:before="120" w:after="0"/>
        <w:ind w:left="720"/>
        <w:contextualSpacing w:val="0"/>
      </w:pPr>
      <w:r>
        <w:t>Education Amendment Bill 2020—Government res</w:t>
      </w:r>
      <w:r w:rsidR="00F31A64">
        <w:t>p</w:t>
      </w:r>
      <w:r>
        <w:t>onse.</w:t>
      </w:r>
    </w:p>
    <w:sectPr w:rsidR="0017494E"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28" w:rsidRDefault="00673C28" w:rsidP="000B0846">
      <w:pPr>
        <w:spacing w:after="0" w:line="240" w:lineRule="auto"/>
      </w:pPr>
      <w:r>
        <w:separator/>
      </w:r>
    </w:p>
  </w:endnote>
  <w:endnote w:type="continuationSeparator" w:id="0">
    <w:p w:rsidR="00673C28" w:rsidRDefault="00673C28"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Footer"/>
    </w:pPr>
  </w:p>
  <w:p w:rsidR="00673C28" w:rsidRDefault="00673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673C28" w:rsidRDefault="00673C28">
        <w:pPr>
          <w:pStyle w:val="Footer"/>
        </w:pPr>
        <w:r>
          <w:rPr>
            <w:noProof/>
          </w:rPr>
          <w:fldChar w:fldCharType="begin"/>
        </w:r>
        <w:r>
          <w:rPr>
            <w:noProof/>
          </w:rPr>
          <w:instrText xml:space="preserve"> PAGE   \* MERGEFORMAT </w:instrText>
        </w:r>
        <w:r>
          <w:rPr>
            <w:noProof/>
          </w:rPr>
          <w:fldChar w:fldCharType="separate"/>
        </w:r>
        <w:r w:rsidR="00651358">
          <w:rPr>
            <w:noProof/>
          </w:rPr>
          <w:t>ii</w:t>
        </w:r>
        <w:r>
          <w:rPr>
            <w:noProof/>
          </w:rPr>
          <w:fldChar w:fldCharType="end"/>
        </w:r>
      </w:p>
    </w:sdtContent>
  </w:sdt>
  <w:p w:rsidR="00673C28" w:rsidRDefault="00673C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673C28" w:rsidRDefault="00673C28">
        <w:pPr>
          <w:pStyle w:val="Footer"/>
          <w:jc w:val="right"/>
        </w:pPr>
        <w:r>
          <w:rPr>
            <w:noProof/>
          </w:rPr>
          <w:fldChar w:fldCharType="begin"/>
        </w:r>
        <w:r>
          <w:rPr>
            <w:noProof/>
          </w:rPr>
          <w:instrText xml:space="preserve"> PAGE   \* MERGEFORMAT </w:instrText>
        </w:r>
        <w:r>
          <w:rPr>
            <w:noProof/>
          </w:rPr>
          <w:fldChar w:fldCharType="separate"/>
        </w:r>
        <w:r w:rsidR="00651358">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Footer"/>
      <w:rPr>
        <w:noProof/>
      </w:rPr>
    </w:pPr>
    <w:r>
      <w:rPr>
        <w:noProof/>
      </w:rPr>
      <w:fldChar w:fldCharType="begin"/>
    </w:r>
    <w:r>
      <w:rPr>
        <w:noProof/>
      </w:rPr>
      <w:instrText xml:space="preserve"> PAGE   \* MERGEFORMAT </w:instrText>
    </w:r>
    <w:r>
      <w:rPr>
        <w:noProof/>
      </w:rPr>
      <w:fldChar w:fldCharType="separate"/>
    </w:r>
    <w:r w:rsidR="00651358">
      <w:rPr>
        <w:noProof/>
      </w:rPr>
      <w:t>16</w:t>
    </w:r>
    <w:r>
      <w:rPr>
        <w:noProof/>
      </w:rPr>
      <w:fldChar w:fldCharType="end"/>
    </w:r>
  </w:p>
  <w:p w:rsidR="00673C28" w:rsidRPr="00EE534B" w:rsidRDefault="00673C28" w:rsidP="00D216E5">
    <w:pPr>
      <w:pStyle w:val="Footer"/>
      <w:spacing w:before="0"/>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72407"/>
      <w:docPartObj>
        <w:docPartGallery w:val="Page Numbers (Bottom of Page)"/>
        <w:docPartUnique/>
      </w:docPartObj>
    </w:sdtPr>
    <w:sdtEndPr>
      <w:rPr>
        <w:noProof/>
      </w:rPr>
    </w:sdtEndPr>
    <w:sdtContent>
      <w:p w:rsidR="00673C28" w:rsidRDefault="00673C28">
        <w:pPr>
          <w:pStyle w:val="Footer"/>
          <w:jc w:val="right"/>
          <w:rPr>
            <w:noProof/>
          </w:rPr>
        </w:pPr>
        <w:r>
          <w:rPr>
            <w:noProof/>
          </w:rPr>
          <w:fldChar w:fldCharType="begin"/>
        </w:r>
        <w:r>
          <w:rPr>
            <w:noProof/>
          </w:rPr>
          <w:instrText xml:space="preserve"> PAGE   \* MERGEFORMAT </w:instrText>
        </w:r>
        <w:r>
          <w:rPr>
            <w:noProof/>
          </w:rPr>
          <w:fldChar w:fldCharType="separate"/>
        </w:r>
        <w:r w:rsidR="00651358">
          <w:rPr>
            <w:noProof/>
          </w:rPr>
          <w:t>1</w:t>
        </w:r>
        <w:r>
          <w:rPr>
            <w:noProof/>
          </w:rPr>
          <w:fldChar w:fldCharType="end"/>
        </w:r>
      </w:p>
      <w:p w:rsidR="00673C28" w:rsidRPr="00EE534B" w:rsidRDefault="00673C28" w:rsidP="00D216E5">
        <w:pPr>
          <w:pStyle w:val="Footer"/>
          <w:spacing w:before="0"/>
          <w:jc w:val="right"/>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28" w:rsidRDefault="00673C28" w:rsidP="00685D6D">
      <w:pPr>
        <w:spacing w:before="80" w:after="0" w:line="240" w:lineRule="auto"/>
      </w:pPr>
      <w:r>
        <w:separator/>
      </w:r>
    </w:p>
  </w:footnote>
  <w:footnote w:type="continuationSeparator" w:id="0">
    <w:p w:rsidR="00673C28" w:rsidRDefault="00673C28" w:rsidP="000B0846">
      <w:pPr>
        <w:spacing w:after="0" w:line="240" w:lineRule="auto"/>
      </w:pPr>
      <w:r>
        <w:continuationSeparator/>
      </w:r>
    </w:p>
  </w:footnote>
  <w:footnote w:id="1">
    <w:p w:rsidR="00673C28" w:rsidRPr="002D2761" w:rsidRDefault="00673C28" w:rsidP="00727BDF">
      <w:pPr>
        <w:pStyle w:val="FootnoteText"/>
        <w:rPr>
          <w:sz w:val="18"/>
          <w:szCs w:val="18"/>
        </w:rPr>
      </w:pPr>
      <w:r w:rsidRPr="002D2761">
        <w:rPr>
          <w:rStyle w:val="FootnoteReference"/>
          <w:sz w:val="18"/>
          <w:szCs w:val="18"/>
        </w:rPr>
        <w:footnoteRef/>
      </w:r>
      <w:r w:rsidRPr="002D2761">
        <w:rPr>
          <w:sz w:val="18"/>
          <w:szCs w:val="18"/>
        </w:rPr>
        <w:t xml:space="preserve"> See Minister’s Presentation Speech, </w:t>
      </w:r>
      <w:r w:rsidRPr="002D2761">
        <w:rPr>
          <w:i/>
          <w:sz w:val="18"/>
          <w:szCs w:val="18"/>
        </w:rPr>
        <w:t>Debates of the Legislative Assembly of the ACT, Daily Hansard</w:t>
      </w:r>
      <w:r>
        <w:rPr>
          <w:sz w:val="18"/>
          <w:szCs w:val="18"/>
        </w:rPr>
        <w:t>, 27 August 2020, at p </w:t>
      </w:r>
      <w:r w:rsidRPr="002D2761">
        <w:rPr>
          <w:sz w:val="18"/>
          <w:szCs w:val="18"/>
        </w:rPr>
        <w:t>2191.</w:t>
      </w:r>
    </w:p>
  </w:footnote>
  <w:footnote w:id="2">
    <w:p w:rsidR="00673C28" w:rsidRDefault="00673C28">
      <w:pPr>
        <w:pStyle w:val="FootnoteText"/>
      </w:pPr>
      <w:r>
        <w:rPr>
          <w:rStyle w:val="FootnoteReference"/>
        </w:rPr>
        <w:footnoteRef/>
      </w:r>
      <w:r>
        <w:t xml:space="preserve"> </w:t>
      </w:r>
      <w:r w:rsidRPr="002D2761">
        <w:t>https://www.parliament.act.gov.au/__data/assets/pdf_file/0004/1617664/Response-DI2020-205.pdf</w:t>
      </w:r>
    </w:p>
  </w:footnote>
  <w:footnote w:id="3">
    <w:p w:rsidR="00673C28" w:rsidRPr="00CF271E" w:rsidRDefault="00673C28" w:rsidP="000378E4">
      <w:pPr>
        <w:pStyle w:val="FootnoteText"/>
      </w:pPr>
      <w:r>
        <w:rPr>
          <w:rStyle w:val="FootnoteReference"/>
        </w:rPr>
        <w:footnoteRef/>
      </w:r>
      <w:r>
        <w:t xml:space="preserve"> See, however, discussion of the </w:t>
      </w:r>
      <w:r w:rsidRPr="00CF271E">
        <w:t>Electricity Feed-in (Large-scale Renewable Energy Generation) Bill 2020</w:t>
      </w:r>
      <w:r>
        <w:t xml:space="preserve">, in the Bills part of this </w:t>
      </w:r>
      <w:r>
        <w:rPr>
          <w:i/>
          <w:iCs/>
        </w:rPr>
        <w:t>Scrutiny Report</w:t>
      </w:r>
      <w:r>
        <w:t>.</w:t>
      </w:r>
    </w:p>
  </w:footnote>
  <w:footnote w:id="4">
    <w:p w:rsidR="00673C28" w:rsidRPr="00435E76" w:rsidRDefault="00673C28" w:rsidP="00D66A47">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 w:id="5">
    <w:p w:rsidR="00673C28" w:rsidRPr="00435E76" w:rsidRDefault="00673C28" w:rsidP="00D66A47">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Pr="003B6A7E" w:rsidRDefault="00673C28"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Pr="001B0650" w:rsidRDefault="00673C28"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651358">
      <w:rPr>
        <w:smallCaps/>
        <w:noProof/>
      </w:rPr>
      <w:t>Scrutiny Report 51</w:t>
    </w:r>
    <w:r>
      <w:rPr>
        <w:smallCaps/>
        <w:noProof/>
      </w:rPr>
      <w:fldChar w:fldCharType="end"/>
    </w:r>
  </w:p>
  <w:p w:rsidR="00673C28" w:rsidRDefault="00673C2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6881" o:spid="_x0000_s2168" type="#_x0000_t136" style="position:absolute;margin-left:0;margin-top:0;width:520.6pt;height:115.65pt;rotation:315;z-index:-251638784;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6872" o:spid="_x0000_s2159"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Pr="009D788E" w:rsidRDefault="00673C28"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Pr="001B0650" w:rsidRDefault="00673C28"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651358">
      <w:rPr>
        <w:smallCaps/>
        <w:noProof/>
      </w:rPr>
      <w:t>Scrutiny Report 51</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6875" o:spid="_x0000_s2162" type="#_x0000_t136" style="position:absolute;margin-left:0;margin-top:0;width:520.6pt;height:115.65pt;rotation:315;z-index:-25165107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Pr="003B6A7E" w:rsidRDefault="00673C28"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6879" o:spid="_x0000_s2166" type="#_x0000_t136" style="position:absolute;margin-left:0;margin-top:0;width:520.6pt;height:115.65pt;rotation:315;z-index:-251642880;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Pr="001B0650" w:rsidRDefault="00673C28"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6880" o:spid="_x0000_s2167" type="#_x0000_t136" style="position:absolute;left:0;text-align:left;margin-left:0;margin-top:0;width:520.6pt;height:115.65pt;rotation:315;z-index:-25164083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r>
      <w:rPr>
        <w:smallCaps/>
        <w:noProof/>
      </w:rPr>
      <w:fldChar w:fldCharType="begin"/>
    </w:r>
    <w:r>
      <w:rPr>
        <w:smallCaps/>
        <w:noProof/>
      </w:rPr>
      <w:instrText xml:space="preserve"> STYLEREF  "Heading 1"  \* MERGEFORMAT </w:instrText>
    </w:r>
    <w:r>
      <w:rPr>
        <w:smallCaps/>
        <w:noProof/>
      </w:rPr>
      <w:fldChar w:fldCharType="separate"/>
    </w:r>
    <w:r>
      <w:rPr>
        <w:smallCaps/>
        <w:noProof/>
      </w:rPr>
      <w:t>Scrutiny Report 51</w:t>
    </w:r>
    <w:r>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28" w:rsidRDefault="00673C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6878" o:spid="_x0000_s2165" type="#_x0000_t136" style="position:absolute;margin-left:0;margin-top:0;width:520.6pt;height:115.65pt;rotation:315;z-index:-251644928;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E7FF5"/>
    <w:multiLevelType w:val="hybridMultilevel"/>
    <w:tmpl w:val="D06E8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FF6057"/>
    <w:multiLevelType w:val="hybridMultilevel"/>
    <w:tmpl w:val="74349438"/>
    <w:lvl w:ilvl="0" w:tplc="9A40F99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17"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D1334"/>
    <w:multiLevelType w:val="hybridMultilevel"/>
    <w:tmpl w:val="CA745606"/>
    <w:lvl w:ilvl="0" w:tplc="9A40F99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1" w15:restartNumberingAfterBreak="0">
    <w:nsid w:val="343B01BF"/>
    <w:multiLevelType w:val="hybridMultilevel"/>
    <w:tmpl w:val="451E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4D6E86"/>
    <w:multiLevelType w:val="hybridMultilevel"/>
    <w:tmpl w:val="99FCD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4B23223"/>
    <w:multiLevelType w:val="hybridMultilevel"/>
    <w:tmpl w:val="42AC179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6" w15:restartNumberingAfterBreak="0">
    <w:nsid w:val="5A931490"/>
    <w:multiLevelType w:val="hybridMultilevel"/>
    <w:tmpl w:val="B4D832E4"/>
    <w:lvl w:ilvl="0" w:tplc="BF7EE460">
      <w:start w:val="1"/>
      <w:numFmt w:val="lowerLetter"/>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7BFB1FD3"/>
    <w:multiLevelType w:val="hybridMultilevel"/>
    <w:tmpl w:val="6882E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30"/>
  </w:num>
  <w:num w:numId="14">
    <w:abstractNumId w:val="20"/>
  </w:num>
  <w:num w:numId="15">
    <w:abstractNumId w:val="12"/>
  </w:num>
  <w:num w:numId="16">
    <w:abstractNumId w:val="14"/>
  </w:num>
  <w:num w:numId="17">
    <w:abstractNumId w:val="28"/>
  </w:num>
  <w:num w:numId="18">
    <w:abstractNumId w:val="27"/>
  </w:num>
  <w:num w:numId="19">
    <w:abstractNumId w:val="16"/>
  </w:num>
  <w:num w:numId="20">
    <w:abstractNumId w:val="17"/>
  </w:num>
  <w:num w:numId="21">
    <w:abstractNumId w:val="11"/>
  </w:num>
  <w:num w:numId="22">
    <w:abstractNumId w:val="15"/>
  </w:num>
  <w:num w:numId="23">
    <w:abstractNumId w:val="31"/>
  </w:num>
  <w:num w:numId="24">
    <w:abstractNumId w:val="19"/>
  </w:num>
  <w:num w:numId="25">
    <w:abstractNumId w:val="23"/>
  </w:num>
  <w:num w:numId="26">
    <w:abstractNumId w:val="13"/>
  </w:num>
  <w:num w:numId="27">
    <w:abstractNumId w:val="10"/>
  </w:num>
  <w:num w:numId="28">
    <w:abstractNumId w:val="21"/>
  </w:num>
  <w:num w:numId="29">
    <w:abstractNumId w:val="26"/>
  </w:num>
  <w:num w:numId="30">
    <w:abstractNumId w:val="22"/>
  </w:num>
  <w:num w:numId="3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169" style="mso-position-horizontal:center;mso-position-horizontal-relative:margin;mso-position-vertical:center;mso-position-vertical-relative:margin" o:allowincell="f" fillcolor="silver" stroke="f">
      <v:fill color="silver" opacity=".5"/>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087"/>
    <w:rsid w:val="000011FF"/>
    <w:rsid w:val="000016B7"/>
    <w:rsid w:val="00001839"/>
    <w:rsid w:val="00003A1A"/>
    <w:rsid w:val="00004BBA"/>
    <w:rsid w:val="00005C01"/>
    <w:rsid w:val="00006740"/>
    <w:rsid w:val="00010090"/>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5B30"/>
    <w:rsid w:val="00026D92"/>
    <w:rsid w:val="00030285"/>
    <w:rsid w:val="0003048A"/>
    <w:rsid w:val="00031176"/>
    <w:rsid w:val="00031636"/>
    <w:rsid w:val="00032058"/>
    <w:rsid w:val="00034823"/>
    <w:rsid w:val="00034ADC"/>
    <w:rsid w:val="00034CCA"/>
    <w:rsid w:val="00036A58"/>
    <w:rsid w:val="000378E4"/>
    <w:rsid w:val="00037980"/>
    <w:rsid w:val="00037B25"/>
    <w:rsid w:val="00040028"/>
    <w:rsid w:val="000421E6"/>
    <w:rsid w:val="00042C45"/>
    <w:rsid w:val="00044012"/>
    <w:rsid w:val="00044194"/>
    <w:rsid w:val="0004551E"/>
    <w:rsid w:val="00045F75"/>
    <w:rsid w:val="00046DE2"/>
    <w:rsid w:val="00051DA3"/>
    <w:rsid w:val="0005204D"/>
    <w:rsid w:val="00052319"/>
    <w:rsid w:val="00052A23"/>
    <w:rsid w:val="00052F85"/>
    <w:rsid w:val="00053DC1"/>
    <w:rsid w:val="00055077"/>
    <w:rsid w:val="00056859"/>
    <w:rsid w:val="00060E04"/>
    <w:rsid w:val="000618AD"/>
    <w:rsid w:val="00061AB9"/>
    <w:rsid w:val="00061B6D"/>
    <w:rsid w:val="00061D08"/>
    <w:rsid w:val="00062087"/>
    <w:rsid w:val="00064F19"/>
    <w:rsid w:val="00067A1B"/>
    <w:rsid w:val="00067FAE"/>
    <w:rsid w:val="0007009F"/>
    <w:rsid w:val="0007136A"/>
    <w:rsid w:val="00072DEE"/>
    <w:rsid w:val="00073340"/>
    <w:rsid w:val="0007461D"/>
    <w:rsid w:val="0007556D"/>
    <w:rsid w:val="0007683A"/>
    <w:rsid w:val="00077835"/>
    <w:rsid w:val="0008186E"/>
    <w:rsid w:val="000823F3"/>
    <w:rsid w:val="000840B5"/>
    <w:rsid w:val="0008663E"/>
    <w:rsid w:val="00086C99"/>
    <w:rsid w:val="000874A9"/>
    <w:rsid w:val="0009152D"/>
    <w:rsid w:val="000915A9"/>
    <w:rsid w:val="000915D1"/>
    <w:rsid w:val="00092119"/>
    <w:rsid w:val="000927C6"/>
    <w:rsid w:val="00093922"/>
    <w:rsid w:val="000941F6"/>
    <w:rsid w:val="00094472"/>
    <w:rsid w:val="00094D98"/>
    <w:rsid w:val="00095AC5"/>
    <w:rsid w:val="00095C7A"/>
    <w:rsid w:val="000967E6"/>
    <w:rsid w:val="000971E6"/>
    <w:rsid w:val="00097985"/>
    <w:rsid w:val="000A14A2"/>
    <w:rsid w:val="000A16C9"/>
    <w:rsid w:val="000A2214"/>
    <w:rsid w:val="000A33FE"/>
    <w:rsid w:val="000A5891"/>
    <w:rsid w:val="000A5E0A"/>
    <w:rsid w:val="000A6724"/>
    <w:rsid w:val="000A78C0"/>
    <w:rsid w:val="000B0846"/>
    <w:rsid w:val="000B0CDE"/>
    <w:rsid w:val="000B12AD"/>
    <w:rsid w:val="000B2688"/>
    <w:rsid w:val="000B4BFC"/>
    <w:rsid w:val="000B504D"/>
    <w:rsid w:val="000B510A"/>
    <w:rsid w:val="000B559D"/>
    <w:rsid w:val="000B71DA"/>
    <w:rsid w:val="000C0208"/>
    <w:rsid w:val="000C06B0"/>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4F39"/>
    <w:rsid w:val="000D5EDC"/>
    <w:rsid w:val="000D68A2"/>
    <w:rsid w:val="000D6984"/>
    <w:rsid w:val="000D7541"/>
    <w:rsid w:val="000D7EBD"/>
    <w:rsid w:val="000E13B4"/>
    <w:rsid w:val="000E231B"/>
    <w:rsid w:val="000E2F92"/>
    <w:rsid w:val="000E308F"/>
    <w:rsid w:val="000E440E"/>
    <w:rsid w:val="000E5A5A"/>
    <w:rsid w:val="000E5E6A"/>
    <w:rsid w:val="000E66C0"/>
    <w:rsid w:val="000E79A3"/>
    <w:rsid w:val="000F0EFB"/>
    <w:rsid w:val="000F30A0"/>
    <w:rsid w:val="000F3D5D"/>
    <w:rsid w:val="000F6652"/>
    <w:rsid w:val="000F6785"/>
    <w:rsid w:val="000F6E03"/>
    <w:rsid w:val="00100908"/>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51D"/>
    <w:rsid w:val="00120F86"/>
    <w:rsid w:val="00121896"/>
    <w:rsid w:val="001221F7"/>
    <w:rsid w:val="00123DBF"/>
    <w:rsid w:val="001247C1"/>
    <w:rsid w:val="00124A0D"/>
    <w:rsid w:val="00125EA4"/>
    <w:rsid w:val="001266E9"/>
    <w:rsid w:val="00126C48"/>
    <w:rsid w:val="00126D9A"/>
    <w:rsid w:val="00127856"/>
    <w:rsid w:val="00131525"/>
    <w:rsid w:val="00131ECD"/>
    <w:rsid w:val="00132097"/>
    <w:rsid w:val="0013258C"/>
    <w:rsid w:val="00133077"/>
    <w:rsid w:val="00133A87"/>
    <w:rsid w:val="00133AB1"/>
    <w:rsid w:val="00134F41"/>
    <w:rsid w:val="001352E7"/>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3A08"/>
    <w:rsid w:val="0016463A"/>
    <w:rsid w:val="00165699"/>
    <w:rsid w:val="00166E04"/>
    <w:rsid w:val="00167169"/>
    <w:rsid w:val="00167537"/>
    <w:rsid w:val="00167EE2"/>
    <w:rsid w:val="0017063D"/>
    <w:rsid w:val="00170F9C"/>
    <w:rsid w:val="001712BC"/>
    <w:rsid w:val="001722F9"/>
    <w:rsid w:val="0017403B"/>
    <w:rsid w:val="0017494E"/>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3B59"/>
    <w:rsid w:val="001A46D3"/>
    <w:rsid w:val="001A5269"/>
    <w:rsid w:val="001A5F09"/>
    <w:rsid w:val="001A6A02"/>
    <w:rsid w:val="001A77BA"/>
    <w:rsid w:val="001A78B6"/>
    <w:rsid w:val="001B0650"/>
    <w:rsid w:val="001B09FD"/>
    <w:rsid w:val="001B0F10"/>
    <w:rsid w:val="001B1173"/>
    <w:rsid w:val="001B207B"/>
    <w:rsid w:val="001B22F0"/>
    <w:rsid w:val="001B3400"/>
    <w:rsid w:val="001B36FB"/>
    <w:rsid w:val="001B3CAE"/>
    <w:rsid w:val="001B457B"/>
    <w:rsid w:val="001B4892"/>
    <w:rsid w:val="001B4930"/>
    <w:rsid w:val="001B5859"/>
    <w:rsid w:val="001B5C86"/>
    <w:rsid w:val="001B5E58"/>
    <w:rsid w:val="001B5EB3"/>
    <w:rsid w:val="001B5F08"/>
    <w:rsid w:val="001B73A1"/>
    <w:rsid w:val="001B7E2F"/>
    <w:rsid w:val="001C0CE3"/>
    <w:rsid w:val="001C11EA"/>
    <w:rsid w:val="001C2A48"/>
    <w:rsid w:val="001C3269"/>
    <w:rsid w:val="001C3601"/>
    <w:rsid w:val="001C5D82"/>
    <w:rsid w:val="001C6D5B"/>
    <w:rsid w:val="001C719C"/>
    <w:rsid w:val="001C7639"/>
    <w:rsid w:val="001C7818"/>
    <w:rsid w:val="001D00FF"/>
    <w:rsid w:val="001D2441"/>
    <w:rsid w:val="001D2873"/>
    <w:rsid w:val="001D2B7C"/>
    <w:rsid w:val="001D5DBF"/>
    <w:rsid w:val="001D60B6"/>
    <w:rsid w:val="001D6A6A"/>
    <w:rsid w:val="001D7AA3"/>
    <w:rsid w:val="001E0B71"/>
    <w:rsid w:val="001E197A"/>
    <w:rsid w:val="001E2F75"/>
    <w:rsid w:val="001E3462"/>
    <w:rsid w:val="001E3B56"/>
    <w:rsid w:val="001E3BA1"/>
    <w:rsid w:val="001E3ED8"/>
    <w:rsid w:val="001E533E"/>
    <w:rsid w:val="001E56FE"/>
    <w:rsid w:val="001E61F6"/>
    <w:rsid w:val="001E6B34"/>
    <w:rsid w:val="001E6B45"/>
    <w:rsid w:val="001F1058"/>
    <w:rsid w:val="001F1D6D"/>
    <w:rsid w:val="001F48AB"/>
    <w:rsid w:val="001F49B7"/>
    <w:rsid w:val="001F622E"/>
    <w:rsid w:val="001F6560"/>
    <w:rsid w:val="00202660"/>
    <w:rsid w:val="00202BE1"/>
    <w:rsid w:val="002031BD"/>
    <w:rsid w:val="002032A0"/>
    <w:rsid w:val="00206352"/>
    <w:rsid w:val="002064D0"/>
    <w:rsid w:val="00206F6F"/>
    <w:rsid w:val="002076F3"/>
    <w:rsid w:val="002103BD"/>
    <w:rsid w:val="00210A63"/>
    <w:rsid w:val="00211156"/>
    <w:rsid w:val="0021195E"/>
    <w:rsid w:val="0021202E"/>
    <w:rsid w:val="002128AF"/>
    <w:rsid w:val="00212F5E"/>
    <w:rsid w:val="0021614E"/>
    <w:rsid w:val="00216794"/>
    <w:rsid w:val="00220914"/>
    <w:rsid w:val="002212CD"/>
    <w:rsid w:val="00221C9C"/>
    <w:rsid w:val="0022278A"/>
    <w:rsid w:val="002230E6"/>
    <w:rsid w:val="00224D59"/>
    <w:rsid w:val="002259AC"/>
    <w:rsid w:val="002264FA"/>
    <w:rsid w:val="00226A15"/>
    <w:rsid w:val="002270B3"/>
    <w:rsid w:val="00227281"/>
    <w:rsid w:val="0023358B"/>
    <w:rsid w:val="00233BF7"/>
    <w:rsid w:val="00235CF0"/>
    <w:rsid w:val="00235D37"/>
    <w:rsid w:val="002371DB"/>
    <w:rsid w:val="00237B6F"/>
    <w:rsid w:val="00240841"/>
    <w:rsid w:val="002409E8"/>
    <w:rsid w:val="002412A4"/>
    <w:rsid w:val="00241F22"/>
    <w:rsid w:val="00243563"/>
    <w:rsid w:val="00243715"/>
    <w:rsid w:val="00243CBE"/>
    <w:rsid w:val="00243DCB"/>
    <w:rsid w:val="0024524F"/>
    <w:rsid w:val="002458C5"/>
    <w:rsid w:val="00245D9F"/>
    <w:rsid w:val="00247FE5"/>
    <w:rsid w:val="002502AF"/>
    <w:rsid w:val="00251AC7"/>
    <w:rsid w:val="00252497"/>
    <w:rsid w:val="00252BBC"/>
    <w:rsid w:val="00254B65"/>
    <w:rsid w:val="00254B7A"/>
    <w:rsid w:val="00256B33"/>
    <w:rsid w:val="00256D7D"/>
    <w:rsid w:val="00256FBC"/>
    <w:rsid w:val="00262C9C"/>
    <w:rsid w:val="00264222"/>
    <w:rsid w:val="002644BB"/>
    <w:rsid w:val="002649B5"/>
    <w:rsid w:val="002706A0"/>
    <w:rsid w:val="002718FF"/>
    <w:rsid w:val="00271A5B"/>
    <w:rsid w:val="00275330"/>
    <w:rsid w:val="002753EE"/>
    <w:rsid w:val="00275FC8"/>
    <w:rsid w:val="002805F4"/>
    <w:rsid w:val="002806E8"/>
    <w:rsid w:val="00280928"/>
    <w:rsid w:val="00280D11"/>
    <w:rsid w:val="00283F5C"/>
    <w:rsid w:val="00285ABC"/>
    <w:rsid w:val="00286673"/>
    <w:rsid w:val="00287FC6"/>
    <w:rsid w:val="00291D83"/>
    <w:rsid w:val="00294B28"/>
    <w:rsid w:val="002963DF"/>
    <w:rsid w:val="002973FA"/>
    <w:rsid w:val="00297673"/>
    <w:rsid w:val="002A0027"/>
    <w:rsid w:val="002A185D"/>
    <w:rsid w:val="002A1B15"/>
    <w:rsid w:val="002A24D0"/>
    <w:rsid w:val="002A257A"/>
    <w:rsid w:val="002A5344"/>
    <w:rsid w:val="002B1AC8"/>
    <w:rsid w:val="002B23FF"/>
    <w:rsid w:val="002B388D"/>
    <w:rsid w:val="002B4A3A"/>
    <w:rsid w:val="002B660A"/>
    <w:rsid w:val="002B7D81"/>
    <w:rsid w:val="002C1AB1"/>
    <w:rsid w:val="002C1FB5"/>
    <w:rsid w:val="002C3AC7"/>
    <w:rsid w:val="002C3C37"/>
    <w:rsid w:val="002C3CF7"/>
    <w:rsid w:val="002C548A"/>
    <w:rsid w:val="002C740D"/>
    <w:rsid w:val="002D0603"/>
    <w:rsid w:val="002D0702"/>
    <w:rsid w:val="002D0A83"/>
    <w:rsid w:val="002D1047"/>
    <w:rsid w:val="002D2761"/>
    <w:rsid w:val="002D3B0A"/>
    <w:rsid w:val="002D3CC6"/>
    <w:rsid w:val="002D485F"/>
    <w:rsid w:val="002D570E"/>
    <w:rsid w:val="002D5907"/>
    <w:rsid w:val="002D7840"/>
    <w:rsid w:val="002E0324"/>
    <w:rsid w:val="002E2EB3"/>
    <w:rsid w:val="002E344A"/>
    <w:rsid w:val="002E3ED2"/>
    <w:rsid w:val="002E49C2"/>
    <w:rsid w:val="002E6EB6"/>
    <w:rsid w:val="002E726C"/>
    <w:rsid w:val="002F04E9"/>
    <w:rsid w:val="002F0628"/>
    <w:rsid w:val="002F0D7F"/>
    <w:rsid w:val="002F1119"/>
    <w:rsid w:val="002F13B7"/>
    <w:rsid w:val="002F1D67"/>
    <w:rsid w:val="002F37BA"/>
    <w:rsid w:val="002F4156"/>
    <w:rsid w:val="002F4F36"/>
    <w:rsid w:val="002F5386"/>
    <w:rsid w:val="00301635"/>
    <w:rsid w:val="00301F54"/>
    <w:rsid w:val="00302004"/>
    <w:rsid w:val="00302510"/>
    <w:rsid w:val="00302BD1"/>
    <w:rsid w:val="00302DF4"/>
    <w:rsid w:val="00303425"/>
    <w:rsid w:val="003042B1"/>
    <w:rsid w:val="003045B8"/>
    <w:rsid w:val="003045ED"/>
    <w:rsid w:val="003059ED"/>
    <w:rsid w:val="00306B22"/>
    <w:rsid w:val="00307591"/>
    <w:rsid w:val="00307830"/>
    <w:rsid w:val="0031203B"/>
    <w:rsid w:val="003127FB"/>
    <w:rsid w:val="00314CF6"/>
    <w:rsid w:val="003155F0"/>
    <w:rsid w:val="0031570D"/>
    <w:rsid w:val="00316B2D"/>
    <w:rsid w:val="00317346"/>
    <w:rsid w:val="00317393"/>
    <w:rsid w:val="0031748B"/>
    <w:rsid w:val="00317E73"/>
    <w:rsid w:val="003203AA"/>
    <w:rsid w:val="0032291C"/>
    <w:rsid w:val="00326327"/>
    <w:rsid w:val="0032795A"/>
    <w:rsid w:val="00327E39"/>
    <w:rsid w:val="00330E92"/>
    <w:rsid w:val="00331026"/>
    <w:rsid w:val="00332D86"/>
    <w:rsid w:val="0033431C"/>
    <w:rsid w:val="003345DA"/>
    <w:rsid w:val="00336217"/>
    <w:rsid w:val="00336E84"/>
    <w:rsid w:val="003379D7"/>
    <w:rsid w:val="00337F40"/>
    <w:rsid w:val="00341320"/>
    <w:rsid w:val="003418C1"/>
    <w:rsid w:val="00341C98"/>
    <w:rsid w:val="00342C38"/>
    <w:rsid w:val="003433AB"/>
    <w:rsid w:val="003443EB"/>
    <w:rsid w:val="003443F0"/>
    <w:rsid w:val="00344677"/>
    <w:rsid w:val="003446DE"/>
    <w:rsid w:val="003458E5"/>
    <w:rsid w:val="00345A6D"/>
    <w:rsid w:val="003461FC"/>
    <w:rsid w:val="0034635E"/>
    <w:rsid w:val="00346CDE"/>
    <w:rsid w:val="00347618"/>
    <w:rsid w:val="00347B37"/>
    <w:rsid w:val="00351015"/>
    <w:rsid w:val="00351A66"/>
    <w:rsid w:val="00351AD0"/>
    <w:rsid w:val="00352A23"/>
    <w:rsid w:val="00352BB3"/>
    <w:rsid w:val="003534F8"/>
    <w:rsid w:val="0035425D"/>
    <w:rsid w:val="00354B0F"/>
    <w:rsid w:val="00354DFF"/>
    <w:rsid w:val="00355DF5"/>
    <w:rsid w:val="003574E8"/>
    <w:rsid w:val="00357A4D"/>
    <w:rsid w:val="00361375"/>
    <w:rsid w:val="0036212E"/>
    <w:rsid w:val="00365970"/>
    <w:rsid w:val="003660F9"/>
    <w:rsid w:val="00367A7B"/>
    <w:rsid w:val="00367B9B"/>
    <w:rsid w:val="0037018E"/>
    <w:rsid w:val="003716A1"/>
    <w:rsid w:val="00372D3F"/>
    <w:rsid w:val="00373BD9"/>
    <w:rsid w:val="00374A59"/>
    <w:rsid w:val="003752E9"/>
    <w:rsid w:val="0037551C"/>
    <w:rsid w:val="00375607"/>
    <w:rsid w:val="0037659F"/>
    <w:rsid w:val="0038065E"/>
    <w:rsid w:val="003823E4"/>
    <w:rsid w:val="00382B8E"/>
    <w:rsid w:val="0038468B"/>
    <w:rsid w:val="00384D92"/>
    <w:rsid w:val="003853BC"/>
    <w:rsid w:val="00385C4E"/>
    <w:rsid w:val="00386243"/>
    <w:rsid w:val="00386C0A"/>
    <w:rsid w:val="00387610"/>
    <w:rsid w:val="0038795E"/>
    <w:rsid w:val="00392C13"/>
    <w:rsid w:val="00393D9F"/>
    <w:rsid w:val="003941DF"/>
    <w:rsid w:val="00395762"/>
    <w:rsid w:val="003A0013"/>
    <w:rsid w:val="003A1F37"/>
    <w:rsid w:val="003A2301"/>
    <w:rsid w:val="003A23E6"/>
    <w:rsid w:val="003A4294"/>
    <w:rsid w:val="003A5E73"/>
    <w:rsid w:val="003A7F93"/>
    <w:rsid w:val="003B3549"/>
    <w:rsid w:val="003B6A7E"/>
    <w:rsid w:val="003B6ED7"/>
    <w:rsid w:val="003C1078"/>
    <w:rsid w:val="003C1657"/>
    <w:rsid w:val="003C1C5D"/>
    <w:rsid w:val="003C31A2"/>
    <w:rsid w:val="003C4A44"/>
    <w:rsid w:val="003C5A05"/>
    <w:rsid w:val="003C6084"/>
    <w:rsid w:val="003C60E7"/>
    <w:rsid w:val="003C71A8"/>
    <w:rsid w:val="003C73B2"/>
    <w:rsid w:val="003D06BF"/>
    <w:rsid w:val="003D0731"/>
    <w:rsid w:val="003D1F10"/>
    <w:rsid w:val="003D2825"/>
    <w:rsid w:val="003D3A4E"/>
    <w:rsid w:val="003D495F"/>
    <w:rsid w:val="003D4E3B"/>
    <w:rsid w:val="003D5EAE"/>
    <w:rsid w:val="003D6C98"/>
    <w:rsid w:val="003E032C"/>
    <w:rsid w:val="003E102A"/>
    <w:rsid w:val="003E19C9"/>
    <w:rsid w:val="003E2637"/>
    <w:rsid w:val="003E2B0A"/>
    <w:rsid w:val="003E361F"/>
    <w:rsid w:val="003E4C0B"/>
    <w:rsid w:val="003E5311"/>
    <w:rsid w:val="003E5742"/>
    <w:rsid w:val="003E78F5"/>
    <w:rsid w:val="003E792C"/>
    <w:rsid w:val="003E7E8B"/>
    <w:rsid w:val="003E7EB9"/>
    <w:rsid w:val="003F186C"/>
    <w:rsid w:val="003F1A25"/>
    <w:rsid w:val="003F27B3"/>
    <w:rsid w:val="003F2C48"/>
    <w:rsid w:val="003F2D4B"/>
    <w:rsid w:val="003F4177"/>
    <w:rsid w:val="003F44C3"/>
    <w:rsid w:val="003F4F00"/>
    <w:rsid w:val="003F5C36"/>
    <w:rsid w:val="003F5F5D"/>
    <w:rsid w:val="003F6DD6"/>
    <w:rsid w:val="004008C9"/>
    <w:rsid w:val="00405459"/>
    <w:rsid w:val="00405D16"/>
    <w:rsid w:val="0040642A"/>
    <w:rsid w:val="00406890"/>
    <w:rsid w:val="004106A9"/>
    <w:rsid w:val="00410B6A"/>
    <w:rsid w:val="0041216C"/>
    <w:rsid w:val="00412296"/>
    <w:rsid w:val="00412858"/>
    <w:rsid w:val="0041382D"/>
    <w:rsid w:val="00414319"/>
    <w:rsid w:val="00415478"/>
    <w:rsid w:val="004154A3"/>
    <w:rsid w:val="00415EC5"/>
    <w:rsid w:val="004164EB"/>
    <w:rsid w:val="00416EB1"/>
    <w:rsid w:val="00417022"/>
    <w:rsid w:val="004170C2"/>
    <w:rsid w:val="0042361E"/>
    <w:rsid w:val="004238FA"/>
    <w:rsid w:val="00424D0D"/>
    <w:rsid w:val="00424FD2"/>
    <w:rsid w:val="0042643F"/>
    <w:rsid w:val="004274AE"/>
    <w:rsid w:val="0043069F"/>
    <w:rsid w:val="00430D98"/>
    <w:rsid w:val="00431098"/>
    <w:rsid w:val="0043115C"/>
    <w:rsid w:val="00432423"/>
    <w:rsid w:val="004330A9"/>
    <w:rsid w:val="00433489"/>
    <w:rsid w:val="00433C0F"/>
    <w:rsid w:val="00433C23"/>
    <w:rsid w:val="00434745"/>
    <w:rsid w:val="00435E76"/>
    <w:rsid w:val="00435EFE"/>
    <w:rsid w:val="00436402"/>
    <w:rsid w:val="00437F34"/>
    <w:rsid w:val="004400E2"/>
    <w:rsid w:val="004416E8"/>
    <w:rsid w:val="00441F58"/>
    <w:rsid w:val="00442440"/>
    <w:rsid w:val="00443DBC"/>
    <w:rsid w:val="004449E4"/>
    <w:rsid w:val="0044555E"/>
    <w:rsid w:val="00445EFF"/>
    <w:rsid w:val="0044629B"/>
    <w:rsid w:val="00450167"/>
    <w:rsid w:val="00451132"/>
    <w:rsid w:val="00452F37"/>
    <w:rsid w:val="00454870"/>
    <w:rsid w:val="00454D04"/>
    <w:rsid w:val="00456BF4"/>
    <w:rsid w:val="00457A9B"/>
    <w:rsid w:val="004611C6"/>
    <w:rsid w:val="004616E0"/>
    <w:rsid w:val="004618FC"/>
    <w:rsid w:val="00461B48"/>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87FDA"/>
    <w:rsid w:val="0049099D"/>
    <w:rsid w:val="004909C8"/>
    <w:rsid w:val="0049262E"/>
    <w:rsid w:val="00492C1E"/>
    <w:rsid w:val="00492DDF"/>
    <w:rsid w:val="00492EFA"/>
    <w:rsid w:val="00496C40"/>
    <w:rsid w:val="00496F95"/>
    <w:rsid w:val="004975E9"/>
    <w:rsid w:val="00497A2F"/>
    <w:rsid w:val="004A069D"/>
    <w:rsid w:val="004A1224"/>
    <w:rsid w:val="004A21FF"/>
    <w:rsid w:val="004A2390"/>
    <w:rsid w:val="004A284D"/>
    <w:rsid w:val="004A3FBA"/>
    <w:rsid w:val="004A43F5"/>
    <w:rsid w:val="004A47B6"/>
    <w:rsid w:val="004A4816"/>
    <w:rsid w:val="004A4A2A"/>
    <w:rsid w:val="004A763D"/>
    <w:rsid w:val="004A78C5"/>
    <w:rsid w:val="004A7AAE"/>
    <w:rsid w:val="004A7DAA"/>
    <w:rsid w:val="004B065D"/>
    <w:rsid w:val="004B1072"/>
    <w:rsid w:val="004B1188"/>
    <w:rsid w:val="004B1E54"/>
    <w:rsid w:val="004B23EC"/>
    <w:rsid w:val="004B2546"/>
    <w:rsid w:val="004B428C"/>
    <w:rsid w:val="004B4505"/>
    <w:rsid w:val="004B546F"/>
    <w:rsid w:val="004B6287"/>
    <w:rsid w:val="004B6AD2"/>
    <w:rsid w:val="004B7735"/>
    <w:rsid w:val="004C08E9"/>
    <w:rsid w:val="004C0A90"/>
    <w:rsid w:val="004C0AA7"/>
    <w:rsid w:val="004C1D20"/>
    <w:rsid w:val="004C1F31"/>
    <w:rsid w:val="004C26CB"/>
    <w:rsid w:val="004C35FA"/>
    <w:rsid w:val="004C3CE8"/>
    <w:rsid w:val="004C6809"/>
    <w:rsid w:val="004C6F1E"/>
    <w:rsid w:val="004C7E95"/>
    <w:rsid w:val="004D2235"/>
    <w:rsid w:val="004D3094"/>
    <w:rsid w:val="004D7139"/>
    <w:rsid w:val="004D7819"/>
    <w:rsid w:val="004E42BA"/>
    <w:rsid w:val="004E4D9C"/>
    <w:rsid w:val="004E5CC4"/>
    <w:rsid w:val="004E5D8F"/>
    <w:rsid w:val="004E69C7"/>
    <w:rsid w:val="004E6CD3"/>
    <w:rsid w:val="004E7305"/>
    <w:rsid w:val="004E79AA"/>
    <w:rsid w:val="004E7C1D"/>
    <w:rsid w:val="004F019A"/>
    <w:rsid w:val="004F0366"/>
    <w:rsid w:val="004F4BD9"/>
    <w:rsid w:val="004F5121"/>
    <w:rsid w:val="004F6AC2"/>
    <w:rsid w:val="004F6D09"/>
    <w:rsid w:val="00500866"/>
    <w:rsid w:val="00500C4A"/>
    <w:rsid w:val="00501726"/>
    <w:rsid w:val="00501A3F"/>
    <w:rsid w:val="00501CD0"/>
    <w:rsid w:val="005024AF"/>
    <w:rsid w:val="00502FC9"/>
    <w:rsid w:val="005030F9"/>
    <w:rsid w:val="00503304"/>
    <w:rsid w:val="0050636F"/>
    <w:rsid w:val="005074A4"/>
    <w:rsid w:val="00510424"/>
    <w:rsid w:val="005111D7"/>
    <w:rsid w:val="00511278"/>
    <w:rsid w:val="005114F8"/>
    <w:rsid w:val="0051400D"/>
    <w:rsid w:val="00516733"/>
    <w:rsid w:val="00517EFF"/>
    <w:rsid w:val="00520380"/>
    <w:rsid w:val="00520708"/>
    <w:rsid w:val="00521512"/>
    <w:rsid w:val="00521536"/>
    <w:rsid w:val="005228F6"/>
    <w:rsid w:val="00522DE1"/>
    <w:rsid w:val="005231E3"/>
    <w:rsid w:val="00523335"/>
    <w:rsid w:val="00525A82"/>
    <w:rsid w:val="0052687F"/>
    <w:rsid w:val="005270C2"/>
    <w:rsid w:val="00527137"/>
    <w:rsid w:val="00527991"/>
    <w:rsid w:val="00527F23"/>
    <w:rsid w:val="00530B7A"/>
    <w:rsid w:val="00533629"/>
    <w:rsid w:val="00534514"/>
    <w:rsid w:val="00535FA7"/>
    <w:rsid w:val="005427CD"/>
    <w:rsid w:val="00542D7C"/>
    <w:rsid w:val="005433B1"/>
    <w:rsid w:val="00543600"/>
    <w:rsid w:val="00543790"/>
    <w:rsid w:val="00543B59"/>
    <w:rsid w:val="0054459E"/>
    <w:rsid w:val="005445D9"/>
    <w:rsid w:val="00545F82"/>
    <w:rsid w:val="005468A2"/>
    <w:rsid w:val="00546EA3"/>
    <w:rsid w:val="005478A3"/>
    <w:rsid w:val="005508C6"/>
    <w:rsid w:val="00551BE9"/>
    <w:rsid w:val="0055378E"/>
    <w:rsid w:val="005543D2"/>
    <w:rsid w:val="00556063"/>
    <w:rsid w:val="00557013"/>
    <w:rsid w:val="00560B7B"/>
    <w:rsid w:val="00562622"/>
    <w:rsid w:val="00562E8A"/>
    <w:rsid w:val="005646D0"/>
    <w:rsid w:val="00570AD2"/>
    <w:rsid w:val="0057279F"/>
    <w:rsid w:val="00572B8C"/>
    <w:rsid w:val="00572C00"/>
    <w:rsid w:val="00573888"/>
    <w:rsid w:val="00573E0C"/>
    <w:rsid w:val="005744D7"/>
    <w:rsid w:val="005757E5"/>
    <w:rsid w:val="005764C2"/>
    <w:rsid w:val="005771CD"/>
    <w:rsid w:val="005779EB"/>
    <w:rsid w:val="00577B54"/>
    <w:rsid w:val="005809FD"/>
    <w:rsid w:val="00581C79"/>
    <w:rsid w:val="005829CA"/>
    <w:rsid w:val="00583FA9"/>
    <w:rsid w:val="0058445F"/>
    <w:rsid w:val="00585117"/>
    <w:rsid w:val="00590AA6"/>
    <w:rsid w:val="00590E04"/>
    <w:rsid w:val="0059115E"/>
    <w:rsid w:val="00591276"/>
    <w:rsid w:val="005915CD"/>
    <w:rsid w:val="00591A9C"/>
    <w:rsid w:val="005921BF"/>
    <w:rsid w:val="0059274B"/>
    <w:rsid w:val="00594266"/>
    <w:rsid w:val="00594D43"/>
    <w:rsid w:val="00595C04"/>
    <w:rsid w:val="00596DE5"/>
    <w:rsid w:val="00597304"/>
    <w:rsid w:val="00597313"/>
    <w:rsid w:val="005A0384"/>
    <w:rsid w:val="005A086A"/>
    <w:rsid w:val="005A0F1D"/>
    <w:rsid w:val="005A1831"/>
    <w:rsid w:val="005A1C9B"/>
    <w:rsid w:val="005A28FA"/>
    <w:rsid w:val="005A4E01"/>
    <w:rsid w:val="005A7435"/>
    <w:rsid w:val="005A7BB6"/>
    <w:rsid w:val="005B1D8F"/>
    <w:rsid w:val="005B20FA"/>
    <w:rsid w:val="005B35FB"/>
    <w:rsid w:val="005B3763"/>
    <w:rsid w:val="005B41CA"/>
    <w:rsid w:val="005B5F65"/>
    <w:rsid w:val="005B68B5"/>
    <w:rsid w:val="005C01C0"/>
    <w:rsid w:val="005C0B5F"/>
    <w:rsid w:val="005C0F24"/>
    <w:rsid w:val="005C15B0"/>
    <w:rsid w:val="005C176D"/>
    <w:rsid w:val="005C505E"/>
    <w:rsid w:val="005C603D"/>
    <w:rsid w:val="005C7610"/>
    <w:rsid w:val="005D0355"/>
    <w:rsid w:val="005D0C98"/>
    <w:rsid w:val="005D0D7C"/>
    <w:rsid w:val="005D1BC8"/>
    <w:rsid w:val="005D2B7B"/>
    <w:rsid w:val="005D5271"/>
    <w:rsid w:val="005D761B"/>
    <w:rsid w:val="005D7839"/>
    <w:rsid w:val="005D79AF"/>
    <w:rsid w:val="005D7B3C"/>
    <w:rsid w:val="005E13B6"/>
    <w:rsid w:val="005E21F5"/>
    <w:rsid w:val="005E4A19"/>
    <w:rsid w:val="005E4CD6"/>
    <w:rsid w:val="005E56E4"/>
    <w:rsid w:val="005E7298"/>
    <w:rsid w:val="005F072C"/>
    <w:rsid w:val="005F1A7E"/>
    <w:rsid w:val="005F1B67"/>
    <w:rsid w:val="005F4FDA"/>
    <w:rsid w:val="005F5419"/>
    <w:rsid w:val="005F7540"/>
    <w:rsid w:val="00600252"/>
    <w:rsid w:val="00600A32"/>
    <w:rsid w:val="006013DE"/>
    <w:rsid w:val="006035F1"/>
    <w:rsid w:val="0060428D"/>
    <w:rsid w:val="0060512C"/>
    <w:rsid w:val="00606BD8"/>
    <w:rsid w:val="006074ED"/>
    <w:rsid w:val="006101F3"/>
    <w:rsid w:val="00610A2C"/>
    <w:rsid w:val="0061161F"/>
    <w:rsid w:val="00611873"/>
    <w:rsid w:val="006137B1"/>
    <w:rsid w:val="00613AE1"/>
    <w:rsid w:val="0061540B"/>
    <w:rsid w:val="00616322"/>
    <w:rsid w:val="0061673E"/>
    <w:rsid w:val="006174C7"/>
    <w:rsid w:val="006175A7"/>
    <w:rsid w:val="00617F24"/>
    <w:rsid w:val="00620BF9"/>
    <w:rsid w:val="00621662"/>
    <w:rsid w:val="00622E2C"/>
    <w:rsid w:val="00624556"/>
    <w:rsid w:val="0062481B"/>
    <w:rsid w:val="00624FFD"/>
    <w:rsid w:val="006251C9"/>
    <w:rsid w:val="006269A4"/>
    <w:rsid w:val="0062744D"/>
    <w:rsid w:val="00627499"/>
    <w:rsid w:val="00627B5E"/>
    <w:rsid w:val="00632981"/>
    <w:rsid w:val="00634118"/>
    <w:rsid w:val="00635EA7"/>
    <w:rsid w:val="00636785"/>
    <w:rsid w:val="0063726C"/>
    <w:rsid w:val="00637FB3"/>
    <w:rsid w:val="006421C2"/>
    <w:rsid w:val="00642CEB"/>
    <w:rsid w:val="00643221"/>
    <w:rsid w:val="006449FA"/>
    <w:rsid w:val="006449FD"/>
    <w:rsid w:val="006454A7"/>
    <w:rsid w:val="0064567E"/>
    <w:rsid w:val="00645F2A"/>
    <w:rsid w:val="006465BB"/>
    <w:rsid w:val="00646941"/>
    <w:rsid w:val="0064797A"/>
    <w:rsid w:val="00647F0C"/>
    <w:rsid w:val="00650133"/>
    <w:rsid w:val="00651358"/>
    <w:rsid w:val="00651F9D"/>
    <w:rsid w:val="006523B3"/>
    <w:rsid w:val="00652A64"/>
    <w:rsid w:val="00652F69"/>
    <w:rsid w:val="00654E7E"/>
    <w:rsid w:val="006557E9"/>
    <w:rsid w:val="00656B71"/>
    <w:rsid w:val="00661F81"/>
    <w:rsid w:val="006631E8"/>
    <w:rsid w:val="00664473"/>
    <w:rsid w:val="006655D3"/>
    <w:rsid w:val="006665AB"/>
    <w:rsid w:val="00666CA6"/>
    <w:rsid w:val="00670CBD"/>
    <w:rsid w:val="0067133C"/>
    <w:rsid w:val="0067249C"/>
    <w:rsid w:val="0067269D"/>
    <w:rsid w:val="00673C28"/>
    <w:rsid w:val="00673E3D"/>
    <w:rsid w:val="00674502"/>
    <w:rsid w:val="00674B7E"/>
    <w:rsid w:val="006751D3"/>
    <w:rsid w:val="006754C6"/>
    <w:rsid w:val="0067571E"/>
    <w:rsid w:val="0067686A"/>
    <w:rsid w:val="00676E70"/>
    <w:rsid w:val="006825EA"/>
    <w:rsid w:val="00682746"/>
    <w:rsid w:val="006854B5"/>
    <w:rsid w:val="00685D6D"/>
    <w:rsid w:val="0068665B"/>
    <w:rsid w:val="00686ADD"/>
    <w:rsid w:val="00686D4E"/>
    <w:rsid w:val="0069017A"/>
    <w:rsid w:val="00691450"/>
    <w:rsid w:val="00692800"/>
    <w:rsid w:val="00694B9D"/>
    <w:rsid w:val="006971C2"/>
    <w:rsid w:val="006A0DEF"/>
    <w:rsid w:val="006A19A4"/>
    <w:rsid w:val="006A2417"/>
    <w:rsid w:val="006A2C44"/>
    <w:rsid w:val="006A4C61"/>
    <w:rsid w:val="006A5B02"/>
    <w:rsid w:val="006A5DD1"/>
    <w:rsid w:val="006A68B5"/>
    <w:rsid w:val="006A696E"/>
    <w:rsid w:val="006A6C77"/>
    <w:rsid w:val="006A71F8"/>
    <w:rsid w:val="006B1DC1"/>
    <w:rsid w:val="006B24B6"/>
    <w:rsid w:val="006B3981"/>
    <w:rsid w:val="006B3BAF"/>
    <w:rsid w:val="006B4705"/>
    <w:rsid w:val="006B48A2"/>
    <w:rsid w:val="006B5DE4"/>
    <w:rsid w:val="006B6B13"/>
    <w:rsid w:val="006C04DF"/>
    <w:rsid w:val="006C0537"/>
    <w:rsid w:val="006C06E1"/>
    <w:rsid w:val="006C0CBD"/>
    <w:rsid w:val="006C1D3D"/>
    <w:rsid w:val="006C1FAF"/>
    <w:rsid w:val="006C287F"/>
    <w:rsid w:val="006C35A8"/>
    <w:rsid w:val="006C3EDA"/>
    <w:rsid w:val="006C533C"/>
    <w:rsid w:val="006C5ACB"/>
    <w:rsid w:val="006C60D5"/>
    <w:rsid w:val="006C6702"/>
    <w:rsid w:val="006C742E"/>
    <w:rsid w:val="006D01F3"/>
    <w:rsid w:val="006D0261"/>
    <w:rsid w:val="006D14D5"/>
    <w:rsid w:val="006D1554"/>
    <w:rsid w:val="006D418E"/>
    <w:rsid w:val="006D668E"/>
    <w:rsid w:val="006D712F"/>
    <w:rsid w:val="006E06EE"/>
    <w:rsid w:val="006E0EDD"/>
    <w:rsid w:val="006E1ABB"/>
    <w:rsid w:val="006E1BA7"/>
    <w:rsid w:val="006E1FE0"/>
    <w:rsid w:val="006E6910"/>
    <w:rsid w:val="006E7853"/>
    <w:rsid w:val="006F0DB1"/>
    <w:rsid w:val="006F1544"/>
    <w:rsid w:val="006F2384"/>
    <w:rsid w:val="006F388D"/>
    <w:rsid w:val="006F39A1"/>
    <w:rsid w:val="006F4484"/>
    <w:rsid w:val="006F4CFB"/>
    <w:rsid w:val="006F5358"/>
    <w:rsid w:val="006F53A8"/>
    <w:rsid w:val="007000AB"/>
    <w:rsid w:val="00701E54"/>
    <w:rsid w:val="007047E4"/>
    <w:rsid w:val="00704C1C"/>
    <w:rsid w:val="00706014"/>
    <w:rsid w:val="007072D3"/>
    <w:rsid w:val="00710222"/>
    <w:rsid w:val="0071342C"/>
    <w:rsid w:val="007135E1"/>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27BDF"/>
    <w:rsid w:val="007305D4"/>
    <w:rsid w:val="007308F1"/>
    <w:rsid w:val="00731542"/>
    <w:rsid w:val="00733386"/>
    <w:rsid w:val="007337C0"/>
    <w:rsid w:val="0073390D"/>
    <w:rsid w:val="007341A9"/>
    <w:rsid w:val="00735400"/>
    <w:rsid w:val="00735AE4"/>
    <w:rsid w:val="00735C41"/>
    <w:rsid w:val="007377EC"/>
    <w:rsid w:val="00737ACF"/>
    <w:rsid w:val="00737BD8"/>
    <w:rsid w:val="00741A91"/>
    <w:rsid w:val="00741BAF"/>
    <w:rsid w:val="00741F31"/>
    <w:rsid w:val="00742019"/>
    <w:rsid w:val="00742447"/>
    <w:rsid w:val="00744D3A"/>
    <w:rsid w:val="00744FCE"/>
    <w:rsid w:val="00745A30"/>
    <w:rsid w:val="00747B00"/>
    <w:rsid w:val="00747FAE"/>
    <w:rsid w:val="007506A2"/>
    <w:rsid w:val="00751327"/>
    <w:rsid w:val="0075192D"/>
    <w:rsid w:val="007519D4"/>
    <w:rsid w:val="00751B6C"/>
    <w:rsid w:val="00752521"/>
    <w:rsid w:val="00753923"/>
    <w:rsid w:val="00753D4D"/>
    <w:rsid w:val="00754F27"/>
    <w:rsid w:val="00755DED"/>
    <w:rsid w:val="00756A18"/>
    <w:rsid w:val="00756C20"/>
    <w:rsid w:val="00757ADB"/>
    <w:rsid w:val="00760BAB"/>
    <w:rsid w:val="00762179"/>
    <w:rsid w:val="00763A5E"/>
    <w:rsid w:val="00764041"/>
    <w:rsid w:val="0076535F"/>
    <w:rsid w:val="00765843"/>
    <w:rsid w:val="00766734"/>
    <w:rsid w:val="00767D36"/>
    <w:rsid w:val="00770D34"/>
    <w:rsid w:val="007711B3"/>
    <w:rsid w:val="00771C62"/>
    <w:rsid w:val="00772529"/>
    <w:rsid w:val="007731C0"/>
    <w:rsid w:val="00773E9F"/>
    <w:rsid w:val="007751E7"/>
    <w:rsid w:val="007753B8"/>
    <w:rsid w:val="00777340"/>
    <w:rsid w:val="00780B47"/>
    <w:rsid w:val="0078174E"/>
    <w:rsid w:val="00781A65"/>
    <w:rsid w:val="007848D1"/>
    <w:rsid w:val="0078493D"/>
    <w:rsid w:val="00784A75"/>
    <w:rsid w:val="00784A91"/>
    <w:rsid w:val="007861B3"/>
    <w:rsid w:val="0078689A"/>
    <w:rsid w:val="0078717B"/>
    <w:rsid w:val="00787F30"/>
    <w:rsid w:val="00790808"/>
    <w:rsid w:val="00794D83"/>
    <w:rsid w:val="00797A2A"/>
    <w:rsid w:val="00797BE5"/>
    <w:rsid w:val="00797F2E"/>
    <w:rsid w:val="007A1799"/>
    <w:rsid w:val="007A4E51"/>
    <w:rsid w:val="007A4ED0"/>
    <w:rsid w:val="007A5009"/>
    <w:rsid w:val="007A631C"/>
    <w:rsid w:val="007A6452"/>
    <w:rsid w:val="007A77AC"/>
    <w:rsid w:val="007A7E95"/>
    <w:rsid w:val="007B01C8"/>
    <w:rsid w:val="007B077A"/>
    <w:rsid w:val="007B0AE0"/>
    <w:rsid w:val="007B2889"/>
    <w:rsid w:val="007B2ACE"/>
    <w:rsid w:val="007B3429"/>
    <w:rsid w:val="007B3B07"/>
    <w:rsid w:val="007B54AC"/>
    <w:rsid w:val="007B6724"/>
    <w:rsid w:val="007C03E5"/>
    <w:rsid w:val="007C2849"/>
    <w:rsid w:val="007C3449"/>
    <w:rsid w:val="007C4EF8"/>
    <w:rsid w:val="007C4FE2"/>
    <w:rsid w:val="007C5602"/>
    <w:rsid w:val="007C5BE4"/>
    <w:rsid w:val="007C693A"/>
    <w:rsid w:val="007C6C59"/>
    <w:rsid w:val="007D0193"/>
    <w:rsid w:val="007D0FB4"/>
    <w:rsid w:val="007D2B14"/>
    <w:rsid w:val="007D2C2B"/>
    <w:rsid w:val="007D2F1F"/>
    <w:rsid w:val="007D4E4E"/>
    <w:rsid w:val="007D551C"/>
    <w:rsid w:val="007D55EE"/>
    <w:rsid w:val="007D66AE"/>
    <w:rsid w:val="007D6C78"/>
    <w:rsid w:val="007D791B"/>
    <w:rsid w:val="007D791F"/>
    <w:rsid w:val="007E09DF"/>
    <w:rsid w:val="007E14F6"/>
    <w:rsid w:val="007E211A"/>
    <w:rsid w:val="007E2C3D"/>
    <w:rsid w:val="007E3057"/>
    <w:rsid w:val="007E46DC"/>
    <w:rsid w:val="007E6141"/>
    <w:rsid w:val="007E6667"/>
    <w:rsid w:val="007E6AE3"/>
    <w:rsid w:val="007E6BA0"/>
    <w:rsid w:val="007F1A96"/>
    <w:rsid w:val="007F28DF"/>
    <w:rsid w:val="007F4348"/>
    <w:rsid w:val="007F4A8B"/>
    <w:rsid w:val="007F580D"/>
    <w:rsid w:val="007F5A21"/>
    <w:rsid w:val="007F5B12"/>
    <w:rsid w:val="007F647F"/>
    <w:rsid w:val="007F6563"/>
    <w:rsid w:val="007F6E9B"/>
    <w:rsid w:val="0080041B"/>
    <w:rsid w:val="00801245"/>
    <w:rsid w:val="008021C2"/>
    <w:rsid w:val="008024FC"/>
    <w:rsid w:val="008026F8"/>
    <w:rsid w:val="00810B1D"/>
    <w:rsid w:val="008113FF"/>
    <w:rsid w:val="00811A84"/>
    <w:rsid w:val="008125BE"/>
    <w:rsid w:val="00812643"/>
    <w:rsid w:val="00812F03"/>
    <w:rsid w:val="00814AE9"/>
    <w:rsid w:val="00816ABF"/>
    <w:rsid w:val="00816C23"/>
    <w:rsid w:val="00821885"/>
    <w:rsid w:val="00821ACB"/>
    <w:rsid w:val="00823D6D"/>
    <w:rsid w:val="0082451D"/>
    <w:rsid w:val="0082538D"/>
    <w:rsid w:val="008305AC"/>
    <w:rsid w:val="00830CE3"/>
    <w:rsid w:val="00830EE0"/>
    <w:rsid w:val="00831519"/>
    <w:rsid w:val="00831A03"/>
    <w:rsid w:val="00832E2B"/>
    <w:rsid w:val="00832EEB"/>
    <w:rsid w:val="00833A3B"/>
    <w:rsid w:val="0083497F"/>
    <w:rsid w:val="00835411"/>
    <w:rsid w:val="00836234"/>
    <w:rsid w:val="00836786"/>
    <w:rsid w:val="008375B2"/>
    <w:rsid w:val="00837B1B"/>
    <w:rsid w:val="00837CD3"/>
    <w:rsid w:val="008414CD"/>
    <w:rsid w:val="00841C69"/>
    <w:rsid w:val="00842084"/>
    <w:rsid w:val="008421FF"/>
    <w:rsid w:val="008435D8"/>
    <w:rsid w:val="00844113"/>
    <w:rsid w:val="008442BF"/>
    <w:rsid w:val="008443DA"/>
    <w:rsid w:val="00844FDA"/>
    <w:rsid w:val="008452D2"/>
    <w:rsid w:val="0084607D"/>
    <w:rsid w:val="00846E5E"/>
    <w:rsid w:val="00847247"/>
    <w:rsid w:val="00851C2D"/>
    <w:rsid w:val="00852612"/>
    <w:rsid w:val="008527F3"/>
    <w:rsid w:val="00853D93"/>
    <w:rsid w:val="00854AEF"/>
    <w:rsid w:val="00855769"/>
    <w:rsid w:val="008558D6"/>
    <w:rsid w:val="008571E3"/>
    <w:rsid w:val="008572C2"/>
    <w:rsid w:val="00862500"/>
    <w:rsid w:val="008626A9"/>
    <w:rsid w:val="00864242"/>
    <w:rsid w:val="008648CC"/>
    <w:rsid w:val="00867110"/>
    <w:rsid w:val="0086795A"/>
    <w:rsid w:val="00867A54"/>
    <w:rsid w:val="00867B99"/>
    <w:rsid w:val="00872007"/>
    <w:rsid w:val="008735AF"/>
    <w:rsid w:val="00874709"/>
    <w:rsid w:val="008751B8"/>
    <w:rsid w:val="00875BF5"/>
    <w:rsid w:val="00875FC6"/>
    <w:rsid w:val="008767A8"/>
    <w:rsid w:val="00877BEB"/>
    <w:rsid w:val="008807F2"/>
    <w:rsid w:val="00882057"/>
    <w:rsid w:val="00884E88"/>
    <w:rsid w:val="00885BD3"/>
    <w:rsid w:val="00885E2B"/>
    <w:rsid w:val="00886169"/>
    <w:rsid w:val="008901E4"/>
    <w:rsid w:val="008906CF"/>
    <w:rsid w:val="00891275"/>
    <w:rsid w:val="0089208A"/>
    <w:rsid w:val="00893ED2"/>
    <w:rsid w:val="00895774"/>
    <w:rsid w:val="0089670C"/>
    <w:rsid w:val="008A05FB"/>
    <w:rsid w:val="008A0AAA"/>
    <w:rsid w:val="008A143A"/>
    <w:rsid w:val="008A26C5"/>
    <w:rsid w:val="008A4205"/>
    <w:rsid w:val="008A4CD4"/>
    <w:rsid w:val="008A5838"/>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B7A18"/>
    <w:rsid w:val="008C164D"/>
    <w:rsid w:val="008C2F43"/>
    <w:rsid w:val="008C5BA1"/>
    <w:rsid w:val="008C70D8"/>
    <w:rsid w:val="008C7439"/>
    <w:rsid w:val="008C7B9E"/>
    <w:rsid w:val="008C7CF9"/>
    <w:rsid w:val="008D102E"/>
    <w:rsid w:val="008D2461"/>
    <w:rsid w:val="008D3648"/>
    <w:rsid w:val="008D43AA"/>
    <w:rsid w:val="008D4B51"/>
    <w:rsid w:val="008D6215"/>
    <w:rsid w:val="008D69C4"/>
    <w:rsid w:val="008D6C97"/>
    <w:rsid w:val="008D7698"/>
    <w:rsid w:val="008E1A38"/>
    <w:rsid w:val="008E1BBB"/>
    <w:rsid w:val="008E1C93"/>
    <w:rsid w:val="008E1F8D"/>
    <w:rsid w:val="008E5488"/>
    <w:rsid w:val="008E5707"/>
    <w:rsid w:val="008E6136"/>
    <w:rsid w:val="008E6202"/>
    <w:rsid w:val="008E77D1"/>
    <w:rsid w:val="008F0CBA"/>
    <w:rsid w:val="008F2E30"/>
    <w:rsid w:val="008F424B"/>
    <w:rsid w:val="008F4307"/>
    <w:rsid w:val="008F4984"/>
    <w:rsid w:val="008F4A12"/>
    <w:rsid w:val="008F6F47"/>
    <w:rsid w:val="008F7008"/>
    <w:rsid w:val="009006A5"/>
    <w:rsid w:val="00901231"/>
    <w:rsid w:val="00901791"/>
    <w:rsid w:val="009026EC"/>
    <w:rsid w:val="009027F8"/>
    <w:rsid w:val="009037FF"/>
    <w:rsid w:val="00904BA4"/>
    <w:rsid w:val="00904E84"/>
    <w:rsid w:val="00906CEB"/>
    <w:rsid w:val="00907407"/>
    <w:rsid w:val="009075AB"/>
    <w:rsid w:val="00907763"/>
    <w:rsid w:val="00907785"/>
    <w:rsid w:val="00910033"/>
    <w:rsid w:val="00911558"/>
    <w:rsid w:val="00911CD6"/>
    <w:rsid w:val="00911D5F"/>
    <w:rsid w:val="009142E2"/>
    <w:rsid w:val="00915B62"/>
    <w:rsid w:val="00916524"/>
    <w:rsid w:val="00916A2C"/>
    <w:rsid w:val="009173D6"/>
    <w:rsid w:val="009173F2"/>
    <w:rsid w:val="009179F2"/>
    <w:rsid w:val="00920275"/>
    <w:rsid w:val="009202BD"/>
    <w:rsid w:val="0092244D"/>
    <w:rsid w:val="00922B80"/>
    <w:rsid w:val="0092369C"/>
    <w:rsid w:val="00923BE6"/>
    <w:rsid w:val="00924690"/>
    <w:rsid w:val="00924A84"/>
    <w:rsid w:val="00924FD2"/>
    <w:rsid w:val="00925084"/>
    <w:rsid w:val="0092560D"/>
    <w:rsid w:val="009263A5"/>
    <w:rsid w:val="0092643A"/>
    <w:rsid w:val="009268DC"/>
    <w:rsid w:val="0092725D"/>
    <w:rsid w:val="009273D7"/>
    <w:rsid w:val="009302F0"/>
    <w:rsid w:val="00930942"/>
    <w:rsid w:val="009318A7"/>
    <w:rsid w:val="0093257E"/>
    <w:rsid w:val="00932B67"/>
    <w:rsid w:val="0093399E"/>
    <w:rsid w:val="00935094"/>
    <w:rsid w:val="00935DBB"/>
    <w:rsid w:val="009361BB"/>
    <w:rsid w:val="009368E8"/>
    <w:rsid w:val="00936A8B"/>
    <w:rsid w:val="00936EC9"/>
    <w:rsid w:val="0093790A"/>
    <w:rsid w:val="0094082D"/>
    <w:rsid w:val="00941D2C"/>
    <w:rsid w:val="00942254"/>
    <w:rsid w:val="00945159"/>
    <w:rsid w:val="00946037"/>
    <w:rsid w:val="00946C51"/>
    <w:rsid w:val="00950535"/>
    <w:rsid w:val="009517FB"/>
    <w:rsid w:val="009517FE"/>
    <w:rsid w:val="00951F21"/>
    <w:rsid w:val="0095448C"/>
    <w:rsid w:val="00955CD4"/>
    <w:rsid w:val="00956455"/>
    <w:rsid w:val="00960440"/>
    <w:rsid w:val="00960956"/>
    <w:rsid w:val="00960A45"/>
    <w:rsid w:val="00960B22"/>
    <w:rsid w:val="00961FD1"/>
    <w:rsid w:val="00962259"/>
    <w:rsid w:val="00963897"/>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1CBE"/>
    <w:rsid w:val="009829A8"/>
    <w:rsid w:val="009830E8"/>
    <w:rsid w:val="00984A1D"/>
    <w:rsid w:val="0098506E"/>
    <w:rsid w:val="00985112"/>
    <w:rsid w:val="00985FCF"/>
    <w:rsid w:val="009869C8"/>
    <w:rsid w:val="0098799C"/>
    <w:rsid w:val="009926EC"/>
    <w:rsid w:val="0099291C"/>
    <w:rsid w:val="00992CAF"/>
    <w:rsid w:val="0099315C"/>
    <w:rsid w:val="00993219"/>
    <w:rsid w:val="00994DC7"/>
    <w:rsid w:val="0099564D"/>
    <w:rsid w:val="0099751F"/>
    <w:rsid w:val="00997AD6"/>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364C"/>
    <w:rsid w:val="009B4153"/>
    <w:rsid w:val="009B4164"/>
    <w:rsid w:val="009B4974"/>
    <w:rsid w:val="009C0831"/>
    <w:rsid w:val="009C0D5C"/>
    <w:rsid w:val="009C0F10"/>
    <w:rsid w:val="009C1828"/>
    <w:rsid w:val="009C22BF"/>
    <w:rsid w:val="009C2F59"/>
    <w:rsid w:val="009C394B"/>
    <w:rsid w:val="009C3E2B"/>
    <w:rsid w:val="009C447C"/>
    <w:rsid w:val="009C4F5B"/>
    <w:rsid w:val="009C614E"/>
    <w:rsid w:val="009C72E4"/>
    <w:rsid w:val="009C7A35"/>
    <w:rsid w:val="009C7D1D"/>
    <w:rsid w:val="009D007B"/>
    <w:rsid w:val="009D0568"/>
    <w:rsid w:val="009D13D0"/>
    <w:rsid w:val="009D187A"/>
    <w:rsid w:val="009D1961"/>
    <w:rsid w:val="009D208C"/>
    <w:rsid w:val="009D2815"/>
    <w:rsid w:val="009D2F65"/>
    <w:rsid w:val="009D47DF"/>
    <w:rsid w:val="009D4A4D"/>
    <w:rsid w:val="009D5133"/>
    <w:rsid w:val="009D74F6"/>
    <w:rsid w:val="009D788E"/>
    <w:rsid w:val="009D7BDF"/>
    <w:rsid w:val="009E0166"/>
    <w:rsid w:val="009E0B89"/>
    <w:rsid w:val="009E29B6"/>
    <w:rsid w:val="009E2CEE"/>
    <w:rsid w:val="009E2E18"/>
    <w:rsid w:val="009E30C7"/>
    <w:rsid w:val="009E4976"/>
    <w:rsid w:val="009E4BD7"/>
    <w:rsid w:val="009E5652"/>
    <w:rsid w:val="009E71FE"/>
    <w:rsid w:val="009E7BB7"/>
    <w:rsid w:val="009F1C02"/>
    <w:rsid w:val="009F1E46"/>
    <w:rsid w:val="009F2665"/>
    <w:rsid w:val="009F354F"/>
    <w:rsid w:val="009F46A2"/>
    <w:rsid w:val="009F5585"/>
    <w:rsid w:val="009F5805"/>
    <w:rsid w:val="009F74E8"/>
    <w:rsid w:val="009F760C"/>
    <w:rsid w:val="009F7F6E"/>
    <w:rsid w:val="00A003B9"/>
    <w:rsid w:val="00A00BF5"/>
    <w:rsid w:val="00A00C63"/>
    <w:rsid w:val="00A014F1"/>
    <w:rsid w:val="00A026EC"/>
    <w:rsid w:val="00A0477A"/>
    <w:rsid w:val="00A05589"/>
    <w:rsid w:val="00A0572F"/>
    <w:rsid w:val="00A05732"/>
    <w:rsid w:val="00A06311"/>
    <w:rsid w:val="00A0668C"/>
    <w:rsid w:val="00A11221"/>
    <w:rsid w:val="00A11DBC"/>
    <w:rsid w:val="00A13722"/>
    <w:rsid w:val="00A13726"/>
    <w:rsid w:val="00A13BAA"/>
    <w:rsid w:val="00A13C21"/>
    <w:rsid w:val="00A143CF"/>
    <w:rsid w:val="00A145A4"/>
    <w:rsid w:val="00A15A99"/>
    <w:rsid w:val="00A15B63"/>
    <w:rsid w:val="00A16160"/>
    <w:rsid w:val="00A1746F"/>
    <w:rsid w:val="00A17F25"/>
    <w:rsid w:val="00A2180D"/>
    <w:rsid w:val="00A218A3"/>
    <w:rsid w:val="00A23C4D"/>
    <w:rsid w:val="00A245D7"/>
    <w:rsid w:val="00A26D36"/>
    <w:rsid w:val="00A26ED2"/>
    <w:rsid w:val="00A27042"/>
    <w:rsid w:val="00A317FB"/>
    <w:rsid w:val="00A33999"/>
    <w:rsid w:val="00A419B4"/>
    <w:rsid w:val="00A436B4"/>
    <w:rsid w:val="00A44D7A"/>
    <w:rsid w:val="00A4595B"/>
    <w:rsid w:val="00A469B6"/>
    <w:rsid w:val="00A474EC"/>
    <w:rsid w:val="00A52216"/>
    <w:rsid w:val="00A5283F"/>
    <w:rsid w:val="00A52CAB"/>
    <w:rsid w:val="00A53170"/>
    <w:rsid w:val="00A55029"/>
    <w:rsid w:val="00A55672"/>
    <w:rsid w:val="00A56A70"/>
    <w:rsid w:val="00A5710F"/>
    <w:rsid w:val="00A57EC1"/>
    <w:rsid w:val="00A60A8C"/>
    <w:rsid w:val="00A60EEF"/>
    <w:rsid w:val="00A61304"/>
    <w:rsid w:val="00A61B8E"/>
    <w:rsid w:val="00A627C3"/>
    <w:rsid w:val="00A63970"/>
    <w:rsid w:val="00A64F4C"/>
    <w:rsid w:val="00A65079"/>
    <w:rsid w:val="00A65694"/>
    <w:rsid w:val="00A66C81"/>
    <w:rsid w:val="00A676FA"/>
    <w:rsid w:val="00A7105C"/>
    <w:rsid w:val="00A7179A"/>
    <w:rsid w:val="00A73CC7"/>
    <w:rsid w:val="00A75A97"/>
    <w:rsid w:val="00A75B8B"/>
    <w:rsid w:val="00A76044"/>
    <w:rsid w:val="00A76225"/>
    <w:rsid w:val="00A76622"/>
    <w:rsid w:val="00A80DA1"/>
    <w:rsid w:val="00A814CA"/>
    <w:rsid w:val="00A82735"/>
    <w:rsid w:val="00A833E0"/>
    <w:rsid w:val="00A83871"/>
    <w:rsid w:val="00A845CA"/>
    <w:rsid w:val="00A869EA"/>
    <w:rsid w:val="00A86CA4"/>
    <w:rsid w:val="00A902E5"/>
    <w:rsid w:val="00A90B50"/>
    <w:rsid w:val="00A919BD"/>
    <w:rsid w:val="00A933DA"/>
    <w:rsid w:val="00A93BB6"/>
    <w:rsid w:val="00A95ED5"/>
    <w:rsid w:val="00A96888"/>
    <w:rsid w:val="00A96BAC"/>
    <w:rsid w:val="00A96EDB"/>
    <w:rsid w:val="00A97724"/>
    <w:rsid w:val="00A978C9"/>
    <w:rsid w:val="00A97952"/>
    <w:rsid w:val="00AA0175"/>
    <w:rsid w:val="00AA0780"/>
    <w:rsid w:val="00AA0952"/>
    <w:rsid w:val="00AA0A65"/>
    <w:rsid w:val="00AA1E14"/>
    <w:rsid w:val="00AA3302"/>
    <w:rsid w:val="00AA37B2"/>
    <w:rsid w:val="00AA408C"/>
    <w:rsid w:val="00AA6429"/>
    <w:rsid w:val="00AA6977"/>
    <w:rsid w:val="00AA71BF"/>
    <w:rsid w:val="00AA73E2"/>
    <w:rsid w:val="00AB064C"/>
    <w:rsid w:val="00AB1C65"/>
    <w:rsid w:val="00AB1FFC"/>
    <w:rsid w:val="00AB2447"/>
    <w:rsid w:val="00AB3C5A"/>
    <w:rsid w:val="00AB3FDF"/>
    <w:rsid w:val="00AB5343"/>
    <w:rsid w:val="00AB75BA"/>
    <w:rsid w:val="00AC094E"/>
    <w:rsid w:val="00AC0B09"/>
    <w:rsid w:val="00AC0DDB"/>
    <w:rsid w:val="00AC0E5D"/>
    <w:rsid w:val="00AC2769"/>
    <w:rsid w:val="00AC3D8F"/>
    <w:rsid w:val="00AC44A8"/>
    <w:rsid w:val="00AC5051"/>
    <w:rsid w:val="00AC528A"/>
    <w:rsid w:val="00AC5D14"/>
    <w:rsid w:val="00AD2B6D"/>
    <w:rsid w:val="00AD4B04"/>
    <w:rsid w:val="00AD53EA"/>
    <w:rsid w:val="00AD66BE"/>
    <w:rsid w:val="00AD6A29"/>
    <w:rsid w:val="00AD6B54"/>
    <w:rsid w:val="00AD7871"/>
    <w:rsid w:val="00AE0D19"/>
    <w:rsid w:val="00AE4564"/>
    <w:rsid w:val="00AE47FB"/>
    <w:rsid w:val="00AE4A35"/>
    <w:rsid w:val="00AE4D51"/>
    <w:rsid w:val="00AE616F"/>
    <w:rsid w:val="00AE636B"/>
    <w:rsid w:val="00AE70FD"/>
    <w:rsid w:val="00AE717C"/>
    <w:rsid w:val="00AE71CC"/>
    <w:rsid w:val="00AE7799"/>
    <w:rsid w:val="00AF16A6"/>
    <w:rsid w:val="00AF1C2E"/>
    <w:rsid w:val="00AF2125"/>
    <w:rsid w:val="00AF2B41"/>
    <w:rsid w:val="00AF3AA1"/>
    <w:rsid w:val="00AF6181"/>
    <w:rsid w:val="00AF6CB6"/>
    <w:rsid w:val="00AF70DA"/>
    <w:rsid w:val="00AF7558"/>
    <w:rsid w:val="00AF7645"/>
    <w:rsid w:val="00B006AA"/>
    <w:rsid w:val="00B013C5"/>
    <w:rsid w:val="00B03427"/>
    <w:rsid w:val="00B04475"/>
    <w:rsid w:val="00B07722"/>
    <w:rsid w:val="00B07FFA"/>
    <w:rsid w:val="00B10352"/>
    <w:rsid w:val="00B10FCC"/>
    <w:rsid w:val="00B110AF"/>
    <w:rsid w:val="00B1171B"/>
    <w:rsid w:val="00B1219F"/>
    <w:rsid w:val="00B12A1F"/>
    <w:rsid w:val="00B13710"/>
    <w:rsid w:val="00B13AB0"/>
    <w:rsid w:val="00B142FB"/>
    <w:rsid w:val="00B15E18"/>
    <w:rsid w:val="00B161D2"/>
    <w:rsid w:val="00B17A2A"/>
    <w:rsid w:val="00B17ACF"/>
    <w:rsid w:val="00B21950"/>
    <w:rsid w:val="00B2250F"/>
    <w:rsid w:val="00B22AAD"/>
    <w:rsid w:val="00B233D8"/>
    <w:rsid w:val="00B27573"/>
    <w:rsid w:val="00B27C91"/>
    <w:rsid w:val="00B27C9C"/>
    <w:rsid w:val="00B3018B"/>
    <w:rsid w:val="00B32CDA"/>
    <w:rsid w:val="00B32DDB"/>
    <w:rsid w:val="00B332E3"/>
    <w:rsid w:val="00B351D8"/>
    <w:rsid w:val="00B35270"/>
    <w:rsid w:val="00B352D9"/>
    <w:rsid w:val="00B358EB"/>
    <w:rsid w:val="00B35F08"/>
    <w:rsid w:val="00B37A4B"/>
    <w:rsid w:val="00B42165"/>
    <w:rsid w:val="00B42218"/>
    <w:rsid w:val="00B422D9"/>
    <w:rsid w:val="00B42B5A"/>
    <w:rsid w:val="00B44038"/>
    <w:rsid w:val="00B44BC2"/>
    <w:rsid w:val="00B44F2D"/>
    <w:rsid w:val="00B45D0A"/>
    <w:rsid w:val="00B45EDA"/>
    <w:rsid w:val="00B47606"/>
    <w:rsid w:val="00B50558"/>
    <w:rsid w:val="00B50A48"/>
    <w:rsid w:val="00B52E07"/>
    <w:rsid w:val="00B533E0"/>
    <w:rsid w:val="00B54D6F"/>
    <w:rsid w:val="00B55615"/>
    <w:rsid w:val="00B57F12"/>
    <w:rsid w:val="00B60298"/>
    <w:rsid w:val="00B60319"/>
    <w:rsid w:val="00B6224C"/>
    <w:rsid w:val="00B62440"/>
    <w:rsid w:val="00B626BE"/>
    <w:rsid w:val="00B63371"/>
    <w:rsid w:val="00B638BB"/>
    <w:rsid w:val="00B63947"/>
    <w:rsid w:val="00B644AE"/>
    <w:rsid w:val="00B64E76"/>
    <w:rsid w:val="00B66A00"/>
    <w:rsid w:val="00B70E09"/>
    <w:rsid w:val="00B7139F"/>
    <w:rsid w:val="00B72C3B"/>
    <w:rsid w:val="00B72E06"/>
    <w:rsid w:val="00B730BA"/>
    <w:rsid w:val="00B74B98"/>
    <w:rsid w:val="00B75F85"/>
    <w:rsid w:val="00B76B42"/>
    <w:rsid w:val="00B778CF"/>
    <w:rsid w:val="00B807A5"/>
    <w:rsid w:val="00B81375"/>
    <w:rsid w:val="00B81D54"/>
    <w:rsid w:val="00B835BB"/>
    <w:rsid w:val="00B83F62"/>
    <w:rsid w:val="00B845D3"/>
    <w:rsid w:val="00B85201"/>
    <w:rsid w:val="00B873B0"/>
    <w:rsid w:val="00B87479"/>
    <w:rsid w:val="00B87B69"/>
    <w:rsid w:val="00B87D00"/>
    <w:rsid w:val="00B87D53"/>
    <w:rsid w:val="00B93574"/>
    <w:rsid w:val="00B93A89"/>
    <w:rsid w:val="00B93B12"/>
    <w:rsid w:val="00B943D6"/>
    <w:rsid w:val="00B94FD5"/>
    <w:rsid w:val="00B9536B"/>
    <w:rsid w:val="00B95D7B"/>
    <w:rsid w:val="00B95EE7"/>
    <w:rsid w:val="00B9651E"/>
    <w:rsid w:val="00B96A0B"/>
    <w:rsid w:val="00BA01A6"/>
    <w:rsid w:val="00BA2049"/>
    <w:rsid w:val="00BA3E19"/>
    <w:rsid w:val="00BA474C"/>
    <w:rsid w:val="00BA50BE"/>
    <w:rsid w:val="00BA56D3"/>
    <w:rsid w:val="00BA606E"/>
    <w:rsid w:val="00BA64E2"/>
    <w:rsid w:val="00BA6535"/>
    <w:rsid w:val="00BA6A89"/>
    <w:rsid w:val="00BA6F63"/>
    <w:rsid w:val="00BA7131"/>
    <w:rsid w:val="00BA7FAC"/>
    <w:rsid w:val="00BB03C4"/>
    <w:rsid w:val="00BB0FA9"/>
    <w:rsid w:val="00BB38AA"/>
    <w:rsid w:val="00BB391A"/>
    <w:rsid w:val="00BB4F51"/>
    <w:rsid w:val="00BB5E5E"/>
    <w:rsid w:val="00BB66E9"/>
    <w:rsid w:val="00BB721F"/>
    <w:rsid w:val="00BB7F3E"/>
    <w:rsid w:val="00BC0181"/>
    <w:rsid w:val="00BC0E10"/>
    <w:rsid w:val="00BC1AE8"/>
    <w:rsid w:val="00BC1FB7"/>
    <w:rsid w:val="00BC23C8"/>
    <w:rsid w:val="00BC27FB"/>
    <w:rsid w:val="00BC39FC"/>
    <w:rsid w:val="00BC3D5C"/>
    <w:rsid w:val="00BC4A46"/>
    <w:rsid w:val="00BC4EBB"/>
    <w:rsid w:val="00BC5771"/>
    <w:rsid w:val="00BC61A3"/>
    <w:rsid w:val="00BD02B5"/>
    <w:rsid w:val="00BD2FDE"/>
    <w:rsid w:val="00BD3539"/>
    <w:rsid w:val="00BD6D9C"/>
    <w:rsid w:val="00BD76F1"/>
    <w:rsid w:val="00BD794E"/>
    <w:rsid w:val="00BE0701"/>
    <w:rsid w:val="00BE16D9"/>
    <w:rsid w:val="00BE27FD"/>
    <w:rsid w:val="00BE2C75"/>
    <w:rsid w:val="00BE46C6"/>
    <w:rsid w:val="00BE58F9"/>
    <w:rsid w:val="00BE5922"/>
    <w:rsid w:val="00BE5FEC"/>
    <w:rsid w:val="00BE654A"/>
    <w:rsid w:val="00BE7D92"/>
    <w:rsid w:val="00BE7E69"/>
    <w:rsid w:val="00BE7FE4"/>
    <w:rsid w:val="00BF0F66"/>
    <w:rsid w:val="00BF294C"/>
    <w:rsid w:val="00BF39C0"/>
    <w:rsid w:val="00BF4FFC"/>
    <w:rsid w:val="00BF5027"/>
    <w:rsid w:val="00BF5D4C"/>
    <w:rsid w:val="00BF605B"/>
    <w:rsid w:val="00BF7039"/>
    <w:rsid w:val="00BF7274"/>
    <w:rsid w:val="00BF7460"/>
    <w:rsid w:val="00C0039D"/>
    <w:rsid w:val="00C00560"/>
    <w:rsid w:val="00C011D6"/>
    <w:rsid w:val="00C012BA"/>
    <w:rsid w:val="00C01433"/>
    <w:rsid w:val="00C01717"/>
    <w:rsid w:val="00C01C1C"/>
    <w:rsid w:val="00C01E83"/>
    <w:rsid w:val="00C01ED5"/>
    <w:rsid w:val="00C025B7"/>
    <w:rsid w:val="00C02700"/>
    <w:rsid w:val="00C05363"/>
    <w:rsid w:val="00C057A8"/>
    <w:rsid w:val="00C06197"/>
    <w:rsid w:val="00C0765A"/>
    <w:rsid w:val="00C100B5"/>
    <w:rsid w:val="00C10D21"/>
    <w:rsid w:val="00C11A22"/>
    <w:rsid w:val="00C11AAF"/>
    <w:rsid w:val="00C12B23"/>
    <w:rsid w:val="00C13B2C"/>
    <w:rsid w:val="00C13B3E"/>
    <w:rsid w:val="00C144C6"/>
    <w:rsid w:val="00C14637"/>
    <w:rsid w:val="00C1554E"/>
    <w:rsid w:val="00C20882"/>
    <w:rsid w:val="00C210A9"/>
    <w:rsid w:val="00C21368"/>
    <w:rsid w:val="00C22F31"/>
    <w:rsid w:val="00C23680"/>
    <w:rsid w:val="00C24E1B"/>
    <w:rsid w:val="00C26D19"/>
    <w:rsid w:val="00C271F5"/>
    <w:rsid w:val="00C3014E"/>
    <w:rsid w:val="00C308CB"/>
    <w:rsid w:val="00C308F6"/>
    <w:rsid w:val="00C3129D"/>
    <w:rsid w:val="00C31579"/>
    <w:rsid w:val="00C31602"/>
    <w:rsid w:val="00C31D8E"/>
    <w:rsid w:val="00C3273D"/>
    <w:rsid w:val="00C32D5D"/>
    <w:rsid w:val="00C33DD7"/>
    <w:rsid w:val="00C34DAE"/>
    <w:rsid w:val="00C350C8"/>
    <w:rsid w:val="00C3562F"/>
    <w:rsid w:val="00C35DAA"/>
    <w:rsid w:val="00C36418"/>
    <w:rsid w:val="00C36779"/>
    <w:rsid w:val="00C36B1A"/>
    <w:rsid w:val="00C40849"/>
    <w:rsid w:val="00C42A8F"/>
    <w:rsid w:val="00C43740"/>
    <w:rsid w:val="00C43853"/>
    <w:rsid w:val="00C45231"/>
    <w:rsid w:val="00C454BB"/>
    <w:rsid w:val="00C4601D"/>
    <w:rsid w:val="00C46C70"/>
    <w:rsid w:val="00C47AF0"/>
    <w:rsid w:val="00C50102"/>
    <w:rsid w:val="00C504F2"/>
    <w:rsid w:val="00C517A1"/>
    <w:rsid w:val="00C51D95"/>
    <w:rsid w:val="00C53197"/>
    <w:rsid w:val="00C56778"/>
    <w:rsid w:val="00C56DC3"/>
    <w:rsid w:val="00C6027A"/>
    <w:rsid w:val="00C607C1"/>
    <w:rsid w:val="00C60DAD"/>
    <w:rsid w:val="00C60E86"/>
    <w:rsid w:val="00C619B5"/>
    <w:rsid w:val="00C62270"/>
    <w:rsid w:val="00C623F2"/>
    <w:rsid w:val="00C62498"/>
    <w:rsid w:val="00C63A3B"/>
    <w:rsid w:val="00C64BEE"/>
    <w:rsid w:val="00C65284"/>
    <w:rsid w:val="00C659AB"/>
    <w:rsid w:val="00C65D56"/>
    <w:rsid w:val="00C6628C"/>
    <w:rsid w:val="00C66462"/>
    <w:rsid w:val="00C67126"/>
    <w:rsid w:val="00C67A1F"/>
    <w:rsid w:val="00C67FFC"/>
    <w:rsid w:val="00C70013"/>
    <w:rsid w:val="00C70E5C"/>
    <w:rsid w:val="00C7382E"/>
    <w:rsid w:val="00C73F0D"/>
    <w:rsid w:val="00C75145"/>
    <w:rsid w:val="00C80D84"/>
    <w:rsid w:val="00C80F64"/>
    <w:rsid w:val="00C81AD6"/>
    <w:rsid w:val="00C8213C"/>
    <w:rsid w:val="00C8294E"/>
    <w:rsid w:val="00C83ABB"/>
    <w:rsid w:val="00C845D6"/>
    <w:rsid w:val="00C86169"/>
    <w:rsid w:val="00C90C56"/>
    <w:rsid w:val="00C91B80"/>
    <w:rsid w:val="00C94C98"/>
    <w:rsid w:val="00C95BB9"/>
    <w:rsid w:val="00C95FEF"/>
    <w:rsid w:val="00C9619A"/>
    <w:rsid w:val="00C97D9A"/>
    <w:rsid w:val="00CA08ED"/>
    <w:rsid w:val="00CA1E99"/>
    <w:rsid w:val="00CA2C2D"/>
    <w:rsid w:val="00CA32D5"/>
    <w:rsid w:val="00CA440B"/>
    <w:rsid w:val="00CA4DF7"/>
    <w:rsid w:val="00CA58C5"/>
    <w:rsid w:val="00CA6C3E"/>
    <w:rsid w:val="00CA751D"/>
    <w:rsid w:val="00CB1860"/>
    <w:rsid w:val="00CB2AE5"/>
    <w:rsid w:val="00CB3EC1"/>
    <w:rsid w:val="00CB402F"/>
    <w:rsid w:val="00CB4546"/>
    <w:rsid w:val="00CB6294"/>
    <w:rsid w:val="00CB7A34"/>
    <w:rsid w:val="00CB7D01"/>
    <w:rsid w:val="00CB7F46"/>
    <w:rsid w:val="00CC0684"/>
    <w:rsid w:val="00CC2E7B"/>
    <w:rsid w:val="00CC53BF"/>
    <w:rsid w:val="00CC597E"/>
    <w:rsid w:val="00CC6F74"/>
    <w:rsid w:val="00CC7911"/>
    <w:rsid w:val="00CD0715"/>
    <w:rsid w:val="00CD0DA4"/>
    <w:rsid w:val="00CD2FF0"/>
    <w:rsid w:val="00CD4398"/>
    <w:rsid w:val="00CD4E5E"/>
    <w:rsid w:val="00CD571E"/>
    <w:rsid w:val="00CD5AD5"/>
    <w:rsid w:val="00CD60DC"/>
    <w:rsid w:val="00CD6C5C"/>
    <w:rsid w:val="00CD7B44"/>
    <w:rsid w:val="00CE0631"/>
    <w:rsid w:val="00CE2180"/>
    <w:rsid w:val="00CE2533"/>
    <w:rsid w:val="00CE2685"/>
    <w:rsid w:val="00CE2C9D"/>
    <w:rsid w:val="00CE4FE2"/>
    <w:rsid w:val="00CE5469"/>
    <w:rsid w:val="00CE588C"/>
    <w:rsid w:val="00CE687C"/>
    <w:rsid w:val="00CE6B10"/>
    <w:rsid w:val="00CE6EEA"/>
    <w:rsid w:val="00CE7BEB"/>
    <w:rsid w:val="00CE7EC2"/>
    <w:rsid w:val="00CF0406"/>
    <w:rsid w:val="00CF2053"/>
    <w:rsid w:val="00CF2EBE"/>
    <w:rsid w:val="00CF3231"/>
    <w:rsid w:val="00CF37B2"/>
    <w:rsid w:val="00CF4857"/>
    <w:rsid w:val="00CF4F9A"/>
    <w:rsid w:val="00CF5714"/>
    <w:rsid w:val="00CF7203"/>
    <w:rsid w:val="00CF7B50"/>
    <w:rsid w:val="00CF7DEB"/>
    <w:rsid w:val="00D00142"/>
    <w:rsid w:val="00D009DD"/>
    <w:rsid w:val="00D016D1"/>
    <w:rsid w:val="00D0288E"/>
    <w:rsid w:val="00D04046"/>
    <w:rsid w:val="00D04D26"/>
    <w:rsid w:val="00D04F3D"/>
    <w:rsid w:val="00D05BBA"/>
    <w:rsid w:val="00D06817"/>
    <w:rsid w:val="00D076A8"/>
    <w:rsid w:val="00D12A94"/>
    <w:rsid w:val="00D13B4C"/>
    <w:rsid w:val="00D16121"/>
    <w:rsid w:val="00D1721B"/>
    <w:rsid w:val="00D20076"/>
    <w:rsid w:val="00D20610"/>
    <w:rsid w:val="00D20D02"/>
    <w:rsid w:val="00D20DDE"/>
    <w:rsid w:val="00D216E5"/>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8D7"/>
    <w:rsid w:val="00D56A85"/>
    <w:rsid w:val="00D60AD4"/>
    <w:rsid w:val="00D624A6"/>
    <w:rsid w:val="00D627CD"/>
    <w:rsid w:val="00D62C0A"/>
    <w:rsid w:val="00D63840"/>
    <w:rsid w:val="00D643EF"/>
    <w:rsid w:val="00D6508E"/>
    <w:rsid w:val="00D65BD2"/>
    <w:rsid w:val="00D65C31"/>
    <w:rsid w:val="00D66709"/>
    <w:rsid w:val="00D66A47"/>
    <w:rsid w:val="00D67B1A"/>
    <w:rsid w:val="00D71D83"/>
    <w:rsid w:val="00D71DE7"/>
    <w:rsid w:val="00D72E4D"/>
    <w:rsid w:val="00D73312"/>
    <w:rsid w:val="00D7348B"/>
    <w:rsid w:val="00D73CD7"/>
    <w:rsid w:val="00D762B9"/>
    <w:rsid w:val="00D76B8E"/>
    <w:rsid w:val="00D76E48"/>
    <w:rsid w:val="00D77442"/>
    <w:rsid w:val="00D80857"/>
    <w:rsid w:val="00D81239"/>
    <w:rsid w:val="00D817F1"/>
    <w:rsid w:val="00D81B3B"/>
    <w:rsid w:val="00D81C0D"/>
    <w:rsid w:val="00D8489D"/>
    <w:rsid w:val="00D85697"/>
    <w:rsid w:val="00D862A9"/>
    <w:rsid w:val="00D86F68"/>
    <w:rsid w:val="00D87F63"/>
    <w:rsid w:val="00D90865"/>
    <w:rsid w:val="00D92D57"/>
    <w:rsid w:val="00D94356"/>
    <w:rsid w:val="00D9460F"/>
    <w:rsid w:val="00D9488E"/>
    <w:rsid w:val="00D94ABA"/>
    <w:rsid w:val="00D95483"/>
    <w:rsid w:val="00D95927"/>
    <w:rsid w:val="00D95A5D"/>
    <w:rsid w:val="00D95D10"/>
    <w:rsid w:val="00D96491"/>
    <w:rsid w:val="00D97CF1"/>
    <w:rsid w:val="00D97DF4"/>
    <w:rsid w:val="00DA162C"/>
    <w:rsid w:val="00DA1CCA"/>
    <w:rsid w:val="00DA202E"/>
    <w:rsid w:val="00DA2505"/>
    <w:rsid w:val="00DA3B8A"/>
    <w:rsid w:val="00DA6061"/>
    <w:rsid w:val="00DA61E5"/>
    <w:rsid w:val="00DB1F7A"/>
    <w:rsid w:val="00DB2A3A"/>
    <w:rsid w:val="00DB2EB9"/>
    <w:rsid w:val="00DB3F35"/>
    <w:rsid w:val="00DB45B6"/>
    <w:rsid w:val="00DB62F1"/>
    <w:rsid w:val="00DB787C"/>
    <w:rsid w:val="00DB7E49"/>
    <w:rsid w:val="00DC0879"/>
    <w:rsid w:val="00DC173A"/>
    <w:rsid w:val="00DC1742"/>
    <w:rsid w:val="00DC1A00"/>
    <w:rsid w:val="00DC22B8"/>
    <w:rsid w:val="00DC38C2"/>
    <w:rsid w:val="00DC420C"/>
    <w:rsid w:val="00DC4394"/>
    <w:rsid w:val="00DC43BC"/>
    <w:rsid w:val="00DC4910"/>
    <w:rsid w:val="00DC4A69"/>
    <w:rsid w:val="00DC4A7D"/>
    <w:rsid w:val="00DC4B7C"/>
    <w:rsid w:val="00DC528C"/>
    <w:rsid w:val="00DC52C8"/>
    <w:rsid w:val="00DC71B1"/>
    <w:rsid w:val="00DD0D57"/>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4EFB"/>
    <w:rsid w:val="00DF57DD"/>
    <w:rsid w:val="00DF586F"/>
    <w:rsid w:val="00DF5A23"/>
    <w:rsid w:val="00DF6A6F"/>
    <w:rsid w:val="00E01931"/>
    <w:rsid w:val="00E01E87"/>
    <w:rsid w:val="00E043ED"/>
    <w:rsid w:val="00E04E44"/>
    <w:rsid w:val="00E04EF7"/>
    <w:rsid w:val="00E05345"/>
    <w:rsid w:val="00E05372"/>
    <w:rsid w:val="00E05D4B"/>
    <w:rsid w:val="00E06146"/>
    <w:rsid w:val="00E06528"/>
    <w:rsid w:val="00E06823"/>
    <w:rsid w:val="00E06A60"/>
    <w:rsid w:val="00E06B8F"/>
    <w:rsid w:val="00E07317"/>
    <w:rsid w:val="00E075AA"/>
    <w:rsid w:val="00E0797D"/>
    <w:rsid w:val="00E07D11"/>
    <w:rsid w:val="00E11EC4"/>
    <w:rsid w:val="00E13074"/>
    <w:rsid w:val="00E13397"/>
    <w:rsid w:val="00E14403"/>
    <w:rsid w:val="00E14ABF"/>
    <w:rsid w:val="00E14C16"/>
    <w:rsid w:val="00E162CE"/>
    <w:rsid w:val="00E16EA5"/>
    <w:rsid w:val="00E213EC"/>
    <w:rsid w:val="00E21679"/>
    <w:rsid w:val="00E2180E"/>
    <w:rsid w:val="00E22149"/>
    <w:rsid w:val="00E22EB0"/>
    <w:rsid w:val="00E2301D"/>
    <w:rsid w:val="00E24A77"/>
    <w:rsid w:val="00E25B59"/>
    <w:rsid w:val="00E2748A"/>
    <w:rsid w:val="00E307DD"/>
    <w:rsid w:val="00E31AA8"/>
    <w:rsid w:val="00E31EFA"/>
    <w:rsid w:val="00E32319"/>
    <w:rsid w:val="00E3264B"/>
    <w:rsid w:val="00E32696"/>
    <w:rsid w:val="00E35C96"/>
    <w:rsid w:val="00E36686"/>
    <w:rsid w:val="00E37AE1"/>
    <w:rsid w:val="00E439ED"/>
    <w:rsid w:val="00E446D5"/>
    <w:rsid w:val="00E44D66"/>
    <w:rsid w:val="00E46845"/>
    <w:rsid w:val="00E46D80"/>
    <w:rsid w:val="00E477C3"/>
    <w:rsid w:val="00E52CCD"/>
    <w:rsid w:val="00E53420"/>
    <w:rsid w:val="00E556A0"/>
    <w:rsid w:val="00E601E8"/>
    <w:rsid w:val="00E60F1E"/>
    <w:rsid w:val="00E61403"/>
    <w:rsid w:val="00E614F4"/>
    <w:rsid w:val="00E61722"/>
    <w:rsid w:val="00E621AB"/>
    <w:rsid w:val="00E633D8"/>
    <w:rsid w:val="00E64170"/>
    <w:rsid w:val="00E6496A"/>
    <w:rsid w:val="00E6627C"/>
    <w:rsid w:val="00E66858"/>
    <w:rsid w:val="00E66A97"/>
    <w:rsid w:val="00E700A8"/>
    <w:rsid w:val="00E71100"/>
    <w:rsid w:val="00E74A59"/>
    <w:rsid w:val="00E75300"/>
    <w:rsid w:val="00E75EC4"/>
    <w:rsid w:val="00E76009"/>
    <w:rsid w:val="00E7635C"/>
    <w:rsid w:val="00E77EF7"/>
    <w:rsid w:val="00E77FC9"/>
    <w:rsid w:val="00E8228B"/>
    <w:rsid w:val="00E8247B"/>
    <w:rsid w:val="00E845BB"/>
    <w:rsid w:val="00E84F73"/>
    <w:rsid w:val="00E85AAD"/>
    <w:rsid w:val="00E87196"/>
    <w:rsid w:val="00E90629"/>
    <w:rsid w:val="00E90E97"/>
    <w:rsid w:val="00E90FE6"/>
    <w:rsid w:val="00E91309"/>
    <w:rsid w:val="00E921AB"/>
    <w:rsid w:val="00E958E7"/>
    <w:rsid w:val="00E96A76"/>
    <w:rsid w:val="00EA03F3"/>
    <w:rsid w:val="00EA1227"/>
    <w:rsid w:val="00EA2570"/>
    <w:rsid w:val="00EA3133"/>
    <w:rsid w:val="00EA4487"/>
    <w:rsid w:val="00EA4CE9"/>
    <w:rsid w:val="00EA5B91"/>
    <w:rsid w:val="00EA5F4D"/>
    <w:rsid w:val="00EA609A"/>
    <w:rsid w:val="00EA6709"/>
    <w:rsid w:val="00EA78BD"/>
    <w:rsid w:val="00EB0375"/>
    <w:rsid w:val="00EB0872"/>
    <w:rsid w:val="00EB0CB8"/>
    <w:rsid w:val="00EB2070"/>
    <w:rsid w:val="00EB2CCF"/>
    <w:rsid w:val="00EB384D"/>
    <w:rsid w:val="00EB3EC6"/>
    <w:rsid w:val="00EB4022"/>
    <w:rsid w:val="00EB462B"/>
    <w:rsid w:val="00EB4BD7"/>
    <w:rsid w:val="00EB5874"/>
    <w:rsid w:val="00EB62C5"/>
    <w:rsid w:val="00EC220B"/>
    <w:rsid w:val="00EC32DA"/>
    <w:rsid w:val="00EC432A"/>
    <w:rsid w:val="00EC60BA"/>
    <w:rsid w:val="00EC65B2"/>
    <w:rsid w:val="00EC6979"/>
    <w:rsid w:val="00EC6FDB"/>
    <w:rsid w:val="00EC7DB6"/>
    <w:rsid w:val="00ED0AAB"/>
    <w:rsid w:val="00ED0CC7"/>
    <w:rsid w:val="00ED1A75"/>
    <w:rsid w:val="00ED1ED0"/>
    <w:rsid w:val="00ED234A"/>
    <w:rsid w:val="00ED2B9C"/>
    <w:rsid w:val="00ED3041"/>
    <w:rsid w:val="00ED3594"/>
    <w:rsid w:val="00ED38F3"/>
    <w:rsid w:val="00ED4734"/>
    <w:rsid w:val="00ED7C96"/>
    <w:rsid w:val="00ED7CDA"/>
    <w:rsid w:val="00EE0900"/>
    <w:rsid w:val="00EE0DE0"/>
    <w:rsid w:val="00EE1E11"/>
    <w:rsid w:val="00EE2907"/>
    <w:rsid w:val="00EE37E5"/>
    <w:rsid w:val="00EE3B08"/>
    <w:rsid w:val="00EE534B"/>
    <w:rsid w:val="00EE53D1"/>
    <w:rsid w:val="00EE701F"/>
    <w:rsid w:val="00EE730C"/>
    <w:rsid w:val="00EE770E"/>
    <w:rsid w:val="00EE7D7F"/>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06F72"/>
    <w:rsid w:val="00F11962"/>
    <w:rsid w:val="00F11B0E"/>
    <w:rsid w:val="00F122F1"/>
    <w:rsid w:val="00F12968"/>
    <w:rsid w:val="00F12FC0"/>
    <w:rsid w:val="00F13A5D"/>
    <w:rsid w:val="00F13A7E"/>
    <w:rsid w:val="00F143DA"/>
    <w:rsid w:val="00F1456D"/>
    <w:rsid w:val="00F149C2"/>
    <w:rsid w:val="00F16910"/>
    <w:rsid w:val="00F179F9"/>
    <w:rsid w:val="00F204EB"/>
    <w:rsid w:val="00F20C70"/>
    <w:rsid w:val="00F21791"/>
    <w:rsid w:val="00F21DAB"/>
    <w:rsid w:val="00F229B4"/>
    <w:rsid w:val="00F23CCD"/>
    <w:rsid w:val="00F24079"/>
    <w:rsid w:val="00F24646"/>
    <w:rsid w:val="00F259A5"/>
    <w:rsid w:val="00F27399"/>
    <w:rsid w:val="00F274F8"/>
    <w:rsid w:val="00F275ED"/>
    <w:rsid w:val="00F30563"/>
    <w:rsid w:val="00F3147D"/>
    <w:rsid w:val="00F31A64"/>
    <w:rsid w:val="00F31CD4"/>
    <w:rsid w:val="00F322E9"/>
    <w:rsid w:val="00F3319E"/>
    <w:rsid w:val="00F33F95"/>
    <w:rsid w:val="00F348CD"/>
    <w:rsid w:val="00F359CA"/>
    <w:rsid w:val="00F3660F"/>
    <w:rsid w:val="00F369D0"/>
    <w:rsid w:val="00F370D1"/>
    <w:rsid w:val="00F37D0B"/>
    <w:rsid w:val="00F4231D"/>
    <w:rsid w:val="00F42923"/>
    <w:rsid w:val="00F43181"/>
    <w:rsid w:val="00F477BB"/>
    <w:rsid w:val="00F478FA"/>
    <w:rsid w:val="00F47E3F"/>
    <w:rsid w:val="00F51720"/>
    <w:rsid w:val="00F51BE0"/>
    <w:rsid w:val="00F520AA"/>
    <w:rsid w:val="00F52AA6"/>
    <w:rsid w:val="00F537CC"/>
    <w:rsid w:val="00F538BB"/>
    <w:rsid w:val="00F53DBD"/>
    <w:rsid w:val="00F5461D"/>
    <w:rsid w:val="00F554A1"/>
    <w:rsid w:val="00F56071"/>
    <w:rsid w:val="00F57687"/>
    <w:rsid w:val="00F57B2F"/>
    <w:rsid w:val="00F6072C"/>
    <w:rsid w:val="00F612BD"/>
    <w:rsid w:val="00F6153A"/>
    <w:rsid w:val="00F63CBA"/>
    <w:rsid w:val="00F64E63"/>
    <w:rsid w:val="00F653F1"/>
    <w:rsid w:val="00F65983"/>
    <w:rsid w:val="00F674D2"/>
    <w:rsid w:val="00F67D21"/>
    <w:rsid w:val="00F67FB6"/>
    <w:rsid w:val="00F70281"/>
    <w:rsid w:val="00F712D3"/>
    <w:rsid w:val="00F71FB8"/>
    <w:rsid w:val="00F72119"/>
    <w:rsid w:val="00F7309A"/>
    <w:rsid w:val="00F735CA"/>
    <w:rsid w:val="00F73BFE"/>
    <w:rsid w:val="00F73DE4"/>
    <w:rsid w:val="00F744BE"/>
    <w:rsid w:val="00F74A55"/>
    <w:rsid w:val="00F75135"/>
    <w:rsid w:val="00F753CA"/>
    <w:rsid w:val="00F77C6F"/>
    <w:rsid w:val="00F81071"/>
    <w:rsid w:val="00F817BF"/>
    <w:rsid w:val="00F81836"/>
    <w:rsid w:val="00F81B4A"/>
    <w:rsid w:val="00F81F09"/>
    <w:rsid w:val="00F8329E"/>
    <w:rsid w:val="00F83FAF"/>
    <w:rsid w:val="00F84A9D"/>
    <w:rsid w:val="00F862D0"/>
    <w:rsid w:val="00F8674A"/>
    <w:rsid w:val="00F9013F"/>
    <w:rsid w:val="00F90469"/>
    <w:rsid w:val="00F9213C"/>
    <w:rsid w:val="00F92351"/>
    <w:rsid w:val="00F92426"/>
    <w:rsid w:val="00F92AA0"/>
    <w:rsid w:val="00F95A50"/>
    <w:rsid w:val="00F971E0"/>
    <w:rsid w:val="00F9772E"/>
    <w:rsid w:val="00FA0437"/>
    <w:rsid w:val="00FA17AC"/>
    <w:rsid w:val="00FA1A74"/>
    <w:rsid w:val="00FA1D3B"/>
    <w:rsid w:val="00FA3229"/>
    <w:rsid w:val="00FA35ED"/>
    <w:rsid w:val="00FA3D87"/>
    <w:rsid w:val="00FA542A"/>
    <w:rsid w:val="00FA56B6"/>
    <w:rsid w:val="00FA6395"/>
    <w:rsid w:val="00FA755A"/>
    <w:rsid w:val="00FA7F57"/>
    <w:rsid w:val="00FB0535"/>
    <w:rsid w:val="00FB1646"/>
    <w:rsid w:val="00FB4BEB"/>
    <w:rsid w:val="00FB4C42"/>
    <w:rsid w:val="00FB4FA3"/>
    <w:rsid w:val="00FB54CE"/>
    <w:rsid w:val="00FB5915"/>
    <w:rsid w:val="00FB6545"/>
    <w:rsid w:val="00FB6B23"/>
    <w:rsid w:val="00FC0510"/>
    <w:rsid w:val="00FC0706"/>
    <w:rsid w:val="00FC0D54"/>
    <w:rsid w:val="00FC1BF1"/>
    <w:rsid w:val="00FC2EEA"/>
    <w:rsid w:val="00FC46AA"/>
    <w:rsid w:val="00FC498C"/>
    <w:rsid w:val="00FC587B"/>
    <w:rsid w:val="00FC5C22"/>
    <w:rsid w:val="00FC7820"/>
    <w:rsid w:val="00FC7C7A"/>
    <w:rsid w:val="00FD129F"/>
    <w:rsid w:val="00FD17DA"/>
    <w:rsid w:val="00FD1B18"/>
    <w:rsid w:val="00FD233A"/>
    <w:rsid w:val="00FD2E87"/>
    <w:rsid w:val="00FD36B2"/>
    <w:rsid w:val="00FD4C53"/>
    <w:rsid w:val="00FD68FC"/>
    <w:rsid w:val="00FD6E06"/>
    <w:rsid w:val="00FD7B60"/>
    <w:rsid w:val="00FE0607"/>
    <w:rsid w:val="00FE0925"/>
    <w:rsid w:val="00FE0C4A"/>
    <w:rsid w:val="00FE104C"/>
    <w:rsid w:val="00FE1933"/>
    <w:rsid w:val="00FE1AD6"/>
    <w:rsid w:val="00FE271B"/>
    <w:rsid w:val="00FE2D4A"/>
    <w:rsid w:val="00FE4BCB"/>
    <w:rsid w:val="00FE61EA"/>
    <w:rsid w:val="00FF0CAE"/>
    <w:rsid w:val="00FF1811"/>
    <w:rsid w:val="00FF20F6"/>
    <w:rsid w:val="00FF240F"/>
    <w:rsid w:val="00FF28F8"/>
    <w:rsid w:val="00FF2947"/>
    <w:rsid w:val="00FF4549"/>
    <w:rsid w:val="00FF45A9"/>
    <w:rsid w:val="00FF5131"/>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6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DF4EFB"/>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DF4EFB"/>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rsid w:val="0021195E"/>
    <w:rPr>
      <w:rFonts w:ascii="Arial Narrow" w:eastAsiaTheme="majorEastAsia" w:hAnsi="Arial Narrow" w:cstheme="majorBidi"/>
      <w:smallCaps/>
      <w:sz w:val="30"/>
      <w:szCs w:val="24"/>
    </w:rPr>
  </w:style>
  <w:style w:type="paragraph" w:styleId="ListParagraph">
    <w:name w:val="List Paragraph"/>
    <w:aliases w:val="List Paragraph1,List Paragraph11,Recommendation,Bullet point,L,1 Recommendation,List Paragraph111,F5 List Paragraph,Dot pt,CV text,Table text,Medium Grid 1 - Accent 21,Numbered Paragraph,List Paragraph2,NFP GP Bulleted List,FooterText,列出段"/>
    <w:basedOn w:val="Normal"/>
    <w:link w:val="ListParagraphChar"/>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nhideWhenUsed/>
    <w:rsid w:val="00713E5C"/>
    <w:pPr>
      <w:spacing w:after="120"/>
      <w:ind w:left="283"/>
    </w:pPr>
  </w:style>
  <w:style w:type="character" w:customStyle="1" w:styleId="BodyTextIndentChar">
    <w:name w:val="Body Text Indent Char"/>
    <w:basedOn w:val="DefaultParagraphFont"/>
    <w:link w:val="BodyTextIndent"/>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nhideWhenUsed/>
    <w:rsid w:val="00713E5C"/>
    <w:pPr>
      <w:spacing w:after="0" w:line="240" w:lineRule="auto"/>
    </w:pPr>
    <w:rPr>
      <w:sz w:val="20"/>
      <w:szCs w:val="20"/>
    </w:rPr>
  </w:style>
  <w:style w:type="character" w:customStyle="1" w:styleId="EndnoteTextChar">
    <w:name w:val="Endnote Text Char"/>
    <w:basedOn w:val="DefaultParagraphFont"/>
    <w:link w:val="EndnoteText"/>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0668C"/>
    <w:pPr>
      <w:keepNext/>
      <w:tabs>
        <w:tab w:val="right" w:leader="dot" w:pos="9061"/>
      </w:tabs>
      <w:spacing w:before="240" w:after="40" w:line="312" w:lineRule="auto"/>
      <w:ind w:left="288" w:hanging="288"/>
    </w:pPr>
    <w:rPr>
      <w:rFonts w:ascii="Calibri" w:eastAsia="Times New Roman" w:hAnsi="Calibri" w:cs="Times New Roman"/>
      <w:bCs/>
      <w:smallCaps/>
      <w:noProof/>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7D6C78"/>
    <w:pPr>
      <w:tabs>
        <w:tab w:val="right" w:leader="dot" w:pos="9016"/>
      </w:tabs>
      <w:spacing w:before="120" w:after="120" w:line="240" w:lineRule="auto"/>
      <w:ind w:left="692"/>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uiPriority w:val="99"/>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uiPriority w:val="99"/>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4"/>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3"/>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19"/>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1"/>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6"/>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4"/>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18"/>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5"/>
      </w:numPr>
    </w:pPr>
  </w:style>
  <w:style w:type="numbering" w:customStyle="1" w:styleId="Style3">
    <w:name w:val="Style3"/>
    <w:rsid w:val="00DF23C5"/>
    <w:pPr>
      <w:numPr>
        <w:numId w:val="20"/>
      </w:numPr>
    </w:pPr>
  </w:style>
  <w:style w:type="numbering" w:customStyle="1" w:styleId="Style2">
    <w:name w:val="Style2"/>
    <w:rsid w:val="00DF23C5"/>
    <w:pPr>
      <w:numPr>
        <w:numId w:val="17"/>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2"/>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 w:type="character" w:customStyle="1" w:styleId="Calibri12">
    <w:name w:val="Calibri 12"/>
    <w:basedOn w:val="DefaultParagraphFont"/>
    <w:uiPriority w:val="1"/>
    <w:qFormat/>
    <w:rsid w:val="00B32DDB"/>
    <w:rPr>
      <w:rFonts w:ascii="Calibri" w:hAnsi="Calibri"/>
      <w:sz w:val="24"/>
    </w:rPr>
  </w:style>
  <w:style w:type="paragraph" w:customStyle="1" w:styleId="ref">
    <w:name w:val="ref"/>
    <w:basedOn w:val="Normal"/>
    <w:next w:val="Normal"/>
    <w:rsid w:val="007E46DC"/>
    <w:pPr>
      <w:spacing w:before="60" w:after="0" w:line="240" w:lineRule="auto"/>
      <w:jc w:val="both"/>
    </w:pPr>
    <w:rPr>
      <w:rFonts w:ascii="Times New Roman" w:eastAsia="Times New Roman" w:hAnsi="Times New Roman" w:cs="Times New Roman"/>
      <w:sz w:val="18"/>
      <w:szCs w:val="20"/>
    </w:rPr>
  </w:style>
  <w:style w:type="paragraph" w:customStyle="1" w:styleId="TableText10">
    <w:name w:val="TableText10"/>
    <w:basedOn w:val="TableText"/>
    <w:rsid w:val="007E46DC"/>
    <w:pPr>
      <w:tabs>
        <w:tab w:val="left" w:pos="0"/>
      </w:tabs>
    </w:pPr>
    <w:rPr>
      <w:sz w:val="20"/>
      <w:szCs w:val="20"/>
    </w:rPr>
  </w:style>
  <w:style w:type="paragraph" w:customStyle="1" w:styleId="TableNumbered">
    <w:name w:val="TableNumbered"/>
    <w:basedOn w:val="TableText10"/>
    <w:qFormat/>
    <w:rsid w:val="007E46DC"/>
    <w:pPr>
      <w:numPr>
        <w:numId w:val="23"/>
      </w:numPr>
    </w:pPr>
  </w:style>
  <w:style w:type="paragraph" w:customStyle="1" w:styleId="Sched-heading">
    <w:name w:val="Sched-heading"/>
    <w:basedOn w:val="Normal"/>
    <w:next w:val="Normal"/>
    <w:rsid w:val="007E46DC"/>
    <w:pPr>
      <w:keepNext/>
      <w:tabs>
        <w:tab w:val="left" w:pos="2600"/>
      </w:tabs>
      <w:spacing w:before="380" w:after="0" w:line="240" w:lineRule="auto"/>
      <w:ind w:left="2600" w:hanging="2600"/>
      <w:outlineLvl w:val="0"/>
    </w:pPr>
    <w:rPr>
      <w:rFonts w:ascii="Arial" w:eastAsia="Times New Roman" w:hAnsi="Arial" w:cs="Times New Roman"/>
      <w:b/>
      <w:sz w:val="34"/>
      <w:szCs w:val="20"/>
    </w:rPr>
  </w:style>
  <w:style w:type="character" w:customStyle="1" w:styleId="CharChapNo">
    <w:name w:val="CharChapNo"/>
    <w:rsid w:val="007E46DC"/>
  </w:style>
  <w:style w:type="character" w:customStyle="1" w:styleId="CharChapText">
    <w:name w:val="CharChapText"/>
    <w:rsid w:val="007E46DC"/>
  </w:style>
  <w:style w:type="paragraph" w:customStyle="1" w:styleId="Calibribody">
    <w:name w:val="Calibri body"/>
    <w:basedOn w:val="AH5Sec"/>
    <w:rsid w:val="00452F37"/>
    <w:pPr>
      <w:tabs>
        <w:tab w:val="clear" w:pos="1100"/>
        <w:tab w:val="left" w:pos="360"/>
        <w:tab w:val="left" w:pos="1440"/>
      </w:tabs>
      <w:spacing w:before="220" w:after="220" w:line="280" w:lineRule="atLeast"/>
      <w:ind w:left="360" w:firstLine="0"/>
    </w:pPr>
    <w:rPr>
      <w:rFonts w:ascii="Calibri" w:hAnsi="Calibri" w:cs="Calibri"/>
      <w:sz w:val="22"/>
      <w:szCs w:val="22"/>
    </w:rPr>
  </w:style>
  <w:style w:type="paragraph" w:customStyle="1" w:styleId="TOCHeading2">
    <w:name w:val="TOC Heading2"/>
    <w:rsid w:val="00AF6CB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character" w:styleId="EndnoteReference">
    <w:name w:val="endnote reference"/>
    <w:rsid w:val="00AF6CB6"/>
    <w:rPr>
      <w:vertAlign w:val="superscript"/>
    </w:rPr>
  </w:style>
  <w:style w:type="paragraph" w:customStyle="1" w:styleId="LongTitle">
    <w:name w:val="LongTitle"/>
    <w:basedOn w:val="Normal"/>
    <w:uiPriority w:val="99"/>
    <w:rsid w:val="001352E7"/>
    <w:pPr>
      <w:spacing w:before="240" w:after="6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List Paragraph1 Char,List Paragraph11 Char,Recommendation Char,Bullet point Char,L Char,1 Recommendation Char,List Paragraph111 Char,F5 List Paragraph Char,Dot pt Char,CV text Char,Table text Char,Medium Grid 1 - Accent 21 Char"/>
    <w:link w:val="ListParagraph"/>
    <w:uiPriority w:val="34"/>
    <w:qFormat/>
    <w:locked/>
    <w:rsid w:val="00A33999"/>
  </w:style>
  <w:style w:type="paragraph" w:customStyle="1" w:styleId="TOCHeading3">
    <w:name w:val="TOC Heading3"/>
    <w:rsid w:val="00A5221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4SL">
    <w:name w:val="Heading 4 SL"/>
    <w:basedOn w:val="Heading5"/>
    <w:qFormat/>
    <w:rsid w:val="00FD129F"/>
  </w:style>
  <w:style w:type="paragraph" w:customStyle="1" w:styleId="PaperTitleIndentLevel2">
    <w:name w:val="PaperTitleIndentLevel2"/>
    <w:basedOn w:val="Normal"/>
    <w:rsid w:val="00B1219F"/>
    <w:pPr>
      <w:spacing w:before="0" w:after="0" w:line="240" w:lineRule="auto"/>
      <w:ind w:left="360"/>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19982341">
      <w:bodyDiv w:val="1"/>
      <w:marLeft w:val="0"/>
      <w:marRight w:val="0"/>
      <w:marTop w:val="0"/>
      <w:marBottom w:val="0"/>
      <w:divBdr>
        <w:top w:val="none" w:sz="0" w:space="0" w:color="auto"/>
        <w:left w:val="none" w:sz="0" w:space="0" w:color="auto"/>
        <w:bottom w:val="none" w:sz="0" w:space="0" w:color="auto"/>
        <w:right w:val="none" w:sz="0" w:space="0" w:color="auto"/>
      </w:divBdr>
    </w:div>
    <w:div w:id="420956008">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79882438">
      <w:bodyDiv w:val="1"/>
      <w:marLeft w:val="0"/>
      <w:marRight w:val="0"/>
      <w:marTop w:val="0"/>
      <w:marBottom w:val="0"/>
      <w:divBdr>
        <w:top w:val="none" w:sz="0" w:space="0" w:color="auto"/>
        <w:left w:val="none" w:sz="0" w:space="0" w:color="auto"/>
        <w:bottom w:val="none" w:sz="0" w:space="0" w:color="auto"/>
        <w:right w:val="none" w:sz="0" w:space="0" w:color="auto"/>
      </w:divBdr>
    </w:div>
    <w:div w:id="486701483">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31591322">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686063177">
      <w:bodyDiv w:val="1"/>
      <w:marLeft w:val="0"/>
      <w:marRight w:val="0"/>
      <w:marTop w:val="0"/>
      <w:marBottom w:val="0"/>
      <w:divBdr>
        <w:top w:val="none" w:sz="0" w:space="0" w:color="auto"/>
        <w:left w:val="none" w:sz="0" w:space="0" w:color="auto"/>
        <w:bottom w:val="none" w:sz="0" w:space="0" w:color="auto"/>
        <w:right w:val="none" w:sz="0" w:space="0" w:color="auto"/>
      </w:divBdr>
    </w:div>
    <w:div w:id="692727364">
      <w:bodyDiv w:val="1"/>
      <w:marLeft w:val="0"/>
      <w:marRight w:val="0"/>
      <w:marTop w:val="0"/>
      <w:marBottom w:val="0"/>
      <w:divBdr>
        <w:top w:val="none" w:sz="0" w:space="0" w:color="auto"/>
        <w:left w:val="none" w:sz="0" w:space="0" w:color="auto"/>
        <w:bottom w:val="none" w:sz="0" w:space="0" w:color="auto"/>
        <w:right w:val="none" w:sz="0" w:space="0" w:color="auto"/>
      </w:divBdr>
    </w:div>
    <w:div w:id="706180489">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01681319">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288389191">
      <w:bodyDiv w:val="1"/>
      <w:marLeft w:val="0"/>
      <w:marRight w:val="0"/>
      <w:marTop w:val="0"/>
      <w:marBottom w:val="0"/>
      <w:divBdr>
        <w:top w:val="none" w:sz="0" w:space="0" w:color="auto"/>
        <w:left w:val="none" w:sz="0" w:space="0" w:color="auto"/>
        <w:bottom w:val="none" w:sz="0" w:space="0" w:color="auto"/>
        <w:right w:val="none" w:sz="0" w:space="0" w:color="auto"/>
      </w:divBdr>
    </w:div>
    <w:div w:id="1297570248">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14529589">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354040578">
      <w:bodyDiv w:val="1"/>
      <w:marLeft w:val="0"/>
      <w:marRight w:val="0"/>
      <w:marTop w:val="0"/>
      <w:marBottom w:val="0"/>
      <w:divBdr>
        <w:top w:val="none" w:sz="0" w:space="0" w:color="auto"/>
        <w:left w:val="none" w:sz="0" w:space="0" w:color="auto"/>
        <w:bottom w:val="none" w:sz="0" w:space="0" w:color="auto"/>
        <w:right w:val="none" w:sz="0" w:space="0" w:color="auto"/>
      </w:divBdr>
    </w:div>
    <w:div w:id="1405562978">
      <w:bodyDiv w:val="1"/>
      <w:marLeft w:val="0"/>
      <w:marRight w:val="0"/>
      <w:marTop w:val="0"/>
      <w:marBottom w:val="0"/>
      <w:divBdr>
        <w:top w:val="none" w:sz="0" w:space="0" w:color="auto"/>
        <w:left w:val="none" w:sz="0" w:space="0" w:color="auto"/>
        <w:bottom w:val="none" w:sz="0" w:space="0" w:color="auto"/>
        <w:right w:val="none" w:sz="0" w:space="0" w:color="auto"/>
      </w:divBdr>
    </w:div>
    <w:div w:id="1413235515">
      <w:bodyDiv w:val="1"/>
      <w:marLeft w:val="0"/>
      <w:marRight w:val="0"/>
      <w:marTop w:val="0"/>
      <w:marBottom w:val="0"/>
      <w:divBdr>
        <w:top w:val="none" w:sz="0" w:space="0" w:color="auto"/>
        <w:left w:val="none" w:sz="0" w:space="0" w:color="auto"/>
        <w:bottom w:val="none" w:sz="0" w:space="0" w:color="auto"/>
        <w:right w:val="none" w:sz="0" w:space="0" w:color="auto"/>
      </w:divBdr>
    </w:div>
    <w:div w:id="1432971059">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 w:id="1484615299">
      <w:bodyDiv w:val="1"/>
      <w:marLeft w:val="0"/>
      <w:marRight w:val="0"/>
      <w:marTop w:val="0"/>
      <w:marBottom w:val="0"/>
      <w:divBdr>
        <w:top w:val="none" w:sz="0" w:space="0" w:color="auto"/>
        <w:left w:val="none" w:sz="0" w:space="0" w:color="auto"/>
        <w:bottom w:val="none" w:sz="0" w:space="0" w:color="auto"/>
        <w:right w:val="none" w:sz="0" w:space="0" w:color="auto"/>
      </w:divBdr>
    </w:div>
    <w:div w:id="1533104982">
      <w:bodyDiv w:val="1"/>
      <w:marLeft w:val="0"/>
      <w:marRight w:val="0"/>
      <w:marTop w:val="0"/>
      <w:marBottom w:val="0"/>
      <w:divBdr>
        <w:top w:val="none" w:sz="0" w:space="0" w:color="auto"/>
        <w:left w:val="none" w:sz="0" w:space="0" w:color="auto"/>
        <w:bottom w:val="none" w:sz="0" w:space="0" w:color="auto"/>
        <w:right w:val="none" w:sz="0" w:space="0" w:color="auto"/>
      </w:divBdr>
    </w:div>
    <w:div w:id="1804275211">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3269818">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 w:id="2004627839">
      <w:bodyDiv w:val="1"/>
      <w:marLeft w:val="0"/>
      <w:marRight w:val="0"/>
      <w:marTop w:val="0"/>
      <w:marBottom w:val="0"/>
      <w:divBdr>
        <w:top w:val="none" w:sz="0" w:space="0" w:color="auto"/>
        <w:left w:val="none" w:sz="0" w:space="0" w:color="auto"/>
        <w:bottom w:val="none" w:sz="0" w:space="0" w:color="auto"/>
        <w:right w:val="none" w:sz="0" w:space="0" w:color="auto"/>
      </w:divBdr>
    </w:div>
    <w:div w:id="20684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legislation.act.gov.au/a/2001-14" TargetMode="Externa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legislation.act.gov.au/a/2001-14"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s://www.parliament.act.gov.au/parliamentary-business/in-committees/committees/standing-committees-current-assembly/standing-committee-on-justice-and-community-safety-legislative-scrutiny-role/response-to-comments-on-subordinate-legisl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www.parliament.act.gov.au/__data/assets/pdf_file/0004/1617664/Response-DI2020-205.pd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standards.org.au" TargetMode="External"/><Relationship Id="rId30" Type="http://schemas.openxmlformats.org/officeDocument/2006/relationships/hyperlink" Target="https://www.parliament.act.gov.au/parliamentary-business/in-committees/committees/standing-committees-current-assembly/standing-committee-on-justice-and-community-safety-legislative-scrutiny-role/response-to-comments-on-subordinate-legislation" TargetMode="Externa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DFE17D-31D9-4F16-AE4A-34FD77A2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22</Pages>
  <Words>7388</Words>
  <Characters>42115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Scrutiny Report 51 - 8 September 2020</vt:lpstr>
    </vt:vector>
  </TitlesOfParts>
  <Company/>
  <LinksUpToDate>false</LinksUpToDate>
  <CharactersWithSpaces>49405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51 - 8 September 2020</dc:title>
  <dc:creator/>
  <cp:lastModifiedBy>Shannon, Anne</cp:lastModifiedBy>
  <cp:revision>42</cp:revision>
  <cp:lastPrinted>2020-09-08T01:32:00Z</cp:lastPrinted>
  <dcterms:created xsi:type="dcterms:W3CDTF">2020-09-02T22:37:00Z</dcterms:created>
  <dcterms:modified xsi:type="dcterms:W3CDTF">2020-09-08T01:39:00Z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