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18F5B" w14:textId="77777777" w:rsidR="00D1002F" w:rsidRDefault="00D1002F" w:rsidP="00C325F9">
      <w:pPr>
        <w:pStyle w:val="Contactinformation"/>
      </w:pPr>
      <w:bookmarkStart w:id="0" w:name="_GoBack"/>
      <w:bookmarkEnd w:id="0"/>
    </w:p>
    <w:p w14:paraId="50855752" w14:textId="77777777" w:rsidR="00D1002F" w:rsidRDefault="00D1002F" w:rsidP="00973B5B">
      <w:pPr>
        <w:pStyle w:val="Contactinformation"/>
        <w:ind w:firstLine="720"/>
      </w:pPr>
    </w:p>
    <w:p w14:paraId="2673C6A6" w14:textId="77777777" w:rsidR="00D1002F" w:rsidRDefault="00D1002F" w:rsidP="00C325F9">
      <w:pPr>
        <w:pStyle w:val="Contactinformation"/>
      </w:pPr>
    </w:p>
    <w:p w14:paraId="42988A53" w14:textId="77777777" w:rsidR="00D1002F" w:rsidRDefault="00D1002F" w:rsidP="00C325F9">
      <w:pPr>
        <w:pStyle w:val="Contactinformation"/>
      </w:pPr>
    </w:p>
    <w:p w14:paraId="70FF5895" w14:textId="77777777" w:rsidR="00D1002F" w:rsidRDefault="00D1002F" w:rsidP="00C325F9">
      <w:pPr>
        <w:pStyle w:val="Contactinformation"/>
      </w:pPr>
    </w:p>
    <w:p w14:paraId="0EF64272" w14:textId="77777777" w:rsidR="00D1002F" w:rsidRDefault="00D1002F" w:rsidP="00C325F9">
      <w:pPr>
        <w:pStyle w:val="Contactinformation"/>
      </w:pPr>
    </w:p>
    <w:p w14:paraId="185FBBB3" w14:textId="45E1A0AF" w:rsidR="00D1002F" w:rsidRDefault="00D1002F" w:rsidP="00C325F9">
      <w:pPr>
        <w:pStyle w:val="Contactinformation"/>
      </w:pPr>
    </w:p>
    <w:p w14:paraId="7BDE31D6" w14:textId="77777777" w:rsidR="00715135" w:rsidRDefault="00715135" w:rsidP="00C325F9">
      <w:pPr>
        <w:pStyle w:val="Contactinformation"/>
      </w:pPr>
    </w:p>
    <w:p w14:paraId="2BB082EB" w14:textId="77777777" w:rsidR="00D1002F" w:rsidRDefault="00D1002F" w:rsidP="00C325F9">
      <w:pPr>
        <w:pStyle w:val="Contactinformation"/>
      </w:pPr>
    </w:p>
    <w:p w14:paraId="2D9B3063" w14:textId="77777777" w:rsidR="00D1002F" w:rsidRDefault="00D1002F" w:rsidP="00C325F9">
      <w:pPr>
        <w:pStyle w:val="Contactinformation"/>
      </w:pPr>
    </w:p>
    <w:p w14:paraId="359C1697" w14:textId="176D3FF9" w:rsidR="008909CB" w:rsidRDefault="004B3D74" w:rsidP="008909CB">
      <w:pPr>
        <w:pStyle w:val="Reporttitle"/>
      </w:pPr>
      <w:r>
        <w:t>Final</w:t>
      </w:r>
      <w:r w:rsidR="00684FE6">
        <w:t xml:space="preserve"> </w:t>
      </w:r>
      <w:r w:rsidR="008909CB">
        <w:t xml:space="preserve">Report </w:t>
      </w:r>
      <w:r w:rsidR="00F979FF">
        <w:t xml:space="preserve">on </w:t>
      </w:r>
      <w:r w:rsidR="003C2DD9">
        <w:t>Child and Youth Protection Services (Part</w:t>
      </w:r>
      <w:r w:rsidR="00A156E2">
        <w:t> </w:t>
      </w:r>
      <w:r w:rsidR="003C2DD9">
        <w:t>1)</w:t>
      </w:r>
    </w:p>
    <w:p w14:paraId="401B636A" w14:textId="77777777" w:rsidR="008909CB" w:rsidRDefault="00F979FF" w:rsidP="00F22201">
      <w:pPr>
        <w:pStyle w:val="Committeename"/>
        <w:spacing w:before="480" w:after="480"/>
      </w:pPr>
      <w:r>
        <w:t xml:space="preserve">Standing </w:t>
      </w:r>
      <w:r w:rsidR="008909CB">
        <w:t xml:space="preserve">Committee </w:t>
      </w:r>
      <w:r>
        <w:t xml:space="preserve">on </w:t>
      </w:r>
      <w:r w:rsidR="00A2047B">
        <w:t>Health, Ageing and Community Services</w:t>
      </w:r>
    </w:p>
    <w:p w14:paraId="75C1BB10" w14:textId="7AB03CE4" w:rsidR="008909CB" w:rsidRDefault="004B3D74" w:rsidP="00F22201">
      <w:pPr>
        <w:pStyle w:val="Reportdate"/>
        <w:spacing w:after="360"/>
      </w:pPr>
      <w:r>
        <w:t>August</w:t>
      </w:r>
      <w:r w:rsidR="00726C63">
        <w:t xml:space="preserve"> 2020</w:t>
      </w:r>
    </w:p>
    <w:p w14:paraId="243241AF" w14:textId="7AA53919" w:rsidR="008909CB" w:rsidRDefault="008909CB" w:rsidP="00F22201">
      <w:pPr>
        <w:pStyle w:val="Reportnumber"/>
        <w:spacing w:before="720"/>
      </w:pPr>
      <w:r>
        <w:t xml:space="preserve">Report </w:t>
      </w:r>
      <w:r w:rsidR="004B3D74">
        <w:t>12</w:t>
      </w:r>
    </w:p>
    <w:p w14:paraId="370EAD91" w14:textId="77777777" w:rsidR="008909CB" w:rsidRDefault="008909CB">
      <w:pPr>
        <w:pStyle w:val="Prelimminorheading"/>
        <w:numPr>
          <w:ilvl w:val="0"/>
          <w:numId w:val="0"/>
        </w:numPr>
      </w:pPr>
    </w:p>
    <w:p w14:paraId="49256918" w14:textId="77777777" w:rsidR="008909CB" w:rsidRDefault="008909CB">
      <w:pPr>
        <w:pStyle w:val="Prelimminorheading"/>
        <w:numPr>
          <w:ilvl w:val="0"/>
          <w:numId w:val="0"/>
        </w:numPr>
      </w:pPr>
    </w:p>
    <w:p w14:paraId="3B3D9A41" w14:textId="77777777" w:rsidR="008909CB" w:rsidRDefault="008909CB">
      <w:pPr>
        <w:pStyle w:val="Prelimminorheading"/>
        <w:numPr>
          <w:ilvl w:val="0"/>
          <w:numId w:val="0"/>
        </w:numPr>
      </w:pPr>
    </w:p>
    <w:p w14:paraId="455395F7" w14:textId="77777777" w:rsidR="008909CB" w:rsidRDefault="008909CB">
      <w:pPr>
        <w:pStyle w:val="Prelimminorheading"/>
        <w:numPr>
          <w:ilvl w:val="0"/>
          <w:numId w:val="0"/>
        </w:numPr>
        <w:sectPr w:rsidR="008909CB" w:rsidSect="009D46B6">
          <w:headerReference w:type="even" r:id="rId9"/>
          <w:headerReference w:type="default" r:id="rId10"/>
          <w:footerReference w:type="default" r:id="rId11"/>
          <w:pgSz w:w="11907" w:h="16840" w:code="9"/>
          <w:pgMar w:top="1588" w:right="1418" w:bottom="425" w:left="1418" w:header="720" w:footer="851" w:gutter="0"/>
          <w:pgNumType w:fmt="lowerRoman"/>
          <w:cols w:space="720"/>
          <w:titlePg/>
          <w:docGrid w:linePitch="360"/>
        </w:sectPr>
      </w:pPr>
    </w:p>
    <w:p w14:paraId="32AD0337" w14:textId="77777777" w:rsidR="00AC2589" w:rsidRPr="00AC2589" w:rsidRDefault="00AC2589" w:rsidP="00AC2589">
      <w:pPr>
        <w:pStyle w:val="Heading1"/>
        <w:numPr>
          <w:ilvl w:val="0"/>
          <w:numId w:val="0"/>
        </w:numPr>
      </w:pPr>
      <w:bookmarkStart w:id="1" w:name="_Toc49281139"/>
      <w:bookmarkStart w:id="2" w:name="_Toc170711045"/>
      <w:bookmarkStart w:id="3" w:name="_Toc341433411"/>
      <w:bookmarkStart w:id="4" w:name="_Toc341687854"/>
      <w:r w:rsidRPr="00AC2589">
        <w:lastRenderedPageBreak/>
        <w:t>T</w:t>
      </w:r>
      <w:r>
        <w:t>he Committee</w:t>
      </w:r>
      <w:bookmarkEnd w:id="1"/>
    </w:p>
    <w:p w14:paraId="326130B2" w14:textId="77777777" w:rsidR="002E676A" w:rsidRPr="00BD6446" w:rsidRDefault="00AF784F" w:rsidP="002E676A">
      <w:pPr>
        <w:pStyle w:val="Prelimminorheading"/>
        <w:numPr>
          <w:ilvl w:val="0"/>
          <w:numId w:val="0"/>
        </w:numPr>
        <w:rPr>
          <w:spacing w:val="4"/>
          <w:sz w:val="30"/>
          <w:szCs w:val="30"/>
        </w:rPr>
      </w:pPr>
      <w:bookmarkStart w:id="5" w:name="_Toc49281140"/>
      <w:r w:rsidRPr="00BD6446">
        <w:rPr>
          <w:spacing w:val="4"/>
          <w:sz w:val="30"/>
          <w:szCs w:val="30"/>
        </w:rPr>
        <w:t>Committee m</w:t>
      </w:r>
      <w:r w:rsidR="002E676A" w:rsidRPr="00BD6446">
        <w:rPr>
          <w:spacing w:val="4"/>
          <w:sz w:val="30"/>
          <w:szCs w:val="30"/>
        </w:rPr>
        <w:t>embership</w:t>
      </w:r>
      <w:bookmarkEnd w:id="2"/>
      <w:bookmarkEnd w:id="3"/>
      <w:bookmarkEnd w:id="4"/>
      <w:bookmarkEnd w:id="5"/>
    </w:p>
    <w:p w14:paraId="5D3C3B08" w14:textId="7EB71554" w:rsidR="00E11C5E" w:rsidRPr="00AC2589" w:rsidRDefault="00E11C5E" w:rsidP="00E11C5E">
      <w:pPr>
        <w:spacing w:before="240" w:after="100" w:line="312" w:lineRule="auto"/>
        <w:rPr>
          <w:u w:val="single"/>
        </w:rPr>
      </w:pPr>
      <w:r>
        <w:rPr>
          <w:u w:val="single"/>
        </w:rPr>
        <w:t xml:space="preserve">Current </w:t>
      </w:r>
      <w:r w:rsidRPr="00AC2589">
        <w:rPr>
          <w:u w:val="single"/>
        </w:rPr>
        <w:t>Members</w:t>
      </w:r>
    </w:p>
    <w:p w14:paraId="5595DCBA" w14:textId="69DF6A0E" w:rsidR="002F1527" w:rsidRPr="005F53F0" w:rsidRDefault="002F1527" w:rsidP="002F1527">
      <w:pPr>
        <w:pStyle w:val="Bodytextnonumbering"/>
        <w:keepNext w:val="0"/>
      </w:pPr>
      <w:r w:rsidRPr="005F53F0">
        <w:t>M</w:t>
      </w:r>
      <w:r>
        <w:t xml:space="preserve">s </w:t>
      </w:r>
      <w:r w:rsidR="00A2047B">
        <w:t>Bec Cody MLA</w:t>
      </w:r>
      <w:r>
        <w:t xml:space="preserve"> </w:t>
      </w:r>
      <w:r w:rsidRPr="005F53F0">
        <w:tab/>
      </w:r>
      <w:r w:rsidRPr="005F53F0">
        <w:tab/>
      </w:r>
      <w:r w:rsidR="00AC2589" w:rsidRPr="00AC2589">
        <w:t>Chair from 26 September 2018</w:t>
      </w:r>
    </w:p>
    <w:p w14:paraId="00310AC6" w14:textId="77777777" w:rsidR="002F1527" w:rsidRDefault="002F1527" w:rsidP="002F1527">
      <w:pPr>
        <w:pStyle w:val="Bodytextnonumbering"/>
        <w:keepNext w:val="0"/>
      </w:pPr>
      <w:r>
        <w:t>M</w:t>
      </w:r>
      <w:r w:rsidR="00AC2589">
        <w:t>rs Vicki Dunne</w:t>
      </w:r>
      <w:r>
        <w:t xml:space="preserve"> MLA</w:t>
      </w:r>
      <w:r>
        <w:tab/>
      </w:r>
      <w:r w:rsidRPr="005F53F0">
        <w:tab/>
        <w:t>Deputy Chair</w:t>
      </w:r>
      <w:r>
        <w:t xml:space="preserve"> from </w:t>
      </w:r>
      <w:r w:rsidR="00DF1AEA">
        <w:t>14</w:t>
      </w:r>
      <w:r>
        <w:t xml:space="preserve"> December 2016</w:t>
      </w:r>
    </w:p>
    <w:p w14:paraId="74770E71" w14:textId="77777777" w:rsidR="002F1527" w:rsidRPr="005F53F0" w:rsidRDefault="002F1527" w:rsidP="002F1527">
      <w:pPr>
        <w:pStyle w:val="Bodytextnonumbering"/>
        <w:keepNext w:val="0"/>
      </w:pPr>
      <w:r>
        <w:tab/>
      </w:r>
      <w:r>
        <w:tab/>
      </w:r>
      <w:r>
        <w:tab/>
      </w:r>
      <w:r>
        <w:tab/>
        <w:t xml:space="preserve">Member from </w:t>
      </w:r>
      <w:r w:rsidR="00DF1AEA">
        <w:t xml:space="preserve">13 December </w:t>
      </w:r>
      <w:r>
        <w:t>2016</w:t>
      </w:r>
    </w:p>
    <w:p w14:paraId="1671EDF4" w14:textId="77777777" w:rsidR="002F1527" w:rsidRDefault="002F1527" w:rsidP="002F1527">
      <w:pPr>
        <w:pStyle w:val="Bodytextnonumbering"/>
        <w:keepNext w:val="0"/>
      </w:pPr>
      <w:r w:rsidRPr="005F53F0">
        <w:t xml:space="preserve">Ms </w:t>
      </w:r>
      <w:r w:rsidR="00AC2589">
        <w:t>Caroline Le Couteur</w:t>
      </w:r>
      <w:r>
        <w:t xml:space="preserve"> </w:t>
      </w:r>
      <w:r w:rsidRPr="005F53F0">
        <w:t>MLA</w:t>
      </w:r>
      <w:r w:rsidRPr="005F53F0">
        <w:tab/>
        <w:t xml:space="preserve">Member from </w:t>
      </w:r>
      <w:r w:rsidR="00DF1AEA">
        <w:t>13</w:t>
      </w:r>
      <w:r>
        <w:t xml:space="preserve"> December 2016</w:t>
      </w:r>
    </w:p>
    <w:p w14:paraId="2BC276E5" w14:textId="77777777" w:rsidR="00AC2589" w:rsidRPr="00AC2589" w:rsidRDefault="00AC2589" w:rsidP="00AC2589">
      <w:pPr>
        <w:spacing w:before="240" w:after="100" w:line="312" w:lineRule="auto"/>
        <w:rPr>
          <w:u w:val="single"/>
        </w:rPr>
      </w:pPr>
      <w:bookmarkStart w:id="6" w:name="_Hlk48908327"/>
      <w:r w:rsidRPr="00AC2589">
        <w:rPr>
          <w:u w:val="single"/>
        </w:rPr>
        <w:t>Former Members</w:t>
      </w:r>
    </w:p>
    <w:bookmarkEnd w:id="6"/>
    <w:p w14:paraId="5E57ED15" w14:textId="77777777" w:rsidR="00AC2589" w:rsidRPr="00AC2589" w:rsidRDefault="00AC2589" w:rsidP="00AC2589">
      <w:pPr>
        <w:pStyle w:val="Bodytextnonumbering"/>
      </w:pPr>
      <w:r w:rsidRPr="00AC2589">
        <w:t>Mr Chris Steel MLA</w:t>
      </w:r>
      <w:r w:rsidRPr="00AC2589">
        <w:tab/>
      </w:r>
      <w:r w:rsidRPr="00AC2589">
        <w:tab/>
        <w:t>Chair from 14 December 2016 to 23 August 2018</w:t>
      </w:r>
    </w:p>
    <w:p w14:paraId="6E2F19D0" w14:textId="77777777" w:rsidR="00AC2589" w:rsidRPr="00AC2589" w:rsidRDefault="00AC2589" w:rsidP="00AC2589">
      <w:pPr>
        <w:pStyle w:val="Bodytextnonumbering"/>
      </w:pPr>
      <w:r w:rsidRPr="00AC2589">
        <w:rPr>
          <w:bCs/>
        </w:rPr>
        <w:t>Mrs Elizabeth Kikkert MLA</w:t>
      </w:r>
      <w:r w:rsidRPr="00AC2589">
        <w:rPr>
          <w:bCs/>
        </w:rPr>
        <w:tab/>
        <w:t>Deputy Chair from 14 December 2016 to 20 September 2018</w:t>
      </w:r>
    </w:p>
    <w:p w14:paraId="1FFE42F1" w14:textId="77777777" w:rsidR="00AC2589" w:rsidRPr="00AC2589" w:rsidRDefault="00AC2589" w:rsidP="00AC2589">
      <w:pPr>
        <w:pStyle w:val="Bodytextnonumbering"/>
        <w:rPr>
          <w:bCs/>
        </w:rPr>
      </w:pPr>
      <w:r w:rsidRPr="00AC2589">
        <w:rPr>
          <w:bCs/>
        </w:rPr>
        <w:t>Mr Michael Pettersson MLA</w:t>
      </w:r>
      <w:r w:rsidRPr="00AC2589">
        <w:rPr>
          <w:bCs/>
        </w:rPr>
        <w:tab/>
        <w:t>Chair from 4 to 20 September 2018</w:t>
      </w:r>
    </w:p>
    <w:p w14:paraId="785ACD1F" w14:textId="77777777" w:rsidR="00AC2589" w:rsidRPr="00AC2589" w:rsidRDefault="00AC2589" w:rsidP="00AC2589">
      <w:pPr>
        <w:pStyle w:val="Bodytextnonumbering"/>
        <w:ind w:left="2160" w:firstLine="720"/>
      </w:pPr>
      <w:r w:rsidRPr="00AC2589">
        <w:rPr>
          <w:bCs/>
        </w:rPr>
        <w:t>Member from 13 December 2016 to 3 September 2018</w:t>
      </w:r>
    </w:p>
    <w:p w14:paraId="4E7C1998" w14:textId="77777777" w:rsidR="002E676A" w:rsidRPr="00F14364" w:rsidRDefault="002E676A" w:rsidP="00EB4D32">
      <w:pPr>
        <w:pStyle w:val="Secretariat"/>
      </w:pPr>
      <w:bookmarkStart w:id="7" w:name="_Toc170711046"/>
      <w:bookmarkStart w:id="8" w:name="_Toc341433413"/>
      <w:bookmarkStart w:id="9" w:name="_Toc341687856"/>
      <w:bookmarkStart w:id="10" w:name="_Toc49281141"/>
      <w:r w:rsidRPr="00F74C60">
        <w:t>Secretariat</w:t>
      </w:r>
      <w:bookmarkEnd w:id="7"/>
      <w:bookmarkEnd w:id="8"/>
      <w:bookmarkEnd w:id="9"/>
      <w:bookmarkEnd w:id="10"/>
    </w:p>
    <w:p w14:paraId="09EEB576" w14:textId="0507A1D5" w:rsidR="002F1527" w:rsidRDefault="002F1527" w:rsidP="00BC0D93">
      <w:pPr>
        <w:pStyle w:val="Bodytextnonumbering"/>
        <w:keepNext w:val="0"/>
      </w:pPr>
      <w:bookmarkStart w:id="11" w:name="_Toc341433414"/>
      <w:bookmarkStart w:id="12" w:name="_Toc341687857"/>
      <w:r w:rsidRPr="005F53F0">
        <w:t xml:space="preserve">Dr Andréa Cullen </w:t>
      </w:r>
      <w:r w:rsidR="00A2047B">
        <w:rPr>
          <w:sz w:val="16"/>
          <w:szCs w:val="16"/>
        </w:rPr>
        <w:t>FGIA</w:t>
      </w:r>
      <w:r w:rsidRPr="005F53F0">
        <w:rPr>
          <w:sz w:val="16"/>
          <w:szCs w:val="16"/>
        </w:rPr>
        <w:t xml:space="preserve"> </w:t>
      </w:r>
      <w:r w:rsidR="00A2047B">
        <w:rPr>
          <w:sz w:val="16"/>
          <w:szCs w:val="16"/>
        </w:rPr>
        <w:t>F</w:t>
      </w:r>
      <w:r w:rsidRPr="005F53F0">
        <w:rPr>
          <w:sz w:val="16"/>
          <w:szCs w:val="16"/>
        </w:rPr>
        <w:t>CIS</w:t>
      </w:r>
      <w:r w:rsidR="00D15D3A">
        <w:rPr>
          <w:sz w:val="16"/>
          <w:szCs w:val="16"/>
        </w:rPr>
        <w:t xml:space="preserve"> CS</w:t>
      </w:r>
      <w:r w:rsidRPr="005F53F0">
        <w:tab/>
        <w:t>Secretary</w:t>
      </w:r>
      <w:r>
        <w:t xml:space="preserve"> </w:t>
      </w:r>
      <w:r w:rsidR="0021616E">
        <w:t xml:space="preserve">(from </w:t>
      </w:r>
      <w:r w:rsidR="00C64A78">
        <w:t>21 August 2019)</w:t>
      </w:r>
    </w:p>
    <w:p w14:paraId="2A4CD82E" w14:textId="72AA5120" w:rsidR="00C64A78" w:rsidRDefault="00C64A78" w:rsidP="00BC0D93">
      <w:pPr>
        <w:pStyle w:val="Bodytextnonumbering"/>
        <w:keepNext w:val="0"/>
      </w:pPr>
      <w:r>
        <w:t>Mr Andrew Snedden</w:t>
      </w:r>
      <w:r>
        <w:tab/>
      </w:r>
      <w:r>
        <w:tab/>
        <w:t>Acting Secretary (from 10 July 2019 to 20 August 2019)</w:t>
      </w:r>
    </w:p>
    <w:p w14:paraId="0AF71B9C" w14:textId="1CA35B35" w:rsidR="00C64A78" w:rsidRDefault="00C64A78" w:rsidP="00BC0D93">
      <w:pPr>
        <w:pStyle w:val="Bodytextnonumbering"/>
        <w:keepNext w:val="0"/>
      </w:pPr>
      <w:r>
        <w:t>Mrs Josephine Moa</w:t>
      </w:r>
      <w:r>
        <w:tab/>
      </w:r>
      <w:r>
        <w:tab/>
        <w:t>Secretary (to 9 July 2019)</w:t>
      </w:r>
    </w:p>
    <w:p w14:paraId="25B43028" w14:textId="77777777" w:rsidR="002F1527" w:rsidRPr="005F53F0" w:rsidRDefault="002F1527" w:rsidP="002F1527">
      <w:pPr>
        <w:pStyle w:val="Bodytextnonumbering"/>
      </w:pPr>
      <w:r>
        <w:t>Ms Lydia Chung</w:t>
      </w:r>
      <w:r>
        <w:tab/>
      </w:r>
      <w:r>
        <w:tab/>
      </w:r>
      <w:r>
        <w:tab/>
        <w:t xml:space="preserve">Administrative </w:t>
      </w:r>
      <w:r w:rsidR="00DD713E">
        <w:t>assistance</w:t>
      </w:r>
    </w:p>
    <w:p w14:paraId="0CA84288" w14:textId="77777777" w:rsidR="002E676A" w:rsidRPr="00F14364" w:rsidRDefault="00AF784F" w:rsidP="00EB4D32">
      <w:pPr>
        <w:pStyle w:val="Contactinformation"/>
      </w:pPr>
      <w:bookmarkStart w:id="13" w:name="_Toc162949737"/>
      <w:bookmarkStart w:id="14" w:name="_Toc170711047"/>
      <w:bookmarkStart w:id="15" w:name="_Toc341433415"/>
      <w:bookmarkStart w:id="16" w:name="_Toc341687858"/>
      <w:bookmarkStart w:id="17" w:name="_Toc49281142"/>
      <w:bookmarkStart w:id="18" w:name="_Hlk29563964"/>
      <w:bookmarkEnd w:id="11"/>
      <w:bookmarkEnd w:id="12"/>
      <w:r w:rsidRPr="00F14364">
        <w:t xml:space="preserve">Contact </w:t>
      </w:r>
      <w:r w:rsidRPr="00F74C60">
        <w:t>i</w:t>
      </w:r>
      <w:r w:rsidR="002E676A" w:rsidRPr="00F74C60">
        <w:t>nformation</w:t>
      </w:r>
      <w:bookmarkEnd w:id="13"/>
      <w:bookmarkEnd w:id="14"/>
      <w:bookmarkEnd w:id="15"/>
      <w:bookmarkEnd w:id="16"/>
      <w:bookmarkEnd w:id="17"/>
    </w:p>
    <w:bookmarkEnd w:id="18"/>
    <w:p w14:paraId="2E0D0046" w14:textId="77777777" w:rsidR="00AF784F" w:rsidRPr="00EC5178" w:rsidRDefault="00AF784F" w:rsidP="00EC5178">
      <w:pPr>
        <w:pStyle w:val="StyleBodytextnonumberingBefore0ptAfter0ptLinesp"/>
      </w:pPr>
    </w:p>
    <w:p w14:paraId="43D03EFE" w14:textId="77777777" w:rsidR="002E676A" w:rsidRDefault="009458A5" w:rsidP="00D50ADD">
      <w:pPr>
        <w:pStyle w:val="StyleBodytextnonumberingBefore0ptAfter0ptLinesp"/>
      </w:pPr>
      <w:bookmarkStart w:id="19" w:name="_Toc341433416"/>
      <w:bookmarkStart w:id="20" w:name="_Toc341687859"/>
      <w:r>
        <w:t>Telephone</w:t>
      </w:r>
      <w:r>
        <w:tab/>
        <w:t xml:space="preserve">02 6205 </w:t>
      </w:r>
      <w:r w:rsidR="00B958A8">
        <w:t>01</w:t>
      </w:r>
      <w:bookmarkEnd w:id="19"/>
      <w:bookmarkEnd w:id="20"/>
      <w:r w:rsidR="00A2047B">
        <w:t>36</w:t>
      </w:r>
    </w:p>
    <w:p w14:paraId="270D6DA4" w14:textId="77777777" w:rsidR="005B60C2" w:rsidRDefault="005B60C2" w:rsidP="00D50ADD">
      <w:pPr>
        <w:pStyle w:val="StyleBodytextnonumberingBefore0ptAfter0ptLinesp"/>
      </w:pPr>
      <w:bookmarkStart w:id="21" w:name="_Toc341433418"/>
      <w:bookmarkStart w:id="22" w:name="_Toc341687861"/>
      <w:r>
        <w:t>Post</w:t>
      </w:r>
      <w:r>
        <w:tab/>
      </w:r>
      <w:r w:rsidR="00D50ADD">
        <w:tab/>
      </w:r>
      <w:r>
        <w:t>GPO Box 1020, CANBERRA ACT 2601</w:t>
      </w:r>
      <w:bookmarkEnd w:id="21"/>
      <w:bookmarkEnd w:id="22"/>
    </w:p>
    <w:p w14:paraId="4933FE79" w14:textId="77777777" w:rsidR="002E676A" w:rsidRPr="005B60C2" w:rsidRDefault="002E676A" w:rsidP="00D50ADD">
      <w:pPr>
        <w:pStyle w:val="StyleBodytextnonumberingBefore0ptAfter0ptLinesp"/>
      </w:pPr>
      <w:bookmarkStart w:id="23" w:name="_Toc341433419"/>
      <w:bookmarkStart w:id="24" w:name="_Toc341687862"/>
      <w:r>
        <w:t>Email</w:t>
      </w:r>
      <w:r>
        <w:tab/>
      </w:r>
      <w:r w:rsidR="00D50ADD">
        <w:tab/>
      </w:r>
      <w:r w:rsidR="00A2047B" w:rsidRPr="00A2047B">
        <w:t>LACommitteeHACS@parliament.act.gov.au</w:t>
      </w:r>
      <w:hyperlink r:id="rId12" w:history="1">
        <w:bookmarkEnd w:id="23"/>
        <w:bookmarkEnd w:id="24"/>
      </w:hyperlink>
    </w:p>
    <w:p w14:paraId="6AB65640" w14:textId="77777777" w:rsidR="002E676A" w:rsidRPr="005B60C2" w:rsidRDefault="002E676A" w:rsidP="00D50ADD">
      <w:pPr>
        <w:pStyle w:val="StyleBodytextnonumberingBefore0ptAfter0ptLinesp"/>
      </w:pPr>
      <w:bookmarkStart w:id="25" w:name="_Toc341433420"/>
      <w:bookmarkStart w:id="26" w:name="_Toc341687863"/>
      <w:r w:rsidRPr="005B60C2">
        <w:t>Website</w:t>
      </w:r>
      <w:r w:rsidRPr="005B60C2">
        <w:tab/>
      </w:r>
      <w:hyperlink r:id="rId13" w:history="1">
        <w:r w:rsidRPr="005B60C2">
          <w:rPr>
            <w:rStyle w:val="Hyperlink"/>
            <w:color w:val="auto"/>
            <w:u w:val="none"/>
          </w:rPr>
          <w:t>www.parliament.act.gov.au</w:t>
        </w:r>
        <w:bookmarkEnd w:id="25"/>
        <w:bookmarkEnd w:id="26"/>
      </w:hyperlink>
      <w:r w:rsidRPr="005B60C2">
        <w:t xml:space="preserve"> </w:t>
      </w:r>
    </w:p>
    <w:p w14:paraId="7017BD79" w14:textId="77777777" w:rsidR="002E676A" w:rsidRPr="00C2492A" w:rsidRDefault="002E676A" w:rsidP="002E676A">
      <w:pPr>
        <w:pStyle w:val="Prelimminorheading"/>
        <w:numPr>
          <w:ilvl w:val="0"/>
          <w:numId w:val="0"/>
        </w:numPr>
        <w:rPr>
          <w:sz w:val="30"/>
          <w:szCs w:val="30"/>
        </w:rPr>
      </w:pPr>
      <w:r>
        <w:br w:type="page"/>
      </w:r>
      <w:bookmarkStart w:id="27" w:name="_Toc162949738"/>
      <w:bookmarkStart w:id="28" w:name="_Toc170711048"/>
      <w:bookmarkStart w:id="29" w:name="_Toc341433421"/>
      <w:bookmarkStart w:id="30" w:name="_Toc341687864"/>
      <w:bookmarkStart w:id="31" w:name="_Toc49281143"/>
      <w:r w:rsidR="00AF784F" w:rsidRPr="00C2492A">
        <w:rPr>
          <w:sz w:val="30"/>
          <w:szCs w:val="30"/>
        </w:rPr>
        <w:lastRenderedPageBreak/>
        <w:t>Resolution of a</w:t>
      </w:r>
      <w:r w:rsidRPr="00C2492A">
        <w:rPr>
          <w:sz w:val="30"/>
          <w:szCs w:val="30"/>
        </w:rPr>
        <w:t>ppointment</w:t>
      </w:r>
      <w:bookmarkEnd w:id="27"/>
      <w:bookmarkEnd w:id="28"/>
      <w:bookmarkEnd w:id="29"/>
      <w:bookmarkEnd w:id="30"/>
      <w:bookmarkEnd w:id="31"/>
    </w:p>
    <w:p w14:paraId="59CCBE32" w14:textId="77777777" w:rsidR="00AC2589" w:rsidRPr="00AC2589" w:rsidRDefault="00AC2589" w:rsidP="00AC2589">
      <w:pPr>
        <w:pStyle w:val="Bodytextnonumbering"/>
      </w:pPr>
      <w:r w:rsidRPr="00AC2589">
        <w:t>The ACT Legislative Assembly appointed the Standing Committee on Health, Ageing and Community Services on 13 December 2016.</w:t>
      </w:r>
    </w:p>
    <w:p w14:paraId="1EA96C18" w14:textId="77777777" w:rsidR="00AC2589" w:rsidRDefault="00AC2589" w:rsidP="00AC2589">
      <w:pPr>
        <w:pStyle w:val="Bodytextnonumbering"/>
      </w:pPr>
      <w:r w:rsidRPr="00AC2589">
        <w:t>Specifically, the resolution of 13 December 2016 establishing the Standing Committees of the 9</w:t>
      </w:r>
      <w:r w:rsidRPr="00AC2589">
        <w:rPr>
          <w:vertAlign w:val="superscript"/>
        </w:rPr>
        <w:t>th </w:t>
      </w:r>
      <w:r w:rsidRPr="00AC2589">
        <w:t>Assembly as it relates to the Standing Committee on Health, Ageing and Community Services states:</w:t>
      </w:r>
    </w:p>
    <w:p w14:paraId="64A485B8" w14:textId="77777777" w:rsidR="000B135F" w:rsidRPr="00AC2589" w:rsidRDefault="000B135F" w:rsidP="00AC2589">
      <w:pPr>
        <w:pStyle w:val="Bodytextnonumbering"/>
      </w:pPr>
      <w:r>
        <w:t>That:</w:t>
      </w:r>
    </w:p>
    <w:p w14:paraId="16AADC1B" w14:textId="77777777" w:rsidR="00AC2589" w:rsidRPr="00AC2589" w:rsidRDefault="00AC2589" w:rsidP="00AC2589">
      <w:pPr>
        <w:spacing w:before="240" w:after="100" w:line="312" w:lineRule="auto"/>
        <w:ind w:left="284" w:hanging="284"/>
      </w:pPr>
      <w:r w:rsidRPr="00AC2589">
        <w:t>(1) The following general purpose standing committees be established and each committee inquire into and report on matters referred to it by the Assembly or matters that are considered by the committee to be of concern to the community:</w:t>
      </w:r>
    </w:p>
    <w:p w14:paraId="33CABFBE" w14:textId="77777777" w:rsidR="00AC2589" w:rsidRPr="00AC2589" w:rsidRDefault="00AC2589" w:rsidP="00AC2589">
      <w:pPr>
        <w:spacing w:before="240" w:after="100" w:line="312" w:lineRule="auto"/>
        <w:ind w:left="284"/>
      </w:pPr>
      <w:r w:rsidRPr="00AC2589">
        <w:t>(b) a Standing Committee on Health, Ageing and Community Services to examine matters related to hospitals, community and public health, mental health, health promotion and disease prevention, disability matters, drug and substance misuse, targeted health programs and community services, including services for older persons and women, families, housing, poverty, and multicultural and indigenous affairs;</w:t>
      </w:r>
      <w:r w:rsidRPr="00AC2589">
        <w:rPr>
          <w:vertAlign w:val="superscript"/>
        </w:rPr>
        <w:footnoteReference w:id="1"/>
      </w:r>
    </w:p>
    <w:p w14:paraId="042A9DE4" w14:textId="77777777" w:rsidR="002E676A" w:rsidRPr="00C2492A" w:rsidRDefault="00AF784F" w:rsidP="002E676A">
      <w:pPr>
        <w:pStyle w:val="Prelimminorheading"/>
        <w:numPr>
          <w:ilvl w:val="0"/>
          <w:numId w:val="0"/>
        </w:numPr>
        <w:rPr>
          <w:sz w:val="30"/>
          <w:szCs w:val="30"/>
        </w:rPr>
      </w:pPr>
      <w:bookmarkStart w:id="32" w:name="_Toc162949739"/>
      <w:bookmarkStart w:id="33" w:name="_Toc170711049"/>
      <w:bookmarkStart w:id="34" w:name="_Toc341433422"/>
      <w:bookmarkStart w:id="35" w:name="_Toc341687866"/>
      <w:bookmarkStart w:id="36" w:name="_Toc49281144"/>
      <w:r w:rsidRPr="00C2492A">
        <w:rPr>
          <w:sz w:val="30"/>
          <w:szCs w:val="30"/>
        </w:rPr>
        <w:t>Terms of r</w:t>
      </w:r>
      <w:r w:rsidR="002E676A" w:rsidRPr="00C2492A">
        <w:rPr>
          <w:sz w:val="30"/>
          <w:szCs w:val="30"/>
        </w:rPr>
        <w:t>eference</w:t>
      </w:r>
      <w:bookmarkEnd w:id="32"/>
      <w:bookmarkEnd w:id="33"/>
      <w:bookmarkEnd w:id="34"/>
      <w:bookmarkEnd w:id="35"/>
      <w:bookmarkEnd w:id="36"/>
    </w:p>
    <w:p w14:paraId="51FE4A1B" w14:textId="77777777" w:rsidR="00A156E2" w:rsidRPr="00A156E2" w:rsidRDefault="00A156E2" w:rsidP="00A156E2">
      <w:pPr>
        <w:spacing w:after="200" w:line="276" w:lineRule="auto"/>
        <w:rPr>
          <w:rFonts w:eastAsia="Calibri"/>
          <w:szCs w:val="22"/>
        </w:rPr>
      </w:pPr>
      <w:bookmarkStart w:id="37" w:name="_Toc341687867"/>
      <w:r w:rsidRPr="00A156E2">
        <w:rPr>
          <w:rFonts w:eastAsia="Calibri"/>
          <w:szCs w:val="22"/>
        </w:rPr>
        <w:t>That this Assembly:</w:t>
      </w:r>
    </w:p>
    <w:p w14:paraId="236DD24A" w14:textId="77777777" w:rsidR="00A156E2" w:rsidRPr="00A156E2" w:rsidRDefault="00A156E2" w:rsidP="00A156E2">
      <w:pPr>
        <w:spacing w:after="200" w:line="276" w:lineRule="auto"/>
        <w:rPr>
          <w:rFonts w:eastAsia="Calibri"/>
          <w:szCs w:val="22"/>
        </w:rPr>
      </w:pPr>
      <w:r w:rsidRPr="00A156E2">
        <w:rPr>
          <w:rFonts w:eastAsia="Calibri"/>
          <w:szCs w:val="22"/>
        </w:rPr>
        <w:t>(1) notes that:</w:t>
      </w:r>
    </w:p>
    <w:p w14:paraId="47292A9D" w14:textId="77777777" w:rsidR="00A156E2" w:rsidRPr="00A156E2" w:rsidRDefault="00A156E2" w:rsidP="00A156E2">
      <w:pPr>
        <w:spacing w:after="200" w:line="276" w:lineRule="auto"/>
        <w:ind w:left="284"/>
        <w:rPr>
          <w:rFonts w:eastAsia="Calibri"/>
          <w:szCs w:val="22"/>
        </w:rPr>
      </w:pPr>
      <w:r w:rsidRPr="00A156E2">
        <w:rPr>
          <w:rFonts w:eastAsia="Calibri"/>
          <w:szCs w:val="22"/>
        </w:rPr>
        <w:t>(a) the 2004 Vardon report raised concerns from community members that the ACT’s care and protection system lacked “effective external scrutiny” to remedy “unlawful or incorrect administrative actions or decisions”, and also mentioned the need for “transparency and accountability in decision making”;</w:t>
      </w:r>
    </w:p>
    <w:p w14:paraId="115498B0" w14:textId="77777777" w:rsidR="00A156E2" w:rsidRPr="00A156E2" w:rsidRDefault="00A156E2" w:rsidP="00A156E2">
      <w:pPr>
        <w:spacing w:after="200" w:line="276" w:lineRule="auto"/>
        <w:ind w:left="284"/>
        <w:rPr>
          <w:rFonts w:eastAsia="Calibri"/>
          <w:szCs w:val="22"/>
        </w:rPr>
      </w:pPr>
      <w:r w:rsidRPr="00A156E2">
        <w:rPr>
          <w:rFonts w:eastAsia="Calibri"/>
          <w:szCs w:val="22"/>
        </w:rPr>
        <w:t>(b) the 2016 Glanfield inquiry recommended, as one of four key outcomes, the “improved quality of, and transparency in … decision making and practices” in the ACT’s care and protection system;</w:t>
      </w:r>
    </w:p>
    <w:p w14:paraId="75724EA2" w14:textId="77777777" w:rsidR="00A156E2" w:rsidRPr="00A156E2" w:rsidRDefault="00A156E2" w:rsidP="00A156E2">
      <w:pPr>
        <w:spacing w:after="200" w:line="276" w:lineRule="auto"/>
        <w:ind w:left="284"/>
        <w:rPr>
          <w:rFonts w:eastAsia="Calibri"/>
          <w:szCs w:val="22"/>
        </w:rPr>
      </w:pPr>
      <w:r w:rsidRPr="00A156E2">
        <w:rPr>
          <w:rFonts w:eastAsia="Calibri"/>
          <w:szCs w:val="22"/>
        </w:rPr>
        <w:t xml:space="preserve">(c) in its 2016 </w:t>
      </w:r>
      <w:r w:rsidRPr="00A156E2">
        <w:rPr>
          <w:rFonts w:eastAsia="Calibri"/>
          <w:i/>
          <w:iCs/>
          <w:szCs w:val="22"/>
        </w:rPr>
        <w:t>Response to Family Violence</w:t>
      </w:r>
      <w:r w:rsidRPr="00A156E2">
        <w:rPr>
          <w:rFonts w:eastAsia="Calibri"/>
          <w:szCs w:val="22"/>
        </w:rPr>
        <w:t>, the ACT Government stated that:</w:t>
      </w:r>
    </w:p>
    <w:p w14:paraId="3D3F8D9F" w14:textId="77777777" w:rsidR="00A156E2" w:rsidRPr="00A156E2" w:rsidRDefault="00A156E2" w:rsidP="00A156E2">
      <w:pPr>
        <w:spacing w:after="200" w:line="276" w:lineRule="auto"/>
        <w:ind w:left="720"/>
        <w:rPr>
          <w:rFonts w:eastAsia="Calibri"/>
          <w:szCs w:val="22"/>
        </w:rPr>
      </w:pPr>
      <w:r w:rsidRPr="00A156E2">
        <w:rPr>
          <w:rFonts w:eastAsia="Calibri"/>
          <w:szCs w:val="22"/>
        </w:rPr>
        <w:t>(i) “increased transparency and the building of trust is particularly necessary in child protection cases”;</w:t>
      </w:r>
    </w:p>
    <w:p w14:paraId="4A28CE79" w14:textId="77777777" w:rsidR="00A156E2" w:rsidRPr="00A156E2" w:rsidRDefault="00A156E2" w:rsidP="00A156E2">
      <w:pPr>
        <w:spacing w:after="200" w:line="276" w:lineRule="auto"/>
        <w:ind w:left="720"/>
        <w:rPr>
          <w:rFonts w:eastAsia="Calibri"/>
          <w:szCs w:val="22"/>
        </w:rPr>
      </w:pPr>
      <w:r w:rsidRPr="00A156E2">
        <w:rPr>
          <w:rFonts w:eastAsia="Calibri"/>
          <w:szCs w:val="22"/>
        </w:rPr>
        <w:t>(ii) the Territory’s care and protection system “must adopt a culture of transparency”; and</w:t>
      </w:r>
    </w:p>
    <w:p w14:paraId="1A85DD43" w14:textId="77777777" w:rsidR="00A156E2" w:rsidRPr="00A156E2" w:rsidRDefault="00A156E2" w:rsidP="00A156E2">
      <w:pPr>
        <w:spacing w:after="200" w:line="276" w:lineRule="auto"/>
        <w:ind w:left="720"/>
        <w:rPr>
          <w:rFonts w:eastAsia="Calibri"/>
          <w:szCs w:val="22"/>
        </w:rPr>
      </w:pPr>
      <w:r w:rsidRPr="00A156E2">
        <w:rPr>
          <w:rFonts w:eastAsia="Calibri"/>
          <w:szCs w:val="22"/>
        </w:rPr>
        <w:lastRenderedPageBreak/>
        <w:t>(iii) “the ACT Government accepts that proper accountability enhances community confidence in public administration, especially in complex areas such as statutory child protection services”; and</w:t>
      </w:r>
    </w:p>
    <w:p w14:paraId="1C861CFF" w14:textId="77777777" w:rsidR="00A156E2" w:rsidRPr="00A156E2" w:rsidRDefault="00A156E2" w:rsidP="00A156E2">
      <w:pPr>
        <w:spacing w:after="200" w:line="276" w:lineRule="auto"/>
        <w:ind w:left="284"/>
        <w:rPr>
          <w:rFonts w:eastAsia="Calibri"/>
          <w:szCs w:val="22"/>
        </w:rPr>
      </w:pPr>
      <w:r w:rsidRPr="00A156E2">
        <w:rPr>
          <w:rFonts w:eastAsia="Calibri"/>
          <w:szCs w:val="22"/>
        </w:rPr>
        <w:t>(d) the ACT Government recently released a discussion paper on options for the review of child protection decisions in the ACT for public consultation;</w:t>
      </w:r>
    </w:p>
    <w:p w14:paraId="60132B51" w14:textId="77777777" w:rsidR="00A156E2" w:rsidRPr="00A156E2" w:rsidRDefault="00A156E2" w:rsidP="00A156E2">
      <w:pPr>
        <w:spacing w:after="200" w:line="276" w:lineRule="auto"/>
        <w:rPr>
          <w:rFonts w:eastAsia="Calibri"/>
          <w:szCs w:val="22"/>
        </w:rPr>
      </w:pPr>
      <w:r w:rsidRPr="00A156E2">
        <w:rPr>
          <w:rFonts w:eastAsia="Calibri"/>
          <w:szCs w:val="22"/>
        </w:rPr>
        <w:t>(2) also notes that:</w:t>
      </w:r>
    </w:p>
    <w:p w14:paraId="5A71A39B" w14:textId="77777777" w:rsidR="00A156E2" w:rsidRPr="00A156E2" w:rsidRDefault="00A156E2" w:rsidP="00A156E2">
      <w:pPr>
        <w:spacing w:after="200" w:line="276" w:lineRule="auto"/>
        <w:ind w:left="284"/>
        <w:rPr>
          <w:rFonts w:eastAsia="Calibri"/>
          <w:szCs w:val="22"/>
        </w:rPr>
      </w:pPr>
      <w:r w:rsidRPr="00A156E2">
        <w:rPr>
          <w:rFonts w:eastAsia="Calibri"/>
          <w:szCs w:val="22"/>
        </w:rPr>
        <w:t>(a) a 2018 Court of Appeal decision, reported in The Canberra Times on 17 February 2019, set aside previous Children’s Court and Supreme Court decisions in relation to the children’s need for care and protection; and</w:t>
      </w:r>
    </w:p>
    <w:p w14:paraId="549E61B3" w14:textId="77777777" w:rsidR="00A156E2" w:rsidRPr="00A156E2" w:rsidRDefault="00A156E2" w:rsidP="00A156E2">
      <w:pPr>
        <w:spacing w:after="200" w:line="276" w:lineRule="auto"/>
        <w:ind w:left="284"/>
        <w:rPr>
          <w:rFonts w:eastAsia="Calibri"/>
          <w:szCs w:val="22"/>
        </w:rPr>
      </w:pPr>
      <w:r w:rsidRPr="00A156E2">
        <w:rPr>
          <w:rFonts w:eastAsia="Calibri"/>
          <w:szCs w:val="22"/>
        </w:rPr>
        <w:t>(b) a number of prominent Canberrans, including legal practitioners, Aboriginal and Torres Strait Islander community leaders, and a former ACT Chief Minister, have publicly called for an inquiry into this matter;</w:t>
      </w:r>
    </w:p>
    <w:p w14:paraId="5B16FB8C" w14:textId="77777777" w:rsidR="00A156E2" w:rsidRPr="00A156E2" w:rsidRDefault="00A156E2" w:rsidP="00A156E2">
      <w:pPr>
        <w:spacing w:after="200" w:line="276" w:lineRule="auto"/>
        <w:rPr>
          <w:rFonts w:eastAsia="Calibri"/>
          <w:szCs w:val="22"/>
        </w:rPr>
      </w:pPr>
      <w:r w:rsidRPr="00A156E2">
        <w:rPr>
          <w:rFonts w:eastAsia="Calibri"/>
          <w:szCs w:val="22"/>
        </w:rPr>
        <w:t>(3) refers the following matters to the Standing Committee on Health, Ageing and Community Services:</w:t>
      </w:r>
    </w:p>
    <w:p w14:paraId="1BBD1CCD" w14:textId="77777777" w:rsidR="00A156E2" w:rsidRPr="00A156E2" w:rsidRDefault="00A156E2" w:rsidP="00A156E2">
      <w:pPr>
        <w:spacing w:after="200" w:line="276" w:lineRule="auto"/>
        <w:ind w:left="284"/>
        <w:rPr>
          <w:rFonts w:eastAsia="Calibri"/>
          <w:szCs w:val="22"/>
        </w:rPr>
      </w:pPr>
      <w:r w:rsidRPr="00A156E2">
        <w:rPr>
          <w:rFonts w:eastAsia="Calibri"/>
          <w:szCs w:val="22"/>
        </w:rPr>
        <w:t>(a) analysis of the case referred to in (2)(a) to identify potential systemic issues that may need to be addressed, and report to the Assembly no later than March 2020; and</w:t>
      </w:r>
    </w:p>
    <w:p w14:paraId="4106B060" w14:textId="77777777" w:rsidR="00A156E2" w:rsidRPr="00A156E2" w:rsidRDefault="00A156E2" w:rsidP="00A156E2">
      <w:pPr>
        <w:spacing w:after="200" w:line="276" w:lineRule="auto"/>
        <w:ind w:left="284"/>
        <w:rPr>
          <w:rFonts w:eastAsia="Calibri"/>
          <w:szCs w:val="22"/>
        </w:rPr>
      </w:pPr>
      <w:r w:rsidRPr="00A156E2">
        <w:rPr>
          <w:rFonts w:eastAsia="Calibri"/>
          <w:szCs w:val="22"/>
        </w:rPr>
        <w:t xml:space="preserve">(b) inquiry into the ability to share information in the care and protection system in accordance with the </w:t>
      </w:r>
      <w:r w:rsidRPr="00A156E2">
        <w:rPr>
          <w:rFonts w:eastAsia="Calibri"/>
          <w:i/>
          <w:iCs/>
          <w:szCs w:val="22"/>
        </w:rPr>
        <w:t>Children and Young People Act 2008</w:t>
      </w:r>
      <w:r w:rsidRPr="00A156E2">
        <w:rPr>
          <w:rFonts w:eastAsia="Calibri"/>
          <w:szCs w:val="22"/>
        </w:rPr>
        <w:t>, with a view to providing the maximum transparency and accountability so as to maintain community confidence in the ACT’s care and protection system, and report to the Assembly on a date to be determined by the Committee, but no later than July 2020; and</w:t>
      </w:r>
    </w:p>
    <w:p w14:paraId="38A92CCA" w14:textId="77777777" w:rsidR="00A156E2" w:rsidRPr="00A156E2" w:rsidRDefault="00A156E2" w:rsidP="00A156E2">
      <w:pPr>
        <w:spacing w:after="200" w:line="276" w:lineRule="auto"/>
        <w:rPr>
          <w:rFonts w:eastAsia="Calibri"/>
          <w:szCs w:val="22"/>
        </w:rPr>
      </w:pPr>
      <w:r w:rsidRPr="00A156E2">
        <w:rPr>
          <w:rFonts w:eastAsia="Calibri"/>
          <w:szCs w:val="22"/>
        </w:rPr>
        <w:t>(4) requests the Committee to observe the following in relation to the inquiries established at (3):</w:t>
      </w:r>
    </w:p>
    <w:p w14:paraId="4D281A06" w14:textId="77777777" w:rsidR="00A156E2" w:rsidRPr="00A156E2" w:rsidRDefault="00A156E2" w:rsidP="00A156E2">
      <w:pPr>
        <w:spacing w:after="200" w:line="276" w:lineRule="auto"/>
        <w:ind w:left="284"/>
        <w:rPr>
          <w:rFonts w:eastAsia="Calibri"/>
          <w:szCs w:val="22"/>
        </w:rPr>
      </w:pPr>
      <w:r w:rsidRPr="00A156E2">
        <w:rPr>
          <w:rFonts w:eastAsia="Calibri"/>
          <w:szCs w:val="22"/>
        </w:rPr>
        <w:t>(a) that the Committee take evidence and hold documents in ways that will not allow for individual people to be identified without their express consent; and</w:t>
      </w:r>
    </w:p>
    <w:p w14:paraId="71F7DA57" w14:textId="44A13E8F" w:rsidR="002E676A" w:rsidRDefault="00A156E2" w:rsidP="00FA00FC">
      <w:pPr>
        <w:pStyle w:val="Bodytextnonumbering"/>
        <w:ind w:left="284"/>
      </w:pPr>
      <w:r w:rsidRPr="00A156E2">
        <w:rPr>
          <w:rFonts w:eastAsia="Calibri" w:cs="Times New Roman"/>
          <w:iCs w:val="0"/>
          <w:szCs w:val="22"/>
        </w:rPr>
        <w:t>(b) to the extent that people providing or hearing evidence related to the inquiries are traumatised, that appropriate supports are referred or provided.</w:t>
      </w:r>
      <w:bookmarkEnd w:id="37"/>
      <w:r w:rsidR="007E1CED">
        <w:rPr>
          <w:rStyle w:val="FootnoteReference"/>
        </w:rPr>
        <w:footnoteReference w:id="2"/>
      </w:r>
    </w:p>
    <w:p w14:paraId="48BE7217" w14:textId="77777777" w:rsidR="00BF17A0" w:rsidRDefault="00BF17A0" w:rsidP="00E13F34">
      <w:pPr>
        <w:pStyle w:val="TOCHeading1"/>
        <w:sectPr w:rsidR="00BF17A0" w:rsidSect="0038734F">
          <w:headerReference w:type="even" r:id="rId14"/>
          <w:headerReference w:type="default" r:id="rId15"/>
          <w:footerReference w:type="even" r:id="rId16"/>
          <w:footerReference w:type="default" r:id="rId17"/>
          <w:headerReference w:type="first" r:id="rId18"/>
          <w:type w:val="oddPage"/>
          <w:pgSz w:w="11907" w:h="16840" w:code="9"/>
          <w:pgMar w:top="1588" w:right="1418" w:bottom="1418" w:left="1418" w:header="720" w:footer="851" w:gutter="0"/>
          <w:pgNumType w:fmt="lowerRoman" w:start="1"/>
          <w:cols w:space="720"/>
          <w:docGrid w:linePitch="360"/>
        </w:sectPr>
      </w:pPr>
      <w:bookmarkStart w:id="39" w:name="_Toc341433423"/>
      <w:bookmarkStart w:id="40" w:name="_Toc341687868"/>
    </w:p>
    <w:p w14:paraId="4C802361" w14:textId="42C989F6" w:rsidR="00D561BC" w:rsidRDefault="00D561BC" w:rsidP="00E13F34">
      <w:pPr>
        <w:pStyle w:val="TOCHeading1"/>
      </w:pPr>
      <w:r>
        <w:lastRenderedPageBreak/>
        <w:t>Table of contents</w:t>
      </w:r>
      <w:bookmarkEnd w:id="39"/>
      <w:bookmarkEnd w:id="40"/>
      <w:r>
        <w:t xml:space="preserve"> </w:t>
      </w:r>
    </w:p>
    <w:p w14:paraId="4327A327" w14:textId="7763D17E" w:rsidR="00335C1D" w:rsidRDefault="00C96FAD">
      <w:pPr>
        <w:pStyle w:val="TOC1"/>
        <w:rPr>
          <w:rFonts w:asciiTheme="minorHAnsi" w:eastAsiaTheme="minorEastAsia" w:hAnsiTheme="minorHAnsi" w:cstheme="minorBidi"/>
          <w:b w:val="0"/>
          <w:smallCaps w:val="0"/>
          <w:spacing w:val="0"/>
          <w:sz w:val="22"/>
          <w:lang w:eastAsia="en-AU"/>
        </w:rPr>
      </w:pPr>
      <w:r>
        <w:fldChar w:fldCharType="begin"/>
      </w:r>
      <w:r w:rsidR="00D561BC">
        <w:instrText xml:space="preserve"> TOC \o "3-3" \h \z \t "Heading 1,1,Heading 2,2,Prelim major heading,1,Appendix Heading 1,1,Heading level 2,2" </w:instrText>
      </w:r>
      <w:r>
        <w:fldChar w:fldCharType="separate"/>
      </w:r>
      <w:hyperlink w:anchor="_Toc49281139" w:history="1">
        <w:r w:rsidR="00335C1D" w:rsidRPr="001B3FD8">
          <w:rPr>
            <w:rStyle w:val="Hyperlink"/>
          </w:rPr>
          <w:t>The Committee</w:t>
        </w:r>
        <w:r w:rsidR="00335C1D">
          <w:rPr>
            <w:webHidden/>
          </w:rPr>
          <w:tab/>
        </w:r>
        <w:r w:rsidR="00335C1D">
          <w:rPr>
            <w:webHidden/>
          </w:rPr>
          <w:fldChar w:fldCharType="begin"/>
        </w:r>
        <w:r w:rsidR="00335C1D">
          <w:rPr>
            <w:webHidden/>
          </w:rPr>
          <w:instrText xml:space="preserve"> PAGEREF _Toc49281139 \h </w:instrText>
        </w:r>
        <w:r w:rsidR="00335C1D">
          <w:rPr>
            <w:webHidden/>
          </w:rPr>
        </w:r>
        <w:r w:rsidR="00335C1D">
          <w:rPr>
            <w:webHidden/>
          </w:rPr>
          <w:fldChar w:fldCharType="separate"/>
        </w:r>
        <w:r w:rsidR="00B31BD9">
          <w:rPr>
            <w:webHidden/>
          </w:rPr>
          <w:t>i</w:t>
        </w:r>
        <w:r w:rsidR="00335C1D">
          <w:rPr>
            <w:webHidden/>
          </w:rPr>
          <w:fldChar w:fldCharType="end"/>
        </w:r>
      </w:hyperlink>
    </w:p>
    <w:p w14:paraId="62AAD560" w14:textId="075A7EF9" w:rsidR="00335C1D" w:rsidRDefault="00A0740D">
      <w:pPr>
        <w:pStyle w:val="TOC3"/>
        <w:rPr>
          <w:rFonts w:asciiTheme="minorHAnsi" w:eastAsiaTheme="minorEastAsia" w:hAnsiTheme="minorHAnsi" w:cstheme="minorBidi"/>
          <w:b w:val="0"/>
          <w:szCs w:val="22"/>
          <w:lang w:eastAsia="en-AU"/>
        </w:rPr>
      </w:pPr>
      <w:hyperlink w:anchor="_Toc49281140" w:history="1">
        <w:r w:rsidR="00335C1D" w:rsidRPr="001B3FD8">
          <w:rPr>
            <w:rStyle w:val="Hyperlink"/>
            <w:spacing w:val="4"/>
          </w:rPr>
          <w:t>Committee membership</w:t>
        </w:r>
        <w:r w:rsidR="00335C1D">
          <w:rPr>
            <w:webHidden/>
          </w:rPr>
          <w:tab/>
        </w:r>
        <w:r w:rsidR="00335C1D">
          <w:rPr>
            <w:webHidden/>
          </w:rPr>
          <w:fldChar w:fldCharType="begin"/>
        </w:r>
        <w:r w:rsidR="00335C1D">
          <w:rPr>
            <w:webHidden/>
          </w:rPr>
          <w:instrText xml:space="preserve"> PAGEREF _Toc49281140 \h </w:instrText>
        </w:r>
        <w:r w:rsidR="00335C1D">
          <w:rPr>
            <w:webHidden/>
          </w:rPr>
        </w:r>
        <w:r w:rsidR="00335C1D">
          <w:rPr>
            <w:webHidden/>
          </w:rPr>
          <w:fldChar w:fldCharType="separate"/>
        </w:r>
        <w:r w:rsidR="00B31BD9">
          <w:rPr>
            <w:webHidden/>
          </w:rPr>
          <w:t>i</w:t>
        </w:r>
        <w:r w:rsidR="00335C1D">
          <w:rPr>
            <w:webHidden/>
          </w:rPr>
          <w:fldChar w:fldCharType="end"/>
        </w:r>
      </w:hyperlink>
    </w:p>
    <w:p w14:paraId="4EC8A548" w14:textId="7E4E3999" w:rsidR="00335C1D" w:rsidRDefault="00A0740D">
      <w:pPr>
        <w:pStyle w:val="TOC3"/>
        <w:rPr>
          <w:rFonts w:asciiTheme="minorHAnsi" w:eastAsiaTheme="minorEastAsia" w:hAnsiTheme="minorHAnsi" w:cstheme="minorBidi"/>
          <w:b w:val="0"/>
          <w:szCs w:val="22"/>
          <w:lang w:eastAsia="en-AU"/>
        </w:rPr>
      </w:pPr>
      <w:hyperlink w:anchor="_Toc49281141" w:history="1">
        <w:r w:rsidR="00335C1D" w:rsidRPr="001B3FD8">
          <w:rPr>
            <w:rStyle w:val="Hyperlink"/>
          </w:rPr>
          <w:t>Secretariat</w:t>
        </w:r>
        <w:r w:rsidR="00335C1D">
          <w:rPr>
            <w:webHidden/>
          </w:rPr>
          <w:tab/>
        </w:r>
        <w:r w:rsidR="00335C1D">
          <w:rPr>
            <w:webHidden/>
          </w:rPr>
          <w:fldChar w:fldCharType="begin"/>
        </w:r>
        <w:r w:rsidR="00335C1D">
          <w:rPr>
            <w:webHidden/>
          </w:rPr>
          <w:instrText xml:space="preserve"> PAGEREF _Toc49281141 \h </w:instrText>
        </w:r>
        <w:r w:rsidR="00335C1D">
          <w:rPr>
            <w:webHidden/>
          </w:rPr>
        </w:r>
        <w:r w:rsidR="00335C1D">
          <w:rPr>
            <w:webHidden/>
          </w:rPr>
          <w:fldChar w:fldCharType="separate"/>
        </w:r>
        <w:r w:rsidR="00B31BD9">
          <w:rPr>
            <w:webHidden/>
          </w:rPr>
          <w:t>i</w:t>
        </w:r>
        <w:r w:rsidR="00335C1D">
          <w:rPr>
            <w:webHidden/>
          </w:rPr>
          <w:fldChar w:fldCharType="end"/>
        </w:r>
      </w:hyperlink>
    </w:p>
    <w:p w14:paraId="02799A18" w14:textId="3F0E08F5" w:rsidR="00335C1D" w:rsidRDefault="00A0740D">
      <w:pPr>
        <w:pStyle w:val="TOC3"/>
        <w:rPr>
          <w:rFonts w:asciiTheme="minorHAnsi" w:eastAsiaTheme="minorEastAsia" w:hAnsiTheme="minorHAnsi" w:cstheme="minorBidi"/>
          <w:b w:val="0"/>
          <w:szCs w:val="22"/>
          <w:lang w:eastAsia="en-AU"/>
        </w:rPr>
      </w:pPr>
      <w:hyperlink w:anchor="_Toc49281142" w:history="1">
        <w:r w:rsidR="00335C1D" w:rsidRPr="001B3FD8">
          <w:rPr>
            <w:rStyle w:val="Hyperlink"/>
          </w:rPr>
          <w:t>Contact information</w:t>
        </w:r>
        <w:r w:rsidR="00335C1D">
          <w:rPr>
            <w:webHidden/>
          </w:rPr>
          <w:tab/>
        </w:r>
        <w:r w:rsidR="00335C1D">
          <w:rPr>
            <w:webHidden/>
          </w:rPr>
          <w:fldChar w:fldCharType="begin"/>
        </w:r>
        <w:r w:rsidR="00335C1D">
          <w:rPr>
            <w:webHidden/>
          </w:rPr>
          <w:instrText xml:space="preserve"> PAGEREF _Toc49281142 \h </w:instrText>
        </w:r>
        <w:r w:rsidR="00335C1D">
          <w:rPr>
            <w:webHidden/>
          </w:rPr>
        </w:r>
        <w:r w:rsidR="00335C1D">
          <w:rPr>
            <w:webHidden/>
          </w:rPr>
          <w:fldChar w:fldCharType="separate"/>
        </w:r>
        <w:r w:rsidR="00B31BD9">
          <w:rPr>
            <w:webHidden/>
          </w:rPr>
          <w:t>i</w:t>
        </w:r>
        <w:r w:rsidR="00335C1D">
          <w:rPr>
            <w:webHidden/>
          </w:rPr>
          <w:fldChar w:fldCharType="end"/>
        </w:r>
      </w:hyperlink>
    </w:p>
    <w:p w14:paraId="0E194385" w14:textId="2B8F3E42" w:rsidR="00335C1D" w:rsidRDefault="00A0740D">
      <w:pPr>
        <w:pStyle w:val="TOC3"/>
        <w:rPr>
          <w:rFonts w:asciiTheme="minorHAnsi" w:eastAsiaTheme="minorEastAsia" w:hAnsiTheme="minorHAnsi" w:cstheme="minorBidi"/>
          <w:b w:val="0"/>
          <w:szCs w:val="22"/>
          <w:lang w:eastAsia="en-AU"/>
        </w:rPr>
      </w:pPr>
      <w:hyperlink w:anchor="_Toc49281143" w:history="1">
        <w:r w:rsidR="00335C1D" w:rsidRPr="001B3FD8">
          <w:rPr>
            <w:rStyle w:val="Hyperlink"/>
          </w:rPr>
          <w:t>Resolution of appointment</w:t>
        </w:r>
        <w:r w:rsidR="00335C1D">
          <w:rPr>
            <w:webHidden/>
          </w:rPr>
          <w:tab/>
        </w:r>
        <w:r w:rsidR="00335C1D">
          <w:rPr>
            <w:webHidden/>
          </w:rPr>
          <w:fldChar w:fldCharType="begin"/>
        </w:r>
        <w:r w:rsidR="00335C1D">
          <w:rPr>
            <w:webHidden/>
          </w:rPr>
          <w:instrText xml:space="preserve"> PAGEREF _Toc49281143 \h </w:instrText>
        </w:r>
        <w:r w:rsidR="00335C1D">
          <w:rPr>
            <w:webHidden/>
          </w:rPr>
        </w:r>
        <w:r w:rsidR="00335C1D">
          <w:rPr>
            <w:webHidden/>
          </w:rPr>
          <w:fldChar w:fldCharType="separate"/>
        </w:r>
        <w:r w:rsidR="00B31BD9">
          <w:rPr>
            <w:webHidden/>
          </w:rPr>
          <w:t>ii</w:t>
        </w:r>
        <w:r w:rsidR="00335C1D">
          <w:rPr>
            <w:webHidden/>
          </w:rPr>
          <w:fldChar w:fldCharType="end"/>
        </w:r>
      </w:hyperlink>
    </w:p>
    <w:p w14:paraId="7A3FECA7" w14:textId="0508C526" w:rsidR="00335C1D" w:rsidRDefault="00A0740D">
      <w:pPr>
        <w:pStyle w:val="TOC3"/>
        <w:rPr>
          <w:rFonts w:asciiTheme="minorHAnsi" w:eastAsiaTheme="minorEastAsia" w:hAnsiTheme="minorHAnsi" w:cstheme="minorBidi"/>
          <w:b w:val="0"/>
          <w:szCs w:val="22"/>
          <w:lang w:eastAsia="en-AU"/>
        </w:rPr>
      </w:pPr>
      <w:hyperlink w:anchor="_Toc49281144" w:history="1">
        <w:r w:rsidR="00335C1D" w:rsidRPr="001B3FD8">
          <w:rPr>
            <w:rStyle w:val="Hyperlink"/>
          </w:rPr>
          <w:t>Terms of reference</w:t>
        </w:r>
        <w:r w:rsidR="00335C1D">
          <w:rPr>
            <w:webHidden/>
          </w:rPr>
          <w:tab/>
        </w:r>
        <w:r w:rsidR="00335C1D">
          <w:rPr>
            <w:webHidden/>
          </w:rPr>
          <w:fldChar w:fldCharType="begin"/>
        </w:r>
        <w:r w:rsidR="00335C1D">
          <w:rPr>
            <w:webHidden/>
          </w:rPr>
          <w:instrText xml:space="preserve"> PAGEREF _Toc49281144 \h </w:instrText>
        </w:r>
        <w:r w:rsidR="00335C1D">
          <w:rPr>
            <w:webHidden/>
          </w:rPr>
        </w:r>
        <w:r w:rsidR="00335C1D">
          <w:rPr>
            <w:webHidden/>
          </w:rPr>
          <w:fldChar w:fldCharType="separate"/>
        </w:r>
        <w:r w:rsidR="00B31BD9">
          <w:rPr>
            <w:webHidden/>
          </w:rPr>
          <w:t>ii</w:t>
        </w:r>
        <w:r w:rsidR="00335C1D">
          <w:rPr>
            <w:webHidden/>
          </w:rPr>
          <w:fldChar w:fldCharType="end"/>
        </w:r>
      </w:hyperlink>
    </w:p>
    <w:p w14:paraId="0166C160" w14:textId="15FDC3FA" w:rsidR="00335C1D" w:rsidRDefault="00A0740D">
      <w:pPr>
        <w:pStyle w:val="TOC1"/>
        <w:rPr>
          <w:rFonts w:asciiTheme="minorHAnsi" w:eastAsiaTheme="minorEastAsia" w:hAnsiTheme="minorHAnsi" w:cstheme="minorBidi"/>
          <w:b w:val="0"/>
          <w:smallCaps w:val="0"/>
          <w:spacing w:val="0"/>
          <w:sz w:val="22"/>
          <w:lang w:eastAsia="en-AU"/>
        </w:rPr>
      </w:pPr>
      <w:hyperlink w:anchor="_Toc49281145" w:history="1">
        <w:r w:rsidR="00335C1D" w:rsidRPr="001B3FD8">
          <w:rPr>
            <w:rStyle w:val="Hyperlink"/>
          </w:rPr>
          <w:t>Recommendations</w:t>
        </w:r>
        <w:r w:rsidR="00335C1D">
          <w:rPr>
            <w:webHidden/>
          </w:rPr>
          <w:tab/>
        </w:r>
        <w:r w:rsidR="00335C1D">
          <w:rPr>
            <w:webHidden/>
          </w:rPr>
          <w:fldChar w:fldCharType="begin"/>
        </w:r>
        <w:r w:rsidR="00335C1D">
          <w:rPr>
            <w:webHidden/>
          </w:rPr>
          <w:instrText xml:space="preserve"> PAGEREF _Toc49281145 \h </w:instrText>
        </w:r>
        <w:r w:rsidR="00335C1D">
          <w:rPr>
            <w:webHidden/>
          </w:rPr>
        </w:r>
        <w:r w:rsidR="00335C1D">
          <w:rPr>
            <w:webHidden/>
          </w:rPr>
          <w:fldChar w:fldCharType="separate"/>
        </w:r>
        <w:r w:rsidR="00B31BD9">
          <w:rPr>
            <w:webHidden/>
          </w:rPr>
          <w:t>vii</w:t>
        </w:r>
        <w:r w:rsidR="00335C1D">
          <w:rPr>
            <w:webHidden/>
          </w:rPr>
          <w:fldChar w:fldCharType="end"/>
        </w:r>
      </w:hyperlink>
    </w:p>
    <w:p w14:paraId="5E153958" w14:textId="07CE3D47" w:rsidR="00335C1D" w:rsidRDefault="00A0740D">
      <w:pPr>
        <w:pStyle w:val="TOC1"/>
        <w:tabs>
          <w:tab w:val="left" w:pos="1588"/>
        </w:tabs>
        <w:rPr>
          <w:rFonts w:asciiTheme="minorHAnsi" w:eastAsiaTheme="minorEastAsia" w:hAnsiTheme="minorHAnsi" w:cstheme="minorBidi"/>
          <w:b w:val="0"/>
          <w:smallCaps w:val="0"/>
          <w:spacing w:val="0"/>
          <w:sz w:val="22"/>
          <w:lang w:eastAsia="en-AU"/>
        </w:rPr>
      </w:pPr>
      <w:hyperlink w:anchor="_Toc49281146" w:history="1">
        <w:r w:rsidR="00335C1D" w:rsidRPr="001B3FD8">
          <w:rPr>
            <w:rStyle w:val="Hyperlink"/>
          </w:rPr>
          <w:t>1</w:t>
        </w:r>
        <w:r w:rsidR="00335C1D">
          <w:rPr>
            <w:rFonts w:asciiTheme="minorHAnsi" w:eastAsiaTheme="minorEastAsia" w:hAnsiTheme="minorHAnsi" w:cstheme="minorBidi"/>
            <w:b w:val="0"/>
            <w:smallCaps w:val="0"/>
            <w:spacing w:val="0"/>
            <w:sz w:val="22"/>
            <w:lang w:eastAsia="en-AU"/>
          </w:rPr>
          <w:tab/>
        </w:r>
        <w:r w:rsidR="00335C1D" w:rsidRPr="001B3FD8">
          <w:rPr>
            <w:rStyle w:val="Hyperlink"/>
          </w:rPr>
          <w:t>Introduction and conduct of inquiry</w:t>
        </w:r>
        <w:r w:rsidR="00335C1D">
          <w:rPr>
            <w:webHidden/>
          </w:rPr>
          <w:tab/>
        </w:r>
        <w:r w:rsidR="00335C1D">
          <w:rPr>
            <w:webHidden/>
          </w:rPr>
          <w:fldChar w:fldCharType="begin"/>
        </w:r>
        <w:r w:rsidR="00335C1D">
          <w:rPr>
            <w:webHidden/>
          </w:rPr>
          <w:instrText xml:space="preserve"> PAGEREF _Toc49281146 \h </w:instrText>
        </w:r>
        <w:r w:rsidR="00335C1D">
          <w:rPr>
            <w:webHidden/>
          </w:rPr>
        </w:r>
        <w:r w:rsidR="00335C1D">
          <w:rPr>
            <w:webHidden/>
          </w:rPr>
          <w:fldChar w:fldCharType="separate"/>
        </w:r>
        <w:r w:rsidR="00B31BD9">
          <w:rPr>
            <w:webHidden/>
          </w:rPr>
          <w:t>1</w:t>
        </w:r>
        <w:r w:rsidR="00335C1D">
          <w:rPr>
            <w:webHidden/>
          </w:rPr>
          <w:fldChar w:fldCharType="end"/>
        </w:r>
      </w:hyperlink>
    </w:p>
    <w:p w14:paraId="6F45CB05" w14:textId="512200D9" w:rsidR="00335C1D" w:rsidRDefault="00A0740D">
      <w:pPr>
        <w:pStyle w:val="TOC2"/>
        <w:rPr>
          <w:rFonts w:asciiTheme="minorHAnsi" w:eastAsiaTheme="minorEastAsia" w:hAnsiTheme="minorHAnsi" w:cstheme="minorBidi"/>
          <w:b w:val="0"/>
          <w:szCs w:val="22"/>
          <w:lang w:eastAsia="en-AU"/>
        </w:rPr>
      </w:pPr>
      <w:hyperlink w:anchor="_Toc49281147" w:history="1">
        <w:r w:rsidR="00335C1D" w:rsidRPr="001B3FD8">
          <w:rPr>
            <w:rStyle w:val="Hyperlink"/>
          </w:rPr>
          <w:t>Inquiry referral and terms of reference</w:t>
        </w:r>
        <w:r w:rsidR="00335C1D">
          <w:rPr>
            <w:webHidden/>
          </w:rPr>
          <w:tab/>
        </w:r>
        <w:r w:rsidR="00335C1D">
          <w:rPr>
            <w:webHidden/>
          </w:rPr>
          <w:fldChar w:fldCharType="begin"/>
        </w:r>
        <w:r w:rsidR="00335C1D">
          <w:rPr>
            <w:webHidden/>
          </w:rPr>
          <w:instrText xml:space="preserve"> PAGEREF _Toc49281147 \h </w:instrText>
        </w:r>
        <w:r w:rsidR="00335C1D">
          <w:rPr>
            <w:webHidden/>
          </w:rPr>
        </w:r>
        <w:r w:rsidR="00335C1D">
          <w:rPr>
            <w:webHidden/>
          </w:rPr>
          <w:fldChar w:fldCharType="separate"/>
        </w:r>
        <w:r w:rsidR="00B31BD9">
          <w:rPr>
            <w:webHidden/>
          </w:rPr>
          <w:t>1</w:t>
        </w:r>
        <w:r w:rsidR="00335C1D">
          <w:rPr>
            <w:webHidden/>
          </w:rPr>
          <w:fldChar w:fldCharType="end"/>
        </w:r>
      </w:hyperlink>
    </w:p>
    <w:p w14:paraId="638A7341" w14:textId="06C8C152" w:rsidR="00335C1D" w:rsidRDefault="00A0740D">
      <w:pPr>
        <w:pStyle w:val="TOC2"/>
        <w:rPr>
          <w:rFonts w:asciiTheme="minorHAnsi" w:eastAsiaTheme="minorEastAsia" w:hAnsiTheme="minorHAnsi" w:cstheme="minorBidi"/>
          <w:b w:val="0"/>
          <w:szCs w:val="22"/>
          <w:lang w:eastAsia="en-AU"/>
        </w:rPr>
      </w:pPr>
      <w:hyperlink w:anchor="_Toc49281148" w:history="1">
        <w:r w:rsidR="00335C1D" w:rsidRPr="001B3FD8">
          <w:rPr>
            <w:rStyle w:val="Hyperlink"/>
          </w:rPr>
          <w:t>Conduct of the inquiry</w:t>
        </w:r>
        <w:r w:rsidR="00335C1D">
          <w:rPr>
            <w:webHidden/>
          </w:rPr>
          <w:tab/>
        </w:r>
        <w:r w:rsidR="00335C1D">
          <w:rPr>
            <w:webHidden/>
          </w:rPr>
          <w:fldChar w:fldCharType="begin"/>
        </w:r>
        <w:r w:rsidR="00335C1D">
          <w:rPr>
            <w:webHidden/>
          </w:rPr>
          <w:instrText xml:space="preserve"> PAGEREF _Toc49281148 \h </w:instrText>
        </w:r>
        <w:r w:rsidR="00335C1D">
          <w:rPr>
            <w:webHidden/>
          </w:rPr>
        </w:r>
        <w:r w:rsidR="00335C1D">
          <w:rPr>
            <w:webHidden/>
          </w:rPr>
          <w:fldChar w:fldCharType="separate"/>
        </w:r>
        <w:r w:rsidR="00B31BD9">
          <w:rPr>
            <w:webHidden/>
          </w:rPr>
          <w:t>1</w:t>
        </w:r>
        <w:r w:rsidR="00335C1D">
          <w:rPr>
            <w:webHidden/>
          </w:rPr>
          <w:fldChar w:fldCharType="end"/>
        </w:r>
      </w:hyperlink>
    </w:p>
    <w:p w14:paraId="517468F1" w14:textId="3206522D" w:rsidR="00335C1D" w:rsidRDefault="00A0740D">
      <w:pPr>
        <w:pStyle w:val="TOC2"/>
        <w:rPr>
          <w:rFonts w:asciiTheme="minorHAnsi" w:eastAsiaTheme="minorEastAsia" w:hAnsiTheme="minorHAnsi" w:cstheme="minorBidi"/>
          <w:b w:val="0"/>
          <w:szCs w:val="22"/>
          <w:lang w:eastAsia="en-AU"/>
        </w:rPr>
      </w:pPr>
      <w:hyperlink w:anchor="_Toc49281149" w:history="1">
        <w:r w:rsidR="00335C1D" w:rsidRPr="001B3FD8">
          <w:rPr>
            <w:rStyle w:val="Hyperlink"/>
          </w:rPr>
          <w:t>Structure of the Committee’s Final report</w:t>
        </w:r>
        <w:r w:rsidR="00335C1D">
          <w:rPr>
            <w:webHidden/>
          </w:rPr>
          <w:tab/>
        </w:r>
        <w:r w:rsidR="00335C1D">
          <w:rPr>
            <w:webHidden/>
          </w:rPr>
          <w:fldChar w:fldCharType="begin"/>
        </w:r>
        <w:r w:rsidR="00335C1D">
          <w:rPr>
            <w:webHidden/>
          </w:rPr>
          <w:instrText xml:space="preserve"> PAGEREF _Toc49281149 \h </w:instrText>
        </w:r>
        <w:r w:rsidR="00335C1D">
          <w:rPr>
            <w:webHidden/>
          </w:rPr>
        </w:r>
        <w:r w:rsidR="00335C1D">
          <w:rPr>
            <w:webHidden/>
          </w:rPr>
          <w:fldChar w:fldCharType="separate"/>
        </w:r>
        <w:r w:rsidR="00B31BD9">
          <w:rPr>
            <w:webHidden/>
          </w:rPr>
          <w:t>2</w:t>
        </w:r>
        <w:r w:rsidR="00335C1D">
          <w:rPr>
            <w:webHidden/>
          </w:rPr>
          <w:fldChar w:fldCharType="end"/>
        </w:r>
      </w:hyperlink>
    </w:p>
    <w:p w14:paraId="79EAC7B4" w14:textId="7A31325F" w:rsidR="00335C1D" w:rsidRDefault="00A0740D">
      <w:pPr>
        <w:pStyle w:val="TOC2"/>
        <w:rPr>
          <w:rFonts w:asciiTheme="minorHAnsi" w:eastAsiaTheme="minorEastAsia" w:hAnsiTheme="minorHAnsi" w:cstheme="minorBidi"/>
          <w:b w:val="0"/>
          <w:szCs w:val="22"/>
          <w:lang w:eastAsia="en-AU"/>
        </w:rPr>
      </w:pPr>
      <w:hyperlink w:anchor="_Toc49281150" w:history="1">
        <w:r w:rsidR="00335C1D" w:rsidRPr="001B3FD8">
          <w:rPr>
            <w:rStyle w:val="Hyperlink"/>
          </w:rPr>
          <w:t>Acknowledgements</w:t>
        </w:r>
        <w:r w:rsidR="00335C1D">
          <w:rPr>
            <w:webHidden/>
          </w:rPr>
          <w:tab/>
        </w:r>
        <w:r w:rsidR="00335C1D">
          <w:rPr>
            <w:webHidden/>
          </w:rPr>
          <w:fldChar w:fldCharType="begin"/>
        </w:r>
        <w:r w:rsidR="00335C1D">
          <w:rPr>
            <w:webHidden/>
          </w:rPr>
          <w:instrText xml:space="preserve"> PAGEREF _Toc49281150 \h </w:instrText>
        </w:r>
        <w:r w:rsidR="00335C1D">
          <w:rPr>
            <w:webHidden/>
          </w:rPr>
        </w:r>
        <w:r w:rsidR="00335C1D">
          <w:rPr>
            <w:webHidden/>
          </w:rPr>
          <w:fldChar w:fldCharType="separate"/>
        </w:r>
        <w:r w:rsidR="00B31BD9">
          <w:rPr>
            <w:webHidden/>
          </w:rPr>
          <w:t>2</w:t>
        </w:r>
        <w:r w:rsidR="00335C1D">
          <w:rPr>
            <w:webHidden/>
          </w:rPr>
          <w:fldChar w:fldCharType="end"/>
        </w:r>
      </w:hyperlink>
    </w:p>
    <w:p w14:paraId="3EFC42A5" w14:textId="0FE9A75F" w:rsidR="00335C1D" w:rsidRDefault="00A0740D">
      <w:pPr>
        <w:pStyle w:val="TOC1"/>
        <w:tabs>
          <w:tab w:val="left" w:pos="1588"/>
        </w:tabs>
        <w:rPr>
          <w:rFonts w:asciiTheme="minorHAnsi" w:eastAsiaTheme="minorEastAsia" w:hAnsiTheme="minorHAnsi" w:cstheme="minorBidi"/>
          <w:b w:val="0"/>
          <w:smallCaps w:val="0"/>
          <w:spacing w:val="0"/>
          <w:sz w:val="22"/>
          <w:lang w:eastAsia="en-AU"/>
        </w:rPr>
      </w:pPr>
      <w:hyperlink w:anchor="_Toc49281151" w:history="1">
        <w:r w:rsidR="00335C1D" w:rsidRPr="001B3FD8">
          <w:rPr>
            <w:rStyle w:val="Hyperlink"/>
          </w:rPr>
          <w:t>2</w:t>
        </w:r>
        <w:r w:rsidR="00335C1D">
          <w:rPr>
            <w:rFonts w:asciiTheme="minorHAnsi" w:eastAsiaTheme="minorEastAsia" w:hAnsiTheme="minorHAnsi" w:cstheme="minorBidi"/>
            <w:b w:val="0"/>
            <w:smallCaps w:val="0"/>
            <w:spacing w:val="0"/>
            <w:sz w:val="22"/>
            <w:lang w:eastAsia="en-AU"/>
          </w:rPr>
          <w:tab/>
        </w:r>
        <w:r w:rsidR="00335C1D" w:rsidRPr="001B3FD8">
          <w:rPr>
            <w:rStyle w:val="Hyperlink"/>
          </w:rPr>
          <w:t>Inquiry context</w:t>
        </w:r>
        <w:r w:rsidR="00335C1D">
          <w:rPr>
            <w:webHidden/>
          </w:rPr>
          <w:tab/>
        </w:r>
        <w:r w:rsidR="00335C1D">
          <w:rPr>
            <w:webHidden/>
          </w:rPr>
          <w:fldChar w:fldCharType="begin"/>
        </w:r>
        <w:r w:rsidR="00335C1D">
          <w:rPr>
            <w:webHidden/>
          </w:rPr>
          <w:instrText xml:space="preserve"> PAGEREF _Toc49281151 \h </w:instrText>
        </w:r>
        <w:r w:rsidR="00335C1D">
          <w:rPr>
            <w:webHidden/>
          </w:rPr>
        </w:r>
        <w:r w:rsidR="00335C1D">
          <w:rPr>
            <w:webHidden/>
          </w:rPr>
          <w:fldChar w:fldCharType="separate"/>
        </w:r>
        <w:r w:rsidR="00B31BD9">
          <w:rPr>
            <w:webHidden/>
          </w:rPr>
          <w:t>3</w:t>
        </w:r>
        <w:r w:rsidR="00335C1D">
          <w:rPr>
            <w:webHidden/>
          </w:rPr>
          <w:fldChar w:fldCharType="end"/>
        </w:r>
      </w:hyperlink>
    </w:p>
    <w:p w14:paraId="6E959053" w14:textId="0B48CCAE" w:rsidR="00335C1D" w:rsidRDefault="00A0740D">
      <w:pPr>
        <w:pStyle w:val="TOC1"/>
        <w:tabs>
          <w:tab w:val="left" w:pos="1588"/>
        </w:tabs>
        <w:rPr>
          <w:rFonts w:asciiTheme="minorHAnsi" w:eastAsiaTheme="minorEastAsia" w:hAnsiTheme="minorHAnsi" w:cstheme="minorBidi"/>
          <w:b w:val="0"/>
          <w:smallCaps w:val="0"/>
          <w:spacing w:val="0"/>
          <w:sz w:val="22"/>
          <w:lang w:eastAsia="en-AU"/>
        </w:rPr>
      </w:pPr>
      <w:hyperlink w:anchor="_Toc49281152" w:history="1">
        <w:r w:rsidR="00335C1D" w:rsidRPr="001B3FD8">
          <w:rPr>
            <w:rStyle w:val="Hyperlink"/>
          </w:rPr>
          <w:t>3</w:t>
        </w:r>
        <w:r w:rsidR="00335C1D">
          <w:rPr>
            <w:rFonts w:asciiTheme="minorHAnsi" w:eastAsiaTheme="minorEastAsia" w:hAnsiTheme="minorHAnsi" w:cstheme="minorBidi"/>
            <w:b w:val="0"/>
            <w:smallCaps w:val="0"/>
            <w:spacing w:val="0"/>
            <w:sz w:val="22"/>
            <w:lang w:eastAsia="en-AU"/>
          </w:rPr>
          <w:tab/>
        </w:r>
        <w:r w:rsidR="00335C1D" w:rsidRPr="001B3FD8">
          <w:rPr>
            <w:rStyle w:val="Hyperlink"/>
          </w:rPr>
          <w:t>Inquiry Guiding Principles and Management Plan</w:t>
        </w:r>
        <w:r w:rsidR="00335C1D">
          <w:rPr>
            <w:webHidden/>
          </w:rPr>
          <w:tab/>
        </w:r>
        <w:r w:rsidR="00335C1D">
          <w:rPr>
            <w:webHidden/>
          </w:rPr>
          <w:fldChar w:fldCharType="begin"/>
        </w:r>
        <w:r w:rsidR="00335C1D">
          <w:rPr>
            <w:webHidden/>
          </w:rPr>
          <w:instrText xml:space="preserve"> PAGEREF _Toc49281152 \h </w:instrText>
        </w:r>
        <w:r w:rsidR="00335C1D">
          <w:rPr>
            <w:webHidden/>
          </w:rPr>
        </w:r>
        <w:r w:rsidR="00335C1D">
          <w:rPr>
            <w:webHidden/>
          </w:rPr>
          <w:fldChar w:fldCharType="separate"/>
        </w:r>
        <w:r w:rsidR="00B31BD9">
          <w:rPr>
            <w:webHidden/>
          </w:rPr>
          <w:t>5</w:t>
        </w:r>
        <w:r w:rsidR="00335C1D">
          <w:rPr>
            <w:webHidden/>
          </w:rPr>
          <w:fldChar w:fldCharType="end"/>
        </w:r>
      </w:hyperlink>
    </w:p>
    <w:p w14:paraId="7ACEBEEE" w14:textId="09C11BF7" w:rsidR="00335C1D" w:rsidRDefault="00A0740D">
      <w:pPr>
        <w:pStyle w:val="TOC2"/>
        <w:rPr>
          <w:rFonts w:asciiTheme="minorHAnsi" w:eastAsiaTheme="minorEastAsia" w:hAnsiTheme="minorHAnsi" w:cstheme="minorBidi"/>
          <w:b w:val="0"/>
          <w:szCs w:val="22"/>
          <w:lang w:eastAsia="en-AU"/>
        </w:rPr>
      </w:pPr>
      <w:hyperlink w:anchor="_Toc49281153" w:history="1">
        <w:r w:rsidR="00335C1D" w:rsidRPr="001B3FD8">
          <w:rPr>
            <w:rStyle w:val="Hyperlink"/>
          </w:rPr>
          <w:t>Overarching authorities and guiding principles</w:t>
        </w:r>
        <w:r w:rsidR="00335C1D">
          <w:rPr>
            <w:webHidden/>
          </w:rPr>
          <w:tab/>
        </w:r>
        <w:r w:rsidR="00335C1D">
          <w:rPr>
            <w:webHidden/>
          </w:rPr>
          <w:fldChar w:fldCharType="begin"/>
        </w:r>
        <w:r w:rsidR="00335C1D">
          <w:rPr>
            <w:webHidden/>
          </w:rPr>
          <w:instrText xml:space="preserve"> PAGEREF _Toc49281153 \h </w:instrText>
        </w:r>
        <w:r w:rsidR="00335C1D">
          <w:rPr>
            <w:webHidden/>
          </w:rPr>
        </w:r>
        <w:r w:rsidR="00335C1D">
          <w:rPr>
            <w:webHidden/>
          </w:rPr>
          <w:fldChar w:fldCharType="separate"/>
        </w:r>
        <w:r w:rsidR="00B31BD9">
          <w:rPr>
            <w:webHidden/>
          </w:rPr>
          <w:t>5</w:t>
        </w:r>
        <w:r w:rsidR="00335C1D">
          <w:rPr>
            <w:webHidden/>
          </w:rPr>
          <w:fldChar w:fldCharType="end"/>
        </w:r>
      </w:hyperlink>
    </w:p>
    <w:p w14:paraId="687F972F" w14:textId="3BCD2891" w:rsidR="00335C1D" w:rsidRDefault="00A0740D">
      <w:pPr>
        <w:pStyle w:val="TOC2"/>
        <w:rPr>
          <w:rFonts w:asciiTheme="minorHAnsi" w:eastAsiaTheme="minorEastAsia" w:hAnsiTheme="minorHAnsi" w:cstheme="minorBidi"/>
          <w:b w:val="0"/>
          <w:szCs w:val="22"/>
          <w:lang w:eastAsia="en-AU"/>
        </w:rPr>
      </w:pPr>
      <w:hyperlink w:anchor="_Toc49281154" w:history="1">
        <w:r w:rsidR="00335C1D" w:rsidRPr="001B3FD8">
          <w:rPr>
            <w:rStyle w:val="Hyperlink"/>
          </w:rPr>
          <w:t>Inquiry specific authorities and guiding principles</w:t>
        </w:r>
        <w:r w:rsidR="00335C1D">
          <w:rPr>
            <w:webHidden/>
          </w:rPr>
          <w:tab/>
        </w:r>
        <w:r w:rsidR="00335C1D">
          <w:rPr>
            <w:webHidden/>
          </w:rPr>
          <w:fldChar w:fldCharType="begin"/>
        </w:r>
        <w:r w:rsidR="00335C1D">
          <w:rPr>
            <w:webHidden/>
          </w:rPr>
          <w:instrText xml:space="preserve"> PAGEREF _Toc49281154 \h </w:instrText>
        </w:r>
        <w:r w:rsidR="00335C1D">
          <w:rPr>
            <w:webHidden/>
          </w:rPr>
        </w:r>
        <w:r w:rsidR="00335C1D">
          <w:rPr>
            <w:webHidden/>
          </w:rPr>
          <w:fldChar w:fldCharType="separate"/>
        </w:r>
        <w:r w:rsidR="00B31BD9">
          <w:rPr>
            <w:webHidden/>
          </w:rPr>
          <w:t>7</w:t>
        </w:r>
        <w:r w:rsidR="00335C1D">
          <w:rPr>
            <w:webHidden/>
          </w:rPr>
          <w:fldChar w:fldCharType="end"/>
        </w:r>
      </w:hyperlink>
    </w:p>
    <w:p w14:paraId="01D7E77B" w14:textId="5AA3CCDE" w:rsidR="00335C1D" w:rsidRDefault="00A0740D">
      <w:pPr>
        <w:pStyle w:val="TOC2"/>
        <w:rPr>
          <w:rFonts w:asciiTheme="minorHAnsi" w:eastAsiaTheme="minorEastAsia" w:hAnsiTheme="minorHAnsi" w:cstheme="minorBidi"/>
          <w:b w:val="0"/>
          <w:szCs w:val="22"/>
          <w:lang w:eastAsia="en-AU"/>
        </w:rPr>
      </w:pPr>
      <w:hyperlink w:anchor="_Toc49281155" w:history="1">
        <w:r w:rsidR="00335C1D" w:rsidRPr="001B3FD8">
          <w:rPr>
            <w:rStyle w:val="Hyperlink"/>
          </w:rPr>
          <w:t>Bounding the inquiry—broad public interest mandate</w:t>
        </w:r>
        <w:r w:rsidR="00335C1D">
          <w:rPr>
            <w:webHidden/>
          </w:rPr>
          <w:tab/>
        </w:r>
        <w:r w:rsidR="00335C1D">
          <w:rPr>
            <w:webHidden/>
          </w:rPr>
          <w:fldChar w:fldCharType="begin"/>
        </w:r>
        <w:r w:rsidR="00335C1D">
          <w:rPr>
            <w:webHidden/>
          </w:rPr>
          <w:instrText xml:space="preserve"> PAGEREF _Toc49281155 \h </w:instrText>
        </w:r>
        <w:r w:rsidR="00335C1D">
          <w:rPr>
            <w:webHidden/>
          </w:rPr>
        </w:r>
        <w:r w:rsidR="00335C1D">
          <w:rPr>
            <w:webHidden/>
          </w:rPr>
          <w:fldChar w:fldCharType="separate"/>
        </w:r>
        <w:r w:rsidR="00B31BD9">
          <w:rPr>
            <w:webHidden/>
          </w:rPr>
          <w:t>8</w:t>
        </w:r>
        <w:r w:rsidR="00335C1D">
          <w:rPr>
            <w:webHidden/>
          </w:rPr>
          <w:fldChar w:fldCharType="end"/>
        </w:r>
      </w:hyperlink>
    </w:p>
    <w:p w14:paraId="52D80165" w14:textId="1F915ED3" w:rsidR="00335C1D" w:rsidRDefault="00A0740D">
      <w:pPr>
        <w:pStyle w:val="TOC1"/>
        <w:tabs>
          <w:tab w:val="left" w:pos="1588"/>
        </w:tabs>
        <w:rPr>
          <w:rFonts w:asciiTheme="minorHAnsi" w:eastAsiaTheme="minorEastAsia" w:hAnsiTheme="minorHAnsi" w:cstheme="minorBidi"/>
          <w:b w:val="0"/>
          <w:smallCaps w:val="0"/>
          <w:spacing w:val="0"/>
          <w:sz w:val="22"/>
          <w:lang w:eastAsia="en-AU"/>
        </w:rPr>
      </w:pPr>
      <w:hyperlink w:anchor="_Toc49281156" w:history="1">
        <w:r w:rsidR="00335C1D" w:rsidRPr="001B3FD8">
          <w:rPr>
            <w:rStyle w:val="Hyperlink"/>
          </w:rPr>
          <w:t>4</w:t>
        </w:r>
        <w:r w:rsidR="00335C1D">
          <w:rPr>
            <w:rFonts w:asciiTheme="minorHAnsi" w:eastAsiaTheme="minorEastAsia" w:hAnsiTheme="minorHAnsi" w:cstheme="minorBidi"/>
            <w:b w:val="0"/>
            <w:smallCaps w:val="0"/>
            <w:spacing w:val="0"/>
            <w:sz w:val="22"/>
            <w:lang w:eastAsia="en-AU"/>
          </w:rPr>
          <w:tab/>
        </w:r>
        <w:r w:rsidR="00335C1D" w:rsidRPr="001B3FD8">
          <w:rPr>
            <w:rStyle w:val="Hyperlink"/>
          </w:rPr>
          <w:t>Committee consideration of the issues</w:t>
        </w:r>
        <w:r w:rsidR="00335C1D">
          <w:rPr>
            <w:webHidden/>
          </w:rPr>
          <w:tab/>
        </w:r>
        <w:r w:rsidR="00335C1D">
          <w:rPr>
            <w:webHidden/>
          </w:rPr>
          <w:fldChar w:fldCharType="begin"/>
        </w:r>
        <w:r w:rsidR="00335C1D">
          <w:rPr>
            <w:webHidden/>
          </w:rPr>
          <w:instrText xml:space="preserve"> PAGEREF _Toc49281156 \h </w:instrText>
        </w:r>
        <w:r w:rsidR="00335C1D">
          <w:rPr>
            <w:webHidden/>
          </w:rPr>
        </w:r>
        <w:r w:rsidR="00335C1D">
          <w:rPr>
            <w:webHidden/>
          </w:rPr>
          <w:fldChar w:fldCharType="separate"/>
        </w:r>
        <w:r w:rsidR="00B31BD9">
          <w:rPr>
            <w:webHidden/>
          </w:rPr>
          <w:t>9</w:t>
        </w:r>
        <w:r w:rsidR="00335C1D">
          <w:rPr>
            <w:webHidden/>
          </w:rPr>
          <w:fldChar w:fldCharType="end"/>
        </w:r>
      </w:hyperlink>
    </w:p>
    <w:p w14:paraId="43BA63DF" w14:textId="5052A872" w:rsidR="00335C1D" w:rsidRDefault="00A0740D">
      <w:pPr>
        <w:pStyle w:val="TOC2"/>
        <w:rPr>
          <w:rFonts w:asciiTheme="minorHAnsi" w:eastAsiaTheme="minorEastAsia" w:hAnsiTheme="minorHAnsi" w:cstheme="minorBidi"/>
          <w:b w:val="0"/>
          <w:szCs w:val="22"/>
          <w:lang w:eastAsia="en-AU"/>
        </w:rPr>
      </w:pPr>
      <w:hyperlink w:anchor="_Toc49281157" w:history="1">
        <w:r w:rsidR="00335C1D" w:rsidRPr="001B3FD8">
          <w:rPr>
            <w:rStyle w:val="Hyperlink"/>
            <w:lang w:eastAsia="en-AU"/>
          </w:rPr>
          <w:t>Specific case</w:t>
        </w:r>
        <w:r w:rsidR="00335C1D">
          <w:rPr>
            <w:webHidden/>
          </w:rPr>
          <w:tab/>
        </w:r>
        <w:r w:rsidR="00335C1D">
          <w:rPr>
            <w:webHidden/>
          </w:rPr>
          <w:fldChar w:fldCharType="begin"/>
        </w:r>
        <w:r w:rsidR="00335C1D">
          <w:rPr>
            <w:webHidden/>
          </w:rPr>
          <w:instrText xml:space="preserve"> PAGEREF _Toc49281157 \h </w:instrText>
        </w:r>
        <w:r w:rsidR="00335C1D">
          <w:rPr>
            <w:webHidden/>
          </w:rPr>
        </w:r>
        <w:r w:rsidR="00335C1D">
          <w:rPr>
            <w:webHidden/>
          </w:rPr>
          <w:fldChar w:fldCharType="separate"/>
        </w:r>
        <w:r w:rsidR="00B31BD9">
          <w:rPr>
            <w:webHidden/>
          </w:rPr>
          <w:t>9</w:t>
        </w:r>
        <w:r w:rsidR="00335C1D">
          <w:rPr>
            <w:webHidden/>
          </w:rPr>
          <w:fldChar w:fldCharType="end"/>
        </w:r>
      </w:hyperlink>
    </w:p>
    <w:p w14:paraId="60964D3C" w14:textId="57F36C8A" w:rsidR="00335C1D" w:rsidRDefault="00A0740D">
      <w:pPr>
        <w:pStyle w:val="TOC2"/>
        <w:rPr>
          <w:rFonts w:asciiTheme="minorHAnsi" w:eastAsiaTheme="minorEastAsia" w:hAnsiTheme="minorHAnsi" w:cstheme="minorBidi"/>
          <w:b w:val="0"/>
          <w:szCs w:val="22"/>
          <w:lang w:eastAsia="en-AU"/>
        </w:rPr>
      </w:pPr>
      <w:hyperlink w:anchor="_Toc49281158" w:history="1">
        <w:r w:rsidR="00335C1D" w:rsidRPr="001B3FD8">
          <w:rPr>
            <w:rStyle w:val="Hyperlink"/>
            <w:lang w:eastAsia="en-AU"/>
          </w:rPr>
          <w:t>Systemic issues</w:t>
        </w:r>
        <w:r w:rsidR="00335C1D">
          <w:rPr>
            <w:webHidden/>
          </w:rPr>
          <w:tab/>
        </w:r>
        <w:r w:rsidR="00335C1D">
          <w:rPr>
            <w:webHidden/>
          </w:rPr>
          <w:fldChar w:fldCharType="begin"/>
        </w:r>
        <w:r w:rsidR="00335C1D">
          <w:rPr>
            <w:webHidden/>
          </w:rPr>
          <w:instrText xml:space="preserve"> PAGEREF _Toc49281158 \h </w:instrText>
        </w:r>
        <w:r w:rsidR="00335C1D">
          <w:rPr>
            <w:webHidden/>
          </w:rPr>
        </w:r>
        <w:r w:rsidR="00335C1D">
          <w:rPr>
            <w:webHidden/>
          </w:rPr>
          <w:fldChar w:fldCharType="separate"/>
        </w:r>
        <w:r w:rsidR="00B31BD9">
          <w:rPr>
            <w:webHidden/>
          </w:rPr>
          <w:t>9</w:t>
        </w:r>
        <w:r w:rsidR="00335C1D">
          <w:rPr>
            <w:webHidden/>
          </w:rPr>
          <w:fldChar w:fldCharType="end"/>
        </w:r>
      </w:hyperlink>
    </w:p>
    <w:p w14:paraId="011DCDDE" w14:textId="4AE3E681" w:rsidR="00335C1D" w:rsidRDefault="00A0740D">
      <w:pPr>
        <w:pStyle w:val="TOC2"/>
        <w:rPr>
          <w:rFonts w:asciiTheme="minorHAnsi" w:eastAsiaTheme="minorEastAsia" w:hAnsiTheme="minorHAnsi" w:cstheme="minorBidi"/>
          <w:b w:val="0"/>
          <w:szCs w:val="22"/>
          <w:lang w:eastAsia="en-AU"/>
        </w:rPr>
      </w:pPr>
      <w:hyperlink w:anchor="_Toc49281159" w:history="1">
        <w:r w:rsidR="00335C1D" w:rsidRPr="001B3FD8">
          <w:rPr>
            <w:rStyle w:val="Hyperlink"/>
            <w:lang w:eastAsia="en-AU"/>
          </w:rPr>
          <w:t>CYPS sharing information with the Assembly</w:t>
        </w:r>
        <w:r w:rsidR="00335C1D">
          <w:rPr>
            <w:webHidden/>
          </w:rPr>
          <w:tab/>
        </w:r>
        <w:r w:rsidR="00335C1D">
          <w:rPr>
            <w:webHidden/>
          </w:rPr>
          <w:fldChar w:fldCharType="begin"/>
        </w:r>
        <w:r w:rsidR="00335C1D">
          <w:rPr>
            <w:webHidden/>
          </w:rPr>
          <w:instrText xml:space="preserve"> PAGEREF _Toc49281159 \h </w:instrText>
        </w:r>
        <w:r w:rsidR="00335C1D">
          <w:rPr>
            <w:webHidden/>
          </w:rPr>
        </w:r>
        <w:r w:rsidR="00335C1D">
          <w:rPr>
            <w:webHidden/>
          </w:rPr>
          <w:fldChar w:fldCharType="separate"/>
        </w:r>
        <w:r w:rsidR="00B31BD9">
          <w:rPr>
            <w:webHidden/>
          </w:rPr>
          <w:t>11</w:t>
        </w:r>
        <w:r w:rsidR="00335C1D">
          <w:rPr>
            <w:webHidden/>
          </w:rPr>
          <w:fldChar w:fldCharType="end"/>
        </w:r>
      </w:hyperlink>
    </w:p>
    <w:p w14:paraId="6F6F73AB" w14:textId="6766B4A9" w:rsidR="00335C1D" w:rsidRDefault="00A0740D">
      <w:pPr>
        <w:pStyle w:val="TOC1"/>
        <w:tabs>
          <w:tab w:val="left" w:pos="1588"/>
        </w:tabs>
        <w:rPr>
          <w:rFonts w:asciiTheme="minorHAnsi" w:eastAsiaTheme="minorEastAsia" w:hAnsiTheme="minorHAnsi" w:cstheme="minorBidi"/>
          <w:b w:val="0"/>
          <w:smallCaps w:val="0"/>
          <w:spacing w:val="0"/>
          <w:sz w:val="22"/>
          <w:lang w:eastAsia="en-AU"/>
        </w:rPr>
      </w:pPr>
      <w:hyperlink w:anchor="_Toc49281160" w:history="1">
        <w:r w:rsidR="00335C1D" w:rsidRPr="001B3FD8">
          <w:rPr>
            <w:rStyle w:val="Hyperlink"/>
          </w:rPr>
          <w:t>5</w:t>
        </w:r>
        <w:r w:rsidR="00335C1D">
          <w:rPr>
            <w:rFonts w:asciiTheme="minorHAnsi" w:eastAsiaTheme="minorEastAsia" w:hAnsiTheme="minorHAnsi" w:cstheme="minorBidi"/>
            <w:b w:val="0"/>
            <w:smallCaps w:val="0"/>
            <w:spacing w:val="0"/>
            <w:sz w:val="22"/>
            <w:lang w:eastAsia="en-AU"/>
          </w:rPr>
          <w:tab/>
        </w:r>
        <w:r w:rsidR="00335C1D" w:rsidRPr="001B3FD8">
          <w:rPr>
            <w:rStyle w:val="Hyperlink"/>
          </w:rPr>
          <w:t>Conclusion</w:t>
        </w:r>
        <w:r w:rsidR="00335C1D">
          <w:rPr>
            <w:webHidden/>
          </w:rPr>
          <w:tab/>
        </w:r>
        <w:r w:rsidR="00335C1D">
          <w:rPr>
            <w:webHidden/>
          </w:rPr>
          <w:fldChar w:fldCharType="begin"/>
        </w:r>
        <w:r w:rsidR="00335C1D">
          <w:rPr>
            <w:webHidden/>
          </w:rPr>
          <w:instrText xml:space="preserve"> PAGEREF _Toc49281160 \h </w:instrText>
        </w:r>
        <w:r w:rsidR="00335C1D">
          <w:rPr>
            <w:webHidden/>
          </w:rPr>
        </w:r>
        <w:r w:rsidR="00335C1D">
          <w:rPr>
            <w:webHidden/>
          </w:rPr>
          <w:fldChar w:fldCharType="separate"/>
        </w:r>
        <w:r w:rsidR="00B31BD9">
          <w:rPr>
            <w:webHidden/>
          </w:rPr>
          <w:t>21</w:t>
        </w:r>
        <w:r w:rsidR="00335C1D">
          <w:rPr>
            <w:webHidden/>
          </w:rPr>
          <w:fldChar w:fldCharType="end"/>
        </w:r>
      </w:hyperlink>
    </w:p>
    <w:p w14:paraId="21B565E7" w14:textId="738AE10C" w:rsidR="00335C1D" w:rsidRDefault="00A0740D">
      <w:pPr>
        <w:pStyle w:val="TOC1"/>
        <w:tabs>
          <w:tab w:val="left" w:pos="2329"/>
        </w:tabs>
        <w:rPr>
          <w:rFonts w:asciiTheme="minorHAnsi" w:eastAsiaTheme="minorEastAsia" w:hAnsiTheme="minorHAnsi" w:cstheme="minorBidi"/>
          <w:b w:val="0"/>
          <w:smallCaps w:val="0"/>
          <w:spacing w:val="0"/>
          <w:sz w:val="22"/>
          <w:lang w:eastAsia="en-AU"/>
        </w:rPr>
      </w:pPr>
      <w:hyperlink w:anchor="_Toc49281161" w:history="1">
        <w:r w:rsidR="00335C1D" w:rsidRPr="001B3FD8">
          <w:rPr>
            <w:rStyle w:val="Hyperlink"/>
          </w:rPr>
          <w:t>Appendix A</w:t>
        </w:r>
        <w:r w:rsidR="00335C1D">
          <w:rPr>
            <w:rFonts w:asciiTheme="minorHAnsi" w:eastAsiaTheme="minorEastAsia" w:hAnsiTheme="minorHAnsi" w:cstheme="minorBidi"/>
            <w:b w:val="0"/>
            <w:smallCaps w:val="0"/>
            <w:spacing w:val="0"/>
            <w:sz w:val="22"/>
            <w:lang w:eastAsia="en-AU"/>
          </w:rPr>
          <w:tab/>
        </w:r>
        <w:r w:rsidR="00335C1D" w:rsidRPr="001B3FD8">
          <w:rPr>
            <w:rStyle w:val="Hyperlink"/>
          </w:rPr>
          <w:t>Specialist advice</w:t>
        </w:r>
        <w:r w:rsidR="00335C1D">
          <w:rPr>
            <w:webHidden/>
          </w:rPr>
          <w:tab/>
        </w:r>
        <w:r w:rsidR="00335C1D">
          <w:rPr>
            <w:webHidden/>
          </w:rPr>
          <w:fldChar w:fldCharType="begin"/>
        </w:r>
        <w:r w:rsidR="00335C1D">
          <w:rPr>
            <w:webHidden/>
          </w:rPr>
          <w:instrText xml:space="preserve"> PAGEREF _Toc49281161 \h </w:instrText>
        </w:r>
        <w:r w:rsidR="00335C1D">
          <w:rPr>
            <w:webHidden/>
          </w:rPr>
        </w:r>
        <w:r w:rsidR="00335C1D">
          <w:rPr>
            <w:webHidden/>
          </w:rPr>
          <w:fldChar w:fldCharType="separate"/>
        </w:r>
        <w:r w:rsidR="00B31BD9">
          <w:rPr>
            <w:webHidden/>
          </w:rPr>
          <w:t>23</w:t>
        </w:r>
        <w:r w:rsidR="00335C1D">
          <w:rPr>
            <w:webHidden/>
          </w:rPr>
          <w:fldChar w:fldCharType="end"/>
        </w:r>
      </w:hyperlink>
    </w:p>
    <w:p w14:paraId="1EA4FDB5" w14:textId="47131AD2" w:rsidR="00E8651F" w:rsidRDefault="00C96FAD">
      <w:pPr>
        <w:pStyle w:val="Prelimmajorheading"/>
        <w:keepNext w:val="0"/>
        <w:pageBreakBefore w:val="0"/>
        <w:rPr>
          <w:rFonts w:ascii="Arial" w:hAnsi="Arial" w:cs="Times New Roman"/>
          <w:bCs w:val="0"/>
          <w:spacing w:val="0"/>
          <w:kern w:val="0"/>
          <w:sz w:val="20"/>
          <w:szCs w:val="20"/>
        </w:rPr>
        <w:sectPr w:rsidR="00E8651F" w:rsidSect="00BF17A0">
          <w:type w:val="oddPage"/>
          <w:pgSz w:w="11907" w:h="16840" w:code="9"/>
          <w:pgMar w:top="1588" w:right="1418" w:bottom="1418" w:left="1418" w:header="720" w:footer="851" w:gutter="0"/>
          <w:pgNumType w:fmt="lowerRoman"/>
          <w:cols w:space="720"/>
          <w:docGrid w:linePitch="360"/>
        </w:sectPr>
      </w:pPr>
      <w:r>
        <w:rPr>
          <w:rFonts w:ascii="Arial" w:hAnsi="Arial" w:cs="Times New Roman"/>
          <w:bCs w:val="0"/>
          <w:spacing w:val="0"/>
          <w:kern w:val="0"/>
          <w:sz w:val="20"/>
          <w:szCs w:val="20"/>
        </w:rPr>
        <w:fldChar w:fldCharType="end"/>
      </w:r>
    </w:p>
    <w:p w14:paraId="3AA5D64E" w14:textId="77777777" w:rsidR="00D561BC" w:rsidRDefault="00D561BC" w:rsidP="001F58CC">
      <w:pPr>
        <w:pStyle w:val="Prelimmajorheading"/>
        <w:keepNext w:val="0"/>
        <w:pageBreakBefore w:val="0"/>
        <w:spacing w:after="480"/>
      </w:pPr>
      <w:bookmarkStart w:id="41" w:name="_Toc341433424"/>
      <w:bookmarkStart w:id="42" w:name="_Toc341687869"/>
      <w:bookmarkStart w:id="43" w:name="_Toc49281145"/>
      <w:r>
        <w:lastRenderedPageBreak/>
        <w:t>Recommendations</w:t>
      </w:r>
      <w:bookmarkEnd w:id="41"/>
      <w:bookmarkEnd w:id="42"/>
      <w:bookmarkEnd w:id="43"/>
    </w:p>
    <w:p w14:paraId="29B42B61" w14:textId="77777777" w:rsidR="004153A1" w:rsidRDefault="00C96FAD">
      <w:pPr>
        <w:pStyle w:val="TOC1"/>
        <w:rPr>
          <w:rFonts w:asciiTheme="minorHAnsi" w:eastAsiaTheme="minorEastAsia" w:hAnsiTheme="minorHAnsi" w:cstheme="minorBidi"/>
          <w:b w:val="0"/>
          <w:smallCaps w:val="0"/>
          <w:spacing w:val="0"/>
          <w:sz w:val="22"/>
          <w:lang w:eastAsia="en-AU"/>
        </w:rPr>
      </w:pPr>
      <w:r w:rsidRPr="00B830B0">
        <w:rPr>
          <w:b w:val="0"/>
          <w:bCs/>
          <w:highlight w:val="yellow"/>
        </w:rPr>
        <w:fldChar w:fldCharType="begin"/>
      </w:r>
      <w:r w:rsidR="007A5CB5" w:rsidRPr="00B830B0">
        <w:rPr>
          <w:b w:val="0"/>
          <w:bCs/>
          <w:highlight w:val="yellow"/>
        </w:rPr>
        <w:instrText xml:space="preserve"> TOC \n \p " " \h \z \t "Recommendation,1,Recommendation Text,2,Recommendation Bullet,3" </w:instrText>
      </w:r>
      <w:r w:rsidRPr="00B830B0">
        <w:rPr>
          <w:b w:val="0"/>
          <w:bCs/>
          <w:highlight w:val="yellow"/>
        </w:rPr>
        <w:fldChar w:fldCharType="separate"/>
      </w:r>
      <w:hyperlink w:anchor="_Toc49345616" w:history="1">
        <w:r w:rsidR="004153A1" w:rsidRPr="00707ABD">
          <w:rPr>
            <w:rStyle w:val="Hyperlink"/>
            <w:lang w:eastAsia="en-AU"/>
          </w:rPr>
          <w:t>Recommendation 1</w:t>
        </w:r>
      </w:hyperlink>
    </w:p>
    <w:p w14:paraId="7FF0F689" w14:textId="77777777" w:rsidR="004153A1" w:rsidRDefault="00A0740D">
      <w:pPr>
        <w:pStyle w:val="TOC2"/>
        <w:rPr>
          <w:rFonts w:asciiTheme="minorHAnsi" w:eastAsiaTheme="minorEastAsia" w:hAnsiTheme="minorHAnsi" w:cstheme="minorBidi"/>
          <w:b w:val="0"/>
          <w:szCs w:val="22"/>
          <w:lang w:eastAsia="en-AU"/>
        </w:rPr>
      </w:pPr>
      <w:hyperlink w:anchor="_Toc49345617" w:history="1">
        <w:r w:rsidR="004153A1" w:rsidRPr="00707ABD">
          <w:rPr>
            <w:rStyle w:val="Hyperlink"/>
            <w:lang w:eastAsia="en-AU"/>
          </w:rPr>
          <w:t>4.9</w:t>
        </w:r>
        <w:r w:rsidR="004153A1">
          <w:rPr>
            <w:rFonts w:asciiTheme="minorHAnsi" w:eastAsiaTheme="minorEastAsia" w:hAnsiTheme="minorHAnsi" w:cstheme="minorBidi"/>
            <w:b w:val="0"/>
            <w:szCs w:val="22"/>
            <w:lang w:eastAsia="en-AU"/>
          </w:rPr>
          <w:tab/>
        </w:r>
        <w:r w:rsidR="004153A1" w:rsidRPr="00707ABD">
          <w:rPr>
            <w:rStyle w:val="Hyperlink"/>
            <w:lang w:eastAsia="en-AU"/>
          </w:rPr>
          <w:t>The Committee recommends that the ACT Government action the recommendations made by the 9</w:t>
        </w:r>
        <w:r w:rsidR="004153A1" w:rsidRPr="00707ABD">
          <w:rPr>
            <w:rStyle w:val="Hyperlink"/>
            <w:vertAlign w:val="superscript"/>
            <w:lang w:eastAsia="en-AU"/>
          </w:rPr>
          <w:t>th</w:t>
        </w:r>
        <w:r w:rsidR="004153A1" w:rsidRPr="00707ABD">
          <w:rPr>
            <w:rStyle w:val="Hyperlink"/>
            <w:lang w:eastAsia="en-AU"/>
          </w:rPr>
          <w:t xml:space="preserve"> ACT Legislative Assembly Standing Committee on Health, Ageing and Community Services in its </w:t>
        </w:r>
        <w:r w:rsidR="004153A1" w:rsidRPr="00707ABD">
          <w:rPr>
            <w:rStyle w:val="Hyperlink"/>
            <w:i/>
            <w:iCs/>
            <w:lang w:eastAsia="en-AU"/>
          </w:rPr>
          <w:t>Interim Report on Child and Youth Protection Services (Part 1)</w:t>
        </w:r>
        <w:r w:rsidR="004153A1" w:rsidRPr="00707ABD">
          <w:rPr>
            <w:rStyle w:val="Hyperlink"/>
            <w:lang w:eastAsia="en-AU"/>
          </w:rPr>
          <w:t>.</w:t>
        </w:r>
      </w:hyperlink>
    </w:p>
    <w:p w14:paraId="5A2EDEDA" w14:textId="77777777" w:rsidR="004153A1" w:rsidRDefault="00A0740D">
      <w:pPr>
        <w:pStyle w:val="TOC1"/>
        <w:rPr>
          <w:rFonts w:asciiTheme="minorHAnsi" w:eastAsiaTheme="minorEastAsia" w:hAnsiTheme="minorHAnsi" w:cstheme="minorBidi"/>
          <w:b w:val="0"/>
          <w:smallCaps w:val="0"/>
          <w:spacing w:val="0"/>
          <w:sz w:val="22"/>
          <w:lang w:eastAsia="en-AU"/>
        </w:rPr>
      </w:pPr>
      <w:hyperlink w:anchor="_Toc49345618" w:history="1">
        <w:r w:rsidR="004153A1" w:rsidRPr="00707ABD">
          <w:rPr>
            <w:rStyle w:val="Hyperlink"/>
          </w:rPr>
          <w:t>Recommendation 2</w:t>
        </w:r>
      </w:hyperlink>
    </w:p>
    <w:p w14:paraId="53283F6A" w14:textId="77777777" w:rsidR="004153A1" w:rsidRDefault="00A0740D">
      <w:pPr>
        <w:pStyle w:val="TOC2"/>
        <w:rPr>
          <w:rFonts w:asciiTheme="minorHAnsi" w:eastAsiaTheme="minorEastAsia" w:hAnsiTheme="minorHAnsi" w:cstheme="minorBidi"/>
          <w:b w:val="0"/>
          <w:szCs w:val="22"/>
          <w:lang w:eastAsia="en-AU"/>
        </w:rPr>
      </w:pPr>
      <w:hyperlink w:anchor="_Toc49345619" w:history="1">
        <w:r w:rsidR="004153A1" w:rsidRPr="00707ABD">
          <w:rPr>
            <w:rStyle w:val="Hyperlink"/>
          </w:rPr>
          <w:t>4.35</w:t>
        </w:r>
        <w:r w:rsidR="004153A1">
          <w:rPr>
            <w:rFonts w:asciiTheme="minorHAnsi" w:eastAsiaTheme="minorEastAsia" w:hAnsiTheme="minorHAnsi" w:cstheme="minorBidi"/>
            <w:b w:val="0"/>
            <w:szCs w:val="22"/>
            <w:lang w:eastAsia="en-AU"/>
          </w:rPr>
          <w:tab/>
        </w:r>
        <w:r w:rsidR="004153A1" w:rsidRPr="00707ABD">
          <w:rPr>
            <w:rStyle w:val="Hyperlink"/>
          </w:rPr>
          <w:t xml:space="preserve">The Committee recommends that where the Director-General pursuant to the </w:t>
        </w:r>
        <w:r w:rsidR="004153A1" w:rsidRPr="00707ABD">
          <w:rPr>
            <w:rStyle w:val="Hyperlink"/>
            <w:i/>
            <w:iCs/>
          </w:rPr>
          <w:t>Children and Young People Act 2008</w:t>
        </w:r>
        <w:r w:rsidR="004153A1" w:rsidRPr="00707ABD">
          <w:rPr>
            <w:rStyle w:val="Hyperlink"/>
          </w:rPr>
          <w:t xml:space="preserve"> may consider launching fresh proceedings in the ACT Childrens Court that any such decision must always be on the grounds of presenting new evidence.</w:t>
        </w:r>
      </w:hyperlink>
    </w:p>
    <w:p w14:paraId="4A15A6C4" w14:textId="77777777" w:rsidR="004153A1" w:rsidRDefault="00A0740D">
      <w:pPr>
        <w:pStyle w:val="TOC1"/>
        <w:rPr>
          <w:rFonts w:asciiTheme="minorHAnsi" w:eastAsiaTheme="minorEastAsia" w:hAnsiTheme="minorHAnsi" w:cstheme="minorBidi"/>
          <w:b w:val="0"/>
          <w:smallCaps w:val="0"/>
          <w:spacing w:val="0"/>
          <w:sz w:val="22"/>
          <w:lang w:eastAsia="en-AU"/>
        </w:rPr>
      </w:pPr>
      <w:hyperlink w:anchor="_Toc49345620" w:history="1">
        <w:r w:rsidR="004153A1" w:rsidRPr="00707ABD">
          <w:rPr>
            <w:rStyle w:val="Hyperlink"/>
          </w:rPr>
          <w:t>Recommendation 3</w:t>
        </w:r>
      </w:hyperlink>
    </w:p>
    <w:p w14:paraId="3BAB7E34" w14:textId="77777777" w:rsidR="004153A1" w:rsidRDefault="00A0740D">
      <w:pPr>
        <w:pStyle w:val="TOC2"/>
        <w:rPr>
          <w:rFonts w:asciiTheme="minorHAnsi" w:eastAsiaTheme="minorEastAsia" w:hAnsiTheme="minorHAnsi" w:cstheme="minorBidi"/>
          <w:b w:val="0"/>
          <w:szCs w:val="22"/>
          <w:lang w:eastAsia="en-AU"/>
        </w:rPr>
      </w:pPr>
      <w:hyperlink w:anchor="_Toc49345621" w:history="1">
        <w:r w:rsidR="004153A1" w:rsidRPr="00707ABD">
          <w:rPr>
            <w:rStyle w:val="Hyperlink"/>
          </w:rPr>
          <w:t>4.50</w:t>
        </w:r>
        <w:r w:rsidR="004153A1">
          <w:rPr>
            <w:rFonts w:asciiTheme="minorHAnsi" w:eastAsiaTheme="minorEastAsia" w:hAnsiTheme="minorHAnsi" w:cstheme="minorBidi"/>
            <w:b w:val="0"/>
            <w:szCs w:val="22"/>
            <w:lang w:eastAsia="en-AU"/>
          </w:rPr>
          <w:tab/>
        </w:r>
        <w:r w:rsidR="004153A1" w:rsidRPr="00707ABD">
          <w:rPr>
            <w:rStyle w:val="Hyperlink"/>
          </w:rPr>
          <w:t>The Committee recommends that the Public Advocate of the ACT advise the 10</w:t>
        </w:r>
        <w:r w:rsidR="004153A1" w:rsidRPr="00707ABD">
          <w:rPr>
            <w:rStyle w:val="Hyperlink"/>
            <w:vertAlign w:val="superscript"/>
          </w:rPr>
          <w:t>th</w:t>
        </w:r>
        <w:r w:rsidR="004153A1" w:rsidRPr="00707ABD">
          <w:rPr>
            <w:rStyle w:val="Hyperlink"/>
          </w:rPr>
          <w:t xml:space="preserve"> ACT Legislative Assembly (via the Speaker) by mid-March 2021 on the effectiveness of the Community Services Directorate’s Communications Protocol in assisting the Public Advocate to: (i) adequately monitor notification reporting (pursuant to section 507 of the </w:t>
        </w:r>
        <w:r w:rsidR="004153A1" w:rsidRPr="00707ABD">
          <w:rPr>
            <w:rStyle w:val="Hyperlink"/>
            <w:i/>
            <w:iCs/>
          </w:rPr>
          <w:t>Children and Young People Act 2008</w:t>
        </w:r>
        <w:r w:rsidR="004153A1" w:rsidRPr="00707ABD">
          <w:rPr>
            <w:rStyle w:val="Hyperlink"/>
          </w:rPr>
          <w:t xml:space="preserve">) and annual review reporting (pursuant to sections 495 and 497 of the </w:t>
        </w:r>
        <w:r w:rsidR="004153A1" w:rsidRPr="00707ABD">
          <w:rPr>
            <w:rStyle w:val="Hyperlink"/>
            <w:i/>
            <w:iCs/>
          </w:rPr>
          <w:t>Children and Young People Act 2008)</w:t>
        </w:r>
        <w:r w:rsidR="004153A1" w:rsidRPr="00707ABD">
          <w:rPr>
            <w:rStyle w:val="Hyperlink"/>
          </w:rPr>
          <w:t>; and (ii) to provide timely provision of individual advocacy for children and young people where required.</w:t>
        </w:r>
      </w:hyperlink>
    </w:p>
    <w:p w14:paraId="3D1551EE" w14:textId="77777777" w:rsidR="004153A1" w:rsidRDefault="00A0740D">
      <w:pPr>
        <w:pStyle w:val="TOC1"/>
        <w:rPr>
          <w:rFonts w:asciiTheme="minorHAnsi" w:eastAsiaTheme="minorEastAsia" w:hAnsiTheme="minorHAnsi" w:cstheme="minorBidi"/>
          <w:b w:val="0"/>
          <w:smallCaps w:val="0"/>
          <w:spacing w:val="0"/>
          <w:sz w:val="22"/>
          <w:lang w:eastAsia="en-AU"/>
        </w:rPr>
      </w:pPr>
      <w:hyperlink w:anchor="_Toc49345622" w:history="1">
        <w:r w:rsidR="004153A1" w:rsidRPr="00707ABD">
          <w:rPr>
            <w:rStyle w:val="Hyperlink"/>
          </w:rPr>
          <w:t>Recommendation 4</w:t>
        </w:r>
      </w:hyperlink>
    </w:p>
    <w:p w14:paraId="75F4E469" w14:textId="77777777" w:rsidR="004153A1" w:rsidRDefault="00A0740D">
      <w:pPr>
        <w:pStyle w:val="TOC2"/>
        <w:rPr>
          <w:rFonts w:asciiTheme="minorHAnsi" w:eastAsiaTheme="minorEastAsia" w:hAnsiTheme="minorHAnsi" w:cstheme="minorBidi"/>
          <w:b w:val="0"/>
          <w:szCs w:val="22"/>
          <w:lang w:eastAsia="en-AU"/>
        </w:rPr>
      </w:pPr>
      <w:hyperlink w:anchor="_Toc49345623" w:history="1">
        <w:r w:rsidR="004153A1" w:rsidRPr="00707ABD">
          <w:rPr>
            <w:rStyle w:val="Hyperlink"/>
          </w:rPr>
          <w:t>4.51</w:t>
        </w:r>
        <w:r w:rsidR="004153A1">
          <w:rPr>
            <w:rFonts w:asciiTheme="minorHAnsi" w:eastAsiaTheme="minorEastAsia" w:hAnsiTheme="minorHAnsi" w:cstheme="minorBidi"/>
            <w:b w:val="0"/>
            <w:szCs w:val="22"/>
            <w:lang w:eastAsia="en-AU"/>
          </w:rPr>
          <w:tab/>
        </w:r>
        <w:r w:rsidR="004153A1" w:rsidRPr="00707ABD">
          <w:rPr>
            <w:rStyle w:val="Hyperlink"/>
          </w:rPr>
          <w:t xml:space="preserve">The Committee recommends that, in the event that the Public Advocate of the ACT considers that the operation of the Communications Protocol and/or its compliance with the notification reporting (pursuant to section 507 of the </w:t>
        </w:r>
        <w:r w:rsidR="004153A1" w:rsidRPr="00707ABD">
          <w:rPr>
            <w:rStyle w:val="Hyperlink"/>
            <w:i/>
            <w:iCs/>
          </w:rPr>
          <w:t>Children and Young People Act 2008</w:t>
        </w:r>
        <w:r w:rsidR="004153A1" w:rsidRPr="00707ABD">
          <w:rPr>
            <w:rStyle w:val="Hyperlink"/>
          </w:rPr>
          <w:t xml:space="preserve">) and annual review reporting (pursuant to sections 495 and 497 of the </w:t>
        </w:r>
        <w:r w:rsidR="004153A1" w:rsidRPr="00707ABD">
          <w:rPr>
            <w:rStyle w:val="Hyperlink"/>
            <w:i/>
            <w:iCs/>
          </w:rPr>
          <w:t>Children and Young People Act 2008</w:t>
        </w:r>
        <w:r w:rsidR="004153A1" w:rsidRPr="00707ABD">
          <w:rPr>
            <w:rStyle w:val="Hyperlink"/>
          </w:rPr>
          <w:t xml:space="preserve">) require improvement, these considerations be advanced as part of a review of the </w:t>
        </w:r>
        <w:r w:rsidR="004153A1" w:rsidRPr="00707ABD">
          <w:rPr>
            <w:rStyle w:val="Hyperlink"/>
            <w:i/>
            <w:iCs/>
          </w:rPr>
          <w:t>Children and Young People Act 2008</w:t>
        </w:r>
        <w:r w:rsidR="004153A1" w:rsidRPr="00707ABD">
          <w:rPr>
            <w:rStyle w:val="Hyperlink"/>
          </w:rPr>
          <w:t xml:space="preserve"> in the 10</w:t>
        </w:r>
        <w:r w:rsidR="004153A1" w:rsidRPr="00707ABD">
          <w:rPr>
            <w:rStyle w:val="Hyperlink"/>
            <w:vertAlign w:val="superscript"/>
          </w:rPr>
          <w:t>th </w:t>
        </w:r>
        <w:r w:rsidR="004153A1" w:rsidRPr="00707ABD">
          <w:rPr>
            <w:rStyle w:val="Hyperlink"/>
          </w:rPr>
          <w:t>ACT Legislative Assembly.</w:t>
        </w:r>
      </w:hyperlink>
    </w:p>
    <w:p w14:paraId="4EEB7EE3" w14:textId="77777777" w:rsidR="004153A1" w:rsidRDefault="00A0740D">
      <w:pPr>
        <w:pStyle w:val="TOC1"/>
        <w:rPr>
          <w:rFonts w:asciiTheme="minorHAnsi" w:eastAsiaTheme="minorEastAsia" w:hAnsiTheme="minorHAnsi" w:cstheme="minorBidi"/>
          <w:b w:val="0"/>
          <w:smallCaps w:val="0"/>
          <w:spacing w:val="0"/>
          <w:sz w:val="22"/>
          <w:lang w:eastAsia="en-AU"/>
        </w:rPr>
      </w:pPr>
      <w:hyperlink w:anchor="_Toc49345624" w:history="1">
        <w:r w:rsidR="004153A1" w:rsidRPr="00707ABD">
          <w:rPr>
            <w:rStyle w:val="Hyperlink"/>
          </w:rPr>
          <w:t>Recommendation 5</w:t>
        </w:r>
      </w:hyperlink>
    </w:p>
    <w:p w14:paraId="3B6FB64A" w14:textId="77777777" w:rsidR="004153A1" w:rsidRDefault="00A0740D">
      <w:pPr>
        <w:pStyle w:val="TOC2"/>
        <w:rPr>
          <w:rFonts w:asciiTheme="minorHAnsi" w:eastAsiaTheme="minorEastAsia" w:hAnsiTheme="minorHAnsi" w:cstheme="minorBidi"/>
          <w:b w:val="0"/>
          <w:szCs w:val="22"/>
          <w:lang w:eastAsia="en-AU"/>
        </w:rPr>
      </w:pPr>
      <w:hyperlink w:anchor="_Toc49345625" w:history="1">
        <w:r w:rsidR="004153A1" w:rsidRPr="00707ABD">
          <w:rPr>
            <w:rStyle w:val="Hyperlink"/>
          </w:rPr>
          <w:t>4.54</w:t>
        </w:r>
        <w:r w:rsidR="004153A1">
          <w:rPr>
            <w:rFonts w:asciiTheme="minorHAnsi" w:eastAsiaTheme="minorEastAsia" w:hAnsiTheme="minorHAnsi" w:cstheme="minorBidi"/>
            <w:b w:val="0"/>
            <w:szCs w:val="22"/>
            <w:lang w:eastAsia="en-AU"/>
          </w:rPr>
          <w:tab/>
        </w:r>
        <w:r w:rsidR="004153A1" w:rsidRPr="00707ABD">
          <w:rPr>
            <w:rStyle w:val="Hyperlink"/>
          </w:rPr>
          <w:t>The Committee recommends that the ACT Government action the recommendations made by the 9</w:t>
        </w:r>
        <w:r w:rsidR="004153A1" w:rsidRPr="00707ABD">
          <w:rPr>
            <w:rStyle w:val="Hyperlink"/>
            <w:vertAlign w:val="superscript"/>
          </w:rPr>
          <w:t>th</w:t>
        </w:r>
        <w:r w:rsidR="004153A1" w:rsidRPr="00707ABD">
          <w:rPr>
            <w:rStyle w:val="Hyperlink"/>
          </w:rPr>
          <w:t xml:space="preserve"> ACT Legislative Assembly Standing Committee on Health, Ageing and Community Services in its </w:t>
        </w:r>
        <w:r w:rsidR="004153A1" w:rsidRPr="00707ABD">
          <w:rPr>
            <w:rStyle w:val="Hyperlink"/>
            <w:i/>
            <w:iCs/>
          </w:rPr>
          <w:t>Report on Child and Youth Protection Services (Part 2)</w:t>
        </w:r>
        <w:r w:rsidR="004153A1" w:rsidRPr="00707ABD">
          <w:rPr>
            <w:rStyle w:val="Hyperlink"/>
          </w:rPr>
          <w:t>.</w:t>
        </w:r>
      </w:hyperlink>
    </w:p>
    <w:p w14:paraId="44CCB574" w14:textId="77777777" w:rsidR="004153A1" w:rsidRDefault="004153A1">
      <w:pPr>
        <w:rPr>
          <w:rStyle w:val="Hyperlink"/>
          <w:rFonts w:cs="Calibri"/>
          <w:b/>
          <w:smallCaps/>
          <w:noProof/>
          <w:spacing w:val="40"/>
          <w:sz w:val="24"/>
          <w:szCs w:val="22"/>
        </w:rPr>
      </w:pPr>
      <w:r>
        <w:rPr>
          <w:rStyle w:val="Hyperlink"/>
        </w:rPr>
        <w:br w:type="page"/>
      </w:r>
    </w:p>
    <w:p w14:paraId="47B0F6F8" w14:textId="4CF0968E" w:rsidR="004153A1" w:rsidRDefault="00A0740D">
      <w:pPr>
        <w:pStyle w:val="TOC1"/>
        <w:rPr>
          <w:rFonts w:asciiTheme="minorHAnsi" w:eastAsiaTheme="minorEastAsia" w:hAnsiTheme="minorHAnsi" w:cstheme="minorBidi"/>
          <w:b w:val="0"/>
          <w:smallCaps w:val="0"/>
          <w:spacing w:val="0"/>
          <w:sz w:val="22"/>
          <w:lang w:eastAsia="en-AU"/>
        </w:rPr>
      </w:pPr>
      <w:hyperlink w:anchor="_Toc49345626" w:history="1">
        <w:r w:rsidR="004153A1" w:rsidRPr="00707ABD">
          <w:rPr>
            <w:rStyle w:val="Hyperlink"/>
          </w:rPr>
          <w:t>Recommendation 6</w:t>
        </w:r>
      </w:hyperlink>
    </w:p>
    <w:p w14:paraId="6AFF69DF" w14:textId="77777777" w:rsidR="004153A1" w:rsidRDefault="00A0740D">
      <w:pPr>
        <w:pStyle w:val="TOC2"/>
        <w:rPr>
          <w:rFonts w:asciiTheme="minorHAnsi" w:eastAsiaTheme="minorEastAsia" w:hAnsiTheme="minorHAnsi" w:cstheme="minorBidi"/>
          <w:b w:val="0"/>
          <w:szCs w:val="22"/>
          <w:lang w:eastAsia="en-AU"/>
        </w:rPr>
      </w:pPr>
      <w:hyperlink w:anchor="_Toc49345627" w:history="1">
        <w:r w:rsidR="004153A1" w:rsidRPr="00707ABD">
          <w:rPr>
            <w:rStyle w:val="Hyperlink"/>
          </w:rPr>
          <w:t>4.57</w:t>
        </w:r>
        <w:r w:rsidR="004153A1">
          <w:rPr>
            <w:rFonts w:asciiTheme="minorHAnsi" w:eastAsiaTheme="minorEastAsia" w:hAnsiTheme="minorHAnsi" w:cstheme="minorBidi"/>
            <w:b w:val="0"/>
            <w:szCs w:val="22"/>
            <w:lang w:eastAsia="en-AU"/>
          </w:rPr>
          <w:tab/>
        </w:r>
        <w:r w:rsidR="004153A1" w:rsidRPr="00707ABD">
          <w:rPr>
            <w:rStyle w:val="Hyperlink"/>
          </w:rPr>
          <w:t>The Committee recommends that the ACT Executive Government strengthen its understanding of: (i) the procedures available to the ACT Legislative Assembly for obtaining information as required to carry out its constitutional obligations to scrutinise Government policy and/or the operation of its agencies; and (ii) the powers and privileges from which the authority for these procedures are sourced.</w:t>
        </w:r>
      </w:hyperlink>
    </w:p>
    <w:p w14:paraId="5D613AED" w14:textId="638D91C9" w:rsidR="003606E5" w:rsidRDefault="00C96FAD" w:rsidP="00C60ED1">
      <w:pPr>
        <w:pStyle w:val="Heading1"/>
        <w:keepNext w:val="0"/>
        <w:pageBreakBefore w:val="0"/>
        <w:numPr>
          <w:ilvl w:val="0"/>
          <w:numId w:val="0"/>
        </w:numPr>
        <w:ind w:left="567"/>
        <w:sectPr w:rsidR="003606E5" w:rsidSect="000E7567">
          <w:headerReference w:type="even" r:id="rId19"/>
          <w:headerReference w:type="default" r:id="rId20"/>
          <w:footerReference w:type="default" r:id="rId21"/>
          <w:headerReference w:type="first" r:id="rId22"/>
          <w:type w:val="oddPage"/>
          <w:pgSz w:w="11907" w:h="16840" w:code="9"/>
          <w:pgMar w:top="1588" w:right="1418" w:bottom="1418" w:left="1418" w:header="720" w:footer="851" w:gutter="0"/>
          <w:pgNumType w:fmt="lowerRoman"/>
          <w:cols w:space="720"/>
          <w:docGrid w:linePitch="360"/>
        </w:sectPr>
      </w:pPr>
      <w:r w:rsidRPr="00B830B0">
        <w:rPr>
          <w:rFonts w:ascii="Calibri" w:hAnsi="Calibri" w:cs="Calibri"/>
          <w:b/>
          <w:bCs w:val="0"/>
          <w:noProof/>
          <w:kern w:val="0"/>
          <w:sz w:val="24"/>
          <w:szCs w:val="22"/>
          <w:highlight w:val="yellow"/>
        </w:rPr>
        <w:fldChar w:fldCharType="end"/>
      </w:r>
    </w:p>
    <w:p w14:paraId="761E7E2C" w14:textId="77777777" w:rsidR="00D561BC" w:rsidRDefault="007E1CED" w:rsidP="006464A3">
      <w:pPr>
        <w:pStyle w:val="Heading1"/>
      </w:pPr>
      <w:bookmarkStart w:id="44" w:name="_Toc341433425"/>
      <w:bookmarkStart w:id="45" w:name="_Toc341687870"/>
      <w:bookmarkStart w:id="46" w:name="_Toc49281146"/>
      <w:r>
        <w:lastRenderedPageBreak/>
        <w:t>Introduction</w:t>
      </w:r>
      <w:bookmarkEnd w:id="44"/>
      <w:bookmarkEnd w:id="45"/>
      <w:r w:rsidR="00FE6CA8">
        <w:t xml:space="preserve"> and conduct of inquiry</w:t>
      </w:r>
      <w:bookmarkEnd w:id="46"/>
    </w:p>
    <w:p w14:paraId="6E9531A6" w14:textId="573C926A" w:rsidR="000D4178" w:rsidRDefault="000D4178" w:rsidP="000D4178">
      <w:pPr>
        <w:pStyle w:val="Headinglevel2"/>
      </w:pPr>
      <w:bookmarkStart w:id="47" w:name="_Toc49281147"/>
      <w:r>
        <w:t>Inquiry referral and terms of reference</w:t>
      </w:r>
      <w:bookmarkEnd w:id="47"/>
    </w:p>
    <w:p w14:paraId="32E89044" w14:textId="3B015237" w:rsidR="00980C2A" w:rsidRDefault="00980C2A" w:rsidP="00980C2A">
      <w:pPr>
        <w:pStyle w:val="BodyText1"/>
      </w:pPr>
      <w:r>
        <w:t>On Thursday, 16 May 2019 the Australian Capital Territory’s (ACT) Legislative Assembly (the</w:t>
      </w:r>
      <w:r w:rsidR="00FA00FC">
        <w:t> </w:t>
      </w:r>
      <w:r>
        <w:t>Assembly) asked the Standing Committee on Health, Ageing and Community Services (the</w:t>
      </w:r>
      <w:r w:rsidR="00FA00FC">
        <w:t> </w:t>
      </w:r>
      <w:r>
        <w:t>Committee) to inquire into child and youth protection services.</w:t>
      </w:r>
    </w:p>
    <w:p w14:paraId="60ACB34C" w14:textId="7C9B646B" w:rsidR="00A156E2" w:rsidRDefault="00980C2A" w:rsidP="00A156E2">
      <w:pPr>
        <w:pStyle w:val="BodyText1"/>
      </w:pPr>
      <w:r w:rsidRPr="00980C2A">
        <w:t xml:space="preserve">The Committee’s terms of reference (T of R) are to inquire into and report on two matters.  As the matters have different reporting dates and coverage, the inquiry and report have been divided into two separate parts—Part 1 and Part 2.  </w:t>
      </w:r>
      <w:r w:rsidR="00A156E2">
        <w:t xml:space="preserve">This </w:t>
      </w:r>
      <w:r w:rsidR="008170BD">
        <w:t>report</w:t>
      </w:r>
      <w:r w:rsidR="001277D1">
        <w:t>—</w:t>
      </w:r>
      <w:r w:rsidR="008170BD">
        <w:t>is c</w:t>
      </w:r>
      <w:r w:rsidR="00A156E2">
        <w:t xml:space="preserve">oncerned with the </w:t>
      </w:r>
      <w:r w:rsidR="001277D1">
        <w:t xml:space="preserve">inquiry into the </w:t>
      </w:r>
      <w:r w:rsidR="00A156E2">
        <w:t>first matter—specifically:</w:t>
      </w:r>
    </w:p>
    <w:p w14:paraId="5C67657E" w14:textId="5225B217" w:rsidR="00A156E2" w:rsidRDefault="00A156E2" w:rsidP="008170BD">
      <w:pPr>
        <w:pStyle w:val="ListNumber3"/>
      </w:pPr>
      <w:bookmarkStart w:id="48" w:name="_Hlk30167220"/>
      <w:r>
        <w:t xml:space="preserve">to provide an analysis of the decision of the ACT Court of Appeal in the case of </w:t>
      </w:r>
      <w:r w:rsidRPr="008170BD">
        <w:rPr>
          <w:i/>
          <w:iCs/>
        </w:rPr>
        <w:t>CP v</w:t>
      </w:r>
      <w:r w:rsidR="00FA00FC">
        <w:rPr>
          <w:i/>
          <w:iCs/>
        </w:rPr>
        <w:t xml:space="preserve"> </w:t>
      </w:r>
      <w:r w:rsidRPr="008170BD">
        <w:rPr>
          <w:i/>
          <w:iCs/>
        </w:rPr>
        <w:t>Director-General of Community Services Directorate [2018] ACTCA 32</w:t>
      </w:r>
      <w:r>
        <w:t xml:space="preserve"> and to identify potential systemic issues that may need to be addressed.</w:t>
      </w:r>
    </w:p>
    <w:bookmarkEnd w:id="48"/>
    <w:p w14:paraId="05AD686C" w14:textId="1FBC0D3C" w:rsidR="00A156E2" w:rsidRDefault="00A156E2" w:rsidP="00A156E2">
      <w:pPr>
        <w:pStyle w:val="BodyText1"/>
      </w:pPr>
      <w:r>
        <w:t xml:space="preserve">The </w:t>
      </w:r>
      <w:r w:rsidR="008170BD">
        <w:t xml:space="preserve">Assembly asked the </w:t>
      </w:r>
      <w:r>
        <w:t xml:space="preserve">Committee to report on the first </w:t>
      </w:r>
      <w:r w:rsidR="001277D1">
        <w:t xml:space="preserve">matter </w:t>
      </w:r>
      <w:r>
        <w:t>by no later than March 2020.</w:t>
      </w:r>
      <w:r w:rsidR="00D07C19">
        <w:t xml:space="preserve">  The Committee presented an interim report </w:t>
      </w:r>
      <w:r w:rsidR="00980C2A">
        <w:t xml:space="preserve">for Part 1 </w:t>
      </w:r>
      <w:r w:rsidR="00D07C19">
        <w:t>on 31 March 2020 (non-sitting circulation) which was tabled on 2 April 2020.</w:t>
      </w:r>
      <w:r w:rsidR="00980C2A">
        <w:t xml:space="preserve">  The Committee also reported on Part 2 on 30 July 2020.</w:t>
      </w:r>
    </w:p>
    <w:p w14:paraId="36A73EDE" w14:textId="74F74ACF" w:rsidR="004A045C" w:rsidRPr="004A045C" w:rsidRDefault="00980C2A" w:rsidP="004A045C">
      <w:pPr>
        <w:pStyle w:val="BodyText1"/>
      </w:pPr>
      <w:r>
        <w:t xml:space="preserve">In its interim report on Part 1, the Committee noted that it was </w:t>
      </w:r>
      <w:r w:rsidR="004A045C">
        <w:t xml:space="preserve">in discussions with the </w:t>
      </w:r>
      <w:r w:rsidR="004A045C" w:rsidRPr="004A045C">
        <w:t xml:space="preserve">Minister for Children, Youth and Families regarding its access to information that is classed as protected and sensitive information under the </w:t>
      </w:r>
      <w:r w:rsidR="004A045C" w:rsidRPr="004A045C">
        <w:rPr>
          <w:i/>
        </w:rPr>
        <w:t>Children and Young People Act 2008</w:t>
      </w:r>
      <w:r w:rsidR="00B122E7">
        <w:rPr>
          <w:iCs/>
        </w:rPr>
        <w:t xml:space="preserve"> (the CYP Act)</w:t>
      </w:r>
      <w:r w:rsidR="004A045C" w:rsidRPr="004A045C">
        <w:t>.</w:t>
      </w:r>
      <w:r w:rsidR="004A045C">
        <w:t xml:space="preserve">  The Committee further noted that a</w:t>
      </w:r>
      <w:r w:rsidR="004A045C" w:rsidRPr="004A045C">
        <w:t xml:space="preserve">fter </w:t>
      </w:r>
      <w:r w:rsidR="004A045C">
        <w:t xml:space="preserve">it </w:t>
      </w:r>
      <w:r w:rsidR="004A045C" w:rsidRPr="004A045C">
        <w:t xml:space="preserve">has had an opportunity to consider the protected and sensitive information it </w:t>
      </w:r>
      <w:r w:rsidR="004A045C">
        <w:t xml:space="preserve">was </w:t>
      </w:r>
      <w:r w:rsidR="004A045C" w:rsidRPr="004A045C">
        <w:t>seeking, it w</w:t>
      </w:r>
      <w:r w:rsidR="004A045C">
        <w:t>ould</w:t>
      </w:r>
      <w:r w:rsidR="004A045C" w:rsidRPr="004A045C">
        <w:t xml:space="preserve"> at a later time, table a final report.</w:t>
      </w:r>
    </w:p>
    <w:p w14:paraId="101D95A4" w14:textId="7A5409A3" w:rsidR="000D4178" w:rsidRDefault="000D4178" w:rsidP="000D4178">
      <w:pPr>
        <w:pStyle w:val="Headinglevel2"/>
      </w:pPr>
      <w:bookmarkStart w:id="49" w:name="_Toc49281148"/>
      <w:r>
        <w:t>Conduct of the inquiry</w:t>
      </w:r>
      <w:bookmarkEnd w:id="49"/>
    </w:p>
    <w:p w14:paraId="0AB94387" w14:textId="6694476C" w:rsidR="00970F3D" w:rsidRDefault="00970F3D" w:rsidP="001951C7">
      <w:pPr>
        <w:pStyle w:val="BodyText1"/>
      </w:pPr>
      <w:r w:rsidRPr="00970F3D">
        <w:t xml:space="preserve">Due to the individual nature of </w:t>
      </w:r>
      <w:r>
        <w:t xml:space="preserve">this </w:t>
      </w:r>
      <w:r w:rsidRPr="00970F3D">
        <w:t xml:space="preserve">part of the </w:t>
      </w:r>
      <w:r w:rsidR="009425B1">
        <w:t>i</w:t>
      </w:r>
      <w:r w:rsidRPr="00970F3D">
        <w:t xml:space="preserve">nquiry, the Committee </w:t>
      </w:r>
      <w:r>
        <w:t xml:space="preserve">did not call for public submissions.  The Committee determined that it would invite </w:t>
      </w:r>
      <w:r w:rsidRPr="00970F3D">
        <w:t xml:space="preserve">contributions </w:t>
      </w:r>
      <w:r>
        <w:t xml:space="preserve">from </w:t>
      </w:r>
      <w:r w:rsidR="00B122E7">
        <w:t xml:space="preserve">selected </w:t>
      </w:r>
      <w:r>
        <w:t>parties with an interest in the matter.  The Committee was also cognisant of the requirement of the Assembly in referring the matter for inquiry and report that it ‘</w:t>
      </w:r>
      <w:r w:rsidRPr="00970F3D">
        <w:t>take evidence and hold documents in ways that will not allow for individual people to be identified without their express consent</w:t>
      </w:r>
      <w:r>
        <w:t>’.</w:t>
      </w:r>
      <w:r w:rsidR="00684FE6">
        <w:rPr>
          <w:rStyle w:val="FootnoteReference"/>
        </w:rPr>
        <w:footnoteReference w:id="3"/>
      </w:r>
    </w:p>
    <w:p w14:paraId="151902DF" w14:textId="053D4F1C" w:rsidR="00D43784" w:rsidRDefault="00D22C5F" w:rsidP="00B97BB2">
      <w:pPr>
        <w:pStyle w:val="BodyText1"/>
      </w:pPr>
      <w:r>
        <w:lastRenderedPageBreak/>
        <w:t>The Committee received written submission</w:t>
      </w:r>
      <w:r w:rsidR="00D07C19">
        <w:t>s</w:t>
      </w:r>
      <w:r>
        <w:t xml:space="preserve"> to this part of the </w:t>
      </w:r>
      <w:r w:rsidR="00D07C19">
        <w:t>i</w:t>
      </w:r>
      <w:r>
        <w:t>nquiry from Legal Aid ACT</w:t>
      </w:r>
      <w:r w:rsidR="00D07C19">
        <w:t xml:space="preserve">; the </w:t>
      </w:r>
      <w:r w:rsidR="008B061D">
        <w:t>Minister</w:t>
      </w:r>
      <w:r w:rsidR="001277D1">
        <w:t xml:space="preserve"> for Children, Youth and Families</w:t>
      </w:r>
      <w:r w:rsidR="004A045C">
        <w:t>; and an individual</w:t>
      </w:r>
      <w:r w:rsidR="00612C3F">
        <w:t xml:space="preserve"> submitter</w:t>
      </w:r>
      <w:r w:rsidR="00D07C19">
        <w:t>.</w:t>
      </w:r>
    </w:p>
    <w:p w14:paraId="1C10A158" w14:textId="31D82554" w:rsidR="00A110E8" w:rsidRDefault="00A110E8" w:rsidP="0068379B">
      <w:pPr>
        <w:pStyle w:val="BodyText1"/>
      </w:pPr>
      <w:r>
        <w:t xml:space="preserve">The Committee held </w:t>
      </w:r>
      <w:r w:rsidRPr="0011009F">
        <w:rPr>
          <w:i/>
          <w:iCs/>
        </w:rPr>
        <w:t>in-camera</w:t>
      </w:r>
      <w:r>
        <w:t xml:space="preserve"> hearings on 23 July 2019; 30 October 2019; and 30 June 2020.</w:t>
      </w:r>
      <w:r w:rsidR="005100B7">
        <w:t xml:space="preserve">  The Committee received responses to </w:t>
      </w:r>
      <w:r w:rsidR="005100B7" w:rsidRPr="005100B7">
        <w:t xml:space="preserve">questions </w:t>
      </w:r>
      <w:r w:rsidR="005100B7">
        <w:t xml:space="preserve">taken </w:t>
      </w:r>
      <w:r w:rsidR="005100B7" w:rsidRPr="005100B7">
        <w:t>on notice</w:t>
      </w:r>
      <w:r w:rsidR="00E11C5E">
        <w:t xml:space="preserve"> at,</w:t>
      </w:r>
      <w:r w:rsidR="005100B7">
        <w:t xml:space="preserve"> or following</w:t>
      </w:r>
      <w:r w:rsidR="00E11C5E">
        <w:t>,</w:t>
      </w:r>
      <w:r w:rsidR="005100B7">
        <w:t xml:space="preserve"> these </w:t>
      </w:r>
      <w:r w:rsidR="007E2EA3">
        <w:t xml:space="preserve">          </w:t>
      </w:r>
      <w:r w:rsidR="005100B7" w:rsidRPr="0011009F">
        <w:rPr>
          <w:i/>
          <w:iCs/>
        </w:rPr>
        <w:t>in-camera</w:t>
      </w:r>
      <w:r w:rsidR="005100B7">
        <w:t xml:space="preserve"> hearings</w:t>
      </w:r>
      <w:r w:rsidR="005100B7" w:rsidRPr="005100B7">
        <w:t xml:space="preserve">.  The Committee thanks all </w:t>
      </w:r>
      <w:r w:rsidR="005100B7">
        <w:t xml:space="preserve">those involved </w:t>
      </w:r>
      <w:r w:rsidR="005100B7" w:rsidRPr="005100B7">
        <w:t>for their assistance with the provision of response</w:t>
      </w:r>
      <w:r w:rsidR="009425B1">
        <w:t>s</w:t>
      </w:r>
      <w:r w:rsidR="005100B7" w:rsidRPr="005100B7">
        <w:t>.  This information assisted the Committee in its understanding of the many issues it considered during th</w:t>
      </w:r>
      <w:r w:rsidR="005100B7">
        <w:t xml:space="preserve">is part of the </w:t>
      </w:r>
      <w:r w:rsidR="005100B7" w:rsidRPr="005100B7">
        <w:t>inquiry.</w:t>
      </w:r>
    </w:p>
    <w:p w14:paraId="5B9155C0" w14:textId="3272A437" w:rsidR="000D4178" w:rsidRDefault="000D4178" w:rsidP="001951C7">
      <w:pPr>
        <w:pStyle w:val="BodyText1"/>
      </w:pPr>
      <w:r>
        <w:t xml:space="preserve">The Committee met on </w:t>
      </w:r>
      <w:r w:rsidR="00A110E8">
        <w:t>18 and</w:t>
      </w:r>
      <w:r w:rsidR="00A644DD">
        <w:t xml:space="preserve"> 25 </w:t>
      </w:r>
      <w:r w:rsidR="00A4243F">
        <w:t xml:space="preserve">August </w:t>
      </w:r>
      <w:r>
        <w:t>2020 to consider the Chair’</w:t>
      </w:r>
      <w:r w:rsidR="00D43784">
        <w:t>s</w:t>
      </w:r>
      <w:r>
        <w:t xml:space="preserve"> </w:t>
      </w:r>
      <w:r w:rsidR="002801FA">
        <w:t xml:space="preserve">draft </w:t>
      </w:r>
      <w:r w:rsidR="00A4243F">
        <w:t>final</w:t>
      </w:r>
      <w:r w:rsidR="002801FA">
        <w:t xml:space="preserve"> report and the report, as amended, was adopted by the Committee on</w:t>
      </w:r>
      <w:r w:rsidR="00A644DD">
        <w:t xml:space="preserve"> 25 </w:t>
      </w:r>
      <w:r w:rsidR="00A4243F">
        <w:t>August</w:t>
      </w:r>
      <w:r w:rsidR="007F3922" w:rsidRPr="00AD0359">
        <w:t xml:space="preserve"> </w:t>
      </w:r>
      <w:r w:rsidR="002801FA">
        <w:t>2020.</w:t>
      </w:r>
    </w:p>
    <w:p w14:paraId="35B98600" w14:textId="132D5492" w:rsidR="000D4178" w:rsidRDefault="000D4178" w:rsidP="000D4178">
      <w:pPr>
        <w:pStyle w:val="Headinglevel2"/>
      </w:pPr>
      <w:bookmarkStart w:id="50" w:name="_Toc49281149"/>
      <w:bookmarkStart w:id="51" w:name="_Hlk35422023"/>
      <w:r>
        <w:t xml:space="preserve">Structure of the Committee’s </w:t>
      </w:r>
      <w:r w:rsidR="00D07C19">
        <w:t>Final</w:t>
      </w:r>
      <w:r w:rsidR="008B061D">
        <w:t xml:space="preserve"> </w:t>
      </w:r>
      <w:r>
        <w:t>report</w:t>
      </w:r>
      <w:bookmarkEnd w:id="50"/>
    </w:p>
    <w:p w14:paraId="38C1EB01" w14:textId="11826FC5" w:rsidR="002801FA" w:rsidRDefault="002801FA" w:rsidP="00970F3D">
      <w:pPr>
        <w:pStyle w:val="BodyText1"/>
      </w:pPr>
      <w:r>
        <w:t xml:space="preserve">The Committee’s </w:t>
      </w:r>
      <w:r w:rsidR="00D07C19">
        <w:t xml:space="preserve">final </w:t>
      </w:r>
      <w:r>
        <w:t xml:space="preserve">report </w:t>
      </w:r>
      <w:r w:rsidR="001277D1">
        <w:t xml:space="preserve">on the first matter </w:t>
      </w:r>
      <w:r>
        <w:t xml:space="preserve">is divided </w:t>
      </w:r>
      <w:r w:rsidR="00580994">
        <w:t>into t</w:t>
      </w:r>
      <w:r w:rsidR="001E182B">
        <w:t>wo</w:t>
      </w:r>
      <w:r w:rsidR="00580994">
        <w:t xml:space="preserve"> parts, comprising five chapters, covering the following main topics:</w:t>
      </w:r>
    </w:p>
    <w:p w14:paraId="5C54106F" w14:textId="3CBBC733" w:rsidR="00580994" w:rsidRPr="001E182B" w:rsidRDefault="00580994" w:rsidP="001E182B">
      <w:pPr>
        <w:pStyle w:val="Bodytextnonumbering"/>
        <w:ind w:left="567"/>
        <w:rPr>
          <w:i/>
          <w:iCs w:val="0"/>
        </w:rPr>
      </w:pPr>
      <w:r w:rsidRPr="001E182B">
        <w:rPr>
          <w:i/>
          <w:iCs w:val="0"/>
        </w:rPr>
        <w:t>Part 1—Context to the inquiry</w:t>
      </w:r>
    </w:p>
    <w:p w14:paraId="07A381BE" w14:textId="58BF7DA3" w:rsidR="00580994" w:rsidRDefault="00580994" w:rsidP="00A33656">
      <w:pPr>
        <w:pStyle w:val="Bodytextnonumbering"/>
        <w:numPr>
          <w:ilvl w:val="0"/>
          <w:numId w:val="13"/>
        </w:numPr>
      </w:pPr>
      <w:r>
        <w:t xml:space="preserve">Chapter 1—Introduction and </w:t>
      </w:r>
      <w:r w:rsidR="00015268">
        <w:t>background to the i</w:t>
      </w:r>
      <w:r>
        <w:t>nquiry</w:t>
      </w:r>
    </w:p>
    <w:p w14:paraId="52BF8603" w14:textId="079E89BB" w:rsidR="00580994" w:rsidRDefault="00580994" w:rsidP="00A33656">
      <w:pPr>
        <w:pStyle w:val="Bodytextnonumbering"/>
        <w:numPr>
          <w:ilvl w:val="0"/>
          <w:numId w:val="13"/>
        </w:numPr>
      </w:pPr>
      <w:r>
        <w:t>Chapter 2—Inquiry c</w:t>
      </w:r>
      <w:r w:rsidR="00BE5A52">
        <w:t>o</w:t>
      </w:r>
      <w:r>
        <w:t>ntext</w:t>
      </w:r>
    </w:p>
    <w:p w14:paraId="2C327DA0" w14:textId="273A5207" w:rsidR="00BE5A52" w:rsidRPr="001E182B" w:rsidRDefault="00BE5A52" w:rsidP="001E182B">
      <w:pPr>
        <w:pStyle w:val="Bodytextnonumbering"/>
        <w:ind w:left="567"/>
        <w:rPr>
          <w:i/>
          <w:iCs w:val="0"/>
        </w:rPr>
      </w:pPr>
      <w:r w:rsidRPr="001E182B">
        <w:rPr>
          <w:i/>
          <w:iCs w:val="0"/>
        </w:rPr>
        <w:t>Part 2—Views of the Committee</w:t>
      </w:r>
    </w:p>
    <w:p w14:paraId="2E52CFD2" w14:textId="25D74310" w:rsidR="00433805" w:rsidRPr="00433805" w:rsidRDefault="00433805" w:rsidP="00A33656">
      <w:pPr>
        <w:pStyle w:val="ListParagraph"/>
        <w:numPr>
          <w:ilvl w:val="0"/>
          <w:numId w:val="15"/>
        </w:numPr>
        <w:ind w:left="927"/>
        <w:rPr>
          <w:rFonts w:cs="Arial"/>
          <w:iCs/>
        </w:rPr>
      </w:pPr>
      <w:r w:rsidRPr="00433805">
        <w:rPr>
          <w:rFonts w:cs="Arial"/>
          <w:iCs/>
        </w:rPr>
        <w:t xml:space="preserve">Chapter </w:t>
      </w:r>
      <w:r w:rsidR="001E182B">
        <w:rPr>
          <w:rFonts w:cs="Arial"/>
          <w:iCs/>
        </w:rPr>
        <w:t>3</w:t>
      </w:r>
      <w:r w:rsidRPr="00433805">
        <w:rPr>
          <w:rFonts w:cs="Arial"/>
          <w:iCs/>
        </w:rPr>
        <w:t>—Inquiry guiding principles and management plan</w:t>
      </w:r>
    </w:p>
    <w:p w14:paraId="03699FC0" w14:textId="2C71E987" w:rsidR="00BE5A52" w:rsidRDefault="00BE5A52" w:rsidP="00A33656">
      <w:pPr>
        <w:pStyle w:val="Bodytextnonumbering"/>
        <w:numPr>
          <w:ilvl w:val="0"/>
          <w:numId w:val="15"/>
        </w:numPr>
        <w:ind w:left="927"/>
      </w:pPr>
      <w:r>
        <w:t xml:space="preserve">Chapter </w:t>
      </w:r>
      <w:r w:rsidR="001E182B">
        <w:t>4</w:t>
      </w:r>
      <w:r w:rsidR="00433805">
        <w:t>—</w:t>
      </w:r>
      <w:r w:rsidR="004B3D74">
        <w:t xml:space="preserve">Committee </w:t>
      </w:r>
      <w:r w:rsidR="00A110E8">
        <w:t>consideration of the issues</w:t>
      </w:r>
    </w:p>
    <w:p w14:paraId="0A6E5DAF" w14:textId="3DD391A0" w:rsidR="00BE5A52" w:rsidRDefault="00BE5A52" w:rsidP="00A33656">
      <w:pPr>
        <w:pStyle w:val="Bodytextnonumbering"/>
        <w:numPr>
          <w:ilvl w:val="0"/>
          <w:numId w:val="14"/>
        </w:numPr>
        <w:ind w:left="927"/>
      </w:pPr>
      <w:r>
        <w:t xml:space="preserve">Chapter </w:t>
      </w:r>
      <w:r w:rsidR="001E182B">
        <w:t>5</w:t>
      </w:r>
      <w:r>
        <w:t>—Conclusion</w:t>
      </w:r>
    </w:p>
    <w:p w14:paraId="455DC040" w14:textId="6C72050D" w:rsidR="001E182B" w:rsidRDefault="001E182B" w:rsidP="001E182B">
      <w:pPr>
        <w:pStyle w:val="Headinglevel2"/>
      </w:pPr>
      <w:bookmarkStart w:id="52" w:name="_Toc49281150"/>
      <w:r>
        <w:t>Acknowledgements</w:t>
      </w:r>
      <w:bookmarkEnd w:id="52"/>
    </w:p>
    <w:p w14:paraId="6D38B3E3" w14:textId="75DE0B47" w:rsidR="001E182B" w:rsidRPr="001E182B" w:rsidRDefault="001E182B" w:rsidP="00992BEA">
      <w:pPr>
        <w:pStyle w:val="BodyText1"/>
      </w:pPr>
      <w:r w:rsidRPr="001E182B">
        <w:t>The Committee thanks all those who contributed to its inquiry.</w:t>
      </w:r>
    </w:p>
    <w:bookmarkEnd w:id="51"/>
    <w:p w14:paraId="63BDB427" w14:textId="77777777" w:rsidR="00547273" w:rsidRDefault="00547273" w:rsidP="00547273">
      <w:pPr>
        <w:pStyle w:val="BodyText1"/>
        <w:numPr>
          <w:ilvl w:val="0"/>
          <w:numId w:val="0"/>
        </w:numPr>
      </w:pPr>
    </w:p>
    <w:p w14:paraId="30D59408" w14:textId="525D6377" w:rsidR="00547273" w:rsidRDefault="00547273" w:rsidP="00547273">
      <w:pPr>
        <w:pStyle w:val="BodyText1"/>
        <w:numPr>
          <w:ilvl w:val="0"/>
          <w:numId w:val="0"/>
        </w:numPr>
        <w:sectPr w:rsidR="00547273" w:rsidSect="002C4A87">
          <w:headerReference w:type="even" r:id="rId23"/>
          <w:headerReference w:type="default" r:id="rId24"/>
          <w:footerReference w:type="even" r:id="rId25"/>
          <w:footerReference w:type="default" r:id="rId26"/>
          <w:type w:val="oddPage"/>
          <w:pgSz w:w="11907" w:h="16840" w:code="9"/>
          <w:pgMar w:top="1588" w:right="1418" w:bottom="1418" w:left="1418" w:header="720" w:footer="851" w:gutter="0"/>
          <w:pgNumType w:start="1"/>
          <w:cols w:space="720"/>
          <w:docGrid w:linePitch="360"/>
        </w:sectPr>
      </w:pPr>
    </w:p>
    <w:p w14:paraId="0C9CC37D" w14:textId="77777777" w:rsidR="00217BE4" w:rsidRDefault="00FE6CA8" w:rsidP="00217BE4">
      <w:pPr>
        <w:pStyle w:val="Heading1"/>
      </w:pPr>
      <w:bookmarkStart w:id="53" w:name="_Toc49281151"/>
      <w:r>
        <w:lastRenderedPageBreak/>
        <w:t>Inquiry context</w:t>
      </w:r>
      <w:bookmarkEnd w:id="53"/>
    </w:p>
    <w:p w14:paraId="78D75933" w14:textId="60D19AF0" w:rsidR="0095745C" w:rsidRPr="0095745C" w:rsidRDefault="00096713" w:rsidP="0095745C">
      <w:pPr>
        <w:pStyle w:val="BodyText1"/>
      </w:pPr>
      <w:bookmarkStart w:id="54" w:name="_Hlk30004056"/>
      <w:r>
        <w:t>The Assembly asked the Committee t</w:t>
      </w:r>
      <w:r w:rsidR="0095745C" w:rsidRPr="0095745C">
        <w:t>o provide an analysis of the decision of the ACT</w:t>
      </w:r>
      <w:r>
        <w:t> </w:t>
      </w:r>
      <w:r w:rsidR="0095745C" w:rsidRPr="0095745C">
        <w:t xml:space="preserve">Court of Appeal in the case </w:t>
      </w:r>
      <w:bookmarkStart w:id="55" w:name="_Hlk30346894"/>
      <w:r w:rsidR="0095745C" w:rsidRPr="0095745C">
        <w:t xml:space="preserve">of </w:t>
      </w:r>
      <w:r w:rsidR="0095745C" w:rsidRPr="00CC3AEC">
        <w:rPr>
          <w:i/>
          <w:iCs/>
        </w:rPr>
        <w:t>CP v Director-General of Community Services Directorate [2018] ACTCA</w:t>
      </w:r>
      <w:r w:rsidR="0007124C">
        <w:rPr>
          <w:i/>
          <w:iCs/>
        </w:rPr>
        <w:t> </w:t>
      </w:r>
      <w:r w:rsidR="0095745C" w:rsidRPr="00CC3AEC">
        <w:rPr>
          <w:i/>
          <w:iCs/>
        </w:rPr>
        <w:t>32</w:t>
      </w:r>
      <w:bookmarkEnd w:id="55"/>
      <w:r w:rsidR="0095745C" w:rsidRPr="0095745C">
        <w:t xml:space="preserve"> and to identify potential systemic issues that may need to be addressed</w:t>
      </w:r>
      <w:r>
        <w:t>, and report these to the Assembly by no later than March 2020</w:t>
      </w:r>
      <w:r w:rsidR="0095745C" w:rsidRPr="0095745C">
        <w:t>.</w:t>
      </w:r>
      <w:r w:rsidR="007821C7">
        <w:t xml:space="preserve">  Th</w:t>
      </w:r>
      <w:r w:rsidR="00FA00FC">
        <w:t xml:space="preserve">e Court of Appeal </w:t>
      </w:r>
      <w:r w:rsidR="007821C7">
        <w:t>decision was handed down on 28</w:t>
      </w:r>
      <w:r w:rsidR="0007124C">
        <w:t> </w:t>
      </w:r>
      <w:r w:rsidR="007821C7">
        <w:t xml:space="preserve">August 2018 and reported in the </w:t>
      </w:r>
      <w:r w:rsidR="007821C7" w:rsidRPr="007821C7">
        <w:rPr>
          <w:i/>
          <w:iCs/>
        </w:rPr>
        <w:t>Canberra Times</w:t>
      </w:r>
      <w:r w:rsidR="007821C7">
        <w:t xml:space="preserve"> on 17 February 2019.</w:t>
      </w:r>
    </w:p>
    <w:p w14:paraId="14232E6D" w14:textId="0671E59E" w:rsidR="00970F3D" w:rsidRDefault="0089483C" w:rsidP="000F2694">
      <w:pPr>
        <w:pStyle w:val="BodyText1"/>
      </w:pPr>
      <w:r>
        <w:t xml:space="preserve">The </w:t>
      </w:r>
      <w:r w:rsidR="00CC3AEC">
        <w:t xml:space="preserve">case of </w:t>
      </w:r>
      <w:r w:rsidR="00CC3AEC" w:rsidRPr="00CC3AEC">
        <w:rPr>
          <w:i/>
          <w:iCs/>
        </w:rPr>
        <w:t>CP v Director-General of Community Services Directorate [2018] ACTCA 32</w:t>
      </w:r>
      <w:r w:rsidR="00CC3AEC">
        <w:t xml:space="preserve"> is concerned with an appeal to the </w:t>
      </w:r>
      <w:r w:rsidR="007821C7">
        <w:t xml:space="preserve">ACT </w:t>
      </w:r>
      <w:r w:rsidR="00CC3AEC">
        <w:t>Supreme C</w:t>
      </w:r>
      <w:r w:rsidR="0080224D">
        <w:t>o</w:t>
      </w:r>
      <w:r w:rsidR="00CC3AEC">
        <w:t xml:space="preserve">urt </w:t>
      </w:r>
      <w:r w:rsidR="007821C7">
        <w:t>of</w:t>
      </w:r>
      <w:r w:rsidR="00CC3AEC">
        <w:t xml:space="preserve"> a decision made by a magistrate in the </w:t>
      </w:r>
      <w:r w:rsidR="007821C7">
        <w:t xml:space="preserve">ACT </w:t>
      </w:r>
      <w:r w:rsidR="00CC3AEC">
        <w:t>Childrens Court relating to care and protection orders</w:t>
      </w:r>
      <w:r w:rsidR="0080224D">
        <w:t>.</w:t>
      </w:r>
    </w:p>
    <w:p w14:paraId="2BC281B4" w14:textId="5E99AD24" w:rsidR="005D0C52" w:rsidRDefault="005D0C52" w:rsidP="005D0C52">
      <w:pPr>
        <w:pStyle w:val="BodyText1"/>
      </w:pPr>
      <w:r>
        <w:t>The court action followed a decision by the Director-General of the Community Services Directorate (CSD) to take emergency action to remove five children from the care of their mother.  Emergency action is available if there is an immediate need, or likely to be an immediate need</w:t>
      </w:r>
      <w:r w:rsidR="00B122E7">
        <w:t>,</w:t>
      </w:r>
      <w:r>
        <w:t xml:space="preserve"> of care and protection.</w:t>
      </w:r>
    </w:p>
    <w:p w14:paraId="38177BC6" w14:textId="4B52DDA1" w:rsidR="005D0C52" w:rsidRPr="001E182B" w:rsidRDefault="005D0C52" w:rsidP="005D0C52">
      <w:pPr>
        <w:pStyle w:val="BodyText1"/>
      </w:pPr>
      <w:r>
        <w:t>In its interim report</w:t>
      </w:r>
      <w:r>
        <w:rPr>
          <w:rStyle w:val="FootnoteReference"/>
        </w:rPr>
        <w:footnoteReference w:id="4"/>
      </w:r>
      <w:r>
        <w:t>, in order to fully understand the context of the Court of Appeal decision—the Committee s</w:t>
      </w:r>
      <w:r w:rsidR="00507460">
        <w:t xml:space="preserve">et out a summary </w:t>
      </w:r>
      <w:r w:rsidR="00980C2A">
        <w:t>of</w:t>
      </w:r>
      <w:r>
        <w:t xml:space="preserve">: (i) the </w:t>
      </w:r>
      <w:r w:rsidRPr="001E182B">
        <w:t xml:space="preserve">court action/activity that took place </w:t>
      </w:r>
      <w:r>
        <w:t xml:space="preserve">leading up to </w:t>
      </w:r>
      <w:r w:rsidRPr="001E182B">
        <w:t xml:space="preserve">and including the 2018 Court of Appeal </w:t>
      </w:r>
      <w:r>
        <w:t>(C</w:t>
      </w:r>
      <w:r w:rsidR="009425B1">
        <w:t xml:space="preserve"> </w:t>
      </w:r>
      <w:r>
        <w:t>o</w:t>
      </w:r>
      <w:r w:rsidR="009425B1">
        <w:t xml:space="preserve">f </w:t>
      </w:r>
      <w:r>
        <w:t xml:space="preserve">A) </w:t>
      </w:r>
      <w:r w:rsidRPr="001E182B">
        <w:t>decision</w:t>
      </w:r>
      <w:r>
        <w:t xml:space="preserve">; and (ii) </w:t>
      </w:r>
      <w:r w:rsidRPr="001E182B">
        <w:t>C</w:t>
      </w:r>
      <w:r>
        <w:t>hild and Youth Protection Services’ (C</w:t>
      </w:r>
      <w:r w:rsidRPr="001E182B">
        <w:t>YPS</w:t>
      </w:r>
      <w:r>
        <w:t>)</w:t>
      </w:r>
      <w:r w:rsidRPr="001E182B">
        <w:t>—intake, response and intervention processes as it concerns decision</w:t>
      </w:r>
      <w:r w:rsidR="00980C2A">
        <w:t>-</w:t>
      </w:r>
      <w:r w:rsidRPr="001E182B">
        <w:t>making regarding taking children into care through emergency action.</w:t>
      </w:r>
    </w:p>
    <w:bookmarkEnd w:id="54"/>
    <w:p w14:paraId="4E82AB52" w14:textId="77777777" w:rsidR="002B21C2" w:rsidRDefault="002B21C2" w:rsidP="002001C6">
      <w:pPr>
        <w:pStyle w:val="Bodytextnonumbering"/>
      </w:pPr>
    </w:p>
    <w:p w14:paraId="05F33765" w14:textId="77777777" w:rsidR="00A121B1" w:rsidRPr="00D85C07" w:rsidRDefault="00A121B1" w:rsidP="002001C6">
      <w:pPr>
        <w:pStyle w:val="Bodytextnonumbering"/>
        <w:sectPr w:rsidR="00A121B1" w:rsidRPr="00D85C07" w:rsidSect="00A643D7">
          <w:footerReference w:type="even" r:id="rId27"/>
          <w:footerReference w:type="default" r:id="rId28"/>
          <w:type w:val="oddPage"/>
          <w:pgSz w:w="11907" w:h="16840" w:code="9"/>
          <w:pgMar w:top="1588" w:right="1418" w:bottom="1418" w:left="1418" w:header="720" w:footer="851" w:gutter="0"/>
          <w:cols w:space="720"/>
          <w:docGrid w:linePitch="360"/>
        </w:sectPr>
      </w:pPr>
    </w:p>
    <w:p w14:paraId="5EA0BF8F" w14:textId="4EB31640" w:rsidR="000937BF" w:rsidRDefault="00E5196E" w:rsidP="00A121B1">
      <w:pPr>
        <w:pStyle w:val="Heading1"/>
      </w:pPr>
      <w:bookmarkStart w:id="57" w:name="_Toc49281152"/>
      <w:bookmarkStart w:id="58" w:name="_Toc479770964"/>
      <w:r>
        <w:lastRenderedPageBreak/>
        <w:t xml:space="preserve">Inquiry </w:t>
      </w:r>
      <w:r w:rsidR="00717CE2">
        <w:t xml:space="preserve">Guiding Principles and </w:t>
      </w:r>
      <w:r>
        <w:t>Management Plan</w:t>
      </w:r>
      <w:bookmarkEnd w:id="57"/>
    </w:p>
    <w:p w14:paraId="7080B6FE" w14:textId="40A0B944" w:rsidR="005D0C52" w:rsidRDefault="005D0C52" w:rsidP="005D0C52">
      <w:pPr>
        <w:pStyle w:val="BodyText1"/>
      </w:pPr>
      <w:r>
        <w:t xml:space="preserve">In </w:t>
      </w:r>
      <w:r w:rsidR="00B122E7">
        <w:t>the</w:t>
      </w:r>
      <w:r>
        <w:t xml:space="preserve"> interim report—the Committee set out how it determined to progress this inquiry—this included: consideration of the hierarchy of authorities and guiding principles that are relevant to the inquiry—overarching and specific.  Following setting out its guiding principles—the Committee also set out how it transitioned the inquiry from an individual focus to a broad public interest mandate.</w:t>
      </w:r>
    </w:p>
    <w:p w14:paraId="7C1F7A42" w14:textId="75A58C41" w:rsidR="00684FE6" w:rsidRPr="00684FE6" w:rsidRDefault="002A518B" w:rsidP="00B97BB2">
      <w:pPr>
        <w:pStyle w:val="BodyText1"/>
        <w:rPr>
          <w:lang w:eastAsia="en-AU"/>
        </w:rPr>
      </w:pPr>
      <w:r>
        <w:rPr>
          <w:lang w:eastAsia="en-AU"/>
        </w:rPr>
        <w:t xml:space="preserve">In </w:t>
      </w:r>
      <w:r w:rsidR="009425B1">
        <w:rPr>
          <w:lang w:eastAsia="en-AU"/>
        </w:rPr>
        <w:t xml:space="preserve">the </w:t>
      </w:r>
      <w:r w:rsidR="00B122E7">
        <w:rPr>
          <w:lang w:eastAsia="en-AU"/>
        </w:rPr>
        <w:t xml:space="preserve">following sections of </w:t>
      </w:r>
      <w:r>
        <w:rPr>
          <w:lang w:eastAsia="en-AU"/>
        </w:rPr>
        <w:t xml:space="preserve">this chapter, the Committee restates these principles as they are integral to how it determined </w:t>
      </w:r>
      <w:r w:rsidR="00015268">
        <w:rPr>
          <w:lang w:eastAsia="en-AU"/>
        </w:rPr>
        <w:t xml:space="preserve">to </w:t>
      </w:r>
      <w:r>
        <w:rPr>
          <w:lang w:eastAsia="en-AU"/>
        </w:rPr>
        <w:t>progress this inquiry.</w:t>
      </w:r>
    </w:p>
    <w:p w14:paraId="2AF87EBE" w14:textId="6C60D313" w:rsidR="00CC63C4" w:rsidRDefault="00E60DC2" w:rsidP="00E60DC2">
      <w:pPr>
        <w:pStyle w:val="BodyText1"/>
        <w:rPr>
          <w:iCs/>
        </w:rPr>
      </w:pPr>
      <w:bookmarkStart w:id="59" w:name="_Toc479770967"/>
      <w:bookmarkEnd w:id="58"/>
      <w:r>
        <w:t>The Committee has a h</w:t>
      </w:r>
      <w:r w:rsidRPr="00E60DC2">
        <w:rPr>
          <w:iCs/>
        </w:rPr>
        <w:t xml:space="preserve">ierarchy of authorities and guiding principles </w:t>
      </w:r>
      <w:r>
        <w:rPr>
          <w:iCs/>
        </w:rPr>
        <w:t>it must consider in the management of</w:t>
      </w:r>
      <w:r w:rsidR="00890C93">
        <w:rPr>
          <w:iCs/>
        </w:rPr>
        <w:t xml:space="preserve"> </w:t>
      </w:r>
      <w:r w:rsidRPr="00E60DC2">
        <w:rPr>
          <w:iCs/>
        </w:rPr>
        <w:t>inquir</w:t>
      </w:r>
      <w:r>
        <w:rPr>
          <w:iCs/>
        </w:rPr>
        <w:t>ies</w:t>
      </w:r>
      <w:r w:rsidR="00890C93">
        <w:rPr>
          <w:iCs/>
        </w:rPr>
        <w:t xml:space="preserve"> generally.  Further, attributable to the nature of its terms of reference</w:t>
      </w:r>
      <w:r w:rsidR="00713E5B">
        <w:rPr>
          <w:iCs/>
        </w:rPr>
        <w:t xml:space="preserve"> (T</w:t>
      </w:r>
      <w:r w:rsidR="009425B1">
        <w:rPr>
          <w:iCs/>
        </w:rPr>
        <w:t xml:space="preserve"> </w:t>
      </w:r>
      <w:r w:rsidR="00713E5B">
        <w:rPr>
          <w:iCs/>
        </w:rPr>
        <w:t>o</w:t>
      </w:r>
      <w:r w:rsidR="009425B1">
        <w:rPr>
          <w:iCs/>
        </w:rPr>
        <w:t xml:space="preserve">f </w:t>
      </w:r>
      <w:r w:rsidR="00713E5B">
        <w:rPr>
          <w:iCs/>
        </w:rPr>
        <w:t>R)</w:t>
      </w:r>
      <w:r w:rsidR="00CC63C4">
        <w:rPr>
          <w:iCs/>
        </w:rPr>
        <w:t xml:space="preserve">, there may also be inquiry specific authorities and guiding principles that also </w:t>
      </w:r>
      <w:r w:rsidR="00890C93">
        <w:rPr>
          <w:iCs/>
        </w:rPr>
        <w:t>require</w:t>
      </w:r>
      <w:r w:rsidR="00CC63C4">
        <w:rPr>
          <w:iCs/>
        </w:rPr>
        <w:t xml:space="preserve"> consideration.</w:t>
      </w:r>
    </w:p>
    <w:p w14:paraId="3C31BB51" w14:textId="04787798" w:rsidR="00E60DC2" w:rsidRPr="00E60DC2" w:rsidRDefault="00CC63C4" w:rsidP="00E60DC2">
      <w:pPr>
        <w:pStyle w:val="BodyText1"/>
        <w:rPr>
          <w:iCs/>
        </w:rPr>
      </w:pPr>
      <w:r>
        <w:rPr>
          <w:iCs/>
        </w:rPr>
        <w:t xml:space="preserve">The </w:t>
      </w:r>
      <w:bookmarkStart w:id="60" w:name="_Hlk35446207"/>
      <w:r>
        <w:rPr>
          <w:iCs/>
        </w:rPr>
        <w:t xml:space="preserve">overarching and inquiry specific </w:t>
      </w:r>
      <w:r w:rsidRPr="00CC63C4">
        <w:rPr>
          <w:iCs/>
        </w:rPr>
        <w:t>authorities and guiding principles</w:t>
      </w:r>
      <w:r>
        <w:rPr>
          <w:iCs/>
        </w:rPr>
        <w:t xml:space="preserve"> the Committee needed to be cognisant of in managing this inquiry are summarised </w:t>
      </w:r>
      <w:bookmarkEnd w:id="60"/>
      <w:r>
        <w:rPr>
          <w:iCs/>
        </w:rPr>
        <w:t>below.</w:t>
      </w:r>
    </w:p>
    <w:p w14:paraId="7A6C239C" w14:textId="49287ED7" w:rsidR="00303C55" w:rsidRPr="00303C55" w:rsidRDefault="00303C55" w:rsidP="00CC63C4">
      <w:pPr>
        <w:pStyle w:val="Headinglevel2"/>
      </w:pPr>
      <w:bookmarkStart w:id="61" w:name="_Toc49281153"/>
      <w:r w:rsidRPr="00303C55">
        <w:t>Overarching authorities and guiding principles</w:t>
      </w:r>
      <w:bookmarkEnd w:id="61"/>
    </w:p>
    <w:p w14:paraId="219F0691" w14:textId="1CA0F61D" w:rsidR="00303C55" w:rsidRPr="00303C55" w:rsidRDefault="00303C55" w:rsidP="00CC63C4">
      <w:pPr>
        <w:pStyle w:val="Headinglevel5"/>
      </w:pPr>
      <w:r w:rsidRPr="00A11D25">
        <w:rPr>
          <w:bCs/>
        </w:rPr>
        <w:t>Separation of powers—</w:t>
      </w:r>
      <w:r w:rsidRPr="00303C55">
        <w:t>sovereignty of the decision</w:t>
      </w:r>
      <w:r w:rsidR="009425B1">
        <w:t>-</w:t>
      </w:r>
      <w:r w:rsidRPr="00303C55">
        <w:t>making of parliament and the courts.</w:t>
      </w:r>
    </w:p>
    <w:p w14:paraId="6CCBBBEB" w14:textId="226103DF" w:rsidR="00303C55" w:rsidRPr="00303C55" w:rsidRDefault="00CC63C4" w:rsidP="00CC63C4">
      <w:pPr>
        <w:pStyle w:val="BodyText1"/>
      </w:pPr>
      <w:r>
        <w:t xml:space="preserve">It is not the </w:t>
      </w:r>
      <w:r w:rsidR="00303C55" w:rsidRPr="00303C55">
        <w:t>role of the Committee to second guess or unpack decision</w:t>
      </w:r>
      <w:r>
        <w:t xml:space="preserve">-making </w:t>
      </w:r>
      <w:r w:rsidR="00303C55" w:rsidRPr="00303C55">
        <w:t xml:space="preserve">of the </w:t>
      </w:r>
      <w:r>
        <w:t>C</w:t>
      </w:r>
      <w:r w:rsidR="00303C55" w:rsidRPr="00303C55">
        <w:t>ourts regarding the specified case (or give that perception or impression).</w:t>
      </w:r>
    </w:p>
    <w:p w14:paraId="5EF51F01" w14:textId="0077643F" w:rsidR="00303C55" w:rsidRPr="00303C55" w:rsidRDefault="00303C55" w:rsidP="00CC63C4">
      <w:pPr>
        <w:pStyle w:val="BodyText1"/>
      </w:pPr>
      <w:r w:rsidRPr="00303C55">
        <w:t xml:space="preserve">The Committee is not looking at the legality of the decisions of the Court(s).  </w:t>
      </w:r>
      <w:r w:rsidR="00CC63C4">
        <w:t>T</w:t>
      </w:r>
      <w:r w:rsidRPr="00303C55">
        <w:t xml:space="preserve">he Committee </w:t>
      </w:r>
      <w:r w:rsidR="00CC63C4">
        <w:t xml:space="preserve">is </w:t>
      </w:r>
      <w:r w:rsidRPr="00303C55">
        <w:t>looking at whether the</w:t>
      </w:r>
      <w:r w:rsidR="00713E5B">
        <w:t xml:space="preserve"> C</w:t>
      </w:r>
      <w:r w:rsidR="009425B1">
        <w:t xml:space="preserve"> </w:t>
      </w:r>
      <w:r w:rsidR="00713E5B">
        <w:t>o</w:t>
      </w:r>
      <w:r w:rsidR="009425B1">
        <w:t xml:space="preserve">f </w:t>
      </w:r>
      <w:r w:rsidR="00713E5B">
        <w:t>A</w:t>
      </w:r>
      <w:r w:rsidRPr="00303C55">
        <w:t xml:space="preserve"> decision raised any issues regarding the </w:t>
      </w:r>
      <w:r w:rsidR="00B122E7">
        <w:t>CYP</w:t>
      </w:r>
      <w:r w:rsidRPr="00303C55">
        <w:t xml:space="preserve"> Act and the administration of the Act by the responsible directorate.</w:t>
      </w:r>
    </w:p>
    <w:p w14:paraId="7CB35448" w14:textId="110BA28F" w:rsidR="00303C55" w:rsidRPr="00303C55" w:rsidRDefault="00D3609E" w:rsidP="00CC63C4">
      <w:pPr>
        <w:pStyle w:val="BodyText1"/>
      </w:pPr>
      <w:r>
        <w:t>Further, i</w:t>
      </w:r>
      <w:r w:rsidR="00A11D25">
        <w:t>t is n</w:t>
      </w:r>
      <w:r w:rsidR="00303C55" w:rsidRPr="00303C55">
        <w:t>ot the role of the inquiry process to be a form of review of any decisions related to the case.</w:t>
      </w:r>
    </w:p>
    <w:p w14:paraId="75B403EC" w14:textId="47C2A0E5" w:rsidR="00303C55" w:rsidRPr="00303C55" w:rsidRDefault="00303C55" w:rsidP="00A11D25">
      <w:pPr>
        <w:pStyle w:val="Headinglevel5"/>
      </w:pPr>
      <w:r w:rsidRPr="00303C55">
        <w:t>Role of parliamentary committees</w:t>
      </w:r>
    </w:p>
    <w:p w14:paraId="6182994E" w14:textId="6B56AB71" w:rsidR="0005321A" w:rsidRDefault="00A11D25" w:rsidP="00155BC9">
      <w:pPr>
        <w:pStyle w:val="BodyText1"/>
      </w:pPr>
      <w:r>
        <w:t>Parliamentary c</w:t>
      </w:r>
      <w:r w:rsidR="00303C55" w:rsidRPr="00303C55">
        <w:t>ommittees have a broad public interest mandate and are not in a position to determine the rights and wrongs of individual cases.  The Committee process is not a forum to resolve issues pertaining solely to individual cases or grievances but is a forum to explore the general matters of principle, policy or public administration relevant to</w:t>
      </w:r>
      <w:r>
        <w:t xml:space="preserve"> an inquiry’s </w:t>
      </w:r>
      <w:r w:rsidR="00713E5B">
        <w:t>T</w:t>
      </w:r>
      <w:r w:rsidR="009425B1">
        <w:t xml:space="preserve"> </w:t>
      </w:r>
      <w:r w:rsidR="00713E5B">
        <w:t>o</w:t>
      </w:r>
      <w:r w:rsidR="009425B1">
        <w:t xml:space="preserve">f </w:t>
      </w:r>
      <w:r w:rsidR="00713E5B">
        <w:t>R</w:t>
      </w:r>
      <w:r w:rsidR="00303C55" w:rsidRPr="00303C55">
        <w:t>.</w:t>
      </w:r>
    </w:p>
    <w:p w14:paraId="3304BC37" w14:textId="2418ABC6" w:rsidR="00303C55" w:rsidRPr="00303C55" w:rsidRDefault="00303C55" w:rsidP="00155BC9">
      <w:pPr>
        <w:pStyle w:val="BodyText1"/>
      </w:pPr>
      <w:r w:rsidRPr="00303C55">
        <w:lastRenderedPageBreak/>
        <w:t>The individual case as specified</w:t>
      </w:r>
      <w:r w:rsidR="00A11D25">
        <w:t xml:space="preserve"> will be </w:t>
      </w:r>
      <w:r w:rsidRPr="00303C55">
        <w:t>considered with regard to the general matters of principle, policy or public administration relevant to the T of R.  The Committee is also not a secondary review body.</w:t>
      </w:r>
    </w:p>
    <w:p w14:paraId="623C7E0F" w14:textId="35111A64" w:rsidR="00303C55" w:rsidRPr="00303C55" w:rsidRDefault="00002E1B" w:rsidP="00A11D25">
      <w:pPr>
        <w:pStyle w:val="BodyText1"/>
      </w:pPr>
      <w:r>
        <w:t xml:space="preserve">For Part 1 of the report, the </w:t>
      </w:r>
      <w:r w:rsidR="00303C55" w:rsidRPr="00303C55">
        <w:t>specific T of R—at its meeting on Thursday, 16 May 2019, the Assembly passed the following resolution—"That this Assembly:</w:t>
      </w:r>
    </w:p>
    <w:p w14:paraId="45BCE55B" w14:textId="5137790C" w:rsidR="00303C55" w:rsidRPr="00303C55" w:rsidRDefault="00303C55" w:rsidP="00A11D25">
      <w:pPr>
        <w:pStyle w:val="Bodytextnonumbering"/>
        <w:keepNext w:val="0"/>
        <w:ind w:left="567"/>
      </w:pPr>
      <w:r w:rsidRPr="00303C55">
        <w:t>(2) also notes that:</w:t>
      </w:r>
    </w:p>
    <w:p w14:paraId="7AB7C113" w14:textId="77777777" w:rsidR="00303C55" w:rsidRPr="00303C55" w:rsidRDefault="00303C55" w:rsidP="00A11D25">
      <w:pPr>
        <w:pStyle w:val="Bodytextnonumbering"/>
        <w:keepNext w:val="0"/>
        <w:ind w:left="567"/>
      </w:pPr>
      <w:r w:rsidRPr="00303C55">
        <w:t>(2)(a) 2018 Court of Appeal decision, reported in The Canberra Times on 17 February 2019, set aside previous Children's Court and Supreme Court decisions in relation to the children's need for care and protection;</w:t>
      </w:r>
    </w:p>
    <w:p w14:paraId="7677011E" w14:textId="77777777" w:rsidR="00303C55" w:rsidRPr="00303C55" w:rsidRDefault="00303C55" w:rsidP="00A11D25">
      <w:pPr>
        <w:pStyle w:val="Bodytextnonumbering"/>
        <w:keepNext w:val="0"/>
        <w:ind w:left="567"/>
      </w:pPr>
      <w:r w:rsidRPr="00303C55">
        <w:t>(3) refers the following matters to the Standing Committee on Health, Ageing and Community Services:</w:t>
      </w:r>
    </w:p>
    <w:p w14:paraId="4E72C89E" w14:textId="77777777" w:rsidR="00303C55" w:rsidRPr="00303C55" w:rsidRDefault="00303C55" w:rsidP="00A11D25">
      <w:pPr>
        <w:pStyle w:val="Bodytextnonumbering"/>
        <w:keepNext w:val="0"/>
        <w:ind w:left="567"/>
      </w:pPr>
      <w:r w:rsidRPr="00303C55">
        <w:t>(3)</w:t>
      </w:r>
      <w:bookmarkStart w:id="62" w:name="_Hlk17787139"/>
      <w:r w:rsidRPr="00303C55">
        <w:t>(a) analysis of the case referred to in (2)(a) to identify potential systemic issues that may need to be addressed, and report to the Assembly no later than March 2020;</w:t>
      </w:r>
      <w:bookmarkEnd w:id="62"/>
    </w:p>
    <w:p w14:paraId="248744D2" w14:textId="5CE34053" w:rsidR="00303C55" w:rsidRPr="00A11D25" w:rsidRDefault="00303C55" w:rsidP="00A11D25">
      <w:pPr>
        <w:pStyle w:val="BodyText1"/>
      </w:pPr>
      <w:r w:rsidRPr="00A11D25">
        <w:t xml:space="preserve">The Committee </w:t>
      </w:r>
      <w:r w:rsidR="00A11D25" w:rsidRPr="00A11D25">
        <w:t xml:space="preserve">is </w:t>
      </w:r>
      <w:r w:rsidRPr="00A11D25">
        <w:t>confin</w:t>
      </w:r>
      <w:r w:rsidR="00A11D25" w:rsidRPr="00A11D25">
        <w:t>ing</w:t>
      </w:r>
      <w:r w:rsidRPr="00A11D25">
        <w:t xml:space="preserve"> its inquiry to the T of R</w:t>
      </w:r>
      <w:r w:rsidR="00002E1B">
        <w:t xml:space="preserve"> for </w:t>
      </w:r>
      <w:r w:rsidR="00445CAA">
        <w:t>P</w:t>
      </w:r>
      <w:r w:rsidR="00002E1B">
        <w:t xml:space="preserve">art </w:t>
      </w:r>
      <w:r w:rsidR="00713E5B">
        <w:t xml:space="preserve">1 </w:t>
      </w:r>
      <w:r w:rsidR="00002E1B">
        <w:t xml:space="preserve">of the </w:t>
      </w:r>
      <w:r w:rsidR="00713E5B">
        <w:t>inquiry as referred by the Assembly</w:t>
      </w:r>
      <w:r w:rsidRPr="00A11D25">
        <w:t>.</w:t>
      </w:r>
    </w:p>
    <w:p w14:paraId="7467E395" w14:textId="5E27E78F" w:rsidR="00303C55" w:rsidRPr="00A11D25" w:rsidRDefault="00303C55" w:rsidP="00A11D25">
      <w:pPr>
        <w:pStyle w:val="Headinglevel5"/>
      </w:pPr>
      <w:bookmarkStart w:id="63" w:name="_Hlk19012180"/>
      <w:r w:rsidRPr="00A11D25">
        <w:t xml:space="preserve">Members’ Code of Conduct </w:t>
      </w:r>
    </w:p>
    <w:bookmarkEnd w:id="63"/>
    <w:p w14:paraId="5092CD47" w14:textId="660E7387" w:rsidR="00303C55" w:rsidRPr="00303C55" w:rsidRDefault="00A11D25" w:rsidP="00A11D25">
      <w:pPr>
        <w:pStyle w:val="BodyText1"/>
      </w:pPr>
      <w:r w:rsidRPr="00A11D25">
        <w:rPr>
          <w:iCs/>
        </w:rPr>
        <w:t>The Assembly’s</w:t>
      </w:r>
      <w:r>
        <w:rPr>
          <w:i/>
        </w:rPr>
        <w:t xml:space="preserve"> </w:t>
      </w:r>
      <w:r w:rsidR="00303C55" w:rsidRPr="00A11D25">
        <w:rPr>
          <w:iCs/>
        </w:rPr>
        <w:t>Continuing resolution 5—</w:t>
      </w:r>
      <w:r>
        <w:rPr>
          <w:iCs/>
        </w:rPr>
        <w:t xml:space="preserve">states </w:t>
      </w:r>
      <w:r w:rsidR="00303C55" w:rsidRPr="00303C55">
        <w:t>that the following principles, amongst others, shall guide the conduct of Members in all matters:</w:t>
      </w:r>
    </w:p>
    <w:p w14:paraId="2ADA0A44" w14:textId="77777777" w:rsidR="00303C55" w:rsidRPr="00303C55" w:rsidRDefault="00303C55" w:rsidP="00A11D25">
      <w:pPr>
        <w:pStyle w:val="Quote"/>
      </w:pPr>
      <w:r w:rsidRPr="00303C55">
        <w:t>(3) Members should uphold the separation of powers and the rule of law</w:t>
      </w:r>
    </w:p>
    <w:p w14:paraId="09C894A5" w14:textId="77777777" w:rsidR="00303C55" w:rsidRPr="00303C55" w:rsidRDefault="00303C55" w:rsidP="00A11D25">
      <w:pPr>
        <w:pStyle w:val="Quote"/>
      </w:pPr>
      <w:r w:rsidRPr="00303C55">
        <w:t>(4) Members should always act in the public interest…</w:t>
      </w:r>
    </w:p>
    <w:p w14:paraId="6EFB2B6C" w14:textId="77777777" w:rsidR="00303C55" w:rsidRPr="00303C55" w:rsidRDefault="00303C55" w:rsidP="00A11D25">
      <w:pPr>
        <w:pStyle w:val="Quote"/>
      </w:pPr>
      <w:r w:rsidRPr="00303C55">
        <w:t>(8) Members should respect the dignity and privacy of individuals, and not disclose confidential information to which they have official access other than with consent or as required by law.</w:t>
      </w:r>
    </w:p>
    <w:p w14:paraId="34BDB1E4" w14:textId="4AC6A41A" w:rsidR="00303C55" w:rsidRPr="00303C55" w:rsidRDefault="00303C55" w:rsidP="002A518B">
      <w:pPr>
        <w:pStyle w:val="Headinglevel5"/>
        <w:widowControl/>
      </w:pPr>
      <w:r w:rsidRPr="00303C55">
        <w:t xml:space="preserve">Privacy considerations </w:t>
      </w:r>
    </w:p>
    <w:p w14:paraId="6C5E41C8" w14:textId="7DAAE8CD" w:rsidR="00303C55" w:rsidRDefault="00303C55" w:rsidP="00A11D25">
      <w:pPr>
        <w:pStyle w:val="BodyText1"/>
      </w:pPr>
      <w:r w:rsidRPr="00303C55">
        <w:t>The ACT has a Human Rights Act</w:t>
      </w:r>
      <w:r w:rsidRPr="00303C55">
        <w:rPr>
          <w:vertAlign w:val="superscript"/>
        </w:rPr>
        <w:footnoteReference w:id="5"/>
      </w:r>
      <w:r w:rsidR="00002E1B">
        <w:t xml:space="preserve"> (the HR Act)</w:t>
      </w:r>
      <w:r w:rsidRPr="00303C55">
        <w:t xml:space="preserve">.  One of the human rights specifically protected in the </w:t>
      </w:r>
      <w:r w:rsidR="00002E1B">
        <w:t xml:space="preserve">HR </w:t>
      </w:r>
      <w:r w:rsidRPr="00303C55">
        <w:t>Act is the right to privacy.  A person’s identity should be protected, unless there are very good public policy and public interest reasons for releasing the information.  This means th</w:t>
      </w:r>
      <w:r w:rsidR="00A11D25">
        <w:t xml:space="preserve">at </w:t>
      </w:r>
      <w:r w:rsidRPr="00303C55">
        <w:t>Committee</w:t>
      </w:r>
      <w:r w:rsidR="00A11D25">
        <w:t>s when dealing with information must at all times</w:t>
      </w:r>
      <w:r w:rsidRPr="00303C55">
        <w:t xml:space="preserve"> weigh up the public interest versus the right to privacy (and the protection of the interests of those to whom the right to privacy belongs or resides).</w:t>
      </w:r>
    </w:p>
    <w:p w14:paraId="76F2B77D" w14:textId="0C57BA16" w:rsidR="00A11D25" w:rsidRPr="00303C55" w:rsidRDefault="00A11D25" w:rsidP="00A11D25">
      <w:pPr>
        <w:pStyle w:val="BodyText1"/>
      </w:pPr>
      <w:r>
        <w:lastRenderedPageBreak/>
        <w:t>S</w:t>
      </w:r>
      <w:r w:rsidR="00002E1B">
        <w:t xml:space="preserve">ection 12 of the HR Act </w:t>
      </w:r>
      <w:r>
        <w:t>states:</w:t>
      </w:r>
    </w:p>
    <w:p w14:paraId="770E7A35" w14:textId="77777777" w:rsidR="00303C55" w:rsidRPr="00303C55" w:rsidRDefault="00303C55" w:rsidP="00A11D25">
      <w:pPr>
        <w:pStyle w:val="Quote"/>
      </w:pPr>
      <w:r w:rsidRPr="00303C55">
        <w:t>12 Privacy and reputation</w:t>
      </w:r>
    </w:p>
    <w:p w14:paraId="01733A78" w14:textId="77777777" w:rsidR="00303C55" w:rsidRPr="00303C55" w:rsidRDefault="00303C55" w:rsidP="00A11D25">
      <w:pPr>
        <w:pStyle w:val="Quote"/>
      </w:pPr>
      <w:r w:rsidRPr="00303C55">
        <w:t>Everyone has the right—</w:t>
      </w:r>
    </w:p>
    <w:p w14:paraId="3C96C0C5" w14:textId="77777777" w:rsidR="00303C55" w:rsidRPr="00303C55" w:rsidRDefault="00303C55" w:rsidP="00A11D25">
      <w:pPr>
        <w:pStyle w:val="Quote"/>
      </w:pPr>
      <w:r w:rsidRPr="00303C55">
        <w:t>(a) not to have his or her privacy, family, home or correspondence interfered with unlawfully or arbitrarily; and</w:t>
      </w:r>
    </w:p>
    <w:p w14:paraId="7E6E21BA" w14:textId="77777777" w:rsidR="00303C55" w:rsidRPr="00303C55" w:rsidRDefault="00303C55" w:rsidP="00A11D25">
      <w:pPr>
        <w:pStyle w:val="Quote"/>
      </w:pPr>
      <w:r w:rsidRPr="00303C55">
        <w:t>(b) not to have his or her reputation unlawfully attacked.</w:t>
      </w:r>
    </w:p>
    <w:p w14:paraId="6210D1E8" w14:textId="41D04026" w:rsidR="00303C55" w:rsidRPr="00303C55" w:rsidRDefault="00303C55" w:rsidP="00A11D25">
      <w:pPr>
        <w:pStyle w:val="Headinglevel2"/>
      </w:pPr>
      <w:bookmarkStart w:id="64" w:name="_Toc49281154"/>
      <w:r w:rsidRPr="00303C55">
        <w:t>Inquiry specific authorities and guiding principles</w:t>
      </w:r>
      <w:bookmarkEnd w:id="64"/>
    </w:p>
    <w:p w14:paraId="6903899C" w14:textId="06CE7BA6" w:rsidR="00303C55" w:rsidRPr="00303C55" w:rsidRDefault="00303C55" w:rsidP="00A11D25">
      <w:pPr>
        <w:pStyle w:val="Headinglevel5"/>
      </w:pPr>
      <w:r w:rsidRPr="00303C55">
        <w:t>Assembly Referral</w:t>
      </w:r>
    </w:p>
    <w:p w14:paraId="47C326FF" w14:textId="07B8430D" w:rsidR="00303C55" w:rsidRPr="00303C55" w:rsidRDefault="008007DE" w:rsidP="008E6310">
      <w:pPr>
        <w:pStyle w:val="BodyText1"/>
      </w:pPr>
      <w:r>
        <w:t xml:space="preserve">At clause (4) of the referral—the Assembly </w:t>
      </w:r>
      <w:r w:rsidR="00303C55" w:rsidRPr="00303C55">
        <w:t>requests the Committee to observe the following in relation to the inquiries established at (3):</w:t>
      </w:r>
    </w:p>
    <w:p w14:paraId="24BBF21C" w14:textId="77777777" w:rsidR="00303C55" w:rsidRPr="00303C55" w:rsidRDefault="00303C55" w:rsidP="008007DE">
      <w:pPr>
        <w:pStyle w:val="Quote"/>
      </w:pPr>
      <w:r w:rsidRPr="00303C55">
        <w:t xml:space="preserve">(a) that the Committee take evidence and hold documents in ways that will not allow for individual people to be identified without their express consent; </w:t>
      </w:r>
    </w:p>
    <w:p w14:paraId="5943DE1C" w14:textId="240D0768" w:rsidR="00303C55" w:rsidRPr="00303C55" w:rsidRDefault="00303C55" w:rsidP="008007DE">
      <w:pPr>
        <w:pStyle w:val="Headinglevel5"/>
      </w:pPr>
      <w:r w:rsidRPr="00303C55">
        <w:t>Specific statutory requirements</w:t>
      </w:r>
    </w:p>
    <w:p w14:paraId="323B7BE4" w14:textId="035A6F02" w:rsidR="00D63F67" w:rsidRDefault="008007DE" w:rsidP="008007DE">
      <w:pPr>
        <w:pStyle w:val="BodyText1"/>
      </w:pPr>
      <w:r>
        <w:t>The Committee needs to be cognisant of specific statutory provisions in the</w:t>
      </w:r>
      <w:r w:rsidR="00002E1B">
        <w:t xml:space="preserve"> CYP Act</w:t>
      </w:r>
      <w:r w:rsidR="00D63F67" w:rsidRPr="009758E2">
        <w:rPr>
          <w:rStyle w:val="FootnoteReference"/>
        </w:rPr>
        <w:footnoteReference w:id="6"/>
      </w:r>
      <w:r>
        <w:t xml:space="preserve"> and the </w:t>
      </w:r>
      <w:r w:rsidRPr="008007DE">
        <w:rPr>
          <w:i/>
          <w:iCs/>
        </w:rPr>
        <w:t>Criminal Code Act 2002</w:t>
      </w:r>
      <w:r w:rsidR="00D63F67" w:rsidRPr="009758E2">
        <w:rPr>
          <w:rStyle w:val="FootnoteReference"/>
        </w:rPr>
        <w:footnoteReference w:id="7"/>
      </w:r>
      <w:r w:rsidRPr="009758E2">
        <w:t xml:space="preserve"> </w:t>
      </w:r>
      <w:r>
        <w:t>as it concerns</w:t>
      </w:r>
      <w:r w:rsidR="00002E1B">
        <w:t>: (i)</w:t>
      </w:r>
      <w:r>
        <w:t xml:space="preserve"> information secrecy</w:t>
      </w:r>
      <w:r w:rsidR="00002E1B">
        <w:t>;</w:t>
      </w:r>
      <w:r w:rsidR="00D63F67">
        <w:t xml:space="preserve"> and</w:t>
      </w:r>
      <w:r w:rsidR="00002E1B">
        <w:t xml:space="preserve"> (ii)</w:t>
      </w:r>
      <w:r w:rsidR="00D63F67">
        <w:t xml:space="preserve"> sharing and publication of identifying information about children</w:t>
      </w:r>
      <w:r w:rsidR="00D3609E">
        <w:t>’</w:t>
      </w:r>
      <w:r w:rsidR="00D63F67">
        <w:t>s proceedings</w:t>
      </w:r>
      <w:r w:rsidR="00002E1B">
        <w:t>,</w:t>
      </w:r>
      <w:r w:rsidR="00D63F67">
        <w:t xml:space="preserve"> respectively.</w:t>
      </w:r>
    </w:p>
    <w:p w14:paraId="7F6AA900" w14:textId="2B836D5A" w:rsidR="00303C55" w:rsidRPr="00303C55" w:rsidRDefault="00303C55" w:rsidP="00D63F67">
      <w:pPr>
        <w:pStyle w:val="Headinglevel5"/>
      </w:pPr>
      <w:r w:rsidRPr="00303C55">
        <w:t xml:space="preserve">Interests of specific family involved </w:t>
      </w:r>
    </w:p>
    <w:p w14:paraId="6F707B6B" w14:textId="7DCB8A48" w:rsidR="00303C55" w:rsidRPr="00303C55" w:rsidRDefault="00CF5FCB" w:rsidP="00D3609E">
      <w:pPr>
        <w:pStyle w:val="BodyText1"/>
      </w:pPr>
      <w:r>
        <w:t>The interests and privacy of the specific family involved are paramount</w:t>
      </w:r>
      <w:r w:rsidR="00303C55" w:rsidRPr="00303C55">
        <w:t>.</w:t>
      </w:r>
      <w:r>
        <w:t xml:space="preserve">  </w:t>
      </w:r>
      <w:r w:rsidR="00303C55" w:rsidRPr="00303C55">
        <w:t>Canberra is a small jurisdiction</w:t>
      </w:r>
      <w:r w:rsidR="007F3922">
        <w:t xml:space="preserve"> and</w:t>
      </w:r>
      <w:r w:rsidR="00303C55" w:rsidRPr="00303C55">
        <w:t xml:space="preserve"> the interests of </w:t>
      </w:r>
      <w:r w:rsidR="00116AEF">
        <w:t xml:space="preserve">the </w:t>
      </w:r>
      <w:r>
        <w:t>mother a</w:t>
      </w:r>
      <w:r w:rsidR="00303C55" w:rsidRPr="00303C55">
        <w:t>nd her family is a significant consideration.</w:t>
      </w:r>
    </w:p>
    <w:p w14:paraId="13E63915" w14:textId="05D7BB08" w:rsidR="00303C55" w:rsidRPr="00303C55" w:rsidRDefault="00303C55" w:rsidP="00D63F67">
      <w:pPr>
        <w:pStyle w:val="Headinglevel5"/>
      </w:pPr>
      <w:bookmarkStart w:id="65" w:name="_Hlk19102506"/>
      <w:r w:rsidRPr="00303C55">
        <w:t>Committee reputation</w:t>
      </w:r>
    </w:p>
    <w:bookmarkEnd w:id="65"/>
    <w:p w14:paraId="02289693" w14:textId="60E111D2" w:rsidR="00303C55" w:rsidRPr="00303C55" w:rsidRDefault="00303C55" w:rsidP="00D63F67">
      <w:pPr>
        <w:pStyle w:val="BodyText1"/>
      </w:pPr>
      <w:r w:rsidRPr="00303C55">
        <w:t>The Committee has an obligation to exercise its decision about receipt and any authorisation</w:t>
      </w:r>
      <w:r w:rsidR="00002E1B">
        <w:t xml:space="preserve"> of information</w:t>
      </w:r>
      <w:r w:rsidRPr="00303C55">
        <w:t xml:space="preserve"> in the most rigorous and considered way, especially where information relates to matters covered by this inquiry.  At times the public interest will best be served by disclosure; at others public and personal interests will require the maintenance of confidentiality.</w:t>
      </w:r>
    </w:p>
    <w:p w14:paraId="32CFCCB9" w14:textId="49FC34BC" w:rsidR="00303C55" w:rsidRDefault="00303C55" w:rsidP="00D63F67">
      <w:pPr>
        <w:pStyle w:val="Headinglevel5"/>
      </w:pPr>
      <w:r w:rsidRPr="00303C55">
        <w:lastRenderedPageBreak/>
        <w:t>Procedures in the</w:t>
      </w:r>
      <w:r w:rsidR="00445CAA">
        <w:t xml:space="preserve"> ACT</w:t>
      </w:r>
      <w:r w:rsidRPr="00303C55">
        <w:t xml:space="preserve"> Childrens Court</w:t>
      </w:r>
    </w:p>
    <w:p w14:paraId="66B7B001" w14:textId="6B7FED95" w:rsidR="00D938D6" w:rsidRPr="00D938D6" w:rsidRDefault="00D938D6" w:rsidP="00D938D6">
      <w:pPr>
        <w:pStyle w:val="BodyText1"/>
      </w:pPr>
      <w:r>
        <w:t xml:space="preserve">The Committee also has an obligation to observe </w:t>
      </w:r>
      <w:r w:rsidR="00CF5FCB">
        <w:t xml:space="preserve">requirements associated with </w:t>
      </w:r>
      <w:r>
        <w:t xml:space="preserve">procedures in the </w:t>
      </w:r>
      <w:r w:rsidR="00445CAA">
        <w:t xml:space="preserve">ACT </w:t>
      </w:r>
      <w:r>
        <w:t xml:space="preserve">Childrens Court—namely that: </w:t>
      </w:r>
    </w:p>
    <w:p w14:paraId="68ED980A" w14:textId="76E5DE10" w:rsidR="00303C55" w:rsidRPr="00303C55" w:rsidRDefault="00303C55" w:rsidP="00A33656">
      <w:pPr>
        <w:pStyle w:val="Bodytextnonumbering"/>
        <w:keepNext w:val="0"/>
        <w:numPr>
          <w:ilvl w:val="0"/>
          <w:numId w:val="9"/>
        </w:numPr>
      </w:pPr>
      <w:r w:rsidRPr="00CF5FCB">
        <w:rPr>
          <w:bCs/>
          <w:iCs w:val="0"/>
        </w:rPr>
        <w:t>Proceedings not open to the public</w:t>
      </w:r>
      <w:r w:rsidRPr="00303C55">
        <w:rPr>
          <w:bCs/>
        </w:rPr>
        <w:t>—</w:t>
      </w:r>
      <w:r w:rsidRPr="00303C55">
        <w:t>Childrens Court proceedings are not open to the public</w:t>
      </w:r>
      <w:r w:rsidR="00CF5FCB">
        <w:t>.</w:t>
      </w:r>
    </w:p>
    <w:p w14:paraId="7DEEB8BB" w14:textId="600237B9" w:rsidR="00303C55" w:rsidRPr="00303C55" w:rsidRDefault="00303C55" w:rsidP="00A33656">
      <w:pPr>
        <w:pStyle w:val="Bodytextnonumbering"/>
        <w:keepNext w:val="0"/>
        <w:numPr>
          <w:ilvl w:val="0"/>
          <w:numId w:val="9"/>
        </w:numPr>
      </w:pPr>
      <w:r w:rsidRPr="00CF5FCB">
        <w:rPr>
          <w:bCs/>
          <w:iCs w:val="0"/>
        </w:rPr>
        <w:t>Child’s identity not to be disclosed</w:t>
      </w:r>
      <w:r w:rsidRPr="00303C55">
        <w:rPr>
          <w:bCs/>
        </w:rPr>
        <w:t>—</w:t>
      </w:r>
      <w:r w:rsidRPr="00303C55">
        <w:t>It is an offence to publish an account or report of proceedings in the Childrens Court if the account or report discloses the identity of the child, young person or a family member or allows the child’s, young person’s or a family member’s identity to be worked out.</w:t>
      </w:r>
      <w:r w:rsidR="00D938D6">
        <w:rPr>
          <w:rStyle w:val="FootnoteReference"/>
        </w:rPr>
        <w:footnoteReference w:id="8"/>
      </w:r>
    </w:p>
    <w:p w14:paraId="007184F5" w14:textId="2F73AFAD" w:rsidR="00303C55" w:rsidRPr="00303C55" w:rsidRDefault="00303C55" w:rsidP="00CF5FCB">
      <w:pPr>
        <w:pStyle w:val="Headinglevel2"/>
      </w:pPr>
      <w:bookmarkStart w:id="66" w:name="_Toc49281155"/>
      <w:bookmarkStart w:id="67" w:name="_Hlk19279011"/>
      <w:r w:rsidRPr="00303C55">
        <w:t>Bounding the inquiry—broad public interest mandate</w:t>
      </w:r>
      <w:bookmarkEnd w:id="66"/>
    </w:p>
    <w:p w14:paraId="29D04428" w14:textId="11148897" w:rsidR="00D3609E" w:rsidRDefault="00CF5FCB" w:rsidP="00CF5FCB">
      <w:pPr>
        <w:pStyle w:val="BodyText1"/>
      </w:pPr>
      <w:r>
        <w:t>The Committee carefully considered how it c</w:t>
      </w:r>
      <w:r w:rsidR="00015268">
        <w:t xml:space="preserve">ould </w:t>
      </w:r>
      <w:r>
        <w:t xml:space="preserve">best </w:t>
      </w:r>
      <w:r w:rsidR="00303C55" w:rsidRPr="00303C55">
        <w:t>transition from the individual case</w:t>
      </w:r>
      <w:r w:rsidR="00D3609E">
        <w:t xml:space="preserve"> to which this inquiry relates </w:t>
      </w:r>
      <w:r w:rsidR="009A60E2">
        <w:t>to a broad public interest mandate</w:t>
      </w:r>
      <w:bookmarkStart w:id="68" w:name="_Hlk17795107"/>
      <w:r w:rsidR="00B122E7">
        <w:t xml:space="preserve"> </w:t>
      </w:r>
      <w:r w:rsidR="00303C55" w:rsidRPr="00303C55">
        <w:t>to ascertain the matters of principle, policy or public administration relevant to the T of R</w:t>
      </w:r>
      <w:r w:rsidR="00B122E7">
        <w:t xml:space="preserve">, </w:t>
      </w:r>
      <w:r w:rsidR="00B122E7" w:rsidRPr="00B122E7">
        <w:t>while respecting the overarching and inquiry specific authorities and guiding principles</w:t>
      </w:r>
      <w:r w:rsidR="00D3609E">
        <w:t>.</w:t>
      </w:r>
    </w:p>
    <w:p w14:paraId="22EC2668" w14:textId="49C624B2" w:rsidR="00D3609E" w:rsidRPr="00D3609E" w:rsidRDefault="00D3609E" w:rsidP="00147B24">
      <w:pPr>
        <w:pStyle w:val="BodyText1"/>
      </w:pPr>
      <w:r>
        <w:t>The Committee determined that it</w:t>
      </w:r>
      <w:r w:rsidR="009A60E2">
        <w:t xml:space="preserve"> c</w:t>
      </w:r>
      <w:r w:rsidR="00015268">
        <w:t>ould</w:t>
      </w:r>
      <w:r w:rsidR="009A60E2">
        <w:t xml:space="preserve"> tran</w:t>
      </w:r>
      <w:r>
        <w:t>s</w:t>
      </w:r>
      <w:r w:rsidR="009A60E2">
        <w:t>ition</w:t>
      </w:r>
      <w:r w:rsidR="009A60E2" w:rsidRPr="009A60E2">
        <w:t xml:space="preserve"> from the individual case </w:t>
      </w:r>
      <w:r w:rsidR="009A60E2">
        <w:t xml:space="preserve">to a broad public interest mandate by its systemic analysis of the </w:t>
      </w:r>
      <w:r w:rsidR="00116AEF">
        <w:t>C</w:t>
      </w:r>
      <w:r w:rsidR="009425B1">
        <w:t xml:space="preserve"> </w:t>
      </w:r>
      <w:r w:rsidR="00116AEF">
        <w:t>o</w:t>
      </w:r>
      <w:r w:rsidR="009425B1">
        <w:t xml:space="preserve">f </w:t>
      </w:r>
      <w:r w:rsidR="00116AEF">
        <w:t>A</w:t>
      </w:r>
      <w:r w:rsidR="00A330A9">
        <w:t xml:space="preserve"> </w:t>
      </w:r>
      <w:r w:rsidR="009A60E2">
        <w:t xml:space="preserve">decision </w:t>
      </w:r>
      <w:r w:rsidRPr="00D3609E">
        <w:t>focus</w:t>
      </w:r>
      <w:r w:rsidR="00433805">
        <w:t>ing</w:t>
      </w:r>
      <w:r w:rsidRPr="00D3609E">
        <w:t xml:space="preserve"> on two elements—</w:t>
      </w:r>
      <w:r w:rsidR="00002E1B">
        <w:t xml:space="preserve">namely </w:t>
      </w:r>
      <w:r w:rsidRPr="00D3609E">
        <w:t>matters relating to</w:t>
      </w:r>
      <w:r w:rsidR="00B122E7">
        <w:t>:</w:t>
      </w:r>
      <w:r w:rsidRPr="00D3609E">
        <w:t xml:space="preserve"> (i) the legislative framework for protecting and safeguarding children (legislation and related policies); and (ii)</w:t>
      </w:r>
      <w:r w:rsidR="00433805">
        <w:t> </w:t>
      </w:r>
      <w:r w:rsidR="00B122E7">
        <w:t xml:space="preserve">the </w:t>
      </w:r>
      <w:r w:rsidRPr="00D3609E">
        <w:t>implementation and administration of the legislative framework—structures, systems and individual practice.</w:t>
      </w:r>
    </w:p>
    <w:bookmarkEnd w:id="59"/>
    <w:bookmarkEnd w:id="67"/>
    <w:bookmarkEnd w:id="68"/>
    <w:p w14:paraId="06C50127" w14:textId="77777777" w:rsidR="00A121B1" w:rsidRPr="00910CCE" w:rsidRDefault="00DD7708" w:rsidP="00910CCE">
      <w:pPr>
        <w:pStyle w:val="Bodytextnonumbering"/>
      </w:pPr>
      <w:r w:rsidRPr="00910CCE">
        <w:t xml:space="preserve">  </w:t>
      </w:r>
    </w:p>
    <w:p w14:paraId="4EC9DE01" w14:textId="77777777" w:rsidR="00096D13" w:rsidRDefault="00096D13" w:rsidP="00910CCE">
      <w:pPr>
        <w:pStyle w:val="Bodytextnonumbering"/>
        <w:sectPr w:rsidR="00096D13" w:rsidSect="0066252C">
          <w:headerReference w:type="default" r:id="rId29"/>
          <w:footerReference w:type="even" r:id="rId30"/>
          <w:footerReference w:type="default" r:id="rId31"/>
          <w:headerReference w:type="first" r:id="rId32"/>
          <w:type w:val="oddPage"/>
          <w:pgSz w:w="11907" w:h="16840" w:code="9"/>
          <w:pgMar w:top="1588" w:right="1418" w:bottom="1418" w:left="1418" w:header="720" w:footer="851" w:gutter="0"/>
          <w:cols w:space="720"/>
          <w:docGrid w:linePitch="360"/>
        </w:sectPr>
      </w:pPr>
    </w:p>
    <w:p w14:paraId="3156A5FB" w14:textId="77D20CF1" w:rsidR="00567240" w:rsidRPr="00567240" w:rsidRDefault="008C250D" w:rsidP="00567240">
      <w:pPr>
        <w:pStyle w:val="Heading1"/>
      </w:pPr>
      <w:bookmarkStart w:id="70" w:name="_Toc49281156"/>
      <w:r>
        <w:lastRenderedPageBreak/>
        <w:t>Committee c</w:t>
      </w:r>
      <w:r w:rsidR="00041506">
        <w:t>onsideration of the issues</w:t>
      </w:r>
      <w:bookmarkEnd w:id="70"/>
    </w:p>
    <w:p w14:paraId="66573F63" w14:textId="7E18D44A" w:rsidR="00EF73D2" w:rsidRDefault="00B122E7" w:rsidP="00681CA1">
      <w:pPr>
        <w:pStyle w:val="BodyText1"/>
        <w:rPr>
          <w:lang w:eastAsia="en-AU"/>
        </w:rPr>
      </w:pPr>
      <w:bookmarkStart w:id="71" w:name="_Hlk35446698"/>
      <w:bookmarkStart w:id="72" w:name="_Hlk30006779"/>
      <w:r>
        <w:rPr>
          <w:lang w:eastAsia="en-AU"/>
        </w:rPr>
        <w:t xml:space="preserve">The first </w:t>
      </w:r>
      <w:r w:rsidR="00E6341D">
        <w:rPr>
          <w:lang w:eastAsia="en-AU"/>
        </w:rPr>
        <w:t>matter</w:t>
      </w:r>
      <w:r>
        <w:rPr>
          <w:rStyle w:val="FootnoteReference"/>
          <w:lang w:eastAsia="en-AU"/>
        </w:rPr>
        <w:footnoteReference w:id="9"/>
      </w:r>
      <w:r w:rsidR="00E6341D">
        <w:rPr>
          <w:lang w:eastAsia="en-AU"/>
        </w:rPr>
        <w:t xml:space="preserve"> referred to the Committee for inquiry and report has three </w:t>
      </w:r>
      <w:r w:rsidR="00ED506C">
        <w:rPr>
          <w:lang w:eastAsia="en-AU"/>
        </w:rPr>
        <w:t>components</w:t>
      </w:r>
      <w:r w:rsidR="00E6341D">
        <w:rPr>
          <w:lang w:eastAsia="en-AU"/>
        </w:rPr>
        <w:t xml:space="preserve">—namely: (i) the specific case; (ii) the systemic issues that might be identified from a detailed review of the specific case; and (iii) </w:t>
      </w:r>
      <w:r w:rsidR="00B97BB2">
        <w:rPr>
          <w:lang w:eastAsia="en-AU"/>
        </w:rPr>
        <w:t xml:space="preserve">matters arising </w:t>
      </w:r>
      <w:r w:rsidR="00E6341D">
        <w:rPr>
          <w:lang w:eastAsia="en-AU"/>
        </w:rPr>
        <w:t>regard</w:t>
      </w:r>
      <w:r w:rsidR="00B97BB2">
        <w:rPr>
          <w:lang w:eastAsia="en-AU"/>
        </w:rPr>
        <w:t xml:space="preserve">ing </w:t>
      </w:r>
      <w:r w:rsidR="00E6341D">
        <w:rPr>
          <w:lang w:eastAsia="en-AU"/>
        </w:rPr>
        <w:t xml:space="preserve">CYPS sharing </w:t>
      </w:r>
      <w:r w:rsidR="00EF73D2">
        <w:rPr>
          <w:lang w:eastAsia="en-AU"/>
        </w:rPr>
        <w:t xml:space="preserve">information with the Assembly.  </w:t>
      </w:r>
      <w:r>
        <w:rPr>
          <w:lang w:eastAsia="en-AU"/>
        </w:rPr>
        <w:t>T</w:t>
      </w:r>
      <w:r w:rsidR="00EF73D2">
        <w:rPr>
          <w:lang w:eastAsia="en-AU"/>
        </w:rPr>
        <w:t>h</w:t>
      </w:r>
      <w:r w:rsidR="00D15D3A">
        <w:rPr>
          <w:lang w:eastAsia="en-AU"/>
        </w:rPr>
        <w:t>is chapter sets out the</w:t>
      </w:r>
      <w:r w:rsidR="00EF73D2">
        <w:rPr>
          <w:lang w:eastAsia="en-AU"/>
        </w:rPr>
        <w:t xml:space="preserve"> </w:t>
      </w:r>
      <w:r w:rsidR="00D15D3A">
        <w:rPr>
          <w:lang w:eastAsia="en-AU"/>
        </w:rPr>
        <w:t>Committee’s consideration of the issues concern</w:t>
      </w:r>
      <w:r w:rsidR="00B92FD9">
        <w:rPr>
          <w:lang w:eastAsia="en-AU"/>
        </w:rPr>
        <w:t>ing</w:t>
      </w:r>
      <w:r w:rsidR="00D15D3A">
        <w:rPr>
          <w:lang w:eastAsia="en-AU"/>
        </w:rPr>
        <w:t xml:space="preserve"> </w:t>
      </w:r>
      <w:r w:rsidR="00B92FD9">
        <w:rPr>
          <w:lang w:eastAsia="en-AU"/>
        </w:rPr>
        <w:t>these</w:t>
      </w:r>
      <w:r w:rsidR="00D15D3A">
        <w:rPr>
          <w:lang w:eastAsia="en-AU"/>
        </w:rPr>
        <w:t xml:space="preserve"> </w:t>
      </w:r>
      <w:r w:rsidR="00EF73D2">
        <w:rPr>
          <w:lang w:eastAsia="en-AU"/>
        </w:rPr>
        <w:t>components</w:t>
      </w:r>
      <w:r w:rsidR="00B92FD9">
        <w:rPr>
          <w:lang w:eastAsia="en-AU"/>
        </w:rPr>
        <w:t>.</w:t>
      </w:r>
    </w:p>
    <w:p w14:paraId="5FCC0425" w14:textId="7BF0685B" w:rsidR="00EF73D2" w:rsidRDefault="00EF73D2" w:rsidP="00EF73D2">
      <w:pPr>
        <w:pStyle w:val="Headinglevel2"/>
        <w:rPr>
          <w:lang w:eastAsia="en-AU"/>
        </w:rPr>
      </w:pPr>
      <w:bookmarkStart w:id="73" w:name="_Toc49281157"/>
      <w:r>
        <w:rPr>
          <w:lang w:eastAsia="en-AU"/>
        </w:rPr>
        <w:t>Specific case</w:t>
      </w:r>
      <w:bookmarkEnd w:id="73"/>
    </w:p>
    <w:p w14:paraId="59B04D45" w14:textId="2B401614" w:rsidR="00187F9D" w:rsidRPr="00187F9D" w:rsidRDefault="00187F9D" w:rsidP="00187F9D">
      <w:pPr>
        <w:pStyle w:val="BodyText1"/>
        <w:rPr>
          <w:lang w:eastAsia="en-AU"/>
        </w:rPr>
      </w:pPr>
      <w:r w:rsidRPr="00187F9D">
        <w:rPr>
          <w:lang w:eastAsia="en-AU"/>
        </w:rPr>
        <w:t>Parliamentary committees have a broad public interest mandate and are not in a position to determine the rights and wrongs of individual cases.  The Committee process is not a forum to resolve issues pertaining solely to individual cases or grievances but is a forum to explore the general matters of principle, policy or public administration relevant to an inquiry’s T</w:t>
      </w:r>
      <w:r w:rsidR="009425B1">
        <w:rPr>
          <w:lang w:eastAsia="en-AU"/>
        </w:rPr>
        <w:t xml:space="preserve"> </w:t>
      </w:r>
      <w:r w:rsidRPr="00187F9D">
        <w:rPr>
          <w:lang w:eastAsia="en-AU"/>
        </w:rPr>
        <w:t>o</w:t>
      </w:r>
      <w:r w:rsidR="009425B1">
        <w:rPr>
          <w:lang w:eastAsia="en-AU"/>
        </w:rPr>
        <w:t xml:space="preserve">f </w:t>
      </w:r>
      <w:r w:rsidRPr="00187F9D">
        <w:rPr>
          <w:lang w:eastAsia="en-AU"/>
        </w:rPr>
        <w:t>R.</w:t>
      </w:r>
      <w:r>
        <w:rPr>
          <w:lang w:eastAsia="en-AU"/>
        </w:rPr>
        <w:t xml:space="preserve">  Further, i</w:t>
      </w:r>
      <w:r w:rsidRPr="00187F9D">
        <w:rPr>
          <w:lang w:eastAsia="en-AU"/>
        </w:rPr>
        <w:t>t is not the role of the Committee to second guess or unpack decision-making of the Courts regarding the specified case (or give that perception or impression).</w:t>
      </w:r>
    </w:p>
    <w:p w14:paraId="19A4703A" w14:textId="258F811F" w:rsidR="00B97BB2" w:rsidRPr="00B97BB2" w:rsidRDefault="00EF73D2" w:rsidP="00B97BB2">
      <w:pPr>
        <w:pStyle w:val="BodyText1"/>
        <w:rPr>
          <w:lang w:eastAsia="en-AU"/>
        </w:rPr>
      </w:pPr>
      <w:r>
        <w:rPr>
          <w:lang w:eastAsia="en-AU"/>
        </w:rPr>
        <w:t xml:space="preserve">In its interim report </w:t>
      </w:r>
      <w:r w:rsidR="00B122E7">
        <w:rPr>
          <w:lang w:eastAsia="en-AU"/>
        </w:rPr>
        <w:t xml:space="preserve">for Part 1, </w:t>
      </w:r>
      <w:r w:rsidR="00B97BB2" w:rsidRPr="00B97BB2">
        <w:rPr>
          <w:lang w:eastAsia="en-AU"/>
        </w:rPr>
        <w:t>the Committee set out a summary of: (i) the court action/activity that took place leading up to and including the 2018 C</w:t>
      </w:r>
      <w:r w:rsidR="009425B1">
        <w:rPr>
          <w:lang w:eastAsia="en-AU"/>
        </w:rPr>
        <w:t xml:space="preserve"> </w:t>
      </w:r>
      <w:r w:rsidR="00B97BB2" w:rsidRPr="00B97BB2">
        <w:rPr>
          <w:lang w:eastAsia="en-AU"/>
        </w:rPr>
        <w:t>o</w:t>
      </w:r>
      <w:r w:rsidR="009425B1">
        <w:rPr>
          <w:lang w:eastAsia="en-AU"/>
        </w:rPr>
        <w:t xml:space="preserve">f </w:t>
      </w:r>
      <w:r w:rsidR="00B97BB2">
        <w:rPr>
          <w:lang w:eastAsia="en-AU"/>
        </w:rPr>
        <w:t xml:space="preserve">A </w:t>
      </w:r>
      <w:r w:rsidR="00B97BB2" w:rsidRPr="00B97BB2">
        <w:rPr>
          <w:lang w:eastAsia="en-AU"/>
        </w:rPr>
        <w:t>decision</w:t>
      </w:r>
      <w:r w:rsidR="00B97BB2">
        <w:rPr>
          <w:lang w:eastAsia="en-AU"/>
        </w:rPr>
        <w:t xml:space="preserve"> (the specific case)</w:t>
      </w:r>
      <w:r w:rsidR="00B97BB2" w:rsidRPr="00B97BB2">
        <w:rPr>
          <w:lang w:eastAsia="en-AU"/>
        </w:rPr>
        <w:t>; and (ii) CYPS</w:t>
      </w:r>
      <w:r w:rsidR="00B97BB2">
        <w:rPr>
          <w:lang w:eastAsia="en-AU"/>
        </w:rPr>
        <w:t xml:space="preserve">’ </w:t>
      </w:r>
      <w:r w:rsidR="00B97BB2" w:rsidRPr="00B97BB2">
        <w:rPr>
          <w:lang w:eastAsia="en-AU"/>
        </w:rPr>
        <w:t>intake, response and intervention processes as it concerns decision-making regarding taking children into care through emergency action.</w:t>
      </w:r>
    </w:p>
    <w:p w14:paraId="50E0632B" w14:textId="7DB46A69" w:rsidR="00EF73D2" w:rsidRPr="00445CAA" w:rsidRDefault="00375700" w:rsidP="00681CA1">
      <w:pPr>
        <w:pStyle w:val="BodyText1"/>
        <w:rPr>
          <w:lang w:eastAsia="en-AU"/>
        </w:rPr>
      </w:pPr>
      <w:r>
        <w:rPr>
          <w:lang w:eastAsia="en-AU"/>
        </w:rPr>
        <w:t>Also, a</w:t>
      </w:r>
      <w:r w:rsidR="00B122E7">
        <w:rPr>
          <w:lang w:eastAsia="en-AU"/>
        </w:rPr>
        <w:t xml:space="preserve">fter detailing </w:t>
      </w:r>
      <w:r>
        <w:rPr>
          <w:lang w:eastAsia="en-AU"/>
        </w:rPr>
        <w:t xml:space="preserve">in the interim report </w:t>
      </w:r>
      <w:r w:rsidR="00B97BB2">
        <w:rPr>
          <w:lang w:eastAsia="en-AU"/>
        </w:rPr>
        <w:t xml:space="preserve">the </w:t>
      </w:r>
      <w:r w:rsidR="00B97BB2" w:rsidRPr="00B97BB2">
        <w:rPr>
          <w:iCs/>
          <w:lang w:eastAsia="en-AU"/>
        </w:rPr>
        <w:t xml:space="preserve">overarching and inquiry specific authorities and guiding principles </w:t>
      </w:r>
      <w:r>
        <w:rPr>
          <w:iCs/>
          <w:lang w:eastAsia="en-AU"/>
        </w:rPr>
        <w:t xml:space="preserve">that </w:t>
      </w:r>
      <w:r w:rsidR="00362F61">
        <w:rPr>
          <w:iCs/>
          <w:lang w:eastAsia="en-AU"/>
        </w:rPr>
        <w:t>t</w:t>
      </w:r>
      <w:r w:rsidR="00B122E7">
        <w:rPr>
          <w:iCs/>
          <w:lang w:eastAsia="en-AU"/>
        </w:rPr>
        <w:t>he Committee</w:t>
      </w:r>
      <w:r w:rsidR="00362F61">
        <w:rPr>
          <w:iCs/>
          <w:lang w:eastAsia="en-AU"/>
        </w:rPr>
        <w:t xml:space="preserve"> n</w:t>
      </w:r>
      <w:r w:rsidR="00B97BB2" w:rsidRPr="00B97BB2">
        <w:rPr>
          <w:iCs/>
          <w:lang w:eastAsia="en-AU"/>
        </w:rPr>
        <w:t>eeded to be cognisant of in managing this inquiry</w:t>
      </w:r>
      <w:r w:rsidR="00B97BB2">
        <w:rPr>
          <w:iCs/>
          <w:lang w:eastAsia="en-AU"/>
        </w:rPr>
        <w:t xml:space="preserve">, </w:t>
      </w:r>
      <w:r>
        <w:rPr>
          <w:iCs/>
          <w:lang w:eastAsia="en-AU"/>
        </w:rPr>
        <w:t xml:space="preserve">the Committee then </w:t>
      </w:r>
      <w:r w:rsidR="00B122E7">
        <w:rPr>
          <w:iCs/>
          <w:lang w:eastAsia="en-AU"/>
        </w:rPr>
        <w:t>s</w:t>
      </w:r>
      <w:r w:rsidR="00266ED6">
        <w:rPr>
          <w:iCs/>
          <w:lang w:eastAsia="en-AU"/>
        </w:rPr>
        <w:t>et out</w:t>
      </w:r>
      <w:r w:rsidR="00E758D7">
        <w:rPr>
          <w:iCs/>
          <w:lang w:eastAsia="en-AU"/>
        </w:rPr>
        <w:t xml:space="preserve"> how it </w:t>
      </w:r>
      <w:r w:rsidR="00B97BB2" w:rsidRPr="00B97BB2">
        <w:rPr>
          <w:iCs/>
          <w:lang w:eastAsia="en-AU"/>
        </w:rPr>
        <w:t>w</w:t>
      </w:r>
      <w:r w:rsidR="00E758D7">
        <w:rPr>
          <w:iCs/>
          <w:lang w:eastAsia="en-AU"/>
        </w:rPr>
        <w:t>ould transition from the specific case to a broad public interest mandate</w:t>
      </w:r>
      <w:r w:rsidR="00266ED6">
        <w:rPr>
          <w:iCs/>
          <w:lang w:eastAsia="en-AU"/>
        </w:rPr>
        <w:t xml:space="preserve"> </w:t>
      </w:r>
      <w:r>
        <w:rPr>
          <w:iCs/>
          <w:lang w:eastAsia="en-AU"/>
        </w:rPr>
        <w:t>in i</w:t>
      </w:r>
      <w:r w:rsidR="00266ED6">
        <w:rPr>
          <w:iCs/>
          <w:lang w:eastAsia="en-AU"/>
        </w:rPr>
        <w:t>ts systemic analysis of the C</w:t>
      </w:r>
      <w:r w:rsidR="009425B1">
        <w:rPr>
          <w:iCs/>
          <w:lang w:eastAsia="en-AU"/>
        </w:rPr>
        <w:t xml:space="preserve"> </w:t>
      </w:r>
      <w:r w:rsidR="00266ED6">
        <w:rPr>
          <w:iCs/>
          <w:lang w:eastAsia="en-AU"/>
        </w:rPr>
        <w:t>o</w:t>
      </w:r>
      <w:r w:rsidR="009425B1">
        <w:rPr>
          <w:iCs/>
          <w:lang w:eastAsia="en-AU"/>
        </w:rPr>
        <w:t xml:space="preserve">f </w:t>
      </w:r>
      <w:r w:rsidR="00266ED6">
        <w:rPr>
          <w:iCs/>
          <w:lang w:eastAsia="en-AU"/>
        </w:rPr>
        <w:t>A decision</w:t>
      </w:r>
      <w:r w:rsidR="00E758D7">
        <w:rPr>
          <w:iCs/>
          <w:lang w:eastAsia="en-AU"/>
        </w:rPr>
        <w:t>.</w:t>
      </w:r>
    </w:p>
    <w:p w14:paraId="29BD3D3F" w14:textId="5EB47AE4" w:rsidR="00445CAA" w:rsidRPr="00E758D7" w:rsidRDefault="00445CAA" w:rsidP="00681CA1">
      <w:pPr>
        <w:pStyle w:val="BodyText1"/>
        <w:rPr>
          <w:lang w:eastAsia="en-AU"/>
        </w:rPr>
      </w:pPr>
      <w:r>
        <w:rPr>
          <w:lang w:eastAsia="en-AU"/>
        </w:rPr>
        <w:t xml:space="preserve">As noted previously, </w:t>
      </w:r>
      <w:r w:rsidRPr="00445CAA">
        <w:rPr>
          <w:lang w:eastAsia="en-AU"/>
        </w:rPr>
        <w:t>the Committee restate</w:t>
      </w:r>
      <w:r>
        <w:rPr>
          <w:lang w:eastAsia="en-AU"/>
        </w:rPr>
        <w:t>d</w:t>
      </w:r>
      <w:r w:rsidRPr="00445CAA">
        <w:rPr>
          <w:lang w:eastAsia="en-AU"/>
        </w:rPr>
        <w:t xml:space="preserve"> these principles </w:t>
      </w:r>
      <w:r>
        <w:rPr>
          <w:lang w:eastAsia="en-AU"/>
        </w:rPr>
        <w:t xml:space="preserve">in Chapter 3 </w:t>
      </w:r>
      <w:r w:rsidRPr="00445CAA">
        <w:rPr>
          <w:lang w:eastAsia="en-AU"/>
        </w:rPr>
        <w:t>as they are integral to how it determined to progress this inquiry.</w:t>
      </w:r>
    </w:p>
    <w:p w14:paraId="14016741" w14:textId="71EB1381" w:rsidR="00ED506C" w:rsidRDefault="00EF73D2" w:rsidP="00EF73D2">
      <w:pPr>
        <w:pStyle w:val="Headinglevel2"/>
        <w:rPr>
          <w:lang w:eastAsia="en-AU"/>
        </w:rPr>
      </w:pPr>
      <w:bookmarkStart w:id="74" w:name="_Toc49281158"/>
      <w:r>
        <w:rPr>
          <w:lang w:eastAsia="en-AU"/>
        </w:rPr>
        <w:t>Systemic issues</w:t>
      </w:r>
      <w:bookmarkEnd w:id="74"/>
    </w:p>
    <w:p w14:paraId="745E7B40" w14:textId="07369373" w:rsidR="0067329A" w:rsidRPr="0067329A" w:rsidRDefault="0067329A" w:rsidP="0067329A">
      <w:pPr>
        <w:pStyle w:val="BodyText1"/>
        <w:rPr>
          <w:lang w:eastAsia="en-AU"/>
        </w:rPr>
      </w:pPr>
      <w:r w:rsidRPr="0067329A">
        <w:rPr>
          <w:lang w:eastAsia="en-AU"/>
        </w:rPr>
        <w:t>The Committee de</w:t>
      </w:r>
      <w:r w:rsidR="00375700">
        <w:rPr>
          <w:lang w:eastAsia="en-AU"/>
        </w:rPr>
        <w:t>cided</w:t>
      </w:r>
      <w:r w:rsidRPr="0067329A">
        <w:rPr>
          <w:lang w:eastAsia="en-AU"/>
        </w:rPr>
        <w:t xml:space="preserve"> that it </w:t>
      </w:r>
      <w:r w:rsidR="00266ED6">
        <w:rPr>
          <w:lang w:eastAsia="en-AU"/>
        </w:rPr>
        <w:t xml:space="preserve">would </w:t>
      </w:r>
      <w:r w:rsidRPr="0067329A">
        <w:rPr>
          <w:lang w:eastAsia="en-AU"/>
        </w:rPr>
        <w:t xml:space="preserve">transition from the </w:t>
      </w:r>
      <w:r w:rsidR="00446CD7">
        <w:rPr>
          <w:lang w:eastAsia="en-AU"/>
        </w:rPr>
        <w:t xml:space="preserve">specific </w:t>
      </w:r>
      <w:r w:rsidRPr="0067329A">
        <w:rPr>
          <w:lang w:eastAsia="en-AU"/>
        </w:rPr>
        <w:t>case to a broad public interest mandate by its systemic analysis of the C</w:t>
      </w:r>
      <w:r w:rsidR="009425B1">
        <w:rPr>
          <w:lang w:eastAsia="en-AU"/>
        </w:rPr>
        <w:t xml:space="preserve"> </w:t>
      </w:r>
      <w:r w:rsidRPr="0067329A">
        <w:rPr>
          <w:lang w:eastAsia="en-AU"/>
        </w:rPr>
        <w:t>o</w:t>
      </w:r>
      <w:r w:rsidR="009425B1">
        <w:rPr>
          <w:lang w:eastAsia="en-AU"/>
        </w:rPr>
        <w:t xml:space="preserve">f </w:t>
      </w:r>
      <w:r w:rsidRPr="0067329A">
        <w:rPr>
          <w:lang w:eastAsia="en-AU"/>
        </w:rPr>
        <w:t>A decision focusing on two elements</w:t>
      </w:r>
      <w:r w:rsidR="00362F61">
        <w:rPr>
          <w:lang w:eastAsia="en-AU"/>
        </w:rPr>
        <w:t>.</w:t>
      </w:r>
      <w:r w:rsidR="00375700">
        <w:rPr>
          <w:rStyle w:val="FootnoteReference"/>
          <w:lang w:eastAsia="en-AU"/>
        </w:rPr>
        <w:footnoteReference w:id="10"/>
      </w:r>
      <w:r w:rsidR="00362F61">
        <w:rPr>
          <w:lang w:eastAsia="en-AU"/>
        </w:rPr>
        <w:t xml:space="preserve">  These were </w:t>
      </w:r>
      <w:r w:rsidRPr="0067329A">
        <w:rPr>
          <w:lang w:eastAsia="en-AU"/>
        </w:rPr>
        <w:t xml:space="preserve">matters relating to: (i) </w:t>
      </w:r>
      <w:r w:rsidR="00375700">
        <w:rPr>
          <w:lang w:eastAsia="en-AU"/>
        </w:rPr>
        <w:t xml:space="preserve">the </w:t>
      </w:r>
      <w:r w:rsidRPr="0067329A">
        <w:rPr>
          <w:lang w:eastAsia="en-AU"/>
        </w:rPr>
        <w:t xml:space="preserve">legislative framework for protecting and safeguarding </w:t>
      </w:r>
      <w:r w:rsidRPr="0067329A">
        <w:rPr>
          <w:lang w:eastAsia="en-AU"/>
        </w:rPr>
        <w:lastRenderedPageBreak/>
        <w:t xml:space="preserve">children (legislation and related policies); and (ii) </w:t>
      </w:r>
      <w:r w:rsidR="00375700">
        <w:rPr>
          <w:lang w:eastAsia="en-AU"/>
        </w:rPr>
        <w:t xml:space="preserve">the </w:t>
      </w:r>
      <w:r w:rsidRPr="0067329A">
        <w:rPr>
          <w:lang w:eastAsia="en-AU"/>
        </w:rPr>
        <w:t>implementation and administration of the legislative framework—structures, systems and individual practice.</w:t>
      </w:r>
    </w:p>
    <w:p w14:paraId="1F0D1B5C" w14:textId="291FC611" w:rsidR="006C75DC" w:rsidRDefault="00EF73D2" w:rsidP="00681CA1">
      <w:pPr>
        <w:pStyle w:val="BodyText1"/>
        <w:rPr>
          <w:lang w:eastAsia="en-AU"/>
        </w:rPr>
      </w:pPr>
      <w:r>
        <w:rPr>
          <w:lang w:eastAsia="en-AU"/>
        </w:rPr>
        <w:t xml:space="preserve">In </w:t>
      </w:r>
      <w:r w:rsidR="00375700">
        <w:rPr>
          <w:lang w:eastAsia="en-AU"/>
        </w:rPr>
        <w:t>the</w:t>
      </w:r>
      <w:r>
        <w:rPr>
          <w:lang w:eastAsia="en-AU"/>
        </w:rPr>
        <w:t xml:space="preserve"> interim report, the Committee</w:t>
      </w:r>
      <w:r w:rsidR="00446CD7">
        <w:rPr>
          <w:lang w:eastAsia="en-AU"/>
        </w:rPr>
        <w:t xml:space="preserve"> </w:t>
      </w:r>
      <w:r w:rsidR="006C75DC">
        <w:rPr>
          <w:lang w:eastAsia="en-AU"/>
        </w:rPr>
        <w:t xml:space="preserve">also </w:t>
      </w:r>
      <w:r w:rsidR="00446CD7">
        <w:rPr>
          <w:lang w:eastAsia="en-AU"/>
        </w:rPr>
        <w:t>detailed its systemic analysis of the C</w:t>
      </w:r>
      <w:r w:rsidR="009425B1">
        <w:rPr>
          <w:lang w:eastAsia="en-AU"/>
        </w:rPr>
        <w:t xml:space="preserve"> </w:t>
      </w:r>
      <w:r w:rsidR="00446CD7">
        <w:rPr>
          <w:lang w:eastAsia="en-AU"/>
        </w:rPr>
        <w:t>o</w:t>
      </w:r>
      <w:r w:rsidR="009425B1">
        <w:rPr>
          <w:lang w:eastAsia="en-AU"/>
        </w:rPr>
        <w:t xml:space="preserve">f </w:t>
      </w:r>
      <w:r w:rsidR="00446CD7">
        <w:rPr>
          <w:lang w:eastAsia="en-AU"/>
        </w:rPr>
        <w:t xml:space="preserve">A.  </w:t>
      </w:r>
      <w:r w:rsidR="00375700">
        <w:rPr>
          <w:lang w:eastAsia="en-AU"/>
        </w:rPr>
        <w:t>The analysis identified a number of potential systemic issues that can be organised into two groups</w:t>
      </w:r>
      <w:r w:rsidR="006C75DC">
        <w:rPr>
          <w:lang w:eastAsia="en-AU"/>
        </w:rPr>
        <w:t>,</w:t>
      </w:r>
      <w:r w:rsidR="00375700">
        <w:rPr>
          <w:lang w:eastAsia="en-AU"/>
        </w:rPr>
        <w:t xml:space="preserve"> as follows: </w:t>
      </w:r>
    </w:p>
    <w:p w14:paraId="485AC2EF" w14:textId="77777777" w:rsidR="006C75DC" w:rsidRPr="006C75DC" w:rsidRDefault="006C75DC" w:rsidP="006C75DC">
      <w:pPr>
        <w:pStyle w:val="ListBullet"/>
        <w:rPr>
          <w:lang w:eastAsia="en-AU"/>
        </w:rPr>
      </w:pPr>
      <w:r>
        <w:rPr>
          <w:lang w:eastAsia="en-AU"/>
        </w:rPr>
        <w:t xml:space="preserve">(i) </w:t>
      </w:r>
      <w:r w:rsidR="00446CD7">
        <w:rPr>
          <w:lang w:eastAsia="en-AU"/>
        </w:rPr>
        <w:t xml:space="preserve">Matters relating to the </w:t>
      </w:r>
      <w:r w:rsidR="0067329A" w:rsidRPr="00446CD7">
        <w:rPr>
          <w:lang w:eastAsia="en-AU"/>
        </w:rPr>
        <w:t>legislative framework for protecting and safeguarding children (legislation and related policies)</w:t>
      </w:r>
      <w:r w:rsidR="00446CD7">
        <w:rPr>
          <w:lang w:eastAsia="en-AU"/>
        </w:rPr>
        <w:t xml:space="preserve"> included: </w:t>
      </w:r>
      <w:r w:rsidR="00446CD7" w:rsidRPr="00446CD7">
        <w:rPr>
          <w:bCs/>
          <w:lang w:eastAsia="en-AU"/>
        </w:rPr>
        <w:t xml:space="preserve">lack of </w:t>
      </w:r>
      <w:r w:rsidR="00446CD7" w:rsidRPr="00446CD7">
        <w:rPr>
          <w:bCs/>
          <w:i/>
          <w:lang w:eastAsia="en-AU"/>
        </w:rPr>
        <w:t>res judicata</w:t>
      </w:r>
      <w:r w:rsidR="00446CD7" w:rsidRPr="00446CD7">
        <w:rPr>
          <w:bCs/>
          <w:vertAlign w:val="superscript"/>
          <w:lang w:eastAsia="en-AU"/>
        </w:rPr>
        <w:footnoteReference w:id="11"/>
      </w:r>
      <w:r w:rsidR="00446CD7" w:rsidRPr="00446CD7">
        <w:rPr>
          <w:bCs/>
          <w:lang w:eastAsia="en-AU"/>
        </w:rPr>
        <w:t xml:space="preserve"> or </w:t>
      </w:r>
      <w:r w:rsidR="00446CD7" w:rsidRPr="00446CD7">
        <w:rPr>
          <w:bCs/>
          <w:i/>
          <w:lang w:eastAsia="en-AU"/>
        </w:rPr>
        <w:t>issue estoppel</w:t>
      </w:r>
      <w:r w:rsidR="00446CD7" w:rsidRPr="00446CD7">
        <w:rPr>
          <w:bCs/>
          <w:vertAlign w:val="superscript"/>
          <w:lang w:eastAsia="en-AU"/>
        </w:rPr>
        <w:footnoteReference w:id="12"/>
      </w:r>
      <w:r w:rsidR="00446CD7" w:rsidRPr="00446CD7">
        <w:rPr>
          <w:bCs/>
          <w:lang w:eastAsia="en-AU"/>
        </w:rPr>
        <w:t xml:space="preserve"> in care proceedings</w:t>
      </w:r>
      <w:r w:rsidR="00446CD7">
        <w:rPr>
          <w:bCs/>
          <w:lang w:eastAsia="en-AU"/>
        </w:rPr>
        <w:t xml:space="preserve">; </w:t>
      </w:r>
      <w:r w:rsidR="007A6DD3">
        <w:rPr>
          <w:bCs/>
          <w:lang w:eastAsia="en-AU"/>
        </w:rPr>
        <w:t>cumulative harm; clarity about concepts of abuse and neglect; t</w:t>
      </w:r>
      <w:r w:rsidR="007A6DD3" w:rsidRPr="007A6DD3">
        <w:rPr>
          <w:bCs/>
          <w:lang w:eastAsia="en-AU"/>
        </w:rPr>
        <w:t>he matter of delay in the Supreme Court Appeal</w:t>
      </w:r>
      <w:r w:rsidR="007A6DD3">
        <w:rPr>
          <w:bCs/>
          <w:lang w:eastAsia="en-AU"/>
        </w:rPr>
        <w:t xml:space="preserve">; and no external independent review process for CYPS decisions.  </w:t>
      </w:r>
    </w:p>
    <w:p w14:paraId="62582416" w14:textId="61B197CC" w:rsidR="00EF73D2" w:rsidRPr="007A6DD3" w:rsidRDefault="006C75DC" w:rsidP="006C75DC">
      <w:pPr>
        <w:pStyle w:val="ListBullet"/>
        <w:rPr>
          <w:lang w:eastAsia="en-AU"/>
        </w:rPr>
      </w:pPr>
      <w:r>
        <w:rPr>
          <w:bCs/>
          <w:lang w:eastAsia="en-AU"/>
        </w:rPr>
        <w:t xml:space="preserve">(ii) </w:t>
      </w:r>
      <w:r w:rsidR="007A6DD3">
        <w:rPr>
          <w:bCs/>
          <w:lang w:eastAsia="en-AU"/>
        </w:rPr>
        <w:t xml:space="preserve">Matters relating to the </w:t>
      </w:r>
      <w:r w:rsidR="0067329A" w:rsidRPr="007A6DD3">
        <w:rPr>
          <w:bCs/>
          <w:lang w:eastAsia="en-AU"/>
        </w:rPr>
        <w:t>implementation and administration of the legislative framework—structures, systems and individual practice</w:t>
      </w:r>
      <w:r w:rsidR="00362F61">
        <w:rPr>
          <w:bCs/>
          <w:lang w:eastAsia="en-AU"/>
        </w:rPr>
        <w:t>—</w:t>
      </w:r>
      <w:r w:rsidR="007A6DD3">
        <w:rPr>
          <w:bCs/>
          <w:lang w:eastAsia="en-AU"/>
        </w:rPr>
        <w:t xml:space="preserve">included: </w:t>
      </w:r>
      <w:r w:rsidR="007A6DD3" w:rsidRPr="007A6DD3">
        <w:rPr>
          <w:bCs/>
          <w:lang w:eastAsia="en-AU"/>
        </w:rPr>
        <w:t>excessively adversarial approach to litigation</w:t>
      </w:r>
      <w:r w:rsidR="007A6DD3">
        <w:rPr>
          <w:bCs/>
          <w:lang w:eastAsia="en-AU"/>
        </w:rPr>
        <w:t xml:space="preserve">; evidentiary issues; jurisprudence in care and protection field of work; addressing over-representation of Aboriginal and Torres Strait Islander children in care; stability of placements for children and young people in care; system culture; and review of </w:t>
      </w:r>
      <w:bookmarkStart w:id="75" w:name="_Hlk35544404"/>
      <w:r w:rsidR="007A6DD3" w:rsidRPr="007A6DD3">
        <w:rPr>
          <w:bCs/>
          <w:lang w:eastAsia="en-AU"/>
        </w:rPr>
        <w:t>Auditor-General’s report No.</w:t>
      </w:r>
      <w:r w:rsidR="00EC2DFF">
        <w:rPr>
          <w:bCs/>
          <w:lang w:eastAsia="en-AU"/>
        </w:rPr>
        <w:t xml:space="preserve"> </w:t>
      </w:r>
      <w:r w:rsidR="007A6DD3" w:rsidRPr="007A6DD3">
        <w:rPr>
          <w:bCs/>
          <w:lang w:eastAsia="en-AU"/>
        </w:rPr>
        <w:t xml:space="preserve">1 of 2013: </w:t>
      </w:r>
      <w:r w:rsidR="007A6DD3" w:rsidRPr="007A6DD3">
        <w:rPr>
          <w:bCs/>
          <w:i/>
          <w:iCs/>
          <w:lang w:eastAsia="en-AU"/>
        </w:rPr>
        <w:t>Care and Protection System</w:t>
      </w:r>
      <w:bookmarkEnd w:id="75"/>
      <w:r w:rsidR="007A6DD3">
        <w:rPr>
          <w:bCs/>
          <w:i/>
          <w:iCs/>
          <w:lang w:eastAsia="en-AU"/>
        </w:rPr>
        <w:t>.</w:t>
      </w:r>
    </w:p>
    <w:p w14:paraId="5D9FB3B4" w14:textId="3104BC03" w:rsidR="007A6DD3" w:rsidRPr="00E30DC1" w:rsidRDefault="00E51942" w:rsidP="00681CA1">
      <w:pPr>
        <w:pStyle w:val="BodyText1"/>
        <w:rPr>
          <w:lang w:eastAsia="en-AU"/>
        </w:rPr>
      </w:pPr>
      <w:r>
        <w:rPr>
          <w:bCs/>
          <w:iCs/>
          <w:lang w:eastAsia="en-AU"/>
        </w:rPr>
        <w:t>I</w:t>
      </w:r>
      <w:r w:rsidR="00057E2C">
        <w:rPr>
          <w:bCs/>
          <w:iCs/>
          <w:lang w:eastAsia="en-AU"/>
        </w:rPr>
        <w:t xml:space="preserve">n </w:t>
      </w:r>
      <w:r w:rsidR="006C75DC">
        <w:rPr>
          <w:bCs/>
          <w:iCs/>
          <w:lang w:eastAsia="en-AU"/>
        </w:rPr>
        <w:t xml:space="preserve">the </w:t>
      </w:r>
      <w:r w:rsidR="00057E2C">
        <w:rPr>
          <w:bCs/>
          <w:iCs/>
          <w:lang w:eastAsia="en-AU"/>
        </w:rPr>
        <w:t>interim report</w:t>
      </w:r>
      <w:r>
        <w:rPr>
          <w:bCs/>
          <w:iCs/>
          <w:lang w:eastAsia="en-AU"/>
        </w:rPr>
        <w:t>, the Committee made 10 recommendations</w:t>
      </w:r>
      <w:r w:rsidR="00057E2C">
        <w:rPr>
          <w:bCs/>
          <w:iCs/>
          <w:lang w:eastAsia="en-AU"/>
        </w:rPr>
        <w:t xml:space="preserve">.  In </w:t>
      </w:r>
      <w:r>
        <w:rPr>
          <w:bCs/>
          <w:iCs/>
          <w:lang w:eastAsia="en-AU"/>
        </w:rPr>
        <w:t>responding, t</w:t>
      </w:r>
      <w:r w:rsidR="00057E2C">
        <w:rPr>
          <w:bCs/>
          <w:iCs/>
          <w:lang w:eastAsia="en-AU"/>
        </w:rPr>
        <w:t>he Government</w:t>
      </w:r>
      <w:r>
        <w:rPr>
          <w:rStyle w:val="FootnoteReference"/>
          <w:bCs/>
          <w:iCs/>
          <w:lang w:eastAsia="en-AU"/>
        </w:rPr>
        <w:footnoteReference w:id="13"/>
      </w:r>
      <w:r w:rsidR="00057E2C">
        <w:rPr>
          <w:bCs/>
          <w:iCs/>
          <w:lang w:eastAsia="en-AU"/>
        </w:rPr>
        <w:t xml:space="preserve"> agreed with four</w:t>
      </w:r>
      <w:r w:rsidR="00057E2C">
        <w:rPr>
          <w:rStyle w:val="FootnoteReference"/>
          <w:bCs/>
          <w:iCs/>
          <w:lang w:eastAsia="en-AU"/>
        </w:rPr>
        <w:footnoteReference w:id="14"/>
      </w:r>
      <w:r w:rsidR="00057E2C">
        <w:rPr>
          <w:bCs/>
          <w:iCs/>
          <w:lang w:eastAsia="en-AU"/>
        </w:rPr>
        <w:t xml:space="preserve"> recommendations; agreed-in-principle with four</w:t>
      </w:r>
      <w:r w:rsidR="00057E2C">
        <w:rPr>
          <w:rStyle w:val="FootnoteReference"/>
          <w:bCs/>
          <w:iCs/>
          <w:lang w:eastAsia="en-AU"/>
        </w:rPr>
        <w:footnoteReference w:id="15"/>
      </w:r>
      <w:r w:rsidR="00057E2C">
        <w:rPr>
          <w:bCs/>
          <w:iCs/>
          <w:lang w:eastAsia="en-AU"/>
        </w:rPr>
        <w:t xml:space="preserve"> recommendations; and noted </w:t>
      </w:r>
      <w:r w:rsidR="006C75DC">
        <w:rPr>
          <w:bCs/>
          <w:iCs/>
          <w:lang w:eastAsia="en-AU"/>
        </w:rPr>
        <w:t xml:space="preserve">the other </w:t>
      </w:r>
      <w:r w:rsidR="00057E2C">
        <w:rPr>
          <w:bCs/>
          <w:iCs/>
          <w:lang w:eastAsia="en-AU"/>
        </w:rPr>
        <w:t>two</w:t>
      </w:r>
      <w:r w:rsidR="00057E2C">
        <w:rPr>
          <w:rStyle w:val="FootnoteReference"/>
          <w:bCs/>
          <w:iCs/>
          <w:lang w:eastAsia="en-AU"/>
        </w:rPr>
        <w:footnoteReference w:id="16"/>
      </w:r>
      <w:r w:rsidR="00057E2C">
        <w:rPr>
          <w:bCs/>
          <w:iCs/>
          <w:lang w:eastAsia="en-AU"/>
        </w:rPr>
        <w:t xml:space="preserve"> recommendations.</w:t>
      </w:r>
    </w:p>
    <w:p w14:paraId="1DAD9197" w14:textId="2225ABF9" w:rsidR="00E30DC1" w:rsidRDefault="00E30DC1" w:rsidP="00E30DC1">
      <w:pPr>
        <w:pStyle w:val="Recommendation"/>
        <w:rPr>
          <w:lang w:eastAsia="en-AU"/>
        </w:rPr>
      </w:pPr>
      <w:bookmarkStart w:id="76" w:name="_Toc49345616"/>
      <w:bookmarkEnd w:id="76"/>
    </w:p>
    <w:p w14:paraId="1A43299B" w14:textId="478891C0" w:rsidR="00E30DC1" w:rsidRPr="00E30DC1" w:rsidRDefault="00E30DC1" w:rsidP="0011009F">
      <w:pPr>
        <w:pStyle w:val="RecommendationText"/>
        <w:rPr>
          <w:lang w:eastAsia="en-AU"/>
        </w:rPr>
      </w:pPr>
      <w:bookmarkStart w:id="77" w:name="_Toc49345617"/>
      <w:bookmarkStart w:id="78" w:name="_Hlk48721954"/>
      <w:r>
        <w:rPr>
          <w:lang w:eastAsia="en-AU"/>
        </w:rPr>
        <w:t>The Committee recommends that the ACT Government act</w:t>
      </w:r>
      <w:r w:rsidR="00E11C5E">
        <w:rPr>
          <w:lang w:eastAsia="en-AU"/>
        </w:rPr>
        <w:t>i</w:t>
      </w:r>
      <w:r>
        <w:rPr>
          <w:lang w:eastAsia="en-AU"/>
        </w:rPr>
        <w:t xml:space="preserve">on the recommendations made </w:t>
      </w:r>
      <w:r w:rsidR="00D5296D">
        <w:rPr>
          <w:lang w:eastAsia="en-AU"/>
        </w:rPr>
        <w:t xml:space="preserve">by </w:t>
      </w:r>
      <w:r>
        <w:rPr>
          <w:lang w:eastAsia="en-AU"/>
        </w:rPr>
        <w:t>the 9</w:t>
      </w:r>
      <w:r w:rsidRPr="0011009F">
        <w:rPr>
          <w:vertAlign w:val="superscript"/>
          <w:lang w:eastAsia="en-AU"/>
        </w:rPr>
        <w:t>th</w:t>
      </w:r>
      <w:r>
        <w:rPr>
          <w:lang w:eastAsia="en-AU"/>
        </w:rPr>
        <w:t xml:space="preserve"> ACT Legislative Assembly Standing Committee on Health, Ageing and Community</w:t>
      </w:r>
      <w:r w:rsidR="00D5296D">
        <w:rPr>
          <w:lang w:eastAsia="en-AU"/>
        </w:rPr>
        <w:t xml:space="preserve"> Services in its </w:t>
      </w:r>
      <w:r w:rsidR="00D5296D" w:rsidRPr="002E7BD8">
        <w:rPr>
          <w:i/>
          <w:iCs/>
          <w:lang w:eastAsia="en-AU"/>
        </w:rPr>
        <w:t>I</w:t>
      </w:r>
      <w:r w:rsidR="00741B8D" w:rsidRPr="002E7BD8">
        <w:rPr>
          <w:i/>
          <w:iCs/>
          <w:lang w:eastAsia="en-AU"/>
        </w:rPr>
        <w:t xml:space="preserve">nterim </w:t>
      </w:r>
      <w:r w:rsidR="00D5296D" w:rsidRPr="002E7BD8">
        <w:rPr>
          <w:i/>
          <w:iCs/>
          <w:lang w:eastAsia="en-AU"/>
        </w:rPr>
        <w:t>R</w:t>
      </w:r>
      <w:r w:rsidR="00741B8D" w:rsidRPr="002E7BD8">
        <w:rPr>
          <w:i/>
          <w:iCs/>
          <w:lang w:eastAsia="en-AU"/>
        </w:rPr>
        <w:t xml:space="preserve">eport on </w:t>
      </w:r>
      <w:r w:rsidR="00D5296D" w:rsidRPr="002E7BD8">
        <w:rPr>
          <w:i/>
          <w:iCs/>
          <w:lang w:eastAsia="en-AU"/>
        </w:rPr>
        <w:t>C</w:t>
      </w:r>
      <w:r w:rsidR="00741B8D" w:rsidRPr="002E7BD8">
        <w:rPr>
          <w:i/>
          <w:iCs/>
          <w:lang w:eastAsia="en-AU"/>
        </w:rPr>
        <w:t xml:space="preserve">hild and </w:t>
      </w:r>
      <w:r w:rsidR="00D5296D" w:rsidRPr="002E7BD8">
        <w:rPr>
          <w:i/>
          <w:iCs/>
          <w:lang w:eastAsia="en-AU"/>
        </w:rPr>
        <w:t>Y</w:t>
      </w:r>
      <w:r w:rsidR="00741B8D" w:rsidRPr="002E7BD8">
        <w:rPr>
          <w:i/>
          <w:iCs/>
          <w:lang w:eastAsia="en-AU"/>
        </w:rPr>
        <w:t xml:space="preserve">outh </w:t>
      </w:r>
      <w:r w:rsidR="00D5296D" w:rsidRPr="002E7BD8">
        <w:rPr>
          <w:i/>
          <w:iCs/>
          <w:lang w:eastAsia="en-AU"/>
        </w:rPr>
        <w:t>P</w:t>
      </w:r>
      <w:r w:rsidR="00741B8D" w:rsidRPr="002E7BD8">
        <w:rPr>
          <w:i/>
          <w:iCs/>
          <w:lang w:eastAsia="en-AU"/>
        </w:rPr>
        <w:t xml:space="preserve">rotection </w:t>
      </w:r>
      <w:r w:rsidR="00D5296D" w:rsidRPr="002E7BD8">
        <w:rPr>
          <w:i/>
          <w:iCs/>
          <w:lang w:eastAsia="en-AU"/>
        </w:rPr>
        <w:t>S</w:t>
      </w:r>
      <w:r w:rsidR="00741B8D" w:rsidRPr="002E7BD8">
        <w:rPr>
          <w:i/>
          <w:iCs/>
          <w:lang w:eastAsia="en-AU"/>
        </w:rPr>
        <w:t>ervices (Part 1)</w:t>
      </w:r>
      <w:r w:rsidR="00741B8D">
        <w:rPr>
          <w:lang w:eastAsia="en-AU"/>
        </w:rPr>
        <w:t>.</w:t>
      </w:r>
      <w:bookmarkEnd w:id="77"/>
      <w:r>
        <w:rPr>
          <w:lang w:eastAsia="en-AU"/>
        </w:rPr>
        <w:t xml:space="preserve"> </w:t>
      </w:r>
    </w:p>
    <w:p w14:paraId="5A600651" w14:textId="7103E873" w:rsidR="00EF73D2" w:rsidRDefault="00EF73D2" w:rsidP="00EF73D2">
      <w:pPr>
        <w:pStyle w:val="Headinglevel2"/>
        <w:rPr>
          <w:lang w:eastAsia="en-AU"/>
        </w:rPr>
      </w:pPr>
      <w:bookmarkStart w:id="79" w:name="_Toc49281159"/>
      <w:bookmarkEnd w:id="78"/>
      <w:r>
        <w:rPr>
          <w:lang w:eastAsia="en-AU"/>
        </w:rPr>
        <w:lastRenderedPageBreak/>
        <w:t>CYPS sharing information with the Assembly</w:t>
      </w:r>
      <w:bookmarkEnd w:id="79"/>
    </w:p>
    <w:p w14:paraId="4078FC60" w14:textId="5AB2B590" w:rsidR="00FB03D4" w:rsidRPr="00741B8D" w:rsidRDefault="00D45F5F" w:rsidP="00824DC5">
      <w:pPr>
        <w:pStyle w:val="BodyText1"/>
        <w:keepLines/>
        <w:rPr>
          <w:rFonts w:ascii="Arial Narrow" w:hAnsi="Arial Narrow" w:cs="Arial"/>
          <w:smallCaps/>
          <w:spacing w:val="20"/>
          <w:sz w:val="26"/>
          <w:lang w:eastAsia="en-AU"/>
        </w:rPr>
      </w:pPr>
      <w:r>
        <w:rPr>
          <w:lang w:eastAsia="en-AU"/>
        </w:rPr>
        <w:t xml:space="preserve">In </w:t>
      </w:r>
      <w:r w:rsidR="006C75DC">
        <w:rPr>
          <w:lang w:eastAsia="en-AU"/>
        </w:rPr>
        <w:t>the</w:t>
      </w:r>
      <w:r>
        <w:rPr>
          <w:lang w:eastAsia="en-AU"/>
        </w:rPr>
        <w:t xml:space="preserve"> interim report</w:t>
      </w:r>
      <w:r w:rsidR="006C75DC">
        <w:rPr>
          <w:lang w:eastAsia="en-AU"/>
        </w:rPr>
        <w:t>,</w:t>
      </w:r>
      <w:r>
        <w:rPr>
          <w:lang w:eastAsia="en-AU"/>
        </w:rPr>
        <w:t xml:space="preserve"> the </w:t>
      </w:r>
      <w:r w:rsidR="002F2B6A">
        <w:rPr>
          <w:lang w:eastAsia="en-AU"/>
        </w:rPr>
        <w:t xml:space="preserve">Committee </w:t>
      </w:r>
      <w:r>
        <w:rPr>
          <w:lang w:eastAsia="en-AU"/>
        </w:rPr>
        <w:t xml:space="preserve">advised that it was in discussion </w:t>
      </w:r>
      <w:r w:rsidR="002F2B6A">
        <w:rPr>
          <w:lang w:eastAsia="en-AU"/>
        </w:rPr>
        <w:t xml:space="preserve">with the Minister for Children, Youth and Families regarding access to information that is classed as protected and sensitive information under the CYP Act. </w:t>
      </w:r>
      <w:r w:rsidR="005F5616">
        <w:rPr>
          <w:lang w:eastAsia="en-AU"/>
        </w:rPr>
        <w:t xml:space="preserve"> </w:t>
      </w:r>
      <w:r>
        <w:rPr>
          <w:lang w:eastAsia="en-AU"/>
        </w:rPr>
        <w:t xml:space="preserve">The Committee </w:t>
      </w:r>
      <w:r w:rsidR="005F5616">
        <w:rPr>
          <w:lang w:eastAsia="en-AU"/>
        </w:rPr>
        <w:t xml:space="preserve">further advised </w:t>
      </w:r>
      <w:r>
        <w:rPr>
          <w:lang w:eastAsia="en-AU"/>
        </w:rPr>
        <w:t>that after considering the protected and sensitive information it was seeking it would, at a later time, table a final report.</w:t>
      </w:r>
    </w:p>
    <w:p w14:paraId="1C65B34D" w14:textId="1330DED2" w:rsidR="00B60E0B" w:rsidRDefault="00B60E0B" w:rsidP="00741B8D">
      <w:pPr>
        <w:pStyle w:val="Headinglevel4"/>
        <w:keepNext w:val="0"/>
        <w:rPr>
          <w:lang w:eastAsia="en-AU"/>
        </w:rPr>
      </w:pPr>
      <w:r>
        <w:rPr>
          <w:lang w:eastAsia="en-AU"/>
        </w:rPr>
        <w:t>Specialist advice</w:t>
      </w:r>
    </w:p>
    <w:p w14:paraId="52A1EEDE" w14:textId="1FF07FF6" w:rsidR="005E404D" w:rsidRPr="0011009F" w:rsidRDefault="00B60E0B" w:rsidP="00741B8D">
      <w:pPr>
        <w:pStyle w:val="BodyText1"/>
        <w:widowControl w:val="0"/>
        <w:rPr>
          <w:lang w:eastAsia="en-AU"/>
        </w:rPr>
      </w:pPr>
      <w:r>
        <w:rPr>
          <w:lang w:eastAsia="en-AU"/>
        </w:rPr>
        <w:t xml:space="preserve">The Committee sought </w:t>
      </w:r>
      <w:r w:rsidRPr="00B60E0B">
        <w:rPr>
          <w:lang w:val="en-GB" w:eastAsia="en-AU"/>
        </w:rPr>
        <w:t>procedural advice from a specialist adviser (appointed pursuant to Standing Order 238) on matters related to the inquiry.</w:t>
      </w:r>
      <w:r>
        <w:rPr>
          <w:lang w:val="en-GB" w:eastAsia="en-AU"/>
        </w:rPr>
        <w:t xml:space="preserve">  The Committee was of the view that while </w:t>
      </w:r>
      <w:r w:rsidR="005E404D">
        <w:rPr>
          <w:lang w:val="en-GB" w:eastAsia="en-AU"/>
        </w:rPr>
        <w:t xml:space="preserve">separation of powers and the protections of parliamentary privilege would indicate that it was exempt from the restrictions regarding information sharing under the CYP Act and </w:t>
      </w:r>
      <w:r w:rsidR="00E11C5E">
        <w:rPr>
          <w:lang w:val="en-GB" w:eastAsia="en-AU"/>
        </w:rPr>
        <w:t xml:space="preserve">that </w:t>
      </w:r>
      <w:r w:rsidR="005E404D">
        <w:rPr>
          <w:lang w:val="en-GB" w:eastAsia="en-AU"/>
        </w:rPr>
        <w:t>the act</w:t>
      </w:r>
      <w:r w:rsidR="00A644DD">
        <w:rPr>
          <w:lang w:val="en-GB" w:eastAsia="en-AU"/>
        </w:rPr>
        <w:t>ion</w:t>
      </w:r>
      <w:r w:rsidR="005E404D">
        <w:rPr>
          <w:lang w:val="en-GB" w:eastAsia="en-AU"/>
        </w:rPr>
        <w:t xml:space="preserve"> of CYPS officials </w:t>
      </w:r>
      <w:r w:rsidR="00A644DD">
        <w:rPr>
          <w:lang w:val="en-GB" w:eastAsia="en-AU"/>
        </w:rPr>
        <w:t xml:space="preserve">in </w:t>
      </w:r>
      <w:r w:rsidR="005E404D">
        <w:rPr>
          <w:lang w:val="en-GB" w:eastAsia="en-AU"/>
        </w:rPr>
        <w:t xml:space="preserve">providing this information </w:t>
      </w:r>
      <w:r w:rsidR="00E11C5E">
        <w:rPr>
          <w:lang w:val="en-GB" w:eastAsia="en-AU"/>
        </w:rPr>
        <w:t xml:space="preserve">to the Committee </w:t>
      </w:r>
      <w:r w:rsidR="005E404D">
        <w:rPr>
          <w:lang w:val="en-GB" w:eastAsia="en-AU"/>
        </w:rPr>
        <w:t>would be covered as a proceeding of parliament, the Committee sought an explicit procedural opinion to this effect—answering the following questions:</w:t>
      </w:r>
    </w:p>
    <w:p w14:paraId="4976663F" w14:textId="77777777" w:rsidR="005E404D" w:rsidRPr="0011009F" w:rsidRDefault="005E404D" w:rsidP="0011009F">
      <w:pPr>
        <w:pStyle w:val="ListNumber3"/>
        <w:numPr>
          <w:ilvl w:val="0"/>
          <w:numId w:val="26"/>
        </w:numPr>
        <w:rPr>
          <w:lang w:eastAsia="en-AU"/>
        </w:rPr>
      </w:pPr>
      <w:r>
        <w:rPr>
          <w:lang w:val="en-GB" w:eastAsia="en-AU"/>
        </w:rPr>
        <w:t>is the Committee obliged to comply with the secrecy provisions of the CYP Act relating to protected and sensitive information;</w:t>
      </w:r>
    </w:p>
    <w:p w14:paraId="193FEE06" w14:textId="3F96AF68" w:rsidR="005E404D" w:rsidRPr="0011009F" w:rsidRDefault="005E404D" w:rsidP="0011009F">
      <w:pPr>
        <w:pStyle w:val="ListNumber3"/>
        <w:numPr>
          <w:ilvl w:val="0"/>
          <w:numId w:val="26"/>
        </w:numPr>
        <w:rPr>
          <w:lang w:eastAsia="en-AU"/>
        </w:rPr>
      </w:pPr>
      <w:r>
        <w:rPr>
          <w:lang w:val="en-GB" w:eastAsia="en-AU"/>
        </w:rPr>
        <w:t>if the Committee is exempt due to the separation of powers and parliamentary privilege—how far can it go [</w:t>
      </w:r>
      <w:r w:rsidR="00FA00FC">
        <w:rPr>
          <w:lang w:val="en-GB" w:eastAsia="en-AU"/>
        </w:rPr>
        <w:t>with consideration</w:t>
      </w:r>
      <w:r>
        <w:rPr>
          <w:lang w:val="en-GB" w:eastAsia="en-AU"/>
        </w:rPr>
        <w:t>—that the Committee would not unduly wish to trample on the law and would also wish to respect a healthy upholding of expected norms]; and</w:t>
      </w:r>
    </w:p>
    <w:p w14:paraId="3DA4C292" w14:textId="354862F9" w:rsidR="005E404D" w:rsidRPr="0011009F" w:rsidRDefault="005E404D" w:rsidP="0011009F">
      <w:pPr>
        <w:pStyle w:val="ListNumber3"/>
        <w:numPr>
          <w:ilvl w:val="0"/>
          <w:numId w:val="26"/>
        </w:numPr>
        <w:rPr>
          <w:lang w:eastAsia="en-AU"/>
        </w:rPr>
      </w:pPr>
      <w:r>
        <w:rPr>
          <w:lang w:val="en-GB" w:eastAsia="en-AU"/>
        </w:rPr>
        <w:t>whether the Assembly can waive implicitly its parliamentary privilege by the legislation it passes on a specific matter?</w:t>
      </w:r>
    </w:p>
    <w:p w14:paraId="077D840B" w14:textId="4B8F9E81" w:rsidR="00B60E0B" w:rsidRPr="00B60E0B" w:rsidRDefault="00502781" w:rsidP="0011009F">
      <w:pPr>
        <w:pStyle w:val="BodyText1"/>
        <w:rPr>
          <w:lang w:eastAsia="en-AU"/>
        </w:rPr>
      </w:pPr>
      <w:r>
        <w:rPr>
          <w:lang w:val="en-GB" w:eastAsia="en-AU"/>
        </w:rPr>
        <w:t xml:space="preserve">A copy of the </w:t>
      </w:r>
      <w:r w:rsidR="009425B1">
        <w:rPr>
          <w:lang w:val="en-GB" w:eastAsia="en-AU"/>
        </w:rPr>
        <w:t>S</w:t>
      </w:r>
      <w:r>
        <w:rPr>
          <w:lang w:val="en-GB" w:eastAsia="en-AU"/>
        </w:rPr>
        <w:t xml:space="preserve">pecialist advice is at </w:t>
      </w:r>
      <w:r w:rsidRPr="0011009F">
        <w:rPr>
          <w:b/>
          <w:bCs/>
          <w:lang w:val="en-GB" w:eastAsia="en-AU"/>
        </w:rPr>
        <w:t>Appendix A</w:t>
      </w:r>
      <w:r>
        <w:rPr>
          <w:lang w:val="en-GB" w:eastAsia="en-AU"/>
        </w:rPr>
        <w:t xml:space="preserve">. </w:t>
      </w:r>
      <w:r w:rsidR="005E404D">
        <w:rPr>
          <w:lang w:val="en-GB" w:eastAsia="en-AU"/>
        </w:rPr>
        <w:t xml:space="preserve">        </w:t>
      </w:r>
      <w:r w:rsidR="00B60E0B">
        <w:rPr>
          <w:lang w:val="en-GB" w:eastAsia="en-AU"/>
        </w:rPr>
        <w:t xml:space="preserve">  </w:t>
      </w:r>
      <w:r w:rsidR="00B60E0B" w:rsidRPr="00B60E0B">
        <w:rPr>
          <w:lang w:val="en-GB" w:eastAsia="en-AU"/>
        </w:rPr>
        <w:t xml:space="preserve">  </w:t>
      </w:r>
    </w:p>
    <w:p w14:paraId="55BF61D2" w14:textId="7729DF3A" w:rsidR="000A49E3" w:rsidRDefault="000A49E3" w:rsidP="000A49E3">
      <w:pPr>
        <w:pStyle w:val="Headinglevel4"/>
        <w:rPr>
          <w:lang w:eastAsia="en-AU"/>
        </w:rPr>
      </w:pPr>
      <w:r>
        <w:rPr>
          <w:lang w:eastAsia="en-AU"/>
        </w:rPr>
        <w:t>Request for information as a proceeding of the Assembly</w:t>
      </w:r>
    </w:p>
    <w:p w14:paraId="383175F8" w14:textId="77777777" w:rsidR="006C75DC" w:rsidRDefault="006C75DC" w:rsidP="006C75DC">
      <w:pPr>
        <w:pStyle w:val="BodyText1"/>
        <w:rPr>
          <w:lang w:eastAsia="en-AU"/>
        </w:rPr>
      </w:pPr>
      <w:r>
        <w:rPr>
          <w:lang w:eastAsia="en-AU"/>
        </w:rPr>
        <w:t xml:space="preserve">As noted in its </w:t>
      </w:r>
      <w:r w:rsidRPr="00187F9D">
        <w:rPr>
          <w:iCs/>
          <w:lang w:eastAsia="en-AU"/>
        </w:rPr>
        <w:t>overarching and inquiry specific authorities and guiding principles</w:t>
      </w:r>
      <w:r>
        <w:rPr>
          <w:iCs/>
          <w:lang w:eastAsia="en-AU"/>
        </w:rPr>
        <w:t xml:space="preserve"> (which are restated in Chapter 3), p</w:t>
      </w:r>
      <w:r w:rsidRPr="00653503">
        <w:rPr>
          <w:lang w:eastAsia="en-AU"/>
        </w:rPr>
        <w:t>arliamentary committees have a broad public interest mandate and are not in a position to determine the rights and wrongs of individual cases</w:t>
      </w:r>
      <w:r>
        <w:rPr>
          <w:lang w:eastAsia="en-AU"/>
        </w:rPr>
        <w:t xml:space="preserve"> or second guess or unpack decision-making of the Courts</w:t>
      </w:r>
      <w:r w:rsidRPr="00653503">
        <w:rPr>
          <w:lang w:eastAsia="en-AU"/>
        </w:rPr>
        <w:t>.</w:t>
      </w:r>
    </w:p>
    <w:p w14:paraId="5C877B91" w14:textId="77777777" w:rsidR="006C75DC" w:rsidRDefault="006C75DC" w:rsidP="006C75DC">
      <w:pPr>
        <w:pStyle w:val="BodyText1"/>
        <w:rPr>
          <w:lang w:eastAsia="en-AU"/>
        </w:rPr>
      </w:pPr>
      <w:r>
        <w:rPr>
          <w:lang w:eastAsia="en-AU"/>
        </w:rPr>
        <w:t>The Committee, however, is entitled to know enough about the circumstances of the specific case to assure itself and the Assembly that: (i) the legislative framework and delegated authority provided in the CYP Act has operated properly; and (ii) the extent to which the specific case might raise systemic issues has been thoroughly examined.</w:t>
      </w:r>
    </w:p>
    <w:p w14:paraId="20FB96B3" w14:textId="7DEB7DC0" w:rsidR="006C75DC" w:rsidRDefault="006C75DC" w:rsidP="006C75DC">
      <w:pPr>
        <w:pStyle w:val="BodyText1"/>
        <w:rPr>
          <w:lang w:eastAsia="en-AU"/>
        </w:rPr>
      </w:pPr>
      <w:r>
        <w:rPr>
          <w:lang w:eastAsia="en-AU"/>
        </w:rPr>
        <w:lastRenderedPageBreak/>
        <w:t>For the Committee to fulfil the remit given to it by the Assembly—that is, to be able to consider the full and accurate facts of the matter to which Part 1 of this inquiry relates—it required that protected and sensitive information be shared with it.</w:t>
      </w:r>
    </w:p>
    <w:p w14:paraId="4E416B0C" w14:textId="79E91A62" w:rsidR="002F2B6A" w:rsidRDefault="005F5616" w:rsidP="002F2B6A">
      <w:pPr>
        <w:pStyle w:val="BodyText1"/>
        <w:rPr>
          <w:lang w:eastAsia="en-AU"/>
        </w:rPr>
      </w:pPr>
      <w:r>
        <w:rPr>
          <w:lang w:eastAsia="en-AU"/>
        </w:rPr>
        <w:t xml:space="preserve">In its discussions to access </w:t>
      </w:r>
      <w:r w:rsidR="00A644DD">
        <w:rPr>
          <w:lang w:eastAsia="en-AU"/>
        </w:rPr>
        <w:t xml:space="preserve">information classified by the CYP Act as </w:t>
      </w:r>
      <w:r w:rsidRPr="005F5616">
        <w:rPr>
          <w:lang w:eastAsia="en-AU"/>
        </w:rPr>
        <w:t>protected and sensitive information</w:t>
      </w:r>
      <w:r>
        <w:rPr>
          <w:lang w:eastAsia="en-AU"/>
        </w:rPr>
        <w:t xml:space="preserve">, at all times the </w:t>
      </w:r>
      <w:r w:rsidR="002F2B6A">
        <w:rPr>
          <w:lang w:eastAsia="en-AU"/>
        </w:rPr>
        <w:t>Committee has a</w:t>
      </w:r>
      <w:r>
        <w:rPr>
          <w:lang w:eastAsia="en-AU"/>
        </w:rPr>
        <w:t>cknowledged a</w:t>
      </w:r>
      <w:r w:rsidR="002F2B6A">
        <w:rPr>
          <w:lang w:eastAsia="en-AU"/>
        </w:rPr>
        <w:t xml:space="preserve"> full understanding of the privileged nature of the information it </w:t>
      </w:r>
      <w:r w:rsidR="006C75DC">
        <w:rPr>
          <w:lang w:eastAsia="en-AU"/>
        </w:rPr>
        <w:t>was</w:t>
      </w:r>
      <w:r w:rsidR="002F2B6A">
        <w:rPr>
          <w:lang w:eastAsia="en-AU"/>
        </w:rPr>
        <w:t xml:space="preserve"> seeking.  </w:t>
      </w:r>
      <w:r w:rsidR="00E51942">
        <w:rPr>
          <w:lang w:eastAsia="en-AU"/>
        </w:rPr>
        <w:t>Importantly, t</w:t>
      </w:r>
      <w:r w:rsidR="002F2B6A">
        <w:rPr>
          <w:lang w:eastAsia="en-AU"/>
        </w:rPr>
        <w:t xml:space="preserve">he Committee </w:t>
      </w:r>
      <w:r w:rsidR="006C75DC">
        <w:rPr>
          <w:lang w:eastAsia="en-AU"/>
        </w:rPr>
        <w:t>wa</w:t>
      </w:r>
      <w:r w:rsidR="002F2B6A">
        <w:rPr>
          <w:lang w:eastAsia="en-AU"/>
        </w:rPr>
        <w:t xml:space="preserve">s seeking to access </w:t>
      </w:r>
      <w:r w:rsidR="00E51942">
        <w:rPr>
          <w:lang w:eastAsia="en-AU"/>
        </w:rPr>
        <w:t xml:space="preserve">this </w:t>
      </w:r>
      <w:r w:rsidR="002F2B6A">
        <w:rPr>
          <w:lang w:eastAsia="en-AU"/>
        </w:rPr>
        <w:t>information not as a request under the CYP Act but as a proceeding of the Assembly.</w:t>
      </w:r>
    </w:p>
    <w:p w14:paraId="4ACC7F1D" w14:textId="2CAABB72" w:rsidR="005F5616" w:rsidRDefault="005F5616" w:rsidP="005F5616">
      <w:pPr>
        <w:pStyle w:val="BodyText1"/>
        <w:rPr>
          <w:lang w:eastAsia="en-AU"/>
        </w:rPr>
      </w:pPr>
      <w:r>
        <w:rPr>
          <w:lang w:eastAsia="en-AU"/>
        </w:rPr>
        <w:t>While acknowledging the sensitivity of the content of this information, the need for the Committee to have access to this statutorily</w:t>
      </w:r>
      <w:r w:rsidR="006C75DC">
        <w:rPr>
          <w:lang w:eastAsia="en-AU"/>
        </w:rPr>
        <w:t>-</w:t>
      </w:r>
      <w:r>
        <w:rPr>
          <w:lang w:eastAsia="en-AU"/>
        </w:rPr>
        <w:t>protected information has raised some challenging procedural issues ‘regarding parliamentary supremacy, parliamentary privilege and the capacity of a parliament to delegate unfettered discretion to an agency of its own creation’.</w:t>
      </w:r>
      <w:r>
        <w:rPr>
          <w:rStyle w:val="FootnoteReference"/>
          <w:lang w:eastAsia="en-AU"/>
        </w:rPr>
        <w:footnoteReference w:id="17"/>
      </w:r>
    </w:p>
    <w:p w14:paraId="3AD1EE3D" w14:textId="797813C7" w:rsidR="00612C3F" w:rsidRDefault="006C75DC" w:rsidP="00612C3F">
      <w:pPr>
        <w:pStyle w:val="BodyText1"/>
        <w:rPr>
          <w:lang w:eastAsia="en-AU"/>
        </w:rPr>
      </w:pPr>
      <w:r>
        <w:rPr>
          <w:lang w:eastAsia="en-AU"/>
        </w:rPr>
        <w:t>The Committee established that its</w:t>
      </w:r>
      <w:r w:rsidR="00612C3F">
        <w:rPr>
          <w:lang w:eastAsia="en-AU"/>
        </w:rPr>
        <w:t xml:space="preserve"> request for information is not a request under the </w:t>
      </w:r>
      <w:r>
        <w:rPr>
          <w:lang w:eastAsia="en-AU"/>
        </w:rPr>
        <w:t xml:space="preserve">CYP </w:t>
      </w:r>
      <w:r w:rsidR="00612C3F">
        <w:rPr>
          <w:lang w:eastAsia="en-AU"/>
        </w:rPr>
        <w:t xml:space="preserve">Act but arises from a proceeding of the Assembly.  The restrictions on information sharing provisions in the </w:t>
      </w:r>
      <w:r>
        <w:rPr>
          <w:lang w:eastAsia="en-AU"/>
        </w:rPr>
        <w:t xml:space="preserve">CYP </w:t>
      </w:r>
      <w:r w:rsidR="00612C3F">
        <w:rPr>
          <w:lang w:eastAsia="en-AU"/>
        </w:rPr>
        <w:t>Act therefore do not apply to the Committee’s request for information</w:t>
      </w:r>
      <w:r w:rsidR="000A49E3">
        <w:rPr>
          <w:lang w:eastAsia="en-AU"/>
        </w:rPr>
        <w:t>.</w:t>
      </w:r>
      <w:r>
        <w:rPr>
          <w:rStyle w:val="FootnoteReference"/>
          <w:lang w:eastAsia="en-AU"/>
        </w:rPr>
        <w:footnoteReference w:id="18"/>
      </w:r>
    </w:p>
    <w:p w14:paraId="4777A9EC" w14:textId="42004FCA" w:rsidR="006C75DC" w:rsidRDefault="006C75DC" w:rsidP="006C75DC">
      <w:pPr>
        <w:pStyle w:val="BodyText1"/>
        <w:rPr>
          <w:lang w:eastAsia="en-AU"/>
        </w:rPr>
      </w:pPr>
      <w:r>
        <w:rPr>
          <w:lang w:eastAsia="en-AU"/>
        </w:rPr>
        <w:t>The Committee notes that fundamentally an Act of Parliament is not intended to thwart a Parliament’s constitutional obligations to scrutinise Government policy or the operation of a statutory agency.  Were this to be the case, it would ‘involve a reversal of the Parliament’s role in Executive oversight if the Executive can decide what the Parliament can be allowed to know based on what the Executive arm of government thinks appropriate’.</w:t>
      </w:r>
      <w:r>
        <w:rPr>
          <w:rStyle w:val="FootnoteReference"/>
          <w:lang w:eastAsia="en-AU"/>
        </w:rPr>
        <w:footnoteReference w:id="19"/>
      </w:r>
    </w:p>
    <w:p w14:paraId="21C0A3E8" w14:textId="29A03C5F" w:rsidR="00F412C4" w:rsidRDefault="00F412C4" w:rsidP="00612C3F">
      <w:pPr>
        <w:pStyle w:val="BodyText1"/>
        <w:rPr>
          <w:lang w:eastAsia="en-AU"/>
        </w:rPr>
      </w:pPr>
      <w:r>
        <w:rPr>
          <w:lang w:eastAsia="en-AU"/>
        </w:rPr>
        <w:t xml:space="preserve">The Committee </w:t>
      </w:r>
      <w:r w:rsidR="006C75DC">
        <w:rPr>
          <w:lang w:eastAsia="en-AU"/>
        </w:rPr>
        <w:t xml:space="preserve">further </w:t>
      </w:r>
      <w:r>
        <w:rPr>
          <w:lang w:eastAsia="en-AU"/>
        </w:rPr>
        <w:t xml:space="preserve">notes that the Minister and </w:t>
      </w:r>
      <w:r w:rsidR="0098316E">
        <w:rPr>
          <w:lang w:eastAsia="en-AU"/>
        </w:rPr>
        <w:t>D</w:t>
      </w:r>
      <w:r w:rsidR="00E30DC1">
        <w:rPr>
          <w:lang w:eastAsia="en-AU"/>
        </w:rPr>
        <w:t>irector-</w:t>
      </w:r>
      <w:r w:rsidR="0011009F">
        <w:rPr>
          <w:lang w:eastAsia="en-AU"/>
        </w:rPr>
        <w:t>General were</w:t>
      </w:r>
      <w:r>
        <w:rPr>
          <w:lang w:eastAsia="en-AU"/>
        </w:rPr>
        <w:t xml:space="preserve"> willing to make information available to it but that this was to the extent that any such sharing was within the terms of the CYP Act.</w:t>
      </w:r>
    </w:p>
    <w:p w14:paraId="7405AD22" w14:textId="2EA30BFD" w:rsidR="00612C3F" w:rsidRDefault="00612C3F" w:rsidP="00612C3F">
      <w:pPr>
        <w:pStyle w:val="BodyText1"/>
        <w:rPr>
          <w:lang w:eastAsia="en-AU"/>
        </w:rPr>
      </w:pPr>
      <w:r>
        <w:rPr>
          <w:lang w:eastAsia="en-AU"/>
        </w:rPr>
        <w:t xml:space="preserve">For the purposes of this inquiry, it was the Committee’s disposition to not use its powers to order that </w:t>
      </w:r>
      <w:r w:rsidR="006C75DC">
        <w:rPr>
          <w:lang w:eastAsia="en-AU"/>
        </w:rPr>
        <w:t xml:space="preserve">the </w:t>
      </w:r>
      <w:r>
        <w:rPr>
          <w:lang w:eastAsia="en-AU"/>
        </w:rPr>
        <w:t xml:space="preserve">protected and sensitive information be </w:t>
      </w:r>
      <w:r w:rsidR="000D6E41">
        <w:rPr>
          <w:lang w:eastAsia="en-AU"/>
        </w:rPr>
        <w:t xml:space="preserve">provided to it </w:t>
      </w:r>
      <w:r>
        <w:rPr>
          <w:lang w:eastAsia="en-AU"/>
        </w:rPr>
        <w:t xml:space="preserve">but rather that it </w:t>
      </w:r>
      <w:r w:rsidR="000D6E41">
        <w:rPr>
          <w:lang w:eastAsia="en-AU"/>
        </w:rPr>
        <w:t>request access to</w:t>
      </w:r>
      <w:r>
        <w:rPr>
          <w:lang w:eastAsia="en-AU"/>
        </w:rPr>
        <w:t xml:space="preserve"> such information pursuant to a proceeding of the Assembly</w:t>
      </w:r>
      <w:r w:rsidR="006C75DC">
        <w:rPr>
          <w:lang w:eastAsia="en-AU"/>
        </w:rPr>
        <w:t>.</w:t>
      </w:r>
    </w:p>
    <w:p w14:paraId="250511E4" w14:textId="18A02796" w:rsidR="003700E1" w:rsidRDefault="00612C3F" w:rsidP="00612C3F">
      <w:pPr>
        <w:pStyle w:val="BodyText1"/>
        <w:rPr>
          <w:lang w:eastAsia="en-AU"/>
        </w:rPr>
      </w:pPr>
      <w:r>
        <w:rPr>
          <w:lang w:eastAsia="en-AU"/>
        </w:rPr>
        <w:t>As a way of moving forward</w:t>
      </w:r>
      <w:r w:rsidR="000A49E3">
        <w:rPr>
          <w:lang w:eastAsia="en-AU"/>
        </w:rPr>
        <w:t xml:space="preserve">, </w:t>
      </w:r>
      <w:r>
        <w:rPr>
          <w:lang w:eastAsia="en-AU"/>
        </w:rPr>
        <w:t>it was with great reluctance</w:t>
      </w:r>
      <w:r w:rsidR="000A49E3">
        <w:rPr>
          <w:lang w:eastAsia="en-AU"/>
        </w:rPr>
        <w:t xml:space="preserve">, </w:t>
      </w:r>
      <w:r>
        <w:rPr>
          <w:lang w:eastAsia="en-AU"/>
        </w:rPr>
        <w:t>the Committee resolved pursuant to Standing Order 239</w:t>
      </w:r>
      <w:r w:rsidR="000A49E3">
        <w:rPr>
          <w:rStyle w:val="FootnoteReference"/>
          <w:lang w:eastAsia="en-AU"/>
        </w:rPr>
        <w:footnoteReference w:id="20"/>
      </w:r>
      <w:r>
        <w:rPr>
          <w:lang w:eastAsia="en-AU"/>
        </w:rPr>
        <w:t xml:space="preserve"> to </w:t>
      </w:r>
      <w:r w:rsidR="009212D8">
        <w:rPr>
          <w:lang w:eastAsia="en-AU"/>
        </w:rPr>
        <w:t xml:space="preserve">order </w:t>
      </w:r>
      <w:r>
        <w:rPr>
          <w:lang w:eastAsia="en-AU"/>
        </w:rPr>
        <w:t>that it</w:t>
      </w:r>
      <w:r w:rsidR="000A49E3">
        <w:rPr>
          <w:lang w:eastAsia="en-AU"/>
        </w:rPr>
        <w:t xml:space="preserve"> </w:t>
      </w:r>
      <w:r>
        <w:rPr>
          <w:lang w:eastAsia="en-AU"/>
        </w:rPr>
        <w:t xml:space="preserve">be provided with </w:t>
      </w:r>
      <w:r w:rsidR="000A49E3">
        <w:rPr>
          <w:lang w:eastAsia="en-AU"/>
        </w:rPr>
        <w:t>the information it was seeking.</w:t>
      </w:r>
      <w:r w:rsidR="003700E1">
        <w:rPr>
          <w:lang w:eastAsia="en-AU"/>
        </w:rPr>
        <w:t xml:space="preserve">  </w:t>
      </w:r>
      <w:bookmarkStart w:id="81" w:name="_Hlk30007282"/>
      <w:bookmarkEnd w:id="71"/>
      <w:bookmarkEnd w:id="72"/>
      <w:r w:rsidRPr="00612C3F">
        <w:rPr>
          <w:lang w:eastAsia="en-AU"/>
        </w:rPr>
        <w:t xml:space="preserve">The </w:t>
      </w:r>
      <w:r w:rsidRPr="00612C3F">
        <w:rPr>
          <w:lang w:eastAsia="en-AU"/>
        </w:rPr>
        <w:lastRenderedPageBreak/>
        <w:t xml:space="preserve">Committee thanks </w:t>
      </w:r>
      <w:r w:rsidR="003700E1">
        <w:rPr>
          <w:lang w:eastAsia="en-AU"/>
        </w:rPr>
        <w:t xml:space="preserve">the Minister and </w:t>
      </w:r>
      <w:r w:rsidR="009425B1">
        <w:rPr>
          <w:lang w:eastAsia="en-AU"/>
        </w:rPr>
        <w:t>D</w:t>
      </w:r>
      <w:r w:rsidRPr="00612C3F">
        <w:rPr>
          <w:lang w:eastAsia="en-AU"/>
        </w:rPr>
        <w:t>irectorate officials for</w:t>
      </w:r>
      <w:r w:rsidR="003700E1">
        <w:rPr>
          <w:lang w:eastAsia="en-AU"/>
        </w:rPr>
        <w:t xml:space="preserve"> making this information available and for meeting with it </w:t>
      </w:r>
      <w:r w:rsidR="003700E1" w:rsidRPr="003700E1">
        <w:rPr>
          <w:i/>
          <w:lang w:eastAsia="en-AU"/>
        </w:rPr>
        <w:t>in-camera</w:t>
      </w:r>
      <w:r w:rsidR="009212D8" w:rsidRPr="000D6E41">
        <w:rPr>
          <w:rStyle w:val="FootnoteReference"/>
          <w:iCs/>
          <w:lang w:eastAsia="en-AU"/>
        </w:rPr>
        <w:footnoteReference w:id="21"/>
      </w:r>
      <w:r w:rsidR="003700E1">
        <w:rPr>
          <w:lang w:eastAsia="en-AU"/>
        </w:rPr>
        <w:t xml:space="preserve"> to discuss the information.</w:t>
      </w:r>
    </w:p>
    <w:p w14:paraId="5E9E8EC2" w14:textId="70D2265E" w:rsidR="00F412C4" w:rsidRDefault="00F412C4" w:rsidP="00F412C4">
      <w:pPr>
        <w:pStyle w:val="Headinglevel4"/>
        <w:rPr>
          <w:lang w:eastAsia="en-AU"/>
        </w:rPr>
      </w:pPr>
      <w:r>
        <w:rPr>
          <w:lang w:eastAsia="en-AU"/>
        </w:rPr>
        <w:t>R</w:t>
      </w:r>
      <w:r w:rsidRPr="00F412C4">
        <w:rPr>
          <w:lang w:eastAsia="en-AU"/>
        </w:rPr>
        <w:t>espect</w:t>
      </w:r>
      <w:r>
        <w:rPr>
          <w:lang w:eastAsia="en-AU"/>
        </w:rPr>
        <w:t>ing</w:t>
      </w:r>
      <w:r w:rsidRPr="00F412C4">
        <w:rPr>
          <w:lang w:eastAsia="en-AU"/>
        </w:rPr>
        <w:t xml:space="preserve"> a healthy upholding of expected norms</w:t>
      </w:r>
    </w:p>
    <w:p w14:paraId="19479BFC" w14:textId="4F9AF595" w:rsidR="00612C3F" w:rsidRPr="00612C3F" w:rsidRDefault="003700E1" w:rsidP="00612C3F">
      <w:pPr>
        <w:pStyle w:val="BodyText1"/>
        <w:rPr>
          <w:lang w:eastAsia="en-AU"/>
        </w:rPr>
      </w:pPr>
      <w:r>
        <w:rPr>
          <w:lang w:eastAsia="en-AU"/>
        </w:rPr>
        <w:t xml:space="preserve">Throughout its discussions with the Minister and </w:t>
      </w:r>
      <w:r w:rsidR="009212D8">
        <w:rPr>
          <w:lang w:eastAsia="en-AU"/>
        </w:rPr>
        <w:t>D</w:t>
      </w:r>
      <w:r>
        <w:rPr>
          <w:lang w:eastAsia="en-AU"/>
        </w:rPr>
        <w:t>irectorate officials</w:t>
      </w:r>
      <w:r w:rsidR="00F412C4">
        <w:rPr>
          <w:lang w:eastAsia="en-AU"/>
        </w:rPr>
        <w:t>, at all times,</w:t>
      </w:r>
      <w:r>
        <w:rPr>
          <w:lang w:eastAsia="en-AU"/>
        </w:rPr>
        <w:t xml:space="preserve"> </w:t>
      </w:r>
      <w:r w:rsidR="00612C3F" w:rsidRPr="00612C3F">
        <w:rPr>
          <w:lang w:eastAsia="en-AU"/>
        </w:rPr>
        <w:t>the Committee acknowledge</w:t>
      </w:r>
      <w:r w:rsidR="00537F34">
        <w:rPr>
          <w:lang w:eastAsia="en-AU"/>
        </w:rPr>
        <w:t>d</w:t>
      </w:r>
      <w:r w:rsidR="00612C3F" w:rsidRPr="00612C3F">
        <w:rPr>
          <w:lang w:eastAsia="en-AU"/>
        </w:rPr>
        <w:t xml:space="preserve"> that it </w:t>
      </w:r>
      <w:r w:rsidR="00537F34">
        <w:rPr>
          <w:lang w:eastAsia="en-AU"/>
        </w:rPr>
        <w:t xml:space="preserve">was </w:t>
      </w:r>
      <w:r w:rsidR="00612C3F" w:rsidRPr="00612C3F">
        <w:rPr>
          <w:lang w:eastAsia="en-AU"/>
        </w:rPr>
        <w:t xml:space="preserve">acutely aware of the need to tread carefully in its dealings with protected or sensitive information. </w:t>
      </w:r>
      <w:r w:rsidR="00537F34">
        <w:rPr>
          <w:lang w:eastAsia="en-AU"/>
        </w:rPr>
        <w:t xml:space="preserve"> Further, </w:t>
      </w:r>
      <w:r w:rsidR="00612C3F" w:rsidRPr="00612C3F">
        <w:rPr>
          <w:lang w:eastAsia="en-AU"/>
        </w:rPr>
        <w:t>the Committee gave an undertaking that it wishe</w:t>
      </w:r>
      <w:r w:rsidR="00537F34">
        <w:rPr>
          <w:lang w:eastAsia="en-AU"/>
        </w:rPr>
        <w:t>d</w:t>
      </w:r>
      <w:r w:rsidR="00612C3F" w:rsidRPr="00612C3F">
        <w:rPr>
          <w:lang w:eastAsia="en-AU"/>
        </w:rPr>
        <w:t xml:space="preserve"> to comply with the spirit of the </w:t>
      </w:r>
      <w:r w:rsidR="00537F34">
        <w:rPr>
          <w:lang w:eastAsia="en-AU"/>
        </w:rPr>
        <w:t xml:space="preserve">CYP </w:t>
      </w:r>
      <w:r w:rsidR="00612C3F" w:rsidRPr="00612C3F">
        <w:rPr>
          <w:lang w:eastAsia="en-AU"/>
        </w:rPr>
        <w:t xml:space="preserve">Act as it concerns maintaining the confidentiality of protected and sensitive information it receives.  </w:t>
      </w:r>
      <w:r w:rsidR="00537F34">
        <w:rPr>
          <w:lang w:eastAsia="en-AU"/>
        </w:rPr>
        <w:t>T</w:t>
      </w:r>
      <w:r w:rsidR="00612C3F" w:rsidRPr="00612C3F">
        <w:rPr>
          <w:lang w:eastAsia="en-AU"/>
        </w:rPr>
        <w:t>he Committee also gave an undertaking that it w</w:t>
      </w:r>
      <w:r w:rsidR="00537F34">
        <w:rPr>
          <w:lang w:eastAsia="en-AU"/>
        </w:rPr>
        <w:t xml:space="preserve">ould </w:t>
      </w:r>
      <w:r w:rsidR="00612C3F" w:rsidRPr="00612C3F">
        <w:rPr>
          <w:lang w:eastAsia="en-AU"/>
        </w:rPr>
        <w:t>ensure that the identity and privacy of persons involved in the matter w</w:t>
      </w:r>
      <w:r w:rsidR="00537F34">
        <w:rPr>
          <w:lang w:eastAsia="en-AU"/>
        </w:rPr>
        <w:t xml:space="preserve">ould be </w:t>
      </w:r>
      <w:r w:rsidR="00612C3F" w:rsidRPr="00612C3F">
        <w:rPr>
          <w:lang w:eastAsia="en-AU"/>
        </w:rPr>
        <w:t>protected.</w:t>
      </w:r>
    </w:p>
    <w:p w14:paraId="1D49CCAB" w14:textId="01B5C770" w:rsidR="000C53BF" w:rsidRDefault="00612C3F" w:rsidP="00612C3F">
      <w:pPr>
        <w:pStyle w:val="BodyText1"/>
      </w:pPr>
      <w:r w:rsidRPr="00612C3F">
        <w:rPr>
          <w:lang w:eastAsia="en-AU"/>
        </w:rPr>
        <w:t xml:space="preserve">The Committee </w:t>
      </w:r>
      <w:r w:rsidR="00F412C4">
        <w:rPr>
          <w:lang w:eastAsia="en-AU"/>
        </w:rPr>
        <w:t xml:space="preserve">is </w:t>
      </w:r>
      <w:r w:rsidRPr="00612C3F">
        <w:rPr>
          <w:lang w:eastAsia="en-AU"/>
        </w:rPr>
        <w:t>always cognisant of the need to act in the public interest, that at no time would it unduly wish to trample on the law and that it also wishes to respect a healthy upholding of expected norms.</w:t>
      </w:r>
    </w:p>
    <w:p w14:paraId="610F8425" w14:textId="5C172DF0" w:rsidR="00612C3F" w:rsidRDefault="00612C3F" w:rsidP="00612C3F">
      <w:pPr>
        <w:pStyle w:val="BodyText1"/>
      </w:pPr>
      <w:r w:rsidRPr="00612C3F">
        <w:t>The Committee is also cognisant of the requirement of the Assembly in referring the matter for inquiry and report that it ‘take evidence and hold documents in ways that will not allow for individual people to be identified without their express consent’.</w:t>
      </w:r>
      <w:r w:rsidR="00F412C4">
        <w:rPr>
          <w:rStyle w:val="FootnoteReference"/>
        </w:rPr>
        <w:footnoteReference w:id="22"/>
      </w:r>
    </w:p>
    <w:p w14:paraId="64EA9D6B" w14:textId="2B337340" w:rsidR="00E47D21" w:rsidRDefault="00080F68" w:rsidP="00E47D21">
      <w:pPr>
        <w:pStyle w:val="Headinglevel4"/>
      </w:pPr>
      <w:r>
        <w:t xml:space="preserve">Examination of extent to which </w:t>
      </w:r>
      <w:r w:rsidR="009212D8">
        <w:t xml:space="preserve">the </w:t>
      </w:r>
      <w:r>
        <w:t>specific case raises systemic issues</w:t>
      </w:r>
    </w:p>
    <w:p w14:paraId="7C916334" w14:textId="102BBD91" w:rsidR="00E47D21" w:rsidRDefault="00945F8D" w:rsidP="00E47D21">
      <w:pPr>
        <w:pStyle w:val="BodyText1"/>
      </w:pPr>
      <w:r>
        <w:t xml:space="preserve">As noted previously, the Committee was provided with the protected and sensitive information it was seeking together with an opportunity to discuss this information with the Minister and </w:t>
      </w:r>
      <w:r w:rsidR="009212D8">
        <w:t>D</w:t>
      </w:r>
      <w:r>
        <w:t>irectorate officials.</w:t>
      </w:r>
    </w:p>
    <w:p w14:paraId="24D3D844" w14:textId="5A39A462" w:rsidR="00080F68" w:rsidRDefault="00945F8D" w:rsidP="00612C3F">
      <w:pPr>
        <w:pStyle w:val="BodyText1"/>
      </w:pPr>
      <w:bookmarkStart w:id="82" w:name="_Hlk48310239"/>
      <w:r>
        <w:t xml:space="preserve">After reviewing and considering this information, the Committee is of the view that </w:t>
      </w:r>
      <w:r w:rsidR="009212D8">
        <w:t>the</w:t>
      </w:r>
      <w:r>
        <w:t xml:space="preserve"> interim report sets out a detailed and thorough examination of the </w:t>
      </w:r>
      <w:r w:rsidRPr="00945F8D">
        <w:t>extent to which the specific case might raise systemic issues</w:t>
      </w:r>
      <w:r>
        <w:t xml:space="preserve">.  In considering the systemic issues set out in its interim report, the Committee emphasises </w:t>
      </w:r>
      <w:r w:rsidR="00931348" w:rsidRPr="0099097C">
        <w:t xml:space="preserve">three concepts related to the implementation and administration of the legislative framework for protecting and safeguarding children.  These are: (i) lack of </w:t>
      </w:r>
      <w:r w:rsidR="00931348" w:rsidRPr="0099097C">
        <w:rPr>
          <w:i/>
          <w:iCs/>
        </w:rPr>
        <w:t>res</w:t>
      </w:r>
      <w:r w:rsidR="007E2EA3">
        <w:rPr>
          <w:i/>
          <w:iCs/>
        </w:rPr>
        <w:t> </w:t>
      </w:r>
      <w:r w:rsidR="00931348" w:rsidRPr="0099097C">
        <w:rPr>
          <w:i/>
          <w:iCs/>
        </w:rPr>
        <w:t>judicata</w:t>
      </w:r>
      <w:r w:rsidR="00931348" w:rsidRPr="0099097C">
        <w:t xml:space="preserve"> or </w:t>
      </w:r>
      <w:r w:rsidR="00931348" w:rsidRPr="0099097C">
        <w:rPr>
          <w:i/>
          <w:iCs/>
        </w:rPr>
        <w:t>issue estoppel</w:t>
      </w:r>
      <w:r w:rsidR="00931348" w:rsidRPr="0099097C">
        <w:t xml:space="preserve"> in care proceedings and </w:t>
      </w:r>
      <w:bookmarkStart w:id="83" w:name="_Hlk48722512"/>
      <w:r w:rsidR="00931348" w:rsidRPr="0099097C">
        <w:t>decisions to recommence care proceedings</w:t>
      </w:r>
      <w:bookmarkEnd w:id="83"/>
      <w:r w:rsidR="00931348" w:rsidRPr="0099097C">
        <w:t xml:space="preserve">; (ii) </w:t>
      </w:r>
      <w:r>
        <w:t xml:space="preserve">the concept of cumulative harm </w:t>
      </w:r>
      <w:r w:rsidR="00080F68">
        <w:t>in child protection</w:t>
      </w:r>
      <w:r w:rsidR="00931348">
        <w:t>;</w:t>
      </w:r>
      <w:r w:rsidR="00931348" w:rsidRPr="00931348">
        <w:t xml:space="preserve"> </w:t>
      </w:r>
      <w:r w:rsidR="00931348" w:rsidRPr="0099097C">
        <w:t xml:space="preserve">and (iii) </w:t>
      </w:r>
      <w:bookmarkStart w:id="84" w:name="_Hlk48722538"/>
      <w:bookmarkStart w:id="85" w:name="_Hlk48908748"/>
      <w:r w:rsidR="00931348" w:rsidRPr="0099097C">
        <w:t>reports to the Public Advocate</w:t>
      </w:r>
      <w:bookmarkEnd w:id="84"/>
      <w:r w:rsidR="00E11C5E">
        <w:t xml:space="preserve"> under section 507 of the CYP Act</w:t>
      </w:r>
      <w:r w:rsidR="00080F68">
        <w:t>.</w:t>
      </w:r>
    </w:p>
    <w:bookmarkEnd w:id="85"/>
    <w:p w14:paraId="56405FFD" w14:textId="5DF5285B" w:rsidR="00931348" w:rsidRDefault="00931348" w:rsidP="00741B8D">
      <w:pPr>
        <w:pStyle w:val="Headinglevel5"/>
      </w:pPr>
      <w:r>
        <w:lastRenderedPageBreak/>
        <w:t>D</w:t>
      </w:r>
      <w:r w:rsidRPr="0099097C">
        <w:t>ecision</w:t>
      </w:r>
      <w:r w:rsidR="00824DC5">
        <w:t>s</w:t>
      </w:r>
      <w:r w:rsidRPr="0099097C">
        <w:t xml:space="preserve"> to recommence care proceedings</w:t>
      </w:r>
    </w:p>
    <w:p w14:paraId="18F99310" w14:textId="2469CCA7" w:rsidR="00F854B8" w:rsidRDefault="00F854B8" w:rsidP="00F854B8">
      <w:pPr>
        <w:pStyle w:val="BodyText1"/>
      </w:pPr>
      <w:r>
        <w:t xml:space="preserve">As </w:t>
      </w:r>
      <w:r w:rsidR="00824DC5">
        <w:t xml:space="preserve">set out </w:t>
      </w:r>
      <w:r>
        <w:t xml:space="preserve">in the interim report, </w:t>
      </w:r>
      <w:bookmarkStart w:id="86" w:name="_Hlk35526439"/>
      <w:r>
        <w:t xml:space="preserve">it has been a long-standing practice that the legal principles of </w:t>
      </w:r>
      <w:r w:rsidRPr="0048162D">
        <w:rPr>
          <w:i/>
          <w:iCs/>
        </w:rPr>
        <w:t>res judicata</w:t>
      </w:r>
      <w:r w:rsidRPr="00CC62E7">
        <w:t xml:space="preserve"> or </w:t>
      </w:r>
      <w:r w:rsidRPr="0048162D">
        <w:rPr>
          <w:i/>
          <w:iCs/>
        </w:rPr>
        <w:t>issue estoppel</w:t>
      </w:r>
      <w:r w:rsidRPr="00CC62E7">
        <w:t xml:space="preserve"> </w:t>
      </w:r>
      <w:r>
        <w:t>do not apply in proceedings relating to the welfare and protection of children.  Th</w:t>
      </w:r>
      <w:r w:rsidR="007452C4">
        <w:t xml:space="preserve">e Committee </w:t>
      </w:r>
      <w:r w:rsidR="00824DC5">
        <w:t xml:space="preserve">acknowledges </w:t>
      </w:r>
      <w:r w:rsidR="007452C4">
        <w:t>that th</w:t>
      </w:r>
      <w:r>
        <w:t xml:space="preserve">is </w:t>
      </w:r>
      <w:r w:rsidR="00E11C5E">
        <w:t>practice</w:t>
      </w:r>
      <w:r>
        <w:t xml:space="preserve"> equally affects parents, child representatives, the Director-General and any other party to a proceeding.  It also means that as this practice rests on general principles of law—its application is not discretionary, in that it is not free for either CYPS, any other party to proceedings, or the Court to decide whether it will or w</w:t>
      </w:r>
      <w:r w:rsidR="00824DC5">
        <w:t xml:space="preserve">ill not </w:t>
      </w:r>
      <w:r>
        <w:t>apply.</w:t>
      </w:r>
    </w:p>
    <w:bookmarkEnd w:id="86"/>
    <w:p w14:paraId="398B8BE7" w14:textId="77777777" w:rsidR="00F854B8" w:rsidRDefault="00F854B8" w:rsidP="00F854B8">
      <w:pPr>
        <w:pStyle w:val="BodyText1"/>
      </w:pPr>
      <w:r>
        <w:t>The non-application of these two legal principles to care proceedings was confirmed by Refshauge, J. in his written judgement of 21 December 2017:</w:t>
      </w:r>
    </w:p>
    <w:p w14:paraId="3982F483" w14:textId="77777777" w:rsidR="00F854B8" w:rsidRDefault="00F854B8" w:rsidP="00F854B8">
      <w:pPr>
        <w:pStyle w:val="Quote"/>
      </w:pPr>
      <w:r w:rsidRPr="00840E67">
        <w:t xml:space="preserve">There is, in care proceedings, no </w:t>
      </w:r>
      <w:r w:rsidRPr="00840E67">
        <w:rPr>
          <w:i/>
        </w:rPr>
        <w:t xml:space="preserve">res judicata </w:t>
      </w:r>
      <w:r w:rsidRPr="00840E67">
        <w:t xml:space="preserve">nor </w:t>
      </w:r>
      <w:r w:rsidRPr="00EC1D19">
        <w:rPr>
          <w:i/>
          <w:iCs w:val="0"/>
        </w:rPr>
        <w:t>issue estoppel</w:t>
      </w:r>
      <w:r w:rsidRPr="00840E67">
        <w:t xml:space="preserve">. See </w:t>
      </w:r>
      <w:r w:rsidRPr="00840E67">
        <w:rPr>
          <w:i/>
        </w:rPr>
        <w:t xml:space="preserve">In the Matter of A (A Child); Semple v Heijer </w:t>
      </w:r>
      <w:r w:rsidRPr="00840E67">
        <w:t>(Unreported, Full Court of Supreme Court of Western Australia, Malcolm CJ, Nicholson and Ipp JJ, 2167 of 1992, 22 December 1992) at 32.</w:t>
      </w:r>
      <w:r>
        <w:rPr>
          <w:rStyle w:val="FootnoteReference"/>
        </w:rPr>
        <w:footnoteReference w:id="23"/>
      </w:r>
    </w:p>
    <w:p w14:paraId="6FEB0607" w14:textId="77777777" w:rsidR="00F854B8" w:rsidRDefault="00F854B8" w:rsidP="00F854B8">
      <w:pPr>
        <w:pStyle w:val="BodyText1"/>
      </w:pPr>
      <w:bookmarkStart w:id="88" w:name="_Hlk36469750"/>
      <w:r>
        <w:t>The reason why these principles do not apply to care proceedings is that:</w:t>
      </w:r>
    </w:p>
    <w:p w14:paraId="26531C7A" w14:textId="77777777" w:rsidR="00F854B8" w:rsidRPr="00AD0359" w:rsidRDefault="00F854B8" w:rsidP="00F854B8">
      <w:pPr>
        <w:pStyle w:val="Quote"/>
      </w:pPr>
      <w:bookmarkStart w:id="89" w:name="_Hlk36469594"/>
      <w:bookmarkEnd w:id="88"/>
      <w:r w:rsidRPr="00AD0359">
        <w:t xml:space="preserve">It has been well established that the primary reason for excluding the operation of these rules is that </w:t>
      </w:r>
      <w:bookmarkStart w:id="90" w:name="_Hlk48725787"/>
      <w:r w:rsidRPr="00AD0359">
        <w:t>the welfare of the child is the paramount consideration</w:t>
      </w:r>
      <w:bookmarkEnd w:id="90"/>
      <w:r w:rsidRPr="00AD0359">
        <w:t>, and that all available evidence must be considered to ensure the child’s best interests are served. It is also recognised that the Court hearing the matter maintains the discretion to decide how it conducts its inquiries and can exercise its own judgment as to what weight to place on any evidence put before it.</w:t>
      </w:r>
      <w:r w:rsidRPr="00AD0359">
        <w:rPr>
          <w:rStyle w:val="FootnoteReference"/>
        </w:rPr>
        <w:footnoteReference w:id="24"/>
      </w:r>
    </w:p>
    <w:p w14:paraId="20114377" w14:textId="77777777" w:rsidR="00F854B8" w:rsidRDefault="00F854B8" w:rsidP="00F854B8">
      <w:pPr>
        <w:pStyle w:val="Quote"/>
      </w:pPr>
      <w:bookmarkStart w:id="93" w:name="_Hlk36469618"/>
      <w:bookmarkEnd w:id="89"/>
      <w:r w:rsidRPr="00AD0359">
        <w:t>In examining and determining what is in a child’s best interests, it is vital that all relevant information is made available to the decision-maker, without the complexities of evidential rules and restrictions.</w:t>
      </w:r>
      <w:r w:rsidRPr="00AD0359">
        <w:rPr>
          <w:rStyle w:val="FootnoteReference"/>
        </w:rPr>
        <w:footnoteReference w:id="25"/>
      </w:r>
    </w:p>
    <w:bookmarkEnd w:id="93"/>
    <w:p w14:paraId="2D781981" w14:textId="470EA57C" w:rsidR="007452C4" w:rsidRDefault="007452C4" w:rsidP="00AD6E66">
      <w:pPr>
        <w:pStyle w:val="BodyText1"/>
      </w:pPr>
      <w:r>
        <w:t>The Committee notes that the appeals in both the Supreme Court and C</w:t>
      </w:r>
      <w:r w:rsidR="009425B1">
        <w:t xml:space="preserve"> of </w:t>
      </w:r>
      <w:r>
        <w:t>A were in the main based on evidence presented in the hearing in the Childrens Court in June 2014.  Given the delay in the decision handed down in the Supreme Court appeal hearings, all parties in the C</w:t>
      </w:r>
      <w:r w:rsidR="00E11C5E">
        <w:t> </w:t>
      </w:r>
      <w:r>
        <w:t>o</w:t>
      </w:r>
      <w:r w:rsidR="009425B1">
        <w:t>f</w:t>
      </w:r>
      <w:r w:rsidR="00E11C5E">
        <w:t> </w:t>
      </w:r>
      <w:r>
        <w:t xml:space="preserve">A were required to present arguments which relied on </w:t>
      </w:r>
      <w:r w:rsidR="00E11C5E">
        <w:t xml:space="preserve">the 2014 </w:t>
      </w:r>
      <w:r>
        <w:t xml:space="preserve">evidence that was </w:t>
      </w:r>
      <w:r w:rsidR="00E11C5E">
        <w:t>not current</w:t>
      </w:r>
      <w:r>
        <w:t>.</w:t>
      </w:r>
      <w:r w:rsidR="00AD3580">
        <w:t xml:space="preserve">  </w:t>
      </w:r>
      <w:r>
        <w:t>As a consequence, this meant that all parties were limited in providing the most relevant information concerning the current and future best interests of the children for the judicial decision-makers.</w:t>
      </w:r>
    </w:p>
    <w:p w14:paraId="63688BC9" w14:textId="26886F6D" w:rsidR="00824DC5" w:rsidRDefault="007452C4" w:rsidP="00824DC5">
      <w:pPr>
        <w:pStyle w:val="BodyText1"/>
      </w:pPr>
      <w:r>
        <w:lastRenderedPageBreak/>
        <w:t xml:space="preserve">The </w:t>
      </w:r>
      <w:r w:rsidR="00824DC5">
        <w:t xml:space="preserve">Committee further notes that the </w:t>
      </w:r>
      <w:r>
        <w:t>C</w:t>
      </w:r>
      <w:r w:rsidR="009425B1">
        <w:t xml:space="preserve"> </w:t>
      </w:r>
      <w:r>
        <w:t>o</w:t>
      </w:r>
      <w:r w:rsidR="009425B1">
        <w:t xml:space="preserve">f </w:t>
      </w:r>
      <w:r>
        <w:t>A acknowledged in its written decision on 28</w:t>
      </w:r>
      <w:r w:rsidR="00824DC5">
        <w:t> </w:t>
      </w:r>
      <w:r>
        <w:t>August</w:t>
      </w:r>
      <w:r w:rsidR="007E2EA3">
        <w:t> </w:t>
      </w:r>
      <w:r>
        <w:t>2018 that the Director-General had a right to commence fresh proceedings in the Childrens Court and that this was an option being considered by the Director-General.</w:t>
      </w:r>
      <w:r>
        <w:rPr>
          <w:rStyle w:val="FootnoteReference"/>
        </w:rPr>
        <w:footnoteReference w:id="26"/>
      </w:r>
      <w:r w:rsidR="00824DC5">
        <w:t xml:space="preserve">  S</w:t>
      </w:r>
      <w:r>
        <w:t>ubsequent to the C</w:t>
      </w:r>
      <w:r w:rsidR="009425B1">
        <w:t xml:space="preserve"> </w:t>
      </w:r>
      <w:r>
        <w:t>o</w:t>
      </w:r>
      <w:r w:rsidR="009425B1">
        <w:t xml:space="preserve">f </w:t>
      </w:r>
      <w:r>
        <w:t>A judgement the D</w:t>
      </w:r>
      <w:r w:rsidR="00824DC5">
        <w:t xml:space="preserve">irector-General </w:t>
      </w:r>
      <w:r>
        <w:t>did launch fresh proceedings.</w:t>
      </w:r>
    </w:p>
    <w:p w14:paraId="29968F47" w14:textId="217633E5" w:rsidR="00D04F4D" w:rsidRDefault="00D04F4D" w:rsidP="00D04F4D">
      <w:pPr>
        <w:pStyle w:val="BodyText1"/>
      </w:pPr>
      <w:r>
        <w:t>The Committee acknowledges that the practice of non-application of the legal principles</w:t>
      </w:r>
      <w:r w:rsidRPr="009D3D2D">
        <w:t xml:space="preserve"> of </w:t>
      </w:r>
      <w:r w:rsidRPr="00D04F4D">
        <w:rPr>
          <w:i/>
          <w:iCs/>
        </w:rPr>
        <w:t>res</w:t>
      </w:r>
      <w:r w:rsidR="009425B1">
        <w:rPr>
          <w:i/>
          <w:iCs/>
        </w:rPr>
        <w:t> </w:t>
      </w:r>
      <w:r w:rsidRPr="00D04F4D">
        <w:rPr>
          <w:i/>
          <w:iCs/>
        </w:rPr>
        <w:t>judicata</w:t>
      </w:r>
      <w:r w:rsidRPr="009D3D2D">
        <w:t xml:space="preserve"> or </w:t>
      </w:r>
      <w:r w:rsidRPr="00D04F4D">
        <w:rPr>
          <w:i/>
          <w:iCs/>
        </w:rPr>
        <w:t>issue estoppel</w:t>
      </w:r>
      <w:r w:rsidRPr="009D3D2D">
        <w:t xml:space="preserve"> </w:t>
      </w:r>
      <w:r>
        <w:t>to care and protection matters recognises that family circumstances are dynamic—in that, a finding that a child is in need of care and protection is a decision applying a statutory test at a specific time.</w:t>
      </w:r>
    </w:p>
    <w:p w14:paraId="2FAACDA1" w14:textId="404E7CFE" w:rsidR="00D04F4D" w:rsidRDefault="00D04F4D" w:rsidP="00824DC5">
      <w:pPr>
        <w:pStyle w:val="BodyText1"/>
      </w:pPr>
      <w:r>
        <w:t xml:space="preserve">The Committee fully understands the </w:t>
      </w:r>
      <w:r w:rsidR="00AD3580">
        <w:t xml:space="preserve">procedural and practice foundation </w:t>
      </w:r>
      <w:r>
        <w:t xml:space="preserve">on which fresh proceedings in the jurisdiction of the Childrens Court may be recommenced.  </w:t>
      </w:r>
      <w:r w:rsidR="00AD3580">
        <w:t xml:space="preserve">The Committee, however, is firmly of the view that where the Director-General </w:t>
      </w:r>
      <w:bookmarkStart w:id="96" w:name="_Hlk48726554"/>
      <w:r w:rsidR="00AD3580">
        <w:t xml:space="preserve">may consider commencement of fresh proceedings in the Childrens Court that any such decision must always be on the basis of new evidence.   </w:t>
      </w:r>
    </w:p>
    <w:p w14:paraId="64F96DF8" w14:textId="2C0D816C" w:rsidR="00D04F4D" w:rsidRDefault="00D04F4D" w:rsidP="00AD3580">
      <w:pPr>
        <w:pStyle w:val="Recommendation"/>
      </w:pPr>
      <w:bookmarkStart w:id="97" w:name="_Toc49345618"/>
      <w:bookmarkEnd w:id="96"/>
      <w:bookmarkEnd w:id="97"/>
    </w:p>
    <w:p w14:paraId="70C5B2F7" w14:textId="63BECCFA" w:rsidR="00AD3580" w:rsidRPr="00AD3580" w:rsidRDefault="00AD3580" w:rsidP="00AD3580">
      <w:pPr>
        <w:pStyle w:val="RecommendationText"/>
      </w:pPr>
      <w:bookmarkStart w:id="98" w:name="_Toc49345619"/>
      <w:r>
        <w:t xml:space="preserve">The Committee recommends that where the Director-General pursuant to the </w:t>
      </w:r>
      <w:r w:rsidRPr="0011009F">
        <w:rPr>
          <w:i/>
          <w:iCs/>
        </w:rPr>
        <w:t>Children and Young People Act 2008</w:t>
      </w:r>
      <w:r>
        <w:t xml:space="preserve"> </w:t>
      </w:r>
      <w:r w:rsidRPr="00AD3580">
        <w:t xml:space="preserve">may consider </w:t>
      </w:r>
      <w:r>
        <w:t xml:space="preserve">launching </w:t>
      </w:r>
      <w:r w:rsidRPr="00AD3580">
        <w:t xml:space="preserve">fresh proceedings in the </w:t>
      </w:r>
      <w:r>
        <w:t xml:space="preserve">ACT </w:t>
      </w:r>
      <w:r w:rsidRPr="00AD3580">
        <w:t xml:space="preserve">Childrens Court that any such decision must always be on the </w:t>
      </w:r>
      <w:r>
        <w:t xml:space="preserve">grounds </w:t>
      </w:r>
      <w:r w:rsidRPr="00AD3580">
        <w:t xml:space="preserve">of </w:t>
      </w:r>
      <w:r>
        <w:t xml:space="preserve">presenting </w:t>
      </w:r>
      <w:r w:rsidRPr="00AD3580">
        <w:t>new evidence.</w:t>
      </w:r>
      <w:bookmarkEnd w:id="98"/>
      <w:r w:rsidRPr="00AD3580">
        <w:t xml:space="preserve">   </w:t>
      </w:r>
    </w:p>
    <w:p w14:paraId="4EAFCA65" w14:textId="6D544DFA" w:rsidR="00741B8D" w:rsidRDefault="00741B8D" w:rsidP="0011009F">
      <w:pPr>
        <w:pStyle w:val="Headinglevel5"/>
      </w:pPr>
      <w:r>
        <w:t>Cumulative harm</w:t>
      </w:r>
    </w:p>
    <w:bookmarkEnd w:id="82"/>
    <w:p w14:paraId="6E5758E1" w14:textId="4BCD574C" w:rsidR="00305EE9" w:rsidRDefault="00305EE9" w:rsidP="00505ABD">
      <w:pPr>
        <w:pStyle w:val="BodyText1"/>
      </w:pPr>
      <w:r>
        <w:t xml:space="preserve">The Committee </w:t>
      </w:r>
      <w:r w:rsidRPr="00305EE9">
        <w:t>restates below the comments it has made previously on defining, identifying, assessing and understanding th</w:t>
      </w:r>
      <w:r w:rsidR="00F854B8">
        <w:t>e</w:t>
      </w:r>
      <w:r w:rsidRPr="00305EE9">
        <w:t xml:space="preserve"> critical systemic concept</w:t>
      </w:r>
      <w:r w:rsidR="00F854B8">
        <w:t xml:space="preserve"> of cumulative harm.</w:t>
      </w:r>
    </w:p>
    <w:p w14:paraId="1926E75F" w14:textId="3F338768" w:rsidR="00080F68" w:rsidRDefault="00080F68" w:rsidP="00505ABD">
      <w:pPr>
        <w:pStyle w:val="BodyText1"/>
      </w:pPr>
      <w:r w:rsidRPr="0098389A">
        <w:t xml:space="preserve">How cumulative harm is assessed across the care and protection system is an important systemic issue.  In considering the specific case subject to this inquiry, it appears that different judicial officers took different approaches concerning assessment of cumulative harm.  </w:t>
      </w:r>
      <w:bookmarkStart w:id="99" w:name="_Hlk35338123"/>
      <w:r w:rsidRPr="0098389A">
        <w:t>How</w:t>
      </w:r>
      <w:r>
        <w:t xml:space="preserve"> the construct of cumulative harm is understood and defined in child protection legislation, policy and practice in the ACT is important.  Further, th</w:t>
      </w:r>
      <w:bookmarkEnd w:id="99"/>
      <w:r>
        <w:t>e concept of cumulative harm is not defined in the CYP Act.</w:t>
      </w:r>
      <w:r w:rsidR="0098389A">
        <w:t xml:space="preserve">  The Committee notes the Government’s response to its recommendation that the concept of cumulative harm should be expressly defined in the CYP</w:t>
      </w:r>
      <w:r w:rsidR="007E2EA3">
        <w:t> </w:t>
      </w:r>
      <w:r w:rsidR="0098389A">
        <w:t>Act and related care and protection policies and practices</w:t>
      </w:r>
      <w:r w:rsidR="0098389A">
        <w:rPr>
          <w:rStyle w:val="FootnoteReference"/>
        </w:rPr>
        <w:footnoteReference w:id="27"/>
      </w:r>
      <w:r w:rsidR="0098389A">
        <w:t xml:space="preserve"> as follows:</w:t>
      </w:r>
    </w:p>
    <w:p w14:paraId="58178031" w14:textId="77777777" w:rsidR="00505ABD" w:rsidRDefault="00505ABD" w:rsidP="00505ABD">
      <w:pPr>
        <w:pStyle w:val="Quote"/>
      </w:pPr>
      <w:r>
        <w:lastRenderedPageBreak/>
        <w:t xml:space="preserve">The </w:t>
      </w:r>
      <w:r w:rsidRPr="00505ABD">
        <w:rPr>
          <w:i/>
        </w:rPr>
        <w:t>Children and Young People Act 2008</w:t>
      </w:r>
      <w:r>
        <w:t xml:space="preserve"> (CYP Act) refers to cumulative harm in section 341(2), where significant harm is defined as including: ‘multiple instances of harm that together make up significant harm’.</w:t>
      </w:r>
    </w:p>
    <w:p w14:paraId="6B6DDE0C" w14:textId="050D882B" w:rsidR="0098389A" w:rsidRPr="00505ABD" w:rsidRDefault="00505ABD" w:rsidP="00505ABD">
      <w:pPr>
        <w:pStyle w:val="Quote"/>
      </w:pPr>
      <w:r>
        <w:t>As the CYP Act has now been in operation for 12 years and has been subject to a series of amendments during this time, consideration will be given to ensuring the Act is contemporaneous in its response to cumulative harm and other forms of abuse and neglect. The Government will consider potential amendments to the CYP Act when a relevant CYP Amendment Bill is next developed.</w:t>
      </w:r>
      <w:r>
        <w:rPr>
          <w:rStyle w:val="FootnoteReference"/>
        </w:rPr>
        <w:footnoteReference w:id="28"/>
      </w:r>
    </w:p>
    <w:p w14:paraId="0486EF86" w14:textId="50905D3B" w:rsidR="00080F68" w:rsidRPr="00505ABD" w:rsidRDefault="00080F68" w:rsidP="00505ABD">
      <w:pPr>
        <w:pStyle w:val="BodyText1"/>
      </w:pPr>
      <w:r w:rsidRPr="00505ABD">
        <w:t>The Committee is of the view that cumulative harm of adverse childhood experiences is a significant consideration in child protection.  Further</w:t>
      </w:r>
      <w:r w:rsidR="00604B34" w:rsidRPr="00505ABD">
        <w:t>,</w:t>
      </w:r>
      <w:r w:rsidRPr="00505ABD">
        <w:t xml:space="preserve"> it can have far reaching consequences for the development and well-being of children which can extend into adult life.</w:t>
      </w:r>
    </w:p>
    <w:p w14:paraId="479F8A26" w14:textId="3395ABA0" w:rsidR="00080F68" w:rsidRPr="00505ABD" w:rsidRDefault="00080F68" w:rsidP="00505ABD">
      <w:pPr>
        <w:pStyle w:val="BodyText1"/>
      </w:pPr>
      <w:r w:rsidRPr="00505ABD">
        <w:t>The Committee notes recent research</w:t>
      </w:r>
      <w:r w:rsidRPr="00505ABD">
        <w:rPr>
          <w:rStyle w:val="FootnoteReference"/>
        </w:rPr>
        <w:footnoteReference w:id="29"/>
      </w:r>
      <w:r w:rsidRPr="00505ABD">
        <w:t xml:space="preserve"> on cumulative harm in the child protection system in Australia that explored: (i) how cumulative harm to children was identified, assessed, and ultimately incorporated into child protection and legal structures; and (ii) what were the most effective responses to cumulative harm in child protection practice.  This research found that although the construct of cumulative harm is increasingly incorporated into child protection practice and legislation, in practice it remains </w:t>
      </w:r>
      <w:r w:rsidR="000D6E41" w:rsidRPr="00505ABD">
        <w:t>crisis driven</w:t>
      </w:r>
      <w:r w:rsidRPr="00505ABD">
        <w:t>.  The Committee further notes this research also found that ‘there is negligible research on what constitutes an effective response to cases involving cumulative harm’.</w:t>
      </w:r>
    </w:p>
    <w:p w14:paraId="4E839C8F" w14:textId="54B72E7D" w:rsidR="00080F68" w:rsidRPr="00505ABD" w:rsidRDefault="00080F68" w:rsidP="00505ABD">
      <w:pPr>
        <w:pStyle w:val="BodyText1"/>
      </w:pPr>
      <w:r w:rsidRPr="00505ABD">
        <w:t>The Committee also notes other research which explored the prevalence of cumulative harm as a subtle and pervasive harm type and found that it was often dismissed or ignored in child protection assessment and reporting practices.</w:t>
      </w:r>
      <w:r w:rsidRPr="00505ABD">
        <w:rPr>
          <w:rStyle w:val="FootnoteReference"/>
        </w:rPr>
        <w:footnoteReference w:id="30"/>
      </w:r>
    </w:p>
    <w:p w14:paraId="2A1A021A" w14:textId="575F6017" w:rsidR="00080F68" w:rsidRDefault="00080F68" w:rsidP="00505ABD">
      <w:pPr>
        <w:pStyle w:val="BodyText1"/>
      </w:pPr>
      <w:r w:rsidRPr="00505ABD">
        <w:t>The Committee considers it would be beneficial to</w:t>
      </w:r>
      <w:r w:rsidR="001B6601" w:rsidRPr="00505ABD">
        <w:t>:</w:t>
      </w:r>
      <w:r w:rsidRPr="00505ABD">
        <w:t xml:space="preserve"> (i) expressly define the concept of cumulative harm in child protection legislation, policy and practice in the ACT; (ii) prioritise prevention and early intervention as responses to reducing the cumulative impact of adverse childhood experiences; and (iii) </w:t>
      </w:r>
      <w:bookmarkStart w:id="100" w:name="_Hlk35528517"/>
      <w:r w:rsidRPr="00505ABD">
        <w:t>that current gaps in the legislative response to cumulative harm identification and intervention should be identified and addressed.</w:t>
      </w:r>
    </w:p>
    <w:p w14:paraId="00F62B99" w14:textId="0E295FC5" w:rsidR="00931348" w:rsidRDefault="00931348" w:rsidP="0011009F">
      <w:pPr>
        <w:pStyle w:val="Headinglevel5"/>
      </w:pPr>
      <w:r>
        <w:lastRenderedPageBreak/>
        <w:t>S</w:t>
      </w:r>
      <w:r w:rsidRPr="0099097C">
        <w:t xml:space="preserve">ection 507 </w:t>
      </w:r>
      <w:r w:rsidR="007E3E02">
        <w:t xml:space="preserve">notification </w:t>
      </w:r>
      <w:r w:rsidRPr="0099097C">
        <w:t>reports to the Public Advocate</w:t>
      </w:r>
    </w:p>
    <w:p w14:paraId="42369C87" w14:textId="2D4BEF1D" w:rsidR="000E5897" w:rsidRPr="0011009F" w:rsidRDefault="001F4DD7" w:rsidP="000E5897">
      <w:pPr>
        <w:pStyle w:val="BodyText1"/>
      </w:pPr>
      <w:r>
        <w:t>Matters related to c</w:t>
      </w:r>
      <w:r w:rsidR="00730554">
        <w:t>ompliance</w:t>
      </w:r>
      <w:r w:rsidR="000C0204">
        <w:t xml:space="preserve">—including </w:t>
      </w:r>
      <w:r w:rsidR="00730554">
        <w:t xml:space="preserve">timeliness and </w:t>
      </w:r>
      <w:r w:rsidR="000C0204">
        <w:t>completeness—</w:t>
      </w:r>
      <w:r w:rsidR="00730554">
        <w:t>with regard to the provision of section 507</w:t>
      </w:r>
      <w:r w:rsidR="00E11C5E">
        <w:rPr>
          <w:rStyle w:val="FootnoteReference"/>
        </w:rPr>
        <w:footnoteReference w:id="31"/>
      </w:r>
      <w:r w:rsidR="00730554">
        <w:t xml:space="preserve"> </w:t>
      </w:r>
      <w:r w:rsidR="007E3E02">
        <w:t xml:space="preserve">notification </w:t>
      </w:r>
      <w:r w:rsidR="00730554">
        <w:t>reports to the Public Advocate ha</w:t>
      </w:r>
      <w:r w:rsidR="00E11C5E">
        <w:t>ve</w:t>
      </w:r>
      <w:r w:rsidR="00730554">
        <w:t xml:space="preserve"> been an ongoing </w:t>
      </w:r>
      <w:r w:rsidR="000C0204">
        <w:t xml:space="preserve">area </w:t>
      </w:r>
      <w:r>
        <w:t>of attention in the care and protection system.</w:t>
      </w:r>
      <w:r w:rsidR="000E5897" w:rsidRPr="000E5897">
        <w:rPr>
          <w:rFonts w:asciiTheme="minorHAnsi" w:eastAsiaTheme="minorHAnsi" w:hAnsiTheme="minorHAnsi" w:cstheme="minorBidi"/>
          <w:szCs w:val="22"/>
        </w:rPr>
        <w:t xml:space="preserve"> </w:t>
      </w:r>
    </w:p>
    <w:p w14:paraId="12AEF144" w14:textId="13819ECF" w:rsidR="00161FE9" w:rsidRDefault="00DA67CD" w:rsidP="000E5897">
      <w:pPr>
        <w:pStyle w:val="BodyText1"/>
      </w:pPr>
      <w:r>
        <w:t>T</w:t>
      </w:r>
      <w:r w:rsidRPr="00DA67CD">
        <w:t>he Public Advocate</w:t>
      </w:r>
      <w:r>
        <w:t xml:space="preserve"> has an important function under the CYP Act to</w:t>
      </w:r>
      <w:r w:rsidRPr="00DA67CD">
        <w:t xml:space="preserve"> review the management of cases under section 507 of the </w:t>
      </w:r>
      <w:r w:rsidRPr="007E2EA3">
        <w:t>C</w:t>
      </w:r>
      <w:r w:rsidR="000C0204" w:rsidRPr="007E2EA3">
        <w:t>YP Act</w:t>
      </w:r>
      <w:r w:rsidRPr="00DA67CD">
        <w:t>.  Section 507 reports</w:t>
      </w:r>
      <w:r w:rsidR="00161FE9">
        <w:t>:</w:t>
      </w:r>
    </w:p>
    <w:p w14:paraId="4CF7BA76" w14:textId="46329433" w:rsidR="00DA67CD" w:rsidRPr="0011009F" w:rsidRDefault="00DA67CD" w:rsidP="0011009F">
      <w:pPr>
        <w:pStyle w:val="Quote"/>
        <w:rPr>
          <w:rFonts w:cs="Times New Roman"/>
        </w:rPr>
      </w:pPr>
      <w:r w:rsidRPr="00DA67CD">
        <w:t xml:space="preserve"> </w:t>
      </w:r>
      <w:r w:rsidR="00161FE9">
        <w:t>…</w:t>
      </w:r>
      <w:r w:rsidRPr="00DA67CD">
        <w:t>relate to children in the care of the Director General and are required if there is a Concern Report on a child or young person already in the care of the Director General.  There can be several reports about the same incident and several reports can relate to the same child or young person.</w:t>
      </w:r>
      <w:r w:rsidR="00161FE9">
        <w:rPr>
          <w:rStyle w:val="FootnoteReference"/>
        </w:rPr>
        <w:footnoteReference w:id="32"/>
      </w:r>
    </w:p>
    <w:p w14:paraId="277AF10D" w14:textId="341F4B84" w:rsidR="000E5897" w:rsidRPr="000E5897" w:rsidRDefault="000E5897" w:rsidP="000E5897">
      <w:pPr>
        <w:pStyle w:val="BodyText1"/>
      </w:pPr>
      <w:r w:rsidRPr="000E5897">
        <w:t xml:space="preserve">Under section 507 of the </w:t>
      </w:r>
      <w:r w:rsidRPr="00F22B4F">
        <w:t>C</w:t>
      </w:r>
      <w:r w:rsidR="00593891" w:rsidRPr="00F22B4F">
        <w:t>YP Act</w:t>
      </w:r>
      <w:r w:rsidR="00DA67CD" w:rsidRPr="00F22B4F">
        <w:t>,</w:t>
      </w:r>
      <w:r w:rsidRPr="00F22B4F">
        <w:t xml:space="preserve"> </w:t>
      </w:r>
      <w:r w:rsidRPr="000E5897">
        <w:t>the Director</w:t>
      </w:r>
      <w:r w:rsidR="00E77CA6">
        <w:t>-</w:t>
      </w:r>
      <w:r w:rsidRPr="000E5897">
        <w:t xml:space="preserve">General must give the </w:t>
      </w:r>
      <w:r w:rsidR="00DA67CD">
        <w:t>P</w:t>
      </w:r>
      <w:r w:rsidRPr="000E5897">
        <w:t xml:space="preserve">ublic </w:t>
      </w:r>
      <w:r w:rsidR="00DA67CD">
        <w:t>A</w:t>
      </w:r>
      <w:r w:rsidRPr="000E5897">
        <w:t xml:space="preserve">dvocate a </w:t>
      </w:r>
      <w:r w:rsidR="00593891">
        <w:t xml:space="preserve">copy of these </w:t>
      </w:r>
      <w:r w:rsidRPr="000E5897">
        <w:t>report</w:t>
      </w:r>
      <w:r w:rsidR="00593891">
        <w:t>s</w:t>
      </w:r>
      <w:r w:rsidRPr="000E5897">
        <w:t xml:space="preserve"> about: </w:t>
      </w:r>
      <w:r w:rsidR="00DA67CD">
        <w:t>(</w:t>
      </w:r>
      <w:r w:rsidRPr="000E5897">
        <w:t xml:space="preserve">a) the incident; and </w:t>
      </w:r>
      <w:r w:rsidR="00DA67CD">
        <w:t>(</w:t>
      </w:r>
      <w:r w:rsidRPr="000E5897">
        <w:t xml:space="preserve">b) what action (if any) the </w:t>
      </w:r>
      <w:r w:rsidR="00E11C5E">
        <w:t>D</w:t>
      </w:r>
      <w:r w:rsidRPr="000E5897">
        <w:t>irector</w:t>
      </w:r>
      <w:r w:rsidR="00E11C5E">
        <w:t>-G</w:t>
      </w:r>
      <w:r w:rsidRPr="000E5897">
        <w:t>eneral has taken because of the appraisal.</w:t>
      </w:r>
    </w:p>
    <w:p w14:paraId="5D9B62ED" w14:textId="0A7B9201" w:rsidR="007E3E02" w:rsidRPr="00EA45AE" w:rsidRDefault="00D01F1A" w:rsidP="007E3E02">
      <w:pPr>
        <w:pStyle w:val="BodyText1"/>
      </w:pPr>
      <w:r>
        <w:t>As it concerns the timeliness of the provision of notification reports, t</w:t>
      </w:r>
      <w:r w:rsidR="007E3E02">
        <w:t xml:space="preserve">he Committee reiterates the sentiments expressed in the Human Rights Commission’s annual report that delay in receipt of these reports: </w:t>
      </w:r>
    </w:p>
    <w:p w14:paraId="2D2EF3BE" w14:textId="77777777" w:rsidR="007E3E02" w:rsidRDefault="007E3E02" w:rsidP="007E3E02">
      <w:pPr>
        <w:pStyle w:val="Quote"/>
      </w:pPr>
      <w:r>
        <w:t xml:space="preserve">…seriously compromises the ability of the Public Advocate to </w:t>
      </w:r>
      <w:bookmarkStart w:id="101" w:name="_Hlk48734679"/>
      <w:r>
        <w:t>adequately monitor this area of the child protection system and impedes the timely provision of individual advocacy for children and young people where required</w:t>
      </w:r>
      <w:bookmarkEnd w:id="101"/>
      <w:r>
        <w:t>.</w:t>
      </w:r>
      <w:r>
        <w:rPr>
          <w:rFonts w:ascii="ZWAdobeF" w:hAnsi="ZWAdobeF" w:cs="ZWAdobeF"/>
          <w:sz w:val="2"/>
          <w:szCs w:val="2"/>
        </w:rPr>
        <w:t>69F</w:t>
      </w:r>
      <w:r>
        <w:rPr>
          <w:rStyle w:val="FootnoteReference"/>
        </w:rPr>
        <w:footnoteReference w:id="33"/>
      </w:r>
    </w:p>
    <w:p w14:paraId="79BF04AA" w14:textId="01C196F9" w:rsidR="00FC47EE" w:rsidRDefault="007E3E02" w:rsidP="007E3E02">
      <w:pPr>
        <w:pStyle w:val="BodyText1"/>
      </w:pPr>
      <w:r>
        <w:t xml:space="preserve">The Committee understands that </w:t>
      </w:r>
      <w:r w:rsidR="00FC47EE">
        <w:t xml:space="preserve">a </w:t>
      </w:r>
      <w:r w:rsidR="00FC47EE" w:rsidRPr="00FC47EE">
        <w:t>Communications Protocol between the Public Advocate and C</w:t>
      </w:r>
      <w:r w:rsidR="009425B1">
        <w:t>YPS</w:t>
      </w:r>
      <w:r w:rsidR="00FC47EE" w:rsidRPr="00FC47EE">
        <w:t xml:space="preserve"> </w:t>
      </w:r>
      <w:r w:rsidR="00FC47EE">
        <w:t>was finalised in 2018.</w:t>
      </w:r>
      <w:r w:rsidR="00C7682F">
        <w:rPr>
          <w:rStyle w:val="FootnoteReference"/>
        </w:rPr>
        <w:footnoteReference w:id="34"/>
      </w:r>
      <w:r w:rsidR="00FC47EE">
        <w:t xml:space="preserve">  Under th</w:t>
      </w:r>
      <w:r w:rsidR="00D01F1A">
        <w:t>e</w:t>
      </w:r>
      <w:r w:rsidR="00FC47EE">
        <w:t xml:space="preserve"> protocol</w:t>
      </w:r>
      <w:r w:rsidR="00136778">
        <w:t>,</w:t>
      </w:r>
      <w:r w:rsidR="00FC47EE">
        <w:t xml:space="preserve"> </w:t>
      </w:r>
      <w:r w:rsidR="00FC47EE" w:rsidRPr="00FC47EE">
        <w:t>an agreed process for s</w:t>
      </w:r>
      <w:r w:rsidR="00FC47EE">
        <w:t xml:space="preserve">ection </w:t>
      </w:r>
      <w:r w:rsidR="00FC47EE" w:rsidRPr="00FC47EE">
        <w:t>507 reports has been established including</w:t>
      </w:r>
      <w:r w:rsidR="00FC47EE">
        <w:t>:</w:t>
      </w:r>
    </w:p>
    <w:p w14:paraId="2C7EB616" w14:textId="6C88F70F" w:rsidR="00FC47EE" w:rsidRDefault="00FC47EE" w:rsidP="0011009F">
      <w:pPr>
        <w:pStyle w:val="Quote"/>
      </w:pPr>
      <w:r>
        <w:t>…</w:t>
      </w:r>
      <w:r w:rsidRPr="00FC47EE">
        <w:t>the provision of a fortnightly list of identified s507 case</w:t>
      </w:r>
      <w:r w:rsidR="00136778">
        <w:t>s</w:t>
      </w:r>
      <w:r>
        <w:t xml:space="preserve">, and </w:t>
      </w:r>
      <w:r w:rsidRPr="00FC47EE">
        <w:t>the provision of both the Child Concern Report and the Appraisal Outcome Report at the time of advising the Public Advocate that an appraisal has been completed.</w:t>
      </w:r>
      <w:r>
        <w:rPr>
          <w:rStyle w:val="FootnoteReference"/>
        </w:rPr>
        <w:footnoteReference w:id="35"/>
      </w:r>
    </w:p>
    <w:p w14:paraId="1DD2CDB2" w14:textId="36291161" w:rsidR="00A03CE2" w:rsidRDefault="00A03CE2" w:rsidP="00C7682F">
      <w:pPr>
        <w:pStyle w:val="BodyText1"/>
      </w:pPr>
      <w:r>
        <w:t xml:space="preserve">Further, in addition to section 507 reports, the </w:t>
      </w:r>
      <w:r w:rsidR="00D01F1A">
        <w:t xml:space="preserve">Committee understands that the </w:t>
      </w:r>
      <w:r>
        <w:t>Communication</w:t>
      </w:r>
      <w:r w:rsidR="009425B1">
        <w:t>s</w:t>
      </w:r>
      <w:r>
        <w:t xml:space="preserve"> Protocol </w:t>
      </w:r>
      <w:r w:rsidRPr="00A03CE2">
        <w:t>include</w:t>
      </w:r>
      <w:r>
        <w:t>s</w:t>
      </w:r>
      <w:r w:rsidRPr="00A03CE2">
        <w:t xml:space="preserve"> information as to the agreed timeliness of the provision of, and quality of information contained within, </w:t>
      </w:r>
      <w:bookmarkStart w:id="103" w:name="_Hlk48735810"/>
      <w:r w:rsidRPr="00A03CE2">
        <w:t>annual review reports (pursuant to sections 49</w:t>
      </w:r>
      <w:r w:rsidR="00FA00FC">
        <w:t>5</w:t>
      </w:r>
      <w:r w:rsidRPr="00A03CE2">
        <w:t xml:space="preserve"> and 49</w:t>
      </w:r>
      <w:r w:rsidR="00FA00FC">
        <w:t>7</w:t>
      </w:r>
      <w:r>
        <w:t xml:space="preserve"> </w:t>
      </w:r>
      <w:bookmarkEnd w:id="103"/>
      <w:r>
        <w:t>of the CYP Act).</w:t>
      </w:r>
    </w:p>
    <w:p w14:paraId="2FBE16B4" w14:textId="0AB6D902" w:rsidR="00C7682F" w:rsidRDefault="00C7682F" w:rsidP="00C7682F">
      <w:pPr>
        <w:pStyle w:val="BodyText1"/>
      </w:pPr>
      <w:bookmarkStart w:id="104" w:name="_Hlk48735883"/>
      <w:r>
        <w:lastRenderedPageBreak/>
        <w:t>The Committee is of the view that there is merit in the Public Advocate informing the incoming Legislative Assembly on the effectiveness of the Communication</w:t>
      </w:r>
      <w:r w:rsidR="009425B1">
        <w:t>s</w:t>
      </w:r>
      <w:r>
        <w:t xml:space="preserve"> Protocol in assisting the</w:t>
      </w:r>
      <w:r w:rsidR="002E7BD8">
        <w:t xml:space="preserve"> Public Advocate </w:t>
      </w:r>
      <w:r>
        <w:t xml:space="preserve">to: (i) </w:t>
      </w:r>
      <w:r w:rsidRPr="00C7682F">
        <w:t>adequately monitor th</w:t>
      </w:r>
      <w:r w:rsidR="00A03CE2">
        <w:t>ese important are</w:t>
      </w:r>
      <w:r w:rsidRPr="00C7682F">
        <w:t>a</w:t>
      </w:r>
      <w:r w:rsidR="00A03CE2">
        <w:t>s</w:t>
      </w:r>
      <w:r w:rsidRPr="00C7682F">
        <w:t xml:space="preserve"> of the child protection system</w:t>
      </w:r>
      <w:r>
        <w:t>;</w:t>
      </w:r>
      <w:r w:rsidRPr="00C7682F">
        <w:t xml:space="preserve"> and </w:t>
      </w:r>
      <w:r>
        <w:t>(ii)</w:t>
      </w:r>
      <w:r w:rsidR="00A03CE2">
        <w:t> </w:t>
      </w:r>
      <w:r>
        <w:t xml:space="preserve">provide </w:t>
      </w:r>
      <w:r w:rsidRPr="00C7682F">
        <w:t>timely provision of individual advocacy for children and young people where required</w:t>
      </w:r>
      <w:r>
        <w:t>.</w:t>
      </w:r>
    </w:p>
    <w:bookmarkEnd w:id="104"/>
    <w:p w14:paraId="5AE6EE5D" w14:textId="4A4045B3" w:rsidR="00225F4F" w:rsidRDefault="00C7682F" w:rsidP="00C7682F">
      <w:pPr>
        <w:pStyle w:val="BodyText1"/>
      </w:pPr>
      <w:r>
        <w:t xml:space="preserve">In the event that the Public Advocate </w:t>
      </w:r>
      <w:bookmarkStart w:id="105" w:name="_Hlk48736241"/>
      <w:r>
        <w:t xml:space="preserve">considers that the </w:t>
      </w:r>
      <w:r w:rsidR="009C3459">
        <w:t xml:space="preserve">operation of the </w:t>
      </w:r>
      <w:r>
        <w:t xml:space="preserve">protocol </w:t>
      </w:r>
      <w:r w:rsidR="00225F4F">
        <w:t>and/</w:t>
      </w:r>
      <w:r>
        <w:t xml:space="preserve">or compliance with </w:t>
      </w:r>
      <w:bookmarkStart w:id="106" w:name="_Hlk48736007"/>
      <w:r w:rsidR="00225F4F">
        <w:t xml:space="preserve">the </w:t>
      </w:r>
      <w:r>
        <w:t xml:space="preserve">notification reporting </w:t>
      </w:r>
      <w:r w:rsidR="00A03CE2">
        <w:t>(</w:t>
      </w:r>
      <w:r w:rsidR="00225F4F">
        <w:t>pursuant to section 507</w:t>
      </w:r>
      <w:r w:rsidR="00A03CE2">
        <w:t>)</w:t>
      </w:r>
      <w:r w:rsidR="00225F4F">
        <w:t xml:space="preserve"> </w:t>
      </w:r>
      <w:r w:rsidR="00A03CE2">
        <w:t xml:space="preserve">and </w:t>
      </w:r>
      <w:r w:rsidR="00A03CE2" w:rsidRPr="00A03CE2">
        <w:t>annual review report</w:t>
      </w:r>
      <w:r w:rsidR="00D01F1A">
        <w:t>ing</w:t>
      </w:r>
      <w:r w:rsidR="00A03CE2" w:rsidRPr="00A03CE2">
        <w:t xml:space="preserve"> (pursuant to sections 49</w:t>
      </w:r>
      <w:r w:rsidR="00FA00FC">
        <w:t>5</w:t>
      </w:r>
      <w:r w:rsidR="00A03CE2" w:rsidRPr="00A03CE2">
        <w:t xml:space="preserve"> and 49</w:t>
      </w:r>
      <w:r w:rsidR="00FA00FC">
        <w:t>7</w:t>
      </w:r>
      <w:r w:rsidR="00A03CE2">
        <w:t>)</w:t>
      </w:r>
      <w:r w:rsidR="00A03CE2" w:rsidRPr="00A03CE2">
        <w:t xml:space="preserve"> </w:t>
      </w:r>
      <w:r w:rsidR="00225F4F">
        <w:t>of</w:t>
      </w:r>
      <w:bookmarkEnd w:id="106"/>
      <w:r w:rsidR="00225F4F">
        <w:t xml:space="preserve"> the CYP Act require improvement that these be advanced as part of a review of the CYP Act in the 10</w:t>
      </w:r>
      <w:r w:rsidR="00225F4F" w:rsidRPr="0011009F">
        <w:rPr>
          <w:vertAlign w:val="superscript"/>
        </w:rPr>
        <w:t>th</w:t>
      </w:r>
      <w:r w:rsidR="00225F4F">
        <w:t xml:space="preserve"> Assembly.  </w:t>
      </w:r>
      <w:bookmarkEnd w:id="105"/>
      <w:r w:rsidR="00225F4F">
        <w:t xml:space="preserve">The Committee notes that the </w:t>
      </w:r>
      <w:r w:rsidR="00225F4F" w:rsidRPr="00225F4F">
        <w:t xml:space="preserve">CYP Act has now been in operation for 12 years and has been subject to a series of amendments </w:t>
      </w:r>
      <w:r w:rsidR="00225F4F">
        <w:t>throughout t</w:t>
      </w:r>
      <w:r w:rsidR="00225F4F" w:rsidRPr="00225F4F">
        <w:t>his time</w:t>
      </w:r>
      <w:r w:rsidR="00225F4F">
        <w:t xml:space="preserve">.  Further, the Committee’s recommendations to date as part of its inquiry into CYPS will require </w:t>
      </w:r>
      <w:r w:rsidR="00225F4F" w:rsidRPr="00225F4F">
        <w:t xml:space="preserve">amendments to the CYP Act </w:t>
      </w:r>
      <w:r w:rsidR="00225F4F">
        <w:t xml:space="preserve">and the development of </w:t>
      </w:r>
      <w:r w:rsidR="00225F4F" w:rsidRPr="00225F4F">
        <w:t>a relevant CYP</w:t>
      </w:r>
      <w:r w:rsidR="002E7BD8">
        <w:t> </w:t>
      </w:r>
      <w:r w:rsidR="00225F4F" w:rsidRPr="00225F4F">
        <w:t>Amendment Bill.</w:t>
      </w:r>
      <w:r w:rsidR="00225F4F">
        <w:t xml:space="preserve">    </w:t>
      </w:r>
    </w:p>
    <w:p w14:paraId="2E0B3E9D" w14:textId="796C80D9" w:rsidR="008465F5" w:rsidRDefault="008465F5" w:rsidP="008465F5">
      <w:pPr>
        <w:pStyle w:val="Recommendation"/>
      </w:pPr>
      <w:bookmarkStart w:id="107" w:name="_Toc49345620"/>
      <w:bookmarkEnd w:id="107"/>
    </w:p>
    <w:p w14:paraId="195F81FE" w14:textId="0364F19E" w:rsidR="00A03CE2" w:rsidRDefault="008465F5" w:rsidP="00A03CE2">
      <w:pPr>
        <w:pStyle w:val="RecommendationText"/>
      </w:pPr>
      <w:bookmarkStart w:id="108" w:name="_Toc49345621"/>
      <w:r>
        <w:t xml:space="preserve">The Committee recommends </w:t>
      </w:r>
      <w:r w:rsidR="00FA00FC">
        <w:t xml:space="preserve">that </w:t>
      </w:r>
      <w:r>
        <w:t>the Public Advocate</w:t>
      </w:r>
      <w:r w:rsidR="000C0204">
        <w:t xml:space="preserve"> </w:t>
      </w:r>
      <w:r w:rsidR="00A03CE2">
        <w:t xml:space="preserve">of the ACT </w:t>
      </w:r>
      <w:r>
        <w:t>advise the 10</w:t>
      </w:r>
      <w:r w:rsidRPr="0011009F">
        <w:rPr>
          <w:vertAlign w:val="superscript"/>
        </w:rPr>
        <w:t>th</w:t>
      </w:r>
      <w:r>
        <w:t xml:space="preserve"> ACT Legislative Assembly </w:t>
      </w:r>
      <w:r w:rsidR="00A03CE2">
        <w:t>(</w:t>
      </w:r>
      <w:r>
        <w:t>via the Speaker</w:t>
      </w:r>
      <w:r w:rsidR="00A03CE2">
        <w:t>) by mid-March 2021</w:t>
      </w:r>
      <w:r>
        <w:t xml:space="preserve"> </w:t>
      </w:r>
      <w:r w:rsidR="00A03CE2" w:rsidRPr="00A03CE2">
        <w:t xml:space="preserve">on the effectiveness of the </w:t>
      </w:r>
      <w:r w:rsidR="00A03CE2">
        <w:t xml:space="preserve">Community Services Directorate’s </w:t>
      </w:r>
      <w:r w:rsidR="00A03CE2" w:rsidRPr="00A03CE2">
        <w:t>Communication</w:t>
      </w:r>
      <w:r w:rsidR="009425B1">
        <w:t>s</w:t>
      </w:r>
      <w:r w:rsidR="00A03CE2" w:rsidRPr="00A03CE2">
        <w:t xml:space="preserve"> Protocol in assisting </w:t>
      </w:r>
      <w:r w:rsidR="002E7BD8">
        <w:t xml:space="preserve">the Public Advocate </w:t>
      </w:r>
      <w:r w:rsidR="00A03CE2" w:rsidRPr="00A03CE2">
        <w:t>to: (i)</w:t>
      </w:r>
      <w:r w:rsidR="009425B1">
        <w:t> </w:t>
      </w:r>
      <w:r w:rsidR="00A03CE2" w:rsidRPr="00A03CE2">
        <w:t>adequately monitor notification reporting (pursuant to section 507</w:t>
      </w:r>
      <w:r w:rsidR="00D01F1A">
        <w:t xml:space="preserve"> of the </w:t>
      </w:r>
      <w:bookmarkStart w:id="109" w:name="_Hlk48909341"/>
      <w:r w:rsidR="00D01F1A" w:rsidRPr="0011009F">
        <w:rPr>
          <w:i/>
          <w:iCs/>
        </w:rPr>
        <w:t>Children and Young People Act 2008</w:t>
      </w:r>
      <w:bookmarkEnd w:id="109"/>
      <w:r w:rsidR="00A03CE2" w:rsidRPr="00A03CE2">
        <w:t>) and annual review report</w:t>
      </w:r>
      <w:r w:rsidR="00D01F1A">
        <w:t>ing</w:t>
      </w:r>
      <w:r w:rsidR="00A03CE2" w:rsidRPr="00A03CE2">
        <w:t xml:space="preserve"> (pursuant to sections 49</w:t>
      </w:r>
      <w:r w:rsidR="00FA00FC">
        <w:t>5</w:t>
      </w:r>
      <w:r w:rsidR="00A03CE2" w:rsidRPr="00A03CE2">
        <w:t xml:space="preserve"> and 49</w:t>
      </w:r>
      <w:r w:rsidR="00FA00FC">
        <w:t>7</w:t>
      </w:r>
      <w:r w:rsidR="00A03CE2" w:rsidRPr="00A03CE2">
        <w:t xml:space="preserve"> of the</w:t>
      </w:r>
      <w:r w:rsidR="00A03CE2">
        <w:t xml:space="preserve"> </w:t>
      </w:r>
      <w:r w:rsidR="00A03CE2" w:rsidRPr="0011009F">
        <w:rPr>
          <w:i/>
          <w:iCs/>
        </w:rPr>
        <w:t>Children and Young People Act 2008</w:t>
      </w:r>
      <w:r w:rsidR="00D01F1A">
        <w:rPr>
          <w:i/>
          <w:iCs/>
        </w:rPr>
        <w:t>)</w:t>
      </w:r>
      <w:r w:rsidR="00A03CE2">
        <w:t xml:space="preserve">; </w:t>
      </w:r>
      <w:r w:rsidR="00A03CE2" w:rsidRPr="00A03CE2">
        <w:t>and (ii) to provide timely provision of individual advocacy for children and young people where required.</w:t>
      </w:r>
      <w:bookmarkEnd w:id="108"/>
    </w:p>
    <w:p w14:paraId="10122572" w14:textId="2D9A8574" w:rsidR="009C3459" w:rsidRDefault="009C3459" w:rsidP="009C3459">
      <w:pPr>
        <w:pStyle w:val="Recommendation"/>
      </w:pPr>
      <w:bookmarkStart w:id="110" w:name="_Toc49345622"/>
      <w:bookmarkEnd w:id="110"/>
    </w:p>
    <w:p w14:paraId="1BFE7275" w14:textId="2E766C7E" w:rsidR="009C3459" w:rsidRPr="009C3459" w:rsidRDefault="009C3459" w:rsidP="009C3459">
      <w:pPr>
        <w:pStyle w:val="RecommendationText"/>
      </w:pPr>
      <w:bookmarkStart w:id="111" w:name="_Toc49345623"/>
      <w:r>
        <w:t>The Committee recommends that</w:t>
      </w:r>
      <w:r w:rsidR="00D01F1A">
        <w:t>,</w:t>
      </w:r>
      <w:r>
        <w:t xml:space="preserve"> in the event that the Public Advocate of the ACT </w:t>
      </w:r>
      <w:r w:rsidRPr="009C3459">
        <w:t xml:space="preserve">considers that the </w:t>
      </w:r>
      <w:r>
        <w:t>operation of the Communication</w:t>
      </w:r>
      <w:r w:rsidR="003B253C">
        <w:t>s</w:t>
      </w:r>
      <w:r>
        <w:t xml:space="preserve"> P</w:t>
      </w:r>
      <w:r w:rsidRPr="009C3459">
        <w:t xml:space="preserve">rotocol and/or </w:t>
      </w:r>
      <w:r w:rsidR="00D01F1A">
        <w:t xml:space="preserve">its </w:t>
      </w:r>
      <w:r w:rsidRPr="009C3459">
        <w:t>compliance with the notification reporting (pursuant to section 507</w:t>
      </w:r>
      <w:r w:rsidR="00D01F1A">
        <w:t xml:space="preserve"> of the </w:t>
      </w:r>
      <w:r w:rsidR="00D01F1A" w:rsidRPr="00757200">
        <w:rPr>
          <w:i/>
          <w:iCs/>
        </w:rPr>
        <w:t>Children and Young People Act 2008</w:t>
      </w:r>
      <w:r w:rsidRPr="009C3459">
        <w:t>) and annual review report</w:t>
      </w:r>
      <w:r w:rsidR="00D01F1A">
        <w:t>ing</w:t>
      </w:r>
      <w:r w:rsidRPr="009C3459">
        <w:t xml:space="preserve"> (pursuant to sections 49</w:t>
      </w:r>
      <w:r w:rsidR="00FA00FC">
        <w:t>5</w:t>
      </w:r>
      <w:r w:rsidRPr="009C3459">
        <w:t xml:space="preserve"> and 49</w:t>
      </w:r>
      <w:r w:rsidR="00FA00FC">
        <w:t>7</w:t>
      </w:r>
      <w:r w:rsidRPr="009C3459">
        <w:t xml:space="preserve"> of the </w:t>
      </w:r>
      <w:bookmarkStart w:id="112" w:name="_Hlk48909494"/>
      <w:r w:rsidRPr="0011009F">
        <w:rPr>
          <w:i/>
          <w:iCs/>
        </w:rPr>
        <w:t>Children and Young People Act 2008</w:t>
      </w:r>
      <w:bookmarkEnd w:id="112"/>
      <w:r>
        <w:t>)</w:t>
      </w:r>
      <w:r w:rsidRPr="009C3459">
        <w:t xml:space="preserve"> require improvement</w:t>
      </w:r>
      <w:r w:rsidR="00D01F1A">
        <w:t xml:space="preserve">, </w:t>
      </w:r>
      <w:r w:rsidRPr="009C3459">
        <w:t xml:space="preserve">these </w:t>
      </w:r>
      <w:r w:rsidR="00D01F1A">
        <w:t xml:space="preserve">considerations </w:t>
      </w:r>
      <w:r w:rsidRPr="009C3459">
        <w:t xml:space="preserve">be advanced as part of a review of the </w:t>
      </w:r>
      <w:r w:rsidR="00D01F1A" w:rsidRPr="00757200">
        <w:rPr>
          <w:i/>
          <w:iCs/>
        </w:rPr>
        <w:t>Children and Young People Act 2008</w:t>
      </w:r>
      <w:r w:rsidR="00D01F1A" w:rsidRPr="009C3459">
        <w:t xml:space="preserve"> </w:t>
      </w:r>
      <w:r w:rsidR="002E7BD8">
        <w:t xml:space="preserve">in </w:t>
      </w:r>
      <w:r w:rsidRPr="009C3459">
        <w:t>the 10</w:t>
      </w:r>
      <w:r w:rsidRPr="009C3459">
        <w:rPr>
          <w:vertAlign w:val="superscript"/>
        </w:rPr>
        <w:t>th</w:t>
      </w:r>
      <w:r w:rsidR="00D01F1A">
        <w:rPr>
          <w:vertAlign w:val="superscript"/>
        </w:rPr>
        <w:t> </w:t>
      </w:r>
      <w:r>
        <w:t>ACT</w:t>
      </w:r>
      <w:r w:rsidR="002E7BD8">
        <w:t> </w:t>
      </w:r>
      <w:r>
        <w:t xml:space="preserve">Legislative </w:t>
      </w:r>
      <w:r w:rsidRPr="009C3459">
        <w:t>Assembly.</w:t>
      </w:r>
      <w:bookmarkEnd w:id="111"/>
      <w:r w:rsidRPr="009C3459">
        <w:t xml:space="preserve">  </w:t>
      </w:r>
    </w:p>
    <w:bookmarkEnd w:id="100"/>
    <w:p w14:paraId="24CADF49" w14:textId="3F79E2AA" w:rsidR="00080F68" w:rsidRDefault="001B6601" w:rsidP="001B6601">
      <w:pPr>
        <w:pStyle w:val="Headinglevel4"/>
      </w:pPr>
      <w:r>
        <w:t>Report on information sharing under the CYP Act</w:t>
      </w:r>
    </w:p>
    <w:p w14:paraId="2728A19B" w14:textId="49E1F51C" w:rsidR="00505ABD" w:rsidRDefault="00945F8D" w:rsidP="00945F8D">
      <w:pPr>
        <w:pStyle w:val="BodyText1"/>
      </w:pPr>
      <w:r w:rsidRPr="00945F8D">
        <w:t>The Committee</w:t>
      </w:r>
      <w:r w:rsidR="00505ABD">
        <w:t xml:space="preserve"> reported on Part 2 of its inquiry examining information sharing under the CYP</w:t>
      </w:r>
      <w:r w:rsidR="00FA00FC">
        <w:t> </w:t>
      </w:r>
      <w:r w:rsidR="00505ABD">
        <w:t>Act on 30 July 2020.  In that report the Committee made 44 recommendations focused on the ability to share information in the care and protection system in accordance with the CYP Act.</w:t>
      </w:r>
    </w:p>
    <w:p w14:paraId="7215DC09" w14:textId="2B3772DE" w:rsidR="00945F8D" w:rsidRDefault="00505ABD" w:rsidP="00945F8D">
      <w:pPr>
        <w:pStyle w:val="BodyText1"/>
      </w:pPr>
      <w:r>
        <w:lastRenderedPageBreak/>
        <w:t xml:space="preserve">The Committee </w:t>
      </w:r>
      <w:r w:rsidR="0093696F">
        <w:t xml:space="preserve">is of the view that several of the recommendations made in its report on Part 2 of this inquiry are of relevance to </w:t>
      </w:r>
      <w:r w:rsidR="009212D8">
        <w:t xml:space="preserve">addressing the potential </w:t>
      </w:r>
      <w:r w:rsidR="0093696F">
        <w:t>systemic issues</w:t>
      </w:r>
      <w:r w:rsidR="009212D8">
        <w:t xml:space="preserve"> it</w:t>
      </w:r>
      <w:r w:rsidR="0093696F">
        <w:t xml:space="preserve"> raised in relation to Part 1.</w:t>
      </w:r>
    </w:p>
    <w:p w14:paraId="11B0AD48" w14:textId="2EE964A7" w:rsidR="00741B8D" w:rsidRDefault="00741B8D" w:rsidP="00741B8D">
      <w:pPr>
        <w:pStyle w:val="Recommendation"/>
      </w:pPr>
      <w:bookmarkStart w:id="113" w:name="_Toc49345624"/>
      <w:bookmarkEnd w:id="113"/>
    </w:p>
    <w:p w14:paraId="4AC7278B" w14:textId="586E0147" w:rsidR="00741B8D" w:rsidRPr="00741B8D" w:rsidRDefault="00741B8D" w:rsidP="0011009F">
      <w:pPr>
        <w:pStyle w:val="RecommendationText"/>
      </w:pPr>
      <w:bookmarkStart w:id="114" w:name="_Toc49345625"/>
      <w:r>
        <w:t xml:space="preserve">The Committee </w:t>
      </w:r>
      <w:r w:rsidRPr="00741B8D">
        <w:t>recommends that the ACT Government act</w:t>
      </w:r>
      <w:r w:rsidR="0010596C">
        <w:t>ion</w:t>
      </w:r>
      <w:r w:rsidRPr="00741B8D">
        <w:t xml:space="preserve"> the recommendations made</w:t>
      </w:r>
      <w:r>
        <w:t xml:space="preserve"> by</w:t>
      </w:r>
      <w:r w:rsidRPr="00741B8D">
        <w:t xml:space="preserve"> the 9</w:t>
      </w:r>
      <w:r w:rsidRPr="0011009F">
        <w:rPr>
          <w:vertAlign w:val="superscript"/>
        </w:rPr>
        <w:t>th</w:t>
      </w:r>
      <w:r w:rsidRPr="00741B8D">
        <w:t xml:space="preserve"> ACT Legislative Assembly Standing Committee on Health, Ageing and Community </w:t>
      </w:r>
      <w:r>
        <w:t xml:space="preserve">Services in its </w:t>
      </w:r>
      <w:r w:rsidRPr="0072606C">
        <w:rPr>
          <w:i/>
          <w:iCs/>
        </w:rPr>
        <w:t>Report on Child and Youth Protection Services (Part 2)</w:t>
      </w:r>
      <w:r w:rsidRPr="00741B8D">
        <w:t>.</w:t>
      </w:r>
      <w:bookmarkEnd w:id="114"/>
      <w:r w:rsidRPr="00741B8D">
        <w:t xml:space="preserve"> </w:t>
      </w:r>
    </w:p>
    <w:p w14:paraId="1DE3E7D3" w14:textId="4B414705" w:rsidR="00847067" w:rsidRDefault="00847067" w:rsidP="00847067">
      <w:pPr>
        <w:pStyle w:val="Headinglevel4"/>
      </w:pPr>
      <w:r>
        <w:t>Fitness of Assembly procedures for obtaining information</w:t>
      </w:r>
    </w:p>
    <w:p w14:paraId="6132ED27" w14:textId="1F3CE4CF" w:rsidR="0093696F" w:rsidRDefault="0093696F" w:rsidP="0093696F">
      <w:pPr>
        <w:pStyle w:val="BodyText1"/>
        <w:rPr>
          <w:lang w:eastAsia="en-AU"/>
        </w:rPr>
      </w:pPr>
      <w:r>
        <w:t xml:space="preserve">The </w:t>
      </w:r>
      <w:r w:rsidR="00286F82">
        <w:t xml:space="preserve">process by which the </w:t>
      </w:r>
      <w:r>
        <w:t>Committee</w:t>
      </w:r>
      <w:r w:rsidR="00286F82">
        <w:t xml:space="preserve"> </w:t>
      </w:r>
      <w:r>
        <w:t>access</w:t>
      </w:r>
      <w:r w:rsidR="00286F82">
        <w:t>ed</w:t>
      </w:r>
      <w:r>
        <w:t xml:space="preserve"> </w:t>
      </w:r>
      <w:r w:rsidRPr="005F5616">
        <w:rPr>
          <w:lang w:eastAsia="en-AU"/>
        </w:rPr>
        <w:t>protected and sensitive information under the CYP Act</w:t>
      </w:r>
      <w:r>
        <w:rPr>
          <w:lang w:eastAsia="en-AU"/>
        </w:rPr>
        <w:t xml:space="preserve"> for this inquiry raises an important consideration about the </w:t>
      </w:r>
      <w:r w:rsidR="00286F82" w:rsidRPr="00286F82">
        <w:rPr>
          <w:lang w:eastAsia="en-AU"/>
        </w:rPr>
        <w:t>fitness of the Assembly’s procedures for obtaining information</w:t>
      </w:r>
      <w:r w:rsidR="00286F82">
        <w:rPr>
          <w:lang w:eastAsia="en-AU"/>
        </w:rPr>
        <w:t xml:space="preserve"> to ensure oversight and scrutiny of Government policy and/or the operation of its entit</w:t>
      </w:r>
      <w:r w:rsidR="00EC2DFF">
        <w:rPr>
          <w:lang w:eastAsia="en-AU"/>
        </w:rPr>
        <w:t>i</w:t>
      </w:r>
      <w:r w:rsidR="00286F82">
        <w:rPr>
          <w:lang w:eastAsia="en-AU"/>
        </w:rPr>
        <w:t>es</w:t>
      </w:r>
      <w:r w:rsidR="00EC2DFF">
        <w:rPr>
          <w:lang w:eastAsia="en-AU"/>
        </w:rPr>
        <w:t>.</w:t>
      </w:r>
    </w:p>
    <w:p w14:paraId="4862FDC1" w14:textId="47286EE2" w:rsidR="00EC2DFF" w:rsidRDefault="00EC2DFF" w:rsidP="00286F82">
      <w:pPr>
        <w:pStyle w:val="BodyText1"/>
        <w:rPr>
          <w:lang w:eastAsia="en-AU"/>
        </w:rPr>
      </w:pPr>
      <w:r>
        <w:rPr>
          <w:lang w:eastAsia="en-AU"/>
        </w:rPr>
        <w:t>T</w:t>
      </w:r>
      <w:r w:rsidR="00286F82" w:rsidRPr="00286F82">
        <w:rPr>
          <w:lang w:eastAsia="en-AU"/>
        </w:rPr>
        <w:t xml:space="preserve">he Committee </w:t>
      </w:r>
      <w:r>
        <w:rPr>
          <w:lang w:eastAsia="en-AU"/>
        </w:rPr>
        <w:t>is f</w:t>
      </w:r>
      <w:r w:rsidR="00C438D8">
        <w:rPr>
          <w:lang w:eastAsia="en-AU"/>
        </w:rPr>
        <w:t>irmly of</w:t>
      </w:r>
      <w:r>
        <w:rPr>
          <w:lang w:eastAsia="en-AU"/>
        </w:rPr>
        <w:t xml:space="preserve"> the view that the</w:t>
      </w:r>
      <w:r w:rsidRPr="00EC2DFF">
        <w:t xml:space="preserve"> </w:t>
      </w:r>
      <w:r w:rsidRPr="00EC2DFF">
        <w:rPr>
          <w:lang w:eastAsia="en-AU"/>
        </w:rPr>
        <w:t xml:space="preserve">fitness of the Assembly’s procedures for obtaining information needed to demonstrate transparency </w:t>
      </w:r>
      <w:r>
        <w:rPr>
          <w:lang w:eastAsia="en-AU"/>
        </w:rPr>
        <w:t xml:space="preserve">are </w:t>
      </w:r>
      <w:r w:rsidR="0011009F">
        <w:rPr>
          <w:lang w:eastAsia="en-AU"/>
        </w:rPr>
        <w:t>sufficient and</w:t>
      </w:r>
      <w:r>
        <w:rPr>
          <w:lang w:eastAsia="en-AU"/>
        </w:rPr>
        <w:t xml:space="preserve"> draw from </w:t>
      </w:r>
      <w:r w:rsidR="009212D8">
        <w:rPr>
          <w:lang w:eastAsia="en-AU"/>
        </w:rPr>
        <w:t xml:space="preserve">the Assembly’s </w:t>
      </w:r>
      <w:r>
        <w:rPr>
          <w:lang w:eastAsia="en-AU"/>
        </w:rPr>
        <w:t>powers and privileges.  The Assembly has these powers and privileges because of its responsibility</w:t>
      </w:r>
      <w:r w:rsidR="009212D8">
        <w:rPr>
          <w:lang w:eastAsia="en-AU"/>
        </w:rPr>
        <w:t>,</w:t>
      </w:r>
      <w:r>
        <w:rPr>
          <w:lang w:eastAsia="en-AU"/>
        </w:rPr>
        <w:t xml:space="preserve"> on behalf of the citizens of the ACT, </w:t>
      </w:r>
      <w:r w:rsidR="009212D8" w:rsidRPr="009212D8">
        <w:rPr>
          <w:lang w:eastAsia="en-AU"/>
        </w:rPr>
        <w:t xml:space="preserve">to oversee actions of the Executive and its agencies, </w:t>
      </w:r>
      <w:r w:rsidR="009212D8">
        <w:rPr>
          <w:lang w:eastAsia="en-AU"/>
        </w:rPr>
        <w:t>t</w:t>
      </w:r>
      <w:r>
        <w:rPr>
          <w:lang w:eastAsia="en-AU"/>
        </w:rPr>
        <w:t>o ensure transparency</w:t>
      </w:r>
      <w:r w:rsidR="009212D8">
        <w:rPr>
          <w:lang w:eastAsia="en-AU"/>
        </w:rPr>
        <w:t>,</w:t>
      </w:r>
      <w:r>
        <w:rPr>
          <w:lang w:eastAsia="en-AU"/>
        </w:rPr>
        <w:t xml:space="preserve"> and to hold the Government to account.</w:t>
      </w:r>
    </w:p>
    <w:p w14:paraId="6F201F81" w14:textId="3E2C695B" w:rsidR="002E3DF0" w:rsidRDefault="002E3DF0" w:rsidP="00EC360E">
      <w:pPr>
        <w:pStyle w:val="Recommendation"/>
      </w:pPr>
      <w:bookmarkStart w:id="115" w:name="_Toc49345626"/>
      <w:bookmarkEnd w:id="115"/>
    </w:p>
    <w:p w14:paraId="7EC8A11F" w14:textId="6FBD949B" w:rsidR="00EC360E" w:rsidRPr="00EC360E" w:rsidRDefault="004E5C9A" w:rsidP="00824DC5">
      <w:pPr>
        <w:pStyle w:val="RecommendationText"/>
      </w:pPr>
      <w:bookmarkStart w:id="116" w:name="_Toc49345627"/>
      <w:r>
        <w:t xml:space="preserve">The Committee recommends that the ACT Executive Government strengthen its </w:t>
      </w:r>
      <w:r w:rsidRPr="004E5C9A">
        <w:t xml:space="preserve">understanding of: (i) </w:t>
      </w:r>
      <w:r w:rsidR="0010596C">
        <w:t xml:space="preserve">the procedures available to the </w:t>
      </w:r>
      <w:r>
        <w:t xml:space="preserve">ACT Legislative </w:t>
      </w:r>
      <w:r w:rsidRPr="004E5C9A">
        <w:t xml:space="preserve">Assembly for obtaining information as required to carry out its constitutional obligations to scrutinise Government policy and/or the operation of its agencies; and (ii) </w:t>
      </w:r>
      <w:r w:rsidR="0010596C">
        <w:t xml:space="preserve">the </w:t>
      </w:r>
      <w:r w:rsidRPr="004E5C9A">
        <w:t>powers and privileges</w:t>
      </w:r>
      <w:r w:rsidR="0010596C">
        <w:t xml:space="preserve"> </w:t>
      </w:r>
      <w:r w:rsidR="007B38D2">
        <w:t>from which</w:t>
      </w:r>
      <w:r w:rsidR="00136778">
        <w:t xml:space="preserve"> the authority for these </w:t>
      </w:r>
      <w:r w:rsidR="0010596C">
        <w:t>procedures</w:t>
      </w:r>
      <w:r w:rsidR="007B38D2">
        <w:t xml:space="preserve"> are sourced</w:t>
      </w:r>
      <w:r w:rsidRPr="004E5C9A">
        <w:t>.</w:t>
      </w:r>
      <w:bookmarkEnd w:id="116"/>
      <w:r>
        <w:t xml:space="preserve">  </w:t>
      </w:r>
    </w:p>
    <w:p w14:paraId="7EC73A6C" w14:textId="77777777" w:rsidR="00986F36" w:rsidRDefault="00986F36" w:rsidP="007A284C">
      <w:pPr>
        <w:pStyle w:val="Headinglevel5"/>
        <w:sectPr w:rsidR="00986F36" w:rsidSect="00E629E2">
          <w:headerReference w:type="first" r:id="rId33"/>
          <w:type w:val="oddPage"/>
          <w:pgSz w:w="11907" w:h="16840" w:code="9"/>
          <w:pgMar w:top="1588" w:right="1418" w:bottom="1418" w:left="1418" w:header="720" w:footer="851" w:gutter="0"/>
          <w:cols w:space="720"/>
          <w:docGrid w:linePitch="360"/>
        </w:sectPr>
      </w:pPr>
      <w:bookmarkStart w:id="117" w:name="_Toc341433430"/>
      <w:bookmarkStart w:id="118" w:name="_Toc341687875"/>
      <w:bookmarkEnd w:id="81"/>
    </w:p>
    <w:p w14:paraId="3C1942F0" w14:textId="77777777" w:rsidR="00D561BC" w:rsidRDefault="00D33F96" w:rsidP="00A36E0A">
      <w:pPr>
        <w:pStyle w:val="Heading1"/>
      </w:pPr>
      <w:bookmarkStart w:id="119" w:name="_Toc49281160"/>
      <w:r w:rsidRPr="00123676">
        <w:lastRenderedPageBreak/>
        <w:t>C</w:t>
      </w:r>
      <w:r w:rsidR="00960E9A">
        <w:t>onclusion</w:t>
      </w:r>
      <w:bookmarkEnd w:id="119"/>
      <w:r w:rsidRPr="00123676">
        <w:t xml:space="preserve"> </w:t>
      </w:r>
      <w:bookmarkEnd w:id="117"/>
      <w:bookmarkEnd w:id="118"/>
    </w:p>
    <w:p w14:paraId="6B7EB34C" w14:textId="6C4BBD6C" w:rsidR="00632CA3" w:rsidRDefault="009854CB" w:rsidP="00483A9C">
      <w:pPr>
        <w:pStyle w:val="Bodytextnonumbering"/>
        <w:keepNext w:val="0"/>
        <w:numPr>
          <w:ilvl w:val="5"/>
          <w:numId w:val="6"/>
        </w:numPr>
      </w:pPr>
      <w:r>
        <w:t>As noted in its interim report—s</w:t>
      </w:r>
      <w:r w:rsidR="00BE00F5">
        <w:t xml:space="preserve">adly, the matter subject to </w:t>
      </w:r>
      <w:r w:rsidR="00445CAA">
        <w:t xml:space="preserve">Part 1 of </w:t>
      </w:r>
      <w:r w:rsidR="00BE00F5">
        <w:t>this inquiry involved the removal of five children from the care of their mother.  In that context</w:t>
      </w:r>
      <w:r w:rsidR="007C3B37">
        <w:t>,</w:t>
      </w:r>
      <w:r w:rsidR="00BE00F5">
        <w:t xml:space="preserve"> the Committee was asked by the Assembly</w:t>
      </w:r>
      <w:r w:rsidR="00483A9C" w:rsidRPr="00483A9C">
        <w:t xml:space="preserve"> to analyse the 2018 C</w:t>
      </w:r>
      <w:r w:rsidR="009425B1">
        <w:t xml:space="preserve"> </w:t>
      </w:r>
      <w:r w:rsidR="00483A9C" w:rsidRPr="00483A9C">
        <w:t>o</w:t>
      </w:r>
      <w:r w:rsidR="009425B1">
        <w:t xml:space="preserve">f </w:t>
      </w:r>
      <w:r w:rsidR="00483A9C" w:rsidRPr="00483A9C">
        <w:t>A decision—to identify potential systemic issues that may need to be addressed, and report these to the Assembly.</w:t>
      </w:r>
    </w:p>
    <w:p w14:paraId="6E79724F" w14:textId="24424274" w:rsidR="00507460" w:rsidRDefault="00507460" w:rsidP="00632CA3">
      <w:pPr>
        <w:pStyle w:val="BodyText1"/>
      </w:pPr>
      <w:r>
        <w:t xml:space="preserve">In </w:t>
      </w:r>
      <w:r w:rsidR="009212D8">
        <w:t xml:space="preserve">the </w:t>
      </w:r>
      <w:r>
        <w:t>interim report</w:t>
      </w:r>
      <w:r w:rsidR="009212D8">
        <w:t>,</w:t>
      </w:r>
      <w:r>
        <w:t xml:space="preserve"> </w:t>
      </w:r>
      <w:r w:rsidR="0093696F">
        <w:t>the Committee set out a deta</w:t>
      </w:r>
      <w:r w:rsidR="00632CA3">
        <w:t>i</w:t>
      </w:r>
      <w:r w:rsidR="0093696F">
        <w:t xml:space="preserve">led analysis </w:t>
      </w:r>
      <w:r w:rsidR="00632CA3">
        <w:t xml:space="preserve">of potential systemic issues that it considered may need to be addressed.  In this </w:t>
      </w:r>
      <w:r w:rsidR="002C11AA">
        <w:t xml:space="preserve">final </w:t>
      </w:r>
      <w:r w:rsidR="00632CA3">
        <w:t>report, after receipt of outstanding information that was not available at the time the Committee presented its interim report, the Committee concludes its consideration of the matter referred to it by the Assembly.</w:t>
      </w:r>
    </w:p>
    <w:p w14:paraId="4B5C1D12" w14:textId="4F90337B" w:rsidR="002C11AA" w:rsidRPr="000D6E41" w:rsidRDefault="002C11AA" w:rsidP="00E11C5E">
      <w:pPr>
        <w:pStyle w:val="BodyText1"/>
      </w:pPr>
      <w:bookmarkStart w:id="120" w:name="_Hlk48722242"/>
      <w:r w:rsidRPr="000D6E41">
        <w:t>After reviewing and considering this information, the Committee is of the view that the interim report sets out a detailed and thorough examination of the extent to which the specific case might raise systemic issues.  In considering the systemic issues set out in its interim report, the Committee emphasises th</w:t>
      </w:r>
      <w:r w:rsidR="006C2C3D">
        <w:t>re</w:t>
      </w:r>
      <w:r w:rsidRPr="000D6E41">
        <w:t>e concept</w:t>
      </w:r>
      <w:r w:rsidR="006C2C3D">
        <w:t>s</w:t>
      </w:r>
      <w:r w:rsidRPr="000D6E41">
        <w:t xml:space="preserve"> </w:t>
      </w:r>
      <w:r w:rsidR="006C2C3D">
        <w:t xml:space="preserve">related to the implementation and administration of the legislative framework for protecting and </w:t>
      </w:r>
      <w:r w:rsidR="00E57313">
        <w:t xml:space="preserve">safeguarding children.  These are: (i) lack of </w:t>
      </w:r>
      <w:r w:rsidR="00E57313" w:rsidRPr="0011009F">
        <w:rPr>
          <w:i/>
          <w:iCs/>
        </w:rPr>
        <w:t>res</w:t>
      </w:r>
      <w:r w:rsidR="007E2EA3">
        <w:rPr>
          <w:i/>
          <w:iCs/>
        </w:rPr>
        <w:t> </w:t>
      </w:r>
      <w:r w:rsidR="00E57313" w:rsidRPr="0011009F">
        <w:rPr>
          <w:i/>
          <w:iCs/>
        </w:rPr>
        <w:t>judicata</w:t>
      </w:r>
      <w:r w:rsidR="00E57313">
        <w:t xml:space="preserve"> or </w:t>
      </w:r>
      <w:r w:rsidR="00E57313" w:rsidRPr="0011009F">
        <w:rPr>
          <w:i/>
          <w:iCs/>
        </w:rPr>
        <w:t>issue estoppel</w:t>
      </w:r>
      <w:r w:rsidR="00E57313">
        <w:t xml:space="preserve"> in care proceedings</w:t>
      </w:r>
      <w:r w:rsidR="004E5C9A">
        <w:t xml:space="preserve"> and decisions to recommence care proceedings</w:t>
      </w:r>
      <w:r w:rsidR="00E57313">
        <w:t xml:space="preserve">; (ii) the concept </w:t>
      </w:r>
      <w:r w:rsidRPr="000D6E41">
        <w:t xml:space="preserve">of cumulative harm in child protection and </w:t>
      </w:r>
      <w:r w:rsidR="000D6E41">
        <w:t xml:space="preserve">the importance of </w:t>
      </w:r>
      <w:r w:rsidRPr="000D6E41">
        <w:t>defining, identifying, assessing and understanding this critical systemic concept</w:t>
      </w:r>
      <w:r w:rsidR="00E57313">
        <w:t>; and (iii)</w:t>
      </w:r>
      <w:r w:rsidR="00FA00FC">
        <w:t> </w:t>
      </w:r>
      <w:r w:rsidR="00E11C5E" w:rsidRPr="00E11C5E">
        <w:t>reports to the Public Advocate under section 507 of the CYP Act</w:t>
      </w:r>
      <w:r w:rsidRPr="000D6E41">
        <w:t>.</w:t>
      </w:r>
    </w:p>
    <w:bookmarkEnd w:id="120"/>
    <w:p w14:paraId="1F180B90" w14:textId="2A5580A7" w:rsidR="000D6E41" w:rsidRDefault="000D6E41" w:rsidP="000D6E41">
      <w:pPr>
        <w:pStyle w:val="BodyText1"/>
      </w:pPr>
      <w:r>
        <w:t>The Committee has approached the remit given to it by the Assembly with great care and empathy and with a deeply held concern to ensure that any potential systemic issues arising are identified and addressed.  In its examination of the referred matter the Committee has applied careful, rigorous and thoughtful consideration and has been acutely aware and alert to the sensitivity of the issues raised by this inquiry.</w:t>
      </w:r>
    </w:p>
    <w:p w14:paraId="1F006A01" w14:textId="77777777" w:rsidR="006C2C3D" w:rsidRDefault="00664BFD" w:rsidP="000D6E41">
      <w:pPr>
        <w:pStyle w:val="BodyText1"/>
      </w:pPr>
      <w:r>
        <w:t>The Committee notes that the clients of care and protection services include some of the most vulnerable members of our community, and that their</w:t>
      </w:r>
      <w:r w:rsidR="006C2C3D">
        <w:t xml:space="preserve"> safety and well-being must attract our highest priority.</w:t>
      </w:r>
    </w:p>
    <w:p w14:paraId="2D354B87" w14:textId="3EE4239C" w:rsidR="00664BFD" w:rsidRDefault="006C2C3D" w:rsidP="000D6E41">
      <w:pPr>
        <w:pStyle w:val="BodyText1"/>
      </w:pPr>
      <w:r>
        <w:t>The Committee further notes that questions about, and decision-making surrounding, the care and protection of children and young people in the Canberra community are often controversial, complex and require a balancing of rights.  In that context, those working in</w:t>
      </w:r>
      <w:r w:rsidR="004E5C9A">
        <w:t xml:space="preserve"> </w:t>
      </w:r>
      <w:r>
        <w:t>th</w:t>
      </w:r>
      <w:r w:rsidR="004E5C9A">
        <w:t>e</w:t>
      </w:r>
      <w:r>
        <w:t xml:space="preserve"> care and protection space work in a challenging, tough and complex environment.  Equally important is that all in the Canberra community have a role to play in the well-being and safety of children and young people in our community.   </w:t>
      </w:r>
      <w:r w:rsidR="00664BFD">
        <w:t xml:space="preserve">   </w:t>
      </w:r>
    </w:p>
    <w:p w14:paraId="0B650CBF" w14:textId="488C88B1" w:rsidR="001023BC" w:rsidRPr="000D6E41" w:rsidRDefault="002C11AA" w:rsidP="00375C86">
      <w:pPr>
        <w:pStyle w:val="BodyText1"/>
      </w:pPr>
      <w:r w:rsidRPr="000D6E41">
        <w:t xml:space="preserve">In light of the recommendations the Committee has made in its interim report on Part 1 and its report on Part 2, the Committee </w:t>
      </w:r>
      <w:r w:rsidR="00375C86" w:rsidRPr="000D6E41">
        <w:t>has made</w:t>
      </w:r>
      <w:r w:rsidRPr="000D6E41">
        <w:t xml:space="preserve"> </w:t>
      </w:r>
      <w:r w:rsidR="0011009F" w:rsidRPr="0011009F">
        <w:rPr>
          <w:b/>
          <w:bCs/>
        </w:rPr>
        <w:t>6</w:t>
      </w:r>
      <w:r w:rsidR="0011009F">
        <w:t xml:space="preserve"> </w:t>
      </w:r>
      <w:r w:rsidR="0011009F" w:rsidRPr="000D6E41">
        <w:t>additional</w:t>
      </w:r>
      <w:r w:rsidRPr="000D6E41">
        <w:t xml:space="preserve"> </w:t>
      </w:r>
      <w:r w:rsidR="00375C86" w:rsidRPr="000D6E41">
        <w:t xml:space="preserve">recommendations in its </w:t>
      </w:r>
      <w:r w:rsidR="00507460" w:rsidRPr="000D6E41">
        <w:t>final</w:t>
      </w:r>
      <w:r w:rsidR="00DA161F" w:rsidRPr="000D6E41">
        <w:t xml:space="preserve"> </w:t>
      </w:r>
      <w:r w:rsidR="00F15D60" w:rsidRPr="000D6E41">
        <w:t>report</w:t>
      </w:r>
      <w:r w:rsidR="00F22B4F">
        <w:t xml:space="preserve"> on its inquiry</w:t>
      </w:r>
      <w:r w:rsidR="00F15D60" w:rsidRPr="000D6E41">
        <w:t xml:space="preserve"> into</w:t>
      </w:r>
      <w:r w:rsidR="00375C86" w:rsidRPr="000D6E41">
        <w:t xml:space="preserve"> child and youth protection services (</w:t>
      </w:r>
      <w:r w:rsidR="00507460" w:rsidRPr="000D6E41">
        <w:t>P</w:t>
      </w:r>
      <w:r w:rsidR="00375C86" w:rsidRPr="000D6E41">
        <w:t>art 1).</w:t>
      </w:r>
    </w:p>
    <w:p w14:paraId="31867870" w14:textId="64901103" w:rsidR="00EF03CC" w:rsidRPr="00EF03CC" w:rsidRDefault="00EF03CC" w:rsidP="00EF03CC">
      <w:pPr>
        <w:pStyle w:val="BodyText1"/>
      </w:pPr>
      <w:r w:rsidRPr="00EF03CC">
        <w:lastRenderedPageBreak/>
        <w:t xml:space="preserve">The Committee wishes to thank all of those who have contributed to </w:t>
      </w:r>
      <w:r w:rsidR="00632CA3">
        <w:t xml:space="preserve">this part of </w:t>
      </w:r>
      <w:r w:rsidRPr="00EF03CC">
        <w:t>its inquiry.</w:t>
      </w:r>
    </w:p>
    <w:p w14:paraId="0F41BE1F" w14:textId="77777777" w:rsidR="00EF03CC" w:rsidRPr="00375C86" w:rsidRDefault="00EF03CC" w:rsidP="00EF03CC">
      <w:pPr>
        <w:pStyle w:val="Bodytextnonumbering"/>
      </w:pPr>
    </w:p>
    <w:p w14:paraId="74D818A4" w14:textId="62F75326" w:rsidR="00483A9C" w:rsidRDefault="00483A9C" w:rsidP="00960E9A">
      <w:pPr>
        <w:pStyle w:val="BodyText1"/>
        <w:numPr>
          <w:ilvl w:val="0"/>
          <w:numId w:val="0"/>
        </w:numPr>
        <w:ind w:left="680" w:hanging="680"/>
      </w:pPr>
    </w:p>
    <w:p w14:paraId="453DD6E9" w14:textId="77777777" w:rsidR="00483A9C" w:rsidRDefault="00483A9C" w:rsidP="00960E9A">
      <w:pPr>
        <w:pStyle w:val="BodyText1"/>
        <w:numPr>
          <w:ilvl w:val="0"/>
          <w:numId w:val="0"/>
        </w:numPr>
        <w:ind w:left="680" w:hanging="680"/>
      </w:pPr>
    </w:p>
    <w:p w14:paraId="1A7B3260" w14:textId="77777777" w:rsidR="00960E9A" w:rsidRPr="00960E9A" w:rsidRDefault="00960E9A" w:rsidP="00960E9A">
      <w:pPr>
        <w:pStyle w:val="BodyText1"/>
        <w:numPr>
          <w:ilvl w:val="0"/>
          <w:numId w:val="0"/>
        </w:numPr>
        <w:ind w:left="680" w:hanging="680"/>
      </w:pPr>
      <w:r>
        <w:t xml:space="preserve">Ms </w:t>
      </w:r>
      <w:r w:rsidR="00AC2589">
        <w:t>Bec Cody</w:t>
      </w:r>
      <w:r>
        <w:t xml:space="preserve"> </w:t>
      </w:r>
      <w:r w:rsidRPr="00960E9A">
        <w:t>MLA</w:t>
      </w:r>
    </w:p>
    <w:p w14:paraId="03484BE5" w14:textId="77777777" w:rsidR="00960E9A" w:rsidRPr="00960E9A" w:rsidRDefault="00960E9A" w:rsidP="00960E9A">
      <w:pPr>
        <w:spacing w:before="240" w:after="100" w:line="288" w:lineRule="auto"/>
        <w:ind w:left="680" w:hanging="680"/>
      </w:pPr>
      <w:r w:rsidRPr="00960E9A">
        <w:t>Chair</w:t>
      </w:r>
    </w:p>
    <w:p w14:paraId="3BA990DD" w14:textId="77777777" w:rsidR="00C6758B" w:rsidRDefault="00A644DD" w:rsidP="00C6758B">
      <w:pPr>
        <w:keepNext/>
        <w:spacing w:before="160" w:after="80" w:line="288" w:lineRule="auto"/>
        <w:outlineLvl w:val="1"/>
        <w:rPr>
          <w:rFonts w:cs="Arial"/>
          <w:iCs/>
        </w:rPr>
        <w:sectPr w:rsidR="00C6758B" w:rsidSect="00E629E2">
          <w:headerReference w:type="even" r:id="rId34"/>
          <w:type w:val="oddPage"/>
          <w:pgSz w:w="11907" w:h="16840" w:code="9"/>
          <w:pgMar w:top="1588" w:right="1418" w:bottom="1418" w:left="1418" w:header="720" w:footer="851" w:gutter="0"/>
          <w:cols w:space="720"/>
          <w:docGrid w:linePitch="360"/>
        </w:sectPr>
      </w:pPr>
      <w:r>
        <w:rPr>
          <w:rFonts w:cs="Arial"/>
          <w:iCs/>
        </w:rPr>
        <w:t xml:space="preserve">25 </w:t>
      </w:r>
      <w:r w:rsidR="004B3D74">
        <w:rPr>
          <w:rFonts w:cs="Arial"/>
          <w:iCs/>
        </w:rPr>
        <w:t>August</w:t>
      </w:r>
      <w:r w:rsidR="00827652" w:rsidRPr="007F3922">
        <w:rPr>
          <w:rFonts w:cs="Arial"/>
          <w:iCs/>
        </w:rPr>
        <w:t xml:space="preserve"> </w:t>
      </w:r>
      <w:r w:rsidR="00DD713E" w:rsidRPr="007F3922">
        <w:rPr>
          <w:rFonts w:cs="Arial"/>
          <w:iCs/>
        </w:rPr>
        <w:t>20</w:t>
      </w:r>
      <w:r w:rsidR="00AC2589" w:rsidRPr="007F3922">
        <w:rPr>
          <w:rFonts w:cs="Arial"/>
          <w:iCs/>
        </w:rPr>
        <w:t>20</w:t>
      </w:r>
    </w:p>
    <w:p w14:paraId="214FB679" w14:textId="4DB0C8BB" w:rsidR="00C6758B" w:rsidRDefault="00C6758B" w:rsidP="00C6758B">
      <w:pPr>
        <w:pStyle w:val="AppendixHeading1"/>
      </w:pPr>
      <w:bookmarkStart w:id="121" w:name="_Toc49281161"/>
      <w:r>
        <w:lastRenderedPageBreak/>
        <w:t>Specialist advice</w:t>
      </w:r>
      <w:bookmarkEnd w:id="121"/>
    </w:p>
    <w:p w14:paraId="4BFB04D6" w14:textId="77777777" w:rsidR="00182066" w:rsidRDefault="00182066"/>
    <w:p w14:paraId="7DA0DB44" w14:textId="2C9785F6" w:rsidR="00182066" w:rsidRDefault="00182066">
      <w:pPr>
        <w:sectPr w:rsidR="00182066" w:rsidSect="00E629E2">
          <w:headerReference w:type="even" r:id="rId35"/>
          <w:type w:val="oddPage"/>
          <w:pgSz w:w="11907" w:h="16840" w:code="9"/>
          <w:pgMar w:top="1588" w:right="1418" w:bottom="1418" w:left="1418" w:header="720" w:footer="851" w:gutter="0"/>
          <w:cols w:space="720"/>
          <w:docGrid w:linePitch="360"/>
        </w:sectPr>
      </w:pPr>
    </w:p>
    <w:p w14:paraId="520AA82C" w14:textId="77777777" w:rsidR="00182066" w:rsidRPr="00182066" w:rsidRDefault="00182066" w:rsidP="00182066">
      <w:pPr>
        <w:keepNext/>
        <w:keepLines/>
        <w:spacing w:before="240"/>
        <w:jc w:val="center"/>
        <w:outlineLvl w:val="0"/>
        <w:rPr>
          <w:rFonts w:ascii="Calibri Light" w:hAnsi="Calibri Light"/>
          <w:color w:val="2F5496"/>
          <w:sz w:val="24"/>
        </w:rPr>
      </w:pPr>
      <w:r w:rsidRPr="00182066">
        <w:rPr>
          <w:rFonts w:ascii="Calibri Light" w:hAnsi="Calibri Light"/>
          <w:color w:val="2F5496"/>
          <w:sz w:val="24"/>
        </w:rPr>
        <w:lastRenderedPageBreak/>
        <w:t>Advice to the ACT Legislative Assembly’s Standing Committee on Health, Ageing and Community Services on procedural matters related to child and youth protection services in the ACT</w:t>
      </w:r>
    </w:p>
    <w:p w14:paraId="7DE28283" w14:textId="77777777" w:rsidR="00182066" w:rsidRPr="00182066" w:rsidRDefault="00182066" w:rsidP="00182066">
      <w:pPr>
        <w:rPr>
          <w:rFonts w:eastAsia="Calibri"/>
          <w:sz w:val="24"/>
        </w:rPr>
      </w:pPr>
    </w:p>
    <w:p w14:paraId="75B5D652" w14:textId="77777777" w:rsidR="00182066" w:rsidRPr="00182066" w:rsidRDefault="00182066" w:rsidP="00182066">
      <w:pPr>
        <w:jc w:val="center"/>
        <w:rPr>
          <w:rFonts w:eastAsia="Calibri"/>
          <w:sz w:val="24"/>
        </w:rPr>
      </w:pPr>
      <w:r w:rsidRPr="00182066">
        <w:rPr>
          <w:rFonts w:eastAsia="Calibri"/>
          <w:sz w:val="24"/>
        </w:rPr>
        <w:t>Richard Herr OAM</w:t>
      </w:r>
    </w:p>
    <w:p w14:paraId="5BEBF602" w14:textId="77777777" w:rsidR="00182066" w:rsidRPr="00182066" w:rsidRDefault="00182066" w:rsidP="00182066">
      <w:pPr>
        <w:rPr>
          <w:rFonts w:eastAsia="Calibri"/>
          <w:sz w:val="24"/>
        </w:rPr>
      </w:pPr>
    </w:p>
    <w:p w14:paraId="06498C10" w14:textId="77777777" w:rsidR="00182066" w:rsidRPr="007A2958" w:rsidRDefault="00182066" w:rsidP="007A2958">
      <w:pPr>
        <w:rPr>
          <w:color w:val="365F91" w:themeColor="accent1" w:themeShade="BF"/>
          <w:sz w:val="24"/>
          <w:lang w:eastAsia="en-GB"/>
        </w:rPr>
      </w:pPr>
      <w:r w:rsidRPr="007A2958">
        <w:rPr>
          <w:color w:val="365F91" w:themeColor="accent1" w:themeShade="BF"/>
          <w:sz w:val="24"/>
          <w:lang w:eastAsia="en-GB"/>
        </w:rPr>
        <w:t xml:space="preserve">Background </w:t>
      </w:r>
    </w:p>
    <w:p w14:paraId="4E8EF36A" w14:textId="77777777" w:rsidR="00182066" w:rsidRPr="00182066" w:rsidRDefault="00182066" w:rsidP="00182066">
      <w:pPr>
        <w:spacing w:before="120" w:after="120"/>
        <w:jc w:val="both"/>
        <w:rPr>
          <w:rFonts w:eastAsia="Calibri" w:cs="Calibri"/>
          <w:sz w:val="24"/>
        </w:rPr>
      </w:pPr>
      <w:r w:rsidRPr="00182066">
        <w:rPr>
          <w:rFonts w:eastAsia="Calibri"/>
          <w:sz w:val="24"/>
        </w:rPr>
        <w:t xml:space="preserve">As part of the Legislative Assembly’s Standing Committee on Health, Ageing and Community Services (the Committee) inquiry into matters related to Child and Youth Protection Services (CYPS) in the ACT under the </w:t>
      </w:r>
      <w:r w:rsidRPr="00182066">
        <w:rPr>
          <w:rFonts w:eastAsia="Calibri"/>
          <w:i/>
          <w:iCs/>
          <w:sz w:val="24"/>
        </w:rPr>
        <w:t>Children and Young People Act 2008</w:t>
      </w:r>
      <w:r w:rsidRPr="00182066">
        <w:rPr>
          <w:rFonts w:eastAsia="Calibri"/>
          <w:sz w:val="24"/>
        </w:rPr>
        <w:t xml:space="preserve"> (the Act), the Committee sought procedural advice on securing relevant information from CYPS officials.  Beyond the sensitivity of its contents, the need for this statutorily protected information has raised some challenging issues regarding parliamentary supremacy, parliamentary privilege and the capacity of a Parliament to delegate unfettered discretion to an agency of its own creation. </w:t>
      </w:r>
    </w:p>
    <w:p w14:paraId="5D1D0CC9" w14:textId="77777777" w:rsidR="00182066" w:rsidRPr="00182066" w:rsidRDefault="00182066" w:rsidP="00182066">
      <w:pPr>
        <w:spacing w:before="120" w:after="120"/>
        <w:rPr>
          <w:rFonts w:eastAsia="Calibri"/>
          <w:sz w:val="24"/>
        </w:rPr>
      </w:pPr>
      <w:r w:rsidRPr="00182066">
        <w:rPr>
          <w:rFonts w:eastAsia="Calibri"/>
          <w:sz w:val="24"/>
        </w:rPr>
        <w:t xml:space="preserve">Specifically, the Committee asked for advice on answering the following questions: </w:t>
      </w:r>
    </w:p>
    <w:p w14:paraId="3E806EB6" w14:textId="77777777" w:rsidR="00182066" w:rsidRPr="00182066" w:rsidRDefault="00182066" w:rsidP="00182066">
      <w:pPr>
        <w:numPr>
          <w:ilvl w:val="0"/>
          <w:numId w:val="28"/>
        </w:numPr>
        <w:spacing w:before="120" w:after="120"/>
        <w:ind w:left="567" w:hanging="357"/>
        <w:rPr>
          <w:rFonts w:eastAsia="Calibri"/>
          <w:sz w:val="24"/>
        </w:rPr>
      </w:pPr>
      <w:r w:rsidRPr="00182066">
        <w:rPr>
          <w:rFonts w:eastAsia="Calibri"/>
          <w:sz w:val="24"/>
        </w:rPr>
        <w:t xml:space="preserve">is the Committee obliged to comply with the secrecy provisions of the Act relating to protected and sensitive information; </w:t>
      </w:r>
    </w:p>
    <w:p w14:paraId="602400FA" w14:textId="77777777" w:rsidR="00182066" w:rsidRPr="00182066" w:rsidRDefault="00182066" w:rsidP="00182066">
      <w:pPr>
        <w:numPr>
          <w:ilvl w:val="0"/>
          <w:numId w:val="28"/>
        </w:numPr>
        <w:spacing w:before="120" w:after="120"/>
        <w:ind w:left="567" w:hanging="357"/>
        <w:rPr>
          <w:rFonts w:eastAsia="Calibri"/>
          <w:sz w:val="24"/>
        </w:rPr>
      </w:pPr>
      <w:r w:rsidRPr="00182066">
        <w:rPr>
          <w:rFonts w:eastAsia="Calibri"/>
          <w:sz w:val="24"/>
        </w:rPr>
        <w:t>if the Committee is exempt due to the separation of powers and parliamentary privilege—how far can it go [with consideration—that the Committee would not unduly wish to trample on the law and would also wish to respect a healthy upholding of expected norms]; and</w:t>
      </w:r>
    </w:p>
    <w:p w14:paraId="60464DE3" w14:textId="77777777" w:rsidR="00182066" w:rsidRPr="00182066" w:rsidRDefault="00182066" w:rsidP="00182066">
      <w:pPr>
        <w:numPr>
          <w:ilvl w:val="0"/>
          <w:numId w:val="28"/>
        </w:numPr>
        <w:spacing w:before="120" w:after="120"/>
        <w:ind w:left="567" w:hanging="349"/>
        <w:rPr>
          <w:sz w:val="24"/>
          <w:lang w:eastAsia="en-GB"/>
        </w:rPr>
      </w:pPr>
      <w:r w:rsidRPr="00182066">
        <w:rPr>
          <w:sz w:val="24"/>
          <w:lang w:eastAsia="en-GB"/>
        </w:rPr>
        <w:t>whether the Assembly can waive implicitly its parliamentary privilege by the legislation it passes on a specific matter?</w:t>
      </w:r>
    </w:p>
    <w:p w14:paraId="0426D9DB" w14:textId="77777777" w:rsidR="00182066" w:rsidRPr="00182066" w:rsidRDefault="00182066" w:rsidP="00182066">
      <w:pPr>
        <w:spacing w:before="120" w:after="120"/>
        <w:jc w:val="both"/>
        <w:rPr>
          <w:rFonts w:eastAsia="Calibri" w:cs="Calibri"/>
          <w:sz w:val="24"/>
        </w:rPr>
      </w:pPr>
      <w:r w:rsidRPr="00182066">
        <w:rPr>
          <w:rFonts w:eastAsia="Calibri" w:cs="Calibri"/>
          <w:sz w:val="24"/>
        </w:rPr>
        <w:t xml:space="preserve">At the constitutional level, these bring to the fore the Assembly’s role in maintaining the democratic values of the Westminster model of responsible government.  At an operational level, these questions go to the enduring responsibilities the Parliament has for ensuring that the laws it passes deliver the </w:t>
      </w:r>
      <w:r w:rsidRPr="00182066">
        <w:rPr>
          <w:rFonts w:eastAsia="Calibri" w:cs="Calibri"/>
          <w:sz w:val="24"/>
          <w:u w:val="single"/>
        </w:rPr>
        <w:t>legislative benefits</w:t>
      </w:r>
      <w:r w:rsidRPr="00182066">
        <w:rPr>
          <w:rFonts w:eastAsia="Calibri" w:cs="Calibri"/>
          <w:sz w:val="24"/>
        </w:rPr>
        <w:t xml:space="preserve"> originally intended.  Parliament’s review and assess obligation is especially important in the case of statutory agencies that have delegated very significant regulatory authority.  The Parliament has the powers and privileges it has because it has the responsibility to oversee Executive actions and agencies, on behalf of the people, to guarantee transparency and accountability from the Government.  While the Parliament’s right is absolute, there are circumstances where exercising this right may be imprudent and/or disruptive to good order and governance.  The challenge is to find a path that allows the Parliament to maintain its rights even as it exercises restraint to avoid undue obstruction to the reasonable discharge of Executive powers.   </w:t>
      </w:r>
    </w:p>
    <w:p w14:paraId="13D43F67" w14:textId="77777777" w:rsidR="00182066" w:rsidRPr="007A2958" w:rsidRDefault="00182066" w:rsidP="007A2958">
      <w:pPr>
        <w:rPr>
          <w:color w:val="365F91" w:themeColor="accent1" w:themeShade="BF"/>
          <w:sz w:val="24"/>
          <w:lang w:eastAsia="en-GB"/>
        </w:rPr>
      </w:pPr>
      <w:r w:rsidRPr="007A2958">
        <w:rPr>
          <w:color w:val="365F91" w:themeColor="accent1" w:themeShade="BF"/>
          <w:sz w:val="24"/>
          <w:lang w:eastAsia="en-GB"/>
        </w:rPr>
        <w:t>First Principles</w:t>
      </w:r>
    </w:p>
    <w:p w14:paraId="50910704" w14:textId="5BE351EC" w:rsidR="00182066" w:rsidRPr="00182066" w:rsidRDefault="00182066" w:rsidP="007A2958">
      <w:pPr>
        <w:spacing w:before="120" w:after="120"/>
        <w:jc w:val="both"/>
        <w:rPr>
          <w:sz w:val="24"/>
          <w:lang w:eastAsia="en-GB"/>
        </w:rPr>
      </w:pPr>
      <w:r w:rsidRPr="007A2958">
        <w:rPr>
          <w:rFonts w:cs="Calibri"/>
          <w:sz w:val="24"/>
          <w:lang w:eastAsia="en-GB"/>
        </w:rPr>
        <w:t>The opinion and advice that follow are based on the central tenets of democracy and especially the Westminster model of responsible government on which the Australian Capital Territory’s system of governance is based.  The key canons of democracy include popular sovereignty, the rule of law and the principle that all public power must be publicly</w:t>
      </w:r>
      <w:r w:rsidRPr="00182066">
        <w:rPr>
          <w:rFonts w:cs="Calibri"/>
          <w:sz w:val="24"/>
          <w:lang w:eastAsia="en-GB"/>
        </w:rPr>
        <w:t xml:space="preserve"> </w:t>
      </w:r>
      <w:r w:rsidRPr="00182066">
        <w:rPr>
          <w:rFonts w:cs="Calibri"/>
          <w:sz w:val="24"/>
          <w:lang w:eastAsia="en-GB"/>
        </w:rPr>
        <w:lastRenderedPageBreak/>
        <w:t xml:space="preserve">accountable. </w:t>
      </w:r>
      <w:r w:rsidRPr="00182066">
        <w:rPr>
          <w:sz w:val="24"/>
          <w:lang w:eastAsia="en-GB"/>
        </w:rPr>
        <w:t xml:space="preserve"> The essence of democracy is, as former Chief Justice Robert French described it, “informed by the principle that there is no such thing as unlimited official power.”</w:t>
      </w:r>
      <w:r w:rsidRPr="00182066">
        <w:rPr>
          <w:sz w:val="24"/>
          <w:vertAlign w:val="superscript"/>
          <w:lang w:eastAsia="en-GB"/>
        </w:rPr>
        <w:footnoteReference w:id="36"/>
      </w:r>
    </w:p>
    <w:p w14:paraId="66C711EC" w14:textId="77777777" w:rsidR="00182066" w:rsidRPr="00182066" w:rsidRDefault="00182066" w:rsidP="00182066">
      <w:pPr>
        <w:spacing w:before="120" w:after="120"/>
        <w:jc w:val="both"/>
        <w:rPr>
          <w:rFonts w:eastAsia="Calibri" w:cs="Calibri"/>
          <w:sz w:val="24"/>
        </w:rPr>
      </w:pPr>
      <w:r w:rsidRPr="00182066">
        <w:rPr>
          <w:rFonts w:eastAsia="Calibri" w:cs="Calibri"/>
          <w:sz w:val="24"/>
        </w:rPr>
        <w:t>The Westminster system of responsible government has evolved over some three centuries to ensure that official power is limited and responsible to the people who are the source of all official power.  The core principles of the Westminster model are that:</w:t>
      </w:r>
    </w:p>
    <w:p w14:paraId="7E077308" w14:textId="77777777" w:rsidR="00182066" w:rsidRPr="00182066" w:rsidRDefault="00182066" w:rsidP="00182066">
      <w:pPr>
        <w:numPr>
          <w:ilvl w:val="0"/>
          <w:numId w:val="29"/>
        </w:numPr>
        <w:spacing w:before="120" w:after="120"/>
        <w:contextualSpacing/>
        <w:jc w:val="both"/>
        <w:rPr>
          <w:rFonts w:eastAsia="Calibri" w:cs="Calibri"/>
          <w:sz w:val="24"/>
        </w:rPr>
      </w:pPr>
      <w:r w:rsidRPr="00182066">
        <w:rPr>
          <w:rFonts w:eastAsia="Calibri" w:cs="Calibri"/>
          <w:sz w:val="24"/>
        </w:rPr>
        <w:t xml:space="preserve">The Parliament is the supreme organ of government;  </w:t>
      </w:r>
    </w:p>
    <w:p w14:paraId="7ED4F41C" w14:textId="77777777" w:rsidR="00182066" w:rsidRPr="00182066" w:rsidRDefault="00182066" w:rsidP="00182066">
      <w:pPr>
        <w:numPr>
          <w:ilvl w:val="0"/>
          <w:numId w:val="29"/>
        </w:numPr>
        <w:spacing w:before="120" w:after="120"/>
        <w:contextualSpacing/>
        <w:jc w:val="both"/>
        <w:rPr>
          <w:rFonts w:eastAsia="Calibri" w:cs="Calibri"/>
          <w:sz w:val="24"/>
        </w:rPr>
      </w:pPr>
      <w:r w:rsidRPr="00182066">
        <w:rPr>
          <w:rFonts w:eastAsia="Calibri" w:cs="Calibri"/>
          <w:sz w:val="24"/>
        </w:rPr>
        <w:t>The Ministry (Government) is responsible to the Parliament;</w:t>
      </w:r>
    </w:p>
    <w:p w14:paraId="4AA5E044" w14:textId="77777777" w:rsidR="00182066" w:rsidRPr="00182066" w:rsidRDefault="00182066" w:rsidP="00182066">
      <w:pPr>
        <w:numPr>
          <w:ilvl w:val="0"/>
          <w:numId w:val="29"/>
        </w:numPr>
        <w:spacing w:before="120" w:after="120"/>
        <w:contextualSpacing/>
        <w:jc w:val="both"/>
        <w:rPr>
          <w:rFonts w:eastAsia="Calibri" w:cs="Calibri"/>
          <w:sz w:val="24"/>
        </w:rPr>
      </w:pPr>
      <w:r w:rsidRPr="00182066">
        <w:rPr>
          <w:rFonts w:eastAsia="Calibri" w:cs="Calibri"/>
          <w:sz w:val="24"/>
        </w:rPr>
        <w:t>The non-elected Executive (bureaucracy and statutory agencies) are accountable to the Parliament through the Ministry; and</w:t>
      </w:r>
    </w:p>
    <w:p w14:paraId="5899618D" w14:textId="77777777" w:rsidR="00182066" w:rsidRPr="00182066" w:rsidRDefault="00182066" w:rsidP="00182066">
      <w:pPr>
        <w:numPr>
          <w:ilvl w:val="0"/>
          <w:numId w:val="29"/>
        </w:numPr>
        <w:spacing w:before="120" w:after="120"/>
        <w:contextualSpacing/>
        <w:jc w:val="both"/>
        <w:rPr>
          <w:rFonts w:eastAsia="Calibri" w:cs="Calibri"/>
          <w:sz w:val="24"/>
        </w:rPr>
      </w:pPr>
      <w:r w:rsidRPr="00182066">
        <w:rPr>
          <w:rFonts w:eastAsia="Calibri" w:cs="Calibri"/>
          <w:sz w:val="24"/>
        </w:rPr>
        <w:t>The internal arrangements and proceedings of Parliament are absolutely privileged (not reviewable by the courts).</w:t>
      </w:r>
    </w:p>
    <w:p w14:paraId="0F4037B1" w14:textId="77777777" w:rsidR="00182066" w:rsidRPr="00182066" w:rsidRDefault="00182066" w:rsidP="00182066">
      <w:pPr>
        <w:spacing w:before="120" w:after="120"/>
        <w:jc w:val="both"/>
        <w:rPr>
          <w:rFonts w:eastAsia="Calibri" w:cs="Calibri"/>
          <w:sz w:val="24"/>
        </w:rPr>
      </w:pPr>
      <w:r w:rsidRPr="00182066">
        <w:rPr>
          <w:rFonts w:eastAsia="Calibri" w:cs="Calibri"/>
          <w:sz w:val="24"/>
        </w:rPr>
        <w:t xml:space="preserve">These long-established principles establish that the Executive arm of government is subordinate to the Parliament and therefore is both answerable to, and responsible to, the Parliament.  Thus, despite references in the Westminster literature to the separation of powers, the Westminster model makes no assumption of equality between these two arms of government in the fashion of the American system of a strict separation of powers.  While not explicit, the supremacy of the Legislative Assembly of the ACT is clear in section 19 of </w:t>
      </w:r>
      <w:r w:rsidRPr="00182066">
        <w:rPr>
          <w:rFonts w:eastAsia="Calibri" w:cs="Calibri"/>
          <w:i/>
          <w:iCs/>
          <w:sz w:val="24"/>
        </w:rPr>
        <w:t xml:space="preserve">The </w:t>
      </w:r>
      <w:r w:rsidRPr="00182066">
        <w:rPr>
          <w:rFonts w:eastAsia="Calibri"/>
          <w:i/>
          <w:iCs/>
          <w:sz w:val="24"/>
        </w:rPr>
        <w:t>Australian Capital Territory (Self</w:t>
      </w:r>
      <w:r w:rsidRPr="00182066">
        <w:rPr>
          <w:rFonts w:eastAsia="Calibri"/>
          <w:i/>
          <w:iCs/>
          <w:sz w:val="24"/>
        </w:rPr>
        <w:noBreakHyphen/>
        <w:t>Government) Act 1988</w:t>
      </w:r>
      <w:r w:rsidRPr="00182066">
        <w:rPr>
          <w:rFonts w:eastAsia="Calibri"/>
          <w:sz w:val="24"/>
        </w:rPr>
        <w:t xml:space="preserve"> which empowers the Assembly to dismiss the Chief Minister and in section 46 thereby the entire Government.  </w:t>
      </w:r>
    </w:p>
    <w:p w14:paraId="2DA53022" w14:textId="77777777" w:rsidR="00182066" w:rsidRPr="00182066" w:rsidRDefault="00182066" w:rsidP="00182066">
      <w:pPr>
        <w:spacing w:before="120" w:after="120"/>
        <w:jc w:val="both"/>
        <w:rPr>
          <w:rFonts w:eastAsia="Calibri" w:cs="Calibri"/>
          <w:sz w:val="24"/>
        </w:rPr>
      </w:pPr>
      <w:r w:rsidRPr="00182066">
        <w:rPr>
          <w:rFonts w:eastAsia="Calibri" w:cs="Calibri"/>
          <w:sz w:val="24"/>
        </w:rPr>
        <w:t xml:space="preserve">The constitutional supremacy of Parliament is why any option for resolving a dispute over the production of documents must rest on the presumption that the onus of proof against producing documents ordered by the Parliament rests entirely on the Executive.  It is the Executive arm of government which must demonstrate why it is attempting to refuse parliamentary transparency and accountability; in short resisting its constitutional obligation to be responsible to parliament.  It is not adequate to have a reason to prefer not to hand over documents.  The Executive must have a </w:t>
      </w:r>
      <w:r w:rsidRPr="00182066">
        <w:rPr>
          <w:rFonts w:eastAsia="Calibri" w:cs="Calibri"/>
          <w:sz w:val="24"/>
          <w:u w:val="single"/>
        </w:rPr>
        <w:t>compelling</w:t>
      </w:r>
      <w:r w:rsidRPr="00182066">
        <w:rPr>
          <w:rFonts w:eastAsia="Calibri" w:cs="Calibri"/>
          <w:sz w:val="24"/>
        </w:rPr>
        <w:t xml:space="preserve"> reason – one that is persuasive to the Parliament.  Importantly, this matter has already been litigated in the </w:t>
      </w:r>
      <w:r w:rsidRPr="00182066">
        <w:rPr>
          <w:rFonts w:eastAsia="Calibri" w:cs="Calibri"/>
          <w:i/>
          <w:iCs/>
          <w:sz w:val="24"/>
        </w:rPr>
        <w:t xml:space="preserve">Egan v Willis </w:t>
      </w:r>
      <w:r w:rsidRPr="00182066">
        <w:rPr>
          <w:rFonts w:eastAsia="Calibri" w:cs="Calibri"/>
          <w:sz w:val="24"/>
        </w:rPr>
        <w:t xml:space="preserve">and </w:t>
      </w:r>
      <w:r w:rsidRPr="00182066">
        <w:rPr>
          <w:rFonts w:eastAsia="Calibri" w:cs="Calibri"/>
          <w:i/>
          <w:iCs/>
          <w:sz w:val="24"/>
        </w:rPr>
        <w:t xml:space="preserve">Egan v Chadwick </w:t>
      </w:r>
      <w:r w:rsidRPr="00182066">
        <w:rPr>
          <w:rFonts w:eastAsia="Calibri" w:cs="Calibri"/>
          <w:sz w:val="24"/>
        </w:rPr>
        <w:t>cases.</w:t>
      </w:r>
      <w:r w:rsidRPr="00182066">
        <w:rPr>
          <w:rFonts w:eastAsia="Calibri" w:cs="Calibri"/>
          <w:sz w:val="24"/>
          <w:vertAlign w:val="superscript"/>
        </w:rPr>
        <w:footnoteReference w:id="37"/>
      </w:r>
      <w:r w:rsidRPr="00182066">
        <w:rPr>
          <w:rFonts w:eastAsia="Calibri" w:cs="Calibri"/>
          <w:sz w:val="24"/>
        </w:rPr>
        <w:t xml:space="preserve">  The courts found in favour of the Parliament, ruling that the Government had to respect its responsibility under Westminster conventions to be accountable to Parliament.</w:t>
      </w:r>
    </w:p>
    <w:p w14:paraId="35344FFC" w14:textId="77777777" w:rsidR="00182066" w:rsidRPr="00182066" w:rsidRDefault="00182066" w:rsidP="00182066">
      <w:pPr>
        <w:spacing w:before="120" w:after="120"/>
        <w:jc w:val="both"/>
        <w:rPr>
          <w:rFonts w:eastAsia="Calibri" w:cs="Calibri"/>
          <w:sz w:val="24"/>
        </w:rPr>
      </w:pPr>
      <w:r w:rsidRPr="00182066">
        <w:rPr>
          <w:rFonts w:eastAsia="Calibri" w:cs="Calibri"/>
          <w:sz w:val="24"/>
        </w:rPr>
        <w:t xml:space="preserve">Nevertheless, in practice, while Parliament may have an absolute right to information, it may be imprudent to demand this right absolutely.  There are all types of privileged relationships that are protected because these respect civil liberties or are necessary for good order in the community.  Lawyer-client, doctor-patient, journalist-source, priest-penitent are some that come to mind readily.  These are controversial at times as recently with the AFP raids on the ABC or the Church’s seal of the confessional and child abuse.  The Government’s claim to some sort of executive privilege may be desirable and conducive for good governance but it is not a right that it can claim against Parliament absolutely.  Still, a Parliament needs to use </w:t>
      </w:r>
      <w:r w:rsidRPr="00182066">
        <w:rPr>
          <w:rFonts w:eastAsia="Calibri" w:cs="Calibri"/>
          <w:sz w:val="24"/>
        </w:rPr>
        <w:lastRenderedPageBreak/>
        <w:t>discretion in its relations with the Executive by being prudent in how it uses its oversight/accountability powers to avoid unnecessary and unproductive stalemates.</w:t>
      </w:r>
    </w:p>
    <w:p w14:paraId="32ED42E6" w14:textId="77777777" w:rsidR="00182066" w:rsidRPr="00182066" w:rsidRDefault="00182066" w:rsidP="00182066">
      <w:pPr>
        <w:spacing w:before="120" w:after="120"/>
        <w:jc w:val="both"/>
        <w:rPr>
          <w:rFonts w:eastAsia="Calibri" w:cs="Calibri"/>
          <w:sz w:val="24"/>
        </w:rPr>
      </w:pPr>
    </w:p>
    <w:p w14:paraId="532C4EEA" w14:textId="77777777" w:rsidR="00182066" w:rsidRPr="00182066" w:rsidRDefault="00182066" w:rsidP="007A2958">
      <w:pPr>
        <w:keepNext/>
        <w:keepLines/>
        <w:spacing w:before="120" w:after="120"/>
        <w:outlineLvl w:val="1"/>
        <w:rPr>
          <w:rFonts w:ascii="Calibri Light" w:hAnsi="Calibri Light"/>
          <w:color w:val="2F5496"/>
          <w:sz w:val="24"/>
          <w:lang w:eastAsia="en-GB"/>
        </w:rPr>
      </w:pPr>
      <w:r w:rsidRPr="00182066">
        <w:rPr>
          <w:rFonts w:ascii="Calibri Light" w:hAnsi="Calibri Light"/>
          <w:color w:val="2F5496"/>
          <w:sz w:val="24"/>
          <w:lang w:eastAsia="en-GB"/>
        </w:rPr>
        <w:t>Opinion on the Questions Put by the Committee</w:t>
      </w:r>
    </w:p>
    <w:p w14:paraId="65DC4D48" w14:textId="77777777" w:rsidR="00182066" w:rsidRPr="00182066" w:rsidRDefault="00182066" w:rsidP="00182066">
      <w:pPr>
        <w:spacing w:before="120" w:after="120"/>
        <w:rPr>
          <w:rFonts w:eastAsia="Calibri"/>
          <w:sz w:val="24"/>
        </w:rPr>
      </w:pPr>
      <w:r w:rsidRPr="00182066">
        <w:rPr>
          <w:rFonts w:eastAsia="Calibri"/>
          <w:sz w:val="24"/>
        </w:rPr>
        <w:t xml:space="preserve">The opinion that follows on each of the three questions put by the Committee is informed by these key principles of the Westminster system outlined above as well the materials made available for review. </w:t>
      </w:r>
    </w:p>
    <w:p w14:paraId="4F8DC109" w14:textId="77777777" w:rsidR="00182066" w:rsidRPr="00182066" w:rsidRDefault="00182066" w:rsidP="00182066">
      <w:pPr>
        <w:rPr>
          <w:rFonts w:eastAsia="Calibri"/>
          <w:sz w:val="24"/>
        </w:rPr>
      </w:pPr>
    </w:p>
    <w:p w14:paraId="0C33561B" w14:textId="77777777" w:rsidR="00182066" w:rsidRPr="00182066" w:rsidRDefault="00182066" w:rsidP="007A2958">
      <w:pPr>
        <w:keepNext/>
        <w:keepLines/>
        <w:spacing w:before="40"/>
        <w:outlineLvl w:val="3"/>
        <w:rPr>
          <w:rFonts w:ascii="Calibri Light" w:hAnsi="Calibri Light"/>
          <w:i/>
          <w:iCs/>
          <w:color w:val="2F5496"/>
          <w:sz w:val="24"/>
        </w:rPr>
      </w:pPr>
      <w:r w:rsidRPr="00182066">
        <w:rPr>
          <w:rFonts w:ascii="Calibri Light" w:hAnsi="Calibri Light"/>
          <w:i/>
          <w:iCs/>
          <w:color w:val="2F5496"/>
          <w:sz w:val="24"/>
        </w:rPr>
        <w:t>1.  Is the Committee obliged to comply with the secrecy provisions of the Act relating to protected and sensitive information?</w:t>
      </w:r>
    </w:p>
    <w:p w14:paraId="287B0980" w14:textId="77777777" w:rsidR="00182066" w:rsidRPr="00182066" w:rsidRDefault="00182066" w:rsidP="00182066">
      <w:pPr>
        <w:spacing w:before="120" w:after="120"/>
        <w:jc w:val="both"/>
        <w:rPr>
          <w:sz w:val="24"/>
          <w:lang w:eastAsia="en-GB"/>
        </w:rPr>
      </w:pPr>
      <w:r w:rsidRPr="00182066">
        <w:rPr>
          <w:b/>
          <w:bCs/>
          <w:sz w:val="24"/>
          <w:lang w:eastAsia="en-GB"/>
        </w:rPr>
        <w:t>Answer</w:t>
      </w:r>
      <w:r w:rsidRPr="00182066">
        <w:rPr>
          <w:sz w:val="24"/>
          <w:lang w:eastAsia="en-GB"/>
        </w:rPr>
        <w:t xml:space="preserve">:  In general terms, neither the Committee as an entity nor MLAs individually appear able to be legally bound by the secrecy provisions under the Act while acting in their parliamentary role.  They are not a s843 “information holder” under subsections (a) or (b) under the Chapter 25 “information secrecy and sharing” in the first instance.  The Committee and its members do not create or routinely come into possession of CYPS protected or sensitive information.  The Committee only gains access to such information when an information holder such as the Minister or Director-General shares it.  </w:t>
      </w:r>
    </w:p>
    <w:p w14:paraId="1328361D" w14:textId="77777777" w:rsidR="00182066" w:rsidRPr="00182066" w:rsidRDefault="00182066" w:rsidP="00182066">
      <w:pPr>
        <w:spacing w:before="120" w:after="120"/>
        <w:jc w:val="both"/>
        <w:rPr>
          <w:sz w:val="24"/>
          <w:lang w:eastAsia="en-GB"/>
        </w:rPr>
      </w:pPr>
      <w:r w:rsidRPr="00182066">
        <w:rPr>
          <w:sz w:val="24"/>
          <w:lang w:eastAsia="en-GB"/>
        </w:rPr>
        <w:t xml:space="preserve">Although both the Minister and the Director-General have the authority to share protected or sensitive information, the restrictions of information sharing provisions of the Act do not apply to the Committee’s request for information.  This is not a request under the Act but arises from a proceeding of the Assembly.  It is based in parliamentary supremacy and its power to demand information and documents from the Executive.  Given the statutory basis for the CYPS, the relationship between the Minister and the agency is not as administratively linear as it would be between a minister and a department, however.  There may be some ambiguity under the Act as to who has the direct responsibility for providing the requested information to the Committee.   </w:t>
      </w:r>
    </w:p>
    <w:p w14:paraId="08B0BC5F" w14:textId="77777777" w:rsidR="00182066" w:rsidRPr="00182066" w:rsidRDefault="00182066" w:rsidP="00182066">
      <w:pPr>
        <w:spacing w:before="120" w:after="120"/>
        <w:jc w:val="both"/>
        <w:rPr>
          <w:sz w:val="24"/>
          <w:lang w:eastAsia="en-GB"/>
        </w:rPr>
      </w:pPr>
      <w:r w:rsidRPr="00182066">
        <w:rPr>
          <w:sz w:val="24"/>
          <w:lang w:eastAsia="en-GB"/>
        </w:rPr>
        <w:t xml:space="preserve">Once in possession of such data, the requirement for compliance appears to apply only if the information is further shared inappropriately.  As recognised by the Minister and the Director-General, insofar as such information comes into the possession of the Committee from an information holder as part of its work, it is protected by parliamentary privilege.  This means the Act does not apply, in this circumstance, to the Committee since its actions are not justiciable.  This privilege, however, cuts both ways in safeguarding the CYPS’s protected or sensitive information.  Any MLA or staff member of the Committee with access to this privileged information and then released it outside the authority of the Committee would be guilty of a contempt of Parliament.  </w:t>
      </w:r>
    </w:p>
    <w:p w14:paraId="7F374713" w14:textId="77777777" w:rsidR="00182066" w:rsidRPr="00182066" w:rsidRDefault="00182066" w:rsidP="00182066">
      <w:pPr>
        <w:spacing w:before="120" w:after="120"/>
        <w:jc w:val="both"/>
        <w:rPr>
          <w:sz w:val="24"/>
          <w:lang w:eastAsia="en-GB"/>
        </w:rPr>
      </w:pPr>
      <w:r w:rsidRPr="00182066">
        <w:rPr>
          <w:sz w:val="24"/>
          <w:lang w:eastAsia="en-GB"/>
        </w:rPr>
        <w:t>This fact needs to be borne in mind by those who are distrustful of the Committee’s capacity to</w:t>
      </w:r>
      <w:r w:rsidRPr="00182066">
        <w:rPr>
          <w:rFonts w:eastAsia="Calibri"/>
          <w:sz w:val="24"/>
        </w:rPr>
        <w:t xml:space="preserve"> </w:t>
      </w:r>
      <w:r w:rsidRPr="00182066">
        <w:rPr>
          <w:sz w:val="24"/>
          <w:lang w:eastAsia="en-GB"/>
        </w:rPr>
        <w:t xml:space="preserve">preserve the CYPS’s protected or sensitive information.  Not all that occurs within Parliament or its committees are “proceedings of parliament” that attract parliamentary privilege.  Thus, breaching the Committee’s procedures could prove both a legal offence as well as an offence against the parliament.  </w:t>
      </w:r>
    </w:p>
    <w:p w14:paraId="06AE9772" w14:textId="77777777" w:rsidR="00182066" w:rsidRPr="00182066" w:rsidRDefault="00182066" w:rsidP="00182066">
      <w:pPr>
        <w:jc w:val="both"/>
        <w:rPr>
          <w:rFonts w:eastAsia="Calibri"/>
          <w:sz w:val="24"/>
        </w:rPr>
      </w:pPr>
      <w:r w:rsidRPr="00182066">
        <w:rPr>
          <w:sz w:val="24"/>
          <w:lang w:eastAsia="en-GB"/>
        </w:rPr>
        <w:t xml:space="preserve">In the material made available for this advice, there is clear evidence that both sides are very cognisant of the need to tread carefully in dealing with protected or sensitive information.  This mutual awareness should be respected as a significant point of common interest with </w:t>
      </w:r>
      <w:r w:rsidRPr="00182066">
        <w:rPr>
          <w:sz w:val="24"/>
          <w:lang w:eastAsia="en-GB"/>
        </w:rPr>
        <w:lastRenderedPageBreak/>
        <w:t>regard to the question of sharing information.  Nevertheless, mutual appreciation does not create a common relationship to the Act.  The Committee has both the historic powers of the “</w:t>
      </w:r>
      <w:r w:rsidRPr="00182066">
        <w:rPr>
          <w:rFonts w:eastAsia="Calibri"/>
          <w:sz w:val="24"/>
        </w:rPr>
        <w:t>grand inquest of the nation”</w:t>
      </w:r>
      <w:r w:rsidRPr="00182066">
        <w:rPr>
          <w:rFonts w:eastAsia="Calibri"/>
          <w:sz w:val="24"/>
          <w:vertAlign w:val="superscript"/>
        </w:rPr>
        <w:footnoteReference w:id="38"/>
      </w:r>
      <w:r w:rsidRPr="00182066">
        <w:rPr>
          <w:rFonts w:eastAsia="Calibri"/>
          <w:sz w:val="24"/>
        </w:rPr>
        <w:t xml:space="preserve"> as well the responsibility for ensuring the Act delivers its intended legislative benefits to the people of the ACT.  </w:t>
      </w:r>
    </w:p>
    <w:p w14:paraId="72F4A77C" w14:textId="77777777" w:rsidR="00182066" w:rsidRPr="00182066" w:rsidRDefault="00182066" w:rsidP="007A2958">
      <w:pPr>
        <w:keepNext/>
        <w:keepLines/>
        <w:spacing w:before="40"/>
        <w:outlineLvl w:val="3"/>
        <w:rPr>
          <w:rFonts w:ascii="Calibri Light" w:hAnsi="Calibri Light"/>
          <w:i/>
          <w:iCs/>
          <w:color w:val="2F5496"/>
          <w:sz w:val="24"/>
          <w:lang w:eastAsia="en-GB"/>
        </w:rPr>
      </w:pPr>
    </w:p>
    <w:p w14:paraId="2ECA2D4B" w14:textId="77777777" w:rsidR="00182066" w:rsidRPr="00182066" w:rsidRDefault="00182066" w:rsidP="007A2958">
      <w:pPr>
        <w:keepNext/>
        <w:keepLines/>
        <w:spacing w:before="120" w:after="120"/>
        <w:outlineLvl w:val="3"/>
        <w:rPr>
          <w:rFonts w:ascii="Calibri Light" w:hAnsi="Calibri Light"/>
          <w:i/>
          <w:iCs/>
          <w:color w:val="2F5496"/>
          <w:sz w:val="24"/>
        </w:rPr>
      </w:pPr>
      <w:r w:rsidRPr="00182066">
        <w:rPr>
          <w:rFonts w:ascii="Calibri Light" w:hAnsi="Calibri Light"/>
          <w:i/>
          <w:iCs/>
          <w:color w:val="2F5496"/>
          <w:sz w:val="24"/>
          <w:lang w:eastAsia="en-GB"/>
        </w:rPr>
        <w:t>2.  If the Committee is exempt due to the separation of powers and parliamentary privilege—how far can it go [with consideration—that the Committee would not unduly wish to trample on the law and would also wish to respect a healthy upholding of expected norms]</w:t>
      </w:r>
      <w:r w:rsidRPr="00182066">
        <w:rPr>
          <w:rFonts w:ascii="Calibri Light" w:hAnsi="Calibri Light"/>
          <w:i/>
          <w:iCs/>
          <w:color w:val="2F5496"/>
          <w:sz w:val="24"/>
        </w:rPr>
        <w:t>?</w:t>
      </w:r>
    </w:p>
    <w:p w14:paraId="1D3869CB" w14:textId="77777777" w:rsidR="00182066" w:rsidRPr="00182066" w:rsidRDefault="00182066" w:rsidP="00182066">
      <w:pPr>
        <w:spacing w:before="120" w:after="120"/>
        <w:jc w:val="both"/>
        <w:rPr>
          <w:sz w:val="24"/>
          <w:lang w:eastAsia="en-GB"/>
        </w:rPr>
      </w:pPr>
      <w:r w:rsidRPr="00182066">
        <w:rPr>
          <w:rFonts w:eastAsia="Calibri"/>
          <w:b/>
          <w:bCs/>
          <w:sz w:val="24"/>
        </w:rPr>
        <w:t>Answer</w:t>
      </w:r>
      <w:r w:rsidRPr="00182066">
        <w:rPr>
          <w:rFonts w:eastAsia="Calibri"/>
          <w:sz w:val="24"/>
        </w:rPr>
        <w:t xml:space="preserve">:  This question seems to go to the heart of the issue between the Committee and the CYPS.  Australian democracy is based on the rule of law.  Broadly, parliamentarians and Parliament as an institution are obligated to obey the law, of course.  But, the proceedings of Parliament are not regulated by statute.  While the constitution and some relevant statutes can limit the reach of parliament, there is no evidence that the Committee is testing the normal application of the law under the </w:t>
      </w:r>
      <w:r w:rsidRPr="00182066">
        <w:rPr>
          <w:rFonts w:eastAsia="Calibri"/>
          <w:i/>
          <w:iCs/>
          <w:sz w:val="24"/>
        </w:rPr>
        <w:t>Children and Young People Act 2008</w:t>
      </w:r>
      <w:r w:rsidRPr="00182066">
        <w:rPr>
          <w:rFonts w:eastAsia="Calibri"/>
          <w:sz w:val="24"/>
        </w:rPr>
        <w:t xml:space="preserve">.  The Assembly has the authority under parliamentary powers, privileges and immunities to request the information it seeks.  The Act itself provides a legal pathway for sharing of the </w:t>
      </w:r>
      <w:r w:rsidRPr="00182066">
        <w:rPr>
          <w:sz w:val="24"/>
          <w:lang w:eastAsia="en-GB"/>
        </w:rPr>
        <w:t xml:space="preserve">CYPS’s protected or sensitive information.  Thus, the question is not so much “how far </w:t>
      </w:r>
      <w:r w:rsidRPr="00182066">
        <w:rPr>
          <w:sz w:val="24"/>
          <w:u w:val="single"/>
          <w:lang w:eastAsia="en-GB"/>
        </w:rPr>
        <w:t>can</w:t>
      </w:r>
      <w:r w:rsidRPr="00182066">
        <w:rPr>
          <w:sz w:val="24"/>
          <w:lang w:eastAsia="en-GB"/>
        </w:rPr>
        <w:t xml:space="preserve"> the Committee go” as “how far s</w:t>
      </w:r>
      <w:r w:rsidRPr="00182066">
        <w:rPr>
          <w:sz w:val="24"/>
          <w:u w:val="single"/>
          <w:lang w:eastAsia="en-GB"/>
        </w:rPr>
        <w:t>hould</w:t>
      </w:r>
      <w:r w:rsidRPr="00182066">
        <w:rPr>
          <w:sz w:val="24"/>
          <w:lang w:eastAsia="en-GB"/>
        </w:rPr>
        <w:t xml:space="preserve"> the Committee go”?</w:t>
      </w:r>
    </w:p>
    <w:p w14:paraId="183F5888" w14:textId="77777777" w:rsidR="00182066" w:rsidRPr="00182066" w:rsidRDefault="00182066" w:rsidP="00182066">
      <w:pPr>
        <w:spacing w:before="120" w:after="120"/>
        <w:jc w:val="both"/>
        <w:rPr>
          <w:rFonts w:eastAsia="Calibri"/>
          <w:sz w:val="24"/>
        </w:rPr>
      </w:pPr>
      <w:r w:rsidRPr="00182066">
        <w:rPr>
          <w:rFonts w:eastAsia="Calibri"/>
          <w:sz w:val="24"/>
          <w:lang w:eastAsia="en-GB"/>
        </w:rPr>
        <w:t xml:space="preserve">In part, the question of how far the Committee should pursue its demand for information from the CYPS depends how much it needs the information.  The Committee through the Assembly has a number of avenues that it might use to seek compliance with its request.  At the “nuclear” end of its options, the Committee could recommend to the Assembly such sanctions as the suspension of the Minister, citing the Director-General for contempt of Parliament or amending the Act if the perceived obstruction were to continue to impede the work of the </w:t>
      </w:r>
      <w:r w:rsidRPr="00182066">
        <w:rPr>
          <w:rFonts w:eastAsia="Calibri"/>
          <w:sz w:val="24"/>
        </w:rPr>
        <w:t xml:space="preserve">Committee.  More practically, the Chair or any member of the committee could use the procedure under Standing Orders by lodging a notice of motion seeking the Assembly to order the information if this is not forthcoming voluntarily.  </w:t>
      </w:r>
    </w:p>
    <w:p w14:paraId="51340D55" w14:textId="77777777" w:rsidR="00182066" w:rsidRPr="00182066" w:rsidRDefault="00182066" w:rsidP="00182066">
      <w:pPr>
        <w:spacing w:before="120" w:after="120"/>
        <w:jc w:val="both"/>
        <w:rPr>
          <w:rFonts w:eastAsia="Calibri"/>
          <w:sz w:val="24"/>
        </w:rPr>
      </w:pPr>
      <w:r w:rsidRPr="00182066">
        <w:rPr>
          <w:rFonts w:eastAsia="Calibri"/>
          <w:sz w:val="24"/>
        </w:rPr>
        <w:t>The crux of the matter for voluntary compliance with the Committee’s request appears, at present, to revolve around who decides on the terms by which the required information is to be shared.  The Minister and Director-General have expressed concern that some CYPS protected or sensitive information might be made public inappropriately if such information is shared with the Committee without some (as yet unstipulated) protocols to govern its use.   The justification for this apprehension is their view that sharing any information must pass the Act’s section 851 test that, “giving the information is in the best interests of the child or young person.”  Consequently, their preferred path forward appears to be for the Committee to give the Minister and/or Director-General a controlling decision on what the appropriate protocols might be for sharing the requested information with the Committee.  This would appear to put the Committee into pretty much the same category as</w:t>
      </w:r>
      <w:r w:rsidRPr="00182066">
        <w:rPr>
          <w:rFonts w:eastAsia="Calibri"/>
          <w:sz w:val="24"/>
          <w:lang w:eastAsia="en-GB"/>
        </w:rPr>
        <w:t xml:space="preserve"> any other entities/person who seek information through the provisions of the Act provides.  </w:t>
      </w:r>
    </w:p>
    <w:p w14:paraId="54F04AFF" w14:textId="77777777" w:rsidR="00182066" w:rsidRPr="00182066" w:rsidRDefault="00182066" w:rsidP="00182066">
      <w:pPr>
        <w:spacing w:before="120" w:after="120"/>
        <w:jc w:val="both"/>
        <w:rPr>
          <w:sz w:val="24"/>
          <w:lang w:eastAsia="en-GB"/>
        </w:rPr>
      </w:pPr>
      <w:r w:rsidRPr="00182066">
        <w:rPr>
          <w:sz w:val="24"/>
          <w:lang w:eastAsia="en-GB"/>
        </w:rPr>
        <w:lastRenderedPageBreak/>
        <w:t xml:space="preserve">The Committee believes, rightly in my opinion, that this constraint is unacceptable.  As noted below, the Act is not </w:t>
      </w:r>
      <w:r w:rsidRPr="00182066">
        <w:rPr>
          <w:rFonts w:eastAsia="Calibri"/>
          <w:sz w:val="24"/>
        </w:rPr>
        <w:t>intended to frustrate the Assembly’s constitutional obligations to scrutinise Government policy or the operation of the CYPS as a statutory agency</w:t>
      </w:r>
      <w:r w:rsidRPr="00182066">
        <w:rPr>
          <w:sz w:val="24"/>
          <w:lang w:eastAsia="en-GB"/>
        </w:rPr>
        <w:t xml:space="preserve">.  Fundamentally, this would involve a reversal of the Parliament’s role in Executive oversight if the Executive can decide what the Parliament can be allowed to know based on what the Executive arm of government thinks appropriate.  Equally, it would be a </w:t>
      </w:r>
      <w:r w:rsidRPr="00182066">
        <w:rPr>
          <w:i/>
          <w:iCs/>
          <w:sz w:val="24"/>
          <w:lang w:eastAsia="en-GB"/>
        </w:rPr>
        <w:t>de facto</w:t>
      </w:r>
      <w:r w:rsidRPr="00182066">
        <w:rPr>
          <w:sz w:val="24"/>
          <w:lang w:eastAsia="en-GB"/>
        </w:rPr>
        <w:t xml:space="preserve"> curtailment of the Assembly’s Article 9 privilege to speak and publish freely in, and through, Parliament if the Committee were to make a commitment to not publish information in advance of knowing what the information was. Aspects of this matter are addressed further in the answer below.  </w:t>
      </w:r>
    </w:p>
    <w:p w14:paraId="2179FFAA" w14:textId="77777777" w:rsidR="00182066" w:rsidRPr="00182066" w:rsidRDefault="00182066" w:rsidP="00182066">
      <w:pPr>
        <w:spacing w:before="120" w:after="120"/>
        <w:jc w:val="both"/>
        <w:rPr>
          <w:rFonts w:eastAsia="Calibri"/>
          <w:sz w:val="24"/>
        </w:rPr>
      </w:pPr>
    </w:p>
    <w:p w14:paraId="6051ED3B" w14:textId="77777777" w:rsidR="00182066" w:rsidRPr="00182066" w:rsidRDefault="00182066" w:rsidP="007A2958">
      <w:pPr>
        <w:keepNext/>
        <w:keepLines/>
        <w:spacing w:before="120" w:after="120"/>
        <w:jc w:val="both"/>
        <w:outlineLvl w:val="3"/>
        <w:rPr>
          <w:rFonts w:ascii="Calibri Light" w:hAnsi="Calibri Light"/>
          <w:i/>
          <w:iCs/>
          <w:color w:val="2F5496"/>
          <w:sz w:val="24"/>
        </w:rPr>
      </w:pPr>
      <w:r w:rsidRPr="00182066">
        <w:rPr>
          <w:rFonts w:ascii="Calibri Light" w:hAnsi="Calibri Light"/>
          <w:i/>
          <w:iCs/>
          <w:color w:val="2F5496"/>
          <w:sz w:val="24"/>
          <w:lang w:eastAsia="en-GB"/>
        </w:rPr>
        <w:t>3.</w:t>
      </w:r>
      <w:r w:rsidRPr="00182066">
        <w:rPr>
          <w:i/>
          <w:iCs/>
          <w:color w:val="2F5496"/>
          <w:sz w:val="24"/>
        </w:rPr>
        <w:t xml:space="preserve"> Whether the Assembly can waive implicitly its parliamentary privilege by the legislation it passes on a specific matter?</w:t>
      </w:r>
    </w:p>
    <w:p w14:paraId="4206CD6B" w14:textId="77777777" w:rsidR="00182066" w:rsidRPr="00182066" w:rsidRDefault="00182066" w:rsidP="00182066">
      <w:pPr>
        <w:spacing w:before="120" w:after="120"/>
        <w:jc w:val="both"/>
        <w:rPr>
          <w:rFonts w:eastAsia="Calibri"/>
          <w:color w:val="222222"/>
          <w:sz w:val="24"/>
          <w:shd w:val="clear" w:color="auto" w:fill="FFFFFF"/>
        </w:rPr>
      </w:pPr>
      <w:r w:rsidRPr="00182066">
        <w:rPr>
          <w:b/>
          <w:bCs/>
          <w:color w:val="000000"/>
          <w:spacing w:val="2"/>
          <w:sz w:val="24"/>
          <w:lang w:eastAsia="en-GB"/>
        </w:rPr>
        <w:t>Answer</w:t>
      </w:r>
      <w:r w:rsidRPr="00182066">
        <w:rPr>
          <w:color w:val="000000"/>
          <w:spacing w:val="2"/>
          <w:sz w:val="24"/>
          <w:lang w:eastAsia="en-GB"/>
        </w:rPr>
        <w:t xml:space="preserve">:  Just as a Parliament can legislate to make explicit in statute that it has certain privileges, it is possible for a Parliament to waive its exercise of a privilege.  This was confirmed in the case of </w:t>
      </w:r>
      <w:r w:rsidRPr="00182066">
        <w:rPr>
          <w:rFonts w:eastAsia="Calibri"/>
          <w:i/>
          <w:iCs/>
          <w:color w:val="222222"/>
          <w:sz w:val="24"/>
        </w:rPr>
        <w:t>Arena v Nader and Others</w:t>
      </w:r>
      <w:r w:rsidRPr="00182066">
        <w:rPr>
          <w:rFonts w:eastAsia="Calibri"/>
          <w:color w:val="222222"/>
          <w:sz w:val="24"/>
          <w:shd w:val="clear" w:color="auto" w:fill="FFFFFF"/>
        </w:rPr>
        <w:t> [1997].</w:t>
      </w:r>
      <w:r w:rsidRPr="00182066">
        <w:rPr>
          <w:rFonts w:eastAsia="Calibri"/>
          <w:color w:val="222222"/>
          <w:sz w:val="24"/>
          <w:shd w:val="clear" w:color="auto" w:fill="FFFFFF"/>
          <w:vertAlign w:val="superscript"/>
        </w:rPr>
        <w:footnoteReference w:id="39"/>
      </w:r>
      <w:r w:rsidRPr="00182066">
        <w:rPr>
          <w:rFonts w:eastAsia="Calibri"/>
          <w:color w:val="222222"/>
          <w:sz w:val="24"/>
          <w:shd w:val="clear" w:color="auto" w:fill="FFFFFF"/>
        </w:rPr>
        <w:t xml:space="preserve">  However, former Clerk of the Senate, Harry Evans, warned that there are limits to the extent of waiving parliamentary privilege:</w:t>
      </w:r>
    </w:p>
    <w:p w14:paraId="1A036BAC" w14:textId="77777777" w:rsidR="00182066" w:rsidRPr="00182066" w:rsidRDefault="00182066" w:rsidP="00182066">
      <w:pPr>
        <w:ind w:left="426" w:right="231"/>
        <w:jc w:val="both"/>
        <w:rPr>
          <w:sz w:val="24"/>
          <w:lang w:eastAsia="en-GB"/>
        </w:rPr>
      </w:pPr>
      <w:r w:rsidRPr="00182066">
        <w:rPr>
          <w:color w:val="222222"/>
          <w:sz w:val="24"/>
          <w:shd w:val="clear" w:color="auto" w:fill="FFFFFF"/>
          <w:lang w:eastAsia="en-GB"/>
        </w:rPr>
        <w:t>Although the federal and state parliaments of Australia have the power to alter the law of parliamentary privilege by legislation, some core element of parliamentary privilege may be constitutionally entrenched because it is essential for the ability of the parliaments to function, and to that extent parliamentary privilege may therefore not be amenable to alteration by statute.</w:t>
      </w:r>
      <w:r w:rsidRPr="00182066">
        <w:rPr>
          <w:color w:val="222222"/>
          <w:sz w:val="24"/>
          <w:shd w:val="clear" w:color="auto" w:fill="FFFFFF"/>
          <w:vertAlign w:val="superscript"/>
          <w:lang w:eastAsia="en-GB"/>
        </w:rPr>
        <w:footnoteReference w:id="40"/>
      </w:r>
    </w:p>
    <w:p w14:paraId="10466B3F" w14:textId="77777777" w:rsidR="00182066" w:rsidRPr="00182066" w:rsidRDefault="00182066" w:rsidP="00182066">
      <w:pPr>
        <w:spacing w:before="120" w:after="120"/>
        <w:jc w:val="both"/>
        <w:rPr>
          <w:color w:val="000000"/>
          <w:spacing w:val="2"/>
          <w:sz w:val="24"/>
          <w:lang w:eastAsia="en-GB"/>
        </w:rPr>
      </w:pPr>
      <w:r w:rsidRPr="00182066">
        <w:rPr>
          <w:color w:val="000000"/>
          <w:spacing w:val="2"/>
          <w:sz w:val="24"/>
          <w:lang w:eastAsia="en-GB"/>
        </w:rPr>
        <w:t>The decision in </w:t>
      </w:r>
      <w:r w:rsidRPr="00182066">
        <w:rPr>
          <w:i/>
          <w:iCs/>
          <w:color w:val="000000"/>
          <w:spacing w:val="2"/>
          <w:sz w:val="24"/>
          <w:lang w:eastAsia="en-GB"/>
        </w:rPr>
        <w:t>Re Bolton; Ex parte Beane</w:t>
      </w:r>
      <w:r w:rsidRPr="00182066">
        <w:rPr>
          <w:color w:val="000000"/>
          <w:spacing w:val="2"/>
          <w:sz w:val="24"/>
          <w:lang w:eastAsia="en-GB"/>
        </w:rPr>
        <w:t xml:space="preserve"> perhaps serves as a more practical guide to the general principles that apply when considering a Parliament’s waiver of privilege:</w:t>
      </w:r>
    </w:p>
    <w:p w14:paraId="788D077B" w14:textId="77777777" w:rsidR="00182066" w:rsidRPr="00182066" w:rsidRDefault="00182066" w:rsidP="00182066">
      <w:pPr>
        <w:spacing w:before="120" w:after="120"/>
        <w:ind w:left="426" w:right="231"/>
        <w:jc w:val="both"/>
        <w:rPr>
          <w:color w:val="000000"/>
          <w:spacing w:val="2"/>
          <w:sz w:val="24"/>
          <w:vertAlign w:val="superscript"/>
          <w:lang w:eastAsia="en-GB"/>
        </w:rPr>
      </w:pPr>
      <w:r w:rsidRPr="00182066">
        <w:rPr>
          <w:color w:val="000000"/>
          <w:spacing w:val="2"/>
          <w:sz w:val="24"/>
          <w:lang w:eastAsia="en-GB"/>
        </w:rPr>
        <w:t>“Unless the Parliament makes unmistakably clear its intention to abrogate or suspend a fundamental freedom, the courts will not construe a statute as having that operation”.</w:t>
      </w:r>
      <w:r w:rsidRPr="00182066">
        <w:rPr>
          <w:color w:val="000000"/>
          <w:spacing w:val="2"/>
          <w:sz w:val="24"/>
          <w:vertAlign w:val="superscript"/>
          <w:lang w:eastAsia="en-GB"/>
        </w:rPr>
        <w:footnoteReference w:id="41"/>
      </w:r>
    </w:p>
    <w:p w14:paraId="5564F158" w14:textId="77777777" w:rsidR="00182066" w:rsidRPr="00182066" w:rsidRDefault="00182066" w:rsidP="00182066">
      <w:pPr>
        <w:spacing w:before="120" w:after="120"/>
        <w:jc w:val="both"/>
        <w:rPr>
          <w:rFonts w:eastAsia="Calibri"/>
          <w:sz w:val="24"/>
        </w:rPr>
      </w:pPr>
      <w:r w:rsidRPr="00182066">
        <w:rPr>
          <w:rFonts w:eastAsia="Calibri"/>
          <w:sz w:val="24"/>
        </w:rPr>
        <w:t xml:space="preserve">While this case was about personal rights, it is clear that this, along with the </w:t>
      </w:r>
      <w:r w:rsidRPr="00182066">
        <w:rPr>
          <w:rFonts w:eastAsia="Calibri"/>
          <w:i/>
          <w:iCs/>
          <w:sz w:val="24"/>
        </w:rPr>
        <w:t>Arena</w:t>
      </w:r>
      <w:r w:rsidRPr="00182066">
        <w:rPr>
          <w:rFonts w:eastAsia="Calibri"/>
          <w:sz w:val="24"/>
        </w:rPr>
        <w:t xml:space="preserve"> case, strongly support the view that parliament’s fundamental “rights” as encapsulated in its powers, privileges and immunities cannot be inadvertently legislated away.  </w:t>
      </w:r>
    </w:p>
    <w:p w14:paraId="1C8B99F5" w14:textId="77777777" w:rsidR="00182066" w:rsidRPr="00182066" w:rsidRDefault="00182066" w:rsidP="00182066">
      <w:pPr>
        <w:spacing w:before="120" w:after="120"/>
        <w:jc w:val="both"/>
        <w:rPr>
          <w:rFonts w:eastAsia="Calibri"/>
          <w:sz w:val="24"/>
        </w:rPr>
      </w:pPr>
      <w:r w:rsidRPr="00182066">
        <w:rPr>
          <w:rFonts w:eastAsia="Calibri"/>
          <w:sz w:val="24"/>
        </w:rPr>
        <w:t xml:space="preserve">Importantly, the Assembly itself has shown an awareness of being careful to avoid inadvertently circumscribing its privileges.  Through its Continuing resolution 4A [“Claims of parliamentary privilege that arise during the exercise of the ACT Integrity Commission’s powers and functions”], the Assembly made clear that it wishes to preserve and protect </w:t>
      </w:r>
      <w:r w:rsidRPr="00182066">
        <w:rPr>
          <w:rFonts w:eastAsia="Calibri"/>
          <w:sz w:val="24"/>
        </w:rPr>
        <w:lastRenderedPageBreak/>
        <w:t xml:space="preserve">parliamentary privilege explicitly even while dealing with inquiries that go into the activities and behaviour of MLAs in the Parliament.  </w:t>
      </w:r>
    </w:p>
    <w:p w14:paraId="329E0F71" w14:textId="77777777" w:rsidR="00182066" w:rsidRPr="00182066" w:rsidRDefault="00182066" w:rsidP="00182066">
      <w:pPr>
        <w:spacing w:before="120" w:after="120"/>
        <w:jc w:val="both"/>
        <w:rPr>
          <w:rFonts w:eastAsia="Calibri"/>
          <w:sz w:val="24"/>
        </w:rPr>
      </w:pPr>
      <w:r w:rsidRPr="00182066">
        <w:rPr>
          <w:rFonts w:eastAsia="Calibri"/>
          <w:sz w:val="24"/>
        </w:rPr>
        <w:t>There appears to be no evidence that Parliament intended the Act’s statutory secrecy provisions to frustrate parliamentary scrutiny of Government policy and its implementation.  The Act establishes the CYPS as a regulatory body and as such is subordinate to the Assembly which has the power to disallow its regulations.  The Act’s provisions cannot fundamentally take precedence over the Assembly’s powers to demand information from the CYPS or circumscribe its Article 9 privileges with regard to the information given to the Committee.</w:t>
      </w:r>
    </w:p>
    <w:p w14:paraId="74C327CE" w14:textId="77777777" w:rsidR="00182066" w:rsidRPr="00182066" w:rsidRDefault="00182066" w:rsidP="007A2958">
      <w:pPr>
        <w:spacing w:before="120" w:after="120"/>
        <w:jc w:val="both"/>
        <w:rPr>
          <w:sz w:val="24"/>
          <w:lang w:eastAsia="en-GB"/>
        </w:rPr>
      </w:pPr>
    </w:p>
    <w:p w14:paraId="7DDB0E28" w14:textId="77777777" w:rsidR="00182066" w:rsidRPr="00D45B22" w:rsidRDefault="00182066" w:rsidP="007A2958">
      <w:pPr>
        <w:keepNext/>
        <w:keepLines/>
        <w:spacing w:before="40"/>
        <w:outlineLvl w:val="1"/>
        <w:rPr>
          <w:rFonts w:ascii="Calibri Light" w:hAnsi="Calibri Light"/>
          <w:color w:val="2F5496"/>
          <w:sz w:val="24"/>
          <w:lang w:eastAsia="en-GB"/>
        </w:rPr>
      </w:pPr>
      <w:r w:rsidRPr="00D45B22">
        <w:rPr>
          <w:rFonts w:ascii="Calibri Light" w:hAnsi="Calibri Light"/>
          <w:color w:val="2F5496"/>
          <w:sz w:val="24"/>
          <w:lang w:eastAsia="en-GB"/>
        </w:rPr>
        <w:t>Resolving the Impasse</w:t>
      </w:r>
    </w:p>
    <w:p w14:paraId="57BB0C57" w14:textId="77777777" w:rsidR="00182066" w:rsidRPr="00182066" w:rsidRDefault="00182066" w:rsidP="00182066">
      <w:pPr>
        <w:spacing w:before="120" w:after="120"/>
        <w:jc w:val="both"/>
        <w:rPr>
          <w:rFonts w:eastAsia="Calibri"/>
          <w:sz w:val="24"/>
        </w:rPr>
      </w:pPr>
      <w:r w:rsidRPr="00182066">
        <w:rPr>
          <w:rFonts w:eastAsia="Calibri"/>
          <w:sz w:val="24"/>
          <w:lang w:eastAsia="en-GB"/>
        </w:rPr>
        <w:t xml:space="preserve">The impasse between the Committee and </w:t>
      </w:r>
      <w:r w:rsidRPr="00182066">
        <w:rPr>
          <w:rFonts w:eastAsia="Calibri"/>
          <w:sz w:val="24"/>
        </w:rPr>
        <w:t xml:space="preserve">Minister/Director-General over sharing information at times suggested dialogue </w:t>
      </w:r>
      <w:r w:rsidRPr="00182066">
        <w:rPr>
          <w:rFonts w:eastAsia="Calibri"/>
          <w:sz w:val="24"/>
          <w:lang w:eastAsia="en-GB"/>
        </w:rPr>
        <w:t xml:space="preserve">from “Yes, Minister”.  The Committee’s efforts to bolster public confidence in the CYPS through greater transparency is being held up through a lack of transparency from the agency to the Committee.  The deadlock over information persists despite statements made within the Committee hearings to suggest that both the Committee and the CYPS want to find a mutually satisfactory </w:t>
      </w:r>
      <w:r w:rsidRPr="00182066">
        <w:rPr>
          <w:rFonts w:eastAsia="Calibri"/>
          <w:i/>
          <w:iCs/>
          <w:sz w:val="24"/>
          <w:lang w:eastAsia="en-GB"/>
        </w:rPr>
        <w:t xml:space="preserve">modus vivendi </w:t>
      </w:r>
      <w:r w:rsidRPr="00182066">
        <w:rPr>
          <w:rFonts w:eastAsia="Calibri"/>
          <w:sz w:val="24"/>
          <w:lang w:eastAsia="en-GB"/>
        </w:rPr>
        <w:t xml:space="preserve">around the current impasse.  Indeed, the language the Committee used in question 2 above shows that it wants to comply with the spirit of the </w:t>
      </w:r>
      <w:r w:rsidRPr="00182066">
        <w:rPr>
          <w:rFonts w:eastAsia="Calibri"/>
          <w:i/>
          <w:iCs/>
          <w:sz w:val="24"/>
        </w:rPr>
        <w:t>Children and Young People Act 2008</w:t>
      </w:r>
      <w:r w:rsidRPr="00182066">
        <w:rPr>
          <w:rFonts w:eastAsia="Calibri"/>
          <w:sz w:val="24"/>
        </w:rPr>
        <w:t xml:space="preserve"> </w:t>
      </w:r>
      <w:r w:rsidRPr="00182066">
        <w:rPr>
          <w:rFonts w:eastAsia="Calibri"/>
          <w:sz w:val="24"/>
          <w:lang w:eastAsia="en-GB"/>
        </w:rPr>
        <w:t xml:space="preserve">with regard to secrecy even though it is not obliged to obey the law as it applies to the bureaucracy and </w:t>
      </w:r>
      <w:r w:rsidRPr="00182066">
        <w:rPr>
          <w:rFonts w:eastAsia="Calibri"/>
          <w:sz w:val="24"/>
        </w:rPr>
        <w:t xml:space="preserve">the general public.  For their part, the Minister and the Director-General appear willing to share information but apparently perhaps only to the extent they believe they are acting within the terms of the Act.  </w:t>
      </w:r>
    </w:p>
    <w:p w14:paraId="3DD55087" w14:textId="77777777" w:rsidR="00182066" w:rsidRPr="00182066" w:rsidRDefault="00182066" w:rsidP="00182066">
      <w:pPr>
        <w:spacing w:before="120" w:after="120"/>
        <w:jc w:val="both"/>
        <w:rPr>
          <w:rFonts w:eastAsia="Calibri"/>
          <w:sz w:val="24"/>
        </w:rPr>
      </w:pPr>
      <w:r w:rsidRPr="00182066">
        <w:rPr>
          <w:rFonts w:eastAsia="Calibri"/>
          <w:sz w:val="24"/>
        </w:rPr>
        <w:t xml:space="preserve">There are several levels in the sticking points between the Committee and the Minister and Director-General on accessing CYPS information.  The three levels identified by the Committee are 1) the specific case; 2) the systemic issues that might be identified from a detailed review of the specific case; and 3) on-going issues with regard to the CYPS sharing information with the Assembly.  The idea of a “protocol” to resolve these sticking points has been raised although it is not clear whether this means some temporary working arrangement or some more formal rule that might serve as a test template for other occasions involving sensitive or legally protected information.  As noted below, unfortunately I do not believe there is an “off-peg” permanent solution.  Moreover, while a negotiated agreement to voluntary compliance with the Committee’s request for information would be the best immediate way forward, breaking the impasse this way cannot proceed on the basis of an equality of negotiating positions.  The supremacy of Parliament prevents this.  </w:t>
      </w:r>
    </w:p>
    <w:p w14:paraId="3B7F2C9A" w14:textId="77777777" w:rsidR="00182066" w:rsidRPr="00182066" w:rsidRDefault="00182066" w:rsidP="00182066">
      <w:pPr>
        <w:spacing w:before="120" w:after="120"/>
        <w:jc w:val="both"/>
        <w:rPr>
          <w:rFonts w:eastAsia="Calibri"/>
          <w:sz w:val="24"/>
        </w:rPr>
      </w:pPr>
      <w:r w:rsidRPr="00182066">
        <w:rPr>
          <w:rFonts w:eastAsia="Calibri"/>
          <w:sz w:val="24"/>
        </w:rPr>
        <w:t xml:space="preserve">The first level is concerned with the very personal and sensitive information associated with the court case which has sparked the Assembly’s reference to the Committee.  While not wishing to re-litigate the case, the Committee is entitled to know enough about the circumstances to assure itself that the machinery and delegated authority provided in the Act has operated properly.  The Committee’s interest here is limited by its narrow focus on the specifics of a single case but, even so, the CYPS should recognise that the Committee’s concerns are broader than just the remit of the CYPS responsibilities under the Act.  Insofar as the Committee and the CYPS have common interests in protecting the privacy and personal concerns of the parties involved in this specific case, it would be best if a working agreement could be reached to allow the Committee to satisfy itself and the Assembly as to the extent this case might raise level 2) implications.  </w:t>
      </w:r>
    </w:p>
    <w:p w14:paraId="18DED675" w14:textId="77777777" w:rsidR="00182066" w:rsidRPr="00182066" w:rsidRDefault="00182066" w:rsidP="00182066">
      <w:pPr>
        <w:spacing w:before="120" w:after="120"/>
        <w:jc w:val="both"/>
        <w:rPr>
          <w:rFonts w:eastAsia="Calibri"/>
          <w:sz w:val="24"/>
        </w:rPr>
      </w:pPr>
      <w:r w:rsidRPr="00182066">
        <w:rPr>
          <w:rFonts w:eastAsia="Calibri"/>
          <w:sz w:val="24"/>
        </w:rPr>
        <w:lastRenderedPageBreak/>
        <w:t xml:space="preserve">Regardless of whether there is limited and special accord (protocol) to manage the sensitive information for the specific family concerned, the Committee needs access to CYPS information for the broader aspects the Committee’s reference to identify systemic issues and to promote greater transparency.  This second level of the inquiry is where the request by Minister and Director-General for a “protocol” to allow the CYPS to provide information to the Committee seems less supportable.   For the reasons identified previously in this advice, the Committee has the weight of parliamentary powers and privileges on its side as far as its conduct of this inquiry is concerned.  Conceding ground against transparency before the Committee has investigated fully the need for the extent of secrecy currently in force would scarcely improve public confidence in the Committee’s outcomes.  That said, an effective, one-off working relationship between the Committee and the CYPS appears to be the most effective approach in order for the inquiry to proceed in a timely fashion.  </w:t>
      </w:r>
    </w:p>
    <w:p w14:paraId="37D5F70F" w14:textId="77777777" w:rsidR="00182066" w:rsidRPr="00182066" w:rsidRDefault="00182066" w:rsidP="00182066">
      <w:pPr>
        <w:spacing w:before="120" w:after="120"/>
        <w:jc w:val="both"/>
        <w:rPr>
          <w:rFonts w:eastAsia="Calibri"/>
          <w:sz w:val="24"/>
        </w:rPr>
      </w:pPr>
      <w:r w:rsidRPr="00182066">
        <w:rPr>
          <w:rFonts w:eastAsia="Calibri"/>
          <w:sz w:val="24"/>
        </w:rPr>
        <w:t xml:space="preserve">If there is a need for a special protocol for information sharing, it is my view that it should come as a result of the Committee’s inquiry based on the identification of specific needs.  The adequacy of the Assembly’s standing order 213A which provides a mechanism for resolving claims by the Executive against providing information requested by the Assembly appears not to have been yet tested in this inquiry.  Although the success of this procedure for securing information from the Executive has been occasionally mixed elsewhere, it does appear to be the gold standard for parliamentary procedure at present for addressing Executive recalcitrance.  If this provision has limits with regard to demanding especially sensitive/privileged information, this should be found by the Committee as a level 3) outcome of its inquiry rather than modifying parliamentary procedures in anticipation.  </w:t>
      </w:r>
    </w:p>
    <w:p w14:paraId="2673C8E7" w14:textId="77777777" w:rsidR="00182066" w:rsidRPr="00182066" w:rsidRDefault="00182066" w:rsidP="00182066">
      <w:pPr>
        <w:spacing w:before="120" w:after="120"/>
        <w:jc w:val="both"/>
        <w:rPr>
          <w:rFonts w:eastAsia="Calibri"/>
          <w:sz w:val="24"/>
        </w:rPr>
      </w:pPr>
      <w:r w:rsidRPr="00182066">
        <w:rPr>
          <w:rFonts w:eastAsia="Calibri"/>
          <w:sz w:val="24"/>
        </w:rPr>
        <w:t xml:space="preserve">This third aspect of this enquiry – looking at information sharing – may demonstrate the fitness of the Assembly’s procedures for obtaining the information needed to demonstrate transparency and so obviate the need for new protocols in this area.  On the other hand, it may find areas of inadequacy that necessitate procedural changes by the Assembly, new protocols or administrative arrangements within the CYPS or legislative amendments to the Act to secure improved transparency by new mechanisms to manage the necessary secrecy and confidentiality of information within the CYPS.  Given the present state of uncertainty, it would appear prudent not to make concessions on information sharing until the Committee reaches some findings on the need to do so.  </w:t>
      </w:r>
    </w:p>
    <w:p w14:paraId="42EF0036" w14:textId="77777777" w:rsidR="00182066" w:rsidRPr="00182066" w:rsidRDefault="00182066" w:rsidP="00182066">
      <w:pPr>
        <w:spacing w:before="120" w:after="120"/>
        <w:jc w:val="both"/>
        <w:rPr>
          <w:rFonts w:eastAsia="Calibri"/>
          <w:sz w:val="24"/>
        </w:rPr>
      </w:pPr>
    </w:p>
    <w:p w14:paraId="65E7FD98" w14:textId="77777777" w:rsidR="00182066" w:rsidRPr="00182066" w:rsidRDefault="00182066" w:rsidP="00182066">
      <w:pPr>
        <w:jc w:val="right"/>
        <w:rPr>
          <w:rFonts w:eastAsia="Calibri"/>
          <w:sz w:val="24"/>
        </w:rPr>
      </w:pPr>
      <w:r w:rsidRPr="00182066">
        <w:rPr>
          <w:rFonts w:eastAsia="Calibri"/>
          <w:sz w:val="24"/>
        </w:rPr>
        <w:t>10 March 2020</w:t>
      </w:r>
    </w:p>
    <w:sectPr w:rsidR="00182066" w:rsidRPr="00182066" w:rsidSect="00905F76">
      <w:headerReference w:type="even" r:id="rId36"/>
      <w:headerReference w:type="default" r:id="rId37"/>
      <w:footerReference w:type="even" r:id="rId38"/>
      <w:footerReference w:type="default" r:id="rId39"/>
      <w:headerReference w:type="first" r:id="rId40"/>
      <w:footerReference w:type="first" r:id="rId41"/>
      <w:footnotePr>
        <w:numRestart w:val="eachSect"/>
      </w:footnotePr>
      <w:type w:val="continuous"/>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46AC8" w14:textId="77777777" w:rsidR="000C1EAE" w:rsidRDefault="000C1EAE">
      <w:r>
        <w:separator/>
      </w:r>
    </w:p>
    <w:p w14:paraId="4FE157DE" w14:textId="77777777" w:rsidR="000C1EAE" w:rsidRDefault="000C1EAE"/>
    <w:p w14:paraId="12F4B7FE" w14:textId="77777777" w:rsidR="000C1EAE" w:rsidRDefault="000C1EAE"/>
    <w:p w14:paraId="514344AB" w14:textId="77777777" w:rsidR="000C1EAE" w:rsidRDefault="000C1EAE"/>
  </w:endnote>
  <w:endnote w:type="continuationSeparator" w:id="0">
    <w:p w14:paraId="61EF3EFC" w14:textId="77777777" w:rsidR="000C1EAE" w:rsidRDefault="000C1EAE">
      <w:r>
        <w:continuationSeparator/>
      </w:r>
    </w:p>
    <w:p w14:paraId="3250355F" w14:textId="77777777" w:rsidR="000C1EAE" w:rsidRDefault="000C1EAE"/>
    <w:p w14:paraId="4A1C3F99" w14:textId="77777777" w:rsidR="000C1EAE" w:rsidRDefault="000C1EAE"/>
    <w:p w14:paraId="38C0B25D" w14:textId="77777777" w:rsidR="000C1EAE" w:rsidRDefault="000C1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06A20128-A088-4761-8CED-66ADEFCF7224}"/>
    <w:embedBold r:id="rId2" w:fontKey="{C727BE3F-FE88-4D70-8AD7-CE123E1786BA}"/>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embedRegular r:id="rId3" w:fontKey="{79CB7240-13F0-4013-AE11-354BE02D4A72}"/>
    <w:embedBold r:id="rId4" w:fontKey="{4A009DCD-21B4-4BF5-8807-24F0B3AB8AB9}"/>
    <w:embedItalic r:id="rId5" w:fontKey="{59BC0A4E-661C-4771-B8AC-46948B0677D0}"/>
    <w:embedBoldItalic r:id="rId6" w:fontKey="{075F96C9-908A-4B8B-B474-3F3AA0C91F9C}"/>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Univers LT Std 55">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ZWAdobeF">
    <w:panose1 w:val="00000000000000000000"/>
    <w:charset w:val="00"/>
    <w:family w:val="auto"/>
    <w:pitch w:val="variable"/>
    <w:sig w:usb0="20002A87" w:usb1="00000000" w:usb2="00000000" w:usb3="00000000" w:csb0="000001FF" w:csb1="00000000"/>
    <w:embedRegular r:id="rId7" w:subsetted="1" w:fontKey="{D608A863-A647-43F6-8D7C-D11C8F899E1B}"/>
  </w:font>
  <w:font w:name="Calibri Light">
    <w:panose1 w:val="020F0302020204030204"/>
    <w:charset w:val="00"/>
    <w:family w:val="swiss"/>
    <w:pitch w:val="variable"/>
    <w:sig w:usb0="E0002AFF" w:usb1="C000247B" w:usb2="00000009" w:usb3="00000000" w:csb0="000001FF" w:csb1="00000000"/>
    <w:embedRegular r:id="rId8" w:fontKey="{A5B4FCE4-DD4E-42CF-9BE2-3D24FEC103E3}"/>
    <w:embedItalic r:id="rId9" w:fontKey="{1DF8660D-CE36-4B1C-A4CE-E6BC450E8C8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EBEFF" w14:textId="77777777" w:rsidR="000C1EAE" w:rsidRDefault="000C1EAE"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14E228B0" w14:textId="77777777" w:rsidR="000C1EAE" w:rsidRDefault="000C1EAE" w:rsidP="005E670D">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B1499" w14:textId="77777777" w:rsidR="000C1EAE" w:rsidRDefault="000C1EAE" w:rsidP="0038734F">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50DA9" w14:textId="17A055CE" w:rsidR="000C1EAE" w:rsidRPr="00905F76" w:rsidRDefault="000C1EAE" w:rsidP="00905F76">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88471" w14:textId="462C53BF" w:rsidR="000C1EAE" w:rsidRPr="00905F76" w:rsidRDefault="000C1EAE" w:rsidP="00905F76">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226539"/>
      <w:docPartObj>
        <w:docPartGallery w:val="Page Numbers (Bottom of Page)"/>
        <w:docPartUnique/>
      </w:docPartObj>
    </w:sdtPr>
    <w:sdtEndPr>
      <w:rPr>
        <w:noProof/>
      </w:rPr>
    </w:sdtEndPr>
    <w:sdtContent>
      <w:p w14:paraId="046C3B4D" w14:textId="70A63368" w:rsidR="000C1EAE" w:rsidRDefault="000C1E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725D3C" w14:textId="2BEA1CE0" w:rsidR="000C1EAE" w:rsidRPr="001D4CB0" w:rsidRDefault="000C1EAE" w:rsidP="001D4C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862C7" w14:textId="5C2439BE" w:rsidR="000C1EAE" w:rsidRPr="00D729D3" w:rsidRDefault="000C1EAE" w:rsidP="00D729D3">
    <w:pPr>
      <w:pStyle w:val="Footer"/>
    </w:pPr>
    <w:r>
      <w:fldChar w:fldCharType="begin"/>
    </w:r>
    <w:r>
      <w:instrText xml:space="preserve"> PAGE   \* MERGEFORMAT </w:instrText>
    </w:r>
    <w:r>
      <w:fldChar w:fldCharType="separate"/>
    </w:r>
    <w:r>
      <w:rPr>
        <w:noProof/>
      </w:rPr>
      <w:t>iv</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83C42" w14:textId="77777777" w:rsidR="000C1EAE" w:rsidRDefault="000C1EAE"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696CA3E3" w14:textId="77777777" w:rsidR="000C1EAE" w:rsidRDefault="000C1EAE" w:rsidP="005E670D">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E32B3" w14:textId="77777777" w:rsidR="000C1EAE" w:rsidRDefault="000C1EAE" w:rsidP="0038734F">
    <w:pPr>
      <w:pStyle w:val="Footer"/>
      <w:jc w:val="right"/>
    </w:pPr>
    <w:r>
      <w:fldChar w:fldCharType="begin"/>
    </w:r>
    <w:r>
      <w:instrText xml:space="preserve"> PAGE   \* MERGEFORMAT </w:instrText>
    </w:r>
    <w:r>
      <w:fldChar w:fldCharType="separate"/>
    </w:r>
    <w:r>
      <w:rPr>
        <w:noProof/>
      </w:rPr>
      <w:t>vii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6D532" w14:textId="77777777" w:rsidR="000C1EAE" w:rsidRPr="002C4A87" w:rsidRDefault="000C1EAE" w:rsidP="002C4A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D13D8" w14:textId="7DE50C88" w:rsidR="000C1EAE" w:rsidRPr="002C4A87" w:rsidRDefault="000C1EAE" w:rsidP="002C4A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D7EF6" w14:textId="77777777" w:rsidR="000C1EAE" w:rsidRDefault="000C1EA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1D0B6" w14:textId="77777777" w:rsidR="000C1EAE" w:rsidRDefault="000C1EAE" w:rsidP="0038734F">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343F3" w14:textId="77777777" w:rsidR="000C1EAE" w:rsidRDefault="000C1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29F5B" w14:textId="77777777" w:rsidR="000C1EAE" w:rsidRDefault="000C1EAE">
      <w:r>
        <w:separator/>
      </w:r>
    </w:p>
    <w:p w14:paraId="49384811" w14:textId="77777777" w:rsidR="000C1EAE" w:rsidRDefault="000C1EAE"/>
    <w:p w14:paraId="0F317E22" w14:textId="77777777" w:rsidR="000C1EAE" w:rsidRDefault="000C1EAE"/>
    <w:p w14:paraId="78C09C8A" w14:textId="77777777" w:rsidR="000C1EAE" w:rsidRDefault="000C1EAE"/>
  </w:footnote>
  <w:footnote w:type="continuationSeparator" w:id="0">
    <w:p w14:paraId="5B31B6C4" w14:textId="77777777" w:rsidR="000C1EAE" w:rsidRDefault="000C1EAE">
      <w:r>
        <w:continuationSeparator/>
      </w:r>
    </w:p>
    <w:p w14:paraId="1D3D619C" w14:textId="77777777" w:rsidR="000C1EAE" w:rsidRDefault="000C1EAE"/>
    <w:p w14:paraId="56D6606F" w14:textId="77777777" w:rsidR="000C1EAE" w:rsidRDefault="000C1EAE"/>
    <w:p w14:paraId="793E5617" w14:textId="77777777" w:rsidR="000C1EAE" w:rsidRDefault="000C1EAE"/>
  </w:footnote>
  <w:footnote w:id="1">
    <w:p w14:paraId="32258757" w14:textId="53E0E4B4" w:rsidR="000C1EAE" w:rsidRDefault="000C1EAE" w:rsidP="00AC2589">
      <w:pPr>
        <w:pStyle w:val="FootnoteText"/>
      </w:pPr>
      <w:r>
        <w:rPr>
          <w:rStyle w:val="FootnoteReference"/>
        </w:rPr>
        <w:footnoteRef/>
      </w:r>
      <w:r>
        <w:t xml:space="preserve"> </w:t>
      </w:r>
      <w:r w:rsidRPr="00C0010E">
        <w:t>ACT Legislative Assembly, Minutes of Proceedings No.</w:t>
      </w:r>
      <w:r>
        <w:t xml:space="preserve"> </w:t>
      </w:r>
      <w:r w:rsidRPr="00C0010E">
        <w:t>2, 13 December 201</w:t>
      </w:r>
      <w:r>
        <w:t>6</w:t>
      </w:r>
      <w:r w:rsidRPr="00C0010E">
        <w:t>, p.</w:t>
      </w:r>
      <w:r>
        <w:t xml:space="preserve"> 13.</w:t>
      </w:r>
    </w:p>
  </w:footnote>
  <w:footnote w:id="2">
    <w:p w14:paraId="64C5D903" w14:textId="19C2436D" w:rsidR="000C1EAE" w:rsidRDefault="000C1EAE">
      <w:pPr>
        <w:pStyle w:val="FootnoteText"/>
      </w:pPr>
      <w:r>
        <w:rPr>
          <w:rStyle w:val="FootnoteReference"/>
        </w:rPr>
        <w:footnoteRef/>
      </w:r>
      <w:r>
        <w:t xml:space="preserve"> </w:t>
      </w:r>
      <w:bookmarkStart w:id="38" w:name="_Hlk35421802"/>
      <w:r>
        <w:t xml:space="preserve">ACT Legislative Assembly, </w:t>
      </w:r>
      <w:r w:rsidRPr="000431CD">
        <w:rPr>
          <w:iCs/>
        </w:rPr>
        <w:t>Minutes of Proceedings</w:t>
      </w:r>
      <w:r>
        <w:t>, No. 98, 16 May 2019, pp. 1466–1467.</w:t>
      </w:r>
      <w:bookmarkEnd w:id="38"/>
    </w:p>
  </w:footnote>
  <w:footnote w:id="3">
    <w:p w14:paraId="34C3C373" w14:textId="6F440350" w:rsidR="000C1EAE" w:rsidRDefault="000C1EAE">
      <w:pPr>
        <w:pStyle w:val="FootnoteText"/>
      </w:pPr>
      <w:r>
        <w:rPr>
          <w:rStyle w:val="FootnoteReference"/>
        </w:rPr>
        <w:footnoteRef/>
      </w:r>
      <w:r>
        <w:t xml:space="preserve"> </w:t>
      </w:r>
      <w:r w:rsidRPr="00684FE6">
        <w:t xml:space="preserve">ACT Legislative Assembly, </w:t>
      </w:r>
      <w:r w:rsidRPr="00684FE6">
        <w:rPr>
          <w:iCs/>
        </w:rPr>
        <w:t>Minutes of Proceedings</w:t>
      </w:r>
      <w:r w:rsidRPr="00684FE6">
        <w:t>, No. 98, 16 May 2019, p. 1467.</w:t>
      </w:r>
    </w:p>
  </w:footnote>
  <w:footnote w:id="4">
    <w:p w14:paraId="1997416A" w14:textId="17A94237" w:rsidR="000C1EAE" w:rsidRDefault="000C1EAE">
      <w:pPr>
        <w:pStyle w:val="FootnoteText"/>
      </w:pPr>
      <w:r>
        <w:rPr>
          <w:rStyle w:val="FootnoteReference"/>
        </w:rPr>
        <w:footnoteRef/>
      </w:r>
      <w:r>
        <w:t xml:space="preserve"> Refer Chapter 2—</w:t>
      </w:r>
      <w:r w:rsidR="00B411D1">
        <w:t>ACT</w:t>
      </w:r>
      <w:r w:rsidRPr="000C1EAE">
        <w:rPr>
          <w:sz w:val="22"/>
          <w:szCs w:val="24"/>
        </w:rPr>
        <w:t xml:space="preserve"> </w:t>
      </w:r>
      <w:r w:rsidRPr="000C1EAE">
        <w:t>Standing Committee on Health, Ageing and Community Services</w:t>
      </w:r>
      <w:r w:rsidRPr="00612C3F">
        <w:rPr>
          <w:lang w:val="en-GB"/>
        </w:rPr>
        <w:t xml:space="preserve">, </w:t>
      </w:r>
      <w:bookmarkStart w:id="56" w:name="_Hlk49345998"/>
      <w:r w:rsidRPr="00612C3F">
        <w:rPr>
          <w:i/>
          <w:iCs/>
          <w:lang w:val="en-GB"/>
        </w:rPr>
        <w:t>Interim Report on Child and Youth Protection Services</w:t>
      </w:r>
      <w:r w:rsidRPr="00612C3F">
        <w:rPr>
          <w:lang w:val="en-GB"/>
        </w:rPr>
        <w:t xml:space="preserve"> </w:t>
      </w:r>
      <w:r w:rsidRPr="00B411D1">
        <w:rPr>
          <w:i/>
          <w:iCs/>
          <w:lang w:val="en-GB"/>
        </w:rPr>
        <w:t>(Part 1)</w:t>
      </w:r>
      <w:bookmarkEnd w:id="56"/>
      <w:r w:rsidRPr="00612C3F">
        <w:rPr>
          <w:lang w:val="en-GB"/>
        </w:rPr>
        <w:t>, presented 31 March 2020 (non-sitting circulation) and tabled 2 April 2020.</w:t>
      </w:r>
    </w:p>
  </w:footnote>
  <w:footnote w:id="5">
    <w:p w14:paraId="7734E37C" w14:textId="3C00DF22" w:rsidR="000C1EAE" w:rsidRDefault="000C1EAE" w:rsidP="00303C55">
      <w:pPr>
        <w:pStyle w:val="FootnoteText"/>
      </w:pPr>
      <w:r>
        <w:rPr>
          <w:rStyle w:val="FootnoteReference"/>
        </w:rPr>
        <w:footnoteRef/>
      </w:r>
      <w:r>
        <w:t xml:space="preserve"> </w:t>
      </w:r>
      <w:r w:rsidRPr="00262067">
        <w:rPr>
          <w:i/>
        </w:rPr>
        <w:t>Human Rights Act 2004</w:t>
      </w:r>
      <w:r>
        <w:rPr>
          <w:i/>
        </w:rPr>
        <w:t>.</w:t>
      </w:r>
    </w:p>
  </w:footnote>
  <w:footnote w:id="6">
    <w:p w14:paraId="616CEA06" w14:textId="4A8B0C13" w:rsidR="000C1EAE" w:rsidRDefault="000C1EAE">
      <w:pPr>
        <w:pStyle w:val="FootnoteText"/>
      </w:pPr>
      <w:r>
        <w:rPr>
          <w:rStyle w:val="FootnoteReference"/>
        </w:rPr>
        <w:footnoteRef/>
      </w:r>
      <w:r>
        <w:t xml:space="preserve"> </w:t>
      </w:r>
      <w:r w:rsidRPr="00D63F67">
        <w:rPr>
          <w:i/>
        </w:rPr>
        <w:t>Children and Young People Act 2008</w:t>
      </w:r>
      <w:r w:rsidRPr="00D63F67">
        <w:t xml:space="preserve"> [Chapter 25—Information secrecy and sharing]</w:t>
      </w:r>
      <w:r>
        <w:t>.</w:t>
      </w:r>
    </w:p>
  </w:footnote>
  <w:footnote w:id="7">
    <w:p w14:paraId="70F2D6CD" w14:textId="63447E14" w:rsidR="000C1EAE" w:rsidRPr="00D63F67" w:rsidRDefault="000C1EAE">
      <w:pPr>
        <w:pStyle w:val="FootnoteText"/>
        <w:rPr>
          <w:iCs/>
        </w:rPr>
      </w:pPr>
      <w:r>
        <w:rPr>
          <w:rStyle w:val="FootnoteReference"/>
        </w:rPr>
        <w:footnoteRef/>
      </w:r>
      <w:r>
        <w:t xml:space="preserve"> </w:t>
      </w:r>
      <w:r w:rsidRPr="00D63F67">
        <w:rPr>
          <w:i/>
        </w:rPr>
        <w:t>Criminal Code Act 2002</w:t>
      </w:r>
      <w:r>
        <w:rPr>
          <w:i/>
        </w:rPr>
        <w:t xml:space="preserve"> </w:t>
      </w:r>
      <w:r w:rsidRPr="00D63F67">
        <w:rPr>
          <w:iCs/>
        </w:rPr>
        <w:t>[712A—Publishing identifying information about childrens proceedings]</w:t>
      </w:r>
      <w:r>
        <w:rPr>
          <w:iCs/>
        </w:rPr>
        <w:t>.</w:t>
      </w:r>
    </w:p>
  </w:footnote>
  <w:footnote w:id="8">
    <w:p w14:paraId="50209EFB" w14:textId="5CB9A1D5" w:rsidR="000C1EAE" w:rsidRDefault="000C1EAE">
      <w:pPr>
        <w:pStyle w:val="FootnoteText"/>
      </w:pPr>
      <w:r>
        <w:rPr>
          <w:rStyle w:val="FootnoteReference"/>
        </w:rPr>
        <w:footnoteRef/>
      </w:r>
      <w:r>
        <w:t xml:space="preserve"> </w:t>
      </w:r>
      <w:r w:rsidRPr="00D938D6">
        <w:t>Refer also to section 712A—Publishing identifying information about childrens proceedings</w:t>
      </w:r>
      <w:r>
        <w:t>—</w:t>
      </w:r>
      <w:r w:rsidRPr="00D938D6">
        <w:rPr>
          <w:i/>
          <w:iCs/>
        </w:rPr>
        <w:t>Criminal Code Act 2002</w:t>
      </w:r>
      <w:r w:rsidRPr="00D938D6">
        <w:t>.</w:t>
      </w:r>
    </w:p>
  </w:footnote>
  <w:footnote w:id="9">
    <w:p w14:paraId="7BEC09EB" w14:textId="081683ED" w:rsidR="000C1EAE" w:rsidRDefault="000C1EAE">
      <w:pPr>
        <w:pStyle w:val="FootnoteText"/>
      </w:pPr>
      <w:r>
        <w:rPr>
          <w:rStyle w:val="FootnoteReference"/>
        </w:rPr>
        <w:footnoteRef/>
      </w:r>
      <w:r>
        <w:t xml:space="preserve"> Refer paragraph 1.2.</w:t>
      </w:r>
    </w:p>
  </w:footnote>
  <w:footnote w:id="10">
    <w:p w14:paraId="728F3E5F" w14:textId="1414BF69" w:rsidR="000C1EAE" w:rsidRDefault="000C1EAE">
      <w:pPr>
        <w:pStyle w:val="FootnoteText"/>
      </w:pPr>
      <w:r>
        <w:rPr>
          <w:rStyle w:val="FootnoteReference"/>
        </w:rPr>
        <w:footnoteRef/>
      </w:r>
      <w:r>
        <w:t xml:space="preserve"> As noted in paragraph 3.21.</w:t>
      </w:r>
    </w:p>
  </w:footnote>
  <w:footnote w:id="11">
    <w:p w14:paraId="3A97DAD5" w14:textId="77777777" w:rsidR="000C1EAE" w:rsidRDefault="000C1EAE" w:rsidP="00446CD7">
      <w:pPr>
        <w:pStyle w:val="FootnoteText"/>
      </w:pPr>
      <w:r>
        <w:rPr>
          <w:rStyle w:val="FootnoteReference"/>
        </w:rPr>
        <w:footnoteRef/>
      </w:r>
      <w:r>
        <w:t xml:space="preserve"> </w:t>
      </w:r>
      <w:r w:rsidRPr="009C6BFF">
        <w:rPr>
          <w:i/>
        </w:rPr>
        <w:t>res judicata</w:t>
      </w:r>
      <w:r w:rsidRPr="009C6BFF">
        <w:rPr>
          <w:iCs/>
        </w:rPr>
        <w:t>—a</w:t>
      </w:r>
      <w:r w:rsidRPr="009C6BFF">
        <w:t xml:space="preserve"> matter that has been adjudicated by a competent court and therefore may not be pursued further by the same parties.</w:t>
      </w:r>
    </w:p>
  </w:footnote>
  <w:footnote w:id="12">
    <w:p w14:paraId="6EB2E4EF" w14:textId="77777777" w:rsidR="000C1EAE" w:rsidRDefault="000C1EAE" w:rsidP="00446CD7">
      <w:pPr>
        <w:pStyle w:val="FootnoteText"/>
      </w:pPr>
      <w:r>
        <w:rPr>
          <w:rStyle w:val="FootnoteReference"/>
        </w:rPr>
        <w:footnoteRef/>
      </w:r>
      <w:r>
        <w:t xml:space="preserve"> </w:t>
      </w:r>
      <w:r w:rsidRPr="009C6BFF">
        <w:rPr>
          <w:i/>
        </w:rPr>
        <w:t>issue estoppel</w:t>
      </w:r>
      <w:r w:rsidRPr="009C6BFF">
        <w:rPr>
          <w:iCs/>
        </w:rPr>
        <w:t>—a party to litigation is prevented from re-arguing an issue determined by a Court in an earlier proceeding.</w:t>
      </w:r>
    </w:p>
  </w:footnote>
  <w:footnote w:id="13">
    <w:p w14:paraId="485D0990" w14:textId="552198D1" w:rsidR="000C1EAE" w:rsidRDefault="000C1EAE">
      <w:pPr>
        <w:pStyle w:val="FootnoteText"/>
      </w:pPr>
      <w:r>
        <w:rPr>
          <w:rStyle w:val="FootnoteReference"/>
        </w:rPr>
        <w:footnoteRef/>
      </w:r>
      <w:r>
        <w:t xml:space="preserve"> Government response to </w:t>
      </w:r>
      <w:r w:rsidR="00B411D1">
        <w:t xml:space="preserve">ACT </w:t>
      </w:r>
      <w:r w:rsidR="00B411D1" w:rsidRPr="00B411D1">
        <w:t>Standing Committee on Health, Ageing and Community Services</w:t>
      </w:r>
      <w:r w:rsidR="00B411D1">
        <w:t xml:space="preserve">, </w:t>
      </w:r>
      <w:r w:rsidR="00B411D1" w:rsidRPr="00B411D1">
        <w:rPr>
          <w:i/>
          <w:iCs/>
          <w:lang w:val="en-GB"/>
        </w:rPr>
        <w:t>Interim Report on Child and Youth Protection Services</w:t>
      </w:r>
      <w:r w:rsidR="00B411D1" w:rsidRPr="00B411D1">
        <w:rPr>
          <w:lang w:val="en-GB"/>
        </w:rPr>
        <w:t xml:space="preserve"> </w:t>
      </w:r>
      <w:r w:rsidR="00B411D1" w:rsidRPr="00B411D1">
        <w:rPr>
          <w:i/>
          <w:iCs/>
          <w:lang w:val="en-GB"/>
        </w:rPr>
        <w:t>(Part 1)</w:t>
      </w:r>
      <w:r>
        <w:t>—released 3 August 2020—Minister for Children, Youth and Families.</w:t>
      </w:r>
    </w:p>
  </w:footnote>
  <w:footnote w:id="14">
    <w:p w14:paraId="2A266A33" w14:textId="1564B037" w:rsidR="000C1EAE" w:rsidRDefault="000C1EAE">
      <w:pPr>
        <w:pStyle w:val="FootnoteText"/>
      </w:pPr>
      <w:r>
        <w:rPr>
          <w:rStyle w:val="FootnoteReference"/>
        </w:rPr>
        <w:footnoteRef/>
      </w:r>
      <w:r>
        <w:t xml:space="preserve"> Recommendation(s) 4; 5; 7; and 10.</w:t>
      </w:r>
    </w:p>
  </w:footnote>
  <w:footnote w:id="15">
    <w:p w14:paraId="5D4565E1" w14:textId="07A8D5E5" w:rsidR="000C1EAE" w:rsidRDefault="000C1EAE">
      <w:pPr>
        <w:pStyle w:val="FootnoteText"/>
      </w:pPr>
      <w:r>
        <w:rPr>
          <w:rStyle w:val="FootnoteReference"/>
        </w:rPr>
        <w:footnoteRef/>
      </w:r>
      <w:r>
        <w:t xml:space="preserve"> Recommendation(s) 2; 3; 8; and 9.</w:t>
      </w:r>
    </w:p>
  </w:footnote>
  <w:footnote w:id="16">
    <w:p w14:paraId="0C9CE086" w14:textId="61BCA63E" w:rsidR="000C1EAE" w:rsidRDefault="000C1EAE">
      <w:pPr>
        <w:pStyle w:val="FootnoteText"/>
      </w:pPr>
      <w:r>
        <w:rPr>
          <w:rStyle w:val="FootnoteReference"/>
        </w:rPr>
        <w:footnoteRef/>
      </w:r>
      <w:r>
        <w:t xml:space="preserve"> Recommendation(s) 1 and 6. </w:t>
      </w:r>
    </w:p>
  </w:footnote>
  <w:footnote w:id="17">
    <w:p w14:paraId="2235657C" w14:textId="39DFC1AD" w:rsidR="000C1EAE" w:rsidRDefault="000C1EAE" w:rsidP="005F5616">
      <w:pPr>
        <w:pStyle w:val="FootnoteText"/>
      </w:pPr>
      <w:r>
        <w:rPr>
          <w:rStyle w:val="FootnoteReference"/>
        </w:rPr>
        <w:footnoteRef/>
      </w:r>
      <w:r>
        <w:t xml:space="preserve"> </w:t>
      </w:r>
      <w:bookmarkStart w:id="80" w:name="_Hlk48309379"/>
      <w:r w:rsidRPr="00612C3F">
        <w:rPr>
          <w:i/>
          <w:lang w:val="en-GB"/>
        </w:rPr>
        <w:t>Advice to the ACT Legislative Assembly’s Standing Committee on Health, Ageing and Community Services on procedural matters related to child and youth protection services in the ACT</w:t>
      </w:r>
      <w:r w:rsidRPr="00612C3F">
        <w:rPr>
          <w:iCs/>
          <w:lang w:val="en-GB"/>
        </w:rPr>
        <w:t xml:space="preserve"> (March 2020)</w:t>
      </w:r>
      <w:r>
        <w:rPr>
          <w:iCs/>
          <w:lang w:val="en-GB"/>
        </w:rPr>
        <w:t>, p. 1.</w:t>
      </w:r>
    </w:p>
    <w:bookmarkEnd w:id="80"/>
  </w:footnote>
  <w:footnote w:id="18">
    <w:p w14:paraId="0E9BC377" w14:textId="1CBC367D" w:rsidR="000C1EAE" w:rsidRDefault="000C1EAE">
      <w:pPr>
        <w:pStyle w:val="FootnoteText"/>
      </w:pPr>
      <w:r>
        <w:rPr>
          <w:rStyle w:val="FootnoteReference"/>
        </w:rPr>
        <w:footnoteRef/>
      </w:r>
      <w:r>
        <w:t xml:space="preserve"> </w:t>
      </w:r>
      <w:r w:rsidRPr="00612C3F">
        <w:rPr>
          <w:i/>
          <w:lang w:val="en-GB"/>
        </w:rPr>
        <w:t>Advice to the ACT Legislative Assembly’s Standing Committee on Health, Ageing and Community Services on procedural matters related to child and youth protection services in the ACT</w:t>
      </w:r>
      <w:r w:rsidRPr="00612C3F">
        <w:rPr>
          <w:iCs/>
          <w:lang w:val="en-GB"/>
        </w:rPr>
        <w:t xml:space="preserve"> (March 2020).</w:t>
      </w:r>
    </w:p>
  </w:footnote>
  <w:footnote w:id="19">
    <w:p w14:paraId="54BE8CC3" w14:textId="257AD5CC" w:rsidR="000C1EAE" w:rsidRDefault="000C1EAE" w:rsidP="006C75DC">
      <w:pPr>
        <w:pStyle w:val="FootnoteText"/>
      </w:pPr>
      <w:r>
        <w:rPr>
          <w:rStyle w:val="FootnoteReference"/>
        </w:rPr>
        <w:footnoteRef/>
      </w:r>
      <w:r>
        <w:t xml:space="preserve"> </w:t>
      </w:r>
      <w:r w:rsidRPr="00847067">
        <w:rPr>
          <w:i/>
          <w:lang w:val="en-GB"/>
        </w:rPr>
        <w:t>Advice to the ACT Legislative Assembly’s Standing Committee on Health, Ageing and Community Services on procedural matters related to child and youth protection services in the ACT</w:t>
      </w:r>
      <w:r w:rsidRPr="00847067">
        <w:rPr>
          <w:iCs/>
          <w:lang w:val="en-GB"/>
        </w:rPr>
        <w:t xml:space="preserve"> (March 2020)</w:t>
      </w:r>
      <w:r>
        <w:rPr>
          <w:iCs/>
          <w:lang w:val="en-GB"/>
        </w:rPr>
        <w:t>, p. 4</w:t>
      </w:r>
      <w:r w:rsidRPr="00847067">
        <w:rPr>
          <w:iCs/>
          <w:lang w:val="en-GB"/>
        </w:rPr>
        <w:t>.</w:t>
      </w:r>
    </w:p>
  </w:footnote>
  <w:footnote w:id="20">
    <w:p w14:paraId="09D4D7AA" w14:textId="51235BBA" w:rsidR="000C1EAE" w:rsidRDefault="000C1EAE">
      <w:pPr>
        <w:pStyle w:val="FootnoteText"/>
      </w:pPr>
      <w:r>
        <w:rPr>
          <w:rStyle w:val="FootnoteReference"/>
        </w:rPr>
        <w:footnoteRef/>
      </w:r>
      <w:r>
        <w:t xml:space="preserve"> Standing Order 239—Power to send for persons, papers and records. </w:t>
      </w:r>
    </w:p>
  </w:footnote>
  <w:footnote w:id="21">
    <w:p w14:paraId="481E76AA" w14:textId="4E7EB1A1" w:rsidR="000C1EAE" w:rsidRDefault="000C1EAE">
      <w:pPr>
        <w:pStyle w:val="FootnoteText"/>
      </w:pPr>
      <w:r>
        <w:rPr>
          <w:rStyle w:val="FootnoteReference"/>
        </w:rPr>
        <w:footnoteRef/>
      </w:r>
      <w:r>
        <w:t xml:space="preserve"> </w:t>
      </w:r>
      <w:r w:rsidRPr="009212D8">
        <w:rPr>
          <w:i/>
          <w:iCs/>
        </w:rPr>
        <w:t>In-camera</w:t>
      </w:r>
      <w:r>
        <w:t xml:space="preserve"> hearing held on 30 June 2020.</w:t>
      </w:r>
    </w:p>
  </w:footnote>
  <w:footnote w:id="22">
    <w:p w14:paraId="004A29E2" w14:textId="778031E8" w:rsidR="000C1EAE" w:rsidRDefault="000C1EAE">
      <w:pPr>
        <w:pStyle w:val="FootnoteText"/>
      </w:pPr>
      <w:r>
        <w:rPr>
          <w:rStyle w:val="FootnoteReference"/>
        </w:rPr>
        <w:footnoteRef/>
      </w:r>
      <w:r>
        <w:t xml:space="preserve"> </w:t>
      </w:r>
      <w:r w:rsidRPr="00F412C4">
        <w:t xml:space="preserve">ACT Legislative Assembly, </w:t>
      </w:r>
      <w:r w:rsidRPr="00F412C4">
        <w:rPr>
          <w:iCs/>
        </w:rPr>
        <w:t>Minutes of Proceedings</w:t>
      </w:r>
      <w:r w:rsidRPr="00F412C4">
        <w:t>, No. 98, 16 May 2019, pp. 1466–1467.</w:t>
      </w:r>
    </w:p>
  </w:footnote>
  <w:footnote w:id="23">
    <w:p w14:paraId="67F173E1" w14:textId="77777777" w:rsidR="000C1EAE" w:rsidRDefault="000C1EAE" w:rsidP="00F854B8">
      <w:pPr>
        <w:pStyle w:val="FootnoteText"/>
      </w:pPr>
      <w:r>
        <w:rPr>
          <w:rStyle w:val="FootnoteReference"/>
        </w:rPr>
        <w:footnoteRef/>
      </w:r>
      <w:r>
        <w:t xml:space="preserve"> </w:t>
      </w:r>
      <w:bookmarkStart w:id="87" w:name="_Hlk35268662"/>
      <w:r w:rsidRPr="00840E67">
        <w:t>CP v Director-General of CSD and Ors [2017] ACTSC 394 [Appeal from the Childrens Court—Hearing dates: 1, 2 &amp; 7 April 2015; Decision date: 21 December 2017; Before: Refshauge, J.]</w:t>
      </w:r>
      <w:r>
        <w:t>—paragraph 454</w:t>
      </w:r>
      <w:r w:rsidRPr="00840E67">
        <w:t>.</w:t>
      </w:r>
      <w:bookmarkEnd w:id="87"/>
    </w:p>
  </w:footnote>
  <w:footnote w:id="24">
    <w:p w14:paraId="34F7714E" w14:textId="573EF32D" w:rsidR="000C1EAE" w:rsidRPr="00AD0359" w:rsidRDefault="000C1EAE" w:rsidP="00F854B8">
      <w:pPr>
        <w:pStyle w:val="FootnoteText"/>
      </w:pPr>
      <w:r>
        <w:rPr>
          <w:rStyle w:val="FootnoteReference"/>
        </w:rPr>
        <w:footnoteRef/>
      </w:r>
      <w:r>
        <w:t xml:space="preserve"> </w:t>
      </w:r>
      <w:bookmarkStart w:id="91" w:name="_Hlk35250592"/>
      <w:r w:rsidRPr="00B628CF">
        <w:t>Submission</w:t>
      </w:r>
      <w:r w:rsidRPr="00AD0359">
        <w:t xml:space="preserve"> No. 2—ACT Government—Inquiry into CYPS (Part 1), p. 5</w:t>
      </w:r>
      <w:r>
        <w:t>—</w:t>
      </w:r>
      <w:bookmarkStart w:id="92" w:name="_Hlk49261629"/>
      <w:r w:rsidRPr="001A24EC">
        <w:t xml:space="preserve">quoted in </w:t>
      </w:r>
      <w:r w:rsidR="00B411D1">
        <w:t xml:space="preserve">ACT </w:t>
      </w:r>
      <w:r w:rsidRPr="001A24EC">
        <w:t xml:space="preserve">Standing Committee on Health, Ageing and Community Services, </w:t>
      </w:r>
      <w:r w:rsidRPr="00D9326E">
        <w:rPr>
          <w:i/>
          <w:iCs/>
        </w:rPr>
        <w:t>Interim Report on Child and Youth Protection Services (Part 1)</w:t>
      </w:r>
      <w:r w:rsidRPr="001A24EC">
        <w:t>, p. 19</w:t>
      </w:r>
      <w:r w:rsidRPr="00AD0359">
        <w:t>.</w:t>
      </w:r>
      <w:bookmarkEnd w:id="91"/>
      <w:bookmarkEnd w:id="92"/>
    </w:p>
  </w:footnote>
  <w:footnote w:id="25">
    <w:p w14:paraId="5155DD4F" w14:textId="549622AC" w:rsidR="000C1EAE" w:rsidRDefault="000C1EAE" w:rsidP="00F854B8">
      <w:pPr>
        <w:pStyle w:val="FootnoteText"/>
      </w:pPr>
      <w:r w:rsidRPr="00AD0359">
        <w:rPr>
          <w:rStyle w:val="FootnoteReference"/>
        </w:rPr>
        <w:footnoteRef/>
      </w:r>
      <w:r w:rsidRPr="00AD0359">
        <w:t xml:space="preserve"> </w:t>
      </w:r>
      <w:bookmarkStart w:id="94" w:name="_Hlk35251403"/>
      <w:r w:rsidRPr="00AD0359">
        <w:t>Submission No. 2—ACT Government—Inquiry into CYPS (Part 1), p. 5</w:t>
      </w:r>
      <w:r>
        <w:t>—</w:t>
      </w:r>
      <w:r w:rsidRPr="001A24EC">
        <w:t xml:space="preserve">quoted in </w:t>
      </w:r>
      <w:bookmarkStart w:id="95" w:name="_Hlk49345858"/>
      <w:r w:rsidR="00B411D1">
        <w:t xml:space="preserve">ACT </w:t>
      </w:r>
      <w:r w:rsidRPr="001A24EC">
        <w:t>Standing Committee on Health, Ageing and Community Services</w:t>
      </w:r>
      <w:bookmarkEnd w:id="95"/>
      <w:r w:rsidRPr="001A24EC">
        <w:t xml:space="preserve">, </w:t>
      </w:r>
      <w:r w:rsidRPr="00D9326E">
        <w:rPr>
          <w:i/>
          <w:iCs/>
        </w:rPr>
        <w:t>Interim Report on Child and Youth Protection Services (Part 1)</w:t>
      </w:r>
      <w:r w:rsidRPr="001A24EC">
        <w:t>, p. 19</w:t>
      </w:r>
      <w:r w:rsidRPr="00AD0359">
        <w:t>.</w:t>
      </w:r>
      <w:bookmarkEnd w:id="94"/>
    </w:p>
  </w:footnote>
  <w:footnote w:id="26">
    <w:p w14:paraId="6FE8FE97" w14:textId="77777777" w:rsidR="000C1EAE" w:rsidRDefault="000C1EAE" w:rsidP="007452C4">
      <w:pPr>
        <w:pStyle w:val="FootnoteText"/>
      </w:pPr>
      <w:r>
        <w:rPr>
          <w:rStyle w:val="FootnoteReference"/>
        </w:rPr>
        <w:footnoteRef/>
      </w:r>
      <w:r>
        <w:t xml:space="preserve"> </w:t>
      </w:r>
      <w:r w:rsidRPr="0095156F">
        <w:t>CP v DG, CSD [2018] ACTCA 31 [Hearing date: 7 August 2018; Decision date; 28 August 2018; Before: Burns, Elkaim &amp; Mossop, JJ], paragraph 25, p</w:t>
      </w:r>
      <w:r>
        <w:t>p</w:t>
      </w:r>
      <w:r w:rsidRPr="0095156F">
        <w:t xml:space="preserve">. </w:t>
      </w:r>
      <w:r>
        <w:t>17–18</w:t>
      </w:r>
      <w:r w:rsidRPr="0095156F">
        <w:t>.</w:t>
      </w:r>
    </w:p>
  </w:footnote>
  <w:footnote w:id="27">
    <w:p w14:paraId="75594BD8" w14:textId="5E865398" w:rsidR="000C1EAE" w:rsidRDefault="000C1EAE">
      <w:pPr>
        <w:pStyle w:val="FootnoteText"/>
      </w:pPr>
      <w:r>
        <w:rPr>
          <w:rStyle w:val="FootnoteReference"/>
        </w:rPr>
        <w:footnoteRef/>
      </w:r>
      <w:r>
        <w:t xml:space="preserve"> Recommendation 1—ACT </w:t>
      </w:r>
      <w:r w:rsidRPr="000C1EAE">
        <w:t>Standing Committee on Health, Ageing and Community Services</w:t>
      </w:r>
      <w:r w:rsidRPr="0098389A">
        <w:rPr>
          <w:lang w:val="en-GB"/>
        </w:rPr>
        <w:t xml:space="preserve">, </w:t>
      </w:r>
      <w:r w:rsidRPr="0098389A">
        <w:rPr>
          <w:i/>
          <w:iCs/>
          <w:lang w:val="en-GB"/>
        </w:rPr>
        <w:t>Interim Report on Child and Youth Protection Services</w:t>
      </w:r>
      <w:r w:rsidRPr="0098389A">
        <w:rPr>
          <w:lang w:val="en-GB"/>
        </w:rPr>
        <w:t xml:space="preserve"> </w:t>
      </w:r>
      <w:r w:rsidRPr="00D9326E">
        <w:rPr>
          <w:i/>
          <w:iCs/>
          <w:lang w:val="en-GB"/>
        </w:rPr>
        <w:t>(Part 1)</w:t>
      </w:r>
      <w:r w:rsidRPr="0098389A">
        <w:rPr>
          <w:lang w:val="en-GB"/>
        </w:rPr>
        <w:t>, presented 31 March 2020 (non-sitting circulation) and tabled 2 April 2020.</w:t>
      </w:r>
    </w:p>
  </w:footnote>
  <w:footnote w:id="28">
    <w:p w14:paraId="732D7CAF" w14:textId="26B9E8F1" w:rsidR="000C1EAE" w:rsidRDefault="000C1EAE">
      <w:pPr>
        <w:pStyle w:val="FootnoteText"/>
      </w:pPr>
      <w:r>
        <w:rPr>
          <w:rStyle w:val="FootnoteReference"/>
        </w:rPr>
        <w:footnoteRef/>
      </w:r>
      <w:r>
        <w:t xml:space="preserve"> Government response to ACT </w:t>
      </w:r>
      <w:r w:rsidRPr="000C1EAE">
        <w:t>Standing Committee on Health, Ageing and Community Services</w:t>
      </w:r>
      <w:r w:rsidRPr="00505ABD">
        <w:rPr>
          <w:lang w:val="en-GB"/>
        </w:rPr>
        <w:t xml:space="preserve">, </w:t>
      </w:r>
      <w:r w:rsidRPr="00505ABD">
        <w:rPr>
          <w:i/>
          <w:iCs/>
          <w:lang w:val="en-GB"/>
        </w:rPr>
        <w:t>Interim Report on Child and Youth Protection Services</w:t>
      </w:r>
      <w:r w:rsidRPr="00505ABD">
        <w:rPr>
          <w:lang w:val="en-GB"/>
        </w:rPr>
        <w:t xml:space="preserve"> </w:t>
      </w:r>
      <w:r w:rsidRPr="00D9326E">
        <w:rPr>
          <w:i/>
          <w:iCs/>
          <w:lang w:val="en-GB"/>
        </w:rPr>
        <w:t>(Part 1)</w:t>
      </w:r>
      <w:r w:rsidRPr="00505ABD">
        <w:rPr>
          <w:lang w:val="en-GB"/>
        </w:rPr>
        <w:t>, presented 3</w:t>
      </w:r>
      <w:r>
        <w:rPr>
          <w:lang w:val="en-GB"/>
        </w:rPr>
        <w:t xml:space="preserve"> August </w:t>
      </w:r>
      <w:r w:rsidRPr="00505ABD">
        <w:rPr>
          <w:lang w:val="en-GB"/>
        </w:rPr>
        <w:t>2020 (non-sitting circulation)</w:t>
      </w:r>
      <w:r>
        <w:rPr>
          <w:lang w:val="en-GB"/>
        </w:rPr>
        <w:t>.</w:t>
      </w:r>
    </w:p>
  </w:footnote>
  <w:footnote w:id="29">
    <w:p w14:paraId="42CF655B" w14:textId="77777777" w:rsidR="000C1EAE" w:rsidRDefault="000C1EAE" w:rsidP="00080F68">
      <w:pPr>
        <w:pStyle w:val="FootnoteText"/>
      </w:pPr>
      <w:r>
        <w:rPr>
          <w:rStyle w:val="FootnoteReference"/>
        </w:rPr>
        <w:footnoteRef/>
      </w:r>
      <w:r>
        <w:t xml:space="preserve"> </w:t>
      </w:r>
      <w:r w:rsidRPr="006321E5">
        <w:t xml:space="preserve">Sheehan, R. (2019). </w:t>
      </w:r>
      <w:r>
        <w:t>‘</w:t>
      </w:r>
      <w:r w:rsidRPr="006321E5">
        <w:t>Cumulative harm in the child protection system: The Australian context</w:t>
      </w:r>
      <w:r>
        <w:t>’,</w:t>
      </w:r>
      <w:r w:rsidRPr="006321E5">
        <w:t xml:space="preserve"> </w:t>
      </w:r>
      <w:r w:rsidRPr="006321E5">
        <w:rPr>
          <w:i/>
          <w:iCs/>
        </w:rPr>
        <w:t>Child and Family Social Work</w:t>
      </w:r>
      <w:r>
        <w:rPr>
          <w:i/>
          <w:iCs/>
        </w:rPr>
        <w:t>,</w:t>
      </w:r>
      <w:r w:rsidRPr="006321E5">
        <w:t xml:space="preserve"> 24</w:t>
      </w:r>
      <w:r>
        <w:t xml:space="preserve"> (1</w:t>
      </w:r>
      <w:r w:rsidRPr="006321E5">
        <w:t>0</w:t>
      </w:r>
      <w:r>
        <w:t>).</w:t>
      </w:r>
    </w:p>
  </w:footnote>
  <w:footnote w:id="30">
    <w:p w14:paraId="30DB4C17" w14:textId="77777777" w:rsidR="000C1EAE" w:rsidRDefault="000C1EAE" w:rsidP="00080F68">
      <w:pPr>
        <w:pStyle w:val="FootnoteText"/>
      </w:pPr>
      <w:r>
        <w:rPr>
          <w:rStyle w:val="FootnoteReference"/>
        </w:rPr>
        <w:footnoteRef/>
      </w:r>
      <w:r>
        <w:t xml:space="preserve"> </w:t>
      </w:r>
      <w:r w:rsidRPr="00E751AB">
        <w:t>Bryce, I. (2018). ‘A Review of Cumulative Harm: A Comparison of International Child Protection Practices’. </w:t>
      </w:r>
      <w:r w:rsidRPr="00E751AB">
        <w:rPr>
          <w:i/>
          <w:iCs/>
        </w:rPr>
        <w:t>Children Australia,</w:t>
      </w:r>
      <w:r w:rsidRPr="00E751AB">
        <w:t xml:space="preserve"> 43(1), </w:t>
      </w:r>
      <w:r>
        <w:t xml:space="preserve">pp. </w:t>
      </w:r>
      <w:r w:rsidRPr="00E751AB">
        <w:t>23–31.</w:t>
      </w:r>
    </w:p>
  </w:footnote>
  <w:footnote w:id="31">
    <w:p w14:paraId="5520FA0F" w14:textId="3A679A6B" w:rsidR="000C1EAE" w:rsidRDefault="000C1EAE">
      <w:pPr>
        <w:pStyle w:val="FootnoteText"/>
      </w:pPr>
      <w:r>
        <w:rPr>
          <w:rStyle w:val="FootnoteReference"/>
        </w:rPr>
        <w:footnoteRef/>
      </w:r>
      <w:r>
        <w:t xml:space="preserve"> Section 507 of the </w:t>
      </w:r>
      <w:r w:rsidRPr="007E2EA3">
        <w:rPr>
          <w:i/>
          <w:iCs/>
        </w:rPr>
        <w:t>Children and Young People Act 2008</w:t>
      </w:r>
      <w:r>
        <w:t>—</w:t>
      </w:r>
      <w:r w:rsidRPr="00D01F1A">
        <w:t>Public advocate to be told about action following</w:t>
      </w:r>
      <w:r>
        <w:t xml:space="preserve"> </w:t>
      </w:r>
      <w:r w:rsidRPr="00D01F1A">
        <w:t>appraisals</w:t>
      </w:r>
      <w:r>
        <w:t>.</w:t>
      </w:r>
    </w:p>
  </w:footnote>
  <w:footnote w:id="32">
    <w:p w14:paraId="1D6C3601" w14:textId="0A6BC9D2" w:rsidR="000C1EAE" w:rsidRDefault="000C1EAE">
      <w:pPr>
        <w:pStyle w:val="FootnoteText"/>
      </w:pPr>
      <w:r>
        <w:rPr>
          <w:rStyle w:val="FootnoteReference"/>
        </w:rPr>
        <w:footnoteRef/>
      </w:r>
      <w:r>
        <w:t xml:space="preserve"> ACT Auditor-General’s Report No. 1 of 2013: </w:t>
      </w:r>
      <w:r w:rsidRPr="0011009F">
        <w:rPr>
          <w:i/>
          <w:iCs/>
        </w:rPr>
        <w:t>Care and Protection System</w:t>
      </w:r>
      <w:r>
        <w:t>, p. 172.</w:t>
      </w:r>
    </w:p>
  </w:footnote>
  <w:footnote w:id="33">
    <w:p w14:paraId="096A3E70" w14:textId="77777777" w:rsidR="000C1EAE" w:rsidRDefault="000C1EAE" w:rsidP="007E3E02">
      <w:pPr>
        <w:pStyle w:val="FootnoteText"/>
      </w:pPr>
      <w:r>
        <w:rPr>
          <w:rStyle w:val="FootnoteReference"/>
        </w:rPr>
        <w:footnoteRef/>
      </w:r>
      <w:r>
        <w:t xml:space="preserve"> ACT Human Rights Commission. (2017) </w:t>
      </w:r>
      <w:r w:rsidRPr="00D124F5">
        <w:rPr>
          <w:i/>
        </w:rPr>
        <w:t>2016–17 Annual Report</w:t>
      </w:r>
      <w:r>
        <w:t>, p. 50.</w:t>
      </w:r>
    </w:p>
  </w:footnote>
  <w:footnote w:id="34">
    <w:p w14:paraId="4CF4EC35" w14:textId="5DFF811F" w:rsidR="000C1EAE" w:rsidRDefault="000C1EAE">
      <w:pPr>
        <w:pStyle w:val="FootnoteText"/>
      </w:pPr>
      <w:r>
        <w:rPr>
          <w:rStyle w:val="FootnoteReference"/>
        </w:rPr>
        <w:footnoteRef/>
      </w:r>
      <w:r>
        <w:t xml:space="preserve"> Recommendation 4—9</w:t>
      </w:r>
      <w:r w:rsidRPr="002435CA">
        <w:rPr>
          <w:vertAlign w:val="superscript"/>
        </w:rPr>
        <w:t>th</w:t>
      </w:r>
      <w:r>
        <w:t xml:space="preserve"> </w:t>
      </w:r>
      <w:r w:rsidR="00B411D1">
        <w:t xml:space="preserve">ACT </w:t>
      </w:r>
      <w:r>
        <w:t>Legislative Assembly Standing Committee on Justice and Community Safety—</w:t>
      </w:r>
      <w:r w:rsidRPr="0011009F">
        <w:rPr>
          <w:i/>
          <w:iCs/>
        </w:rPr>
        <w:t>Report on Annual and Financial Reports 2016–17</w:t>
      </w:r>
      <w:r>
        <w:t>, pp. 23–24.</w:t>
      </w:r>
    </w:p>
  </w:footnote>
  <w:footnote w:id="35">
    <w:p w14:paraId="025A9B23" w14:textId="046D9B13" w:rsidR="000C1EAE" w:rsidRDefault="000C1EAE">
      <w:pPr>
        <w:pStyle w:val="FootnoteText"/>
      </w:pPr>
      <w:r>
        <w:rPr>
          <w:rStyle w:val="FootnoteReference"/>
        </w:rPr>
        <w:footnoteRef/>
      </w:r>
      <w:r>
        <w:t xml:space="preserve"> Government Response to </w:t>
      </w:r>
      <w:bookmarkStart w:id="102" w:name="_Hlk48734338"/>
      <w:r>
        <w:t>9</w:t>
      </w:r>
      <w:r w:rsidRPr="0011009F">
        <w:rPr>
          <w:vertAlign w:val="superscript"/>
        </w:rPr>
        <w:t>th</w:t>
      </w:r>
      <w:r>
        <w:t xml:space="preserve"> </w:t>
      </w:r>
      <w:r w:rsidR="00B411D1">
        <w:t xml:space="preserve">ACT </w:t>
      </w:r>
      <w:r>
        <w:t>Legislative Assembly Standing Committee on Justice and Community Safety—</w:t>
      </w:r>
      <w:r w:rsidRPr="00D9326E">
        <w:rPr>
          <w:i/>
          <w:iCs/>
        </w:rPr>
        <w:t>Report on Annual and Financial Reports 2016–17</w:t>
      </w:r>
      <w:bookmarkEnd w:id="102"/>
      <w:r>
        <w:t xml:space="preserve">, p. 4.  </w:t>
      </w:r>
    </w:p>
  </w:footnote>
  <w:footnote w:id="36">
    <w:p w14:paraId="0FF8923A" w14:textId="55E69233" w:rsidR="000C1EAE" w:rsidRPr="00455B02" w:rsidRDefault="000C1EAE" w:rsidP="00182066">
      <w:pPr>
        <w:rPr>
          <w:sz w:val="20"/>
          <w:szCs w:val="20"/>
        </w:rPr>
      </w:pPr>
      <w:r>
        <w:rPr>
          <w:rStyle w:val="FootnoteReference"/>
        </w:rPr>
        <w:footnoteRef/>
      </w:r>
      <w:r>
        <w:rPr>
          <w:sz w:val="20"/>
          <w:szCs w:val="20"/>
        </w:rPr>
        <w:t xml:space="preserve"> </w:t>
      </w:r>
      <w:r w:rsidRPr="00455B02">
        <w:rPr>
          <w:sz w:val="20"/>
          <w:szCs w:val="20"/>
        </w:rPr>
        <w:t>Chief Justice Robert French AC, “Public Law - An Australian Perspective” Scottish Public Law Group, Edinburgh, 6 July 2012.  Accessed at: https://www.hcourt.gov.au/assets/publications/speeches/current-justices/frenchcj/frenchcj6jul12.pdf</w:t>
      </w:r>
    </w:p>
  </w:footnote>
  <w:footnote w:id="37">
    <w:p w14:paraId="4E0E8506" w14:textId="77777777" w:rsidR="000C1EAE" w:rsidRDefault="000C1EAE" w:rsidP="00182066">
      <w:pPr>
        <w:pStyle w:val="FootnoteText"/>
      </w:pPr>
      <w:r>
        <w:rPr>
          <w:rStyle w:val="FootnoteReference"/>
        </w:rPr>
        <w:footnoteRef/>
      </w:r>
      <w:r>
        <w:t xml:space="preserve"> </w:t>
      </w:r>
      <w:r w:rsidRPr="00182066">
        <w:rPr>
          <w:rFonts w:cs="Calibri"/>
          <w:i/>
          <w:iCs/>
        </w:rPr>
        <w:t>Egan v Willis [(1998) 195 CLR 424</w:t>
      </w:r>
      <w:r w:rsidRPr="00182066">
        <w:rPr>
          <w:rFonts w:cs="Calibri"/>
        </w:rPr>
        <w:t xml:space="preserve">] and </w:t>
      </w:r>
      <w:r w:rsidRPr="00182066">
        <w:rPr>
          <w:rFonts w:cs="Calibri"/>
          <w:i/>
          <w:iCs/>
        </w:rPr>
        <w:t>Egan v Chadwick [(1999) 46 NSWLR 563</w:t>
      </w:r>
    </w:p>
  </w:footnote>
  <w:footnote w:id="38">
    <w:p w14:paraId="1E121BBC" w14:textId="070910C9" w:rsidR="000C1EAE" w:rsidRPr="00284ABC" w:rsidRDefault="000C1EAE" w:rsidP="00182066">
      <w:pPr>
        <w:rPr>
          <w:sz w:val="20"/>
          <w:szCs w:val="20"/>
        </w:rPr>
      </w:pPr>
      <w:r>
        <w:rPr>
          <w:rStyle w:val="FootnoteReference"/>
        </w:rPr>
        <w:footnoteRef/>
      </w:r>
      <w:r>
        <w:t xml:space="preserve"> </w:t>
      </w:r>
      <w:r w:rsidRPr="00B271C7">
        <w:rPr>
          <w:sz w:val="20"/>
          <w:szCs w:val="20"/>
        </w:rPr>
        <w:t xml:space="preserve">Neil Laurie, “The Grand Inquest of the Nation - A Notion of the Past?” in </w:t>
      </w:r>
      <w:r w:rsidRPr="00B271C7">
        <w:rPr>
          <w:i/>
          <w:iCs/>
          <w:sz w:val="20"/>
          <w:szCs w:val="20"/>
        </w:rPr>
        <w:t>Parliament 2000 - Towards a Modern Committee System,</w:t>
      </w:r>
      <w:r w:rsidRPr="00B271C7">
        <w:rPr>
          <w:sz w:val="20"/>
          <w:szCs w:val="20"/>
        </w:rPr>
        <w:t xml:space="preserve"> The Queensland Parliamentary Library 2001 Occasional Monograph No. 2 </w:t>
      </w:r>
    </w:p>
  </w:footnote>
  <w:footnote w:id="39">
    <w:p w14:paraId="37BECBFF" w14:textId="77777777" w:rsidR="000C1EAE" w:rsidRPr="00364B50" w:rsidRDefault="000C1EAE" w:rsidP="00182066">
      <w:pPr>
        <w:ind w:left="142" w:hanging="142"/>
        <w:rPr>
          <w:sz w:val="20"/>
          <w:szCs w:val="20"/>
          <w:lang w:eastAsia="en-GB"/>
        </w:rPr>
      </w:pPr>
      <w:r>
        <w:rPr>
          <w:rStyle w:val="FootnoteReference"/>
        </w:rPr>
        <w:footnoteRef/>
      </w:r>
      <w:r>
        <w:t xml:space="preserve"> </w:t>
      </w:r>
      <w:r w:rsidRPr="00790A39">
        <w:rPr>
          <w:i/>
          <w:iCs/>
          <w:sz w:val="20"/>
          <w:szCs w:val="20"/>
          <w:lang w:eastAsia="en-GB"/>
        </w:rPr>
        <w:t>Arena v Nader (1997) 42 NSWLR 427</w:t>
      </w:r>
      <w:r w:rsidRPr="00364B50">
        <w:rPr>
          <w:sz w:val="20"/>
          <w:szCs w:val="20"/>
          <w:lang w:eastAsia="en-GB"/>
        </w:rPr>
        <w:t xml:space="preserve">. </w:t>
      </w:r>
    </w:p>
  </w:footnote>
  <w:footnote w:id="40">
    <w:p w14:paraId="2DA4C12A" w14:textId="77777777" w:rsidR="000C1EAE" w:rsidRPr="00364B50" w:rsidRDefault="000C1EAE" w:rsidP="00182066">
      <w:pPr>
        <w:ind w:left="142" w:hanging="142"/>
        <w:rPr>
          <w:sz w:val="20"/>
          <w:szCs w:val="20"/>
        </w:rPr>
      </w:pPr>
      <w:r>
        <w:rPr>
          <w:rStyle w:val="FootnoteReference"/>
        </w:rPr>
        <w:footnoteRef/>
      </w:r>
      <w:r>
        <w:t xml:space="preserve"> </w:t>
      </w:r>
      <w:r w:rsidRPr="00364B50">
        <w:rPr>
          <w:sz w:val="20"/>
          <w:szCs w:val="20"/>
        </w:rPr>
        <w:t xml:space="preserve">Australia, Senate, Harry Evans, “Franca Arena and Parliamentary Privilege”, Papers on Parliament No. 52, December 2009.  </w:t>
      </w:r>
    </w:p>
  </w:footnote>
  <w:footnote w:id="41">
    <w:p w14:paraId="249345B2" w14:textId="77777777" w:rsidR="000C1EAE" w:rsidRPr="00790A39" w:rsidRDefault="000C1EAE" w:rsidP="00182066">
      <w:pPr>
        <w:rPr>
          <w:i/>
          <w:iCs/>
          <w:sz w:val="20"/>
          <w:szCs w:val="20"/>
        </w:rPr>
      </w:pPr>
      <w:r>
        <w:rPr>
          <w:rStyle w:val="FootnoteReference"/>
        </w:rPr>
        <w:footnoteRef/>
      </w:r>
      <w:r>
        <w:t xml:space="preserve"> </w:t>
      </w:r>
      <w:r w:rsidRPr="00790A39">
        <w:rPr>
          <w:i/>
          <w:iCs/>
          <w:sz w:val="20"/>
          <w:szCs w:val="20"/>
        </w:rPr>
        <w:t>Re Bolton; Ex parte Beane (1987) 162 CLR 514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F6CF9" w14:textId="77777777" w:rsidR="000C1EAE" w:rsidRDefault="000C1EAE" w:rsidP="00A8688C">
    <w:pPr>
      <w:pStyle w:val="Header"/>
      <w:ind w:left="0" w:right="357" w:firstLine="6"/>
    </w:pPr>
  </w:p>
  <w:p w14:paraId="4494506B" w14:textId="77777777" w:rsidR="000C1EAE" w:rsidRDefault="000C1EA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23A62" w14:textId="6D312C5A" w:rsidR="000C1EAE" w:rsidRDefault="00B31BD9" w:rsidP="00E32F7E">
    <w:pPr>
      <w:pStyle w:val="Header"/>
      <w:ind w:left="284" w:firstLine="0"/>
      <w:jc w:val="right"/>
    </w:pPr>
    <w:fldSimple w:instr=" STYLEREF  &quot;Report title&quot; ">
      <w:r w:rsidR="00A0740D">
        <w:rPr>
          <w:noProof/>
        </w:rPr>
        <w:t>Final Report on Child and Youth Protection Services (Part 1)</w:t>
      </w:r>
    </w:fldSimple>
    <w:r w:rsidR="000C1EAE" w:rsidRPr="00E32F7E">
      <w:t xml:space="preserve"> </w:t>
    </w:r>
    <w:r w:rsidR="000C1EAE">
      <w:fldChar w:fldCharType="begin"/>
    </w:r>
    <w:r w:rsidR="000C1EAE">
      <w:instrText xml:space="preserve"> PAGE   \* MERGEFORMAT </w:instrText>
    </w:r>
    <w:r w:rsidR="000C1EAE">
      <w:fldChar w:fldCharType="separate"/>
    </w:r>
    <w:r w:rsidR="000C1EAE">
      <w:rPr>
        <w:noProof/>
      </w:rPr>
      <w:t>1</w:t>
    </w:r>
    <w:r w:rsidR="000C1EAE">
      <w:rPr>
        <w:noProof/>
      </w:rPr>
      <w:fldChar w:fldCharType="end"/>
    </w:r>
  </w:p>
  <w:p w14:paraId="41F6930C" w14:textId="77777777" w:rsidR="000C1EAE" w:rsidRDefault="00A0740D" w:rsidP="00AC22A0">
    <w:pPr>
      <w:pStyle w:val="Header"/>
      <w:ind w:left="0" w:firstLine="0"/>
      <w:jc w:val="right"/>
    </w:pPr>
    <w:r>
      <w:pict w14:anchorId="6C76AF5B">
        <v:rect id="_x0000_i1030" style="width:0;height:1.5pt" o:hralign="center" o:hrstd="t" o:hr="t" fillcolor="gray" stroked="f"/>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75E00" w14:textId="6F708BBF" w:rsidR="000C1EAE" w:rsidRDefault="00B31BD9">
    <w:pPr>
      <w:pStyle w:val="Header"/>
      <w:jc w:val="right"/>
    </w:pPr>
    <w:fldSimple w:instr=" STYLEREF  &quot;Report title&quot; ">
      <w:r w:rsidR="00A0740D">
        <w:rPr>
          <w:noProof/>
        </w:rPr>
        <w:t>Final Report on Child and Youth Protection Services (Part 1)</w:t>
      </w:r>
    </w:fldSimple>
    <w:r w:rsidR="000C1EAE">
      <w:t xml:space="preserve"> </w:t>
    </w:r>
    <w:bookmarkStart w:id="69" w:name="_Hlk35443444"/>
    <w:r w:rsidR="000C1EAE">
      <w:fldChar w:fldCharType="begin"/>
    </w:r>
    <w:r w:rsidR="000C1EAE">
      <w:instrText xml:space="preserve"> PAGE   \* MERGEFORMAT </w:instrText>
    </w:r>
    <w:r w:rsidR="000C1EAE">
      <w:fldChar w:fldCharType="separate"/>
    </w:r>
    <w:r w:rsidR="000C1EAE">
      <w:rPr>
        <w:noProof/>
      </w:rPr>
      <w:t>7</w:t>
    </w:r>
    <w:r w:rsidR="000C1EAE">
      <w:rPr>
        <w:noProof/>
      </w:rPr>
      <w:fldChar w:fldCharType="end"/>
    </w:r>
    <w:bookmarkEnd w:id="69"/>
  </w:p>
  <w:p w14:paraId="10BE2335" w14:textId="77777777" w:rsidR="000C1EAE" w:rsidRDefault="00A0740D" w:rsidP="00AC22A0">
    <w:pPr>
      <w:pStyle w:val="Header"/>
      <w:ind w:left="0" w:firstLine="0"/>
      <w:jc w:val="right"/>
    </w:pPr>
    <w:r>
      <w:pict w14:anchorId="39C6D044">
        <v:rect id="_x0000_i1031" style="width:0;height:1.5pt" o:hralign="center" o:hrstd="t" o:hr="t" fillcolor="gray"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B400E" w14:textId="2923063F" w:rsidR="000C1EAE" w:rsidRDefault="00B31BD9">
    <w:pPr>
      <w:pStyle w:val="Header"/>
    </w:pPr>
    <w:r>
      <w:rPr>
        <w:noProof/>
      </w:rPr>
      <mc:AlternateContent>
        <mc:Choice Requires="wps">
          <w:drawing>
            <wp:anchor distT="0" distB="0" distL="114300" distR="114300" simplePos="0" relativeHeight="251657728" behindDoc="1" locked="0" layoutInCell="0" allowOverlap="1" wp14:anchorId="1B3093E0" wp14:editId="66320CD4">
              <wp:simplePos x="0" y="0"/>
              <wp:positionH relativeFrom="margin">
                <wp:align>center</wp:align>
              </wp:positionH>
              <wp:positionV relativeFrom="margin">
                <wp:align>center</wp:align>
              </wp:positionV>
              <wp:extent cx="6694170" cy="1426210"/>
              <wp:effectExtent l="0" t="1895475" r="0" b="1755140"/>
              <wp:wrapNone/>
              <wp:docPr id="1"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4170" cy="1426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2680F0" w14:textId="77777777" w:rsidR="00B31BD9" w:rsidRDefault="00B31BD9" w:rsidP="00B31BD9">
                          <w:pPr>
                            <w:jc w:val="center"/>
                            <w:rPr>
                              <w:sz w:val="24"/>
                            </w:rPr>
                          </w:pPr>
                          <w:r>
                            <w:rPr>
                              <w:rFonts w:cs="Calibri"/>
                              <w:color w:val="C0C0C0"/>
                              <w:sz w:val="2"/>
                              <w:szCs w:val="2"/>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3093E0" id="_x0000_t202" coordsize="21600,21600" o:spt="202" path="m,l,21600r21600,l21600,xe">
              <v:stroke joinstyle="miter"/>
              <v:path gradientshapeok="t" o:connecttype="rect"/>
            </v:shapetype>
            <v:shape id="WordArt 40" o:spid="_x0000_s1026" type="#_x0000_t202" style="position:absolute;left:0;text-align:left;margin-left:0;margin-top:0;width:527.1pt;height:112.3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" o:allowincell="f" filled="f" stroked="f">
              <v:stroke joinstyle="round"/>
              <o:lock v:ext="edit" shapetype="t"/>
              <v:textbox style="mso-fit-shape-to-text:t">
                <w:txbxContent>
                  <w:p w14:paraId="602680F0" w14:textId="77777777" w:rsidR="00B31BD9" w:rsidRDefault="00B31BD9" w:rsidP="00B31BD9">
                    <w:pPr>
                      <w:jc w:val="center"/>
                      <w:rPr>
                        <w:sz w:val="24"/>
                      </w:rPr>
                    </w:pPr>
                    <w:r>
                      <w:rPr>
                        <w:rFonts w:cs="Calibri"/>
                        <w:color w:val="C0C0C0"/>
                        <w:sz w:val="2"/>
                        <w:szCs w:val="2"/>
                      </w:rPr>
                      <w:t>Confidential 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BF0C0" w14:textId="77777777" w:rsidR="000C1EAE" w:rsidRDefault="000C1EA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516C7" w14:textId="728CA0AB" w:rsidR="000C1EAE" w:rsidRDefault="000C1EAE" w:rsidP="00183FBF">
    <w:pPr>
      <w:pStyle w:val="Header"/>
      <w:framePr w:wrap="around" w:vAnchor="text" w:hAnchor="margin" w:xAlign="outside" w:y="1"/>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8</w:t>
    </w:r>
    <w:r>
      <w:rPr>
        <w:rStyle w:val="PageNumber"/>
      </w:rPr>
      <w:fldChar w:fldCharType="end"/>
    </w:r>
    <w:r>
      <w:rPr>
        <w:rStyle w:val="PageNumber"/>
      </w:rPr>
      <w:t xml:space="preserve">  </w:t>
    </w:r>
    <w:r>
      <w:rPr>
        <w:rStyle w:val="PageNumber"/>
      </w:rPr>
      <w:fldChar w:fldCharType="begin"/>
    </w:r>
    <w:r>
      <w:rPr>
        <w:rStyle w:val="PageNumber"/>
      </w:rPr>
      <w:instrText xml:space="preserve"> STyleref "Committee name" </w:instrText>
    </w:r>
    <w:r>
      <w:rPr>
        <w:rStyle w:val="PageNumber"/>
      </w:rPr>
      <w:fldChar w:fldCharType="separate"/>
    </w:r>
    <w:r w:rsidR="00A0740D">
      <w:rPr>
        <w:rStyle w:val="PageNumber"/>
        <w:noProof/>
      </w:rPr>
      <w:t>Standing Committee on Health, Ageing and Community Services</w:t>
    </w:r>
    <w:r>
      <w:rPr>
        <w:rStyle w:val="PageNumber"/>
      </w:rPr>
      <w:fldChar w:fldCharType="end"/>
    </w:r>
  </w:p>
  <w:p w14:paraId="2C27B406" w14:textId="77777777" w:rsidR="000C1EAE" w:rsidRDefault="000C1EAE" w:rsidP="007160C4">
    <w:pPr>
      <w:tabs>
        <w:tab w:val="left" w:pos="2798"/>
      </w:tabs>
    </w:pPr>
    <w:r>
      <w:tab/>
    </w:r>
  </w:p>
  <w:p w14:paraId="0A321AF5" w14:textId="77777777" w:rsidR="000C1EAE" w:rsidRDefault="00A0740D" w:rsidP="00AC22A0">
    <w:pPr>
      <w:tabs>
        <w:tab w:val="left" w:pos="2798"/>
      </w:tabs>
    </w:pPr>
    <w:r>
      <w:pict w14:anchorId="702570CB">
        <v:rect id="_x0000_i1032" style="width:0;height:1.5pt" o:hralign="center" o:hrstd="t" o:hr="t" fillcolor="gray"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E16D4" w14:textId="77777777" w:rsidR="000C1EAE" w:rsidRDefault="000C1EAE" w:rsidP="007160C4">
    <w:pPr>
      <w:tabs>
        <w:tab w:val="left" w:pos="2798"/>
      </w:tabs>
    </w:pPr>
    <w:r>
      <w:tab/>
    </w:r>
  </w:p>
  <w:p w14:paraId="7DCEC490" w14:textId="672A999E" w:rsidR="000C1EAE" w:rsidRDefault="000C1EAE" w:rsidP="00AC22A0">
    <w:pPr>
      <w:tabs>
        <w:tab w:val="left" w:pos="2798"/>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C241" w14:textId="15C8AA5C" w:rsidR="000C1EAE" w:rsidRDefault="000C1EA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AFE86" w14:textId="77777777" w:rsidR="000C1EAE" w:rsidRDefault="000C1EAE" w:rsidP="00986A4A">
    <w:pPr>
      <w:pStyle w:val="Header"/>
      <w:tabs>
        <w:tab w:val="clear" w:pos="8640"/>
      </w:tabs>
      <w:ind w:left="540" w:right="341" w:hanging="360"/>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17B5F" w14:textId="77777777" w:rsidR="000C1EAE" w:rsidRDefault="000C1E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23279" w14:textId="3FB19E09" w:rsidR="000C1EAE" w:rsidRDefault="00B31BD9">
    <w:pPr>
      <w:pStyle w:val="Header"/>
      <w:jc w:val="right"/>
    </w:pPr>
    <w:fldSimple w:instr=" STYLEREF  &quot;Report title&quot; ">
      <w:r>
        <w:rPr>
          <w:noProof/>
        </w:rPr>
        <w:t>Final Report on Child and Youth Protection Services (Part 1)</w:t>
      </w:r>
    </w:fldSimple>
    <w:r w:rsidR="000C1EAE">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CC817" w14:textId="39B2BA2C" w:rsidR="000C1EAE" w:rsidRDefault="000C1EAE" w:rsidP="00A8688C">
    <w:pPr>
      <w:pStyle w:val="Header"/>
      <w:ind w:left="0" w:right="357" w:firstLine="6"/>
    </w:pPr>
    <w:r>
      <w:t xml:space="preserve"> </w:t>
    </w:r>
    <w:r>
      <w:fldChar w:fldCharType="begin"/>
    </w:r>
    <w:r>
      <w:instrText xml:space="preserve"> STYLEREF "Committee name"</w:instrText>
    </w:r>
    <w:r>
      <w:fldChar w:fldCharType="separate"/>
    </w:r>
    <w:r w:rsidR="00A0740D">
      <w:rPr>
        <w:noProof/>
      </w:rPr>
      <w:t>Standing Committee on Health, Ageing and Community Services</w:t>
    </w:r>
    <w:r>
      <w:rPr>
        <w:noProof/>
      </w:rPr>
      <w:fldChar w:fldCharType="end"/>
    </w:r>
  </w:p>
  <w:p w14:paraId="40251D41" w14:textId="77777777" w:rsidR="000C1EAE" w:rsidRDefault="00A0740D" w:rsidP="00A54473">
    <w:r>
      <w:pict w14:anchorId="2A10C11D">
        <v:rect id="_x0000_i1025" style="width:0;height:1.5pt" o:hralign="center" o:hrstd="t" o:hr="t" fillcolor="gray"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CBE16" w14:textId="597CB0FB" w:rsidR="000C1EAE" w:rsidRDefault="000C1EAE" w:rsidP="00387BBB">
    <w:pPr>
      <w:pStyle w:val="Header"/>
      <w:ind w:left="0" w:right="-19" w:firstLine="0"/>
      <w:jc w:val="right"/>
      <w:rPr>
        <w:rStyle w:val="PageNumber"/>
      </w:rPr>
    </w:pPr>
    <w:r>
      <w:t xml:space="preserve"> </w:t>
    </w:r>
    <w:fldSimple w:instr=" STYLEREF  &quot;Report title&quot; ">
      <w:r w:rsidR="00A0740D">
        <w:rPr>
          <w:noProof/>
        </w:rPr>
        <w:t>Final Report on Child and Youth Protection Services (Part 1)</w:t>
      </w:r>
    </w:fldSimple>
  </w:p>
  <w:p w14:paraId="108529BD" w14:textId="77777777" w:rsidR="000C1EAE" w:rsidRDefault="00A0740D" w:rsidP="00AC22A0">
    <w:pPr>
      <w:pStyle w:val="Header"/>
      <w:ind w:left="0" w:firstLine="0"/>
      <w:jc w:val="right"/>
    </w:pPr>
    <w:r>
      <w:pict w14:anchorId="5FCD4CFA">
        <v:rect id="_x0000_i1026" style="width:0;height:1.5pt" o:hralign="center" o:hrstd="t" o:hr="t" fillcolor="gray"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300ED" w14:textId="77777777" w:rsidR="000C1EAE" w:rsidRDefault="000C1E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ADBD" w14:textId="47E1D85E" w:rsidR="000C1EAE" w:rsidRPr="00C60ED1" w:rsidRDefault="00B31BD9" w:rsidP="00B67C79">
    <w:pPr>
      <w:pStyle w:val="Header"/>
      <w:ind w:right="360"/>
    </w:pPr>
    <w:fldSimple w:instr=" STYLEREF  &quot;Committee name&quot;  \* MERGEFORMAT ">
      <w:r w:rsidR="00A0740D" w:rsidRPr="00A0740D">
        <w:rPr>
          <w:bCs/>
          <w:noProof/>
          <w:lang w:val="en-US"/>
        </w:rPr>
        <w:t>Standing</w:t>
      </w:r>
      <w:r w:rsidR="00A0740D">
        <w:rPr>
          <w:noProof/>
        </w:rPr>
        <w:t xml:space="preserve"> Committee on Health, Ageing and Community Services</w:t>
      </w:r>
    </w:fldSimple>
  </w:p>
  <w:p w14:paraId="541DFAEF" w14:textId="77777777" w:rsidR="000C1EAE" w:rsidRDefault="00A0740D">
    <w:r>
      <w:pict w14:anchorId="620EEBAF">
        <v:rect id="_x0000_i1027" style="width:0;height:1.5pt" o:hralign="center" o:hrstd="t" o:hr="t" fillcolor="gray"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E0BCA" w14:textId="12D65F87" w:rsidR="000C1EAE" w:rsidRDefault="00B31BD9" w:rsidP="00E32F7E">
    <w:pPr>
      <w:pStyle w:val="Header"/>
      <w:ind w:left="284" w:firstLine="0"/>
      <w:jc w:val="right"/>
    </w:pPr>
    <w:fldSimple w:instr=" STYLEREF  &quot;Report title&quot; ">
      <w:r w:rsidR="00A0740D">
        <w:rPr>
          <w:noProof/>
        </w:rPr>
        <w:t>Final Report on Child and Youth Protection Services (Part 1)</w:t>
      </w:r>
    </w:fldSimple>
    <w:r w:rsidR="000C1EAE" w:rsidRPr="00E32F7E">
      <w:t xml:space="preserve"> </w:t>
    </w:r>
  </w:p>
  <w:p w14:paraId="26872A83" w14:textId="77777777" w:rsidR="000C1EAE" w:rsidRDefault="00A0740D" w:rsidP="00AC22A0">
    <w:pPr>
      <w:pStyle w:val="Header"/>
      <w:ind w:left="0" w:firstLine="0"/>
      <w:jc w:val="right"/>
    </w:pPr>
    <w:r>
      <w:pict w14:anchorId="717482BF">
        <v:rect id="_x0000_i1028" style="width:0;height:1.5pt" o:hralign="center" o:hrstd="t" o:hr="t" fillcolor="gray"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6E2BF" w14:textId="77777777" w:rsidR="000C1EAE" w:rsidRDefault="000C1EA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B654B" w14:textId="0300DFA6" w:rsidR="000C1EAE" w:rsidRDefault="000C1EAE" w:rsidP="00183FBF">
    <w:pPr>
      <w:pStyle w:val="Header"/>
      <w:framePr w:wrap="around" w:vAnchor="text" w:hAnchor="margin" w:xAlign="outside" w:y="1"/>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8</w:t>
    </w:r>
    <w:r>
      <w:rPr>
        <w:rStyle w:val="PageNumber"/>
      </w:rPr>
      <w:fldChar w:fldCharType="end"/>
    </w:r>
    <w:r>
      <w:rPr>
        <w:rStyle w:val="PageNumber"/>
      </w:rPr>
      <w:t xml:space="preserve">  </w:t>
    </w:r>
    <w:r>
      <w:rPr>
        <w:rStyle w:val="PageNumber"/>
      </w:rPr>
      <w:fldChar w:fldCharType="begin"/>
    </w:r>
    <w:r>
      <w:rPr>
        <w:rStyle w:val="PageNumber"/>
      </w:rPr>
      <w:instrText xml:space="preserve"> STyleref "Committee name" </w:instrText>
    </w:r>
    <w:r>
      <w:rPr>
        <w:rStyle w:val="PageNumber"/>
      </w:rPr>
      <w:fldChar w:fldCharType="separate"/>
    </w:r>
    <w:r w:rsidR="00A0740D">
      <w:rPr>
        <w:rStyle w:val="PageNumber"/>
        <w:noProof/>
      </w:rPr>
      <w:t>Standing Committee on Health, Ageing and Community Services</w:t>
    </w:r>
    <w:r>
      <w:rPr>
        <w:rStyle w:val="PageNumber"/>
      </w:rPr>
      <w:fldChar w:fldCharType="end"/>
    </w:r>
  </w:p>
  <w:p w14:paraId="08E9C637" w14:textId="77777777" w:rsidR="000C1EAE" w:rsidRDefault="000C1EAE" w:rsidP="007160C4">
    <w:pPr>
      <w:tabs>
        <w:tab w:val="left" w:pos="2798"/>
      </w:tabs>
    </w:pPr>
    <w:r>
      <w:tab/>
    </w:r>
  </w:p>
  <w:p w14:paraId="0B65E8E7" w14:textId="77777777" w:rsidR="000C1EAE" w:rsidRDefault="00A0740D" w:rsidP="00AC22A0">
    <w:pPr>
      <w:tabs>
        <w:tab w:val="left" w:pos="2798"/>
      </w:tabs>
    </w:pPr>
    <w:r>
      <w:pict w14:anchorId="1DC8C1FD">
        <v:rect id="_x0000_i1029" style="width:0;height:1.5pt"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948434C"/>
    <w:lvl w:ilvl="0">
      <w:start w:val="1"/>
      <w:numFmt w:val="bullet"/>
      <w:pStyle w:val="ListBullet2"/>
      <w:lvlText w:val=""/>
      <w:lvlJc w:val="left"/>
      <w:pPr>
        <w:tabs>
          <w:tab w:val="num" w:pos="1247"/>
        </w:tabs>
        <w:ind w:left="1247" w:hanging="283"/>
      </w:pPr>
      <w:rPr>
        <w:rFonts w:ascii="Symbol" w:hAnsi="Symbol" w:hint="default"/>
        <w:color w:val="999999"/>
        <w:sz w:val="20"/>
        <w:szCs w:val="20"/>
      </w:rPr>
    </w:lvl>
  </w:abstractNum>
  <w:abstractNum w:abstractNumId="1" w15:restartNumberingAfterBreak="0">
    <w:nsid w:val="0FD05AB3"/>
    <w:multiLevelType w:val="hybridMultilevel"/>
    <w:tmpl w:val="7C0C5FD2"/>
    <w:lvl w:ilvl="0" w:tplc="DAB04416">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 w15:restartNumberingAfterBreak="0">
    <w:nsid w:val="129F0E75"/>
    <w:multiLevelType w:val="hybridMultilevel"/>
    <w:tmpl w:val="7F463E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AA0269"/>
    <w:multiLevelType w:val="hybridMultilevel"/>
    <w:tmpl w:val="5D66997E"/>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17B11FB6"/>
    <w:multiLevelType w:val="multilevel"/>
    <w:tmpl w:val="D3DACC6E"/>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1"/>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B636A72"/>
    <w:multiLevelType w:val="hybridMultilevel"/>
    <w:tmpl w:val="AC26B0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7" w15:restartNumberingAfterBreak="0">
    <w:nsid w:val="2529535E"/>
    <w:multiLevelType w:val="hybridMultilevel"/>
    <w:tmpl w:val="18667E50"/>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9" w15:restartNumberingAfterBreak="0">
    <w:nsid w:val="34A1468E"/>
    <w:multiLevelType w:val="multilevel"/>
    <w:tmpl w:val="E5B29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5442E5"/>
    <w:multiLevelType w:val="hybridMultilevel"/>
    <w:tmpl w:val="1C5C67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9551BE"/>
    <w:multiLevelType w:val="hybridMultilevel"/>
    <w:tmpl w:val="482C501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F34367"/>
    <w:multiLevelType w:val="multilevel"/>
    <w:tmpl w:val="1ED09366"/>
    <w:lvl w:ilvl="0">
      <w:start w:val="1"/>
      <w:numFmt w:val="decimal"/>
      <w:lvlText w:val="%1"/>
      <w:lvlJc w:val="left"/>
      <w:pPr>
        <w:tabs>
          <w:tab w:val="num" w:pos="680"/>
        </w:tabs>
        <w:ind w:left="567" w:hanging="567"/>
      </w:pPr>
      <w:rPr>
        <w:rFonts w:ascii="Arial Narrow" w:hAnsi="Arial Narrow" w:hint="default"/>
        <w:b/>
        <w:i w:val="0"/>
        <w:sz w:val="44"/>
      </w:rPr>
    </w:lvl>
    <w:lvl w:ilvl="1">
      <w:start w:val="19"/>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8"/>
      <w:numFmt w:val="none"/>
      <w:lvlRestart w:val="0"/>
      <w:lvlText w:val=""/>
      <w:lvlJc w:val="left"/>
      <w:pPr>
        <w:tabs>
          <w:tab w:val="num" w:pos="720"/>
        </w:tabs>
        <w:ind w:left="454" w:hanging="454"/>
      </w:pPr>
      <w:rPr>
        <w:rFonts w:hint="default"/>
      </w:rPr>
    </w:lvl>
    <w:lvl w:ilvl="3">
      <w:start w:val="36"/>
      <w:numFmt w:val="none"/>
      <w:lvlRestart w:val="0"/>
      <w:lvlText w:val=""/>
      <w:lvlJc w:val="left"/>
      <w:pPr>
        <w:tabs>
          <w:tab w:val="num" w:pos="864"/>
        </w:tabs>
        <w:ind w:left="340" w:hanging="340"/>
      </w:pPr>
      <w:rPr>
        <w:rFonts w:hint="default"/>
      </w:rPr>
    </w:lvl>
    <w:lvl w:ilvl="4">
      <w:start w:val="89"/>
      <w:numFmt w:val="none"/>
      <w:lvlRestart w:val="0"/>
      <w:lvlText w:val=""/>
      <w:lvlJc w:val="left"/>
      <w:pPr>
        <w:tabs>
          <w:tab w:val="num" w:pos="1008"/>
        </w:tabs>
        <w:ind w:left="340" w:hanging="340"/>
      </w:pPr>
      <w:rPr>
        <w:rFonts w:hint="default"/>
      </w:rPr>
    </w:lvl>
    <w:lvl w:ilvl="5">
      <w:start w:val="2"/>
      <w:numFmt w:val="decimal"/>
      <w:lvlRestart w:val="1"/>
      <w:lvlText w:val="%1.%6"/>
      <w:lvlJc w:val="left"/>
      <w:pPr>
        <w:ind w:left="567" w:hanging="567"/>
      </w:pPr>
      <w:rPr>
        <w:rFonts w:ascii="Calibri" w:hAnsi="Calibri" w:hint="default"/>
        <w:sz w:val="22"/>
      </w:rPr>
    </w:lvl>
    <w:lvl w:ilvl="6">
      <w:start w:val="14"/>
      <w:numFmt w:val="decimal"/>
      <w:lvlRestart w:val="0"/>
      <w:lvlText w:val="Recommendation %7"/>
      <w:lvlJc w:val="left"/>
      <w:pPr>
        <w:ind w:left="1135"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3"/>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CEC3461"/>
    <w:multiLevelType w:val="hybridMultilevel"/>
    <w:tmpl w:val="3C74A956"/>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 w15:restartNumberingAfterBreak="0">
    <w:nsid w:val="51DD4ACD"/>
    <w:multiLevelType w:val="hybridMultilevel"/>
    <w:tmpl w:val="4EAEE1B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544114F1"/>
    <w:multiLevelType w:val="hybridMultilevel"/>
    <w:tmpl w:val="414C5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323749"/>
    <w:multiLevelType w:val="hybridMultilevel"/>
    <w:tmpl w:val="6816A0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5C73021"/>
    <w:multiLevelType w:val="hybridMultilevel"/>
    <w:tmpl w:val="32FC51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8C3218"/>
    <w:multiLevelType w:val="hybridMultilevel"/>
    <w:tmpl w:val="11845F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B4A0D34"/>
    <w:multiLevelType w:val="hybridMultilevel"/>
    <w:tmpl w:val="910865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E7E0C1E"/>
    <w:multiLevelType w:val="multilevel"/>
    <w:tmpl w:val="0F5CB2F6"/>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0"/>
  </w:num>
  <w:num w:numId="2">
    <w:abstractNumId w:val="0"/>
  </w:num>
  <w:num w:numId="3">
    <w:abstractNumId w:val="13"/>
  </w:num>
  <w:num w:numId="4">
    <w:abstractNumId w:val="6"/>
  </w:num>
  <w:num w:numId="5">
    <w:abstractNumId w:val="8"/>
  </w:num>
  <w:num w:numId="6">
    <w:abstractNumId w:val="4"/>
  </w:num>
  <w:num w:numId="7">
    <w:abstractNumId w:val="12"/>
    <w:lvlOverride w:ilvl="0">
      <w:startOverride w:val="6"/>
    </w:lvlOverride>
    <w:lvlOverride w:ilvl="1">
      <w:startOverride w:val="37"/>
    </w:lvlOverride>
    <w:lvlOverride w:ilvl="2">
      <w:startOverride w:val="21"/>
    </w:lvlOverride>
    <w:lvlOverride w:ilvl="3">
      <w:startOverride w:val="106"/>
    </w:lvlOverride>
    <w:lvlOverride w:ilvl="4">
      <w:startOverride w:val="118"/>
    </w:lvlOverride>
    <w:lvlOverride w:ilvl="5">
      <w:startOverride w:val="2"/>
    </w:lvlOverride>
    <w:lvlOverride w:ilvl="6">
      <w:startOverride w:val="23"/>
    </w:lvlOverride>
    <w:lvlOverride w:ilvl="7">
      <w:startOverride w:val="1"/>
    </w:lvlOverride>
    <w:lvlOverride w:ilvl="8">
      <w:startOverride w:val="1"/>
    </w:lvlOverride>
  </w:num>
  <w:num w:numId="8">
    <w:abstractNumId w:val="18"/>
  </w:num>
  <w:num w:numId="9">
    <w:abstractNumId w:val="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0"/>
  </w:num>
  <w:num w:numId="15">
    <w:abstractNumId w:val="19"/>
  </w:num>
  <w:num w:numId="16">
    <w:abstractNumId w:val="2"/>
  </w:num>
  <w:num w:numId="17">
    <w:abstractNumId w:val="3"/>
  </w:num>
  <w:num w:numId="18">
    <w:abstractNumId w:val="1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5"/>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6"/>
  </w:num>
  <w:num w:numId="30">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4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CED"/>
    <w:rsid w:val="00002730"/>
    <w:rsid w:val="00002E1B"/>
    <w:rsid w:val="0000355F"/>
    <w:rsid w:val="00005C89"/>
    <w:rsid w:val="000114BD"/>
    <w:rsid w:val="00012D7A"/>
    <w:rsid w:val="000135E9"/>
    <w:rsid w:val="00013685"/>
    <w:rsid w:val="00015268"/>
    <w:rsid w:val="000161FB"/>
    <w:rsid w:val="00017D52"/>
    <w:rsid w:val="00020BB5"/>
    <w:rsid w:val="00022C27"/>
    <w:rsid w:val="00022DFF"/>
    <w:rsid w:val="00023219"/>
    <w:rsid w:val="000234A4"/>
    <w:rsid w:val="00023CF7"/>
    <w:rsid w:val="00024877"/>
    <w:rsid w:val="000253AB"/>
    <w:rsid w:val="0002797A"/>
    <w:rsid w:val="000313FE"/>
    <w:rsid w:val="00031631"/>
    <w:rsid w:val="0003223C"/>
    <w:rsid w:val="00033629"/>
    <w:rsid w:val="000336F3"/>
    <w:rsid w:val="00033FA5"/>
    <w:rsid w:val="0003424F"/>
    <w:rsid w:val="00035AED"/>
    <w:rsid w:val="00037305"/>
    <w:rsid w:val="00037907"/>
    <w:rsid w:val="00037A31"/>
    <w:rsid w:val="00040FA7"/>
    <w:rsid w:val="0004137A"/>
    <w:rsid w:val="00041506"/>
    <w:rsid w:val="00042ACA"/>
    <w:rsid w:val="00042CFA"/>
    <w:rsid w:val="000431CD"/>
    <w:rsid w:val="000439EC"/>
    <w:rsid w:val="0005321A"/>
    <w:rsid w:val="000557F4"/>
    <w:rsid w:val="000579A0"/>
    <w:rsid w:val="00057E2C"/>
    <w:rsid w:val="000612CB"/>
    <w:rsid w:val="0006234D"/>
    <w:rsid w:val="000643C1"/>
    <w:rsid w:val="000656B2"/>
    <w:rsid w:val="0006685D"/>
    <w:rsid w:val="00067318"/>
    <w:rsid w:val="000706C7"/>
    <w:rsid w:val="00070D39"/>
    <w:rsid w:val="00070F74"/>
    <w:rsid w:val="0007124C"/>
    <w:rsid w:val="00076E0D"/>
    <w:rsid w:val="00080526"/>
    <w:rsid w:val="00080F68"/>
    <w:rsid w:val="0008221E"/>
    <w:rsid w:val="00085D78"/>
    <w:rsid w:val="0008705A"/>
    <w:rsid w:val="00087E0C"/>
    <w:rsid w:val="00090618"/>
    <w:rsid w:val="00091AF9"/>
    <w:rsid w:val="000937BF"/>
    <w:rsid w:val="00093BA6"/>
    <w:rsid w:val="00096713"/>
    <w:rsid w:val="00096D13"/>
    <w:rsid w:val="00096E3A"/>
    <w:rsid w:val="000979E3"/>
    <w:rsid w:val="000A49E3"/>
    <w:rsid w:val="000A7D30"/>
    <w:rsid w:val="000B135F"/>
    <w:rsid w:val="000B22C0"/>
    <w:rsid w:val="000B2B62"/>
    <w:rsid w:val="000B3C3F"/>
    <w:rsid w:val="000B4094"/>
    <w:rsid w:val="000B4F44"/>
    <w:rsid w:val="000B69DF"/>
    <w:rsid w:val="000B69EB"/>
    <w:rsid w:val="000B793A"/>
    <w:rsid w:val="000C0204"/>
    <w:rsid w:val="000C1EAE"/>
    <w:rsid w:val="000C4206"/>
    <w:rsid w:val="000C45D2"/>
    <w:rsid w:val="000C4EFA"/>
    <w:rsid w:val="000C53BF"/>
    <w:rsid w:val="000C604A"/>
    <w:rsid w:val="000C7D16"/>
    <w:rsid w:val="000D19A9"/>
    <w:rsid w:val="000D2895"/>
    <w:rsid w:val="000D2CDD"/>
    <w:rsid w:val="000D3E58"/>
    <w:rsid w:val="000D4178"/>
    <w:rsid w:val="000D5421"/>
    <w:rsid w:val="000D594B"/>
    <w:rsid w:val="000D6E41"/>
    <w:rsid w:val="000E2EF4"/>
    <w:rsid w:val="000E3239"/>
    <w:rsid w:val="000E3D2F"/>
    <w:rsid w:val="000E435E"/>
    <w:rsid w:val="000E51A4"/>
    <w:rsid w:val="000E5897"/>
    <w:rsid w:val="000E5A53"/>
    <w:rsid w:val="000E7567"/>
    <w:rsid w:val="000E76DF"/>
    <w:rsid w:val="000F1428"/>
    <w:rsid w:val="000F144E"/>
    <w:rsid w:val="000F1CAA"/>
    <w:rsid w:val="000F2694"/>
    <w:rsid w:val="000F33CA"/>
    <w:rsid w:val="000F43A7"/>
    <w:rsid w:val="000F5A93"/>
    <w:rsid w:val="000F7A85"/>
    <w:rsid w:val="000F7E2B"/>
    <w:rsid w:val="000F7F5F"/>
    <w:rsid w:val="00101B3D"/>
    <w:rsid w:val="001023BC"/>
    <w:rsid w:val="001024C9"/>
    <w:rsid w:val="00103442"/>
    <w:rsid w:val="00104C36"/>
    <w:rsid w:val="001057DC"/>
    <w:rsid w:val="0010596C"/>
    <w:rsid w:val="00105E53"/>
    <w:rsid w:val="0010713C"/>
    <w:rsid w:val="0011009F"/>
    <w:rsid w:val="00110FA4"/>
    <w:rsid w:val="00112260"/>
    <w:rsid w:val="0011255B"/>
    <w:rsid w:val="00113E77"/>
    <w:rsid w:val="00116528"/>
    <w:rsid w:val="00116AEF"/>
    <w:rsid w:val="001177AB"/>
    <w:rsid w:val="0011795D"/>
    <w:rsid w:val="00120008"/>
    <w:rsid w:val="00121710"/>
    <w:rsid w:val="0012342E"/>
    <w:rsid w:val="00123676"/>
    <w:rsid w:val="00123C42"/>
    <w:rsid w:val="00124E07"/>
    <w:rsid w:val="00124F8D"/>
    <w:rsid w:val="00125E8B"/>
    <w:rsid w:val="001277D1"/>
    <w:rsid w:val="00132165"/>
    <w:rsid w:val="0013539A"/>
    <w:rsid w:val="001363A2"/>
    <w:rsid w:val="00136778"/>
    <w:rsid w:val="001400AD"/>
    <w:rsid w:val="00140146"/>
    <w:rsid w:val="00141AA0"/>
    <w:rsid w:val="001429A4"/>
    <w:rsid w:val="001444E7"/>
    <w:rsid w:val="0014488E"/>
    <w:rsid w:val="001459AE"/>
    <w:rsid w:val="00147B24"/>
    <w:rsid w:val="00150E53"/>
    <w:rsid w:val="001511D4"/>
    <w:rsid w:val="00155BC9"/>
    <w:rsid w:val="00155C25"/>
    <w:rsid w:val="0015794F"/>
    <w:rsid w:val="00160393"/>
    <w:rsid w:val="00161FE9"/>
    <w:rsid w:val="001647BE"/>
    <w:rsid w:val="00167854"/>
    <w:rsid w:val="00167EA2"/>
    <w:rsid w:val="001716E4"/>
    <w:rsid w:val="00172BCE"/>
    <w:rsid w:val="00172E87"/>
    <w:rsid w:val="001752DC"/>
    <w:rsid w:val="00180210"/>
    <w:rsid w:val="00181210"/>
    <w:rsid w:val="00181211"/>
    <w:rsid w:val="00181FF4"/>
    <w:rsid w:val="00182066"/>
    <w:rsid w:val="00183FBF"/>
    <w:rsid w:val="001857E5"/>
    <w:rsid w:val="0018610F"/>
    <w:rsid w:val="00187F9D"/>
    <w:rsid w:val="0019227B"/>
    <w:rsid w:val="00192F69"/>
    <w:rsid w:val="001949AF"/>
    <w:rsid w:val="001951C7"/>
    <w:rsid w:val="0019556F"/>
    <w:rsid w:val="00196340"/>
    <w:rsid w:val="001A02EE"/>
    <w:rsid w:val="001A0DBE"/>
    <w:rsid w:val="001A0EE0"/>
    <w:rsid w:val="001A24EC"/>
    <w:rsid w:val="001A2DCB"/>
    <w:rsid w:val="001A5DB1"/>
    <w:rsid w:val="001A60EB"/>
    <w:rsid w:val="001B0739"/>
    <w:rsid w:val="001B14D2"/>
    <w:rsid w:val="001B15B9"/>
    <w:rsid w:val="001B2B71"/>
    <w:rsid w:val="001B5F6D"/>
    <w:rsid w:val="001B6601"/>
    <w:rsid w:val="001B6952"/>
    <w:rsid w:val="001B73E8"/>
    <w:rsid w:val="001C0F01"/>
    <w:rsid w:val="001C1568"/>
    <w:rsid w:val="001C1E70"/>
    <w:rsid w:val="001C4805"/>
    <w:rsid w:val="001C49DC"/>
    <w:rsid w:val="001C5513"/>
    <w:rsid w:val="001C5C3E"/>
    <w:rsid w:val="001C6DE9"/>
    <w:rsid w:val="001C746F"/>
    <w:rsid w:val="001C7F39"/>
    <w:rsid w:val="001D009F"/>
    <w:rsid w:val="001D05A1"/>
    <w:rsid w:val="001D17CF"/>
    <w:rsid w:val="001D46ED"/>
    <w:rsid w:val="001D4CB0"/>
    <w:rsid w:val="001D4CC1"/>
    <w:rsid w:val="001E182B"/>
    <w:rsid w:val="001E2D30"/>
    <w:rsid w:val="001E3751"/>
    <w:rsid w:val="001E3A56"/>
    <w:rsid w:val="001E7D6C"/>
    <w:rsid w:val="001F09E9"/>
    <w:rsid w:val="001F10FC"/>
    <w:rsid w:val="001F28D4"/>
    <w:rsid w:val="001F37A7"/>
    <w:rsid w:val="001F4DD7"/>
    <w:rsid w:val="001F58CC"/>
    <w:rsid w:val="002001C6"/>
    <w:rsid w:val="002010B6"/>
    <w:rsid w:val="002013E1"/>
    <w:rsid w:val="0020680D"/>
    <w:rsid w:val="00206FFC"/>
    <w:rsid w:val="002114D7"/>
    <w:rsid w:val="00211DBE"/>
    <w:rsid w:val="0021616E"/>
    <w:rsid w:val="00216E50"/>
    <w:rsid w:val="00217BE4"/>
    <w:rsid w:val="00217FBA"/>
    <w:rsid w:val="00220559"/>
    <w:rsid w:val="002216DF"/>
    <w:rsid w:val="00225F4F"/>
    <w:rsid w:val="0022671E"/>
    <w:rsid w:val="00230EC8"/>
    <w:rsid w:val="00234526"/>
    <w:rsid w:val="00236829"/>
    <w:rsid w:val="00236873"/>
    <w:rsid w:val="00237898"/>
    <w:rsid w:val="002410A2"/>
    <w:rsid w:val="0024321A"/>
    <w:rsid w:val="0024325A"/>
    <w:rsid w:val="00243BBE"/>
    <w:rsid w:val="0024725D"/>
    <w:rsid w:val="00250704"/>
    <w:rsid w:val="00250897"/>
    <w:rsid w:val="00251F66"/>
    <w:rsid w:val="00257BB2"/>
    <w:rsid w:val="00260F29"/>
    <w:rsid w:val="002630CA"/>
    <w:rsid w:val="002634A3"/>
    <w:rsid w:val="002642D8"/>
    <w:rsid w:val="0026478E"/>
    <w:rsid w:val="00264A76"/>
    <w:rsid w:val="00265F91"/>
    <w:rsid w:val="00266ED6"/>
    <w:rsid w:val="0026700E"/>
    <w:rsid w:val="0026798A"/>
    <w:rsid w:val="00270214"/>
    <w:rsid w:val="002726EB"/>
    <w:rsid w:val="0027325D"/>
    <w:rsid w:val="00274422"/>
    <w:rsid w:val="0027586E"/>
    <w:rsid w:val="002801FA"/>
    <w:rsid w:val="002819D5"/>
    <w:rsid w:val="002846AA"/>
    <w:rsid w:val="0028515B"/>
    <w:rsid w:val="0028581D"/>
    <w:rsid w:val="002868FF"/>
    <w:rsid w:val="00286F82"/>
    <w:rsid w:val="00291E22"/>
    <w:rsid w:val="0029368C"/>
    <w:rsid w:val="00295091"/>
    <w:rsid w:val="002960C2"/>
    <w:rsid w:val="0029755C"/>
    <w:rsid w:val="002A28DE"/>
    <w:rsid w:val="002A2C4A"/>
    <w:rsid w:val="002A3951"/>
    <w:rsid w:val="002A518B"/>
    <w:rsid w:val="002A51AF"/>
    <w:rsid w:val="002A61FD"/>
    <w:rsid w:val="002A64FA"/>
    <w:rsid w:val="002B1698"/>
    <w:rsid w:val="002B1F09"/>
    <w:rsid w:val="002B21C2"/>
    <w:rsid w:val="002B5C68"/>
    <w:rsid w:val="002B5D24"/>
    <w:rsid w:val="002C11AA"/>
    <w:rsid w:val="002C35A8"/>
    <w:rsid w:val="002C3F9A"/>
    <w:rsid w:val="002C4A87"/>
    <w:rsid w:val="002C4E6E"/>
    <w:rsid w:val="002D0882"/>
    <w:rsid w:val="002D0BC9"/>
    <w:rsid w:val="002D1020"/>
    <w:rsid w:val="002D19EA"/>
    <w:rsid w:val="002D1F26"/>
    <w:rsid w:val="002D2DBA"/>
    <w:rsid w:val="002D5959"/>
    <w:rsid w:val="002D5FCE"/>
    <w:rsid w:val="002D7ACD"/>
    <w:rsid w:val="002D7CA0"/>
    <w:rsid w:val="002E1A91"/>
    <w:rsid w:val="002E3DF0"/>
    <w:rsid w:val="002E4208"/>
    <w:rsid w:val="002E676A"/>
    <w:rsid w:val="002E7752"/>
    <w:rsid w:val="002E7B78"/>
    <w:rsid w:val="002E7BD8"/>
    <w:rsid w:val="002F1527"/>
    <w:rsid w:val="002F26C1"/>
    <w:rsid w:val="002F2B6A"/>
    <w:rsid w:val="002F3F93"/>
    <w:rsid w:val="002F68AE"/>
    <w:rsid w:val="00300A7C"/>
    <w:rsid w:val="00301919"/>
    <w:rsid w:val="0030230B"/>
    <w:rsid w:val="00302AF7"/>
    <w:rsid w:val="00303C55"/>
    <w:rsid w:val="00305EE9"/>
    <w:rsid w:val="00306748"/>
    <w:rsid w:val="00306D05"/>
    <w:rsid w:val="00306E95"/>
    <w:rsid w:val="003161A0"/>
    <w:rsid w:val="00317820"/>
    <w:rsid w:val="00321819"/>
    <w:rsid w:val="003228DD"/>
    <w:rsid w:val="00327F83"/>
    <w:rsid w:val="003302E1"/>
    <w:rsid w:val="0033086E"/>
    <w:rsid w:val="00331E2F"/>
    <w:rsid w:val="00333AC5"/>
    <w:rsid w:val="0033446E"/>
    <w:rsid w:val="003346A6"/>
    <w:rsid w:val="00335C1D"/>
    <w:rsid w:val="003374BA"/>
    <w:rsid w:val="0033777B"/>
    <w:rsid w:val="003441D8"/>
    <w:rsid w:val="00345634"/>
    <w:rsid w:val="00346818"/>
    <w:rsid w:val="0034795F"/>
    <w:rsid w:val="00347AF5"/>
    <w:rsid w:val="0035001E"/>
    <w:rsid w:val="0035100E"/>
    <w:rsid w:val="003536AD"/>
    <w:rsid w:val="00353D9F"/>
    <w:rsid w:val="00353F13"/>
    <w:rsid w:val="003557A9"/>
    <w:rsid w:val="00355CF2"/>
    <w:rsid w:val="00357521"/>
    <w:rsid w:val="003579C8"/>
    <w:rsid w:val="003606E5"/>
    <w:rsid w:val="00361A24"/>
    <w:rsid w:val="00362F61"/>
    <w:rsid w:val="0036359D"/>
    <w:rsid w:val="003700E1"/>
    <w:rsid w:val="00370C68"/>
    <w:rsid w:val="003719F4"/>
    <w:rsid w:val="003734C7"/>
    <w:rsid w:val="00373C86"/>
    <w:rsid w:val="00375326"/>
    <w:rsid w:val="00375700"/>
    <w:rsid w:val="00375C86"/>
    <w:rsid w:val="00375DC8"/>
    <w:rsid w:val="00376F00"/>
    <w:rsid w:val="00380BCF"/>
    <w:rsid w:val="0038248A"/>
    <w:rsid w:val="003865CB"/>
    <w:rsid w:val="0038734F"/>
    <w:rsid w:val="00387BBB"/>
    <w:rsid w:val="0039042B"/>
    <w:rsid w:val="00390FA1"/>
    <w:rsid w:val="003919F1"/>
    <w:rsid w:val="00392466"/>
    <w:rsid w:val="00392660"/>
    <w:rsid w:val="003927F2"/>
    <w:rsid w:val="00392FBF"/>
    <w:rsid w:val="0039320B"/>
    <w:rsid w:val="00395F0B"/>
    <w:rsid w:val="003A23CE"/>
    <w:rsid w:val="003A4087"/>
    <w:rsid w:val="003A4417"/>
    <w:rsid w:val="003A6403"/>
    <w:rsid w:val="003A784A"/>
    <w:rsid w:val="003B13F7"/>
    <w:rsid w:val="003B253C"/>
    <w:rsid w:val="003B5A9F"/>
    <w:rsid w:val="003B7E6A"/>
    <w:rsid w:val="003C24EC"/>
    <w:rsid w:val="003C2DD9"/>
    <w:rsid w:val="003C3A65"/>
    <w:rsid w:val="003C4E99"/>
    <w:rsid w:val="003C5E85"/>
    <w:rsid w:val="003C71F2"/>
    <w:rsid w:val="003D1FE1"/>
    <w:rsid w:val="003D6C00"/>
    <w:rsid w:val="003E0CF7"/>
    <w:rsid w:val="003E346B"/>
    <w:rsid w:val="003E3CCC"/>
    <w:rsid w:val="003E5F29"/>
    <w:rsid w:val="003E694F"/>
    <w:rsid w:val="003E6CE0"/>
    <w:rsid w:val="003E7EED"/>
    <w:rsid w:val="003F32A9"/>
    <w:rsid w:val="003F3EB8"/>
    <w:rsid w:val="003F6179"/>
    <w:rsid w:val="003F679A"/>
    <w:rsid w:val="003F7A6E"/>
    <w:rsid w:val="0040472A"/>
    <w:rsid w:val="004067ED"/>
    <w:rsid w:val="00406C40"/>
    <w:rsid w:val="00411F9C"/>
    <w:rsid w:val="004128E7"/>
    <w:rsid w:val="00412D25"/>
    <w:rsid w:val="00414477"/>
    <w:rsid w:val="004152E9"/>
    <w:rsid w:val="004153A1"/>
    <w:rsid w:val="0041568A"/>
    <w:rsid w:val="00415731"/>
    <w:rsid w:val="00415CDF"/>
    <w:rsid w:val="00415D81"/>
    <w:rsid w:val="00415EE0"/>
    <w:rsid w:val="00415EF1"/>
    <w:rsid w:val="00416360"/>
    <w:rsid w:val="00416520"/>
    <w:rsid w:val="00416B5B"/>
    <w:rsid w:val="00417F9C"/>
    <w:rsid w:val="00421D13"/>
    <w:rsid w:val="004222B2"/>
    <w:rsid w:val="0042350B"/>
    <w:rsid w:val="00424B6E"/>
    <w:rsid w:val="00433805"/>
    <w:rsid w:val="00440232"/>
    <w:rsid w:val="00445CAA"/>
    <w:rsid w:val="00446CD7"/>
    <w:rsid w:val="00450878"/>
    <w:rsid w:val="004525EA"/>
    <w:rsid w:val="00452F07"/>
    <w:rsid w:val="00457684"/>
    <w:rsid w:val="00462F49"/>
    <w:rsid w:val="004634CD"/>
    <w:rsid w:val="00464054"/>
    <w:rsid w:val="0046470A"/>
    <w:rsid w:val="004669D4"/>
    <w:rsid w:val="00466A32"/>
    <w:rsid w:val="00467835"/>
    <w:rsid w:val="00470CE9"/>
    <w:rsid w:val="00472519"/>
    <w:rsid w:val="00472683"/>
    <w:rsid w:val="00472938"/>
    <w:rsid w:val="00475450"/>
    <w:rsid w:val="004764C9"/>
    <w:rsid w:val="00477710"/>
    <w:rsid w:val="00480711"/>
    <w:rsid w:val="00481022"/>
    <w:rsid w:val="00483254"/>
    <w:rsid w:val="00483A9C"/>
    <w:rsid w:val="00483D2B"/>
    <w:rsid w:val="00486B31"/>
    <w:rsid w:val="00487A9A"/>
    <w:rsid w:val="0049117B"/>
    <w:rsid w:val="0049189B"/>
    <w:rsid w:val="004A045C"/>
    <w:rsid w:val="004A2FD4"/>
    <w:rsid w:val="004A31E4"/>
    <w:rsid w:val="004A3218"/>
    <w:rsid w:val="004A3333"/>
    <w:rsid w:val="004A6306"/>
    <w:rsid w:val="004A724D"/>
    <w:rsid w:val="004B161B"/>
    <w:rsid w:val="004B2229"/>
    <w:rsid w:val="004B2653"/>
    <w:rsid w:val="004B3D74"/>
    <w:rsid w:val="004B48C0"/>
    <w:rsid w:val="004B78F1"/>
    <w:rsid w:val="004C001F"/>
    <w:rsid w:val="004C1B96"/>
    <w:rsid w:val="004C3546"/>
    <w:rsid w:val="004C36C3"/>
    <w:rsid w:val="004C71BD"/>
    <w:rsid w:val="004C754C"/>
    <w:rsid w:val="004D0037"/>
    <w:rsid w:val="004D2989"/>
    <w:rsid w:val="004D2B81"/>
    <w:rsid w:val="004D2CD2"/>
    <w:rsid w:val="004D3265"/>
    <w:rsid w:val="004D3964"/>
    <w:rsid w:val="004D5217"/>
    <w:rsid w:val="004E580B"/>
    <w:rsid w:val="004E58E1"/>
    <w:rsid w:val="004E5C9A"/>
    <w:rsid w:val="004E6025"/>
    <w:rsid w:val="004E740B"/>
    <w:rsid w:val="004E78B4"/>
    <w:rsid w:val="004F0B79"/>
    <w:rsid w:val="004F10FB"/>
    <w:rsid w:val="004F5B53"/>
    <w:rsid w:val="00500D4E"/>
    <w:rsid w:val="00501A77"/>
    <w:rsid w:val="00501AE3"/>
    <w:rsid w:val="00502781"/>
    <w:rsid w:val="00503B5D"/>
    <w:rsid w:val="00504729"/>
    <w:rsid w:val="0050563D"/>
    <w:rsid w:val="00505904"/>
    <w:rsid w:val="00505ABD"/>
    <w:rsid w:val="00506026"/>
    <w:rsid w:val="005069CF"/>
    <w:rsid w:val="005072C5"/>
    <w:rsid w:val="00507460"/>
    <w:rsid w:val="0050750A"/>
    <w:rsid w:val="005100B7"/>
    <w:rsid w:val="00510D65"/>
    <w:rsid w:val="005112C0"/>
    <w:rsid w:val="00511B9C"/>
    <w:rsid w:val="00515FC8"/>
    <w:rsid w:val="00521EDC"/>
    <w:rsid w:val="00524118"/>
    <w:rsid w:val="00526A4B"/>
    <w:rsid w:val="00527AE9"/>
    <w:rsid w:val="00527DF7"/>
    <w:rsid w:val="00531663"/>
    <w:rsid w:val="00536AD5"/>
    <w:rsid w:val="00537F34"/>
    <w:rsid w:val="00540B42"/>
    <w:rsid w:val="00540D7C"/>
    <w:rsid w:val="00542D81"/>
    <w:rsid w:val="00542FA6"/>
    <w:rsid w:val="00546DCF"/>
    <w:rsid w:val="00546FAC"/>
    <w:rsid w:val="00547273"/>
    <w:rsid w:val="00547D56"/>
    <w:rsid w:val="00553611"/>
    <w:rsid w:val="00554643"/>
    <w:rsid w:val="00554B36"/>
    <w:rsid w:val="005562E3"/>
    <w:rsid w:val="005563BB"/>
    <w:rsid w:val="00556E2B"/>
    <w:rsid w:val="00557E55"/>
    <w:rsid w:val="00557FF2"/>
    <w:rsid w:val="00561D41"/>
    <w:rsid w:val="00566897"/>
    <w:rsid w:val="005668DD"/>
    <w:rsid w:val="00567240"/>
    <w:rsid w:val="0057080F"/>
    <w:rsid w:val="005726BB"/>
    <w:rsid w:val="005731A8"/>
    <w:rsid w:val="005757BB"/>
    <w:rsid w:val="00575C40"/>
    <w:rsid w:val="00580886"/>
    <w:rsid w:val="00580994"/>
    <w:rsid w:val="005829E8"/>
    <w:rsid w:val="005834B1"/>
    <w:rsid w:val="00584492"/>
    <w:rsid w:val="00585337"/>
    <w:rsid w:val="005876D5"/>
    <w:rsid w:val="00590DEA"/>
    <w:rsid w:val="00593891"/>
    <w:rsid w:val="005945A7"/>
    <w:rsid w:val="00595668"/>
    <w:rsid w:val="005962BB"/>
    <w:rsid w:val="00597C27"/>
    <w:rsid w:val="005A4086"/>
    <w:rsid w:val="005A45FC"/>
    <w:rsid w:val="005A50D4"/>
    <w:rsid w:val="005A74F5"/>
    <w:rsid w:val="005B03DC"/>
    <w:rsid w:val="005B0565"/>
    <w:rsid w:val="005B15D9"/>
    <w:rsid w:val="005B17C1"/>
    <w:rsid w:val="005B424B"/>
    <w:rsid w:val="005B60C2"/>
    <w:rsid w:val="005B6153"/>
    <w:rsid w:val="005C09C1"/>
    <w:rsid w:val="005C1855"/>
    <w:rsid w:val="005C1AF5"/>
    <w:rsid w:val="005C1D81"/>
    <w:rsid w:val="005C64F0"/>
    <w:rsid w:val="005C6A2D"/>
    <w:rsid w:val="005C71E7"/>
    <w:rsid w:val="005C77EA"/>
    <w:rsid w:val="005D087B"/>
    <w:rsid w:val="005D0C52"/>
    <w:rsid w:val="005D17D5"/>
    <w:rsid w:val="005D4695"/>
    <w:rsid w:val="005D554A"/>
    <w:rsid w:val="005D5AB2"/>
    <w:rsid w:val="005E3E6C"/>
    <w:rsid w:val="005E404D"/>
    <w:rsid w:val="005E670D"/>
    <w:rsid w:val="005E68E9"/>
    <w:rsid w:val="005F059D"/>
    <w:rsid w:val="005F0E26"/>
    <w:rsid w:val="005F2C11"/>
    <w:rsid w:val="005F4B90"/>
    <w:rsid w:val="005F5616"/>
    <w:rsid w:val="005F5955"/>
    <w:rsid w:val="005F627D"/>
    <w:rsid w:val="005F66CC"/>
    <w:rsid w:val="005F7F7D"/>
    <w:rsid w:val="0060058F"/>
    <w:rsid w:val="006007D9"/>
    <w:rsid w:val="00600AB5"/>
    <w:rsid w:val="00601ABF"/>
    <w:rsid w:val="006022E6"/>
    <w:rsid w:val="00603052"/>
    <w:rsid w:val="00604B34"/>
    <w:rsid w:val="00610B5E"/>
    <w:rsid w:val="00611074"/>
    <w:rsid w:val="00612C3F"/>
    <w:rsid w:val="006144E7"/>
    <w:rsid w:val="006147A4"/>
    <w:rsid w:val="00614972"/>
    <w:rsid w:val="00617C19"/>
    <w:rsid w:val="00621267"/>
    <w:rsid w:val="00621E69"/>
    <w:rsid w:val="00621FE0"/>
    <w:rsid w:val="006257F6"/>
    <w:rsid w:val="00625AB6"/>
    <w:rsid w:val="00627BED"/>
    <w:rsid w:val="00631F14"/>
    <w:rsid w:val="00632CA3"/>
    <w:rsid w:val="00633279"/>
    <w:rsid w:val="00633FF7"/>
    <w:rsid w:val="00634E4C"/>
    <w:rsid w:val="00635043"/>
    <w:rsid w:val="00635432"/>
    <w:rsid w:val="00635F9E"/>
    <w:rsid w:val="00635FB2"/>
    <w:rsid w:val="0064020A"/>
    <w:rsid w:val="00641949"/>
    <w:rsid w:val="00642EE7"/>
    <w:rsid w:val="0064337E"/>
    <w:rsid w:val="00644A10"/>
    <w:rsid w:val="00644B34"/>
    <w:rsid w:val="00645415"/>
    <w:rsid w:val="006464A3"/>
    <w:rsid w:val="00647ADE"/>
    <w:rsid w:val="006510E2"/>
    <w:rsid w:val="0065142A"/>
    <w:rsid w:val="00653481"/>
    <w:rsid w:val="006534B0"/>
    <w:rsid w:val="00653503"/>
    <w:rsid w:val="00655140"/>
    <w:rsid w:val="00656F53"/>
    <w:rsid w:val="00660B34"/>
    <w:rsid w:val="00662153"/>
    <w:rsid w:val="0066252C"/>
    <w:rsid w:val="00662F15"/>
    <w:rsid w:val="006630D1"/>
    <w:rsid w:val="00663DA1"/>
    <w:rsid w:val="00664BFD"/>
    <w:rsid w:val="00665211"/>
    <w:rsid w:val="00665619"/>
    <w:rsid w:val="00672013"/>
    <w:rsid w:val="00672199"/>
    <w:rsid w:val="00672F13"/>
    <w:rsid w:val="0067329A"/>
    <w:rsid w:val="00676476"/>
    <w:rsid w:val="0067726A"/>
    <w:rsid w:val="006814A1"/>
    <w:rsid w:val="00681CA1"/>
    <w:rsid w:val="0068379B"/>
    <w:rsid w:val="00684FE6"/>
    <w:rsid w:val="006864C5"/>
    <w:rsid w:val="00687687"/>
    <w:rsid w:val="00690648"/>
    <w:rsid w:val="00693538"/>
    <w:rsid w:val="00694152"/>
    <w:rsid w:val="00696DDB"/>
    <w:rsid w:val="00697906"/>
    <w:rsid w:val="00697D74"/>
    <w:rsid w:val="006A0128"/>
    <w:rsid w:val="006A110A"/>
    <w:rsid w:val="006A1814"/>
    <w:rsid w:val="006A4C64"/>
    <w:rsid w:val="006A5D41"/>
    <w:rsid w:val="006A6068"/>
    <w:rsid w:val="006A63E6"/>
    <w:rsid w:val="006A6AC0"/>
    <w:rsid w:val="006A70CD"/>
    <w:rsid w:val="006A7972"/>
    <w:rsid w:val="006B0E85"/>
    <w:rsid w:val="006B0F30"/>
    <w:rsid w:val="006B1FC2"/>
    <w:rsid w:val="006B2108"/>
    <w:rsid w:val="006B3691"/>
    <w:rsid w:val="006B485B"/>
    <w:rsid w:val="006B66F4"/>
    <w:rsid w:val="006B6E69"/>
    <w:rsid w:val="006B7111"/>
    <w:rsid w:val="006B793D"/>
    <w:rsid w:val="006C115F"/>
    <w:rsid w:val="006C1A34"/>
    <w:rsid w:val="006C2109"/>
    <w:rsid w:val="006C25CB"/>
    <w:rsid w:val="006C2C3D"/>
    <w:rsid w:val="006C3226"/>
    <w:rsid w:val="006C56BF"/>
    <w:rsid w:val="006C6158"/>
    <w:rsid w:val="006C75DC"/>
    <w:rsid w:val="006D1D58"/>
    <w:rsid w:val="006D247F"/>
    <w:rsid w:val="006D3874"/>
    <w:rsid w:val="006D63AF"/>
    <w:rsid w:val="006D7318"/>
    <w:rsid w:val="006D76D3"/>
    <w:rsid w:val="006E11F0"/>
    <w:rsid w:val="006E146C"/>
    <w:rsid w:val="006E1DBB"/>
    <w:rsid w:val="006E216B"/>
    <w:rsid w:val="006E50CD"/>
    <w:rsid w:val="006E7667"/>
    <w:rsid w:val="006F01F3"/>
    <w:rsid w:val="006F0396"/>
    <w:rsid w:val="006F10AB"/>
    <w:rsid w:val="006F2D60"/>
    <w:rsid w:val="006F4495"/>
    <w:rsid w:val="006F4D6F"/>
    <w:rsid w:val="006F7292"/>
    <w:rsid w:val="00700064"/>
    <w:rsid w:val="00700D33"/>
    <w:rsid w:val="007044B7"/>
    <w:rsid w:val="007076C1"/>
    <w:rsid w:val="00710C7F"/>
    <w:rsid w:val="00712DBC"/>
    <w:rsid w:val="00713E5B"/>
    <w:rsid w:val="00714A1D"/>
    <w:rsid w:val="00715135"/>
    <w:rsid w:val="00715A88"/>
    <w:rsid w:val="00715A96"/>
    <w:rsid w:val="007160C4"/>
    <w:rsid w:val="0071763B"/>
    <w:rsid w:val="00717CE2"/>
    <w:rsid w:val="00717EE8"/>
    <w:rsid w:val="00717FA2"/>
    <w:rsid w:val="00720278"/>
    <w:rsid w:val="00720B98"/>
    <w:rsid w:val="00720BD1"/>
    <w:rsid w:val="00720CE9"/>
    <w:rsid w:val="0072177C"/>
    <w:rsid w:val="00723FDB"/>
    <w:rsid w:val="0072606C"/>
    <w:rsid w:val="00726C63"/>
    <w:rsid w:val="00730554"/>
    <w:rsid w:val="00731172"/>
    <w:rsid w:val="007316BC"/>
    <w:rsid w:val="0073258B"/>
    <w:rsid w:val="00733CD3"/>
    <w:rsid w:val="007350CF"/>
    <w:rsid w:val="00735B32"/>
    <w:rsid w:val="00735DF9"/>
    <w:rsid w:val="007402BD"/>
    <w:rsid w:val="007415C3"/>
    <w:rsid w:val="00741B8D"/>
    <w:rsid w:val="0074269A"/>
    <w:rsid w:val="0074442B"/>
    <w:rsid w:val="00744725"/>
    <w:rsid w:val="007447ED"/>
    <w:rsid w:val="007452C4"/>
    <w:rsid w:val="0074603C"/>
    <w:rsid w:val="007467DE"/>
    <w:rsid w:val="00746A72"/>
    <w:rsid w:val="007548DF"/>
    <w:rsid w:val="007558E8"/>
    <w:rsid w:val="00755ED1"/>
    <w:rsid w:val="0076132E"/>
    <w:rsid w:val="00761966"/>
    <w:rsid w:val="0076272E"/>
    <w:rsid w:val="00764425"/>
    <w:rsid w:val="00764F6E"/>
    <w:rsid w:val="0076515C"/>
    <w:rsid w:val="00765BD5"/>
    <w:rsid w:val="00766BBD"/>
    <w:rsid w:val="00771B2F"/>
    <w:rsid w:val="00772107"/>
    <w:rsid w:val="00775065"/>
    <w:rsid w:val="007779BE"/>
    <w:rsid w:val="00780B47"/>
    <w:rsid w:val="007821C7"/>
    <w:rsid w:val="00782852"/>
    <w:rsid w:val="00786705"/>
    <w:rsid w:val="00790965"/>
    <w:rsid w:val="00795AAB"/>
    <w:rsid w:val="007A0441"/>
    <w:rsid w:val="007A284C"/>
    <w:rsid w:val="007A2958"/>
    <w:rsid w:val="007A3BDC"/>
    <w:rsid w:val="007A4A1F"/>
    <w:rsid w:val="007A598F"/>
    <w:rsid w:val="007A5CB5"/>
    <w:rsid w:val="007A6DD3"/>
    <w:rsid w:val="007B0E50"/>
    <w:rsid w:val="007B31F6"/>
    <w:rsid w:val="007B38D2"/>
    <w:rsid w:val="007B394F"/>
    <w:rsid w:val="007B4361"/>
    <w:rsid w:val="007B4FB3"/>
    <w:rsid w:val="007B53F1"/>
    <w:rsid w:val="007B5AD9"/>
    <w:rsid w:val="007B7771"/>
    <w:rsid w:val="007B7C76"/>
    <w:rsid w:val="007B7ED1"/>
    <w:rsid w:val="007C3B37"/>
    <w:rsid w:val="007C49E3"/>
    <w:rsid w:val="007D13B2"/>
    <w:rsid w:val="007D2417"/>
    <w:rsid w:val="007D5B33"/>
    <w:rsid w:val="007D6311"/>
    <w:rsid w:val="007D661C"/>
    <w:rsid w:val="007D719B"/>
    <w:rsid w:val="007D77E1"/>
    <w:rsid w:val="007D7840"/>
    <w:rsid w:val="007E0F3A"/>
    <w:rsid w:val="007E1CED"/>
    <w:rsid w:val="007E2EA3"/>
    <w:rsid w:val="007E3E02"/>
    <w:rsid w:val="007E41E9"/>
    <w:rsid w:val="007E497D"/>
    <w:rsid w:val="007E6B58"/>
    <w:rsid w:val="007E7266"/>
    <w:rsid w:val="007E7C60"/>
    <w:rsid w:val="007F23D5"/>
    <w:rsid w:val="007F2475"/>
    <w:rsid w:val="007F2815"/>
    <w:rsid w:val="007F2DDA"/>
    <w:rsid w:val="007F32BC"/>
    <w:rsid w:val="007F3922"/>
    <w:rsid w:val="007F547F"/>
    <w:rsid w:val="007F5E40"/>
    <w:rsid w:val="007F63B8"/>
    <w:rsid w:val="007F6A26"/>
    <w:rsid w:val="008007DE"/>
    <w:rsid w:val="00801058"/>
    <w:rsid w:val="00801BCE"/>
    <w:rsid w:val="0080224D"/>
    <w:rsid w:val="008027E6"/>
    <w:rsid w:val="00803833"/>
    <w:rsid w:val="00805BBF"/>
    <w:rsid w:val="008071BD"/>
    <w:rsid w:val="008101B0"/>
    <w:rsid w:val="008115DA"/>
    <w:rsid w:val="00811F00"/>
    <w:rsid w:val="008134A6"/>
    <w:rsid w:val="00815DF6"/>
    <w:rsid w:val="00816A20"/>
    <w:rsid w:val="008170BD"/>
    <w:rsid w:val="00817D23"/>
    <w:rsid w:val="00820079"/>
    <w:rsid w:val="00821068"/>
    <w:rsid w:val="0082177F"/>
    <w:rsid w:val="00824B47"/>
    <w:rsid w:val="00824DC5"/>
    <w:rsid w:val="00826AD8"/>
    <w:rsid w:val="00826DFF"/>
    <w:rsid w:val="00827652"/>
    <w:rsid w:val="0083184F"/>
    <w:rsid w:val="0083202C"/>
    <w:rsid w:val="00832652"/>
    <w:rsid w:val="008329CA"/>
    <w:rsid w:val="0083316C"/>
    <w:rsid w:val="00833FB2"/>
    <w:rsid w:val="008343A4"/>
    <w:rsid w:val="0083724C"/>
    <w:rsid w:val="00840793"/>
    <w:rsid w:val="00842CEE"/>
    <w:rsid w:val="008465F5"/>
    <w:rsid w:val="00847067"/>
    <w:rsid w:val="00852334"/>
    <w:rsid w:val="00853964"/>
    <w:rsid w:val="0085480F"/>
    <w:rsid w:val="00857F98"/>
    <w:rsid w:val="00860758"/>
    <w:rsid w:val="00860AE3"/>
    <w:rsid w:val="00863361"/>
    <w:rsid w:val="00864654"/>
    <w:rsid w:val="00865FFC"/>
    <w:rsid w:val="00870D94"/>
    <w:rsid w:val="00872271"/>
    <w:rsid w:val="00872B07"/>
    <w:rsid w:val="00873E9E"/>
    <w:rsid w:val="00874CFB"/>
    <w:rsid w:val="00876181"/>
    <w:rsid w:val="00877C3A"/>
    <w:rsid w:val="00880717"/>
    <w:rsid w:val="008837C7"/>
    <w:rsid w:val="008842F3"/>
    <w:rsid w:val="0088431B"/>
    <w:rsid w:val="00884885"/>
    <w:rsid w:val="0088653E"/>
    <w:rsid w:val="00887404"/>
    <w:rsid w:val="00887D19"/>
    <w:rsid w:val="008909CB"/>
    <w:rsid w:val="00890C93"/>
    <w:rsid w:val="0089442E"/>
    <w:rsid w:val="0089483C"/>
    <w:rsid w:val="00896935"/>
    <w:rsid w:val="00897407"/>
    <w:rsid w:val="008A045A"/>
    <w:rsid w:val="008A09EA"/>
    <w:rsid w:val="008A3298"/>
    <w:rsid w:val="008A3EC6"/>
    <w:rsid w:val="008A473D"/>
    <w:rsid w:val="008B00EA"/>
    <w:rsid w:val="008B061D"/>
    <w:rsid w:val="008B1F04"/>
    <w:rsid w:val="008B35C5"/>
    <w:rsid w:val="008B3DFF"/>
    <w:rsid w:val="008C250D"/>
    <w:rsid w:val="008C4382"/>
    <w:rsid w:val="008D0BC6"/>
    <w:rsid w:val="008D0D6E"/>
    <w:rsid w:val="008D2134"/>
    <w:rsid w:val="008D34E4"/>
    <w:rsid w:val="008D63A7"/>
    <w:rsid w:val="008E527F"/>
    <w:rsid w:val="008E6310"/>
    <w:rsid w:val="008F0D92"/>
    <w:rsid w:val="008F0E1A"/>
    <w:rsid w:val="008F0E2A"/>
    <w:rsid w:val="008F18BD"/>
    <w:rsid w:val="008F2998"/>
    <w:rsid w:val="008F2BFC"/>
    <w:rsid w:val="008F5039"/>
    <w:rsid w:val="008F727F"/>
    <w:rsid w:val="009014CD"/>
    <w:rsid w:val="00903200"/>
    <w:rsid w:val="00903481"/>
    <w:rsid w:val="00904D6C"/>
    <w:rsid w:val="00905F76"/>
    <w:rsid w:val="00905F87"/>
    <w:rsid w:val="00907A7F"/>
    <w:rsid w:val="00910431"/>
    <w:rsid w:val="00910CCE"/>
    <w:rsid w:val="00911628"/>
    <w:rsid w:val="00913287"/>
    <w:rsid w:val="00915831"/>
    <w:rsid w:val="0091720A"/>
    <w:rsid w:val="00917543"/>
    <w:rsid w:val="009212D8"/>
    <w:rsid w:val="00921302"/>
    <w:rsid w:val="00921433"/>
    <w:rsid w:val="009216BA"/>
    <w:rsid w:val="009235CB"/>
    <w:rsid w:val="00923EA4"/>
    <w:rsid w:val="00923FFF"/>
    <w:rsid w:val="009276BF"/>
    <w:rsid w:val="0092798A"/>
    <w:rsid w:val="00927C90"/>
    <w:rsid w:val="00931348"/>
    <w:rsid w:val="009338C7"/>
    <w:rsid w:val="0093696F"/>
    <w:rsid w:val="009425B1"/>
    <w:rsid w:val="00945888"/>
    <w:rsid w:val="009458A5"/>
    <w:rsid w:val="00945F8D"/>
    <w:rsid w:val="00946CE1"/>
    <w:rsid w:val="00946F14"/>
    <w:rsid w:val="0095053F"/>
    <w:rsid w:val="0095156F"/>
    <w:rsid w:val="00951988"/>
    <w:rsid w:val="00952AEC"/>
    <w:rsid w:val="00954592"/>
    <w:rsid w:val="00955B14"/>
    <w:rsid w:val="00957111"/>
    <w:rsid w:val="0095745C"/>
    <w:rsid w:val="00957513"/>
    <w:rsid w:val="00960E9A"/>
    <w:rsid w:val="009624D5"/>
    <w:rsid w:val="00962E35"/>
    <w:rsid w:val="00967112"/>
    <w:rsid w:val="0096732C"/>
    <w:rsid w:val="0096759F"/>
    <w:rsid w:val="00967B96"/>
    <w:rsid w:val="00970F3D"/>
    <w:rsid w:val="00972471"/>
    <w:rsid w:val="009733AF"/>
    <w:rsid w:val="00973B5B"/>
    <w:rsid w:val="009747DB"/>
    <w:rsid w:val="009758E2"/>
    <w:rsid w:val="00976F57"/>
    <w:rsid w:val="00977046"/>
    <w:rsid w:val="009808A3"/>
    <w:rsid w:val="00980C2A"/>
    <w:rsid w:val="00981335"/>
    <w:rsid w:val="009817B8"/>
    <w:rsid w:val="00981CB7"/>
    <w:rsid w:val="00982B5D"/>
    <w:rsid w:val="0098316E"/>
    <w:rsid w:val="0098389A"/>
    <w:rsid w:val="009843DD"/>
    <w:rsid w:val="009854CB"/>
    <w:rsid w:val="00985504"/>
    <w:rsid w:val="00985703"/>
    <w:rsid w:val="00986A4A"/>
    <w:rsid w:val="00986F36"/>
    <w:rsid w:val="009911E1"/>
    <w:rsid w:val="009924CB"/>
    <w:rsid w:val="0099294D"/>
    <w:rsid w:val="00992BEA"/>
    <w:rsid w:val="00993F9F"/>
    <w:rsid w:val="00995278"/>
    <w:rsid w:val="00997027"/>
    <w:rsid w:val="009A2091"/>
    <w:rsid w:val="009A2191"/>
    <w:rsid w:val="009A2910"/>
    <w:rsid w:val="009A34FC"/>
    <w:rsid w:val="009A3A91"/>
    <w:rsid w:val="009A4057"/>
    <w:rsid w:val="009A58FC"/>
    <w:rsid w:val="009A60E2"/>
    <w:rsid w:val="009A6243"/>
    <w:rsid w:val="009B3F14"/>
    <w:rsid w:val="009B7848"/>
    <w:rsid w:val="009C17B7"/>
    <w:rsid w:val="009C20F3"/>
    <w:rsid w:val="009C3459"/>
    <w:rsid w:val="009C4CED"/>
    <w:rsid w:val="009C6BFF"/>
    <w:rsid w:val="009D1FD5"/>
    <w:rsid w:val="009D3D2D"/>
    <w:rsid w:val="009D46B6"/>
    <w:rsid w:val="009D5536"/>
    <w:rsid w:val="009D723B"/>
    <w:rsid w:val="009D7F3C"/>
    <w:rsid w:val="009E1310"/>
    <w:rsid w:val="009E13A6"/>
    <w:rsid w:val="009E160E"/>
    <w:rsid w:val="009E1EAF"/>
    <w:rsid w:val="009E5F21"/>
    <w:rsid w:val="009F422F"/>
    <w:rsid w:val="009F6112"/>
    <w:rsid w:val="009F6CBD"/>
    <w:rsid w:val="009F73F4"/>
    <w:rsid w:val="00A001AD"/>
    <w:rsid w:val="00A00272"/>
    <w:rsid w:val="00A01019"/>
    <w:rsid w:val="00A0240D"/>
    <w:rsid w:val="00A025AB"/>
    <w:rsid w:val="00A03CE2"/>
    <w:rsid w:val="00A0572E"/>
    <w:rsid w:val="00A05B51"/>
    <w:rsid w:val="00A0740D"/>
    <w:rsid w:val="00A075D4"/>
    <w:rsid w:val="00A110E8"/>
    <w:rsid w:val="00A11D25"/>
    <w:rsid w:val="00A121B1"/>
    <w:rsid w:val="00A1506E"/>
    <w:rsid w:val="00A156E2"/>
    <w:rsid w:val="00A15852"/>
    <w:rsid w:val="00A2047B"/>
    <w:rsid w:val="00A20F27"/>
    <w:rsid w:val="00A233B7"/>
    <w:rsid w:val="00A23664"/>
    <w:rsid w:val="00A23BE5"/>
    <w:rsid w:val="00A2446A"/>
    <w:rsid w:val="00A26BE4"/>
    <w:rsid w:val="00A27A28"/>
    <w:rsid w:val="00A27ECA"/>
    <w:rsid w:val="00A306E8"/>
    <w:rsid w:val="00A307F7"/>
    <w:rsid w:val="00A330A9"/>
    <w:rsid w:val="00A331F9"/>
    <w:rsid w:val="00A33656"/>
    <w:rsid w:val="00A35B9F"/>
    <w:rsid w:val="00A36E0A"/>
    <w:rsid w:val="00A422EE"/>
    <w:rsid w:val="00A4243F"/>
    <w:rsid w:val="00A44089"/>
    <w:rsid w:val="00A54473"/>
    <w:rsid w:val="00A55C73"/>
    <w:rsid w:val="00A6033A"/>
    <w:rsid w:val="00A6048D"/>
    <w:rsid w:val="00A6362B"/>
    <w:rsid w:val="00A643D7"/>
    <w:rsid w:val="00A644DD"/>
    <w:rsid w:val="00A65557"/>
    <w:rsid w:val="00A66C15"/>
    <w:rsid w:val="00A70D25"/>
    <w:rsid w:val="00A71307"/>
    <w:rsid w:val="00A7225C"/>
    <w:rsid w:val="00A72E10"/>
    <w:rsid w:val="00A743C5"/>
    <w:rsid w:val="00A74D49"/>
    <w:rsid w:val="00A756AA"/>
    <w:rsid w:val="00A76400"/>
    <w:rsid w:val="00A808E3"/>
    <w:rsid w:val="00A81176"/>
    <w:rsid w:val="00A820DB"/>
    <w:rsid w:val="00A83ACA"/>
    <w:rsid w:val="00A85593"/>
    <w:rsid w:val="00A85BED"/>
    <w:rsid w:val="00A8688C"/>
    <w:rsid w:val="00A90D2E"/>
    <w:rsid w:val="00A91806"/>
    <w:rsid w:val="00A921FB"/>
    <w:rsid w:val="00A92229"/>
    <w:rsid w:val="00AA1E48"/>
    <w:rsid w:val="00AA2B69"/>
    <w:rsid w:val="00AA2E12"/>
    <w:rsid w:val="00AA3388"/>
    <w:rsid w:val="00AA3A15"/>
    <w:rsid w:val="00AA4000"/>
    <w:rsid w:val="00AA528E"/>
    <w:rsid w:val="00AA61CC"/>
    <w:rsid w:val="00AB000D"/>
    <w:rsid w:val="00AB0310"/>
    <w:rsid w:val="00AB3965"/>
    <w:rsid w:val="00AB39D8"/>
    <w:rsid w:val="00AB4450"/>
    <w:rsid w:val="00AB4D13"/>
    <w:rsid w:val="00AC22A0"/>
    <w:rsid w:val="00AC2589"/>
    <w:rsid w:val="00AC2CA7"/>
    <w:rsid w:val="00AC4ED4"/>
    <w:rsid w:val="00AC5E7C"/>
    <w:rsid w:val="00AC703A"/>
    <w:rsid w:val="00AD0359"/>
    <w:rsid w:val="00AD21C6"/>
    <w:rsid w:val="00AD2420"/>
    <w:rsid w:val="00AD3580"/>
    <w:rsid w:val="00AD4279"/>
    <w:rsid w:val="00AD438E"/>
    <w:rsid w:val="00AD4898"/>
    <w:rsid w:val="00AD6E66"/>
    <w:rsid w:val="00AD6F11"/>
    <w:rsid w:val="00AD6FAF"/>
    <w:rsid w:val="00AD7937"/>
    <w:rsid w:val="00AD79AC"/>
    <w:rsid w:val="00AE206A"/>
    <w:rsid w:val="00AE4148"/>
    <w:rsid w:val="00AE4F8F"/>
    <w:rsid w:val="00AE630F"/>
    <w:rsid w:val="00AE78B3"/>
    <w:rsid w:val="00AF2EE9"/>
    <w:rsid w:val="00AF6D72"/>
    <w:rsid w:val="00AF724F"/>
    <w:rsid w:val="00AF784F"/>
    <w:rsid w:val="00AF7D15"/>
    <w:rsid w:val="00B001AC"/>
    <w:rsid w:val="00B011D7"/>
    <w:rsid w:val="00B02CC5"/>
    <w:rsid w:val="00B04260"/>
    <w:rsid w:val="00B05CFC"/>
    <w:rsid w:val="00B0632B"/>
    <w:rsid w:val="00B10EFC"/>
    <w:rsid w:val="00B11B74"/>
    <w:rsid w:val="00B122E7"/>
    <w:rsid w:val="00B12EC6"/>
    <w:rsid w:val="00B14351"/>
    <w:rsid w:val="00B15CEF"/>
    <w:rsid w:val="00B214A7"/>
    <w:rsid w:val="00B22AF0"/>
    <w:rsid w:val="00B22D4B"/>
    <w:rsid w:val="00B24315"/>
    <w:rsid w:val="00B24F67"/>
    <w:rsid w:val="00B27424"/>
    <w:rsid w:val="00B316F9"/>
    <w:rsid w:val="00B31BD9"/>
    <w:rsid w:val="00B343A7"/>
    <w:rsid w:val="00B34CDC"/>
    <w:rsid w:val="00B34F30"/>
    <w:rsid w:val="00B37BFB"/>
    <w:rsid w:val="00B37EEF"/>
    <w:rsid w:val="00B411D1"/>
    <w:rsid w:val="00B4193C"/>
    <w:rsid w:val="00B4364F"/>
    <w:rsid w:val="00B441C4"/>
    <w:rsid w:val="00B45F29"/>
    <w:rsid w:val="00B464C1"/>
    <w:rsid w:val="00B46CE7"/>
    <w:rsid w:val="00B472F6"/>
    <w:rsid w:val="00B47817"/>
    <w:rsid w:val="00B501A9"/>
    <w:rsid w:val="00B50EF3"/>
    <w:rsid w:val="00B521BC"/>
    <w:rsid w:val="00B54760"/>
    <w:rsid w:val="00B57A0F"/>
    <w:rsid w:val="00B57A95"/>
    <w:rsid w:val="00B6001D"/>
    <w:rsid w:val="00B604DE"/>
    <w:rsid w:val="00B60E0B"/>
    <w:rsid w:val="00B62111"/>
    <w:rsid w:val="00B628CF"/>
    <w:rsid w:val="00B62FEB"/>
    <w:rsid w:val="00B644E4"/>
    <w:rsid w:val="00B65B83"/>
    <w:rsid w:val="00B66B0B"/>
    <w:rsid w:val="00B66ECA"/>
    <w:rsid w:val="00B67C79"/>
    <w:rsid w:val="00B7398D"/>
    <w:rsid w:val="00B75992"/>
    <w:rsid w:val="00B77B54"/>
    <w:rsid w:val="00B77D37"/>
    <w:rsid w:val="00B82891"/>
    <w:rsid w:val="00B830B0"/>
    <w:rsid w:val="00B8439D"/>
    <w:rsid w:val="00B85191"/>
    <w:rsid w:val="00B85C8B"/>
    <w:rsid w:val="00B86F88"/>
    <w:rsid w:val="00B8727D"/>
    <w:rsid w:val="00B927AB"/>
    <w:rsid w:val="00B92FD9"/>
    <w:rsid w:val="00B933F3"/>
    <w:rsid w:val="00B94284"/>
    <w:rsid w:val="00B94C15"/>
    <w:rsid w:val="00B958A8"/>
    <w:rsid w:val="00B9717D"/>
    <w:rsid w:val="00B978BB"/>
    <w:rsid w:val="00B97BB2"/>
    <w:rsid w:val="00BA015A"/>
    <w:rsid w:val="00BA24C1"/>
    <w:rsid w:val="00BA405E"/>
    <w:rsid w:val="00BA5175"/>
    <w:rsid w:val="00BA5ABA"/>
    <w:rsid w:val="00BA5EFD"/>
    <w:rsid w:val="00BA6385"/>
    <w:rsid w:val="00BA71C4"/>
    <w:rsid w:val="00BB1D72"/>
    <w:rsid w:val="00BB4090"/>
    <w:rsid w:val="00BB4523"/>
    <w:rsid w:val="00BB6351"/>
    <w:rsid w:val="00BB6A15"/>
    <w:rsid w:val="00BC0D93"/>
    <w:rsid w:val="00BC1355"/>
    <w:rsid w:val="00BC31F1"/>
    <w:rsid w:val="00BC61A5"/>
    <w:rsid w:val="00BC7303"/>
    <w:rsid w:val="00BC73A1"/>
    <w:rsid w:val="00BC76E0"/>
    <w:rsid w:val="00BD04FD"/>
    <w:rsid w:val="00BD382D"/>
    <w:rsid w:val="00BD4BB1"/>
    <w:rsid w:val="00BD58D9"/>
    <w:rsid w:val="00BD5AFE"/>
    <w:rsid w:val="00BD6446"/>
    <w:rsid w:val="00BD6A20"/>
    <w:rsid w:val="00BD748B"/>
    <w:rsid w:val="00BE00F5"/>
    <w:rsid w:val="00BE0EF8"/>
    <w:rsid w:val="00BE2A56"/>
    <w:rsid w:val="00BE4BFD"/>
    <w:rsid w:val="00BE5310"/>
    <w:rsid w:val="00BE59A5"/>
    <w:rsid w:val="00BE5A52"/>
    <w:rsid w:val="00BE6713"/>
    <w:rsid w:val="00BE7F91"/>
    <w:rsid w:val="00BF0C5B"/>
    <w:rsid w:val="00BF137D"/>
    <w:rsid w:val="00BF146D"/>
    <w:rsid w:val="00BF17A0"/>
    <w:rsid w:val="00BF2894"/>
    <w:rsid w:val="00BF2BC9"/>
    <w:rsid w:val="00BF39F5"/>
    <w:rsid w:val="00BF4832"/>
    <w:rsid w:val="00BF7342"/>
    <w:rsid w:val="00C01738"/>
    <w:rsid w:val="00C017D4"/>
    <w:rsid w:val="00C01B34"/>
    <w:rsid w:val="00C03F50"/>
    <w:rsid w:val="00C07FBE"/>
    <w:rsid w:val="00C109FA"/>
    <w:rsid w:val="00C10F49"/>
    <w:rsid w:val="00C11368"/>
    <w:rsid w:val="00C11AB3"/>
    <w:rsid w:val="00C11D3D"/>
    <w:rsid w:val="00C131B9"/>
    <w:rsid w:val="00C13554"/>
    <w:rsid w:val="00C1411B"/>
    <w:rsid w:val="00C148DF"/>
    <w:rsid w:val="00C14BA3"/>
    <w:rsid w:val="00C15DDB"/>
    <w:rsid w:val="00C205D8"/>
    <w:rsid w:val="00C21275"/>
    <w:rsid w:val="00C23420"/>
    <w:rsid w:val="00C2492A"/>
    <w:rsid w:val="00C25516"/>
    <w:rsid w:val="00C26948"/>
    <w:rsid w:val="00C31D95"/>
    <w:rsid w:val="00C325F9"/>
    <w:rsid w:val="00C33609"/>
    <w:rsid w:val="00C35055"/>
    <w:rsid w:val="00C36116"/>
    <w:rsid w:val="00C37551"/>
    <w:rsid w:val="00C40BF1"/>
    <w:rsid w:val="00C4202D"/>
    <w:rsid w:val="00C438D8"/>
    <w:rsid w:val="00C44A57"/>
    <w:rsid w:val="00C454F4"/>
    <w:rsid w:val="00C4644C"/>
    <w:rsid w:val="00C47021"/>
    <w:rsid w:val="00C47818"/>
    <w:rsid w:val="00C50161"/>
    <w:rsid w:val="00C52966"/>
    <w:rsid w:val="00C52A80"/>
    <w:rsid w:val="00C55D23"/>
    <w:rsid w:val="00C5657F"/>
    <w:rsid w:val="00C60ED1"/>
    <w:rsid w:val="00C6176B"/>
    <w:rsid w:val="00C618E9"/>
    <w:rsid w:val="00C61937"/>
    <w:rsid w:val="00C620F1"/>
    <w:rsid w:val="00C625D9"/>
    <w:rsid w:val="00C64A78"/>
    <w:rsid w:val="00C6542E"/>
    <w:rsid w:val="00C6758B"/>
    <w:rsid w:val="00C7196A"/>
    <w:rsid w:val="00C76206"/>
    <w:rsid w:val="00C7682F"/>
    <w:rsid w:val="00C86774"/>
    <w:rsid w:val="00C92422"/>
    <w:rsid w:val="00C924FD"/>
    <w:rsid w:val="00C92AB4"/>
    <w:rsid w:val="00C951BE"/>
    <w:rsid w:val="00C96FAD"/>
    <w:rsid w:val="00CA0CA8"/>
    <w:rsid w:val="00CA1F3A"/>
    <w:rsid w:val="00CA2032"/>
    <w:rsid w:val="00CA2B31"/>
    <w:rsid w:val="00CA3569"/>
    <w:rsid w:val="00CA414E"/>
    <w:rsid w:val="00CA4C1D"/>
    <w:rsid w:val="00CA771C"/>
    <w:rsid w:val="00CB0EAE"/>
    <w:rsid w:val="00CB0F67"/>
    <w:rsid w:val="00CB1E60"/>
    <w:rsid w:val="00CB3186"/>
    <w:rsid w:val="00CB62F1"/>
    <w:rsid w:val="00CB75F3"/>
    <w:rsid w:val="00CC03D8"/>
    <w:rsid w:val="00CC13F0"/>
    <w:rsid w:val="00CC21B2"/>
    <w:rsid w:val="00CC21D5"/>
    <w:rsid w:val="00CC2289"/>
    <w:rsid w:val="00CC325F"/>
    <w:rsid w:val="00CC3AEC"/>
    <w:rsid w:val="00CC41D7"/>
    <w:rsid w:val="00CC44A4"/>
    <w:rsid w:val="00CC59DE"/>
    <w:rsid w:val="00CC5C64"/>
    <w:rsid w:val="00CC63C4"/>
    <w:rsid w:val="00CC651E"/>
    <w:rsid w:val="00CC6721"/>
    <w:rsid w:val="00CC77FD"/>
    <w:rsid w:val="00CC7C51"/>
    <w:rsid w:val="00CD2032"/>
    <w:rsid w:val="00CD4561"/>
    <w:rsid w:val="00CD48F3"/>
    <w:rsid w:val="00CD73C4"/>
    <w:rsid w:val="00CE3CC0"/>
    <w:rsid w:val="00CE4DAD"/>
    <w:rsid w:val="00CE521F"/>
    <w:rsid w:val="00CF0C82"/>
    <w:rsid w:val="00CF20CD"/>
    <w:rsid w:val="00CF5FCB"/>
    <w:rsid w:val="00CF7197"/>
    <w:rsid w:val="00CF74C7"/>
    <w:rsid w:val="00D000AD"/>
    <w:rsid w:val="00D0012A"/>
    <w:rsid w:val="00D01F1A"/>
    <w:rsid w:val="00D02316"/>
    <w:rsid w:val="00D042C8"/>
    <w:rsid w:val="00D04F4D"/>
    <w:rsid w:val="00D07C19"/>
    <w:rsid w:val="00D1002F"/>
    <w:rsid w:val="00D11419"/>
    <w:rsid w:val="00D11B02"/>
    <w:rsid w:val="00D124F5"/>
    <w:rsid w:val="00D14F84"/>
    <w:rsid w:val="00D152F2"/>
    <w:rsid w:val="00D15D3A"/>
    <w:rsid w:val="00D16F5F"/>
    <w:rsid w:val="00D219E8"/>
    <w:rsid w:val="00D21E58"/>
    <w:rsid w:val="00D2275E"/>
    <w:rsid w:val="00D22C5F"/>
    <w:rsid w:val="00D2342A"/>
    <w:rsid w:val="00D23930"/>
    <w:rsid w:val="00D24446"/>
    <w:rsid w:val="00D275E7"/>
    <w:rsid w:val="00D30520"/>
    <w:rsid w:val="00D31B32"/>
    <w:rsid w:val="00D331A1"/>
    <w:rsid w:val="00D3353D"/>
    <w:rsid w:val="00D33F96"/>
    <w:rsid w:val="00D3609E"/>
    <w:rsid w:val="00D36A99"/>
    <w:rsid w:val="00D42485"/>
    <w:rsid w:val="00D4255A"/>
    <w:rsid w:val="00D430A9"/>
    <w:rsid w:val="00D43784"/>
    <w:rsid w:val="00D45B22"/>
    <w:rsid w:val="00D45F5F"/>
    <w:rsid w:val="00D4706C"/>
    <w:rsid w:val="00D47416"/>
    <w:rsid w:val="00D474D3"/>
    <w:rsid w:val="00D50ADD"/>
    <w:rsid w:val="00D51419"/>
    <w:rsid w:val="00D515E3"/>
    <w:rsid w:val="00D5213A"/>
    <w:rsid w:val="00D52471"/>
    <w:rsid w:val="00D5262A"/>
    <w:rsid w:val="00D5296D"/>
    <w:rsid w:val="00D52D6B"/>
    <w:rsid w:val="00D54AFE"/>
    <w:rsid w:val="00D561BC"/>
    <w:rsid w:val="00D609DD"/>
    <w:rsid w:val="00D63F48"/>
    <w:rsid w:val="00D63F67"/>
    <w:rsid w:val="00D6467A"/>
    <w:rsid w:val="00D646DA"/>
    <w:rsid w:val="00D669C8"/>
    <w:rsid w:val="00D729D3"/>
    <w:rsid w:val="00D731EE"/>
    <w:rsid w:val="00D73442"/>
    <w:rsid w:val="00D75B7E"/>
    <w:rsid w:val="00D75D26"/>
    <w:rsid w:val="00D76557"/>
    <w:rsid w:val="00D77411"/>
    <w:rsid w:val="00D813BB"/>
    <w:rsid w:val="00D82E88"/>
    <w:rsid w:val="00D8576F"/>
    <w:rsid w:val="00D86534"/>
    <w:rsid w:val="00D865DB"/>
    <w:rsid w:val="00D870CD"/>
    <w:rsid w:val="00D87101"/>
    <w:rsid w:val="00D902B6"/>
    <w:rsid w:val="00D9098C"/>
    <w:rsid w:val="00D90D0A"/>
    <w:rsid w:val="00D90F7A"/>
    <w:rsid w:val="00D91E40"/>
    <w:rsid w:val="00D9326E"/>
    <w:rsid w:val="00D938D6"/>
    <w:rsid w:val="00D93EF3"/>
    <w:rsid w:val="00D9558D"/>
    <w:rsid w:val="00D95D33"/>
    <w:rsid w:val="00D97850"/>
    <w:rsid w:val="00DA0D40"/>
    <w:rsid w:val="00DA0DA6"/>
    <w:rsid w:val="00DA161F"/>
    <w:rsid w:val="00DA3B18"/>
    <w:rsid w:val="00DA5DCB"/>
    <w:rsid w:val="00DA67CD"/>
    <w:rsid w:val="00DA7832"/>
    <w:rsid w:val="00DB22E4"/>
    <w:rsid w:val="00DB2D62"/>
    <w:rsid w:val="00DB31A9"/>
    <w:rsid w:val="00DB39B4"/>
    <w:rsid w:val="00DB6926"/>
    <w:rsid w:val="00DC1CC5"/>
    <w:rsid w:val="00DC6155"/>
    <w:rsid w:val="00DD58B1"/>
    <w:rsid w:val="00DD67B5"/>
    <w:rsid w:val="00DD70C1"/>
    <w:rsid w:val="00DD713E"/>
    <w:rsid w:val="00DD76D8"/>
    <w:rsid w:val="00DD7708"/>
    <w:rsid w:val="00DE3F13"/>
    <w:rsid w:val="00DE4024"/>
    <w:rsid w:val="00DE4E5C"/>
    <w:rsid w:val="00DE521E"/>
    <w:rsid w:val="00DE7B4D"/>
    <w:rsid w:val="00DF1AEA"/>
    <w:rsid w:val="00DF23BC"/>
    <w:rsid w:val="00DF27EF"/>
    <w:rsid w:val="00DF35C6"/>
    <w:rsid w:val="00DF38D5"/>
    <w:rsid w:val="00DF3F10"/>
    <w:rsid w:val="00DF51E5"/>
    <w:rsid w:val="00DF5FC2"/>
    <w:rsid w:val="00DF6265"/>
    <w:rsid w:val="00DF7914"/>
    <w:rsid w:val="00E0056C"/>
    <w:rsid w:val="00E01E58"/>
    <w:rsid w:val="00E025EA"/>
    <w:rsid w:val="00E0563E"/>
    <w:rsid w:val="00E0629A"/>
    <w:rsid w:val="00E06A96"/>
    <w:rsid w:val="00E074DB"/>
    <w:rsid w:val="00E11C5E"/>
    <w:rsid w:val="00E13F34"/>
    <w:rsid w:val="00E156A6"/>
    <w:rsid w:val="00E22ACE"/>
    <w:rsid w:val="00E277D6"/>
    <w:rsid w:val="00E27A39"/>
    <w:rsid w:val="00E30DC1"/>
    <w:rsid w:val="00E320A7"/>
    <w:rsid w:val="00E32F7E"/>
    <w:rsid w:val="00E377C5"/>
    <w:rsid w:val="00E37F26"/>
    <w:rsid w:val="00E4447A"/>
    <w:rsid w:val="00E46CAA"/>
    <w:rsid w:val="00E47CFB"/>
    <w:rsid w:val="00E47D21"/>
    <w:rsid w:val="00E47D25"/>
    <w:rsid w:val="00E47EF1"/>
    <w:rsid w:val="00E51942"/>
    <w:rsid w:val="00E5196E"/>
    <w:rsid w:val="00E53BF3"/>
    <w:rsid w:val="00E55AFF"/>
    <w:rsid w:val="00E564CE"/>
    <w:rsid w:val="00E57313"/>
    <w:rsid w:val="00E60DC2"/>
    <w:rsid w:val="00E629E2"/>
    <w:rsid w:val="00E6341D"/>
    <w:rsid w:val="00E70BE5"/>
    <w:rsid w:val="00E71976"/>
    <w:rsid w:val="00E7218C"/>
    <w:rsid w:val="00E758D7"/>
    <w:rsid w:val="00E76720"/>
    <w:rsid w:val="00E77CA6"/>
    <w:rsid w:val="00E77FCE"/>
    <w:rsid w:val="00E81204"/>
    <w:rsid w:val="00E81DF1"/>
    <w:rsid w:val="00E83A8D"/>
    <w:rsid w:val="00E84963"/>
    <w:rsid w:val="00E84BB5"/>
    <w:rsid w:val="00E85544"/>
    <w:rsid w:val="00E858FD"/>
    <w:rsid w:val="00E8651F"/>
    <w:rsid w:val="00E92FEE"/>
    <w:rsid w:val="00E932A4"/>
    <w:rsid w:val="00E9727F"/>
    <w:rsid w:val="00E976F6"/>
    <w:rsid w:val="00E977A0"/>
    <w:rsid w:val="00EA3423"/>
    <w:rsid w:val="00EA45AE"/>
    <w:rsid w:val="00EA48FD"/>
    <w:rsid w:val="00EA4D2A"/>
    <w:rsid w:val="00EA56A5"/>
    <w:rsid w:val="00EA737C"/>
    <w:rsid w:val="00EA7C66"/>
    <w:rsid w:val="00EB4D32"/>
    <w:rsid w:val="00EB4E0E"/>
    <w:rsid w:val="00EB5B86"/>
    <w:rsid w:val="00EB78AB"/>
    <w:rsid w:val="00EC0C52"/>
    <w:rsid w:val="00EC0E58"/>
    <w:rsid w:val="00EC118D"/>
    <w:rsid w:val="00EC1D19"/>
    <w:rsid w:val="00EC28BA"/>
    <w:rsid w:val="00EC2DFF"/>
    <w:rsid w:val="00EC35A6"/>
    <w:rsid w:val="00EC360E"/>
    <w:rsid w:val="00EC3D05"/>
    <w:rsid w:val="00EC3D09"/>
    <w:rsid w:val="00EC5178"/>
    <w:rsid w:val="00EC67F1"/>
    <w:rsid w:val="00EC7FD0"/>
    <w:rsid w:val="00ED2A09"/>
    <w:rsid w:val="00ED2F8F"/>
    <w:rsid w:val="00ED4FC7"/>
    <w:rsid w:val="00ED506C"/>
    <w:rsid w:val="00ED523B"/>
    <w:rsid w:val="00ED5249"/>
    <w:rsid w:val="00ED6026"/>
    <w:rsid w:val="00ED6FC7"/>
    <w:rsid w:val="00EE057B"/>
    <w:rsid w:val="00EE267E"/>
    <w:rsid w:val="00EE548B"/>
    <w:rsid w:val="00EE6C92"/>
    <w:rsid w:val="00EF03CC"/>
    <w:rsid w:val="00EF262C"/>
    <w:rsid w:val="00EF2BDE"/>
    <w:rsid w:val="00EF55AB"/>
    <w:rsid w:val="00EF73D2"/>
    <w:rsid w:val="00F01C8F"/>
    <w:rsid w:val="00F0612C"/>
    <w:rsid w:val="00F07913"/>
    <w:rsid w:val="00F07B03"/>
    <w:rsid w:val="00F100F0"/>
    <w:rsid w:val="00F11459"/>
    <w:rsid w:val="00F11676"/>
    <w:rsid w:val="00F128C9"/>
    <w:rsid w:val="00F14364"/>
    <w:rsid w:val="00F15D03"/>
    <w:rsid w:val="00F15D60"/>
    <w:rsid w:val="00F167CC"/>
    <w:rsid w:val="00F176BC"/>
    <w:rsid w:val="00F17898"/>
    <w:rsid w:val="00F204E9"/>
    <w:rsid w:val="00F20750"/>
    <w:rsid w:val="00F22201"/>
    <w:rsid w:val="00F223DE"/>
    <w:rsid w:val="00F22A3C"/>
    <w:rsid w:val="00F22B4F"/>
    <w:rsid w:val="00F26FB5"/>
    <w:rsid w:val="00F3144F"/>
    <w:rsid w:val="00F33739"/>
    <w:rsid w:val="00F35431"/>
    <w:rsid w:val="00F357E3"/>
    <w:rsid w:val="00F412C4"/>
    <w:rsid w:val="00F4139D"/>
    <w:rsid w:val="00F41478"/>
    <w:rsid w:val="00F43B6C"/>
    <w:rsid w:val="00F46C52"/>
    <w:rsid w:val="00F51AA8"/>
    <w:rsid w:val="00F52673"/>
    <w:rsid w:val="00F53177"/>
    <w:rsid w:val="00F55C12"/>
    <w:rsid w:val="00F61D50"/>
    <w:rsid w:val="00F65F07"/>
    <w:rsid w:val="00F6696D"/>
    <w:rsid w:val="00F712A3"/>
    <w:rsid w:val="00F74901"/>
    <w:rsid w:val="00F74C60"/>
    <w:rsid w:val="00F74FFB"/>
    <w:rsid w:val="00F75EA1"/>
    <w:rsid w:val="00F854B8"/>
    <w:rsid w:val="00F87A3F"/>
    <w:rsid w:val="00F91CE4"/>
    <w:rsid w:val="00F94170"/>
    <w:rsid w:val="00F97068"/>
    <w:rsid w:val="00F979FF"/>
    <w:rsid w:val="00FA00FC"/>
    <w:rsid w:val="00FA17F2"/>
    <w:rsid w:val="00FA18A1"/>
    <w:rsid w:val="00FA3D57"/>
    <w:rsid w:val="00FA53C9"/>
    <w:rsid w:val="00FA7B83"/>
    <w:rsid w:val="00FB03D4"/>
    <w:rsid w:val="00FB2672"/>
    <w:rsid w:val="00FB4A6C"/>
    <w:rsid w:val="00FB4C03"/>
    <w:rsid w:val="00FB668B"/>
    <w:rsid w:val="00FC01C3"/>
    <w:rsid w:val="00FC029F"/>
    <w:rsid w:val="00FC4180"/>
    <w:rsid w:val="00FC4247"/>
    <w:rsid w:val="00FC446B"/>
    <w:rsid w:val="00FC47EE"/>
    <w:rsid w:val="00FC5CAF"/>
    <w:rsid w:val="00FC7AE1"/>
    <w:rsid w:val="00FD014D"/>
    <w:rsid w:val="00FD1862"/>
    <w:rsid w:val="00FD6E98"/>
    <w:rsid w:val="00FE04BB"/>
    <w:rsid w:val="00FE0522"/>
    <w:rsid w:val="00FE0D6F"/>
    <w:rsid w:val="00FE2D46"/>
    <w:rsid w:val="00FE3985"/>
    <w:rsid w:val="00FE4BA3"/>
    <w:rsid w:val="00FE4D11"/>
    <w:rsid w:val="00FE5129"/>
    <w:rsid w:val="00FE6CA8"/>
    <w:rsid w:val="00FE7856"/>
    <w:rsid w:val="00FF44F4"/>
    <w:rsid w:val="00FF4E5C"/>
    <w:rsid w:val="00FF594A"/>
    <w:rsid w:val="00FF746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5"/>
    <o:shapelayout v:ext="edit">
      <o:idmap v:ext="edit" data="1"/>
    </o:shapelayout>
  </w:shapeDefaults>
  <w:decimalSymbol w:val="."/>
  <w:listSeparator w:val=","/>
  <w14:docId w14:val="536A51DE"/>
  <w15:docId w15:val="{1497FAB9-BDB5-483D-949F-3ECCE257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342A"/>
    <w:rPr>
      <w:rFonts w:ascii="Calibri" w:hAnsi="Calibri"/>
      <w:sz w:val="22"/>
      <w:szCs w:val="24"/>
      <w:lang w:eastAsia="en-US"/>
    </w:rPr>
  </w:style>
  <w:style w:type="paragraph" w:styleId="Heading1">
    <w:name w:val="heading 1"/>
    <w:aliases w:val="numbered,h1"/>
    <w:next w:val="BodyText1"/>
    <w:link w:val="Heading1Char"/>
    <w:qFormat/>
    <w:rsid w:val="00FA18A1"/>
    <w:pPr>
      <w:keepNext/>
      <w:pageBreakBefore/>
      <w:widowControl w:val="0"/>
      <w:numPr>
        <w:numId w:val="6"/>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3B5A9F"/>
    <w:pPr>
      <w:pageBreakBefore w:val="0"/>
      <w:numPr>
        <w:ilvl w:val="1"/>
        <w:numId w:val="5"/>
      </w:numPr>
      <w:spacing w:before="480" w:after="60"/>
      <w:ind w:left="0" w:firstLine="0"/>
      <w:outlineLvl w:val="1"/>
    </w:pPr>
    <w:rPr>
      <w:bCs w:val="0"/>
      <w:iCs/>
      <w:caps/>
      <w:spacing w:val="0"/>
      <w:kern w:val="0"/>
      <w:sz w:val="34"/>
      <w:szCs w:val="34"/>
    </w:rPr>
  </w:style>
  <w:style w:type="paragraph" w:styleId="Heading3">
    <w:name w:val="heading 3"/>
    <w:basedOn w:val="Heading2"/>
    <w:next w:val="Normal"/>
    <w:link w:val="Heading3Char"/>
    <w:qFormat/>
    <w:rsid w:val="003B5A9F"/>
    <w:pPr>
      <w:numPr>
        <w:ilvl w:val="2"/>
        <w:numId w:val="3"/>
      </w:numPr>
      <w:spacing w:before="320" w:after="100"/>
      <w:outlineLvl w:val="2"/>
    </w:pPr>
    <w:rPr>
      <w:bCs/>
      <w:sz w:val="28"/>
      <w:szCs w:val="28"/>
    </w:rPr>
  </w:style>
  <w:style w:type="paragraph" w:styleId="Heading4">
    <w:name w:val="heading 4"/>
    <w:basedOn w:val="Heading3"/>
    <w:next w:val="Normal"/>
    <w:qFormat/>
    <w:rsid w:val="003B5A9F"/>
    <w:pPr>
      <w:numPr>
        <w:ilvl w:val="3"/>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B85C8B"/>
    <w:pPr>
      <w:numPr>
        <w:ilvl w:val="2"/>
      </w:numPr>
      <w:spacing w:before="320" w:after="100"/>
    </w:pPr>
    <w:rPr>
      <w:iCs w:val="0"/>
      <w:sz w:val="30"/>
      <w:szCs w:val="28"/>
    </w:rPr>
  </w:style>
  <w:style w:type="paragraph" w:styleId="ListBullet">
    <w:name w:val="List Bullet"/>
    <w:link w:val="ListBulletChar"/>
    <w:autoRedefine/>
    <w:rsid w:val="00416360"/>
    <w:pPr>
      <w:spacing w:before="40" w:after="60" w:line="288" w:lineRule="auto"/>
      <w:ind w:left="567"/>
    </w:pPr>
    <w:rPr>
      <w:rFonts w:ascii="Calibri" w:hAnsi="Calibri"/>
      <w:sz w:val="22"/>
      <w:szCs w:val="22"/>
      <w:lang w:eastAsia="en-US"/>
    </w:rPr>
  </w:style>
  <w:style w:type="paragraph" w:styleId="ListBullet2">
    <w:name w:val="List Bullet 2"/>
    <w:autoRedefine/>
    <w:rsid w:val="0015794F"/>
    <w:pPr>
      <w:numPr>
        <w:numId w:val="2"/>
      </w:numPr>
      <w:spacing w:after="60" w:line="288" w:lineRule="auto"/>
      <w:ind w:left="1248" w:hanging="284"/>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semiHidden/>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uiPriority w:val="99"/>
    <w:rsid w:val="003B5A9F"/>
    <w:rPr>
      <w:color w:val="0000FF"/>
      <w:u w:val="single"/>
    </w:rPr>
  </w:style>
  <w:style w:type="paragraph" w:styleId="TOC1">
    <w:name w:val="toc 1"/>
    <w:next w:val="Normal"/>
    <w:autoRedefine/>
    <w:uiPriority w:val="39"/>
    <w:rsid w:val="00EC3D05"/>
    <w:pPr>
      <w:tabs>
        <w:tab w:val="right" w:leader="dot" w:pos="9061"/>
      </w:tabs>
      <w:spacing w:before="180" w:after="40" w:line="312" w:lineRule="auto"/>
      <w:ind w:left="1020" w:hanging="340"/>
    </w:pPr>
    <w:rPr>
      <w:rFonts w:ascii="Calibri" w:hAnsi="Calibri" w:cs="Calibri"/>
      <w:b/>
      <w:smallCaps/>
      <w:noProof/>
      <w:spacing w:val="40"/>
      <w:sz w:val="24"/>
      <w:szCs w:val="22"/>
      <w:lang w:eastAsia="en-US"/>
    </w:rPr>
  </w:style>
  <w:style w:type="paragraph" w:styleId="TOC2">
    <w:name w:val="toc 2"/>
    <w:autoRedefine/>
    <w:uiPriority w:val="39"/>
    <w:rsid w:val="00301919"/>
    <w:pPr>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uiPriority w:val="99"/>
    <w:rsid w:val="008B35C5"/>
    <w:rPr>
      <w:rFonts w:ascii="Calibri" w:hAnsi="Calibri"/>
      <w:sz w:val="20"/>
      <w:szCs w:val="18"/>
    </w:rPr>
  </w:style>
  <w:style w:type="paragraph" w:styleId="TOC5">
    <w:name w:val="toc 5"/>
    <w:basedOn w:val="Normal"/>
    <w:next w:val="Normal"/>
    <w:autoRedefine/>
    <w:semiHidden/>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6"/>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4"/>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qFormat/>
    <w:rsid w:val="00B214A7"/>
    <w:pPr>
      <w:spacing w:before="6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2A64FA"/>
    <w:pPr>
      <w:numPr>
        <w:ilvl w:val="6"/>
        <w:numId w:val="6"/>
      </w:numPr>
    </w:pPr>
    <w:rPr>
      <w:b/>
      <w:smallCaps/>
      <w:spacing w:val="20"/>
      <w:sz w:val="44"/>
    </w:rPr>
  </w:style>
  <w:style w:type="character" w:styleId="FollowedHyperlink">
    <w:name w:val="FollowedHyperlink"/>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EB4D32"/>
    <w:pPr>
      <w:numPr>
        <w:ilvl w:val="0"/>
        <w:numId w:val="0"/>
      </w:numPr>
    </w:pPr>
    <w:rPr>
      <w:spacing w:val="4"/>
      <w:sz w:val="30"/>
      <w:szCs w:val="30"/>
    </w:rPr>
  </w:style>
  <w:style w:type="paragraph" w:customStyle="1" w:styleId="Headinglevel2">
    <w:name w:val="Heading level 2"/>
    <w:next w:val="BodyText1"/>
    <w:link w:val="Headinglevel2Char"/>
    <w:qFormat/>
    <w:rsid w:val="00EA3423"/>
    <w:pPr>
      <w:keepNext/>
      <w:widowControl w:val="0"/>
      <w:numPr>
        <w:ilvl w:val="1"/>
        <w:numId w:val="6"/>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FA18A1"/>
    <w:pPr>
      <w:numPr>
        <w:ilvl w:val="5"/>
        <w:numId w:val="6"/>
      </w:numPr>
      <w:spacing w:before="240" w:after="100" w:line="288" w:lineRule="auto"/>
    </w:pPr>
  </w:style>
  <w:style w:type="paragraph" w:styleId="TOC6">
    <w:name w:val="toc 6"/>
    <w:basedOn w:val="Normal"/>
    <w:next w:val="Normal"/>
    <w:autoRedefine/>
    <w:semiHidden/>
    <w:rsid w:val="00D8576F"/>
    <w:pPr>
      <w:ind w:left="1200"/>
    </w:pPr>
    <w:rPr>
      <w:rFonts w:ascii="Arial Narrow" w:hAnsi="Arial Narrow"/>
    </w:rPr>
  </w:style>
  <w:style w:type="paragraph" w:customStyle="1" w:styleId="Headinglevel4">
    <w:name w:val="Heading level 4"/>
    <w:basedOn w:val="Headinglevel3"/>
    <w:next w:val="BodyText1"/>
    <w:rsid w:val="00EA3423"/>
    <w:pPr>
      <w:numPr>
        <w:ilvl w:val="3"/>
      </w:numPr>
      <w:spacing w:before="280" w:after="80"/>
    </w:pPr>
    <w:rPr>
      <w:sz w:val="26"/>
      <w:szCs w:val="24"/>
    </w:rPr>
  </w:style>
  <w:style w:type="paragraph" w:styleId="TOC7">
    <w:name w:val="toc 7"/>
    <w:basedOn w:val="Normal"/>
    <w:next w:val="Normal"/>
    <w:autoRedefine/>
    <w:semiHidden/>
    <w:rsid w:val="00D8576F"/>
    <w:pPr>
      <w:ind w:left="1440"/>
    </w:pPr>
    <w:rPr>
      <w:rFonts w:ascii="Arial Narrow" w:hAnsi="Arial Narrow"/>
    </w:rPr>
  </w:style>
  <w:style w:type="paragraph" w:styleId="TOC8">
    <w:name w:val="toc 8"/>
    <w:basedOn w:val="Normal"/>
    <w:next w:val="Normal"/>
    <w:autoRedefine/>
    <w:semiHidden/>
    <w:rsid w:val="00D8576F"/>
    <w:pPr>
      <w:ind w:left="1680"/>
    </w:pPr>
    <w:rPr>
      <w:rFonts w:ascii="Arial Narrow" w:hAnsi="Arial Narrow"/>
    </w:rPr>
  </w:style>
  <w:style w:type="paragraph" w:styleId="TOC9">
    <w:name w:val="toc 9"/>
    <w:basedOn w:val="Normal"/>
    <w:next w:val="Normal"/>
    <w:autoRedefine/>
    <w:semiHidden/>
    <w:rsid w:val="00D8576F"/>
    <w:pPr>
      <w:ind w:left="1920"/>
    </w:pPr>
    <w:rPr>
      <w:rFonts w:ascii="Arial Narrow" w:hAnsi="Arial Narrow"/>
    </w:rPr>
  </w:style>
  <w:style w:type="paragraph" w:customStyle="1" w:styleId="Headinglevel5">
    <w:name w:val="Heading level 5"/>
    <w:basedOn w:val="Headinglevel4"/>
    <w:next w:val="BodyText1"/>
    <w:qFormat/>
    <w:rsid w:val="00EA3423"/>
    <w:pPr>
      <w:numPr>
        <w:ilvl w:val="4"/>
      </w:numPr>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pPr>
      <w:numPr>
        <w:numId w:val="6"/>
      </w:numPr>
    </w:pPr>
  </w:style>
  <w:style w:type="paragraph" w:customStyle="1" w:styleId="RecommendationText">
    <w:name w:val="Recommendation Text"/>
    <w:basedOn w:val="BodyText1"/>
    <w:next w:val="BodyText1"/>
    <w:link w:val="RecommendationTextChar"/>
    <w:qFormat/>
    <w:rsid w:val="00EC3D05"/>
    <w:pPr>
      <w:spacing w:before="120" w:after="240"/>
    </w:pPr>
    <w:rPr>
      <w:b/>
    </w:rPr>
  </w:style>
  <w:style w:type="paragraph" w:customStyle="1" w:styleId="Contactinformation">
    <w:name w:val="Contact information"/>
    <w:basedOn w:val="Prelimminorheading"/>
    <w:link w:val="ContactinformationChar"/>
    <w:qFormat/>
    <w:rsid w:val="00EB4D32"/>
    <w:pPr>
      <w:numPr>
        <w:ilvl w:val="0"/>
        <w:numId w:val="0"/>
      </w:numPr>
    </w:pPr>
  </w:style>
  <w:style w:type="character" w:customStyle="1" w:styleId="BodytextChar">
    <w:name w:val="Body text Char"/>
    <w:link w:val="BodyText1"/>
    <w:rsid w:val="00FA18A1"/>
    <w:rPr>
      <w:rFonts w:ascii="Calibri" w:hAnsi="Calibri"/>
      <w:sz w:val="22"/>
      <w:szCs w:val="24"/>
      <w:lang w:eastAsia="en-US"/>
    </w:rPr>
  </w:style>
  <w:style w:type="character" w:customStyle="1" w:styleId="RecommendationTextChar">
    <w:name w:val="Recommendation Text Char"/>
    <w:link w:val="RecommendationText"/>
    <w:rsid w:val="00EC3D05"/>
    <w:rPr>
      <w:rFonts w:ascii="Calibri" w:hAnsi="Calibri"/>
      <w:b/>
      <w:sz w:val="22"/>
      <w:szCs w:val="24"/>
      <w:lang w:eastAsia="en-US"/>
    </w:rPr>
  </w:style>
  <w:style w:type="character" w:customStyle="1" w:styleId="Headinglevel2Char">
    <w:name w:val="Heading level 2 Char"/>
    <w:link w:val="Headinglevel2"/>
    <w:rsid w:val="00EA3423"/>
    <w:rPr>
      <w:rFonts w:ascii="Arial Narrow" w:hAnsi="Arial Narrow" w:cs="Arial"/>
      <w:iCs/>
      <w:smallCaps/>
      <w:spacing w:val="20"/>
      <w:sz w:val="36"/>
      <w:szCs w:val="34"/>
      <w:lang w:eastAsia="en-US"/>
    </w:rPr>
  </w:style>
  <w:style w:type="character" w:customStyle="1" w:styleId="Headinglevel3Char">
    <w:name w:val="Heading level 3 Char"/>
    <w:link w:val="Headinglevel3"/>
    <w:rsid w:val="00B85C8B"/>
    <w:rPr>
      <w:rFonts w:ascii="Arial Narrow" w:hAnsi="Arial Narrow" w:cs="Arial"/>
      <w:smallCaps/>
      <w:spacing w:val="20"/>
      <w:sz w:val="30"/>
      <w:szCs w:val="28"/>
      <w:lang w:eastAsia="en-US"/>
    </w:rPr>
  </w:style>
  <w:style w:type="character" w:customStyle="1" w:styleId="Heading1Char">
    <w:name w:val="Heading 1 Char"/>
    <w:aliases w:val="numbered Char,h1 Char"/>
    <w:link w:val="Heading1"/>
    <w:rsid w:val="00FA18A1"/>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link w:val="Heading2"/>
    <w:rsid w:val="00EB4D32"/>
    <w:rPr>
      <w:rFonts w:ascii="Arial Narrow" w:hAnsi="Arial Narrow" w:cs="Arial"/>
      <w:iCs/>
      <w:caps/>
      <w:smallCaps/>
      <w:sz w:val="34"/>
      <w:szCs w:val="34"/>
      <w:lang w:eastAsia="en-US"/>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link w:val="Heading3"/>
    <w:rsid w:val="00EB4D32"/>
    <w:rPr>
      <w:rFonts w:ascii="Arial Narrow" w:hAnsi="Arial Narrow" w:cs="Arial"/>
      <w:bCs/>
      <w:iCs/>
      <w:caps/>
      <w:smallCaps/>
      <w:sz w:val="28"/>
      <w:szCs w:val="28"/>
      <w:lang w:eastAsia="en-US"/>
    </w:rPr>
  </w:style>
  <w:style w:type="character" w:customStyle="1" w:styleId="PrelimminorheadingChar">
    <w:name w:val="Prelim minor heading Char"/>
    <w:link w:val="Prelimminorheading"/>
    <w:rsid w:val="00EB4D32"/>
    <w:rPr>
      <w:rFonts w:ascii="Arial Narrow" w:hAnsi="Arial Narrow" w:cs="Arial"/>
      <w:bCs/>
      <w:iCs/>
      <w:smallCaps/>
      <w:spacing w:val="2"/>
      <w:sz w:val="28"/>
      <w:szCs w:val="28"/>
      <w:lang w:eastAsia="en-US"/>
    </w:rPr>
  </w:style>
  <w:style w:type="character" w:customStyle="1" w:styleId="SecretariatChar">
    <w:name w:val="Secretariat Char"/>
    <w:basedOn w:val="PrelimminorheadingChar"/>
    <w:link w:val="Secretariat"/>
    <w:rsid w:val="00EB4D32"/>
    <w:rPr>
      <w:rFonts w:ascii="Arial Narrow" w:hAnsi="Arial Narrow" w:cs="Arial"/>
      <w:bCs w:val="0"/>
      <w:iCs/>
      <w:caps/>
      <w:smallCaps/>
      <w:spacing w:val="2"/>
      <w:kern w:val="32"/>
      <w:sz w:val="28"/>
      <w:szCs w:val="28"/>
      <w:lang w:val="en-AU" w:eastAsia="en-US" w:bidi="ar-SA"/>
    </w:rPr>
  </w:style>
  <w:style w:type="paragraph" w:customStyle="1" w:styleId="RecommendationBullet">
    <w:name w:val="Recommendation Bullet"/>
    <w:basedOn w:val="ListBullet"/>
    <w:link w:val="RecommendationBulletChar"/>
    <w:qFormat/>
    <w:rsid w:val="00BB6351"/>
    <w:rPr>
      <w:b/>
    </w:rPr>
  </w:style>
  <w:style w:type="character" w:customStyle="1" w:styleId="ContactinformationChar">
    <w:name w:val="Contact information Char"/>
    <w:basedOn w:val="PrelimminorheadingChar"/>
    <w:link w:val="Contactinformation"/>
    <w:rsid w:val="00EB4D32"/>
    <w:rPr>
      <w:rFonts w:ascii="Arial Narrow" w:hAnsi="Arial Narrow" w:cs="Arial"/>
      <w:bCs w:val="0"/>
      <w:iCs/>
      <w:caps/>
      <w:smallCaps/>
      <w:spacing w:val="2"/>
      <w:kern w:val="32"/>
      <w:sz w:val="28"/>
      <w:szCs w:val="28"/>
      <w:lang w:val="en-AU" w:eastAsia="en-US" w:bidi="ar-SA"/>
    </w:rPr>
  </w:style>
  <w:style w:type="character" w:customStyle="1" w:styleId="ListBulletChar">
    <w:name w:val="List Bullet Char"/>
    <w:link w:val="ListBullet"/>
    <w:rsid w:val="00416360"/>
    <w:rPr>
      <w:rFonts w:ascii="Calibri" w:hAnsi="Calibri"/>
      <w:sz w:val="22"/>
      <w:szCs w:val="22"/>
      <w:lang w:eastAsia="en-US"/>
    </w:rPr>
  </w:style>
  <w:style w:type="character" w:customStyle="1" w:styleId="RecommendationBulletChar">
    <w:name w:val="Recommendation Bullet Char"/>
    <w:basedOn w:val="ListBulletChar"/>
    <w:link w:val="RecommendationBullet"/>
    <w:rsid w:val="00462F49"/>
    <w:rPr>
      <w:rFonts w:ascii="Calibri" w:hAnsi="Calibri"/>
      <w:b/>
      <w:sz w:val="22"/>
      <w:szCs w:val="22"/>
      <w:lang w:eastAsia="en-US"/>
    </w:rPr>
  </w:style>
  <w:style w:type="character" w:customStyle="1" w:styleId="Agendasub-itemChar">
    <w:name w:val="Agenda sub-item Char"/>
    <w:basedOn w:val="DefaultParagraphFont"/>
    <w:link w:val="Agendasub-item"/>
    <w:locked/>
    <w:rsid w:val="00D95D33"/>
    <w:rPr>
      <w:rFonts w:ascii="Calibri" w:hAnsi="Calibri" w:cs="Calibri"/>
      <w:color w:val="000000"/>
      <w:sz w:val="22"/>
    </w:rPr>
  </w:style>
  <w:style w:type="paragraph" w:customStyle="1" w:styleId="Agendasub-item">
    <w:name w:val="Agenda sub-item"/>
    <w:basedOn w:val="Normal"/>
    <w:link w:val="Agendasub-itemChar"/>
    <w:qFormat/>
    <w:rsid w:val="00D95D33"/>
    <w:pPr>
      <w:spacing w:after="120" w:line="300" w:lineRule="exact"/>
      <w:ind w:left="340"/>
    </w:pPr>
    <w:rPr>
      <w:rFonts w:cs="Calibri"/>
      <w:color w:val="000000"/>
      <w:szCs w:val="20"/>
      <w:lang w:eastAsia="en-AU"/>
    </w:rPr>
  </w:style>
  <w:style w:type="paragraph" w:styleId="ListParagraph">
    <w:name w:val="List Paragraph"/>
    <w:basedOn w:val="Normal"/>
    <w:uiPriority w:val="34"/>
    <w:qFormat/>
    <w:rsid w:val="00771B2F"/>
    <w:pPr>
      <w:ind w:left="720"/>
      <w:contextualSpacing/>
    </w:p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link w:val="FootnoteText"/>
    <w:uiPriority w:val="99"/>
    <w:rsid w:val="002C3F9A"/>
    <w:rPr>
      <w:rFonts w:ascii="Calibri" w:hAnsi="Calibri"/>
      <w:sz w:val="18"/>
      <w:lang w:eastAsia="en-US"/>
    </w:rPr>
  </w:style>
  <w:style w:type="character" w:styleId="Emphasis">
    <w:name w:val="Emphasis"/>
    <w:basedOn w:val="DefaultParagraphFont"/>
    <w:uiPriority w:val="20"/>
    <w:qFormat/>
    <w:rsid w:val="00087E0C"/>
    <w:rPr>
      <w:i/>
      <w:iCs/>
    </w:rPr>
  </w:style>
  <w:style w:type="paragraph" w:customStyle="1" w:styleId="BodyText2">
    <w:name w:val="Body Text2"/>
    <w:basedOn w:val="Normal"/>
    <w:rsid w:val="000F1428"/>
    <w:pPr>
      <w:spacing w:before="240" w:after="100" w:line="288" w:lineRule="auto"/>
      <w:ind w:left="567" w:hanging="567"/>
    </w:pPr>
  </w:style>
  <w:style w:type="paragraph" w:customStyle="1" w:styleId="TOCHeading2">
    <w:name w:val="TOC Heading2"/>
    <w:basedOn w:val="Prelimmajorheading"/>
    <w:rsid w:val="00A121B1"/>
    <w:rPr>
      <w:b w:val="0"/>
    </w:rPr>
  </w:style>
  <w:style w:type="paragraph" w:styleId="BalloonText">
    <w:name w:val="Balloon Text"/>
    <w:basedOn w:val="Normal"/>
    <w:link w:val="BalloonTextChar"/>
    <w:rsid w:val="00E564CE"/>
    <w:rPr>
      <w:rFonts w:ascii="Tahoma" w:hAnsi="Tahoma" w:cs="Tahoma"/>
      <w:sz w:val="16"/>
      <w:szCs w:val="16"/>
    </w:rPr>
  </w:style>
  <w:style w:type="character" w:customStyle="1" w:styleId="BalloonTextChar">
    <w:name w:val="Balloon Text Char"/>
    <w:basedOn w:val="DefaultParagraphFont"/>
    <w:link w:val="BalloonText"/>
    <w:rsid w:val="00E564CE"/>
    <w:rPr>
      <w:rFonts w:ascii="Tahoma" w:hAnsi="Tahoma" w:cs="Tahoma"/>
      <w:sz w:val="16"/>
      <w:szCs w:val="16"/>
      <w:lang w:eastAsia="en-US"/>
    </w:rPr>
  </w:style>
  <w:style w:type="character" w:styleId="CommentReference">
    <w:name w:val="annotation reference"/>
    <w:basedOn w:val="DefaultParagraphFont"/>
    <w:rsid w:val="00A306E8"/>
    <w:rPr>
      <w:sz w:val="16"/>
      <w:szCs w:val="16"/>
    </w:rPr>
  </w:style>
  <w:style w:type="paragraph" w:styleId="CommentText">
    <w:name w:val="annotation text"/>
    <w:basedOn w:val="Normal"/>
    <w:link w:val="CommentTextChar"/>
    <w:rsid w:val="00A306E8"/>
    <w:rPr>
      <w:sz w:val="20"/>
      <w:szCs w:val="20"/>
    </w:rPr>
  </w:style>
  <w:style w:type="character" w:customStyle="1" w:styleId="CommentTextChar">
    <w:name w:val="Comment Text Char"/>
    <w:basedOn w:val="DefaultParagraphFont"/>
    <w:link w:val="CommentText"/>
    <w:rsid w:val="00A306E8"/>
    <w:rPr>
      <w:rFonts w:ascii="Calibri" w:hAnsi="Calibri"/>
      <w:lang w:eastAsia="en-US"/>
    </w:rPr>
  </w:style>
  <w:style w:type="paragraph" w:styleId="CommentSubject">
    <w:name w:val="annotation subject"/>
    <w:basedOn w:val="CommentText"/>
    <w:next w:val="CommentText"/>
    <w:link w:val="CommentSubjectChar"/>
    <w:rsid w:val="00A306E8"/>
    <w:rPr>
      <w:b/>
      <w:bCs/>
    </w:rPr>
  </w:style>
  <w:style w:type="character" w:customStyle="1" w:styleId="CommentSubjectChar">
    <w:name w:val="Comment Subject Char"/>
    <w:basedOn w:val="CommentTextChar"/>
    <w:link w:val="CommentSubject"/>
    <w:rsid w:val="00A306E8"/>
    <w:rPr>
      <w:rFonts w:ascii="Calibri" w:hAnsi="Calibri"/>
      <w:b/>
      <w:bCs/>
      <w:lang w:eastAsia="en-US"/>
    </w:rPr>
  </w:style>
  <w:style w:type="paragraph" w:styleId="NormalWeb">
    <w:name w:val="Normal (Web)"/>
    <w:basedOn w:val="Normal"/>
    <w:uiPriority w:val="99"/>
    <w:unhideWhenUsed/>
    <w:rsid w:val="00D52D6B"/>
    <w:rPr>
      <w:rFonts w:ascii="Times New Roman" w:hAnsi="Times New Roman"/>
      <w:sz w:val="24"/>
      <w:lang w:eastAsia="en-AU"/>
    </w:rPr>
  </w:style>
  <w:style w:type="numbering" w:customStyle="1" w:styleId="test11">
    <w:name w:val="test11"/>
    <w:uiPriority w:val="99"/>
    <w:rsid w:val="002B21C2"/>
  </w:style>
  <w:style w:type="table" w:styleId="TableGrid">
    <w:name w:val="Table Grid"/>
    <w:basedOn w:val="TableNormal"/>
    <w:rsid w:val="006D6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rsid w:val="00D30520"/>
    <w:rPr>
      <w:rFonts w:ascii="Calibri" w:hAnsi="Calibri" w:cs="Arial"/>
      <w:iCs/>
      <w:sz w:val="22"/>
      <w:szCs w:val="24"/>
      <w:lang w:eastAsia="en-US"/>
    </w:rPr>
  </w:style>
  <w:style w:type="numbering" w:customStyle="1" w:styleId="test12">
    <w:name w:val="test12"/>
    <w:uiPriority w:val="99"/>
    <w:rsid w:val="00F6696D"/>
  </w:style>
  <w:style w:type="character" w:customStyle="1" w:styleId="UnresolvedMention1">
    <w:name w:val="Unresolved Mention1"/>
    <w:basedOn w:val="DefaultParagraphFont"/>
    <w:uiPriority w:val="99"/>
    <w:semiHidden/>
    <w:unhideWhenUsed/>
    <w:rsid w:val="009A3A91"/>
    <w:rPr>
      <w:color w:val="605E5C"/>
      <w:shd w:val="clear" w:color="auto" w:fill="E1DFDD"/>
    </w:rPr>
  </w:style>
  <w:style w:type="table" w:customStyle="1" w:styleId="TableGrid1">
    <w:name w:val="Table Grid1"/>
    <w:basedOn w:val="TableNormal"/>
    <w:next w:val="TableGrid"/>
    <w:uiPriority w:val="59"/>
    <w:rsid w:val="009214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82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90390">
      <w:bodyDiv w:val="1"/>
      <w:marLeft w:val="0"/>
      <w:marRight w:val="0"/>
      <w:marTop w:val="0"/>
      <w:marBottom w:val="0"/>
      <w:divBdr>
        <w:top w:val="none" w:sz="0" w:space="0" w:color="auto"/>
        <w:left w:val="none" w:sz="0" w:space="0" w:color="auto"/>
        <w:bottom w:val="none" w:sz="0" w:space="0" w:color="auto"/>
        <w:right w:val="none" w:sz="0" w:space="0" w:color="auto"/>
      </w:divBdr>
    </w:div>
    <w:div w:id="253586578">
      <w:bodyDiv w:val="1"/>
      <w:marLeft w:val="0"/>
      <w:marRight w:val="0"/>
      <w:marTop w:val="0"/>
      <w:marBottom w:val="0"/>
      <w:divBdr>
        <w:top w:val="none" w:sz="0" w:space="0" w:color="auto"/>
        <w:left w:val="none" w:sz="0" w:space="0" w:color="auto"/>
        <w:bottom w:val="none" w:sz="0" w:space="0" w:color="auto"/>
        <w:right w:val="none" w:sz="0" w:space="0" w:color="auto"/>
      </w:divBdr>
    </w:div>
    <w:div w:id="272321484">
      <w:bodyDiv w:val="1"/>
      <w:marLeft w:val="0"/>
      <w:marRight w:val="0"/>
      <w:marTop w:val="0"/>
      <w:marBottom w:val="0"/>
      <w:divBdr>
        <w:top w:val="none" w:sz="0" w:space="0" w:color="auto"/>
        <w:left w:val="none" w:sz="0" w:space="0" w:color="auto"/>
        <w:bottom w:val="none" w:sz="0" w:space="0" w:color="auto"/>
        <w:right w:val="none" w:sz="0" w:space="0" w:color="auto"/>
      </w:divBdr>
    </w:div>
    <w:div w:id="619724576">
      <w:bodyDiv w:val="1"/>
      <w:marLeft w:val="0"/>
      <w:marRight w:val="0"/>
      <w:marTop w:val="0"/>
      <w:marBottom w:val="0"/>
      <w:divBdr>
        <w:top w:val="none" w:sz="0" w:space="0" w:color="auto"/>
        <w:left w:val="none" w:sz="0" w:space="0" w:color="auto"/>
        <w:bottom w:val="none" w:sz="0" w:space="0" w:color="auto"/>
        <w:right w:val="none" w:sz="0" w:space="0" w:color="auto"/>
      </w:divBdr>
    </w:div>
    <w:div w:id="632902720">
      <w:bodyDiv w:val="1"/>
      <w:marLeft w:val="0"/>
      <w:marRight w:val="0"/>
      <w:marTop w:val="0"/>
      <w:marBottom w:val="0"/>
      <w:divBdr>
        <w:top w:val="none" w:sz="0" w:space="0" w:color="auto"/>
        <w:left w:val="none" w:sz="0" w:space="0" w:color="auto"/>
        <w:bottom w:val="none" w:sz="0" w:space="0" w:color="auto"/>
        <w:right w:val="none" w:sz="0" w:space="0" w:color="auto"/>
      </w:divBdr>
      <w:divsChild>
        <w:div w:id="1716269740">
          <w:marLeft w:val="0"/>
          <w:marRight w:val="0"/>
          <w:marTop w:val="0"/>
          <w:marBottom w:val="0"/>
          <w:divBdr>
            <w:top w:val="none" w:sz="0" w:space="0" w:color="auto"/>
            <w:left w:val="none" w:sz="0" w:space="0" w:color="auto"/>
            <w:bottom w:val="none" w:sz="0" w:space="0" w:color="auto"/>
            <w:right w:val="none" w:sz="0" w:space="0" w:color="auto"/>
          </w:divBdr>
        </w:div>
        <w:div w:id="391779857">
          <w:marLeft w:val="0"/>
          <w:marRight w:val="0"/>
          <w:marTop w:val="0"/>
          <w:marBottom w:val="0"/>
          <w:divBdr>
            <w:top w:val="none" w:sz="0" w:space="0" w:color="auto"/>
            <w:left w:val="none" w:sz="0" w:space="0" w:color="auto"/>
            <w:bottom w:val="none" w:sz="0" w:space="0" w:color="auto"/>
            <w:right w:val="none" w:sz="0" w:space="0" w:color="auto"/>
          </w:divBdr>
        </w:div>
      </w:divsChild>
    </w:div>
    <w:div w:id="1141461234">
      <w:bodyDiv w:val="1"/>
      <w:marLeft w:val="0"/>
      <w:marRight w:val="0"/>
      <w:marTop w:val="0"/>
      <w:marBottom w:val="0"/>
      <w:divBdr>
        <w:top w:val="none" w:sz="0" w:space="0" w:color="auto"/>
        <w:left w:val="none" w:sz="0" w:space="0" w:color="auto"/>
        <w:bottom w:val="none" w:sz="0" w:space="0" w:color="auto"/>
        <w:right w:val="none" w:sz="0" w:space="0" w:color="auto"/>
      </w:divBdr>
      <w:divsChild>
        <w:div w:id="1329214476">
          <w:marLeft w:val="0"/>
          <w:marRight w:val="0"/>
          <w:marTop w:val="0"/>
          <w:marBottom w:val="0"/>
          <w:divBdr>
            <w:top w:val="none" w:sz="0" w:space="0" w:color="auto"/>
            <w:left w:val="none" w:sz="0" w:space="0" w:color="auto"/>
            <w:bottom w:val="none" w:sz="0" w:space="0" w:color="auto"/>
            <w:right w:val="none" w:sz="0" w:space="0" w:color="auto"/>
          </w:divBdr>
          <w:divsChild>
            <w:div w:id="2097626081">
              <w:marLeft w:val="0"/>
              <w:marRight w:val="0"/>
              <w:marTop w:val="0"/>
              <w:marBottom w:val="0"/>
              <w:divBdr>
                <w:top w:val="none" w:sz="0" w:space="0" w:color="auto"/>
                <w:left w:val="none" w:sz="0" w:space="0" w:color="auto"/>
                <w:bottom w:val="none" w:sz="0" w:space="0" w:color="auto"/>
                <w:right w:val="none" w:sz="0" w:space="0" w:color="auto"/>
              </w:divBdr>
              <w:divsChild>
                <w:div w:id="785849716">
                  <w:marLeft w:val="0"/>
                  <w:marRight w:val="0"/>
                  <w:marTop w:val="0"/>
                  <w:marBottom w:val="0"/>
                  <w:divBdr>
                    <w:top w:val="none" w:sz="0" w:space="0" w:color="auto"/>
                    <w:left w:val="none" w:sz="0" w:space="0" w:color="auto"/>
                    <w:bottom w:val="none" w:sz="0" w:space="0" w:color="auto"/>
                    <w:right w:val="none" w:sz="0" w:space="0" w:color="auto"/>
                  </w:divBdr>
                  <w:divsChild>
                    <w:div w:id="2079667675">
                      <w:marLeft w:val="2487"/>
                      <w:marRight w:val="0"/>
                      <w:marTop w:val="0"/>
                      <w:marBottom w:val="262"/>
                      <w:divBdr>
                        <w:top w:val="none" w:sz="0" w:space="0" w:color="auto"/>
                        <w:left w:val="none" w:sz="0" w:space="0" w:color="auto"/>
                        <w:bottom w:val="none" w:sz="0" w:space="0" w:color="auto"/>
                        <w:right w:val="none" w:sz="0" w:space="0" w:color="auto"/>
                      </w:divBdr>
                      <w:divsChild>
                        <w:div w:id="1766269020">
                          <w:marLeft w:val="262"/>
                          <w:marRight w:val="0"/>
                          <w:marTop w:val="0"/>
                          <w:marBottom w:val="0"/>
                          <w:divBdr>
                            <w:top w:val="none" w:sz="0" w:space="0" w:color="auto"/>
                            <w:left w:val="none" w:sz="0" w:space="0" w:color="auto"/>
                            <w:bottom w:val="none" w:sz="0" w:space="0" w:color="auto"/>
                            <w:right w:val="none" w:sz="0" w:space="0" w:color="auto"/>
                          </w:divBdr>
                          <w:divsChild>
                            <w:div w:id="265383376">
                              <w:marLeft w:val="0"/>
                              <w:marRight w:val="0"/>
                              <w:marTop w:val="0"/>
                              <w:marBottom w:val="0"/>
                              <w:divBdr>
                                <w:top w:val="none" w:sz="0" w:space="0" w:color="auto"/>
                                <w:left w:val="none" w:sz="0" w:space="0" w:color="auto"/>
                                <w:bottom w:val="none" w:sz="0" w:space="0" w:color="auto"/>
                                <w:right w:val="none" w:sz="0" w:space="0" w:color="auto"/>
                              </w:divBdr>
                              <w:divsChild>
                                <w:div w:id="636111888">
                                  <w:marLeft w:val="0"/>
                                  <w:marRight w:val="0"/>
                                  <w:marTop w:val="0"/>
                                  <w:marBottom w:val="0"/>
                                  <w:divBdr>
                                    <w:top w:val="none" w:sz="0" w:space="0" w:color="auto"/>
                                    <w:left w:val="none" w:sz="0" w:space="0" w:color="auto"/>
                                    <w:bottom w:val="none" w:sz="0" w:space="0" w:color="auto"/>
                                    <w:right w:val="none" w:sz="0" w:space="0" w:color="auto"/>
                                  </w:divBdr>
                                  <w:divsChild>
                                    <w:div w:id="650060600">
                                      <w:marLeft w:val="0"/>
                                      <w:marRight w:val="0"/>
                                      <w:marTop w:val="0"/>
                                      <w:marBottom w:val="0"/>
                                      <w:divBdr>
                                        <w:top w:val="none" w:sz="0" w:space="0" w:color="auto"/>
                                        <w:left w:val="none" w:sz="0" w:space="0" w:color="auto"/>
                                        <w:bottom w:val="none" w:sz="0" w:space="0" w:color="auto"/>
                                        <w:right w:val="none" w:sz="0" w:space="0" w:color="auto"/>
                                      </w:divBdr>
                                      <w:divsChild>
                                        <w:div w:id="1777139973">
                                          <w:marLeft w:val="0"/>
                                          <w:marRight w:val="0"/>
                                          <w:marTop w:val="65"/>
                                          <w:marBottom w:val="0"/>
                                          <w:divBdr>
                                            <w:top w:val="none" w:sz="0" w:space="0" w:color="auto"/>
                                            <w:left w:val="none" w:sz="0" w:space="0" w:color="auto"/>
                                            <w:bottom w:val="none" w:sz="0" w:space="0" w:color="auto"/>
                                            <w:right w:val="none" w:sz="0" w:space="0" w:color="auto"/>
                                          </w:divBdr>
                                          <w:divsChild>
                                            <w:div w:id="5137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6626241">
      <w:bodyDiv w:val="1"/>
      <w:marLeft w:val="0"/>
      <w:marRight w:val="0"/>
      <w:marTop w:val="0"/>
      <w:marBottom w:val="0"/>
      <w:divBdr>
        <w:top w:val="none" w:sz="0" w:space="0" w:color="auto"/>
        <w:left w:val="none" w:sz="0" w:space="0" w:color="auto"/>
        <w:bottom w:val="none" w:sz="0" w:space="0" w:color="auto"/>
        <w:right w:val="none" w:sz="0" w:space="0" w:color="auto"/>
      </w:divBdr>
    </w:div>
    <w:div w:id="1526404903">
      <w:bodyDiv w:val="1"/>
      <w:marLeft w:val="0"/>
      <w:marRight w:val="0"/>
      <w:marTop w:val="0"/>
      <w:marBottom w:val="0"/>
      <w:divBdr>
        <w:top w:val="none" w:sz="0" w:space="0" w:color="auto"/>
        <w:left w:val="none" w:sz="0" w:space="0" w:color="auto"/>
        <w:bottom w:val="none" w:sz="0" w:space="0" w:color="auto"/>
        <w:right w:val="none" w:sz="0" w:space="0" w:color="auto"/>
      </w:divBdr>
    </w:div>
    <w:div w:id="1899900012">
      <w:bodyDiv w:val="1"/>
      <w:marLeft w:val="0"/>
      <w:marRight w:val="0"/>
      <w:marTop w:val="0"/>
      <w:marBottom w:val="0"/>
      <w:divBdr>
        <w:top w:val="none" w:sz="0" w:space="0" w:color="auto"/>
        <w:left w:val="none" w:sz="0" w:space="0" w:color="auto"/>
        <w:bottom w:val="none" w:sz="0" w:space="0" w:color="auto"/>
        <w:right w:val="none" w:sz="0" w:space="0" w:color="auto"/>
      </w:divBdr>
    </w:div>
    <w:div w:id="211894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rliament.act.gov.au" TargetMode="Externa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footer" Target="footer12.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mmittees@parliament.act.gov.au" TargetMode="Externa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13.xml"/><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8.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5.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4A8CDB-EF79-4303-A864-58DD611FDB4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584A797-AF20-4BA8-8849-D676DC57F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10544</Words>
  <Characters>60104</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Report on Annual and Financial Reports 2015-2016</vt:lpstr>
    </vt:vector>
  </TitlesOfParts>
  <Company>OCTAVO</Company>
  <LinksUpToDate>false</LinksUpToDate>
  <CharactersWithSpaces>70507</CharactersWithSpaces>
  <SharedDoc>false</SharedDoc>
  <HLinks>
    <vt:vector size="234" baseType="variant">
      <vt:variant>
        <vt:i4>1048637</vt:i4>
      </vt:variant>
      <vt:variant>
        <vt:i4>188</vt:i4>
      </vt:variant>
      <vt:variant>
        <vt:i4>0</vt:i4>
      </vt:variant>
      <vt:variant>
        <vt:i4>5</vt:i4>
      </vt:variant>
      <vt:variant>
        <vt:lpwstr/>
      </vt:variant>
      <vt:variant>
        <vt:lpwstr>_Toc348338585</vt:lpwstr>
      </vt:variant>
      <vt:variant>
        <vt:i4>1048637</vt:i4>
      </vt:variant>
      <vt:variant>
        <vt:i4>185</vt:i4>
      </vt:variant>
      <vt:variant>
        <vt:i4>0</vt:i4>
      </vt:variant>
      <vt:variant>
        <vt:i4>5</vt:i4>
      </vt:variant>
      <vt:variant>
        <vt:lpwstr/>
      </vt:variant>
      <vt:variant>
        <vt:lpwstr>_Toc348338584</vt:lpwstr>
      </vt:variant>
      <vt:variant>
        <vt:i4>1048637</vt:i4>
      </vt:variant>
      <vt:variant>
        <vt:i4>182</vt:i4>
      </vt:variant>
      <vt:variant>
        <vt:i4>0</vt:i4>
      </vt:variant>
      <vt:variant>
        <vt:i4>5</vt:i4>
      </vt:variant>
      <vt:variant>
        <vt:lpwstr/>
      </vt:variant>
      <vt:variant>
        <vt:lpwstr>_Toc348338583</vt:lpwstr>
      </vt:variant>
      <vt:variant>
        <vt:i4>1048637</vt:i4>
      </vt:variant>
      <vt:variant>
        <vt:i4>179</vt:i4>
      </vt:variant>
      <vt:variant>
        <vt:i4>0</vt:i4>
      </vt:variant>
      <vt:variant>
        <vt:i4>5</vt:i4>
      </vt:variant>
      <vt:variant>
        <vt:lpwstr/>
      </vt:variant>
      <vt:variant>
        <vt:lpwstr>_Toc348338582</vt:lpwstr>
      </vt:variant>
      <vt:variant>
        <vt:i4>1048637</vt:i4>
      </vt:variant>
      <vt:variant>
        <vt:i4>176</vt:i4>
      </vt:variant>
      <vt:variant>
        <vt:i4>0</vt:i4>
      </vt:variant>
      <vt:variant>
        <vt:i4>5</vt:i4>
      </vt:variant>
      <vt:variant>
        <vt:lpwstr/>
      </vt:variant>
      <vt:variant>
        <vt:lpwstr>_Toc348338581</vt:lpwstr>
      </vt:variant>
      <vt:variant>
        <vt:i4>1048637</vt:i4>
      </vt:variant>
      <vt:variant>
        <vt:i4>173</vt:i4>
      </vt:variant>
      <vt:variant>
        <vt:i4>0</vt:i4>
      </vt:variant>
      <vt:variant>
        <vt:i4>5</vt:i4>
      </vt:variant>
      <vt:variant>
        <vt:lpwstr/>
      </vt:variant>
      <vt:variant>
        <vt:lpwstr>_Toc348338580</vt:lpwstr>
      </vt:variant>
      <vt:variant>
        <vt:i4>2031677</vt:i4>
      </vt:variant>
      <vt:variant>
        <vt:i4>170</vt:i4>
      </vt:variant>
      <vt:variant>
        <vt:i4>0</vt:i4>
      </vt:variant>
      <vt:variant>
        <vt:i4>5</vt:i4>
      </vt:variant>
      <vt:variant>
        <vt:lpwstr/>
      </vt:variant>
      <vt:variant>
        <vt:lpwstr>_Toc348338579</vt:lpwstr>
      </vt:variant>
      <vt:variant>
        <vt:i4>2031677</vt:i4>
      </vt:variant>
      <vt:variant>
        <vt:i4>167</vt:i4>
      </vt:variant>
      <vt:variant>
        <vt:i4>0</vt:i4>
      </vt:variant>
      <vt:variant>
        <vt:i4>5</vt:i4>
      </vt:variant>
      <vt:variant>
        <vt:lpwstr/>
      </vt:variant>
      <vt:variant>
        <vt:lpwstr>_Toc348338578</vt:lpwstr>
      </vt:variant>
      <vt:variant>
        <vt:i4>2031677</vt:i4>
      </vt:variant>
      <vt:variant>
        <vt:i4>164</vt:i4>
      </vt:variant>
      <vt:variant>
        <vt:i4>0</vt:i4>
      </vt:variant>
      <vt:variant>
        <vt:i4>5</vt:i4>
      </vt:variant>
      <vt:variant>
        <vt:lpwstr/>
      </vt:variant>
      <vt:variant>
        <vt:lpwstr>_Toc348338577</vt:lpwstr>
      </vt:variant>
      <vt:variant>
        <vt:i4>2031677</vt:i4>
      </vt:variant>
      <vt:variant>
        <vt:i4>161</vt:i4>
      </vt:variant>
      <vt:variant>
        <vt:i4>0</vt:i4>
      </vt:variant>
      <vt:variant>
        <vt:i4>5</vt:i4>
      </vt:variant>
      <vt:variant>
        <vt:lpwstr/>
      </vt:variant>
      <vt:variant>
        <vt:lpwstr>_Toc348338576</vt:lpwstr>
      </vt:variant>
      <vt:variant>
        <vt:i4>2031677</vt:i4>
      </vt:variant>
      <vt:variant>
        <vt:i4>158</vt:i4>
      </vt:variant>
      <vt:variant>
        <vt:i4>0</vt:i4>
      </vt:variant>
      <vt:variant>
        <vt:i4>5</vt:i4>
      </vt:variant>
      <vt:variant>
        <vt:lpwstr/>
      </vt:variant>
      <vt:variant>
        <vt:lpwstr>_Toc348338575</vt:lpwstr>
      </vt:variant>
      <vt:variant>
        <vt:i4>2031677</vt:i4>
      </vt:variant>
      <vt:variant>
        <vt:i4>155</vt:i4>
      </vt:variant>
      <vt:variant>
        <vt:i4>0</vt:i4>
      </vt:variant>
      <vt:variant>
        <vt:i4>5</vt:i4>
      </vt:variant>
      <vt:variant>
        <vt:lpwstr/>
      </vt:variant>
      <vt:variant>
        <vt:lpwstr>_Toc348338574</vt:lpwstr>
      </vt:variant>
      <vt:variant>
        <vt:i4>2031677</vt:i4>
      </vt:variant>
      <vt:variant>
        <vt:i4>152</vt:i4>
      </vt:variant>
      <vt:variant>
        <vt:i4>0</vt:i4>
      </vt:variant>
      <vt:variant>
        <vt:i4>5</vt:i4>
      </vt:variant>
      <vt:variant>
        <vt:lpwstr/>
      </vt:variant>
      <vt:variant>
        <vt:lpwstr>_Toc348338573</vt:lpwstr>
      </vt:variant>
      <vt:variant>
        <vt:i4>2031677</vt:i4>
      </vt:variant>
      <vt:variant>
        <vt:i4>149</vt:i4>
      </vt:variant>
      <vt:variant>
        <vt:i4>0</vt:i4>
      </vt:variant>
      <vt:variant>
        <vt:i4>5</vt:i4>
      </vt:variant>
      <vt:variant>
        <vt:lpwstr/>
      </vt:variant>
      <vt:variant>
        <vt:lpwstr>_Toc348338572</vt:lpwstr>
      </vt:variant>
      <vt:variant>
        <vt:i4>1376304</vt:i4>
      </vt:variant>
      <vt:variant>
        <vt:i4>140</vt:i4>
      </vt:variant>
      <vt:variant>
        <vt:i4>0</vt:i4>
      </vt:variant>
      <vt:variant>
        <vt:i4>5</vt:i4>
      </vt:variant>
      <vt:variant>
        <vt:lpwstr/>
      </vt:variant>
      <vt:variant>
        <vt:lpwstr>_Toc475444552</vt:lpwstr>
      </vt:variant>
      <vt:variant>
        <vt:i4>1376304</vt:i4>
      </vt:variant>
      <vt:variant>
        <vt:i4>134</vt:i4>
      </vt:variant>
      <vt:variant>
        <vt:i4>0</vt:i4>
      </vt:variant>
      <vt:variant>
        <vt:i4>5</vt:i4>
      </vt:variant>
      <vt:variant>
        <vt:lpwstr/>
      </vt:variant>
      <vt:variant>
        <vt:lpwstr>_Toc475444551</vt:lpwstr>
      </vt:variant>
      <vt:variant>
        <vt:i4>1376304</vt:i4>
      </vt:variant>
      <vt:variant>
        <vt:i4>128</vt:i4>
      </vt:variant>
      <vt:variant>
        <vt:i4>0</vt:i4>
      </vt:variant>
      <vt:variant>
        <vt:i4>5</vt:i4>
      </vt:variant>
      <vt:variant>
        <vt:lpwstr/>
      </vt:variant>
      <vt:variant>
        <vt:lpwstr>_Toc475444550</vt:lpwstr>
      </vt:variant>
      <vt:variant>
        <vt:i4>1310768</vt:i4>
      </vt:variant>
      <vt:variant>
        <vt:i4>122</vt:i4>
      </vt:variant>
      <vt:variant>
        <vt:i4>0</vt:i4>
      </vt:variant>
      <vt:variant>
        <vt:i4>5</vt:i4>
      </vt:variant>
      <vt:variant>
        <vt:lpwstr/>
      </vt:variant>
      <vt:variant>
        <vt:lpwstr>_Toc475444549</vt:lpwstr>
      </vt:variant>
      <vt:variant>
        <vt:i4>1310768</vt:i4>
      </vt:variant>
      <vt:variant>
        <vt:i4>116</vt:i4>
      </vt:variant>
      <vt:variant>
        <vt:i4>0</vt:i4>
      </vt:variant>
      <vt:variant>
        <vt:i4>5</vt:i4>
      </vt:variant>
      <vt:variant>
        <vt:lpwstr/>
      </vt:variant>
      <vt:variant>
        <vt:lpwstr>_Toc475444548</vt:lpwstr>
      </vt:variant>
      <vt:variant>
        <vt:i4>1310768</vt:i4>
      </vt:variant>
      <vt:variant>
        <vt:i4>110</vt:i4>
      </vt:variant>
      <vt:variant>
        <vt:i4>0</vt:i4>
      </vt:variant>
      <vt:variant>
        <vt:i4>5</vt:i4>
      </vt:variant>
      <vt:variant>
        <vt:lpwstr/>
      </vt:variant>
      <vt:variant>
        <vt:lpwstr>_Toc475444547</vt:lpwstr>
      </vt:variant>
      <vt:variant>
        <vt:i4>1310768</vt:i4>
      </vt:variant>
      <vt:variant>
        <vt:i4>104</vt:i4>
      </vt:variant>
      <vt:variant>
        <vt:i4>0</vt:i4>
      </vt:variant>
      <vt:variant>
        <vt:i4>5</vt:i4>
      </vt:variant>
      <vt:variant>
        <vt:lpwstr/>
      </vt:variant>
      <vt:variant>
        <vt:lpwstr>_Toc475444546</vt:lpwstr>
      </vt:variant>
      <vt:variant>
        <vt:i4>1310768</vt:i4>
      </vt:variant>
      <vt:variant>
        <vt:i4>98</vt:i4>
      </vt:variant>
      <vt:variant>
        <vt:i4>0</vt:i4>
      </vt:variant>
      <vt:variant>
        <vt:i4>5</vt:i4>
      </vt:variant>
      <vt:variant>
        <vt:lpwstr/>
      </vt:variant>
      <vt:variant>
        <vt:lpwstr>_Toc475444545</vt:lpwstr>
      </vt:variant>
      <vt:variant>
        <vt:i4>1310768</vt:i4>
      </vt:variant>
      <vt:variant>
        <vt:i4>92</vt:i4>
      </vt:variant>
      <vt:variant>
        <vt:i4>0</vt:i4>
      </vt:variant>
      <vt:variant>
        <vt:i4>5</vt:i4>
      </vt:variant>
      <vt:variant>
        <vt:lpwstr/>
      </vt:variant>
      <vt:variant>
        <vt:lpwstr>_Toc475444544</vt:lpwstr>
      </vt:variant>
      <vt:variant>
        <vt:i4>1310768</vt:i4>
      </vt:variant>
      <vt:variant>
        <vt:i4>86</vt:i4>
      </vt:variant>
      <vt:variant>
        <vt:i4>0</vt:i4>
      </vt:variant>
      <vt:variant>
        <vt:i4>5</vt:i4>
      </vt:variant>
      <vt:variant>
        <vt:lpwstr/>
      </vt:variant>
      <vt:variant>
        <vt:lpwstr>_Toc475444543</vt:lpwstr>
      </vt:variant>
      <vt:variant>
        <vt:i4>1310768</vt:i4>
      </vt:variant>
      <vt:variant>
        <vt:i4>80</vt:i4>
      </vt:variant>
      <vt:variant>
        <vt:i4>0</vt:i4>
      </vt:variant>
      <vt:variant>
        <vt:i4>5</vt:i4>
      </vt:variant>
      <vt:variant>
        <vt:lpwstr/>
      </vt:variant>
      <vt:variant>
        <vt:lpwstr>_Toc475444542</vt:lpwstr>
      </vt:variant>
      <vt:variant>
        <vt:i4>1310768</vt:i4>
      </vt:variant>
      <vt:variant>
        <vt:i4>74</vt:i4>
      </vt:variant>
      <vt:variant>
        <vt:i4>0</vt:i4>
      </vt:variant>
      <vt:variant>
        <vt:i4>5</vt:i4>
      </vt:variant>
      <vt:variant>
        <vt:lpwstr/>
      </vt:variant>
      <vt:variant>
        <vt:lpwstr>_Toc475444541</vt:lpwstr>
      </vt:variant>
      <vt:variant>
        <vt:i4>1310768</vt:i4>
      </vt:variant>
      <vt:variant>
        <vt:i4>68</vt:i4>
      </vt:variant>
      <vt:variant>
        <vt:i4>0</vt:i4>
      </vt:variant>
      <vt:variant>
        <vt:i4>5</vt:i4>
      </vt:variant>
      <vt:variant>
        <vt:lpwstr/>
      </vt:variant>
      <vt:variant>
        <vt:lpwstr>_Toc475444540</vt:lpwstr>
      </vt:variant>
      <vt:variant>
        <vt:i4>1245232</vt:i4>
      </vt:variant>
      <vt:variant>
        <vt:i4>62</vt:i4>
      </vt:variant>
      <vt:variant>
        <vt:i4>0</vt:i4>
      </vt:variant>
      <vt:variant>
        <vt:i4>5</vt:i4>
      </vt:variant>
      <vt:variant>
        <vt:lpwstr/>
      </vt:variant>
      <vt:variant>
        <vt:lpwstr>_Toc475444539</vt:lpwstr>
      </vt:variant>
      <vt:variant>
        <vt:i4>1245232</vt:i4>
      </vt:variant>
      <vt:variant>
        <vt:i4>56</vt:i4>
      </vt:variant>
      <vt:variant>
        <vt:i4>0</vt:i4>
      </vt:variant>
      <vt:variant>
        <vt:i4>5</vt:i4>
      </vt:variant>
      <vt:variant>
        <vt:lpwstr/>
      </vt:variant>
      <vt:variant>
        <vt:lpwstr>_Toc475444538</vt:lpwstr>
      </vt:variant>
      <vt:variant>
        <vt:i4>1245232</vt:i4>
      </vt:variant>
      <vt:variant>
        <vt:i4>50</vt:i4>
      </vt:variant>
      <vt:variant>
        <vt:i4>0</vt:i4>
      </vt:variant>
      <vt:variant>
        <vt:i4>5</vt:i4>
      </vt:variant>
      <vt:variant>
        <vt:lpwstr/>
      </vt:variant>
      <vt:variant>
        <vt:lpwstr>_Toc475444537</vt:lpwstr>
      </vt:variant>
      <vt:variant>
        <vt:i4>1245232</vt:i4>
      </vt:variant>
      <vt:variant>
        <vt:i4>44</vt:i4>
      </vt:variant>
      <vt:variant>
        <vt:i4>0</vt:i4>
      </vt:variant>
      <vt:variant>
        <vt:i4>5</vt:i4>
      </vt:variant>
      <vt:variant>
        <vt:lpwstr/>
      </vt:variant>
      <vt:variant>
        <vt:lpwstr>_Toc475444536</vt:lpwstr>
      </vt:variant>
      <vt:variant>
        <vt:i4>1245232</vt:i4>
      </vt:variant>
      <vt:variant>
        <vt:i4>38</vt:i4>
      </vt:variant>
      <vt:variant>
        <vt:i4>0</vt:i4>
      </vt:variant>
      <vt:variant>
        <vt:i4>5</vt:i4>
      </vt:variant>
      <vt:variant>
        <vt:lpwstr/>
      </vt:variant>
      <vt:variant>
        <vt:lpwstr>_Toc475444535</vt:lpwstr>
      </vt:variant>
      <vt:variant>
        <vt:i4>1245232</vt:i4>
      </vt:variant>
      <vt:variant>
        <vt:i4>32</vt:i4>
      </vt:variant>
      <vt:variant>
        <vt:i4>0</vt:i4>
      </vt:variant>
      <vt:variant>
        <vt:i4>5</vt:i4>
      </vt:variant>
      <vt:variant>
        <vt:lpwstr/>
      </vt:variant>
      <vt:variant>
        <vt:lpwstr>_Toc475444534</vt:lpwstr>
      </vt:variant>
      <vt:variant>
        <vt:i4>1245232</vt:i4>
      </vt:variant>
      <vt:variant>
        <vt:i4>26</vt:i4>
      </vt:variant>
      <vt:variant>
        <vt:i4>0</vt:i4>
      </vt:variant>
      <vt:variant>
        <vt:i4>5</vt:i4>
      </vt:variant>
      <vt:variant>
        <vt:lpwstr/>
      </vt:variant>
      <vt:variant>
        <vt:lpwstr>_Toc475444533</vt:lpwstr>
      </vt:variant>
      <vt:variant>
        <vt:i4>1245232</vt:i4>
      </vt:variant>
      <vt:variant>
        <vt:i4>20</vt:i4>
      </vt:variant>
      <vt:variant>
        <vt:i4>0</vt:i4>
      </vt:variant>
      <vt:variant>
        <vt:i4>5</vt:i4>
      </vt:variant>
      <vt:variant>
        <vt:lpwstr/>
      </vt:variant>
      <vt:variant>
        <vt:lpwstr>_Toc475444532</vt:lpwstr>
      </vt:variant>
      <vt:variant>
        <vt:i4>1245232</vt:i4>
      </vt:variant>
      <vt:variant>
        <vt:i4>14</vt:i4>
      </vt:variant>
      <vt:variant>
        <vt:i4>0</vt:i4>
      </vt:variant>
      <vt:variant>
        <vt:i4>5</vt:i4>
      </vt:variant>
      <vt:variant>
        <vt:lpwstr/>
      </vt:variant>
      <vt:variant>
        <vt:lpwstr>_Toc475444531</vt:lpwstr>
      </vt:variant>
      <vt:variant>
        <vt:i4>1245232</vt:i4>
      </vt:variant>
      <vt:variant>
        <vt:i4>8</vt:i4>
      </vt:variant>
      <vt:variant>
        <vt:i4>0</vt:i4>
      </vt:variant>
      <vt:variant>
        <vt:i4>5</vt:i4>
      </vt:variant>
      <vt:variant>
        <vt:lpwstr/>
      </vt:variant>
      <vt:variant>
        <vt:lpwstr>_Toc475444530</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Cullen</dc:creator>
  <dc:description/>
  <cp:lastModifiedBy>Cullen, Andrea</cp:lastModifiedBy>
  <cp:revision>3</cp:revision>
  <cp:lastPrinted>2020-08-26T04:56:00Z</cp:lastPrinted>
  <dcterms:created xsi:type="dcterms:W3CDTF">2020-08-26T05:10:00Z</dcterms:created>
  <dcterms:modified xsi:type="dcterms:W3CDTF">2020-08-26T05:39:00Z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7500a2e5-37a3-4a62-ad70-afe40d3c06f8</vt:lpwstr>
  </property>
  <property fmtid="{D5CDD505-2E9C-101B-9397-08002B2CF9AE}" pid="3" name="bjSaver">
    <vt:lpwstr>L+v7C4hIrKKpqWXgYPzoepPkYohaR6zr</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