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3AD" w:rsidRDefault="0032374F" w:rsidP="008909CB">
      <w:pPr>
        <w:pStyle w:val="Reporttitle"/>
      </w:pPr>
      <w:r>
        <w:t xml:space="preserve">                                                                                                                                                                                                                                                                                                                                                                                                                                                                                                                                                                                                                                                                                                                                                                                                                                                                                                                      </w:t>
      </w:r>
    </w:p>
    <w:p w:rsidR="004423AD" w:rsidRDefault="004423AD" w:rsidP="008909CB">
      <w:pPr>
        <w:pStyle w:val="Reporttitle"/>
      </w:pPr>
    </w:p>
    <w:p w:rsidR="004423AD" w:rsidRDefault="004423AD" w:rsidP="008909CB">
      <w:pPr>
        <w:pStyle w:val="Reporttitle"/>
      </w:pPr>
    </w:p>
    <w:p w:rsidR="004423AD" w:rsidRDefault="004423AD" w:rsidP="008909CB">
      <w:pPr>
        <w:pStyle w:val="Reporttitle"/>
      </w:pPr>
    </w:p>
    <w:p w:rsidR="004423AD" w:rsidRDefault="004423AD" w:rsidP="008909CB">
      <w:pPr>
        <w:pStyle w:val="Reporttitle"/>
      </w:pPr>
    </w:p>
    <w:p w:rsidR="004423AD" w:rsidRDefault="004423AD" w:rsidP="008909CB">
      <w:pPr>
        <w:pStyle w:val="Reporttitle"/>
      </w:pPr>
    </w:p>
    <w:p w:rsidR="004423AD" w:rsidRDefault="004423AD" w:rsidP="008909CB">
      <w:pPr>
        <w:pStyle w:val="Reporttitle"/>
      </w:pPr>
    </w:p>
    <w:p w:rsidR="008909CB" w:rsidRDefault="00283118" w:rsidP="008909CB">
      <w:pPr>
        <w:pStyle w:val="Reporttitle"/>
      </w:pPr>
      <w:r>
        <w:t>Inquiry into ACT Public Service Aboriginal and Torres</w:t>
      </w:r>
      <w:r w:rsidR="0094017E">
        <w:t> </w:t>
      </w:r>
      <w:r>
        <w:t>St</w:t>
      </w:r>
      <w:r w:rsidR="00467352">
        <w:t>rait Islander Employment</w:t>
      </w:r>
      <w:r w:rsidR="00811114">
        <w:t xml:space="preserve">                                                                                                                                      </w:t>
      </w:r>
      <w:r w:rsidR="00467352">
        <w:t xml:space="preserve">                              </w:t>
      </w:r>
      <w:r>
        <w:t xml:space="preserve"> </w:t>
      </w:r>
    </w:p>
    <w:p w:rsidR="008909CB" w:rsidRDefault="00283118" w:rsidP="00F22201">
      <w:pPr>
        <w:pStyle w:val="Committeename"/>
        <w:spacing w:before="480" w:after="480"/>
      </w:pPr>
      <w:r>
        <w:t xml:space="preserve">Standing Committee on Health, Ageing, Community and Social Services </w:t>
      </w:r>
    </w:p>
    <w:p w:rsidR="008909CB" w:rsidRDefault="0094486C" w:rsidP="00F22201">
      <w:pPr>
        <w:pStyle w:val="Reportdate"/>
        <w:spacing w:after="360"/>
      </w:pPr>
      <w:r>
        <w:t xml:space="preserve"> </w:t>
      </w:r>
      <w:r w:rsidR="00283118">
        <w:t>March 2014</w:t>
      </w:r>
    </w:p>
    <w:p w:rsidR="008909CB" w:rsidRDefault="008909CB" w:rsidP="00F22201">
      <w:pPr>
        <w:pStyle w:val="Reportnumber"/>
        <w:spacing w:before="720"/>
      </w:pPr>
      <w:r>
        <w:t>Report Number</w:t>
      </w:r>
      <w:r w:rsidR="00DD1363">
        <w:t xml:space="preserve"> 2</w:t>
      </w:r>
      <w:r w:rsidR="00E24EF8">
        <w:t xml:space="preserve"> </w:t>
      </w:r>
    </w:p>
    <w:p w:rsidR="004423AD" w:rsidRDefault="001A6F47" w:rsidP="002E676A">
      <w:pPr>
        <w:pStyle w:val="Prelimminorheading"/>
        <w:numPr>
          <w:ilvl w:val="0"/>
          <w:numId w:val="0"/>
        </w:numPr>
        <w:rPr>
          <w:spacing w:val="4"/>
          <w:sz w:val="30"/>
          <w:szCs w:val="30"/>
        </w:rPr>
      </w:pPr>
      <w:bookmarkStart w:id="0" w:name="_Toc170711045"/>
      <w:bookmarkStart w:id="1" w:name="_Toc341433411"/>
      <w:bookmarkStart w:id="2" w:name="_Toc341687854"/>
      <w:r>
        <w:rPr>
          <w:spacing w:val="4"/>
          <w:sz w:val="30"/>
          <w:szCs w:val="30"/>
        </w:rPr>
        <w:br w:type="page"/>
      </w:r>
      <w:r w:rsidR="00994F64">
        <w:rPr>
          <w:spacing w:val="4"/>
          <w:sz w:val="30"/>
          <w:szCs w:val="30"/>
        </w:rPr>
        <w:lastRenderedPageBreak/>
        <w:br w:type="page"/>
      </w:r>
    </w:p>
    <w:p w:rsidR="002E676A" w:rsidRPr="00BD6446" w:rsidRDefault="00AF784F" w:rsidP="002E676A">
      <w:pPr>
        <w:pStyle w:val="Prelimminorheading"/>
        <w:numPr>
          <w:ilvl w:val="0"/>
          <w:numId w:val="0"/>
        </w:numPr>
        <w:rPr>
          <w:spacing w:val="4"/>
          <w:sz w:val="30"/>
          <w:szCs w:val="30"/>
        </w:rPr>
      </w:pPr>
      <w:bookmarkStart w:id="3" w:name="_Toc383615015"/>
      <w:r w:rsidRPr="00BD6446">
        <w:rPr>
          <w:spacing w:val="4"/>
          <w:sz w:val="30"/>
          <w:szCs w:val="30"/>
        </w:rPr>
        <w:t>Committee m</w:t>
      </w:r>
      <w:r w:rsidR="002E676A" w:rsidRPr="00BD6446">
        <w:rPr>
          <w:spacing w:val="4"/>
          <w:sz w:val="30"/>
          <w:szCs w:val="30"/>
        </w:rPr>
        <w:t>embership</w:t>
      </w:r>
      <w:bookmarkEnd w:id="0"/>
      <w:bookmarkEnd w:id="1"/>
      <w:bookmarkEnd w:id="2"/>
      <w:bookmarkEnd w:id="3"/>
    </w:p>
    <w:p w:rsidR="002E676A" w:rsidRDefault="00283118" w:rsidP="002E676A">
      <w:pPr>
        <w:pStyle w:val="Bodytextnonumbering"/>
        <w:keepNext w:val="0"/>
      </w:pPr>
      <w:bookmarkStart w:id="4" w:name="_Toc341433412"/>
      <w:bookmarkStart w:id="5" w:name="_Toc341687855"/>
      <w:r>
        <w:t xml:space="preserve">Dr Chris Bourke </w:t>
      </w:r>
      <w:r w:rsidR="00362151">
        <w:t>MLA (</w:t>
      </w:r>
      <w:r>
        <w:t>Chair</w:t>
      </w:r>
      <w:r w:rsidR="002E676A">
        <w:t>)</w:t>
      </w:r>
      <w:bookmarkEnd w:id="4"/>
      <w:bookmarkEnd w:id="5"/>
    </w:p>
    <w:p w:rsidR="006B444A" w:rsidRDefault="00283118" w:rsidP="002E676A">
      <w:pPr>
        <w:pStyle w:val="Bodytextnonumbering"/>
        <w:keepNext w:val="0"/>
      </w:pPr>
      <w:r>
        <w:t>Mr Andrew Wall MLA (Deputy Chair)</w:t>
      </w:r>
      <w:r w:rsidR="006B444A">
        <w:t>*</w:t>
      </w:r>
    </w:p>
    <w:p w:rsidR="00283118" w:rsidRDefault="00283118" w:rsidP="002E676A">
      <w:pPr>
        <w:pStyle w:val="Bodytextnonumbering"/>
        <w:keepNext w:val="0"/>
      </w:pPr>
      <w:r>
        <w:t>Ms Yvette Berry MLA</w:t>
      </w:r>
    </w:p>
    <w:p w:rsidR="00283118" w:rsidRDefault="00283118" w:rsidP="002E676A">
      <w:pPr>
        <w:pStyle w:val="Bodytextnonumbering"/>
        <w:keepNext w:val="0"/>
      </w:pPr>
      <w:r>
        <w:t>Ms Nicole Lawder MLA</w:t>
      </w:r>
      <w:r w:rsidR="0094486C">
        <w:t>^</w:t>
      </w:r>
    </w:p>
    <w:tbl>
      <w:tblPr>
        <w:tblW w:w="0" w:type="auto"/>
        <w:tblLook w:val="04A0"/>
      </w:tblPr>
      <w:tblGrid>
        <w:gridCol w:w="4077"/>
        <w:gridCol w:w="5210"/>
      </w:tblGrid>
      <w:tr w:rsidR="006B444A" w:rsidTr="0094486C">
        <w:tc>
          <w:tcPr>
            <w:tcW w:w="4077" w:type="dxa"/>
            <w:tcBorders>
              <w:top w:val="single" w:sz="4" w:space="0" w:color="auto"/>
            </w:tcBorders>
          </w:tcPr>
          <w:p w:rsidR="0094486C" w:rsidRDefault="0094486C" w:rsidP="0094486C">
            <w:pPr>
              <w:pStyle w:val="Bodytextnonumbering"/>
              <w:keepNext w:val="0"/>
              <w:spacing w:line="240" w:lineRule="auto"/>
              <w:ind w:left="142" w:hanging="142"/>
              <w:rPr>
                <w:color w:val="808080"/>
                <w:sz w:val="16"/>
                <w:szCs w:val="16"/>
              </w:rPr>
            </w:pPr>
            <w:r>
              <w:rPr>
                <w:iCs w:val="0"/>
                <w:color w:val="808080"/>
                <w:sz w:val="16"/>
                <w:szCs w:val="16"/>
              </w:rPr>
              <w:t>^</w:t>
            </w:r>
            <w:r w:rsidR="006B444A" w:rsidRPr="00E75BEF">
              <w:rPr>
                <w:color w:val="808080"/>
                <w:sz w:val="16"/>
                <w:szCs w:val="16"/>
              </w:rPr>
              <w:t xml:space="preserve"> On </w:t>
            </w:r>
            <w:r w:rsidR="00F638A6" w:rsidRPr="00E75BEF">
              <w:rPr>
                <w:color w:val="808080"/>
                <w:sz w:val="16"/>
                <w:szCs w:val="16"/>
              </w:rPr>
              <w:t>24 October 2013</w:t>
            </w:r>
            <w:r w:rsidR="006B444A" w:rsidRPr="00E75BEF">
              <w:rPr>
                <w:color w:val="808080"/>
                <w:sz w:val="16"/>
                <w:szCs w:val="16"/>
              </w:rPr>
              <w:t xml:space="preserve"> the Legislative Assembly discharged Mr Jeremy Hanson MLA </w:t>
            </w:r>
            <w:r w:rsidR="00E6590A">
              <w:rPr>
                <w:color w:val="808080"/>
                <w:sz w:val="16"/>
                <w:szCs w:val="16"/>
              </w:rPr>
              <w:t xml:space="preserve">from the Committee </w:t>
            </w:r>
            <w:r w:rsidR="006B444A" w:rsidRPr="00E75BEF">
              <w:rPr>
                <w:color w:val="808080"/>
                <w:sz w:val="16"/>
                <w:szCs w:val="16"/>
              </w:rPr>
              <w:t>and appointed M</w:t>
            </w:r>
            <w:r>
              <w:rPr>
                <w:color w:val="808080"/>
                <w:sz w:val="16"/>
                <w:szCs w:val="16"/>
              </w:rPr>
              <w:t>s</w:t>
            </w:r>
            <w:r w:rsidR="00E6590A">
              <w:rPr>
                <w:color w:val="808080"/>
                <w:sz w:val="16"/>
                <w:szCs w:val="16"/>
              </w:rPr>
              <w:t> </w:t>
            </w:r>
            <w:r>
              <w:rPr>
                <w:color w:val="808080"/>
                <w:sz w:val="16"/>
                <w:szCs w:val="16"/>
              </w:rPr>
              <w:t>Nicole</w:t>
            </w:r>
            <w:r w:rsidR="00E6590A">
              <w:rPr>
                <w:color w:val="808080"/>
                <w:sz w:val="16"/>
                <w:szCs w:val="16"/>
              </w:rPr>
              <w:t> </w:t>
            </w:r>
            <w:r>
              <w:rPr>
                <w:color w:val="808080"/>
                <w:sz w:val="16"/>
                <w:szCs w:val="16"/>
              </w:rPr>
              <w:t>Lawder</w:t>
            </w:r>
            <w:r w:rsidR="002B66A2">
              <w:rPr>
                <w:color w:val="808080"/>
                <w:sz w:val="16"/>
                <w:szCs w:val="16"/>
              </w:rPr>
              <w:t xml:space="preserve"> MLA.  </w:t>
            </w:r>
          </w:p>
          <w:p w:rsidR="006B444A" w:rsidRPr="00E75BEF" w:rsidRDefault="0094486C" w:rsidP="0094486C">
            <w:pPr>
              <w:pStyle w:val="Bodytextnonumbering"/>
              <w:keepNext w:val="0"/>
              <w:spacing w:line="240" w:lineRule="auto"/>
              <w:ind w:left="142" w:hanging="142"/>
              <w:rPr>
                <w:i/>
                <w:color w:val="808080"/>
                <w:sz w:val="16"/>
                <w:szCs w:val="16"/>
              </w:rPr>
            </w:pPr>
            <w:r>
              <w:rPr>
                <w:color w:val="808080"/>
                <w:sz w:val="16"/>
                <w:szCs w:val="16"/>
              </w:rPr>
              <w:t xml:space="preserve">* </w:t>
            </w:r>
            <w:r w:rsidR="002B66A2">
              <w:rPr>
                <w:color w:val="808080"/>
                <w:sz w:val="16"/>
                <w:szCs w:val="16"/>
              </w:rPr>
              <w:t xml:space="preserve">Mr Wall </w:t>
            </w:r>
            <w:r w:rsidR="006B444A" w:rsidRPr="00E75BEF">
              <w:rPr>
                <w:color w:val="808080"/>
                <w:sz w:val="16"/>
                <w:szCs w:val="16"/>
              </w:rPr>
              <w:t xml:space="preserve">was elected Deputy Chair on </w:t>
            </w:r>
            <w:r w:rsidR="00F638A6" w:rsidRPr="00E75BEF">
              <w:rPr>
                <w:color w:val="808080"/>
                <w:sz w:val="16"/>
                <w:szCs w:val="16"/>
              </w:rPr>
              <w:t>8 November 2013.</w:t>
            </w:r>
            <w:r w:rsidR="006B444A" w:rsidRPr="00E75BEF">
              <w:rPr>
                <w:i/>
                <w:color w:val="808080"/>
                <w:sz w:val="16"/>
                <w:szCs w:val="16"/>
              </w:rPr>
              <w:t xml:space="preserve"> </w:t>
            </w:r>
          </w:p>
        </w:tc>
        <w:tc>
          <w:tcPr>
            <w:tcW w:w="5210" w:type="dxa"/>
          </w:tcPr>
          <w:p w:rsidR="006B444A" w:rsidRDefault="006B444A" w:rsidP="00E75BEF">
            <w:pPr>
              <w:pStyle w:val="Bodytextnonumbering"/>
              <w:keepNext w:val="0"/>
            </w:pPr>
          </w:p>
        </w:tc>
      </w:tr>
    </w:tbl>
    <w:p w:rsidR="00AE53B4" w:rsidRDefault="00AE53B4" w:rsidP="006B444A">
      <w:pPr>
        <w:pStyle w:val="Bodytextnonumbering"/>
        <w:keepNext w:val="0"/>
      </w:pPr>
    </w:p>
    <w:p w:rsidR="002E676A" w:rsidRDefault="002E676A" w:rsidP="002E676A">
      <w:pPr>
        <w:pStyle w:val="Prelimminorheading"/>
        <w:numPr>
          <w:ilvl w:val="0"/>
          <w:numId w:val="0"/>
        </w:numPr>
      </w:pPr>
    </w:p>
    <w:p w:rsidR="002E676A" w:rsidRPr="00F14364" w:rsidRDefault="002E676A" w:rsidP="00EB4D32">
      <w:pPr>
        <w:pStyle w:val="Secretariat"/>
      </w:pPr>
      <w:bookmarkStart w:id="6" w:name="_Toc170711046"/>
      <w:bookmarkStart w:id="7" w:name="_Toc341433413"/>
      <w:bookmarkStart w:id="8" w:name="_Toc341687856"/>
      <w:bookmarkStart w:id="9" w:name="_Toc383615016"/>
      <w:r w:rsidRPr="00F74C60">
        <w:t>Secretariat</w:t>
      </w:r>
      <w:bookmarkEnd w:id="6"/>
      <w:bookmarkEnd w:id="7"/>
      <w:bookmarkEnd w:id="8"/>
      <w:bookmarkEnd w:id="9"/>
    </w:p>
    <w:p w:rsidR="00AE53B4" w:rsidRPr="00283118" w:rsidRDefault="00283118" w:rsidP="00AE53B4">
      <w:pPr>
        <w:pStyle w:val="Bodytextnonumbering"/>
        <w:keepNext w:val="0"/>
        <w:rPr>
          <w:i/>
          <w:sz w:val="18"/>
          <w:szCs w:val="18"/>
        </w:rPr>
      </w:pPr>
      <w:bookmarkStart w:id="10" w:name="_Toc341433414"/>
      <w:bookmarkStart w:id="11" w:name="_Toc341687857"/>
      <w:r>
        <w:t xml:space="preserve">Mr Trevor Rowe </w:t>
      </w:r>
      <w:r w:rsidR="001C746F">
        <w:t>(</w:t>
      </w:r>
      <w:r>
        <w:t>Secretary</w:t>
      </w:r>
      <w:r w:rsidR="001C746F">
        <w:t>)</w:t>
      </w:r>
      <w:bookmarkEnd w:id="10"/>
      <w:bookmarkEnd w:id="11"/>
      <w:r w:rsidR="006B444A">
        <w:t>*</w:t>
      </w:r>
    </w:p>
    <w:p w:rsidR="00283118" w:rsidRDefault="00283118" w:rsidP="001C746F">
      <w:pPr>
        <w:pStyle w:val="Bodytextnonumbering"/>
        <w:keepNext w:val="0"/>
      </w:pPr>
      <w:r>
        <w:t>Mr John Croker (Research Manager</w:t>
      </w:r>
      <w:r w:rsidR="0094486C">
        <w:t>) ^</w:t>
      </w:r>
    </w:p>
    <w:p w:rsidR="00283118" w:rsidRDefault="00283118" w:rsidP="001C746F">
      <w:pPr>
        <w:pStyle w:val="Bodytextnonumbering"/>
        <w:keepNext w:val="0"/>
      </w:pPr>
      <w:r>
        <w:t>Mr Matthew Ghirardello (</w:t>
      </w:r>
      <w:r w:rsidR="00994F64">
        <w:t>Administrative Assistant</w:t>
      </w:r>
      <w:r>
        <w:t>)</w:t>
      </w:r>
    </w:p>
    <w:tbl>
      <w:tblPr>
        <w:tblW w:w="0" w:type="auto"/>
        <w:tblLook w:val="04A0"/>
      </w:tblPr>
      <w:tblGrid>
        <w:gridCol w:w="4077"/>
        <w:gridCol w:w="5210"/>
      </w:tblGrid>
      <w:tr w:rsidR="006B444A" w:rsidTr="0094486C">
        <w:tc>
          <w:tcPr>
            <w:tcW w:w="4077" w:type="dxa"/>
            <w:tcBorders>
              <w:top w:val="single" w:sz="4" w:space="0" w:color="auto"/>
            </w:tcBorders>
          </w:tcPr>
          <w:p w:rsidR="006B444A" w:rsidRPr="00E75BEF" w:rsidRDefault="006B444A" w:rsidP="0052749C">
            <w:pPr>
              <w:pStyle w:val="Bodytextnonumbering"/>
              <w:keepNext w:val="0"/>
              <w:spacing w:before="120" w:after="0" w:line="240" w:lineRule="auto"/>
              <w:ind w:left="142" w:hanging="142"/>
              <w:rPr>
                <w:color w:val="808080"/>
              </w:rPr>
            </w:pPr>
            <w:r w:rsidRPr="00E75BEF">
              <w:rPr>
                <w:color w:val="808080"/>
                <w:sz w:val="16"/>
                <w:szCs w:val="16"/>
              </w:rPr>
              <w:t xml:space="preserve">* Ms Nicola Kosseck (Secretary) </w:t>
            </w:r>
            <w:r w:rsidR="00F638A6" w:rsidRPr="00E75BEF">
              <w:rPr>
                <w:color w:val="808080"/>
                <w:sz w:val="16"/>
                <w:szCs w:val="16"/>
              </w:rPr>
              <w:t xml:space="preserve">commenced extended </w:t>
            </w:r>
            <w:r w:rsidRPr="00E75BEF">
              <w:rPr>
                <w:color w:val="808080"/>
                <w:sz w:val="16"/>
                <w:szCs w:val="16"/>
              </w:rPr>
              <w:t xml:space="preserve">leave </w:t>
            </w:r>
            <w:r w:rsidR="002B66A2">
              <w:rPr>
                <w:color w:val="808080"/>
                <w:sz w:val="16"/>
                <w:szCs w:val="16"/>
              </w:rPr>
              <w:t xml:space="preserve">on 31 August 2013 </w:t>
            </w:r>
            <w:r w:rsidR="00F638A6" w:rsidRPr="00E75BEF">
              <w:rPr>
                <w:color w:val="808080"/>
                <w:sz w:val="16"/>
                <w:szCs w:val="16"/>
              </w:rPr>
              <w:t xml:space="preserve">and </w:t>
            </w:r>
            <w:r w:rsidRPr="00E75BEF">
              <w:rPr>
                <w:color w:val="808080"/>
                <w:sz w:val="16"/>
                <w:szCs w:val="16"/>
              </w:rPr>
              <w:t xml:space="preserve">Mr </w:t>
            </w:r>
            <w:r w:rsidR="002B66A2">
              <w:rPr>
                <w:color w:val="808080"/>
                <w:sz w:val="16"/>
                <w:szCs w:val="16"/>
              </w:rPr>
              <w:t xml:space="preserve">Trevor </w:t>
            </w:r>
            <w:r w:rsidRPr="00E75BEF">
              <w:rPr>
                <w:color w:val="808080"/>
                <w:sz w:val="16"/>
                <w:szCs w:val="16"/>
              </w:rPr>
              <w:t xml:space="preserve">Rowe commenced </w:t>
            </w:r>
            <w:r w:rsidR="00F638A6" w:rsidRPr="00E75BEF">
              <w:rPr>
                <w:color w:val="808080"/>
                <w:sz w:val="16"/>
                <w:szCs w:val="16"/>
              </w:rPr>
              <w:t>as Secretary on</w:t>
            </w:r>
            <w:r w:rsidR="0052749C">
              <w:rPr>
                <w:color w:val="808080"/>
                <w:sz w:val="16"/>
                <w:szCs w:val="16"/>
              </w:rPr>
              <w:t> </w:t>
            </w:r>
            <w:r w:rsidR="00F638A6" w:rsidRPr="00E75BEF">
              <w:rPr>
                <w:color w:val="808080"/>
                <w:sz w:val="16"/>
                <w:szCs w:val="16"/>
              </w:rPr>
              <w:t>8 October 2013</w:t>
            </w:r>
          </w:p>
        </w:tc>
        <w:tc>
          <w:tcPr>
            <w:tcW w:w="5210" w:type="dxa"/>
          </w:tcPr>
          <w:p w:rsidR="006B444A" w:rsidRDefault="006B444A" w:rsidP="00E75BEF">
            <w:pPr>
              <w:pStyle w:val="Bodytextnonumbering"/>
              <w:keepNext w:val="0"/>
            </w:pPr>
          </w:p>
        </w:tc>
      </w:tr>
      <w:tr w:rsidR="00F638A6" w:rsidRPr="00E75BEF" w:rsidTr="0094486C">
        <w:tc>
          <w:tcPr>
            <w:tcW w:w="4077" w:type="dxa"/>
          </w:tcPr>
          <w:p w:rsidR="00F638A6" w:rsidRPr="00E75BEF" w:rsidRDefault="0094486C" w:rsidP="00E75BEF">
            <w:pPr>
              <w:pStyle w:val="Bodytextnonumbering"/>
              <w:keepNext w:val="0"/>
              <w:spacing w:before="120" w:after="0" w:line="240" w:lineRule="auto"/>
              <w:ind w:left="142" w:hanging="142"/>
              <w:rPr>
                <w:color w:val="808080"/>
                <w:sz w:val="16"/>
                <w:szCs w:val="16"/>
              </w:rPr>
            </w:pPr>
            <w:r>
              <w:rPr>
                <w:color w:val="808080"/>
                <w:sz w:val="16"/>
                <w:szCs w:val="16"/>
              </w:rPr>
              <w:t>^</w:t>
            </w:r>
            <w:r w:rsidR="00F638A6" w:rsidRPr="00E75BEF">
              <w:rPr>
                <w:color w:val="808080"/>
                <w:sz w:val="16"/>
                <w:szCs w:val="16"/>
              </w:rPr>
              <w:t xml:space="preserve"> Mr Croker assisted the Committee while a participant on the   Work in the Assembly Program.  He completed his placement on 13 December 2013.</w:t>
            </w:r>
          </w:p>
        </w:tc>
        <w:tc>
          <w:tcPr>
            <w:tcW w:w="5210" w:type="dxa"/>
          </w:tcPr>
          <w:p w:rsidR="00F638A6" w:rsidRDefault="00F638A6" w:rsidP="00E75BEF">
            <w:pPr>
              <w:pStyle w:val="Bodytextnonumbering"/>
              <w:keepNext w:val="0"/>
            </w:pPr>
          </w:p>
        </w:tc>
      </w:tr>
    </w:tbl>
    <w:p w:rsidR="006B444A" w:rsidRDefault="006B444A" w:rsidP="001C746F">
      <w:pPr>
        <w:pStyle w:val="Bodytextnonumbering"/>
        <w:keepNext w:val="0"/>
      </w:pPr>
    </w:p>
    <w:p w:rsidR="00F638A6" w:rsidRDefault="00F638A6" w:rsidP="00EB4D32">
      <w:pPr>
        <w:pStyle w:val="Contactinformation"/>
      </w:pPr>
      <w:bookmarkStart w:id="12" w:name="_Toc162949737"/>
      <w:bookmarkStart w:id="13" w:name="_Toc170711047"/>
      <w:bookmarkStart w:id="14" w:name="_Toc341433415"/>
      <w:bookmarkStart w:id="15" w:name="_Toc341687858"/>
    </w:p>
    <w:p w:rsidR="002E676A" w:rsidRPr="00F14364" w:rsidRDefault="00AF784F" w:rsidP="00EB4D32">
      <w:pPr>
        <w:pStyle w:val="Contactinformation"/>
      </w:pPr>
      <w:bookmarkStart w:id="16" w:name="_Toc383615017"/>
      <w:r w:rsidRPr="00F14364">
        <w:t xml:space="preserve">Contact </w:t>
      </w:r>
      <w:r w:rsidRPr="00F74C60">
        <w:t>i</w:t>
      </w:r>
      <w:r w:rsidR="002E676A" w:rsidRPr="00F74C60">
        <w:t>nformation</w:t>
      </w:r>
      <w:bookmarkEnd w:id="12"/>
      <w:bookmarkEnd w:id="13"/>
      <w:bookmarkEnd w:id="14"/>
      <w:bookmarkEnd w:id="15"/>
      <w:bookmarkEnd w:id="16"/>
    </w:p>
    <w:p w:rsidR="00AF784F" w:rsidRPr="00EC5178" w:rsidRDefault="00AF784F" w:rsidP="00EC5178">
      <w:pPr>
        <w:pStyle w:val="StyleBodytextnonumberingBefore0ptAfter0ptLinesp"/>
      </w:pPr>
    </w:p>
    <w:p w:rsidR="002E676A" w:rsidRDefault="009458A5" w:rsidP="00D50ADD">
      <w:pPr>
        <w:pStyle w:val="StyleBodytextnonumberingBefore0ptAfter0ptLinesp"/>
      </w:pPr>
      <w:bookmarkStart w:id="17" w:name="_Toc341433416"/>
      <w:bookmarkStart w:id="18" w:name="_Toc341687859"/>
      <w:r>
        <w:t>Telephone</w:t>
      </w:r>
      <w:r>
        <w:tab/>
        <w:t xml:space="preserve">02 6205 </w:t>
      </w:r>
      <w:r w:rsidR="00283118">
        <w:t>1029</w:t>
      </w:r>
      <w:bookmarkEnd w:id="17"/>
      <w:bookmarkEnd w:id="18"/>
    </w:p>
    <w:p w:rsidR="002E676A" w:rsidRDefault="002E676A" w:rsidP="00D50ADD">
      <w:pPr>
        <w:pStyle w:val="StyleBodytextnonumberingBefore0ptAfter0ptLinesp"/>
      </w:pPr>
      <w:bookmarkStart w:id="19" w:name="_Toc341433417"/>
      <w:bookmarkStart w:id="20" w:name="_Toc341687860"/>
      <w:r>
        <w:t>Facsimile</w:t>
      </w:r>
      <w:r>
        <w:tab/>
        <w:t>02 6205 0432</w:t>
      </w:r>
      <w:bookmarkEnd w:id="19"/>
      <w:bookmarkEnd w:id="20"/>
    </w:p>
    <w:p w:rsidR="005B60C2" w:rsidRDefault="005B60C2" w:rsidP="00D50ADD">
      <w:pPr>
        <w:pStyle w:val="StyleBodytextnonumberingBefore0ptAfter0ptLinesp"/>
      </w:pPr>
      <w:bookmarkStart w:id="21" w:name="_Toc341433418"/>
      <w:bookmarkStart w:id="22" w:name="_Toc341687861"/>
      <w:r>
        <w:t>Post</w:t>
      </w:r>
      <w:r>
        <w:tab/>
      </w:r>
      <w:r w:rsidR="00D50ADD">
        <w:tab/>
      </w:r>
      <w:r>
        <w:t>GPO Box 1020, CANBERRA ACT 2601</w:t>
      </w:r>
      <w:bookmarkEnd w:id="21"/>
      <w:bookmarkEnd w:id="22"/>
    </w:p>
    <w:p w:rsidR="002E676A" w:rsidRPr="005B60C2" w:rsidRDefault="002E676A" w:rsidP="00D50ADD">
      <w:pPr>
        <w:pStyle w:val="StyleBodytextnonumberingBefore0ptAfter0ptLinesp"/>
      </w:pPr>
      <w:bookmarkStart w:id="23" w:name="_Toc341433419"/>
      <w:bookmarkStart w:id="24" w:name="_Toc341687862"/>
      <w:r>
        <w:t>Email</w:t>
      </w:r>
      <w:r>
        <w:tab/>
      </w:r>
      <w:r w:rsidR="00D50ADD">
        <w:tab/>
      </w:r>
      <w:hyperlink r:id="rId8" w:history="1">
        <w:r w:rsidRPr="005B60C2">
          <w:rPr>
            <w:rStyle w:val="Hyperlink"/>
            <w:color w:val="auto"/>
            <w:u w:val="none"/>
          </w:rPr>
          <w:t>committees@parliament.act.gov.au</w:t>
        </w:r>
        <w:bookmarkEnd w:id="23"/>
        <w:bookmarkEnd w:id="24"/>
      </w:hyperlink>
    </w:p>
    <w:p w:rsidR="002E676A" w:rsidRPr="005B60C2" w:rsidRDefault="002E676A" w:rsidP="00D50ADD">
      <w:pPr>
        <w:pStyle w:val="StyleBodytextnonumberingBefore0ptAfter0ptLinesp"/>
      </w:pPr>
      <w:bookmarkStart w:id="25" w:name="_Toc341433420"/>
      <w:bookmarkStart w:id="26" w:name="_Toc341687863"/>
      <w:r w:rsidRPr="005B60C2">
        <w:t>Website</w:t>
      </w:r>
      <w:r w:rsidRPr="005B60C2">
        <w:tab/>
      </w:r>
      <w:hyperlink r:id="rId9" w:history="1">
        <w:r w:rsidRPr="005B60C2">
          <w:rPr>
            <w:rStyle w:val="Hyperlink"/>
            <w:color w:val="auto"/>
            <w:u w:val="none"/>
          </w:rPr>
          <w:t>www.parliament.act.gov.au</w:t>
        </w:r>
        <w:bookmarkEnd w:id="25"/>
        <w:bookmarkEnd w:id="26"/>
      </w:hyperlink>
      <w:r w:rsidRPr="005B60C2">
        <w:t xml:space="preserve"> </w:t>
      </w:r>
    </w:p>
    <w:p w:rsidR="002E676A" w:rsidRDefault="002E676A" w:rsidP="00D50ADD">
      <w:pPr>
        <w:pStyle w:val="StyleBodytextnonumberingBefore0ptAfter0ptLinesp"/>
      </w:pPr>
    </w:p>
    <w:p w:rsidR="002E676A" w:rsidRPr="00C2492A" w:rsidRDefault="002E676A" w:rsidP="00D5245F">
      <w:pPr>
        <w:pStyle w:val="Prelimminorheading"/>
        <w:numPr>
          <w:ilvl w:val="0"/>
          <w:numId w:val="0"/>
        </w:numPr>
        <w:rPr>
          <w:sz w:val="30"/>
          <w:szCs w:val="30"/>
        </w:rPr>
      </w:pPr>
      <w:r>
        <w:br w:type="page"/>
      </w:r>
      <w:bookmarkStart w:id="27" w:name="_Toc162949738"/>
      <w:bookmarkStart w:id="28" w:name="_Toc170711048"/>
      <w:bookmarkStart w:id="29" w:name="_Toc341433421"/>
      <w:bookmarkStart w:id="30" w:name="_Toc341687864"/>
      <w:bookmarkStart w:id="31" w:name="_Toc383615018"/>
      <w:r w:rsidR="00AF784F" w:rsidRPr="00C2492A">
        <w:rPr>
          <w:sz w:val="30"/>
          <w:szCs w:val="30"/>
        </w:rPr>
        <w:t>Resolution of a</w:t>
      </w:r>
      <w:r w:rsidRPr="00C2492A">
        <w:rPr>
          <w:sz w:val="30"/>
          <w:szCs w:val="30"/>
        </w:rPr>
        <w:t>ppointment</w:t>
      </w:r>
      <w:bookmarkEnd w:id="27"/>
      <w:bookmarkEnd w:id="28"/>
      <w:bookmarkEnd w:id="29"/>
      <w:bookmarkEnd w:id="30"/>
      <w:bookmarkEnd w:id="31"/>
    </w:p>
    <w:p w:rsidR="002E676A" w:rsidRDefault="002E676A" w:rsidP="00D50ADD">
      <w:pPr>
        <w:pStyle w:val="StyleBodytextnonumberingBefore0ptAfter0ptLinesp"/>
      </w:pPr>
    </w:p>
    <w:p w:rsidR="001E7D00" w:rsidRPr="000E5A6C" w:rsidRDefault="001E7D00" w:rsidP="001E7D00">
      <w:pPr>
        <w:pStyle w:val="Bodytextnonumbering"/>
        <w:keepNext w:val="0"/>
        <w:widowControl w:val="0"/>
      </w:pPr>
      <w:r w:rsidRPr="000E5A6C">
        <w:t>On 27 November 2012 the Legislative Assembly for the ACT agreed by resolution to establish legislative and general purpose standing committees to inquire into and report on matters referred by the Assembly or matters that are considered by the committee to be of concern to the community, including:</w:t>
      </w:r>
    </w:p>
    <w:p w:rsidR="001E7D00" w:rsidRPr="000E5A6C" w:rsidRDefault="001E7D00" w:rsidP="001E7D00">
      <w:pPr>
        <w:pStyle w:val="Bodytextnonumbering"/>
        <w:keepNext w:val="0"/>
        <w:widowControl w:val="0"/>
        <w:tabs>
          <w:tab w:val="left" w:pos="851"/>
        </w:tabs>
        <w:ind w:left="851" w:hanging="284"/>
      </w:pPr>
      <w:r w:rsidRPr="000E5A6C">
        <w:t xml:space="preserve">c) </w:t>
      </w:r>
      <w:r w:rsidRPr="000E5A6C">
        <w:tab/>
        <w:t xml:space="preserve">a </w:t>
      </w:r>
      <w:r w:rsidRPr="000E5A6C">
        <w:rPr>
          <w:bCs/>
        </w:rPr>
        <w:t>Standing</w:t>
      </w:r>
      <w:r w:rsidRPr="000E5A6C">
        <w:t xml:space="preserve"> </w:t>
      </w:r>
      <w:r w:rsidRPr="000E5A6C">
        <w:rPr>
          <w:bCs/>
        </w:rPr>
        <w:t>Committee on Health, Ageing, Community and Social Services</w:t>
      </w:r>
      <w:r w:rsidRPr="000E5A6C">
        <w:t xml:space="preserve"> to examine matters related to hospitals, community, public and mental health, health promotion and disease prevention, disability matters, drug and substance misuse, targeted health programs and community services, including services for older persons and women, families, housing, poverty, and multicultural and indigenous affairs;</w:t>
      </w:r>
    </w:p>
    <w:p w:rsidR="001E7D00" w:rsidRPr="000E5A6C" w:rsidRDefault="001E7D00" w:rsidP="001E7D00">
      <w:pPr>
        <w:pStyle w:val="Bodytextnonumbering"/>
        <w:keepNext w:val="0"/>
        <w:widowControl w:val="0"/>
      </w:pPr>
      <w:r w:rsidRPr="000E5A6C">
        <w:t>The Assembly agreed that each committee shall have power to consider and make use of the evidence and records of the relevant standing committee appointed during the previous Assembly.</w:t>
      </w:r>
      <w:r w:rsidRPr="000E5A6C">
        <w:rPr>
          <w:rStyle w:val="FootnoteReference"/>
        </w:rPr>
        <w:footnoteReference w:id="1"/>
      </w:r>
    </w:p>
    <w:p w:rsidR="001E7D00" w:rsidRPr="00DF33D1" w:rsidRDefault="001E7D00" w:rsidP="004F473F">
      <w:pPr>
        <w:pStyle w:val="Quote"/>
        <w:ind w:left="0"/>
        <w:rPr>
          <w:lang w:eastAsia="en-AU"/>
        </w:rPr>
      </w:pPr>
    </w:p>
    <w:p w:rsidR="002E676A" w:rsidRDefault="002E676A" w:rsidP="00D50ADD">
      <w:pPr>
        <w:pStyle w:val="StyleBodytextnonumberingBefore0ptAfter0ptLinesp"/>
      </w:pPr>
    </w:p>
    <w:p w:rsidR="004423AD" w:rsidRDefault="004423AD" w:rsidP="00D50ADD">
      <w:pPr>
        <w:pStyle w:val="StyleBodytextnonumberingBefore0ptAfter0ptLinesp"/>
      </w:pPr>
    </w:p>
    <w:p w:rsidR="00AC64FB" w:rsidRDefault="00AC64FB" w:rsidP="00D50ADD">
      <w:pPr>
        <w:pStyle w:val="StyleBodytextnonumberingBefore0ptAfter0ptLinesp"/>
      </w:pPr>
    </w:p>
    <w:p w:rsidR="002E676A" w:rsidRPr="00C2492A" w:rsidRDefault="00AF784F" w:rsidP="002E676A">
      <w:pPr>
        <w:pStyle w:val="Prelimminorheading"/>
        <w:numPr>
          <w:ilvl w:val="0"/>
          <w:numId w:val="0"/>
        </w:numPr>
        <w:rPr>
          <w:sz w:val="30"/>
          <w:szCs w:val="30"/>
        </w:rPr>
      </w:pPr>
      <w:bookmarkStart w:id="32" w:name="_Toc162949739"/>
      <w:bookmarkStart w:id="33" w:name="_Toc170711049"/>
      <w:bookmarkStart w:id="34" w:name="_Toc341433422"/>
      <w:bookmarkStart w:id="35" w:name="_Toc341687866"/>
      <w:bookmarkStart w:id="36" w:name="_Toc383615019"/>
      <w:r w:rsidRPr="00C2492A">
        <w:rPr>
          <w:sz w:val="30"/>
          <w:szCs w:val="30"/>
        </w:rPr>
        <w:t>Terms of r</w:t>
      </w:r>
      <w:r w:rsidR="002E676A" w:rsidRPr="00C2492A">
        <w:rPr>
          <w:sz w:val="30"/>
          <w:szCs w:val="30"/>
        </w:rPr>
        <w:t>eference</w:t>
      </w:r>
      <w:bookmarkEnd w:id="32"/>
      <w:bookmarkEnd w:id="33"/>
      <w:bookmarkEnd w:id="34"/>
      <w:bookmarkEnd w:id="35"/>
      <w:bookmarkEnd w:id="36"/>
    </w:p>
    <w:p w:rsidR="00283118" w:rsidRPr="001E7D00" w:rsidRDefault="00283118" w:rsidP="00283118">
      <w:pPr>
        <w:pStyle w:val="Bodycopy"/>
        <w:rPr>
          <w:szCs w:val="22"/>
        </w:rPr>
      </w:pPr>
      <w:r w:rsidRPr="001E7D00">
        <w:rPr>
          <w:szCs w:val="22"/>
        </w:rPr>
        <w:t>To inquire into and report on ACT Public Service Aboriginal and Torres Strait Islander employment, with particular reference to:</w:t>
      </w:r>
    </w:p>
    <w:p w:rsidR="00283118" w:rsidRPr="001E7D00" w:rsidRDefault="00283118" w:rsidP="006C0055">
      <w:pPr>
        <w:pStyle w:val="Bodycopy"/>
        <w:numPr>
          <w:ilvl w:val="0"/>
          <w:numId w:val="6"/>
        </w:numPr>
        <w:rPr>
          <w:szCs w:val="22"/>
        </w:rPr>
      </w:pPr>
      <w:r w:rsidRPr="001E7D00">
        <w:rPr>
          <w:szCs w:val="22"/>
        </w:rPr>
        <w:t>implementation of the ACT Public Service Aboriginal and Torres Strait Islander Employment Strategy;</w:t>
      </w:r>
    </w:p>
    <w:p w:rsidR="00283118" w:rsidRPr="001E7D00" w:rsidRDefault="00283118" w:rsidP="006C0055">
      <w:pPr>
        <w:pStyle w:val="Bodycopy"/>
        <w:numPr>
          <w:ilvl w:val="0"/>
          <w:numId w:val="6"/>
        </w:numPr>
        <w:rPr>
          <w:szCs w:val="22"/>
        </w:rPr>
      </w:pPr>
      <w:r w:rsidRPr="001E7D00">
        <w:rPr>
          <w:szCs w:val="22"/>
        </w:rPr>
        <w:t>effectiveness of current attraction and retention programs;</w:t>
      </w:r>
    </w:p>
    <w:p w:rsidR="00283118" w:rsidRPr="001E7D00" w:rsidRDefault="00283118" w:rsidP="006C0055">
      <w:pPr>
        <w:pStyle w:val="Bodycopy"/>
        <w:numPr>
          <w:ilvl w:val="0"/>
          <w:numId w:val="6"/>
        </w:numPr>
        <w:rPr>
          <w:szCs w:val="22"/>
        </w:rPr>
      </w:pPr>
      <w:r w:rsidRPr="001E7D00">
        <w:rPr>
          <w:szCs w:val="22"/>
        </w:rPr>
        <w:t>data collection, monitoring and reporting mechanisms;</w:t>
      </w:r>
    </w:p>
    <w:p w:rsidR="00283118" w:rsidRPr="001E7D00" w:rsidRDefault="00283118" w:rsidP="006C0055">
      <w:pPr>
        <w:pStyle w:val="Bodycopy"/>
        <w:numPr>
          <w:ilvl w:val="0"/>
          <w:numId w:val="6"/>
        </w:numPr>
        <w:rPr>
          <w:szCs w:val="22"/>
        </w:rPr>
      </w:pPr>
      <w:r w:rsidRPr="001E7D00">
        <w:rPr>
          <w:szCs w:val="22"/>
        </w:rPr>
        <w:t>relevant experiences and learnings from Australian State, Commonwealth and International jurisdictions; and</w:t>
      </w:r>
    </w:p>
    <w:p w:rsidR="002E676A" w:rsidRPr="001E7D00" w:rsidRDefault="00283118" w:rsidP="006C0055">
      <w:pPr>
        <w:pStyle w:val="Bodycopy"/>
        <w:numPr>
          <w:ilvl w:val="0"/>
          <w:numId w:val="6"/>
        </w:numPr>
        <w:rPr>
          <w:szCs w:val="22"/>
        </w:rPr>
      </w:pPr>
      <w:r w:rsidRPr="001E7D00">
        <w:rPr>
          <w:szCs w:val="22"/>
        </w:rPr>
        <w:t>any other relevant matter.</w:t>
      </w:r>
    </w:p>
    <w:p w:rsidR="00D5245F" w:rsidRDefault="00D5245F" w:rsidP="00EC7BB6">
      <w:pPr>
        <w:pStyle w:val="Prelimminorheading"/>
        <w:numPr>
          <w:ilvl w:val="0"/>
          <w:numId w:val="0"/>
        </w:numPr>
        <w:spacing w:after="240"/>
        <w:rPr>
          <w:sz w:val="30"/>
          <w:szCs w:val="30"/>
        </w:rPr>
      </w:pPr>
      <w:r>
        <w:rPr>
          <w:sz w:val="24"/>
          <w:szCs w:val="24"/>
        </w:rPr>
        <w:br w:type="page"/>
      </w:r>
      <w:bookmarkStart w:id="37" w:name="_Toc383615020"/>
      <w:r>
        <w:rPr>
          <w:sz w:val="30"/>
          <w:szCs w:val="30"/>
        </w:rPr>
        <w:t>List of acronyms</w:t>
      </w:r>
      <w:r w:rsidR="00EC7BB6">
        <w:rPr>
          <w:sz w:val="30"/>
          <w:szCs w:val="30"/>
        </w:rPr>
        <w:t xml:space="preserve">, </w:t>
      </w:r>
      <w:r>
        <w:rPr>
          <w:sz w:val="30"/>
          <w:szCs w:val="30"/>
        </w:rPr>
        <w:t>Abbreviations</w:t>
      </w:r>
      <w:r w:rsidR="00EC7BB6">
        <w:rPr>
          <w:sz w:val="30"/>
          <w:szCs w:val="30"/>
        </w:rPr>
        <w:t xml:space="preserve"> and Indigenous terms</w:t>
      </w:r>
      <w:bookmarkEnd w:id="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6911"/>
      </w:tblGrid>
      <w:tr w:rsidR="00D5245F" w:rsidTr="00D5245F">
        <w:tc>
          <w:tcPr>
            <w:tcW w:w="2376" w:type="dxa"/>
          </w:tcPr>
          <w:p w:rsidR="00D5245F" w:rsidRDefault="00D5245F" w:rsidP="00D5245F">
            <w:pPr>
              <w:pStyle w:val="StyleBodytextnonumberingBefore0ptAfter0ptLinesp"/>
              <w:spacing w:before="120" w:after="120"/>
            </w:pPr>
            <w:r>
              <w:t>ABS</w:t>
            </w:r>
          </w:p>
        </w:tc>
        <w:tc>
          <w:tcPr>
            <w:tcW w:w="6911" w:type="dxa"/>
          </w:tcPr>
          <w:p w:rsidR="00D5245F" w:rsidRDefault="00D5245F" w:rsidP="00D5245F">
            <w:pPr>
              <w:pStyle w:val="StyleBodytextnonumberingBefore0ptAfter0ptLinesp"/>
              <w:spacing w:before="120" w:after="120"/>
            </w:pPr>
            <w:r>
              <w:t>Australian Bureau of Statistics</w:t>
            </w:r>
          </w:p>
        </w:tc>
      </w:tr>
      <w:tr w:rsidR="00D5245F" w:rsidTr="00D5245F">
        <w:tc>
          <w:tcPr>
            <w:tcW w:w="2376" w:type="dxa"/>
          </w:tcPr>
          <w:p w:rsidR="00D5245F" w:rsidRDefault="00D5245F" w:rsidP="00D5245F">
            <w:pPr>
              <w:pStyle w:val="StyleBodytextnonumberingBefore0ptAfter0ptLinesp"/>
              <w:spacing w:before="120" w:after="120"/>
            </w:pPr>
            <w:r>
              <w:t>ACT</w:t>
            </w:r>
          </w:p>
        </w:tc>
        <w:tc>
          <w:tcPr>
            <w:tcW w:w="6911" w:type="dxa"/>
          </w:tcPr>
          <w:p w:rsidR="00D5245F" w:rsidRDefault="00362151" w:rsidP="00323080">
            <w:pPr>
              <w:pStyle w:val="StyleBodytextnonumberingBefore0ptAfter0ptLinesp"/>
              <w:spacing w:before="120" w:after="120"/>
            </w:pPr>
            <w:r>
              <w:t>Australian Capital Territory</w:t>
            </w:r>
            <w:r w:rsidR="00323080">
              <w:t>.</w:t>
            </w:r>
            <w:r>
              <w:t xml:space="preserve">  </w:t>
            </w:r>
            <w:r w:rsidR="00492192">
              <w:t>See also NT</w:t>
            </w:r>
          </w:p>
        </w:tc>
      </w:tr>
      <w:tr w:rsidR="00D5245F" w:rsidTr="00D5245F">
        <w:tc>
          <w:tcPr>
            <w:tcW w:w="2376" w:type="dxa"/>
          </w:tcPr>
          <w:p w:rsidR="00D5245F" w:rsidRDefault="00D5245F" w:rsidP="00D5245F">
            <w:pPr>
              <w:pStyle w:val="StyleBodytextnonumberingBefore0ptAfter0ptLinesp"/>
              <w:spacing w:before="120" w:after="120"/>
            </w:pPr>
            <w:r>
              <w:t>ACTPS</w:t>
            </w:r>
          </w:p>
        </w:tc>
        <w:tc>
          <w:tcPr>
            <w:tcW w:w="6911" w:type="dxa"/>
          </w:tcPr>
          <w:p w:rsidR="00D5245F" w:rsidRDefault="00D5245F" w:rsidP="00D5245F">
            <w:pPr>
              <w:pStyle w:val="StyleBodytextnonumberingBefore0ptAfter0ptLinesp"/>
              <w:spacing w:before="120" w:after="120"/>
            </w:pPr>
            <w:r>
              <w:t xml:space="preserve">ACT Public Service </w:t>
            </w:r>
          </w:p>
        </w:tc>
      </w:tr>
      <w:tr w:rsidR="00D5245F" w:rsidTr="00D5245F">
        <w:tc>
          <w:tcPr>
            <w:tcW w:w="2376" w:type="dxa"/>
          </w:tcPr>
          <w:p w:rsidR="00D5245F" w:rsidRDefault="00D5245F" w:rsidP="00D5245F">
            <w:pPr>
              <w:pStyle w:val="StyleBodytextnonumberingBefore0ptAfter0ptLinesp"/>
              <w:spacing w:before="120" w:after="120"/>
            </w:pPr>
            <w:r>
              <w:t>ANU</w:t>
            </w:r>
          </w:p>
        </w:tc>
        <w:tc>
          <w:tcPr>
            <w:tcW w:w="6911" w:type="dxa"/>
          </w:tcPr>
          <w:p w:rsidR="00D5245F" w:rsidRDefault="00D5245F" w:rsidP="00D5245F">
            <w:pPr>
              <w:pStyle w:val="StyleBodytextnonumberingBefore0ptAfter0ptLinesp"/>
              <w:spacing w:before="120" w:after="120"/>
            </w:pPr>
            <w:r>
              <w:t>Australian National University</w:t>
            </w:r>
          </w:p>
        </w:tc>
      </w:tr>
      <w:tr w:rsidR="002E195A" w:rsidTr="00D5245F">
        <w:tc>
          <w:tcPr>
            <w:tcW w:w="2376" w:type="dxa"/>
          </w:tcPr>
          <w:p w:rsidR="002E195A" w:rsidRDefault="002E195A" w:rsidP="00492192">
            <w:pPr>
              <w:pStyle w:val="StyleBodytextnonumberingBefore0ptAfter0ptLinesp"/>
              <w:spacing w:before="120" w:after="120"/>
            </w:pPr>
            <w:r>
              <w:t>APS</w:t>
            </w:r>
          </w:p>
        </w:tc>
        <w:tc>
          <w:tcPr>
            <w:tcW w:w="6911" w:type="dxa"/>
          </w:tcPr>
          <w:p w:rsidR="002E195A" w:rsidRDefault="002E195A" w:rsidP="00492192">
            <w:pPr>
              <w:pStyle w:val="StyleBodytextnonumberingBefore0ptAfter0ptLinesp"/>
              <w:spacing w:before="120" w:after="120"/>
            </w:pPr>
            <w:r>
              <w:t xml:space="preserve">Australian Public Service </w:t>
            </w:r>
          </w:p>
        </w:tc>
      </w:tr>
      <w:tr w:rsidR="002E195A" w:rsidTr="00D5245F">
        <w:tc>
          <w:tcPr>
            <w:tcW w:w="2376" w:type="dxa"/>
          </w:tcPr>
          <w:p w:rsidR="002E195A" w:rsidRDefault="002E195A" w:rsidP="00492192">
            <w:pPr>
              <w:pStyle w:val="StyleBodytextnonumberingBefore0ptAfter0ptLinesp"/>
              <w:spacing w:before="120" w:after="120"/>
            </w:pPr>
            <w:r>
              <w:t>APSC</w:t>
            </w:r>
          </w:p>
        </w:tc>
        <w:tc>
          <w:tcPr>
            <w:tcW w:w="6911" w:type="dxa"/>
          </w:tcPr>
          <w:p w:rsidR="002E195A" w:rsidRDefault="002E195A" w:rsidP="00492192">
            <w:pPr>
              <w:pStyle w:val="StyleBodytextnonumberingBefore0ptAfter0ptLinesp"/>
              <w:spacing w:before="120" w:after="120"/>
            </w:pPr>
            <w:r>
              <w:t>Australian Public Service Commission</w:t>
            </w:r>
          </w:p>
        </w:tc>
      </w:tr>
      <w:tr w:rsidR="002E195A" w:rsidTr="00D5245F">
        <w:tc>
          <w:tcPr>
            <w:tcW w:w="2376" w:type="dxa"/>
          </w:tcPr>
          <w:p w:rsidR="002E195A" w:rsidRDefault="002E195A" w:rsidP="00492192">
            <w:pPr>
              <w:pStyle w:val="StyleBodytextnonumberingBefore0ptAfter0ptLinesp"/>
              <w:spacing w:before="120" w:after="120"/>
            </w:pPr>
            <w:r>
              <w:t>ASO 6</w:t>
            </w:r>
          </w:p>
        </w:tc>
        <w:tc>
          <w:tcPr>
            <w:tcW w:w="6911" w:type="dxa"/>
          </w:tcPr>
          <w:p w:rsidR="002E195A" w:rsidRDefault="002E195A" w:rsidP="00492192">
            <w:pPr>
              <w:pStyle w:val="StyleBodytextnonumberingBefore0ptAfter0ptLinesp"/>
              <w:spacing w:before="120" w:after="120"/>
            </w:pPr>
            <w:r>
              <w:t>Administrative Services Officer Grade 6.  Classification used in the ACTPS</w:t>
            </w:r>
          </w:p>
        </w:tc>
      </w:tr>
      <w:tr w:rsidR="002E195A" w:rsidTr="00D5245F">
        <w:tc>
          <w:tcPr>
            <w:tcW w:w="2376" w:type="dxa"/>
          </w:tcPr>
          <w:p w:rsidR="002E195A" w:rsidRDefault="002E195A" w:rsidP="00D5245F">
            <w:pPr>
              <w:pStyle w:val="StyleBodytextnonumberingBefore0ptAfter0ptLinesp"/>
              <w:spacing w:before="120" w:after="120"/>
            </w:pPr>
            <w:r>
              <w:t>ATSI</w:t>
            </w:r>
          </w:p>
        </w:tc>
        <w:tc>
          <w:tcPr>
            <w:tcW w:w="6911" w:type="dxa"/>
          </w:tcPr>
          <w:p w:rsidR="002E195A" w:rsidRDefault="002E195A" w:rsidP="00D5245F">
            <w:pPr>
              <w:pStyle w:val="StyleBodytextnonumberingBefore0ptAfter0ptLinesp"/>
              <w:spacing w:before="120" w:after="120"/>
            </w:pPr>
            <w:r>
              <w:t xml:space="preserve">Aboriginal and Torres Strait Islander </w:t>
            </w:r>
          </w:p>
        </w:tc>
      </w:tr>
      <w:tr w:rsidR="002456EB" w:rsidTr="00D5245F">
        <w:tc>
          <w:tcPr>
            <w:tcW w:w="2376" w:type="dxa"/>
          </w:tcPr>
          <w:p w:rsidR="002456EB" w:rsidRDefault="002456EB" w:rsidP="00D5245F">
            <w:pPr>
              <w:pStyle w:val="StyleBodytextnonumberingBefore0ptAfter0ptLinesp"/>
              <w:spacing w:before="120" w:after="120"/>
            </w:pPr>
            <w:r>
              <w:t>ATSIEB</w:t>
            </w:r>
          </w:p>
        </w:tc>
        <w:tc>
          <w:tcPr>
            <w:tcW w:w="6911" w:type="dxa"/>
          </w:tcPr>
          <w:p w:rsidR="002456EB" w:rsidRDefault="002456EB" w:rsidP="00D5245F">
            <w:pPr>
              <w:pStyle w:val="StyleBodytextnonumberingBefore0ptAfter0ptLinesp"/>
              <w:spacing w:before="120" w:after="120"/>
            </w:pPr>
            <w:r>
              <w:t xml:space="preserve">ACT Aboriginal and Torres Strait Islander </w:t>
            </w:r>
            <w:r w:rsidR="00323080">
              <w:t xml:space="preserve">Elected Body </w:t>
            </w:r>
            <w:r>
              <w:t xml:space="preserve"> </w:t>
            </w:r>
          </w:p>
        </w:tc>
      </w:tr>
      <w:tr w:rsidR="00EC7BB6" w:rsidTr="00D5245F">
        <w:tc>
          <w:tcPr>
            <w:tcW w:w="2376" w:type="dxa"/>
          </w:tcPr>
          <w:p w:rsidR="00EC7BB6" w:rsidRDefault="00EC7BB6" w:rsidP="00D5245F">
            <w:pPr>
              <w:pStyle w:val="StyleBodytextnonumberingBefore0ptAfter0ptLinesp"/>
              <w:spacing w:before="120" w:after="120"/>
            </w:pPr>
            <w:r>
              <w:t>BLS</w:t>
            </w:r>
          </w:p>
        </w:tc>
        <w:tc>
          <w:tcPr>
            <w:tcW w:w="6911" w:type="dxa"/>
          </w:tcPr>
          <w:p w:rsidR="00EC7BB6" w:rsidRDefault="00EC7BB6" w:rsidP="00D5245F">
            <w:pPr>
              <w:pStyle w:val="StyleBodytextnonumberingBefore0ptAfter0ptLinesp"/>
              <w:spacing w:before="120" w:after="120"/>
            </w:pPr>
            <w:r>
              <w:t>Bureau of Labor Statistics in the United States</w:t>
            </w:r>
          </w:p>
        </w:tc>
      </w:tr>
      <w:tr w:rsidR="002E195A" w:rsidTr="00D5245F">
        <w:tc>
          <w:tcPr>
            <w:tcW w:w="2376" w:type="dxa"/>
          </w:tcPr>
          <w:p w:rsidR="002E195A" w:rsidRDefault="002E195A" w:rsidP="00D5245F">
            <w:pPr>
              <w:pStyle w:val="StyleBodytextnonumberingBefore0ptAfter0ptLinesp"/>
              <w:spacing w:before="120" w:after="120"/>
            </w:pPr>
            <w:r>
              <w:t>CAEPR</w:t>
            </w:r>
          </w:p>
        </w:tc>
        <w:tc>
          <w:tcPr>
            <w:tcW w:w="6911" w:type="dxa"/>
          </w:tcPr>
          <w:p w:rsidR="002E195A" w:rsidRDefault="002E195A" w:rsidP="00D5245F">
            <w:pPr>
              <w:pStyle w:val="StyleBodytextnonumberingBefore0ptAfter0ptLinesp"/>
              <w:spacing w:before="120" w:after="120"/>
            </w:pPr>
            <w:r>
              <w:t>Centre for Aboriginal Economic Policy Research, ANU</w:t>
            </w:r>
          </w:p>
        </w:tc>
      </w:tr>
      <w:tr w:rsidR="002E195A" w:rsidTr="00D5245F">
        <w:tc>
          <w:tcPr>
            <w:tcW w:w="2376" w:type="dxa"/>
          </w:tcPr>
          <w:p w:rsidR="002E195A" w:rsidRDefault="002E195A" w:rsidP="00D5245F">
            <w:pPr>
              <w:pStyle w:val="StyleBodytextnonumberingBefore0ptAfter0ptLinesp"/>
              <w:spacing w:before="120" w:after="120"/>
            </w:pPr>
            <w:r>
              <w:t>COAG</w:t>
            </w:r>
          </w:p>
        </w:tc>
        <w:tc>
          <w:tcPr>
            <w:tcW w:w="6911" w:type="dxa"/>
          </w:tcPr>
          <w:p w:rsidR="002E195A" w:rsidRDefault="002E195A" w:rsidP="00D5245F">
            <w:pPr>
              <w:pStyle w:val="StyleBodytextnonumberingBefore0ptAfter0ptLinesp"/>
              <w:spacing w:before="120" w:after="120"/>
            </w:pPr>
            <w:r>
              <w:t>Council of Australian Governments</w:t>
            </w:r>
          </w:p>
        </w:tc>
      </w:tr>
      <w:tr w:rsidR="002E195A" w:rsidTr="00D5245F">
        <w:tc>
          <w:tcPr>
            <w:tcW w:w="2376" w:type="dxa"/>
          </w:tcPr>
          <w:p w:rsidR="002E195A" w:rsidRDefault="002E195A" w:rsidP="00D5245F">
            <w:pPr>
              <w:pStyle w:val="StyleBodytextnonumberingBefore0ptAfter0ptLinesp"/>
              <w:spacing w:before="120" w:after="120"/>
            </w:pPr>
            <w:r>
              <w:t>CEO</w:t>
            </w:r>
          </w:p>
        </w:tc>
        <w:tc>
          <w:tcPr>
            <w:tcW w:w="6911" w:type="dxa"/>
          </w:tcPr>
          <w:p w:rsidR="002E195A" w:rsidRDefault="002E195A" w:rsidP="00D5245F">
            <w:pPr>
              <w:pStyle w:val="StyleBodytextnonumberingBefore0ptAfter0ptLinesp"/>
              <w:spacing w:before="120" w:after="120"/>
            </w:pPr>
            <w:r>
              <w:t xml:space="preserve">Chief Executive Officer </w:t>
            </w:r>
          </w:p>
        </w:tc>
      </w:tr>
      <w:tr w:rsidR="002456EB" w:rsidTr="00D5245F">
        <w:tc>
          <w:tcPr>
            <w:tcW w:w="2376" w:type="dxa"/>
          </w:tcPr>
          <w:p w:rsidR="002456EB" w:rsidRDefault="002456EB" w:rsidP="00D5245F">
            <w:pPr>
              <w:pStyle w:val="StyleBodytextnonumberingBefore0ptAfter0ptLinesp"/>
              <w:spacing w:before="120" w:after="120"/>
            </w:pPr>
            <w:r>
              <w:t>CMTD</w:t>
            </w:r>
          </w:p>
        </w:tc>
        <w:tc>
          <w:tcPr>
            <w:tcW w:w="6911" w:type="dxa"/>
          </w:tcPr>
          <w:p w:rsidR="002456EB" w:rsidRDefault="002456EB" w:rsidP="002456EB">
            <w:pPr>
              <w:pStyle w:val="StyleBodytextnonumberingBefore0ptAfter0ptLinesp"/>
              <w:spacing w:before="120" w:after="120"/>
            </w:pPr>
            <w:r w:rsidRPr="002456EB">
              <w:rPr>
                <w:lang w:val="en-US"/>
              </w:rPr>
              <w:t>Chief Minister and Treasury Directorate</w:t>
            </w:r>
          </w:p>
        </w:tc>
      </w:tr>
      <w:tr w:rsidR="002E195A" w:rsidTr="00D5245F">
        <w:tc>
          <w:tcPr>
            <w:tcW w:w="2376" w:type="dxa"/>
          </w:tcPr>
          <w:p w:rsidR="002E195A" w:rsidRDefault="002E195A" w:rsidP="00D5245F">
            <w:pPr>
              <w:pStyle w:val="StyleBodytextnonumberingBefore0ptAfter0ptLinesp"/>
              <w:spacing w:before="120" w:after="120"/>
            </w:pPr>
            <w:r>
              <w:t>CSD</w:t>
            </w:r>
          </w:p>
        </w:tc>
        <w:tc>
          <w:tcPr>
            <w:tcW w:w="6911" w:type="dxa"/>
          </w:tcPr>
          <w:p w:rsidR="002E195A" w:rsidRDefault="002E195A" w:rsidP="00D5245F">
            <w:pPr>
              <w:pStyle w:val="StyleBodytextnonumberingBefore0ptAfter0ptLinesp"/>
              <w:spacing w:before="120" w:after="120"/>
            </w:pPr>
            <w:r>
              <w:t xml:space="preserve">Community Services Directorate in the ACTPS </w:t>
            </w:r>
          </w:p>
        </w:tc>
      </w:tr>
      <w:tr w:rsidR="002E195A" w:rsidTr="00D5245F">
        <w:tc>
          <w:tcPr>
            <w:tcW w:w="2376" w:type="dxa"/>
          </w:tcPr>
          <w:p w:rsidR="002E195A" w:rsidRDefault="002E195A" w:rsidP="00D5245F">
            <w:pPr>
              <w:pStyle w:val="StyleBodytextnonumberingBefore0ptAfter0ptLinesp"/>
              <w:spacing w:before="120" w:after="120"/>
            </w:pPr>
            <w:r>
              <w:t>DFEEST</w:t>
            </w:r>
          </w:p>
        </w:tc>
        <w:tc>
          <w:tcPr>
            <w:tcW w:w="6911" w:type="dxa"/>
          </w:tcPr>
          <w:p w:rsidR="002E195A" w:rsidRDefault="00492192" w:rsidP="00492192">
            <w:pPr>
              <w:pStyle w:val="StyleBodytextnonumberingBefore0ptAfter0ptLinesp"/>
              <w:spacing w:before="120" w:after="120"/>
            </w:pPr>
            <w:r>
              <w:t xml:space="preserve">South Australian State </w:t>
            </w:r>
            <w:r w:rsidR="002E195A" w:rsidRPr="002E195A">
              <w:t>Department of Further Education, Employment, Science and Technology</w:t>
            </w:r>
            <w:r w:rsidR="002E195A">
              <w:t xml:space="preserve"> </w:t>
            </w:r>
          </w:p>
        </w:tc>
      </w:tr>
      <w:tr w:rsidR="002E195A" w:rsidTr="00D5245F">
        <w:tc>
          <w:tcPr>
            <w:tcW w:w="2376" w:type="dxa"/>
          </w:tcPr>
          <w:p w:rsidR="002E195A" w:rsidRDefault="002E195A" w:rsidP="00D5245F">
            <w:pPr>
              <w:pStyle w:val="StyleBodytextnonumberingBefore0ptAfter0ptLinesp"/>
              <w:spacing w:before="120" w:after="120"/>
            </w:pPr>
            <w:r>
              <w:t>EEO</w:t>
            </w:r>
          </w:p>
        </w:tc>
        <w:tc>
          <w:tcPr>
            <w:tcW w:w="6911" w:type="dxa"/>
          </w:tcPr>
          <w:p w:rsidR="002E195A" w:rsidRDefault="002E195A" w:rsidP="00D5245F">
            <w:pPr>
              <w:pStyle w:val="StyleBodytextnonumberingBefore0ptAfter0ptLinesp"/>
              <w:spacing w:before="120" w:after="120"/>
            </w:pPr>
            <w:r>
              <w:t>Equal Employment Opportunities</w:t>
            </w:r>
          </w:p>
        </w:tc>
      </w:tr>
      <w:tr w:rsidR="002E195A" w:rsidTr="00D5245F">
        <w:tc>
          <w:tcPr>
            <w:tcW w:w="2376" w:type="dxa"/>
          </w:tcPr>
          <w:p w:rsidR="002E195A" w:rsidRDefault="00323080" w:rsidP="00D5245F">
            <w:pPr>
              <w:pStyle w:val="StyleBodytextnonumberingBefore0ptAfter0ptLinesp"/>
              <w:spacing w:before="120" w:after="120"/>
            </w:pPr>
            <w:r>
              <w:t xml:space="preserve">Elected Body </w:t>
            </w:r>
          </w:p>
        </w:tc>
        <w:tc>
          <w:tcPr>
            <w:tcW w:w="6911" w:type="dxa"/>
          </w:tcPr>
          <w:p w:rsidR="002E195A" w:rsidRDefault="002E195A" w:rsidP="00D5245F">
            <w:pPr>
              <w:pStyle w:val="StyleBodytextnonumberingBefore0ptAfter0ptLinesp"/>
              <w:spacing w:before="120" w:after="120"/>
            </w:pPr>
            <w:r>
              <w:t xml:space="preserve">ACT Aboriginal and Torres Strait Islander </w:t>
            </w:r>
            <w:r w:rsidR="00323080">
              <w:t xml:space="preserve">Elected Body </w:t>
            </w:r>
          </w:p>
        </w:tc>
      </w:tr>
      <w:tr w:rsidR="002E195A" w:rsidTr="00D5245F">
        <w:tc>
          <w:tcPr>
            <w:tcW w:w="2376" w:type="dxa"/>
          </w:tcPr>
          <w:p w:rsidR="002E195A" w:rsidRDefault="002E195A" w:rsidP="00D5245F">
            <w:pPr>
              <w:pStyle w:val="StyleBodytextnonumberingBefore0ptAfter0ptLinesp"/>
              <w:spacing w:before="120" w:after="120"/>
            </w:pPr>
            <w:r>
              <w:t>Head of Service</w:t>
            </w:r>
          </w:p>
        </w:tc>
        <w:tc>
          <w:tcPr>
            <w:tcW w:w="6911" w:type="dxa"/>
          </w:tcPr>
          <w:p w:rsidR="002E195A" w:rsidRDefault="00323080" w:rsidP="00323080">
            <w:pPr>
              <w:pStyle w:val="StyleBodytextnonumberingBefore0ptAfter0ptLinesp"/>
              <w:spacing w:before="120" w:after="120"/>
            </w:pPr>
            <w:r>
              <w:t xml:space="preserve">The </w:t>
            </w:r>
            <w:r w:rsidR="002E195A">
              <w:t>Head of Service</w:t>
            </w:r>
            <w:r>
              <w:t xml:space="preserve"> of the </w:t>
            </w:r>
            <w:r w:rsidR="002E195A">
              <w:t>ACT</w:t>
            </w:r>
            <w:r>
              <w:t xml:space="preserve"> Public Service </w:t>
            </w:r>
          </w:p>
        </w:tc>
      </w:tr>
      <w:tr w:rsidR="00340C33" w:rsidTr="00D5245F">
        <w:tc>
          <w:tcPr>
            <w:tcW w:w="2376" w:type="dxa"/>
          </w:tcPr>
          <w:p w:rsidR="00340C33" w:rsidRDefault="00340C33" w:rsidP="0094486C">
            <w:pPr>
              <w:pStyle w:val="StyleBodytextnonumberingBefore0ptAfter0ptLinesp"/>
              <w:spacing w:before="120" w:after="120"/>
            </w:pPr>
            <w:r>
              <w:t>HR</w:t>
            </w:r>
          </w:p>
        </w:tc>
        <w:tc>
          <w:tcPr>
            <w:tcW w:w="6911" w:type="dxa"/>
          </w:tcPr>
          <w:p w:rsidR="00340C33" w:rsidRDefault="00340C33" w:rsidP="00D5245F">
            <w:pPr>
              <w:pStyle w:val="StyleBodytextnonumberingBefore0ptAfter0ptLinesp"/>
              <w:spacing w:before="120" w:after="120"/>
            </w:pPr>
            <w:r>
              <w:t xml:space="preserve">Human Resources </w:t>
            </w:r>
          </w:p>
        </w:tc>
      </w:tr>
      <w:tr w:rsidR="002E195A" w:rsidTr="00D5245F">
        <w:tc>
          <w:tcPr>
            <w:tcW w:w="2376" w:type="dxa"/>
          </w:tcPr>
          <w:p w:rsidR="002E195A" w:rsidRDefault="002E195A" w:rsidP="0094486C">
            <w:pPr>
              <w:pStyle w:val="StyleBodytextnonumberingBefore0ptAfter0ptLinesp"/>
              <w:spacing w:before="120" w:after="120"/>
            </w:pPr>
            <w:r>
              <w:t>OAT</w:t>
            </w:r>
            <w:r w:rsidR="0094486C">
              <w:t>S</w:t>
            </w:r>
            <w:r>
              <w:t>IA</w:t>
            </w:r>
          </w:p>
        </w:tc>
        <w:tc>
          <w:tcPr>
            <w:tcW w:w="6911" w:type="dxa"/>
          </w:tcPr>
          <w:p w:rsidR="002E195A" w:rsidRDefault="002E195A" w:rsidP="00D5245F">
            <w:pPr>
              <w:pStyle w:val="StyleBodytextnonumberingBefore0ptAfter0ptLinesp"/>
              <w:spacing w:before="120" w:after="120"/>
            </w:pPr>
            <w:r>
              <w:t xml:space="preserve">Office of Aboriginal and Torres Strait Islander Affairs </w:t>
            </w:r>
          </w:p>
        </w:tc>
      </w:tr>
      <w:tr w:rsidR="00BC122A" w:rsidTr="00D5245F">
        <w:tc>
          <w:tcPr>
            <w:tcW w:w="2376" w:type="dxa"/>
          </w:tcPr>
          <w:p w:rsidR="00BC122A" w:rsidRDefault="00BC122A" w:rsidP="0094486C">
            <w:pPr>
              <w:pStyle w:val="StyleBodytextnonumberingBefore0ptAfter0ptLinesp"/>
              <w:spacing w:before="120" w:after="120"/>
            </w:pPr>
            <w:r>
              <w:t>ISO</w:t>
            </w:r>
          </w:p>
        </w:tc>
        <w:tc>
          <w:tcPr>
            <w:tcW w:w="6911" w:type="dxa"/>
          </w:tcPr>
          <w:p w:rsidR="00BC122A" w:rsidRDefault="00BC122A" w:rsidP="00BC122A">
            <w:pPr>
              <w:pStyle w:val="StyleBodytextnonumberingBefore0ptAfter0ptLinesp"/>
              <w:spacing w:before="120" w:after="120"/>
            </w:pPr>
            <w:r w:rsidRPr="00BC122A">
              <w:rPr>
                <w:lang w:val="en-US"/>
              </w:rPr>
              <w:t>International Standards Organisation</w:t>
            </w:r>
          </w:p>
        </w:tc>
      </w:tr>
      <w:tr w:rsidR="002E195A" w:rsidTr="00D5245F">
        <w:tc>
          <w:tcPr>
            <w:tcW w:w="2376" w:type="dxa"/>
          </w:tcPr>
          <w:p w:rsidR="002E195A" w:rsidRDefault="002E195A" w:rsidP="00D5245F">
            <w:pPr>
              <w:pStyle w:val="StyleBodytextnonumberingBefore0ptAfter0ptLinesp"/>
              <w:spacing w:before="120" w:after="120"/>
            </w:pPr>
            <w:r>
              <w:t>DEEWR</w:t>
            </w:r>
          </w:p>
        </w:tc>
        <w:tc>
          <w:tcPr>
            <w:tcW w:w="6911" w:type="dxa"/>
          </w:tcPr>
          <w:p w:rsidR="002E195A" w:rsidRDefault="002E195A" w:rsidP="00BC122A">
            <w:pPr>
              <w:pStyle w:val="StyleBodytextnonumberingBefore0ptAfter0ptLinesp"/>
              <w:spacing w:before="120" w:after="120"/>
            </w:pPr>
            <w:r>
              <w:t>Department of Education, Employment and Workplace Relations</w:t>
            </w:r>
            <w:r w:rsidR="00BC122A">
              <w:t xml:space="preserve"> in the </w:t>
            </w:r>
            <w:r>
              <w:t xml:space="preserve">APS.  After October 2013 </w:t>
            </w:r>
            <w:r w:rsidR="00BC122A">
              <w:t xml:space="preserve">DEEWR was split into </w:t>
            </w:r>
            <w:r>
              <w:t xml:space="preserve">two departments: </w:t>
            </w:r>
            <w:r w:rsidR="00BC122A">
              <w:t>the</w:t>
            </w:r>
            <w:r>
              <w:t xml:space="preserve"> Department of Education and </w:t>
            </w:r>
            <w:r w:rsidR="00BC122A">
              <w:t xml:space="preserve">the </w:t>
            </w:r>
            <w:r>
              <w:t>Department of Employment</w:t>
            </w:r>
          </w:p>
        </w:tc>
      </w:tr>
    </w:tbl>
    <w:p w:rsidR="00340C33" w:rsidRDefault="00340C3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6911"/>
      </w:tblGrid>
      <w:tr w:rsidR="00EC7BB6" w:rsidTr="00D5245F">
        <w:tc>
          <w:tcPr>
            <w:tcW w:w="2376" w:type="dxa"/>
          </w:tcPr>
          <w:p w:rsidR="00EC7BB6" w:rsidRDefault="00EC7BB6" w:rsidP="00D5245F">
            <w:pPr>
              <w:pStyle w:val="StyleBodytextnonumberingBefore0ptAfter0ptLinesp"/>
              <w:spacing w:before="120" w:after="120"/>
            </w:pPr>
            <w:r>
              <w:t>Mob</w:t>
            </w:r>
          </w:p>
        </w:tc>
        <w:tc>
          <w:tcPr>
            <w:tcW w:w="6911" w:type="dxa"/>
          </w:tcPr>
          <w:p w:rsidR="00EC7BB6" w:rsidRPr="002E195A" w:rsidRDefault="00EC7BB6" w:rsidP="00EC7BB6">
            <w:pPr>
              <w:pStyle w:val="StyleBodytextnonumberingBefore0ptAfter0ptLinesp"/>
              <w:spacing w:before="120" w:after="120"/>
              <w:rPr>
                <w:lang w:val="en-US"/>
              </w:rPr>
            </w:pPr>
            <w:r w:rsidRPr="00EC7BB6">
              <w:t>Regularly used to mean a group of people</w:t>
            </w:r>
            <w:r w:rsidR="00362151">
              <w:t xml:space="preserve">, </w:t>
            </w:r>
            <w:r w:rsidR="00362151" w:rsidRPr="00EC7BB6">
              <w:t>a</w:t>
            </w:r>
            <w:r w:rsidRPr="00EC7BB6">
              <w:t xml:space="preserve"> cohesive group. </w:t>
            </w:r>
            <w:r>
              <w:t xml:space="preserve"> </w:t>
            </w:r>
            <w:r w:rsidRPr="00EC7BB6">
              <w:t xml:space="preserve">My mob </w:t>
            </w:r>
            <w:r>
              <w:t xml:space="preserve">means </w:t>
            </w:r>
            <w:r w:rsidRPr="00EC7BB6">
              <w:t>my people or extended family. Mob is also often used to refer to a language group</w:t>
            </w:r>
            <w:r>
              <w:t>.</w:t>
            </w:r>
          </w:p>
        </w:tc>
      </w:tr>
      <w:tr w:rsidR="002E195A" w:rsidTr="00D5245F">
        <w:tc>
          <w:tcPr>
            <w:tcW w:w="2376" w:type="dxa"/>
          </w:tcPr>
          <w:p w:rsidR="002E195A" w:rsidRDefault="002E195A" w:rsidP="00D5245F">
            <w:pPr>
              <w:pStyle w:val="StyleBodytextnonumberingBefore0ptAfter0ptLinesp"/>
              <w:spacing w:before="120" w:after="120"/>
            </w:pPr>
            <w:r>
              <w:t>NAIDOC</w:t>
            </w:r>
          </w:p>
        </w:tc>
        <w:tc>
          <w:tcPr>
            <w:tcW w:w="6911" w:type="dxa"/>
          </w:tcPr>
          <w:p w:rsidR="002E195A" w:rsidRDefault="002E195A" w:rsidP="002E195A">
            <w:pPr>
              <w:pStyle w:val="StyleBodytextnonumberingBefore0ptAfter0ptLinesp"/>
              <w:spacing w:before="120" w:after="120"/>
            </w:pPr>
            <w:r w:rsidRPr="002E195A">
              <w:rPr>
                <w:lang w:val="en-US"/>
              </w:rPr>
              <w:t xml:space="preserve">NAIDOC originally stood for ‘National Aborigines and Islanders Day Observance Committee’. </w:t>
            </w:r>
            <w:r>
              <w:rPr>
                <w:lang w:val="en-US"/>
              </w:rPr>
              <w:t xml:space="preserve"> </w:t>
            </w:r>
            <w:r w:rsidRPr="002E195A">
              <w:rPr>
                <w:lang w:val="en-US"/>
              </w:rPr>
              <w:t>This committee was once responsible for organising national activities during NAIDOC Week and its acronym has since become the name of the week itself</w:t>
            </w:r>
            <w:r>
              <w:rPr>
                <w:lang w:val="en-US"/>
              </w:rPr>
              <w:t xml:space="preserve">.  More information is at: </w:t>
            </w:r>
            <w:hyperlink r:id="rId10" w:history="1">
              <w:r w:rsidRPr="0050530E">
                <w:rPr>
                  <w:rStyle w:val="Hyperlink"/>
                  <w:lang w:val="en-US"/>
                </w:rPr>
                <w:t>www.naidoc.org.au</w:t>
              </w:r>
            </w:hyperlink>
            <w:r>
              <w:rPr>
                <w:lang w:val="en-US"/>
              </w:rPr>
              <w:t xml:space="preserve"> </w:t>
            </w:r>
          </w:p>
        </w:tc>
      </w:tr>
      <w:tr w:rsidR="00492192" w:rsidTr="00D5245F">
        <w:tc>
          <w:tcPr>
            <w:tcW w:w="2376" w:type="dxa"/>
          </w:tcPr>
          <w:p w:rsidR="00492192" w:rsidRDefault="00492192" w:rsidP="00D5245F">
            <w:pPr>
              <w:pStyle w:val="StyleBodytextnonumberingBefore0ptAfter0ptLinesp"/>
              <w:spacing w:before="120" w:after="120"/>
            </w:pPr>
            <w:r>
              <w:t>NSW</w:t>
            </w:r>
          </w:p>
        </w:tc>
        <w:tc>
          <w:tcPr>
            <w:tcW w:w="6911" w:type="dxa"/>
          </w:tcPr>
          <w:p w:rsidR="00EC7BB6" w:rsidRDefault="00EC7BB6" w:rsidP="00EC7BB6">
            <w:pPr>
              <w:pStyle w:val="StyleBodytextnonumberingBefore0ptAfter0ptLinesp"/>
              <w:spacing w:before="120" w:after="120"/>
            </w:pPr>
            <w:r>
              <w:t xml:space="preserve">Australian State of </w:t>
            </w:r>
            <w:r w:rsidR="00492192">
              <w:t>New South Wales</w:t>
            </w:r>
          </w:p>
        </w:tc>
      </w:tr>
      <w:tr w:rsidR="00492192" w:rsidTr="00D5245F">
        <w:tc>
          <w:tcPr>
            <w:tcW w:w="2376" w:type="dxa"/>
          </w:tcPr>
          <w:p w:rsidR="00492192" w:rsidRDefault="00492192" w:rsidP="00D5245F">
            <w:pPr>
              <w:pStyle w:val="StyleBodytextnonumberingBefore0ptAfter0ptLinesp"/>
              <w:spacing w:before="120" w:after="120"/>
            </w:pPr>
            <w:r>
              <w:t>NT</w:t>
            </w:r>
          </w:p>
        </w:tc>
        <w:tc>
          <w:tcPr>
            <w:tcW w:w="6911" w:type="dxa"/>
          </w:tcPr>
          <w:p w:rsidR="00492192" w:rsidRDefault="00492192" w:rsidP="00492192">
            <w:pPr>
              <w:pStyle w:val="StyleBodytextnonumberingBefore0ptAfter0ptLinesp"/>
              <w:spacing w:before="120" w:after="120"/>
            </w:pPr>
            <w:r>
              <w:t xml:space="preserve">Northern Territory.  </w:t>
            </w:r>
          </w:p>
        </w:tc>
      </w:tr>
      <w:tr w:rsidR="00492192" w:rsidTr="00D5245F">
        <w:tc>
          <w:tcPr>
            <w:tcW w:w="2376" w:type="dxa"/>
          </w:tcPr>
          <w:p w:rsidR="00492192" w:rsidRDefault="00492192" w:rsidP="00492192">
            <w:pPr>
              <w:pStyle w:val="StyleBodytextnonumberingBefore0ptAfter0ptLinesp"/>
              <w:spacing w:before="120" w:after="120"/>
            </w:pPr>
            <w:r>
              <w:t>OCHRO</w:t>
            </w:r>
          </w:p>
        </w:tc>
        <w:tc>
          <w:tcPr>
            <w:tcW w:w="6911" w:type="dxa"/>
          </w:tcPr>
          <w:p w:rsidR="00492192" w:rsidRPr="002E195A" w:rsidRDefault="00492192" w:rsidP="00492192">
            <w:pPr>
              <w:pStyle w:val="StyleBodytextnonumberingBefore0ptAfter0ptLinesp"/>
              <w:spacing w:before="120" w:after="120"/>
              <w:rPr>
                <w:lang w:val="en-US"/>
              </w:rPr>
            </w:pPr>
            <w:r>
              <w:rPr>
                <w:lang w:val="en-US"/>
              </w:rPr>
              <w:t xml:space="preserve">Office of the Chief Human Resource Officer in </w:t>
            </w:r>
            <w:r w:rsidR="0094486C">
              <w:rPr>
                <w:lang w:val="en-US"/>
              </w:rPr>
              <w:t>Canada</w:t>
            </w:r>
            <w:r>
              <w:rPr>
                <w:lang w:val="en-US"/>
              </w:rPr>
              <w:t xml:space="preserve"> </w:t>
            </w:r>
          </w:p>
        </w:tc>
      </w:tr>
      <w:tr w:rsidR="00EC7BB6" w:rsidTr="00D5245F">
        <w:tc>
          <w:tcPr>
            <w:tcW w:w="2376" w:type="dxa"/>
          </w:tcPr>
          <w:p w:rsidR="00EC7BB6" w:rsidRDefault="00EC7BB6" w:rsidP="00D5245F">
            <w:pPr>
              <w:pStyle w:val="StyleBodytextnonumberingBefore0ptAfter0ptLinesp"/>
              <w:spacing w:before="120" w:after="120"/>
            </w:pPr>
            <w:r>
              <w:t>QLD</w:t>
            </w:r>
          </w:p>
        </w:tc>
        <w:tc>
          <w:tcPr>
            <w:tcW w:w="6911" w:type="dxa"/>
          </w:tcPr>
          <w:p w:rsidR="00EC7BB6" w:rsidRDefault="00EC7BB6" w:rsidP="00D5245F">
            <w:pPr>
              <w:pStyle w:val="StyleBodytextnonumberingBefore0ptAfter0ptLinesp"/>
              <w:spacing w:before="120" w:after="120"/>
            </w:pPr>
            <w:r>
              <w:t>Australian State of Queensland</w:t>
            </w:r>
          </w:p>
        </w:tc>
      </w:tr>
      <w:tr w:rsidR="00492192" w:rsidTr="00D5245F">
        <w:tc>
          <w:tcPr>
            <w:tcW w:w="2376" w:type="dxa"/>
          </w:tcPr>
          <w:p w:rsidR="00492192" w:rsidRDefault="00492192" w:rsidP="00D5245F">
            <w:pPr>
              <w:pStyle w:val="StyleBodytextnonumberingBefore0ptAfter0ptLinesp"/>
              <w:spacing w:before="120" w:after="120"/>
            </w:pPr>
            <w:r>
              <w:t>RED</w:t>
            </w:r>
          </w:p>
        </w:tc>
        <w:tc>
          <w:tcPr>
            <w:tcW w:w="6911" w:type="dxa"/>
          </w:tcPr>
          <w:p w:rsidR="00492192" w:rsidRDefault="00492192" w:rsidP="00D5245F">
            <w:pPr>
              <w:pStyle w:val="StyleBodytextnonumberingBefore0ptAfter0ptLinesp"/>
              <w:spacing w:before="120" w:after="120"/>
            </w:pPr>
            <w:r>
              <w:t>Respect, Equity and Diversity Framework in the ACTPS</w:t>
            </w:r>
          </w:p>
        </w:tc>
      </w:tr>
      <w:tr w:rsidR="00492192" w:rsidTr="00D5245F">
        <w:tc>
          <w:tcPr>
            <w:tcW w:w="2376" w:type="dxa"/>
          </w:tcPr>
          <w:p w:rsidR="00492192" w:rsidRDefault="00492192" w:rsidP="00D5245F">
            <w:pPr>
              <w:pStyle w:val="StyleBodytextnonumberingBefore0ptAfter0ptLinesp"/>
              <w:spacing w:before="120" w:after="120"/>
            </w:pPr>
            <w:r>
              <w:t>SA</w:t>
            </w:r>
          </w:p>
        </w:tc>
        <w:tc>
          <w:tcPr>
            <w:tcW w:w="6911" w:type="dxa"/>
          </w:tcPr>
          <w:p w:rsidR="00492192" w:rsidRDefault="00492192" w:rsidP="00D5245F">
            <w:pPr>
              <w:pStyle w:val="StyleBodytextnonumberingBefore0ptAfter0ptLinesp"/>
              <w:spacing w:before="120" w:after="120"/>
            </w:pPr>
            <w:r>
              <w:t>Australian State of South Australia</w:t>
            </w:r>
          </w:p>
        </w:tc>
      </w:tr>
      <w:tr w:rsidR="00492192" w:rsidTr="00D5245F">
        <w:tc>
          <w:tcPr>
            <w:tcW w:w="2376" w:type="dxa"/>
          </w:tcPr>
          <w:p w:rsidR="00492192" w:rsidRDefault="00492192" w:rsidP="00D5245F">
            <w:pPr>
              <w:pStyle w:val="StyleBodytextnonumberingBefore0ptAfter0ptLinesp"/>
              <w:spacing w:before="120" w:after="120"/>
            </w:pPr>
            <w:r>
              <w:t>SOG C</w:t>
            </w:r>
          </w:p>
        </w:tc>
        <w:tc>
          <w:tcPr>
            <w:tcW w:w="6911" w:type="dxa"/>
          </w:tcPr>
          <w:p w:rsidR="00492192" w:rsidRDefault="00492192" w:rsidP="00D5245F">
            <w:pPr>
              <w:pStyle w:val="StyleBodytextnonumberingBefore0ptAfter0ptLinesp"/>
              <w:spacing w:before="120" w:after="120"/>
            </w:pPr>
            <w:r>
              <w:t>Senior Officer Grade C.  Classification used in the ACTPS. See also ASO 6.</w:t>
            </w:r>
          </w:p>
        </w:tc>
      </w:tr>
      <w:tr w:rsidR="00492192" w:rsidTr="00D5245F">
        <w:tc>
          <w:tcPr>
            <w:tcW w:w="2376" w:type="dxa"/>
          </w:tcPr>
          <w:p w:rsidR="00492192" w:rsidRDefault="00492192" w:rsidP="00D5245F">
            <w:pPr>
              <w:pStyle w:val="StyleBodytextnonumberingBefore0ptAfter0ptLinesp"/>
              <w:spacing w:before="120" w:after="120"/>
            </w:pPr>
            <w:r>
              <w:t>Strategic Board</w:t>
            </w:r>
          </w:p>
        </w:tc>
        <w:tc>
          <w:tcPr>
            <w:tcW w:w="6911" w:type="dxa"/>
          </w:tcPr>
          <w:p w:rsidR="00492192" w:rsidRDefault="00492192" w:rsidP="00D5245F">
            <w:pPr>
              <w:pStyle w:val="StyleBodytextnonumberingBefore0ptAfter0ptLinesp"/>
              <w:spacing w:before="120" w:after="120"/>
            </w:pPr>
            <w:r>
              <w:t xml:space="preserve">Strategic Board of the ACT Public Service </w:t>
            </w:r>
          </w:p>
        </w:tc>
      </w:tr>
      <w:tr w:rsidR="00492192" w:rsidTr="00D5245F">
        <w:tc>
          <w:tcPr>
            <w:tcW w:w="2376" w:type="dxa"/>
          </w:tcPr>
          <w:p w:rsidR="00492192" w:rsidRDefault="00492192" w:rsidP="00D5245F">
            <w:pPr>
              <w:pStyle w:val="StyleBodytextnonumberingBefore0ptAfter0ptLinesp"/>
              <w:spacing w:before="120" w:after="120"/>
            </w:pPr>
            <w:r>
              <w:t>TAS</w:t>
            </w:r>
          </w:p>
        </w:tc>
        <w:tc>
          <w:tcPr>
            <w:tcW w:w="6911" w:type="dxa"/>
          </w:tcPr>
          <w:p w:rsidR="00492192" w:rsidRDefault="00492192" w:rsidP="00D5245F">
            <w:pPr>
              <w:pStyle w:val="StyleBodytextnonumberingBefore0ptAfter0ptLinesp"/>
              <w:spacing w:before="120" w:after="120"/>
              <w:rPr>
                <w:lang w:val="en-US"/>
              </w:rPr>
            </w:pPr>
            <w:r>
              <w:rPr>
                <w:lang w:val="en-US"/>
              </w:rPr>
              <w:t xml:space="preserve">Australian State of Tasmania </w:t>
            </w:r>
          </w:p>
        </w:tc>
      </w:tr>
      <w:tr w:rsidR="00492192" w:rsidTr="00D5245F">
        <w:tc>
          <w:tcPr>
            <w:tcW w:w="2376" w:type="dxa"/>
          </w:tcPr>
          <w:p w:rsidR="00492192" w:rsidRDefault="00492192" w:rsidP="00D5245F">
            <w:pPr>
              <w:pStyle w:val="StyleBodytextnonumberingBefore0ptAfter0ptLinesp"/>
              <w:spacing w:before="120" w:after="120"/>
            </w:pPr>
            <w:r>
              <w:t>WA</w:t>
            </w:r>
          </w:p>
        </w:tc>
        <w:tc>
          <w:tcPr>
            <w:tcW w:w="6911" w:type="dxa"/>
          </w:tcPr>
          <w:p w:rsidR="00492192" w:rsidRPr="00D5245F" w:rsidRDefault="00492192" w:rsidP="00D5245F">
            <w:pPr>
              <w:pStyle w:val="StyleBodytextnonumberingBefore0ptAfter0ptLinesp"/>
              <w:spacing w:before="120" w:after="120"/>
              <w:rPr>
                <w:lang w:val="en-US"/>
              </w:rPr>
            </w:pPr>
            <w:r>
              <w:rPr>
                <w:lang w:val="en-US"/>
              </w:rPr>
              <w:t>Australian State of Western Australia</w:t>
            </w:r>
          </w:p>
        </w:tc>
      </w:tr>
      <w:tr w:rsidR="00492192" w:rsidTr="00D5245F">
        <w:tc>
          <w:tcPr>
            <w:tcW w:w="2376" w:type="dxa"/>
          </w:tcPr>
          <w:p w:rsidR="00492192" w:rsidRDefault="00492192" w:rsidP="00D5245F">
            <w:pPr>
              <w:pStyle w:val="StyleBodytextnonumberingBefore0ptAfter0ptLinesp"/>
              <w:spacing w:before="120" w:after="120"/>
            </w:pPr>
            <w:r>
              <w:t>WISeR</w:t>
            </w:r>
          </w:p>
        </w:tc>
        <w:tc>
          <w:tcPr>
            <w:tcW w:w="6911" w:type="dxa"/>
          </w:tcPr>
          <w:p w:rsidR="00492192" w:rsidRPr="00492192" w:rsidRDefault="00492192" w:rsidP="00D5245F">
            <w:pPr>
              <w:pStyle w:val="StyleBodytextnonumberingBefore0ptAfter0ptLinesp"/>
              <w:spacing w:before="120" w:after="120"/>
              <w:rPr>
                <w:lang w:val="en-US"/>
              </w:rPr>
            </w:pPr>
            <w:r w:rsidRPr="00D5245F">
              <w:rPr>
                <w:lang w:val="en-US"/>
              </w:rPr>
              <w:t>Australian Workplace Innovation and Research Centre</w:t>
            </w:r>
            <w:r>
              <w:rPr>
                <w:lang w:val="en-US"/>
              </w:rPr>
              <w:t>, University of Adelaide</w:t>
            </w:r>
          </w:p>
        </w:tc>
      </w:tr>
      <w:tr w:rsidR="00492192" w:rsidTr="00D5245F">
        <w:tc>
          <w:tcPr>
            <w:tcW w:w="2376" w:type="dxa"/>
          </w:tcPr>
          <w:p w:rsidR="00492192" w:rsidRDefault="00492192" w:rsidP="00D5245F">
            <w:pPr>
              <w:pStyle w:val="StyleBodytextnonumberingBefore0ptAfter0ptLinesp"/>
              <w:spacing w:before="120" w:after="120"/>
            </w:pPr>
            <w:r>
              <w:t>VIC</w:t>
            </w:r>
          </w:p>
        </w:tc>
        <w:tc>
          <w:tcPr>
            <w:tcW w:w="6911" w:type="dxa"/>
          </w:tcPr>
          <w:p w:rsidR="00492192" w:rsidRPr="00D5245F" w:rsidRDefault="00492192" w:rsidP="00D5245F">
            <w:pPr>
              <w:pStyle w:val="StyleBodytextnonumberingBefore0ptAfter0ptLinesp"/>
              <w:spacing w:before="120" w:after="120"/>
              <w:rPr>
                <w:lang w:val="en-US"/>
              </w:rPr>
            </w:pPr>
            <w:r>
              <w:rPr>
                <w:lang w:val="en-US"/>
              </w:rPr>
              <w:t>Australian State of Victoria</w:t>
            </w:r>
          </w:p>
        </w:tc>
      </w:tr>
    </w:tbl>
    <w:p w:rsidR="00D5245F" w:rsidRDefault="00D5245F" w:rsidP="00D5245F">
      <w:pPr>
        <w:pStyle w:val="StyleBodytextnonumberingBefore0ptAfter0ptLinesp"/>
      </w:pPr>
    </w:p>
    <w:p w:rsidR="00D561BC" w:rsidRDefault="00D561BC" w:rsidP="00E13F34">
      <w:pPr>
        <w:pStyle w:val="TOCheading"/>
      </w:pPr>
      <w:bookmarkStart w:id="38" w:name="_Toc341433423"/>
      <w:bookmarkStart w:id="39" w:name="_Toc341687868"/>
      <w:r>
        <w:t>Table of contents</w:t>
      </w:r>
      <w:bookmarkEnd w:id="38"/>
      <w:bookmarkEnd w:id="39"/>
      <w:r>
        <w:t xml:space="preserve"> </w:t>
      </w:r>
    </w:p>
    <w:p w:rsidR="00042800" w:rsidRDefault="00DC4D6C">
      <w:pPr>
        <w:pStyle w:val="TOC3"/>
        <w:rPr>
          <w:rFonts w:asciiTheme="minorHAnsi" w:eastAsiaTheme="minorEastAsia" w:hAnsiTheme="minorHAnsi" w:cstheme="minorBidi"/>
          <w:b w:val="0"/>
          <w:szCs w:val="22"/>
          <w:lang w:eastAsia="en-AU"/>
        </w:rPr>
      </w:pPr>
      <w:r w:rsidRPr="00DC4D6C">
        <w:fldChar w:fldCharType="begin"/>
      </w:r>
      <w:r w:rsidR="00D561BC">
        <w:instrText xml:space="preserve"> TOC \o "3-3" \h \z \t "Heading 1,1,Heading 2,2,Prelim major heading,1,Appendix Heading 1,1,Heading level 2,2" </w:instrText>
      </w:r>
      <w:r w:rsidRPr="00DC4D6C">
        <w:fldChar w:fldCharType="separate"/>
      </w:r>
      <w:hyperlink w:anchor="_Toc383615015" w:history="1">
        <w:r w:rsidR="00042800" w:rsidRPr="001366DE">
          <w:rPr>
            <w:rStyle w:val="Hyperlink"/>
            <w:spacing w:val="4"/>
          </w:rPr>
          <w:t>Committee membership</w:t>
        </w:r>
        <w:r w:rsidR="00042800">
          <w:rPr>
            <w:webHidden/>
          </w:rPr>
          <w:tab/>
        </w:r>
        <w:r>
          <w:rPr>
            <w:webHidden/>
          </w:rPr>
          <w:fldChar w:fldCharType="begin"/>
        </w:r>
        <w:r w:rsidR="00042800">
          <w:rPr>
            <w:webHidden/>
          </w:rPr>
          <w:instrText xml:space="preserve"> PAGEREF _Toc383615015 \h </w:instrText>
        </w:r>
        <w:r>
          <w:rPr>
            <w:webHidden/>
          </w:rPr>
        </w:r>
        <w:r>
          <w:rPr>
            <w:webHidden/>
          </w:rPr>
          <w:fldChar w:fldCharType="separate"/>
        </w:r>
        <w:r w:rsidR="00081037">
          <w:rPr>
            <w:webHidden/>
          </w:rPr>
          <w:t>iii</w:t>
        </w:r>
        <w:r>
          <w:rPr>
            <w:webHidden/>
          </w:rPr>
          <w:fldChar w:fldCharType="end"/>
        </w:r>
      </w:hyperlink>
    </w:p>
    <w:p w:rsidR="00042800" w:rsidRDefault="00DC4D6C">
      <w:pPr>
        <w:pStyle w:val="TOC3"/>
        <w:rPr>
          <w:rFonts w:asciiTheme="minorHAnsi" w:eastAsiaTheme="minorEastAsia" w:hAnsiTheme="minorHAnsi" w:cstheme="minorBidi"/>
          <w:b w:val="0"/>
          <w:szCs w:val="22"/>
          <w:lang w:eastAsia="en-AU"/>
        </w:rPr>
      </w:pPr>
      <w:hyperlink w:anchor="_Toc383615016" w:history="1">
        <w:r w:rsidR="00042800" w:rsidRPr="001366DE">
          <w:rPr>
            <w:rStyle w:val="Hyperlink"/>
          </w:rPr>
          <w:t>Secretariat</w:t>
        </w:r>
        <w:r w:rsidR="00042800">
          <w:rPr>
            <w:webHidden/>
          </w:rPr>
          <w:tab/>
        </w:r>
        <w:r>
          <w:rPr>
            <w:webHidden/>
          </w:rPr>
          <w:fldChar w:fldCharType="begin"/>
        </w:r>
        <w:r w:rsidR="00042800">
          <w:rPr>
            <w:webHidden/>
          </w:rPr>
          <w:instrText xml:space="preserve"> PAGEREF _Toc383615016 \h </w:instrText>
        </w:r>
        <w:r>
          <w:rPr>
            <w:webHidden/>
          </w:rPr>
        </w:r>
        <w:r>
          <w:rPr>
            <w:webHidden/>
          </w:rPr>
          <w:fldChar w:fldCharType="separate"/>
        </w:r>
        <w:r w:rsidR="00081037">
          <w:rPr>
            <w:webHidden/>
          </w:rPr>
          <w:t>iii</w:t>
        </w:r>
        <w:r>
          <w:rPr>
            <w:webHidden/>
          </w:rPr>
          <w:fldChar w:fldCharType="end"/>
        </w:r>
      </w:hyperlink>
    </w:p>
    <w:p w:rsidR="00042800" w:rsidRDefault="00DC4D6C">
      <w:pPr>
        <w:pStyle w:val="TOC3"/>
        <w:rPr>
          <w:rFonts w:asciiTheme="minorHAnsi" w:eastAsiaTheme="minorEastAsia" w:hAnsiTheme="minorHAnsi" w:cstheme="minorBidi"/>
          <w:b w:val="0"/>
          <w:szCs w:val="22"/>
          <w:lang w:eastAsia="en-AU"/>
        </w:rPr>
      </w:pPr>
      <w:hyperlink w:anchor="_Toc383615017" w:history="1">
        <w:r w:rsidR="00042800" w:rsidRPr="001366DE">
          <w:rPr>
            <w:rStyle w:val="Hyperlink"/>
          </w:rPr>
          <w:t>Contact information</w:t>
        </w:r>
        <w:r w:rsidR="00042800">
          <w:rPr>
            <w:webHidden/>
          </w:rPr>
          <w:tab/>
        </w:r>
        <w:r>
          <w:rPr>
            <w:webHidden/>
          </w:rPr>
          <w:fldChar w:fldCharType="begin"/>
        </w:r>
        <w:r w:rsidR="00042800">
          <w:rPr>
            <w:webHidden/>
          </w:rPr>
          <w:instrText xml:space="preserve"> PAGEREF _Toc383615017 \h </w:instrText>
        </w:r>
        <w:r>
          <w:rPr>
            <w:webHidden/>
          </w:rPr>
        </w:r>
        <w:r>
          <w:rPr>
            <w:webHidden/>
          </w:rPr>
          <w:fldChar w:fldCharType="separate"/>
        </w:r>
        <w:r w:rsidR="00081037">
          <w:rPr>
            <w:webHidden/>
          </w:rPr>
          <w:t>iii</w:t>
        </w:r>
        <w:r>
          <w:rPr>
            <w:webHidden/>
          </w:rPr>
          <w:fldChar w:fldCharType="end"/>
        </w:r>
      </w:hyperlink>
    </w:p>
    <w:p w:rsidR="00042800" w:rsidRDefault="00DC4D6C">
      <w:pPr>
        <w:pStyle w:val="TOC3"/>
        <w:rPr>
          <w:rFonts w:asciiTheme="minorHAnsi" w:eastAsiaTheme="minorEastAsia" w:hAnsiTheme="minorHAnsi" w:cstheme="minorBidi"/>
          <w:b w:val="0"/>
          <w:szCs w:val="22"/>
          <w:lang w:eastAsia="en-AU"/>
        </w:rPr>
      </w:pPr>
      <w:hyperlink w:anchor="_Toc383615018" w:history="1">
        <w:r w:rsidR="00042800" w:rsidRPr="001366DE">
          <w:rPr>
            <w:rStyle w:val="Hyperlink"/>
          </w:rPr>
          <w:t>Resolution of appointment</w:t>
        </w:r>
        <w:r w:rsidR="00042800">
          <w:rPr>
            <w:webHidden/>
          </w:rPr>
          <w:tab/>
        </w:r>
        <w:r>
          <w:rPr>
            <w:webHidden/>
          </w:rPr>
          <w:fldChar w:fldCharType="begin"/>
        </w:r>
        <w:r w:rsidR="00042800">
          <w:rPr>
            <w:webHidden/>
          </w:rPr>
          <w:instrText xml:space="preserve"> PAGEREF _Toc383615018 \h </w:instrText>
        </w:r>
        <w:r>
          <w:rPr>
            <w:webHidden/>
          </w:rPr>
        </w:r>
        <w:r>
          <w:rPr>
            <w:webHidden/>
          </w:rPr>
          <w:fldChar w:fldCharType="separate"/>
        </w:r>
        <w:r w:rsidR="00081037">
          <w:rPr>
            <w:webHidden/>
          </w:rPr>
          <w:t>iv</w:t>
        </w:r>
        <w:r>
          <w:rPr>
            <w:webHidden/>
          </w:rPr>
          <w:fldChar w:fldCharType="end"/>
        </w:r>
      </w:hyperlink>
    </w:p>
    <w:p w:rsidR="00042800" w:rsidRDefault="00DC4D6C">
      <w:pPr>
        <w:pStyle w:val="TOC3"/>
        <w:rPr>
          <w:rFonts w:asciiTheme="minorHAnsi" w:eastAsiaTheme="minorEastAsia" w:hAnsiTheme="minorHAnsi" w:cstheme="minorBidi"/>
          <w:b w:val="0"/>
          <w:szCs w:val="22"/>
          <w:lang w:eastAsia="en-AU"/>
        </w:rPr>
      </w:pPr>
      <w:hyperlink w:anchor="_Toc383615019" w:history="1">
        <w:r w:rsidR="00042800" w:rsidRPr="001366DE">
          <w:rPr>
            <w:rStyle w:val="Hyperlink"/>
          </w:rPr>
          <w:t>Terms of reference</w:t>
        </w:r>
        <w:r w:rsidR="00042800">
          <w:rPr>
            <w:webHidden/>
          </w:rPr>
          <w:tab/>
        </w:r>
        <w:r>
          <w:rPr>
            <w:webHidden/>
          </w:rPr>
          <w:fldChar w:fldCharType="begin"/>
        </w:r>
        <w:r w:rsidR="00042800">
          <w:rPr>
            <w:webHidden/>
          </w:rPr>
          <w:instrText xml:space="preserve"> PAGEREF _Toc383615019 \h </w:instrText>
        </w:r>
        <w:r>
          <w:rPr>
            <w:webHidden/>
          </w:rPr>
        </w:r>
        <w:r>
          <w:rPr>
            <w:webHidden/>
          </w:rPr>
          <w:fldChar w:fldCharType="separate"/>
        </w:r>
        <w:r w:rsidR="00081037">
          <w:rPr>
            <w:webHidden/>
          </w:rPr>
          <w:t>iv</w:t>
        </w:r>
        <w:r>
          <w:rPr>
            <w:webHidden/>
          </w:rPr>
          <w:fldChar w:fldCharType="end"/>
        </w:r>
      </w:hyperlink>
    </w:p>
    <w:p w:rsidR="00042800" w:rsidRDefault="00DC4D6C">
      <w:pPr>
        <w:pStyle w:val="TOC3"/>
        <w:rPr>
          <w:rFonts w:asciiTheme="minorHAnsi" w:eastAsiaTheme="minorEastAsia" w:hAnsiTheme="minorHAnsi" w:cstheme="minorBidi"/>
          <w:b w:val="0"/>
          <w:szCs w:val="22"/>
          <w:lang w:eastAsia="en-AU"/>
        </w:rPr>
      </w:pPr>
      <w:hyperlink w:anchor="_Toc383615020" w:history="1">
        <w:r w:rsidR="00042800" w:rsidRPr="001366DE">
          <w:rPr>
            <w:rStyle w:val="Hyperlink"/>
          </w:rPr>
          <w:t>List of acronyms, Abbreviations and Indigenous terms</w:t>
        </w:r>
        <w:r w:rsidR="00042800">
          <w:rPr>
            <w:webHidden/>
          </w:rPr>
          <w:tab/>
        </w:r>
        <w:r>
          <w:rPr>
            <w:webHidden/>
          </w:rPr>
          <w:fldChar w:fldCharType="begin"/>
        </w:r>
        <w:r w:rsidR="00042800">
          <w:rPr>
            <w:webHidden/>
          </w:rPr>
          <w:instrText xml:space="preserve"> PAGEREF _Toc383615020 \h </w:instrText>
        </w:r>
        <w:r>
          <w:rPr>
            <w:webHidden/>
          </w:rPr>
        </w:r>
        <w:r>
          <w:rPr>
            <w:webHidden/>
          </w:rPr>
          <w:fldChar w:fldCharType="separate"/>
        </w:r>
        <w:r w:rsidR="00081037">
          <w:rPr>
            <w:webHidden/>
          </w:rPr>
          <w:t>v</w:t>
        </w:r>
        <w:r>
          <w:rPr>
            <w:webHidden/>
          </w:rPr>
          <w:fldChar w:fldCharType="end"/>
        </w:r>
      </w:hyperlink>
    </w:p>
    <w:p w:rsidR="00042800" w:rsidRDefault="00DC4D6C">
      <w:pPr>
        <w:pStyle w:val="TOC1"/>
        <w:rPr>
          <w:rFonts w:asciiTheme="minorHAnsi" w:eastAsiaTheme="minorEastAsia" w:hAnsiTheme="minorHAnsi" w:cstheme="minorBidi"/>
          <w:b w:val="0"/>
          <w:smallCaps w:val="0"/>
          <w:spacing w:val="0"/>
          <w:sz w:val="22"/>
          <w:lang w:eastAsia="en-AU"/>
        </w:rPr>
      </w:pPr>
      <w:hyperlink w:anchor="_Toc383615021" w:history="1">
        <w:r w:rsidR="00042800" w:rsidRPr="001366DE">
          <w:rPr>
            <w:rStyle w:val="Hyperlink"/>
          </w:rPr>
          <w:t>Recommendations</w:t>
        </w:r>
        <w:r w:rsidR="00042800">
          <w:rPr>
            <w:webHidden/>
          </w:rPr>
          <w:tab/>
        </w:r>
        <w:r>
          <w:rPr>
            <w:webHidden/>
          </w:rPr>
          <w:fldChar w:fldCharType="begin"/>
        </w:r>
        <w:r w:rsidR="00042800">
          <w:rPr>
            <w:webHidden/>
          </w:rPr>
          <w:instrText xml:space="preserve"> PAGEREF _Toc383615021 \h </w:instrText>
        </w:r>
        <w:r>
          <w:rPr>
            <w:webHidden/>
          </w:rPr>
        </w:r>
        <w:r>
          <w:rPr>
            <w:webHidden/>
          </w:rPr>
          <w:fldChar w:fldCharType="separate"/>
        </w:r>
        <w:r w:rsidR="00081037">
          <w:rPr>
            <w:webHidden/>
          </w:rPr>
          <w:t>ix</w:t>
        </w:r>
        <w:r>
          <w:rPr>
            <w:webHidden/>
          </w:rPr>
          <w:fldChar w:fldCharType="end"/>
        </w:r>
      </w:hyperlink>
    </w:p>
    <w:p w:rsidR="00042800" w:rsidRDefault="00DC4D6C">
      <w:pPr>
        <w:pStyle w:val="TOC1"/>
        <w:tabs>
          <w:tab w:val="left" w:pos="1587"/>
        </w:tabs>
        <w:rPr>
          <w:rFonts w:asciiTheme="minorHAnsi" w:eastAsiaTheme="minorEastAsia" w:hAnsiTheme="minorHAnsi" w:cstheme="minorBidi"/>
          <w:b w:val="0"/>
          <w:smallCaps w:val="0"/>
          <w:spacing w:val="0"/>
          <w:sz w:val="22"/>
          <w:lang w:eastAsia="en-AU"/>
        </w:rPr>
      </w:pPr>
      <w:hyperlink w:anchor="_Toc383615022" w:history="1">
        <w:r w:rsidR="00042800" w:rsidRPr="001366DE">
          <w:rPr>
            <w:rStyle w:val="Hyperlink"/>
          </w:rPr>
          <w:t>1</w:t>
        </w:r>
        <w:r w:rsidR="00042800">
          <w:rPr>
            <w:rFonts w:asciiTheme="minorHAnsi" w:eastAsiaTheme="minorEastAsia" w:hAnsiTheme="minorHAnsi" w:cstheme="minorBidi"/>
            <w:b w:val="0"/>
            <w:smallCaps w:val="0"/>
            <w:spacing w:val="0"/>
            <w:sz w:val="22"/>
            <w:lang w:eastAsia="en-AU"/>
          </w:rPr>
          <w:tab/>
        </w:r>
        <w:r w:rsidR="00042800" w:rsidRPr="001366DE">
          <w:rPr>
            <w:rStyle w:val="Hyperlink"/>
          </w:rPr>
          <w:t>Introduction</w:t>
        </w:r>
        <w:r w:rsidR="00042800">
          <w:rPr>
            <w:webHidden/>
          </w:rPr>
          <w:tab/>
        </w:r>
        <w:r>
          <w:rPr>
            <w:webHidden/>
          </w:rPr>
          <w:fldChar w:fldCharType="begin"/>
        </w:r>
        <w:r w:rsidR="00042800">
          <w:rPr>
            <w:webHidden/>
          </w:rPr>
          <w:instrText xml:space="preserve"> PAGEREF _Toc383615022 \h </w:instrText>
        </w:r>
        <w:r>
          <w:rPr>
            <w:webHidden/>
          </w:rPr>
        </w:r>
        <w:r>
          <w:rPr>
            <w:webHidden/>
          </w:rPr>
          <w:fldChar w:fldCharType="separate"/>
        </w:r>
        <w:r w:rsidR="00081037">
          <w:rPr>
            <w:webHidden/>
          </w:rPr>
          <w:t>15</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23" w:history="1">
        <w:r w:rsidR="00042800" w:rsidRPr="001366DE">
          <w:rPr>
            <w:rStyle w:val="Hyperlink"/>
          </w:rPr>
          <w:t>Background to the inquiry</w:t>
        </w:r>
        <w:r w:rsidR="00042800">
          <w:rPr>
            <w:webHidden/>
          </w:rPr>
          <w:tab/>
        </w:r>
        <w:r>
          <w:rPr>
            <w:webHidden/>
          </w:rPr>
          <w:fldChar w:fldCharType="begin"/>
        </w:r>
        <w:r w:rsidR="00042800">
          <w:rPr>
            <w:webHidden/>
          </w:rPr>
          <w:instrText xml:space="preserve"> PAGEREF _Toc383615023 \h </w:instrText>
        </w:r>
        <w:r>
          <w:rPr>
            <w:webHidden/>
          </w:rPr>
        </w:r>
        <w:r>
          <w:rPr>
            <w:webHidden/>
          </w:rPr>
          <w:fldChar w:fldCharType="separate"/>
        </w:r>
        <w:r w:rsidR="00081037">
          <w:rPr>
            <w:webHidden/>
          </w:rPr>
          <w:t>15</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24" w:history="1">
        <w:r w:rsidR="00042800" w:rsidRPr="001366DE">
          <w:rPr>
            <w:rStyle w:val="Hyperlink"/>
          </w:rPr>
          <w:t>ACT Public Service</w:t>
        </w:r>
        <w:r w:rsidR="00042800">
          <w:rPr>
            <w:webHidden/>
          </w:rPr>
          <w:tab/>
        </w:r>
        <w:r>
          <w:rPr>
            <w:webHidden/>
          </w:rPr>
          <w:fldChar w:fldCharType="begin"/>
        </w:r>
        <w:r w:rsidR="00042800">
          <w:rPr>
            <w:webHidden/>
          </w:rPr>
          <w:instrText xml:space="preserve"> PAGEREF _Toc383615024 \h </w:instrText>
        </w:r>
        <w:r>
          <w:rPr>
            <w:webHidden/>
          </w:rPr>
        </w:r>
        <w:r>
          <w:rPr>
            <w:webHidden/>
          </w:rPr>
          <w:fldChar w:fldCharType="separate"/>
        </w:r>
        <w:r w:rsidR="00081037">
          <w:rPr>
            <w:webHidden/>
          </w:rPr>
          <w:t>15</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25" w:history="1">
        <w:r w:rsidR="00042800" w:rsidRPr="001366DE">
          <w:rPr>
            <w:rStyle w:val="Hyperlink"/>
            <w:lang w:val="en-US"/>
          </w:rPr>
          <w:t>Conduct of the Inquiry</w:t>
        </w:r>
        <w:r w:rsidR="00042800">
          <w:rPr>
            <w:webHidden/>
          </w:rPr>
          <w:tab/>
        </w:r>
        <w:r>
          <w:rPr>
            <w:webHidden/>
          </w:rPr>
          <w:fldChar w:fldCharType="begin"/>
        </w:r>
        <w:r w:rsidR="00042800">
          <w:rPr>
            <w:webHidden/>
          </w:rPr>
          <w:instrText xml:space="preserve"> PAGEREF _Toc383615025 \h </w:instrText>
        </w:r>
        <w:r>
          <w:rPr>
            <w:webHidden/>
          </w:rPr>
        </w:r>
        <w:r>
          <w:rPr>
            <w:webHidden/>
          </w:rPr>
          <w:fldChar w:fldCharType="separate"/>
        </w:r>
        <w:r w:rsidR="00081037">
          <w:rPr>
            <w:webHidden/>
          </w:rPr>
          <w:t>17</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26" w:history="1">
        <w:r w:rsidR="00042800" w:rsidRPr="001366DE">
          <w:rPr>
            <w:rStyle w:val="Hyperlink"/>
          </w:rPr>
          <w:t>Report Structure</w:t>
        </w:r>
        <w:r w:rsidR="00042800">
          <w:rPr>
            <w:webHidden/>
          </w:rPr>
          <w:tab/>
        </w:r>
        <w:r>
          <w:rPr>
            <w:webHidden/>
          </w:rPr>
          <w:fldChar w:fldCharType="begin"/>
        </w:r>
        <w:r w:rsidR="00042800">
          <w:rPr>
            <w:webHidden/>
          </w:rPr>
          <w:instrText xml:space="preserve"> PAGEREF _Toc383615026 \h </w:instrText>
        </w:r>
        <w:r>
          <w:rPr>
            <w:webHidden/>
          </w:rPr>
        </w:r>
        <w:r>
          <w:rPr>
            <w:webHidden/>
          </w:rPr>
          <w:fldChar w:fldCharType="separate"/>
        </w:r>
        <w:r w:rsidR="00081037">
          <w:rPr>
            <w:webHidden/>
          </w:rPr>
          <w:t>18</w:t>
        </w:r>
        <w:r>
          <w:rPr>
            <w:webHidden/>
          </w:rPr>
          <w:fldChar w:fldCharType="end"/>
        </w:r>
      </w:hyperlink>
    </w:p>
    <w:p w:rsidR="00042800" w:rsidRDefault="00DC4D6C">
      <w:pPr>
        <w:pStyle w:val="TOC1"/>
        <w:tabs>
          <w:tab w:val="left" w:pos="1587"/>
        </w:tabs>
        <w:rPr>
          <w:rFonts w:asciiTheme="minorHAnsi" w:eastAsiaTheme="minorEastAsia" w:hAnsiTheme="minorHAnsi" w:cstheme="minorBidi"/>
          <w:b w:val="0"/>
          <w:smallCaps w:val="0"/>
          <w:spacing w:val="0"/>
          <w:sz w:val="22"/>
          <w:lang w:eastAsia="en-AU"/>
        </w:rPr>
      </w:pPr>
      <w:hyperlink w:anchor="_Toc383615027" w:history="1">
        <w:r w:rsidR="00042800" w:rsidRPr="001366DE">
          <w:rPr>
            <w:rStyle w:val="Hyperlink"/>
          </w:rPr>
          <w:t>2</w:t>
        </w:r>
        <w:r w:rsidR="00042800">
          <w:rPr>
            <w:rFonts w:asciiTheme="minorHAnsi" w:eastAsiaTheme="minorEastAsia" w:hAnsiTheme="minorHAnsi" w:cstheme="minorBidi"/>
            <w:b w:val="0"/>
            <w:smallCaps w:val="0"/>
            <w:spacing w:val="0"/>
            <w:sz w:val="22"/>
            <w:lang w:eastAsia="en-AU"/>
          </w:rPr>
          <w:tab/>
        </w:r>
        <w:r w:rsidR="00042800" w:rsidRPr="001366DE">
          <w:rPr>
            <w:rStyle w:val="Hyperlink"/>
          </w:rPr>
          <w:t>ACTPS Employment Strategy</w:t>
        </w:r>
        <w:r w:rsidR="00042800">
          <w:rPr>
            <w:webHidden/>
          </w:rPr>
          <w:tab/>
        </w:r>
        <w:r>
          <w:rPr>
            <w:webHidden/>
          </w:rPr>
          <w:fldChar w:fldCharType="begin"/>
        </w:r>
        <w:r w:rsidR="00042800">
          <w:rPr>
            <w:webHidden/>
          </w:rPr>
          <w:instrText xml:space="preserve"> PAGEREF _Toc383615027 \h </w:instrText>
        </w:r>
        <w:r>
          <w:rPr>
            <w:webHidden/>
          </w:rPr>
        </w:r>
        <w:r>
          <w:rPr>
            <w:webHidden/>
          </w:rPr>
          <w:fldChar w:fldCharType="separate"/>
        </w:r>
        <w:r w:rsidR="00081037">
          <w:rPr>
            <w:webHidden/>
          </w:rPr>
          <w:t>19</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28" w:history="1">
        <w:r w:rsidR="00042800" w:rsidRPr="001366DE">
          <w:rPr>
            <w:rStyle w:val="Hyperlink"/>
          </w:rPr>
          <w:t>History</w:t>
        </w:r>
        <w:r w:rsidR="00042800">
          <w:rPr>
            <w:webHidden/>
          </w:rPr>
          <w:tab/>
        </w:r>
        <w:r w:rsidR="00042800">
          <w:rPr>
            <w:webHidden/>
          </w:rPr>
          <w:tab/>
        </w:r>
        <w:r>
          <w:rPr>
            <w:webHidden/>
          </w:rPr>
          <w:fldChar w:fldCharType="begin"/>
        </w:r>
        <w:r w:rsidR="00042800">
          <w:rPr>
            <w:webHidden/>
          </w:rPr>
          <w:instrText xml:space="preserve"> PAGEREF _Toc383615028 \h </w:instrText>
        </w:r>
        <w:r>
          <w:rPr>
            <w:webHidden/>
          </w:rPr>
        </w:r>
        <w:r>
          <w:rPr>
            <w:webHidden/>
          </w:rPr>
          <w:fldChar w:fldCharType="separate"/>
        </w:r>
        <w:r w:rsidR="00081037">
          <w:rPr>
            <w:webHidden/>
          </w:rPr>
          <w:t>19</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29" w:history="1">
        <w:r w:rsidR="00042800" w:rsidRPr="001366DE">
          <w:rPr>
            <w:rStyle w:val="Hyperlink"/>
            <w:lang w:val="en-US"/>
          </w:rPr>
          <w:t>The Strategy</w:t>
        </w:r>
        <w:r w:rsidR="00042800">
          <w:rPr>
            <w:webHidden/>
          </w:rPr>
          <w:tab/>
        </w:r>
        <w:r>
          <w:rPr>
            <w:webHidden/>
          </w:rPr>
          <w:fldChar w:fldCharType="begin"/>
        </w:r>
        <w:r w:rsidR="00042800">
          <w:rPr>
            <w:webHidden/>
          </w:rPr>
          <w:instrText xml:space="preserve"> PAGEREF _Toc383615029 \h </w:instrText>
        </w:r>
        <w:r>
          <w:rPr>
            <w:webHidden/>
          </w:rPr>
        </w:r>
        <w:r>
          <w:rPr>
            <w:webHidden/>
          </w:rPr>
          <w:fldChar w:fldCharType="separate"/>
        </w:r>
        <w:r w:rsidR="00081037">
          <w:rPr>
            <w:webHidden/>
          </w:rPr>
          <w:t>21</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30" w:history="1">
        <w:r w:rsidR="00042800" w:rsidRPr="001366DE">
          <w:rPr>
            <w:rStyle w:val="Hyperlink"/>
            <w:lang w:val="en-US"/>
          </w:rPr>
          <w:t>Implementation</w:t>
        </w:r>
        <w:r w:rsidR="00042800">
          <w:rPr>
            <w:webHidden/>
          </w:rPr>
          <w:tab/>
        </w:r>
        <w:r>
          <w:rPr>
            <w:webHidden/>
          </w:rPr>
          <w:fldChar w:fldCharType="begin"/>
        </w:r>
        <w:r w:rsidR="00042800">
          <w:rPr>
            <w:webHidden/>
          </w:rPr>
          <w:instrText xml:space="preserve"> PAGEREF _Toc383615030 \h </w:instrText>
        </w:r>
        <w:r>
          <w:rPr>
            <w:webHidden/>
          </w:rPr>
        </w:r>
        <w:r>
          <w:rPr>
            <w:webHidden/>
          </w:rPr>
          <w:fldChar w:fldCharType="separate"/>
        </w:r>
        <w:r w:rsidR="00081037">
          <w:rPr>
            <w:webHidden/>
          </w:rPr>
          <w:t>25</w:t>
        </w:r>
        <w:r>
          <w:rPr>
            <w:webHidden/>
          </w:rPr>
          <w:fldChar w:fldCharType="end"/>
        </w:r>
      </w:hyperlink>
    </w:p>
    <w:p w:rsidR="00042800" w:rsidRDefault="00DC4D6C">
      <w:pPr>
        <w:pStyle w:val="TOC1"/>
        <w:tabs>
          <w:tab w:val="left" w:pos="1587"/>
        </w:tabs>
        <w:rPr>
          <w:rFonts w:asciiTheme="minorHAnsi" w:eastAsiaTheme="minorEastAsia" w:hAnsiTheme="minorHAnsi" w:cstheme="minorBidi"/>
          <w:b w:val="0"/>
          <w:smallCaps w:val="0"/>
          <w:spacing w:val="0"/>
          <w:sz w:val="22"/>
          <w:lang w:eastAsia="en-AU"/>
        </w:rPr>
      </w:pPr>
      <w:hyperlink w:anchor="_Toc383615031" w:history="1">
        <w:r w:rsidR="00042800" w:rsidRPr="001366DE">
          <w:rPr>
            <w:rStyle w:val="Hyperlink"/>
          </w:rPr>
          <w:t>3</w:t>
        </w:r>
        <w:r w:rsidR="00042800">
          <w:rPr>
            <w:rFonts w:asciiTheme="minorHAnsi" w:eastAsiaTheme="minorEastAsia" w:hAnsiTheme="minorHAnsi" w:cstheme="minorBidi"/>
            <w:b w:val="0"/>
            <w:smallCaps w:val="0"/>
            <w:spacing w:val="0"/>
            <w:sz w:val="22"/>
            <w:lang w:eastAsia="en-AU"/>
          </w:rPr>
          <w:tab/>
        </w:r>
        <w:r w:rsidR="00042800" w:rsidRPr="001366DE">
          <w:rPr>
            <w:rStyle w:val="Hyperlink"/>
          </w:rPr>
          <w:t>Attraction</w:t>
        </w:r>
        <w:r w:rsidR="00042800">
          <w:rPr>
            <w:webHidden/>
          </w:rPr>
          <w:tab/>
        </w:r>
        <w:r>
          <w:rPr>
            <w:webHidden/>
          </w:rPr>
          <w:fldChar w:fldCharType="begin"/>
        </w:r>
        <w:r w:rsidR="00042800">
          <w:rPr>
            <w:webHidden/>
          </w:rPr>
          <w:instrText xml:space="preserve"> PAGEREF _Toc383615031 \h </w:instrText>
        </w:r>
        <w:r>
          <w:rPr>
            <w:webHidden/>
          </w:rPr>
        </w:r>
        <w:r>
          <w:rPr>
            <w:webHidden/>
          </w:rPr>
          <w:fldChar w:fldCharType="separate"/>
        </w:r>
        <w:r w:rsidR="00081037">
          <w:rPr>
            <w:webHidden/>
          </w:rPr>
          <w:t>37</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32" w:history="1">
        <w:r w:rsidR="00042800" w:rsidRPr="001366DE">
          <w:rPr>
            <w:rStyle w:val="Hyperlink"/>
          </w:rPr>
          <w:t>Introduction</w:t>
        </w:r>
        <w:r w:rsidR="00042800">
          <w:rPr>
            <w:webHidden/>
          </w:rPr>
          <w:tab/>
        </w:r>
        <w:r>
          <w:rPr>
            <w:webHidden/>
          </w:rPr>
          <w:fldChar w:fldCharType="begin"/>
        </w:r>
        <w:r w:rsidR="00042800">
          <w:rPr>
            <w:webHidden/>
          </w:rPr>
          <w:instrText xml:space="preserve"> PAGEREF _Toc383615032 \h </w:instrText>
        </w:r>
        <w:r>
          <w:rPr>
            <w:webHidden/>
          </w:rPr>
        </w:r>
        <w:r>
          <w:rPr>
            <w:webHidden/>
          </w:rPr>
          <w:fldChar w:fldCharType="separate"/>
        </w:r>
        <w:r w:rsidR="00081037">
          <w:rPr>
            <w:webHidden/>
          </w:rPr>
          <w:t>37</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33" w:history="1">
        <w:r w:rsidR="00042800" w:rsidRPr="001366DE">
          <w:rPr>
            <w:rStyle w:val="Hyperlink"/>
          </w:rPr>
          <w:t>Indicator 5 – Percentage of Indigenous employees</w:t>
        </w:r>
        <w:r w:rsidR="00042800">
          <w:rPr>
            <w:webHidden/>
          </w:rPr>
          <w:tab/>
        </w:r>
        <w:r>
          <w:rPr>
            <w:webHidden/>
          </w:rPr>
          <w:fldChar w:fldCharType="begin"/>
        </w:r>
        <w:r w:rsidR="00042800">
          <w:rPr>
            <w:webHidden/>
          </w:rPr>
          <w:instrText xml:space="preserve"> PAGEREF _Toc383615033 \h </w:instrText>
        </w:r>
        <w:r>
          <w:rPr>
            <w:webHidden/>
          </w:rPr>
        </w:r>
        <w:r>
          <w:rPr>
            <w:webHidden/>
          </w:rPr>
          <w:fldChar w:fldCharType="separate"/>
        </w:r>
        <w:r w:rsidR="00081037">
          <w:rPr>
            <w:webHidden/>
          </w:rPr>
          <w:t>37</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34" w:history="1">
        <w:r w:rsidR="00042800" w:rsidRPr="001366DE">
          <w:rPr>
            <w:rStyle w:val="Hyperlink"/>
          </w:rPr>
          <w:t xml:space="preserve">Indicator 6 – </w:t>
        </w:r>
        <w:r w:rsidR="0010368F">
          <w:rPr>
            <w:rStyle w:val="Hyperlink"/>
          </w:rPr>
          <w:t>I</w:t>
        </w:r>
        <w:r w:rsidR="00042800" w:rsidRPr="001366DE">
          <w:rPr>
            <w:rStyle w:val="Hyperlink"/>
          </w:rPr>
          <w:t>ncrease in new employees who are Indigenous.</w:t>
        </w:r>
        <w:r w:rsidR="00042800">
          <w:rPr>
            <w:webHidden/>
          </w:rPr>
          <w:tab/>
        </w:r>
        <w:r>
          <w:rPr>
            <w:webHidden/>
          </w:rPr>
          <w:fldChar w:fldCharType="begin"/>
        </w:r>
        <w:r w:rsidR="00042800">
          <w:rPr>
            <w:webHidden/>
          </w:rPr>
          <w:instrText xml:space="preserve"> PAGEREF _Toc383615034 \h </w:instrText>
        </w:r>
        <w:r>
          <w:rPr>
            <w:webHidden/>
          </w:rPr>
        </w:r>
        <w:r>
          <w:rPr>
            <w:webHidden/>
          </w:rPr>
          <w:fldChar w:fldCharType="separate"/>
        </w:r>
        <w:r w:rsidR="00081037">
          <w:rPr>
            <w:webHidden/>
          </w:rPr>
          <w:t>39</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35" w:history="1">
        <w:r w:rsidR="00042800" w:rsidRPr="001366DE">
          <w:rPr>
            <w:rStyle w:val="Hyperlink"/>
          </w:rPr>
          <w:t>Actions</w:t>
        </w:r>
        <w:r w:rsidR="00042800">
          <w:rPr>
            <w:webHidden/>
          </w:rPr>
          <w:tab/>
        </w:r>
        <w:r>
          <w:rPr>
            <w:webHidden/>
          </w:rPr>
          <w:fldChar w:fldCharType="begin"/>
        </w:r>
        <w:r w:rsidR="00042800">
          <w:rPr>
            <w:webHidden/>
          </w:rPr>
          <w:instrText xml:space="preserve"> PAGEREF _Toc383615035 \h </w:instrText>
        </w:r>
        <w:r>
          <w:rPr>
            <w:webHidden/>
          </w:rPr>
        </w:r>
        <w:r>
          <w:rPr>
            <w:webHidden/>
          </w:rPr>
          <w:fldChar w:fldCharType="separate"/>
        </w:r>
        <w:r w:rsidR="00081037">
          <w:rPr>
            <w:webHidden/>
          </w:rPr>
          <w:t>41</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36" w:history="1">
        <w:r w:rsidR="00042800" w:rsidRPr="001366DE">
          <w:rPr>
            <w:rStyle w:val="Hyperlink"/>
          </w:rPr>
          <w:t>Identified positions</w:t>
        </w:r>
        <w:r w:rsidR="00042800">
          <w:rPr>
            <w:webHidden/>
          </w:rPr>
          <w:tab/>
        </w:r>
        <w:r>
          <w:rPr>
            <w:webHidden/>
          </w:rPr>
          <w:fldChar w:fldCharType="begin"/>
        </w:r>
        <w:r w:rsidR="00042800">
          <w:rPr>
            <w:webHidden/>
          </w:rPr>
          <w:instrText xml:space="preserve"> PAGEREF _Toc383615036 \h </w:instrText>
        </w:r>
        <w:r>
          <w:rPr>
            <w:webHidden/>
          </w:rPr>
        </w:r>
        <w:r>
          <w:rPr>
            <w:webHidden/>
          </w:rPr>
          <w:fldChar w:fldCharType="separate"/>
        </w:r>
        <w:r w:rsidR="00081037">
          <w:rPr>
            <w:webHidden/>
          </w:rPr>
          <w:t>41</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37" w:history="1">
        <w:r w:rsidR="00042800" w:rsidRPr="001366DE">
          <w:rPr>
            <w:rStyle w:val="Hyperlink"/>
          </w:rPr>
          <w:t>Recruitment initiatives</w:t>
        </w:r>
        <w:r w:rsidR="00042800">
          <w:rPr>
            <w:webHidden/>
          </w:rPr>
          <w:tab/>
        </w:r>
        <w:r>
          <w:rPr>
            <w:webHidden/>
          </w:rPr>
          <w:fldChar w:fldCharType="begin"/>
        </w:r>
        <w:r w:rsidR="00042800">
          <w:rPr>
            <w:webHidden/>
          </w:rPr>
          <w:instrText xml:space="preserve"> PAGEREF _Toc383615037 \h </w:instrText>
        </w:r>
        <w:r>
          <w:rPr>
            <w:webHidden/>
          </w:rPr>
        </w:r>
        <w:r>
          <w:rPr>
            <w:webHidden/>
          </w:rPr>
          <w:fldChar w:fldCharType="separate"/>
        </w:r>
        <w:r w:rsidR="00081037">
          <w:rPr>
            <w:webHidden/>
          </w:rPr>
          <w:t>43</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38" w:history="1">
        <w:r w:rsidR="00042800" w:rsidRPr="001366DE">
          <w:rPr>
            <w:rStyle w:val="Hyperlink"/>
          </w:rPr>
          <w:t>Recruitment guidelines</w:t>
        </w:r>
        <w:r w:rsidR="00042800">
          <w:rPr>
            <w:webHidden/>
          </w:rPr>
          <w:tab/>
        </w:r>
        <w:r>
          <w:rPr>
            <w:webHidden/>
          </w:rPr>
          <w:fldChar w:fldCharType="begin"/>
        </w:r>
        <w:r w:rsidR="00042800">
          <w:rPr>
            <w:webHidden/>
          </w:rPr>
          <w:instrText xml:space="preserve"> PAGEREF _Toc383615038 \h </w:instrText>
        </w:r>
        <w:r>
          <w:rPr>
            <w:webHidden/>
          </w:rPr>
        </w:r>
        <w:r>
          <w:rPr>
            <w:webHidden/>
          </w:rPr>
          <w:fldChar w:fldCharType="separate"/>
        </w:r>
        <w:r w:rsidR="00081037">
          <w:rPr>
            <w:webHidden/>
          </w:rPr>
          <w:t>47</w:t>
        </w:r>
        <w:r>
          <w:rPr>
            <w:webHidden/>
          </w:rPr>
          <w:fldChar w:fldCharType="end"/>
        </w:r>
      </w:hyperlink>
    </w:p>
    <w:p w:rsidR="00042800" w:rsidRDefault="00DC4D6C">
      <w:pPr>
        <w:pStyle w:val="TOC1"/>
        <w:tabs>
          <w:tab w:val="left" w:pos="1587"/>
        </w:tabs>
        <w:rPr>
          <w:rFonts w:asciiTheme="minorHAnsi" w:eastAsiaTheme="minorEastAsia" w:hAnsiTheme="minorHAnsi" w:cstheme="minorBidi"/>
          <w:b w:val="0"/>
          <w:smallCaps w:val="0"/>
          <w:spacing w:val="0"/>
          <w:sz w:val="22"/>
          <w:lang w:eastAsia="en-AU"/>
        </w:rPr>
      </w:pPr>
      <w:hyperlink w:anchor="_Toc383615039" w:history="1">
        <w:r w:rsidR="00042800" w:rsidRPr="001366DE">
          <w:rPr>
            <w:rStyle w:val="Hyperlink"/>
          </w:rPr>
          <w:t>4</w:t>
        </w:r>
        <w:r w:rsidR="00042800">
          <w:rPr>
            <w:rFonts w:asciiTheme="minorHAnsi" w:eastAsiaTheme="minorEastAsia" w:hAnsiTheme="minorHAnsi" w:cstheme="minorBidi"/>
            <w:b w:val="0"/>
            <w:smallCaps w:val="0"/>
            <w:spacing w:val="0"/>
            <w:sz w:val="22"/>
            <w:lang w:eastAsia="en-AU"/>
          </w:rPr>
          <w:tab/>
        </w:r>
        <w:r w:rsidR="00042800" w:rsidRPr="001366DE">
          <w:rPr>
            <w:rStyle w:val="Hyperlink"/>
          </w:rPr>
          <w:t>Retention</w:t>
        </w:r>
        <w:r w:rsidR="00042800">
          <w:rPr>
            <w:webHidden/>
          </w:rPr>
          <w:tab/>
        </w:r>
        <w:r>
          <w:rPr>
            <w:webHidden/>
          </w:rPr>
          <w:fldChar w:fldCharType="begin"/>
        </w:r>
        <w:r w:rsidR="00042800">
          <w:rPr>
            <w:webHidden/>
          </w:rPr>
          <w:instrText xml:space="preserve"> PAGEREF _Toc383615039 \h </w:instrText>
        </w:r>
        <w:r>
          <w:rPr>
            <w:webHidden/>
          </w:rPr>
        </w:r>
        <w:r>
          <w:rPr>
            <w:webHidden/>
          </w:rPr>
          <w:fldChar w:fldCharType="separate"/>
        </w:r>
        <w:r w:rsidR="00081037">
          <w:rPr>
            <w:webHidden/>
          </w:rPr>
          <w:t>57</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40" w:history="1">
        <w:r w:rsidR="00042800" w:rsidRPr="001366DE">
          <w:rPr>
            <w:rStyle w:val="Hyperlink"/>
          </w:rPr>
          <w:t>Introduction</w:t>
        </w:r>
        <w:r w:rsidR="00042800">
          <w:rPr>
            <w:webHidden/>
          </w:rPr>
          <w:tab/>
        </w:r>
        <w:r>
          <w:rPr>
            <w:webHidden/>
          </w:rPr>
          <w:fldChar w:fldCharType="begin"/>
        </w:r>
        <w:r w:rsidR="00042800">
          <w:rPr>
            <w:webHidden/>
          </w:rPr>
          <w:instrText xml:space="preserve"> PAGEREF _Toc383615040 \h </w:instrText>
        </w:r>
        <w:r>
          <w:rPr>
            <w:webHidden/>
          </w:rPr>
        </w:r>
        <w:r>
          <w:rPr>
            <w:webHidden/>
          </w:rPr>
          <w:fldChar w:fldCharType="separate"/>
        </w:r>
        <w:r w:rsidR="00081037">
          <w:rPr>
            <w:webHidden/>
          </w:rPr>
          <w:t>57</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41" w:history="1">
        <w:r w:rsidR="00042800" w:rsidRPr="001366DE">
          <w:rPr>
            <w:rStyle w:val="Hyperlink"/>
          </w:rPr>
          <w:t xml:space="preserve">Indicator 2 – </w:t>
        </w:r>
        <w:r w:rsidR="0010368F">
          <w:rPr>
            <w:rStyle w:val="Hyperlink"/>
          </w:rPr>
          <w:t>D</w:t>
        </w:r>
        <w:r w:rsidR="00042800" w:rsidRPr="001366DE">
          <w:rPr>
            <w:rStyle w:val="Hyperlink"/>
          </w:rPr>
          <w:t>ifference in average salary</w:t>
        </w:r>
        <w:r w:rsidR="00042800">
          <w:rPr>
            <w:webHidden/>
          </w:rPr>
          <w:tab/>
        </w:r>
        <w:r>
          <w:rPr>
            <w:webHidden/>
          </w:rPr>
          <w:fldChar w:fldCharType="begin"/>
        </w:r>
        <w:r w:rsidR="00042800">
          <w:rPr>
            <w:webHidden/>
          </w:rPr>
          <w:instrText xml:space="preserve"> PAGEREF _Toc383615041 \h </w:instrText>
        </w:r>
        <w:r>
          <w:rPr>
            <w:webHidden/>
          </w:rPr>
        </w:r>
        <w:r>
          <w:rPr>
            <w:webHidden/>
          </w:rPr>
          <w:fldChar w:fldCharType="separate"/>
        </w:r>
        <w:r w:rsidR="00081037">
          <w:rPr>
            <w:webHidden/>
          </w:rPr>
          <w:t>58</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42" w:history="1">
        <w:r w:rsidR="00042800" w:rsidRPr="001366DE">
          <w:rPr>
            <w:rStyle w:val="Hyperlink"/>
          </w:rPr>
          <w:t>Indicator 3 – Reduction in number and percentage of separations</w:t>
        </w:r>
        <w:r w:rsidR="00042800">
          <w:rPr>
            <w:webHidden/>
          </w:rPr>
          <w:tab/>
        </w:r>
        <w:r>
          <w:rPr>
            <w:webHidden/>
          </w:rPr>
          <w:fldChar w:fldCharType="begin"/>
        </w:r>
        <w:r w:rsidR="00042800">
          <w:rPr>
            <w:webHidden/>
          </w:rPr>
          <w:instrText xml:space="preserve"> PAGEREF _Toc383615042 \h </w:instrText>
        </w:r>
        <w:r>
          <w:rPr>
            <w:webHidden/>
          </w:rPr>
        </w:r>
        <w:r>
          <w:rPr>
            <w:webHidden/>
          </w:rPr>
          <w:fldChar w:fldCharType="separate"/>
        </w:r>
        <w:r w:rsidR="00081037">
          <w:rPr>
            <w:webHidden/>
          </w:rPr>
          <w:t>60</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43" w:history="1">
        <w:r w:rsidR="00042800" w:rsidRPr="001366DE">
          <w:rPr>
            <w:rStyle w:val="Hyperlink"/>
          </w:rPr>
          <w:t xml:space="preserve">Indicator 4 – </w:t>
        </w:r>
        <w:r w:rsidR="00081037">
          <w:rPr>
            <w:rStyle w:val="Hyperlink"/>
          </w:rPr>
          <w:t>L</w:t>
        </w:r>
        <w:r w:rsidR="00042800" w:rsidRPr="001366DE">
          <w:rPr>
            <w:rStyle w:val="Hyperlink"/>
          </w:rPr>
          <w:t>earning and development / career plans</w:t>
        </w:r>
        <w:r w:rsidR="00042800">
          <w:rPr>
            <w:webHidden/>
          </w:rPr>
          <w:tab/>
        </w:r>
        <w:r>
          <w:rPr>
            <w:webHidden/>
          </w:rPr>
          <w:fldChar w:fldCharType="begin"/>
        </w:r>
        <w:r w:rsidR="00042800">
          <w:rPr>
            <w:webHidden/>
          </w:rPr>
          <w:instrText xml:space="preserve"> PAGEREF _Toc383615043 \h </w:instrText>
        </w:r>
        <w:r>
          <w:rPr>
            <w:webHidden/>
          </w:rPr>
        </w:r>
        <w:r>
          <w:rPr>
            <w:webHidden/>
          </w:rPr>
          <w:fldChar w:fldCharType="separate"/>
        </w:r>
        <w:r w:rsidR="00081037">
          <w:rPr>
            <w:webHidden/>
          </w:rPr>
          <w:t>62</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44" w:history="1">
        <w:r w:rsidR="00042800" w:rsidRPr="001366DE">
          <w:rPr>
            <w:rStyle w:val="Hyperlink"/>
          </w:rPr>
          <w:t>Induction</w:t>
        </w:r>
        <w:r w:rsidR="00042800">
          <w:rPr>
            <w:webHidden/>
          </w:rPr>
          <w:tab/>
        </w:r>
        <w:r>
          <w:rPr>
            <w:webHidden/>
          </w:rPr>
          <w:fldChar w:fldCharType="begin"/>
        </w:r>
        <w:r w:rsidR="00042800">
          <w:rPr>
            <w:webHidden/>
          </w:rPr>
          <w:instrText xml:space="preserve"> PAGEREF _Toc383615044 \h </w:instrText>
        </w:r>
        <w:r>
          <w:rPr>
            <w:webHidden/>
          </w:rPr>
        </w:r>
        <w:r>
          <w:rPr>
            <w:webHidden/>
          </w:rPr>
          <w:fldChar w:fldCharType="separate"/>
        </w:r>
        <w:r w:rsidR="00081037">
          <w:rPr>
            <w:webHidden/>
          </w:rPr>
          <w:t>64</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45" w:history="1">
        <w:r w:rsidR="00042800" w:rsidRPr="001366DE">
          <w:rPr>
            <w:rStyle w:val="Hyperlink"/>
          </w:rPr>
          <w:t>Cross-cultural training;</w:t>
        </w:r>
        <w:r w:rsidR="00042800">
          <w:rPr>
            <w:webHidden/>
          </w:rPr>
          <w:tab/>
        </w:r>
        <w:r>
          <w:rPr>
            <w:webHidden/>
          </w:rPr>
          <w:fldChar w:fldCharType="begin"/>
        </w:r>
        <w:r w:rsidR="00042800">
          <w:rPr>
            <w:webHidden/>
          </w:rPr>
          <w:instrText xml:space="preserve"> PAGEREF _Toc383615045 \h </w:instrText>
        </w:r>
        <w:r>
          <w:rPr>
            <w:webHidden/>
          </w:rPr>
        </w:r>
        <w:r>
          <w:rPr>
            <w:webHidden/>
          </w:rPr>
          <w:fldChar w:fldCharType="separate"/>
        </w:r>
        <w:r w:rsidR="00081037">
          <w:rPr>
            <w:webHidden/>
          </w:rPr>
          <w:t>65</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46" w:history="1">
        <w:r w:rsidR="00042800" w:rsidRPr="001366DE">
          <w:rPr>
            <w:rStyle w:val="Hyperlink"/>
          </w:rPr>
          <w:t>The ACTPS Indigenous Network</w:t>
        </w:r>
        <w:r w:rsidR="00042800">
          <w:rPr>
            <w:webHidden/>
          </w:rPr>
          <w:tab/>
        </w:r>
        <w:r>
          <w:rPr>
            <w:webHidden/>
          </w:rPr>
          <w:fldChar w:fldCharType="begin"/>
        </w:r>
        <w:r w:rsidR="00042800">
          <w:rPr>
            <w:webHidden/>
          </w:rPr>
          <w:instrText xml:space="preserve"> PAGEREF _Toc383615046 \h </w:instrText>
        </w:r>
        <w:r>
          <w:rPr>
            <w:webHidden/>
          </w:rPr>
        </w:r>
        <w:r>
          <w:rPr>
            <w:webHidden/>
          </w:rPr>
          <w:fldChar w:fldCharType="separate"/>
        </w:r>
        <w:r w:rsidR="00081037">
          <w:rPr>
            <w:webHidden/>
          </w:rPr>
          <w:t>74</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47" w:history="1">
        <w:r w:rsidR="00042800" w:rsidRPr="001366DE">
          <w:rPr>
            <w:rStyle w:val="Hyperlink"/>
          </w:rPr>
          <w:t>Dates and events of significance</w:t>
        </w:r>
        <w:r w:rsidR="00042800">
          <w:rPr>
            <w:webHidden/>
          </w:rPr>
          <w:tab/>
        </w:r>
        <w:r>
          <w:rPr>
            <w:webHidden/>
          </w:rPr>
          <w:fldChar w:fldCharType="begin"/>
        </w:r>
        <w:r w:rsidR="00042800">
          <w:rPr>
            <w:webHidden/>
          </w:rPr>
          <w:instrText xml:space="preserve"> PAGEREF _Toc383615047 \h </w:instrText>
        </w:r>
        <w:r>
          <w:rPr>
            <w:webHidden/>
          </w:rPr>
        </w:r>
        <w:r>
          <w:rPr>
            <w:webHidden/>
          </w:rPr>
          <w:fldChar w:fldCharType="separate"/>
        </w:r>
        <w:r w:rsidR="00081037">
          <w:rPr>
            <w:webHidden/>
          </w:rPr>
          <w:t>77</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48" w:history="1">
        <w:r w:rsidR="00042800" w:rsidRPr="001366DE">
          <w:rPr>
            <w:rStyle w:val="Hyperlink"/>
          </w:rPr>
          <w:t>Mentoring, buddy and coaching programs</w:t>
        </w:r>
        <w:r w:rsidR="00042800">
          <w:rPr>
            <w:webHidden/>
          </w:rPr>
          <w:tab/>
        </w:r>
        <w:r>
          <w:rPr>
            <w:webHidden/>
          </w:rPr>
          <w:fldChar w:fldCharType="begin"/>
        </w:r>
        <w:r w:rsidR="00042800">
          <w:rPr>
            <w:webHidden/>
          </w:rPr>
          <w:instrText xml:space="preserve"> PAGEREF _Toc383615048 \h </w:instrText>
        </w:r>
        <w:r>
          <w:rPr>
            <w:webHidden/>
          </w:rPr>
        </w:r>
        <w:r>
          <w:rPr>
            <w:webHidden/>
          </w:rPr>
          <w:fldChar w:fldCharType="separate"/>
        </w:r>
        <w:r w:rsidR="00081037">
          <w:rPr>
            <w:webHidden/>
          </w:rPr>
          <w:t>79</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49" w:history="1">
        <w:r w:rsidR="00042800" w:rsidRPr="001366DE">
          <w:rPr>
            <w:rStyle w:val="Hyperlink"/>
          </w:rPr>
          <w:t>Career development</w:t>
        </w:r>
        <w:r w:rsidR="00042800">
          <w:rPr>
            <w:webHidden/>
          </w:rPr>
          <w:tab/>
        </w:r>
        <w:r>
          <w:rPr>
            <w:webHidden/>
          </w:rPr>
          <w:fldChar w:fldCharType="begin"/>
        </w:r>
        <w:r w:rsidR="00042800">
          <w:rPr>
            <w:webHidden/>
          </w:rPr>
          <w:instrText xml:space="preserve"> PAGEREF _Toc383615049 \h </w:instrText>
        </w:r>
        <w:r>
          <w:rPr>
            <w:webHidden/>
          </w:rPr>
        </w:r>
        <w:r>
          <w:rPr>
            <w:webHidden/>
          </w:rPr>
          <w:fldChar w:fldCharType="separate"/>
        </w:r>
        <w:r w:rsidR="00081037">
          <w:rPr>
            <w:webHidden/>
          </w:rPr>
          <w:t>82</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50" w:history="1">
        <w:r w:rsidR="00042800" w:rsidRPr="001366DE">
          <w:rPr>
            <w:rStyle w:val="Hyperlink"/>
          </w:rPr>
          <w:t>Secondments</w:t>
        </w:r>
        <w:r w:rsidR="00042800">
          <w:rPr>
            <w:webHidden/>
          </w:rPr>
          <w:tab/>
        </w:r>
        <w:r>
          <w:rPr>
            <w:webHidden/>
          </w:rPr>
          <w:fldChar w:fldCharType="begin"/>
        </w:r>
        <w:r w:rsidR="00042800">
          <w:rPr>
            <w:webHidden/>
          </w:rPr>
          <w:instrText xml:space="preserve"> PAGEREF _Toc383615050 \h </w:instrText>
        </w:r>
        <w:r>
          <w:rPr>
            <w:webHidden/>
          </w:rPr>
        </w:r>
        <w:r>
          <w:rPr>
            <w:webHidden/>
          </w:rPr>
          <w:fldChar w:fldCharType="separate"/>
        </w:r>
        <w:r w:rsidR="00081037">
          <w:rPr>
            <w:webHidden/>
          </w:rPr>
          <w:t>86</w:t>
        </w:r>
        <w:r>
          <w:rPr>
            <w:webHidden/>
          </w:rPr>
          <w:fldChar w:fldCharType="end"/>
        </w:r>
      </w:hyperlink>
    </w:p>
    <w:p w:rsidR="00042800" w:rsidRDefault="00DC4D6C">
      <w:pPr>
        <w:pStyle w:val="TOC1"/>
        <w:tabs>
          <w:tab w:val="left" w:pos="1587"/>
        </w:tabs>
        <w:rPr>
          <w:rFonts w:asciiTheme="minorHAnsi" w:eastAsiaTheme="minorEastAsia" w:hAnsiTheme="minorHAnsi" w:cstheme="minorBidi"/>
          <w:b w:val="0"/>
          <w:smallCaps w:val="0"/>
          <w:spacing w:val="0"/>
          <w:sz w:val="22"/>
          <w:lang w:eastAsia="en-AU"/>
        </w:rPr>
      </w:pPr>
      <w:hyperlink w:anchor="_Toc383615051" w:history="1">
        <w:r w:rsidR="00042800" w:rsidRPr="001366DE">
          <w:rPr>
            <w:rStyle w:val="Hyperlink"/>
          </w:rPr>
          <w:t>5</w:t>
        </w:r>
        <w:r w:rsidR="00042800">
          <w:rPr>
            <w:rFonts w:asciiTheme="minorHAnsi" w:eastAsiaTheme="minorEastAsia" w:hAnsiTheme="minorHAnsi" w:cstheme="minorBidi"/>
            <w:b w:val="0"/>
            <w:smallCaps w:val="0"/>
            <w:spacing w:val="0"/>
            <w:sz w:val="22"/>
            <w:lang w:eastAsia="en-AU"/>
          </w:rPr>
          <w:tab/>
        </w:r>
        <w:r w:rsidR="00042800" w:rsidRPr="001366DE">
          <w:rPr>
            <w:rStyle w:val="Hyperlink"/>
          </w:rPr>
          <w:t>Data collection, monitoring and reporting mechanisms</w:t>
        </w:r>
        <w:r w:rsidR="00042800">
          <w:rPr>
            <w:webHidden/>
          </w:rPr>
          <w:tab/>
        </w:r>
        <w:r>
          <w:rPr>
            <w:webHidden/>
          </w:rPr>
          <w:fldChar w:fldCharType="begin"/>
        </w:r>
        <w:r w:rsidR="00042800">
          <w:rPr>
            <w:webHidden/>
          </w:rPr>
          <w:instrText xml:space="preserve"> PAGEREF _Toc383615051 \h </w:instrText>
        </w:r>
        <w:r>
          <w:rPr>
            <w:webHidden/>
          </w:rPr>
        </w:r>
        <w:r>
          <w:rPr>
            <w:webHidden/>
          </w:rPr>
          <w:fldChar w:fldCharType="separate"/>
        </w:r>
        <w:r w:rsidR="00081037">
          <w:rPr>
            <w:webHidden/>
          </w:rPr>
          <w:t>89</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52" w:history="1">
        <w:r w:rsidR="00042800" w:rsidRPr="001366DE">
          <w:rPr>
            <w:rStyle w:val="Hyperlink"/>
          </w:rPr>
          <w:t>Introduction</w:t>
        </w:r>
        <w:r w:rsidR="00042800">
          <w:rPr>
            <w:webHidden/>
          </w:rPr>
          <w:tab/>
        </w:r>
        <w:r>
          <w:rPr>
            <w:webHidden/>
          </w:rPr>
          <w:fldChar w:fldCharType="begin"/>
        </w:r>
        <w:r w:rsidR="00042800">
          <w:rPr>
            <w:webHidden/>
          </w:rPr>
          <w:instrText xml:space="preserve"> PAGEREF _Toc383615052 \h </w:instrText>
        </w:r>
        <w:r>
          <w:rPr>
            <w:webHidden/>
          </w:rPr>
        </w:r>
        <w:r>
          <w:rPr>
            <w:webHidden/>
          </w:rPr>
          <w:fldChar w:fldCharType="separate"/>
        </w:r>
        <w:r w:rsidR="00081037">
          <w:rPr>
            <w:webHidden/>
          </w:rPr>
          <w:t>89</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53" w:history="1">
        <w:r w:rsidR="00042800" w:rsidRPr="001366DE">
          <w:rPr>
            <w:rStyle w:val="Hyperlink"/>
          </w:rPr>
          <w:t>Data</w:t>
        </w:r>
        <w:r w:rsidR="00042800">
          <w:rPr>
            <w:webHidden/>
          </w:rPr>
          <w:tab/>
        </w:r>
        <w:r w:rsidR="00042800">
          <w:rPr>
            <w:webHidden/>
          </w:rPr>
          <w:tab/>
        </w:r>
        <w:r w:rsidR="00042800">
          <w:rPr>
            <w:webHidden/>
          </w:rPr>
          <w:tab/>
        </w:r>
        <w:r>
          <w:rPr>
            <w:webHidden/>
          </w:rPr>
          <w:fldChar w:fldCharType="begin"/>
        </w:r>
        <w:r w:rsidR="00042800">
          <w:rPr>
            <w:webHidden/>
          </w:rPr>
          <w:instrText xml:space="preserve"> PAGEREF _Toc383615053 \h </w:instrText>
        </w:r>
        <w:r>
          <w:rPr>
            <w:webHidden/>
          </w:rPr>
        </w:r>
        <w:r>
          <w:rPr>
            <w:webHidden/>
          </w:rPr>
          <w:fldChar w:fldCharType="separate"/>
        </w:r>
        <w:r w:rsidR="00081037">
          <w:rPr>
            <w:webHidden/>
          </w:rPr>
          <w:t>91</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54" w:history="1">
        <w:r w:rsidR="00042800" w:rsidRPr="001366DE">
          <w:rPr>
            <w:rStyle w:val="Hyperlink"/>
          </w:rPr>
          <w:t>Monitoring and reporting mechanisms</w:t>
        </w:r>
        <w:r w:rsidR="00042800">
          <w:rPr>
            <w:webHidden/>
          </w:rPr>
          <w:tab/>
        </w:r>
        <w:r>
          <w:rPr>
            <w:webHidden/>
          </w:rPr>
          <w:fldChar w:fldCharType="begin"/>
        </w:r>
        <w:r w:rsidR="00042800">
          <w:rPr>
            <w:webHidden/>
          </w:rPr>
          <w:instrText xml:space="preserve"> PAGEREF _Toc383615054 \h </w:instrText>
        </w:r>
        <w:r>
          <w:rPr>
            <w:webHidden/>
          </w:rPr>
        </w:r>
        <w:r>
          <w:rPr>
            <w:webHidden/>
          </w:rPr>
          <w:fldChar w:fldCharType="separate"/>
        </w:r>
        <w:r w:rsidR="00081037">
          <w:rPr>
            <w:webHidden/>
          </w:rPr>
          <w:t>93</w:t>
        </w:r>
        <w:r>
          <w:rPr>
            <w:webHidden/>
          </w:rPr>
          <w:fldChar w:fldCharType="end"/>
        </w:r>
      </w:hyperlink>
    </w:p>
    <w:p w:rsidR="00042800" w:rsidRDefault="00DC4D6C">
      <w:pPr>
        <w:pStyle w:val="TOC1"/>
        <w:tabs>
          <w:tab w:val="left" w:pos="1587"/>
        </w:tabs>
        <w:rPr>
          <w:rFonts w:asciiTheme="minorHAnsi" w:eastAsiaTheme="minorEastAsia" w:hAnsiTheme="minorHAnsi" w:cstheme="minorBidi"/>
          <w:b w:val="0"/>
          <w:smallCaps w:val="0"/>
          <w:spacing w:val="0"/>
          <w:sz w:val="22"/>
          <w:lang w:eastAsia="en-AU"/>
        </w:rPr>
      </w:pPr>
      <w:hyperlink w:anchor="_Toc383615055" w:history="1">
        <w:r w:rsidR="00042800" w:rsidRPr="001366DE">
          <w:rPr>
            <w:rStyle w:val="Hyperlink"/>
          </w:rPr>
          <w:t>6</w:t>
        </w:r>
        <w:r w:rsidR="00042800">
          <w:rPr>
            <w:rFonts w:asciiTheme="minorHAnsi" w:eastAsiaTheme="minorEastAsia" w:hAnsiTheme="minorHAnsi" w:cstheme="minorBidi"/>
            <w:b w:val="0"/>
            <w:smallCaps w:val="0"/>
            <w:spacing w:val="0"/>
            <w:sz w:val="22"/>
            <w:lang w:eastAsia="en-AU"/>
          </w:rPr>
          <w:tab/>
        </w:r>
        <w:r w:rsidR="00042800" w:rsidRPr="001366DE">
          <w:rPr>
            <w:rStyle w:val="Hyperlink"/>
          </w:rPr>
          <w:t>Other jurisdictions</w:t>
        </w:r>
        <w:r w:rsidR="00042800">
          <w:rPr>
            <w:webHidden/>
          </w:rPr>
          <w:tab/>
        </w:r>
        <w:r>
          <w:rPr>
            <w:webHidden/>
          </w:rPr>
          <w:fldChar w:fldCharType="begin"/>
        </w:r>
        <w:r w:rsidR="00042800">
          <w:rPr>
            <w:webHidden/>
          </w:rPr>
          <w:instrText xml:space="preserve"> PAGEREF _Toc383615055 \h </w:instrText>
        </w:r>
        <w:r>
          <w:rPr>
            <w:webHidden/>
          </w:rPr>
        </w:r>
        <w:r>
          <w:rPr>
            <w:webHidden/>
          </w:rPr>
          <w:fldChar w:fldCharType="separate"/>
        </w:r>
        <w:r w:rsidR="00081037">
          <w:rPr>
            <w:webHidden/>
          </w:rPr>
          <w:t>99</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56" w:history="1">
        <w:r w:rsidR="00042800" w:rsidRPr="001366DE">
          <w:rPr>
            <w:rStyle w:val="Hyperlink"/>
          </w:rPr>
          <w:t>Australian Public Service</w:t>
        </w:r>
        <w:r w:rsidR="00042800">
          <w:rPr>
            <w:webHidden/>
          </w:rPr>
          <w:tab/>
        </w:r>
        <w:r>
          <w:rPr>
            <w:webHidden/>
          </w:rPr>
          <w:fldChar w:fldCharType="begin"/>
        </w:r>
        <w:r w:rsidR="00042800">
          <w:rPr>
            <w:webHidden/>
          </w:rPr>
          <w:instrText xml:space="preserve"> PAGEREF _Toc383615056 \h </w:instrText>
        </w:r>
        <w:r>
          <w:rPr>
            <w:webHidden/>
          </w:rPr>
        </w:r>
        <w:r>
          <w:rPr>
            <w:webHidden/>
          </w:rPr>
          <w:fldChar w:fldCharType="separate"/>
        </w:r>
        <w:r w:rsidR="00081037">
          <w:rPr>
            <w:webHidden/>
          </w:rPr>
          <w:t>99</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57" w:history="1">
        <w:r w:rsidR="00042800" w:rsidRPr="001366DE">
          <w:rPr>
            <w:rStyle w:val="Hyperlink"/>
          </w:rPr>
          <w:t>States and Territories</w:t>
        </w:r>
        <w:r w:rsidR="00042800">
          <w:rPr>
            <w:webHidden/>
          </w:rPr>
          <w:tab/>
        </w:r>
        <w:r>
          <w:rPr>
            <w:webHidden/>
          </w:rPr>
          <w:fldChar w:fldCharType="begin"/>
        </w:r>
        <w:r w:rsidR="00042800">
          <w:rPr>
            <w:webHidden/>
          </w:rPr>
          <w:instrText xml:space="preserve"> PAGEREF _Toc383615057 \h </w:instrText>
        </w:r>
        <w:r>
          <w:rPr>
            <w:webHidden/>
          </w:rPr>
        </w:r>
        <w:r>
          <w:rPr>
            <w:webHidden/>
          </w:rPr>
          <w:fldChar w:fldCharType="separate"/>
        </w:r>
        <w:r w:rsidR="00081037">
          <w:rPr>
            <w:webHidden/>
          </w:rPr>
          <w:t>102</w:t>
        </w:r>
        <w:r>
          <w:rPr>
            <w:webHidden/>
          </w:rPr>
          <w:fldChar w:fldCharType="end"/>
        </w:r>
      </w:hyperlink>
    </w:p>
    <w:p w:rsidR="00042800" w:rsidRDefault="00DC4D6C">
      <w:pPr>
        <w:pStyle w:val="TOC2"/>
        <w:rPr>
          <w:rFonts w:asciiTheme="minorHAnsi" w:eastAsiaTheme="minorEastAsia" w:hAnsiTheme="minorHAnsi" w:cstheme="minorBidi"/>
          <w:b w:val="0"/>
          <w:szCs w:val="22"/>
          <w:lang w:eastAsia="en-AU"/>
        </w:rPr>
      </w:pPr>
      <w:hyperlink w:anchor="_Toc383615058" w:history="1">
        <w:r w:rsidR="00042800" w:rsidRPr="001366DE">
          <w:rPr>
            <w:rStyle w:val="Hyperlink"/>
          </w:rPr>
          <w:t>International</w:t>
        </w:r>
        <w:r w:rsidR="00042800">
          <w:rPr>
            <w:webHidden/>
          </w:rPr>
          <w:tab/>
        </w:r>
        <w:r>
          <w:rPr>
            <w:webHidden/>
          </w:rPr>
          <w:fldChar w:fldCharType="begin"/>
        </w:r>
        <w:r w:rsidR="00042800">
          <w:rPr>
            <w:webHidden/>
          </w:rPr>
          <w:instrText xml:space="preserve"> PAGEREF _Toc383615058 \h </w:instrText>
        </w:r>
        <w:r>
          <w:rPr>
            <w:webHidden/>
          </w:rPr>
        </w:r>
        <w:r>
          <w:rPr>
            <w:webHidden/>
          </w:rPr>
          <w:fldChar w:fldCharType="separate"/>
        </w:r>
        <w:r w:rsidR="00081037">
          <w:rPr>
            <w:webHidden/>
          </w:rPr>
          <w:t>106</w:t>
        </w:r>
        <w:r>
          <w:rPr>
            <w:webHidden/>
          </w:rPr>
          <w:fldChar w:fldCharType="end"/>
        </w:r>
      </w:hyperlink>
    </w:p>
    <w:p w:rsidR="00042800" w:rsidRDefault="00DC4D6C">
      <w:pPr>
        <w:pStyle w:val="TOC1"/>
        <w:tabs>
          <w:tab w:val="left" w:pos="1587"/>
        </w:tabs>
      </w:pPr>
      <w:hyperlink w:anchor="_Toc383615059" w:history="1">
        <w:r w:rsidR="00042800" w:rsidRPr="001366DE">
          <w:rPr>
            <w:rStyle w:val="Hyperlink"/>
          </w:rPr>
          <w:t>7</w:t>
        </w:r>
        <w:r w:rsidR="00042800">
          <w:rPr>
            <w:rFonts w:asciiTheme="minorHAnsi" w:eastAsiaTheme="minorEastAsia" w:hAnsiTheme="minorHAnsi" w:cstheme="minorBidi"/>
            <w:b w:val="0"/>
            <w:smallCaps w:val="0"/>
            <w:spacing w:val="0"/>
            <w:sz w:val="22"/>
            <w:lang w:eastAsia="en-AU"/>
          </w:rPr>
          <w:tab/>
        </w:r>
        <w:r w:rsidR="00042800" w:rsidRPr="001366DE">
          <w:rPr>
            <w:rStyle w:val="Hyperlink"/>
          </w:rPr>
          <w:t>Cultural Safety: A story of a man with seven mothers</w:t>
        </w:r>
        <w:r w:rsidR="00042800">
          <w:rPr>
            <w:webHidden/>
          </w:rPr>
          <w:tab/>
        </w:r>
        <w:r>
          <w:rPr>
            <w:webHidden/>
          </w:rPr>
          <w:fldChar w:fldCharType="begin"/>
        </w:r>
        <w:r w:rsidR="00042800">
          <w:rPr>
            <w:webHidden/>
          </w:rPr>
          <w:instrText xml:space="preserve"> PAGEREF _Toc383615059 \h </w:instrText>
        </w:r>
        <w:r>
          <w:rPr>
            <w:webHidden/>
          </w:rPr>
        </w:r>
        <w:r>
          <w:rPr>
            <w:webHidden/>
          </w:rPr>
          <w:fldChar w:fldCharType="separate"/>
        </w:r>
        <w:r w:rsidR="00081037">
          <w:rPr>
            <w:webHidden/>
          </w:rPr>
          <w:t>113</w:t>
        </w:r>
        <w:r>
          <w:rPr>
            <w:webHidden/>
          </w:rPr>
          <w:fldChar w:fldCharType="end"/>
        </w:r>
      </w:hyperlink>
    </w:p>
    <w:p w:rsidR="00CB214F" w:rsidRDefault="00CB214F" w:rsidP="00CB214F">
      <w:pPr>
        <w:rPr>
          <w:rFonts w:eastAsiaTheme="minorEastAsia"/>
          <w:noProof/>
        </w:rPr>
      </w:pPr>
    </w:p>
    <w:p w:rsidR="00CB214F" w:rsidRPr="00CB214F" w:rsidRDefault="00CB214F" w:rsidP="00CB214F">
      <w:pPr>
        <w:rPr>
          <w:rFonts w:eastAsiaTheme="minorEastAsia"/>
          <w:noProof/>
        </w:rPr>
      </w:pPr>
    </w:p>
    <w:p w:rsidR="00042800" w:rsidRDefault="00DC4D6C">
      <w:pPr>
        <w:pStyle w:val="TOC1"/>
        <w:tabs>
          <w:tab w:val="left" w:pos="2329"/>
        </w:tabs>
        <w:rPr>
          <w:rFonts w:asciiTheme="minorHAnsi" w:eastAsiaTheme="minorEastAsia" w:hAnsiTheme="minorHAnsi" w:cstheme="minorBidi"/>
          <w:b w:val="0"/>
          <w:smallCaps w:val="0"/>
          <w:spacing w:val="0"/>
          <w:sz w:val="22"/>
          <w:lang w:eastAsia="en-AU"/>
        </w:rPr>
      </w:pPr>
      <w:hyperlink w:anchor="_Toc383615060" w:history="1">
        <w:r w:rsidR="00042800" w:rsidRPr="001366DE">
          <w:rPr>
            <w:rStyle w:val="Hyperlink"/>
          </w:rPr>
          <w:t>Appendix A</w:t>
        </w:r>
        <w:r w:rsidR="00042800">
          <w:rPr>
            <w:rFonts w:asciiTheme="minorHAnsi" w:eastAsiaTheme="minorEastAsia" w:hAnsiTheme="minorHAnsi" w:cstheme="minorBidi"/>
            <w:b w:val="0"/>
            <w:smallCaps w:val="0"/>
            <w:spacing w:val="0"/>
            <w:sz w:val="22"/>
            <w:lang w:eastAsia="en-AU"/>
          </w:rPr>
          <w:tab/>
        </w:r>
        <w:r w:rsidR="00042800" w:rsidRPr="001366DE">
          <w:rPr>
            <w:rStyle w:val="Hyperlink"/>
          </w:rPr>
          <w:t>List of submissions</w:t>
        </w:r>
        <w:r w:rsidR="00042800">
          <w:rPr>
            <w:webHidden/>
          </w:rPr>
          <w:tab/>
        </w:r>
        <w:r>
          <w:rPr>
            <w:webHidden/>
          </w:rPr>
          <w:fldChar w:fldCharType="begin"/>
        </w:r>
        <w:r w:rsidR="00042800">
          <w:rPr>
            <w:webHidden/>
          </w:rPr>
          <w:instrText xml:space="preserve"> PAGEREF _Toc383615060 \h </w:instrText>
        </w:r>
        <w:r>
          <w:rPr>
            <w:webHidden/>
          </w:rPr>
        </w:r>
        <w:r>
          <w:rPr>
            <w:webHidden/>
          </w:rPr>
          <w:fldChar w:fldCharType="separate"/>
        </w:r>
        <w:r w:rsidR="00081037">
          <w:rPr>
            <w:webHidden/>
          </w:rPr>
          <w:t>119</w:t>
        </w:r>
        <w:r>
          <w:rPr>
            <w:webHidden/>
          </w:rPr>
          <w:fldChar w:fldCharType="end"/>
        </w:r>
      </w:hyperlink>
    </w:p>
    <w:p w:rsidR="00042800" w:rsidRDefault="00DC4D6C">
      <w:pPr>
        <w:pStyle w:val="TOC1"/>
        <w:tabs>
          <w:tab w:val="left" w:pos="2318"/>
        </w:tabs>
        <w:rPr>
          <w:rFonts w:asciiTheme="minorHAnsi" w:eastAsiaTheme="minorEastAsia" w:hAnsiTheme="minorHAnsi" w:cstheme="minorBidi"/>
          <w:b w:val="0"/>
          <w:smallCaps w:val="0"/>
          <w:spacing w:val="0"/>
          <w:sz w:val="22"/>
          <w:lang w:eastAsia="en-AU"/>
        </w:rPr>
      </w:pPr>
      <w:hyperlink w:anchor="_Toc383615061" w:history="1">
        <w:r w:rsidR="00042800" w:rsidRPr="001366DE">
          <w:rPr>
            <w:rStyle w:val="Hyperlink"/>
          </w:rPr>
          <w:t>Appendix B</w:t>
        </w:r>
        <w:r w:rsidR="00042800">
          <w:rPr>
            <w:rFonts w:asciiTheme="minorHAnsi" w:eastAsiaTheme="minorEastAsia" w:hAnsiTheme="minorHAnsi" w:cstheme="minorBidi"/>
            <w:b w:val="0"/>
            <w:smallCaps w:val="0"/>
            <w:spacing w:val="0"/>
            <w:sz w:val="22"/>
            <w:lang w:eastAsia="en-AU"/>
          </w:rPr>
          <w:tab/>
        </w:r>
        <w:r w:rsidR="00042800" w:rsidRPr="001366DE">
          <w:rPr>
            <w:rStyle w:val="Hyperlink"/>
          </w:rPr>
          <w:t>List of witnesses and public hearings</w:t>
        </w:r>
        <w:r w:rsidR="00042800">
          <w:rPr>
            <w:webHidden/>
          </w:rPr>
          <w:tab/>
        </w:r>
        <w:r>
          <w:rPr>
            <w:webHidden/>
          </w:rPr>
          <w:fldChar w:fldCharType="begin"/>
        </w:r>
        <w:r w:rsidR="00042800">
          <w:rPr>
            <w:webHidden/>
          </w:rPr>
          <w:instrText xml:space="preserve"> PAGEREF _Toc383615061 \h </w:instrText>
        </w:r>
        <w:r>
          <w:rPr>
            <w:webHidden/>
          </w:rPr>
        </w:r>
        <w:r>
          <w:rPr>
            <w:webHidden/>
          </w:rPr>
          <w:fldChar w:fldCharType="separate"/>
        </w:r>
        <w:r w:rsidR="00081037">
          <w:rPr>
            <w:webHidden/>
          </w:rPr>
          <w:t>121</w:t>
        </w:r>
        <w:r>
          <w:rPr>
            <w:webHidden/>
          </w:rPr>
          <w:fldChar w:fldCharType="end"/>
        </w:r>
      </w:hyperlink>
    </w:p>
    <w:p w:rsidR="00042800" w:rsidRDefault="00DC4D6C">
      <w:pPr>
        <w:pStyle w:val="TOC1"/>
        <w:tabs>
          <w:tab w:val="left" w:pos="2311"/>
        </w:tabs>
        <w:rPr>
          <w:rFonts w:asciiTheme="minorHAnsi" w:eastAsiaTheme="minorEastAsia" w:hAnsiTheme="minorHAnsi" w:cstheme="minorBidi"/>
          <w:b w:val="0"/>
          <w:smallCaps w:val="0"/>
          <w:spacing w:val="0"/>
          <w:sz w:val="22"/>
          <w:lang w:eastAsia="en-AU"/>
        </w:rPr>
      </w:pPr>
      <w:hyperlink w:anchor="_Toc383615062" w:history="1">
        <w:r w:rsidR="00042800" w:rsidRPr="001366DE">
          <w:rPr>
            <w:rStyle w:val="Hyperlink"/>
          </w:rPr>
          <w:t>Appendix C</w:t>
        </w:r>
        <w:r w:rsidR="00042800">
          <w:rPr>
            <w:rFonts w:asciiTheme="minorHAnsi" w:eastAsiaTheme="minorEastAsia" w:hAnsiTheme="minorHAnsi" w:cstheme="minorBidi"/>
            <w:b w:val="0"/>
            <w:smallCaps w:val="0"/>
            <w:spacing w:val="0"/>
            <w:sz w:val="22"/>
            <w:lang w:eastAsia="en-AU"/>
          </w:rPr>
          <w:tab/>
        </w:r>
        <w:r w:rsidR="00042800" w:rsidRPr="001366DE">
          <w:rPr>
            <w:rStyle w:val="Hyperlink"/>
          </w:rPr>
          <w:t>ACTPS Employment Strategy</w:t>
        </w:r>
        <w:r w:rsidR="00042800">
          <w:rPr>
            <w:webHidden/>
          </w:rPr>
          <w:tab/>
        </w:r>
        <w:r>
          <w:rPr>
            <w:webHidden/>
          </w:rPr>
          <w:fldChar w:fldCharType="begin"/>
        </w:r>
        <w:r w:rsidR="00042800">
          <w:rPr>
            <w:webHidden/>
          </w:rPr>
          <w:instrText xml:space="preserve"> PAGEREF _Toc383615062 \h </w:instrText>
        </w:r>
        <w:r>
          <w:rPr>
            <w:webHidden/>
          </w:rPr>
        </w:r>
        <w:r>
          <w:rPr>
            <w:webHidden/>
          </w:rPr>
          <w:fldChar w:fldCharType="separate"/>
        </w:r>
        <w:r w:rsidR="00081037">
          <w:rPr>
            <w:webHidden/>
          </w:rPr>
          <w:t>123</w:t>
        </w:r>
        <w:r>
          <w:rPr>
            <w:webHidden/>
          </w:rPr>
          <w:fldChar w:fldCharType="end"/>
        </w:r>
      </w:hyperlink>
    </w:p>
    <w:p w:rsidR="00042800" w:rsidRDefault="00DC4D6C">
      <w:pPr>
        <w:pStyle w:val="TOC1"/>
        <w:tabs>
          <w:tab w:val="left" w:pos="2335"/>
        </w:tabs>
        <w:rPr>
          <w:rFonts w:asciiTheme="minorHAnsi" w:eastAsiaTheme="minorEastAsia" w:hAnsiTheme="minorHAnsi" w:cstheme="minorBidi"/>
          <w:b w:val="0"/>
          <w:smallCaps w:val="0"/>
          <w:spacing w:val="0"/>
          <w:sz w:val="22"/>
          <w:lang w:eastAsia="en-AU"/>
        </w:rPr>
      </w:pPr>
      <w:hyperlink w:anchor="_Toc383615063" w:history="1">
        <w:r w:rsidR="00042800" w:rsidRPr="001366DE">
          <w:rPr>
            <w:rStyle w:val="Hyperlink"/>
          </w:rPr>
          <w:t>Appendix D</w:t>
        </w:r>
        <w:r w:rsidR="00042800">
          <w:rPr>
            <w:rFonts w:asciiTheme="minorHAnsi" w:eastAsiaTheme="minorEastAsia" w:hAnsiTheme="minorHAnsi" w:cstheme="minorBidi"/>
            <w:b w:val="0"/>
            <w:smallCaps w:val="0"/>
            <w:spacing w:val="0"/>
            <w:sz w:val="22"/>
            <w:lang w:eastAsia="en-AU"/>
          </w:rPr>
          <w:tab/>
        </w:r>
        <w:r w:rsidR="00042800" w:rsidRPr="001366DE">
          <w:rPr>
            <w:rStyle w:val="Hyperlink"/>
          </w:rPr>
          <w:t>Organisational Maturity Chart</w:t>
        </w:r>
        <w:r w:rsidR="00042800">
          <w:rPr>
            <w:webHidden/>
          </w:rPr>
          <w:tab/>
        </w:r>
        <w:r>
          <w:rPr>
            <w:webHidden/>
          </w:rPr>
          <w:fldChar w:fldCharType="begin"/>
        </w:r>
        <w:r w:rsidR="00042800">
          <w:rPr>
            <w:webHidden/>
          </w:rPr>
          <w:instrText xml:space="preserve"> PAGEREF _Toc383615063 \h </w:instrText>
        </w:r>
        <w:r>
          <w:rPr>
            <w:webHidden/>
          </w:rPr>
        </w:r>
        <w:r>
          <w:rPr>
            <w:webHidden/>
          </w:rPr>
          <w:fldChar w:fldCharType="separate"/>
        </w:r>
        <w:r w:rsidR="00081037">
          <w:rPr>
            <w:webHidden/>
          </w:rPr>
          <w:t>151</w:t>
        </w:r>
        <w:r>
          <w:rPr>
            <w:webHidden/>
          </w:rPr>
          <w:fldChar w:fldCharType="end"/>
        </w:r>
      </w:hyperlink>
    </w:p>
    <w:p w:rsidR="00042800" w:rsidRDefault="00DC4D6C">
      <w:pPr>
        <w:pStyle w:val="TOC1"/>
        <w:tabs>
          <w:tab w:val="left" w:pos="2301"/>
        </w:tabs>
        <w:rPr>
          <w:rFonts w:asciiTheme="minorHAnsi" w:eastAsiaTheme="minorEastAsia" w:hAnsiTheme="minorHAnsi" w:cstheme="minorBidi"/>
          <w:b w:val="0"/>
          <w:smallCaps w:val="0"/>
          <w:spacing w:val="0"/>
          <w:sz w:val="22"/>
          <w:lang w:eastAsia="en-AU"/>
        </w:rPr>
      </w:pPr>
      <w:hyperlink w:anchor="_Toc383615064" w:history="1">
        <w:r w:rsidR="00042800" w:rsidRPr="001366DE">
          <w:rPr>
            <w:rStyle w:val="Hyperlink"/>
          </w:rPr>
          <w:t>Appendix E</w:t>
        </w:r>
        <w:r w:rsidR="00042800">
          <w:rPr>
            <w:rFonts w:asciiTheme="minorHAnsi" w:eastAsiaTheme="minorEastAsia" w:hAnsiTheme="minorHAnsi" w:cstheme="minorBidi"/>
            <w:b w:val="0"/>
            <w:smallCaps w:val="0"/>
            <w:spacing w:val="0"/>
            <w:sz w:val="22"/>
            <w:lang w:eastAsia="en-AU"/>
          </w:rPr>
          <w:tab/>
        </w:r>
        <w:r w:rsidR="00042800" w:rsidRPr="001366DE">
          <w:rPr>
            <w:rStyle w:val="Hyperlink"/>
          </w:rPr>
          <w:t>Summary of current state of implementation</w:t>
        </w:r>
        <w:r w:rsidR="00CB214F">
          <w:rPr>
            <w:rStyle w:val="Hyperlink"/>
          </w:rPr>
          <w:t xml:space="preserve"> of </w:t>
        </w:r>
        <w:r w:rsidR="00CB214F">
          <w:rPr>
            <w:rStyle w:val="Hyperlink"/>
          </w:rPr>
          <w:tab/>
          <w:t>the Employment Strategy</w:t>
        </w:r>
        <w:r w:rsidR="00042800">
          <w:rPr>
            <w:webHidden/>
          </w:rPr>
          <w:tab/>
        </w:r>
        <w:r>
          <w:rPr>
            <w:webHidden/>
          </w:rPr>
          <w:fldChar w:fldCharType="begin"/>
        </w:r>
        <w:r w:rsidR="00042800">
          <w:rPr>
            <w:webHidden/>
          </w:rPr>
          <w:instrText xml:space="preserve"> PAGEREF _Toc383615064 \h </w:instrText>
        </w:r>
        <w:r>
          <w:rPr>
            <w:webHidden/>
          </w:rPr>
        </w:r>
        <w:r>
          <w:rPr>
            <w:webHidden/>
          </w:rPr>
          <w:fldChar w:fldCharType="separate"/>
        </w:r>
        <w:r w:rsidR="00081037">
          <w:rPr>
            <w:webHidden/>
          </w:rPr>
          <w:t>154</w:t>
        </w:r>
        <w:r>
          <w:rPr>
            <w:webHidden/>
          </w:rPr>
          <w:fldChar w:fldCharType="end"/>
        </w:r>
      </w:hyperlink>
    </w:p>
    <w:p w:rsidR="00E8651F" w:rsidRDefault="00DC4D6C">
      <w:pPr>
        <w:pStyle w:val="Prelimmajorheading"/>
        <w:keepNext w:val="0"/>
        <w:pageBreakBefore w:val="0"/>
        <w:rPr>
          <w:rFonts w:ascii="Arial" w:hAnsi="Arial" w:cs="Times New Roman"/>
          <w:bCs w:val="0"/>
          <w:spacing w:val="0"/>
          <w:kern w:val="0"/>
          <w:sz w:val="20"/>
          <w:szCs w:val="20"/>
        </w:rPr>
        <w:sectPr w:rsidR="00E8651F" w:rsidSect="0038734F">
          <w:headerReference w:type="even" r:id="rId11"/>
          <w:headerReference w:type="default" r:id="rId12"/>
          <w:footerReference w:type="even" r:id="rId13"/>
          <w:footerReference w:type="default" r:id="rId14"/>
          <w:headerReference w:type="first" r:id="rId15"/>
          <w:footerReference w:type="first" r:id="rId16"/>
          <w:type w:val="oddPage"/>
          <w:pgSz w:w="11907" w:h="16840" w:code="9"/>
          <w:pgMar w:top="1588" w:right="1418" w:bottom="1418" w:left="1418" w:header="720" w:footer="851" w:gutter="0"/>
          <w:pgNumType w:fmt="lowerRoman" w:start="1"/>
          <w:cols w:space="720"/>
          <w:docGrid w:linePitch="360"/>
        </w:sectPr>
      </w:pPr>
      <w:r>
        <w:rPr>
          <w:rFonts w:ascii="Arial" w:hAnsi="Arial" w:cs="Times New Roman"/>
          <w:bCs w:val="0"/>
          <w:spacing w:val="0"/>
          <w:kern w:val="0"/>
          <w:sz w:val="20"/>
          <w:szCs w:val="20"/>
        </w:rPr>
        <w:fldChar w:fldCharType="end"/>
      </w:r>
    </w:p>
    <w:p w:rsidR="00D561BC" w:rsidRDefault="00D561BC" w:rsidP="001F58CC">
      <w:pPr>
        <w:pStyle w:val="Prelimmajorheading"/>
        <w:keepNext w:val="0"/>
        <w:pageBreakBefore w:val="0"/>
        <w:spacing w:after="480"/>
      </w:pPr>
      <w:bookmarkStart w:id="40" w:name="_Toc341433424"/>
      <w:bookmarkStart w:id="41" w:name="_Toc341687869"/>
      <w:bookmarkStart w:id="42" w:name="_Toc383615021"/>
      <w:r>
        <w:t>Recommendations</w:t>
      </w:r>
      <w:bookmarkEnd w:id="40"/>
      <w:bookmarkEnd w:id="41"/>
      <w:bookmarkEnd w:id="42"/>
      <w:r w:rsidR="00B33430">
        <w:t xml:space="preserve"> </w:t>
      </w:r>
    </w:p>
    <w:p w:rsidR="00D47E43" w:rsidRPr="00D47E43" w:rsidRDefault="00D47E43">
      <w:pPr>
        <w:pStyle w:val="TOC1"/>
        <w:rPr>
          <w:b w:val="0"/>
          <w:bCs/>
        </w:rPr>
      </w:pPr>
      <w:r w:rsidRPr="00D47E43">
        <w:rPr>
          <w:b w:val="0"/>
          <w:bCs/>
        </w:rPr>
        <w:t xml:space="preserve">Employment Strategy Implementation </w:t>
      </w:r>
    </w:p>
    <w:p w:rsidR="00CB277F" w:rsidRDefault="00DC4D6C">
      <w:pPr>
        <w:pStyle w:val="TOC1"/>
        <w:rPr>
          <w:rFonts w:asciiTheme="minorHAnsi" w:eastAsiaTheme="minorEastAsia" w:hAnsiTheme="minorHAnsi" w:cstheme="minorBidi"/>
          <w:b w:val="0"/>
          <w:smallCaps w:val="0"/>
          <w:spacing w:val="0"/>
          <w:sz w:val="22"/>
          <w:lang w:eastAsia="en-AU"/>
        </w:rPr>
      </w:pPr>
      <w:r w:rsidRPr="00DC4D6C">
        <w:rPr>
          <w:b w:val="0"/>
          <w:bCs/>
          <w:color w:val="A6A6A6"/>
        </w:rPr>
        <w:fldChar w:fldCharType="begin"/>
      </w:r>
      <w:r w:rsidR="007A5CB5" w:rsidRPr="00B33430">
        <w:rPr>
          <w:b w:val="0"/>
          <w:bCs/>
          <w:color w:val="A6A6A6"/>
        </w:rPr>
        <w:instrText xml:space="preserve"> TOC \n \p " " \h \z \t "Recommendation,1,Recommendation Text,2,Recommendation Bullet,3" </w:instrText>
      </w:r>
      <w:r w:rsidRPr="00DC4D6C">
        <w:rPr>
          <w:b w:val="0"/>
          <w:bCs/>
          <w:color w:val="A6A6A6"/>
        </w:rPr>
        <w:fldChar w:fldCharType="separate"/>
      </w:r>
      <w:hyperlink w:anchor="_Toc384024355" w:history="1">
        <w:r w:rsidR="00CB277F" w:rsidRPr="00B563FC">
          <w:rPr>
            <w:rStyle w:val="Hyperlink"/>
            <w:lang w:val="en-US"/>
          </w:rPr>
          <w:t>Recommendation 1</w:t>
        </w:r>
      </w:hyperlink>
    </w:p>
    <w:p w:rsidR="00CB277F" w:rsidRDefault="00DC4D6C">
      <w:pPr>
        <w:pStyle w:val="TOC2"/>
        <w:rPr>
          <w:rFonts w:asciiTheme="minorHAnsi" w:eastAsiaTheme="minorEastAsia" w:hAnsiTheme="minorHAnsi" w:cstheme="minorBidi"/>
          <w:b w:val="0"/>
          <w:szCs w:val="22"/>
          <w:lang w:eastAsia="en-AU"/>
        </w:rPr>
      </w:pPr>
      <w:hyperlink w:anchor="_Toc384024356" w:history="1">
        <w:r w:rsidR="00CB277F" w:rsidRPr="00B563FC">
          <w:rPr>
            <w:rStyle w:val="Hyperlink"/>
            <w:i/>
            <w:lang w:val="en-US"/>
          </w:rPr>
          <w:t>2.51</w:t>
        </w:r>
        <w:r w:rsidR="00CB277F">
          <w:rPr>
            <w:rFonts w:asciiTheme="minorHAnsi" w:eastAsiaTheme="minorEastAsia" w:hAnsiTheme="minorHAnsi" w:cstheme="minorBidi"/>
            <w:b w:val="0"/>
            <w:szCs w:val="22"/>
            <w:lang w:eastAsia="en-AU"/>
          </w:rPr>
          <w:tab/>
        </w:r>
        <w:r w:rsidR="00CB277F" w:rsidRPr="00B563FC">
          <w:rPr>
            <w:rStyle w:val="Hyperlink"/>
            <w:lang w:val="en-US"/>
          </w:rPr>
          <w:t xml:space="preserve">The Committee recommends that the ACT Public Service implement a project management approach to ensure the timely achievement of outcomes identified in the </w:t>
        </w:r>
        <w:r w:rsidR="00CB277F" w:rsidRPr="00B563FC">
          <w:rPr>
            <w:rStyle w:val="Hyperlink"/>
            <w:i/>
            <w:lang w:val="en-US"/>
          </w:rPr>
          <w:t>ACT Public Service Employment Strategy for Aboriginal and Torres Strait Islander People.</w:t>
        </w:r>
      </w:hyperlink>
    </w:p>
    <w:p w:rsidR="00CB277F" w:rsidRDefault="00DC4D6C">
      <w:pPr>
        <w:pStyle w:val="TOC1"/>
        <w:rPr>
          <w:rFonts w:asciiTheme="minorHAnsi" w:eastAsiaTheme="minorEastAsia" w:hAnsiTheme="minorHAnsi" w:cstheme="minorBidi"/>
          <w:b w:val="0"/>
          <w:smallCaps w:val="0"/>
          <w:spacing w:val="0"/>
          <w:sz w:val="22"/>
          <w:lang w:eastAsia="en-AU"/>
        </w:rPr>
      </w:pPr>
      <w:hyperlink w:anchor="_Toc384024357" w:history="1">
        <w:r w:rsidR="00CB277F" w:rsidRPr="00B563FC">
          <w:rPr>
            <w:rStyle w:val="Hyperlink"/>
            <w:lang w:val="en-US"/>
          </w:rPr>
          <w:t>Recommendation 2</w:t>
        </w:r>
      </w:hyperlink>
    </w:p>
    <w:p w:rsidR="00CB277F" w:rsidRDefault="00DC4D6C">
      <w:pPr>
        <w:pStyle w:val="TOC2"/>
        <w:rPr>
          <w:rFonts w:asciiTheme="minorHAnsi" w:eastAsiaTheme="minorEastAsia" w:hAnsiTheme="minorHAnsi" w:cstheme="minorBidi"/>
          <w:b w:val="0"/>
          <w:szCs w:val="22"/>
          <w:lang w:eastAsia="en-AU"/>
        </w:rPr>
      </w:pPr>
      <w:hyperlink w:anchor="_Toc384024358" w:history="1">
        <w:r w:rsidR="00CB277F" w:rsidRPr="00B563FC">
          <w:rPr>
            <w:rStyle w:val="Hyperlink"/>
            <w:lang w:val="en-US"/>
          </w:rPr>
          <w:t>2.64</w:t>
        </w:r>
        <w:r w:rsidR="00CB277F">
          <w:rPr>
            <w:rFonts w:asciiTheme="minorHAnsi" w:eastAsiaTheme="minorEastAsia" w:hAnsiTheme="minorHAnsi" w:cstheme="minorBidi"/>
            <w:b w:val="0"/>
            <w:szCs w:val="22"/>
            <w:lang w:eastAsia="en-AU"/>
          </w:rPr>
          <w:tab/>
        </w:r>
        <w:r w:rsidR="00CB277F" w:rsidRPr="00B563FC">
          <w:rPr>
            <w:rStyle w:val="Hyperlink"/>
            <w:lang w:val="en-US"/>
          </w:rPr>
          <w:t>The Committee recommends that the ACT Public Service precisely define the target level of employment for Aboriginal and Torres Strait Islander employees in the ACT Public Service.</w:t>
        </w:r>
      </w:hyperlink>
    </w:p>
    <w:p w:rsidR="00CB277F" w:rsidRDefault="00CB277F" w:rsidP="00CB277F">
      <w:pPr>
        <w:pStyle w:val="TOC1"/>
        <w:rPr>
          <w:b w:val="0"/>
          <w:bCs/>
        </w:rPr>
      </w:pPr>
    </w:p>
    <w:p w:rsidR="00CB277F" w:rsidRPr="00D47E43" w:rsidRDefault="00CB277F" w:rsidP="00CB277F">
      <w:pPr>
        <w:pStyle w:val="TOC1"/>
        <w:rPr>
          <w:b w:val="0"/>
          <w:bCs/>
        </w:rPr>
      </w:pPr>
      <w:r>
        <w:rPr>
          <w:b w:val="0"/>
          <w:bCs/>
        </w:rPr>
        <w:t>Recruitment</w:t>
      </w:r>
      <w:r w:rsidRPr="00D47E43">
        <w:rPr>
          <w:b w:val="0"/>
          <w:bCs/>
        </w:rPr>
        <w:t xml:space="preserve"> </w:t>
      </w:r>
    </w:p>
    <w:p w:rsidR="00CB277F" w:rsidRDefault="00DC4D6C">
      <w:pPr>
        <w:pStyle w:val="TOC1"/>
        <w:rPr>
          <w:rFonts w:asciiTheme="minorHAnsi" w:eastAsiaTheme="minorEastAsia" w:hAnsiTheme="minorHAnsi" w:cstheme="minorBidi"/>
          <w:b w:val="0"/>
          <w:smallCaps w:val="0"/>
          <w:spacing w:val="0"/>
          <w:sz w:val="22"/>
          <w:lang w:eastAsia="en-AU"/>
        </w:rPr>
      </w:pPr>
      <w:hyperlink w:anchor="_Toc384024359" w:history="1">
        <w:r w:rsidR="00CB277F" w:rsidRPr="00B563FC">
          <w:rPr>
            <w:rStyle w:val="Hyperlink"/>
          </w:rPr>
          <w:t>Recommendation 3</w:t>
        </w:r>
      </w:hyperlink>
    </w:p>
    <w:p w:rsidR="00CB277F" w:rsidRDefault="00DC4D6C">
      <w:pPr>
        <w:pStyle w:val="TOC2"/>
        <w:rPr>
          <w:rFonts w:asciiTheme="minorHAnsi" w:eastAsiaTheme="minorEastAsia" w:hAnsiTheme="minorHAnsi" w:cstheme="minorBidi"/>
          <w:b w:val="0"/>
          <w:szCs w:val="22"/>
          <w:lang w:eastAsia="en-AU"/>
        </w:rPr>
      </w:pPr>
      <w:hyperlink w:anchor="_Toc384024360" w:history="1">
        <w:r w:rsidR="00CB277F" w:rsidRPr="00B563FC">
          <w:rPr>
            <w:rStyle w:val="Hyperlink"/>
          </w:rPr>
          <w:t>3.22</w:t>
        </w:r>
        <w:r w:rsidR="00CB277F">
          <w:rPr>
            <w:rFonts w:asciiTheme="minorHAnsi" w:eastAsiaTheme="minorEastAsia" w:hAnsiTheme="minorHAnsi" w:cstheme="minorBidi"/>
            <w:b w:val="0"/>
            <w:szCs w:val="22"/>
            <w:lang w:eastAsia="en-AU"/>
          </w:rPr>
          <w:tab/>
        </w:r>
        <w:r w:rsidR="00CB277F" w:rsidRPr="00B563FC">
          <w:rPr>
            <w:rStyle w:val="Hyperlink"/>
          </w:rPr>
          <w:t xml:space="preserve">The Committee recommends that the </w:t>
        </w:r>
        <w:r w:rsidR="00CB277F" w:rsidRPr="00B563FC">
          <w:rPr>
            <w:rStyle w:val="Hyperlink"/>
            <w:i/>
          </w:rPr>
          <w:t>ACT Public Service Employment Strategy for Aboriginal and Torres Strait Islander people</w:t>
        </w:r>
        <w:r w:rsidR="00CB277F" w:rsidRPr="00B563FC">
          <w:rPr>
            <w:rStyle w:val="Hyperlink"/>
          </w:rPr>
          <w:t xml:space="preserve"> be amended with a view to incorporating a plan to recruit and retain suitably qualified Aboriginal and Torres Strait Islander senior executives in the ACT Public Service.</w:t>
        </w:r>
      </w:hyperlink>
    </w:p>
    <w:p w:rsidR="00CB277F" w:rsidRDefault="00DC4D6C">
      <w:pPr>
        <w:pStyle w:val="TOC1"/>
        <w:rPr>
          <w:rFonts w:asciiTheme="minorHAnsi" w:eastAsiaTheme="minorEastAsia" w:hAnsiTheme="minorHAnsi" w:cstheme="minorBidi"/>
          <w:b w:val="0"/>
          <w:smallCaps w:val="0"/>
          <w:spacing w:val="0"/>
          <w:sz w:val="22"/>
          <w:lang w:eastAsia="en-AU"/>
        </w:rPr>
      </w:pPr>
      <w:hyperlink w:anchor="_Toc384024361" w:history="1">
        <w:r w:rsidR="00CB277F" w:rsidRPr="00B563FC">
          <w:rPr>
            <w:rStyle w:val="Hyperlink"/>
          </w:rPr>
          <w:t>Recommendation 4</w:t>
        </w:r>
      </w:hyperlink>
    </w:p>
    <w:p w:rsidR="00CB277F" w:rsidRDefault="00DC4D6C">
      <w:pPr>
        <w:pStyle w:val="TOC2"/>
        <w:rPr>
          <w:rFonts w:asciiTheme="minorHAnsi" w:eastAsiaTheme="minorEastAsia" w:hAnsiTheme="minorHAnsi" w:cstheme="minorBidi"/>
          <w:b w:val="0"/>
          <w:szCs w:val="22"/>
          <w:lang w:eastAsia="en-AU"/>
        </w:rPr>
      </w:pPr>
      <w:hyperlink w:anchor="_Toc384024362" w:history="1">
        <w:r w:rsidR="00CB277F" w:rsidRPr="00B563FC">
          <w:rPr>
            <w:rStyle w:val="Hyperlink"/>
          </w:rPr>
          <w:t>3.35</w:t>
        </w:r>
        <w:r w:rsidR="00CB277F">
          <w:rPr>
            <w:rFonts w:asciiTheme="minorHAnsi" w:eastAsiaTheme="minorEastAsia" w:hAnsiTheme="minorHAnsi" w:cstheme="minorBidi"/>
            <w:b w:val="0"/>
            <w:szCs w:val="22"/>
            <w:lang w:eastAsia="en-AU"/>
          </w:rPr>
          <w:tab/>
        </w:r>
        <w:r w:rsidR="00CB277F" w:rsidRPr="00B563FC">
          <w:rPr>
            <w:rStyle w:val="Hyperlink"/>
          </w:rPr>
          <w:t>The Committee recommends that the ACT Public Service give priority to identifying and implementing innovative ways of recruiting Aboriginal and Torres Strait Islander people into the ACT Public Service, including secondments from non-government sectors.  This must entail ongoing consultation with the ACT Aboriginal and Torres Strait Islander Elected Body.</w:t>
        </w:r>
      </w:hyperlink>
    </w:p>
    <w:p w:rsidR="00CB277F" w:rsidRDefault="00DC4D6C">
      <w:pPr>
        <w:pStyle w:val="TOC1"/>
        <w:rPr>
          <w:rFonts w:asciiTheme="minorHAnsi" w:eastAsiaTheme="minorEastAsia" w:hAnsiTheme="minorHAnsi" w:cstheme="minorBidi"/>
          <w:b w:val="0"/>
          <w:smallCaps w:val="0"/>
          <w:spacing w:val="0"/>
          <w:sz w:val="22"/>
          <w:lang w:eastAsia="en-AU"/>
        </w:rPr>
      </w:pPr>
      <w:hyperlink w:anchor="_Toc384024363" w:history="1">
        <w:r w:rsidR="00CB277F" w:rsidRPr="00B563FC">
          <w:rPr>
            <w:rStyle w:val="Hyperlink"/>
          </w:rPr>
          <w:t>Recommendation 5</w:t>
        </w:r>
      </w:hyperlink>
    </w:p>
    <w:p w:rsidR="00CB277F" w:rsidRDefault="00DC4D6C">
      <w:pPr>
        <w:pStyle w:val="TOC2"/>
        <w:rPr>
          <w:rFonts w:asciiTheme="minorHAnsi" w:eastAsiaTheme="minorEastAsia" w:hAnsiTheme="minorHAnsi" w:cstheme="minorBidi"/>
          <w:b w:val="0"/>
          <w:szCs w:val="22"/>
          <w:lang w:eastAsia="en-AU"/>
        </w:rPr>
      </w:pPr>
      <w:hyperlink w:anchor="_Toc384024364" w:history="1">
        <w:r w:rsidR="00CB277F" w:rsidRPr="00B563FC">
          <w:rPr>
            <w:rStyle w:val="Hyperlink"/>
          </w:rPr>
          <w:t>3.37</w:t>
        </w:r>
        <w:r w:rsidR="00CB277F">
          <w:rPr>
            <w:rFonts w:asciiTheme="minorHAnsi" w:eastAsiaTheme="minorEastAsia" w:hAnsiTheme="minorHAnsi" w:cstheme="minorBidi"/>
            <w:b w:val="0"/>
            <w:szCs w:val="22"/>
            <w:lang w:eastAsia="en-AU"/>
          </w:rPr>
          <w:tab/>
        </w:r>
        <w:r w:rsidR="00CB277F" w:rsidRPr="00B563FC">
          <w:rPr>
            <w:rStyle w:val="Hyperlink"/>
          </w:rPr>
          <w:t>The Committee recommends that the ACT Public Service use proactive recruitment methods, including external recruitment agencies and alternative merit-based selection processes, to fill more vacancies with Aboriginal and Torres Strait Islander people.</w:t>
        </w:r>
      </w:hyperlink>
    </w:p>
    <w:p w:rsidR="00CB277F" w:rsidRDefault="00DC4D6C">
      <w:pPr>
        <w:pStyle w:val="TOC1"/>
        <w:rPr>
          <w:rFonts w:asciiTheme="minorHAnsi" w:eastAsiaTheme="minorEastAsia" w:hAnsiTheme="minorHAnsi" w:cstheme="minorBidi"/>
          <w:b w:val="0"/>
          <w:smallCaps w:val="0"/>
          <w:spacing w:val="0"/>
          <w:sz w:val="22"/>
          <w:lang w:eastAsia="en-AU"/>
        </w:rPr>
      </w:pPr>
      <w:hyperlink w:anchor="_Toc384024365" w:history="1">
        <w:r w:rsidR="00CB277F" w:rsidRPr="00B563FC">
          <w:rPr>
            <w:rStyle w:val="Hyperlink"/>
          </w:rPr>
          <w:t>Recommendation 6</w:t>
        </w:r>
      </w:hyperlink>
    </w:p>
    <w:p w:rsidR="00CB277F" w:rsidRDefault="00DC4D6C">
      <w:pPr>
        <w:pStyle w:val="TOC2"/>
        <w:rPr>
          <w:rFonts w:asciiTheme="minorHAnsi" w:eastAsiaTheme="minorEastAsia" w:hAnsiTheme="minorHAnsi" w:cstheme="minorBidi"/>
          <w:b w:val="0"/>
          <w:szCs w:val="22"/>
          <w:lang w:eastAsia="en-AU"/>
        </w:rPr>
      </w:pPr>
      <w:hyperlink w:anchor="_Toc384024366" w:history="1">
        <w:r w:rsidR="00CB277F" w:rsidRPr="00B563FC">
          <w:rPr>
            <w:rStyle w:val="Hyperlink"/>
          </w:rPr>
          <w:t>3.40</w:t>
        </w:r>
        <w:r w:rsidR="00CB277F">
          <w:rPr>
            <w:rFonts w:asciiTheme="minorHAnsi" w:eastAsiaTheme="minorEastAsia" w:hAnsiTheme="minorHAnsi" w:cstheme="minorBidi"/>
            <w:b w:val="0"/>
            <w:szCs w:val="22"/>
            <w:lang w:eastAsia="en-AU"/>
          </w:rPr>
          <w:tab/>
        </w:r>
        <w:r w:rsidR="00CB277F" w:rsidRPr="00B563FC">
          <w:rPr>
            <w:rStyle w:val="Hyperlink"/>
          </w:rPr>
          <w:t>The Committee recommends that the ACT Public Service enhance its website to address the requirements of Aboriginal and Torres Strait Islander people who may be interested in employment in the ACT Public Service.</w:t>
        </w:r>
      </w:hyperlink>
    </w:p>
    <w:p w:rsidR="00CB277F" w:rsidRDefault="00DC4D6C">
      <w:pPr>
        <w:pStyle w:val="TOC1"/>
        <w:rPr>
          <w:rFonts w:asciiTheme="minorHAnsi" w:eastAsiaTheme="minorEastAsia" w:hAnsiTheme="minorHAnsi" w:cstheme="minorBidi"/>
          <w:b w:val="0"/>
          <w:smallCaps w:val="0"/>
          <w:spacing w:val="0"/>
          <w:sz w:val="22"/>
          <w:lang w:eastAsia="en-AU"/>
        </w:rPr>
      </w:pPr>
      <w:hyperlink w:anchor="_Toc384024367" w:history="1">
        <w:r w:rsidR="00CB277F" w:rsidRPr="00B563FC">
          <w:rPr>
            <w:rStyle w:val="Hyperlink"/>
          </w:rPr>
          <w:t>Recommendation 7</w:t>
        </w:r>
      </w:hyperlink>
    </w:p>
    <w:p w:rsidR="00CB277F" w:rsidRDefault="00DC4D6C">
      <w:pPr>
        <w:pStyle w:val="TOC2"/>
        <w:rPr>
          <w:rFonts w:asciiTheme="minorHAnsi" w:eastAsiaTheme="minorEastAsia" w:hAnsiTheme="minorHAnsi" w:cstheme="minorBidi"/>
          <w:b w:val="0"/>
          <w:szCs w:val="22"/>
          <w:lang w:eastAsia="en-AU"/>
        </w:rPr>
      </w:pPr>
      <w:hyperlink w:anchor="_Toc384024368" w:history="1">
        <w:r w:rsidR="00CB277F" w:rsidRPr="00B563FC">
          <w:rPr>
            <w:rStyle w:val="Hyperlink"/>
          </w:rPr>
          <w:t>3.55</w:t>
        </w:r>
        <w:r w:rsidR="00CB277F">
          <w:rPr>
            <w:rFonts w:asciiTheme="minorHAnsi" w:eastAsiaTheme="minorEastAsia" w:hAnsiTheme="minorHAnsi" w:cstheme="minorBidi"/>
            <w:b w:val="0"/>
            <w:szCs w:val="22"/>
            <w:lang w:eastAsia="en-AU"/>
          </w:rPr>
          <w:tab/>
        </w:r>
        <w:r w:rsidR="00CB277F" w:rsidRPr="00B563FC">
          <w:rPr>
            <w:rStyle w:val="Hyperlink"/>
          </w:rPr>
          <w:t xml:space="preserve">The Committee recommends that the </w:t>
        </w:r>
        <w:r w:rsidR="00CB277F" w:rsidRPr="00B563FC">
          <w:rPr>
            <w:rStyle w:val="Hyperlink"/>
            <w:i/>
          </w:rPr>
          <w:t>ACT Public Service Graduate Program</w:t>
        </w:r>
        <w:r w:rsidR="00CB277F" w:rsidRPr="00B563FC">
          <w:rPr>
            <w:rStyle w:val="Hyperlink"/>
          </w:rPr>
          <w:t xml:space="preserve"> offer at least 2.0 percent of the total number of positions to Aboriginal and Torres Strait Islander people.</w:t>
        </w:r>
      </w:hyperlink>
    </w:p>
    <w:p w:rsidR="00CB277F" w:rsidRDefault="00DC4D6C">
      <w:pPr>
        <w:pStyle w:val="TOC1"/>
        <w:rPr>
          <w:rFonts w:asciiTheme="minorHAnsi" w:eastAsiaTheme="minorEastAsia" w:hAnsiTheme="minorHAnsi" w:cstheme="minorBidi"/>
          <w:b w:val="0"/>
          <w:smallCaps w:val="0"/>
          <w:spacing w:val="0"/>
          <w:sz w:val="22"/>
          <w:lang w:eastAsia="en-AU"/>
        </w:rPr>
      </w:pPr>
      <w:hyperlink w:anchor="_Toc384024369" w:history="1">
        <w:r w:rsidR="00CB277F" w:rsidRPr="00B563FC">
          <w:rPr>
            <w:rStyle w:val="Hyperlink"/>
          </w:rPr>
          <w:t>Recommendation 8</w:t>
        </w:r>
      </w:hyperlink>
    </w:p>
    <w:p w:rsidR="00CB277F" w:rsidRDefault="00DC4D6C">
      <w:pPr>
        <w:pStyle w:val="TOC2"/>
        <w:rPr>
          <w:rFonts w:asciiTheme="minorHAnsi" w:eastAsiaTheme="minorEastAsia" w:hAnsiTheme="minorHAnsi" w:cstheme="minorBidi"/>
          <w:b w:val="0"/>
          <w:szCs w:val="22"/>
          <w:lang w:eastAsia="en-AU"/>
        </w:rPr>
      </w:pPr>
      <w:hyperlink w:anchor="_Toc384024370" w:history="1">
        <w:r w:rsidR="00CB277F" w:rsidRPr="00B563FC">
          <w:rPr>
            <w:rStyle w:val="Hyperlink"/>
          </w:rPr>
          <w:t>3.60</w:t>
        </w:r>
        <w:r w:rsidR="00CB277F">
          <w:rPr>
            <w:rFonts w:asciiTheme="minorHAnsi" w:eastAsiaTheme="minorEastAsia" w:hAnsiTheme="minorHAnsi" w:cstheme="minorBidi"/>
            <w:b w:val="0"/>
            <w:szCs w:val="22"/>
            <w:lang w:eastAsia="en-AU"/>
          </w:rPr>
          <w:tab/>
        </w:r>
        <w:r w:rsidR="00CB277F" w:rsidRPr="00B563FC">
          <w:rPr>
            <w:rStyle w:val="Hyperlink"/>
          </w:rPr>
          <w:t>The Committee recommends that the ACT Public Service  continue to be involved in the Australian Government’s Indigenous Cadetship Program.</w:t>
        </w:r>
      </w:hyperlink>
    </w:p>
    <w:p w:rsidR="00CB277F" w:rsidRDefault="00DC4D6C">
      <w:pPr>
        <w:pStyle w:val="TOC1"/>
        <w:rPr>
          <w:rFonts w:asciiTheme="minorHAnsi" w:eastAsiaTheme="minorEastAsia" w:hAnsiTheme="minorHAnsi" w:cstheme="minorBidi"/>
          <w:b w:val="0"/>
          <w:smallCaps w:val="0"/>
          <w:spacing w:val="0"/>
          <w:sz w:val="22"/>
          <w:lang w:eastAsia="en-AU"/>
        </w:rPr>
      </w:pPr>
      <w:hyperlink w:anchor="_Toc384024371" w:history="1">
        <w:r w:rsidR="00CB277F" w:rsidRPr="00B563FC">
          <w:rPr>
            <w:rStyle w:val="Hyperlink"/>
          </w:rPr>
          <w:t>Recommendation 9</w:t>
        </w:r>
      </w:hyperlink>
    </w:p>
    <w:p w:rsidR="00CB277F" w:rsidRDefault="00DC4D6C">
      <w:pPr>
        <w:pStyle w:val="TOC2"/>
        <w:rPr>
          <w:rFonts w:asciiTheme="minorHAnsi" w:eastAsiaTheme="minorEastAsia" w:hAnsiTheme="minorHAnsi" w:cstheme="minorBidi"/>
          <w:b w:val="0"/>
          <w:szCs w:val="22"/>
          <w:lang w:eastAsia="en-AU"/>
        </w:rPr>
      </w:pPr>
      <w:hyperlink w:anchor="_Toc384024372" w:history="1">
        <w:r w:rsidR="00CB277F" w:rsidRPr="00B563FC">
          <w:rPr>
            <w:rStyle w:val="Hyperlink"/>
          </w:rPr>
          <w:t>3.69</w:t>
        </w:r>
        <w:r w:rsidR="00CB277F">
          <w:rPr>
            <w:rFonts w:asciiTheme="minorHAnsi" w:eastAsiaTheme="minorEastAsia" w:hAnsiTheme="minorHAnsi" w:cstheme="minorBidi"/>
            <w:b w:val="0"/>
            <w:szCs w:val="22"/>
            <w:lang w:eastAsia="en-AU"/>
          </w:rPr>
          <w:tab/>
        </w:r>
        <w:r w:rsidR="00CB277F" w:rsidRPr="00B563FC">
          <w:rPr>
            <w:rStyle w:val="Hyperlink"/>
          </w:rPr>
          <w:t xml:space="preserve">The Committee recommends that, as a matter of priority, the ACT Public Service takes steps to improve the </w:t>
        </w:r>
        <w:r w:rsidR="00CB277F" w:rsidRPr="00B563FC">
          <w:rPr>
            <w:rStyle w:val="Hyperlink"/>
            <w:i/>
          </w:rPr>
          <w:t>Community Services Directorate Indigenous Traineeship Program</w:t>
        </w:r>
        <w:r w:rsidR="00CB277F" w:rsidRPr="00B563FC">
          <w:rPr>
            <w:rStyle w:val="Hyperlink"/>
          </w:rPr>
          <w:t>, ensuring that:</w:t>
        </w:r>
      </w:hyperlink>
    </w:p>
    <w:p w:rsidR="00CB277F" w:rsidRDefault="00DC4D6C">
      <w:pPr>
        <w:pStyle w:val="TOC2"/>
        <w:rPr>
          <w:rFonts w:asciiTheme="minorHAnsi" w:eastAsiaTheme="minorEastAsia" w:hAnsiTheme="minorHAnsi" w:cstheme="minorBidi"/>
          <w:b w:val="0"/>
          <w:szCs w:val="22"/>
          <w:lang w:eastAsia="en-AU"/>
        </w:rPr>
      </w:pPr>
      <w:hyperlink w:anchor="_Toc384024373" w:history="1">
        <w:r w:rsidR="00CB277F" w:rsidRPr="00B563FC">
          <w:rPr>
            <w:rStyle w:val="Hyperlink"/>
          </w:rPr>
          <w:t>(a)</w:t>
        </w:r>
        <w:r w:rsidR="00CB277F">
          <w:rPr>
            <w:rFonts w:asciiTheme="minorHAnsi" w:eastAsiaTheme="minorEastAsia" w:hAnsiTheme="minorHAnsi" w:cstheme="minorBidi"/>
            <w:b w:val="0"/>
            <w:szCs w:val="22"/>
            <w:lang w:eastAsia="en-AU"/>
          </w:rPr>
          <w:tab/>
        </w:r>
        <w:r w:rsidR="00CB277F" w:rsidRPr="00B563FC">
          <w:rPr>
            <w:rStyle w:val="Hyperlink"/>
          </w:rPr>
          <w:t>there is effective support and guidance given to all participants</w:t>
        </w:r>
      </w:hyperlink>
    </w:p>
    <w:p w:rsidR="00CB277F" w:rsidRDefault="00DC4D6C">
      <w:pPr>
        <w:pStyle w:val="TOC2"/>
        <w:rPr>
          <w:rFonts w:asciiTheme="minorHAnsi" w:eastAsiaTheme="minorEastAsia" w:hAnsiTheme="minorHAnsi" w:cstheme="minorBidi"/>
          <w:b w:val="0"/>
          <w:szCs w:val="22"/>
          <w:lang w:eastAsia="en-AU"/>
        </w:rPr>
      </w:pPr>
      <w:hyperlink w:anchor="_Toc384024374" w:history="1">
        <w:r w:rsidR="00CB277F" w:rsidRPr="00B563FC">
          <w:rPr>
            <w:rStyle w:val="Hyperlink"/>
          </w:rPr>
          <w:t>(b)</w:t>
        </w:r>
        <w:r w:rsidR="00CB277F">
          <w:rPr>
            <w:rFonts w:asciiTheme="minorHAnsi" w:eastAsiaTheme="minorEastAsia" w:hAnsiTheme="minorHAnsi" w:cstheme="minorBidi"/>
            <w:b w:val="0"/>
            <w:szCs w:val="22"/>
            <w:lang w:eastAsia="en-AU"/>
          </w:rPr>
          <w:tab/>
        </w:r>
        <w:r w:rsidR="00CB277F" w:rsidRPr="00B563FC">
          <w:rPr>
            <w:rStyle w:val="Hyperlink"/>
          </w:rPr>
          <w:t>Aboriginal and Torres Strait Islander secondary school students become aware of career pathways linked to the Traineeship Program</w:t>
        </w:r>
      </w:hyperlink>
    </w:p>
    <w:p w:rsidR="00CB277F" w:rsidRDefault="00DC4D6C">
      <w:pPr>
        <w:pStyle w:val="TOC2"/>
        <w:rPr>
          <w:rFonts w:asciiTheme="minorHAnsi" w:eastAsiaTheme="minorEastAsia" w:hAnsiTheme="minorHAnsi" w:cstheme="minorBidi"/>
          <w:b w:val="0"/>
          <w:szCs w:val="22"/>
          <w:lang w:eastAsia="en-AU"/>
        </w:rPr>
      </w:pPr>
      <w:hyperlink w:anchor="_Toc384024375" w:history="1">
        <w:r w:rsidR="00CB277F" w:rsidRPr="00B563FC">
          <w:rPr>
            <w:rStyle w:val="Hyperlink"/>
          </w:rPr>
          <w:t>(c)</w:t>
        </w:r>
        <w:r w:rsidR="00CB277F">
          <w:rPr>
            <w:rFonts w:asciiTheme="minorHAnsi" w:eastAsiaTheme="minorEastAsia" w:hAnsiTheme="minorHAnsi" w:cstheme="minorBidi"/>
            <w:b w:val="0"/>
            <w:szCs w:val="22"/>
            <w:lang w:eastAsia="en-AU"/>
          </w:rPr>
          <w:tab/>
        </w:r>
        <w:r w:rsidR="00CB277F" w:rsidRPr="00B563FC">
          <w:rPr>
            <w:rStyle w:val="Hyperlink"/>
          </w:rPr>
          <w:t>at the completion of their traineeship the trainees are mentored to continue their professional development; and</w:t>
        </w:r>
      </w:hyperlink>
    </w:p>
    <w:p w:rsidR="00CB277F" w:rsidRDefault="00DC4D6C">
      <w:pPr>
        <w:pStyle w:val="TOC2"/>
        <w:rPr>
          <w:rFonts w:asciiTheme="minorHAnsi" w:eastAsiaTheme="minorEastAsia" w:hAnsiTheme="minorHAnsi" w:cstheme="minorBidi"/>
          <w:b w:val="0"/>
          <w:szCs w:val="22"/>
          <w:lang w:eastAsia="en-AU"/>
        </w:rPr>
      </w:pPr>
      <w:hyperlink w:anchor="_Toc384024376" w:history="1">
        <w:r w:rsidR="00CB277F" w:rsidRPr="00B563FC">
          <w:rPr>
            <w:rStyle w:val="Hyperlink"/>
          </w:rPr>
          <w:t>(d)</w:t>
        </w:r>
        <w:r w:rsidR="00CB277F">
          <w:rPr>
            <w:rFonts w:asciiTheme="minorHAnsi" w:eastAsiaTheme="minorEastAsia" w:hAnsiTheme="minorHAnsi" w:cstheme="minorBidi"/>
            <w:b w:val="0"/>
            <w:szCs w:val="22"/>
            <w:lang w:eastAsia="en-AU"/>
          </w:rPr>
          <w:tab/>
        </w:r>
        <w:r w:rsidR="00CB277F" w:rsidRPr="00B563FC">
          <w:rPr>
            <w:rStyle w:val="Hyperlink"/>
          </w:rPr>
          <w:t>approved training must be qualification-based with automatic promotion upon successful completion within a broadband appointment.</w:t>
        </w:r>
      </w:hyperlink>
    </w:p>
    <w:p w:rsidR="00CB277F" w:rsidRDefault="00CB277F" w:rsidP="00CB277F">
      <w:pPr>
        <w:pStyle w:val="TOC1"/>
        <w:rPr>
          <w:b w:val="0"/>
          <w:bCs/>
        </w:rPr>
      </w:pPr>
    </w:p>
    <w:p w:rsidR="00CB277F" w:rsidRPr="00D47E43" w:rsidRDefault="00CB277F" w:rsidP="00CB277F">
      <w:pPr>
        <w:pStyle w:val="TOC1"/>
        <w:rPr>
          <w:b w:val="0"/>
          <w:bCs/>
        </w:rPr>
      </w:pPr>
      <w:r>
        <w:rPr>
          <w:b w:val="0"/>
          <w:bCs/>
        </w:rPr>
        <w:t>Re</w:t>
      </w:r>
      <w:r w:rsidR="00CB1DFE">
        <w:rPr>
          <w:b w:val="0"/>
          <w:bCs/>
        </w:rPr>
        <w:t>tention</w:t>
      </w:r>
      <w:r w:rsidRPr="00D47E43">
        <w:rPr>
          <w:b w:val="0"/>
          <w:bCs/>
        </w:rPr>
        <w:t xml:space="preserve"> </w:t>
      </w:r>
    </w:p>
    <w:p w:rsidR="00CB277F" w:rsidRDefault="00DC4D6C">
      <w:pPr>
        <w:pStyle w:val="TOC1"/>
        <w:rPr>
          <w:rFonts w:asciiTheme="minorHAnsi" w:eastAsiaTheme="minorEastAsia" w:hAnsiTheme="minorHAnsi" w:cstheme="minorBidi"/>
          <w:b w:val="0"/>
          <w:smallCaps w:val="0"/>
          <w:spacing w:val="0"/>
          <w:sz w:val="22"/>
          <w:lang w:eastAsia="en-AU"/>
        </w:rPr>
      </w:pPr>
      <w:hyperlink w:anchor="_Toc384024377" w:history="1">
        <w:r w:rsidR="00CB277F" w:rsidRPr="00B563FC">
          <w:rPr>
            <w:rStyle w:val="Hyperlink"/>
          </w:rPr>
          <w:t>Recommendation 10</w:t>
        </w:r>
      </w:hyperlink>
    </w:p>
    <w:p w:rsidR="00CB277F" w:rsidRDefault="00DC4D6C">
      <w:pPr>
        <w:pStyle w:val="TOC2"/>
        <w:rPr>
          <w:rFonts w:asciiTheme="minorHAnsi" w:eastAsiaTheme="minorEastAsia" w:hAnsiTheme="minorHAnsi" w:cstheme="minorBidi"/>
          <w:b w:val="0"/>
          <w:szCs w:val="22"/>
          <w:lang w:eastAsia="en-AU"/>
        </w:rPr>
      </w:pPr>
      <w:hyperlink w:anchor="_Toc384024378" w:history="1">
        <w:r w:rsidR="00CB277F" w:rsidRPr="00B563FC">
          <w:rPr>
            <w:rStyle w:val="Hyperlink"/>
          </w:rPr>
          <w:t>4.15</w:t>
        </w:r>
        <w:r w:rsidR="00CB277F">
          <w:rPr>
            <w:rFonts w:asciiTheme="minorHAnsi" w:eastAsiaTheme="minorEastAsia" w:hAnsiTheme="minorHAnsi" w:cstheme="minorBidi"/>
            <w:b w:val="0"/>
            <w:szCs w:val="22"/>
            <w:lang w:eastAsia="en-AU"/>
          </w:rPr>
          <w:tab/>
        </w:r>
        <w:r w:rsidR="00CB277F" w:rsidRPr="00B563FC">
          <w:rPr>
            <w:rStyle w:val="Hyperlink"/>
          </w:rPr>
          <w:t>The Committee recommends that the ACT Public Service take the necessary steps to ensure exit data relating to Aboriginal and Torres Strait Islander employees is collected and reported:</w:t>
        </w:r>
      </w:hyperlink>
    </w:p>
    <w:p w:rsidR="00CB277F" w:rsidRDefault="00DC4D6C" w:rsidP="00CB214F">
      <w:pPr>
        <w:pStyle w:val="TOC2"/>
        <w:ind w:left="2154"/>
        <w:rPr>
          <w:rFonts w:asciiTheme="minorHAnsi" w:eastAsiaTheme="minorEastAsia" w:hAnsiTheme="minorHAnsi" w:cstheme="minorBidi"/>
          <w:b w:val="0"/>
          <w:szCs w:val="22"/>
          <w:lang w:eastAsia="en-AU"/>
        </w:rPr>
      </w:pPr>
      <w:hyperlink w:anchor="_Toc384024379" w:history="1">
        <w:r w:rsidR="00CB277F" w:rsidRPr="00B563FC">
          <w:rPr>
            <w:rStyle w:val="Hyperlink"/>
          </w:rPr>
          <w:t>(a)</w:t>
        </w:r>
        <w:r w:rsidR="00081037">
          <w:rPr>
            <w:rStyle w:val="Hyperlink"/>
          </w:rPr>
          <w:t xml:space="preserve"> </w:t>
        </w:r>
        <w:r w:rsidR="00CB277F" w:rsidRPr="00B563FC">
          <w:rPr>
            <w:rStyle w:val="Hyperlink"/>
          </w:rPr>
          <w:t xml:space="preserve"> to the ACT Aboriginal and Torres Strait Islander Elected Body;</w:t>
        </w:r>
      </w:hyperlink>
    </w:p>
    <w:p w:rsidR="00CB277F" w:rsidRDefault="00DC4D6C" w:rsidP="00CB214F">
      <w:pPr>
        <w:pStyle w:val="TOC2"/>
        <w:ind w:left="2154"/>
        <w:rPr>
          <w:rFonts w:asciiTheme="minorHAnsi" w:eastAsiaTheme="minorEastAsia" w:hAnsiTheme="minorHAnsi" w:cstheme="minorBidi"/>
          <w:b w:val="0"/>
          <w:szCs w:val="22"/>
          <w:lang w:eastAsia="en-AU"/>
        </w:rPr>
      </w:pPr>
      <w:hyperlink w:anchor="_Toc384024380" w:history="1">
        <w:r w:rsidR="00CB277F" w:rsidRPr="00B563FC">
          <w:rPr>
            <w:rStyle w:val="Hyperlink"/>
          </w:rPr>
          <w:t xml:space="preserve">(b) </w:t>
        </w:r>
        <w:r w:rsidR="00081037">
          <w:rPr>
            <w:rStyle w:val="Hyperlink"/>
          </w:rPr>
          <w:t xml:space="preserve"> </w:t>
        </w:r>
        <w:r w:rsidR="00CB277F" w:rsidRPr="00B563FC">
          <w:rPr>
            <w:rStyle w:val="Hyperlink"/>
          </w:rPr>
          <w:t>in directorate annual reports for 2013-14; and</w:t>
        </w:r>
      </w:hyperlink>
    </w:p>
    <w:p w:rsidR="00CB277F" w:rsidRDefault="00DC4D6C" w:rsidP="00CB214F">
      <w:pPr>
        <w:pStyle w:val="TOC2"/>
        <w:ind w:left="2154"/>
        <w:rPr>
          <w:rFonts w:asciiTheme="minorHAnsi" w:eastAsiaTheme="minorEastAsia" w:hAnsiTheme="minorHAnsi" w:cstheme="minorBidi"/>
          <w:b w:val="0"/>
          <w:szCs w:val="22"/>
          <w:lang w:eastAsia="en-AU"/>
        </w:rPr>
      </w:pPr>
      <w:hyperlink w:anchor="_Toc384024381" w:history="1">
        <w:r w:rsidR="00CB277F" w:rsidRPr="00B563FC">
          <w:rPr>
            <w:rStyle w:val="Hyperlink"/>
          </w:rPr>
          <w:t>(c)</w:t>
        </w:r>
        <w:r w:rsidR="00081037">
          <w:rPr>
            <w:rStyle w:val="Hyperlink"/>
          </w:rPr>
          <w:t xml:space="preserve"> </w:t>
        </w:r>
        <w:r w:rsidR="00CB277F" w:rsidRPr="00B563FC">
          <w:rPr>
            <w:rStyle w:val="Hyperlink"/>
          </w:rPr>
          <w:t xml:space="preserve"> in annual ACT Public Service State of the Service reports.</w:t>
        </w:r>
      </w:hyperlink>
    </w:p>
    <w:p w:rsidR="00CB277F" w:rsidRDefault="00DC4D6C">
      <w:pPr>
        <w:pStyle w:val="TOC1"/>
        <w:rPr>
          <w:rFonts w:asciiTheme="minorHAnsi" w:eastAsiaTheme="minorEastAsia" w:hAnsiTheme="minorHAnsi" w:cstheme="minorBidi"/>
          <w:b w:val="0"/>
          <w:smallCaps w:val="0"/>
          <w:spacing w:val="0"/>
          <w:sz w:val="22"/>
          <w:lang w:eastAsia="en-AU"/>
        </w:rPr>
      </w:pPr>
      <w:hyperlink w:anchor="_Toc384024382" w:history="1">
        <w:r w:rsidR="00CB277F" w:rsidRPr="00B563FC">
          <w:rPr>
            <w:rStyle w:val="Hyperlink"/>
          </w:rPr>
          <w:t>Recommendation 11</w:t>
        </w:r>
      </w:hyperlink>
    </w:p>
    <w:p w:rsidR="00CB277F" w:rsidRDefault="00DC4D6C">
      <w:pPr>
        <w:pStyle w:val="TOC2"/>
        <w:rPr>
          <w:rFonts w:asciiTheme="minorHAnsi" w:eastAsiaTheme="minorEastAsia" w:hAnsiTheme="minorHAnsi" w:cstheme="minorBidi"/>
          <w:b w:val="0"/>
          <w:szCs w:val="22"/>
          <w:lang w:eastAsia="en-AU"/>
        </w:rPr>
      </w:pPr>
      <w:hyperlink w:anchor="_Toc384024383" w:history="1">
        <w:r w:rsidR="00CB277F" w:rsidRPr="00B563FC">
          <w:rPr>
            <w:rStyle w:val="Hyperlink"/>
          </w:rPr>
          <w:t>4.20</w:t>
        </w:r>
        <w:r w:rsidR="00CB277F">
          <w:rPr>
            <w:rFonts w:asciiTheme="minorHAnsi" w:eastAsiaTheme="minorEastAsia" w:hAnsiTheme="minorHAnsi" w:cstheme="minorBidi"/>
            <w:b w:val="0"/>
            <w:szCs w:val="22"/>
            <w:lang w:eastAsia="en-AU"/>
          </w:rPr>
          <w:tab/>
        </w:r>
        <w:r w:rsidR="00CB277F" w:rsidRPr="00B563FC">
          <w:rPr>
            <w:rStyle w:val="Hyperlink"/>
          </w:rPr>
          <w:t>The Committee recommends that, as a matter of priority, the ACT Public Service take steps to ensure all ACT Public Service agencies have in place for all staff and in particular Aboriginal and Torres Strait Islander employees (a) learning and development plans and (b) career pathway plans.</w:t>
        </w:r>
      </w:hyperlink>
    </w:p>
    <w:p w:rsidR="00CB1DFE" w:rsidRDefault="00CB1DFE">
      <w:pPr>
        <w:pStyle w:val="TOC1"/>
        <w:rPr>
          <w:rStyle w:val="Hyperlink"/>
        </w:rPr>
      </w:pPr>
    </w:p>
    <w:p w:rsidR="00CB1DFE" w:rsidRDefault="00CB1DFE">
      <w:pPr>
        <w:pStyle w:val="TOC1"/>
        <w:rPr>
          <w:rStyle w:val="Hyperlink"/>
        </w:rPr>
      </w:pPr>
    </w:p>
    <w:p w:rsidR="00CB277F" w:rsidRDefault="00DC4D6C">
      <w:pPr>
        <w:pStyle w:val="TOC1"/>
        <w:rPr>
          <w:rFonts w:asciiTheme="minorHAnsi" w:eastAsiaTheme="minorEastAsia" w:hAnsiTheme="minorHAnsi" w:cstheme="minorBidi"/>
          <w:b w:val="0"/>
          <w:smallCaps w:val="0"/>
          <w:spacing w:val="0"/>
          <w:sz w:val="22"/>
          <w:lang w:eastAsia="en-AU"/>
        </w:rPr>
      </w:pPr>
      <w:hyperlink w:anchor="_Toc384024384" w:history="1">
        <w:r w:rsidR="00CB277F" w:rsidRPr="00B563FC">
          <w:rPr>
            <w:rStyle w:val="Hyperlink"/>
          </w:rPr>
          <w:t>Recommendation 12</w:t>
        </w:r>
      </w:hyperlink>
    </w:p>
    <w:p w:rsidR="00CB277F" w:rsidRDefault="00DC4D6C">
      <w:pPr>
        <w:pStyle w:val="TOC2"/>
        <w:rPr>
          <w:rFonts w:asciiTheme="minorHAnsi" w:eastAsiaTheme="minorEastAsia" w:hAnsiTheme="minorHAnsi" w:cstheme="minorBidi"/>
          <w:b w:val="0"/>
          <w:szCs w:val="22"/>
          <w:lang w:eastAsia="en-AU"/>
        </w:rPr>
      </w:pPr>
      <w:hyperlink w:anchor="_Toc384024385" w:history="1">
        <w:r w:rsidR="00CB277F" w:rsidRPr="00B563FC">
          <w:rPr>
            <w:rStyle w:val="Hyperlink"/>
          </w:rPr>
          <w:t>4.26</w:t>
        </w:r>
        <w:r w:rsidR="00CB277F">
          <w:rPr>
            <w:rFonts w:asciiTheme="minorHAnsi" w:eastAsiaTheme="minorEastAsia" w:hAnsiTheme="minorHAnsi" w:cstheme="minorBidi"/>
            <w:b w:val="0"/>
            <w:szCs w:val="22"/>
            <w:lang w:eastAsia="en-AU"/>
          </w:rPr>
          <w:tab/>
        </w:r>
        <w:r w:rsidR="00CB277F" w:rsidRPr="00B563FC">
          <w:rPr>
            <w:rStyle w:val="Hyperlink"/>
          </w:rPr>
          <w:t>The Committee recommends that the ACT Public Service develop an induction program for new Aboriginal and Torres Strait Islander employees that augments the induction program for all new staff.  At a minimum the program should alert these new employees to structures and processes in place for their benefit such as networks, buddy systems and mentoring.</w:t>
        </w:r>
      </w:hyperlink>
    </w:p>
    <w:p w:rsidR="00CB1DFE" w:rsidRDefault="00CB1DFE" w:rsidP="00CB1DFE">
      <w:pPr>
        <w:pStyle w:val="TOC1"/>
        <w:rPr>
          <w:b w:val="0"/>
          <w:bCs/>
        </w:rPr>
      </w:pPr>
    </w:p>
    <w:p w:rsidR="00CB1DFE" w:rsidRPr="00D47E43" w:rsidRDefault="00CB1DFE" w:rsidP="00CB1DFE">
      <w:pPr>
        <w:pStyle w:val="TOC1"/>
        <w:rPr>
          <w:b w:val="0"/>
          <w:bCs/>
        </w:rPr>
      </w:pPr>
      <w:r>
        <w:rPr>
          <w:b w:val="0"/>
          <w:bCs/>
        </w:rPr>
        <w:t>Cross-cultural Training</w:t>
      </w:r>
      <w:r w:rsidRPr="00D47E43">
        <w:rPr>
          <w:b w:val="0"/>
          <w:bCs/>
        </w:rPr>
        <w:t xml:space="preserve"> </w:t>
      </w:r>
    </w:p>
    <w:p w:rsidR="00CB277F" w:rsidRDefault="00DC4D6C">
      <w:pPr>
        <w:pStyle w:val="TOC1"/>
        <w:rPr>
          <w:rFonts w:asciiTheme="minorHAnsi" w:eastAsiaTheme="minorEastAsia" w:hAnsiTheme="minorHAnsi" w:cstheme="minorBidi"/>
          <w:b w:val="0"/>
          <w:smallCaps w:val="0"/>
          <w:spacing w:val="0"/>
          <w:sz w:val="22"/>
          <w:lang w:eastAsia="en-AU"/>
        </w:rPr>
      </w:pPr>
      <w:hyperlink w:anchor="_Toc384024386" w:history="1">
        <w:r w:rsidR="00CB277F" w:rsidRPr="00B563FC">
          <w:rPr>
            <w:rStyle w:val="Hyperlink"/>
          </w:rPr>
          <w:t>Recommendation 13</w:t>
        </w:r>
      </w:hyperlink>
    </w:p>
    <w:p w:rsidR="00CB277F" w:rsidRDefault="00DC4D6C">
      <w:pPr>
        <w:pStyle w:val="TOC2"/>
        <w:rPr>
          <w:rFonts w:asciiTheme="minorHAnsi" w:eastAsiaTheme="minorEastAsia" w:hAnsiTheme="minorHAnsi" w:cstheme="minorBidi"/>
          <w:b w:val="0"/>
          <w:szCs w:val="22"/>
          <w:lang w:eastAsia="en-AU"/>
        </w:rPr>
      </w:pPr>
      <w:hyperlink w:anchor="_Toc384024387" w:history="1">
        <w:r w:rsidR="00CB277F" w:rsidRPr="00B563FC">
          <w:rPr>
            <w:rStyle w:val="Hyperlink"/>
          </w:rPr>
          <w:t>4.37</w:t>
        </w:r>
        <w:r w:rsidR="00CB277F">
          <w:rPr>
            <w:rFonts w:asciiTheme="minorHAnsi" w:eastAsiaTheme="minorEastAsia" w:hAnsiTheme="minorHAnsi" w:cstheme="minorBidi"/>
            <w:b w:val="0"/>
            <w:szCs w:val="22"/>
            <w:lang w:eastAsia="en-AU"/>
          </w:rPr>
          <w:tab/>
        </w:r>
        <w:r w:rsidR="00CB277F" w:rsidRPr="00B563FC">
          <w:rPr>
            <w:rStyle w:val="Hyperlink"/>
          </w:rPr>
          <w:t>The Committee recommends that the ACT Public Service review its cross-cultural training and take necessary steps to ensure it is of the highest standard, with benchmarking as appropriate.</w:t>
        </w:r>
      </w:hyperlink>
    </w:p>
    <w:p w:rsidR="00CB277F" w:rsidRDefault="00DC4D6C">
      <w:pPr>
        <w:pStyle w:val="TOC1"/>
        <w:rPr>
          <w:rFonts w:asciiTheme="minorHAnsi" w:eastAsiaTheme="minorEastAsia" w:hAnsiTheme="minorHAnsi" w:cstheme="minorBidi"/>
          <w:b w:val="0"/>
          <w:smallCaps w:val="0"/>
          <w:spacing w:val="0"/>
          <w:sz w:val="22"/>
          <w:lang w:eastAsia="en-AU"/>
        </w:rPr>
      </w:pPr>
      <w:hyperlink w:anchor="_Toc384024388" w:history="1">
        <w:r w:rsidR="00CB277F" w:rsidRPr="00B563FC">
          <w:rPr>
            <w:rStyle w:val="Hyperlink"/>
          </w:rPr>
          <w:t>Recommendation 14</w:t>
        </w:r>
      </w:hyperlink>
    </w:p>
    <w:p w:rsidR="00CB277F" w:rsidRDefault="00DC4D6C">
      <w:pPr>
        <w:pStyle w:val="TOC2"/>
        <w:rPr>
          <w:rFonts w:asciiTheme="minorHAnsi" w:eastAsiaTheme="minorEastAsia" w:hAnsiTheme="minorHAnsi" w:cstheme="minorBidi"/>
          <w:b w:val="0"/>
          <w:szCs w:val="22"/>
          <w:lang w:eastAsia="en-AU"/>
        </w:rPr>
      </w:pPr>
      <w:hyperlink w:anchor="_Toc384024389" w:history="1">
        <w:r w:rsidR="00CB277F" w:rsidRPr="00B563FC">
          <w:rPr>
            <w:rStyle w:val="Hyperlink"/>
          </w:rPr>
          <w:t>4.38</w:t>
        </w:r>
        <w:r w:rsidR="00CB277F">
          <w:rPr>
            <w:rFonts w:asciiTheme="minorHAnsi" w:eastAsiaTheme="minorEastAsia" w:hAnsiTheme="minorHAnsi" w:cstheme="minorBidi"/>
            <w:b w:val="0"/>
            <w:szCs w:val="22"/>
            <w:lang w:eastAsia="en-AU"/>
          </w:rPr>
          <w:tab/>
        </w:r>
        <w:r w:rsidR="00CB277F" w:rsidRPr="00B563FC">
          <w:rPr>
            <w:rStyle w:val="Hyperlink"/>
          </w:rPr>
          <w:t>The Committee recommends that the ACT Public Service ensure all staff undertake cross-cultural training so that they all possess high levels of cultural competence and that data on this training together with an assessment of its impact be reported in directorate and agency annual reports.</w:t>
        </w:r>
      </w:hyperlink>
    </w:p>
    <w:p w:rsidR="00CB277F" w:rsidRDefault="00DC4D6C">
      <w:pPr>
        <w:pStyle w:val="TOC1"/>
        <w:rPr>
          <w:rFonts w:asciiTheme="minorHAnsi" w:eastAsiaTheme="minorEastAsia" w:hAnsiTheme="minorHAnsi" w:cstheme="minorBidi"/>
          <w:b w:val="0"/>
          <w:smallCaps w:val="0"/>
          <w:spacing w:val="0"/>
          <w:sz w:val="22"/>
          <w:lang w:eastAsia="en-AU"/>
        </w:rPr>
      </w:pPr>
      <w:hyperlink w:anchor="_Toc384024390" w:history="1">
        <w:r w:rsidR="00CB277F" w:rsidRPr="00B563FC">
          <w:rPr>
            <w:rStyle w:val="Hyperlink"/>
          </w:rPr>
          <w:t>Recommendation 15</w:t>
        </w:r>
      </w:hyperlink>
    </w:p>
    <w:p w:rsidR="00CB277F" w:rsidRDefault="00DC4D6C">
      <w:pPr>
        <w:pStyle w:val="TOC2"/>
        <w:rPr>
          <w:rFonts w:asciiTheme="minorHAnsi" w:eastAsiaTheme="minorEastAsia" w:hAnsiTheme="minorHAnsi" w:cstheme="minorBidi"/>
          <w:b w:val="0"/>
          <w:szCs w:val="22"/>
          <w:lang w:eastAsia="en-AU"/>
        </w:rPr>
      </w:pPr>
      <w:hyperlink w:anchor="_Toc384024391" w:history="1">
        <w:r w:rsidR="00CB277F" w:rsidRPr="00B563FC">
          <w:rPr>
            <w:rStyle w:val="Hyperlink"/>
          </w:rPr>
          <w:t>4.39</w:t>
        </w:r>
        <w:r w:rsidR="00CB277F">
          <w:rPr>
            <w:rFonts w:asciiTheme="minorHAnsi" w:eastAsiaTheme="minorEastAsia" w:hAnsiTheme="minorHAnsi" w:cstheme="minorBidi"/>
            <w:b w:val="0"/>
            <w:szCs w:val="22"/>
            <w:lang w:eastAsia="en-AU"/>
          </w:rPr>
          <w:tab/>
        </w:r>
        <w:r w:rsidR="00CB277F" w:rsidRPr="00B563FC">
          <w:rPr>
            <w:rStyle w:val="Hyperlink"/>
          </w:rPr>
          <w:t>The Committee recommends that the ACT Public Service ensure all work environments are properly prepared for new Aboriginal and Torres Strait Islander employees.  This may mean additional cross-cultural training programs for the managers and/or supervisors of Aboriginal and Torres Strait Islander employees.</w:t>
        </w:r>
      </w:hyperlink>
    </w:p>
    <w:p w:rsidR="00CB1DFE" w:rsidRDefault="00CB1DFE" w:rsidP="00CB1DFE">
      <w:pPr>
        <w:pStyle w:val="TOC1"/>
        <w:rPr>
          <w:b w:val="0"/>
          <w:bCs/>
        </w:rPr>
      </w:pPr>
    </w:p>
    <w:p w:rsidR="00CB1DFE" w:rsidRPr="00D47E43" w:rsidRDefault="00CB1DFE" w:rsidP="00CB1DFE">
      <w:pPr>
        <w:pStyle w:val="TOC1"/>
        <w:rPr>
          <w:b w:val="0"/>
          <w:bCs/>
        </w:rPr>
      </w:pPr>
      <w:r>
        <w:rPr>
          <w:b w:val="0"/>
          <w:bCs/>
        </w:rPr>
        <w:t>Supporting the ACTPS Indigenous Network</w:t>
      </w:r>
      <w:r w:rsidRPr="00D47E43">
        <w:rPr>
          <w:b w:val="0"/>
          <w:bCs/>
        </w:rPr>
        <w:t xml:space="preserve"> </w:t>
      </w:r>
    </w:p>
    <w:p w:rsidR="00CB277F" w:rsidRDefault="00DC4D6C">
      <w:pPr>
        <w:pStyle w:val="TOC1"/>
        <w:rPr>
          <w:rFonts w:asciiTheme="minorHAnsi" w:eastAsiaTheme="minorEastAsia" w:hAnsiTheme="minorHAnsi" w:cstheme="minorBidi"/>
          <w:b w:val="0"/>
          <w:smallCaps w:val="0"/>
          <w:spacing w:val="0"/>
          <w:sz w:val="22"/>
          <w:lang w:eastAsia="en-AU"/>
        </w:rPr>
      </w:pPr>
      <w:hyperlink w:anchor="_Toc384024392" w:history="1">
        <w:r w:rsidR="00CB277F" w:rsidRPr="00B563FC">
          <w:rPr>
            <w:rStyle w:val="Hyperlink"/>
          </w:rPr>
          <w:t>Recommendation 16</w:t>
        </w:r>
      </w:hyperlink>
    </w:p>
    <w:p w:rsidR="00CB277F" w:rsidRDefault="00DC4D6C">
      <w:pPr>
        <w:pStyle w:val="TOC2"/>
        <w:rPr>
          <w:rFonts w:asciiTheme="minorHAnsi" w:eastAsiaTheme="minorEastAsia" w:hAnsiTheme="minorHAnsi" w:cstheme="minorBidi"/>
          <w:b w:val="0"/>
          <w:szCs w:val="22"/>
          <w:lang w:eastAsia="en-AU"/>
        </w:rPr>
      </w:pPr>
      <w:hyperlink w:anchor="_Toc384024393" w:history="1">
        <w:r w:rsidR="00CB277F" w:rsidRPr="00B563FC">
          <w:rPr>
            <w:rStyle w:val="Hyperlink"/>
          </w:rPr>
          <w:t>4.40</w:t>
        </w:r>
        <w:r w:rsidR="00CB277F">
          <w:rPr>
            <w:rFonts w:asciiTheme="minorHAnsi" w:eastAsiaTheme="minorEastAsia" w:hAnsiTheme="minorHAnsi" w:cstheme="minorBidi"/>
            <w:b w:val="0"/>
            <w:szCs w:val="22"/>
            <w:lang w:eastAsia="en-AU"/>
          </w:rPr>
          <w:tab/>
        </w:r>
        <w:r w:rsidR="00CB277F" w:rsidRPr="00B563FC">
          <w:rPr>
            <w:rStyle w:val="Hyperlink"/>
          </w:rPr>
          <w:t xml:space="preserve">The Committee recommends that, until the end of the current </w:t>
        </w:r>
        <w:r w:rsidR="00CB277F" w:rsidRPr="00B563FC">
          <w:rPr>
            <w:rStyle w:val="Hyperlink"/>
            <w:i/>
          </w:rPr>
          <w:t>ACT Employment Strategy for Aboriginal and Torres Strait Islander People</w:t>
        </w:r>
        <w:r w:rsidR="00CB277F" w:rsidRPr="00B563FC">
          <w:rPr>
            <w:rStyle w:val="Hyperlink"/>
          </w:rPr>
          <w:t>, the ACT Public Service report to the ACT Aboriginal and Torres Strait Islander Elected Body on a six-monthly basis providing data and information on the effectiveness of cross-cultural training.</w:t>
        </w:r>
      </w:hyperlink>
    </w:p>
    <w:p w:rsidR="00CB277F" w:rsidRDefault="00DC4D6C">
      <w:pPr>
        <w:pStyle w:val="TOC1"/>
        <w:rPr>
          <w:rFonts w:asciiTheme="minorHAnsi" w:eastAsiaTheme="minorEastAsia" w:hAnsiTheme="minorHAnsi" w:cstheme="minorBidi"/>
          <w:b w:val="0"/>
          <w:smallCaps w:val="0"/>
          <w:spacing w:val="0"/>
          <w:sz w:val="22"/>
          <w:lang w:eastAsia="en-AU"/>
        </w:rPr>
      </w:pPr>
      <w:hyperlink w:anchor="_Toc384024394" w:history="1">
        <w:r w:rsidR="00CB277F" w:rsidRPr="00B563FC">
          <w:rPr>
            <w:rStyle w:val="Hyperlink"/>
          </w:rPr>
          <w:t>Recommendation 17</w:t>
        </w:r>
      </w:hyperlink>
    </w:p>
    <w:p w:rsidR="00CB277F" w:rsidRDefault="00DC4D6C">
      <w:pPr>
        <w:pStyle w:val="TOC2"/>
        <w:rPr>
          <w:rFonts w:asciiTheme="minorHAnsi" w:eastAsiaTheme="minorEastAsia" w:hAnsiTheme="minorHAnsi" w:cstheme="minorBidi"/>
          <w:b w:val="0"/>
          <w:szCs w:val="22"/>
          <w:lang w:eastAsia="en-AU"/>
        </w:rPr>
      </w:pPr>
      <w:hyperlink w:anchor="_Toc384024395" w:history="1">
        <w:r w:rsidR="00CB277F" w:rsidRPr="00B563FC">
          <w:rPr>
            <w:rStyle w:val="Hyperlink"/>
          </w:rPr>
          <w:t>4.58</w:t>
        </w:r>
        <w:r w:rsidR="00CB277F">
          <w:rPr>
            <w:rFonts w:asciiTheme="minorHAnsi" w:eastAsiaTheme="minorEastAsia" w:hAnsiTheme="minorHAnsi" w:cstheme="minorBidi"/>
            <w:b w:val="0"/>
            <w:szCs w:val="22"/>
            <w:lang w:eastAsia="en-AU"/>
          </w:rPr>
          <w:tab/>
        </w:r>
        <w:r w:rsidR="00CB277F" w:rsidRPr="00B563FC">
          <w:rPr>
            <w:rStyle w:val="Hyperlink"/>
          </w:rPr>
          <w:t>The Committee recommends that the ACT Public Service ensure induction programs for all new ACT Public Service employees include effective training on the handling of racism and bullying.</w:t>
        </w:r>
      </w:hyperlink>
    </w:p>
    <w:p w:rsidR="00CB1DFE" w:rsidRDefault="00CB1DFE">
      <w:pPr>
        <w:pStyle w:val="TOC1"/>
        <w:rPr>
          <w:rStyle w:val="Hyperlink"/>
        </w:rPr>
      </w:pPr>
    </w:p>
    <w:p w:rsidR="00CB277F" w:rsidRDefault="00DC4D6C">
      <w:pPr>
        <w:pStyle w:val="TOC1"/>
        <w:rPr>
          <w:rFonts w:asciiTheme="minorHAnsi" w:eastAsiaTheme="minorEastAsia" w:hAnsiTheme="minorHAnsi" w:cstheme="minorBidi"/>
          <w:b w:val="0"/>
          <w:smallCaps w:val="0"/>
          <w:spacing w:val="0"/>
          <w:sz w:val="22"/>
          <w:lang w:eastAsia="en-AU"/>
        </w:rPr>
      </w:pPr>
      <w:hyperlink w:anchor="_Toc384024396" w:history="1">
        <w:r w:rsidR="00CB277F" w:rsidRPr="00B563FC">
          <w:rPr>
            <w:rStyle w:val="Hyperlink"/>
          </w:rPr>
          <w:t>Recommendation 18</w:t>
        </w:r>
      </w:hyperlink>
    </w:p>
    <w:p w:rsidR="00CB277F" w:rsidRDefault="00DC4D6C">
      <w:pPr>
        <w:pStyle w:val="TOC2"/>
        <w:rPr>
          <w:rFonts w:asciiTheme="minorHAnsi" w:eastAsiaTheme="minorEastAsia" w:hAnsiTheme="minorHAnsi" w:cstheme="minorBidi"/>
          <w:b w:val="0"/>
          <w:szCs w:val="22"/>
          <w:lang w:eastAsia="en-AU"/>
        </w:rPr>
      </w:pPr>
      <w:hyperlink w:anchor="_Toc384024397" w:history="1">
        <w:r w:rsidR="00CB277F" w:rsidRPr="00B563FC">
          <w:rPr>
            <w:rStyle w:val="Hyperlink"/>
          </w:rPr>
          <w:t>4.64</w:t>
        </w:r>
        <w:r w:rsidR="00CB277F">
          <w:rPr>
            <w:rFonts w:asciiTheme="minorHAnsi" w:eastAsiaTheme="minorEastAsia" w:hAnsiTheme="minorHAnsi" w:cstheme="minorBidi"/>
            <w:b w:val="0"/>
            <w:szCs w:val="22"/>
            <w:lang w:eastAsia="en-AU"/>
          </w:rPr>
          <w:tab/>
        </w:r>
        <w:r w:rsidR="00CB277F" w:rsidRPr="00B563FC">
          <w:rPr>
            <w:rStyle w:val="Hyperlink"/>
          </w:rPr>
          <w:t>The Committee recommends that the ACT Public Service take steps to ensure the ACTPS Indigenous Network is revitalised and recognised as a valuable resource to all Aboriginal and Torres Strait Islander employees in the ACT Public Service.</w:t>
        </w:r>
      </w:hyperlink>
    </w:p>
    <w:p w:rsidR="00CB277F" w:rsidRDefault="00DC4D6C">
      <w:pPr>
        <w:pStyle w:val="TOC1"/>
        <w:rPr>
          <w:rFonts w:asciiTheme="minorHAnsi" w:eastAsiaTheme="minorEastAsia" w:hAnsiTheme="minorHAnsi" w:cstheme="minorBidi"/>
          <w:b w:val="0"/>
          <w:smallCaps w:val="0"/>
          <w:spacing w:val="0"/>
          <w:sz w:val="22"/>
          <w:lang w:eastAsia="en-AU"/>
        </w:rPr>
      </w:pPr>
      <w:hyperlink w:anchor="_Toc384024398" w:history="1">
        <w:r w:rsidR="00CB277F" w:rsidRPr="00B563FC">
          <w:rPr>
            <w:rStyle w:val="Hyperlink"/>
          </w:rPr>
          <w:t>Recommendation 19</w:t>
        </w:r>
      </w:hyperlink>
    </w:p>
    <w:p w:rsidR="00CB277F" w:rsidRDefault="00DC4D6C">
      <w:pPr>
        <w:pStyle w:val="TOC2"/>
        <w:rPr>
          <w:rFonts w:asciiTheme="minorHAnsi" w:eastAsiaTheme="minorEastAsia" w:hAnsiTheme="minorHAnsi" w:cstheme="minorBidi"/>
          <w:b w:val="0"/>
          <w:szCs w:val="22"/>
          <w:lang w:eastAsia="en-AU"/>
        </w:rPr>
      </w:pPr>
      <w:hyperlink w:anchor="_Toc384024399" w:history="1">
        <w:r w:rsidR="00CB277F" w:rsidRPr="00B563FC">
          <w:rPr>
            <w:rStyle w:val="Hyperlink"/>
          </w:rPr>
          <w:t>4.65</w:t>
        </w:r>
        <w:r w:rsidR="00CB277F">
          <w:rPr>
            <w:rFonts w:asciiTheme="minorHAnsi" w:eastAsiaTheme="minorEastAsia" w:hAnsiTheme="minorHAnsi" w:cstheme="minorBidi"/>
            <w:b w:val="0"/>
            <w:szCs w:val="22"/>
            <w:lang w:eastAsia="en-AU"/>
          </w:rPr>
          <w:tab/>
        </w:r>
        <w:r w:rsidR="00CB277F" w:rsidRPr="00B563FC">
          <w:rPr>
            <w:rStyle w:val="Hyperlink"/>
          </w:rPr>
          <w:t xml:space="preserve">The Committee recommends that the ACT Public Service Indigenous Network meet regularly to discuss issues associated with the implementation of the </w:t>
        </w:r>
        <w:r w:rsidR="00CB277F" w:rsidRPr="00B563FC">
          <w:rPr>
            <w:rStyle w:val="Hyperlink"/>
            <w:i/>
          </w:rPr>
          <w:t>ACT Public Service  Employment Strategy for Aboriginal and Torres Strait IslanderPeople.</w:t>
        </w:r>
      </w:hyperlink>
    </w:p>
    <w:p w:rsidR="00CB277F" w:rsidRDefault="00DC4D6C">
      <w:pPr>
        <w:pStyle w:val="TOC1"/>
        <w:rPr>
          <w:rFonts w:asciiTheme="minorHAnsi" w:eastAsiaTheme="minorEastAsia" w:hAnsiTheme="minorHAnsi" w:cstheme="minorBidi"/>
          <w:b w:val="0"/>
          <w:smallCaps w:val="0"/>
          <w:spacing w:val="0"/>
          <w:sz w:val="22"/>
          <w:lang w:eastAsia="en-AU"/>
        </w:rPr>
      </w:pPr>
      <w:hyperlink w:anchor="_Toc384024400" w:history="1">
        <w:r w:rsidR="00CB277F" w:rsidRPr="00B563FC">
          <w:rPr>
            <w:rStyle w:val="Hyperlink"/>
          </w:rPr>
          <w:t>Recommendation 20</w:t>
        </w:r>
      </w:hyperlink>
    </w:p>
    <w:p w:rsidR="00CB277F" w:rsidRDefault="00DC4D6C">
      <w:pPr>
        <w:pStyle w:val="TOC2"/>
        <w:rPr>
          <w:rFonts w:asciiTheme="minorHAnsi" w:eastAsiaTheme="minorEastAsia" w:hAnsiTheme="minorHAnsi" w:cstheme="minorBidi"/>
          <w:b w:val="0"/>
          <w:szCs w:val="22"/>
          <w:lang w:eastAsia="en-AU"/>
        </w:rPr>
      </w:pPr>
      <w:hyperlink w:anchor="_Toc384024401" w:history="1">
        <w:r w:rsidR="00CB277F" w:rsidRPr="00B563FC">
          <w:rPr>
            <w:rStyle w:val="Hyperlink"/>
          </w:rPr>
          <w:t>4.66</w:t>
        </w:r>
        <w:r w:rsidR="00CB277F">
          <w:rPr>
            <w:rFonts w:asciiTheme="minorHAnsi" w:eastAsiaTheme="minorEastAsia" w:hAnsiTheme="minorHAnsi" w:cstheme="minorBidi"/>
            <w:b w:val="0"/>
            <w:szCs w:val="22"/>
            <w:lang w:eastAsia="en-AU"/>
          </w:rPr>
          <w:tab/>
        </w:r>
        <w:r w:rsidR="00CB277F" w:rsidRPr="00B563FC">
          <w:rPr>
            <w:rStyle w:val="Hyperlink"/>
          </w:rPr>
          <w:t>The Committee recommends that the Office of Aboriginal and Torres Strait Islander Affairs report on the operation of the ACTPS Indigenous Network in the annual report of the Chief Minister and Treasury Directorate.</w:t>
        </w:r>
      </w:hyperlink>
    </w:p>
    <w:p w:rsidR="00CB1DFE" w:rsidRDefault="00CB1DFE" w:rsidP="00CB1DFE">
      <w:pPr>
        <w:pStyle w:val="TOC1"/>
        <w:rPr>
          <w:b w:val="0"/>
          <w:bCs/>
        </w:rPr>
      </w:pPr>
    </w:p>
    <w:p w:rsidR="00CB1DFE" w:rsidRPr="00D47E43" w:rsidRDefault="00CB1DFE" w:rsidP="00CB1DFE">
      <w:pPr>
        <w:pStyle w:val="TOC1"/>
        <w:rPr>
          <w:b w:val="0"/>
          <w:bCs/>
        </w:rPr>
      </w:pPr>
      <w:r>
        <w:rPr>
          <w:b w:val="0"/>
          <w:bCs/>
        </w:rPr>
        <w:t>Recognition and Celebration</w:t>
      </w:r>
      <w:r w:rsidRPr="00D47E43">
        <w:rPr>
          <w:b w:val="0"/>
          <w:bCs/>
        </w:rPr>
        <w:t xml:space="preserve"> </w:t>
      </w:r>
    </w:p>
    <w:p w:rsidR="00CB277F" w:rsidRDefault="00DC4D6C">
      <w:pPr>
        <w:pStyle w:val="TOC1"/>
        <w:rPr>
          <w:rFonts w:asciiTheme="minorHAnsi" w:eastAsiaTheme="minorEastAsia" w:hAnsiTheme="minorHAnsi" w:cstheme="minorBidi"/>
          <w:b w:val="0"/>
          <w:smallCaps w:val="0"/>
          <w:spacing w:val="0"/>
          <w:sz w:val="22"/>
          <w:lang w:eastAsia="en-AU"/>
        </w:rPr>
      </w:pPr>
      <w:hyperlink w:anchor="_Toc384024402" w:history="1">
        <w:r w:rsidR="00CB277F" w:rsidRPr="00B563FC">
          <w:rPr>
            <w:rStyle w:val="Hyperlink"/>
          </w:rPr>
          <w:t>Recommendation 21</w:t>
        </w:r>
      </w:hyperlink>
    </w:p>
    <w:p w:rsidR="00CB277F" w:rsidRDefault="00DC4D6C">
      <w:pPr>
        <w:pStyle w:val="TOC2"/>
        <w:rPr>
          <w:rFonts w:asciiTheme="minorHAnsi" w:eastAsiaTheme="minorEastAsia" w:hAnsiTheme="minorHAnsi" w:cstheme="minorBidi"/>
          <w:b w:val="0"/>
          <w:szCs w:val="22"/>
          <w:lang w:eastAsia="en-AU"/>
        </w:rPr>
      </w:pPr>
      <w:hyperlink w:anchor="_Toc384024403" w:history="1">
        <w:r w:rsidR="00CB277F" w:rsidRPr="00B563FC">
          <w:rPr>
            <w:rStyle w:val="Hyperlink"/>
          </w:rPr>
          <w:t>4.81</w:t>
        </w:r>
        <w:r w:rsidR="00CB277F">
          <w:rPr>
            <w:rFonts w:asciiTheme="minorHAnsi" w:eastAsiaTheme="minorEastAsia" w:hAnsiTheme="minorHAnsi" w:cstheme="minorBidi"/>
            <w:b w:val="0"/>
            <w:szCs w:val="22"/>
            <w:lang w:eastAsia="en-AU"/>
          </w:rPr>
          <w:tab/>
        </w:r>
        <w:r w:rsidR="00CB277F" w:rsidRPr="00B563FC">
          <w:rPr>
            <w:rStyle w:val="Hyperlink"/>
          </w:rPr>
          <w:t>The Committee recommends that the ACT Public Service Strategic Board actively encourage NAIDOC week celebrations on a Service-wide basis.</w:t>
        </w:r>
      </w:hyperlink>
    </w:p>
    <w:p w:rsidR="00CB277F" w:rsidRDefault="00DC4D6C">
      <w:pPr>
        <w:pStyle w:val="TOC1"/>
        <w:rPr>
          <w:rFonts w:asciiTheme="minorHAnsi" w:eastAsiaTheme="minorEastAsia" w:hAnsiTheme="minorHAnsi" w:cstheme="minorBidi"/>
          <w:b w:val="0"/>
          <w:smallCaps w:val="0"/>
          <w:spacing w:val="0"/>
          <w:sz w:val="22"/>
          <w:lang w:eastAsia="en-AU"/>
        </w:rPr>
      </w:pPr>
      <w:hyperlink w:anchor="_Toc384024404" w:history="1">
        <w:r w:rsidR="00CB277F" w:rsidRPr="00B563FC">
          <w:rPr>
            <w:rStyle w:val="Hyperlink"/>
          </w:rPr>
          <w:t>Recommendation 22</w:t>
        </w:r>
      </w:hyperlink>
    </w:p>
    <w:p w:rsidR="00CB277F" w:rsidRDefault="00DC4D6C">
      <w:pPr>
        <w:pStyle w:val="TOC2"/>
        <w:rPr>
          <w:rFonts w:asciiTheme="minorHAnsi" w:eastAsiaTheme="minorEastAsia" w:hAnsiTheme="minorHAnsi" w:cstheme="minorBidi"/>
          <w:b w:val="0"/>
          <w:szCs w:val="22"/>
          <w:lang w:eastAsia="en-AU"/>
        </w:rPr>
      </w:pPr>
      <w:hyperlink w:anchor="_Toc384024405" w:history="1">
        <w:r w:rsidR="00CB277F" w:rsidRPr="00B563FC">
          <w:rPr>
            <w:rStyle w:val="Hyperlink"/>
          </w:rPr>
          <w:t>4.83</w:t>
        </w:r>
        <w:r w:rsidR="00CB277F">
          <w:rPr>
            <w:rFonts w:asciiTheme="minorHAnsi" w:eastAsiaTheme="minorEastAsia" w:hAnsiTheme="minorHAnsi" w:cstheme="minorBidi"/>
            <w:b w:val="0"/>
            <w:szCs w:val="22"/>
            <w:lang w:eastAsia="en-AU"/>
          </w:rPr>
          <w:tab/>
        </w:r>
        <w:r w:rsidR="00CB277F" w:rsidRPr="00B563FC">
          <w:rPr>
            <w:rStyle w:val="Hyperlink"/>
          </w:rPr>
          <w:t>The Committee recommends that the ACT Public Service Office of Aboriginal and Torres Strait Islander Affairs develop innovative approaches to celebrating the achievements of Aboriginal and Torres Strait Islander employees in the ACT Public Service.</w:t>
        </w:r>
      </w:hyperlink>
    </w:p>
    <w:p w:rsidR="00CB1DFE" w:rsidRDefault="00CB1DFE" w:rsidP="00CB1DFE">
      <w:pPr>
        <w:pStyle w:val="TOC1"/>
        <w:rPr>
          <w:b w:val="0"/>
          <w:bCs/>
        </w:rPr>
      </w:pPr>
    </w:p>
    <w:p w:rsidR="00CB1DFE" w:rsidRPr="00D47E43" w:rsidRDefault="00CB1DFE" w:rsidP="00CB1DFE">
      <w:pPr>
        <w:pStyle w:val="TOC1"/>
        <w:rPr>
          <w:b w:val="0"/>
          <w:bCs/>
        </w:rPr>
      </w:pPr>
      <w:r>
        <w:rPr>
          <w:b w:val="0"/>
          <w:bCs/>
        </w:rPr>
        <w:t>Training and Mentoring</w:t>
      </w:r>
      <w:r w:rsidRPr="00D47E43">
        <w:rPr>
          <w:b w:val="0"/>
          <w:bCs/>
        </w:rPr>
        <w:t xml:space="preserve"> </w:t>
      </w:r>
    </w:p>
    <w:p w:rsidR="00CB277F" w:rsidRDefault="00DC4D6C">
      <w:pPr>
        <w:pStyle w:val="TOC1"/>
        <w:rPr>
          <w:rFonts w:asciiTheme="minorHAnsi" w:eastAsiaTheme="minorEastAsia" w:hAnsiTheme="minorHAnsi" w:cstheme="minorBidi"/>
          <w:b w:val="0"/>
          <w:smallCaps w:val="0"/>
          <w:spacing w:val="0"/>
          <w:sz w:val="22"/>
          <w:lang w:eastAsia="en-AU"/>
        </w:rPr>
      </w:pPr>
      <w:hyperlink w:anchor="_Toc384024406" w:history="1">
        <w:r w:rsidR="00CB277F" w:rsidRPr="00B563FC">
          <w:rPr>
            <w:rStyle w:val="Hyperlink"/>
          </w:rPr>
          <w:t>Recommendation 23</w:t>
        </w:r>
      </w:hyperlink>
    </w:p>
    <w:p w:rsidR="00CB277F" w:rsidRDefault="00DC4D6C">
      <w:pPr>
        <w:pStyle w:val="TOC2"/>
        <w:rPr>
          <w:rFonts w:asciiTheme="minorHAnsi" w:eastAsiaTheme="minorEastAsia" w:hAnsiTheme="minorHAnsi" w:cstheme="minorBidi"/>
          <w:b w:val="0"/>
          <w:szCs w:val="22"/>
          <w:lang w:eastAsia="en-AU"/>
        </w:rPr>
      </w:pPr>
      <w:hyperlink w:anchor="_Toc384024407" w:history="1">
        <w:r w:rsidR="00CB277F" w:rsidRPr="00B563FC">
          <w:rPr>
            <w:rStyle w:val="Hyperlink"/>
          </w:rPr>
          <w:t>4.92</w:t>
        </w:r>
        <w:r w:rsidR="00CB277F">
          <w:rPr>
            <w:rFonts w:asciiTheme="minorHAnsi" w:eastAsiaTheme="minorEastAsia" w:hAnsiTheme="minorHAnsi" w:cstheme="minorBidi"/>
            <w:b w:val="0"/>
            <w:szCs w:val="22"/>
            <w:lang w:eastAsia="en-AU"/>
          </w:rPr>
          <w:tab/>
        </w:r>
        <w:r w:rsidR="00CB277F" w:rsidRPr="00B563FC">
          <w:rPr>
            <w:rStyle w:val="Hyperlink"/>
          </w:rPr>
          <w:t>The Committee recommends that the ACT Public Service examine ways of working with the Australian Indigenous Leadership Centre for the delivery of innovative diversity and mentoring training for all ACT Public Service employees.</w:t>
        </w:r>
      </w:hyperlink>
    </w:p>
    <w:p w:rsidR="00CB277F" w:rsidRDefault="00DC4D6C">
      <w:pPr>
        <w:pStyle w:val="TOC1"/>
        <w:rPr>
          <w:rFonts w:asciiTheme="minorHAnsi" w:eastAsiaTheme="minorEastAsia" w:hAnsiTheme="minorHAnsi" w:cstheme="minorBidi"/>
          <w:b w:val="0"/>
          <w:smallCaps w:val="0"/>
          <w:spacing w:val="0"/>
          <w:sz w:val="22"/>
          <w:lang w:eastAsia="en-AU"/>
        </w:rPr>
      </w:pPr>
      <w:hyperlink w:anchor="_Toc384024408" w:history="1">
        <w:r w:rsidR="00CB277F" w:rsidRPr="00B563FC">
          <w:rPr>
            <w:rStyle w:val="Hyperlink"/>
          </w:rPr>
          <w:t>Recommendation 24</w:t>
        </w:r>
      </w:hyperlink>
    </w:p>
    <w:p w:rsidR="00CB277F" w:rsidRDefault="00DC4D6C">
      <w:pPr>
        <w:pStyle w:val="TOC2"/>
        <w:rPr>
          <w:rFonts w:asciiTheme="minorHAnsi" w:eastAsiaTheme="minorEastAsia" w:hAnsiTheme="minorHAnsi" w:cstheme="minorBidi"/>
          <w:b w:val="0"/>
          <w:szCs w:val="22"/>
          <w:lang w:eastAsia="en-AU"/>
        </w:rPr>
      </w:pPr>
      <w:hyperlink w:anchor="_Toc384024409" w:history="1">
        <w:r w:rsidR="00CB277F" w:rsidRPr="00B563FC">
          <w:rPr>
            <w:rStyle w:val="Hyperlink"/>
          </w:rPr>
          <w:t>4.94</w:t>
        </w:r>
        <w:r w:rsidR="00CB277F">
          <w:rPr>
            <w:rFonts w:asciiTheme="minorHAnsi" w:eastAsiaTheme="minorEastAsia" w:hAnsiTheme="minorHAnsi" w:cstheme="minorBidi"/>
            <w:b w:val="0"/>
            <w:szCs w:val="22"/>
            <w:lang w:eastAsia="en-AU"/>
          </w:rPr>
          <w:tab/>
        </w:r>
        <w:r w:rsidR="00CB277F" w:rsidRPr="00B563FC">
          <w:rPr>
            <w:rStyle w:val="Hyperlink"/>
          </w:rPr>
          <w:t>The Committee recommends that the ACT Public Service ensure mentors for Aboriginal and Torres Strait Islander employees are drawn from those ACT Public Service  employees who are respected within the wider Aboriginal and Torres Strait Islander community.</w:t>
        </w:r>
      </w:hyperlink>
    </w:p>
    <w:p w:rsidR="00CB277F" w:rsidRDefault="00DC4D6C">
      <w:pPr>
        <w:pStyle w:val="TOC1"/>
        <w:rPr>
          <w:rFonts w:asciiTheme="minorHAnsi" w:eastAsiaTheme="minorEastAsia" w:hAnsiTheme="minorHAnsi" w:cstheme="minorBidi"/>
          <w:b w:val="0"/>
          <w:smallCaps w:val="0"/>
          <w:spacing w:val="0"/>
          <w:sz w:val="22"/>
          <w:lang w:eastAsia="en-AU"/>
        </w:rPr>
      </w:pPr>
      <w:hyperlink w:anchor="_Toc384024410" w:history="1">
        <w:r w:rsidR="00CB277F" w:rsidRPr="00B563FC">
          <w:rPr>
            <w:rStyle w:val="Hyperlink"/>
          </w:rPr>
          <w:t>Recommendation 25</w:t>
        </w:r>
      </w:hyperlink>
    </w:p>
    <w:p w:rsidR="00CB277F" w:rsidRDefault="00DC4D6C">
      <w:pPr>
        <w:pStyle w:val="TOC2"/>
        <w:rPr>
          <w:rFonts w:asciiTheme="minorHAnsi" w:eastAsiaTheme="minorEastAsia" w:hAnsiTheme="minorHAnsi" w:cstheme="minorBidi"/>
          <w:b w:val="0"/>
          <w:szCs w:val="22"/>
          <w:lang w:eastAsia="en-AU"/>
        </w:rPr>
      </w:pPr>
      <w:hyperlink w:anchor="_Toc384024411" w:history="1">
        <w:r w:rsidR="00CB277F" w:rsidRPr="00B563FC">
          <w:rPr>
            <w:rStyle w:val="Hyperlink"/>
          </w:rPr>
          <w:t>4.108</w:t>
        </w:r>
        <w:r w:rsidR="00CB277F">
          <w:rPr>
            <w:rFonts w:asciiTheme="minorHAnsi" w:eastAsiaTheme="minorEastAsia" w:hAnsiTheme="minorHAnsi" w:cstheme="minorBidi"/>
            <w:b w:val="0"/>
            <w:szCs w:val="22"/>
            <w:lang w:eastAsia="en-AU"/>
          </w:rPr>
          <w:tab/>
        </w:r>
        <w:r w:rsidR="00CB277F" w:rsidRPr="00B563FC">
          <w:rPr>
            <w:rStyle w:val="Hyperlink"/>
          </w:rPr>
          <w:t>The Committee recommends that the all ACT Public Service directorates and agencies ensure they have an Aboriginal and Torres Strait Islander employment action plan with implementation underway during 2014-15, this to be managed by the proposed Project Team (Recommendation 1).</w:t>
        </w:r>
      </w:hyperlink>
    </w:p>
    <w:p w:rsidR="00CB277F" w:rsidRDefault="00DC4D6C">
      <w:pPr>
        <w:pStyle w:val="TOC1"/>
        <w:rPr>
          <w:rFonts w:asciiTheme="minorHAnsi" w:eastAsiaTheme="minorEastAsia" w:hAnsiTheme="minorHAnsi" w:cstheme="minorBidi"/>
          <w:b w:val="0"/>
          <w:smallCaps w:val="0"/>
          <w:spacing w:val="0"/>
          <w:sz w:val="22"/>
          <w:lang w:eastAsia="en-AU"/>
        </w:rPr>
      </w:pPr>
      <w:hyperlink w:anchor="_Toc384024412" w:history="1">
        <w:r w:rsidR="00CB277F" w:rsidRPr="00B563FC">
          <w:rPr>
            <w:rStyle w:val="Hyperlink"/>
          </w:rPr>
          <w:t>Recommendation 26</w:t>
        </w:r>
      </w:hyperlink>
    </w:p>
    <w:p w:rsidR="00CB277F" w:rsidRDefault="00DC4D6C">
      <w:pPr>
        <w:pStyle w:val="TOC2"/>
        <w:rPr>
          <w:rFonts w:asciiTheme="minorHAnsi" w:eastAsiaTheme="minorEastAsia" w:hAnsiTheme="minorHAnsi" w:cstheme="minorBidi"/>
          <w:b w:val="0"/>
          <w:szCs w:val="22"/>
          <w:lang w:eastAsia="en-AU"/>
        </w:rPr>
      </w:pPr>
      <w:hyperlink w:anchor="_Toc384024413" w:history="1">
        <w:r w:rsidR="00CB277F" w:rsidRPr="00B563FC">
          <w:rPr>
            <w:rStyle w:val="Hyperlink"/>
          </w:rPr>
          <w:t>4.115</w:t>
        </w:r>
        <w:r w:rsidR="00CB277F">
          <w:rPr>
            <w:rFonts w:asciiTheme="minorHAnsi" w:eastAsiaTheme="minorEastAsia" w:hAnsiTheme="minorHAnsi" w:cstheme="minorBidi"/>
            <w:b w:val="0"/>
            <w:szCs w:val="22"/>
            <w:lang w:eastAsia="en-AU"/>
          </w:rPr>
          <w:tab/>
        </w:r>
        <w:r w:rsidR="00CB277F" w:rsidRPr="00B563FC">
          <w:rPr>
            <w:rStyle w:val="Hyperlink"/>
          </w:rPr>
          <w:t>The Committee recommends that the ACT Public Service establish a Work in the Assembly Program for Aboriginal and Torres Strait Islander employees along the lines of the current Work in the Assembly Program which is open to all ACT Public Service  employees at the Administrative Service Officer 6 or Senior Officer Grade C levels.</w:t>
        </w:r>
      </w:hyperlink>
    </w:p>
    <w:p w:rsidR="00CB1DFE" w:rsidRDefault="00CB1DFE" w:rsidP="00CB1DFE">
      <w:pPr>
        <w:pStyle w:val="TOC1"/>
        <w:rPr>
          <w:b w:val="0"/>
          <w:bCs/>
        </w:rPr>
      </w:pPr>
    </w:p>
    <w:p w:rsidR="00CB1DFE" w:rsidRPr="00D47E43" w:rsidRDefault="00CB1DFE" w:rsidP="00CB1DFE">
      <w:pPr>
        <w:pStyle w:val="TOC1"/>
        <w:rPr>
          <w:b w:val="0"/>
          <w:bCs/>
        </w:rPr>
      </w:pPr>
      <w:r>
        <w:rPr>
          <w:b w:val="0"/>
          <w:bCs/>
        </w:rPr>
        <w:t>Accountability and reporting</w:t>
      </w:r>
      <w:r w:rsidRPr="00D47E43">
        <w:rPr>
          <w:b w:val="0"/>
          <w:bCs/>
        </w:rPr>
        <w:t xml:space="preserve"> </w:t>
      </w:r>
    </w:p>
    <w:p w:rsidR="00CB277F" w:rsidRDefault="00DC4D6C">
      <w:pPr>
        <w:pStyle w:val="TOC1"/>
        <w:rPr>
          <w:rFonts w:asciiTheme="minorHAnsi" w:eastAsiaTheme="minorEastAsia" w:hAnsiTheme="minorHAnsi" w:cstheme="minorBidi"/>
          <w:b w:val="0"/>
          <w:smallCaps w:val="0"/>
          <w:spacing w:val="0"/>
          <w:sz w:val="22"/>
          <w:lang w:eastAsia="en-AU"/>
        </w:rPr>
      </w:pPr>
      <w:hyperlink w:anchor="_Toc384024414" w:history="1">
        <w:r w:rsidR="00CB277F" w:rsidRPr="00B563FC">
          <w:rPr>
            <w:rStyle w:val="Hyperlink"/>
          </w:rPr>
          <w:t>Recommendation 27</w:t>
        </w:r>
      </w:hyperlink>
    </w:p>
    <w:p w:rsidR="00CB277F" w:rsidRDefault="00DC4D6C">
      <w:pPr>
        <w:pStyle w:val="TOC2"/>
        <w:rPr>
          <w:rFonts w:asciiTheme="minorHAnsi" w:eastAsiaTheme="minorEastAsia" w:hAnsiTheme="minorHAnsi" w:cstheme="minorBidi"/>
          <w:b w:val="0"/>
          <w:szCs w:val="22"/>
          <w:lang w:eastAsia="en-AU"/>
        </w:rPr>
      </w:pPr>
      <w:hyperlink w:anchor="_Toc384024415" w:history="1">
        <w:r w:rsidR="00CB277F" w:rsidRPr="00B563FC">
          <w:rPr>
            <w:rStyle w:val="Hyperlink"/>
          </w:rPr>
          <w:t>5.6</w:t>
        </w:r>
        <w:r w:rsidR="00CB277F">
          <w:rPr>
            <w:rFonts w:asciiTheme="minorHAnsi" w:eastAsiaTheme="minorEastAsia" w:hAnsiTheme="minorHAnsi" w:cstheme="minorBidi"/>
            <w:b w:val="0"/>
            <w:szCs w:val="22"/>
            <w:lang w:eastAsia="en-AU"/>
          </w:rPr>
          <w:tab/>
        </w:r>
        <w:r w:rsidR="00CB277F" w:rsidRPr="00B563FC">
          <w:rPr>
            <w:rStyle w:val="Hyperlink"/>
          </w:rPr>
          <w:t xml:space="preserve">The Committee recommends that the ACT Auditor-General conduct a performance audit of the implementation of the </w:t>
        </w:r>
        <w:r w:rsidR="00CB277F" w:rsidRPr="00B563FC">
          <w:rPr>
            <w:rStyle w:val="Hyperlink"/>
            <w:i/>
          </w:rPr>
          <w:t>ACT Employment Strategy for Aboriginal and Torres Strait Islander People</w:t>
        </w:r>
        <w:r w:rsidR="00CB277F" w:rsidRPr="00B563FC">
          <w:rPr>
            <w:rStyle w:val="Hyperlink"/>
          </w:rPr>
          <w:t xml:space="preserve"> in 2016 which encompasses implementation of recommendations made by the Standing Committee on Health, Ageing, Community and Social Services.</w:t>
        </w:r>
      </w:hyperlink>
    </w:p>
    <w:p w:rsidR="00CB277F" w:rsidRDefault="00DC4D6C">
      <w:pPr>
        <w:pStyle w:val="TOC1"/>
        <w:rPr>
          <w:rFonts w:asciiTheme="minorHAnsi" w:eastAsiaTheme="minorEastAsia" w:hAnsiTheme="minorHAnsi" w:cstheme="minorBidi"/>
          <w:b w:val="0"/>
          <w:smallCaps w:val="0"/>
          <w:spacing w:val="0"/>
          <w:sz w:val="22"/>
          <w:lang w:eastAsia="en-AU"/>
        </w:rPr>
      </w:pPr>
      <w:hyperlink w:anchor="_Toc384024416" w:history="1">
        <w:r w:rsidR="00CB277F" w:rsidRPr="00B563FC">
          <w:rPr>
            <w:rStyle w:val="Hyperlink"/>
          </w:rPr>
          <w:t>Recommendation 28</w:t>
        </w:r>
      </w:hyperlink>
    </w:p>
    <w:p w:rsidR="00CB277F" w:rsidRDefault="00DC4D6C">
      <w:pPr>
        <w:pStyle w:val="TOC2"/>
        <w:rPr>
          <w:rFonts w:asciiTheme="minorHAnsi" w:eastAsiaTheme="minorEastAsia" w:hAnsiTheme="minorHAnsi" w:cstheme="minorBidi"/>
          <w:b w:val="0"/>
          <w:szCs w:val="22"/>
          <w:lang w:eastAsia="en-AU"/>
        </w:rPr>
      </w:pPr>
      <w:hyperlink w:anchor="_Toc384024417" w:history="1">
        <w:r w:rsidR="00CB277F" w:rsidRPr="00B563FC">
          <w:rPr>
            <w:rStyle w:val="Hyperlink"/>
          </w:rPr>
          <w:t>5.12</w:t>
        </w:r>
        <w:r w:rsidR="00CB277F">
          <w:rPr>
            <w:rFonts w:asciiTheme="minorHAnsi" w:eastAsiaTheme="minorEastAsia" w:hAnsiTheme="minorHAnsi" w:cstheme="minorBidi"/>
            <w:b w:val="0"/>
            <w:szCs w:val="22"/>
            <w:lang w:eastAsia="en-AU"/>
          </w:rPr>
          <w:tab/>
        </w:r>
        <w:r w:rsidR="00CB277F" w:rsidRPr="00B563FC">
          <w:rPr>
            <w:rStyle w:val="Hyperlink"/>
          </w:rPr>
          <w:t>The Committee recommends that the ACT Public Service take prompt action to ensure the wider collection of data, including exit surveys, relating to Aboriginal and Torres Strait Islander employees in the ACT Public Service .</w:t>
        </w:r>
      </w:hyperlink>
    </w:p>
    <w:p w:rsidR="00CB277F" w:rsidRDefault="00DC4D6C">
      <w:pPr>
        <w:pStyle w:val="TOC1"/>
        <w:rPr>
          <w:rFonts w:asciiTheme="minorHAnsi" w:eastAsiaTheme="minorEastAsia" w:hAnsiTheme="minorHAnsi" w:cstheme="minorBidi"/>
          <w:b w:val="0"/>
          <w:smallCaps w:val="0"/>
          <w:spacing w:val="0"/>
          <w:sz w:val="22"/>
          <w:lang w:eastAsia="en-AU"/>
        </w:rPr>
      </w:pPr>
      <w:hyperlink w:anchor="_Toc384024418" w:history="1">
        <w:r w:rsidR="00CB277F" w:rsidRPr="00B563FC">
          <w:rPr>
            <w:rStyle w:val="Hyperlink"/>
          </w:rPr>
          <w:t>Recommendation 29</w:t>
        </w:r>
      </w:hyperlink>
    </w:p>
    <w:p w:rsidR="00CB277F" w:rsidRDefault="00DC4D6C">
      <w:pPr>
        <w:pStyle w:val="TOC2"/>
        <w:rPr>
          <w:rFonts w:asciiTheme="minorHAnsi" w:eastAsiaTheme="minorEastAsia" w:hAnsiTheme="minorHAnsi" w:cstheme="minorBidi"/>
          <w:b w:val="0"/>
          <w:szCs w:val="22"/>
          <w:lang w:eastAsia="en-AU"/>
        </w:rPr>
      </w:pPr>
      <w:hyperlink w:anchor="_Toc384024419" w:history="1">
        <w:r w:rsidR="00CB277F" w:rsidRPr="00B563FC">
          <w:rPr>
            <w:rStyle w:val="Hyperlink"/>
          </w:rPr>
          <w:t>5.26</w:t>
        </w:r>
        <w:r w:rsidR="00CB277F">
          <w:rPr>
            <w:rFonts w:asciiTheme="minorHAnsi" w:eastAsiaTheme="minorEastAsia" w:hAnsiTheme="minorHAnsi" w:cstheme="minorBidi"/>
            <w:b w:val="0"/>
            <w:szCs w:val="22"/>
            <w:lang w:eastAsia="en-AU"/>
          </w:rPr>
          <w:tab/>
        </w:r>
        <w:r w:rsidR="00CB277F" w:rsidRPr="00B563FC">
          <w:rPr>
            <w:rStyle w:val="Hyperlink"/>
          </w:rPr>
          <w:t xml:space="preserve">The Committee recommends that the ACT Public Service Commissioner for Public Administration enhance the usefulness of his </w:t>
        </w:r>
        <w:r w:rsidR="00CB277F" w:rsidRPr="00B563FC">
          <w:rPr>
            <w:rStyle w:val="Hyperlink"/>
            <w:i/>
          </w:rPr>
          <w:t>State of the Service Report</w:t>
        </w:r>
        <w:r w:rsidR="00CB277F" w:rsidRPr="00B563FC">
          <w:rPr>
            <w:rStyle w:val="Hyperlink"/>
          </w:rPr>
          <w:t xml:space="preserve"> by including analysis and interpretation of data relating to Aboriginal and Torres Strait Islander employees.</w:t>
        </w:r>
      </w:hyperlink>
    </w:p>
    <w:p w:rsidR="00CB1DFE" w:rsidRDefault="00CB1DFE">
      <w:pPr>
        <w:pStyle w:val="TOC1"/>
        <w:rPr>
          <w:rStyle w:val="Hyperlink"/>
        </w:rPr>
      </w:pPr>
    </w:p>
    <w:p w:rsidR="00CB1DFE" w:rsidRDefault="00CB1DFE">
      <w:pPr>
        <w:pStyle w:val="TOC1"/>
        <w:rPr>
          <w:rStyle w:val="Hyperlink"/>
        </w:rPr>
      </w:pPr>
    </w:p>
    <w:p w:rsidR="00CB1DFE" w:rsidRDefault="00CB1DFE">
      <w:pPr>
        <w:pStyle w:val="TOC1"/>
        <w:rPr>
          <w:rStyle w:val="Hyperlink"/>
        </w:rPr>
      </w:pPr>
    </w:p>
    <w:p w:rsidR="00CB1DFE" w:rsidRDefault="00CB1DFE">
      <w:pPr>
        <w:pStyle w:val="TOC1"/>
        <w:rPr>
          <w:rStyle w:val="Hyperlink"/>
        </w:rPr>
      </w:pPr>
    </w:p>
    <w:p w:rsidR="00CB1DFE" w:rsidRDefault="00CB1DFE">
      <w:pPr>
        <w:pStyle w:val="TOC1"/>
        <w:rPr>
          <w:rStyle w:val="Hyperlink"/>
        </w:rPr>
      </w:pPr>
    </w:p>
    <w:p w:rsidR="00CB277F" w:rsidRDefault="00DC4D6C">
      <w:pPr>
        <w:pStyle w:val="TOC1"/>
        <w:rPr>
          <w:rFonts w:asciiTheme="minorHAnsi" w:eastAsiaTheme="minorEastAsia" w:hAnsiTheme="minorHAnsi" w:cstheme="minorBidi"/>
          <w:b w:val="0"/>
          <w:smallCaps w:val="0"/>
          <w:spacing w:val="0"/>
          <w:sz w:val="22"/>
          <w:lang w:eastAsia="en-AU"/>
        </w:rPr>
      </w:pPr>
      <w:hyperlink w:anchor="_Toc384024420" w:history="1">
        <w:r w:rsidR="00CB277F" w:rsidRPr="00B563FC">
          <w:rPr>
            <w:rStyle w:val="Hyperlink"/>
          </w:rPr>
          <w:t>Recommendation 30</w:t>
        </w:r>
      </w:hyperlink>
    </w:p>
    <w:p w:rsidR="00CB277F" w:rsidRDefault="00DC4D6C">
      <w:pPr>
        <w:pStyle w:val="TOC2"/>
        <w:rPr>
          <w:rFonts w:asciiTheme="minorHAnsi" w:eastAsiaTheme="minorEastAsia" w:hAnsiTheme="minorHAnsi" w:cstheme="minorBidi"/>
          <w:b w:val="0"/>
          <w:szCs w:val="22"/>
          <w:lang w:eastAsia="en-AU"/>
        </w:rPr>
      </w:pPr>
      <w:hyperlink w:anchor="_Toc384024421" w:history="1">
        <w:r w:rsidR="00CB277F" w:rsidRPr="00B563FC">
          <w:rPr>
            <w:rStyle w:val="Hyperlink"/>
          </w:rPr>
          <w:t>5.31</w:t>
        </w:r>
        <w:r w:rsidR="00CB277F">
          <w:rPr>
            <w:rFonts w:asciiTheme="minorHAnsi" w:eastAsiaTheme="minorEastAsia" w:hAnsiTheme="minorHAnsi" w:cstheme="minorBidi"/>
            <w:b w:val="0"/>
            <w:szCs w:val="22"/>
            <w:lang w:eastAsia="en-AU"/>
          </w:rPr>
          <w:tab/>
        </w:r>
        <w:r w:rsidR="00CB277F" w:rsidRPr="00B563FC">
          <w:rPr>
            <w:rStyle w:val="Hyperlink"/>
          </w:rPr>
          <w:t xml:space="preserve">The Committee recommends that the ACT Public Service ensure information relating to the implementation and performance of the </w:t>
        </w:r>
        <w:r w:rsidR="00CB277F" w:rsidRPr="00B563FC">
          <w:rPr>
            <w:rStyle w:val="Hyperlink"/>
            <w:i/>
          </w:rPr>
          <w:t xml:space="preserve">ACT Employment Strategy for Aboriginal and Torres Strait Island People </w:t>
        </w:r>
        <w:r w:rsidR="00CB277F" w:rsidRPr="00B563FC">
          <w:rPr>
            <w:rStyle w:val="Hyperlink"/>
          </w:rPr>
          <w:t>that is reported to the Australian Capital Territory Aboriginal and Torres Strait Islander Elected Body also be reported to the Legislative Assembly to facilitate examination at annual reports inquiry hearings and/or Estimates Committee hearings.</w:t>
        </w:r>
      </w:hyperlink>
    </w:p>
    <w:p w:rsidR="00CB1DFE" w:rsidRDefault="00CB1DFE" w:rsidP="00CB1DFE">
      <w:pPr>
        <w:pStyle w:val="TOC1"/>
        <w:rPr>
          <w:b w:val="0"/>
          <w:bCs/>
        </w:rPr>
      </w:pPr>
    </w:p>
    <w:p w:rsidR="00CB1DFE" w:rsidRPr="00D47E43" w:rsidRDefault="00CB1DFE" w:rsidP="00CB1DFE">
      <w:pPr>
        <w:pStyle w:val="TOC1"/>
        <w:rPr>
          <w:b w:val="0"/>
          <w:bCs/>
        </w:rPr>
      </w:pPr>
      <w:r>
        <w:rPr>
          <w:b w:val="0"/>
          <w:bCs/>
        </w:rPr>
        <w:t>Indigenous Leadership Program</w:t>
      </w:r>
      <w:r w:rsidRPr="00D47E43">
        <w:rPr>
          <w:b w:val="0"/>
          <w:bCs/>
        </w:rPr>
        <w:t xml:space="preserve"> </w:t>
      </w:r>
    </w:p>
    <w:p w:rsidR="00CB277F" w:rsidRDefault="00DC4D6C">
      <w:pPr>
        <w:pStyle w:val="TOC1"/>
        <w:rPr>
          <w:rFonts w:asciiTheme="minorHAnsi" w:eastAsiaTheme="minorEastAsia" w:hAnsiTheme="minorHAnsi" w:cstheme="minorBidi"/>
          <w:b w:val="0"/>
          <w:smallCaps w:val="0"/>
          <w:spacing w:val="0"/>
          <w:sz w:val="22"/>
          <w:lang w:eastAsia="en-AU"/>
        </w:rPr>
      </w:pPr>
      <w:hyperlink w:anchor="_Toc384024422" w:history="1">
        <w:r w:rsidR="00CB277F" w:rsidRPr="00B563FC">
          <w:rPr>
            <w:rStyle w:val="Hyperlink"/>
          </w:rPr>
          <w:t>Recommendation 31</w:t>
        </w:r>
      </w:hyperlink>
    </w:p>
    <w:p w:rsidR="00CB277F" w:rsidRDefault="00DC4D6C">
      <w:pPr>
        <w:pStyle w:val="TOC2"/>
        <w:rPr>
          <w:rFonts w:asciiTheme="minorHAnsi" w:eastAsiaTheme="minorEastAsia" w:hAnsiTheme="minorHAnsi" w:cstheme="minorBidi"/>
          <w:b w:val="0"/>
          <w:szCs w:val="22"/>
          <w:lang w:eastAsia="en-AU"/>
        </w:rPr>
      </w:pPr>
      <w:hyperlink w:anchor="_Toc384024423" w:history="1">
        <w:r w:rsidR="00CB277F" w:rsidRPr="00B563FC">
          <w:rPr>
            <w:rStyle w:val="Hyperlink"/>
          </w:rPr>
          <w:t>6.20</w:t>
        </w:r>
        <w:r w:rsidR="00CB277F">
          <w:rPr>
            <w:rFonts w:asciiTheme="minorHAnsi" w:eastAsiaTheme="minorEastAsia" w:hAnsiTheme="minorHAnsi" w:cstheme="minorBidi"/>
            <w:b w:val="0"/>
            <w:szCs w:val="22"/>
            <w:lang w:eastAsia="en-AU"/>
          </w:rPr>
          <w:tab/>
        </w:r>
        <w:r w:rsidR="00CB277F" w:rsidRPr="00B563FC">
          <w:rPr>
            <w:rStyle w:val="Hyperlink"/>
          </w:rPr>
          <w:t>The Committee recommends that the Australian Capital Territory  Public Service review the merit of implementing an Indigenous leadership program similar to that proposed by the New South Wales Public Service Commission and report its findings to the Australian Capital Territory Aboriginal and Torres Strait Islander Elected Body and the Legislative Assembly .</w:t>
        </w:r>
      </w:hyperlink>
    </w:p>
    <w:p w:rsidR="00E13F34" w:rsidRDefault="00DC4D6C" w:rsidP="00876181">
      <w:pPr>
        <w:pStyle w:val="Heading1"/>
        <w:keepNext w:val="0"/>
        <w:pageBreakBefore w:val="0"/>
        <w:numPr>
          <w:ilvl w:val="0"/>
          <w:numId w:val="0"/>
        </w:numPr>
        <w:ind w:left="567"/>
        <w:rPr>
          <w:rFonts w:cs="Times New Roman"/>
          <w:bCs w:val="0"/>
          <w:kern w:val="0"/>
          <w:sz w:val="22"/>
          <w:szCs w:val="22"/>
        </w:rPr>
      </w:pPr>
      <w:r w:rsidRPr="00B33430">
        <w:rPr>
          <w:rFonts w:ascii="Calibri" w:hAnsi="Calibri" w:cs="Calibri"/>
          <w:b/>
          <w:bCs w:val="0"/>
          <w:noProof/>
          <w:color w:val="A6A6A6"/>
          <w:kern w:val="0"/>
          <w:sz w:val="24"/>
          <w:szCs w:val="22"/>
        </w:rPr>
        <w:fldChar w:fldCharType="end"/>
      </w:r>
    </w:p>
    <w:p w:rsidR="003606E5" w:rsidRDefault="003606E5" w:rsidP="003606E5">
      <w:pPr>
        <w:pStyle w:val="Bodytext"/>
        <w:numPr>
          <w:ilvl w:val="0"/>
          <w:numId w:val="0"/>
        </w:numPr>
        <w:ind w:left="680"/>
        <w:sectPr w:rsidR="003606E5" w:rsidSect="000E7567">
          <w:headerReference w:type="even" r:id="rId17"/>
          <w:headerReference w:type="default" r:id="rId18"/>
          <w:footerReference w:type="even" r:id="rId19"/>
          <w:footerReference w:type="default" r:id="rId20"/>
          <w:type w:val="oddPage"/>
          <w:pgSz w:w="11907" w:h="16840" w:code="9"/>
          <w:pgMar w:top="1588" w:right="1418" w:bottom="1418" w:left="1418" w:header="720" w:footer="851" w:gutter="0"/>
          <w:pgNumType w:fmt="lowerRoman"/>
          <w:cols w:space="720"/>
          <w:docGrid w:linePitch="360"/>
        </w:sectPr>
      </w:pPr>
    </w:p>
    <w:p w:rsidR="00D561BC" w:rsidRDefault="009D7C30" w:rsidP="006464A3">
      <w:pPr>
        <w:pStyle w:val="Heading1"/>
      </w:pPr>
      <w:bookmarkStart w:id="43" w:name="_Toc341433425"/>
      <w:bookmarkStart w:id="44" w:name="_Toc341687870"/>
      <w:bookmarkStart w:id="45" w:name="_Toc383615022"/>
      <w:r>
        <w:t>Introduction</w:t>
      </w:r>
      <w:bookmarkEnd w:id="43"/>
      <w:bookmarkEnd w:id="44"/>
      <w:bookmarkEnd w:id="45"/>
    </w:p>
    <w:p w:rsidR="009D7C30" w:rsidRDefault="009D7C30" w:rsidP="009D7C30">
      <w:pPr>
        <w:pStyle w:val="Headinglevel2"/>
      </w:pPr>
      <w:bookmarkStart w:id="46" w:name="_Toc383615023"/>
      <w:r>
        <w:t>Background</w:t>
      </w:r>
      <w:r w:rsidR="003F1F92">
        <w:t xml:space="preserve"> to the inquiry</w:t>
      </w:r>
      <w:bookmarkEnd w:id="46"/>
      <w:r w:rsidR="003F1F92">
        <w:t xml:space="preserve"> </w:t>
      </w:r>
    </w:p>
    <w:p w:rsidR="002435B1" w:rsidRDefault="00EC7BB6" w:rsidP="00FD1862">
      <w:pPr>
        <w:pStyle w:val="Bodytext"/>
      </w:pPr>
      <w:r>
        <w:tab/>
      </w:r>
      <w:r w:rsidR="002435B1">
        <w:t>On 2</w:t>
      </w:r>
      <w:r w:rsidR="009D7C30">
        <w:t xml:space="preserve"> May 2013 the Standing Committee on Health, Ageing, Community and Social Services (the</w:t>
      </w:r>
      <w:r w:rsidR="00B470DF">
        <w:t> </w:t>
      </w:r>
      <w:r w:rsidR="009D7C30">
        <w:t>Committee) resolved to conduct an inquiry into Indigenous employment in the ACT Public Service</w:t>
      </w:r>
      <w:r w:rsidR="00CB38D7">
        <w:t xml:space="preserve"> (ACTPS)</w:t>
      </w:r>
      <w:r w:rsidR="009D7C30">
        <w:t xml:space="preserve">.   The main focus of the </w:t>
      </w:r>
      <w:r w:rsidR="009D7C30" w:rsidRPr="009D7C30">
        <w:rPr>
          <w:i/>
        </w:rPr>
        <w:t>Inquiry into ACT Public Service Aboriginal and Torres Strait Islander Employment</w:t>
      </w:r>
      <w:r w:rsidR="009D7C30">
        <w:t xml:space="preserve"> (the Inquiry) was to make an assessment of the implementation of the </w:t>
      </w:r>
      <w:r w:rsidR="009D7C30" w:rsidRPr="009D7C30">
        <w:rPr>
          <w:i/>
        </w:rPr>
        <w:t xml:space="preserve">ACT Public Service </w:t>
      </w:r>
      <w:r w:rsidR="003F1F92">
        <w:rPr>
          <w:i/>
        </w:rPr>
        <w:t xml:space="preserve">Employment Strategy for </w:t>
      </w:r>
      <w:r w:rsidR="009D7C30" w:rsidRPr="009D7C30">
        <w:rPr>
          <w:i/>
        </w:rPr>
        <w:t xml:space="preserve">Aboriginal and Torres Strait Islander </w:t>
      </w:r>
      <w:r w:rsidR="006F44E7">
        <w:rPr>
          <w:i/>
        </w:rPr>
        <w:t xml:space="preserve">People </w:t>
      </w:r>
      <w:r w:rsidR="006F44E7">
        <w:t>(the Employment Strategy).</w:t>
      </w:r>
      <w:r w:rsidR="003F1F92">
        <w:rPr>
          <w:i/>
        </w:rPr>
        <w:t xml:space="preserve"> </w:t>
      </w:r>
      <w:r w:rsidR="009D7C30">
        <w:t xml:space="preserve">  </w:t>
      </w:r>
    </w:p>
    <w:p w:rsidR="009D7C30" w:rsidRDefault="00EC7BB6" w:rsidP="00FD1862">
      <w:pPr>
        <w:pStyle w:val="Bodytext"/>
      </w:pPr>
      <w:r>
        <w:tab/>
      </w:r>
      <w:r w:rsidR="00244E8A">
        <w:t xml:space="preserve">In reaching its decision to conduct the Inquiry the </w:t>
      </w:r>
      <w:r w:rsidR="00B470DF">
        <w:t>Committee</w:t>
      </w:r>
      <w:r w:rsidR="00600F54">
        <w:t xml:space="preserve"> noted the </w:t>
      </w:r>
      <w:r w:rsidR="006F44E7">
        <w:t xml:space="preserve">Employment </w:t>
      </w:r>
      <w:r w:rsidR="00600F54">
        <w:t>Strategy covers the period 2011-15</w:t>
      </w:r>
      <w:r w:rsidR="002863BB">
        <w:t xml:space="preserve">.  The Committee </w:t>
      </w:r>
      <w:r w:rsidR="00600F54">
        <w:t xml:space="preserve">was of the view that </w:t>
      </w:r>
      <w:r w:rsidR="00B470DF">
        <w:t xml:space="preserve">there </w:t>
      </w:r>
      <w:r w:rsidR="00600F54">
        <w:t xml:space="preserve">may </w:t>
      </w:r>
      <w:r w:rsidR="00B470DF">
        <w:t xml:space="preserve">be significant benefit in reviewing the </w:t>
      </w:r>
      <w:r w:rsidR="006F44E7">
        <w:t xml:space="preserve">Employment </w:t>
      </w:r>
      <w:r w:rsidR="00B470DF">
        <w:t>Strategy</w:t>
      </w:r>
      <w:r w:rsidR="00600F54">
        <w:t xml:space="preserve"> during its</w:t>
      </w:r>
      <w:r w:rsidR="00B470DF">
        <w:t xml:space="preserve"> implementation </w:t>
      </w:r>
      <w:r w:rsidR="00600F54">
        <w:t xml:space="preserve">rather than waiting until </w:t>
      </w:r>
      <w:r w:rsidR="00B470DF">
        <w:t xml:space="preserve">2015. </w:t>
      </w:r>
    </w:p>
    <w:p w:rsidR="000D2A9D" w:rsidRDefault="000D2A9D" w:rsidP="003F1F92">
      <w:pPr>
        <w:pStyle w:val="Headinglevel2"/>
      </w:pPr>
      <w:bookmarkStart w:id="47" w:name="_Toc383615024"/>
      <w:r>
        <w:t>ACT Public Service</w:t>
      </w:r>
      <w:bookmarkEnd w:id="47"/>
      <w:r>
        <w:t xml:space="preserve"> </w:t>
      </w:r>
    </w:p>
    <w:p w:rsidR="003739FB" w:rsidRPr="003739FB" w:rsidRDefault="00EC7BB6" w:rsidP="003739FB">
      <w:pPr>
        <w:pStyle w:val="Bodytext"/>
      </w:pPr>
      <w:r>
        <w:tab/>
      </w:r>
      <w:r w:rsidR="00AE7A30">
        <w:t xml:space="preserve">The Australian Capital Territory (ACT) became self-governing when the </w:t>
      </w:r>
      <w:r w:rsidR="00AE7A30" w:rsidRPr="00183A5F">
        <w:rPr>
          <w:i/>
        </w:rPr>
        <w:t>Australian Ca</w:t>
      </w:r>
      <w:r w:rsidR="003739FB" w:rsidRPr="00183A5F">
        <w:rPr>
          <w:i/>
        </w:rPr>
        <w:t xml:space="preserve">pital Territory (Self-Government) Act 1988 </w:t>
      </w:r>
      <w:r w:rsidR="003739FB">
        <w:t xml:space="preserve">was passed by the Commonwealth Parliament, establishing the ACT as a body politic under the Crown. </w:t>
      </w:r>
      <w:r w:rsidR="003739FB">
        <w:rPr>
          <w:rStyle w:val="FootnoteReference"/>
        </w:rPr>
        <w:footnoteReference w:id="2"/>
      </w:r>
      <w:r w:rsidR="00183A5F">
        <w:t xml:space="preserve">  </w:t>
      </w:r>
      <w:r w:rsidR="000D2A9D">
        <w:t xml:space="preserve"> </w:t>
      </w:r>
      <w:r w:rsidR="003739FB" w:rsidRPr="003739FB">
        <w:t xml:space="preserve">In the period immediately following the granting of self government, the ACT’s public servants remained employed under their existing Australian Public Service employment arrangements, and it was not until 1994 that the ACTPS was established under ACT law </w:t>
      </w:r>
      <w:r w:rsidR="00C33B5E">
        <w:t xml:space="preserve">by means of </w:t>
      </w:r>
      <w:r w:rsidR="003739FB" w:rsidRPr="003739FB">
        <w:t xml:space="preserve">the </w:t>
      </w:r>
      <w:r w:rsidR="003739FB" w:rsidRPr="00183A5F">
        <w:rPr>
          <w:i/>
        </w:rPr>
        <w:t>Public Sector Management Act 1994</w:t>
      </w:r>
      <w:r w:rsidR="003739FB">
        <w:t>.</w:t>
      </w:r>
      <w:r w:rsidR="003739FB">
        <w:rPr>
          <w:rStyle w:val="FootnoteReference"/>
        </w:rPr>
        <w:footnoteReference w:id="3"/>
      </w:r>
    </w:p>
    <w:p w:rsidR="00183A5F" w:rsidRDefault="00EC7BB6" w:rsidP="003739FB">
      <w:pPr>
        <w:pStyle w:val="Bodytext"/>
      </w:pPr>
      <w:r>
        <w:tab/>
      </w:r>
      <w:r w:rsidR="00183A5F">
        <w:t xml:space="preserve">In 2010 the then Chief Minister commissioned a review of the effectiveness, capacity and structure of the ACT Public Sector. </w:t>
      </w:r>
      <w:r w:rsidR="00183A5F">
        <w:rPr>
          <w:rStyle w:val="FootnoteReference"/>
        </w:rPr>
        <w:footnoteReference w:id="4"/>
      </w:r>
      <w:r w:rsidR="00CB38D7">
        <w:t xml:space="preserve">  At the time of the Review the ACTPS employed some 20,000</w:t>
      </w:r>
      <w:r w:rsidR="002863BB">
        <w:t xml:space="preserve"> people in nine departments and had </w:t>
      </w:r>
      <w:r w:rsidR="00CB38D7">
        <w:t>various agencies divided into 81 separate reporting agencies for the purposes of annual reporting to the Legislative Assembly.</w:t>
      </w:r>
      <w:r w:rsidR="00CB38D7">
        <w:rPr>
          <w:rStyle w:val="FootnoteReference"/>
        </w:rPr>
        <w:footnoteReference w:id="5"/>
      </w:r>
    </w:p>
    <w:p w:rsidR="0075774E" w:rsidRDefault="00EC7BB6" w:rsidP="000D2A9D">
      <w:pPr>
        <w:pStyle w:val="Bodytext"/>
      </w:pPr>
      <w:r>
        <w:tab/>
      </w:r>
      <w:r w:rsidR="0075774E">
        <w:t xml:space="preserve">The Report on the </w:t>
      </w:r>
      <w:r w:rsidR="002863BB">
        <w:t xml:space="preserve">2010 </w:t>
      </w:r>
      <w:r w:rsidR="0075774E">
        <w:t xml:space="preserve">Review </w:t>
      </w:r>
      <w:r w:rsidR="0075774E" w:rsidRPr="0075774E">
        <w:t>recommend</w:t>
      </w:r>
      <w:r w:rsidR="0075774E">
        <w:t xml:space="preserve">ed </w:t>
      </w:r>
      <w:r w:rsidR="0075774E" w:rsidRPr="0075774E">
        <w:t>the abolition of the existing structure and the re</w:t>
      </w:r>
      <w:r w:rsidR="0075774E">
        <w:noBreakHyphen/>
      </w:r>
      <w:r w:rsidR="0075774E" w:rsidRPr="0075774E">
        <w:t xml:space="preserve">establishment of the ACTPS as a single agency. </w:t>
      </w:r>
      <w:r w:rsidR="0075774E">
        <w:t xml:space="preserve"> Implementation resulted in the ACTPS having nine directorates: </w:t>
      </w:r>
    </w:p>
    <w:p w:rsidR="00294487" w:rsidRPr="0041783D" w:rsidRDefault="0075774E" w:rsidP="006C0055">
      <w:pPr>
        <w:pStyle w:val="Quote"/>
        <w:numPr>
          <w:ilvl w:val="0"/>
          <w:numId w:val="8"/>
        </w:numPr>
        <w:rPr>
          <w:lang w:val="en-US"/>
        </w:rPr>
      </w:pPr>
      <w:r w:rsidRPr="0041783D">
        <w:rPr>
          <w:lang w:val="en-US"/>
        </w:rPr>
        <w:t>Chief Minister and Treasury</w:t>
      </w:r>
      <w:r w:rsidR="00294487" w:rsidRPr="0041783D">
        <w:rPr>
          <w:lang w:val="en-US"/>
        </w:rPr>
        <w:t xml:space="preserve"> Directorate;</w:t>
      </w:r>
    </w:p>
    <w:p w:rsidR="00294487" w:rsidRPr="0041783D" w:rsidRDefault="00294487" w:rsidP="006C0055">
      <w:pPr>
        <w:pStyle w:val="Quote"/>
        <w:numPr>
          <w:ilvl w:val="0"/>
          <w:numId w:val="8"/>
        </w:numPr>
        <w:rPr>
          <w:lang w:val="en-US"/>
        </w:rPr>
      </w:pPr>
      <w:r w:rsidRPr="0041783D">
        <w:rPr>
          <w:lang w:val="en-US"/>
        </w:rPr>
        <w:t>Health Directorate;</w:t>
      </w:r>
    </w:p>
    <w:p w:rsidR="00294487" w:rsidRPr="0041783D" w:rsidRDefault="00294487" w:rsidP="006C0055">
      <w:pPr>
        <w:pStyle w:val="Quote"/>
        <w:numPr>
          <w:ilvl w:val="0"/>
          <w:numId w:val="8"/>
        </w:numPr>
        <w:rPr>
          <w:lang w:val="en-US"/>
        </w:rPr>
      </w:pPr>
      <w:r w:rsidRPr="0041783D">
        <w:rPr>
          <w:lang w:val="en-US"/>
        </w:rPr>
        <w:t xml:space="preserve">Economic Development Directorate; </w:t>
      </w:r>
    </w:p>
    <w:p w:rsidR="00294487" w:rsidRPr="0041783D" w:rsidRDefault="00294487" w:rsidP="006C0055">
      <w:pPr>
        <w:pStyle w:val="Quote"/>
        <w:numPr>
          <w:ilvl w:val="0"/>
          <w:numId w:val="8"/>
        </w:numPr>
        <w:rPr>
          <w:lang w:val="en-US"/>
        </w:rPr>
      </w:pPr>
      <w:r w:rsidRPr="0041783D">
        <w:rPr>
          <w:lang w:val="en-US"/>
        </w:rPr>
        <w:t>Commerce and Works Directorate;</w:t>
      </w:r>
    </w:p>
    <w:p w:rsidR="00294487" w:rsidRPr="0041783D" w:rsidRDefault="00294487" w:rsidP="006C0055">
      <w:pPr>
        <w:pStyle w:val="Quote"/>
        <w:numPr>
          <w:ilvl w:val="0"/>
          <w:numId w:val="8"/>
        </w:numPr>
        <w:rPr>
          <w:lang w:val="en-US"/>
        </w:rPr>
      </w:pPr>
      <w:r w:rsidRPr="0041783D">
        <w:rPr>
          <w:lang w:val="en-US"/>
        </w:rPr>
        <w:t xml:space="preserve">Justice and Community Safety Directorate; </w:t>
      </w:r>
    </w:p>
    <w:p w:rsidR="00294487" w:rsidRPr="0041783D" w:rsidRDefault="00294487" w:rsidP="006C0055">
      <w:pPr>
        <w:pStyle w:val="Quote"/>
        <w:numPr>
          <w:ilvl w:val="0"/>
          <w:numId w:val="8"/>
        </w:numPr>
        <w:rPr>
          <w:lang w:val="en-US"/>
        </w:rPr>
      </w:pPr>
      <w:r w:rsidRPr="0041783D">
        <w:rPr>
          <w:lang w:val="en-US"/>
        </w:rPr>
        <w:t xml:space="preserve">Environment and Sustainable Development Directorate; </w:t>
      </w:r>
    </w:p>
    <w:p w:rsidR="00294487" w:rsidRPr="0041783D" w:rsidRDefault="00294487" w:rsidP="006C0055">
      <w:pPr>
        <w:pStyle w:val="Quote"/>
        <w:numPr>
          <w:ilvl w:val="0"/>
          <w:numId w:val="8"/>
        </w:numPr>
        <w:rPr>
          <w:lang w:val="en-US"/>
        </w:rPr>
      </w:pPr>
      <w:r w:rsidRPr="0041783D">
        <w:rPr>
          <w:lang w:val="en-US"/>
        </w:rPr>
        <w:t xml:space="preserve">Education and Training Directorate; </w:t>
      </w:r>
    </w:p>
    <w:p w:rsidR="00294487" w:rsidRPr="0041783D" w:rsidRDefault="00294487" w:rsidP="006C0055">
      <w:pPr>
        <w:pStyle w:val="Quote"/>
        <w:numPr>
          <w:ilvl w:val="0"/>
          <w:numId w:val="8"/>
        </w:numPr>
        <w:rPr>
          <w:lang w:val="en-US"/>
        </w:rPr>
      </w:pPr>
      <w:r w:rsidRPr="0041783D">
        <w:rPr>
          <w:lang w:val="en-US"/>
        </w:rPr>
        <w:t>Community Services Directorate; and</w:t>
      </w:r>
    </w:p>
    <w:p w:rsidR="00294487" w:rsidRPr="0041783D" w:rsidRDefault="00294487" w:rsidP="006C0055">
      <w:pPr>
        <w:pStyle w:val="Quote"/>
        <w:numPr>
          <w:ilvl w:val="0"/>
          <w:numId w:val="8"/>
        </w:numPr>
        <w:rPr>
          <w:lang w:val="en-US"/>
        </w:rPr>
      </w:pPr>
      <w:r w:rsidRPr="0041783D">
        <w:rPr>
          <w:lang w:val="en-US"/>
        </w:rPr>
        <w:t xml:space="preserve">Territory and Municipal Services Directorate. </w:t>
      </w:r>
    </w:p>
    <w:p w:rsidR="00F01864" w:rsidRDefault="00EC7BB6" w:rsidP="002863BB">
      <w:pPr>
        <w:pStyle w:val="Bodytext"/>
      </w:pPr>
      <w:r>
        <w:tab/>
      </w:r>
      <w:r w:rsidR="00294487">
        <w:t xml:space="preserve">In 2013 Capital Metro was created with responsibility for the design, procurement and delivery of light rail services between Gungahlin and Civic. </w:t>
      </w:r>
    </w:p>
    <w:p w:rsidR="00FE2E26" w:rsidRDefault="00EC7BB6" w:rsidP="002863BB">
      <w:pPr>
        <w:pStyle w:val="Bodytext"/>
      </w:pPr>
      <w:r>
        <w:tab/>
      </w:r>
      <w:r w:rsidR="003420A5">
        <w:t xml:space="preserve">The ACTPS </w:t>
      </w:r>
      <w:r w:rsidR="00E24EF8">
        <w:t xml:space="preserve">submission states that the ACTPS </w:t>
      </w:r>
      <w:r w:rsidR="003420A5">
        <w:t>employs 21,089 people.</w:t>
      </w:r>
      <w:r w:rsidR="008E19F4">
        <w:rPr>
          <w:rStyle w:val="FootnoteReference"/>
        </w:rPr>
        <w:footnoteReference w:id="6"/>
      </w:r>
      <w:r w:rsidR="003420A5">
        <w:t xml:space="preserve">  Table 1 shows the growth in employment between June 2010 and June 2013. </w:t>
      </w:r>
    </w:p>
    <w:p w:rsidR="003661F3" w:rsidRPr="003661F3" w:rsidRDefault="003420A5" w:rsidP="003661F3">
      <w:pPr>
        <w:pStyle w:val="Caption"/>
      </w:pPr>
      <w:r w:rsidRPr="002B66A2">
        <w:t xml:space="preserve">Figure </w:t>
      </w:r>
      <w:fldSimple w:instr=" SEQ Figure \* ARABIC ">
        <w:r w:rsidR="00081037">
          <w:rPr>
            <w:noProof/>
          </w:rPr>
          <w:t>1</w:t>
        </w:r>
      </w:fldSimple>
      <w:r w:rsidR="002B66A2">
        <w:t>.1</w:t>
      </w:r>
      <w:r w:rsidRPr="002B66A2">
        <w:t xml:space="preserve"> </w:t>
      </w:r>
      <w:r w:rsidR="002B66A2">
        <w:t>–</w:t>
      </w:r>
      <w:r w:rsidRPr="002B66A2">
        <w:t xml:space="preserve"> </w:t>
      </w:r>
      <w:r w:rsidR="002B66A2">
        <w:t xml:space="preserve">Headcount for </w:t>
      </w:r>
      <w:r w:rsidRPr="002B66A2">
        <w:t>the ACT Public Service</w:t>
      </w:r>
      <w:r w:rsidR="002B66A2">
        <w:t xml:space="preserve"> - </w:t>
      </w:r>
      <w:r w:rsidRPr="002B66A2">
        <w:t>June 2010 to June 2013</w:t>
      </w:r>
    </w:p>
    <w:p w:rsidR="002B66A2" w:rsidRDefault="00E6005A" w:rsidP="002B66A2">
      <w:pPr>
        <w:pStyle w:val="Bodytext"/>
        <w:numPr>
          <w:ilvl w:val="0"/>
          <w:numId w:val="0"/>
        </w:numPr>
        <w:rPr>
          <w:noProof/>
          <w:lang w:eastAsia="en-AU"/>
        </w:rPr>
      </w:pPr>
      <w:r>
        <w:rPr>
          <w:noProof/>
          <w:lang w:eastAsia="en-AU"/>
        </w:rPr>
        <w:tab/>
      </w:r>
      <w:r w:rsidR="007B7864">
        <w:rPr>
          <w:noProof/>
          <w:lang w:eastAsia="zh-TW"/>
        </w:rPr>
        <w:drawing>
          <wp:inline distT="0" distB="0" distL="0" distR="0">
            <wp:extent cx="4885055" cy="2624455"/>
            <wp:effectExtent l="1905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1" cstate="print"/>
                    <a:srcRect b="-40"/>
                    <a:stretch>
                      <a:fillRect/>
                    </a:stretch>
                  </pic:blipFill>
                  <pic:spPr bwMode="auto">
                    <a:xfrm>
                      <a:off x="0" y="0"/>
                      <a:ext cx="4885055" cy="2624455"/>
                    </a:xfrm>
                    <a:prstGeom prst="rect">
                      <a:avLst/>
                    </a:prstGeom>
                    <a:noFill/>
                    <a:ln w="9525">
                      <a:noFill/>
                      <a:miter lim="800000"/>
                      <a:headEnd/>
                      <a:tailEnd/>
                    </a:ln>
                  </pic:spPr>
                </pic:pic>
              </a:graphicData>
            </a:graphic>
          </wp:inline>
        </w:drawing>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1"/>
        <w:gridCol w:w="7619"/>
      </w:tblGrid>
      <w:tr w:rsidR="0094486C" w:rsidTr="00616EB9">
        <w:tc>
          <w:tcPr>
            <w:tcW w:w="851" w:type="dxa"/>
          </w:tcPr>
          <w:p w:rsidR="0094486C" w:rsidRPr="00616EB9" w:rsidRDefault="008E19F4" w:rsidP="008E19F4">
            <w:pPr>
              <w:pStyle w:val="Bodytext"/>
              <w:numPr>
                <w:ilvl w:val="0"/>
                <w:numId w:val="0"/>
              </w:numPr>
              <w:spacing w:before="0" w:after="0" w:line="240" w:lineRule="auto"/>
              <w:rPr>
                <w:noProof/>
                <w:sz w:val="16"/>
                <w:szCs w:val="16"/>
                <w:lang w:eastAsia="en-AU"/>
              </w:rPr>
            </w:pPr>
            <w:r w:rsidRPr="00616EB9">
              <w:rPr>
                <w:noProof/>
                <w:sz w:val="16"/>
                <w:szCs w:val="16"/>
                <w:lang w:eastAsia="en-AU"/>
              </w:rPr>
              <w:t>Source:</w:t>
            </w:r>
          </w:p>
        </w:tc>
        <w:tc>
          <w:tcPr>
            <w:tcW w:w="7619" w:type="dxa"/>
          </w:tcPr>
          <w:p w:rsidR="0094486C" w:rsidRPr="008E19F4" w:rsidRDefault="008E19F4" w:rsidP="008E19F4">
            <w:pPr>
              <w:pStyle w:val="Bodytext"/>
              <w:numPr>
                <w:ilvl w:val="0"/>
                <w:numId w:val="0"/>
              </w:numPr>
              <w:spacing w:before="0" w:after="0" w:line="240" w:lineRule="auto"/>
              <w:rPr>
                <w:noProof/>
                <w:sz w:val="16"/>
                <w:szCs w:val="16"/>
                <w:lang w:eastAsia="en-AU"/>
              </w:rPr>
            </w:pPr>
            <w:r w:rsidRPr="008E19F4">
              <w:rPr>
                <w:noProof/>
                <w:sz w:val="16"/>
                <w:szCs w:val="16"/>
                <w:lang w:eastAsia="en-AU"/>
              </w:rPr>
              <w:t xml:space="preserve">ACT Public </w:t>
            </w:r>
            <w:r w:rsidRPr="008E19F4">
              <w:rPr>
                <w:rFonts w:ascii="Arial Narrow" w:hAnsi="Arial Narrow"/>
                <w:bCs/>
                <w:kern w:val="26"/>
                <w:sz w:val="16"/>
                <w:szCs w:val="16"/>
              </w:rPr>
              <w:t>Service</w:t>
            </w:r>
            <w:r w:rsidRPr="008E19F4">
              <w:rPr>
                <w:noProof/>
                <w:sz w:val="16"/>
                <w:szCs w:val="16"/>
                <w:lang w:eastAsia="en-AU"/>
              </w:rPr>
              <w:t xml:space="preserve">, </w:t>
            </w:r>
            <w:r w:rsidRPr="008E19F4">
              <w:rPr>
                <w:i/>
                <w:noProof/>
                <w:sz w:val="16"/>
                <w:szCs w:val="16"/>
                <w:lang w:eastAsia="en-AU"/>
              </w:rPr>
              <w:t>Submission to the Standing Committee on Health, Ageing, Community and Social Services – Inquiry into ACT Public Service Aboriginal and Torres Strait Islander Employment</w:t>
            </w:r>
            <w:r w:rsidRPr="008E19F4">
              <w:rPr>
                <w:noProof/>
                <w:sz w:val="16"/>
                <w:szCs w:val="16"/>
                <w:lang w:eastAsia="en-AU"/>
              </w:rPr>
              <w:t>, August 2013, p. 17.</w:t>
            </w:r>
          </w:p>
        </w:tc>
      </w:tr>
    </w:tbl>
    <w:p w:rsidR="00B3065F" w:rsidRDefault="00B3065F" w:rsidP="008E19F4">
      <w:pPr>
        <w:pStyle w:val="Headinglevel2"/>
        <w:rPr>
          <w:noProof/>
          <w:lang w:eastAsia="en-AU"/>
        </w:rPr>
      </w:pPr>
      <w:bookmarkStart w:id="48" w:name="_Toc383615025"/>
      <w:r>
        <w:rPr>
          <w:lang w:val="en-US"/>
        </w:rPr>
        <w:t>Conduct of the Inquiry</w:t>
      </w:r>
      <w:bookmarkEnd w:id="48"/>
      <w:r w:rsidR="00244E8A" w:rsidRPr="00244E8A">
        <w:t xml:space="preserve"> </w:t>
      </w:r>
    </w:p>
    <w:p w:rsidR="007453EC" w:rsidRDefault="00EC7BB6" w:rsidP="00244E8A">
      <w:pPr>
        <w:pStyle w:val="Bodytext"/>
      </w:pPr>
      <w:r>
        <w:tab/>
      </w:r>
      <w:r w:rsidR="00B3065F">
        <w:t>As stated in paragraph 1</w:t>
      </w:r>
      <w:r w:rsidR="00A24EC8">
        <w:t>.1</w:t>
      </w:r>
      <w:r w:rsidR="00AE53B4">
        <w:t>,</w:t>
      </w:r>
      <w:r w:rsidR="00A24EC8">
        <w:t xml:space="preserve"> the Committee resolved to conduct the Inquiry on </w:t>
      </w:r>
      <w:r w:rsidR="00AE53B4">
        <w:t>2</w:t>
      </w:r>
      <w:r w:rsidR="00A24EC8">
        <w:t xml:space="preserve"> May 2013.  </w:t>
      </w:r>
      <w:r w:rsidR="007453EC">
        <w:t xml:space="preserve">In a media release issued on 16 May 2013  the Chair of the Committee, said: </w:t>
      </w:r>
    </w:p>
    <w:p w:rsidR="007453EC" w:rsidRDefault="007453EC" w:rsidP="007453EC">
      <w:pPr>
        <w:pStyle w:val="Quote"/>
      </w:pPr>
      <w:r>
        <w:t xml:space="preserve">It is important that the Standing Committee reviews the four year employment strategy at its midpoint, assess the effectiveness of actions in other jurisdictions and provide recommendations to the ACT Government about how outcomes can be improved. The report should also be useful for those working in </w:t>
      </w:r>
      <w:r w:rsidRPr="00A73BE5">
        <w:t>Aboriginal and Torres Strait Islander</w:t>
      </w:r>
      <w:r>
        <w:t xml:space="preserve"> employment.</w:t>
      </w:r>
    </w:p>
    <w:p w:rsidR="00B3065F" w:rsidRDefault="00EC7BB6" w:rsidP="00244E8A">
      <w:pPr>
        <w:pStyle w:val="Bodytext"/>
      </w:pPr>
      <w:r>
        <w:tab/>
      </w:r>
      <w:r w:rsidR="00A24EC8">
        <w:t xml:space="preserve">The Committee </w:t>
      </w:r>
      <w:r w:rsidR="007453EC">
        <w:t xml:space="preserve">invited </w:t>
      </w:r>
      <w:r w:rsidR="00A24EC8">
        <w:t>submissions from key stakeholders</w:t>
      </w:r>
      <w:r w:rsidR="007453EC">
        <w:t>.  At the closing date of 16</w:t>
      </w:r>
      <w:r w:rsidR="008E19F4">
        <w:t> </w:t>
      </w:r>
      <w:r w:rsidR="007453EC">
        <w:t>August 2013, s</w:t>
      </w:r>
      <w:r w:rsidR="000F1879">
        <w:t xml:space="preserve">ubmissions </w:t>
      </w:r>
      <w:r w:rsidR="007453EC">
        <w:t xml:space="preserve">had been </w:t>
      </w:r>
      <w:r w:rsidR="000F1879">
        <w:t xml:space="preserve">received from </w:t>
      </w:r>
      <w:r w:rsidR="00A24EC8">
        <w:t>the ACT Public Service</w:t>
      </w:r>
      <w:r w:rsidR="007453EC">
        <w:t xml:space="preserve"> (ACTPS)</w:t>
      </w:r>
      <w:r w:rsidR="00A24EC8">
        <w:t xml:space="preserve">, </w:t>
      </w:r>
      <w:r w:rsidR="000F1879">
        <w:t xml:space="preserve">the ACT’s Aboriginal and Torres Strait Islander </w:t>
      </w:r>
      <w:r w:rsidR="00323080">
        <w:t xml:space="preserve">Elected Body </w:t>
      </w:r>
      <w:r w:rsidR="007453EC">
        <w:t xml:space="preserve"> (the </w:t>
      </w:r>
      <w:r w:rsidR="00323080">
        <w:t xml:space="preserve">Elected Body </w:t>
      </w:r>
      <w:r w:rsidR="00362151">
        <w:t>),</w:t>
      </w:r>
      <w:r w:rsidR="000F1879">
        <w:t xml:space="preserve"> and the Community and Public Sector Union</w:t>
      </w:r>
      <w:r w:rsidR="007453EC">
        <w:t xml:space="preserve"> (CPSU)</w:t>
      </w:r>
      <w:r w:rsidR="000F1879">
        <w:t xml:space="preserve">. </w:t>
      </w:r>
    </w:p>
    <w:p w:rsidR="008F41FC" w:rsidRDefault="00581F10" w:rsidP="002B6018">
      <w:pPr>
        <w:pStyle w:val="Bodytext"/>
      </w:pPr>
      <w:r>
        <w:t>Public</w:t>
      </w:r>
      <w:r w:rsidR="000F1879">
        <w:t xml:space="preserve"> hearings</w:t>
      </w:r>
      <w:r w:rsidR="00AE53B4">
        <w:t xml:space="preserve"> for the Inquiry </w:t>
      </w:r>
      <w:r w:rsidR="008E19F4">
        <w:t xml:space="preserve">were </w:t>
      </w:r>
      <w:r w:rsidR="00C0117F">
        <w:t xml:space="preserve">held </w:t>
      </w:r>
      <w:r>
        <w:t xml:space="preserve">on </w:t>
      </w:r>
      <w:r w:rsidR="000F1879">
        <w:t>11 and 12</w:t>
      </w:r>
      <w:r w:rsidR="00AE53B4">
        <w:t> </w:t>
      </w:r>
      <w:r w:rsidR="000F1879">
        <w:t>December</w:t>
      </w:r>
      <w:r w:rsidR="00AE53B4">
        <w:t xml:space="preserve"> 2013</w:t>
      </w:r>
      <w:r w:rsidR="000F1879">
        <w:t xml:space="preserve">. </w:t>
      </w:r>
      <w:r w:rsidR="00C0117F">
        <w:t xml:space="preserve"> </w:t>
      </w:r>
      <w:r w:rsidR="000F1879">
        <w:t xml:space="preserve">In advance of these hearings the Committee </w:t>
      </w:r>
      <w:r w:rsidR="00AE53B4">
        <w:t xml:space="preserve">reviewed evidence received thus far and agreed to invite </w:t>
      </w:r>
      <w:r w:rsidR="000F1879">
        <w:t xml:space="preserve">a range of other stakeholders to make submissions and/or attend public hearings. </w:t>
      </w:r>
      <w:r w:rsidR="00573D97">
        <w:t xml:space="preserve">   </w:t>
      </w:r>
    </w:p>
    <w:p w:rsidR="000F1879" w:rsidRDefault="00573D97" w:rsidP="00244E8A">
      <w:pPr>
        <w:pStyle w:val="Bodytext"/>
      </w:pPr>
      <w:r>
        <w:t xml:space="preserve">A list of submissions received for the Inquiry is provided at Attachment A and a list of witnesses appearing at public hearings is at Attachment </w:t>
      </w:r>
      <w:r w:rsidR="00902F99">
        <w:t>B</w:t>
      </w:r>
      <w:r w:rsidR="002863BB">
        <w:t>.</w:t>
      </w:r>
      <w:r>
        <w:t xml:space="preserve"> </w:t>
      </w:r>
    </w:p>
    <w:p w:rsidR="00902F99" w:rsidRDefault="008F41FC" w:rsidP="00244E8A">
      <w:pPr>
        <w:pStyle w:val="Bodytext"/>
      </w:pPr>
      <w:r>
        <w:t>A</w:t>
      </w:r>
      <w:r w:rsidR="000F1879">
        <w:t>s part of the public hearing program, the Committee</w:t>
      </w:r>
      <w:r>
        <w:t xml:space="preserve"> conduct</w:t>
      </w:r>
      <w:r w:rsidR="00CB44B0">
        <w:t>ed</w:t>
      </w:r>
      <w:r>
        <w:t xml:space="preserve"> </w:t>
      </w:r>
      <w:r w:rsidR="000F1879">
        <w:t>a roundtable discussion with ACT</w:t>
      </w:r>
      <w:r w:rsidR="00AE53B4">
        <w:t>PS</w:t>
      </w:r>
      <w:r w:rsidR="000F1879">
        <w:t xml:space="preserve"> Aboriginal and Torres Strait Islander employees. </w:t>
      </w:r>
      <w:r w:rsidR="00AE53B4">
        <w:t xml:space="preserve">  With assistance from the ACTPS’s </w:t>
      </w:r>
      <w:r>
        <w:t xml:space="preserve">Office of Aboriginal and Torres Strait Island Affairs, an invitation was sent to all </w:t>
      </w:r>
      <w:r w:rsidR="00362151">
        <w:t>ACTPS Indigenous</w:t>
      </w:r>
      <w:r>
        <w:t xml:space="preserve"> employees.   The roundtable was held on 12</w:t>
      </w:r>
      <w:r w:rsidR="00CB44B0">
        <w:t> </w:t>
      </w:r>
      <w:r>
        <w:t>December</w:t>
      </w:r>
      <w:r w:rsidR="00CB44B0">
        <w:t xml:space="preserve"> 2013 </w:t>
      </w:r>
      <w:r>
        <w:t>with twelve Indigenous employ</w:t>
      </w:r>
      <w:r w:rsidR="00CB44B0">
        <w:t>ees participating</w:t>
      </w:r>
      <w:r w:rsidR="009065C3">
        <w:t xml:space="preserve">, </w:t>
      </w:r>
      <w:r w:rsidR="00581F10">
        <w:t xml:space="preserve">from </w:t>
      </w:r>
      <w:r w:rsidR="009065C3">
        <w:t>a variety of ACTPS directorates</w:t>
      </w:r>
      <w:r w:rsidR="00CB44B0">
        <w:t>.</w:t>
      </w:r>
      <w:r w:rsidR="00CB44B0">
        <w:rPr>
          <w:rStyle w:val="FootnoteReference"/>
        </w:rPr>
        <w:footnoteReference w:id="7"/>
      </w:r>
      <w:r w:rsidR="00CB44B0">
        <w:t xml:space="preserve">   </w:t>
      </w:r>
    </w:p>
    <w:p w:rsidR="008F41FC" w:rsidRDefault="008F41FC" w:rsidP="00244E8A">
      <w:pPr>
        <w:pStyle w:val="Bodytext"/>
      </w:pPr>
      <w:r>
        <w:t>Prior to the roundtable discussion, the Committee met with participants</w:t>
      </w:r>
      <w:r w:rsidR="00902F99">
        <w:t xml:space="preserve"> to explain the process of a parliamentary committee inquiry and to discuss </w:t>
      </w:r>
      <w:r w:rsidR="00EC7BB6">
        <w:t xml:space="preserve">informally </w:t>
      </w:r>
      <w:r w:rsidR="00902F99">
        <w:t>aspects of being an Indigenous employee in ACTPS that participants wished to raise</w:t>
      </w:r>
      <w:r>
        <w:t xml:space="preserve">. </w:t>
      </w:r>
    </w:p>
    <w:p w:rsidR="008F41FC" w:rsidRDefault="008F41FC" w:rsidP="00244E8A">
      <w:pPr>
        <w:pStyle w:val="Bodytext"/>
      </w:pPr>
      <w:r>
        <w:t>As part of the Inquiry the Legislative Assembly’s Librar</w:t>
      </w:r>
      <w:r w:rsidR="00977D6C">
        <w:t xml:space="preserve">ian completed a review of relevant research and information sources in Australia and overseas.   The </w:t>
      </w:r>
      <w:r>
        <w:t xml:space="preserve">Committee </w:t>
      </w:r>
      <w:r w:rsidR="00977D6C">
        <w:t xml:space="preserve">gratefully acknowledges this valuable contribution.    </w:t>
      </w:r>
    </w:p>
    <w:p w:rsidR="00B3065F" w:rsidRDefault="008F41FC" w:rsidP="00B27F9C">
      <w:pPr>
        <w:pStyle w:val="Headinglevel2"/>
        <w:numPr>
          <w:ilvl w:val="0"/>
          <w:numId w:val="0"/>
        </w:numPr>
        <w:ind w:left="567"/>
      </w:pPr>
      <w:bookmarkStart w:id="49" w:name="_Toc383615026"/>
      <w:r>
        <w:t>Report</w:t>
      </w:r>
      <w:r w:rsidR="00977D6C">
        <w:t xml:space="preserve"> Structure</w:t>
      </w:r>
      <w:bookmarkEnd w:id="49"/>
    </w:p>
    <w:p w:rsidR="008F41FC" w:rsidRDefault="008F41FC" w:rsidP="00244E8A">
      <w:pPr>
        <w:pStyle w:val="Bodytext"/>
      </w:pPr>
      <w:r>
        <w:t xml:space="preserve">The </w:t>
      </w:r>
      <w:r w:rsidR="00977D6C">
        <w:t xml:space="preserve">Report has </w:t>
      </w:r>
      <w:r w:rsidR="00902F99">
        <w:t xml:space="preserve">seven </w:t>
      </w:r>
      <w:r w:rsidR="00977D6C">
        <w:t xml:space="preserve">chapters: </w:t>
      </w:r>
    </w:p>
    <w:tbl>
      <w:tblPr>
        <w:tblW w:w="7882" w:type="dxa"/>
        <w:tblInd w:w="1440" w:type="dxa"/>
        <w:tblLook w:val="04A0"/>
      </w:tblPr>
      <w:tblGrid>
        <w:gridCol w:w="1418"/>
        <w:gridCol w:w="6464"/>
      </w:tblGrid>
      <w:tr w:rsidR="00977D6C" w:rsidTr="000E60DF">
        <w:tc>
          <w:tcPr>
            <w:tcW w:w="1418" w:type="dxa"/>
          </w:tcPr>
          <w:p w:rsidR="00977D6C" w:rsidRDefault="00977D6C" w:rsidP="00650EBA">
            <w:pPr>
              <w:pStyle w:val="Bodytext"/>
              <w:numPr>
                <w:ilvl w:val="0"/>
                <w:numId w:val="0"/>
              </w:numPr>
            </w:pPr>
            <w:r>
              <w:t>Chapter 1</w:t>
            </w:r>
          </w:p>
        </w:tc>
        <w:tc>
          <w:tcPr>
            <w:tcW w:w="6464" w:type="dxa"/>
          </w:tcPr>
          <w:p w:rsidR="00977D6C" w:rsidRDefault="00977D6C" w:rsidP="00650EBA">
            <w:pPr>
              <w:pStyle w:val="Bodytext"/>
              <w:numPr>
                <w:ilvl w:val="0"/>
                <w:numId w:val="0"/>
              </w:numPr>
            </w:pPr>
            <w:r>
              <w:t>Introduction</w:t>
            </w:r>
          </w:p>
        </w:tc>
      </w:tr>
      <w:tr w:rsidR="00977D6C" w:rsidTr="000E60DF">
        <w:tc>
          <w:tcPr>
            <w:tcW w:w="1418" w:type="dxa"/>
          </w:tcPr>
          <w:p w:rsidR="00977D6C" w:rsidRDefault="00977D6C" w:rsidP="00650EBA">
            <w:pPr>
              <w:pStyle w:val="Bodytext"/>
              <w:numPr>
                <w:ilvl w:val="0"/>
                <w:numId w:val="0"/>
              </w:numPr>
            </w:pPr>
            <w:r>
              <w:t>Chapter 2</w:t>
            </w:r>
          </w:p>
        </w:tc>
        <w:tc>
          <w:tcPr>
            <w:tcW w:w="6464" w:type="dxa"/>
          </w:tcPr>
          <w:p w:rsidR="00977D6C" w:rsidRDefault="002863BB" w:rsidP="002863BB">
            <w:pPr>
              <w:pStyle w:val="Bodytext"/>
              <w:numPr>
                <w:ilvl w:val="0"/>
                <w:numId w:val="0"/>
              </w:numPr>
            </w:pPr>
            <w:r>
              <w:t xml:space="preserve">ACTPS Employment Strategy </w:t>
            </w:r>
          </w:p>
        </w:tc>
      </w:tr>
      <w:tr w:rsidR="00977D6C" w:rsidTr="000E60DF">
        <w:tc>
          <w:tcPr>
            <w:tcW w:w="1418" w:type="dxa"/>
          </w:tcPr>
          <w:p w:rsidR="00977D6C" w:rsidRDefault="00977D6C" w:rsidP="00650EBA">
            <w:pPr>
              <w:pStyle w:val="Bodytext"/>
              <w:numPr>
                <w:ilvl w:val="0"/>
                <w:numId w:val="0"/>
              </w:numPr>
            </w:pPr>
            <w:r>
              <w:t>Chapter 3</w:t>
            </w:r>
          </w:p>
        </w:tc>
        <w:tc>
          <w:tcPr>
            <w:tcW w:w="6464" w:type="dxa"/>
          </w:tcPr>
          <w:p w:rsidR="00977D6C" w:rsidRDefault="000E60DF" w:rsidP="004D5746">
            <w:pPr>
              <w:pStyle w:val="Bodytext"/>
              <w:numPr>
                <w:ilvl w:val="0"/>
                <w:numId w:val="0"/>
              </w:numPr>
            </w:pPr>
            <w:r>
              <w:t xml:space="preserve">Attraction </w:t>
            </w:r>
          </w:p>
        </w:tc>
      </w:tr>
      <w:tr w:rsidR="00977D6C" w:rsidTr="000E60DF">
        <w:tc>
          <w:tcPr>
            <w:tcW w:w="1418" w:type="dxa"/>
          </w:tcPr>
          <w:p w:rsidR="00977D6C" w:rsidRDefault="00977D6C" w:rsidP="00650EBA">
            <w:pPr>
              <w:pStyle w:val="Bodytext"/>
              <w:numPr>
                <w:ilvl w:val="0"/>
                <w:numId w:val="0"/>
              </w:numPr>
            </w:pPr>
            <w:r>
              <w:t>Chapter 4</w:t>
            </w:r>
          </w:p>
        </w:tc>
        <w:tc>
          <w:tcPr>
            <w:tcW w:w="6464" w:type="dxa"/>
          </w:tcPr>
          <w:p w:rsidR="00977D6C" w:rsidRDefault="004D5746" w:rsidP="000E60DF">
            <w:pPr>
              <w:pStyle w:val="Bodytext"/>
              <w:numPr>
                <w:ilvl w:val="0"/>
                <w:numId w:val="0"/>
              </w:numPr>
            </w:pPr>
            <w:r>
              <w:t>Retention</w:t>
            </w:r>
          </w:p>
        </w:tc>
      </w:tr>
      <w:tr w:rsidR="000E60DF" w:rsidTr="000E60DF">
        <w:tc>
          <w:tcPr>
            <w:tcW w:w="1418" w:type="dxa"/>
          </w:tcPr>
          <w:p w:rsidR="000E60DF" w:rsidRDefault="000E60DF" w:rsidP="00650EBA">
            <w:pPr>
              <w:pStyle w:val="Bodytext"/>
              <w:numPr>
                <w:ilvl w:val="0"/>
                <w:numId w:val="0"/>
              </w:numPr>
            </w:pPr>
            <w:r>
              <w:t>Chapter 5</w:t>
            </w:r>
          </w:p>
        </w:tc>
        <w:tc>
          <w:tcPr>
            <w:tcW w:w="6464" w:type="dxa"/>
          </w:tcPr>
          <w:p w:rsidR="008D79E5" w:rsidRDefault="004D5746" w:rsidP="00902F99">
            <w:pPr>
              <w:pStyle w:val="Bodytext"/>
              <w:numPr>
                <w:ilvl w:val="0"/>
                <w:numId w:val="0"/>
              </w:numPr>
            </w:pPr>
            <w:r>
              <w:t>Data collection, monitoring and reporting mechanisms</w:t>
            </w:r>
          </w:p>
        </w:tc>
      </w:tr>
      <w:tr w:rsidR="008D79E5" w:rsidTr="000E60DF">
        <w:tc>
          <w:tcPr>
            <w:tcW w:w="1418" w:type="dxa"/>
          </w:tcPr>
          <w:p w:rsidR="008D79E5" w:rsidRDefault="008D79E5" w:rsidP="00650EBA">
            <w:pPr>
              <w:pStyle w:val="Bodytext"/>
              <w:numPr>
                <w:ilvl w:val="0"/>
                <w:numId w:val="0"/>
              </w:numPr>
            </w:pPr>
            <w:r>
              <w:t>Chapter 6</w:t>
            </w:r>
          </w:p>
        </w:tc>
        <w:tc>
          <w:tcPr>
            <w:tcW w:w="6464" w:type="dxa"/>
          </w:tcPr>
          <w:p w:rsidR="008D79E5" w:rsidRDefault="0001704F" w:rsidP="0001704F">
            <w:pPr>
              <w:pStyle w:val="Bodytext"/>
              <w:numPr>
                <w:ilvl w:val="0"/>
                <w:numId w:val="0"/>
              </w:numPr>
            </w:pPr>
            <w:r>
              <w:t>O</w:t>
            </w:r>
            <w:r w:rsidR="008D79E5">
              <w:t>ther jurisdictions</w:t>
            </w:r>
          </w:p>
        </w:tc>
      </w:tr>
      <w:tr w:rsidR="000E60DF" w:rsidTr="000E60DF">
        <w:tc>
          <w:tcPr>
            <w:tcW w:w="1418" w:type="dxa"/>
          </w:tcPr>
          <w:p w:rsidR="000E60DF" w:rsidRDefault="000E60DF" w:rsidP="008D79E5">
            <w:pPr>
              <w:pStyle w:val="Bodytext"/>
              <w:numPr>
                <w:ilvl w:val="0"/>
                <w:numId w:val="0"/>
              </w:numPr>
            </w:pPr>
            <w:r>
              <w:t xml:space="preserve">Chapter </w:t>
            </w:r>
            <w:r w:rsidR="008D79E5">
              <w:t>7</w:t>
            </w:r>
          </w:p>
        </w:tc>
        <w:tc>
          <w:tcPr>
            <w:tcW w:w="6464" w:type="dxa"/>
          </w:tcPr>
          <w:p w:rsidR="000E60DF" w:rsidRDefault="00581F10" w:rsidP="00581F10">
            <w:pPr>
              <w:pStyle w:val="Bodytext"/>
              <w:numPr>
                <w:ilvl w:val="0"/>
                <w:numId w:val="0"/>
              </w:numPr>
            </w:pPr>
            <w:r>
              <w:t>Cultural safety</w:t>
            </w:r>
            <w:r w:rsidR="00A86185">
              <w:t xml:space="preserve">: </w:t>
            </w:r>
            <w:r w:rsidR="004D5746">
              <w:t xml:space="preserve">A </w:t>
            </w:r>
            <w:r w:rsidR="00616EB9">
              <w:t xml:space="preserve">story of a </w:t>
            </w:r>
            <w:r w:rsidR="004D5746">
              <w:t>man with seven mothers</w:t>
            </w:r>
          </w:p>
        </w:tc>
      </w:tr>
    </w:tbl>
    <w:p w:rsidR="000E60DF" w:rsidRDefault="000E60DF" w:rsidP="000E60DF">
      <w:pPr>
        <w:pStyle w:val="Bodytext"/>
      </w:pPr>
      <w:r>
        <w:t xml:space="preserve">A copy of the Employment Strategy is provided at Appendix </w:t>
      </w:r>
      <w:r w:rsidR="00902F99">
        <w:t>C</w:t>
      </w:r>
      <w:r>
        <w:t xml:space="preserve">. </w:t>
      </w:r>
    </w:p>
    <w:p w:rsidR="00FD1862" w:rsidRDefault="002863BB" w:rsidP="00FD1862">
      <w:pPr>
        <w:pStyle w:val="Heading1"/>
      </w:pPr>
      <w:bookmarkStart w:id="50" w:name="_Toc383615027"/>
      <w:r>
        <w:t>ACTPS Employment Strategy</w:t>
      </w:r>
      <w:bookmarkEnd w:id="50"/>
    </w:p>
    <w:p w:rsidR="002863BB" w:rsidRDefault="00855E1A" w:rsidP="00855E1A">
      <w:pPr>
        <w:pStyle w:val="Headinglevel2"/>
      </w:pPr>
      <w:bookmarkStart w:id="51" w:name="_Toc383615028"/>
      <w:r>
        <w:t>History</w:t>
      </w:r>
      <w:bookmarkEnd w:id="51"/>
    </w:p>
    <w:p w:rsidR="002863BB" w:rsidRPr="002435B1" w:rsidRDefault="00EC7BB6" w:rsidP="002863BB">
      <w:pPr>
        <w:pStyle w:val="Bodytext"/>
      </w:pPr>
      <w:r>
        <w:tab/>
      </w:r>
      <w:r w:rsidR="002863BB">
        <w:t xml:space="preserve">The origins of the </w:t>
      </w:r>
      <w:r w:rsidR="000E60DF" w:rsidRPr="009D7C30">
        <w:rPr>
          <w:i/>
        </w:rPr>
        <w:t xml:space="preserve">ACT Public Service </w:t>
      </w:r>
      <w:r w:rsidR="000E60DF">
        <w:rPr>
          <w:i/>
        </w:rPr>
        <w:t xml:space="preserve">Employment Strategy for </w:t>
      </w:r>
      <w:r w:rsidR="000E60DF" w:rsidRPr="009D7C30">
        <w:rPr>
          <w:i/>
        </w:rPr>
        <w:t xml:space="preserve">Aboriginal and Torres Strait Islander </w:t>
      </w:r>
      <w:r w:rsidR="000E60DF">
        <w:rPr>
          <w:i/>
        </w:rPr>
        <w:t xml:space="preserve">People </w:t>
      </w:r>
      <w:r w:rsidR="000E60DF">
        <w:t>(the Employment Strategy)</w:t>
      </w:r>
      <w:r w:rsidR="002863BB">
        <w:t xml:space="preserve"> can be traced back to 2008 when the Council of Australian Governments (</w:t>
      </w:r>
      <w:r w:rsidR="002863BB" w:rsidRPr="002435B1">
        <w:t>COAG</w:t>
      </w:r>
      <w:r w:rsidR="002863BB">
        <w:t>)</w:t>
      </w:r>
      <w:r w:rsidR="002863BB" w:rsidRPr="002435B1">
        <w:t xml:space="preserve"> agreed to six ambitious targets to address the disadvantage faced by Indigenous Australians in life expectancy, child mortality, education and employment.</w:t>
      </w:r>
      <w:r w:rsidR="002863BB">
        <w:rPr>
          <w:rStyle w:val="FootnoteReference"/>
        </w:rPr>
        <w:footnoteReference w:id="8"/>
      </w:r>
      <w:r w:rsidR="002863BB">
        <w:t xml:space="preserve"> </w:t>
      </w:r>
      <w:r w:rsidR="000E60DF">
        <w:t xml:space="preserve"> </w:t>
      </w:r>
      <w:r w:rsidR="002863BB">
        <w:t xml:space="preserve"> The sixth target was, ‘</w:t>
      </w:r>
      <w:r w:rsidR="002863BB" w:rsidRPr="002435B1">
        <w:t>to halve the gap in employment outcomes between Indigenous and other Australians by 2018</w:t>
      </w:r>
      <w:r w:rsidR="002863BB">
        <w:t xml:space="preserve">’. </w:t>
      </w:r>
    </w:p>
    <w:p w:rsidR="002863BB" w:rsidRDefault="00EC7BB6" w:rsidP="002863BB">
      <w:pPr>
        <w:pStyle w:val="Bodytext"/>
      </w:pPr>
      <w:r>
        <w:tab/>
      </w:r>
      <w:r w:rsidR="002863BB">
        <w:t xml:space="preserve">In January 2009 COAG members signed the </w:t>
      </w:r>
      <w:r w:rsidR="002863BB" w:rsidRPr="003F1F92">
        <w:rPr>
          <w:i/>
        </w:rPr>
        <w:t>National Partnership Agreement on Indigenous Economic Participation</w:t>
      </w:r>
      <w:r w:rsidR="002863BB">
        <w:t xml:space="preserve">.  The then </w:t>
      </w:r>
      <w:r w:rsidR="002863BB" w:rsidRPr="003F1F92">
        <w:t>Chief Minister</w:t>
      </w:r>
      <w:r w:rsidR="002863BB">
        <w:t xml:space="preserve"> for the Australian Capital Territory</w:t>
      </w:r>
      <w:r w:rsidR="002863BB" w:rsidRPr="003F1F92">
        <w:t>, Mr</w:t>
      </w:r>
      <w:r w:rsidR="002863BB">
        <w:t> </w:t>
      </w:r>
      <w:r w:rsidR="002863BB" w:rsidRPr="003F1F92">
        <w:t>Jon</w:t>
      </w:r>
      <w:r w:rsidR="002863BB">
        <w:t> </w:t>
      </w:r>
      <w:r w:rsidR="002863BB" w:rsidRPr="003F1F92">
        <w:t xml:space="preserve">Stanhope </w:t>
      </w:r>
      <w:r w:rsidR="002863BB">
        <w:t>MLA signed on behalf of the Australian Capital Territory (ACT)</w:t>
      </w:r>
      <w:r w:rsidR="002863BB" w:rsidRPr="003F1F92">
        <w:t>.</w:t>
      </w:r>
    </w:p>
    <w:p w:rsidR="002863BB" w:rsidRDefault="00EC7BB6" w:rsidP="002863BB">
      <w:pPr>
        <w:pStyle w:val="Bodytext"/>
      </w:pPr>
      <w:r>
        <w:tab/>
      </w:r>
      <w:r w:rsidR="002863BB" w:rsidRPr="003F1F92">
        <w:t xml:space="preserve">The </w:t>
      </w:r>
      <w:r w:rsidR="002863BB" w:rsidRPr="00C0117F">
        <w:rPr>
          <w:i/>
        </w:rPr>
        <w:t>National Partnership Agreement</w:t>
      </w:r>
      <w:r w:rsidR="002863BB">
        <w:t xml:space="preserve"> </w:t>
      </w:r>
      <w:r w:rsidR="002863BB" w:rsidRPr="003F1F92">
        <w:t>provided for a national target of at least 2.6</w:t>
      </w:r>
      <w:r w:rsidR="009065C3">
        <w:t xml:space="preserve"> percent </w:t>
      </w:r>
      <w:r w:rsidR="002863BB" w:rsidRPr="003F1F92">
        <w:t>of public sector employment for Aboriginal and Torres Strait Islander people across all classifications by 2015</w:t>
      </w:r>
      <w:r w:rsidR="002863BB">
        <w:t xml:space="preserve">, noting </w:t>
      </w:r>
      <w:r w:rsidR="002863BB" w:rsidRPr="003F1F92">
        <w:t xml:space="preserve">that jurisdiction-specific targets </w:t>
      </w:r>
      <w:r w:rsidR="002863BB">
        <w:t xml:space="preserve">would </w:t>
      </w:r>
      <w:r w:rsidR="002863BB" w:rsidRPr="003F1F92">
        <w:t xml:space="preserve">be developed and agreed, recognising that the proportion of indigenous population varies significantly across </w:t>
      </w:r>
      <w:r w:rsidR="002863BB">
        <w:t>S</w:t>
      </w:r>
      <w:r w:rsidR="002863BB" w:rsidRPr="003F1F92">
        <w:t xml:space="preserve">tates and </w:t>
      </w:r>
      <w:r w:rsidR="002863BB">
        <w:t>T</w:t>
      </w:r>
      <w:r w:rsidR="002863BB" w:rsidRPr="003F1F92">
        <w:t>erritories.</w:t>
      </w:r>
      <w:r w:rsidR="002863BB">
        <w:t xml:space="preserve"> </w:t>
      </w:r>
    </w:p>
    <w:p w:rsidR="002863BB" w:rsidRDefault="00EC7BB6" w:rsidP="002863BB">
      <w:pPr>
        <w:pStyle w:val="Bodytext"/>
      </w:pPr>
      <w:r>
        <w:tab/>
      </w:r>
      <w:r w:rsidR="002863BB">
        <w:t xml:space="preserve">In April 2009 the Australian Government announced Australia’s official support for the United Nations Declaration on the Rights of Indigenous Peoples (the Declaration).  The Declaration outlines and upholds the rights of indigenous peoples throughout the world, and highlights the rights of indigenous peoples to maintain their own institutions, traditions and cultures and the right to develop their economic and social needs and aspirations as a group.  The </w:t>
      </w:r>
      <w:r w:rsidR="00391F9D">
        <w:t>ACT Public Service (</w:t>
      </w:r>
      <w:r w:rsidR="00C0117F">
        <w:t>ACTPS</w:t>
      </w:r>
      <w:r w:rsidR="00391F9D">
        <w:t>)</w:t>
      </w:r>
      <w:r w:rsidR="00C0117F">
        <w:t xml:space="preserve"> </w:t>
      </w:r>
      <w:r w:rsidR="002863BB">
        <w:t>submission states that the ACT Government is obliged to ensure that it enacts programs or policies that support the intent of the Declaration.</w:t>
      </w:r>
      <w:r w:rsidR="002863BB">
        <w:rPr>
          <w:rStyle w:val="FootnoteReference"/>
        </w:rPr>
        <w:footnoteReference w:id="9"/>
      </w:r>
    </w:p>
    <w:p w:rsidR="00D92448" w:rsidRDefault="00EC7BB6" w:rsidP="002863BB">
      <w:pPr>
        <w:pStyle w:val="Bodytext"/>
      </w:pPr>
      <w:r>
        <w:tab/>
      </w:r>
      <w:r w:rsidR="00D92448">
        <w:t xml:space="preserve">The ACT Aboriginal and Torres Strait Islander </w:t>
      </w:r>
      <w:r w:rsidR="00323080">
        <w:t xml:space="preserve">Elected Body </w:t>
      </w:r>
      <w:r w:rsidR="00D92448">
        <w:t xml:space="preserve"> </w:t>
      </w:r>
      <w:r w:rsidR="00A93F8C">
        <w:t xml:space="preserve">(the </w:t>
      </w:r>
      <w:r w:rsidR="00323080">
        <w:t xml:space="preserve">Elected Body </w:t>
      </w:r>
      <w:r w:rsidR="00A93F8C">
        <w:t xml:space="preserve">) is a representative body </w:t>
      </w:r>
      <w:r w:rsidR="00D92448">
        <w:t>established</w:t>
      </w:r>
      <w:r w:rsidR="00A93F8C">
        <w:t xml:space="preserve"> in 2008 under the </w:t>
      </w:r>
      <w:r w:rsidR="00A93F8C" w:rsidRPr="00A93F8C">
        <w:rPr>
          <w:i/>
        </w:rPr>
        <w:t xml:space="preserve">ACT Aboriginal and Torres Strait Islander </w:t>
      </w:r>
      <w:r w:rsidR="00323080">
        <w:rPr>
          <w:i/>
        </w:rPr>
        <w:t xml:space="preserve">Elected Body </w:t>
      </w:r>
      <w:r w:rsidR="00A93F8C" w:rsidRPr="00A93F8C">
        <w:rPr>
          <w:i/>
        </w:rPr>
        <w:t xml:space="preserve"> ACT 2008</w:t>
      </w:r>
      <w:r w:rsidR="00A93F8C">
        <w:t xml:space="preserve"> </w:t>
      </w:r>
      <w:r w:rsidR="00A93F8C" w:rsidRPr="00A93F8C">
        <w:t>to enable Aboriginal and Torres Strait Islanders in the ACT to have a strong democratically elected voice.</w:t>
      </w:r>
      <w:r w:rsidR="00A93F8C">
        <w:t xml:space="preserve"> </w:t>
      </w:r>
      <w:r w:rsidR="00A93F8C" w:rsidRPr="00A93F8C">
        <w:t xml:space="preserve"> It consists of seven people representing the interests and aspirations of the local Indigenous community</w:t>
      </w:r>
      <w:r w:rsidR="00A93F8C">
        <w:t xml:space="preserve"> and conducts annual estimates-style hearings to scrutinise the ACTPS</w:t>
      </w:r>
      <w:r w:rsidR="00A93F8C" w:rsidRPr="00A93F8C">
        <w:t>.</w:t>
      </w:r>
    </w:p>
    <w:p w:rsidR="002863BB" w:rsidRDefault="00EC7BB6" w:rsidP="002863BB">
      <w:pPr>
        <w:pStyle w:val="Bodytext"/>
      </w:pPr>
      <w:r>
        <w:tab/>
      </w:r>
      <w:r w:rsidR="002863BB">
        <w:t>The Employment Strategy s</w:t>
      </w:r>
      <w:r w:rsidR="009C0EB0">
        <w:t xml:space="preserve">tates </w:t>
      </w:r>
      <w:r w:rsidR="002863BB">
        <w:t xml:space="preserve">that its </w:t>
      </w:r>
      <w:r w:rsidR="002863BB" w:rsidRPr="00E82402">
        <w:t xml:space="preserve">development originated from the </w:t>
      </w:r>
      <w:r w:rsidR="002863BB">
        <w:t>R</w:t>
      </w:r>
      <w:r w:rsidR="002863BB" w:rsidRPr="00E82402">
        <w:t xml:space="preserve">eport of the </w:t>
      </w:r>
      <w:r w:rsidR="00323080">
        <w:t xml:space="preserve">Elected Body </w:t>
      </w:r>
      <w:r w:rsidR="002863BB" w:rsidRPr="00E82402">
        <w:t xml:space="preserve"> Estimates hearings, conducted in August 2009.</w:t>
      </w:r>
      <w:r w:rsidR="002863BB">
        <w:rPr>
          <w:rStyle w:val="FootnoteReference"/>
        </w:rPr>
        <w:footnoteReference w:id="10"/>
      </w:r>
      <w:r w:rsidR="002863BB" w:rsidRPr="00A93F8C">
        <w:rPr>
          <w:vertAlign w:val="superscript"/>
        </w:rPr>
        <w:t>,</w:t>
      </w:r>
      <w:r w:rsidR="002863BB">
        <w:t xml:space="preserve"> </w:t>
      </w:r>
      <w:r w:rsidR="002863BB">
        <w:rPr>
          <w:rStyle w:val="FootnoteReference"/>
        </w:rPr>
        <w:footnoteReference w:id="11"/>
      </w:r>
      <w:r w:rsidR="002863BB" w:rsidRPr="00E82402">
        <w:t xml:space="preserve"> </w:t>
      </w:r>
      <w:r w:rsidR="002863BB">
        <w:t xml:space="preserve"> The </w:t>
      </w:r>
      <w:r w:rsidR="00323080">
        <w:t xml:space="preserve">Elected Body </w:t>
      </w:r>
      <w:r w:rsidR="002863BB">
        <w:t xml:space="preserve">’s Report had </w:t>
      </w:r>
      <w:r w:rsidR="002863BB" w:rsidRPr="00E82402">
        <w:t>recommended that</w:t>
      </w:r>
      <w:r w:rsidR="002863BB">
        <w:t xml:space="preserve">: </w:t>
      </w:r>
    </w:p>
    <w:p w:rsidR="002863BB" w:rsidRPr="00E82402" w:rsidRDefault="002863BB" w:rsidP="002863BB">
      <w:pPr>
        <w:pStyle w:val="Bodytext"/>
        <w:numPr>
          <w:ilvl w:val="0"/>
          <w:numId w:val="0"/>
        </w:numPr>
        <w:ind w:left="1440"/>
      </w:pPr>
      <w:r>
        <w:t>... t</w:t>
      </w:r>
      <w:r w:rsidRPr="00E82402">
        <w:t xml:space="preserve">he </w:t>
      </w:r>
      <w:r>
        <w:t>A</w:t>
      </w:r>
      <w:r w:rsidRPr="00E82402">
        <w:t>CT Government implement a public sector-wide Aboriginal and Torres Strait Islander recruitment, ret</w:t>
      </w:r>
      <w:r>
        <w:t>ention and development strategy</w:t>
      </w:r>
      <w:r w:rsidRPr="00E82402">
        <w:t>.</w:t>
      </w:r>
      <w:r>
        <w:rPr>
          <w:rStyle w:val="FootnoteReference"/>
        </w:rPr>
        <w:footnoteReference w:id="12"/>
      </w:r>
    </w:p>
    <w:p w:rsidR="002863BB" w:rsidRPr="00C120A7" w:rsidRDefault="00EC7BB6" w:rsidP="002863BB">
      <w:pPr>
        <w:pStyle w:val="Bodytext"/>
      </w:pPr>
      <w:r>
        <w:tab/>
      </w:r>
      <w:r w:rsidR="002863BB" w:rsidRPr="00C120A7">
        <w:t>Th</w:t>
      </w:r>
      <w:r w:rsidR="002863BB">
        <w:t>e</w:t>
      </w:r>
      <w:r w:rsidR="002863BB" w:rsidRPr="00C120A7">
        <w:t xml:space="preserve"> </w:t>
      </w:r>
      <w:r w:rsidR="002863BB">
        <w:t xml:space="preserve">Employment </w:t>
      </w:r>
      <w:r w:rsidR="002863BB" w:rsidRPr="00C120A7">
        <w:t xml:space="preserve">Strategy </w:t>
      </w:r>
      <w:r w:rsidR="002863BB">
        <w:t xml:space="preserve">also states that it </w:t>
      </w:r>
      <w:r w:rsidR="002863BB" w:rsidRPr="00C120A7">
        <w:t>forms part of the ACT Public Service</w:t>
      </w:r>
      <w:r w:rsidR="002863BB">
        <w:t>’s overarching</w:t>
      </w:r>
      <w:r w:rsidR="002863BB" w:rsidRPr="00C120A7">
        <w:t xml:space="preserve"> </w:t>
      </w:r>
      <w:r w:rsidR="002863BB" w:rsidRPr="00CC4D83">
        <w:rPr>
          <w:i/>
        </w:rPr>
        <w:t>Respect, Equity and Diversity Framework</w:t>
      </w:r>
      <w:r w:rsidR="002863BB">
        <w:t xml:space="preserve">, more commonly referred to as the </w:t>
      </w:r>
      <w:r w:rsidR="002863BB" w:rsidRPr="00CC4D83">
        <w:rPr>
          <w:i/>
        </w:rPr>
        <w:t>RED Framework</w:t>
      </w:r>
      <w:r w:rsidR="002863BB" w:rsidRPr="00C120A7">
        <w:t xml:space="preserve">. </w:t>
      </w:r>
    </w:p>
    <w:p w:rsidR="002863BB" w:rsidRDefault="00EC7BB6" w:rsidP="002863BB">
      <w:pPr>
        <w:pStyle w:val="Bodytext"/>
        <w:rPr>
          <w:lang w:val="en-US"/>
        </w:rPr>
      </w:pPr>
      <w:r>
        <w:rPr>
          <w:lang w:val="en-US"/>
        </w:rPr>
        <w:tab/>
      </w:r>
      <w:r w:rsidR="002863BB">
        <w:rPr>
          <w:lang w:val="en-US"/>
        </w:rPr>
        <w:t xml:space="preserve">The Employment Strategy states: </w:t>
      </w:r>
    </w:p>
    <w:p w:rsidR="002863BB" w:rsidRPr="0094017E" w:rsidRDefault="002863BB" w:rsidP="009065C3">
      <w:pPr>
        <w:pStyle w:val="Bodytext"/>
        <w:numPr>
          <w:ilvl w:val="0"/>
          <w:numId w:val="0"/>
        </w:numPr>
        <w:ind w:left="1276"/>
        <w:rPr>
          <w:lang w:val="en-US"/>
        </w:rPr>
      </w:pPr>
      <w:r w:rsidRPr="0094017E">
        <w:rPr>
          <w:lang w:val="en-US"/>
        </w:rPr>
        <w:t>In developing the Employment Strategy we have considered research and evaluations of Aboriginal and Torres Strait Islander employment strategies used in other jurisdictions.  The research and evaluations have shown that an Aboriginal and Torres Strait Islander employment strategy should include the following:</w:t>
      </w:r>
    </w:p>
    <w:p w:rsidR="002863BB" w:rsidRDefault="002863BB" w:rsidP="009065C3">
      <w:pPr>
        <w:pStyle w:val="Quote"/>
        <w:numPr>
          <w:ilvl w:val="2"/>
          <w:numId w:val="8"/>
        </w:numPr>
        <w:rPr>
          <w:lang w:val="en-US"/>
        </w:rPr>
      </w:pPr>
      <w:r w:rsidRPr="0094017E">
        <w:rPr>
          <w:lang w:val="en-US"/>
        </w:rPr>
        <w:t>education and training initiatives;</w:t>
      </w:r>
    </w:p>
    <w:p w:rsidR="002863BB" w:rsidRPr="0094017E" w:rsidRDefault="002863BB" w:rsidP="009065C3">
      <w:pPr>
        <w:pStyle w:val="Quote"/>
        <w:numPr>
          <w:ilvl w:val="2"/>
          <w:numId w:val="8"/>
        </w:numPr>
        <w:rPr>
          <w:lang w:val="en-US"/>
        </w:rPr>
      </w:pPr>
      <w:r w:rsidRPr="0094017E">
        <w:rPr>
          <w:lang w:val="en-US"/>
        </w:rPr>
        <w:t>supported employment opportunities;</w:t>
      </w:r>
    </w:p>
    <w:p w:rsidR="002863BB" w:rsidRPr="0094017E" w:rsidRDefault="002863BB" w:rsidP="009065C3">
      <w:pPr>
        <w:pStyle w:val="Quote"/>
        <w:numPr>
          <w:ilvl w:val="2"/>
          <w:numId w:val="8"/>
        </w:numPr>
        <w:rPr>
          <w:lang w:val="en-US"/>
        </w:rPr>
      </w:pPr>
      <w:r w:rsidRPr="0094017E">
        <w:rPr>
          <w:lang w:val="en-US"/>
        </w:rPr>
        <w:t>Aboriginal and Torres Strait Islander specific employment programs;</w:t>
      </w:r>
    </w:p>
    <w:p w:rsidR="002863BB" w:rsidRPr="0094017E" w:rsidRDefault="002863BB" w:rsidP="009065C3">
      <w:pPr>
        <w:pStyle w:val="Quote"/>
        <w:numPr>
          <w:ilvl w:val="2"/>
          <w:numId w:val="8"/>
        </w:numPr>
        <w:rPr>
          <w:lang w:val="en-US"/>
        </w:rPr>
      </w:pPr>
      <w:r w:rsidRPr="0094017E">
        <w:rPr>
          <w:lang w:val="en-US"/>
        </w:rPr>
        <w:t>mentoring and workplace initiatives such as buddy systems;</w:t>
      </w:r>
    </w:p>
    <w:p w:rsidR="002863BB" w:rsidRPr="0094017E" w:rsidRDefault="002863BB" w:rsidP="009065C3">
      <w:pPr>
        <w:pStyle w:val="Quote"/>
        <w:numPr>
          <w:ilvl w:val="2"/>
          <w:numId w:val="8"/>
        </w:numPr>
        <w:rPr>
          <w:lang w:val="en-US"/>
        </w:rPr>
      </w:pPr>
      <w:r w:rsidRPr="0094017E">
        <w:rPr>
          <w:lang w:val="en-US"/>
        </w:rPr>
        <w:t>community support and leadership; and</w:t>
      </w:r>
    </w:p>
    <w:p w:rsidR="002863BB" w:rsidRPr="00902F99" w:rsidRDefault="002863BB" w:rsidP="009065C3">
      <w:pPr>
        <w:pStyle w:val="Quote"/>
        <w:numPr>
          <w:ilvl w:val="2"/>
          <w:numId w:val="8"/>
        </w:numPr>
      </w:pPr>
      <w:r w:rsidRPr="0094017E">
        <w:rPr>
          <w:lang w:val="en-US"/>
        </w:rPr>
        <w:t>commitment from senior public servants.</w:t>
      </w:r>
      <w:r>
        <w:rPr>
          <w:rStyle w:val="FootnoteReference"/>
          <w:lang w:val="en-US"/>
        </w:rPr>
        <w:footnoteReference w:id="13"/>
      </w:r>
    </w:p>
    <w:p w:rsidR="00902F99" w:rsidRDefault="00BE50B9" w:rsidP="00902F99">
      <w:pPr>
        <w:pStyle w:val="Bodytext"/>
      </w:pPr>
      <w:r>
        <w:tab/>
      </w:r>
      <w:r w:rsidR="00902F99">
        <w:t xml:space="preserve">The Employment Strategy was jointly launched by the </w:t>
      </w:r>
      <w:r w:rsidR="00323080">
        <w:t xml:space="preserve">Elected Body </w:t>
      </w:r>
      <w:r w:rsidR="00902F99">
        <w:t xml:space="preserve"> and the then ACT Chief Minister, Mr Jon Stanhope MLA on 12 April 2011. </w:t>
      </w:r>
    </w:p>
    <w:p w:rsidR="00902F99" w:rsidRPr="00902F99" w:rsidRDefault="002747A1" w:rsidP="00902F99">
      <w:pPr>
        <w:pStyle w:val="Bodytext"/>
        <w:numPr>
          <w:ilvl w:val="0"/>
          <w:numId w:val="0"/>
        </w:numPr>
      </w:pPr>
      <w:r>
        <w:t xml:space="preserve"> </w:t>
      </w:r>
    </w:p>
    <w:p w:rsidR="00C0117F" w:rsidRDefault="008D2A57" w:rsidP="008D2A57">
      <w:pPr>
        <w:pStyle w:val="Headinglevel2"/>
        <w:rPr>
          <w:lang w:val="en-US"/>
        </w:rPr>
      </w:pPr>
      <w:bookmarkStart w:id="52" w:name="_Toc383615029"/>
      <w:r>
        <w:rPr>
          <w:lang w:val="en-US"/>
        </w:rPr>
        <w:t>The Strategy</w:t>
      </w:r>
      <w:bookmarkEnd w:id="52"/>
      <w:r>
        <w:rPr>
          <w:lang w:val="en-US"/>
        </w:rPr>
        <w:t xml:space="preserve"> </w:t>
      </w:r>
    </w:p>
    <w:p w:rsidR="009065C3" w:rsidRDefault="008D2A57" w:rsidP="009065C3">
      <w:pPr>
        <w:pStyle w:val="Bodytext"/>
        <w:rPr>
          <w:lang w:val="en-US"/>
        </w:rPr>
      </w:pPr>
      <w:r>
        <w:rPr>
          <w:lang w:val="en-US"/>
        </w:rPr>
        <w:t>The Employment Strategy</w:t>
      </w:r>
      <w:r w:rsidR="00902F99">
        <w:rPr>
          <w:lang w:val="en-US"/>
        </w:rPr>
        <w:t xml:space="preserve"> Vision is</w:t>
      </w:r>
      <w:r>
        <w:rPr>
          <w:lang w:val="en-US"/>
        </w:rPr>
        <w:t xml:space="preserve">: </w:t>
      </w:r>
    </w:p>
    <w:p w:rsidR="00C0117F" w:rsidRPr="009065C3" w:rsidRDefault="008D2A57" w:rsidP="009065C3">
      <w:pPr>
        <w:pStyle w:val="Quote"/>
        <w:rPr>
          <w:lang w:val="en-US"/>
        </w:rPr>
      </w:pPr>
      <w:r w:rsidRPr="009065C3">
        <w:rPr>
          <w:lang w:val="en-US"/>
        </w:rPr>
        <w:t>For the ACT Public Service to be seen as an attractive workplace for Aboriginal and Torres Strait Islander people to seek employment, and to more than double, by 2015, the employment of Aboriginal and Torres Strait Islander people across the Service.</w:t>
      </w:r>
      <w:r>
        <w:rPr>
          <w:rStyle w:val="FootnoteReference"/>
          <w:lang w:val="en-US"/>
        </w:rPr>
        <w:footnoteReference w:id="14"/>
      </w:r>
      <w:r w:rsidRPr="009065C3">
        <w:rPr>
          <w:lang w:val="en-US"/>
        </w:rPr>
        <w:t xml:space="preserve">    </w:t>
      </w:r>
    </w:p>
    <w:p w:rsidR="00391F9D" w:rsidRPr="00003859" w:rsidRDefault="009C0EB0" w:rsidP="00C0117F">
      <w:pPr>
        <w:pStyle w:val="Bodytext"/>
        <w:rPr>
          <w:lang w:val="en-US"/>
        </w:rPr>
      </w:pPr>
      <w:r>
        <w:rPr>
          <w:lang w:val="en-US"/>
        </w:rPr>
        <w:t>T</w:t>
      </w:r>
      <w:r w:rsidR="00003859" w:rsidRPr="00003859">
        <w:rPr>
          <w:lang w:val="en-US"/>
        </w:rPr>
        <w:t xml:space="preserve">he Employment Strategy has been recognized as seeking to increase the number of Aboriginal and Torres Strait Islander people employed in the ACTPS.  </w:t>
      </w:r>
      <w:r w:rsidR="00391F9D" w:rsidRPr="00003859">
        <w:rPr>
          <w:lang w:val="en-US"/>
        </w:rPr>
        <w:t>When the Employment Strategy was issued in 201</w:t>
      </w:r>
      <w:r w:rsidR="00085C40" w:rsidRPr="00003859">
        <w:rPr>
          <w:lang w:val="en-US"/>
        </w:rPr>
        <w:t>1</w:t>
      </w:r>
      <w:r w:rsidR="00391F9D" w:rsidRPr="00003859">
        <w:rPr>
          <w:lang w:val="en-US"/>
        </w:rPr>
        <w:t>, there were 176 Aboriginal and Torres Strait Islander people employees in the ACTPS, representing just 0.9 percent of the total full</w:t>
      </w:r>
      <w:r w:rsidR="00391F9D" w:rsidRPr="00003859">
        <w:rPr>
          <w:lang w:val="en-US"/>
        </w:rPr>
        <w:noBreakHyphen/>
        <w:t xml:space="preserve">time workforce. </w:t>
      </w:r>
      <w:r w:rsidR="00E87794" w:rsidRPr="00003859">
        <w:rPr>
          <w:lang w:val="en-US"/>
        </w:rPr>
        <w:t xml:space="preserve">  The Employment Strategy states that for the Vision to be achieved ‘efforts to attract and retain Aboriginal and Torres Strait Islander employees need to be increased significantly’.  Also in need of improvement </w:t>
      </w:r>
      <w:r w:rsidR="009065C3" w:rsidRPr="00003859">
        <w:rPr>
          <w:lang w:val="en-US"/>
        </w:rPr>
        <w:t>were</w:t>
      </w:r>
      <w:r w:rsidR="00E87794" w:rsidRPr="00003859">
        <w:rPr>
          <w:lang w:val="en-US"/>
        </w:rPr>
        <w:t xml:space="preserve"> remuneration and barriers to</w:t>
      </w:r>
      <w:r w:rsidR="009065C3" w:rsidRPr="00003859">
        <w:rPr>
          <w:lang w:val="en-US"/>
        </w:rPr>
        <w:t> </w:t>
      </w:r>
      <w:r w:rsidR="00E87794" w:rsidRPr="00003859">
        <w:rPr>
          <w:lang w:val="en-US"/>
        </w:rPr>
        <w:t>promotion.</w:t>
      </w:r>
      <w:r w:rsidR="00E87794">
        <w:rPr>
          <w:rStyle w:val="FootnoteReference"/>
          <w:lang w:val="en-US"/>
        </w:rPr>
        <w:footnoteReference w:id="15"/>
      </w:r>
      <w:r w:rsidR="00E87794" w:rsidRPr="00003859">
        <w:rPr>
          <w:lang w:val="en-US"/>
        </w:rPr>
        <w:t xml:space="preserve">  </w:t>
      </w:r>
    </w:p>
    <w:p w:rsidR="00C7276D" w:rsidRDefault="00E87794" w:rsidP="00C0117F">
      <w:pPr>
        <w:pStyle w:val="Bodytext"/>
        <w:rPr>
          <w:lang w:val="en-US"/>
        </w:rPr>
      </w:pPr>
      <w:r>
        <w:rPr>
          <w:lang w:val="en-US"/>
        </w:rPr>
        <w:t xml:space="preserve">The employment target is specifically described as 407 </w:t>
      </w:r>
      <w:r w:rsidR="00362151">
        <w:rPr>
          <w:lang w:val="en-US"/>
        </w:rPr>
        <w:t>employees or</w:t>
      </w:r>
      <w:r w:rsidR="00FE1E8D">
        <w:rPr>
          <w:lang w:val="en-US"/>
        </w:rPr>
        <w:t xml:space="preserve"> </w:t>
      </w:r>
      <w:r>
        <w:rPr>
          <w:lang w:val="en-US"/>
        </w:rPr>
        <w:t>2 percent of the total number of ACTPS employees</w:t>
      </w:r>
      <w:r w:rsidR="00FE1E8D">
        <w:rPr>
          <w:lang w:val="en-US"/>
        </w:rPr>
        <w:t xml:space="preserve"> by 2015</w:t>
      </w:r>
      <w:r>
        <w:rPr>
          <w:lang w:val="en-US"/>
        </w:rPr>
        <w:t xml:space="preserve">.  </w:t>
      </w:r>
      <w:r w:rsidR="009065C3">
        <w:rPr>
          <w:lang w:val="en-US"/>
        </w:rPr>
        <w:t xml:space="preserve">As stated in paragraph </w:t>
      </w:r>
      <w:r w:rsidR="002747A1">
        <w:rPr>
          <w:lang w:val="en-US"/>
        </w:rPr>
        <w:t>3.</w:t>
      </w:r>
      <w:r w:rsidR="009065C3">
        <w:rPr>
          <w:lang w:val="en-US"/>
        </w:rPr>
        <w:t xml:space="preserve">2, the COAG </w:t>
      </w:r>
      <w:r w:rsidR="00156ECA">
        <w:rPr>
          <w:lang w:val="en-US"/>
        </w:rPr>
        <w:t xml:space="preserve">target </w:t>
      </w:r>
      <w:r w:rsidR="009065C3">
        <w:rPr>
          <w:lang w:val="en-US"/>
        </w:rPr>
        <w:t xml:space="preserve">is </w:t>
      </w:r>
      <w:r w:rsidR="00156ECA">
        <w:rPr>
          <w:lang w:val="en-US"/>
        </w:rPr>
        <w:t>2.6</w:t>
      </w:r>
      <w:r w:rsidR="00FE1E8D">
        <w:rPr>
          <w:lang w:val="en-US"/>
        </w:rPr>
        <w:t> </w:t>
      </w:r>
      <w:r w:rsidR="00156ECA">
        <w:rPr>
          <w:lang w:val="en-US"/>
        </w:rPr>
        <w:t>percent</w:t>
      </w:r>
      <w:r w:rsidR="00FE1E8D">
        <w:rPr>
          <w:lang w:val="en-US"/>
        </w:rPr>
        <w:t xml:space="preserve"> of the Australian public sector workforce by 2015</w:t>
      </w:r>
      <w:r w:rsidR="00156ECA">
        <w:rPr>
          <w:lang w:val="en-US"/>
        </w:rPr>
        <w:t xml:space="preserve">. </w:t>
      </w:r>
      <w:r>
        <w:rPr>
          <w:lang w:val="en-US"/>
        </w:rPr>
        <w:t xml:space="preserve"> </w:t>
      </w:r>
      <w:r w:rsidR="00F638A6">
        <w:rPr>
          <w:lang w:val="en-US"/>
        </w:rPr>
        <w:t>The Committee notes that the Aboriginal and Torres Strait Islander population i</w:t>
      </w:r>
      <w:r w:rsidR="002747A1">
        <w:rPr>
          <w:lang w:val="en-US"/>
        </w:rPr>
        <w:t>n</w:t>
      </w:r>
      <w:r w:rsidR="00F638A6">
        <w:rPr>
          <w:lang w:val="en-US"/>
        </w:rPr>
        <w:t xml:space="preserve"> the Australian Capital Territory is 1.6</w:t>
      </w:r>
      <w:r w:rsidR="00FE1E8D">
        <w:rPr>
          <w:lang w:val="en-US"/>
        </w:rPr>
        <w:t> </w:t>
      </w:r>
      <w:r w:rsidR="00F638A6">
        <w:rPr>
          <w:lang w:val="en-US"/>
        </w:rPr>
        <w:t>percent</w:t>
      </w:r>
      <w:r w:rsidR="00FE1E8D">
        <w:rPr>
          <w:lang w:val="en-US"/>
        </w:rPr>
        <w:t xml:space="preserve"> of the total ACT population</w:t>
      </w:r>
      <w:r w:rsidR="00F638A6">
        <w:rPr>
          <w:lang w:val="en-US"/>
        </w:rPr>
        <w:t xml:space="preserve">.   </w:t>
      </w:r>
    </w:p>
    <w:p w:rsidR="00E87794" w:rsidRDefault="00E87794" w:rsidP="00C0117F">
      <w:pPr>
        <w:pStyle w:val="Bodytext"/>
        <w:rPr>
          <w:lang w:val="en-US"/>
        </w:rPr>
      </w:pPr>
      <w:r>
        <w:rPr>
          <w:lang w:val="en-US"/>
        </w:rPr>
        <w:t xml:space="preserve">Figure </w:t>
      </w:r>
      <w:r w:rsidR="00E74B0A">
        <w:rPr>
          <w:lang w:val="en-US"/>
        </w:rPr>
        <w:t>3</w:t>
      </w:r>
      <w:r>
        <w:rPr>
          <w:lang w:val="en-US"/>
        </w:rPr>
        <w:t>.1 is</w:t>
      </w:r>
      <w:r w:rsidR="00FE1E8D">
        <w:rPr>
          <w:lang w:val="en-US"/>
        </w:rPr>
        <w:t xml:space="preserve"> taken </w:t>
      </w:r>
      <w:r w:rsidR="00543393">
        <w:rPr>
          <w:lang w:val="en-US"/>
        </w:rPr>
        <w:t xml:space="preserve">from the Employment Strategy and </w:t>
      </w:r>
      <w:r>
        <w:rPr>
          <w:lang w:val="en-US"/>
        </w:rPr>
        <w:t>shows how the</w:t>
      </w:r>
      <w:r w:rsidR="00085C40">
        <w:rPr>
          <w:lang w:val="en-US"/>
        </w:rPr>
        <w:t xml:space="preserve"> 407 (</w:t>
      </w:r>
      <w:r w:rsidR="00B27F9C">
        <w:rPr>
          <w:lang w:val="en-US"/>
        </w:rPr>
        <w:t>2.0 percent</w:t>
      </w:r>
      <w:r w:rsidR="00085C40">
        <w:rPr>
          <w:lang w:val="en-US"/>
        </w:rPr>
        <w:t>)</w:t>
      </w:r>
      <w:r w:rsidR="00B27F9C">
        <w:rPr>
          <w:lang w:val="en-US"/>
        </w:rPr>
        <w:t xml:space="preserve"> employment </w:t>
      </w:r>
      <w:r>
        <w:rPr>
          <w:lang w:val="en-US"/>
        </w:rPr>
        <w:t>target was to be achieved</w:t>
      </w:r>
      <w:r w:rsidR="009065C3">
        <w:rPr>
          <w:lang w:val="en-US"/>
        </w:rPr>
        <w:t xml:space="preserve"> </w:t>
      </w:r>
      <w:r w:rsidR="00FE1E8D">
        <w:rPr>
          <w:lang w:val="en-US"/>
        </w:rPr>
        <w:t xml:space="preserve">year by year </w:t>
      </w:r>
      <w:r w:rsidR="009065C3">
        <w:rPr>
          <w:lang w:val="en-US"/>
        </w:rPr>
        <w:t>in the period 201</w:t>
      </w:r>
      <w:r w:rsidR="00003859">
        <w:rPr>
          <w:lang w:val="en-US"/>
        </w:rPr>
        <w:t>1</w:t>
      </w:r>
      <w:r w:rsidR="009065C3">
        <w:rPr>
          <w:lang w:val="en-US"/>
        </w:rPr>
        <w:t xml:space="preserve"> to 2015</w:t>
      </w:r>
      <w:r w:rsidR="00003859">
        <w:rPr>
          <w:lang w:val="en-US"/>
        </w:rPr>
        <w:t xml:space="preserve"> with 2010 being the base year</w:t>
      </w:r>
      <w:r>
        <w:rPr>
          <w:lang w:val="en-US"/>
        </w:rPr>
        <w:t xml:space="preserve">. </w:t>
      </w:r>
      <w:r w:rsidR="00FE1E8D">
        <w:rPr>
          <w:lang w:val="en-US"/>
        </w:rPr>
        <w:t xml:space="preserve"> From 2013 this translates to 4-6 new employees per month across the ACTPS. </w:t>
      </w:r>
    </w:p>
    <w:p w:rsidR="00FE1E8D" w:rsidRDefault="00FE1E8D" w:rsidP="00003859">
      <w:pPr>
        <w:pStyle w:val="Bodytext"/>
        <w:numPr>
          <w:ilvl w:val="0"/>
          <w:numId w:val="0"/>
        </w:numPr>
        <w:ind w:left="567"/>
        <w:rPr>
          <w:rFonts w:ascii="Arial Narrow" w:hAnsi="Arial Narrow"/>
          <w:bCs/>
          <w:kern w:val="26"/>
          <w:sz w:val="26"/>
          <w:szCs w:val="20"/>
        </w:rPr>
      </w:pPr>
    </w:p>
    <w:p w:rsidR="00FE1E8D" w:rsidRDefault="00FE1E8D" w:rsidP="00003859">
      <w:pPr>
        <w:pStyle w:val="Bodytext"/>
        <w:numPr>
          <w:ilvl w:val="0"/>
          <w:numId w:val="0"/>
        </w:numPr>
        <w:ind w:left="567"/>
        <w:rPr>
          <w:rFonts w:ascii="Arial Narrow" w:hAnsi="Arial Narrow"/>
          <w:bCs/>
          <w:kern w:val="26"/>
          <w:sz w:val="26"/>
          <w:szCs w:val="20"/>
        </w:rPr>
      </w:pPr>
    </w:p>
    <w:p w:rsidR="00FE1E8D" w:rsidRDefault="00FE1E8D" w:rsidP="00003859">
      <w:pPr>
        <w:pStyle w:val="Bodytext"/>
        <w:numPr>
          <w:ilvl w:val="0"/>
          <w:numId w:val="0"/>
        </w:numPr>
        <w:ind w:left="567"/>
        <w:rPr>
          <w:rFonts w:ascii="Arial Narrow" w:hAnsi="Arial Narrow"/>
          <w:bCs/>
          <w:kern w:val="26"/>
          <w:sz w:val="26"/>
          <w:szCs w:val="20"/>
        </w:rPr>
      </w:pPr>
    </w:p>
    <w:p w:rsidR="00FE1E8D" w:rsidRDefault="00FE1E8D" w:rsidP="00003859">
      <w:pPr>
        <w:pStyle w:val="Bodytext"/>
        <w:numPr>
          <w:ilvl w:val="0"/>
          <w:numId w:val="0"/>
        </w:numPr>
        <w:ind w:left="567"/>
        <w:rPr>
          <w:rFonts w:ascii="Arial Narrow" w:hAnsi="Arial Narrow"/>
          <w:bCs/>
          <w:kern w:val="26"/>
          <w:sz w:val="26"/>
          <w:szCs w:val="20"/>
        </w:rPr>
      </w:pPr>
    </w:p>
    <w:p w:rsidR="00FE1E8D" w:rsidRDefault="00FE1E8D" w:rsidP="00003859">
      <w:pPr>
        <w:pStyle w:val="Bodytext"/>
        <w:numPr>
          <w:ilvl w:val="0"/>
          <w:numId w:val="0"/>
        </w:numPr>
        <w:ind w:left="567"/>
        <w:rPr>
          <w:rFonts w:ascii="Arial Narrow" w:hAnsi="Arial Narrow"/>
          <w:bCs/>
          <w:kern w:val="26"/>
          <w:sz w:val="26"/>
          <w:szCs w:val="20"/>
        </w:rPr>
      </w:pPr>
    </w:p>
    <w:p w:rsidR="00FE1E8D" w:rsidRDefault="00FE1E8D" w:rsidP="00003859">
      <w:pPr>
        <w:pStyle w:val="Bodytext"/>
        <w:numPr>
          <w:ilvl w:val="0"/>
          <w:numId w:val="0"/>
        </w:numPr>
        <w:ind w:left="567"/>
        <w:rPr>
          <w:rFonts w:ascii="Arial Narrow" w:hAnsi="Arial Narrow"/>
          <w:bCs/>
          <w:kern w:val="26"/>
          <w:sz w:val="26"/>
          <w:szCs w:val="20"/>
        </w:rPr>
      </w:pPr>
    </w:p>
    <w:p w:rsidR="00FE1E8D" w:rsidRDefault="00FE1E8D" w:rsidP="00003859">
      <w:pPr>
        <w:pStyle w:val="Bodytext"/>
        <w:numPr>
          <w:ilvl w:val="0"/>
          <w:numId w:val="0"/>
        </w:numPr>
        <w:ind w:left="567"/>
        <w:rPr>
          <w:rFonts w:ascii="Arial Narrow" w:hAnsi="Arial Narrow"/>
          <w:bCs/>
          <w:kern w:val="26"/>
          <w:sz w:val="26"/>
          <w:szCs w:val="20"/>
        </w:rPr>
      </w:pPr>
    </w:p>
    <w:p w:rsidR="00543393" w:rsidRDefault="00543393" w:rsidP="00003859">
      <w:pPr>
        <w:pStyle w:val="Bodytext"/>
        <w:numPr>
          <w:ilvl w:val="0"/>
          <w:numId w:val="0"/>
        </w:numPr>
        <w:ind w:left="567"/>
        <w:rPr>
          <w:rFonts w:ascii="Arial Narrow" w:hAnsi="Arial Narrow"/>
          <w:bCs/>
          <w:kern w:val="26"/>
          <w:sz w:val="26"/>
          <w:szCs w:val="20"/>
        </w:rPr>
      </w:pPr>
      <w:r w:rsidRPr="00003859">
        <w:rPr>
          <w:rFonts w:ascii="Arial Narrow" w:hAnsi="Arial Narrow"/>
          <w:bCs/>
          <w:kern w:val="26"/>
          <w:sz w:val="26"/>
          <w:szCs w:val="20"/>
        </w:rPr>
        <w:t xml:space="preserve">Figure </w:t>
      </w:r>
      <w:r w:rsidR="00E74B0A">
        <w:rPr>
          <w:rFonts w:ascii="Arial Narrow" w:hAnsi="Arial Narrow"/>
          <w:bCs/>
          <w:kern w:val="26"/>
          <w:sz w:val="26"/>
          <w:szCs w:val="20"/>
        </w:rPr>
        <w:t>3</w:t>
      </w:r>
      <w:r w:rsidRPr="00003859">
        <w:rPr>
          <w:rFonts w:ascii="Arial Narrow" w:hAnsi="Arial Narrow"/>
          <w:bCs/>
          <w:kern w:val="26"/>
          <w:sz w:val="26"/>
          <w:szCs w:val="20"/>
        </w:rPr>
        <w:t xml:space="preserve">.1 – Estimated </w:t>
      </w:r>
      <w:r w:rsidR="00003859">
        <w:rPr>
          <w:rFonts w:ascii="Arial Narrow" w:hAnsi="Arial Narrow"/>
          <w:bCs/>
          <w:kern w:val="26"/>
          <w:sz w:val="26"/>
          <w:szCs w:val="20"/>
        </w:rPr>
        <w:t xml:space="preserve">increases in </w:t>
      </w:r>
      <w:r w:rsidRPr="00003859">
        <w:rPr>
          <w:rFonts w:ascii="Arial Narrow" w:hAnsi="Arial Narrow"/>
          <w:bCs/>
          <w:kern w:val="26"/>
          <w:sz w:val="26"/>
          <w:szCs w:val="20"/>
        </w:rPr>
        <w:t>employment of Aboriginal and Torres Strait Islander people for the period 2010-20</w:t>
      </w:r>
      <w:r w:rsidR="0058677A" w:rsidRPr="00003859">
        <w:rPr>
          <w:rFonts w:ascii="Arial Narrow" w:hAnsi="Arial Narrow"/>
          <w:bCs/>
          <w:kern w:val="26"/>
          <w:sz w:val="26"/>
          <w:szCs w:val="20"/>
        </w:rPr>
        <w:t>15</w:t>
      </w:r>
      <w:r w:rsidR="00581F10">
        <w:rPr>
          <w:rStyle w:val="FootnoteReference"/>
          <w:rFonts w:ascii="Arial Narrow" w:hAnsi="Arial Narrow"/>
          <w:bCs/>
          <w:kern w:val="26"/>
          <w:sz w:val="26"/>
          <w:szCs w:val="20"/>
        </w:rPr>
        <w:footnoteReference w:id="16"/>
      </w:r>
    </w:p>
    <w:p w:rsidR="00543393" w:rsidRPr="003F5ADA" w:rsidRDefault="007B7864" w:rsidP="003F5ADA">
      <w:pPr>
        <w:pStyle w:val="Bodytext"/>
        <w:numPr>
          <w:ilvl w:val="0"/>
          <w:numId w:val="0"/>
        </w:numPr>
        <w:ind w:left="567"/>
        <w:rPr>
          <w:rFonts w:ascii="Arial Narrow" w:hAnsi="Arial Narrow"/>
          <w:bCs/>
          <w:kern w:val="26"/>
          <w:sz w:val="26"/>
          <w:szCs w:val="20"/>
        </w:rPr>
      </w:pPr>
      <w:r>
        <w:rPr>
          <w:rFonts w:ascii="Arial Narrow" w:hAnsi="Arial Narrow"/>
          <w:bCs/>
          <w:noProof/>
          <w:kern w:val="26"/>
          <w:sz w:val="26"/>
          <w:szCs w:val="20"/>
          <w:lang w:eastAsia="zh-TW"/>
        </w:rPr>
        <w:drawing>
          <wp:inline distT="0" distB="0" distL="0" distR="0">
            <wp:extent cx="5630545" cy="3386455"/>
            <wp:effectExtent l="1905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630545" cy="3386455"/>
                    </a:xfrm>
                    <a:prstGeom prst="rect">
                      <a:avLst/>
                    </a:prstGeom>
                    <a:noFill/>
                    <a:ln w="9525">
                      <a:noFill/>
                      <a:miter lim="800000"/>
                      <a:headEnd/>
                      <a:tailEnd/>
                    </a:ln>
                  </pic:spPr>
                </pic:pic>
              </a:graphicData>
            </a:graphic>
          </wp:inline>
        </w:drawing>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7903"/>
      </w:tblGrid>
      <w:tr w:rsidR="00616EB9" w:rsidTr="00616EB9">
        <w:tc>
          <w:tcPr>
            <w:tcW w:w="709" w:type="dxa"/>
          </w:tcPr>
          <w:p w:rsidR="00616EB9" w:rsidRPr="00616EB9" w:rsidRDefault="00616EB9" w:rsidP="00616EB9">
            <w:pPr>
              <w:pStyle w:val="Bodytext"/>
              <w:numPr>
                <w:ilvl w:val="0"/>
                <w:numId w:val="0"/>
              </w:numPr>
              <w:spacing w:before="0" w:after="0" w:line="240" w:lineRule="auto"/>
              <w:rPr>
                <w:noProof/>
                <w:sz w:val="16"/>
                <w:szCs w:val="16"/>
                <w:lang w:eastAsia="en-AU"/>
              </w:rPr>
            </w:pPr>
            <w:r w:rsidRPr="00616EB9">
              <w:rPr>
                <w:noProof/>
                <w:sz w:val="16"/>
                <w:szCs w:val="16"/>
                <w:lang w:eastAsia="en-AU"/>
              </w:rPr>
              <w:t>Source:</w:t>
            </w:r>
          </w:p>
        </w:tc>
        <w:tc>
          <w:tcPr>
            <w:tcW w:w="7903" w:type="dxa"/>
          </w:tcPr>
          <w:p w:rsidR="00616EB9" w:rsidRPr="008E19F4" w:rsidRDefault="00616EB9" w:rsidP="00616EB9">
            <w:pPr>
              <w:pStyle w:val="Bodytext"/>
              <w:numPr>
                <w:ilvl w:val="0"/>
                <w:numId w:val="0"/>
              </w:numPr>
              <w:spacing w:before="0" w:after="0" w:line="240" w:lineRule="auto"/>
              <w:rPr>
                <w:noProof/>
                <w:sz w:val="16"/>
                <w:szCs w:val="16"/>
                <w:lang w:eastAsia="en-AU"/>
              </w:rPr>
            </w:pPr>
            <w:r w:rsidRPr="008E19F4">
              <w:rPr>
                <w:noProof/>
                <w:sz w:val="16"/>
                <w:szCs w:val="16"/>
                <w:lang w:eastAsia="en-AU"/>
              </w:rPr>
              <w:t xml:space="preserve">ACT Public </w:t>
            </w:r>
            <w:r w:rsidRPr="008E19F4">
              <w:rPr>
                <w:rFonts w:ascii="Arial Narrow" w:hAnsi="Arial Narrow"/>
                <w:bCs/>
                <w:kern w:val="26"/>
                <w:sz w:val="16"/>
                <w:szCs w:val="16"/>
              </w:rPr>
              <w:t>Service</w:t>
            </w:r>
            <w:r w:rsidRPr="008E19F4">
              <w:rPr>
                <w:noProof/>
                <w:sz w:val="16"/>
                <w:szCs w:val="16"/>
                <w:lang w:eastAsia="en-AU"/>
              </w:rPr>
              <w:t>,</w:t>
            </w:r>
            <w:r w:rsidRPr="008E19F4">
              <w:rPr>
                <w:i/>
                <w:noProof/>
                <w:sz w:val="16"/>
                <w:szCs w:val="16"/>
                <w:lang w:eastAsia="en-AU"/>
              </w:rPr>
              <w:t xml:space="preserve"> Employment</w:t>
            </w:r>
            <w:r>
              <w:rPr>
                <w:i/>
                <w:noProof/>
                <w:sz w:val="16"/>
                <w:szCs w:val="16"/>
                <w:lang w:eastAsia="en-AU"/>
              </w:rPr>
              <w:t xml:space="preserve"> strategy for Aboriginal and Torres Strait Islander people – Building a culturally sensitive workfoce</w:t>
            </w:r>
            <w:r w:rsidRPr="008E19F4">
              <w:rPr>
                <w:noProof/>
                <w:sz w:val="16"/>
                <w:szCs w:val="16"/>
                <w:lang w:eastAsia="en-AU"/>
              </w:rPr>
              <w:t xml:space="preserve">, </w:t>
            </w:r>
            <w:r>
              <w:rPr>
                <w:noProof/>
                <w:sz w:val="16"/>
                <w:szCs w:val="16"/>
                <w:lang w:eastAsia="en-AU"/>
              </w:rPr>
              <w:t>April 2011</w:t>
            </w:r>
          </w:p>
        </w:tc>
      </w:tr>
    </w:tbl>
    <w:p w:rsidR="00543393" w:rsidRDefault="00543393" w:rsidP="00543393">
      <w:pPr>
        <w:rPr>
          <w:lang w:val="en-US"/>
        </w:rPr>
      </w:pPr>
    </w:p>
    <w:p w:rsidR="00C7276D" w:rsidRDefault="00C7276D" w:rsidP="00543393">
      <w:pPr>
        <w:rPr>
          <w:lang w:val="en-US"/>
        </w:rPr>
      </w:pPr>
    </w:p>
    <w:p w:rsidR="00003859" w:rsidRDefault="00003859" w:rsidP="00003859">
      <w:pPr>
        <w:pStyle w:val="Headinglevel3"/>
        <w:rPr>
          <w:lang w:val="en-US"/>
        </w:rPr>
      </w:pPr>
      <w:r>
        <w:rPr>
          <w:lang w:val="en-US"/>
        </w:rPr>
        <w:t>Objectives</w:t>
      </w:r>
    </w:p>
    <w:p w:rsidR="0058677A" w:rsidRDefault="00543393" w:rsidP="0058677A">
      <w:pPr>
        <w:pStyle w:val="Bodytext"/>
        <w:rPr>
          <w:lang w:val="en-US"/>
        </w:rPr>
      </w:pPr>
      <w:r>
        <w:rPr>
          <w:lang w:val="en-US"/>
        </w:rPr>
        <w:t xml:space="preserve">The Employment Strategy </w:t>
      </w:r>
      <w:r w:rsidR="0041783D">
        <w:rPr>
          <w:lang w:val="en-US"/>
        </w:rPr>
        <w:t xml:space="preserve">has </w:t>
      </w:r>
      <w:r>
        <w:rPr>
          <w:lang w:val="en-US"/>
        </w:rPr>
        <w:t xml:space="preserve">five objectives: </w:t>
      </w:r>
    </w:p>
    <w:p w:rsidR="0058677A" w:rsidRDefault="00E00EE0" w:rsidP="006C0055">
      <w:pPr>
        <w:pStyle w:val="Quote"/>
        <w:numPr>
          <w:ilvl w:val="0"/>
          <w:numId w:val="8"/>
        </w:numPr>
        <w:ind w:left="1276" w:hanging="425"/>
        <w:rPr>
          <w:lang w:val="en-US"/>
        </w:rPr>
      </w:pPr>
      <w:r>
        <w:rPr>
          <w:lang w:val="en-US"/>
        </w:rPr>
        <w:t>To make the ACTPS an attractive workplace for Aboriginal and Torres Strait Islander people;</w:t>
      </w:r>
    </w:p>
    <w:p w:rsidR="00E00EE0" w:rsidRDefault="00E00EE0" w:rsidP="006C0055">
      <w:pPr>
        <w:pStyle w:val="Quote"/>
        <w:numPr>
          <w:ilvl w:val="0"/>
          <w:numId w:val="8"/>
        </w:numPr>
        <w:ind w:left="1276" w:hanging="425"/>
        <w:rPr>
          <w:lang w:val="en-US"/>
        </w:rPr>
      </w:pPr>
      <w:r>
        <w:rPr>
          <w:lang w:val="en-US"/>
        </w:rPr>
        <w:t xml:space="preserve">To attract Aboriginal and Torres Strait Islander people  to seek employment in the ACTPS;  </w:t>
      </w:r>
    </w:p>
    <w:p w:rsidR="00E00EE0" w:rsidRDefault="00E00EE0" w:rsidP="006C0055">
      <w:pPr>
        <w:pStyle w:val="Quote"/>
        <w:numPr>
          <w:ilvl w:val="0"/>
          <w:numId w:val="8"/>
        </w:numPr>
        <w:ind w:left="1276" w:hanging="425"/>
        <w:rPr>
          <w:lang w:val="en-US"/>
        </w:rPr>
      </w:pPr>
      <w:r>
        <w:rPr>
          <w:lang w:val="en-US"/>
        </w:rPr>
        <w:t>To retain Aboriginal and Torres Strait Islander people  with</w:t>
      </w:r>
      <w:r w:rsidR="009065C3">
        <w:rPr>
          <w:lang w:val="en-US"/>
        </w:rPr>
        <w:t>in</w:t>
      </w:r>
      <w:r>
        <w:rPr>
          <w:lang w:val="en-US"/>
        </w:rPr>
        <w:t xml:space="preserve"> the ACTPS;</w:t>
      </w:r>
    </w:p>
    <w:p w:rsidR="002747A1" w:rsidRPr="002747A1" w:rsidRDefault="00E00EE0" w:rsidP="002747A1">
      <w:pPr>
        <w:pStyle w:val="Quote"/>
        <w:numPr>
          <w:ilvl w:val="0"/>
          <w:numId w:val="8"/>
        </w:numPr>
        <w:ind w:left="1276" w:hanging="425"/>
        <w:rPr>
          <w:lang w:val="en-US"/>
        </w:rPr>
      </w:pPr>
      <w:r w:rsidRPr="002747A1">
        <w:rPr>
          <w:lang w:val="en-US"/>
        </w:rPr>
        <w:t>To improve the capacity of Aboriginal and Torres Strait Islander people  in the ACTPS;  and</w:t>
      </w:r>
    </w:p>
    <w:p w:rsidR="002747A1" w:rsidRPr="002747A1" w:rsidRDefault="002747A1" w:rsidP="002747A1">
      <w:pPr>
        <w:pStyle w:val="Quote"/>
        <w:numPr>
          <w:ilvl w:val="0"/>
          <w:numId w:val="8"/>
        </w:numPr>
        <w:ind w:left="1276" w:hanging="425"/>
        <w:rPr>
          <w:vertAlign w:val="superscript"/>
          <w:lang w:val="en-US"/>
        </w:rPr>
      </w:pPr>
      <w:r w:rsidRPr="002747A1">
        <w:rPr>
          <w:lang w:val="en-US"/>
        </w:rPr>
        <w:t>To ensure that the ACTPS assesses and reports on the progress of implementing the</w:t>
      </w:r>
      <w:r w:rsidR="00F33726">
        <w:rPr>
          <w:lang w:val="en-US"/>
        </w:rPr>
        <w:t> </w:t>
      </w:r>
      <w:r w:rsidRPr="002747A1">
        <w:rPr>
          <w:lang w:val="en-US"/>
        </w:rPr>
        <w:t xml:space="preserve">Strategy. </w:t>
      </w:r>
      <w:r w:rsidRPr="0041783D">
        <w:rPr>
          <w:vertAlign w:val="superscript"/>
        </w:rPr>
        <w:footnoteReference w:id="17"/>
      </w:r>
    </w:p>
    <w:p w:rsidR="00C0117F" w:rsidRDefault="00E00EE0" w:rsidP="00C0117F">
      <w:pPr>
        <w:pStyle w:val="Bodytext"/>
        <w:rPr>
          <w:lang w:val="en-US"/>
        </w:rPr>
      </w:pPr>
      <w:r>
        <w:rPr>
          <w:lang w:val="en-US"/>
        </w:rPr>
        <w:t xml:space="preserve">In the Employment Strategy </w:t>
      </w:r>
      <w:r w:rsidR="00156ECA">
        <w:rPr>
          <w:lang w:val="en-US"/>
        </w:rPr>
        <w:t>each o</w:t>
      </w:r>
      <w:r>
        <w:rPr>
          <w:lang w:val="en-US"/>
        </w:rPr>
        <w:t xml:space="preserve">bjective </w:t>
      </w:r>
      <w:r w:rsidR="00156ECA">
        <w:rPr>
          <w:lang w:val="en-US"/>
        </w:rPr>
        <w:t xml:space="preserve">has </w:t>
      </w:r>
      <w:r>
        <w:rPr>
          <w:lang w:val="en-US"/>
        </w:rPr>
        <w:t xml:space="preserve">detailed actions.  For example in the case Objective 4 it is stated: </w:t>
      </w:r>
    </w:p>
    <w:p w:rsidR="00E00EE0" w:rsidRDefault="00E00EE0" w:rsidP="00E00EE0">
      <w:pPr>
        <w:pStyle w:val="Quote"/>
        <w:rPr>
          <w:lang w:val="en-US"/>
        </w:rPr>
      </w:pPr>
      <w:r w:rsidRPr="00156ECA">
        <w:rPr>
          <w:i/>
          <w:lang w:val="en-US"/>
        </w:rPr>
        <w:t>We will do this by</w:t>
      </w:r>
      <w:r>
        <w:rPr>
          <w:lang w:val="en-US"/>
        </w:rPr>
        <w:t xml:space="preserve">: </w:t>
      </w:r>
    </w:p>
    <w:p w:rsidR="00E00EE0" w:rsidRDefault="00E00EE0" w:rsidP="006C0055">
      <w:pPr>
        <w:pStyle w:val="Quote"/>
        <w:numPr>
          <w:ilvl w:val="0"/>
          <w:numId w:val="8"/>
        </w:numPr>
        <w:tabs>
          <w:tab w:val="left" w:pos="1701"/>
        </w:tabs>
        <w:ind w:left="1701" w:hanging="425"/>
        <w:rPr>
          <w:lang w:val="en-US"/>
        </w:rPr>
      </w:pPr>
      <w:r>
        <w:rPr>
          <w:lang w:val="en-US"/>
        </w:rPr>
        <w:t xml:space="preserve">Committing to the development of individual career pathways for Aboriginal and Torres Strait Islander employees. </w:t>
      </w:r>
    </w:p>
    <w:p w:rsidR="00E00EE0" w:rsidRDefault="00E00EE0" w:rsidP="006C0055">
      <w:pPr>
        <w:pStyle w:val="Quote"/>
        <w:numPr>
          <w:ilvl w:val="0"/>
          <w:numId w:val="8"/>
        </w:numPr>
        <w:tabs>
          <w:tab w:val="left" w:pos="1701"/>
        </w:tabs>
        <w:ind w:left="1701" w:hanging="425"/>
        <w:rPr>
          <w:lang w:val="en-US"/>
        </w:rPr>
      </w:pPr>
      <w:r>
        <w:rPr>
          <w:lang w:val="en-US"/>
        </w:rPr>
        <w:t>Developing a framework for increasing career pathways and skill development through ‘on-the-job’ and ‘off-the-job’ mecha</w:t>
      </w:r>
      <w:r w:rsidR="0005593B">
        <w:rPr>
          <w:lang w:val="en-US"/>
        </w:rPr>
        <w:t>n</w:t>
      </w:r>
      <w:r>
        <w:rPr>
          <w:lang w:val="en-US"/>
        </w:rPr>
        <w:t>isms.</w:t>
      </w:r>
    </w:p>
    <w:p w:rsidR="00E00EE0" w:rsidRDefault="00E00EE0" w:rsidP="006C0055">
      <w:pPr>
        <w:pStyle w:val="Quote"/>
        <w:numPr>
          <w:ilvl w:val="0"/>
          <w:numId w:val="8"/>
        </w:numPr>
        <w:tabs>
          <w:tab w:val="left" w:pos="1701"/>
        </w:tabs>
        <w:ind w:left="1701" w:hanging="425"/>
        <w:rPr>
          <w:lang w:val="en-US"/>
        </w:rPr>
      </w:pPr>
      <w:r>
        <w:rPr>
          <w:lang w:val="en-US"/>
        </w:rPr>
        <w:t>Increasing opportunities for educational advancement – including vocational education and training; and graduate and post-graduate study.</w:t>
      </w:r>
    </w:p>
    <w:p w:rsidR="00E00EE0" w:rsidRDefault="00E00EE0" w:rsidP="006C0055">
      <w:pPr>
        <w:pStyle w:val="Quote"/>
        <w:numPr>
          <w:ilvl w:val="0"/>
          <w:numId w:val="8"/>
        </w:numPr>
        <w:tabs>
          <w:tab w:val="left" w:pos="1701"/>
        </w:tabs>
        <w:ind w:left="1701" w:hanging="425"/>
        <w:rPr>
          <w:lang w:val="en-US"/>
        </w:rPr>
      </w:pPr>
      <w:r>
        <w:rPr>
          <w:lang w:val="en-US"/>
        </w:rPr>
        <w:t>Ensuring access to professional development programs.</w:t>
      </w:r>
      <w:r>
        <w:rPr>
          <w:rStyle w:val="FootnoteReference"/>
          <w:lang w:val="en-US"/>
        </w:rPr>
        <w:footnoteReference w:id="18"/>
      </w:r>
    </w:p>
    <w:p w:rsidR="0005593B" w:rsidRPr="0005593B" w:rsidRDefault="00FE1E8D" w:rsidP="00C0117F">
      <w:pPr>
        <w:pStyle w:val="Bodytext"/>
        <w:rPr>
          <w:i/>
          <w:lang w:val="en-US"/>
        </w:rPr>
      </w:pPr>
      <w:r>
        <w:rPr>
          <w:lang w:val="en-US"/>
        </w:rPr>
        <w:t xml:space="preserve">Attached to the </w:t>
      </w:r>
      <w:r w:rsidR="00156ECA">
        <w:rPr>
          <w:lang w:val="en-US"/>
        </w:rPr>
        <w:t xml:space="preserve">Employment Strategy </w:t>
      </w:r>
      <w:r w:rsidR="00D26FE7">
        <w:rPr>
          <w:lang w:val="en-US"/>
        </w:rPr>
        <w:t xml:space="preserve">(as its Attachment </w:t>
      </w:r>
      <w:r w:rsidR="00F33726">
        <w:rPr>
          <w:lang w:val="en-US"/>
        </w:rPr>
        <w:t>C</w:t>
      </w:r>
      <w:r w:rsidR="00D26FE7">
        <w:rPr>
          <w:lang w:val="en-US"/>
        </w:rPr>
        <w:t xml:space="preserve">) is </w:t>
      </w:r>
      <w:r w:rsidR="00581F10">
        <w:rPr>
          <w:lang w:val="en-US"/>
        </w:rPr>
        <w:t xml:space="preserve">the </w:t>
      </w:r>
      <w:r w:rsidR="00156ECA">
        <w:rPr>
          <w:lang w:val="en-US"/>
        </w:rPr>
        <w:t>action plan</w:t>
      </w:r>
      <w:r w:rsidR="00D26FE7">
        <w:rPr>
          <w:lang w:val="en-US"/>
        </w:rPr>
        <w:t xml:space="preserve"> titled</w:t>
      </w:r>
      <w:r w:rsidR="00156ECA">
        <w:rPr>
          <w:lang w:val="en-US"/>
        </w:rPr>
        <w:t xml:space="preserve">:  </w:t>
      </w:r>
      <w:r w:rsidR="00156ECA" w:rsidRPr="00156ECA">
        <w:rPr>
          <w:i/>
          <w:lang w:val="en-US"/>
        </w:rPr>
        <w:t>Aboriginal and Torres Strait Islander Employment Strategy Action Plan.</w:t>
      </w:r>
      <w:r w:rsidR="002D2276">
        <w:rPr>
          <w:rStyle w:val="FootnoteReference"/>
          <w:i/>
          <w:lang w:val="en-US"/>
        </w:rPr>
        <w:footnoteReference w:id="19"/>
      </w:r>
      <w:r w:rsidR="00156ECA" w:rsidRPr="00156ECA">
        <w:rPr>
          <w:i/>
          <w:lang w:val="en-US"/>
        </w:rPr>
        <w:t xml:space="preserve">  </w:t>
      </w:r>
      <w:r w:rsidR="0005593B">
        <w:rPr>
          <w:lang w:val="en-US"/>
        </w:rPr>
        <w:t xml:space="preserve">The Action Plan is said to be aligned to the Employment Strategy objectives and helps to define the necessary actions. </w:t>
      </w:r>
    </w:p>
    <w:p w:rsidR="00003859" w:rsidRDefault="00003859" w:rsidP="00003859">
      <w:pPr>
        <w:pStyle w:val="Headinglevel3"/>
        <w:rPr>
          <w:lang w:val="en-US"/>
        </w:rPr>
      </w:pPr>
      <w:r>
        <w:rPr>
          <w:lang w:val="en-US"/>
        </w:rPr>
        <w:t>Measuring success</w:t>
      </w:r>
    </w:p>
    <w:p w:rsidR="00C0117F" w:rsidRDefault="0005593B" w:rsidP="00C0117F">
      <w:pPr>
        <w:pStyle w:val="Bodytext"/>
        <w:rPr>
          <w:lang w:val="en-US"/>
        </w:rPr>
      </w:pPr>
      <w:r>
        <w:rPr>
          <w:lang w:val="en-US"/>
        </w:rPr>
        <w:t xml:space="preserve">The Employment Strategy identifies six high level indicators which are said to </w:t>
      </w:r>
      <w:r w:rsidR="00362151">
        <w:rPr>
          <w:lang w:val="en-US"/>
        </w:rPr>
        <w:t>provide measures</w:t>
      </w:r>
      <w:r>
        <w:rPr>
          <w:lang w:val="en-US"/>
        </w:rPr>
        <w:t xml:space="preserve"> of </w:t>
      </w:r>
      <w:r w:rsidR="00D26FE7">
        <w:rPr>
          <w:lang w:val="en-US"/>
        </w:rPr>
        <w:t xml:space="preserve">its </w:t>
      </w:r>
      <w:r>
        <w:rPr>
          <w:lang w:val="en-US"/>
        </w:rPr>
        <w:t xml:space="preserve">success.  They are shown in Table </w:t>
      </w:r>
      <w:r w:rsidR="00616EB9">
        <w:rPr>
          <w:lang w:val="en-US"/>
        </w:rPr>
        <w:t>2</w:t>
      </w:r>
      <w:r>
        <w:rPr>
          <w:lang w:val="en-US"/>
        </w:rPr>
        <w:t xml:space="preserve">.1. </w:t>
      </w:r>
    </w:p>
    <w:p w:rsidR="00D26FE7" w:rsidRDefault="009065C3" w:rsidP="009065C3">
      <w:pPr>
        <w:pStyle w:val="Bodytext"/>
        <w:rPr>
          <w:lang w:val="en-US"/>
        </w:rPr>
      </w:pPr>
      <w:r w:rsidRPr="00B27F9C">
        <w:rPr>
          <w:lang w:val="en-US"/>
        </w:rPr>
        <w:t>The Committee notes that Indicator 2 aims to measure the difference in remuneration between Aboriginal and Torres Strait Islander employees and that for all ACTPS employee</w:t>
      </w:r>
      <w:r w:rsidR="00D26FE7">
        <w:rPr>
          <w:lang w:val="en-US"/>
        </w:rPr>
        <w:t xml:space="preserve">.  </w:t>
      </w:r>
    </w:p>
    <w:p w:rsidR="009065C3" w:rsidRDefault="00D26FE7" w:rsidP="009065C3">
      <w:pPr>
        <w:pStyle w:val="Bodytext"/>
        <w:rPr>
          <w:lang w:val="en-US"/>
        </w:rPr>
      </w:pPr>
      <w:r>
        <w:rPr>
          <w:lang w:val="en-US"/>
        </w:rPr>
        <w:t xml:space="preserve">The Committee also notes that </w:t>
      </w:r>
      <w:r w:rsidR="009065C3" w:rsidRPr="00B27F9C">
        <w:rPr>
          <w:lang w:val="en-US"/>
        </w:rPr>
        <w:t>the Employment Strategy state</w:t>
      </w:r>
      <w:r>
        <w:rPr>
          <w:lang w:val="en-US"/>
        </w:rPr>
        <w:t>s</w:t>
      </w:r>
      <w:r w:rsidR="009065C3" w:rsidRPr="00B27F9C">
        <w:rPr>
          <w:lang w:val="en-US"/>
        </w:rPr>
        <w:t xml:space="preserve"> that Indicator 2 aims to show that career opportunities and outcomes for Aboriginal and Torres Strait Islander people are non-discriminatory and consistent across the whole of the ACTPS workforce.   </w:t>
      </w:r>
    </w:p>
    <w:p w:rsidR="00D26FE7" w:rsidRDefault="00D26FE7" w:rsidP="00D26FE7">
      <w:pPr>
        <w:pStyle w:val="Headinglevel5"/>
        <w:rPr>
          <w:lang w:val="en-US"/>
        </w:rPr>
      </w:pPr>
    </w:p>
    <w:p w:rsidR="00D26FE7" w:rsidRDefault="00D26FE7" w:rsidP="00D26FE7">
      <w:pPr>
        <w:pStyle w:val="Headinglevel5"/>
        <w:rPr>
          <w:lang w:val="en-US"/>
        </w:rPr>
      </w:pPr>
    </w:p>
    <w:p w:rsidR="00D26FE7" w:rsidRPr="00D26FE7" w:rsidRDefault="00D26FE7" w:rsidP="00D26FE7">
      <w:pPr>
        <w:pStyle w:val="Bodytext"/>
        <w:numPr>
          <w:ilvl w:val="0"/>
          <w:numId w:val="0"/>
        </w:numPr>
        <w:rPr>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7"/>
        <w:gridCol w:w="531"/>
        <w:gridCol w:w="7194"/>
      </w:tblGrid>
      <w:tr w:rsidR="0005593B" w:rsidRPr="006C0055" w:rsidTr="00D26FE7">
        <w:tc>
          <w:tcPr>
            <w:tcW w:w="8612" w:type="dxa"/>
            <w:gridSpan w:val="3"/>
            <w:tcBorders>
              <w:top w:val="nil"/>
              <w:left w:val="nil"/>
              <w:bottom w:val="single" w:sz="4" w:space="0" w:color="auto"/>
              <w:right w:val="nil"/>
            </w:tcBorders>
          </w:tcPr>
          <w:p w:rsidR="0005593B" w:rsidRPr="006C0055" w:rsidRDefault="009065C3" w:rsidP="00616EB9">
            <w:pPr>
              <w:pStyle w:val="Bodytext"/>
              <w:numPr>
                <w:ilvl w:val="0"/>
                <w:numId w:val="0"/>
              </w:numPr>
              <w:rPr>
                <w:lang w:val="en-US"/>
              </w:rPr>
            </w:pPr>
            <w:r>
              <w:rPr>
                <w:lang w:val="en-US"/>
              </w:rPr>
              <w:br w:type="page"/>
            </w:r>
            <w:r w:rsidR="0005593B" w:rsidRPr="00003859">
              <w:rPr>
                <w:rFonts w:ascii="Arial Narrow" w:hAnsi="Arial Narrow"/>
                <w:bCs/>
                <w:kern w:val="26"/>
                <w:sz w:val="26"/>
                <w:szCs w:val="20"/>
              </w:rPr>
              <w:t xml:space="preserve">Table </w:t>
            </w:r>
            <w:r w:rsidR="00616EB9">
              <w:rPr>
                <w:rFonts w:ascii="Arial Narrow" w:hAnsi="Arial Narrow"/>
                <w:bCs/>
                <w:kern w:val="26"/>
                <w:sz w:val="26"/>
                <w:szCs w:val="20"/>
              </w:rPr>
              <w:t>2</w:t>
            </w:r>
            <w:r w:rsidR="0005593B" w:rsidRPr="00003859">
              <w:rPr>
                <w:rFonts w:ascii="Arial Narrow" w:hAnsi="Arial Narrow"/>
                <w:bCs/>
                <w:kern w:val="26"/>
                <w:sz w:val="26"/>
                <w:szCs w:val="20"/>
              </w:rPr>
              <w:t xml:space="preserve">.1 – Key performance measures for measuring the success of the </w:t>
            </w:r>
            <w:r w:rsidRPr="00D26FE7">
              <w:rPr>
                <w:rFonts w:ascii="Arial Narrow" w:hAnsi="Arial Narrow"/>
                <w:bCs/>
                <w:i/>
                <w:kern w:val="26"/>
                <w:sz w:val="26"/>
                <w:szCs w:val="20"/>
              </w:rPr>
              <w:t xml:space="preserve">ACT Public Service </w:t>
            </w:r>
            <w:r w:rsidR="0005593B" w:rsidRPr="00D26FE7">
              <w:rPr>
                <w:rFonts w:ascii="Arial Narrow" w:hAnsi="Arial Narrow"/>
                <w:bCs/>
                <w:i/>
                <w:kern w:val="26"/>
                <w:sz w:val="26"/>
                <w:szCs w:val="20"/>
              </w:rPr>
              <w:t xml:space="preserve">Employment Strategy </w:t>
            </w:r>
            <w:r w:rsidRPr="00D26FE7">
              <w:rPr>
                <w:rFonts w:ascii="Arial Narrow" w:hAnsi="Arial Narrow"/>
                <w:bCs/>
                <w:i/>
                <w:kern w:val="26"/>
                <w:sz w:val="26"/>
                <w:szCs w:val="20"/>
              </w:rPr>
              <w:t>for Aboriginal and Torres Strait Islander People</w:t>
            </w:r>
          </w:p>
        </w:tc>
      </w:tr>
      <w:tr w:rsidR="00B94F34" w:rsidRPr="006C0055" w:rsidTr="00D26FE7">
        <w:tc>
          <w:tcPr>
            <w:tcW w:w="8612" w:type="dxa"/>
            <w:gridSpan w:val="3"/>
            <w:tcBorders>
              <w:top w:val="single" w:sz="4" w:space="0" w:color="auto"/>
            </w:tcBorders>
            <w:shd w:val="clear" w:color="auto" w:fill="FDE9D9"/>
          </w:tcPr>
          <w:p w:rsidR="00B94F34" w:rsidRPr="00D26FE7" w:rsidRDefault="00B94F34" w:rsidP="006C0055">
            <w:pPr>
              <w:pStyle w:val="Bodytext"/>
              <w:numPr>
                <w:ilvl w:val="0"/>
                <w:numId w:val="0"/>
              </w:numPr>
              <w:rPr>
                <w:b/>
                <w:i/>
                <w:sz w:val="24"/>
                <w:lang w:val="en-US"/>
              </w:rPr>
            </w:pPr>
            <w:r w:rsidRPr="00D26FE7">
              <w:rPr>
                <w:b/>
                <w:i/>
                <w:sz w:val="24"/>
                <w:lang w:val="en-US"/>
              </w:rPr>
              <w:t>Improving our capacity</w:t>
            </w:r>
          </w:p>
        </w:tc>
      </w:tr>
      <w:tr w:rsidR="0005593B" w:rsidRPr="006C0055" w:rsidTr="00D26FE7">
        <w:tc>
          <w:tcPr>
            <w:tcW w:w="1418" w:type="dxa"/>
            <w:gridSpan w:val="2"/>
            <w:tcBorders>
              <w:bottom w:val="single" w:sz="4" w:space="0" w:color="auto"/>
            </w:tcBorders>
            <w:shd w:val="clear" w:color="auto" w:fill="FDE9D9"/>
          </w:tcPr>
          <w:p w:rsidR="0005593B" w:rsidRPr="006C0055" w:rsidRDefault="0005593B" w:rsidP="006C0055">
            <w:pPr>
              <w:pStyle w:val="Bodytext"/>
              <w:numPr>
                <w:ilvl w:val="0"/>
                <w:numId w:val="0"/>
              </w:numPr>
              <w:rPr>
                <w:lang w:val="en-US"/>
              </w:rPr>
            </w:pPr>
            <w:r w:rsidRPr="006C0055">
              <w:rPr>
                <w:lang w:val="en-US"/>
              </w:rPr>
              <w:t>Indicator 1</w:t>
            </w:r>
          </w:p>
        </w:tc>
        <w:tc>
          <w:tcPr>
            <w:tcW w:w="7194" w:type="dxa"/>
            <w:tcBorders>
              <w:bottom w:val="single" w:sz="4" w:space="0" w:color="auto"/>
            </w:tcBorders>
            <w:shd w:val="clear" w:color="auto" w:fill="FDE9D9"/>
          </w:tcPr>
          <w:p w:rsidR="0005593B" w:rsidRPr="006C0055" w:rsidRDefault="0005593B" w:rsidP="003F5ADA">
            <w:pPr>
              <w:pStyle w:val="Bodytext"/>
              <w:numPr>
                <w:ilvl w:val="0"/>
                <w:numId w:val="0"/>
              </w:numPr>
              <w:spacing w:after="240"/>
              <w:rPr>
                <w:lang w:val="en-US"/>
              </w:rPr>
            </w:pPr>
            <w:r w:rsidRPr="006C0055">
              <w:rPr>
                <w:lang w:val="en-US"/>
              </w:rPr>
              <w:t xml:space="preserve">Reports on the achievements of this Employment Strategy (as outlined in the Action Plan and Directorate Action Plans) are provided to the Chief Minister in accordance with the annual progress report requirements under the ACTPS RED Framework.  These reports will also be provided to the ACT Aboriginal and Torres Strait Islander </w:t>
            </w:r>
            <w:r w:rsidR="00323080">
              <w:rPr>
                <w:lang w:val="en-US"/>
              </w:rPr>
              <w:t xml:space="preserve">Elected Body </w:t>
            </w:r>
            <w:r w:rsidRPr="006C0055">
              <w:rPr>
                <w:lang w:val="en-US"/>
              </w:rPr>
              <w:t>.</w:t>
            </w:r>
          </w:p>
        </w:tc>
      </w:tr>
      <w:tr w:rsidR="00B94F34" w:rsidTr="00D26FE7">
        <w:tc>
          <w:tcPr>
            <w:tcW w:w="8612" w:type="dxa"/>
            <w:gridSpan w:val="3"/>
            <w:shd w:val="clear" w:color="auto" w:fill="FBD4B4"/>
          </w:tcPr>
          <w:p w:rsidR="00B94F34" w:rsidRPr="00D26FE7" w:rsidRDefault="009065C3" w:rsidP="006C0055">
            <w:pPr>
              <w:pStyle w:val="Bodytext"/>
              <w:numPr>
                <w:ilvl w:val="0"/>
                <w:numId w:val="0"/>
              </w:numPr>
              <w:rPr>
                <w:spacing w:val="-3"/>
                <w:sz w:val="24"/>
              </w:rPr>
            </w:pPr>
            <w:r w:rsidRPr="00D26FE7">
              <w:rPr>
                <w:b/>
                <w:i/>
                <w:sz w:val="24"/>
                <w:lang w:val="en-US"/>
              </w:rPr>
              <w:t>R</w:t>
            </w:r>
            <w:r w:rsidR="00B94F34" w:rsidRPr="00D26FE7">
              <w:rPr>
                <w:b/>
                <w:i/>
                <w:sz w:val="24"/>
                <w:lang w:val="en-US"/>
              </w:rPr>
              <w:t>etaining Aboriginal and Torres Strait Islander employees in the ACTPS</w:t>
            </w:r>
          </w:p>
        </w:tc>
      </w:tr>
      <w:tr w:rsidR="0005593B" w:rsidRPr="006C0055" w:rsidTr="00D26FE7">
        <w:tc>
          <w:tcPr>
            <w:tcW w:w="1418" w:type="dxa"/>
            <w:gridSpan w:val="2"/>
            <w:shd w:val="clear" w:color="auto" w:fill="FBD4B4"/>
          </w:tcPr>
          <w:p w:rsidR="0005593B" w:rsidRPr="006C0055" w:rsidRDefault="0005593B" w:rsidP="006C0055">
            <w:pPr>
              <w:pStyle w:val="Bodytext"/>
              <w:numPr>
                <w:ilvl w:val="0"/>
                <w:numId w:val="0"/>
              </w:numPr>
              <w:rPr>
                <w:lang w:val="en-US"/>
              </w:rPr>
            </w:pPr>
            <w:r w:rsidRPr="006C0055">
              <w:rPr>
                <w:lang w:val="en-US"/>
              </w:rPr>
              <w:t>Indicator 2</w:t>
            </w:r>
          </w:p>
        </w:tc>
        <w:tc>
          <w:tcPr>
            <w:tcW w:w="7194" w:type="dxa"/>
            <w:shd w:val="clear" w:color="auto" w:fill="FBD4B4"/>
          </w:tcPr>
          <w:p w:rsidR="0005593B" w:rsidRPr="00DA4D23" w:rsidRDefault="0005593B" w:rsidP="003F5ADA">
            <w:pPr>
              <w:pStyle w:val="Bodytext"/>
              <w:numPr>
                <w:ilvl w:val="0"/>
                <w:numId w:val="0"/>
              </w:numPr>
              <w:spacing w:after="240"/>
            </w:pPr>
            <w:r w:rsidRPr="006C0055">
              <w:rPr>
                <w:lang w:val="en-US"/>
              </w:rPr>
              <w:t>The difference in representation of Aboriginal and Torres Strait Islander employees across ACTPS classifications and levels, as measured by average remuneration is progressively reduced.</w:t>
            </w:r>
          </w:p>
        </w:tc>
      </w:tr>
      <w:tr w:rsidR="0005593B" w:rsidRPr="006C0055" w:rsidTr="00D26FE7">
        <w:tc>
          <w:tcPr>
            <w:tcW w:w="1418" w:type="dxa"/>
            <w:gridSpan w:val="2"/>
            <w:shd w:val="clear" w:color="auto" w:fill="FBD4B4"/>
          </w:tcPr>
          <w:p w:rsidR="0005593B" w:rsidRPr="006C0055" w:rsidRDefault="0005593B" w:rsidP="006C0055">
            <w:pPr>
              <w:pStyle w:val="Bodytext"/>
              <w:numPr>
                <w:ilvl w:val="0"/>
                <w:numId w:val="0"/>
              </w:numPr>
              <w:rPr>
                <w:lang w:val="en-US"/>
              </w:rPr>
            </w:pPr>
            <w:r w:rsidRPr="006C0055">
              <w:rPr>
                <w:lang w:val="en-US"/>
              </w:rPr>
              <w:t>Indicator 3</w:t>
            </w:r>
          </w:p>
        </w:tc>
        <w:tc>
          <w:tcPr>
            <w:tcW w:w="7194" w:type="dxa"/>
            <w:shd w:val="clear" w:color="auto" w:fill="FBD4B4"/>
          </w:tcPr>
          <w:p w:rsidR="0005593B" w:rsidRPr="006C0055" w:rsidRDefault="0005593B" w:rsidP="003F5ADA">
            <w:pPr>
              <w:pStyle w:val="Bodytext"/>
              <w:numPr>
                <w:ilvl w:val="0"/>
                <w:numId w:val="0"/>
              </w:numPr>
              <w:spacing w:after="240"/>
              <w:rPr>
                <w:lang w:val="en-US"/>
              </w:rPr>
            </w:pPr>
            <w:r w:rsidRPr="006C0055">
              <w:rPr>
                <w:lang w:val="en-US"/>
              </w:rPr>
              <w:t>The number and percentage share of ACTPS permanent Aboriginal and Torres Strait Islander employees that leave the service is progressively reduced.</w:t>
            </w:r>
          </w:p>
        </w:tc>
      </w:tr>
      <w:tr w:rsidR="0005593B" w:rsidRPr="006C0055" w:rsidTr="00D26FE7">
        <w:tc>
          <w:tcPr>
            <w:tcW w:w="1418" w:type="dxa"/>
            <w:gridSpan w:val="2"/>
            <w:tcBorders>
              <w:bottom w:val="single" w:sz="4" w:space="0" w:color="auto"/>
            </w:tcBorders>
            <w:shd w:val="clear" w:color="auto" w:fill="FBD4B4"/>
          </w:tcPr>
          <w:p w:rsidR="0005593B" w:rsidRDefault="0005593B" w:rsidP="006C0055">
            <w:pPr>
              <w:pStyle w:val="Bodytext"/>
              <w:numPr>
                <w:ilvl w:val="0"/>
                <w:numId w:val="0"/>
              </w:numPr>
            </w:pPr>
            <w:r w:rsidRPr="006C0055">
              <w:rPr>
                <w:lang w:val="en-US"/>
              </w:rPr>
              <w:t>Indicator 4</w:t>
            </w:r>
          </w:p>
        </w:tc>
        <w:tc>
          <w:tcPr>
            <w:tcW w:w="7194" w:type="dxa"/>
            <w:tcBorders>
              <w:bottom w:val="single" w:sz="4" w:space="0" w:color="auto"/>
            </w:tcBorders>
            <w:shd w:val="clear" w:color="auto" w:fill="FBD4B4"/>
          </w:tcPr>
          <w:p w:rsidR="0005593B" w:rsidRPr="006C0055" w:rsidRDefault="0005593B" w:rsidP="003F5ADA">
            <w:pPr>
              <w:pStyle w:val="Bodytext"/>
              <w:numPr>
                <w:ilvl w:val="0"/>
                <w:numId w:val="0"/>
              </w:numPr>
              <w:spacing w:after="240"/>
              <w:rPr>
                <w:lang w:val="en-US"/>
              </w:rPr>
            </w:pPr>
            <w:r w:rsidRPr="006C0055">
              <w:rPr>
                <w:lang w:val="en-US"/>
              </w:rPr>
              <w:t>All Aboriginal and Torres Strait Islander employees in the ACTPS have learning and development</w:t>
            </w:r>
            <w:r w:rsidR="00B94F34" w:rsidRPr="006C0055">
              <w:rPr>
                <w:lang w:val="en-US"/>
              </w:rPr>
              <w:t xml:space="preserve"> </w:t>
            </w:r>
            <w:r w:rsidRPr="006C0055">
              <w:rPr>
                <w:lang w:val="en-US"/>
              </w:rPr>
              <w:t>/ career plans.</w:t>
            </w:r>
          </w:p>
        </w:tc>
      </w:tr>
      <w:tr w:rsidR="00B94F34" w:rsidRPr="006C0055" w:rsidTr="00D26FE7">
        <w:tc>
          <w:tcPr>
            <w:tcW w:w="8612" w:type="dxa"/>
            <w:gridSpan w:val="3"/>
            <w:shd w:val="clear" w:color="auto" w:fill="FABF8F"/>
          </w:tcPr>
          <w:p w:rsidR="00B94F34" w:rsidRPr="00D26FE7" w:rsidRDefault="00B94F34" w:rsidP="006C0055">
            <w:pPr>
              <w:pStyle w:val="Bodytext"/>
              <w:numPr>
                <w:ilvl w:val="0"/>
                <w:numId w:val="0"/>
              </w:numPr>
              <w:rPr>
                <w:sz w:val="24"/>
                <w:lang w:val="en-US"/>
              </w:rPr>
            </w:pPr>
            <w:r w:rsidRPr="00D26FE7">
              <w:rPr>
                <w:b/>
                <w:i/>
                <w:sz w:val="24"/>
                <w:lang w:val="en-US"/>
              </w:rPr>
              <w:t>Attracting Aboriginal and Torres Strait Islander people  to the ACTPS</w:t>
            </w:r>
          </w:p>
        </w:tc>
      </w:tr>
      <w:tr w:rsidR="00B94F34" w:rsidRPr="006C0055" w:rsidTr="00616EB9">
        <w:tc>
          <w:tcPr>
            <w:tcW w:w="1418" w:type="dxa"/>
            <w:gridSpan w:val="2"/>
            <w:tcBorders>
              <w:bottom w:val="single" w:sz="4" w:space="0" w:color="auto"/>
            </w:tcBorders>
            <w:shd w:val="clear" w:color="auto" w:fill="FABF8F"/>
          </w:tcPr>
          <w:p w:rsidR="00B94F34" w:rsidRPr="006C0055" w:rsidRDefault="00B94F34" w:rsidP="006C0055">
            <w:pPr>
              <w:pStyle w:val="Bodytext"/>
              <w:numPr>
                <w:ilvl w:val="0"/>
                <w:numId w:val="0"/>
              </w:numPr>
              <w:rPr>
                <w:lang w:val="en-US"/>
              </w:rPr>
            </w:pPr>
            <w:r w:rsidRPr="006C0055">
              <w:rPr>
                <w:lang w:val="en-US"/>
              </w:rPr>
              <w:t>Indicator 5</w:t>
            </w:r>
          </w:p>
        </w:tc>
        <w:tc>
          <w:tcPr>
            <w:tcW w:w="7194" w:type="dxa"/>
            <w:tcBorders>
              <w:bottom w:val="single" w:sz="4" w:space="0" w:color="auto"/>
            </w:tcBorders>
            <w:shd w:val="clear" w:color="auto" w:fill="FABF8F"/>
          </w:tcPr>
          <w:p w:rsidR="00B94F34" w:rsidRPr="00915A3E" w:rsidRDefault="00B94F34" w:rsidP="003F5ADA">
            <w:pPr>
              <w:pStyle w:val="Bodytext"/>
              <w:numPr>
                <w:ilvl w:val="0"/>
                <w:numId w:val="0"/>
              </w:numPr>
              <w:spacing w:after="240"/>
            </w:pPr>
            <w:r w:rsidRPr="006C0055">
              <w:rPr>
                <w:lang w:val="en-US"/>
              </w:rPr>
              <w:t>The percentage share of the ACTPS composed of Aboriginal and Torres Strait Islander people progressively increases from 176 (or 0.9 per cent) to 407 employees (or 2 per cent) by 2015.</w:t>
            </w:r>
          </w:p>
        </w:tc>
      </w:tr>
      <w:tr w:rsidR="00B94F34" w:rsidRPr="006C0055" w:rsidTr="00616EB9">
        <w:tc>
          <w:tcPr>
            <w:tcW w:w="1418" w:type="dxa"/>
            <w:gridSpan w:val="2"/>
            <w:tcBorders>
              <w:bottom w:val="single" w:sz="4" w:space="0" w:color="auto"/>
            </w:tcBorders>
            <w:shd w:val="clear" w:color="auto" w:fill="FABF8F"/>
          </w:tcPr>
          <w:p w:rsidR="00B94F34" w:rsidRPr="006C0055" w:rsidRDefault="00B94F34" w:rsidP="006C0055">
            <w:pPr>
              <w:pStyle w:val="Bodytext"/>
              <w:numPr>
                <w:ilvl w:val="0"/>
                <w:numId w:val="0"/>
              </w:numPr>
              <w:rPr>
                <w:lang w:val="en-US"/>
              </w:rPr>
            </w:pPr>
            <w:r w:rsidRPr="006C0055">
              <w:rPr>
                <w:lang w:val="en-US"/>
              </w:rPr>
              <w:t>Indicator 6</w:t>
            </w:r>
          </w:p>
        </w:tc>
        <w:tc>
          <w:tcPr>
            <w:tcW w:w="7194" w:type="dxa"/>
            <w:tcBorders>
              <w:bottom w:val="single" w:sz="4" w:space="0" w:color="auto"/>
            </w:tcBorders>
            <w:shd w:val="clear" w:color="auto" w:fill="FABF8F"/>
          </w:tcPr>
          <w:p w:rsidR="003F5ADA" w:rsidRPr="003F5ADA" w:rsidRDefault="00B94F34" w:rsidP="003F5ADA">
            <w:pPr>
              <w:pStyle w:val="Bodytext"/>
              <w:numPr>
                <w:ilvl w:val="0"/>
                <w:numId w:val="0"/>
              </w:numPr>
              <w:spacing w:after="240"/>
              <w:rPr>
                <w:lang w:val="en-US"/>
              </w:rPr>
            </w:pPr>
            <w:r w:rsidRPr="006C0055">
              <w:rPr>
                <w:lang w:val="en-US"/>
              </w:rPr>
              <w:t>The number and percentage share of new ACTPS permanent employees recruited who tell us they are an Aboriginal or Torres Strait Islander person is progressively increased.</w:t>
            </w:r>
          </w:p>
        </w:tc>
      </w:tr>
      <w:tr w:rsidR="00B27F9C" w:rsidRPr="006C0055" w:rsidTr="006C0055">
        <w:tc>
          <w:tcPr>
            <w:tcW w:w="887" w:type="dxa"/>
            <w:tcBorders>
              <w:top w:val="single" w:sz="4" w:space="0" w:color="auto"/>
              <w:left w:val="nil"/>
              <w:bottom w:val="nil"/>
              <w:right w:val="nil"/>
            </w:tcBorders>
          </w:tcPr>
          <w:p w:rsidR="00B27F9C" w:rsidRPr="006C0055" w:rsidRDefault="00B27F9C" w:rsidP="00D26FE7">
            <w:pPr>
              <w:pStyle w:val="Bodytext"/>
              <w:numPr>
                <w:ilvl w:val="0"/>
                <w:numId w:val="0"/>
              </w:numPr>
              <w:spacing w:before="120" w:after="0" w:line="240" w:lineRule="auto"/>
              <w:rPr>
                <w:b/>
                <w:sz w:val="20"/>
                <w:szCs w:val="20"/>
                <w:lang w:val="en-US"/>
              </w:rPr>
            </w:pPr>
            <w:r w:rsidRPr="006C0055">
              <w:rPr>
                <w:b/>
                <w:sz w:val="20"/>
                <w:szCs w:val="20"/>
                <w:lang w:val="en-US"/>
              </w:rPr>
              <w:t>Source:</w:t>
            </w:r>
          </w:p>
        </w:tc>
        <w:tc>
          <w:tcPr>
            <w:tcW w:w="7725" w:type="dxa"/>
            <w:gridSpan w:val="2"/>
            <w:tcBorders>
              <w:top w:val="single" w:sz="4" w:space="0" w:color="auto"/>
              <w:left w:val="nil"/>
              <w:bottom w:val="nil"/>
              <w:right w:val="nil"/>
            </w:tcBorders>
          </w:tcPr>
          <w:p w:rsidR="00B27F9C" w:rsidRPr="006C0055" w:rsidRDefault="00B27F9C" w:rsidP="00D26FE7">
            <w:pPr>
              <w:pStyle w:val="Bodytext"/>
              <w:numPr>
                <w:ilvl w:val="0"/>
                <w:numId w:val="0"/>
              </w:numPr>
              <w:spacing w:before="120" w:after="0" w:line="240" w:lineRule="auto"/>
              <w:rPr>
                <w:sz w:val="20"/>
                <w:szCs w:val="20"/>
                <w:lang w:val="en-US"/>
              </w:rPr>
            </w:pPr>
            <w:r w:rsidRPr="006C0055">
              <w:rPr>
                <w:sz w:val="20"/>
                <w:szCs w:val="20"/>
              </w:rPr>
              <w:t xml:space="preserve">ACT Public Service, </w:t>
            </w:r>
            <w:r w:rsidRPr="006C0055">
              <w:rPr>
                <w:i/>
                <w:sz w:val="20"/>
                <w:szCs w:val="20"/>
              </w:rPr>
              <w:t xml:space="preserve">Employment Strategy for Aboriginal and Torres Strait Islander People </w:t>
            </w:r>
            <w:r w:rsidRPr="006C0055">
              <w:rPr>
                <w:sz w:val="20"/>
                <w:szCs w:val="20"/>
              </w:rPr>
              <w:t>[2011-2015], p. 11.</w:t>
            </w:r>
          </w:p>
        </w:tc>
      </w:tr>
    </w:tbl>
    <w:p w:rsidR="00C7276D" w:rsidRDefault="00C7276D" w:rsidP="00C7276D">
      <w:pPr>
        <w:pStyle w:val="Bodytext"/>
        <w:numPr>
          <w:ilvl w:val="0"/>
          <w:numId w:val="0"/>
        </w:numPr>
        <w:rPr>
          <w:lang w:val="en-US"/>
        </w:rPr>
      </w:pPr>
    </w:p>
    <w:p w:rsidR="00D26FE7" w:rsidRDefault="00D26FE7" w:rsidP="00C7276D">
      <w:pPr>
        <w:pStyle w:val="Bodytext"/>
        <w:numPr>
          <w:ilvl w:val="0"/>
          <w:numId w:val="0"/>
        </w:numPr>
        <w:rPr>
          <w:lang w:val="en-US"/>
        </w:rPr>
      </w:pPr>
    </w:p>
    <w:p w:rsidR="009A42A5" w:rsidRPr="00557F20" w:rsidRDefault="009A42A5" w:rsidP="00557F20">
      <w:pPr>
        <w:pStyle w:val="Headinglevel2"/>
        <w:rPr>
          <w:lang w:val="en-US"/>
        </w:rPr>
      </w:pPr>
      <w:bookmarkStart w:id="53" w:name="_Toc383615030"/>
      <w:r w:rsidRPr="00557F20">
        <w:rPr>
          <w:lang w:val="en-US"/>
        </w:rPr>
        <w:t>Implementation</w:t>
      </w:r>
      <w:bookmarkEnd w:id="53"/>
      <w:r w:rsidR="001A7EA6" w:rsidRPr="00557F20">
        <w:rPr>
          <w:lang w:val="en-US"/>
        </w:rPr>
        <w:t xml:space="preserve"> </w:t>
      </w:r>
    </w:p>
    <w:p w:rsidR="001A7EA6" w:rsidRPr="001A735A" w:rsidRDefault="00D56007" w:rsidP="001A7EA6">
      <w:pPr>
        <w:pStyle w:val="Bodytext"/>
        <w:rPr>
          <w:lang w:val="en-US"/>
        </w:rPr>
      </w:pPr>
      <w:r w:rsidRPr="001A735A">
        <w:rPr>
          <w:lang w:val="en-US"/>
        </w:rPr>
        <w:t xml:space="preserve">The Employment Strategy </w:t>
      </w:r>
      <w:r w:rsidR="00085C40">
        <w:rPr>
          <w:lang w:val="en-US"/>
        </w:rPr>
        <w:t xml:space="preserve">document </w:t>
      </w:r>
      <w:r w:rsidRPr="001A735A">
        <w:rPr>
          <w:lang w:val="en-US"/>
        </w:rPr>
        <w:t xml:space="preserve">suggests that the ACTPS </w:t>
      </w:r>
      <w:r w:rsidR="00557F20" w:rsidRPr="001A735A">
        <w:rPr>
          <w:lang w:val="en-US"/>
        </w:rPr>
        <w:t xml:space="preserve">had developed </w:t>
      </w:r>
      <w:r w:rsidRPr="001A735A">
        <w:rPr>
          <w:lang w:val="en-US"/>
        </w:rPr>
        <w:t xml:space="preserve">a </w:t>
      </w:r>
      <w:r w:rsidR="00557F20" w:rsidRPr="001A735A">
        <w:rPr>
          <w:lang w:val="en-US"/>
        </w:rPr>
        <w:t xml:space="preserve">comprehensive </w:t>
      </w:r>
      <w:r w:rsidRPr="001A735A">
        <w:rPr>
          <w:lang w:val="en-US"/>
        </w:rPr>
        <w:t xml:space="preserve">approach to implementation.  </w:t>
      </w:r>
      <w:r w:rsidR="00557F20" w:rsidRPr="001A735A">
        <w:rPr>
          <w:lang w:val="en-US"/>
        </w:rPr>
        <w:t xml:space="preserve"> Evidence of this is found in the various Actions listed under each Objective and the </w:t>
      </w:r>
      <w:r w:rsidR="00557F20" w:rsidRPr="001A735A">
        <w:rPr>
          <w:i/>
          <w:lang w:val="en-US"/>
        </w:rPr>
        <w:t>Employment Strategy Action Plan</w:t>
      </w:r>
      <w:r w:rsidRPr="001A735A">
        <w:rPr>
          <w:lang w:val="en-US"/>
        </w:rPr>
        <w:t xml:space="preserve">.  </w:t>
      </w:r>
      <w:r w:rsidR="00557F20" w:rsidRPr="001A735A">
        <w:rPr>
          <w:lang w:val="en-US"/>
        </w:rPr>
        <w:t xml:space="preserve"> That said, it </w:t>
      </w:r>
      <w:r w:rsidRPr="001A735A">
        <w:rPr>
          <w:lang w:val="en-US"/>
        </w:rPr>
        <w:t xml:space="preserve">is not clear what happened </w:t>
      </w:r>
      <w:r w:rsidR="00557F20" w:rsidRPr="001A735A">
        <w:rPr>
          <w:lang w:val="en-US"/>
        </w:rPr>
        <w:t>after the launch of the Employment Strategy</w:t>
      </w:r>
      <w:r w:rsidR="00A6186D">
        <w:rPr>
          <w:lang w:val="en-US"/>
        </w:rPr>
        <w:t>.  T</w:t>
      </w:r>
      <w:r w:rsidRPr="001A735A">
        <w:rPr>
          <w:lang w:val="en-US"/>
        </w:rPr>
        <w:t xml:space="preserve">he Committee </w:t>
      </w:r>
      <w:r w:rsidR="00A6186D">
        <w:rPr>
          <w:lang w:val="en-US"/>
        </w:rPr>
        <w:t xml:space="preserve">notes that may have been </w:t>
      </w:r>
      <w:r w:rsidR="00E550E5">
        <w:rPr>
          <w:lang w:val="en-US"/>
        </w:rPr>
        <w:t>competing priorities</w:t>
      </w:r>
      <w:r w:rsidR="00A6186D">
        <w:rPr>
          <w:lang w:val="en-US"/>
        </w:rPr>
        <w:t xml:space="preserve"> when implementation began</w:t>
      </w:r>
      <w:r w:rsidR="00362151">
        <w:rPr>
          <w:lang w:val="en-US"/>
        </w:rPr>
        <w:t>.</w:t>
      </w:r>
      <w:r w:rsidR="00E550E5">
        <w:rPr>
          <w:lang w:val="en-US"/>
        </w:rPr>
        <w:t xml:space="preserve">  </w:t>
      </w:r>
      <w:r w:rsidR="00085C40">
        <w:rPr>
          <w:lang w:val="en-US"/>
        </w:rPr>
        <w:t>In particular, f</w:t>
      </w:r>
      <w:r w:rsidR="001A7EA6" w:rsidRPr="001A735A">
        <w:rPr>
          <w:lang w:val="en-US"/>
        </w:rPr>
        <w:t>rom 2011</w:t>
      </w:r>
      <w:r w:rsidR="00A93F8C">
        <w:rPr>
          <w:lang w:val="en-US"/>
        </w:rPr>
        <w:t xml:space="preserve"> </w:t>
      </w:r>
      <w:r w:rsidRPr="001A735A">
        <w:rPr>
          <w:lang w:val="en-US"/>
        </w:rPr>
        <w:t xml:space="preserve">the ACTPS </w:t>
      </w:r>
      <w:r w:rsidR="00557F20" w:rsidRPr="001A735A">
        <w:rPr>
          <w:lang w:val="en-US"/>
        </w:rPr>
        <w:t xml:space="preserve">began </w:t>
      </w:r>
      <w:r w:rsidRPr="001A735A">
        <w:rPr>
          <w:lang w:val="en-US"/>
        </w:rPr>
        <w:t xml:space="preserve">a </w:t>
      </w:r>
      <w:r w:rsidR="001A7EA6" w:rsidRPr="001A735A">
        <w:rPr>
          <w:lang w:val="en-US"/>
        </w:rPr>
        <w:t xml:space="preserve">major </w:t>
      </w:r>
      <w:r w:rsidRPr="001A735A">
        <w:rPr>
          <w:lang w:val="en-US"/>
        </w:rPr>
        <w:t>organi</w:t>
      </w:r>
      <w:r w:rsidR="00557F20" w:rsidRPr="001A735A">
        <w:rPr>
          <w:lang w:val="en-US"/>
        </w:rPr>
        <w:t>s</w:t>
      </w:r>
      <w:r w:rsidRPr="001A735A">
        <w:rPr>
          <w:lang w:val="en-US"/>
        </w:rPr>
        <w:t>ational change as it sought to implement the recommendation</w:t>
      </w:r>
      <w:r w:rsidR="00557F20" w:rsidRPr="001A735A">
        <w:rPr>
          <w:lang w:val="en-US"/>
        </w:rPr>
        <w:t>s</w:t>
      </w:r>
      <w:r w:rsidRPr="001A735A">
        <w:rPr>
          <w:lang w:val="en-US"/>
        </w:rPr>
        <w:t xml:space="preserve"> to the </w:t>
      </w:r>
      <w:r w:rsidR="001A7EA6" w:rsidRPr="00A6186D">
        <w:rPr>
          <w:i/>
          <w:lang w:val="en-US"/>
        </w:rPr>
        <w:t>Review of ACT Public Sector Structures and Capacity</w:t>
      </w:r>
      <w:r w:rsidR="00557F20" w:rsidRPr="001A735A">
        <w:rPr>
          <w:lang w:val="en-US"/>
        </w:rPr>
        <w:t xml:space="preserve">, which had been </w:t>
      </w:r>
      <w:r w:rsidR="00A6186D">
        <w:rPr>
          <w:lang w:val="en-US"/>
        </w:rPr>
        <w:t xml:space="preserve">conducted </w:t>
      </w:r>
      <w:r w:rsidR="00557F20" w:rsidRPr="001A735A">
        <w:rPr>
          <w:lang w:val="en-US"/>
        </w:rPr>
        <w:t>by Dr Alan Hawke</w:t>
      </w:r>
      <w:r w:rsidR="001A7EA6" w:rsidRPr="001A735A">
        <w:rPr>
          <w:lang w:val="en-US"/>
        </w:rPr>
        <w:t xml:space="preserve">. </w:t>
      </w:r>
      <w:r w:rsidR="001A735A" w:rsidRPr="001A735A">
        <w:rPr>
          <w:lang w:val="en-US"/>
        </w:rPr>
        <w:t xml:space="preserve"> </w:t>
      </w:r>
    </w:p>
    <w:p w:rsidR="003E37D2" w:rsidRDefault="004D5416" w:rsidP="003E37D2">
      <w:pPr>
        <w:pStyle w:val="Headinglevel3"/>
        <w:rPr>
          <w:lang w:val="en-US"/>
        </w:rPr>
      </w:pPr>
      <w:r>
        <w:rPr>
          <w:lang w:val="en-US"/>
        </w:rPr>
        <w:t xml:space="preserve">Strategic Board </w:t>
      </w:r>
    </w:p>
    <w:p w:rsidR="005C75EE" w:rsidRDefault="001A735A" w:rsidP="0041783D">
      <w:pPr>
        <w:pStyle w:val="Bodytext"/>
        <w:rPr>
          <w:lang w:val="en-US"/>
        </w:rPr>
      </w:pPr>
      <w:r w:rsidRPr="001A735A">
        <w:rPr>
          <w:lang w:val="en-US"/>
        </w:rPr>
        <w:t xml:space="preserve">One recommendation </w:t>
      </w:r>
      <w:r>
        <w:rPr>
          <w:lang w:val="en-US"/>
        </w:rPr>
        <w:t xml:space="preserve">of the Hawke Review </w:t>
      </w:r>
      <w:r w:rsidRPr="001A735A">
        <w:rPr>
          <w:lang w:val="en-US"/>
        </w:rPr>
        <w:t xml:space="preserve">was the creation of </w:t>
      </w:r>
      <w:r w:rsidR="001A7EA6" w:rsidRPr="001A735A">
        <w:rPr>
          <w:lang w:val="en-US"/>
        </w:rPr>
        <w:t>a Strategic Board to provide leadership and direction to the ACTPS</w:t>
      </w:r>
      <w:r w:rsidRPr="001A735A">
        <w:rPr>
          <w:lang w:val="en-US"/>
        </w:rPr>
        <w:t xml:space="preserve">.  The Board is chaired by the Head of ACT Public Service (known as the Head of Service) and members include the directors-general of each directorate.   </w:t>
      </w:r>
      <w:r w:rsidR="005C75EE">
        <w:rPr>
          <w:lang w:val="en-US"/>
        </w:rPr>
        <w:t>From the ACTPS submission, i</w:t>
      </w:r>
      <w:r w:rsidRPr="001A735A">
        <w:rPr>
          <w:lang w:val="en-US"/>
        </w:rPr>
        <w:t xml:space="preserve">t is apparent that </w:t>
      </w:r>
      <w:r w:rsidR="001A7EA6" w:rsidRPr="001A735A">
        <w:rPr>
          <w:lang w:val="en-US"/>
        </w:rPr>
        <w:t>implementation of the Employment Strategy was devolved to the heads of the newly created directorates</w:t>
      </w:r>
      <w:r w:rsidR="005C75EE">
        <w:rPr>
          <w:lang w:val="en-US"/>
        </w:rPr>
        <w:t xml:space="preserve">: </w:t>
      </w:r>
    </w:p>
    <w:p w:rsidR="005C75EE" w:rsidRPr="005C75EE" w:rsidRDefault="005C75EE" w:rsidP="005C75EE">
      <w:pPr>
        <w:pStyle w:val="Quote"/>
        <w:rPr>
          <w:lang w:val="en-US"/>
        </w:rPr>
      </w:pPr>
      <w:r w:rsidRPr="005C75EE">
        <w:rPr>
          <w:lang w:val="en-US"/>
        </w:rPr>
        <w:t xml:space="preserve">Implementation of the employment strategy across the ACTPS is the responsibility of all directorates and agencies. A particularly important role is, however, played by Community Services Directorate (CSD). </w:t>
      </w:r>
      <w:r>
        <w:rPr>
          <w:lang w:val="en-US"/>
        </w:rPr>
        <w:t xml:space="preserve"> </w:t>
      </w:r>
      <w:r w:rsidRPr="005C75EE">
        <w:rPr>
          <w:lang w:val="en-US"/>
        </w:rPr>
        <w:t>As the directorate with portfolio responsibility for Aboriginal and Torres Strait Islander Affairs, there is a wealth of knowledge and experience in CSD that informs and bolsters the employment strategy. This arrangement enables the ACTPS to draw on increased resources to give the employment strategy more reach</w:t>
      </w:r>
      <w:r>
        <w:rPr>
          <w:lang w:val="en-US"/>
        </w:rPr>
        <w:t xml:space="preserve"> …</w:t>
      </w:r>
      <w:r>
        <w:rPr>
          <w:rStyle w:val="FootnoteReference"/>
          <w:lang w:val="en-US"/>
        </w:rPr>
        <w:footnoteReference w:id="20"/>
      </w:r>
    </w:p>
    <w:p w:rsidR="0034498B" w:rsidRDefault="001A735A" w:rsidP="0041783D">
      <w:pPr>
        <w:pStyle w:val="Bodytext"/>
        <w:rPr>
          <w:lang w:val="en-US"/>
        </w:rPr>
      </w:pPr>
      <w:r>
        <w:rPr>
          <w:lang w:val="en-US"/>
        </w:rPr>
        <w:t xml:space="preserve">The ACTPS submission </w:t>
      </w:r>
      <w:r w:rsidR="008D519E">
        <w:rPr>
          <w:lang w:val="en-US"/>
        </w:rPr>
        <w:t>state</w:t>
      </w:r>
      <w:r w:rsidR="00085C40">
        <w:rPr>
          <w:lang w:val="en-US"/>
        </w:rPr>
        <w:t>s</w:t>
      </w:r>
      <w:r w:rsidR="008D519E">
        <w:rPr>
          <w:lang w:val="en-US"/>
        </w:rPr>
        <w:t xml:space="preserve"> </w:t>
      </w:r>
      <w:r>
        <w:rPr>
          <w:lang w:val="en-US"/>
        </w:rPr>
        <w:t>that top level support for the Employment Strategy is reflected in it being a regular agenda item for the Strategic Board</w:t>
      </w:r>
      <w:r w:rsidR="008D519E">
        <w:rPr>
          <w:lang w:val="en-US"/>
        </w:rPr>
        <w:t xml:space="preserve"> and that there is a dedicated sub-committee on the Board to oversee, ‘ … </w:t>
      </w:r>
      <w:r w:rsidR="00A93F8C">
        <w:rPr>
          <w:lang w:val="en-US"/>
        </w:rPr>
        <w:t xml:space="preserve"> </w:t>
      </w:r>
      <w:r w:rsidR="008D519E" w:rsidRPr="008D519E">
        <w:rPr>
          <w:lang w:val="en-US"/>
        </w:rPr>
        <w:t>progress on Aboriginal and Torres Strait Islander employment in the ACTPS, as well as policy and service issues in the broader community</w:t>
      </w:r>
      <w:r w:rsidR="008D519E">
        <w:rPr>
          <w:lang w:val="en-US"/>
        </w:rPr>
        <w:t>’.</w:t>
      </w:r>
      <w:r w:rsidR="008D519E" w:rsidRPr="00A93F8C">
        <w:rPr>
          <w:vertAlign w:val="superscript"/>
        </w:rPr>
        <w:footnoteReference w:id="21"/>
      </w:r>
      <w:r>
        <w:rPr>
          <w:lang w:val="en-US"/>
        </w:rPr>
        <w:t xml:space="preserve"> </w:t>
      </w:r>
      <w:r w:rsidR="008D519E">
        <w:rPr>
          <w:lang w:val="en-US"/>
        </w:rPr>
        <w:t xml:space="preserve"> </w:t>
      </w:r>
      <w:r w:rsidR="00A93F8C">
        <w:rPr>
          <w:lang w:val="en-US"/>
        </w:rPr>
        <w:t>I</w:t>
      </w:r>
      <w:r w:rsidR="008D519E">
        <w:rPr>
          <w:lang w:val="en-US"/>
        </w:rPr>
        <w:t>t</w:t>
      </w:r>
      <w:r w:rsidR="004B59E8">
        <w:rPr>
          <w:lang w:val="en-US"/>
        </w:rPr>
        <w:t> </w:t>
      </w:r>
      <w:r w:rsidR="008D519E">
        <w:rPr>
          <w:lang w:val="en-US"/>
        </w:rPr>
        <w:t xml:space="preserve">is not clear that this has always been the case or </w:t>
      </w:r>
      <w:r w:rsidR="00085C40">
        <w:rPr>
          <w:lang w:val="en-US"/>
        </w:rPr>
        <w:t xml:space="preserve">if it is </w:t>
      </w:r>
      <w:r w:rsidR="00F33726">
        <w:rPr>
          <w:lang w:val="en-US"/>
        </w:rPr>
        <w:t>a more recent</w:t>
      </w:r>
      <w:r w:rsidR="008D519E">
        <w:rPr>
          <w:lang w:val="en-US"/>
        </w:rPr>
        <w:t xml:space="preserve"> development</w:t>
      </w:r>
      <w:r w:rsidR="00085C40">
        <w:rPr>
          <w:lang w:val="en-US"/>
        </w:rPr>
        <w:t xml:space="preserve">.  </w:t>
      </w:r>
      <w:r w:rsidR="0034498B">
        <w:rPr>
          <w:lang w:val="en-US"/>
        </w:rPr>
        <w:t xml:space="preserve">The ACTPS did not provide details of membership but the </w:t>
      </w:r>
      <w:r w:rsidR="008D519E">
        <w:rPr>
          <w:lang w:val="en-US"/>
        </w:rPr>
        <w:t xml:space="preserve">Committee </w:t>
      </w:r>
      <w:r w:rsidR="0034498B">
        <w:rPr>
          <w:lang w:val="en-US"/>
        </w:rPr>
        <w:t xml:space="preserve">notes from the </w:t>
      </w:r>
      <w:r w:rsidR="00323080">
        <w:rPr>
          <w:lang w:val="en-US"/>
        </w:rPr>
        <w:t xml:space="preserve">Elected Body </w:t>
      </w:r>
      <w:r w:rsidR="0034498B">
        <w:rPr>
          <w:lang w:val="en-US"/>
        </w:rPr>
        <w:t xml:space="preserve">’s Report to Government states:  </w:t>
      </w:r>
    </w:p>
    <w:p w:rsidR="00D56007" w:rsidRDefault="008D519E" w:rsidP="0034498B">
      <w:pPr>
        <w:pStyle w:val="Quote"/>
        <w:rPr>
          <w:lang w:val="en-US"/>
        </w:rPr>
      </w:pPr>
      <w:r>
        <w:rPr>
          <w:lang w:val="en-US"/>
        </w:rPr>
        <w:t xml:space="preserve"> </w:t>
      </w:r>
      <w:r w:rsidR="0034498B">
        <w:rPr>
          <w:lang w:val="en-US"/>
        </w:rPr>
        <w:t xml:space="preserve">The Aboriginal and Torres Strait Islander Sub-Committee of the </w:t>
      </w:r>
      <w:r w:rsidR="004D5416">
        <w:rPr>
          <w:lang w:val="en-US"/>
        </w:rPr>
        <w:t xml:space="preserve">Strategic </w:t>
      </w:r>
      <w:r w:rsidR="00362151">
        <w:rPr>
          <w:lang w:val="en-US"/>
        </w:rPr>
        <w:t>Board has</w:t>
      </w:r>
      <w:r w:rsidR="0034498B">
        <w:rPr>
          <w:lang w:val="en-US"/>
        </w:rPr>
        <w:t xml:space="preserve"> oversight of the implementation of the recommendations arising from the </w:t>
      </w:r>
      <w:r w:rsidR="002456EB">
        <w:rPr>
          <w:lang w:val="en-US"/>
        </w:rPr>
        <w:t xml:space="preserve">ATSIEB </w:t>
      </w:r>
      <w:r w:rsidR="0034498B">
        <w:rPr>
          <w:lang w:val="en-US"/>
        </w:rPr>
        <w:t>estimate</w:t>
      </w:r>
      <w:r w:rsidR="002456EB">
        <w:rPr>
          <w:lang w:val="en-US"/>
        </w:rPr>
        <w:t>[s]</w:t>
      </w:r>
      <w:r w:rsidR="0034498B">
        <w:rPr>
          <w:lang w:val="en-US"/>
        </w:rPr>
        <w:t xml:space="preserve"> reports. </w:t>
      </w:r>
    </w:p>
    <w:p w:rsidR="0034498B" w:rsidRDefault="0034498B" w:rsidP="0034498B">
      <w:pPr>
        <w:pStyle w:val="Quote"/>
        <w:rPr>
          <w:lang w:val="en-US"/>
        </w:rPr>
      </w:pPr>
      <w:r>
        <w:rPr>
          <w:lang w:val="en-US"/>
        </w:rPr>
        <w:t xml:space="preserve">Membership of the Sub-Committee comprises the </w:t>
      </w:r>
      <w:r w:rsidR="002456EB">
        <w:rPr>
          <w:lang w:val="en-US"/>
        </w:rPr>
        <w:t>ATSIEB</w:t>
      </w:r>
      <w:r>
        <w:rPr>
          <w:lang w:val="en-US"/>
        </w:rPr>
        <w:t xml:space="preserve"> Chair, Director</w:t>
      </w:r>
      <w:r w:rsidR="002456EB">
        <w:rPr>
          <w:lang w:val="en-US"/>
        </w:rPr>
        <w:t>[s]</w:t>
      </w:r>
      <w:r>
        <w:rPr>
          <w:lang w:val="en-US"/>
        </w:rPr>
        <w:t xml:space="preserve"> General</w:t>
      </w:r>
      <w:r w:rsidR="002456EB">
        <w:rPr>
          <w:lang w:val="en-US"/>
        </w:rPr>
        <w:t xml:space="preserve"> … </w:t>
      </w:r>
      <w:r>
        <w:rPr>
          <w:lang w:val="en-US"/>
        </w:rPr>
        <w:t xml:space="preserve"> of Community Services, Education and Training, Health, Justice and Community Safety, Chief Minister and Territory and the Chief of Police.</w:t>
      </w:r>
      <w:r>
        <w:rPr>
          <w:rStyle w:val="FootnoteReference"/>
          <w:lang w:val="en-US"/>
        </w:rPr>
        <w:footnoteReference w:id="22"/>
      </w:r>
    </w:p>
    <w:p w:rsidR="005C75EE" w:rsidRDefault="005C2A58" w:rsidP="0041783D">
      <w:pPr>
        <w:pStyle w:val="Bodytext"/>
        <w:rPr>
          <w:lang w:val="en-US"/>
        </w:rPr>
      </w:pPr>
      <w:r>
        <w:rPr>
          <w:lang w:val="en-US"/>
        </w:rPr>
        <w:t>To an outsider t</w:t>
      </w:r>
      <w:r w:rsidR="005C75EE">
        <w:rPr>
          <w:lang w:val="en-US"/>
        </w:rPr>
        <w:t xml:space="preserve">here is </w:t>
      </w:r>
      <w:r>
        <w:rPr>
          <w:lang w:val="en-US"/>
        </w:rPr>
        <w:t>a lack of clarity about roles and responsibilities for implementation</w:t>
      </w:r>
      <w:r w:rsidR="0034498B">
        <w:rPr>
          <w:lang w:val="en-US"/>
        </w:rPr>
        <w:t xml:space="preserve"> within the ACTPS</w:t>
      </w:r>
      <w:r>
        <w:rPr>
          <w:lang w:val="en-US"/>
        </w:rPr>
        <w:t xml:space="preserve">.  </w:t>
      </w:r>
      <w:r w:rsidR="004B59E8">
        <w:rPr>
          <w:lang w:val="en-US"/>
        </w:rPr>
        <w:t xml:space="preserve"> The Committee has been told that </w:t>
      </w:r>
      <w:r>
        <w:rPr>
          <w:lang w:val="en-US"/>
        </w:rPr>
        <w:t xml:space="preserve">implementation of the </w:t>
      </w:r>
      <w:r w:rsidR="005C75EE">
        <w:rPr>
          <w:lang w:val="en-US"/>
        </w:rPr>
        <w:t xml:space="preserve">Employment Strategy </w:t>
      </w:r>
      <w:r>
        <w:rPr>
          <w:lang w:val="en-US"/>
        </w:rPr>
        <w:t xml:space="preserve">is </w:t>
      </w:r>
      <w:r w:rsidR="005C75EE">
        <w:rPr>
          <w:lang w:val="en-US"/>
        </w:rPr>
        <w:t>the responsibility o</w:t>
      </w:r>
      <w:r>
        <w:rPr>
          <w:lang w:val="en-US"/>
        </w:rPr>
        <w:t>f all directorates and agencies</w:t>
      </w:r>
      <w:r w:rsidR="004B59E8">
        <w:rPr>
          <w:lang w:val="en-US"/>
        </w:rPr>
        <w:t xml:space="preserve"> and that it is </w:t>
      </w:r>
      <w:r>
        <w:rPr>
          <w:lang w:val="en-US"/>
        </w:rPr>
        <w:t xml:space="preserve">also </w:t>
      </w:r>
      <w:r w:rsidR="005C75EE">
        <w:rPr>
          <w:lang w:val="en-US"/>
        </w:rPr>
        <w:t xml:space="preserve">being directed by the </w:t>
      </w:r>
      <w:r w:rsidR="004D5416">
        <w:rPr>
          <w:lang w:val="en-US"/>
        </w:rPr>
        <w:t xml:space="preserve">Strategic </w:t>
      </w:r>
      <w:r w:rsidR="00362151">
        <w:rPr>
          <w:lang w:val="en-US"/>
        </w:rPr>
        <w:t xml:space="preserve">Board. </w:t>
      </w:r>
    </w:p>
    <w:p w:rsidR="008D519E" w:rsidRDefault="008D519E" w:rsidP="0041783D">
      <w:pPr>
        <w:pStyle w:val="Bodytext"/>
        <w:rPr>
          <w:lang w:val="en-US"/>
        </w:rPr>
      </w:pPr>
      <w:r>
        <w:rPr>
          <w:lang w:val="en-US"/>
        </w:rPr>
        <w:t xml:space="preserve">Other elements of the implementation are: </w:t>
      </w:r>
    </w:p>
    <w:p w:rsidR="008D519E" w:rsidRDefault="008D519E" w:rsidP="00A146E9">
      <w:pPr>
        <w:pStyle w:val="ListBullet"/>
        <w:rPr>
          <w:lang w:val="en-US"/>
        </w:rPr>
      </w:pPr>
      <w:r>
        <w:rPr>
          <w:lang w:val="en-US"/>
        </w:rPr>
        <w:t xml:space="preserve">dedicated resources allocated to the Employment Strategy through the budget; </w:t>
      </w:r>
    </w:p>
    <w:p w:rsidR="00832B0F" w:rsidRDefault="008D519E" w:rsidP="00A146E9">
      <w:pPr>
        <w:pStyle w:val="ListBullet"/>
        <w:rPr>
          <w:lang w:val="en-US"/>
        </w:rPr>
      </w:pPr>
      <w:r>
        <w:rPr>
          <w:lang w:val="en-US"/>
        </w:rPr>
        <w:t xml:space="preserve">a senior officer in the Chief Minister and Treasury Directorate (CMTD) </w:t>
      </w:r>
      <w:r w:rsidR="00832B0F">
        <w:rPr>
          <w:lang w:val="en-US"/>
        </w:rPr>
        <w:t>employed to co-ordinate the People with a Disability Strategy and the Employment Strategy  for Aboriginal and Torres Strait Islander people;</w:t>
      </w:r>
    </w:p>
    <w:p w:rsidR="008D519E" w:rsidRDefault="00832B0F" w:rsidP="00A146E9">
      <w:pPr>
        <w:pStyle w:val="ListBullet"/>
        <w:rPr>
          <w:lang w:val="en-US"/>
        </w:rPr>
      </w:pPr>
      <w:r>
        <w:rPr>
          <w:lang w:val="en-US"/>
        </w:rPr>
        <w:t>six agencies having made internal budget decisions to recruit Aboriginal and Torres Strait Islander Liaison Officer</w:t>
      </w:r>
      <w:r w:rsidR="00F33726">
        <w:rPr>
          <w:lang w:val="en-US"/>
        </w:rPr>
        <w:t>s</w:t>
      </w:r>
      <w:r>
        <w:rPr>
          <w:lang w:val="en-US"/>
        </w:rPr>
        <w:t xml:space="preserve">. </w:t>
      </w:r>
    </w:p>
    <w:p w:rsidR="00832B0F" w:rsidRDefault="00832B0F" w:rsidP="0041783D">
      <w:pPr>
        <w:pStyle w:val="Bodytext"/>
        <w:rPr>
          <w:lang w:val="en-US"/>
        </w:rPr>
      </w:pPr>
      <w:r>
        <w:rPr>
          <w:lang w:val="en-US"/>
        </w:rPr>
        <w:t xml:space="preserve">The Committee notes that the ACTPS submission says nothing about the timing and duration of the abovementioned elements.   </w:t>
      </w:r>
    </w:p>
    <w:p w:rsidR="004B59E8" w:rsidRPr="004D5746" w:rsidRDefault="004B59E8" w:rsidP="004D5746">
      <w:pPr>
        <w:pStyle w:val="Bodytext"/>
        <w:rPr>
          <w:lang w:val="en-US"/>
        </w:rPr>
      </w:pPr>
      <w:r w:rsidRPr="004D5746">
        <w:rPr>
          <w:lang w:val="en-US"/>
        </w:rPr>
        <w:t xml:space="preserve">The Committee also notes </w:t>
      </w:r>
      <w:r w:rsidR="004D5746" w:rsidRPr="004D5746">
        <w:rPr>
          <w:lang w:val="en-US"/>
        </w:rPr>
        <w:t xml:space="preserve">that on 27 February 2014 the </w:t>
      </w:r>
      <w:r w:rsidRPr="004D5746">
        <w:rPr>
          <w:lang w:val="en-US"/>
        </w:rPr>
        <w:t xml:space="preserve">Minister for Aboriginal and Torres Strait Islander </w:t>
      </w:r>
      <w:r w:rsidR="004D5746" w:rsidRPr="004D5746">
        <w:rPr>
          <w:lang w:val="en-US"/>
        </w:rPr>
        <w:t xml:space="preserve">Affairs announced </w:t>
      </w:r>
      <w:r w:rsidR="002456EB">
        <w:rPr>
          <w:lang w:val="en-US"/>
        </w:rPr>
        <w:t xml:space="preserve">the </w:t>
      </w:r>
      <w:r w:rsidRPr="004D5746">
        <w:rPr>
          <w:lang w:val="en-US"/>
        </w:rPr>
        <w:t xml:space="preserve">ACT Government </w:t>
      </w:r>
      <w:r w:rsidR="004D5746" w:rsidRPr="004D5746">
        <w:rPr>
          <w:lang w:val="en-US"/>
        </w:rPr>
        <w:t xml:space="preserve">will </w:t>
      </w:r>
      <w:r w:rsidRPr="004D5746">
        <w:rPr>
          <w:lang w:val="en-US"/>
        </w:rPr>
        <w:t>develop</w:t>
      </w:r>
      <w:r w:rsidR="004D5746" w:rsidRPr="004D5746">
        <w:rPr>
          <w:lang w:val="en-US"/>
        </w:rPr>
        <w:t xml:space="preserve"> what he called t</w:t>
      </w:r>
      <w:r w:rsidRPr="004D5746">
        <w:rPr>
          <w:lang w:val="en-US"/>
        </w:rPr>
        <w:t xml:space="preserve">he </w:t>
      </w:r>
      <w:r w:rsidRPr="004D5746">
        <w:rPr>
          <w:i/>
          <w:lang w:val="en-US"/>
        </w:rPr>
        <w:t>ACT Whole of Government Aboriginal and Torres Strait Islander Agreement</w:t>
      </w:r>
      <w:r w:rsidR="004D5746" w:rsidRPr="004D5746">
        <w:rPr>
          <w:i/>
          <w:lang w:val="en-US"/>
        </w:rPr>
        <w:t xml:space="preserve">.  </w:t>
      </w:r>
      <w:r w:rsidRPr="004D5746">
        <w:rPr>
          <w:lang w:val="en-US"/>
        </w:rPr>
        <w:t xml:space="preserve"> </w:t>
      </w:r>
      <w:r w:rsidR="004D5746" w:rsidRPr="004D5746">
        <w:rPr>
          <w:lang w:val="en-US"/>
        </w:rPr>
        <w:t xml:space="preserve">It will seek </w:t>
      </w:r>
      <w:r w:rsidRPr="004D5746">
        <w:rPr>
          <w:lang w:val="en-US"/>
        </w:rPr>
        <w:t>to articulate how the ACT Government will progress equitable outcomes for the Aboriginal and Torres Strait Islander community in the ACT to ensure</w:t>
      </w:r>
      <w:r w:rsidR="004D5746" w:rsidRPr="004D5746">
        <w:rPr>
          <w:lang w:val="en-US"/>
        </w:rPr>
        <w:t xml:space="preserve"> amongst other things, </w:t>
      </w:r>
      <w:r w:rsidRPr="004D5746">
        <w:rPr>
          <w:szCs w:val="22"/>
          <w:lang w:val="en-US"/>
        </w:rPr>
        <w:t>effective coordination and performance measurement mechanisms of programs and delivery of services to improve outcomes</w:t>
      </w:r>
      <w:r w:rsidR="004D5746" w:rsidRPr="004D5746">
        <w:rPr>
          <w:szCs w:val="22"/>
          <w:lang w:val="en-US"/>
        </w:rPr>
        <w:t>.  A consultation</w:t>
      </w:r>
      <w:r w:rsidR="004D5746" w:rsidRPr="004D5746">
        <w:rPr>
          <w:szCs w:val="22"/>
        </w:rPr>
        <w:t xml:space="preserve"> process includes online surveying, targeted roundtables and community forums.</w:t>
      </w:r>
      <w:r w:rsidR="004D5746">
        <w:rPr>
          <w:rStyle w:val="FootnoteReference"/>
          <w:szCs w:val="22"/>
        </w:rPr>
        <w:footnoteReference w:id="23"/>
      </w:r>
    </w:p>
    <w:p w:rsidR="003E37D2" w:rsidRDefault="003E37D2" w:rsidP="003E37D2">
      <w:pPr>
        <w:pStyle w:val="Headinglevel3"/>
        <w:rPr>
          <w:lang w:val="en-US"/>
        </w:rPr>
      </w:pPr>
      <w:r>
        <w:rPr>
          <w:lang w:val="en-US"/>
        </w:rPr>
        <w:t>RED Framework</w:t>
      </w:r>
    </w:p>
    <w:p w:rsidR="005A060B" w:rsidRDefault="005A060B" w:rsidP="0041783D">
      <w:pPr>
        <w:pStyle w:val="Bodytext"/>
        <w:rPr>
          <w:lang w:val="en-US"/>
        </w:rPr>
      </w:pPr>
      <w:r>
        <w:rPr>
          <w:lang w:val="en-US"/>
        </w:rPr>
        <w:t xml:space="preserve">The ACTPS submission states: </w:t>
      </w:r>
    </w:p>
    <w:p w:rsidR="005A060B" w:rsidRDefault="005A060B" w:rsidP="005A060B">
      <w:pPr>
        <w:pStyle w:val="Quote"/>
      </w:pPr>
      <w:r>
        <w:t>The Employment Strategy forms an integral part of the</w:t>
      </w:r>
      <w:r>
        <w:rPr>
          <w:spacing w:val="-2"/>
        </w:rPr>
        <w:t xml:space="preserve"> </w:t>
      </w:r>
      <w:r w:rsidRPr="0034498B">
        <w:rPr>
          <w:i/>
          <w:spacing w:val="-1"/>
        </w:rPr>
        <w:t>Respect,</w:t>
      </w:r>
      <w:r w:rsidRPr="0034498B">
        <w:rPr>
          <w:i/>
        </w:rPr>
        <w:t xml:space="preserve"> </w:t>
      </w:r>
      <w:r w:rsidRPr="0034498B">
        <w:rPr>
          <w:i/>
          <w:spacing w:val="-1"/>
        </w:rPr>
        <w:t>Equity</w:t>
      </w:r>
      <w:r w:rsidRPr="0034498B">
        <w:rPr>
          <w:i/>
        </w:rPr>
        <w:t xml:space="preserve"> and</w:t>
      </w:r>
      <w:r w:rsidRPr="0034498B">
        <w:rPr>
          <w:i/>
          <w:spacing w:val="-2"/>
        </w:rPr>
        <w:t xml:space="preserve"> </w:t>
      </w:r>
      <w:r w:rsidRPr="0034498B">
        <w:rPr>
          <w:i/>
          <w:spacing w:val="-1"/>
        </w:rPr>
        <w:t>Diversity</w:t>
      </w:r>
      <w:r w:rsidRPr="0034498B">
        <w:rPr>
          <w:i/>
          <w:spacing w:val="47"/>
        </w:rPr>
        <w:t xml:space="preserve"> </w:t>
      </w:r>
      <w:r w:rsidRPr="0034498B">
        <w:rPr>
          <w:i/>
          <w:spacing w:val="-1"/>
        </w:rPr>
        <w:t>Framework</w:t>
      </w:r>
      <w:r w:rsidRPr="0034498B">
        <w:rPr>
          <w:i/>
          <w:spacing w:val="-2"/>
        </w:rPr>
        <w:t xml:space="preserve"> </w:t>
      </w:r>
      <w:r w:rsidRPr="0034498B">
        <w:rPr>
          <w:spacing w:val="-1"/>
        </w:rPr>
        <w:t>(RED</w:t>
      </w:r>
      <w:r w:rsidRPr="0034498B">
        <w:rPr>
          <w:spacing w:val="-2"/>
        </w:rPr>
        <w:t xml:space="preserve"> </w:t>
      </w:r>
      <w:r w:rsidRPr="0034498B">
        <w:rPr>
          <w:spacing w:val="-1"/>
        </w:rPr>
        <w:t xml:space="preserve">framework), </w:t>
      </w:r>
      <w:r w:rsidRPr="0034498B">
        <w:rPr>
          <w:spacing w:val="-2"/>
        </w:rPr>
        <w:t>which</w:t>
      </w:r>
      <w:r w:rsidRPr="0034498B">
        <w:t xml:space="preserve"> </w:t>
      </w:r>
      <w:r w:rsidRPr="0034498B">
        <w:rPr>
          <w:spacing w:val="-1"/>
        </w:rPr>
        <w:t>describes</w:t>
      </w:r>
      <w:r w:rsidRPr="0034498B">
        <w:rPr>
          <w:spacing w:val="1"/>
        </w:rPr>
        <w:t xml:space="preserve"> </w:t>
      </w:r>
      <w:r w:rsidRPr="0034498B">
        <w:rPr>
          <w:spacing w:val="-1"/>
        </w:rPr>
        <w:t>and</w:t>
      </w:r>
      <w:r w:rsidRPr="0034498B">
        <w:rPr>
          <w:spacing w:val="-2"/>
        </w:rPr>
        <w:t xml:space="preserve"> </w:t>
      </w:r>
      <w:r w:rsidRPr="0034498B">
        <w:rPr>
          <w:spacing w:val="-1"/>
        </w:rPr>
        <w:t>facilitates</w:t>
      </w:r>
      <w:r w:rsidRPr="0034498B">
        <w:rPr>
          <w:spacing w:val="-2"/>
        </w:rPr>
        <w:t xml:space="preserve"> </w:t>
      </w:r>
      <w:r w:rsidRPr="0034498B">
        <w:t xml:space="preserve">a </w:t>
      </w:r>
      <w:r w:rsidRPr="0034498B">
        <w:rPr>
          <w:spacing w:val="-1"/>
        </w:rPr>
        <w:t>workplace</w:t>
      </w:r>
      <w:r>
        <w:t xml:space="preserve"> </w:t>
      </w:r>
      <w:r>
        <w:rPr>
          <w:spacing w:val="-1"/>
        </w:rPr>
        <w:t>that</w:t>
      </w:r>
      <w:r>
        <w:rPr>
          <w:spacing w:val="2"/>
        </w:rPr>
        <w:t xml:space="preserve"> </w:t>
      </w:r>
      <w:r>
        <w:rPr>
          <w:spacing w:val="-1"/>
        </w:rPr>
        <w:t>enables</w:t>
      </w:r>
      <w:r>
        <w:rPr>
          <w:spacing w:val="71"/>
        </w:rPr>
        <w:t xml:space="preserve"> </w:t>
      </w:r>
      <w:r>
        <w:t xml:space="preserve">equal </w:t>
      </w:r>
      <w:r>
        <w:rPr>
          <w:spacing w:val="-1"/>
        </w:rPr>
        <w:t>employment</w:t>
      </w:r>
      <w:r>
        <w:rPr>
          <w:spacing w:val="2"/>
        </w:rPr>
        <w:t xml:space="preserve"> </w:t>
      </w:r>
      <w:r>
        <w:rPr>
          <w:spacing w:val="-1"/>
        </w:rPr>
        <w:t>opportunities</w:t>
      </w:r>
      <w:r>
        <w:rPr>
          <w:spacing w:val="-2"/>
        </w:rPr>
        <w:t xml:space="preserve"> </w:t>
      </w:r>
      <w:r>
        <w:t>for</w:t>
      </w:r>
      <w:r>
        <w:rPr>
          <w:spacing w:val="-1"/>
        </w:rPr>
        <w:t xml:space="preserve"> all</w:t>
      </w:r>
      <w:r>
        <w:rPr>
          <w:spacing w:val="2"/>
        </w:rPr>
        <w:t xml:space="preserve"> </w:t>
      </w:r>
      <w:r>
        <w:rPr>
          <w:spacing w:val="-1"/>
        </w:rPr>
        <w:t>people</w:t>
      </w:r>
      <w:r>
        <w:t xml:space="preserve"> </w:t>
      </w:r>
      <w:r>
        <w:rPr>
          <w:spacing w:val="-1"/>
        </w:rPr>
        <w:t>and</w:t>
      </w:r>
      <w:r>
        <w:rPr>
          <w:spacing w:val="-2"/>
        </w:rPr>
        <w:t xml:space="preserve"> </w:t>
      </w:r>
      <w:r>
        <w:rPr>
          <w:spacing w:val="-1"/>
        </w:rPr>
        <w:t>highlights</w:t>
      </w:r>
      <w:r>
        <w:rPr>
          <w:spacing w:val="-2"/>
        </w:rPr>
        <w:t xml:space="preserve"> </w:t>
      </w:r>
      <w:r>
        <w:t>the</w:t>
      </w:r>
      <w:r>
        <w:rPr>
          <w:spacing w:val="-5"/>
        </w:rPr>
        <w:t xml:space="preserve"> </w:t>
      </w:r>
      <w:r>
        <w:rPr>
          <w:spacing w:val="-1"/>
        </w:rPr>
        <w:t>fundamental importance</w:t>
      </w:r>
      <w:r>
        <w:rPr>
          <w:spacing w:val="-2"/>
        </w:rPr>
        <w:t xml:space="preserve"> of</w:t>
      </w:r>
      <w:r>
        <w:rPr>
          <w:spacing w:val="43"/>
        </w:rPr>
        <w:t xml:space="preserve"> </w:t>
      </w:r>
      <w:r>
        <w:rPr>
          <w:spacing w:val="-1"/>
        </w:rPr>
        <w:t>each</w:t>
      </w:r>
      <w:r>
        <w:t xml:space="preserve"> </w:t>
      </w:r>
      <w:r>
        <w:rPr>
          <w:spacing w:val="-1"/>
        </w:rPr>
        <w:t>ACTPS</w:t>
      </w:r>
      <w:r>
        <w:rPr>
          <w:spacing w:val="-3"/>
        </w:rPr>
        <w:t xml:space="preserve"> </w:t>
      </w:r>
      <w:r>
        <w:rPr>
          <w:spacing w:val="-1"/>
        </w:rPr>
        <w:t>employee</w:t>
      </w:r>
      <w:r>
        <w:rPr>
          <w:spacing w:val="-2"/>
        </w:rPr>
        <w:t xml:space="preserve"> </w:t>
      </w:r>
      <w:r>
        <w:rPr>
          <w:spacing w:val="-1"/>
        </w:rPr>
        <w:t>acting</w:t>
      </w:r>
      <w:r>
        <w:t xml:space="preserve"> in a</w:t>
      </w:r>
      <w:r>
        <w:rPr>
          <w:spacing w:val="-2"/>
        </w:rPr>
        <w:t xml:space="preserve"> way </w:t>
      </w:r>
      <w:r>
        <w:rPr>
          <w:spacing w:val="-1"/>
        </w:rPr>
        <w:t>that</w:t>
      </w:r>
      <w:r>
        <w:rPr>
          <w:spacing w:val="2"/>
        </w:rPr>
        <w:t xml:space="preserve"> </w:t>
      </w:r>
      <w:r>
        <w:rPr>
          <w:spacing w:val="-1"/>
        </w:rPr>
        <w:t xml:space="preserve">respects </w:t>
      </w:r>
      <w:r>
        <w:t xml:space="preserve">the </w:t>
      </w:r>
      <w:r>
        <w:rPr>
          <w:spacing w:val="-1"/>
        </w:rPr>
        <w:t>inherent dignity</w:t>
      </w:r>
      <w:r>
        <w:rPr>
          <w:spacing w:val="-2"/>
        </w:rPr>
        <w:t xml:space="preserve"> of</w:t>
      </w:r>
      <w:r>
        <w:rPr>
          <w:spacing w:val="2"/>
        </w:rPr>
        <w:t xml:space="preserve"> </w:t>
      </w:r>
      <w:r>
        <w:t xml:space="preserve">the </w:t>
      </w:r>
      <w:r>
        <w:rPr>
          <w:spacing w:val="-1"/>
        </w:rPr>
        <w:t>person.</w:t>
      </w:r>
      <w:r>
        <w:rPr>
          <w:spacing w:val="1"/>
        </w:rPr>
        <w:t xml:space="preserve"> </w:t>
      </w:r>
      <w:r>
        <w:t>The</w:t>
      </w:r>
      <w:r>
        <w:rPr>
          <w:spacing w:val="63"/>
        </w:rPr>
        <w:t xml:space="preserve"> </w:t>
      </w:r>
      <w:r>
        <w:rPr>
          <w:spacing w:val="-1"/>
        </w:rPr>
        <w:t>employment</w:t>
      </w:r>
      <w:r>
        <w:rPr>
          <w:spacing w:val="2"/>
        </w:rPr>
        <w:t xml:space="preserve"> </w:t>
      </w:r>
      <w:r>
        <w:rPr>
          <w:spacing w:val="-1"/>
        </w:rPr>
        <w:t>strategy</w:t>
      </w:r>
      <w:r>
        <w:t xml:space="preserve"> </w:t>
      </w:r>
      <w:r>
        <w:rPr>
          <w:spacing w:val="-1"/>
        </w:rPr>
        <w:t>is</w:t>
      </w:r>
      <w:r>
        <w:rPr>
          <w:spacing w:val="1"/>
        </w:rPr>
        <w:t xml:space="preserve"> </w:t>
      </w:r>
      <w:r>
        <w:rPr>
          <w:spacing w:val="-2"/>
        </w:rPr>
        <w:t>an</w:t>
      </w:r>
      <w:r>
        <w:t xml:space="preserve"> </w:t>
      </w:r>
      <w:r>
        <w:rPr>
          <w:spacing w:val="-1"/>
        </w:rPr>
        <w:t>important pillar</w:t>
      </w:r>
      <w:r>
        <w:rPr>
          <w:spacing w:val="1"/>
        </w:rPr>
        <w:t xml:space="preserve"> </w:t>
      </w:r>
      <w:r>
        <w:rPr>
          <w:spacing w:val="-2"/>
        </w:rPr>
        <w:t>of</w:t>
      </w:r>
      <w:r>
        <w:rPr>
          <w:spacing w:val="2"/>
        </w:rPr>
        <w:t xml:space="preserve"> </w:t>
      </w:r>
      <w:r>
        <w:rPr>
          <w:spacing w:val="-1"/>
        </w:rPr>
        <w:t>the</w:t>
      </w:r>
      <w:r>
        <w:rPr>
          <w:spacing w:val="-2"/>
        </w:rPr>
        <w:t xml:space="preserve"> </w:t>
      </w:r>
      <w:r>
        <w:rPr>
          <w:spacing w:val="-1"/>
        </w:rPr>
        <w:t>RED</w:t>
      </w:r>
      <w:r>
        <w:rPr>
          <w:spacing w:val="-2"/>
        </w:rPr>
        <w:t xml:space="preserve"> </w:t>
      </w:r>
      <w:r>
        <w:rPr>
          <w:spacing w:val="-1"/>
        </w:rPr>
        <w:t>framework</w:t>
      </w:r>
      <w:r>
        <w:rPr>
          <w:spacing w:val="2"/>
        </w:rPr>
        <w:t xml:space="preserve"> </w:t>
      </w:r>
      <w:r>
        <w:rPr>
          <w:spacing w:val="-1"/>
        </w:rPr>
        <w:t>in</w:t>
      </w:r>
      <w:r>
        <w:t xml:space="preserve"> its</w:t>
      </w:r>
      <w:r>
        <w:rPr>
          <w:spacing w:val="-1"/>
        </w:rPr>
        <w:t xml:space="preserve"> diversity aspect </w:t>
      </w:r>
      <w:r>
        <w:t>as</w:t>
      </w:r>
      <w:r>
        <w:rPr>
          <w:spacing w:val="-2"/>
        </w:rPr>
        <w:t xml:space="preserve"> </w:t>
      </w:r>
      <w:r>
        <w:rPr>
          <w:spacing w:val="-1"/>
        </w:rPr>
        <w:t>it</w:t>
      </w:r>
      <w:r>
        <w:rPr>
          <w:spacing w:val="61"/>
        </w:rPr>
        <w:t xml:space="preserve"> </w:t>
      </w:r>
      <w:r>
        <w:rPr>
          <w:spacing w:val="-1"/>
        </w:rPr>
        <w:t>requires</w:t>
      </w:r>
      <w:r>
        <w:rPr>
          <w:spacing w:val="1"/>
        </w:rPr>
        <w:t xml:space="preserve"> </w:t>
      </w:r>
      <w:r>
        <w:rPr>
          <w:spacing w:val="-1"/>
        </w:rPr>
        <w:t xml:space="preserve">actions from </w:t>
      </w:r>
      <w:r>
        <w:t>the</w:t>
      </w:r>
      <w:r>
        <w:rPr>
          <w:spacing w:val="-2"/>
        </w:rPr>
        <w:t xml:space="preserve"> </w:t>
      </w:r>
      <w:r>
        <w:rPr>
          <w:spacing w:val="-1"/>
        </w:rPr>
        <w:t xml:space="preserve">ACTPS </w:t>
      </w:r>
      <w:r>
        <w:t>to</w:t>
      </w:r>
      <w:r>
        <w:rPr>
          <w:spacing w:val="-2"/>
        </w:rPr>
        <w:t xml:space="preserve"> </w:t>
      </w:r>
      <w:r>
        <w:rPr>
          <w:spacing w:val="-1"/>
        </w:rPr>
        <w:t>develop</w:t>
      </w:r>
      <w:r>
        <w:t xml:space="preserve"> </w:t>
      </w:r>
      <w:r>
        <w:rPr>
          <w:spacing w:val="-1"/>
        </w:rPr>
        <w:t>and</w:t>
      </w:r>
      <w:r>
        <w:t xml:space="preserve"> </w:t>
      </w:r>
      <w:r>
        <w:rPr>
          <w:spacing w:val="-1"/>
        </w:rPr>
        <w:t>maintain</w:t>
      </w:r>
      <w:r>
        <w:t xml:space="preserve"> a</w:t>
      </w:r>
      <w:r>
        <w:rPr>
          <w:spacing w:val="-2"/>
        </w:rPr>
        <w:t xml:space="preserve"> </w:t>
      </w:r>
      <w:r>
        <w:rPr>
          <w:spacing w:val="-1"/>
        </w:rPr>
        <w:t>positive</w:t>
      </w:r>
      <w:r>
        <w:rPr>
          <w:spacing w:val="1"/>
        </w:rPr>
        <w:t xml:space="preserve"> </w:t>
      </w:r>
      <w:r>
        <w:rPr>
          <w:spacing w:val="-1"/>
        </w:rPr>
        <w:t>and</w:t>
      </w:r>
      <w:r>
        <w:t xml:space="preserve"> </w:t>
      </w:r>
      <w:r>
        <w:rPr>
          <w:spacing w:val="-1"/>
        </w:rPr>
        <w:t>respectful</w:t>
      </w:r>
      <w:r>
        <w:rPr>
          <w:spacing w:val="-3"/>
        </w:rPr>
        <w:t xml:space="preserve"> </w:t>
      </w:r>
      <w:r>
        <w:rPr>
          <w:spacing w:val="-1"/>
        </w:rPr>
        <w:t>work</w:t>
      </w:r>
      <w:r>
        <w:rPr>
          <w:spacing w:val="53"/>
        </w:rPr>
        <w:t xml:space="preserve"> </w:t>
      </w:r>
      <w:r>
        <w:rPr>
          <w:spacing w:val="-1"/>
        </w:rPr>
        <w:t xml:space="preserve">culture </w:t>
      </w:r>
      <w:r>
        <w:t>for</w:t>
      </w:r>
      <w:r>
        <w:rPr>
          <w:spacing w:val="-1"/>
        </w:rPr>
        <w:t xml:space="preserve"> its</w:t>
      </w:r>
      <w:r>
        <w:rPr>
          <w:spacing w:val="-2"/>
        </w:rPr>
        <w:t xml:space="preserve"> </w:t>
      </w:r>
      <w:r>
        <w:rPr>
          <w:spacing w:val="-1"/>
        </w:rPr>
        <w:t>Aboriginal</w:t>
      </w:r>
      <w:r>
        <w:rPr>
          <w:spacing w:val="-3"/>
        </w:rPr>
        <w:t xml:space="preserve"> </w:t>
      </w:r>
      <w:r>
        <w:rPr>
          <w:spacing w:val="-1"/>
        </w:rPr>
        <w:t>and</w:t>
      </w:r>
      <w:r>
        <w:rPr>
          <w:spacing w:val="-2"/>
        </w:rPr>
        <w:t xml:space="preserve"> </w:t>
      </w:r>
      <w:r>
        <w:rPr>
          <w:spacing w:val="-1"/>
        </w:rPr>
        <w:t>Torres</w:t>
      </w:r>
      <w:r>
        <w:t xml:space="preserve"> </w:t>
      </w:r>
      <w:r>
        <w:rPr>
          <w:spacing w:val="-1"/>
        </w:rPr>
        <w:t>Strait Islander</w:t>
      </w:r>
      <w:r>
        <w:rPr>
          <w:spacing w:val="1"/>
        </w:rPr>
        <w:t xml:space="preserve"> </w:t>
      </w:r>
      <w:r>
        <w:rPr>
          <w:spacing w:val="-1"/>
        </w:rPr>
        <w:t>staff.</w:t>
      </w:r>
      <w:r>
        <w:rPr>
          <w:rStyle w:val="FootnoteReference"/>
          <w:spacing w:val="-1"/>
        </w:rPr>
        <w:footnoteReference w:id="24"/>
      </w:r>
    </w:p>
    <w:p w:rsidR="005C2A58" w:rsidRDefault="005C2A58" w:rsidP="0041783D">
      <w:pPr>
        <w:pStyle w:val="Bodytext"/>
        <w:rPr>
          <w:lang w:val="en-US"/>
        </w:rPr>
      </w:pPr>
      <w:r>
        <w:rPr>
          <w:lang w:val="en-US"/>
        </w:rPr>
        <w:t xml:space="preserve">The Committee also notes that </w:t>
      </w:r>
      <w:r w:rsidR="00085C40">
        <w:rPr>
          <w:lang w:val="en-US"/>
        </w:rPr>
        <w:t xml:space="preserve">from the </w:t>
      </w:r>
      <w:r>
        <w:rPr>
          <w:lang w:val="en-US"/>
        </w:rPr>
        <w:t>Employment Strategy</w:t>
      </w:r>
      <w:r w:rsidR="00085C40">
        <w:rPr>
          <w:lang w:val="en-US"/>
        </w:rPr>
        <w:t>’s inception,</w:t>
      </w:r>
      <w:r>
        <w:rPr>
          <w:lang w:val="en-US"/>
        </w:rPr>
        <w:t xml:space="preserve"> it was subsumed into the Respect, Equity and Diversity Framework</w:t>
      </w:r>
      <w:r w:rsidR="00085C40">
        <w:rPr>
          <w:lang w:val="en-US"/>
        </w:rPr>
        <w:t xml:space="preserve"> (RED Framework)</w:t>
      </w:r>
      <w:r>
        <w:rPr>
          <w:lang w:val="en-US"/>
        </w:rPr>
        <w:t xml:space="preserve">.   </w:t>
      </w:r>
      <w:r w:rsidR="00085C40">
        <w:rPr>
          <w:lang w:val="en-US"/>
        </w:rPr>
        <w:t>T</w:t>
      </w:r>
      <w:r>
        <w:rPr>
          <w:lang w:val="en-US"/>
        </w:rPr>
        <w:t>here is logic in this</w:t>
      </w:r>
      <w:r w:rsidR="00085C40">
        <w:rPr>
          <w:lang w:val="en-US"/>
        </w:rPr>
        <w:t xml:space="preserve"> in so far as both the Employment Strategy and the RED Framework </w:t>
      </w:r>
      <w:r w:rsidR="003A1175">
        <w:rPr>
          <w:lang w:val="en-US"/>
        </w:rPr>
        <w:t xml:space="preserve">are ongoing and </w:t>
      </w:r>
      <w:r w:rsidR="00085C40">
        <w:rPr>
          <w:lang w:val="en-US"/>
        </w:rPr>
        <w:t xml:space="preserve">entail cultural change.  However, </w:t>
      </w:r>
      <w:r w:rsidR="00F33726">
        <w:rPr>
          <w:lang w:val="en-US"/>
        </w:rPr>
        <w:t xml:space="preserve">the </w:t>
      </w:r>
      <w:r>
        <w:rPr>
          <w:lang w:val="en-US"/>
        </w:rPr>
        <w:t xml:space="preserve">Employment Strategy is different in </w:t>
      </w:r>
      <w:r w:rsidR="00085C40">
        <w:rPr>
          <w:lang w:val="en-US"/>
        </w:rPr>
        <w:t>that i</w:t>
      </w:r>
      <w:r w:rsidR="00F33726">
        <w:rPr>
          <w:lang w:val="en-US"/>
        </w:rPr>
        <w:t>t</w:t>
      </w:r>
      <w:r w:rsidR="00085C40">
        <w:rPr>
          <w:lang w:val="en-US"/>
        </w:rPr>
        <w:t xml:space="preserve"> contains </w:t>
      </w:r>
      <w:r>
        <w:rPr>
          <w:lang w:val="en-US"/>
        </w:rPr>
        <w:t xml:space="preserve">deliverables with specified delivery dates. </w:t>
      </w:r>
      <w:r w:rsidR="00085C40">
        <w:rPr>
          <w:lang w:val="en-US"/>
        </w:rPr>
        <w:t xml:space="preserve"> </w:t>
      </w:r>
    </w:p>
    <w:p w:rsidR="003E37D2" w:rsidRDefault="003E37D2" w:rsidP="003E37D2">
      <w:pPr>
        <w:pStyle w:val="Headinglevel3"/>
        <w:rPr>
          <w:lang w:val="en-US"/>
        </w:rPr>
      </w:pPr>
      <w:r>
        <w:rPr>
          <w:lang w:val="en-US"/>
        </w:rPr>
        <w:t xml:space="preserve">Office of Aboriginal and Torres Strait Islander Affairs  </w:t>
      </w:r>
    </w:p>
    <w:p w:rsidR="00832B0F" w:rsidRDefault="00832B0F" w:rsidP="0041783D">
      <w:pPr>
        <w:pStyle w:val="Bodytext"/>
        <w:rPr>
          <w:lang w:val="en-US"/>
        </w:rPr>
      </w:pPr>
      <w:r>
        <w:rPr>
          <w:lang w:val="en-US"/>
        </w:rPr>
        <w:t xml:space="preserve">On 1 July 2013, the Community Services Directorate (CSD) established a new Office </w:t>
      </w:r>
      <w:r w:rsidR="008A67E5">
        <w:rPr>
          <w:lang w:val="en-US"/>
        </w:rPr>
        <w:t xml:space="preserve">of </w:t>
      </w:r>
      <w:r>
        <w:rPr>
          <w:lang w:val="en-US"/>
        </w:rPr>
        <w:t>Aboriginal and Torres Strait Islander Affairs</w:t>
      </w:r>
      <w:r w:rsidR="008A67E5">
        <w:rPr>
          <w:lang w:val="en-US"/>
        </w:rPr>
        <w:t xml:space="preserve"> (OATSIA)</w:t>
      </w:r>
      <w:r>
        <w:rPr>
          <w:lang w:val="en-US"/>
        </w:rPr>
        <w:t>.   The ACTPS submission states that, ‘Although the office will not have a specific service delivery function it will, where appropriate assist with the facilitation of community access for service delivery functions.</w:t>
      </w:r>
      <w:r w:rsidR="00D92448">
        <w:rPr>
          <w:rStyle w:val="FootnoteReference"/>
          <w:lang w:val="en-US"/>
        </w:rPr>
        <w:footnoteReference w:id="25"/>
      </w:r>
      <w:r>
        <w:rPr>
          <w:lang w:val="en-US"/>
        </w:rPr>
        <w:t xml:space="preserve"> </w:t>
      </w:r>
    </w:p>
    <w:p w:rsidR="005A060B" w:rsidRDefault="005A060B" w:rsidP="0041783D">
      <w:pPr>
        <w:pStyle w:val="Bodytext"/>
        <w:rPr>
          <w:lang w:val="en-US"/>
        </w:rPr>
      </w:pPr>
      <w:r>
        <w:rPr>
          <w:lang w:val="en-US"/>
        </w:rPr>
        <w:t xml:space="preserve">At the 11 December 2013 public hearing the Commissioner for Public Administration, </w:t>
      </w:r>
      <w:r w:rsidR="00362151">
        <w:rPr>
          <w:lang w:val="en-US"/>
        </w:rPr>
        <w:t>Mr</w:t>
      </w:r>
      <w:r w:rsidR="002824EC">
        <w:rPr>
          <w:lang w:val="en-US"/>
        </w:rPr>
        <w:t> </w:t>
      </w:r>
      <w:r>
        <w:rPr>
          <w:lang w:val="en-US"/>
        </w:rPr>
        <w:t xml:space="preserve">Andrew Kefford, remarked: </w:t>
      </w:r>
    </w:p>
    <w:p w:rsidR="005A060B" w:rsidRDefault="005A060B" w:rsidP="005A060B">
      <w:pPr>
        <w:pStyle w:val="Quote"/>
      </w:pPr>
      <w:r>
        <w:t>I</w:t>
      </w:r>
      <w:r>
        <w:rPr>
          <w:spacing w:val="1"/>
        </w:rPr>
        <w:t xml:space="preserve"> </w:t>
      </w:r>
      <w:r>
        <w:t>think</w:t>
      </w:r>
      <w:r>
        <w:rPr>
          <w:spacing w:val="2"/>
        </w:rPr>
        <w:t xml:space="preserve"> </w:t>
      </w:r>
      <w:r>
        <w:rPr>
          <w:spacing w:val="-1"/>
        </w:rPr>
        <w:t>also</w:t>
      </w:r>
      <w:r>
        <w:rPr>
          <w:spacing w:val="2"/>
        </w:rPr>
        <w:t xml:space="preserve"> </w:t>
      </w:r>
      <w:r>
        <w:t>one</w:t>
      </w:r>
      <w:r>
        <w:rPr>
          <w:spacing w:val="1"/>
        </w:rPr>
        <w:t xml:space="preserve"> </w:t>
      </w:r>
      <w:r>
        <w:t>of</w:t>
      </w:r>
      <w:r>
        <w:rPr>
          <w:spacing w:val="3"/>
        </w:rPr>
        <w:t xml:space="preserve"> </w:t>
      </w:r>
      <w:r>
        <w:t>the</w:t>
      </w:r>
      <w:r>
        <w:rPr>
          <w:spacing w:val="3"/>
        </w:rPr>
        <w:t xml:space="preserve"> </w:t>
      </w:r>
      <w:r>
        <w:rPr>
          <w:spacing w:val="-1"/>
        </w:rPr>
        <w:t>strengths</w:t>
      </w:r>
      <w:r>
        <w:rPr>
          <w:spacing w:val="2"/>
        </w:rPr>
        <w:t xml:space="preserve"> </w:t>
      </w:r>
      <w:r>
        <w:t>of</w:t>
      </w:r>
      <w:r>
        <w:rPr>
          <w:spacing w:val="3"/>
        </w:rPr>
        <w:t xml:space="preserve"> </w:t>
      </w:r>
      <w:r>
        <w:t>the</w:t>
      </w:r>
      <w:r>
        <w:rPr>
          <w:spacing w:val="4"/>
        </w:rPr>
        <w:t xml:space="preserve"> </w:t>
      </w:r>
      <w:r>
        <w:rPr>
          <w:spacing w:val="1"/>
        </w:rPr>
        <w:t>way in</w:t>
      </w:r>
      <w:r>
        <w:rPr>
          <w:spacing w:val="2"/>
        </w:rPr>
        <w:t xml:space="preserve"> </w:t>
      </w:r>
      <w:r>
        <w:rPr>
          <w:spacing w:val="-1"/>
        </w:rPr>
        <w:t>which</w:t>
      </w:r>
      <w:r>
        <w:rPr>
          <w:spacing w:val="2"/>
        </w:rPr>
        <w:t xml:space="preserve"> </w:t>
      </w:r>
      <w:r>
        <w:t>the</w:t>
      </w:r>
      <w:r>
        <w:rPr>
          <w:spacing w:val="3"/>
        </w:rPr>
        <w:t xml:space="preserve"> </w:t>
      </w:r>
      <w:r>
        <w:t>Community</w:t>
      </w:r>
      <w:r>
        <w:rPr>
          <w:spacing w:val="59"/>
        </w:rPr>
        <w:t xml:space="preserve"> </w:t>
      </w:r>
      <w:r>
        <w:rPr>
          <w:spacing w:val="-1"/>
        </w:rPr>
        <w:t>Services</w:t>
      </w:r>
      <w:r>
        <w:rPr>
          <w:spacing w:val="44"/>
        </w:rPr>
        <w:t xml:space="preserve"> </w:t>
      </w:r>
      <w:r>
        <w:rPr>
          <w:spacing w:val="-1"/>
        </w:rPr>
        <w:t>Directorate</w:t>
      </w:r>
      <w:r>
        <w:rPr>
          <w:spacing w:val="42"/>
        </w:rPr>
        <w:t xml:space="preserve"> </w:t>
      </w:r>
      <w:r>
        <w:rPr>
          <w:spacing w:val="-1"/>
        </w:rPr>
        <w:t>has</w:t>
      </w:r>
      <w:r>
        <w:rPr>
          <w:spacing w:val="45"/>
        </w:rPr>
        <w:t xml:space="preserve"> </w:t>
      </w:r>
      <w:r>
        <w:t>now</w:t>
      </w:r>
      <w:r>
        <w:rPr>
          <w:spacing w:val="42"/>
        </w:rPr>
        <w:t xml:space="preserve"> </w:t>
      </w:r>
      <w:r>
        <w:rPr>
          <w:spacing w:val="-1"/>
        </w:rPr>
        <w:t>structured</w:t>
      </w:r>
      <w:r>
        <w:rPr>
          <w:spacing w:val="45"/>
        </w:rPr>
        <w:t xml:space="preserve"> </w:t>
      </w:r>
      <w:r>
        <w:rPr>
          <w:spacing w:val="-1"/>
        </w:rPr>
        <w:t>and</w:t>
      </w:r>
      <w:r>
        <w:rPr>
          <w:spacing w:val="42"/>
        </w:rPr>
        <w:t xml:space="preserve"> </w:t>
      </w:r>
      <w:r>
        <w:t>organised</w:t>
      </w:r>
      <w:r>
        <w:rPr>
          <w:spacing w:val="42"/>
        </w:rPr>
        <w:t xml:space="preserve"> </w:t>
      </w:r>
      <w:r>
        <w:t>the</w:t>
      </w:r>
      <w:r>
        <w:rPr>
          <w:spacing w:val="42"/>
        </w:rPr>
        <w:t xml:space="preserve"> </w:t>
      </w:r>
      <w:r>
        <w:rPr>
          <w:spacing w:val="-1"/>
        </w:rPr>
        <w:t>Office</w:t>
      </w:r>
      <w:r>
        <w:rPr>
          <w:spacing w:val="42"/>
        </w:rPr>
        <w:t xml:space="preserve"> </w:t>
      </w:r>
      <w:r>
        <w:rPr>
          <w:spacing w:val="1"/>
        </w:rPr>
        <w:t>of</w:t>
      </w:r>
      <w:r>
        <w:rPr>
          <w:spacing w:val="42"/>
        </w:rPr>
        <w:t xml:space="preserve"> </w:t>
      </w:r>
      <w:r>
        <w:rPr>
          <w:spacing w:val="-1"/>
        </w:rPr>
        <w:t>Aboriginal</w:t>
      </w:r>
      <w:r>
        <w:rPr>
          <w:spacing w:val="45"/>
        </w:rPr>
        <w:t xml:space="preserve"> </w:t>
      </w:r>
      <w:r>
        <w:rPr>
          <w:spacing w:val="-1"/>
        </w:rPr>
        <w:t>and</w:t>
      </w:r>
      <w:r>
        <w:rPr>
          <w:spacing w:val="42"/>
        </w:rPr>
        <w:t xml:space="preserve"> </w:t>
      </w:r>
      <w:r>
        <w:rPr>
          <w:spacing w:val="-1"/>
        </w:rPr>
        <w:t>Torres</w:t>
      </w:r>
      <w:r>
        <w:rPr>
          <w:spacing w:val="83"/>
        </w:rPr>
        <w:t xml:space="preserve"> </w:t>
      </w:r>
      <w:r>
        <w:rPr>
          <w:spacing w:val="-1"/>
        </w:rPr>
        <w:t>Strait</w:t>
      </w:r>
      <w:r>
        <w:rPr>
          <w:spacing w:val="24"/>
        </w:rPr>
        <w:t xml:space="preserve"> </w:t>
      </w:r>
      <w:r>
        <w:rPr>
          <w:spacing w:val="-1"/>
        </w:rPr>
        <w:t>Islander</w:t>
      </w:r>
      <w:r>
        <w:rPr>
          <w:spacing w:val="20"/>
        </w:rPr>
        <w:t xml:space="preserve"> </w:t>
      </w:r>
      <w:r>
        <w:rPr>
          <w:spacing w:val="-1"/>
        </w:rPr>
        <w:t>Affairs</w:t>
      </w:r>
      <w:r>
        <w:rPr>
          <w:spacing w:val="21"/>
        </w:rPr>
        <w:t xml:space="preserve"> </w:t>
      </w:r>
      <w:r>
        <w:t>is</w:t>
      </w:r>
      <w:r>
        <w:rPr>
          <w:spacing w:val="22"/>
        </w:rPr>
        <w:t xml:space="preserve"> </w:t>
      </w:r>
      <w:r>
        <w:t>that</w:t>
      </w:r>
      <w:r>
        <w:rPr>
          <w:spacing w:val="21"/>
        </w:rPr>
        <w:t xml:space="preserve"> </w:t>
      </w:r>
      <w:r>
        <w:t>it</w:t>
      </w:r>
      <w:r>
        <w:rPr>
          <w:spacing w:val="22"/>
        </w:rPr>
        <w:t xml:space="preserve"> </w:t>
      </w:r>
      <w:r>
        <w:rPr>
          <w:spacing w:val="-1"/>
        </w:rPr>
        <w:t>will</w:t>
      </w:r>
      <w:r>
        <w:rPr>
          <w:spacing w:val="22"/>
        </w:rPr>
        <w:t xml:space="preserve"> </w:t>
      </w:r>
      <w:r>
        <w:rPr>
          <w:spacing w:val="-1"/>
        </w:rPr>
        <w:t>allow</w:t>
      </w:r>
      <w:r>
        <w:rPr>
          <w:spacing w:val="20"/>
        </w:rPr>
        <w:t xml:space="preserve"> </w:t>
      </w:r>
      <w:r>
        <w:t>us</w:t>
      </w:r>
      <w:r>
        <w:rPr>
          <w:spacing w:val="19"/>
        </w:rPr>
        <w:t xml:space="preserve"> </w:t>
      </w:r>
      <w:r>
        <w:rPr>
          <w:spacing w:val="-1"/>
        </w:rPr>
        <w:t>as</w:t>
      </w:r>
      <w:r>
        <w:rPr>
          <w:spacing w:val="21"/>
        </w:rPr>
        <w:t xml:space="preserve"> </w:t>
      </w:r>
      <w:r>
        <w:t>a</w:t>
      </w:r>
      <w:r>
        <w:rPr>
          <w:spacing w:val="18"/>
        </w:rPr>
        <w:t xml:space="preserve"> </w:t>
      </w:r>
      <w:r>
        <w:rPr>
          <w:spacing w:val="-1"/>
        </w:rPr>
        <w:t>service</w:t>
      </w:r>
      <w:r>
        <w:rPr>
          <w:spacing w:val="20"/>
        </w:rPr>
        <w:t xml:space="preserve"> </w:t>
      </w:r>
      <w:r>
        <w:t>to</w:t>
      </w:r>
      <w:r>
        <w:rPr>
          <w:spacing w:val="21"/>
        </w:rPr>
        <w:t xml:space="preserve"> </w:t>
      </w:r>
      <w:r>
        <w:rPr>
          <w:spacing w:val="-1"/>
        </w:rPr>
        <w:t>engage</w:t>
      </w:r>
      <w:r>
        <w:rPr>
          <w:spacing w:val="20"/>
        </w:rPr>
        <w:t xml:space="preserve"> </w:t>
      </w:r>
      <w:r>
        <w:t>more</w:t>
      </w:r>
      <w:r>
        <w:rPr>
          <w:spacing w:val="22"/>
        </w:rPr>
        <w:t xml:space="preserve"> </w:t>
      </w:r>
      <w:r>
        <w:t>coherently</w:t>
      </w:r>
      <w:r>
        <w:rPr>
          <w:spacing w:val="47"/>
        </w:rPr>
        <w:t xml:space="preserve"> </w:t>
      </w:r>
      <w:r>
        <w:t>with</w:t>
      </w:r>
      <w:r>
        <w:rPr>
          <w:spacing w:val="31"/>
        </w:rPr>
        <w:t xml:space="preserve"> </w:t>
      </w:r>
      <w:r>
        <w:t>the</w:t>
      </w:r>
      <w:r>
        <w:rPr>
          <w:spacing w:val="30"/>
        </w:rPr>
        <w:t xml:space="preserve"> </w:t>
      </w:r>
      <w:r>
        <w:rPr>
          <w:spacing w:val="-1"/>
        </w:rPr>
        <w:t>community,</w:t>
      </w:r>
      <w:r>
        <w:rPr>
          <w:spacing w:val="30"/>
        </w:rPr>
        <w:t xml:space="preserve"> </w:t>
      </w:r>
      <w:r>
        <w:t>using</w:t>
      </w:r>
      <w:r>
        <w:rPr>
          <w:spacing w:val="29"/>
        </w:rPr>
        <w:t xml:space="preserve"> </w:t>
      </w:r>
      <w:r>
        <w:t>the</w:t>
      </w:r>
      <w:r>
        <w:rPr>
          <w:spacing w:val="30"/>
        </w:rPr>
        <w:t xml:space="preserve"> </w:t>
      </w:r>
      <w:r>
        <w:t>links</w:t>
      </w:r>
      <w:r>
        <w:rPr>
          <w:spacing w:val="31"/>
        </w:rPr>
        <w:t xml:space="preserve"> </w:t>
      </w:r>
      <w:r>
        <w:t>that</w:t>
      </w:r>
      <w:r>
        <w:rPr>
          <w:spacing w:val="30"/>
        </w:rPr>
        <w:t xml:space="preserve"> </w:t>
      </w:r>
      <w:r>
        <w:t>Ms</w:t>
      </w:r>
      <w:r>
        <w:rPr>
          <w:spacing w:val="3"/>
        </w:rPr>
        <w:t xml:space="preserve"> </w:t>
      </w:r>
      <w:r>
        <w:t>Forester</w:t>
      </w:r>
      <w:r>
        <w:rPr>
          <w:spacing w:val="30"/>
        </w:rPr>
        <w:t xml:space="preserve"> </w:t>
      </w:r>
      <w:r>
        <w:rPr>
          <w:spacing w:val="-1"/>
        </w:rPr>
        <w:t>and</w:t>
      </w:r>
      <w:r>
        <w:rPr>
          <w:spacing w:val="30"/>
        </w:rPr>
        <w:t xml:space="preserve"> </w:t>
      </w:r>
      <w:r>
        <w:t>her</w:t>
      </w:r>
      <w:r>
        <w:rPr>
          <w:spacing w:val="32"/>
        </w:rPr>
        <w:t xml:space="preserve"> </w:t>
      </w:r>
      <w:r>
        <w:rPr>
          <w:spacing w:val="-1"/>
        </w:rPr>
        <w:t>colleagues</w:t>
      </w:r>
      <w:r>
        <w:rPr>
          <w:spacing w:val="33"/>
        </w:rPr>
        <w:t xml:space="preserve"> </w:t>
      </w:r>
      <w:r>
        <w:rPr>
          <w:spacing w:val="-1"/>
        </w:rPr>
        <w:t>have,</w:t>
      </w:r>
      <w:r>
        <w:rPr>
          <w:spacing w:val="30"/>
        </w:rPr>
        <w:t xml:space="preserve"> </w:t>
      </w:r>
      <w:r>
        <w:rPr>
          <w:spacing w:val="-1"/>
        </w:rPr>
        <w:t>at</w:t>
      </w:r>
      <w:r>
        <w:rPr>
          <w:spacing w:val="33"/>
        </w:rPr>
        <w:t xml:space="preserve"> </w:t>
      </w:r>
      <w:r>
        <w:t>a</w:t>
      </w:r>
      <w:r>
        <w:rPr>
          <w:spacing w:val="39"/>
        </w:rPr>
        <w:t xml:space="preserve"> </w:t>
      </w:r>
      <w:r>
        <w:t xml:space="preserve">much </w:t>
      </w:r>
      <w:r>
        <w:rPr>
          <w:spacing w:val="-1"/>
        </w:rPr>
        <w:t>more immediate</w:t>
      </w:r>
      <w:r>
        <w:t xml:space="preserve"> </w:t>
      </w:r>
      <w:r>
        <w:rPr>
          <w:spacing w:val="1"/>
        </w:rPr>
        <w:t>way</w:t>
      </w:r>
      <w:r>
        <w:rPr>
          <w:spacing w:val="-5"/>
        </w:rPr>
        <w:t xml:space="preserve"> </w:t>
      </w:r>
      <w:r>
        <w:t>than we</w:t>
      </w:r>
      <w:r>
        <w:rPr>
          <w:spacing w:val="-2"/>
        </w:rPr>
        <w:t xml:space="preserve"> </w:t>
      </w:r>
      <w:r>
        <w:t xml:space="preserve">do </w:t>
      </w:r>
      <w:r>
        <w:rPr>
          <w:spacing w:val="-1"/>
        </w:rPr>
        <w:t>perhaps</w:t>
      </w:r>
      <w:r>
        <w:rPr>
          <w:spacing w:val="2"/>
        </w:rPr>
        <w:t xml:space="preserve"> </w:t>
      </w:r>
      <w:r>
        <w:t>from Chief</w:t>
      </w:r>
      <w:r>
        <w:rPr>
          <w:spacing w:val="-2"/>
        </w:rPr>
        <w:t xml:space="preserve"> </w:t>
      </w:r>
      <w:r>
        <w:rPr>
          <w:spacing w:val="-1"/>
        </w:rPr>
        <w:t>Minister</w:t>
      </w:r>
      <w:r>
        <w:t xml:space="preserve"> </w:t>
      </w:r>
      <w:r>
        <w:rPr>
          <w:spacing w:val="-1"/>
        </w:rPr>
        <w:t>and</w:t>
      </w:r>
      <w:r>
        <w:t xml:space="preserve"> </w:t>
      </w:r>
      <w:r>
        <w:rPr>
          <w:spacing w:val="-1"/>
        </w:rPr>
        <w:t>Treasury.</w:t>
      </w:r>
    </w:p>
    <w:p w:rsidR="005A060B" w:rsidRDefault="005A060B" w:rsidP="005A060B">
      <w:pPr>
        <w:pStyle w:val="Bodytext"/>
        <w:rPr>
          <w:lang w:val="en-US"/>
        </w:rPr>
      </w:pPr>
      <w:r>
        <w:rPr>
          <w:lang w:val="en-US"/>
        </w:rPr>
        <w:t xml:space="preserve">The Committee is of the view the Office of Aboriginal and Torres Strait Islander Affairs is a good initiative that will contribute to achieving Employment Strategy outcomes. </w:t>
      </w:r>
    </w:p>
    <w:p w:rsidR="003E37D2" w:rsidRDefault="00CA4B9F" w:rsidP="003E37D2">
      <w:pPr>
        <w:pStyle w:val="Headinglevel3"/>
        <w:rPr>
          <w:lang w:val="en-US"/>
        </w:rPr>
      </w:pPr>
      <w:r>
        <w:rPr>
          <w:lang w:val="en-US"/>
        </w:rPr>
        <w:t>Outcomes to date</w:t>
      </w:r>
    </w:p>
    <w:p w:rsidR="003326EF" w:rsidRPr="001A7EA6" w:rsidRDefault="00D56007" w:rsidP="0041783D">
      <w:pPr>
        <w:pStyle w:val="Bodytext"/>
        <w:rPr>
          <w:lang w:val="en-US"/>
        </w:rPr>
      </w:pPr>
      <w:r w:rsidRPr="001A735A">
        <w:rPr>
          <w:lang w:val="en-US"/>
        </w:rPr>
        <w:t xml:space="preserve">The </w:t>
      </w:r>
      <w:r w:rsidR="003326EF" w:rsidRPr="001A735A">
        <w:rPr>
          <w:lang w:val="en-US"/>
        </w:rPr>
        <w:t xml:space="preserve">ACTPS submission states: </w:t>
      </w:r>
    </w:p>
    <w:p w:rsidR="003326EF" w:rsidRDefault="003326EF" w:rsidP="003326EF">
      <w:pPr>
        <w:pStyle w:val="Quote"/>
        <w:rPr>
          <w:lang w:val="en-US"/>
        </w:rPr>
      </w:pPr>
      <w:r>
        <w:rPr>
          <w:lang w:val="en-US"/>
        </w:rPr>
        <w:t>The Head of Service and Commissioner for Public Administration are generally satisfied with the extent of implementation at the whole-of-government and agency level.  Agencies have varied in their approach to implementation and some have had the opportunity (and the need) to take up more actions than others, but overall, the ACTPS has successfully incorporated the objectives of the employment strategy into its work environment.</w:t>
      </w:r>
      <w:r w:rsidR="00F87386">
        <w:rPr>
          <w:rStyle w:val="FootnoteReference"/>
          <w:lang w:val="en-US"/>
        </w:rPr>
        <w:footnoteReference w:id="26"/>
      </w:r>
      <w:r>
        <w:rPr>
          <w:lang w:val="en-US"/>
        </w:rPr>
        <w:t xml:space="preserve"> </w:t>
      </w:r>
    </w:p>
    <w:p w:rsidR="009344B6" w:rsidRDefault="009344B6" w:rsidP="009344B6">
      <w:pPr>
        <w:pStyle w:val="Bodytext"/>
        <w:rPr>
          <w:lang w:val="en-US"/>
        </w:rPr>
      </w:pPr>
      <w:r>
        <w:rPr>
          <w:lang w:val="en-US"/>
        </w:rPr>
        <w:t xml:space="preserve">The Committee finds the phrase ‘generally satisfied’ to be </w:t>
      </w:r>
      <w:r w:rsidR="00A6186D">
        <w:rPr>
          <w:lang w:val="en-US"/>
        </w:rPr>
        <w:t xml:space="preserve">somewhat </w:t>
      </w:r>
      <w:r>
        <w:rPr>
          <w:lang w:val="en-US"/>
        </w:rPr>
        <w:t xml:space="preserve">disappointing, especially when compared to the vision expressed by the former Chief Minister </w:t>
      </w:r>
      <w:r w:rsidR="00C64CDD">
        <w:rPr>
          <w:lang w:val="en-US"/>
        </w:rPr>
        <w:t xml:space="preserve">when he </w:t>
      </w:r>
      <w:r>
        <w:rPr>
          <w:lang w:val="en-US"/>
        </w:rPr>
        <w:t xml:space="preserve">launched the Employment Strategy in conjunction with the </w:t>
      </w:r>
      <w:r w:rsidR="00323080">
        <w:rPr>
          <w:lang w:val="en-US"/>
        </w:rPr>
        <w:t xml:space="preserve">Elected Body </w:t>
      </w:r>
      <w:r>
        <w:rPr>
          <w:lang w:val="en-US"/>
        </w:rPr>
        <w:t xml:space="preserve"> on 12 April 2011. </w:t>
      </w:r>
    </w:p>
    <w:p w:rsidR="009344B6" w:rsidRDefault="009344B6" w:rsidP="009344B6">
      <w:pPr>
        <w:pStyle w:val="Bodytext"/>
        <w:rPr>
          <w:lang w:val="en-US"/>
        </w:rPr>
      </w:pPr>
      <w:r>
        <w:rPr>
          <w:lang w:val="en-US"/>
        </w:rPr>
        <w:t xml:space="preserve">While the issue of reporting mechanisms is covered in Chapter </w:t>
      </w:r>
      <w:r w:rsidR="00F87386">
        <w:rPr>
          <w:lang w:val="en-US"/>
        </w:rPr>
        <w:t>5</w:t>
      </w:r>
      <w:r>
        <w:rPr>
          <w:lang w:val="en-US"/>
        </w:rPr>
        <w:t xml:space="preserve">, the Committee notes that the ACT Aboriginal and Torres Strait Islander </w:t>
      </w:r>
      <w:r w:rsidR="00323080">
        <w:rPr>
          <w:lang w:val="en-US"/>
        </w:rPr>
        <w:t xml:space="preserve">Elected Body </w:t>
      </w:r>
      <w:r>
        <w:rPr>
          <w:lang w:val="en-US"/>
        </w:rPr>
        <w:t xml:space="preserve"> has been, and remains, uniquely placed to comment on the Employment Strategy.    The </w:t>
      </w:r>
      <w:r w:rsidR="00323080">
        <w:rPr>
          <w:lang w:val="en-US"/>
        </w:rPr>
        <w:t xml:space="preserve">Elected Body </w:t>
      </w:r>
      <w:r>
        <w:rPr>
          <w:lang w:val="en-US"/>
        </w:rPr>
        <w:t>’</w:t>
      </w:r>
      <w:r w:rsidR="00BE50B9">
        <w:rPr>
          <w:lang w:val="en-US"/>
        </w:rPr>
        <w:t>s</w:t>
      </w:r>
      <w:r>
        <w:rPr>
          <w:lang w:val="en-US"/>
        </w:rPr>
        <w:t xml:space="preserve"> submission </w:t>
      </w:r>
      <w:r w:rsidR="008A67E5">
        <w:rPr>
          <w:lang w:val="en-US"/>
        </w:rPr>
        <w:t>is critical of the ACTPS’s implementation of the Employment Strategy and says of the Strategy</w:t>
      </w:r>
      <w:r>
        <w:rPr>
          <w:lang w:val="en-US"/>
        </w:rPr>
        <w:t xml:space="preserve">: </w:t>
      </w:r>
    </w:p>
    <w:p w:rsidR="000C679C" w:rsidRDefault="009344B6" w:rsidP="000C679C">
      <w:pPr>
        <w:pStyle w:val="Quote"/>
        <w:rPr>
          <w:lang w:val="en-US"/>
        </w:rPr>
      </w:pPr>
      <w:r>
        <w:rPr>
          <w:lang w:val="en-US"/>
        </w:rPr>
        <w:t xml:space="preserve">… </w:t>
      </w:r>
      <w:r w:rsidRPr="009344B6">
        <w:rPr>
          <w:lang w:val="en-US"/>
        </w:rPr>
        <w:t>it seems to have been more of a ‘shelf warmer’ than being embedded into normal practice for the ACTPS.</w:t>
      </w:r>
      <w:r w:rsidR="000C679C">
        <w:rPr>
          <w:rStyle w:val="FootnoteReference"/>
          <w:lang w:val="en-US"/>
        </w:rPr>
        <w:footnoteReference w:id="27"/>
      </w:r>
    </w:p>
    <w:p w:rsidR="00C64CDD" w:rsidRPr="00C64CDD" w:rsidRDefault="000C679C" w:rsidP="00C64CDD">
      <w:pPr>
        <w:pStyle w:val="Bodytext"/>
        <w:rPr>
          <w:lang w:val="en-US"/>
        </w:rPr>
      </w:pPr>
      <w:r>
        <w:rPr>
          <w:lang w:val="en-US"/>
        </w:rPr>
        <w:t xml:space="preserve">The </w:t>
      </w:r>
      <w:r w:rsidR="00323080">
        <w:rPr>
          <w:lang w:val="en-US"/>
        </w:rPr>
        <w:t xml:space="preserve">Elected Body </w:t>
      </w:r>
      <w:r>
        <w:rPr>
          <w:lang w:val="en-US"/>
        </w:rPr>
        <w:t xml:space="preserve"> submission lists deficiencies and apparent failures to deliver the Employment Strategy’s outcomes and concludes that the desired change has been slow.   At the public hearing on 11 December 2013, views about slow implementation and resistance to change were reiterated</w:t>
      </w:r>
      <w:r w:rsidR="00536C70">
        <w:rPr>
          <w:lang w:val="en-US"/>
        </w:rPr>
        <w:t xml:space="preserve"> and it was suggested that the directors-general of each directorate needed to come together </w:t>
      </w:r>
      <w:r w:rsidR="008A67E5">
        <w:rPr>
          <w:lang w:val="en-US"/>
        </w:rPr>
        <w:t xml:space="preserve">to solve </w:t>
      </w:r>
      <w:r w:rsidR="00536C70">
        <w:rPr>
          <w:lang w:val="en-US"/>
        </w:rPr>
        <w:t>the issue of resistance to change.</w:t>
      </w:r>
      <w:r w:rsidR="00536C70">
        <w:rPr>
          <w:rStyle w:val="FootnoteReference"/>
          <w:lang w:val="en-US"/>
        </w:rPr>
        <w:footnoteReference w:id="28"/>
      </w:r>
      <w:r>
        <w:rPr>
          <w:lang w:val="en-US"/>
        </w:rPr>
        <w:t xml:space="preserve"> </w:t>
      </w:r>
      <w:r w:rsidR="00536C70">
        <w:rPr>
          <w:lang w:val="en-US"/>
        </w:rPr>
        <w:t xml:space="preserve"> </w:t>
      </w:r>
    </w:p>
    <w:p w:rsidR="00D847E5" w:rsidRDefault="008A67E5" w:rsidP="0041783D">
      <w:pPr>
        <w:pStyle w:val="Bodytext"/>
        <w:rPr>
          <w:lang w:val="en-US"/>
        </w:rPr>
      </w:pPr>
      <w:r>
        <w:rPr>
          <w:lang w:val="en-US"/>
        </w:rPr>
        <w:t xml:space="preserve">The Committee was advised that the </w:t>
      </w:r>
      <w:r w:rsidR="004D5416">
        <w:rPr>
          <w:lang w:val="en-US"/>
        </w:rPr>
        <w:t xml:space="preserve">Strategic </w:t>
      </w:r>
      <w:r w:rsidR="00362151">
        <w:rPr>
          <w:lang w:val="en-US"/>
        </w:rPr>
        <w:t>Board has</w:t>
      </w:r>
      <w:r>
        <w:rPr>
          <w:lang w:val="en-US"/>
        </w:rPr>
        <w:t xml:space="preserve"> recently commenced meeting with the </w:t>
      </w:r>
      <w:r w:rsidR="00323080">
        <w:rPr>
          <w:lang w:val="en-US"/>
        </w:rPr>
        <w:t xml:space="preserve">Elected Body </w:t>
      </w:r>
      <w:r>
        <w:rPr>
          <w:lang w:val="en-US"/>
        </w:rPr>
        <w:t xml:space="preserve">.  The Committee </w:t>
      </w:r>
      <w:r w:rsidR="00536C70">
        <w:rPr>
          <w:lang w:val="en-US"/>
        </w:rPr>
        <w:t xml:space="preserve">asked the </w:t>
      </w:r>
      <w:r w:rsidR="00323080">
        <w:rPr>
          <w:lang w:val="en-US"/>
        </w:rPr>
        <w:t xml:space="preserve">Elected Body </w:t>
      </w:r>
      <w:r w:rsidR="00A6186D">
        <w:rPr>
          <w:lang w:val="en-US"/>
        </w:rPr>
        <w:t xml:space="preserve"> witnesses</w:t>
      </w:r>
      <w:r w:rsidR="00536C70">
        <w:rPr>
          <w:lang w:val="en-US"/>
        </w:rPr>
        <w:t xml:space="preserve"> </w:t>
      </w:r>
      <w:r>
        <w:rPr>
          <w:lang w:val="en-US"/>
        </w:rPr>
        <w:t xml:space="preserve">how </w:t>
      </w:r>
      <w:r w:rsidR="00A6186D">
        <w:rPr>
          <w:lang w:val="en-US"/>
        </w:rPr>
        <w:t xml:space="preserve">they </w:t>
      </w:r>
      <w:r>
        <w:rPr>
          <w:lang w:val="en-US"/>
        </w:rPr>
        <w:t xml:space="preserve">found </w:t>
      </w:r>
      <w:r w:rsidR="00A6186D">
        <w:rPr>
          <w:lang w:val="en-US"/>
        </w:rPr>
        <w:t xml:space="preserve">the Body’s </w:t>
      </w:r>
      <w:r w:rsidR="00536C70">
        <w:rPr>
          <w:lang w:val="en-US"/>
        </w:rPr>
        <w:t>most recent</w:t>
      </w:r>
      <w:r w:rsidR="00D847E5">
        <w:rPr>
          <w:lang w:val="en-US"/>
        </w:rPr>
        <w:t xml:space="preserve"> </w:t>
      </w:r>
      <w:r w:rsidR="00536C70">
        <w:rPr>
          <w:lang w:val="en-US"/>
        </w:rPr>
        <w:t xml:space="preserve">meeting with the </w:t>
      </w:r>
      <w:r w:rsidR="004D5416">
        <w:rPr>
          <w:lang w:val="en-US"/>
        </w:rPr>
        <w:t xml:space="preserve">Strategic </w:t>
      </w:r>
      <w:r w:rsidR="00362151">
        <w:rPr>
          <w:lang w:val="en-US"/>
        </w:rPr>
        <w:t>Board.</w:t>
      </w:r>
      <w:r w:rsidR="00D847E5">
        <w:rPr>
          <w:rStyle w:val="FootnoteReference"/>
          <w:lang w:val="en-US"/>
        </w:rPr>
        <w:footnoteReference w:id="29"/>
      </w:r>
      <w:r>
        <w:rPr>
          <w:lang w:val="en-US"/>
        </w:rPr>
        <w:t xml:space="preserve">  </w:t>
      </w:r>
    </w:p>
    <w:p w:rsidR="00536C70" w:rsidRDefault="00323080" w:rsidP="0041783D">
      <w:pPr>
        <w:pStyle w:val="Bodytext"/>
        <w:rPr>
          <w:lang w:val="en-US"/>
        </w:rPr>
      </w:pPr>
      <w:r>
        <w:rPr>
          <w:lang w:val="en-US"/>
        </w:rPr>
        <w:t xml:space="preserve">Elected Body </w:t>
      </w:r>
      <w:r w:rsidR="00536C70">
        <w:rPr>
          <w:lang w:val="en-US"/>
        </w:rPr>
        <w:t xml:space="preserve"> </w:t>
      </w:r>
      <w:r w:rsidR="00D847E5">
        <w:rPr>
          <w:lang w:val="en-US"/>
        </w:rPr>
        <w:t>M</w:t>
      </w:r>
      <w:r w:rsidR="008A67E5">
        <w:rPr>
          <w:lang w:val="en-US"/>
        </w:rPr>
        <w:t xml:space="preserve">ember </w:t>
      </w:r>
      <w:r w:rsidR="00362151">
        <w:rPr>
          <w:lang w:val="en-US"/>
        </w:rPr>
        <w:t xml:space="preserve">Mr </w:t>
      </w:r>
      <w:r w:rsidR="008A67E5">
        <w:rPr>
          <w:lang w:val="en-US"/>
        </w:rPr>
        <w:t xml:space="preserve"> Brendan Church answered:</w:t>
      </w:r>
    </w:p>
    <w:p w:rsidR="000C679C" w:rsidRDefault="00536C70" w:rsidP="00536C70">
      <w:pPr>
        <w:pStyle w:val="Quote"/>
        <w:rPr>
          <w:lang w:val="en-US"/>
        </w:rPr>
      </w:pPr>
      <w:r w:rsidRPr="00536C70">
        <w:rPr>
          <w:lang w:val="en-US"/>
        </w:rPr>
        <w:t>Quite good, I think. We always have frank and honest conversations with the strategic board. The unfortunate thing is that there is a genuine commitment from the senior executive, but then it has to go through various levels, and once it hits the ground to the operational staff, we encounter the issues. The government has got great intentions across the board; that has been evident through committing through the whole-of-government agreement. But I would be interested to see how that filters down to the ground. That is the concern, I think.</w:t>
      </w:r>
      <w:r w:rsidR="005C75EE">
        <w:rPr>
          <w:rStyle w:val="FootnoteReference"/>
          <w:lang w:val="en-US"/>
        </w:rPr>
        <w:footnoteReference w:id="30"/>
      </w:r>
    </w:p>
    <w:p w:rsidR="00536C70" w:rsidRPr="008A67E5" w:rsidRDefault="005C2A58" w:rsidP="0041783D">
      <w:pPr>
        <w:pStyle w:val="Bodytext"/>
        <w:rPr>
          <w:lang w:val="en-US"/>
        </w:rPr>
      </w:pPr>
      <w:r w:rsidRPr="008A67E5">
        <w:rPr>
          <w:lang w:val="en-US"/>
        </w:rPr>
        <w:t xml:space="preserve">The Committee considers meetings between the </w:t>
      </w:r>
      <w:r w:rsidR="00323080">
        <w:rPr>
          <w:lang w:val="en-US"/>
        </w:rPr>
        <w:t xml:space="preserve">Elected Body </w:t>
      </w:r>
      <w:r w:rsidRPr="008A67E5">
        <w:rPr>
          <w:lang w:val="en-US"/>
        </w:rPr>
        <w:t xml:space="preserve"> and the </w:t>
      </w:r>
      <w:r w:rsidR="004D5416">
        <w:rPr>
          <w:lang w:val="en-US"/>
        </w:rPr>
        <w:t xml:space="preserve">Strategic </w:t>
      </w:r>
      <w:r w:rsidR="00362151">
        <w:rPr>
          <w:lang w:val="en-US"/>
        </w:rPr>
        <w:t xml:space="preserve">Board </w:t>
      </w:r>
      <w:r w:rsidR="00362151" w:rsidRPr="008A67E5">
        <w:rPr>
          <w:lang w:val="en-US"/>
        </w:rPr>
        <w:t>to</w:t>
      </w:r>
      <w:r w:rsidR="00D847E5">
        <w:rPr>
          <w:lang w:val="en-US"/>
        </w:rPr>
        <w:t xml:space="preserve"> be </w:t>
      </w:r>
      <w:r w:rsidR="008A67E5" w:rsidRPr="008A67E5">
        <w:rPr>
          <w:lang w:val="en-US"/>
        </w:rPr>
        <w:t xml:space="preserve">a very good initiative. Such high level communication is </w:t>
      </w:r>
      <w:r w:rsidRPr="008A67E5">
        <w:rPr>
          <w:lang w:val="en-US"/>
        </w:rPr>
        <w:t xml:space="preserve">important </w:t>
      </w:r>
      <w:r w:rsidR="00D847E5">
        <w:rPr>
          <w:lang w:val="en-US"/>
        </w:rPr>
        <w:t xml:space="preserve">to ensure </w:t>
      </w:r>
      <w:r w:rsidR="008A67E5" w:rsidRPr="008A67E5">
        <w:rPr>
          <w:lang w:val="en-US"/>
        </w:rPr>
        <w:t xml:space="preserve">the success of the Employment Strategy </w:t>
      </w:r>
      <w:r w:rsidRPr="008A67E5">
        <w:rPr>
          <w:lang w:val="en-US"/>
        </w:rPr>
        <w:t xml:space="preserve">and </w:t>
      </w:r>
      <w:r w:rsidR="008A67E5" w:rsidRPr="008A67E5">
        <w:rPr>
          <w:lang w:val="en-US"/>
        </w:rPr>
        <w:t xml:space="preserve">the Committee </w:t>
      </w:r>
      <w:r w:rsidRPr="008A67E5">
        <w:rPr>
          <w:lang w:val="en-US"/>
        </w:rPr>
        <w:t xml:space="preserve">supports their continuance. </w:t>
      </w:r>
      <w:r w:rsidR="00D847E5">
        <w:rPr>
          <w:lang w:val="en-US"/>
        </w:rPr>
        <w:t xml:space="preserve"> </w:t>
      </w:r>
      <w:r w:rsidR="0060511C">
        <w:rPr>
          <w:lang w:val="en-US"/>
        </w:rPr>
        <w:t xml:space="preserve"> The Committee hopes such meetings </w:t>
      </w:r>
      <w:r w:rsidR="008A67E5" w:rsidRPr="008A67E5">
        <w:rPr>
          <w:lang w:val="en-US"/>
        </w:rPr>
        <w:t xml:space="preserve">may contribute to </w:t>
      </w:r>
      <w:r w:rsidR="0060511C">
        <w:rPr>
          <w:lang w:val="en-US"/>
        </w:rPr>
        <w:t xml:space="preserve">mitigating </w:t>
      </w:r>
      <w:r w:rsidR="008A67E5" w:rsidRPr="008A67E5">
        <w:rPr>
          <w:lang w:val="en-US"/>
        </w:rPr>
        <w:t xml:space="preserve">criticisms contained in the </w:t>
      </w:r>
      <w:r w:rsidR="00323080">
        <w:rPr>
          <w:lang w:val="en-US"/>
        </w:rPr>
        <w:t xml:space="preserve">Elected Body </w:t>
      </w:r>
      <w:r w:rsidR="00536C70" w:rsidRPr="008A67E5">
        <w:rPr>
          <w:lang w:val="en-US"/>
        </w:rPr>
        <w:t>’s</w:t>
      </w:r>
      <w:r w:rsidR="0060511C">
        <w:rPr>
          <w:lang w:val="en-US"/>
        </w:rPr>
        <w:t> </w:t>
      </w:r>
      <w:r w:rsidR="00536C70" w:rsidRPr="008A67E5">
        <w:rPr>
          <w:lang w:val="en-US"/>
        </w:rPr>
        <w:t>submission</w:t>
      </w:r>
      <w:r w:rsidR="008A67E5">
        <w:rPr>
          <w:lang w:val="en-US"/>
        </w:rPr>
        <w:t>:</w:t>
      </w:r>
      <w:r w:rsidR="00536C70" w:rsidRPr="008A67E5">
        <w:rPr>
          <w:lang w:val="en-US"/>
        </w:rPr>
        <w:t xml:space="preserve"> </w:t>
      </w:r>
    </w:p>
    <w:p w:rsidR="00536C70" w:rsidRPr="00536C70" w:rsidRDefault="00536C70" w:rsidP="00536C70">
      <w:pPr>
        <w:pStyle w:val="Quote"/>
        <w:rPr>
          <w:lang w:val="en-US"/>
        </w:rPr>
      </w:pPr>
      <w:r>
        <w:rPr>
          <w:lang w:val="en-US"/>
        </w:rPr>
        <w:t xml:space="preserve">… </w:t>
      </w:r>
      <w:r w:rsidRPr="00536C70">
        <w:rPr>
          <w:lang w:val="en-US"/>
        </w:rPr>
        <w:t xml:space="preserve"> the Aboriginal and Torres Strait Islander </w:t>
      </w:r>
      <w:r w:rsidR="00323080">
        <w:rPr>
          <w:lang w:val="en-US"/>
        </w:rPr>
        <w:t xml:space="preserve">Elected Body </w:t>
      </w:r>
      <w:r w:rsidRPr="00536C70">
        <w:rPr>
          <w:lang w:val="en-US"/>
        </w:rPr>
        <w:t xml:space="preserve"> is pleased that the ACTPS has an Aboriginal and Torres Strait Islander Employment Strategy but know that it has lacked the impetus to make the changes that were envisaged when launch in 2011.</w:t>
      </w:r>
      <w:r w:rsidR="002824EC">
        <w:rPr>
          <w:rStyle w:val="FootnoteReference"/>
          <w:lang w:val="en-US"/>
        </w:rPr>
        <w:footnoteReference w:id="31"/>
      </w:r>
      <w:r w:rsidRPr="00536C70">
        <w:rPr>
          <w:lang w:val="en-US"/>
        </w:rPr>
        <w:t xml:space="preserve"> </w:t>
      </w:r>
    </w:p>
    <w:p w:rsidR="0060511C" w:rsidRDefault="00BE50B9" w:rsidP="0060511C">
      <w:pPr>
        <w:pStyle w:val="Bodytext"/>
        <w:rPr>
          <w:lang w:val="en-US"/>
        </w:rPr>
      </w:pPr>
      <w:r>
        <w:rPr>
          <w:lang w:val="en-US"/>
        </w:rPr>
        <w:t xml:space="preserve">The Committee </w:t>
      </w:r>
      <w:r w:rsidR="0060511C">
        <w:rPr>
          <w:lang w:val="en-US"/>
        </w:rPr>
        <w:t xml:space="preserve">notes that </w:t>
      </w:r>
      <w:r w:rsidR="00362151">
        <w:rPr>
          <w:lang w:val="en-US"/>
        </w:rPr>
        <w:t>in</w:t>
      </w:r>
      <w:r w:rsidR="00761FFD">
        <w:rPr>
          <w:lang w:val="en-US"/>
        </w:rPr>
        <w:t xml:space="preserve"> formulating its submission, the CPSU conducted a survey of its Aboriginal and Torres Strait Islander members</w:t>
      </w:r>
      <w:r w:rsidR="0060511C">
        <w:rPr>
          <w:lang w:val="en-US"/>
        </w:rPr>
        <w:t>.  The submission stated:</w:t>
      </w:r>
    </w:p>
    <w:p w:rsidR="0060511C" w:rsidRPr="0060511C" w:rsidRDefault="0060511C" w:rsidP="0060511C">
      <w:pPr>
        <w:pStyle w:val="Quote"/>
        <w:rPr>
          <w:lang w:val="en-GB"/>
        </w:rPr>
      </w:pPr>
      <w:r w:rsidRPr="0060511C">
        <w:rPr>
          <w:lang w:val="en-GB"/>
        </w:rPr>
        <w:t>Although the objectives of the Strategy are largely sound, feedback</w:t>
      </w:r>
      <w:r>
        <w:rPr>
          <w:lang w:val="en-GB"/>
        </w:rPr>
        <w:t xml:space="preserve"> from </w:t>
      </w:r>
      <w:r w:rsidRPr="0060511C">
        <w:rPr>
          <w:lang w:val="en-GB"/>
        </w:rPr>
        <w:t>CPSU members is that the implementation of the strategy is not effective in achieving these objectives. Key areas where improvement needs to be made are:</w:t>
      </w:r>
    </w:p>
    <w:p w:rsidR="0060511C" w:rsidRPr="0060511C" w:rsidRDefault="0060511C" w:rsidP="00924579">
      <w:pPr>
        <w:pStyle w:val="Quote"/>
        <w:numPr>
          <w:ilvl w:val="0"/>
          <w:numId w:val="19"/>
        </w:numPr>
        <w:ind w:left="1800"/>
      </w:pPr>
      <w:r w:rsidRPr="0060511C">
        <w:t>Creation of ongoing secure jobs by reducing the proportion of Aboriginal and Torres Strait Islander employees engaged on a non-permanent basis;</w:t>
      </w:r>
    </w:p>
    <w:p w:rsidR="0060511C" w:rsidRPr="0060511C" w:rsidRDefault="0060511C" w:rsidP="00924579">
      <w:pPr>
        <w:pStyle w:val="Quote"/>
        <w:numPr>
          <w:ilvl w:val="0"/>
          <w:numId w:val="19"/>
        </w:numPr>
        <w:ind w:left="1800"/>
      </w:pPr>
      <w:r w:rsidRPr="0060511C">
        <w:t>A stronger focus and greater commitment to career development outside of entry level training programs;</w:t>
      </w:r>
    </w:p>
    <w:p w:rsidR="0060511C" w:rsidRPr="0060511C" w:rsidRDefault="0060511C" w:rsidP="00924579">
      <w:pPr>
        <w:pStyle w:val="Quote"/>
        <w:numPr>
          <w:ilvl w:val="0"/>
          <w:numId w:val="19"/>
        </w:numPr>
        <w:ind w:left="1800"/>
      </w:pPr>
      <w:r w:rsidRPr="0060511C">
        <w:t>Extension of mentoring and support arrangements; and</w:t>
      </w:r>
    </w:p>
    <w:p w:rsidR="00761FFD" w:rsidRDefault="0060511C" w:rsidP="00924579">
      <w:pPr>
        <w:pStyle w:val="Quote"/>
        <w:numPr>
          <w:ilvl w:val="0"/>
          <w:numId w:val="19"/>
        </w:numPr>
        <w:ind w:left="1800"/>
        <w:rPr>
          <w:lang w:val="en-US"/>
        </w:rPr>
      </w:pPr>
      <w:r w:rsidRPr="0060511C">
        <w:t>Greater</w:t>
      </w:r>
      <w:r w:rsidRPr="0060511C">
        <w:rPr>
          <w:lang w:val="en-GB"/>
        </w:rPr>
        <w:t xml:space="preserve"> cultural awareness training, ensuring that the training is provided in all ACTPS agencies</w:t>
      </w:r>
      <w:r>
        <w:rPr>
          <w:lang w:val="en-US"/>
        </w:rPr>
        <w:t>.</w:t>
      </w:r>
      <w:r>
        <w:rPr>
          <w:rStyle w:val="FootnoteReference"/>
          <w:lang w:val="en-US"/>
        </w:rPr>
        <w:footnoteReference w:id="32"/>
      </w:r>
    </w:p>
    <w:p w:rsidR="001C5B17" w:rsidRDefault="00A83F43" w:rsidP="00BC1C4E">
      <w:pPr>
        <w:pStyle w:val="Bodytext"/>
        <w:rPr>
          <w:lang w:val="en-US"/>
        </w:rPr>
      </w:pPr>
      <w:r>
        <w:rPr>
          <w:lang w:val="en-US"/>
        </w:rPr>
        <w:t>The evidence before the Committee leads it to conclude that</w:t>
      </w:r>
      <w:r w:rsidR="008A67E5">
        <w:rPr>
          <w:lang w:val="en-US"/>
        </w:rPr>
        <w:t xml:space="preserve"> to date the</w:t>
      </w:r>
      <w:r>
        <w:rPr>
          <w:lang w:val="en-US"/>
        </w:rPr>
        <w:t xml:space="preserve"> implementation of the Employment Strategy has resulted in some success</w:t>
      </w:r>
      <w:r w:rsidR="0060511C">
        <w:rPr>
          <w:lang w:val="en-US"/>
        </w:rPr>
        <w:t>es</w:t>
      </w:r>
      <w:r>
        <w:rPr>
          <w:lang w:val="en-US"/>
        </w:rPr>
        <w:t xml:space="preserve"> but </w:t>
      </w:r>
      <w:r w:rsidR="00BC1C4E">
        <w:rPr>
          <w:lang w:val="en-US"/>
        </w:rPr>
        <w:t>could</w:t>
      </w:r>
      <w:r w:rsidR="008A67E5">
        <w:rPr>
          <w:lang w:val="en-US"/>
        </w:rPr>
        <w:t xml:space="preserve">, and should, </w:t>
      </w:r>
      <w:r w:rsidR="00BC1C4E">
        <w:rPr>
          <w:lang w:val="en-US"/>
        </w:rPr>
        <w:t xml:space="preserve">have been </w:t>
      </w:r>
      <w:r w:rsidR="008A67E5">
        <w:rPr>
          <w:lang w:val="en-US"/>
        </w:rPr>
        <w:t xml:space="preserve">very </w:t>
      </w:r>
      <w:r w:rsidR="002D7352">
        <w:rPr>
          <w:lang w:val="en-US"/>
        </w:rPr>
        <w:t xml:space="preserve">much </w:t>
      </w:r>
      <w:r w:rsidR="00BC1C4E">
        <w:rPr>
          <w:lang w:val="en-US"/>
        </w:rPr>
        <w:t xml:space="preserve">better.  </w:t>
      </w:r>
      <w:r w:rsidR="002D7352">
        <w:rPr>
          <w:lang w:val="en-US"/>
        </w:rPr>
        <w:t xml:space="preserve"> References to the ‘ethical imperative’ of United Nations Declaration on the Rights of Indigenous People and t</w:t>
      </w:r>
      <w:r w:rsidR="00BC1C4E">
        <w:rPr>
          <w:lang w:val="en-US"/>
        </w:rPr>
        <w:t xml:space="preserve">he </w:t>
      </w:r>
      <w:r w:rsidR="00CC60C0">
        <w:rPr>
          <w:lang w:val="en-US"/>
        </w:rPr>
        <w:t xml:space="preserve">former Chief Minister’s </w:t>
      </w:r>
      <w:r w:rsidR="00BC1C4E">
        <w:rPr>
          <w:lang w:val="en-US"/>
        </w:rPr>
        <w:t xml:space="preserve">vision </w:t>
      </w:r>
      <w:r w:rsidR="002D7352">
        <w:rPr>
          <w:lang w:val="en-US"/>
        </w:rPr>
        <w:t xml:space="preserve">seem </w:t>
      </w:r>
      <w:r w:rsidR="00CC60C0">
        <w:rPr>
          <w:lang w:val="en-US"/>
        </w:rPr>
        <w:t xml:space="preserve">remote </w:t>
      </w:r>
      <w:r w:rsidR="002D7352">
        <w:rPr>
          <w:lang w:val="en-US"/>
        </w:rPr>
        <w:t>to the present</w:t>
      </w:r>
      <w:r w:rsidR="0060511C">
        <w:rPr>
          <w:lang w:val="en-US"/>
        </w:rPr>
        <w:t xml:space="preserve">-day </w:t>
      </w:r>
      <w:r w:rsidR="00CC60C0">
        <w:rPr>
          <w:lang w:val="en-US"/>
        </w:rPr>
        <w:t>situation</w:t>
      </w:r>
      <w:r w:rsidR="002D7352">
        <w:rPr>
          <w:lang w:val="en-US"/>
        </w:rPr>
        <w:t xml:space="preserve">.  </w:t>
      </w:r>
    </w:p>
    <w:p w:rsidR="002D7352" w:rsidRDefault="002D7352" w:rsidP="00BC1C4E">
      <w:pPr>
        <w:pStyle w:val="Bodytext"/>
        <w:rPr>
          <w:lang w:val="en-US"/>
        </w:rPr>
      </w:pPr>
      <w:r>
        <w:rPr>
          <w:lang w:val="en-US"/>
        </w:rPr>
        <w:t xml:space="preserve">The Committee notes comments by </w:t>
      </w:r>
      <w:r w:rsidR="00362151">
        <w:rPr>
          <w:lang w:val="en-US"/>
        </w:rPr>
        <w:t>Mr</w:t>
      </w:r>
      <w:r>
        <w:rPr>
          <w:lang w:val="en-US"/>
        </w:rPr>
        <w:t xml:space="preserve"> Brendan Church on behalf of the </w:t>
      </w:r>
      <w:r w:rsidR="00323080">
        <w:rPr>
          <w:lang w:val="en-US"/>
        </w:rPr>
        <w:t xml:space="preserve">Elected Body </w:t>
      </w:r>
      <w:r>
        <w:rPr>
          <w:lang w:val="en-US"/>
        </w:rPr>
        <w:t xml:space="preserve"> at the 11</w:t>
      </w:r>
      <w:r w:rsidR="001C5B17">
        <w:rPr>
          <w:lang w:val="en-US"/>
        </w:rPr>
        <w:t> </w:t>
      </w:r>
      <w:r>
        <w:rPr>
          <w:lang w:val="en-US"/>
        </w:rPr>
        <w:t xml:space="preserve">December 2013 public hearing: </w:t>
      </w:r>
    </w:p>
    <w:p w:rsidR="00546589" w:rsidRDefault="002D7352" w:rsidP="00546589">
      <w:pPr>
        <w:pStyle w:val="Quote"/>
        <w:rPr>
          <w:lang w:val="en-US"/>
        </w:rPr>
      </w:pPr>
      <w:r>
        <w:t>I</w:t>
      </w:r>
      <w:r>
        <w:rPr>
          <w:spacing w:val="20"/>
        </w:rPr>
        <w:t xml:space="preserve"> </w:t>
      </w:r>
      <w:r w:rsidRPr="00B957C4">
        <w:rPr>
          <w:lang w:val="en-US"/>
        </w:rPr>
        <w:t xml:space="preserve">guess first and foremost the </w:t>
      </w:r>
      <w:r w:rsidR="00323080" w:rsidRPr="00B957C4">
        <w:rPr>
          <w:lang w:val="en-US"/>
        </w:rPr>
        <w:t xml:space="preserve">Elected Body </w:t>
      </w:r>
      <w:r w:rsidRPr="00B957C4">
        <w:rPr>
          <w:lang w:val="en-US"/>
        </w:rPr>
        <w:t xml:space="preserve"> [members] are concerned about the current status of the strategy and we really want to ask the question:  Is the Strategy being implemented as a priority across the directorates? There are a lot of government frameworks out there these days that the community foresee as tick and flick documents, and the </w:t>
      </w:r>
      <w:r w:rsidR="00323080" w:rsidRPr="00B957C4">
        <w:rPr>
          <w:lang w:val="en-US"/>
        </w:rPr>
        <w:t xml:space="preserve">Elected Body </w:t>
      </w:r>
      <w:r w:rsidRPr="00B957C4">
        <w:rPr>
          <w:lang w:val="en-US"/>
        </w:rPr>
        <w:t xml:space="preserve"> are concerned that this strategy may be one of those.</w:t>
      </w:r>
      <w:r w:rsidR="002B6018">
        <w:rPr>
          <w:lang w:val="en-US"/>
        </w:rPr>
        <w:t xml:space="preserve"> </w:t>
      </w:r>
      <w:r w:rsidR="00B957C4">
        <w:rPr>
          <w:rStyle w:val="FootnoteReference"/>
          <w:lang w:val="en-US"/>
        </w:rPr>
        <w:footnoteReference w:id="33"/>
      </w:r>
    </w:p>
    <w:p w:rsidR="00546589" w:rsidRDefault="00546589" w:rsidP="00546589">
      <w:pPr>
        <w:pStyle w:val="Quote"/>
        <w:rPr>
          <w:lang w:val="en-US"/>
        </w:rPr>
      </w:pPr>
    </w:p>
    <w:p w:rsidR="003E37D2" w:rsidRDefault="003E37D2" w:rsidP="003E37D2">
      <w:pPr>
        <w:pStyle w:val="Headinglevel3"/>
        <w:rPr>
          <w:lang w:val="en-US"/>
        </w:rPr>
      </w:pPr>
      <w:r>
        <w:rPr>
          <w:lang w:val="en-US"/>
        </w:rPr>
        <w:t>Project management</w:t>
      </w:r>
    </w:p>
    <w:p w:rsidR="00546589" w:rsidRDefault="00546589" w:rsidP="00546589">
      <w:pPr>
        <w:pStyle w:val="Bodytext"/>
      </w:pPr>
      <w:r>
        <w:t xml:space="preserve">The Committee is of the opinion that traditional public service methods of gradual and methodical progress seem to have been employed to implement this strategy.  </w:t>
      </w:r>
      <w:r w:rsidR="000F6D23">
        <w:t xml:space="preserve">Based on the </w:t>
      </w:r>
      <w:r w:rsidR="000F6D23" w:rsidRPr="000F6D23">
        <w:rPr>
          <w:i/>
        </w:rPr>
        <w:t>ACT Public Service, State of the Service Report 2013</w:t>
      </w:r>
      <w:r w:rsidR="000F6D23">
        <w:t>, t</w:t>
      </w:r>
      <w:r>
        <w:t>he number of Aborigines and Torres Strait Islanders employed by the ACT Public Service has increased from 153 to 238 or 55% in the years 2010 – 2013.</w:t>
      </w:r>
      <w:r w:rsidR="0083578C">
        <w:rPr>
          <w:rStyle w:val="FootnoteReference"/>
        </w:rPr>
        <w:footnoteReference w:id="34"/>
      </w:r>
      <w:r>
        <w:t xml:space="preserve">  Whilst this is a significant effort</w:t>
      </w:r>
      <w:r w:rsidR="000F6D23">
        <w:t>,</w:t>
      </w:r>
      <w:r>
        <w:t xml:space="preserve"> the continuation of these methods will not be sufficient to meet the stated target of 407 by June 2015. Figure</w:t>
      </w:r>
      <w:r w:rsidR="000F6D23">
        <w:t> 2</w:t>
      </w:r>
      <w:r>
        <w:t xml:space="preserve">.1 illustrates this. </w:t>
      </w:r>
      <w:r w:rsidR="000F6D23">
        <w:t xml:space="preserve"> The purple line shows that at the current rate of increase the target of 407 employees will be reached in 2019.  The green line shows that a much higher rate of increase is needed to achieve the target of 407 employees in 2015.</w:t>
      </w:r>
    </w:p>
    <w:p w:rsidR="00E74B0A" w:rsidRDefault="00E74B0A" w:rsidP="00E74B0A">
      <w:pPr>
        <w:pStyle w:val="Bodytext"/>
        <w:numPr>
          <w:ilvl w:val="0"/>
          <w:numId w:val="0"/>
        </w:numPr>
        <w:ind w:left="425"/>
      </w:pPr>
    </w:p>
    <w:p w:rsidR="00460A20" w:rsidRDefault="00E74B0A" w:rsidP="00546589">
      <w:pPr>
        <w:pStyle w:val="Bodytext"/>
        <w:numPr>
          <w:ilvl w:val="0"/>
          <w:numId w:val="0"/>
        </w:numPr>
        <w:ind w:left="425"/>
      </w:pPr>
      <w:r>
        <w:rPr>
          <w:rFonts w:ascii="Arial Narrow" w:hAnsi="Arial Narrow"/>
          <w:bCs/>
          <w:kern w:val="26"/>
          <w:sz w:val="26"/>
          <w:szCs w:val="20"/>
        </w:rPr>
        <w:t xml:space="preserve">Figure </w:t>
      </w:r>
      <w:r w:rsidR="0083578C">
        <w:rPr>
          <w:rFonts w:ascii="Arial Narrow" w:hAnsi="Arial Narrow"/>
          <w:bCs/>
          <w:kern w:val="26"/>
          <w:sz w:val="26"/>
          <w:szCs w:val="20"/>
        </w:rPr>
        <w:t>2</w:t>
      </w:r>
      <w:r w:rsidR="00634DDA">
        <w:rPr>
          <w:rFonts w:ascii="Arial Narrow" w:hAnsi="Arial Narrow"/>
          <w:bCs/>
          <w:kern w:val="26"/>
          <w:sz w:val="26"/>
          <w:szCs w:val="20"/>
        </w:rPr>
        <w:t xml:space="preserve">.1 </w:t>
      </w:r>
      <w:r w:rsidR="00634DDA" w:rsidRPr="00003859">
        <w:rPr>
          <w:rFonts w:ascii="Arial Narrow" w:hAnsi="Arial Narrow"/>
          <w:bCs/>
          <w:kern w:val="26"/>
          <w:sz w:val="26"/>
          <w:szCs w:val="20"/>
        </w:rPr>
        <w:t>–</w:t>
      </w:r>
      <w:r w:rsidRPr="00003859">
        <w:rPr>
          <w:rFonts w:ascii="Arial Narrow" w:hAnsi="Arial Narrow"/>
          <w:bCs/>
          <w:kern w:val="26"/>
          <w:sz w:val="26"/>
          <w:szCs w:val="20"/>
        </w:rPr>
        <w:t xml:space="preserve"> </w:t>
      </w:r>
      <w:r>
        <w:rPr>
          <w:rFonts w:ascii="Arial Narrow" w:hAnsi="Arial Narrow"/>
          <w:bCs/>
          <w:kern w:val="26"/>
          <w:sz w:val="26"/>
          <w:szCs w:val="20"/>
        </w:rPr>
        <w:t xml:space="preserve">Growth in number of </w:t>
      </w:r>
      <w:r w:rsidRPr="00D26FE7">
        <w:rPr>
          <w:rFonts w:ascii="Arial Narrow" w:hAnsi="Arial Narrow"/>
          <w:bCs/>
          <w:i/>
          <w:kern w:val="26"/>
          <w:sz w:val="26"/>
          <w:szCs w:val="20"/>
        </w:rPr>
        <w:t xml:space="preserve">Aboriginal and Torres Strait Islander </w:t>
      </w:r>
      <w:r>
        <w:rPr>
          <w:rFonts w:ascii="Arial Narrow" w:hAnsi="Arial Narrow"/>
          <w:bCs/>
          <w:i/>
          <w:kern w:val="26"/>
          <w:sz w:val="26"/>
          <w:szCs w:val="20"/>
        </w:rPr>
        <w:t xml:space="preserve">employees – actual and </w:t>
      </w:r>
      <w:r w:rsidR="00460A20">
        <w:rPr>
          <w:rFonts w:ascii="Arial Narrow" w:hAnsi="Arial Narrow"/>
          <w:bCs/>
          <w:i/>
          <w:kern w:val="26"/>
          <w:sz w:val="26"/>
          <w:szCs w:val="20"/>
        </w:rPr>
        <w:t xml:space="preserve">projection to meet 2.0 percent by 2015 and projection to meet 2.0 percent based on rate of increase to date. </w:t>
      </w:r>
      <w:r w:rsidR="00546589">
        <w:tab/>
      </w:r>
    </w:p>
    <w:p w:rsidR="00460A20" w:rsidRDefault="007B7864" w:rsidP="00546589">
      <w:pPr>
        <w:pStyle w:val="Bodytext"/>
        <w:numPr>
          <w:ilvl w:val="0"/>
          <w:numId w:val="0"/>
        </w:numPr>
        <w:ind w:left="425"/>
      </w:pPr>
      <w:r>
        <w:rPr>
          <w:noProof/>
          <w:lang w:eastAsia="zh-TW"/>
        </w:rPr>
        <w:drawing>
          <wp:inline distT="0" distB="0" distL="0" distR="0">
            <wp:extent cx="5494655" cy="2751455"/>
            <wp:effectExtent l="1905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23" cstate="print"/>
                    <a:srcRect b="-64"/>
                    <a:stretch>
                      <a:fillRect/>
                    </a:stretch>
                  </pic:blipFill>
                  <pic:spPr bwMode="auto">
                    <a:xfrm>
                      <a:off x="0" y="0"/>
                      <a:ext cx="5494655" cy="2751455"/>
                    </a:xfrm>
                    <a:prstGeom prst="rect">
                      <a:avLst/>
                    </a:prstGeom>
                    <a:noFill/>
                    <a:ln w="9525">
                      <a:noFill/>
                      <a:miter lim="800000"/>
                      <a:headEnd/>
                      <a:tailEnd/>
                    </a:ln>
                  </pic:spPr>
                </pic:pic>
              </a:graphicData>
            </a:graphic>
          </wp:inline>
        </w:drawing>
      </w:r>
    </w:p>
    <w:tbl>
      <w:tblPr>
        <w:tblStyle w:val="TableGrid"/>
        <w:tblW w:w="9464"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8647"/>
      </w:tblGrid>
      <w:tr w:rsidR="0083578C" w:rsidTr="000F6D23">
        <w:tc>
          <w:tcPr>
            <w:tcW w:w="817" w:type="dxa"/>
          </w:tcPr>
          <w:p w:rsidR="0083578C" w:rsidRPr="000F6D23" w:rsidRDefault="0083578C" w:rsidP="0083578C">
            <w:pPr>
              <w:pStyle w:val="Bodytext"/>
              <w:numPr>
                <w:ilvl w:val="0"/>
                <w:numId w:val="0"/>
              </w:numPr>
              <w:spacing w:before="0" w:after="0" w:line="240" w:lineRule="auto"/>
              <w:jc w:val="both"/>
              <w:rPr>
                <w:rFonts w:ascii="Arial Narrow" w:hAnsi="Arial Narrow"/>
                <w:sz w:val="18"/>
                <w:szCs w:val="18"/>
              </w:rPr>
            </w:pPr>
            <w:r w:rsidRPr="000F6D23">
              <w:rPr>
                <w:rFonts w:ascii="Arial Narrow" w:hAnsi="Arial Narrow"/>
                <w:sz w:val="18"/>
                <w:szCs w:val="18"/>
              </w:rPr>
              <w:t xml:space="preserve">Source: </w:t>
            </w:r>
          </w:p>
        </w:tc>
        <w:tc>
          <w:tcPr>
            <w:tcW w:w="8647" w:type="dxa"/>
          </w:tcPr>
          <w:p w:rsidR="0083578C" w:rsidRPr="000F6D23" w:rsidRDefault="006106D2" w:rsidP="00B957C4">
            <w:pPr>
              <w:pStyle w:val="Bodytext"/>
              <w:numPr>
                <w:ilvl w:val="0"/>
                <w:numId w:val="0"/>
              </w:numPr>
              <w:spacing w:before="0" w:after="0" w:line="240" w:lineRule="auto"/>
              <w:rPr>
                <w:rFonts w:ascii="Arial Narrow" w:hAnsi="Arial Narrow"/>
                <w:sz w:val="18"/>
                <w:szCs w:val="18"/>
              </w:rPr>
            </w:pPr>
            <w:r w:rsidRPr="000F6D23">
              <w:rPr>
                <w:rFonts w:ascii="Arial Narrow" w:hAnsi="Arial Narrow"/>
                <w:sz w:val="18"/>
                <w:szCs w:val="18"/>
              </w:rPr>
              <w:t xml:space="preserve">Australian Capital Territory. Commissioner for Public Administration, </w:t>
            </w:r>
            <w:r w:rsidRPr="000F6D23">
              <w:rPr>
                <w:rFonts w:ascii="Arial Narrow" w:hAnsi="Arial Narrow"/>
                <w:i/>
                <w:sz w:val="18"/>
                <w:szCs w:val="18"/>
              </w:rPr>
              <w:t>ACT Public Servic</w:t>
            </w:r>
            <w:r w:rsidR="00B957C4">
              <w:rPr>
                <w:rFonts w:ascii="Arial Narrow" w:hAnsi="Arial Narrow"/>
                <w:i/>
                <w:sz w:val="18"/>
                <w:szCs w:val="18"/>
              </w:rPr>
              <w:t xml:space="preserve">e - State of the Service Report, </w:t>
            </w:r>
            <w:r w:rsidRPr="000F6D23">
              <w:rPr>
                <w:rFonts w:ascii="Arial Narrow" w:hAnsi="Arial Narrow"/>
                <w:i/>
                <w:sz w:val="18"/>
                <w:szCs w:val="18"/>
              </w:rPr>
              <w:t>2013</w:t>
            </w:r>
            <w:r w:rsidR="00B957C4">
              <w:rPr>
                <w:rFonts w:ascii="Arial Narrow" w:hAnsi="Arial Narrow"/>
                <w:i/>
                <w:sz w:val="18"/>
                <w:szCs w:val="18"/>
              </w:rPr>
              <w:t> </w:t>
            </w:r>
            <w:r w:rsidRPr="000F6D23">
              <w:rPr>
                <w:rFonts w:ascii="Arial Narrow" w:hAnsi="Arial Narrow"/>
                <w:sz w:val="18"/>
                <w:szCs w:val="18"/>
              </w:rPr>
              <w:t xml:space="preserve">Canberra, 2013, p. 71.  </w:t>
            </w:r>
          </w:p>
        </w:tc>
      </w:tr>
    </w:tbl>
    <w:p w:rsidR="003477EA" w:rsidRDefault="00BC1C4E" w:rsidP="0041783D">
      <w:pPr>
        <w:pStyle w:val="Bodytext"/>
        <w:rPr>
          <w:lang w:val="en-US"/>
        </w:rPr>
      </w:pPr>
      <w:r w:rsidRPr="00314922">
        <w:rPr>
          <w:lang w:val="en-US"/>
        </w:rPr>
        <w:t xml:space="preserve">Regrettably, </w:t>
      </w:r>
      <w:r w:rsidR="00BE50B9">
        <w:rPr>
          <w:lang w:val="en-US"/>
        </w:rPr>
        <w:t xml:space="preserve">in the third </w:t>
      </w:r>
      <w:r w:rsidR="003477EA">
        <w:rPr>
          <w:lang w:val="en-US"/>
        </w:rPr>
        <w:t xml:space="preserve">year of the </w:t>
      </w:r>
      <w:r w:rsidRPr="00314922">
        <w:rPr>
          <w:lang w:val="en-US"/>
        </w:rPr>
        <w:t>Employment Strategy</w:t>
      </w:r>
      <w:r w:rsidR="003477EA">
        <w:rPr>
          <w:lang w:val="en-US"/>
        </w:rPr>
        <w:t xml:space="preserve">’s implementation, </w:t>
      </w:r>
      <w:r w:rsidR="00622CCD">
        <w:rPr>
          <w:lang w:val="en-US"/>
        </w:rPr>
        <w:t>key stakeholders</w:t>
      </w:r>
      <w:r w:rsidR="003477EA">
        <w:rPr>
          <w:lang w:val="en-US"/>
        </w:rPr>
        <w:t xml:space="preserve"> </w:t>
      </w:r>
      <w:r w:rsidR="00622CCD">
        <w:rPr>
          <w:lang w:val="en-US"/>
        </w:rPr>
        <w:t xml:space="preserve">have concerns about </w:t>
      </w:r>
      <w:r w:rsidR="005B1F74">
        <w:rPr>
          <w:lang w:val="en-US"/>
        </w:rPr>
        <w:t xml:space="preserve">the </w:t>
      </w:r>
      <w:r w:rsidR="00622CCD">
        <w:rPr>
          <w:lang w:val="en-US"/>
        </w:rPr>
        <w:t>delivery</w:t>
      </w:r>
      <w:r w:rsidR="005B1F74">
        <w:rPr>
          <w:lang w:val="en-US"/>
        </w:rPr>
        <w:t xml:space="preserve"> of outcomes. </w:t>
      </w:r>
      <w:r w:rsidRPr="00314922">
        <w:rPr>
          <w:lang w:val="en-US"/>
        </w:rPr>
        <w:t xml:space="preserve"> </w:t>
      </w:r>
      <w:r w:rsidR="00181482" w:rsidRPr="00314922">
        <w:rPr>
          <w:lang w:val="en-US"/>
        </w:rPr>
        <w:t xml:space="preserve"> </w:t>
      </w:r>
    </w:p>
    <w:p w:rsidR="003477EA" w:rsidRDefault="00181482" w:rsidP="0041783D">
      <w:pPr>
        <w:pStyle w:val="Bodytext"/>
        <w:rPr>
          <w:lang w:val="en-US"/>
        </w:rPr>
      </w:pPr>
      <w:r w:rsidRPr="00314922">
        <w:rPr>
          <w:lang w:val="en-US"/>
        </w:rPr>
        <w:t xml:space="preserve">The Committee has received no evidence that the Employment Strategy has resulted in </w:t>
      </w:r>
      <w:r w:rsidR="00314922" w:rsidRPr="00314922">
        <w:rPr>
          <w:lang w:val="en-US"/>
        </w:rPr>
        <w:t>time</w:t>
      </w:r>
      <w:r w:rsidR="003477EA">
        <w:rPr>
          <w:lang w:val="en-US"/>
        </w:rPr>
        <w:t> </w:t>
      </w:r>
      <w:r w:rsidR="00314922" w:rsidRPr="00314922">
        <w:rPr>
          <w:lang w:val="en-US"/>
        </w:rPr>
        <w:t xml:space="preserve">specific </w:t>
      </w:r>
      <w:r w:rsidRPr="00314922">
        <w:rPr>
          <w:lang w:val="en-US"/>
        </w:rPr>
        <w:t>plans with</w:t>
      </w:r>
      <w:r w:rsidR="00314922" w:rsidRPr="00314922">
        <w:rPr>
          <w:lang w:val="en-US"/>
        </w:rPr>
        <w:t xml:space="preserve"> </w:t>
      </w:r>
      <w:r w:rsidRPr="00314922">
        <w:rPr>
          <w:lang w:val="en-US"/>
        </w:rPr>
        <w:t xml:space="preserve">annual targets.  </w:t>
      </w:r>
      <w:r w:rsidR="00314922" w:rsidRPr="00314922">
        <w:rPr>
          <w:lang w:val="en-US"/>
        </w:rPr>
        <w:t>If there were</w:t>
      </w:r>
      <w:r w:rsidR="00314922">
        <w:rPr>
          <w:lang w:val="en-US"/>
        </w:rPr>
        <w:t xml:space="preserve"> any such </w:t>
      </w:r>
      <w:r w:rsidR="001C5B17">
        <w:rPr>
          <w:lang w:val="en-US"/>
        </w:rPr>
        <w:t>targets</w:t>
      </w:r>
      <w:r w:rsidR="00314922" w:rsidRPr="00314922">
        <w:rPr>
          <w:lang w:val="en-US"/>
        </w:rPr>
        <w:t xml:space="preserve">, then the Committee would expect to see details </w:t>
      </w:r>
      <w:r w:rsidR="001C5B17">
        <w:rPr>
          <w:lang w:val="en-US"/>
        </w:rPr>
        <w:t xml:space="preserve">of performance </w:t>
      </w:r>
      <w:r w:rsidR="00314922" w:rsidRPr="00314922">
        <w:rPr>
          <w:lang w:val="en-US"/>
        </w:rPr>
        <w:t>in each agency’s annual report</w:t>
      </w:r>
      <w:r w:rsidR="00314922">
        <w:rPr>
          <w:lang w:val="en-US"/>
        </w:rPr>
        <w:t xml:space="preserve">.  </w:t>
      </w:r>
      <w:r w:rsidR="001C5B17">
        <w:rPr>
          <w:lang w:val="en-US"/>
        </w:rPr>
        <w:t xml:space="preserve"> </w:t>
      </w:r>
      <w:r w:rsidR="00314922">
        <w:rPr>
          <w:lang w:val="en-US"/>
        </w:rPr>
        <w:t>To date reporting on the Employment Strategy in directorate annual reports is limited and inconsistent</w:t>
      </w:r>
      <w:r w:rsidR="00314922" w:rsidRPr="00314922">
        <w:rPr>
          <w:lang w:val="en-US"/>
        </w:rPr>
        <w:t xml:space="preserve">.  </w:t>
      </w:r>
    </w:p>
    <w:p w:rsidR="006266EB" w:rsidRDefault="00314922" w:rsidP="0041783D">
      <w:pPr>
        <w:pStyle w:val="Bodytext"/>
        <w:rPr>
          <w:lang w:val="en-US"/>
        </w:rPr>
      </w:pPr>
      <w:r>
        <w:rPr>
          <w:lang w:val="en-US"/>
        </w:rPr>
        <w:t>T</w:t>
      </w:r>
      <w:r w:rsidR="00181482" w:rsidRPr="00314922">
        <w:rPr>
          <w:lang w:val="en-US"/>
        </w:rPr>
        <w:t xml:space="preserve">he ACTPS submission </w:t>
      </w:r>
      <w:r w:rsidR="001C5B17">
        <w:rPr>
          <w:lang w:val="en-US"/>
        </w:rPr>
        <w:t xml:space="preserve">and other evidence received during the Inquiry leads </w:t>
      </w:r>
      <w:r>
        <w:rPr>
          <w:lang w:val="en-US"/>
        </w:rPr>
        <w:t xml:space="preserve">the Committee </w:t>
      </w:r>
      <w:r w:rsidR="001C5B17">
        <w:rPr>
          <w:lang w:val="en-US"/>
        </w:rPr>
        <w:t xml:space="preserve">to conclude </w:t>
      </w:r>
      <w:r w:rsidRPr="00314922">
        <w:rPr>
          <w:lang w:val="en-US"/>
        </w:rPr>
        <w:t xml:space="preserve">that things </w:t>
      </w:r>
      <w:r>
        <w:rPr>
          <w:lang w:val="en-US"/>
        </w:rPr>
        <w:t xml:space="preserve">have </w:t>
      </w:r>
      <w:r w:rsidRPr="00314922">
        <w:rPr>
          <w:lang w:val="en-US"/>
        </w:rPr>
        <w:t xml:space="preserve">meandered along until recently. </w:t>
      </w:r>
      <w:r w:rsidR="006266EB">
        <w:rPr>
          <w:lang w:val="en-US"/>
        </w:rPr>
        <w:t xml:space="preserve"> Comments about slow progress are made in submissions by the </w:t>
      </w:r>
      <w:r w:rsidR="00323080">
        <w:rPr>
          <w:lang w:val="en-US"/>
        </w:rPr>
        <w:t xml:space="preserve">Elected Body </w:t>
      </w:r>
      <w:r w:rsidR="00761FFD">
        <w:rPr>
          <w:lang w:val="en-US"/>
        </w:rPr>
        <w:t xml:space="preserve"> and the CPSU</w:t>
      </w:r>
      <w:r w:rsidR="006266EB">
        <w:rPr>
          <w:lang w:val="en-US"/>
        </w:rPr>
        <w:t xml:space="preserve">.  The CPSU submission states: </w:t>
      </w:r>
    </w:p>
    <w:p w:rsidR="006266EB" w:rsidRDefault="006266EB" w:rsidP="006266EB">
      <w:pPr>
        <w:pStyle w:val="Quote"/>
      </w:pPr>
      <w:r w:rsidRPr="00D94762">
        <w:rPr>
          <w:rFonts w:cs="Calibri"/>
        </w:rPr>
        <w:t>The Strategy has commendable objectives and contains an action plan with a number of specific measures designed to achieve those objectives</w:t>
      </w:r>
      <w:r>
        <w:t xml:space="preserve"> ... </w:t>
      </w:r>
    </w:p>
    <w:p w:rsidR="006266EB" w:rsidRPr="00D94762" w:rsidRDefault="006266EB" w:rsidP="006266EB">
      <w:pPr>
        <w:pStyle w:val="Quote"/>
      </w:pPr>
      <w:r>
        <w:t xml:space="preserve">However, </w:t>
      </w:r>
      <w:r w:rsidRPr="00D94762">
        <w:t xml:space="preserve">feedback from CPSU members is that although they were positive about the objectives of the Strategy, they do not think the implementation of the Strategy is effective in achieving the objectives. </w:t>
      </w:r>
      <w:r w:rsidR="003477EA">
        <w:t xml:space="preserve"> </w:t>
      </w:r>
      <w:r w:rsidRPr="00D94762">
        <w:t xml:space="preserve">Some members commented that the strategy involved a lot of rhetoric but not enough genuine commitment from Agencies in its implementation. </w:t>
      </w:r>
      <w:r>
        <w:rPr>
          <w:rStyle w:val="FootnoteReference"/>
        </w:rPr>
        <w:footnoteReference w:id="35"/>
      </w:r>
    </w:p>
    <w:p w:rsidR="006266EB" w:rsidRDefault="006266EB" w:rsidP="0041783D">
      <w:pPr>
        <w:pStyle w:val="Bodytext"/>
        <w:rPr>
          <w:lang w:val="en-US"/>
        </w:rPr>
      </w:pPr>
      <w:r w:rsidRPr="006266EB">
        <w:rPr>
          <w:lang w:val="en-US"/>
        </w:rPr>
        <w:t>The Committee finds t</w:t>
      </w:r>
      <w:r w:rsidR="003477EA">
        <w:rPr>
          <w:lang w:val="en-US"/>
        </w:rPr>
        <w:t xml:space="preserve">he Employment Strategy’s </w:t>
      </w:r>
      <w:r w:rsidR="00314922" w:rsidRPr="006266EB">
        <w:rPr>
          <w:lang w:val="en-US"/>
        </w:rPr>
        <w:t>rhetoric is good but</w:t>
      </w:r>
      <w:r w:rsidR="003477EA">
        <w:rPr>
          <w:lang w:val="en-US"/>
        </w:rPr>
        <w:t>, based on available evidence,</w:t>
      </w:r>
      <w:r w:rsidR="00314922" w:rsidRPr="006266EB">
        <w:rPr>
          <w:lang w:val="en-US"/>
        </w:rPr>
        <w:t xml:space="preserve"> </w:t>
      </w:r>
      <w:r w:rsidR="003477EA">
        <w:rPr>
          <w:lang w:val="en-US"/>
        </w:rPr>
        <w:t xml:space="preserve">the </w:t>
      </w:r>
      <w:r w:rsidR="00314922" w:rsidRPr="006266EB">
        <w:rPr>
          <w:lang w:val="en-US"/>
        </w:rPr>
        <w:t xml:space="preserve">results are </w:t>
      </w:r>
      <w:r w:rsidRPr="006266EB">
        <w:rPr>
          <w:lang w:val="en-US"/>
        </w:rPr>
        <w:t>disappointing</w:t>
      </w:r>
      <w:r w:rsidR="00314922" w:rsidRPr="006266EB">
        <w:rPr>
          <w:lang w:val="en-US"/>
        </w:rPr>
        <w:t xml:space="preserve">.  There is no sense of a tightly managed exercise, seriously focused on achieving outcomes. </w:t>
      </w:r>
      <w:r w:rsidRPr="006266EB">
        <w:rPr>
          <w:lang w:val="en-US"/>
        </w:rPr>
        <w:t xml:space="preserve"> The ACTPS submission </w:t>
      </w:r>
      <w:r w:rsidR="00C0182E">
        <w:rPr>
          <w:lang w:val="en-US"/>
        </w:rPr>
        <w:t xml:space="preserve">is </w:t>
      </w:r>
      <w:r w:rsidRPr="006266EB">
        <w:rPr>
          <w:lang w:val="en-US"/>
        </w:rPr>
        <w:t xml:space="preserve">characterized by </w:t>
      </w:r>
      <w:r w:rsidR="00C0182E">
        <w:rPr>
          <w:lang w:val="en-US"/>
        </w:rPr>
        <w:t xml:space="preserve">numerous </w:t>
      </w:r>
      <w:r w:rsidRPr="006266EB">
        <w:rPr>
          <w:lang w:val="en-US"/>
        </w:rPr>
        <w:t>references to activities that are aspired to</w:t>
      </w:r>
      <w:r>
        <w:rPr>
          <w:lang w:val="en-US"/>
        </w:rPr>
        <w:t xml:space="preserve">, </w:t>
      </w:r>
      <w:r w:rsidRPr="006266EB">
        <w:rPr>
          <w:lang w:val="en-US"/>
        </w:rPr>
        <w:t>planned to happen</w:t>
      </w:r>
      <w:r>
        <w:rPr>
          <w:lang w:val="en-US"/>
        </w:rPr>
        <w:t xml:space="preserve"> and/or have only just happened</w:t>
      </w:r>
      <w:r w:rsidRPr="006266EB">
        <w:rPr>
          <w:lang w:val="en-US"/>
        </w:rPr>
        <w:t xml:space="preserve">. </w:t>
      </w:r>
    </w:p>
    <w:p w:rsidR="001C5B17" w:rsidRDefault="001C5B17" w:rsidP="001C5B17">
      <w:pPr>
        <w:pStyle w:val="Bodytext"/>
        <w:rPr>
          <w:lang w:val="en-US"/>
        </w:rPr>
      </w:pPr>
      <w:r>
        <w:t xml:space="preserve">The Committee </w:t>
      </w:r>
      <w:r w:rsidR="000F6D23">
        <w:t xml:space="preserve">notes </w:t>
      </w:r>
      <w:r>
        <w:t>that e</w:t>
      </w:r>
      <w:r w:rsidRPr="004423AD">
        <w:t>ffective project management is becoming essential as government</w:t>
      </w:r>
      <w:r>
        <w:t>s everywhere</w:t>
      </w:r>
      <w:r w:rsidRPr="004423AD">
        <w:t xml:space="preserve"> increasingly tackle issues that are highly complex, </w:t>
      </w:r>
      <w:r w:rsidR="00BE50B9">
        <w:t>a</w:t>
      </w:r>
      <w:r w:rsidRPr="004423AD">
        <w:t>cross portfolios and jurisdictions and require delivery through numerous stakeholders.</w:t>
      </w:r>
      <w:r>
        <w:t xml:space="preserve">  </w:t>
      </w:r>
      <w:r w:rsidRPr="004423AD">
        <w:rPr>
          <w:lang w:val="en-US"/>
        </w:rPr>
        <w:t xml:space="preserve">Effective project management </w:t>
      </w:r>
      <w:r>
        <w:rPr>
          <w:lang w:val="en-US"/>
        </w:rPr>
        <w:t>using proven methodologies, such as PRINCE2</w:t>
      </w:r>
      <w:r w:rsidR="00BE50B9">
        <w:rPr>
          <w:lang w:val="en-US"/>
        </w:rPr>
        <w:t xml:space="preserve"> and PMBoK</w:t>
      </w:r>
      <w:r>
        <w:rPr>
          <w:lang w:val="en-US"/>
        </w:rPr>
        <w:t xml:space="preserve">, </w:t>
      </w:r>
      <w:r w:rsidRPr="004423AD">
        <w:rPr>
          <w:lang w:val="en-US"/>
        </w:rPr>
        <w:t>help to deliver initiatives on time, on budget and to the</w:t>
      </w:r>
      <w:r>
        <w:rPr>
          <w:lang w:val="en-US"/>
        </w:rPr>
        <w:t xml:space="preserve"> scope and quality anticipated.</w:t>
      </w:r>
      <w:r>
        <w:rPr>
          <w:rStyle w:val="FootnoteReference"/>
          <w:lang w:val="en-US"/>
        </w:rPr>
        <w:footnoteReference w:id="36"/>
      </w:r>
      <w:r>
        <w:rPr>
          <w:lang w:val="en-US"/>
        </w:rPr>
        <w:t xml:space="preserve">   </w:t>
      </w:r>
    </w:p>
    <w:p w:rsidR="00546589" w:rsidRDefault="00546589" w:rsidP="00546589">
      <w:pPr>
        <w:pStyle w:val="Bodytext"/>
      </w:pPr>
      <w:r>
        <w:t xml:space="preserve">The Committee notes that the Education and Training Directorate’s </w:t>
      </w:r>
      <w:r w:rsidRPr="00546589">
        <w:rPr>
          <w:i/>
        </w:rPr>
        <w:t>Aboriginal and Torres Strait Islander Employment Action Plan 2014-17</w:t>
      </w:r>
      <w:r>
        <w:t xml:space="preserve"> includes </w:t>
      </w:r>
      <w:r>
        <w:rPr>
          <w:i/>
        </w:rPr>
        <w:t>In</w:t>
      </w:r>
      <w:r w:rsidRPr="007026EE">
        <w:rPr>
          <w:i/>
        </w:rPr>
        <w:t>itiative 2.5</w:t>
      </w:r>
      <w:r>
        <w:t xml:space="preserve"> </w:t>
      </w:r>
      <w:r w:rsidRPr="00522330">
        <w:rPr>
          <w:i/>
        </w:rPr>
        <w:t>Consider the establishment of an Aboriginal and Torres Strait Islander Employment team.</w:t>
      </w:r>
      <w:r>
        <w:t xml:space="preserve">  The Health Directorate’s </w:t>
      </w:r>
      <w:r w:rsidRPr="00546589">
        <w:rPr>
          <w:i/>
        </w:rPr>
        <w:t>Aboriginal and Torres Strait Islander Health Workforce Action Plan 2013</w:t>
      </w:r>
      <w:r>
        <w:rPr>
          <w:i/>
        </w:rPr>
        <w:noBreakHyphen/>
      </w:r>
      <w:r w:rsidRPr="00546589">
        <w:rPr>
          <w:i/>
        </w:rPr>
        <w:t xml:space="preserve">2018 </w:t>
      </w:r>
      <w:r>
        <w:t>offers a s</w:t>
      </w:r>
      <w:r w:rsidRPr="008A26CB">
        <w:t>takeholder</w:t>
      </w:r>
      <w:r>
        <w:t xml:space="preserve"> view of </w:t>
      </w:r>
      <w:r w:rsidRPr="008A26CB">
        <w:t>responsibility for</w:t>
      </w:r>
      <w:r>
        <w:t xml:space="preserve"> </w:t>
      </w:r>
      <w:r w:rsidRPr="008A26CB">
        <w:t xml:space="preserve">implementation </w:t>
      </w:r>
      <w:r>
        <w:t xml:space="preserve">with roles for </w:t>
      </w:r>
      <w:r w:rsidRPr="008A26CB">
        <w:t>People St</w:t>
      </w:r>
      <w:r>
        <w:t xml:space="preserve">rategies and Services Branch, ACT Health </w:t>
      </w:r>
      <w:r w:rsidRPr="008A26CB">
        <w:t xml:space="preserve">Managers </w:t>
      </w:r>
      <w:r>
        <w:t xml:space="preserve">and </w:t>
      </w:r>
      <w:r w:rsidRPr="008A26CB">
        <w:t>Aboriginal and Torres Strait Islander staff</w:t>
      </w:r>
      <w:r>
        <w:t>.</w:t>
      </w:r>
    </w:p>
    <w:p w:rsidR="00561CAD" w:rsidRPr="004B19AE" w:rsidRDefault="00BC1C4E" w:rsidP="004B19AE">
      <w:pPr>
        <w:pStyle w:val="Bodytext"/>
        <w:rPr>
          <w:lang w:val="en-US"/>
        </w:rPr>
      </w:pPr>
      <w:r w:rsidRPr="006266EB">
        <w:rPr>
          <w:lang w:val="en-US"/>
        </w:rPr>
        <w:t xml:space="preserve">The Committee </w:t>
      </w:r>
      <w:r w:rsidR="006266EB">
        <w:rPr>
          <w:lang w:val="en-US"/>
        </w:rPr>
        <w:t>conclude</w:t>
      </w:r>
      <w:r w:rsidR="001C5B17">
        <w:rPr>
          <w:lang w:val="en-US"/>
        </w:rPr>
        <w:t>s</w:t>
      </w:r>
      <w:r w:rsidR="006266EB">
        <w:rPr>
          <w:lang w:val="en-US"/>
        </w:rPr>
        <w:t xml:space="preserve"> </w:t>
      </w:r>
      <w:r w:rsidRPr="006266EB">
        <w:rPr>
          <w:lang w:val="en-US"/>
        </w:rPr>
        <w:t xml:space="preserve">that the ACTPS </w:t>
      </w:r>
      <w:r w:rsidR="00314922" w:rsidRPr="006266EB">
        <w:rPr>
          <w:lang w:val="en-US"/>
        </w:rPr>
        <w:t xml:space="preserve">would </w:t>
      </w:r>
      <w:r w:rsidRPr="006266EB">
        <w:rPr>
          <w:lang w:val="en-US"/>
        </w:rPr>
        <w:t xml:space="preserve">have been better to establish a defined </w:t>
      </w:r>
      <w:r w:rsidR="00314922" w:rsidRPr="006266EB">
        <w:rPr>
          <w:lang w:val="en-US"/>
        </w:rPr>
        <w:t>ACTPS-wide</w:t>
      </w:r>
      <w:r w:rsidR="005E2747">
        <w:rPr>
          <w:lang w:val="en-US"/>
        </w:rPr>
        <w:t>,</w:t>
      </w:r>
      <w:r w:rsidR="00314922" w:rsidRPr="006266EB">
        <w:rPr>
          <w:lang w:val="en-US"/>
        </w:rPr>
        <w:t xml:space="preserve"> </w:t>
      </w:r>
      <w:r w:rsidR="00584BEB">
        <w:rPr>
          <w:lang w:val="en-US"/>
        </w:rPr>
        <w:t xml:space="preserve">Indigenous employment </w:t>
      </w:r>
      <w:r w:rsidRPr="006266EB">
        <w:rPr>
          <w:lang w:val="en-US"/>
        </w:rPr>
        <w:t>project and</w:t>
      </w:r>
      <w:r w:rsidR="005C2A58" w:rsidRPr="006266EB">
        <w:rPr>
          <w:lang w:val="en-US"/>
        </w:rPr>
        <w:t xml:space="preserve">, using a proven project management methodology, </w:t>
      </w:r>
      <w:r w:rsidRPr="006266EB">
        <w:rPr>
          <w:lang w:val="en-US"/>
        </w:rPr>
        <w:t>managed the achievement of deliverables accordingly.</w:t>
      </w:r>
      <w:r w:rsidR="00314922">
        <w:rPr>
          <w:rStyle w:val="FootnoteReference"/>
          <w:lang w:val="en-US"/>
        </w:rPr>
        <w:footnoteReference w:id="37"/>
      </w:r>
      <w:r w:rsidRPr="006266EB">
        <w:rPr>
          <w:lang w:val="en-US"/>
        </w:rPr>
        <w:t xml:space="preserve"> </w:t>
      </w:r>
      <w:r w:rsidR="00F20460" w:rsidRPr="006266EB">
        <w:rPr>
          <w:lang w:val="en-US"/>
        </w:rPr>
        <w:t xml:space="preserve">  </w:t>
      </w:r>
      <w:r w:rsidR="00314922" w:rsidRPr="006266EB">
        <w:rPr>
          <w:lang w:val="en-US"/>
        </w:rPr>
        <w:t>Such an approach would have result</w:t>
      </w:r>
      <w:r w:rsidR="005E2747">
        <w:rPr>
          <w:lang w:val="en-US"/>
        </w:rPr>
        <w:t>ed</w:t>
      </w:r>
      <w:r w:rsidR="00314922" w:rsidRPr="006266EB">
        <w:rPr>
          <w:lang w:val="en-US"/>
        </w:rPr>
        <w:t xml:space="preserve"> in a dedicated</w:t>
      </w:r>
      <w:r w:rsidR="00561CAD">
        <w:rPr>
          <w:lang w:val="en-US"/>
        </w:rPr>
        <w:t>,</w:t>
      </w:r>
      <w:r w:rsidR="00314922" w:rsidRPr="006266EB">
        <w:rPr>
          <w:lang w:val="en-US"/>
        </w:rPr>
        <w:t xml:space="preserve"> </w:t>
      </w:r>
      <w:r w:rsidR="00561CAD">
        <w:rPr>
          <w:lang w:val="en-US"/>
        </w:rPr>
        <w:t>cross-functional, p</w:t>
      </w:r>
      <w:r w:rsidR="00314922" w:rsidRPr="006266EB">
        <w:rPr>
          <w:lang w:val="en-US"/>
        </w:rPr>
        <w:t xml:space="preserve">roject team reporting to the </w:t>
      </w:r>
      <w:r w:rsidR="004D5416">
        <w:rPr>
          <w:lang w:val="en-US"/>
        </w:rPr>
        <w:t>Strategic Board</w:t>
      </w:r>
      <w:r w:rsidR="00314922" w:rsidRPr="006266EB">
        <w:rPr>
          <w:lang w:val="en-US"/>
        </w:rPr>
        <w:t xml:space="preserve">.  The project team would have been accountable for the delivery of specific </w:t>
      </w:r>
      <w:r w:rsidR="00584BEB">
        <w:rPr>
          <w:lang w:val="en-US"/>
        </w:rPr>
        <w:t xml:space="preserve">Service-wide, </w:t>
      </w:r>
      <w:r w:rsidR="00314922" w:rsidRPr="006266EB">
        <w:rPr>
          <w:lang w:val="en-US"/>
        </w:rPr>
        <w:t>measurable outcomes</w:t>
      </w:r>
      <w:r w:rsidR="001C5B17">
        <w:rPr>
          <w:lang w:val="en-US"/>
        </w:rPr>
        <w:t>, the identification of risks and the mitigation of risks.</w:t>
      </w:r>
      <w:r w:rsidR="00314922" w:rsidRPr="006266EB">
        <w:rPr>
          <w:lang w:val="en-US"/>
        </w:rPr>
        <w:t xml:space="preserve"> </w:t>
      </w:r>
    </w:p>
    <w:p w:rsidR="004423AD" w:rsidRPr="00C0182E" w:rsidRDefault="006266EB" w:rsidP="0041783D">
      <w:pPr>
        <w:pStyle w:val="Bodytext"/>
        <w:rPr>
          <w:lang w:val="en-US"/>
        </w:rPr>
      </w:pPr>
      <w:r w:rsidRPr="00C0182E">
        <w:rPr>
          <w:lang w:val="en-US"/>
        </w:rPr>
        <w:t xml:space="preserve">A defined project would not </w:t>
      </w:r>
      <w:r w:rsidR="00C0182E" w:rsidRPr="00C0182E">
        <w:rPr>
          <w:lang w:val="en-US"/>
        </w:rPr>
        <w:t xml:space="preserve">have been </w:t>
      </w:r>
      <w:r w:rsidRPr="00C0182E">
        <w:rPr>
          <w:lang w:val="en-US"/>
        </w:rPr>
        <w:t xml:space="preserve">a substitute for the Employment Strategy.   </w:t>
      </w:r>
      <w:r w:rsidR="00C0182E" w:rsidRPr="00C0182E">
        <w:rPr>
          <w:lang w:val="en-US"/>
        </w:rPr>
        <w:t xml:space="preserve"> </w:t>
      </w:r>
      <w:r w:rsidR="00C0182E">
        <w:rPr>
          <w:lang w:val="en-US"/>
        </w:rPr>
        <w:t>T</w:t>
      </w:r>
      <w:r w:rsidR="00C0182E" w:rsidRPr="00C0182E">
        <w:rPr>
          <w:lang w:val="en-US"/>
        </w:rPr>
        <w:t>he Committee is of the view that a</w:t>
      </w:r>
      <w:r w:rsidR="00F20460" w:rsidRPr="00C0182E">
        <w:rPr>
          <w:lang w:val="en-US"/>
        </w:rPr>
        <w:t xml:space="preserve"> project management approach would have had a number of benefits not least being the ability to manage expectations of stakeholders within</w:t>
      </w:r>
      <w:r w:rsidR="00CC60C0" w:rsidRPr="00C0182E">
        <w:rPr>
          <w:lang w:val="en-US"/>
        </w:rPr>
        <w:t xml:space="preserve">, </w:t>
      </w:r>
      <w:r w:rsidR="00F20460" w:rsidRPr="00C0182E">
        <w:rPr>
          <w:lang w:val="en-US"/>
        </w:rPr>
        <w:t>and outside of</w:t>
      </w:r>
      <w:r w:rsidR="00CC60C0" w:rsidRPr="00C0182E">
        <w:rPr>
          <w:lang w:val="en-US"/>
        </w:rPr>
        <w:t>,</w:t>
      </w:r>
      <w:r w:rsidR="00F20460" w:rsidRPr="00C0182E">
        <w:rPr>
          <w:lang w:val="en-US"/>
        </w:rPr>
        <w:t xml:space="preserve"> the ACTPS, </w:t>
      </w:r>
      <w:r w:rsidR="00CC60C0" w:rsidRPr="00C0182E">
        <w:rPr>
          <w:lang w:val="en-US"/>
        </w:rPr>
        <w:t xml:space="preserve">notable stakeholders being </w:t>
      </w:r>
      <w:r w:rsidR="00F20460" w:rsidRPr="00C0182E">
        <w:rPr>
          <w:lang w:val="en-US"/>
        </w:rPr>
        <w:t xml:space="preserve">the </w:t>
      </w:r>
      <w:r w:rsidR="00323080">
        <w:rPr>
          <w:lang w:val="en-US"/>
        </w:rPr>
        <w:t xml:space="preserve">Elected Body </w:t>
      </w:r>
      <w:r w:rsidR="00F20460" w:rsidRPr="00C0182E">
        <w:rPr>
          <w:lang w:val="en-US"/>
        </w:rPr>
        <w:t xml:space="preserve"> and members of the </w:t>
      </w:r>
      <w:r w:rsidR="00CC60C0" w:rsidRPr="00C0182E">
        <w:rPr>
          <w:lang w:val="en-US"/>
        </w:rPr>
        <w:t xml:space="preserve">Legislatives </w:t>
      </w:r>
      <w:r w:rsidR="00F20460" w:rsidRPr="00C0182E">
        <w:rPr>
          <w:lang w:val="en-US"/>
        </w:rPr>
        <w:t xml:space="preserve">Assembly.   </w:t>
      </w:r>
      <w:r w:rsidR="001C5B17">
        <w:rPr>
          <w:lang w:val="en-US"/>
        </w:rPr>
        <w:t>The Committee concludes that the ACTPS must adopt such a</w:t>
      </w:r>
      <w:r w:rsidR="00BE50B9">
        <w:rPr>
          <w:lang w:val="en-US"/>
        </w:rPr>
        <w:t>n</w:t>
      </w:r>
      <w:r w:rsidR="001C5B17">
        <w:rPr>
          <w:lang w:val="en-US"/>
        </w:rPr>
        <w:t xml:space="preserve"> approach</w:t>
      </w:r>
      <w:r w:rsidR="00D8261B">
        <w:rPr>
          <w:lang w:val="en-US"/>
        </w:rPr>
        <w:t xml:space="preserve"> if it is to achieve the Employment Strategy’s outcomes in a reasonable timeframe.</w:t>
      </w:r>
      <w:r w:rsidR="00561CAD">
        <w:rPr>
          <w:lang w:val="en-US"/>
        </w:rPr>
        <w:t xml:space="preserve"> </w:t>
      </w:r>
    </w:p>
    <w:p w:rsidR="00CB5484" w:rsidRDefault="00CB5484" w:rsidP="00CB5484">
      <w:pPr>
        <w:pStyle w:val="Recommendation"/>
        <w:rPr>
          <w:lang w:val="en-US"/>
        </w:rPr>
      </w:pPr>
      <w:bookmarkStart w:id="54" w:name="_Toc384024355"/>
      <w:bookmarkEnd w:id="54"/>
    </w:p>
    <w:p w:rsidR="00405209" w:rsidRPr="00323080" w:rsidRDefault="00405209" w:rsidP="00CB5484">
      <w:pPr>
        <w:pStyle w:val="RecommendationText"/>
        <w:rPr>
          <w:i/>
          <w:lang w:val="en-US"/>
        </w:rPr>
      </w:pPr>
      <w:bookmarkStart w:id="55" w:name="_Toc384024356"/>
      <w:r>
        <w:rPr>
          <w:lang w:val="en-US"/>
        </w:rPr>
        <w:t xml:space="preserve">The Committee recommends that the </w:t>
      </w:r>
      <w:r w:rsidR="00323080">
        <w:rPr>
          <w:lang w:val="en-US"/>
        </w:rPr>
        <w:t xml:space="preserve">ACT Public Service </w:t>
      </w:r>
      <w:r>
        <w:rPr>
          <w:lang w:val="en-US"/>
        </w:rPr>
        <w:t xml:space="preserve">implement a project management approach to ensure the timely achievement of outcomes identified in the </w:t>
      </w:r>
      <w:r w:rsidR="00323080" w:rsidRPr="00323080">
        <w:rPr>
          <w:i/>
          <w:lang w:val="en-US"/>
        </w:rPr>
        <w:t>ACT Public Service E</w:t>
      </w:r>
      <w:r w:rsidRPr="00323080">
        <w:rPr>
          <w:i/>
          <w:lang w:val="en-US"/>
        </w:rPr>
        <w:t>mployment Strategy for Aboriginal and Torres Strait Islander</w:t>
      </w:r>
      <w:r w:rsidR="00581F10" w:rsidRPr="00323080">
        <w:rPr>
          <w:i/>
          <w:lang w:val="en-US"/>
        </w:rPr>
        <w:t xml:space="preserve"> People</w:t>
      </w:r>
      <w:r w:rsidRPr="00323080">
        <w:rPr>
          <w:i/>
          <w:lang w:val="en-US"/>
        </w:rPr>
        <w:t>.</w:t>
      </w:r>
      <w:bookmarkEnd w:id="55"/>
    </w:p>
    <w:p w:rsidR="003E37D2" w:rsidRDefault="003E37D2" w:rsidP="003E37D2">
      <w:pPr>
        <w:pStyle w:val="Headinglevel3"/>
        <w:rPr>
          <w:lang w:val="en-US"/>
        </w:rPr>
      </w:pPr>
      <w:r>
        <w:rPr>
          <w:lang w:val="en-US"/>
        </w:rPr>
        <w:t>Leadership</w:t>
      </w:r>
    </w:p>
    <w:p w:rsidR="000F26BC" w:rsidRDefault="005C2A58" w:rsidP="0041783D">
      <w:pPr>
        <w:pStyle w:val="Bodytext"/>
        <w:rPr>
          <w:lang w:val="en-US"/>
        </w:rPr>
      </w:pPr>
      <w:r w:rsidRPr="002556A5">
        <w:rPr>
          <w:lang w:val="en-US"/>
        </w:rPr>
        <w:t xml:space="preserve">A key element of </w:t>
      </w:r>
      <w:r w:rsidR="00C64CDD" w:rsidRPr="002556A5">
        <w:rPr>
          <w:lang w:val="en-US"/>
        </w:rPr>
        <w:t xml:space="preserve">achieving </w:t>
      </w:r>
      <w:r w:rsidRPr="002556A5">
        <w:rPr>
          <w:lang w:val="en-US"/>
        </w:rPr>
        <w:t xml:space="preserve">success </w:t>
      </w:r>
      <w:r w:rsidR="00C64CDD" w:rsidRPr="002556A5">
        <w:rPr>
          <w:lang w:val="en-US"/>
        </w:rPr>
        <w:t xml:space="preserve">in implementing </w:t>
      </w:r>
      <w:r w:rsidRPr="002556A5">
        <w:rPr>
          <w:lang w:val="en-US"/>
        </w:rPr>
        <w:t xml:space="preserve">any organizational strategy is leadership. </w:t>
      </w:r>
      <w:r w:rsidR="00C64CDD" w:rsidRPr="002556A5">
        <w:rPr>
          <w:lang w:val="en-US"/>
        </w:rPr>
        <w:t xml:space="preserve"> </w:t>
      </w:r>
      <w:r w:rsidR="00EE7D94" w:rsidRPr="002556A5">
        <w:rPr>
          <w:lang w:val="en-US"/>
        </w:rPr>
        <w:t xml:space="preserve">It is a finding of various studies into Indigenous employment.  </w:t>
      </w:r>
      <w:r w:rsidR="003B4D90" w:rsidRPr="002556A5">
        <w:rPr>
          <w:lang w:val="en-US"/>
        </w:rPr>
        <w:t>The Committee notes the findings of a collaborative study by the Centre for Social Responsibility at the University of Queensland and several mining companies, notably Rio Tinto.</w:t>
      </w:r>
      <w:r w:rsidR="000F26BC">
        <w:rPr>
          <w:rStyle w:val="FootnoteReference"/>
          <w:lang w:val="en-US"/>
        </w:rPr>
        <w:footnoteReference w:id="38"/>
      </w:r>
      <w:r w:rsidR="003B4D90" w:rsidRPr="002556A5">
        <w:rPr>
          <w:lang w:val="en-US"/>
        </w:rPr>
        <w:t xml:space="preserve">  </w:t>
      </w:r>
    </w:p>
    <w:p w:rsidR="003B4D90" w:rsidRPr="002556A5" w:rsidRDefault="003B4D90" w:rsidP="0041783D">
      <w:pPr>
        <w:pStyle w:val="Bodytext"/>
        <w:rPr>
          <w:lang w:val="en-US"/>
        </w:rPr>
      </w:pPr>
      <w:r w:rsidRPr="002556A5">
        <w:rPr>
          <w:lang w:val="en-US"/>
        </w:rPr>
        <w:t>The study’s report</w:t>
      </w:r>
      <w:r w:rsidR="000F26BC">
        <w:rPr>
          <w:lang w:val="en-US"/>
        </w:rPr>
        <w:t>,</w:t>
      </w:r>
      <w:r w:rsidR="00184CD2" w:rsidRPr="002556A5">
        <w:rPr>
          <w:lang w:val="en-US"/>
        </w:rPr>
        <w:t xml:space="preserve">  titled, </w:t>
      </w:r>
      <w:r>
        <w:t xml:space="preserve"> </w:t>
      </w:r>
      <w:r w:rsidRPr="002556A5">
        <w:rPr>
          <w:i/>
        </w:rPr>
        <w:t>Indigenous Employment in the Minerals Industry</w:t>
      </w:r>
      <w:r>
        <w:t xml:space="preserve">, </w:t>
      </w:r>
      <w:r w:rsidRPr="002556A5">
        <w:rPr>
          <w:lang w:val="en-US"/>
        </w:rPr>
        <w:t>identifies critical success factors, the first of which is executive leadership:</w:t>
      </w:r>
    </w:p>
    <w:p w:rsidR="003B4D90" w:rsidRDefault="003B4D90" w:rsidP="003B4D90">
      <w:pPr>
        <w:spacing w:before="16" w:line="220" w:lineRule="exact"/>
      </w:pPr>
    </w:p>
    <w:p w:rsidR="003B4D90" w:rsidRPr="003B4D90" w:rsidRDefault="003B4D90" w:rsidP="003B4D90">
      <w:pPr>
        <w:pStyle w:val="Quote"/>
      </w:pPr>
      <w:r w:rsidRPr="003B4D90">
        <w:t>First and foremost, achieving sustainable improvements in Indigenous employment requires organisational commitment. Companies with successful Indigenous employment strategies are characterised by:</w:t>
      </w:r>
    </w:p>
    <w:p w:rsidR="003B4D90" w:rsidRPr="003B4D90" w:rsidRDefault="003B4D90" w:rsidP="00924579">
      <w:pPr>
        <w:pStyle w:val="Quote"/>
        <w:numPr>
          <w:ilvl w:val="0"/>
          <w:numId w:val="20"/>
        </w:numPr>
      </w:pPr>
      <w:r w:rsidRPr="003B4D90">
        <w:t>an executive leadership team that has publicly committed to improving Indigenous employment outcomes and backs this commitment by providing adequate financial and human resources</w:t>
      </w:r>
    </w:p>
    <w:p w:rsidR="003B4D90" w:rsidRPr="003B4D90" w:rsidRDefault="003B4D90" w:rsidP="00924579">
      <w:pPr>
        <w:pStyle w:val="Quote"/>
        <w:numPr>
          <w:ilvl w:val="0"/>
          <w:numId w:val="20"/>
        </w:numPr>
      </w:pPr>
      <w:r w:rsidRPr="003B4D90">
        <w:t>a commitment to the development of honest and transparent relationships with Indigenous communities</w:t>
      </w:r>
    </w:p>
    <w:p w:rsidR="003B4D90" w:rsidRPr="003B4D90" w:rsidRDefault="003B4D90" w:rsidP="00924579">
      <w:pPr>
        <w:pStyle w:val="Quote"/>
        <w:numPr>
          <w:ilvl w:val="0"/>
          <w:numId w:val="20"/>
        </w:numPr>
      </w:pPr>
      <w:r w:rsidRPr="003B4D90">
        <w:t>corporate champions who ‘go the extra mile’ in supporting Indigenous employees and who have influence with the operation’s management team to ensure that Indigenous employment issues remain on the corporate agenda</w:t>
      </w:r>
    </w:p>
    <w:p w:rsidR="003B4D90" w:rsidRPr="003B4D90" w:rsidRDefault="003B4D90" w:rsidP="00924579">
      <w:pPr>
        <w:pStyle w:val="Quote"/>
        <w:numPr>
          <w:ilvl w:val="0"/>
          <w:numId w:val="20"/>
        </w:numPr>
      </w:pPr>
      <w:r w:rsidRPr="003B4D90">
        <w:t>suitably qualified, skilled, informed and committed personnel in training and liaison positions, who are respected by</w:t>
      </w:r>
      <w:r w:rsidR="002556A5">
        <w:t xml:space="preserve"> the local Indigenous community.</w:t>
      </w:r>
      <w:r w:rsidR="002556A5">
        <w:rPr>
          <w:rStyle w:val="FootnoteReference"/>
        </w:rPr>
        <w:footnoteReference w:id="39"/>
      </w:r>
      <w:r w:rsidR="002556A5">
        <w:t xml:space="preserve">  </w:t>
      </w:r>
    </w:p>
    <w:p w:rsidR="00C64CDD" w:rsidRDefault="00C64CDD" w:rsidP="0041783D">
      <w:pPr>
        <w:pStyle w:val="Bodytext"/>
        <w:rPr>
          <w:lang w:val="en-US"/>
        </w:rPr>
      </w:pPr>
      <w:r>
        <w:rPr>
          <w:lang w:val="en-US"/>
        </w:rPr>
        <w:t>At the public hearing on 11 December 2013 the Acting Head of Service</w:t>
      </w:r>
      <w:r w:rsidR="00CC60C0">
        <w:rPr>
          <w:lang w:val="en-US"/>
        </w:rPr>
        <w:t xml:space="preserve">, Mr Gary Byles, made the following comments </w:t>
      </w:r>
      <w:r>
        <w:rPr>
          <w:lang w:val="en-US"/>
        </w:rPr>
        <w:t xml:space="preserve">in relation to implementation of the RED Framework: </w:t>
      </w:r>
    </w:p>
    <w:p w:rsidR="00C64CDD" w:rsidRDefault="00C64CDD" w:rsidP="00C64CDD">
      <w:pPr>
        <w:pStyle w:val="Quote"/>
        <w:rPr>
          <w:lang w:val="en-US"/>
        </w:rPr>
      </w:pPr>
      <w:r>
        <w:rPr>
          <w:spacing w:val="-1"/>
        </w:rPr>
        <w:t>Leaders</w:t>
      </w:r>
      <w:r>
        <w:rPr>
          <w:spacing w:val="35"/>
        </w:rPr>
        <w:t xml:space="preserve"> </w:t>
      </w:r>
      <w:r>
        <w:rPr>
          <w:spacing w:val="-1"/>
        </w:rPr>
        <w:t>have</w:t>
      </w:r>
      <w:r>
        <w:rPr>
          <w:spacing w:val="34"/>
        </w:rPr>
        <w:t xml:space="preserve"> </w:t>
      </w:r>
      <w:r>
        <w:t>to</w:t>
      </w:r>
      <w:r>
        <w:rPr>
          <w:spacing w:val="55"/>
        </w:rPr>
        <w:t xml:space="preserve"> </w:t>
      </w:r>
      <w:r>
        <w:t>model</w:t>
      </w:r>
      <w:r>
        <w:rPr>
          <w:spacing w:val="21"/>
        </w:rPr>
        <w:t xml:space="preserve"> </w:t>
      </w:r>
      <w:r>
        <w:t>their</w:t>
      </w:r>
      <w:r>
        <w:rPr>
          <w:spacing w:val="20"/>
        </w:rPr>
        <w:t xml:space="preserve"> </w:t>
      </w:r>
      <w:r>
        <w:rPr>
          <w:spacing w:val="-1"/>
        </w:rPr>
        <w:t>behaviour,</w:t>
      </w:r>
      <w:r>
        <w:rPr>
          <w:spacing w:val="21"/>
        </w:rPr>
        <w:t xml:space="preserve"> </w:t>
      </w:r>
      <w:r>
        <w:t>they</w:t>
      </w:r>
      <w:r>
        <w:rPr>
          <w:spacing w:val="16"/>
        </w:rPr>
        <w:t xml:space="preserve"> </w:t>
      </w:r>
      <w:r>
        <w:t>have</w:t>
      </w:r>
      <w:r>
        <w:rPr>
          <w:spacing w:val="20"/>
        </w:rPr>
        <w:t xml:space="preserve"> </w:t>
      </w:r>
      <w:r>
        <w:t>to</w:t>
      </w:r>
      <w:r>
        <w:rPr>
          <w:spacing w:val="21"/>
        </w:rPr>
        <w:t xml:space="preserve"> </w:t>
      </w:r>
      <w:r>
        <w:rPr>
          <w:spacing w:val="-1"/>
        </w:rPr>
        <w:t>demonstrate</w:t>
      </w:r>
      <w:r>
        <w:rPr>
          <w:spacing w:val="23"/>
        </w:rPr>
        <w:t xml:space="preserve"> </w:t>
      </w:r>
      <w:r>
        <w:t>their</w:t>
      </w:r>
      <w:r>
        <w:rPr>
          <w:spacing w:val="20"/>
        </w:rPr>
        <w:t xml:space="preserve"> </w:t>
      </w:r>
      <w:r>
        <w:rPr>
          <w:spacing w:val="-1"/>
        </w:rPr>
        <w:t>commitment</w:t>
      </w:r>
      <w:r>
        <w:rPr>
          <w:spacing w:val="21"/>
        </w:rPr>
        <w:t xml:space="preserve"> </w:t>
      </w:r>
      <w:r>
        <w:rPr>
          <w:spacing w:val="-1"/>
        </w:rPr>
        <w:t>and</w:t>
      </w:r>
      <w:r>
        <w:rPr>
          <w:spacing w:val="21"/>
        </w:rPr>
        <w:t xml:space="preserve"> </w:t>
      </w:r>
      <w:r>
        <w:rPr>
          <w:spacing w:val="-1"/>
        </w:rPr>
        <w:t>they</w:t>
      </w:r>
      <w:r>
        <w:rPr>
          <w:spacing w:val="16"/>
        </w:rPr>
        <w:t xml:space="preserve"> </w:t>
      </w:r>
      <w:r>
        <w:t>have</w:t>
      </w:r>
      <w:r>
        <w:rPr>
          <w:spacing w:val="20"/>
        </w:rPr>
        <w:t xml:space="preserve"> </w:t>
      </w:r>
      <w:r>
        <w:t>to</w:t>
      </w:r>
      <w:r w:rsidR="005A6980">
        <w:t xml:space="preserve"> </w:t>
      </w:r>
      <w:r>
        <w:t>take</w:t>
      </w:r>
      <w:r>
        <w:rPr>
          <w:spacing w:val="5"/>
        </w:rPr>
        <w:t xml:space="preserve"> </w:t>
      </w:r>
      <w:r>
        <w:rPr>
          <w:spacing w:val="-1"/>
        </w:rPr>
        <w:t>charge</w:t>
      </w:r>
      <w:r>
        <w:rPr>
          <w:spacing w:val="6"/>
        </w:rPr>
        <w:t xml:space="preserve"> </w:t>
      </w:r>
      <w:r>
        <w:rPr>
          <w:spacing w:val="-1"/>
        </w:rPr>
        <w:t>and</w:t>
      </w:r>
      <w:r>
        <w:rPr>
          <w:spacing w:val="6"/>
        </w:rPr>
        <w:t xml:space="preserve"> </w:t>
      </w:r>
      <w:r>
        <w:rPr>
          <w:spacing w:val="-1"/>
        </w:rPr>
        <w:t>implement</w:t>
      </w:r>
      <w:r>
        <w:rPr>
          <w:spacing w:val="7"/>
        </w:rPr>
        <w:t xml:space="preserve"> </w:t>
      </w:r>
      <w:r>
        <w:t>such</w:t>
      </w:r>
      <w:r>
        <w:rPr>
          <w:spacing w:val="6"/>
        </w:rPr>
        <w:t xml:space="preserve"> </w:t>
      </w:r>
      <w:r>
        <w:t>a</w:t>
      </w:r>
      <w:r>
        <w:rPr>
          <w:spacing w:val="6"/>
        </w:rPr>
        <w:t xml:space="preserve"> </w:t>
      </w:r>
      <w:r>
        <w:rPr>
          <w:spacing w:val="-1"/>
        </w:rPr>
        <w:t>framework</w:t>
      </w:r>
      <w:r w:rsidR="005A6980">
        <w:rPr>
          <w:spacing w:val="-1"/>
        </w:rPr>
        <w:t xml:space="preserve">. </w:t>
      </w:r>
      <w:r w:rsidR="005A6980" w:rsidRPr="005A6980">
        <w:rPr>
          <w:spacing w:val="-1"/>
        </w:rPr>
        <w:t>I think that it has been very successful. Certainly from my perspective, I know that in my previous appointment I took a very personal commitment to implementing the framework, to the point of having a senior sponsor monitoring the implementation and ensuring that the entire directorate was very aware of the requirements of the RED framework. So I think it is good that leaders set the example and become the exemplar for such a framework. But I also agree that all the policies in the world can be useless unless they convert on the ground to actions.</w:t>
      </w:r>
      <w:r w:rsidR="005A6980">
        <w:rPr>
          <w:rStyle w:val="FootnoteReference"/>
          <w:spacing w:val="-1"/>
        </w:rPr>
        <w:footnoteReference w:id="40"/>
      </w:r>
    </w:p>
    <w:p w:rsidR="00C64CDD" w:rsidRPr="002556A5" w:rsidRDefault="00C64CDD" w:rsidP="0041783D">
      <w:pPr>
        <w:pStyle w:val="Bodytext"/>
        <w:rPr>
          <w:lang w:val="en-US"/>
        </w:rPr>
      </w:pPr>
      <w:r w:rsidRPr="002556A5">
        <w:rPr>
          <w:lang w:val="en-US"/>
        </w:rPr>
        <w:t xml:space="preserve">The Committee endorses </w:t>
      </w:r>
      <w:r w:rsidR="00CC60C0" w:rsidRPr="002556A5">
        <w:rPr>
          <w:lang w:val="en-US"/>
        </w:rPr>
        <w:t>the need for strong leadership in the ACTPS</w:t>
      </w:r>
      <w:r w:rsidRPr="002556A5">
        <w:rPr>
          <w:lang w:val="en-US"/>
        </w:rPr>
        <w:t xml:space="preserve"> but </w:t>
      </w:r>
      <w:r w:rsidR="00CC60C0" w:rsidRPr="002556A5">
        <w:rPr>
          <w:lang w:val="en-US"/>
        </w:rPr>
        <w:t xml:space="preserve">has not been presented with </w:t>
      </w:r>
      <w:r w:rsidR="00FA0464" w:rsidRPr="002556A5">
        <w:rPr>
          <w:lang w:val="en-US"/>
        </w:rPr>
        <w:t xml:space="preserve">a range of specific </w:t>
      </w:r>
      <w:r w:rsidR="00CC60C0" w:rsidRPr="002556A5">
        <w:rPr>
          <w:lang w:val="en-US"/>
        </w:rPr>
        <w:t>examples</w:t>
      </w:r>
      <w:r w:rsidR="00FA0464" w:rsidRPr="002556A5">
        <w:rPr>
          <w:lang w:val="en-US"/>
        </w:rPr>
        <w:t xml:space="preserve"> of how leaders have advocated and advanced the Employment Strategy</w:t>
      </w:r>
      <w:r w:rsidR="00CC60C0" w:rsidRPr="002556A5">
        <w:rPr>
          <w:lang w:val="en-US"/>
        </w:rPr>
        <w:t>.  In this context</w:t>
      </w:r>
      <w:r w:rsidR="00FA0464" w:rsidRPr="002556A5">
        <w:rPr>
          <w:lang w:val="en-US"/>
        </w:rPr>
        <w:t xml:space="preserve">, </w:t>
      </w:r>
      <w:r w:rsidR="00CC60C0" w:rsidRPr="002556A5">
        <w:rPr>
          <w:lang w:val="en-US"/>
        </w:rPr>
        <w:t xml:space="preserve">the Committee </w:t>
      </w:r>
      <w:r w:rsidRPr="002556A5">
        <w:rPr>
          <w:lang w:val="en-US"/>
        </w:rPr>
        <w:t xml:space="preserve">notes that </w:t>
      </w:r>
      <w:r w:rsidR="00323080">
        <w:rPr>
          <w:lang w:val="en-US"/>
        </w:rPr>
        <w:t xml:space="preserve">the </w:t>
      </w:r>
      <w:r w:rsidR="004D5416">
        <w:rPr>
          <w:lang w:val="en-US"/>
        </w:rPr>
        <w:t xml:space="preserve">Strategic </w:t>
      </w:r>
      <w:r w:rsidR="00634DDA">
        <w:rPr>
          <w:lang w:val="en-US"/>
        </w:rPr>
        <w:t xml:space="preserve">Board </w:t>
      </w:r>
      <w:r w:rsidR="00634DDA" w:rsidRPr="002556A5">
        <w:rPr>
          <w:lang w:val="en-US"/>
        </w:rPr>
        <w:t>has</w:t>
      </w:r>
      <w:r w:rsidRPr="002556A5">
        <w:rPr>
          <w:lang w:val="en-US"/>
        </w:rPr>
        <w:t xml:space="preserve"> only recently </w:t>
      </w:r>
      <w:r w:rsidR="000F26BC">
        <w:rPr>
          <w:lang w:val="en-US"/>
        </w:rPr>
        <w:t xml:space="preserve">undertaken </w:t>
      </w:r>
      <w:r w:rsidRPr="002556A5">
        <w:rPr>
          <w:lang w:val="en-US"/>
        </w:rPr>
        <w:t>cultural awareness training.</w:t>
      </w:r>
      <w:r w:rsidR="00CC60C0">
        <w:rPr>
          <w:rStyle w:val="FootnoteReference"/>
          <w:lang w:val="en-US"/>
        </w:rPr>
        <w:footnoteReference w:id="41"/>
      </w:r>
      <w:r w:rsidRPr="002556A5">
        <w:rPr>
          <w:lang w:val="en-US"/>
        </w:rPr>
        <w:t xml:space="preserve">  The Committee </w:t>
      </w:r>
      <w:r w:rsidR="00F20460" w:rsidRPr="002556A5">
        <w:rPr>
          <w:lang w:val="en-US"/>
        </w:rPr>
        <w:t xml:space="preserve">believes </w:t>
      </w:r>
      <w:r w:rsidR="00FA0464" w:rsidRPr="002556A5">
        <w:rPr>
          <w:lang w:val="en-US"/>
        </w:rPr>
        <w:t xml:space="preserve">this is a </w:t>
      </w:r>
      <w:r w:rsidR="000F26BC">
        <w:rPr>
          <w:lang w:val="en-US"/>
        </w:rPr>
        <w:t xml:space="preserve">positive step </w:t>
      </w:r>
      <w:r w:rsidR="00FA0464" w:rsidRPr="002556A5">
        <w:rPr>
          <w:lang w:val="en-US"/>
        </w:rPr>
        <w:t xml:space="preserve">and commends the </w:t>
      </w:r>
      <w:r w:rsidR="004D5416">
        <w:rPr>
          <w:lang w:val="en-US"/>
        </w:rPr>
        <w:t xml:space="preserve">Strategic </w:t>
      </w:r>
      <w:r w:rsidR="00634DDA">
        <w:rPr>
          <w:lang w:val="en-US"/>
        </w:rPr>
        <w:t>Board.</w:t>
      </w:r>
      <w:r w:rsidR="00FA0464" w:rsidRPr="002556A5">
        <w:rPr>
          <w:lang w:val="en-US"/>
        </w:rPr>
        <w:t xml:space="preserve">  However, </w:t>
      </w:r>
      <w:r w:rsidR="00F20460" w:rsidRPr="002556A5">
        <w:rPr>
          <w:lang w:val="en-US"/>
        </w:rPr>
        <w:t xml:space="preserve">such </w:t>
      </w:r>
      <w:r w:rsidRPr="002556A5">
        <w:rPr>
          <w:lang w:val="en-US"/>
        </w:rPr>
        <w:t xml:space="preserve">training </w:t>
      </w:r>
      <w:r w:rsidR="00F20460" w:rsidRPr="002556A5">
        <w:rPr>
          <w:lang w:val="en-US"/>
        </w:rPr>
        <w:t xml:space="preserve">may have had much more impact if it were done </w:t>
      </w:r>
      <w:r w:rsidRPr="002556A5">
        <w:rPr>
          <w:lang w:val="en-US"/>
        </w:rPr>
        <w:t xml:space="preserve">at the start of the Employment Strategy </w:t>
      </w:r>
      <w:r w:rsidR="00F20460" w:rsidRPr="002556A5">
        <w:rPr>
          <w:lang w:val="en-US"/>
        </w:rPr>
        <w:t xml:space="preserve">rather than </w:t>
      </w:r>
      <w:r w:rsidR="00BB6B98" w:rsidRPr="002556A5">
        <w:rPr>
          <w:lang w:val="en-US"/>
        </w:rPr>
        <w:t xml:space="preserve">three years </w:t>
      </w:r>
      <w:r w:rsidR="00323080">
        <w:rPr>
          <w:lang w:val="en-US"/>
        </w:rPr>
        <w:t>into its implementation.</w:t>
      </w:r>
      <w:r w:rsidR="00BB6B98" w:rsidRPr="002556A5">
        <w:rPr>
          <w:lang w:val="en-US"/>
        </w:rPr>
        <w:t xml:space="preserve">  </w:t>
      </w:r>
      <w:r w:rsidR="003A1175" w:rsidRPr="002556A5">
        <w:rPr>
          <w:lang w:val="en-US"/>
        </w:rPr>
        <w:t xml:space="preserve">Arguably the </w:t>
      </w:r>
      <w:r w:rsidR="004D5416">
        <w:rPr>
          <w:lang w:val="en-US"/>
        </w:rPr>
        <w:t xml:space="preserve">Strategic </w:t>
      </w:r>
      <w:r w:rsidR="00634DDA">
        <w:rPr>
          <w:lang w:val="en-US"/>
        </w:rPr>
        <w:t>Board,</w:t>
      </w:r>
      <w:r w:rsidR="003A1175" w:rsidRPr="002556A5">
        <w:rPr>
          <w:lang w:val="en-US"/>
        </w:rPr>
        <w:t xml:space="preserve"> which was created in 2011, had much to do during its infancy but </w:t>
      </w:r>
      <w:r w:rsidR="000F26BC">
        <w:rPr>
          <w:lang w:val="en-US"/>
        </w:rPr>
        <w:t xml:space="preserve">undertaking </w:t>
      </w:r>
      <w:r w:rsidR="003A1175" w:rsidRPr="002556A5">
        <w:rPr>
          <w:lang w:val="en-US"/>
        </w:rPr>
        <w:t xml:space="preserve">cultural awareness training </w:t>
      </w:r>
      <w:r w:rsidR="00BB6B98" w:rsidRPr="002556A5">
        <w:rPr>
          <w:lang w:val="en-US"/>
        </w:rPr>
        <w:t xml:space="preserve">at the start </w:t>
      </w:r>
      <w:r w:rsidR="003A1175" w:rsidRPr="002556A5">
        <w:rPr>
          <w:lang w:val="en-US"/>
        </w:rPr>
        <w:t xml:space="preserve">of the Employment Strategy </w:t>
      </w:r>
      <w:r w:rsidR="00BB6B98" w:rsidRPr="002556A5">
        <w:rPr>
          <w:lang w:val="en-US"/>
        </w:rPr>
        <w:t xml:space="preserve">would have </w:t>
      </w:r>
      <w:r w:rsidR="003A1175" w:rsidRPr="002556A5">
        <w:rPr>
          <w:lang w:val="en-US"/>
        </w:rPr>
        <w:t xml:space="preserve">sent a </w:t>
      </w:r>
      <w:r w:rsidR="00BB6B98" w:rsidRPr="002556A5">
        <w:rPr>
          <w:lang w:val="en-US"/>
        </w:rPr>
        <w:t>strong </w:t>
      </w:r>
      <w:r w:rsidR="003A1175" w:rsidRPr="002556A5">
        <w:rPr>
          <w:lang w:val="en-US"/>
        </w:rPr>
        <w:t xml:space="preserve">message </w:t>
      </w:r>
      <w:r w:rsidR="00BB6B98" w:rsidRPr="002556A5">
        <w:rPr>
          <w:lang w:val="en-US"/>
        </w:rPr>
        <w:t>to a range of stakeholders</w:t>
      </w:r>
      <w:r w:rsidR="003A1175" w:rsidRPr="002556A5">
        <w:rPr>
          <w:lang w:val="en-US"/>
        </w:rPr>
        <w:t xml:space="preserve"> and it would have demonstrated strong leadership. </w:t>
      </w:r>
    </w:p>
    <w:p w:rsidR="002B6018" w:rsidRDefault="002B6018" w:rsidP="002B6018">
      <w:pPr>
        <w:pStyle w:val="Headinglevel3"/>
        <w:rPr>
          <w:lang w:val="en-US"/>
        </w:rPr>
      </w:pPr>
      <w:r>
        <w:rPr>
          <w:lang w:val="en-US"/>
        </w:rPr>
        <w:t xml:space="preserve">Headcount of 407 versus 2 percent of total headcount </w:t>
      </w:r>
    </w:p>
    <w:p w:rsidR="002B6018" w:rsidRDefault="002B6018" w:rsidP="002B6018">
      <w:pPr>
        <w:pStyle w:val="Bodytext"/>
        <w:rPr>
          <w:lang w:val="en-US"/>
        </w:rPr>
      </w:pPr>
      <w:r w:rsidRPr="00DE6A52">
        <w:rPr>
          <w:lang w:val="en-US"/>
        </w:rPr>
        <w:t xml:space="preserve">Indicator 5 </w:t>
      </w:r>
      <w:r>
        <w:rPr>
          <w:lang w:val="en-US"/>
        </w:rPr>
        <w:t xml:space="preserve">in the Employment </w:t>
      </w:r>
      <w:r w:rsidR="00634DDA">
        <w:rPr>
          <w:lang w:val="en-US"/>
        </w:rPr>
        <w:t>Strategy is</w:t>
      </w:r>
      <w:r w:rsidRPr="00DE6A52">
        <w:rPr>
          <w:lang w:val="en-US"/>
        </w:rPr>
        <w:t xml:space="preserve"> </w:t>
      </w:r>
      <w:r>
        <w:rPr>
          <w:lang w:val="en-US"/>
        </w:rPr>
        <w:t xml:space="preserve">undoubtedly the </w:t>
      </w:r>
      <w:r w:rsidRPr="00DE6A52">
        <w:rPr>
          <w:lang w:val="en-US"/>
        </w:rPr>
        <w:t>most readily understood by any reader</w:t>
      </w:r>
      <w:r>
        <w:rPr>
          <w:lang w:val="en-US"/>
        </w:rPr>
        <w:t xml:space="preserve"> of the Employment Strategy and is invariably the figure used to make a quick assessment of the Strategy’s success.</w:t>
      </w:r>
      <w:r w:rsidRPr="00DE6A52">
        <w:rPr>
          <w:lang w:val="en-US"/>
        </w:rPr>
        <w:t xml:space="preserve">  The Committee notes that the Employment Strategy states, ‘the Figures refer to headcount, not Full Time Equivalents (FTE) and the percentages are based on the June 2010 headcount</w:t>
      </w:r>
      <w:r>
        <w:rPr>
          <w:lang w:val="en-US"/>
        </w:rPr>
        <w:t>’.</w:t>
      </w:r>
      <w:r>
        <w:rPr>
          <w:rStyle w:val="FootnoteReference"/>
          <w:lang w:val="en-US"/>
        </w:rPr>
        <w:footnoteReference w:id="42"/>
      </w:r>
      <w:r>
        <w:rPr>
          <w:lang w:val="en-US"/>
        </w:rPr>
        <w:t xml:space="preserve">  No headcount estimate of the total ACTPS workforce is provided in the Employment Strategy. </w:t>
      </w:r>
    </w:p>
    <w:p w:rsidR="002B6018" w:rsidRDefault="002B6018" w:rsidP="002B6018">
      <w:pPr>
        <w:pStyle w:val="Bodytext"/>
        <w:rPr>
          <w:lang w:val="en-US"/>
        </w:rPr>
      </w:pPr>
      <w:r>
        <w:rPr>
          <w:lang w:val="en-US"/>
        </w:rPr>
        <w:t xml:space="preserve">The following analysis is based on data in the ACTPS submission. Similar results are obtained by using more recent data in the ACTPS </w:t>
      </w:r>
      <w:r>
        <w:rPr>
          <w:i/>
          <w:lang w:val="en-US"/>
        </w:rPr>
        <w:t xml:space="preserve">State of the Service Report – 2013. </w:t>
      </w:r>
    </w:p>
    <w:p w:rsidR="002B6018" w:rsidRDefault="002B6018" w:rsidP="002B6018">
      <w:pPr>
        <w:pStyle w:val="Bodytext"/>
        <w:rPr>
          <w:lang w:val="en-US"/>
        </w:rPr>
      </w:pPr>
      <w:r>
        <w:rPr>
          <w:lang w:val="en-US"/>
        </w:rPr>
        <w:t>If the figure of 407 for Aboriginal and Torres Strait Islander employees is 2</w:t>
      </w:r>
      <w:r w:rsidR="00B957C4">
        <w:rPr>
          <w:lang w:val="en-US"/>
        </w:rPr>
        <w:t>.0</w:t>
      </w:r>
      <w:r>
        <w:rPr>
          <w:lang w:val="en-US"/>
        </w:rPr>
        <w:t xml:space="preserve"> percent, then the assumed total ACTPS headcount in 2015 must be 20,350.  The Committee considers it reasonable for the 2010 drafted Employment Strategy to use estimates of future year employment numbers but concludes on the basis of the ACTPS submission that there is now a lack of precision about the target the ACTPS is pursuing for 2015 because of actual growth in the total headcount for the ACTPS.  </w:t>
      </w:r>
    </w:p>
    <w:p w:rsidR="002B6018" w:rsidRDefault="002B6018" w:rsidP="002B6018">
      <w:pPr>
        <w:pStyle w:val="Bodytext"/>
        <w:rPr>
          <w:lang w:val="en-US"/>
        </w:rPr>
      </w:pPr>
      <w:r>
        <w:rPr>
          <w:lang w:val="en-US"/>
        </w:rPr>
        <w:t>Page 17 of the ACTPS submission provides data relating to Indicator 5.  This data shows that, for the years 2011-13, the total ACTPS headcount has increased at an average rate of 3.29 percent per year.</w:t>
      </w:r>
      <w:r>
        <w:rPr>
          <w:rStyle w:val="FootnoteReference"/>
          <w:lang w:val="en-US"/>
        </w:rPr>
        <w:footnoteReference w:id="43"/>
      </w:r>
      <w:r>
        <w:rPr>
          <w:lang w:val="en-US"/>
        </w:rPr>
        <w:t xml:space="preserve">   Assuming the ACTPS continues to grow at just 3.0 percent per year in each of 2014 and 2015 then the total ACTPS headcount will be 22,373.  If it is further assumed that Employment Strategy results in 407 Aboriginal and Torres Strait Islander employees that figure will only represent only 1.82 percent of total ACTPS employees.  </w:t>
      </w:r>
    </w:p>
    <w:p w:rsidR="002B6018" w:rsidRDefault="002B6018" w:rsidP="002B6018">
      <w:pPr>
        <w:pStyle w:val="Bodytext"/>
        <w:rPr>
          <w:lang w:val="en-US"/>
        </w:rPr>
      </w:pPr>
      <w:r>
        <w:rPr>
          <w:lang w:val="en-US"/>
        </w:rPr>
        <w:t xml:space="preserve">While the ACTPS submission refers to the target as ‘407 (2%) by 2015’, the recent ACT Aboriginal and Torres Strait Islander </w:t>
      </w:r>
      <w:r w:rsidR="00323080">
        <w:rPr>
          <w:lang w:val="en-US"/>
        </w:rPr>
        <w:t xml:space="preserve">Elected Body </w:t>
      </w:r>
      <w:r>
        <w:rPr>
          <w:lang w:val="en-US"/>
        </w:rPr>
        <w:t xml:space="preserve">’s </w:t>
      </w:r>
      <w:r>
        <w:rPr>
          <w:i/>
          <w:lang w:val="en-US"/>
        </w:rPr>
        <w:t xml:space="preserve">Report to </w:t>
      </w:r>
      <w:r w:rsidRPr="00831A09">
        <w:rPr>
          <w:i/>
          <w:lang w:val="en-US"/>
        </w:rPr>
        <w:t>Government</w:t>
      </w:r>
      <w:r>
        <w:rPr>
          <w:lang w:val="en-US"/>
        </w:rPr>
        <w:t xml:space="preserve"> states: </w:t>
      </w:r>
    </w:p>
    <w:p w:rsidR="002B6018" w:rsidRDefault="002B6018" w:rsidP="002B6018">
      <w:pPr>
        <w:pStyle w:val="Quote"/>
        <w:rPr>
          <w:lang w:val="en-US"/>
        </w:rPr>
      </w:pPr>
      <w:r>
        <w:rPr>
          <w:lang w:val="en-US"/>
        </w:rPr>
        <w:t>All ACT Government directorates are working toward the 2% Aboriginal and Torres Strait Islander employment target by 2015.</w:t>
      </w:r>
      <w:r>
        <w:rPr>
          <w:rStyle w:val="FootnoteReference"/>
          <w:lang w:val="en-US"/>
        </w:rPr>
        <w:footnoteReference w:id="44"/>
      </w:r>
      <w:r>
        <w:rPr>
          <w:lang w:val="en-US"/>
        </w:rPr>
        <w:t xml:space="preserve"> </w:t>
      </w:r>
    </w:p>
    <w:p w:rsidR="002B6018" w:rsidRDefault="002B6018" w:rsidP="002B6018">
      <w:pPr>
        <w:pStyle w:val="Bodytext"/>
        <w:rPr>
          <w:lang w:val="en-US"/>
        </w:rPr>
      </w:pPr>
      <w:r>
        <w:rPr>
          <w:lang w:val="en-US"/>
        </w:rPr>
        <w:t xml:space="preserve">If the total ACTPS headcount is 22,373 then the 2.0 percent target translates to 448 Aboriginal and Torres Strait Islander employees which in the context of the Employment Strategy is a significantly more than 407.   </w:t>
      </w:r>
    </w:p>
    <w:p w:rsidR="002B6018" w:rsidRDefault="002B6018" w:rsidP="002B6018">
      <w:pPr>
        <w:pStyle w:val="Bodytext"/>
        <w:rPr>
          <w:lang w:val="en-US"/>
        </w:rPr>
      </w:pPr>
      <w:r>
        <w:rPr>
          <w:lang w:val="en-US"/>
        </w:rPr>
        <w:t>The Committee notes both figures are much greater than the June 2013 figure of 257 presented in the ACTPS submission.</w:t>
      </w:r>
      <w:r>
        <w:rPr>
          <w:rStyle w:val="FootnoteReference"/>
          <w:lang w:val="en-US"/>
        </w:rPr>
        <w:footnoteReference w:id="45"/>
      </w:r>
      <w:r>
        <w:rPr>
          <w:lang w:val="en-US"/>
        </w:rPr>
        <w:t xml:space="preserve">  The Committee also notes that during the public hearing held on 11 December 2013 it was advised that the final June 2013 figure was </w:t>
      </w:r>
      <w:r w:rsidR="00AE2ECE">
        <w:rPr>
          <w:lang w:val="en-US"/>
        </w:rPr>
        <w:t xml:space="preserve">actually </w:t>
      </w:r>
      <w:r>
        <w:rPr>
          <w:lang w:val="en-US"/>
        </w:rPr>
        <w:t>238.</w:t>
      </w:r>
      <w:r>
        <w:rPr>
          <w:rStyle w:val="FootnoteReference"/>
          <w:lang w:val="en-US"/>
        </w:rPr>
        <w:footnoteReference w:id="46"/>
      </w:r>
      <w:r>
        <w:rPr>
          <w:lang w:val="en-US"/>
        </w:rPr>
        <w:t xml:space="preserve">    </w:t>
      </w:r>
    </w:p>
    <w:p w:rsidR="002B6018" w:rsidRDefault="002B6018" w:rsidP="002B6018">
      <w:pPr>
        <w:pStyle w:val="Bodytext"/>
        <w:rPr>
          <w:lang w:val="en-US"/>
        </w:rPr>
      </w:pPr>
      <w:r>
        <w:rPr>
          <w:lang w:val="en-US"/>
        </w:rPr>
        <w:t xml:space="preserve">Based on the Employment Strategy and the ACTPS submission and the </w:t>
      </w:r>
      <w:r w:rsidRPr="00D33827">
        <w:rPr>
          <w:i/>
          <w:lang w:val="en-US"/>
        </w:rPr>
        <w:t>State of the Service Report 2013</w:t>
      </w:r>
      <w:r>
        <w:rPr>
          <w:lang w:val="en-US"/>
        </w:rPr>
        <w:t xml:space="preserve">, the Committee concludes there is a need for the ACTPS to precisely define its target level of Indigenous employment in light of the actual growth in the total number of ACTPS employees.  </w:t>
      </w:r>
    </w:p>
    <w:p w:rsidR="002B6018" w:rsidRDefault="002B6018" w:rsidP="002B6018">
      <w:pPr>
        <w:pStyle w:val="Recommendation"/>
        <w:rPr>
          <w:lang w:val="en-US"/>
        </w:rPr>
      </w:pPr>
      <w:bookmarkStart w:id="56" w:name="_Toc384024357"/>
      <w:bookmarkEnd w:id="56"/>
    </w:p>
    <w:p w:rsidR="002B6018" w:rsidRDefault="002B6018" w:rsidP="002B6018">
      <w:pPr>
        <w:pStyle w:val="RecommendationText"/>
        <w:rPr>
          <w:lang w:val="en-US"/>
        </w:rPr>
      </w:pPr>
      <w:bookmarkStart w:id="57" w:name="_Toc384024358"/>
      <w:r>
        <w:rPr>
          <w:lang w:val="en-US"/>
        </w:rPr>
        <w:t xml:space="preserve">The Committee recommends that the </w:t>
      </w:r>
      <w:r w:rsidR="00323080">
        <w:rPr>
          <w:lang w:val="en-US"/>
        </w:rPr>
        <w:t xml:space="preserve">ACT Public Service </w:t>
      </w:r>
      <w:r>
        <w:rPr>
          <w:lang w:val="en-US"/>
        </w:rPr>
        <w:t xml:space="preserve">precisely define the target level of employment for Aboriginal and Torres Strait Islander employees in the </w:t>
      </w:r>
      <w:r w:rsidR="00323080">
        <w:rPr>
          <w:lang w:val="en-US"/>
        </w:rPr>
        <w:t>ACT Public Service</w:t>
      </w:r>
      <w:r>
        <w:rPr>
          <w:lang w:val="en-US"/>
        </w:rPr>
        <w:t>.</w:t>
      </w:r>
      <w:bookmarkEnd w:id="57"/>
      <w:r>
        <w:rPr>
          <w:lang w:val="en-US"/>
        </w:rPr>
        <w:t xml:space="preserve">     </w:t>
      </w:r>
    </w:p>
    <w:p w:rsidR="003E37D2" w:rsidRDefault="003E37D2" w:rsidP="003E37D2">
      <w:pPr>
        <w:pStyle w:val="Headinglevel3"/>
        <w:rPr>
          <w:lang w:val="en-US"/>
        </w:rPr>
      </w:pPr>
      <w:r>
        <w:rPr>
          <w:lang w:val="en-US"/>
        </w:rPr>
        <w:t>Outcomes</w:t>
      </w:r>
    </w:p>
    <w:p w:rsidR="00F20460" w:rsidRDefault="00F20460" w:rsidP="0041783D">
      <w:pPr>
        <w:pStyle w:val="Bodytext"/>
        <w:rPr>
          <w:lang w:val="en-US"/>
        </w:rPr>
      </w:pPr>
      <w:r>
        <w:rPr>
          <w:lang w:val="en-US"/>
        </w:rPr>
        <w:t xml:space="preserve">The Committee’s comments on the achievement of Employment Strategy outcomes are considered in more detail in the remainder of the Report. </w:t>
      </w:r>
    </w:p>
    <w:p w:rsidR="005C2A58" w:rsidRDefault="005C2A58" w:rsidP="00F20460">
      <w:pPr>
        <w:pStyle w:val="Bodytext"/>
        <w:numPr>
          <w:ilvl w:val="0"/>
          <w:numId w:val="0"/>
        </w:numPr>
        <w:ind w:left="567"/>
        <w:rPr>
          <w:lang w:val="en-US"/>
        </w:rPr>
      </w:pPr>
    </w:p>
    <w:p w:rsidR="0041783D" w:rsidRDefault="0041783D" w:rsidP="009A42A5">
      <w:pPr>
        <w:pStyle w:val="Headinglevel5"/>
        <w:rPr>
          <w:lang w:val="en-US"/>
        </w:rPr>
      </w:pPr>
    </w:p>
    <w:p w:rsidR="00C0117F" w:rsidRDefault="00C0117F" w:rsidP="002863BB">
      <w:pPr>
        <w:pStyle w:val="Bodytext"/>
        <w:numPr>
          <w:ilvl w:val="0"/>
          <w:numId w:val="0"/>
        </w:numPr>
      </w:pPr>
    </w:p>
    <w:p w:rsidR="00C0117F" w:rsidRDefault="00C0117F" w:rsidP="002863BB">
      <w:pPr>
        <w:pStyle w:val="Bodytext"/>
        <w:numPr>
          <w:ilvl w:val="0"/>
          <w:numId w:val="0"/>
        </w:numPr>
      </w:pPr>
    </w:p>
    <w:p w:rsidR="00C0117F" w:rsidRDefault="00C0117F" w:rsidP="002863BB">
      <w:pPr>
        <w:pStyle w:val="Bodytext"/>
        <w:numPr>
          <w:ilvl w:val="0"/>
          <w:numId w:val="0"/>
        </w:numPr>
      </w:pPr>
    </w:p>
    <w:p w:rsidR="00C0117F" w:rsidRDefault="00C0117F" w:rsidP="002863BB">
      <w:pPr>
        <w:pStyle w:val="Bodytext"/>
        <w:numPr>
          <w:ilvl w:val="0"/>
          <w:numId w:val="0"/>
        </w:numPr>
      </w:pPr>
    </w:p>
    <w:p w:rsidR="00C0117F" w:rsidRDefault="00C0117F" w:rsidP="002863BB">
      <w:pPr>
        <w:pStyle w:val="Bodytext"/>
        <w:numPr>
          <w:ilvl w:val="0"/>
          <w:numId w:val="0"/>
        </w:numPr>
      </w:pPr>
    </w:p>
    <w:p w:rsidR="00C0117F" w:rsidRDefault="00C0117F" w:rsidP="002863BB">
      <w:pPr>
        <w:pStyle w:val="Bodytext"/>
        <w:numPr>
          <w:ilvl w:val="0"/>
          <w:numId w:val="0"/>
        </w:numPr>
      </w:pPr>
    </w:p>
    <w:p w:rsidR="00C0117F" w:rsidRDefault="00C0117F" w:rsidP="002863BB">
      <w:pPr>
        <w:pStyle w:val="Bodytext"/>
        <w:numPr>
          <w:ilvl w:val="0"/>
          <w:numId w:val="0"/>
        </w:numPr>
      </w:pPr>
    </w:p>
    <w:p w:rsidR="00FD1862" w:rsidRDefault="00FD1862" w:rsidP="00FD1862">
      <w:bookmarkStart w:id="58" w:name="_Toc341433429"/>
      <w:bookmarkStart w:id="59" w:name="_Toc341687874"/>
    </w:p>
    <w:p w:rsidR="00B10EFC" w:rsidRDefault="00B10EFC" w:rsidP="00FD1862">
      <w:pPr>
        <w:sectPr w:rsidR="00B10EFC" w:rsidSect="00957111">
          <w:headerReference w:type="even" r:id="rId24"/>
          <w:headerReference w:type="default" r:id="rId25"/>
          <w:type w:val="oddPage"/>
          <w:pgSz w:w="11907" w:h="16840" w:code="9"/>
          <w:pgMar w:top="1588" w:right="1418" w:bottom="1418" w:left="1418" w:header="720" w:footer="851" w:gutter="0"/>
          <w:cols w:space="720"/>
          <w:docGrid w:linePitch="360"/>
        </w:sectPr>
      </w:pPr>
    </w:p>
    <w:p w:rsidR="00D561BC" w:rsidRPr="00123676" w:rsidRDefault="00333832" w:rsidP="00D23930">
      <w:pPr>
        <w:pStyle w:val="Heading1"/>
      </w:pPr>
      <w:bookmarkStart w:id="60" w:name="_Toc93834242"/>
      <w:bookmarkStart w:id="61" w:name="_Toc341431891"/>
      <w:bookmarkStart w:id="62" w:name="_Toc383615031"/>
      <w:bookmarkEnd w:id="60"/>
      <w:bookmarkEnd w:id="61"/>
      <w:r>
        <w:t>Attraction</w:t>
      </w:r>
      <w:bookmarkEnd w:id="62"/>
      <w:r>
        <w:t xml:space="preserve"> </w:t>
      </w:r>
      <w:bookmarkEnd w:id="58"/>
      <w:bookmarkEnd w:id="59"/>
    </w:p>
    <w:p w:rsidR="00333832" w:rsidRDefault="00333832" w:rsidP="00333832">
      <w:pPr>
        <w:pStyle w:val="Headinglevel2"/>
      </w:pPr>
      <w:bookmarkStart w:id="63" w:name="_Toc383615032"/>
      <w:r>
        <w:t>Introduction</w:t>
      </w:r>
      <w:bookmarkEnd w:id="63"/>
    </w:p>
    <w:p w:rsidR="00BB6B98" w:rsidRDefault="00BE50B9" w:rsidP="007A3BDC">
      <w:pPr>
        <w:pStyle w:val="Bodytext"/>
      </w:pPr>
      <w:r>
        <w:tab/>
      </w:r>
      <w:r w:rsidR="00BB6B98">
        <w:t>The Inquiry’s Terms of Reference state that the Committee would pay particular attention to current attraction and retention programs</w:t>
      </w:r>
      <w:r w:rsidR="003A1175">
        <w:t xml:space="preserve"> managed by the ACT Public Service (ACTPS)</w:t>
      </w:r>
      <w:r w:rsidR="00BB6B98">
        <w:t xml:space="preserve">.  </w:t>
      </w:r>
      <w:r w:rsidR="003A1175">
        <w:t>The</w:t>
      </w:r>
      <w:r w:rsidR="00BB6B98">
        <w:t xml:space="preserve"> extent to which ACTPS can attract Aboriginal and Torres Strait Islander people to work in the Service and the extent to which they remain working </w:t>
      </w:r>
      <w:r w:rsidR="00E96CAB">
        <w:t xml:space="preserve">in the Service are key elements of the Employment Strategy. </w:t>
      </w:r>
      <w:r w:rsidR="007235EF">
        <w:t>Attraction is considered in Chapter 3</w:t>
      </w:r>
      <w:r w:rsidR="00E96CAB">
        <w:t xml:space="preserve"> </w:t>
      </w:r>
      <w:r w:rsidR="007235EF">
        <w:t xml:space="preserve">and retention and related issues are considered in Chapter 4. </w:t>
      </w:r>
    </w:p>
    <w:p w:rsidR="006F7DE4" w:rsidRDefault="00BE50B9" w:rsidP="00E96CAB">
      <w:pPr>
        <w:pStyle w:val="Bodytext"/>
        <w:rPr>
          <w:iCs/>
        </w:rPr>
      </w:pPr>
      <w:r>
        <w:rPr>
          <w:iCs/>
        </w:rPr>
        <w:tab/>
      </w:r>
      <w:r w:rsidR="006F7DE4">
        <w:rPr>
          <w:iCs/>
        </w:rPr>
        <w:t xml:space="preserve">The Committee first examined data relating to attraction and then reviewed ‘attraction’ actions taken by the ACTPS. </w:t>
      </w:r>
    </w:p>
    <w:p w:rsidR="002252B8" w:rsidRDefault="00BE50B9" w:rsidP="00E96CAB">
      <w:pPr>
        <w:pStyle w:val="Bodytext"/>
        <w:rPr>
          <w:iCs/>
        </w:rPr>
      </w:pPr>
      <w:r>
        <w:rPr>
          <w:iCs/>
        </w:rPr>
        <w:tab/>
      </w:r>
      <w:r w:rsidR="002252B8">
        <w:rPr>
          <w:iCs/>
        </w:rPr>
        <w:t xml:space="preserve">The Employment Strategy’s performance measures for attracting Aboriginal and Torres Strait Islander people to the ACTPS are: </w:t>
      </w:r>
    </w:p>
    <w:p w:rsidR="002252B8" w:rsidRDefault="002252B8" w:rsidP="00A146E9">
      <w:pPr>
        <w:pStyle w:val="ListBullet"/>
      </w:pPr>
      <w:r>
        <w:t>Indictor 5 – The percentage share of the ACTPS composed of Aboriginal and Torres Strait Islander people progressively increases from 176 employees (0.9 percent)  in 2010 to 407 (2.0 percent) by 2015; and</w:t>
      </w:r>
    </w:p>
    <w:p w:rsidR="002252B8" w:rsidRPr="002252B8" w:rsidRDefault="002252B8" w:rsidP="00A146E9">
      <w:pPr>
        <w:pStyle w:val="ListBullet"/>
      </w:pPr>
      <w:r>
        <w:t xml:space="preserve">Indicator 6 – The number and percentage share of new ACTPS employees recruited to the ACPS who are Aboriginal and Torres Strait Islander people is progressively increased.  </w:t>
      </w:r>
    </w:p>
    <w:p w:rsidR="008E2CB8" w:rsidRPr="00EE7D94" w:rsidRDefault="00BE50B9" w:rsidP="00E96CAB">
      <w:pPr>
        <w:pStyle w:val="Bodytext"/>
        <w:rPr>
          <w:iCs/>
        </w:rPr>
      </w:pPr>
      <w:r>
        <w:rPr>
          <w:iCs/>
        </w:rPr>
        <w:tab/>
      </w:r>
      <w:r w:rsidR="002252B8" w:rsidRPr="00EE7D94">
        <w:rPr>
          <w:iCs/>
        </w:rPr>
        <w:t xml:space="preserve">As noted in Chapter 2, there is a need for the ACTPS to </w:t>
      </w:r>
      <w:r w:rsidR="00A574D4">
        <w:rPr>
          <w:iCs/>
        </w:rPr>
        <w:t xml:space="preserve">precisely define the </w:t>
      </w:r>
      <w:r w:rsidR="002252B8" w:rsidRPr="00EE7D94">
        <w:rPr>
          <w:iCs/>
        </w:rPr>
        <w:t xml:space="preserve">2015 target.  </w:t>
      </w:r>
    </w:p>
    <w:p w:rsidR="00CD575C" w:rsidRDefault="00BE50B9" w:rsidP="00CD575C">
      <w:pPr>
        <w:pStyle w:val="Bodytext"/>
        <w:rPr>
          <w:iCs/>
        </w:rPr>
      </w:pPr>
      <w:r>
        <w:rPr>
          <w:iCs/>
        </w:rPr>
        <w:tab/>
      </w:r>
      <w:r w:rsidR="008E2CB8">
        <w:rPr>
          <w:iCs/>
        </w:rPr>
        <w:t xml:space="preserve">Table </w:t>
      </w:r>
      <w:r w:rsidR="00A574D4">
        <w:rPr>
          <w:iCs/>
        </w:rPr>
        <w:t>3</w:t>
      </w:r>
      <w:r w:rsidR="008E2CB8">
        <w:rPr>
          <w:iCs/>
        </w:rPr>
        <w:t xml:space="preserve">.1 is </w:t>
      </w:r>
      <w:r w:rsidR="003A1175">
        <w:rPr>
          <w:iCs/>
        </w:rPr>
        <w:t xml:space="preserve">reproduced </w:t>
      </w:r>
      <w:r w:rsidR="008E2CB8">
        <w:rPr>
          <w:iCs/>
        </w:rPr>
        <w:t>from the AC</w:t>
      </w:r>
      <w:r w:rsidR="008F4806">
        <w:rPr>
          <w:iCs/>
        </w:rPr>
        <w:t>T</w:t>
      </w:r>
      <w:r w:rsidR="008E2CB8">
        <w:rPr>
          <w:iCs/>
        </w:rPr>
        <w:t xml:space="preserve">PS submission. </w:t>
      </w:r>
    </w:p>
    <w:p w:rsidR="00D35FCB" w:rsidRPr="00CD575C" w:rsidRDefault="00D35FCB" w:rsidP="00D35FCB">
      <w:pPr>
        <w:pStyle w:val="Headinglevel2"/>
      </w:pPr>
      <w:bookmarkStart w:id="64" w:name="_Toc383615033"/>
      <w:r>
        <w:t>Indicator 5 – Percentage of Indigenous employees</w:t>
      </w:r>
      <w:bookmarkEnd w:id="64"/>
      <w:r>
        <w:t xml:space="preserve"> </w:t>
      </w:r>
    </w:p>
    <w:p w:rsidR="0030084E" w:rsidRPr="00CD575C" w:rsidRDefault="00A574D4" w:rsidP="0030084E">
      <w:pPr>
        <w:pStyle w:val="Bodytext"/>
        <w:rPr>
          <w:iCs/>
        </w:rPr>
      </w:pPr>
      <w:r>
        <w:rPr>
          <w:iCs/>
        </w:rPr>
        <w:tab/>
        <w:t>T</w:t>
      </w:r>
      <w:r w:rsidR="0030084E">
        <w:rPr>
          <w:iCs/>
        </w:rPr>
        <w:t xml:space="preserve">he Committee notes that </w:t>
      </w:r>
      <w:r>
        <w:rPr>
          <w:iCs/>
        </w:rPr>
        <w:t xml:space="preserve">at </w:t>
      </w:r>
      <w:r w:rsidR="0030084E">
        <w:rPr>
          <w:iCs/>
        </w:rPr>
        <w:t xml:space="preserve">the 11 December 2013 public hearing, it was advised by the ACTPS that the ACTPS </w:t>
      </w:r>
      <w:r w:rsidR="0030084E">
        <w:rPr>
          <w:i/>
          <w:iCs/>
        </w:rPr>
        <w:t xml:space="preserve">State of the Service Report - 2013 </w:t>
      </w:r>
      <w:r w:rsidR="0030084E">
        <w:rPr>
          <w:iCs/>
        </w:rPr>
        <w:t xml:space="preserve">had more up to </w:t>
      </w:r>
      <w:r w:rsidR="00323080">
        <w:rPr>
          <w:iCs/>
        </w:rPr>
        <w:t xml:space="preserve">date </w:t>
      </w:r>
      <w:r w:rsidR="0030084E">
        <w:rPr>
          <w:iCs/>
        </w:rPr>
        <w:t xml:space="preserve">data and that the June 2013 </w:t>
      </w:r>
      <w:r w:rsidR="00323080">
        <w:rPr>
          <w:iCs/>
        </w:rPr>
        <w:t xml:space="preserve">figure for the </w:t>
      </w:r>
      <w:r w:rsidR="0030084E">
        <w:rPr>
          <w:iCs/>
        </w:rPr>
        <w:t>Indigenous identified headcount was 238.  This is 1.12</w:t>
      </w:r>
      <w:r w:rsidR="00323080">
        <w:rPr>
          <w:iCs/>
        </w:rPr>
        <w:t> </w:t>
      </w:r>
      <w:r w:rsidR="0030084E">
        <w:rPr>
          <w:iCs/>
        </w:rPr>
        <w:t xml:space="preserve">percent of the ACTPS headcount.  Table 3.2 is based on data from the </w:t>
      </w:r>
      <w:r w:rsidR="0030084E">
        <w:rPr>
          <w:i/>
          <w:iCs/>
        </w:rPr>
        <w:t xml:space="preserve">State of the Service Report - 2013. </w:t>
      </w:r>
    </w:p>
    <w:p w:rsidR="008E2CB8" w:rsidRDefault="000A239C" w:rsidP="008E2CB8">
      <w:pPr>
        <w:pStyle w:val="Caption"/>
      </w:pPr>
      <w:r>
        <w:br w:type="page"/>
      </w:r>
      <w:r w:rsidR="008E2CB8">
        <w:t xml:space="preserve">Table </w:t>
      </w:r>
      <w:r w:rsidR="00A574D4">
        <w:t>3</w:t>
      </w:r>
      <w:r w:rsidR="008E2CB8">
        <w:t>.1 – Number and percentage of ACTPS employees who are Aboriginal and Torres Strait Islander people</w:t>
      </w:r>
      <w:r w:rsidR="00323080">
        <w:t xml:space="preserve"> – ACT Public Service submission data</w:t>
      </w:r>
    </w:p>
    <w:tbl>
      <w:tblPr>
        <w:tblW w:w="8522" w:type="dxa"/>
        <w:tblInd w:w="817" w:type="dxa"/>
        <w:tblBorders>
          <w:top w:val="single" w:sz="4" w:space="0" w:color="auto"/>
          <w:bottom w:val="single" w:sz="4" w:space="0" w:color="auto"/>
          <w:insideH w:val="single" w:sz="4" w:space="0" w:color="auto"/>
          <w:insideV w:val="single" w:sz="48" w:space="0" w:color="FFFFFF"/>
        </w:tblBorders>
        <w:tblLook w:val="01E0"/>
      </w:tblPr>
      <w:tblGrid>
        <w:gridCol w:w="1857"/>
        <w:gridCol w:w="1857"/>
        <w:gridCol w:w="1857"/>
        <w:gridCol w:w="1483"/>
        <w:gridCol w:w="1468"/>
      </w:tblGrid>
      <w:tr w:rsidR="008E2CB8" w:rsidTr="001C4422">
        <w:trPr>
          <w:cantSplit/>
        </w:trPr>
        <w:tc>
          <w:tcPr>
            <w:tcW w:w="1857" w:type="dxa"/>
            <w:tcBorders>
              <w:bottom w:val="single" w:sz="4" w:space="0" w:color="auto"/>
            </w:tcBorders>
            <w:shd w:val="clear" w:color="auto" w:fill="DBE5F1"/>
          </w:tcPr>
          <w:p w:rsidR="008E2CB8" w:rsidRDefault="004C62B8" w:rsidP="008E2CB8">
            <w:pPr>
              <w:pStyle w:val="TableHeading"/>
            </w:pPr>
            <w:r>
              <w:t>Group</w:t>
            </w:r>
          </w:p>
        </w:tc>
        <w:tc>
          <w:tcPr>
            <w:tcW w:w="1857" w:type="dxa"/>
            <w:tcBorders>
              <w:bottom w:val="single" w:sz="4" w:space="0" w:color="auto"/>
            </w:tcBorders>
            <w:shd w:val="clear" w:color="auto" w:fill="DBE5F1"/>
          </w:tcPr>
          <w:p w:rsidR="008E2CB8" w:rsidRDefault="008E2CB8" w:rsidP="006F454C">
            <w:pPr>
              <w:pStyle w:val="TableHeading"/>
              <w:jc w:val="center"/>
            </w:pPr>
            <w:r>
              <w:t>June 2010</w:t>
            </w:r>
          </w:p>
        </w:tc>
        <w:tc>
          <w:tcPr>
            <w:tcW w:w="1857" w:type="dxa"/>
            <w:tcBorders>
              <w:bottom w:val="single" w:sz="4" w:space="0" w:color="auto"/>
            </w:tcBorders>
            <w:shd w:val="clear" w:color="auto" w:fill="DBE5F1"/>
          </w:tcPr>
          <w:p w:rsidR="008E2CB8" w:rsidRDefault="008E2CB8" w:rsidP="006F454C">
            <w:pPr>
              <w:pStyle w:val="TableHeading"/>
              <w:jc w:val="center"/>
            </w:pPr>
            <w:r>
              <w:t>June 2011</w:t>
            </w:r>
          </w:p>
        </w:tc>
        <w:tc>
          <w:tcPr>
            <w:tcW w:w="1483" w:type="dxa"/>
            <w:tcBorders>
              <w:bottom w:val="single" w:sz="4" w:space="0" w:color="auto"/>
            </w:tcBorders>
            <w:shd w:val="clear" w:color="auto" w:fill="DBE5F1"/>
          </w:tcPr>
          <w:p w:rsidR="008E2CB8" w:rsidRDefault="008E2CB8" w:rsidP="006F454C">
            <w:pPr>
              <w:pStyle w:val="TableHeading"/>
              <w:jc w:val="center"/>
            </w:pPr>
            <w:r>
              <w:t>June 2012</w:t>
            </w:r>
          </w:p>
        </w:tc>
        <w:tc>
          <w:tcPr>
            <w:tcW w:w="1468" w:type="dxa"/>
            <w:tcBorders>
              <w:bottom w:val="single" w:sz="4" w:space="0" w:color="auto"/>
            </w:tcBorders>
            <w:shd w:val="clear" w:color="auto" w:fill="DBE5F1"/>
          </w:tcPr>
          <w:p w:rsidR="008E2CB8" w:rsidRDefault="008E2CB8" w:rsidP="006F454C">
            <w:pPr>
              <w:pStyle w:val="TableHeading"/>
              <w:jc w:val="center"/>
            </w:pPr>
            <w:r>
              <w:t>June 2013</w:t>
            </w:r>
          </w:p>
        </w:tc>
      </w:tr>
      <w:tr w:rsidR="008E2CB8" w:rsidTr="001C4422">
        <w:trPr>
          <w:cantSplit/>
        </w:trPr>
        <w:tc>
          <w:tcPr>
            <w:tcW w:w="1857" w:type="dxa"/>
            <w:shd w:val="clear" w:color="auto" w:fill="C6D9F1"/>
          </w:tcPr>
          <w:p w:rsidR="008E2CB8" w:rsidRDefault="008E2CB8" w:rsidP="008E2CB8">
            <w:pPr>
              <w:pStyle w:val="Tabletext"/>
              <w:keepNext w:val="0"/>
            </w:pPr>
            <w:r>
              <w:t>Indigenous identified staff headcount</w:t>
            </w:r>
          </w:p>
        </w:tc>
        <w:tc>
          <w:tcPr>
            <w:tcW w:w="1857" w:type="dxa"/>
            <w:shd w:val="clear" w:color="auto" w:fill="C6D9F1"/>
            <w:vAlign w:val="center"/>
          </w:tcPr>
          <w:p w:rsidR="008E2CB8" w:rsidRDefault="008E2CB8" w:rsidP="00F56F03">
            <w:pPr>
              <w:pStyle w:val="Tabletext"/>
              <w:keepNext w:val="0"/>
              <w:jc w:val="right"/>
            </w:pPr>
            <w:r>
              <w:t>177</w:t>
            </w:r>
          </w:p>
        </w:tc>
        <w:tc>
          <w:tcPr>
            <w:tcW w:w="1857" w:type="dxa"/>
            <w:shd w:val="clear" w:color="auto" w:fill="C6D9F1"/>
            <w:vAlign w:val="center"/>
          </w:tcPr>
          <w:p w:rsidR="008E2CB8" w:rsidRDefault="008E2CB8" w:rsidP="00F56F03">
            <w:pPr>
              <w:pStyle w:val="Tabletext"/>
              <w:keepNext w:val="0"/>
              <w:jc w:val="right"/>
            </w:pPr>
            <w:r>
              <w:t>214</w:t>
            </w:r>
          </w:p>
        </w:tc>
        <w:tc>
          <w:tcPr>
            <w:tcW w:w="1483" w:type="dxa"/>
            <w:shd w:val="clear" w:color="auto" w:fill="C6D9F1"/>
            <w:vAlign w:val="center"/>
          </w:tcPr>
          <w:p w:rsidR="008E2CB8" w:rsidRDefault="008E2CB8" w:rsidP="00F56F03">
            <w:pPr>
              <w:pStyle w:val="Tabletext"/>
              <w:keepNext w:val="0"/>
              <w:jc w:val="right"/>
            </w:pPr>
            <w:r>
              <w:t>220</w:t>
            </w:r>
          </w:p>
        </w:tc>
        <w:tc>
          <w:tcPr>
            <w:tcW w:w="1468" w:type="dxa"/>
            <w:shd w:val="clear" w:color="auto" w:fill="C6D9F1"/>
            <w:vAlign w:val="center"/>
          </w:tcPr>
          <w:p w:rsidR="008E2CB8" w:rsidRDefault="008E2CB8" w:rsidP="00F56F03">
            <w:pPr>
              <w:pStyle w:val="Tabletext"/>
              <w:keepNext w:val="0"/>
              <w:jc w:val="right"/>
            </w:pPr>
            <w:r>
              <w:t>257</w:t>
            </w:r>
          </w:p>
        </w:tc>
      </w:tr>
      <w:tr w:rsidR="008E2CB8" w:rsidTr="001C4422">
        <w:trPr>
          <w:cantSplit/>
        </w:trPr>
        <w:tc>
          <w:tcPr>
            <w:tcW w:w="1857" w:type="dxa"/>
            <w:tcBorders>
              <w:bottom w:val="single" w:sz="4" w:space="0" w:color="auto"/>
            </w:tcBorders>
            <w:shd w:val="clear" w:color="auto" w:fill="DBE5F1"/>
          </w:tcPr>
          <w:p w:rsidR="008E2CB8" w:rsidRDefault="008E2CB8" w:rsidP="008E2CB8">
            <w:pPr>
              <w:pStyle w:val="Tabletext"/>
              <w:keepNext w:val="0"/>
            </w:pPr>
            <w:r>
              <w:t>Total ACTPS headcount</w:t>
            </w:r>
          </w:p>
        </w:tc>
        <w:tc>
          <w:tcPr>
            <w:tcW w:w="1857" w:type="dxa"/>
            <w:tcBorders>
              <w:bottom w:val="single" w:sz="4" w:space="0" w:color="auto"/>
            </w:tcBorders>
            <w:shd w:val="clear" w:color="auto" w:fill="DBE5F1"/>
            <w:vAlign w:val="center"/>
          </w:tcPr>
          <w:p w:rsidR="008E2CB8" w:rsidRDefault="008E2CB8" w:rsidP="00F56F03">
            <w:pPr>
              <w:pStyle w:val="Tabletext"/>
              <w:keepNext w:val="0"/>
              <w:jc w:val="right"/>
            </w:pPr>
            <w:r>
              <w:t>19,137</w:t>
            </w:r>
          </w:p>
        </w:tc>
        <w:tc>
          <w:tcPr>
            <w:tcW w:w="1857" w:type="dxa"/>
            <w:tcBorders>
              <w:bottom w:val="single" w:sz="4" w:space="0" w:color="auto"/>
            </w:tcBorders>
            <w:shd w:val="clear" w:color="auto" w:fill="DBE5F1"/>
            <w:vAlign w:val="center"/>
          </w:tcPr>
          <w:p w:rsidR="008E2CB8" w:rsidRDefault="008E2CB8" w:rsidP="00F56F03">
            <w:pPr>
              <w:pStyle w:val="Tabletext"/>
              <w:keepNext w:val="0"/>
              <w:jc w:val="right"/>
            </w:pPr>
            <w:r>
              <w:t>19,733</w:t>
            </w:r>
          </w:p>
        </w:tc>
        <w:tc>
          <w:tcPr>
            <w:tcW w:w="1483" w:type="dxa"/>
            <w:tcBorders>
              <w:bottom w:val="single" w:sz="4" w:space="0" w:color="auto"/>
            </w:tcBorders>
            <w:shd w:val="clear" w:color="auto" w:fill="DBE5F1"/>
            <w:vAlign w:val="center"/>
          </w:tcPr>
          <w:p w:rsidR="008E2CB8" w:rsidRDefault="008E2CB8" w:rsidP="00F56F03">
            <w:pPr>
              <w:pStyle w:val="Tabletext"/>
              <w:keepNext w:val="0"/>
              <w:jc w:val="right"/>
            </w:pPr>
            <w:r>
              <w:t>20,432</w:t>
            </w:r>
          </w:p>
        </w:tc>
        <w:tc>
          <w:tcPr>
            <w:tcW w:w="1468" w:type="dxa"/>
            <w:tcBorders>
              <w:bottom w:val="single" w:sz="4" w:space="0" w:color="auto"/>
            </w:tcBorders>
            <w:shd w:val="clear" w:color="auto" w:fill="DBE5F1"/>
            <w:vAlign w:val="center"/>
          </w:tcPr>
          <w:p w:rsidR="008E2CB8" w:rsidRDefault="008E2CB8" w:rsidP="00F56F03">
            <w:pPr>
              <w:pStyle w:val="Tabletext"/>
              <w:keepNext w:val="0"/>
              <w:jc w:val="right"/>
            </w:pPr>
            <w:r>
              <w:t>21,089</w:t>
            </w:r>
          </w:p>
        </w:tc>
      </w:tr>
      <w:tr w:rsidR="008E2CB8" w:rsidTr="001C4422">
        <w:trPr>
          <w:cantSplit/>
        </w:trPr>
        <w:tc>
          <w:tcPr>
            <w:tcW w:w="1857" w:type="dxa"/>
            <w:tcBorders>
              <w:bottom w:val="single" w:sz="4" w:space="0" w:color="auto"/>
            </w:tcBorders>
            <w:shd w:val="clear" w:color="auto" w:fill="C6D9F1"/>
          </w:tcPr>
          <w:p w:rsidR="008E2CB8" w:rsidRDefault="008E2CB8" w:rsidP="008E2CB8">
            <w:pPr>
              <w:pStyle w:val="Tabletext"/>
              <w:keepNext w:val="0"/>
            </w:pPr>
            <w:r>
              <w:t xml:space="preserve">Proportion of staff who are </w:t>
            </w:r>
            <w:r w:rsidR="00634DDA">
              <w:t>Indigenous (</w:t>
            </w:r>
            <w:r>
              <w:t>%)</w:t>
            </w:r>
          </w:p>
        </w:tc>
        <w:tc>
          <w:tcPr>
            <w:tcW w:w="1857" w:type="dxa"/>
            <w:tcBorders>
              <w:bottom w:val="single" w:sz="4" w:space="0" w:color="auto"/>
            </w:tcBorders>
            <w:shd w:val="clear" w:color="auto" w:fill="C6D9F1"/>
            <w:vAlign w:val="center"/>
          </w:tcPr>
          <w:p w:rsidR="008E2CB8" w:rsidRDefault="006F454C" w:rsidP="00F56F03">
            <w:pPr>
              <w:pStyle w:val="Tabletext"/>
              <w:keepNext w:val="0"/>
              <w:jc w:val="right"/>
            </w:pPr>
            <w:r>
              <w:t>0.92</w:t>
            </w:r>
          </w:p>
        </w:tc>
        <w:tc>
          <w:tcPr>
            <w:tcW w:w="1857" w:type="dxa"/>
            <w:tcBorders>
              <w:bottom w:val="single" w:sz="4" w:space="0" w:color="auto"/>
            </w:tcBorders>
            <w:shd w:val="clear" w:color="auto" w:fill="C6D9F1"/>
            <w:vAlign w:val="center"/>
          </w:tcPr>
          <w:p w:rsidR="008E2CB8" w:rsidRDefault="006F454C" w:rsidP="00F56F03">
            <w:pPr>
              <w:pStyle w:val="Tabletext"/>
              <w:keepNext w:val="0"/>
              <w:jc w:val="right"/>
            </w:pPr>
            <w:r>
              <w:t>1.08</w:t>
            </w:r>
          </w:p>
        </w:tc>
        <w:tc>
          <w:tcPr>
            <w:tcW w:w="1483" w:type="dxa"/>
            <w:tcBorders>
              <w:bottom w:val="single" w:sz="4" w:space="0" w:color="auto"/>
            </w:tcBorders>
            <w:shd w:val="clear" w:color="auto" w:fill="C6D9F1"/>
            <w:vAlign w:val="center"/>
          </w:tcPr>
          <w:p w:rsidR="008E2CB8" w:rsidRDefault="006F454C" w:rsidP="00F56F03">
            <w:pPr>
              <w:pStyle w:val="Tabletext"/>
              <w:keepNext w:val="0"/>
              <w:jc w:val="right"/>
            </w:pPr>
            <w:r>
              <w:t>1.08</w:t>
            </w:r>
          </w:p>
        </w:tc>
        <w:tc>
          <w:tcPr>
            <w:tcW w:w="1468" w:type="dxa"/>
            <w:tcBorders>
              <w:bottom w:val="single" w:sz="4" w:space="0" w:color="auto"/>
            </w:tcBorders>
            <w:shd w:val="clear" w:color="auto" w:fill="C6D9F1"/>
            <w:vAlign w:val="center"/>
          </w:tcPr>
          <w:p w:rsidR="008E2CB8" w:rsidRDefault="006F454C" w:rsidP="00F56F03">
            <w:pPr>
              <w:pStyle w:val="Tabletext"/>
              <w:keepNext w:val="0"/>
              <w:jc w:val="right"/>
            </w:pPr>
            <w:r>
              <w:t>1.22</w:t>
            </w:r>
          </w:p>
        </w:tc>
      </w:tr>
      <w:tr w:rsidR="006F454C" w:rsidTr="0030084E">
        <w:trPr>
          <w:cantSplit/>
        </w:trPr>
        <w:tc>
          <w:tcPr>
            <w:tcW w:w="8522" w:type="dxa"/>
            <w:gridSpan w:val="5"/>
            <w:tcBorders>
              <w:top w:val="single" w:sz="4" w:space="0" w:color="auto"/>
              <w:bottom w:val="nil"/>
            </w:tcBorders>
          </w:tcPr>
          <w:p w:rsidR="006F454C" w:rsidRDefault="00323080" w:rsidP="003A1175">
            <w:pPr>
              <w:pStyle w:val="Tabletext"/>
              <w:keepNext w:val="0"/>
            </w:pPr>
            <w:r>
              <w:t xml:space="preserve"> </w:t>
            </w:r>
            <w:r w:rsidR="006F454C">
              <w:t xml:space="preserve">Source:  ACT Public Service, </w:t>
            </w:r>
            <w:r w:rsidR="006F454C" w:rsidRPr="00D92448">
              <w:rPr>
                <w:i/>
              </w:rPr>
              <w:t>Submission to the Standing Committee on Health, Ageing, Community and Social Services – Inquiry into ACT Public Service Aboriginal and Torres Strait Islander Employment</w:t>
            </w:r>
            <w:r w:rsidR="006F454C">
              <w:t xml:space="preserve">, August 2013, p. </w:t>
            </w:r>
            <w:r w:rsidR="00A8072F">
              <w:t>17</w:t>
            </w:r>
            <w:r w:rsidR="006F454C">
              <w:t>.</w:t>
            </w:r>
          </w:p>
        </w:tc>
      </w:tr>
      <w:tr w:rsidR="0030084E" w:rsidTr="0030084E">
        <w:trPr>
          <w:cantSplit/>
        </w:trPr>
        <w:tc>
          <w:tcPr>
            <w:tcW w:w="8522" w:type="dxa"/>
            <w:gridSpan w:val="5"/>
            <w:tcBorders>
              <w:top w:val="nil"/>
              <w:bottom w:val="nil"/>
            </w:tcBorders>
          </w:tcPr>
          <w:p w:rsidR="0030084E" w:rsidRDefault="0030084E" w:rsidP="003A1175">
            <w:pPr>
              <w:pStyle w:val="Tabletext"/>
              <w:keepNext w:val="0"/>
            </w:pPr>
          </w:p>
        </w:tc>
      </w:tr>
    </w:tbl>
    <w:p w:rsidR="003A1175" w:rsidRDefault="003A1175" w:rsidP="003A1175">
      <w:pPr>
        <w:pStyle w:val="Caption"/>
      </w:pPr>
      <w:r>
        <w:t xml:space="preserve">Table </w:t>
      </w:r>
      <w:r w:rsidR="00A574D4">
        <w:t>3</w:t>
      </w:r>
      <w:r>
        <w:t>.2 – Number and percentage of ACTPS employees who are Aboriginal and Torres Strait Islander people</w:t>
      </w:r>
      <w:r w:rsidR="00323080">
        <w:t xml:space="preserve"> –</w:t>
      </w:r>
      <w:r w:rsidR="00924F37">
        <w:t xml:space="preserve"> 2013 </w:t>
      </w:r>
      <w:r w:rsidR="00323080">
        <w:t>State of the Service Report data</w:t>
      </w:r>
    </w:p>
    <w:tbl>
      <w:tblPr>
        <w:tblW w:w="8522" w:type="dxa"/>
        <w:tblInd w:w="817" w:type="dxa"/>
        <w:tblBorders>
          <w:top w:val="single" w:sz="4" w:space="0" w:color="auto"/>
          <w:bottom w:val="single" w:sz="4" w:space="0" w:color="auto"/>
          <w:insideH w:val="single" w:sz="4" w:space="0" w:color="auto"/>
          <w:insideV w:val="single" w:sz="48" w:space="0" w:color="FFFFFF"/>
        </w:tblBorders>
        <w:tblLook w:val="01E0"/>
      </w:tblPr>
      <w:tblGrid>
        <w:gridCol w:w="1857"/>
        <w:gridCol w:w="1857"/>
        <w:gridCol w:w="1857"/>
        <w:gridCol w:w="1483"/>
        <w:gridCol w:w="1468"/>
      </w:tblGrid>
      <w:tr w:rsidR="003A1175" w:rsidTr="001C4422">
        <w:trPr>
          <w:cantSplit/>
        </w:trPr>
        <w:tc>
          <w:tcPr>
            <w:tcW w:w="1857" w:type="dxa"/>
            <w:tcBorders>
              <w:bottom w:val="single" w:sz="4" w:space="0" w:color="auto"/>
            </w:tcBorders>
            <w:shd w:val="clear" w:color="auto" w:fill="DBE5F1"/>
          </w:tcPr>
          <w:p w:rsidR="003A1175" w:rsidRDefault="004C62B8" w:rsidP="003A1175">
            <w:pPr>
              <w:pStyle w:val="TableHeading"/>
            </w:pPr>
            <w:r>
              <w:t>Group</w:t>
            </w:r>
          </w:p>
        </w:tc>
        <w:tc>
          <w:tcPr>
            <w:tcW w:w="1857" w:type="dxa"/>
            <w:tcBorders>
              <w:bottom w:val="single" w:sz="4" w:space="0" w:color="auto"/>
            </w:tcBorders>
            <w:shd w:val="clear" w:color="auto" w:fill="DBE5F1"/>
          </w:tcPr>
          <w:p w:rsidR="003A1175" w:rsidRDefault="003A1175" w:rsidP="003A1175">
            <w:pPr>
              <w:pStyle w:val="TableHeading"/>
              <w:jc w:val="center"/>
            </w:pPr>
            <w:r>
              <w:t>June 2010</w:t>
            </w:r>
          </w:p>
        </w:tc>
        <w:tc>
          <w:tcPr>
            <w:tcW w:w="1857" w:type="dxa"/>
            <w:tcBorders>
              <w:bottom w:val="single" w:sz="4" w:space="0" w:color="auto"/>
            </w:tcBorders>
            <w:shd w:val="clear" w:color="auto" w:fill="DBE5F1"/>
          </w:tcPr>
          <w:p w:rsidR="003A1175" w:rsidRDefault="003A1175" w:rsidP="003A1175">
            <w:pPr>
              <w:pStyle w:val="TableHeading"/>
              <w:jc w:val="center"/>
            </w:pPr>
            <w:r>
              <w:t>June 2011</w:t>
            </w:r>
          </w:p>
        </w:tc>
        <w:tc>
          <w:tcPr>
            <w:tcW w:w="1483" w:type="dxa"/>
            <w:tcBorders>
              <w:bottom w:val="single" w:sz="4" w:space="0" w:color="auto"/>
            </w:tcBorders>
            <w:shd w:val="clear" w:color="auto" w:fill="DBE5F1"/>
          </w:tcPr>
          <w:p w:rsidR="003A1175" w:rsidRDefault="003A1175" w:rsidP="003A1175">
            <w:pPr>
              <w:pStyle w:val="TableHeading"/>
              <w:jc w:val="center"/>
            </w:pPr>
            <w:r>
              <w:t>June 2012</w:t>
            </w:r>
          </w:p>
        </w:tc>
        <w:tc>
          <w:tcPr>
            <w:tcW w:w="1468" w:type="dxa"/>
            <w:tcBorders>
              <w:bottom w:val="single" w:sz="4" w:space="0" w:color="auto"/>
            </w:tcBorders>
            <w:shd w:val="clear" w:color="auto" w:fill="DBE5F1"/>
          </w:tcPr>
          <w:p w:rsidR="003A1175" w:rsidRDefault="003A1175" w:rsidP="003A1175">
            <w:pPr>
              <w:pStyle w:val="TableHeading"/>
              <w:jc w:val="center"/>
            </w:pPr>
            <w:r>
              <w:t>June 2013</w:t>
            </w:r>
          </w:p>
        </w:tc>
      </w:tr>
      <w:tr w:rsidR="003A1175" w:rsidTr="001C4422">
        <w:trPr>
          <w:cantSplit/>
        </w:trPr>
        <w:tc>
          <w:tcPr>
            <w:tcW w:w="1857" w:type="dxa"/>
            <w:shd w:val="clear" w:color="auto" w:fill="C6D9F1"/>
          </w:tcPr>
          <w:p w:rsidR="003A1175" w:rsidRDefault="003A1175" w:rsidP="003A1175">
            <w:pPr>
              <w:pStyle w:val="Tabletext"/>
              <w:keepNext w:val="0"/>
            </w:pPr>
            <w:r>
              <w:t>Indigenous identified staff headcount</w:t>
            </w:r>
          </w:p>
        </w:tc>
        <w:tc>
          <w:tcPr>
            <w:tcW w:w="1857" w:type="dxa"/>
            <w:shd w:val="clear" w:color="auto" w:fill="C6D9F1"/>
            <w:vAlign w:val="center"/>
          </w:tcPr>
          <w:p w:rsidR="003A1175" w:rsidRDefault="00271B8C" w:rsidP="00F56F03">
            <w:pPr>
              <w:pStyle w:val="Tabletext"/>
              <w:keepNext w:val="0"/>
              <w:jc w:val="right"/>
            </w:pPr>
            <w:r>
              <w:t>153</w:t>
            </w:r>
          </w:p>
        </w:tc>
        <w:tc>
          <w:tcPr>
            <w:tcW w:w="1857" w:type="dxa"/>
            <w:shd w:val="clear" w:color="auto" w:fill="C6D9F1"/>
            <w:vAlign w:val="center"/>
          </w:tcPr>
          <w:p w:rsidR="003A1175" w:rsidRDefault="00271B8C" w:rsidP="00F56F03">
            <w:pPr>
              <w:pStyle w:val="Tabletext"/>
              <w:keepNext w:val="0"/>
              <w:jc w:val="right"/>
            </w:pPr>
            <w:r>
              <w:t>193</w:t>
            </w:r>
          </w:p>
        </w:tc>
        <w:tc>
          <w:tcPr>
            <w:tcW w:w="1483" w:type="dxa"/>
            <w:shd w:val="clear" w:color="auto" w:fill="C6D9F1"/>
            <w:vAlign w:val="center"/>
          </w:tcPr>
          <w:p w:rsidR="003A1175" w:rsidRDefault="00271B8C" w:rsidP="00F56F03">
            <w:pPr>
              <w:pStyle w:val="Tabletext"/>
              <w:keepNext w:val="0"/>
              <w:jc w:val="right"/>
            </w:pPr>
            <w:r>
              <w:t>202</w:t>
            </w:r>
          </w:p>
        </w:tc>
        <w:tc>
          <w:tcPr>
            <w:tcW w:w="1468" w:type="dxa"/>
            <w:shd w:val="clear" w:color="auto" w:fill="C6D9F1"/>
            <w:vAlign w:val="center"/>
          </w:tcPr>
          <w:p w:rsidR="003A1175" w:rsidRDefault="00271B8C" w:rsidP="00F56F03">
            <w:pPr>
              <w:pStyle w:val="Tabletext"/>
              <w:keepNext w:val="0"/>
              <w:jc w:val="right"/>
            </w:pPr>
            <w:r>
              <w:t>238</w:t>
            </w:r>
          </w:p>
        </w:tc>
      </w:tr>
      <w:tr w:rsidR="003A1175" w:rsidTr="001C4422">
        <w:trPr>
          <w:cantSplit/>
        </w:trPr>
        <w:tc>
          <w:tcPr>
            <w:tcW w:w="1857" w:type="dxa"/>
            <w:tcBorders>
              <w:bottom w:val="single" w:sz="4" w:space="0" w:color="auto"/>
            </w:tcBorders>
            <w:shd w:val="clear" w:color="auto" w:fill="DBE5F1"/>
          </w:tcPr>
          <w:p w:rsidR="003A1175" w:rsidRDefault="003A1175" w:rsidP="003A1175">
            <w:pPr>
              <w:pStyle w:val="Tabletext"/>
              <w:keepNext w:val="0"/>
            </w:pPr>
            <w:r>
              <w:t>Total ACTPS headcount</w:t>
            </w:r>
          </w:p>
        </w:tc>
        <w:tc>
          <w:tcPr>
            <w:tcW w:w="1857" w:type="dxa"/>
            <w:tcBorders>
              <w:bottom w:val="single" w:sz="4" w:space="0" w:color="auto"/>
            </w:tcBorders>
            <w:shd w:val="clear" w:color="auto" w:fill="DBE5F1"/>
            <w:vAlign w:val="center"/>
          </w:tcPr>
          <w:p w:rsidR="003A1175" w:rsidRDefault="00271B8C" w:rsidP="00F56F03">
            <w:pPr>
              <w:pStyle w:val="Tabletext"/>
              <w:keepNext w:val="0"/>
              <w:jc w:val="right"/>
            </w:pPr>
            <w:r>
              <w:t>17,495</w:t>
            </w:r>
            <w:r w:rsidR="003A1175">
              <w:t>7</w:t>
            </w:r>
          </w:p>
        </w:tc>
        <w:tc>
          <w:tcPr>
            <w:tcW w:w="1857" w:type="dxa"/>
            <w:tcBorders>
              <w:bottom w:val="single" w:sz="4" w:space="0" w:color="auto"/>
            </w:tcBorders>
            <w:shd w:val="clear" w:color="auto" w:fill="DBE5F1"/>
            <w:vAlign w:val="center"/>
          </w:tcPr>
          <w:p w:rsidR="003A1175" w:rsidRDefault="00271B8C" w:rsidP="00F56F03">
            <w:pPr>
              <w:pStyle w:val="Tabletext"/>
              <w:keepNext w:val="0"/>
              <w:jc w:val="right"/>
            </w:pPr>
            <w:r>
              <w:t>17,9191</w:t>
            </w:r>
          </w:p>
        </w:tc>
        <w:tc>
          <w:tcPr>
            <w:tcW w:w="1483" w:type="dxa"/>
            <w:tcBorders>
              <w:bottom w:val="single" w:sz="4" w:space="0" w:color="auto"/>
            </w:tcBorders>
            <w:shd w:val="clear" w:color="auto" w:fill="DBE5F1"/>
            <w:vAlign w:val="center"/>
          </w:tcPr>
          <w:p w:rsidR="003A1175" w:rsidRDefault="00271B8C" w:rsidP="00F56F03">
            <w:pPr>
              <w:pStyle w:val="Tabletext"/>
              <w:keepNext w:val="0"/>
              <w:jc w:val="right"/>
            </w:pPr>
            <w:r>
              <w:t>19,331</w:t>
            </w:r>
          </w:p>
        </w:tc>
        <w:tc>
          <w:tcPr>
            <w:tcW w:w="1468" w:type="dxa"/>
            <w:tcBorders>
              <w:bottom w:val="single" w:sz="4" w:space="0" w:color="auto"/>
            </w:tcBorders>
            <w:shd w:val="clear" w:color="auto" w:fill="DBE5F1"/>
            <w:vAlign w:val="center"/>
          </w:tcPr>
          <w:p w:rsidR="003A1175" w:rsidRDefault="003A1175" w:rsidP="00F56F03">
            <w:pPr>
              <w:pStyle w:val="Tabletext"/>
              <w:keepNext w:val="0"/>
              <w:jc w:val="right"/>
            </w:pPr>
            <w:r>
              <w:t>2</w:t>
            </w:r>
            <w:r w:rsidR="00271B8C">
              <w:t>0,017</w:t>
            </w:r>
          </w:p>
        </w:tc>
      </w:tr>
      <w:tr w:rsidR="003A1175" w:rsidTr="001C4422">
        <w:trPr>
          <w:cantSplit/>
        </w:trPr>
        <w:tc>
          <w:tcPr>
            <w:tcW w:w="1857" w:type="dxa"/>
            <w:tcBorders>
              <w:bottom w:val="single" w:sz="4" w:space="0" w:color="auto"/>
            </w:tcBorders>
            <w:shd w:val="clear" w:color="auto" w:fill="C6D9F1"/>
          </w:tcPr>
          <w:p w:rsidR="003A1175" w:rsidRDefault="003A1175" w:rsidP="003A1175">
            <w:pPr>
              <w:pStyle w:val="Tabletext"/>
              <w:keepNext w:val="0"/>
            </w:pPr>
            <w:r>
              <w:t xml:space="preserve">Proportion of staff who are </w:t>
            </w:r>
            <w:r w:rsidR="00634DDA">
              <w:t>Indigenous (</w:t>
            </w:r>
            <w:r>
              <w:t>%)</w:t>
            </w:r>
          </w:p>
        </w:tc>
        <w:tc>
          <w:tcPr>
            <w:tcW w:w="1857" w:type="dxa"/>
            <w:tcBorders>
              <w:bottom w:val="single" w:sz="4" w:space="0" w:color="auto"/>
            </w:tcBorders>
            <w:shd w:val="clear" w:color="auto" w:fill="C6D9F1"/>
            <w:vAlign w:val="center"/>
          </w:tcPr>
          <w:p w:rsidR="003A1175" w:rsidRDefault="003A1175" w:rsidP="00F56F03">
            <w:pPr>
              <w:pStyle w:val="Tabletext"/>
              <w:keepNext w:val="0"/>
              <w:jc w:val="right"/>
            </w:pPr>
            <w:r>
              <w:t>0.92</w:t>
            </w:r>
          </w:p>
        </w:tc>
        <w:tc>
          <w:tcPr>
            <w:tcW w:w="1857" w:type="dxa"/>
            <w:tcBorders>
              <w:bottom w:val="single" w:sz="4" w:space="0" w:color="auto"/>
            </w:tcBorders>
            <w:shd w:val="clear" w:color="auto" w:fill="C6D9F1"/>
            <w:vAlign w:val="center"/>
          </w:tcPr>
          <w:p w:rsidR="003A1175" w:rsidRDefault="003A1175" w:rsidP="00F56F03">
            <w:pPr>
              <w:pStyle w:val="Tabletext"/>
              <w:keepNext w:val="0"/>
              <w:jc w:val="right"/>
            </w:pPr>
            <w:r>
              <w:t>1.08</w:t>
            </w:r>
          </w:p>
        </w:tc>
        <w:tc>
          <w:tcPr>
            <w:tcW w:w="1483" w:type="dxa"/>
            <w:tcBorders>
              <w:bottom w:val="single" w:sz="4" w:space="0" w:color="auto"/>
            </w:tcBorders>
            <w:shd w:val="clear" w:color="auto" w:fill="C6D9F1"/>
            <w:vAlign w:val="center"/>
          </w:tcPr>
          <w:p w:rsidR="003A1175" w:rsidRDefault="003A1175" w:rsidP="00F56F03">
            <w:pPr>
              <w:pStyle w:val="Tabletext"/>
              <w:keepNext w:val="0"/>
              <w:jc w:val="right"/>
            </w:pPr>
            <w:r>
              <w:t>1.08</w:t>
            </w:r>
          </w:p>
        </w:tc>
        <w:tc>
          <w:tcPr>
            <w:tcW w:w="1468" w:type="dxa"/>
            <w:tcBorders>
              <w:bottom w:val="single" w:sz="4" w:space="0" w:color="auto"/>
            </w:tcBorders>
            <w:shd w:val="clear" w:color="auto" w:fill="C6D9F1"/>
            <w:vAlign w:val="center"/>
          </w:tcPr>
          <w:p w:rsidR="003A1175" w:rsidRDefault="003A1175" w:rsidP="00F56F03">
            <w:pPr>
              <w:pStyle w:val="Tabletext"/>
              <w:keepNext w:val="0"/>
              <w:jc w:val="right"/>
            </w:pPr>
            <w:r>
              <w:t>1.22</w:t>
            </w:r>
          </w:p>
        </w:tc>
      </w:tr>
      <w:tr w:rsidR="003A1175" w:rsidTr="003A1175">
        <w:trPr>
          <w:cantSplit/>
        </w:trPr>
        <w:tc>
          <w:tcPr>
            <w:tcW w:w="8522" w:type="dxa"/>
            <w:gridSpan w:val="5"/>
            <w:tcBorders>
              <w:top w:val="single" w:sz="4" w:space="0" w:color="auto"/>
              <w:bottom w:val="nil"/>
            </w:tcBorders>
          </w:tcPr>
          <w:p w:rsidR="003A1175" w:rsidRDefault="00323080" w:rsidP="00CD575C">
            <w:pPr>
              <w:pStyle w:val="Tabletext"/>
              <w:keepNext w:val="0"/>
            </w:pPr>
            <w:r>
              <w:t xml:space="preserve">* </w:t>
            </w:r>
            <w:r w:rsidR="003A1175">
              <w:t xml:space="preserve">Source:  ACT Public Service, </w:t>
            </w:r>
            <w:r w:rsidR="003A1175" w:rsidRPr="00D92448">
              <w:rPr>
                <w:i/>
              </w:rPr>
              <w:t>S</w:t>
            </w:r>
            <w:r w:rsidR="00CD575C">
              <w:rPr>
                <w:i/>
              </w:rPr>
              <w:t>tate of the Service Report – 2013, Canberra, 13 September 2013, pp. 69, 71</w:t>
            </w:r>
            <w:r w:rsidR="003A1175">
              <w:t>.</w:t>
            </w:r>
          </w:p>
        </w:tc>
      </w:tr>
    </w:tbl>
    <w:p w:rsidR="00924F37" w:rsidRDefault="00BE50B9" w:rsidP="00924F37">
      <w:pPr>
        <w:pStyle w:val="Bodytext"/>
        <w:numPr>
          <w:ilvl w:val="0"/>
          <w:numId w:val="0"/>
        </w:numPr>
        <w:ind w:left="425"/>
        <w:rPr>
          <w:iCs/>
        </w:rPr>
      </w:pPr>
      <w:r>
        <w:rPr>
          <w:iCs/>
        </w:rPr>
        <w:tab/>
      </w:r>
    </w:p>
    <w:p w:rsidR="00E05F97" w:rsidRDefault="00924F37" w:rsidP="00E96CAB">
      <w:pPr>
        <w:pStyle w:val="Bodytext"/>
        <w:rPr>
          <w:iCs/>
        </w:rPr>
      </w:pPr>
      <w:r>
        <w:rPr>
          <w:iCs/>
        </w:rPr>
        <w:tab/>
      </w:r>
      <w:r w:rsidR="008E2CB8">
        <w:rPr>
          <w:iCs/>
        </w:rPr>
        <w:t xml:space="preserve">Assuming the target is 2.0 percent of the total ACTPS headcount, the </w:t>
      </w:r>
      <w:r w:rsidR="002252B8">
        <w:rPr>
          <w:iCs/>
        </w:rPr>
        <w:t xml:space="preserve">Committee </w:t>
      </w:r>
      <w:r w:rsidR="00D25850">
        <w:rPr>
          <w:iCs/>
        </w:rPr>
        <w:t>concludes</w:t>
      </w:r>
      <w:r w:rsidR="008E2CB8">
        <w:rPr>
          <w:iCs/>
        </w:rPr>
        <w:t xml:space="preserve"> that it is unlikely the </w:t>
      </w:r>
      <w:r w:rsidR="00D25850">
        <w:rPr>
          <w:iCs/>
        </w:rPr>
        <w:t xml:space="preserve">2015 </w:t>
      </w:r>
      <w:r w:rsidR="00A574D4">
        <w:rPr>
          <w:iCs/>
        </w:rPr>
        <w:t xml:space="preserve">target </w:t>
      </w:r>
      <w:r w:rsidR="008E2CB8">
        <w:rPr>
          <w:iCs/>
        </w:rPr>
        <w:t>will be met</w:t>
      </w:r>
      <w:r w:rsidR="00E05F97">
        <w:rPr>
          <w:iCs/>
        </w:rPr>
        <w:t xml:space="preserve">.  </w:t>
      </w:r>
    </w:p>
    <w:p w:rsidR="00D35FCB" w:rsidRPr="002252B8" w:rsidRDefault="0030084E" w:rsidP="00D35FCB">
      <w:pPr>
        <w:pStyle w:val="Headinglevel2"/>
      </w:pPr>
      <w:r>
        <w:br w:type="page"/>
      </w:r>
      <w:bookmarkStart w:id="65" w:name="_Toc383615034"/>
      <w:r w:rsidR="00D35FCB">
        <w:t xml:space="preserve">Indicator 6 – </w:t>
      </w:r>
      <w:r w:rsidR="001E7D00">
        <w:t>I</w:t>
      </w:r>
      <w:r w:rsidR="00D35FCB">
        <w:t>ncrease in new employees who are Indigenous.</w:t>
      </w:r>
      <w:bookmarkEnd w:id="65"/>
      <w:r w:rsidR="00D35FCB">
        <w:t xml:space="preserve">  </w:t>
      </w:r>
    </w:p>
    <w:p w:rsidR="008F4806" w:rsidRDefault="00BE50B9" w:rsidP="00E96CAB">
      <w:pPr>
        <w:pStyle w:val="Bodytext"/>
        <w:rPr>
          <w:iCs/>
        </w:rPr>
      </w:pPr>
      <w:r>
        <w:rPr>
          <w:iCs/>
        </w:rPr>
        <w:tab/>
      </w:r>
      <w:r w:rsidR="008F4806">
        <w:rPr>
          <w:iCs/>
        </w:rPr>
        <w:t xml:space="preserve">Table </w:t>
      </w:r>
      <w:r w:rsidR="00A574D4">
        <w:rPr>
          <w:iCs/>
        </w:rPr>
        <w:t>3</w:t>
      </w:r>
      <w:r w:rsidR="008F4806">
        <w:rPr>
          <w:iCs/>
        </w:rPr>
        <w:t xml:space="preserve">.3 is reproduced from the ACTPS submission. </w:t>
      </w:r>
    </w:p>
    <w:p w:rsidR="008F4806" w:rsidRDefault="008F4806" w:rsidP="008F4806">
      <w:pPr>
        <w:pStyle w:val="Caption"/>
      </w:pPr>
      <w:r>
        <w:rPr>
          <w:iCs/>
        </w:rPr>
        <w:tab/>
      </w:r>
      <w:r>
        <w:t xml:space="preserve">Table </w:t>
      </w:r>
      <w:r w:rsidR="00A574D4">
        <w:t>3</w:t>
      </w:r>
      <w:r>
        <w:t>.3 – Number and percentage share of new ACTPS employees recruited to the ACTPS who are Aboriginal and Torres Strait Islander</w:t>
      </w:r>
      <w:r w:rsidR="004C62B8">
        <w:t>s</w:t>
      </w:r>
    </w:p>
    <w:tbl>
      <w:tblPr>
        <w:tblW w:w="8522" w:type="dxa"/>
        <w:tblInd w:w="817" w:type="dxa"/>
        <w:tblBorders>
          <w:top w:val="single" w:sz="4" w:space="0" w:color="auto"/>
          <w:bottom w:val="single" w:sz="4" w:space="0" w:color="auto"/>
          <w:insideH w:val="single" w:sz="4" w:space="0" w:color="auto"/>
          <w:insideV w:val="single" w:sz="48" w:space="0" w:color="FFFFFF"/>
        </w:tblBorders>
        <w:tblLook w:val="01E0"/>
      </w:tblPr>
      <w:tblGrid>
        <w:gridCol w:w="1857"/>
        <w:gridCol w:w="1857"/>
        <w:gridCol w:w="1857"/>
        <w:gridCol w:w="1483"/>
        <w:gridCol w:w="1468"/>
      </w:tblGrid>
      <w:tr w:rsidR="008F4806" w:rsidTr="001C4422">
        <w:trPr>
          <w:cantSplit/>
        </w:trPr>
        <w:tc>
          <w:tcPr>
            <w:tcW w:w="1857" w:type="dxa"/>
            <w:tcBorders>
              <w:bottom w:val="single" w:sz="4" w:space="0" w:color="auto"/>
            </w:tcBorders>
            <w:shd w:val="clear" w:color="auto" w:fill="DBE5F1"/>
          </w:tcPr>
          <w:p w:rsidR="008F4806" w:rsidRDefault="004C62B8" w:rsidP="008F4806">
            <w:pPr>
              <w:pStyle w:val="TableHeading"/>
            </w:pPr>
            <w:r>
              <w:t>Group</w:t>
            </w:r>
          </w:p>
        </w:tc>
        <w:tc>
          <w:tcPr>
            <w:tcW w:w="1857" w:type="dxa"/>
            <w:tcBorders>
              <w:bottom w:val="single" w:sz="4" w:space="0" w:color="auto"/>
            </w:tcBorders>
            <w:shd w:val="clear" w:color="auto" w:fill="DBE5F1"/>
          </w:tcPr>
          <w:p w:rsidR="008F4806" w:rsidRDefault="004C62B8" w:rsidP="004C62B8">
            <w:pPr>
              <w:pStyle w:val="TableHeading"/>
              <w:jc w:val="center"/>
            </w:pPr>
            <w:r>
              <w:t>20090-</w:t>
            </w:r>
            <w:r w:rsidR="008F4806">
              <w:t>10</w:t>
            </w:r>
          </w:p>
        </w:tc>
        <w:tc>
          <w:tcPr>
            <w:tcW w:w="1857" w:type="dxa"/>
            <w:tcBorders>
              <w:bottom w:val="single" w:sz="4" w:space="0" w:color="auto"/>
            </w:tcBorders>
            <w:shd w:val="clear" w:color="auto" w:fill="DBE5F1"/>
          </w:tcPr>
          <w:p w:rsidR="008F4806" w:rsidRDefault="008F4806" w:rsidP="008F4806">
            <w:pPr>
              <w:pStyle w:val="TableHeading"/>
              <w:jc w:val="center"/>
            </w:pPr>
            <w:r>
              <w:t>20</w:t>
            </w:r>
            <w:r w:rsidR="004C62B8">
              <w:t>10-</w:t>
            </w:r>
            <w:r>
              <w:t>11</w:t>
            </w:r>
          </w:p>
        </w:tc>
        <w:tc>
          <w:tcPr>
            <w:tcW w:w="1483" w:type="dxa"/>
            <w:tcBorders>
              <w:bottom w:val="single" w:sz="4" w:space="0" w:color="auto"/>
            </w:tcBorders>
            <w:shd w:val="clear" w:color="auto" w:fill="DBE5F1"/>
          </w:tcPr>
          <w:p w:rsidR="008F4806" w:rsidRDefault="008F4806" w:rsidP="008F4806">
            <w:pPr>
              <w:pStyle w:val="TableHeading"/>
              <w:jc w:val="center"/>
            </w:pPr>
            <w:r>
              <w:t>20</w:t>
            </w:r>
            <w:r w:rsidR="004C62B8">
              <w:t>11-</w:t>
            </w:r>
            <w:r>
              <w:t>12</w:t>
            </w:r>
          </w:p>
        </w:tc>
        <w:tc>
          <w:tcPr>
            <w:tcW w:w="1468" w:type="dxa"/>
            <w:tcBorders>
              <w:bottom w:val="single" w:sz="4" w:space="0" w:color="auto"/>
            </w:tcBorders>
            <w:shd w:val="clear" w:color="auto" w:fill="DBE5F1"/>
          </w:tcPr>
          <w:p w:rsidR="008F4806" w:rsidRDefault="008F4806" w:rsidP="008F4806">
            <w:pPr>
              <w:pStyle w:val="TableHeading"/>
              <w:jc w:val="center"/>
            </w:pPr>
            <w:r>
              <w:t>201</w:t>
            </w:r>
            <w:r w:rsidR="004C62B8">
              <w:t>2-13</w:t>
            </w:r>
            <w:r>
              <w:t>3</w:t>
            </w:r>
          </w:p>
        </w:tc>
      </w:tr>
      <w:tr w:rsidR="008F4806" w:rsidTr="001C4422">
        <w:trPr>
          <w:cantSplit/>
        </w:trPr>
        <w:tc>
          <w:tcPr>
            <w:tcW w:w="1857" w:type="dxa"/>
            <w:shd w:val="clear" w:color="auto" w:fill="C6D9F1"/>
          </w:tcPr>
          <w:p w:rsidR="008F4806" w:rsidRDefault="008F4806" w:rsidP="004C62B8">
            <w:pPr>
              <w:pStyle w:val="Tabletext"/>
              <w:keepNext w:val="0"/>
            </w:pPr>
            <w:r>
              <w:t xml:space="preserve">Indigenous identified staff </w:t>
            </w:r>
            <w:r w:rsidR="004C62B8">
              <w:t>commencements</w:t>
            </w:r>
          </w:p>
        </w:tc>
        <w:tc>
          <w:tcPr>
            <w:tcW w:w="1857" w:type="dxa"/>
            <w:shd w:val="clear" w:color="auto" w:fill="C6D9F1"/>
            <w:vAlign w:val="center"/>
          </w:tcPr>
          <w:p w:rsidR="008F4806" w:rsidRDefault="004C62B8" w:rsidP="00F56F03">
            <w:pPr>
              <w:pStyle w:val="Tabletext"/>
              <w:keepNext w:val="0"/>
              <w:jc w:val="right"/>
            </w:pPr>
            <w:r>
              <w:t>16</w:t>
            </w:r>
          </w:p>
        </w:tc>
        <w:tc>
          <w:tcPr>
            <w:tcW w:w="1857" w:type="dxa"/>
            <w:shd w:val="clear" w:color="auto" w:fill="C6D9F1"/>
            <w:vAlign w:val="center"/>
          </w:tcPr>
          <w:p w:rsidR="008F4806" w:rsidRDefault="004C62B8" w:rsidP="00F56F03">
            <w:pPr>
              <w:pStyle w:val="Tabletext"/>
              <w:keepNext w:val="0"/>
              <w:jc w:val="right"/>
            </w:pPr>
            <w:r>
              <w:t>25</w:t>
            </w:r>
          </w:p>
        </w:tc>
        <w:tc>
          <w:tcPr>
            <w:tcW w:w="1483" w:type="dxa"/>
            <w:shd w:val="clear" w:color="auto" w:fill="C6D9F1"/>
            <w:vAlign w:val="center"/>
          </w:tcPr>
          <w:p w:rsidR="008F4806" w:rsidRDefault="004C62B8" w:rsidP="00F56F03">
            <w:pPr>
              <w:pStyle w:val="Tabletext"/>
              <w:keepNext w:val="0"/>
              <w:jc w:val="right"/>
            </w:pPr>
            <w:r>
              <w:t>16</w:t>
            </w:r>
          </w:p>
        </w:tc>
        <w:tc>
          <w:tcPr>
            <w:tcW w:w="1468" w:type="dxa"/>
            <w:shd w:val="clear" w:color="auto" w:fill="C6D9F1"/>
            <w:vAlign w:val="center"/>
          </w:tcPr>
          <w:p w:rsidR="008F4806" w:rsidRDefault="004C62B8" w:rsidP="00F56F03">
            <w:pPr>
              <w:pStyle w:val="Tabletext"/>
              <w:keepNext w:val="0"/>
              <w:jc w:val="right"/>
            </w:pPr>
            <w:r>
              <w:t>25</w:t>
            </w:r>
          </w:p>
        </w:tc>
      </w:tr>
      <w:tr w:rsidR="008F4806" w:rsidTr="001C4422">
        <w:trPr>
          <w:cantSplit/>
        </w:trPr>
        <w:tc>
          <w:tcPr>
            <w:tcW w:w="1857" w:type="dxa"/>
            <w:tcBorders>
              <w:bottom w:val="single" w:sz="4" w:space="0" w:color="auto"/>
            </w:tcBorders>
            <w:shd w:val="clear" w:color="auto" w:fill="DBE5F1"/>
          </w:tcPr>
          <w:p w:rsidR="008F4806" w:rsidRDefault="008F4806" w:rsidP="004C62B8">
            <w:pPr>
              <w:pStyle w:val="Tabletext"/>
              <w:keepNext w:val="0"/>
            </w:pPr>
            <w:r>
              <w:t xml:space="preserve">Total </w:t>
            </w:r>
            <w:r w:rsidR="004C62B8">
              <w:t>commencements</w:t>
            </w:r>
          </w:p>
        </w:tc>
        <w:tc>
          <w:tcPr>
            <w:tcW w:w="1857" w:type="dxa"/>
            <w:tcBorders>
              <w:bottom w:val="single" w:sz="4" w:space="0" w:color="auto"/>
            </w:tcBorders>
            <w:shd w:val="clear" w:color="auto" w:fill="DBE5F1"/>
            <w:vAlign w:val="center"/>
          </w:tcPr>
          <w:p w:rsidR="008F4806" w:rsidRDefault="004C62B8" w:rsidP="00F56F03">
            <w:pPr>
              <w:pStyle w:val="Tabletext"/>
              <w:keepNext w:val="0"/>
              <w:jc w:val="right"/>
            </w:pPr>
            <w:r>
              <w:t>593</w:t>
            </w:r>
          </w:p>
        </w:tc>
        <w:tc>
          <w:tcPr>
            <w:tcW w:w="1857" w:type="dxa"/>
            <w:tcBorders>
              <w:bottom w:val="single" w:sz="4" w:space="0" w:color="auto"/>
            </w:tcBorders>
            <w:shd w:val="clear" w:color="auto" w:fill="DBE5F1"/>
            <w:vAlign w:val="center"/>
          </w:tcPr>
          <w:p w:rsidR="008F4806" w:rsidRDefault="004C62B8" w:rsidP="00F56F03">
            <w:pPr>
              <w:pStyle w:val="Tabletext"/>
              <w:keepNext w:val="0"/>
              <w:jc w:val="right"/>
            </w:pPr>
            <w:r>
              <w:t>673</w:t>
            </w:r>
          </w:p>
        </w:tc>
        <w:tc>
          <w:tcPr>
            <w:tcW w:w="1483" w:type="dxa"/>
            <w:tcBorders>
              <w:bottom w:val="single" w:sz="4" w:space="0" w:color="auto"/>
            </w:tcBorders>
            <w:shd w:val="clear" w:color="auto" w:fill="DBE5F1"/>
            <w:vAlign w:val="center"/>
          </w:tcPr>
          <w:p w:rsidR="008F4806" w:rsidRDefault="004C62B8" w:rsidP="00F56F03">
            <w:pPr>
              <w:pStyle w:val="Tabletext"/>
              <w:keepNext w:val="0"/>
              <w:jc w:val="right"/>
            </w:pPr>
            <w:r>
              <w:t>708</w:t>
            </w:r>
          </w:p>
        </w:tc>
        <w:tc>
          <w:tcPr>
            <w:tcW w:w="1468" w:type="dxa"/>
            <w:tcBorders>
              <w:bottom w:val="single" w:sz="4" w:space="0" w:color="auto"/>
            </w:tcBorders>
            <w:shd w:val="clear" w:color="auto" w:fill="DBE5F1"/>
            <w:vAlign w:val="center"/>
          </w:tcPr>
          <w:p w:rsidR="008F4806" w:rsidRDefault="004C62B8" w:rsidP="00F56F03">
            <w:pPr>
              <w:pStyle w:val="Tabletext"/>
              <w:keepNext w:val="0"/>
              <w:jc w:val="right"/>
            </w:pPr>
            <w:r>
              <w:t>577</w:t>
            </w:r>
          </w:p>
        </w:tc>
      </w:tr>
      <w:tr w:rsidR="008F4806" w:rsidTr="001C4422">
        <w:trPr>
          <w:cantSplit/>
        </w:trPr>
        <w:tc>
          <w:tcPr>
            <w:tcW w:w="1857" w:type="dxa"/>
            <w:tcBorders>
              <w:bottom w:val="single" w:sz="4" w:space="0" w:color="auto"/>
            </w:tcBorders>
            <w:shd w:val="clear" w:color="auto" w:fill="C6D9F1"/>
          </w:tcPr>
          <w:p w:rsidR="004C62B8" w:rsidRDefault="008F4806" w:rsidP="004C62B8">
            <w:pPr>
              <w:pStyle w:val="Tabletext"/>
              <w:keepNext w:val="0"/>
            </w:pPr>
            <w:r>
              <w:t xml:space="preserve">Proportion </w:t>
            </w:r>
            <w:r w:rsidR="004C62B8">
              <w:t>who</w:t>
            </w:r>
            <w:r>
              <w:t xml:space="preserve"> are Indigenous  </w:t>
            </w:r>
          </w:p>
          <w:p w:rsidR="008F4806" w:rsidRDefault="008F4806" w:rsidP="004C62B8">
            <w:pPr>
              <w:pStyle w:val="Tabletext"/>
              <w:keepNext w:val="0"/>
            </w:pPr>
            <w:r>
              <w:t>(%</w:t>
            </w:r>
            <w:r w:rsidR="004C62B8">
              <w:t xml:space="preserve"> of total</w:t>
            </w:r>
            <w:r>
              <w:t>)</w:t>
            </w:r>
          </w:p>
        </w:tc>
        <w:tc>
          <w:tcPr>
            <w:tcW w:w="1857" w:type="dxa"/>
            <w:tcBorders>
              <w:bottom w:val="single" w:sz="4" w:space="0" w:color="auto"/>
            </w:tcBorders>
            <w:shd w:val="clear" w:color="auto" w:fill="C6D9F1"/>
            <w:vAlign w:val="center"/>
          </w:tcPr>
          <w:p w:rsidR="008F4806" w:rsidRDefault="004C62B8" w:rsidP="00F56F03">
            <w:pPr>
              <w:pStyle w:val="Tabletext"/>
              <w:keepNext w:val="0"/>
              <w:jc w:val="right"/>
            </w:pPr>
            <w:r>
              <w:t>2.70</w:t>
            </w:r>
          </w:p>
        </w:tc>
        <w:tc>
          <w:tcPr>
            <w:tcW w:w="1857" w:type="dxa"/>
            <w:tcBorders>
              <w:bottom w:val="single" w:sz="4" w:space="0" w:color="auto"/>
            </w:tcBorders>
            <w:shd w:val="clear" w:color="auto" w:fill="C6D9F1"/>
            <w:vAlign w:val="center"/>
          </w:tcPr>
          <w:p w:rsidR="008F4806" w:rsidRDefault="004C62B8" w:rsidP="00F56F03">
            <w:pPr>
              <w:pStyle w:val="Tabletext"/>
              <w:keepNext w:val="0"/>
              <w:jc w:val="right"/>
            </w:pPr>
            <w:r>
              <w:t>3.71</w:t>
            </w:r>
          </w:p>
        </w:tc>
        <w:tc>
          <w:tcPr>
            <w:tcW w:w="1483" w:type="dxa"/>
            <w:tcBorders>
              <w:bottom w:val="single" w:sz="4" w:space="0" w:color="auto"/>
            </w:tcBorders>
            <w:shd w:val="clear" w:color="auto" w:fill="C6D9F1"/>
            <w:vAlign w:val="center"/>
          </w:tcPr>
          <w:p w:rsidR="008F4806" w:rsidRDefault="004C62B8" w:rsidP="00F56F03">
            <w:pPr>
              <w:pStyle w:val="Tabletext"/>
              <w:keepNext w:val="0"/>
              <w:jc w:val="right"/>
            </w:pPr>
            <w:r>
              <w:t>2.26</w:t>
            </w:r>
          </w:p>
        </w:tc>
        <w:tc>
          <w:tcPr>
            <w:tcW w:w="1468" w:type="dxa"/>
            <w:tcBorders>
              <w:bottom w:val="single" w:sz="4" w:space="0" w:color="auto"/>
            </w:tcBorders>
            <w:shd w:val="clear" w:color="auto" w:fill="C6D9F1"/>
            <w:vAlign w:val="center"/>
          </w:tcPr>
          <w:p w:rsidR="008F4806" w:rsidRDefault="004C62B8" w:rsidP="00F56F03">
            <w:pPr>
              <w:pStyle w:val="Tabletext"/>
              <w:keepNext w:val="0"/>
              <w:jc w:val="right"/>
            </w:pPr>
            <w:r>
              <w:t>4.33</w:t>
            </w:r>
          </w:p>
        </w:tc>
      </w:tr>
      <w:tr w:rsidR="004C62B8" w:rsidTr="004C62B8">
        <w:trPr>
          <w:cantSplit/>
        </w:trPr>
        <w:tc>
          <w:tcPr>
            <w:tcW w:w="8522" w:type="dxa"/>
            <w:gridSpan w:val="5"/>
            <w:tcBorders>
              <w:top w:val="single" w:sz="4" w:space="0" w:color="auto"/>
              <w:bottom w:val="nil"/>
            </w:tcBorders>
          </w:tcPr>
          <w:p w:rsidR="004C62B8" w:rsidRDefault="004C62B8" w:rsidP="004C62B8">
            <w:pPr>
              <w:pStyle w:val="Tabletext"/>
              <w:keepNext w:val="0"/>
            </w:pPr>
            <w:r>
              <w:t xml:space="preserve">Source:  ACT Public Service, </w:t>
            </w:r>
            <w:r w:rsidRPr="00D92448">
              <w:rPr>
                <w:i/>
              </w:rPr>
              <w:t>Submission to the Standing Committee on Health, Ageing, Community and Social Services – Inquiry into ACT Public Service Aboriginal and Torres Strait Islander Employment</w:t>
            </w:r>
            <w:r>
              <w:t>, August 2013, p. 18.</w:t>
            </w:r>
          </w:p>
        </w:tc>
      </w:tr>
      <w:tr w:rsidR="008F4806" w:rsidTr="008F4806">
        <w:trPr>
          <w:cantSplit/>
        </w:trPr>
        <w:tc>
          <w:tcPr>
            <w:tcW w:w="8522" w:type="dxa"/>
            <w:gridSpan w:val="5"/>
            <w:tcBorders>
              <w:top w:val="single" w:sz="4" w:space="0" w:color="auto"/>
              <w:bottom w:val="nil"/>
            </w:tcBorders>
          </w:tcPr>
          <w:p w:rsidR="008F4806" w:rsidRDefault="008F4806" w:rsidP="008F4806">
            <w:pPr>
              <w:pStyle w:val="Tabletext"/>
              <w:keepNext w:val="0"/>
            </w:pPr>
            <w:r>
              <w:t xml:space="preserve">Source:  ACT Public Service, </w:t>
            </w:r>
            <w:r w:rsidRPr="00D92448">
              <w:rPr>
                <w:i/>
              </w:rPr>
              <w:t>S</w:t>
            </w:r>
            <w:r>
              <w:rPr>
                <w:i/>
              </w:rPr>
              <w:t>tate of the Service Report – 2013, Canberra, 13 September 2013, pp. 69, 71</w:t>
            </w:r>
            <w:r>
              <w:t>.</w:t>
            </w:r>
          </w:p>
        </w:tc>
      </w:tr>
    </w:tbl>
    <w:p w:rsidR="004C62B8" w:rsidRPr="004C62B8" w:rsidRDefault="00BE50B9" w:rsidP="004C62B8">
      <w:pPr>
        <w:pStyle w:val="Bodytext"/>
        <w:rPr>
          <w:iCs/>
          <w:lang w:val="en-US"/>
        </w:rPr>
      </w:pPr>
      <w:r>
        <w:rPr>
          <w:iCs/>
        </w:rPr>
        <w:tab/>
      </w:r>
      <w:r w:rsidR="004C62B8">
        <w:rPr>
          <w:iCs/>
        </w:rPr>
        <w:t xml:space="preserve">With reference to the data in Table </w:t>
      </w:r>
      <w:r>
        <w:rPr>
          <w:iCs/>
        </w:rPr>
        <w:t>4</w:t>
      </w:r>
      <w:r w:rsidR="004C62B8">
        <w:rPr>
          <w:iCs/>
        </w:rPr>
        <w:t xml:space="preserve">.3, the ACTPS submission states: </w:t>
      </w:r>
    </w:p>
    <w:p w:rsidR="004C62B8" w:rsidRDefault="004C62B8" w:rsidP="004C62B8">
      <w:pPr>
        <w:pStyle w:val="Quote"/>
        <w:rPr>
          <w:lang w:val="en-US"/>
        </w:rPr>
      </w:pPr>
      <w:r w:rsidRPr="004C62B8">
        <w:rPr>
          <w:lang w:val="en-US"/>
        </w:rPr>
        <w:t>Since the launch of the employment strategy, the number of Aboriginal and Torres Strait Islander people recruited to permanent jobs in the ACTPS has increased. This would suggest that in the context of tightening vacancies, agencies are still pursuing the aims of the employment strategy with a level of success.</w:t>
      </w:r>
    </w:p>
    <w:p w:rsidR="006315B6" w:rsidRDefault="004C62B8" w:rsidP="00E96CAB">
      <w:pPr>
        <w:pStyle w:val="Bodytext"/>
        <w:rPr>
          <w:iCs/>
        </w:rPr>
      </w:pPr>
      <w:r>
        <w:rPr>
          <w:iCs/>
        </w:rPr>
        <w:t xml:space="preserve">While the Committee agrees that the proportion of Aboriginal and Torres Strait Islander people recruited to the ACTPS has increased, it has concerns that the recruitment is mainly into lower grade positions and often on a short term rather than permanent basis. </w:t>
      </w:r>
      <w:r w:rsidR="000F041A">
        <w:rPr>
          <w:iCs/>
        </w:rPr>
        <w:t>At the 11</w:t>
      </w:r>
      <w:r w:rsidR="006315B6">
        <w:rPr>
          <w:iCs/>
        </w:rPr>
        <w:t> </w:t>
      </w:r>
      <w:r w:rsidR="000F041A">
        <w:rPr>
          <w:iCs/>
        </w:rPr>
        <w:t xml:space="preserve">December 2013 public hearing, the </w:t>
      </w:r>
      <w:r w:rsidR="00323080">
        <w:rPr>
          <w:iCs/>
        </w:rPr>
        <w:t xml:space="preserve">Elected Body </w:t>
      </w:r>
      <w:r w:rsidR="000F041A">
        <w:rPr>
          <w:iCs/>
        </w:rPr>
        <w:t xml:space="preserve"> claimed </w:t>
      </w:r>
      <w:r w:rsidR="006315B6">
        <w:rPr>
          <w:iCs/>
        </w:rPr>
        <w:t xml:space="preserve">that of all Aboriginal and Torres Strait Islander employees in the ACTPS </w:t>
      </w:r>
      <w:r w:rsidR="000F041A">
        <w:rPr>
          <w:iCs/>
        </w:rPr>
        <w:t xml:space="preserve">30 percent </w:t>
      </w:r>
      <w:r w:rsidR="006315B6">
        <w:rPr>
          <w:iCs/>
        </w:rPr>
        <w:t xml:space="preserve">were </w:t>
      </w:r>
      <w:r w:rsidR="000F041A">
        <w:rPr>
          <w:iCs/>
        </w:rPr>
        <w:t xml:space="preserve">temporary.  </w:t>
      </w:r>
      <w:r w:rsidR="006315B6">
        <w:rPr>
          <w:iCs/>
        </w:rPr>
        <w:t xml:space="preserve"> </w:t>
      </w:r>
    </w:p>
    <w:p w:rsidR="004C62B8" w:rsidRDefault="006315B6" w:rsidP="00E96CAB">
      <w:pPr>
        <w:pStyle w:val="Bodytext"/>
        <w:rPr>
          <w:iCs/>
        </w:rPr>
      </w:pPr>
      <w:r>
        <w:rPr>
          <w:iCs/>
        </w:rPr>
        <w:t>The Committee notes that actual increases in the employment of Aboriginal and Torres Strait Islanders in the ACTPS have not kept pace with the project</w:t>
      </w:r>
      <w:r w:rsidR="00A574D4">
        <w:rPr>
          <w:iCs/>
        </w:rPr>
        <w:t>ed</w:t>
      </w:r>
      <w:r>
        <w:rPr>
          <w:iCs/>
        </w:rPr>
        <w:t xml:space="preserve"> increases in the Employment Strategy</w:t>
      </w:r>
      <w:r w:rsidR="00A574D4">
        <w:rPr>
          <w:iCs/>
        </w:rPr>
        <w:t xml:space="preserve"> which are shown </w:t>
      </w:r>
      <w:r>
        <w:rPr>
          <w:iCs/>
        </w:rPr>
        <w:t>in Figure 2.1.</w:t>
      </w:r>
    </w:p>
    <w:p w:rsidR="006315B6" w:rsidRPr="006315B6" w:rsidRDefault="006315B6" w:rsidP="006315B6">
      <w:pPr>
        <w:pStyle w:val="Bodytext"/>
      </w:pPr>
      <w:r w:rsidRPr="006315B6">
        <w:rPr>
          <w:lang w:val="en-US"/>
        </w:rPr>
        <w:t>The Committee was interested to hear evidence from Dr Kate Barnett, Deputy Director, Australian Workplace Innovation and Research Centre (WISeR) at the University of Adelaide.</w:t>
      </w:r>
      <w:r w:rsidRPr="006315B6">
        <w:rPr>
          <w:rStyle w:val="FootnoteReference"/>
          <w:lang w:val="en-US"/>
        </w:rPr>
        <w:footnoteReference w:id="47"/>
      </w:r>
      <w:r w:rsidRPr="006315B6">
        <w:rPr>
          <w:lang w:val="en-US"/>
        </w:rPr>
        <w:t xml:space="preserve"> Dr Barnett had completed a research project directly relevant to the Committee’s Inquiry. The 2006-07 research project for the Don Dunstan Foundation examined the effectiveness of a South Australian Government strategy to increase the </w:t>
      </w:r>
      <w:r w:rsidR="00A574D4">
        <w:rPr>
          <w:lang w:val="en-US"/>
        </w:rPr>
        <w:t xml:space="preserve">number of </w:t>
      </w:r>
      <w:r w:rsidRPr="006315B6">
        <w:rPr>
          <w:lang w:val="en-US"/>
        </w:rPr>
        <w:t>Aboriginal and Torres Strait Islander employees in the South Australian Public Sector (SAPS).</w:t>
      </w:r>
      <w:r w:rsidRPr="006315B6">
        <w:rPr>
          <w:rStyle w:val="FootnoteReference"/>
          <w:lang w:val="en-US"/>
        </w:rPr>
        <w:footnoteReference w:id="48"/>
      </w:r>
      <w:r w:rsidRPr="006315B6">
        <w:rPr>
          <w:lang w:val="en-US"/>
        </w:rPr>
        <w:t xml:space="preserve">  The target had been to increase the percentage of Indigenous employees in the SAPS from 1.2 percent to 2.0 percent </w:t>
      </w:r>
      <w:r w:rsidR="00A574D4">
        <w:rPr>
          <w:lang w:val="en-US"/>
        </w:rPr>
        <w:t xml:space="preserve">by </w:t>
      </w:r>
      <w:r w:rsidRPr="006315B6">
        <w:rPr>
          <w:lang w:val="en-US"/>
        </w:rPr>
        <w:t>2009.</w:t>
      </w:r>
      <w:r w:rsidRPr="006315B6">
        <w:rPr>
          <w:rStyle w:val="FootnoteReference"/>
          <w:lang w:val="en-US"/>
        </w:rPr>
        <w:footnoteReference w:id="49"/>
      </w:r>
      <w:r w:rsidRPr="006315B6">
        <w:rPr>
          <w:lang w:val="en-US"/>
        </w:rPr>
        <w:t xml:space="preserve"> </w:t>
      </w:r>
    </w:p>
    <w:p w:rsidR="00DD4ED7" w:rsidRDefault="00EF5449" w:rsidP="00DD4ED7">
      <w:pPr>
        <w:pStyle w:val="Bodytext"/>
        <w:rPr>
          <w:lang w:val="en-US"/>
        </w:rPr>
      </w:pPr>
      <w:r>
        <w:t xml:space="preserve">At the 11 December 2013 hearing Dr Kate Barnett explained that </w:t>
      </w:r>
      <w:r w:rsidR="00DD4ED7">
        <w:t xml:space="preserve">the WISeR </w:t>
      </w:r>
      <w:r>
        <w:t xml:space="preserve">research project </w:t>
      </w:r>
      <w:r w:rsidR="00DD4ED7">
        <w:t xml:space="preserve"> had looked at </w:t>
      </w:r>
      <w:r w:rsidRPr="00DD4ED7">
        <w:rPr>
          <w:lang w:val="en-US"/>
        </w:rPr>
        <w:t>types of employment</w:t>
      </w:r>
      <w:r w:rsidR="00DD4ED7" w:rsidRPr="00DD4ED7">
        <w:rPr>
          <w:lang w:val="en-US"/>
        </w:rPr>
        <w:t xml:space="preserve">, </w:t>
      </w:r>
      <w:r w:rsidRPr="00DD4ED7">
        <w:rPr>
          <w:lang w:val="en-US"/>
        </w:rPr>
        <w:t>compar</w:t>
      </w:r>
      <w:r w:rsidR="00DD4ED7">
        <w:rPr>
          <w:lang w:val="en-US"/>
        </w:rPr>
        <w:t>ing</w:t>
      </w:r>
      <w:r w:rsidRPr="00DD4ED7">
        <w:rPr>
          <w:lang w:val="en-US"/>
        </w:rPr>
        <w:t xml:space="preserve"> the </w:t>
      </w:r>
      <w:r w:rsidR="00DD4ED7">
        <w:rPr>
          <w:lang w:val="en-US"/>
        </w:rPr>
        <w:t xml:space="preserve">Indigenous </w:t>
      </w:r>
      <w:r w:rsidRPr="00DD4ED7">
        <w:rPr>
          <w:lang w:val="en-US"/>
        </w:rPr>
        <w:t>workforce with the non-</w:t>
      </w:r>
      <w:r w:rsidR="00DD4ED7">
        <w:rPr>
          <w:lang w:val="en-US"/>
        </w:rPr>
        <w:t xml:space="preserve">Indigenous </w:t>
      </w:r>
      <w:r w:rsidRPr="00DD4ED7">
        <w:rPr>
          <w:lang w:val="en-US"/>
        </w:rPr>
        <w:t>workforce</w:t>
      </w:r>
      <w:r w:rsidR="00DD4ED7">
        <w:rPr>
          <w:lang w:val="en-US"/>
        </w:rPr>
        <w:t xml:space="preserve">: </w:t>
      </w:r>
    </w:p>
    <w:p w:rsidR="00DD4ED7" w:rsidRDefault="00EF5449" w:rsidP="00DD4ED7">
      <w:pPr>
        <w:pStyle w:val="Quote"/>
        <w:rPr>
          <w:lang w:val="en-US"/>
        </w:rPr>
      </w:pPr>
      <w:r w:rsidRPr="00DD4ED7">
        <w:rPr>
          <w:lang w:val="en-US"/>
        </w:rPr>
        <w:t xml:space="preserve">We found that a smaller proportion of Aboriginal people were being employed on an ongoing or permanent basis—around 50 per cent compared to 63.2 per cent for the broader public sector. </w:t>
      </w:r>
      <w:r w:rsidR="00DD4ED7">
        <w:rPr>
          <w:lang w:val="en-US"/>
        </w:rPr>
        <w:t xml:space="preserve"> </w:t>
      </w:r>
      <w:r w:rsidRPr="00DD4ED7">
        <w:rPr>
          <w:lang w:val="en-US"/>
        </w:rPr>
        <w:t>And from 2000 onwards, there had been—and this would be common with public services around the country—reduced ongoing permanent appointments and a move to more contract, fixed, short-term employment. However, for Aboriginal employees, this was much more marked than it was for non-Aboriginal employees. That reduction was in the order of five per cent for Aboriginal employees but for non-Aboriginal employees it was more like one per cent.</w:t>
      </w:r>
    </w:p>
    <w:p w:rsidR="00613761" w:rsidRDefault="00EF5449" w:rsidP="00613761">
      <w:pPr>
        <w:pStyle w:val="Quote"/>
        <w:rPr>
          <w:lang w:val="en-US"/>
        </w:rPr>
      </w:pPr>
      <w:r w:rsidRPr="00D312B0">
        <w:rPr>
          <w:lang w:val="en-US"/>
        </w:rPr>
        <w:t>There had been at the same time a growth in short-term, contract-based employment for both Aboriginal and non-Aboriginal people, but more pronounced for Aboriginal people. Between 2000 and 2006, it increased for Aboriginal people from 21 per cent to 30 per cent of appointments, whereas for non-Aboriginal people there was a growth from 15 per cent to nearly 20 per cent of short-term appointments.</w:t>
      </w:r>
    </w:p>
    <w:p w:rsidR="00613761" w:rsidRDefault="00EF5449" w:rsidP="006F7DE4">
      <w:pPr>
        <w:pStyle w:val="Quote"/>
        <w:rPr>
          <w:lang w:val="en-US"/>
        </w:rPr>
      </w:pPr>
      <w:r w:rsidRPr="00D312B0">
        <w:rPr>
          <w:lang w:val="en-US"/>
        </w:rPr>
        <w:t>When we looked at age, there was a younger age profile among the Aboriginal employees, and we took that into account in our findings. And when we put that together with the greater use of short-term contractual employment, what we found was that for Aboriginal public servants there was a length of service that was much shorter compared with non-Aboriginal employees</w:t>
      </w:r>
      <w:r w:rsidR="00613761">
        <w:rPr>
          <w:lang w:val="en-US"/>
        </w:rPr>
        <w:t>.</w:t>
      </w:r>
      <w:r w:rsidR="00613761">
        <w:rPr>
          <w:rStyle w:val="FootnoteReference"/>
          <w:lang w:val="en-US"/>
        </w:rPr>
        <w:footnoteReference w:id="50"/>
      </w:r>
    </w:p>
    <w:p w:rsidR="006315B6" w:rsidRPr="006F7DE4" w:rsidRDefault="006315B6" w:rsidP="006315B6">
      <w:pPr>
        <w:pStyle w:val="Bodytext"/>
        <w:rPr>
          <w:lang w:val="en-US"/>
        </w:rPr>
      </w:pPr>
      <w:r>
        <w:rPr>
          <w:lang w:val="en-US"/>
        </w:rPr>
        <w:t>While the Committee is will</w:t>
      </w:r>
      <w:r w:rsidR="00A574D4">
        <w:rPr>
          <w:lang w:val="en-US"/>
        </w:rPr>
        <w:t>ing</w:t>
      </w:r>
      <w:r>
        <w:rPr>
          <w:lang w:val="en-US"/>
        </w:rPr>
        <w:t xml:space="preserve"> to accept there have been </w:t>
      </w:r>
      <w:r w:rsidR="00D84B34">
        <w:rPr>
          <w:lang w:val="en-US"/>
        </w:rPr>
        <w:t xml:space="preserve">changes in the wider workforce towards more contract and temporary work, the ACTPS has not been able to </w:t>
      </w:r>
      <w:r w:rsidR="00634DDA">
        <w:rPr>
          <w:lang w:val="en-US"/>
        </w:rPr>
        <w:t>present</w:t>
      </w:r>
      <w:r w:rsidR="00D84B34">
        <w:rPr>
          <w:lang w:val="en-US"/>
        </w:rPr>
        <w:t xml:space="preserve"> any evidence that explains the situation in the ACTPS.  The Committee notes the Employment Strategy and the ACTPS submission </w:t>
      </w:r>
      <w:r w:rsidR="00924F37">
        <w:rPr>
          <w:lang w:val="en-US"/>
        </w:rPr>
        <w:t>use ‘</w:t>
      </w:r>
      <w:r w:rsidR="00D84B34">
        <w:rPr>
          <w:lang w:val="en-US"/>
        </w:rPr>
        <w:t>headcount</w:t>
      </w:r>
      <w:r w:rsidR="00924F37">
        <w:rPr>
          <w:lang w:val="en-US"/>
        </w:rPr>
        <w:t>s’,</w:t>
      </w:r>
      <w:r w:rsidR="00D84B34">
        <w:rPr>
          <w:lang w:val="en-US"/>
        </w:rPr>
        <w:t xml:space="preserve"> which include temporary and contract employees.  The more important outcome is an increase in the number of Aboriginal and Torres Strait Islander people who are employed in permanent roles.  </w:t>
      </w:r>
    </w:p>
    <w:p w:rsidR="006F7DE4" w:rsidRPr="006F7DE4" w:rsidRDefault="006F7DE4" w:rsidP="00234973">
      <w:pPr>
        <w:pStyle w:val="Headinglevel2"/>
      </w:pPr>
      <w:bookmarkStart w:id="66" w:name="_Toc383615035"/>
      <w:r>
        <w:t>Actions</w:t>
      </w:r>
      <w:bookmarkEnd w:id="66"/>
      <w:r>
        <w:t xml:space="preserve"> </w:t>
      </w:r>
    </w:p>
    <w:p w:rsidR="00E96CAB" w:rsidRPr="008F4806" w:rsidRDefault="00E96CAB" w:rsidP="00E96CAB">
      <w:pPr>
        <w:pStyle w:val="Bodytext"/>
        <w:rPr>
          <w:iCs/>
        </w:rPr>
      </w:pPr>
      <w:r>
        <w:t>The ACTPS submission states that, ‘</w:t>
      </w:r>
      <w:r w:rsidRPr="008F4806">
        <w:rPr>
          <w:iCs/>
        </w:rPr>
        <w:t>The take-up of attraction and retention initiatives has been supported at all levels across the Service’.</w:t>
      </w:r>
      <w:r>
        <w:rPr>
          <w:rStyle w:val="FootnoteReference"/>
          <w:iCs/>
        </w:rPr>
        <w:footnoteReference w:id="51"/>
      </w:r>
      <w:r w:rsidRPr="008F4806">
        <w:rPr>
          <w:iCs/>
        </w:rPr>
        <w:t xml:space="preserve">  Examples of actions</w:t>
      </w:r>
      <w:r w:rsidR="006F7DE4">
        <w:rPr>
          <w:iCs/>
        </w:rPr>
        <w:t xml:space="preserve"> to implement attraction elements</w:t>
      </w:r>
      <w:r w:rsidRPr="008F4806">
        <w:rPr>
          <w:iCs/>
        </w:rPr>
        <w:t xml:space="preserve"> include: </w:t>
      </w:r>
    </w:p>
    <w:p w:rsidR="00E96CAB" w:rsidRDefault="00E96CAB" w:rsidP="00A146E9">
      <w:pPr>
        <w:pStyle w:val="ListBullet"/>
      </w:pPr>
      <w:r>
        <w:t xml:space="preserve">the creation of identified positions; </w:t>
      </w:r>
    </w:p>
    <w:p w:rsidR="00743520" w:rsidRDefault="00F1484D" w:rsidP="00A146E9">
      <w:pPr>
        <w:pStyle w:val="ListBullet"/>
      </w:pPr>
      <w:r>
        <w:t xml:space="preserve">recruitment </w:t>
      </w:r>
      <w:r w:rsidR="00E96CAB">
        <w:t>initiatives;</w:t>
      </w:r>
    </w:p>
    <w:p w:rsidR="00E96CAB" w:rsidRDefault="00743520" w:rsidP="00A146E9">
      <w:pPr>
        <w:pStyle w:val="ListBullet"/>
      </w:pPr>
      <w:r>
        <w:t>recruitment guidelines;</w:t>
      </w:r>
      <w:r w:rsidR="00E96CAB">
        <w:t xml:space="preserve"> and</w:t>
      </w:r>
    </w:p>
    <w:p w:rsidR="00333832" w:rsidRDefault="00E96CAB" w:rsidP="00A146E9">
      <w:pPr>
        <w:pStyle w:val="ListBullet"/>
      </w:pPr>
      <w:r>
        <w:t xml:space="preserve">entry level programs. </w:t>
      </w:r>
    </w:p>
    <w:p w:rsidR="00D84B34" w:rsidRDefault="00D84B34" w:rsidP="00D84B34">
      <w:pPr>
        <w:pStyle w:val="Bodytext"/>
      </w:pPr>
      <w:r>
        <w:t xml:space="preserve">The elements are considered below. </w:t>
      </w:r>
    </w:p>
    <w:p w:rsidR="00333832" w:rsidRDefault="00E96CAB" w:rsidP="00D35FCB">
      <w:pPr>
        <w:pStyle w:val="Headinglevel2"/>
      </w:pPr>
      <w:bookmarkStart w:id="67" w:name="_Toc383615036"/>
      <w:r>
        <w:t xml:space="preserve">Identified </w:t>
      </w:r>
      <w:r w:rsidR="00C95E47">
        <w:t>p</w:t>
      </w:r>
      <w:r>
        <w:t>ositions</w:t>
      </w:r>
      <w:bookmarkEnd w:id="67"/>
    </w:p>
    <w:p w:rsidR="00C35997" w:rsidRPr="00C35997" w:rsidRDefault="00C35997" w:rsidP="00C35997">
      <w:pPr>
        <w:pStyle w:val="Bodytext"/>
      </w:pPr>
      <w:r>
        <w:t xml:space="preserve">An ‘Identified Position’ is one </w:t>
      </w:r>
      <w:r w:rsidRPr="00C35997">
        <w:t xml:space="preserve">with specific selection criteria that signify that the role has a strong involvement in issues relating to Aboriginal and Torres Strait Islander people. </w:t>
      </w:r>
      <w:r>
        <w:t xml:space="preserve"> Such roles will typically </w:t>
      </w:r>
      <w:r w:rsidRPr="00C35997">
        <w:t>involve the development of policies or programs targeted at Aboriginal and/or Torres Strait Islander clients, or which involve direct interaction with Aboriginal and/or Torres Strait Islander communities.</w:t>
      </w:r>
    </w:p>
    <w:p w:rsidR="00E96CAB" w:rsidRPr="00E96CAB" w:rsidRDefault="00E96CAB" w:rsidP="00C35997">
      <w:pPr>
        <w:pStyle w:val="Bodytext"/>
      </w:pPr>
      <w:r w:rsidRPr="00E96CAB">
        <w:t xml:space="preserve">In conjunction with the release of the </w:t>
      </w:r>
      <w:r w:rsidR="00C35997">
        <w:t>Employment Strategy</w:t>
      </w:r>
      <w:r w:rsidRPr="00E96CAB">
        <w:t xml:space="preserve"> amendments were made to the </w:t>
      </w:r>
      <w:r w:rsidRPr="00C35997">
        <w:rPr>
          <w:i/>
        </w:rPr>
        <w:t>Public Sector Management Standards 2006</w:t>
      </w:r>
      <w:r w:rsidR="00C35997" w:rsidRPr="00C35997">
        <w:rPr>
          <w:i/>
        </w:rPr>
        <w:t xml:space="preserve"> </w:t>
      </w:r>
      <w:r w:rsidR="00C35997">
        <w:t xml:space="preserve"> (which is issued under the </w:t>
      </w:r>
      <w:r w:rsidR="00C35997" w:rsidRPr="00C35997">
        <w:rPr>
          <w:i/>
        </w:rPr>
        <w:t>Public Sector Management Act 1994)</w:t>
      </w:r>
      <w:r w:rsidR="00C35997">
        <w:t xml:space="preserve"> </w:t>
      </w:r>
      <w:r w:rsidRPr="00E96CAB">
        <w:t xml:space="preserve">to allow for the </w:t>
      </w:r>
      <w:r w:rsidR="00C35997">
        <w:t xml:space="preserve">creation and use of </w:t>
      </w:r>
      <w:r w:rsidRPr="00E96CAB">
        <w:t>identification of positions</w:t>
      </w:r>
      <w:r w:rsidR="00C35997">
        <w:t xml:space="preserve">.  The ACTPS submission states:  </w:t>
      </w:r>
    </w:p>
    <w:p w:rsidR="00E96CAB" w:rsidRPr="00C35997" w:rsidRDefault="00E96CAB" w:rsidP="00C35997">
      <w:pPr>
        <w:pStyle w:val="Quote"/>
      </w:pPr>
      <w:r w:rsidRPr="00E96CAB">
        <w:t xml:space="preserve">Similar </w:t>
      </w:r>
      <w:r>
        <w:t xml:space="preserve">to </w:t>
      </w:r>
      <w:r w:rsidRPr="00E96CAB">
        <w:t>vacancies that require</w:t>
      </w:r>
      <w:r>
        <w:t xml:space="preserve"> a</w:t>
      </w:r>
      <w:r w:rsidRPr="00E96CAB">
        <w:t xml:space="preserve"> mandatory qualification, identified positions</w:t>
      </w:r>
      <w:r>
        <w:t xml:space="preserve"> are</w:t>
      </w:r>
      <w:r w:rsidRPr="00E96CAB">
        <w:t xml:space="preserve"> exclusively provided</w:t>
      </w:r>
      <w:r>
        <w:t xml:space="preserve"> </w:t>
      </w:r>
      <w:r w:rsidRPr="00E96CAB">
        <w:t>for people</w:t>
      </w:r>
      <w:r>
        <w:t xml:space="preserve"> </w:t>
      </w:r>
      <w:r w:rsidRPr="00E96CAB">
        <w:t>who</w:t>
      </w:r>
      <w:r>
        <w:t xml:space="preserve"> </w:t>
      </w:r>
      <w:r w:rsidRPr="00E96CAB">
        <w:t>identify</w:t>
      </w:r>
      <w:r>
        <w:t xml:space="preserve"> as </w:t>
      </w:r>
      <w:r w:rsidRPr="00E96CAB">
        <w:t>Aboriginal</w:t>
      </w:r>
      <w:r>
        <w:t xml:space="preserve"> </w:t>
      </w:r>
      <w:r w:rsidRPr="00E96CAB">
        <w:t xml:space="preserve">and/or Torres Strait Islander, </w:t>
      </w:r>
      <w:r>
        <w:t>or</w:t>
      </w:r>
      <w:r w:rsidRPr="00E96CAB">
        <w:t xml:space="preserve"> </w:t>
      </w:r>
      <w:r>
        <w:t>as</w:t>
      </w:r>
      <w:r w:rsidRPr="00E96CAB">
        <w:t xml:space="preserve"> </w:t>
      </w:r>
      <w:r>
        <w:t xml:space="preserve">a </w:t>
      </w:r>
      <w:r w:rsidRPr="00E96CAB">
        <w:t xml:space="preserve">person with disability. </w:t>
      </w:r>
      <w:r>
        <w:t>It</w:t>
      </w:r>
      <w:r w:rsidRPr="00E96CAB">
        <w:t xml:space="preserve"> is important </w:t>
      </w:r>
      <w:r>
        <w:t>to</w:t>
      </w:r>
      <w:r w:rsidRPr="00E96CAB">
        <w:t xml:space="preserve"> note that these identified</w:t>
      </w:r>
      <w:r>
        <w:t xml:space="preserve"> </w:t>
      </w:r>
      <w:r w:rsidRPr="00E96CAB">
        <w:t xml:space="preserve">positions </w:t>
      </w:r>
      <w:r>
        <w:t>are</w:t>
      </w:r>
      <w:r w:rsidRPr="00E96CAB">
        <w:t xml:space="preserve"> not limited</w:t>
      </w:r>
      <w:r>
        <w:t xml:space="preserve"> to</w:t>
      </w:r>
      <w:r w:rsidRPr="00E96CAB">
        <w:t xml:space="preserve"> entry level positions or </w:t>
      </w:r>
      <w:r>
        <w:t>to</w:t>
      </w:r>
      <w:r w:rsidRPr="00E96CAB">
        <w:t xml:space="preserve"> </w:t>
      </w:r>
      <w:r>
        <w:t>jobs</w:t>
      </w:r>
      <w:r w:rsidRPr="00E96CAB">
        <w:t xml:space="preserve"> where</w:t>
      </w:r>
      <w:r>
        <w:t xml:space="preserve"> the</w:t>
      </w:r>
      <w:r w:rsidRPr="00E96CAB">
        <w:t xml:space="preserve"> </w:t>
      </w:r>
      <w:r>
        <w:t>key</w:t>
      </w:r>
      <w:r w:rsidRPr="00E96CAB">
        <w:t xml:space="preserve"> duties involve</w:t>
      </w:r>
      <w:r>
        <w:t xml:space="preserve"> </w:t>
      </w:r>
      <w:r w:rsidRPr="00E96CAB">
        <w:t>working</w:t>
      </w:r>
      <w:r>
        <w:t xml:space="preserve"> </w:t>
      </w:r>
      <w:r w:rsidRPr="00E96CAB">
        <w:t>with</w:t>
      </w:r>
      <w:r>
        <w:t xml:space="preserve"> </w:t>
      </w:r>
      <w:r w:rsidRPr="00E96CAB">
        <w:t>Aboriginal</w:t>
      </w:r>
      <w:r>
        <w:t xml:space="preserve"> </w:t>
      </w:r>
      <w:r w:rsidRPr="00E96CAB">
        <w:t>and Torres Strait Islander people</w:t>
      </w:r>
      <w:r>
        <w:t xml:space="preserve"> or</w:t>
      </w:r>
      <w:r w:rsidRPr="00E96CAB">
        <w:t xml:space="preserve"> people</w:t>
      </w:r>
      <w:r>
        <w:t xml:space="preserve"> </w:t>
      </w:r>
      <w:r w:rsidRPr="00E96CAB">
        <w:t>with disability.</w:t>
      </w:r>
    </w:p>
    <w:p w:rsidR="00E96CAB" w:rsidRDefault="00E96CAB" w:rsidP="00C35997">
      <w:pPr>
        <w:pStyle w:val="Quote"/>
      </w:pPr>
      <w:r w:rsidRPr="00E96CAB">
        <w:t>Since the amendments came into effect, 18 identified positions have been created across the ACTPS. Indications from directorates are that identified positions are likely to increase as they have been successful in attracting larger fields of Aboriginal and Torres Strait Islander</w:t>
      </w:r>
      <w:r w:rsidRPr="00C35997">
        <w:t xml:space="preserve"> candidates.</w:t>
      </w:r>
      <w:r w:rsidR="00C95E47">
        <w:rPr>
          <w:rStyle w:val="FootnoteReference"/>
        </w:rPr>
        <w:footnoteReference w:id="52"/>
      </w:r>
    </w:p>
    <w:p w:rsidR="009B237D" w:rsidRDefault="009B237D" w:rsidP="009B237D">
      <w:pPr>
        <w:pStyle w:val="Bodytext"/>
      </w:pPr>
      <w:r>
        <w:t xml:space="preserve">The Committee notes that 18 Identified Positions have been created across the ACTPS and endorses the use of such positions for achieving the outcomes in the Employment Strategy.  The Committee also notes that these positions appear to be at lower classification levels. </w:t>
      </w:r>
    </w:p>
    <w:p w:rsidR="00D84B34" w:rsidRDefault="00D84B34" w:rsidP="00D84B34">
      <w:pPr>
        <w:pStyle w:val="Headinglevel3"/>
      </w:pPr>
      <w:r>
        <w:t>Role models</w:t>
      </w:r>
    </w:p>
    <w:p w:rsidR="009B237D" w:rsidRDefault="009B237D" w:rsidP="009B237D">
      <w:pPr>
        <w:pStyle w:val="Bodytext"/>
      </w:pPr>
      <w:r>
        <w:t xml:space="preserve">During the Inquiry the Committee heard evidence from various witnesses about the need for role models and more senior managers who identify as Aboriginal and Torres Strait Islanders.   </w:t>
      </w:r>
      <w:r w:rsidR="00D84B34">
        <w:t>In this context t</w:t>
      </w:r>
      <w:r>
        <w:t xml:space="preserve">he Committee </w:t>
      </w:r>
      <w:r w:rsidR="00760BE7">
        <w:t xml:space="preserve">notes that the appointment of Ms Robyn Forester to the position of Director of the Office of Aboriginal and Torres Strait Islander Affairs.   </w:t>
      </w:r>
      <w:r w:rsidR="0023103F">
        <w:t xml:space="preserve">While not the first Indigenous person to hold a senior executive role in the ACTPS, based </w:t>
      </w:r>
      <w:r w:rsidR="00760BE7">
        <w:t xml:space="preserve">on the evidence presented to the Committee she is the only member of the ACTPS Senior Executive Service (SES) who identifies as </w:t>
      </w:r>
      <w:r w:rsidR="004D3786">
        <w:t>being Aboriginal</w:t>
      </w:r>
      <w:r w:rsidR="00760BE7">
        <w:t xml:space="preserve"> and Torres Strait Islander.   </w:t>
      </w:r>
      <w:r w:rsidR="0023103F">
        <w:t xml:space="preserve">Her appointment </w:t>
      </w:r>
      <w:r w:rsidR="00760BE7">
        <w:t>it is a significant milestone for the ACTPS and the Employment Strategy</w:t>
      </w:r>
      <w:r w:rsidR="0023103F">
        <w:t xml:space="preserve"> but she is one of 197 senior executives in the ACTPS.   I</w:t>
      </w:r>
      <w:r w:rsidR="004D3786">
        <w:t xml:space="preserve">n </w:t>
      </w:r>
      <w:r w:rsidR="00760BE7">
        <w:t>percentage</w:t>
      </w:r>
      <w:r w:rsidR="0023103F">
        <w:t xml:space="preserve"> terms</w:t>
      </w:r>
      <w:r w:rsidR="00760BE7">
        <w:t xml:space="preserve">, one </w:t>
      </w:r>
      <w:r w:rsidR="008B713C">
        <w:t xml:space="preserve">SES officer is </w:t>
      </w:r>
      <w:r w:rsidR="0023103F">
        <w:t xml:space="preserve">0.5 percent </w:t>
      </w:r>
      <w:r w:rsidR="008B713C">
        <w:t xml:space="preserve">of the total </w:t>
      </w:r>
      <w:r w:rsidR="0023103F">
        <w:t>number of senior executives in the ACTPS.</w:t>
      </w:r>
      <w:r w:rsidR="008B713C">
        <w:t xml:space="preserve">  </w:t>
      </w:r>
      <w:r w:rsidR="0023103F">
        <w:t xml:space="preserve">The Committee is of the view that this </w:t>
      </w:r>
      <w:r w:rsidR="008B713C">
        <w:t>percentage should be at least 2</w:t>
      </w:r>
      <w:r w:rsidR="0023103F">
        <w:t>.0</w:t>
      </w:r>
      <w:r w:rsidR="008B713C">
        <w:t xml:space="preserve"> percent Aboriginal and Torres Strait Islander employees </w:t>
      </w:r>
    </w:p>
    <w:p w:rsidR="0023103F" w:rsidRDefault="002B6018" w:rsidP="004D3786">
      <w:pPr>
        <w:pStyle w:val="Bodytext"/>
      </w:pPr>
      <w:r>
        <w:t>The</w:t>
      </w:r>
      <w:r w:rsidR="00760BE7">
        <w:t xml:space="preserve"> Committee believes that the Employment Strategy should be amended to ensure there is more representation at the </w:t>
      </w:r>
      <w:r w:rsidR="00181482">
        <w:t xml:space="preserve">most senior levels </w:t>
      </w:r>
      <w:r w:rsidR="00760BE7">
        <w:t xml:space="preserve">of the ACTPS.   </w:t>
      </w:r>
      <w:r w:rsidR="0023103F">
        <w:t xml:space="preserve">Any </w:t>
      </w:r>
      <w:r w:rsidR="00181482">
        <w:t xml:space="preserve">such </w:t>
      </w:r>
      <w:r w:rsidR="00760BE7">
        <w:t xml:space="preserve">appointment must be merit based and </w:t>
      </w:r>
      <w:r w:rsidR="0023103F">
        <w:t xml:space="preserve">this may </w:t>
      </w:r>
      <w:r w:rsidR="00760BE7">
        <w:t>involve recruiting from outside of the ACT</w:t>
      </w:r>
      <w:r w:rsidR="00181482">
        <w:t xml:space="preserve">.  It could be done as a secondment or as a standard contract.  </w:t>
      </w:r>
      <w:r w:rsidR="008B713C">
        <w:t>The</w:t>
      </w:r>
      <w:r w:rsidR="00181482">
        <w:t xml:space="preserve"> Committee notes that the </w:t>
      </w:r>
      <w:r w:rsidR="008B713C">
        <w:t xml:space="preserve">ACT Government has already </w:t>
      </w:r>
      <w:r w:rsidR="00181482">
        <w:t xml:space="preserve">recruited externally </w:t>
      </w:r>
      <w:r w:rsidR="008B713C">
        <w:t xml:space="preserve">in relation to Capital Metro.  </w:t>
      </w:r>
    </w:p>
    <w:p w:rsidR="0023103F" w:rsidRPr="003C4774" w:rsidRDefault="0023103F" w:rsidP="0023103F">
      <w:pPr>
        <w:pStyle w:val="Recommendation"/>
      </w:pPr>
      <w:bookmarkStart w:id="68" w:name="_Toc384024359"/>
      <w:bookmarkEnd w:id="68"/>
    </w:p>
    <w:p w:rsidR="0023103F" w:rsidRPr="003C4774" w:rsidRDefault="0023103F" w:rsidP="003C4774">
      <w:pPr>
        <w:pStyle w:val="RecommendationText"/>
      </w:pPr>
      <w:bookmarkStart w:id="69" w:name="_Toc384024360"/>
      <w:r w:rsidRPr="003C4774">
        <w:t xml:space="preserve">The Committee recommends that the </w:t>
      </w:r>
      <w:r w:rsidRPr="003C4774">
        <w:rPr>
          <w:i/>
        </w:rPr>
        <w:t>A</w:t>
      </w:r>
      <w:r w:rsidR="003C4774">
        <w:rPr>
          <w:i/>
        </w:rPr>
        <w:t xml:space="preserve">CT Public Service </w:t>
      </w:r>
      <w:r w:rsidRPr="003C4774">
        <w:rPr>
          <w:i/>
        </w:rPr>
        <w:t>Employment Strategy for Aboriginal and Torres Strait Islander people</w:t>
      </w:r>
      <w:r w:rsidRPr="003C4774">
        <w:t xml:space="preserve"> be amended </w:t>
      </w:r>
      <w:r w:rsidR="003C4774">
        <w:t xml:space="preserve">with a view </w:t>
      </w:r>
      <w:r w:rsidRPr="003C4774">
        <w:t xml:space="preserve">to </w:t>
      </w:r>
      <w:r w:rsidR="003C4774">
        <w:t>incorporating a plan to recruit and retain suitably qualified Aboriginal and Torres Strait Islander senior executives in the ACT Public Service.</w:t>
      </w:r>
      <w:bookmarkEnd w:id="69"/>
    </w:p>
    <w:p w:rsidR="00333832" w:rsidRDefault="00F1484D" w:rsidP="00D35FCB">
      <w:pPr>
        <w:pStyle w:val="Headinglevel2"/>
      </w:pPr>
      <w:bookmarkStart w:id="70" w:name="_Toc383615037"/>
      <w:r>
        <w:t>Recruitment initiatives</w:t>
      </w:r>
      <w:bookmarkEnd w:id="70"/>
      <w:r>
        <w:t xml:space="preserve"> </w:t>
      </w:r>
    </w:p>
    <w:p w:rsidR="00743520" w:rsidRDefault="00743520" w:rsidP="00C95E47">
      <w:pPr>
        <w:pStyle w:val="Bodytext"/>
      </w:pPr>
      <w:r>
        <w:t xml:space="preserve">The ACTPS submission states: </w:t>
      </w:r>
    </w:p>
    <w:p w:rsidR="00C95E47" w:rsidRDefault="00C95E47" w:rsidP="00743520">
      <w:pPr>
        <w:pStyle w:val="Quote"/>
      </w:pPr>
      <w:r>
        <w:t xml:space="preserve">Apart from identified positions, agencies have also implemented more targeted measures to attract more Aboriginal and Torres Strait Islander candidates, such as advertising in dedicated publications such as the </w:t>
      </w:r>
      <w:r w:rsidRPr="00C95E47">
        <w:rPr>
          <w:i/>
        </w:rPr>
        <w:t>Koori Mail</w:t>
      </w:r>
      <w:r>
        <w:t>, and forming links with the community to increase awareness of opportunities within the ACTPS.</w:t>
      </w:r>
      <w:r w:rsidR="00743520">
        <w:rPr>
          <w:rStyle w:val="FootnoteReference"/>
        </w:rPr>
        <w:footnoteReference w:id="53"/>
      </w:r>
    </w:p>
    <w:p w:rsidR="00861171" w:rsidRDefault="00743520" w:rsidP="00743520">
      <w:pPr>
        <w:pStyle w:val="Bodytext"/>
      </w:pPr>
      <w:r>
        <w:t xml:space="preserve">The Committee endorses </w:t>
      </w:r>
      <w:r w:rsidR="001053AD">
        <w:t xml:space="preserve">such </w:t>
      </w:r>
      <w:r>
        <w:t xml:space="preserve">targeted measures and notes that in the case of the </w:t>
      </w:r>
      <w:r>
        <w:rPr>
          <w:i/>
        </w:rPr>
        <w:t>Koor</w:t>
      </w:r>
      <w:r w:rsidR="002B6018">
        <w:rPr>
          <w:i/>
        </w:rPr>
        <w:t>i </w:t>
      </w:r>
      <w:r>
        <w:rPr>
          <w:i/>
        </w:rPr>
        <w:t>Mail</w:t>
      </w:r>
      <w:r>
        <w:t>, the readership is more than 100,000 people.</w:t>
      </w:r>
      <w:r w:rsidR="000F2D86">
        <w:rPr>
          <w:rStyle w:val="FootnoteReference"/>
        </w:rPr>
        <w:footnoteReference w:id="54"/>
      </w:r>
      <w:r w:rsidR="00CB1E9B">
        <w:t xml:space="preserve">  </w:t>
      </w:r>
      <w:r w:rsidR="00481E7E">
        <w:t>Of particular interest to the Committee was the importance of non-traditional ways of recruiting Aboriginal and Torres Strait Islander</w:t>
      </w:r>
      <w:r w:rsidR="001053AD">
        <w:t> </w:t>
      </w:r>
      <w:r w:rsidR="00481E7E">
        <w:t xml:space="preserve">people. </w:t>
      </w:r>
      <w:r w:rsidR="001053AD">
        <w:t xml:space="preserve"> The Committee was mindful that tradition</w:t>
      </w:r>
      <w:r w:rsidR="00E419EF">
        <w:t>al</w:t>
      </w:r>
      <w:r w:rsidR="001053AD">
        <w:t xml:space="preserve"> approaches had limited success in attracting applicants who were Aboriginal and Torres Strait Islander people. </w:t>
      </w:r>
    </w:p>
    <w:p w:rsidR="00743520" w:rsidRDefault="00861171" w:rsidP="00743520">
      <w:pPr>
        <w:pStyle w:val="Bodytext"/>
      </w:pPr>
      <w:r>
        <w:t xml:space="preserve"> At the 11 December 2013 public hearing, the Director of the Office of Aboriginal and Torres Strait Islander Affairs in the ACTPS, Ms Robyn Forester, told the Committee: </w:t>
      </w:r>
    </w:p>
    <w:p w:rsidR="00861171" w:rsidRDefault="00861171" w:rsidP="00861171">
      <w:pPr>
        <w:pStyle w:val="Quote"/>
        <w:rPr>
          <w:lang w:val="en-US"/>
        </w:rPr>
      </w:pPr>
      <w:r>
        <w:rPr>
          <w:lang w:val="en-US"/>
        </w:rPr>
        <w:t xml:space="preserve">… </w:t>
      </w:r>
      <w:r w:rsidRPr="00E7292F">
        <w:rPr>
          <w:lang w:val="en-US"/>
        </w:rPr>
        <w:t xml:space="preserve">word of mouth is a powerful tool for humans, full stop. But I think the opportunities that Aboriginal and Torres Strait Islander people have is that we are a very connected community. We do talk a lot to each other and we listen to what people have to say about an </w:t>
      </w:r>
      <w:r w:rsidRPr="002C181C">
        <w:rPr>
          <w:lang w:val="en-US"/>
        </w:rPr>
        <w:t xml:space="preserve">organization. </w:t>
      </w:r>
    </w:p>
    <w:p w:rsidR="006D4D1D" w:rsidRPr="006D4D1D" w:rsidRDefault="00861171" w:rsidP="00181482">
      <w:pPr>
        <w:pStyle w:val="Bodytext"/>
      </w:pPr>
      <w:r w:rsidRPr="002C181C">
        <w:rPr>
          <w:lang w:val="en-US"/>
        </w:rPr>
        <w:t xml:space="preserve">At the same hearing, </w:t>
      </w:r>
      <w:r w:rsidR="002C181C">
        <w:rPr>
          <w:lang w:val="en-US"/>
        </w:rPr>
        <w:t xml:space="preserve">about recruitment initiatives in the South Australian public sector. The Deputy Director of WISeR, </w:t>
      </w:r>
      <w:r w:rsidR="006D4D1D" w:rsidRPr="002C181C">
        <w:rPr>
          <w:lang w:val="en-US"/>
        </w:rPr>
        <w:t>Dr</w:t>
      </w:r>
      <w:r w:rsidR="002C181C">
        <w:rPr>
          <w:lang w:val="en-US"/>
        </w:rPr>
        <w:t xml:space="preserve"> Kate </w:t>
      </w:r>
      <w:r w:rsidR="006D4D1D" w:rsidRPr="002C181C">
        <w:rPr>
          <w:lang w:val="en-US"/>
        </w:rPr>
        <w:t>Barnet</w:t>
      </w:r>
      <w:r w:rsidR="00100214">
        <w:rPr>
          <w:lang w:val="en-US"/>
        </w:rPr>
        <w:t>t</w:t>
      </w:r>
      <w:r w:rsidR="002C181C">
        <w:rPr>
          <w:lang w:val="en-US"/>
        </w:rPr>
        <w:t>,</w:t>
      </w:r>
      <w:r w:rsidR="006D4D1D" w:rsidRPr="002C181C">
        <w:rPr>
          <w:lang w:val="en-US"/>
        </w:rPr>
        <w:t xml:space="preserve"> said: </w:t>
      </w:r>
    </w:p>
    <w:p w:rsidR="006D4D1D" w:rsidRPr="007200B3" w:rsidRDefault="006D4D1D" w:rsidP="006D4D1D">
      <w:pPr>
        <w:pStyle w:val="Quote"/>
        <w:rPr>
          <w:lang w:val="en-US"/>
        </w:rPr>
      </w:pPr>
      <w:r w:rsidRPr="007200B3">
        <w:rPr>
          <w:lang w:val="en-US"/>
        </w:rPr>
        <w:t>As to improving the recruitment process, we asked people, of course, to talk about what they would do to make things easier. And those who had kind of hurdled a lot of these barriers said that what had made it easier for them was knowing someone in the unit where the decision was based—and I guess that is something that applies to everyone, Aboriginal and non-Aboriginal—having a selection panel that included at least one Aboriginal person, having members on the selection panels who clearly were sensitive to the needs of Aboriginal people and to Aboriginal issues and for the Aboriginal person being well informed about the position itself and about the public</w:t>
      </w:r>
      <w:r>
        <w:rPr>
          <w:lang w:val="en-US"/>
        </w:rPr>
        <w:t xml:space="preserve"> </w:t>
      </w:r>
      <w:r w:rsidRPr="007200B3">
        <w:rPr>
          <w:lang w:val="en-US"/>
        </w:rPr>
        <w:t>sector as a whole.</w:t>
      </w:r>
      <w:r>
        <w:rPr>
          <w:lang w:val="en-US"/>
        </w:rPr>
        <w:t xml:space="preserve">  </w:t>
      </w:r>
    </w:p>
    <w:p w:rsidR="00E419EF" w:rsidRDefault="00E419EF" w:rsidP="006D4D1D">
      <w:pPr>
        <w:pStyle w:val="Quote"/>
        <w:rPr>
          <w:lang w:val="en-US"/>
        </w:rPr>
      </w:pPr>
    </w:p>
    <w:p w:rsidR="00E419EF" w:rsidRDefault="00E419EF" w:rsidP="006D4D1D">
      <w:pPr>
        <w:pStyle w:val="Quote"/>
        <w:rPr>
          <w:lang w:val="en-US"/>
        </w:rPr>
      </w:pPr>
    </w:p>
    <w:p w:rsidR="006D4D1D" w:rsidRDefault="006D4D1D" w:rsidP="006D4D1D">
      <w:pPr>
        <w:pStyle w:val="Quote"/>
        <w:rPr>
          <w:lang w:val="en-US"/>
        </w:rPr>
      </w:pPr>
      <w:r w:rsidRPr="007200B3">
        <w:rPr>
          <w:lang w:val="en-US"/>
        </w:rPr>
        <w:t xml:space="preserve">The strategies that Aboriginal people have proposed to attract Aboriginal recruits into the service are: </w:t>
      </w:r>
    </w:p>
    <w:p w:rsidR="006D4D1D" w:rsidRDefault="006D4D1D" w:rsidP="00EE7D94">
      <w:pPr>
        <w:pStyle w:val="ListBullet"/>
        <w:numPr>
          <w:ilvl w:val="1"/>
          <w:numId w:val="9"/>
        </w:numPr>
        <w:rPr>
          <w:lang w:val="en-US"/>
        </w:rPr>
      </w:pPr>
      <w:r w:rsidRPr="007200B3">
        <w:rPr>
          <w:lang w:val="en-US"/>
        </w:rPr>
        <w:t>ensuring that Aboriginal people are well informed about public sector opportunities and what is required of public sector employees and not to assume that this is a known;</w:t>
      </w:r>
    </w:p>
    <w:p w:rsidR="006D4D1D" w:rsidRDefault="006D4D1D" w:rsidP="00EE7D94">
      <w:pPr>
        <w:pStyle w:val="ListBullet"/>
        <w:numPr>
          <w:ilvl w:val="1"/>
          <w:numId w:val="9"/>
        </w:numPr>
        <w:rPr>
          <w:lang w:val="en-US"/>
        </w:rPr>
      </w:pPr>
      <w:r w:rsidRPr="007200B3">
        <w:rPr>
          <w:lang w:val="en-US"/>
        </w:rPr>
        <w:t xml:space="preserve"> then providing that information through Aboriginal networks, not just through mainstream advertisements and the sort of usual recruitment approach; </w:t>
      </w:r>
      <w:r>
        <w:rPr>
          <w:lang w:val="en-US"/>
        </w:rPr>
        <w:t xml:space="preserve"> [and</w:t>
      </w:r>
    </w:p>
    <w:p w:rsidR="006D4D1D" w:rsidRDefault="006D4D1D" w:rsidP="00EE7D94">
      <w:pPr>
        <w:pStyle w:val="ListBullet"/>
        <w:numPr>
          <w:ilvl w:val="1"/>
          <w:numId w:val="9"/>
        </w:numPr>
        <w:rPr>
          <w:lang w:val="en-US"/>
        </w:rPr>
      </w:pPr>
      <w:r>
        <w:rPr>
          <w:lang w:val="en-US"/>
        </w:rPr>
        <w:t xml:space="preserve">then] </w:t>
      </w:r>
      <w:r w:rsidRPr="007200B3">
        <w:rPr>
          <w:lang w:val="en-US"/>
        </w:rPr>
        <w:t>having a supported application, selection and induction process.</w:t>
      </w:r>
    </w:p>
    <w:p w:rsidR="000117E0" w:rsidRPr="000609E0" w:rsidRDefault="000117E0" w:rsidP="000117E0">
      <w:pPr>
        <w:pStyle w:val="Quote"/>
        <w:rPr>
          <w:lang w:val="en-US"/>
        </w:rPr>
      </w:pPr>
      <w:r w:rsidRPr="000609E0">
        <w:rPr>
          <w:lang w:val="en-US"/>
        </w:rPr>
        <w:t>I think the University of Sydney</w:t>
      </w:r>
      <w:r>
        <w:rPr>
          <w:lang w:val="en-US"/>
        </w:rPr>
        <w:t xml:space="preserve">  …</w:t>
      </w:r>
      <w:r w:rsidRPr="000609E0">
        <w:rPr>
          <w:lang w:val="en-US"/>
        </w:rPr>
        <w:t xml:space="preserve"> I am fairly sure that this was a model that they had used</w:t>
      </w:r>
      <w:r>
        <w:rPr>
          <w:lang w:val="en-US"/>
        </w:rPr>
        <w:t>, h</w:t>
      </w:r>
      <w:r w:rsidRPr="000609E0">
        <w:rPr>
          <w:lang w:val="en-US"/>
        </w:rPr>
        <w:t>ad a range of things that you put in place to ensure that recruitment becomes a more informed process. It is about providing information and advice generally about applying for a public sector position and what is involved in the selection process, and using Aboriginal networks and often word-of-mouth networks, not just relying on a written statement, to do that.</w:t>
      </w:r>
    </w:p>
    <w:p w:rsidR="00E86BE0" w:rsidRDefault="001053AD" w:rsidP="00E86BE0">
      <w:pPr>
        <w:pStyle w:val="Bodytext"/>
      </w:pPr>
      <w:r>
        <w:t>While there seemed to be so</w:t>
      </w:r>
      <w:r w:rsidR="00317B31">
        <w:t>me consensus on the need to use</w:t>
      </w:r>
      <w:r>
        <w:t xml:space="preserve"> non-traditional recruitment processes, the Commissioner for Public Administration, Mr Andrew Kefford, </w:t>
      </w:r>
      <w:r w:rsidR="002C181C">
        <w:t xml:space="preserve">explained how </w:t>
      </w:r>
      <w:r w:rsidR="006E5FF2">
        <w:t xml:space="preserve">the ACTPS was </w:t>
      </w:r>
      <w:r w:rsidR="002C181C">
        <w:t xml:space="preserve">progressing to </w:t>
      </w:r>
      <w:r w:rsidR="006E5FF2">
        <w:t>make some changes</w:t>
      </w:r>
      <w:r w:rsidR="002C181C">
        <w:t xml:space="preserve"> in this area</w:t>
      </w:r>
      <w:r w:rsidR="006E5FF2">
        <w:t xml:space="preserve">.  </w:t>
      </w:r>
      <w:r w:rsidR="00E86BE0">
        <w:t xml:space="preserve"> </w:t>
      </w:r>
    </w:p>
    <w:p w:rsidR="006D4D1D" w:rsidRPr="000117E0" w:rsidRDefault="006E5FF2" w:rsidP="000117E0">
      <w:pPr>
        <w:pStyle w:val="Bodytext"/>
      </w:pPr>
      <w:r>
        <w:t xml:space="preserve">When asked about </w:t>
      </w:r>
      <w:r w:rsidR="002C181C">
        <w:t xml:space="preserve">the apparent ongoing </w:t>
      </w:r>
      <w:r w:rsidR="00E86BE0" w:rsidRPr="00E86BE0">
        <w:rPr>
          <w:lang w:val="en-US"/>
        </w:rPr>
        <w:t xml:space="preserve">reliance on advertisements and </w:t>
      </w:r>
      <w:r w:rsidR="002C181C">
        <w:rPr>
          <w:lang w:val="en-US"/>
        </w:rPr>
        <w:t xml:space="preserve">applicants having to </w:t>
      </w:r>
      <w:r w:rsidR="00E86BE0" w:rsidRPr="00E86BE0">
        <w:rPr>
          <w:lang w:val="en-US"/>
        </w:rPr>
        <w:t>address s</w:t>
      </w:r>
      <w:r w:rsidR="002C181C">
        <w:rPr>
          <w:lang w:val="en-US"/>
        </w:rPr>
        <w:t>election criteria, he answered:</w:t>
      </w:r>
    </w:p>
    <w:p w:rsidR="006E5FF2" w:rsidRDefault="006E5FF2" w:rsidP="006E5FF2">
      <w:pPr>
        <w:pStyle w:val="Quote"/>
      </w:pPr>
      <w:r>
        <w:t>... I</w:t>
      </w:r>
      <w:r>
        <w:rPr>
          <w:spacing w:val="6"/>
        </w:rPr>
        <w:t xml:space="preserve"> </w:t>
      </w:r>
      <w:r>
        <w:t>think</w:t>
      </w:r>
      <w:r>
        <w:rPr>
          <w:spacing w:val="14"/>
        </w:rPr>
        <w:t xml:space="preserve"> </w:t>
      </w:r>
      <w:r>
        <w:rPr>
          <w:spacing w:val="-2"/>
        </w:rPr>
        <w:t>you</w:t>
      </w:r>
      <w:r>
        <w:rPr>
          <w:spacing w:val="11"/>
        </w:rPr>
        <w:t xml:space="preserve"> </w:t>
      </w:r>
      <w:r>
        <w:t>would</w:t>
      </w:r>
      <w:r>
        <w:rPr>
          <w:spacing w:val="11"/>
        </w:rPr>
        <w:t xml:space="preserve"> </w:t>
      </w:r>
      <w:r>
        <w:t>be</w:t>
      </w:r>
      <w:r>
        <w:rPr>
          <w:spacing w:val="10"/>
        </w:rPr>
        <w:t xml:space="preserve"> </w:t>
      </w:r>
      <w:r>
        <w:t>aware</w:t>
      </w:r>
      <w:r>
        <w:rPr>
          <w:spacing w:val="10"/>
        </w:rPr>
        <w:t xml:space="preserve"> </w:t>
      </w:r>
      <w:r>
        <w:t>that</w:t>
      </w:r>
      <w:r>
        <w:rPr>
          <w:spacing w:val="12"/>
        </w:rPr>
        <w:t xml:space="preserve"> </w:t>
      </w:r>
      <w:r>
        <w:t>there</w:t>
      </w:r>
      <w:r>
        <w:rPr>
          <w:spacing w:val="10"/>
        </w:rPr>
        <w:t xml:space="preserve"> </w:t>
      </w:r>
      <w:r>
        <w:t>is</w:t>
      </w:r>
      <w:r>
        <w:rPr>
          <w:spacing w:val="12"/>
        </w:rPr>
        <w:t xml:space="preserve"> </w:t>
      </w:r>
      <w:r>
        <w:t>some</w:t>
      </w:r>
      <w:r>
        <w:rPr>
          <w:spacing w:val="11"/>
        </w:rPr>
        <w:t xml:space="preserve"> </w:t>
      </w:r>
      <w:r>
        <w:t>work</w:t>
      </w:r>
      <w:r>
        <w:rPr>
          <w:spacing w:val="11"/>
        </w:rPr>
        <w:t xml:space="preserve"> </w:t>
      </w:r>
      <w:r>
        <w:t>being</w:t>
      </w:r>
      <w:r>
        <w:rPr>
          <w:spacing w:val="9"/>
        </w:rPr>
        <w:t xml:space="preserve"> </w:t>
      </w:r>
      <w:r>
        <w:t>done</w:t>
      </w:r>
      <w:r>
        <w:rPr>
          <w:spacing w:val="10"/>
        </w:rPr>
        <w:t xml:space="preserve"> </w:t>
      </w:r>
      <w:r>
        <w:t>in</w:t>
      </w:r>
      <w:r>
        <w:rPr>
          <w:spacing w:val="45"/>
        </w:rPr>
        <w:t xml:space="preserve"> </w:t>
      </w:r>
      <w:r>
        <w:t>the</w:t>
      </w:r>
      <w:r>
        <w:rPr>
          <w:spacing w:val="25"/>
        </w:rPr>
        <w:t xml:space="preserve"> </w:t>
      </w:r>
      <w:r>
        <w:t>ACTPS</w:t>
      </w:r>
      <w:r>
        <w:rPr>
          <w:spacing w:val="26"/>
        </w:rPr>
        <w:t xml:space="preserve"> </w:t>
      </w:r>
      <w:r>
        <w:t>recruitment</w:t>
      </w:r>
      <w:r>
        <w:rPr>
          <w:spacing w:val="28"/>
        </w:rPr>
        <w:t xml:space="preserve"> </w:t>
      </w:r>
      <w:r>
        <w:t>guidelines</w:t>
      </w:r>
      <w:r>
        <w:rPr>
          <w:spacing w:val="25"/>
        </w:rPr>
        <w:t xml:space="preserve"> </w:t>
      </w:r>
      <w:r>
        <w:t>in</w:t>
      </w:r>
      <w:r>
        <w:rPr>
          <w:spacing w:val="26"/>
        </w:rPr>
        <w:t xml:space="preserve"> </w:t>
      </w:r>
      <w:r>
        <w:t>part</w:t>
      </w:r>
      <w:r>
        <w:rPr>
          <w:spacing w:val="25"/>
        </w:rPr>
        <w:t xml:space="preserve"> </w:t>
      </w:r>
      <w:r>
        <w:t>to</w:t>
      </w:r>
      <w:r>
        <w:rPr>
          <w:spacing w:val="29"/>
        </w:rPr>
        <w:t xml:space="preserve"> </w:t>
      </w:r>
      <w:r>
        <w:t>pick</w:t>
      </w:r>
      <w:r>
        <w:rPr>
          <w:spacing w:val="26"/>
        </w:rPr>
        <w:t xml:space="preserve"> </w:t>
      </w:r>
      <w:r>
        <w:t>up</w:t>
      </w:r>
      <w:r>
        <w:rPr>
          <w:spacing w:val="26"/>
        </w:rPr>
        <w:t xml:space="preserve"> </w:t>
      </w:r>
      <w:r>
        <w:t>the</w:t>
      </w:r>
      <w:r>
        <w:rPr>
          <w:spacing w:val="25"/>
        </w:rPr>
        <w:t xml:space="preserve"> </w:t>
      </w:r>
      <w:r>
        <w:t>recommendations</w:t>
      </w:r>
      <w:r>
        <w:rPr>
          <w:spacing w:val="26"/>
        </w:rPr>
        <w:t xml:space="preserve"> </w:t>
      </w:r>
      <w:r>
        <w:t>that</w:t>
      </w:r>
      <w:r>
        <w:rPr>
          <w:spacing w:val="26"/>
        </w:rPr>
        <w:t xml:space="preserve"> </w:t>
      </w:r>
      <w:r>
        <w:t>the</w:t>
      </w:r>
      <w:r>
        <w:rPr>
          <w:spacing w:val="61"/>
        </w:rPr>
        <w:t xml:space="preserve"> </w:t>
      </w:r>
      <w:r>
        <w:t>Auditor-General</w:t>
      </w:r>
      <w:r>
        <w:rPr>
          <w:spacing w:val="17"/>
        </w:rPr>
        <w:t xml:space="preserve"> </w:t>
      </w:r>
      <w:r>
        <w:t>made</w:t>
      </w:r>
      <w:r>
        <w:rPr>
          <w:spacing w:val="15"/>
        </w:rPr>
        <w:t xml:space="preserve"> </w:t>
      </w:r>
      <w:r>
        <w:t>when</w:t>
      </w:r>
      <w:r>
        <w:rPr>
          <w:spacing w:val="16"/>
        </w:rPr>
        <w:t xml:space="preserve"> </w:t>
      </w:r>
      <w:r>
        <w:t>she</w:t>
      </w:r>
      <w:r>
        <w:rPr>
          <w:spacing w:val="15"/>
        </w:rPr>
        <w:t xml:space="preserve"> </w:t>
      </w:r>
      <w:r>
        <w:t>looked</w:t>
      </w:r>
      <w:r>
        <w:rPr>
          <w:spacing w:val="18"/>
        </w:rPr>
        <w:t xml:space="preserve"> </w:t>
      </w:r>
      <w:r>
        <w:t>at</w:t>
      </w:r>
      <w:r>
        <w:rPr>
          <w:spacing w:val="17"/>
        </w:rPr>
        <w:t xml:space="preserve"> </w:t>
      </w:r>
      <w:r>
        <w:t>unrelated</w:t>
      </w:r>
      <w:r>
        <w:rPr>
          <w:spacing w:val="16"/>
        </w:rPr>
        <w:t xml:space="preserve"> </w:t>
      </w:r>
      <w:r>
        <w:t>matters</w:t>
      </w:r>
      <w:r>
        <w:rPr>
          <w:spacing w:val="19"/>
        </w:rPr>
        <w:t xml:space="preserve"> </w:t>
      </w:r>
      <w:r>
        <w:t>going</w:t>
      </w:r>
      <w:r>
        <w:rPr>
          <w:spacing w:val="14"/>
        </w:rPr>
        <w:t xml:space="preserve"> </w:t>
      </w:r>
      <w:r>
        <w:t>to</w:t>
      </w:r>
      <w:r>
        <w:rPr>
          <w:spacing w:val="17"/>
        </w:rPr>
        <w:t xml:space="preserve"> </w:t>
      </w:r>
      <w:r>
        <w:t>the</w:t>
      </w:r>
      <w:r>
        <w:rPr>
          <w:spacing w:val="18"/>
        </w:rPr>
        <w:t xml:space="preserve"> </w:t>
      </w:r>
      <w:r>
        <w:t>application</w:t>
      </w:r>
      <w:r>
        <w:rPr>
          <w:spacing w:val="61"/>
        </w:rPr>
        <w:t xml:space="preserve"> </w:t>
      </w:r>
      <w:r>
        <w:t>of</w:t>
      </w:r>
      <w:r>
        <w:rPr>
          <w:spacing w:val="3"/>
        </w:rPr>
        <w:t xml:space="preserve"> </w:t>
      </w:r>
      <w:r>
        <w:t>short-term</w:t>
      </w:r>
      <w:r>
        <w:rPr>
          <w:spacing w:val="4"/>
        </w:rPr>
        <w:t xml:space="preserve"> </w:t>
      </w:r>
      <w:r>
        <w:t>and</w:t>
      </w:r>
      <w:r>
        <w:rPr>
          <w:spacing w:val="6"/>
        </w:rPr>
        <w:t xml:space="preserve"> </w:t>
      </w:r>
      <w:r>
        <w:t>higher</w:t>
      </w:r>
      <w:r>
        <w:rPr>
          <w:spacing w:val="8"/>
        </w:rPr>
        <w:t xml:space="preserve"> </w:t>
      </w:r>
      <w:r>
        <w:t>duties</w:t>
      </w:r>
      <w:r>
        <w:rPr>
          <w:spacing w:val="4"/>
        </w:rPr>
        <w:t xml:space="preserve"> </w:t>
      </w:r>
      <w:r>
        <w:t>and</w:t>
      </w:r>
      <w:r>
        <w:rPr>
          <w:spacing w:val="4"/>
        </w:rPr>
        <w:t xml:space="preserve"> </w:t>
      </w:r>
      <w:r>
        <w:t>so</w:t>
      </w:r>
      <w:r>
        <w:rPr>
          <w:spacing w:val="6"/>
        </w:rPr>
        <w:t xml:space="preserve"> </w:t>
      </w:r>
      <w:r>
        <w:t>on.</w:t>
      </w:r>
      <w:r>
        <w:rPr>
          <w:spacing w:val="6"/>
        </w:rPr>
        <w:t xml:space="preserve"> </w:t>
      </w:r>
      <w:r>
        <w:rPr>
          <w:spacing w:val="-2"/>
        </w:rPr>
        <w:t>It</w:t>
      </w:r>
      <w:r>
        <w:rPr>
          <w:spacing w:val="9"/>
        </w:rPr>
        <w:t xml:space="preserve"> </w:t>
      </w:r>
      <w:r>
        <w:t>gave</w:t>
      </w:r>
      <w:r>
        <w:rPr>
          <w:spacing w:val="8"/>
        </w:rPr>
        <w:t xml:space="preserve"> </w:t>
      </w:r>
      <w:r>
        <w:t>us</w:t>
      </w:r>
      <w:r>
        <w:rPr>
          <w:spacing w:val="4"/>
        </w:rPr>
        <w:t xml:space="preserve"> </w:t>
      </w:r>
      <w:r>
        <w:t>an</w:t>
      </w:r>
      <w:r>
        <w:rPr>
          <w:spacing w:val="4"/>
        </w:rPr>
        <w:t xml:space="preserve"> </w:t>
      </w:r>
      <w:r>
        <w:t>opportunity to</w:t>
      </w:r>
      <w:r>
        <w:rPr>
          <w:spacing w:val="7"/>
        </w:rPr>
        <w:t xml:space="preserve"> </w:t>
      </w:r>
      <w:r>
        <w:t>come</w:t>
      </w:r>
      <w:r>
        <w:rPr>
          <w:spacing w:val="3"/>
        </w:rPr>
        <w:t xml:space="preserve"> </w:t>
      </w:r>
      <w:r>
        <w:t>back</w:t>
      </w:r>
      <w:r>
        <w:rPr>
          <w:spacing w:val="6"/>
        </w:rPr>
        <w:t xml:space="preserve"> </w:t>
      </w:r>
      <w:r>
        <w:t>and</w:t>
      </w:r>
      <w:r>
        <w:rPr>
          <w:spacing w:val="43"/>
        </w:rPr>
        <w:t xml:space="preserve"> </w:t>
      </w:r>
      <w:r>
        <w:t>recast those</w:t>
      </w:r>
      <w:r>
        <w:rPr>
          <w:spacing w:val="1"/>
        </w:rPr>
        <w:t xml:space="preserve"> </w:t>
      </w:r>
      <w:r>
        <w:t>guidelines.</w:t>
      </w:r>
    </w:p>
    <w:p w:rsidR="006E5FF2" w:rsidRDefault="006E5FF2" w:rsidP="006E5FF2">
      <w:pPr>
        <w:pStyle w:val="Quote"/>
        <w:rPr>
          <w:spacing w:val="-1"/>
        </w:rPr>
      </w:pPr>
      <w:r>
        <w:rPr>
          <w:spacing w:val="-2"/>
        </w:rPr>
        <w:t>In</w:t>
      </w:r>
      <w:r>
        <w:rPr>
          <w:spacing w:val="18"/>
        </w:rPr>
        <w:t xml:space="preserve"> </w:t>
      </w:r>
      <w:r>
        <w:t>that</w:t>
      </w:r>
      <w:r>
        <w:rPr>
          <w:spacing w:val="18"/>
        </w:rPr>
        <w:t xml:space="preserve"> </w:t>
      </w:r>
      <w:r>
        <w:t>context,</w:t>
      </w:r>
      <w:r>
        <w:rPr>
          <w:spacing w:val="19"/>
        </w:rPr>
        <w:t xml:space="preserve"> </w:t>
      </w:r>
      <w:r>
        <w:t>we</w:t>
      </w:r>
      <w:r>
        <w:rPr>
          <w:spacing w:val="17"/>
        </w:rPr>
        <w:t xml:space="preserve"> </w:t>
      </w:r>
      <w:r>
        <w:rPr>
          <w:spacing w:val="-1"/>
        </w:rPr>
        <w:t>are</w:t>
      </w:r>
      <w:r>
        <w:rPr>
          <w:spacing w:val="19"/>
        </w:rPr>
        <w:t xml:space="preserve"> </w:t>
      </w:r>
      <w:r>
        <w:t>looking</w:t>
      </w:r>
      <w:r>
        <w:rPr>
          <w:spacing w:val="16"/>
        </w:rPr>
        <w:t xml:space="preserve"> </w:t>
      </w:r>
      <w:r>
        <w:rPr>
          <w:spacing w:val="-1"/>
        </w:rPr>
        <w:t>at</w:t>
      </w:r>
      <w:r>
        <w:rPr>
          <w:spacing w:val="19"/>
        </w:rPr>
        <w:t xml:space="preserve"> </w:t>
      </w:r>
      <w:r>
        <w:t>how</w:t>
      </w:r>
      <w:r>
        <w:rPr>
          <w:spacing w:val="18"/>
        </w:rPr>
        <w:t xml:space="preserve"> </w:t>
      </w:r>
      <w:r>
        <w:t>we</w:t>
      </w:r>
      <w:r>
        <w:rPr>
          <w:spacing w:val="17"/>
        </w:rPr>
        <w:t xml:space="preserve"> </w:t>
      </w:r>
      <w:r>
        <w:rPr>
          <w:spacing w:val="-1"/>
        </w:rPr>
        <w:t>can</w:t>
      </w:r>
      <w:r>
        <w:rPr>
          <w:spacing w:val="18"/>
        </w:rPr>
        <w:t xml:space="preserve"> </w:t>
      </w:r>
      <w:r>
        <w:t>better</w:t>
      </w:r>
      <w:r>
        <w:rPr>
          <w:spacing w:val="18"/>
        </w:rPr>
        <w:t xml:space="preserve"> </w:t>
      </w:r>
      <w:r>
        <w:rPr>
          <w:spacing w:val="-1"/>
        </w:rPr>
        <w:t>provide</w:t>
      </w:r>
      <w:r>
        <w:rPr>
          <w:spacing w:val="18"/>
        </w:rPr>
        <w:t xml:space="preserve"> </w:t>
      </w:r>
      <w:r>
        <w:rPr>
          <w:spacing w:val="-1"/>
        </w:rPr>
        <w:t>guidance</w:t>
      </w:r>
      <w:r>
        <w:rPr>
          <w:spacing w:val="20"/>
        </w:rPr>
        <w:t xml:space="preserve"> </w:t>
      </w:r>
      <w:r>
        <w:t>and</w:t>
      </w:r>
      <w:r>
        <w:rPr>
          <w:spacing w:val="18"/>
        </w:rPr>
        <w:t xml:space="preserve"> </w:t>
      </w:r>
      <w:r>
        <w:rPr>
          <w:spacing w:val="-1"/>
        </w:rPr>
        <w:t>advice</w:t>
      </w:r>
      <w:r>
        <w:rPr>
          <w:spacing w:val="17"/>
        </w:rPr>
        <w:t xml:space="preserve"> </w:t>
      </w:r>
      <w:r>
        <w:t>to</w:t>
      </w:r>
      <w:r>
        <w:rPr>
          <w:spacing w:val="43"/>
        </w:rPr>
        <w:t xml:space="preserve"> </w:t>
      </w:r>
      <w:r>
        <w:rPr>
          <w:spacing w:val="-1"/>
        </w:rPr>
        <w:t>colleagues</w:t>
      </w:r>
      <w:r>
        <w:rPr>
          <w:spacing w:val="36"/>
        </w:rPr>
        <w:t xml:space="preserve"> </w:t>
      </w:r>
      <w:r>
        <w:t>who</w:t>
      </w:r>
      <w:r>
        <w:rPr>
          <w:spacing w:val="35"/>
        </w:rPr>
        <w:t xml:space="preserve"> </w:t>
      </w:r>
      <w:r>
        <w:t>are</w:t>
      </w:r>
      <w:r>
        <w:rPr>
          <w:spacing w:val="34"/>
        </w:rPr>
        <w:t xml:space="preserve"> </w:t>
      </w:r>
      <w:r>
        <w:t>pursuing</w:t>
      </w:r>
      <w:r>
        <w:rPr>
          <w:spacing w:val="33"/>
        </w:rPr>
        <w:t xml:space="preserve"> </w:t>
      </w:r>
      <w:r>
        <w:t>a</w:t>
      </w:r>
      <w:r>
        <w:rPr>
          <w:spacing w:val="34"/>
        </w:rPr>
        <w:t xml:space="preserve"> </w:t>
      </w:r>
      <w:r>
        <w:rPr>
          <w:spacing w:val="-1"/>
        </w:rPr>
        <w:t>recruitment</w:t>
      </w:r>
      <w:r>
        <w:rPr>
          <w:spacing w:val="36"/>
        </w:rPr>
        <w:t xml:space="preserve"> </w:t>
      </w:r>
      <w:r>
        <w:rPr>
          <w:spacing w:val="-1"/>
        </w:rPr>
        <w:t>process</w:t>
      </w:r>
      <w:r>
        <w:rPr>
          <w:spacing w:val="36"/>
        </w:rPr>
        <w:t xml:space="preserve"> </w:t>
      </w:r>
      <w:r>
        <w:rPr>
          <w:spacing w:val="-1"/>
        </w:rPr>
        <w:t>as</w:t>
      </w:r>
      <w:r>
        <w:rPr>
          <w:spacing w:val="36"/>
        </w:rPr>
        <w:t xml:space="preserve"> </w:t>
      </w:r>
      <w:r>
        <w:t>to</w:t>
      </w:r>
      <w:r>
        <w:rPr>
          <w:spacing w:val="36"/>
        </w:rPr>
        <w:t xml:space="preserve"> </w:t>
      </w:r>
      <w:r>
        <w:t>how</w:t>
      </w:r>
      <w:r>
        <w:rPr>
          <w:spacing w:val="35"/>
        </w:rPr>
        <w:t xml:space="preserve"> </w:t>
      </w:r>
      <w:r>
        <w:t>they</w:t>
      </w:r>
      <w:r>
        <w:rPr>
          <w:spacing w:val="28"/>
        </w:rPr>
        <w:t xml:space="preserve"> </w:t>
      </w:r>
      <w:r>
        <w:t>might</w:t>
      </w:r>
      <w:r>
        <w:rPr>
          <w:spacing w:val="36"/>
        </w:rPr>
        <w:t xml:space="preserve"> </w:t>
      </w:r>
      <w:r>
        <w:t>make</w:t>
      </w:r>
      <w:r>
        <w:rPr>
          <w:spacing w:val="34"/>
        </w:rPr>
        <w:t xml:space="preserve"> </w:t>
      </w:r>
      <w:r>
        <w:t>the</w:t>
      </w:r>
      <w:r>
        <w:rPr>
          <w:spacing w:val="45"/>
        </w:rPr>
        <w:t xml:space="preserve"> </w:t>
      </w:r>
      <w:r>
        <w:rPr>
          <w:spacing w:val="1"/>
        </w:rPr>
        <w:t>way</w:t>
      </w:r>
      <w:r>
        <w:rPr>
          <w:spacing w:val="33"/>
        </w:rPr>
        <w:t xml:space="preserve"> </w:t>
      </w:r>
      <w:r>
        <w:t>in</w:t>
      </w:r>
      <w:r>
        <w:rPr>
          <w:spacing w:val="38"/>
        </w:rPr>
        <w:t xml:space="preserve"> </w:t>
      </w:r>
      <w:r>
        <w:rPr>
          <w:spacing w:val="-1"/>
        </w:rPr>
        <w:t>which</w:t>
      </w:r>
      <w:r>
        <w:rPr>
          <w:spacing w:val="40"/>
        </w:rPr>
        <w:t xml:space="preserve"> </w:t>
      </w:r>
      <w:r>
        <w:rPr>
          <w:spacing w:val="1"/>
        </w:rPr>
        <w:t>they</w:t>
      </w:r>
      <w:r>
        <w:rPr>
          <w:spacing w:val="33"/>
        </w:rPr>
        <w:t xml:space="preserve"> </w:t>
      </w:r>
      <w:r>
        <w:t>seek</w:t>
      </w:r>
      <w:r>
        <w:rPr>
          <w:spacing w:val="40"/>
        </w:rPr>
        <w:t xml:space="preserve"> </w:t>
      </w:r>
      <w:r>
        <w:t>to</w:t>
      </w:r>
      <w:r>
        <w:rPr>
          <w:spacing w:val="38"/>
        </w:rPr>
        <w:t xml:space="preserve"> </w:t>
      </w:r>
      <w:r>
        <w:rPr>
          <w:spacing w:val="-1"/>
        </w:rPr>
        <w:t>attract</w:t>
      </w:r>
      <w:r>
        <w:rPr>
          <w:spacing w:val="40"/>
        </w:rPr>
        <w:t xml:space="preserve"> </w:t>
      </w:r>
      <w:r>
        <w:rPr>
          <w:spacing w:val="-1"/>
        </w:rPr>
        <w:t>people</w:t>
      </w:r>
      <w:r>
        <w:rPr>
          <w:spacing w:val="37"/>
        </w:rPr>
        <w:t xml:space="preserve"> </w:t>
      </w:r>
      <w:r>
        <w:t>more</w:t>
      </w:r>
      <w:r>
        <w:rPr>
          <w:spacing w:val="38"/>
        </w:rPr>
        <w:t xml:space="preserve"> </w:t>
      </w:r>
      <w:r>
        <w:rPr>
          <w:spacing w:val="-1"/>
        </w:rPr>
        <w:t>attractive</w:t>
      </w:r>
      <w:r>
        <w:rPr>
          <w:spacing w:val="37"/>
        </w:rPr>
        <w:t xml:space="preserve"> </w:t>
      </w:r>
      <w:r>
        <w:t>to</w:t>
      </w:r>
      <w:r>
        <w:rPr>
          <w:spacing w:val="41"/>
        </w:rPr>
        <w:t xml:space="preserve"> </w:t>
      </w:r>
      <w:r>
        <w:rPr>
          <w:spacing w:val="-1"/>
        </w:rPr>
        <w:t>Aboriginal</w:t>
      </w:r>
      <w:r>
        <w:rPr>
          <w:spacing w:val="40"/>
        </w:rPr>
        <w:t xml:space="preserve"> </w:t>
      </w:r>
      <w:r>
        <w:rPr>
          <w:spacing w:val="-1"/>
        </w:rPr>
        <w:t>and</w:t>
      </w:r>
      <w:r>
        <w:rPr>
          <w:spacing w:val="38"/>
        </w:rPr>
        <w:t xml:space="preserve"> </w:t>
      </w:r>
      <w:r>
        <w:rPr>
          <w:spacing w:val="-1"/>
        </w:rPr>
        <w:t>Torres</w:t>
      </w:r>
      <w:r w:rsidR="00E86BE0">
        <w:rPr>
          <w:spacing w:val="-1"/>
        </w:rPr>
        <w:t xml:space="preserve"> </w:t>
      </w:r>
      <w:r>
        <w:t>Strait</w:t>
      </w:r>
      <w:r>
        <w:rPr>
          <w:spacing w:val="50"/>
        </w:rPr>
        <w:t xml:space="preserve"> </w:t>
      </w:r>
      <w:r>
        <w:t>Islander</w:t>
      </w:r>
      <w:r>
        <w:rPr>
          <w:spacing w:val="47"/>
        </w:rPr>
        <w:t xml:space="preserve"> </w:t>
      </w:r>
      <w:r>
        <w:t>people.</w:t>
      </w:r>
      <w:r>
        <w:rPr>
          <w:spacing w:val="49"/>
        </w:rPr>
        <w:t xml:space="preserve"> </w:t>
      </w:r>
      <w:r>
        <w:t>We</w:t>
      </w:r>
      <w:r>
        <w:rPr>
          <w:spacing w:val="46"/>
        </w:rPr>
        <w:t xml:space="preserve"> </w:t>
      </w:r>
      <w:r>
        <w:t>will</w:t>
      </w:r>
      <w:r>
        <w:rPr>
          <w:spacing w:val="48"/>
        </w:rPr>
        <w:t xml:space="preserve"> </w:t>
      </w:r>
      <w:r>
        <w:t>go</w:t>
      </w:r>
      <w:r>
        <w:rPr>
          <w:spacing w:val="47"/>
        </w:rPr>
        <w:t xml:space="preserve"> </w:t>
      </w:r>
      <w:r>
        <w:t>to</w:t>
      </w:r>
      <w:r>
        <w:rPr>
          <w:spacing w:val="50"/>
        </w:rPr>
        <w:t xml:space="preserve"> </w:t>
      </w:r>
      <w:r>
        <w:t>how</w:t>
      </w:r>
      <w:r>
        <w:rPr>
          <w:spacing w:val="47"/>
        </w:rPr>
        <w:t xml:space="preserve"> </w:t>
      </w:r>
      <w:r>
        <w:t>to</w:t>
      </w:r>
      <w:r>
        <w:rPr>
          <w:spacing w:val="50"/>
        </w:rPr>
        <w:t xml:space="preserve"> </w:t>
      </w:r>
      <w:r>
        <w:t>actually</w:t>
      </w:r>
      <w:r>
        <w:rPr>
          <w:spacing w:val="42"/>
        </w:rPr>
        <w:t xml:space="preserve"> </w:t>
      </w:r>
      <w:r>
        <w:t>use</w:t>
      </w:r>
      <w:r>
        <w:rPr>
          <w:spacing w:val="49"/>
        </w:rPr>
        <w:t xml:space="preserve"> </w:t>
      </w:r>
      <w:r>
        <w:t>the</w:t>
      </w:r>
      <w:r>
        <w:rPr>
          <w:spacing w:val="47"/>
        </w:rPr>
        <w:t xml:space="preserve"> </w:t>
      </w:r>
      <w:r>
        <w:t>designated</w:t>
      </w:r>
      <w:r>
        <w:rPr>
          <w:spacing w:val="47"/>
        </w:rPr>
        <w:t xml:space="preserve"> </w:t>
      </w:r>
      <w:r>
        <w:t>position</w:t>
      </w:r>
      <w:r>
        <w:rPr>
          <w:spacing w:val="24"/>
        </w:rPr>
        <w:t xml:space="preserve"> </w:t>
      </w:r>
      <w:r>
        <w:t>process</w:t>
      </w:r>
      <w:r>
        <w:rPr>
          <w:spacing w:val="2"/>
        </w:rPr>
        <w:t xml:space="preserve"> </w:t>
      </w:r>
      <w:r>
        <w:t>in</w:t>
      </w:r>
      <w:r>
        <w:rPr>
          <w:spacing w:val="2"/>
        </w:rPr>
        <w:t xml:space="preserve"> </w:t>
      </w:r>
      <w:r>
        <w:t>a</w:t>
      </w:r>
      <w:r>
        <w:rPr>
          <w:spacing w:val="1"/>
        </w:rPr>
        <w:t xml:space="preserve"> way</w:t>
      </w:r>
      <w:r>
        <w:rPr>
          <w:spacing w:val="-6"/>
        </w:rPr>
        <w:t xml:space="preserve"> </w:t>
      </w:r>
      <w:r>
        <w:t>that,</w:t>
      </w:r>
      <w:r>
        <w:rPr>
          <w:spacing w:val="2"/>
        </w:rPr>
        <w:t xml:space="preserve"> </w:t>
      </w:r>
      <w:r>
        <w:t>because</w:t>
      </w:r>
      <w:r>
        <w:rPr>
          <w:spacing w:val="1"/>
        </w:rPr>
        <w:t xml:space="preserve"> </w:t>
      </w:r>
      <w:r>
        <w:t>of</w:t>
      </w:r>
      <w:r>
        <w:rPr>
          <w:spacing w:val="1"/>
        </w:rPr>
        <w:t xml:space="preserve"> </w:t>
      </w:r>
      <w:r>
        <w:t>the</w:t>
      </w:r>
      <w:r>
        <w:rPr>
          <w:spacing w:val="1"/>
        </w:rPr>
        <w:t xml:space="preserve"> </w:t>
      </w:r>
      <w:r>
        <w:t>age</w:t>
      </w:r>
      <w:r>
        <w:rPr>
          <w:spacing w:val="1"/>
        </w:rPr>
        <w:t xml:space="preserve"> </w:t>
      </w:r>
      <w:r>
        <w:t>of</w:t>
      </w:r>
      <w:r>
        <w:rPr>
          <w:spacing w:val="1"/>
        </w:rPr>
        <w:t xml:space="preserve"> </w:t>
      </w:r>
      <w:r>
        <w:t>the</w:t>
      </w:r>
      <w:r>
        <w:rPr>
          <w:spacing w:val="1"/>
        </w:rPr>
        <w:t xml:space="preserve"> </w:t>
      </w:r>
      <w:r>
        <w:t>document,</w:t>
      </w:r>
      <w:r>
        <w:rPr>
          <w:spacing w:val="2"/>
        </w:rPr>
        <w:t xml:space="preserve"> </w:t>
      </w:r>
      <w:r>
        <w:t>is</w:t>
      </w:r>
      <w:r>
        <w:rPr>
          <w:spacing w:val="2"/>
        </w:rPr>
        <w:t xml:space="preserve"> </w:t>
      </w:r>
      <w:r>
        <w:t>not</w:t>
      </w:r>
      <w:r>
        <w:rPr>
          <w:spacing w:val="2"/>
        </w:rPr>
        <w:t xml:space="preserve"> </w:t>
      </w:r>
      <w:r>
        <w:t>there</w:t>
      </w:r>
      <w:r>
        <w:rPr>
          <w:spacing w:val="1"/>
        </w:rPr>
        <w:t xml:space="preserve"> </w:t>
      </w:r>
      <w:r>
        <w:t>in</w:t>
      </w:r>
      <w:r>
        <w:rPr>
          <w:spacing w:val="2"/>
        </w:rPr>
        <w:t xml:space="preserve"> </w:t>
      </w:r>
      <w:r>
        <w:t>a</w:t>
      </w:r>
      <w:r>
        <w:rPr>
          <w:spacing w:val="-2"/>
        </w:rPr>
        <w:t xml:space="preserve"> </w:t>
      </w:r>
      <w:r>
        <w:t>form</w:t>
      </w:r>
      <w:r>
        <w:rPr>
          <w:spacing w:val="2"/>
        </w:rPr>
        <w:t xml:space="preserve"> </w:t>
      </w:r>
      <w:r>
        <w:t>that</w:t>
      </w:r>
      <w:r>
        <w:rPr>
          <w:spacing w:val="2"/>
        </w:rPr>
        <w:t xml:space="preserve"> </w:t>
      </w:r>
      <w:r>
        <w:t>is</w:t>
      </w:r>
      <w:r>
        <w:rPr>
          <w:spacing w:val="35"/>
        </w:rPr>
        <w:t xml:space="preserve"> </w:t>
      </w:r>
      <w:r>
        <w:t>useful.</w:t>
      </w:r>
      <w:r>
        <w:rPr>
          <w:spacing w:val="2"/>
        </w:rPr>
        <w:t xml:space="preserve"> </w:t>
      </w:r>
      <w:r>
        <w:t>I</w:t>
      </w:r>
      <w:r>
        <w:rPr>
          <w:spacing w:val="-4"/>
        </w:rPr>
        <w:t xml:space="preserve"> </w:t>
      </w:r>
      <w:r>
        <w:t>do not think it is</w:t>
      </w:r>
      <w:r>
        <w:rPr>
          <w:spacing w:val="-3"/>
        </w:rPr>
        <w:t xml:space="preserve"> </w:t>
      </w:r>
      <w:r>
        <w:t>there at all, let alone in a</w:t>
      </w:r>
      <w:r>
        <w:rPr>
          <w:spacing w:val="1"/>
        </w:rPr>
        <w:t xml:space="preserve"> </w:t>
      </w:r>
      <w:r>
        <w:t>form that is useful.</w:t>
      </w:r>
      <w:r w:rsidR="00E86BE0">
        <w:t xml:space="preserve"> </w:t>
      </w:r>
      <w:r>
        <w:t xml:space="preserve"> The </w:t>
      </w:r>
      <w:r>
        <w:rPr>
          <w:spacing w:val="-1"/>
        </w:rPr>
        <w:t>question</w:t>
      </w:r>
      <w:r>
        <w:rPr>
          <w:spacing w:val="9"/>
        </w:rPr>
        <w:t xml:space="preserve"> </w:t>
      </w:r>
      <w:r>
        <w:rPr>
          <w:spacing w:val="-2"/>
        </w:rPr>
        <w:t>you</w:t>
      </w:r>
      <w:r>
        <w:rPr>
          <w:spacing w:val="6"/>
        </w:rPr>
        <w:t xml:space="preserve"> </w:t>
      </w:r>
      <w:r>
        <w:rPr>
          <w:spacing w:val="-1"/>
        </w:rPr>
        <w:t>raise</w:t>
      </w:r>
      <w:r>
        <w:rPr>
          <w:spacing w:val="6"/>
        </w:rPr>
        <w:t xml:space="preserve"> </w:t>
      </w:r>
      <w:r>
        <w:t>about</w:t>
      </w:r>
      <w:r>
        <w:rPr>
          <w:spacing w:val="7"/>
        </w:rPr>
        <w:t xml:space="preserve"> </w:t>
      </w:r>
      <w:r>
        <w:t>the</w:t>
      </w:r>
      <w:r>
        <w:rPr>
          <w:spacing w:val="6"/>
        </w:rPr>
        <w:t xml:space="preserve"> </w:t>
      </w:r>
      <w:r>
        <w:t>way</w:t>
      </w:r>
      <w:r>
        <w:rPr>
          <w:spacing w:val="5"/>
        </w:rPr>
        <w:t xml:space="preserve"> </w:t>
      </w:r>
      <w:r>
        <w:t>in</w:t>
      </w:r>
      <w:r>
        <w:rPr>
          <w:spacing w:val="7"/>
        </w:rPr>
        <w:t xml:space="preserve"> </w:t>
      </w:r>
      <w:r>
        <w:rPr>
          <w:spacing w:val="-1"/>
        </w:rPr>
        <w:t>which</w:t>
      </w:r>
      <w:r>
        <w:rPr>
          <w:spacing w:val="6"/>
        </w:rPr>
        <w:t xml:space="preserve"> </w:t>
      </w:r>
      <w:r>
        <w:t>we</w:t>
      </w:r>
      <w:r>
        <w:rPr>
          <w:spacing w:val="5"/>
        </w:rPr>
        <w:t xml:space="preserve"> </w:t>
      </w:r>
      <w:r>
        <w:rPr>
          <w:spacing w:val="-1"/>
        </w:rPr>
        <w:t>select</w:t>
      </w:r>
      <w:r>
        <w:rPr>
          <w:spacing w:val="7"/>
        </w:rPr>
        <w:t xml:space="preserve"> </w:t>
      </w:r>
      <w:r>
        <w:rPr>
          <w:spacing w:val="-1"/>
        </w:rPr>
        <w:t>people</w:t>
      </w:r>
      <w:r>
        <w:rPr>
          <w:spacing w:val="6"/>
        </w:rPr>
        <w:t xml:space="preserve"> </w:t>
      </w:r>
      <w:r>
        <w:t>for</w:t>
      </w:r>
      <w:r>
        <w:rPr>
          <w:spacing w:val="5"/>
        </w:rPr>
        <w:t xml:space="preserve"> </w:t>
      </w:r>
      <w:r>
        <w:t>the</w:t>
      </w:r>
      <w:r>
        <w:rPr>
          <w:spacing w:val="6"/>
        </w:rPr>
        <w:t xml:space="preserve"> </w:t>
      </w:r>
      <w:r>
        <w:t>public</w:t>
      </w:r>
      <w:r>
        <w:rPr>
          <w:spacing w:val="6"/>
        </w:rPr>
        <w:t xml:space="preserve"> </w:t>
      </w:r>
      <w:r>
        <w:rPr>
          <w:spacing w:val="-1"/>
        </w:rPr>
        <w:t>service</w:t>
      </w:r>
      <w:r>
        <w:rPr>
          <w:spacing w:val="61"/>
        </w:rPr>
        <w:t xml:space="preserve"> </w:t>
      </w:r>
      <w:r>
        <w:t>is</w:t>
      </w:r>
      <w:r>
        <w:rPr>
          <w:spacing w:val="14"/>
        </w:rPr>
        <w:t xml:space="preserve"> </w:t>
      </w:r>
      <w:r>
        <w:t>one</w:t>
      </w:r>
      <w:r>
        <w:rPr>
          <w:spacing w:val="13"/>
        </w:rPr>
        <w:t xml:space="preserve"> </w:t>
      </w:r>
      <w:r>
        <w:rPr>
          <w:spacing w:val="-1"/>
        </w:rPr>
        <w:t>which,</w:t>
      </w:r>
      <w:r>
        <w:rPr>
          <w:spacing w:val="14"/>
        </w:rPr>
        <w:t xml:space="preserve"> </w:t>
      </w:r>
      <w:r>
        <w:t>both</w:t>
      </w:r>
      <w:r>
        <w:rPr>
          <w:spacing w:val="14"/>
        </w:rPr>
        <w:t xml:space="preserve"> </w:t>
      </w:r>
      <w:r>
        <w:rPr>
          <w:spacing w:val="-1"/>
        </w:rPr>
        <w:t>from</w:t>
      </w:r>
      <w:r>
        <w:rPr>
          <w:spacing w:val="14"/>
        </w:rPr>
        <w:t xml:space="preserve"> </w:t>
      </w:r>
      <w:r>
        <w:rPr>
          <w:spacing w:val="-1"/>
        </w:rPr>
        <w:t>personal</w:t>
      </w:r>
      <w:r>
        <w:rPr>
          <w:spacing w:val="14"/>
        </w:rPr>
        <w:t xml:space="preserve"> </w:t>
      </w:r>
      <w:r>
        <w:rPr>
          <w:spacing w:val="-1"/>
        </w:rPr>
        <w:t>experience</w:t>
      </w:r>
      <w:r>
        <w:rPr>
          <w:spacing w:val="13"/>
        </w:rPr>
        <w:t xml:space="preserve"> </w:t>
      </w:r>
      <w:r>
        <w:rPr>
          <w:spacing w:val="-1"/>
        </w:rPr>
        <w:t>as</w:t>
      </w:r>
      <w:r>
        <w:rPr>
          <w:spacing w:val="14"/>
        </w:rPr>
        <w:t xml:space="preserve"> </w:t>
      </w:r>
      <w:r>
        <w:t>well</w:t>
      </w:r>
      <w:r>
        <w:rPr>
          <w:spacing w:val="14"/>
        </w:rPr>
        <w:t xml:space="preserve"> </w:t>
      </w:r>
      <w:r>
        <w:rPr>
          <w:spacing w:val="-1"/>
        </w:rPr>
        <w:t>as</w:t>
      </w:r>
      <w:r>
        <w:rPr>
          <w:spacing w:val="14"/>
        </w:rPr>
        <w:t xml:space="preserve"> </w:t>
      </w:r>
      <w:r>
        <w:t>the</w:t>
      </w:r>
      <w:r>
        <w:rPr>
          <w:spacing w:val="13"/>
        </w:rPr>
        <w:t xml:space="preserve"> </w:t>
      </w:r>
      <w:r>
        <w:rPr>
          <w:spacing w:val="-1"/>
        </w:rPr>
        <w:t>process</w:t>
      </w:r>
      <w:r>
        <w:rPr>
          <w:spacing w:val="14"/>
        </w:rPr>
        <w:t xml:space="preserve"> </w:t>
      </w:r>
      <w:r>
        <w:t>that</w:t>
      </w:r>
      <w:r>
        <w:rPr>
          <w:spacing w:val="14"/>
        </w:rPr>
        <w:t xml:space="preserve"> </w:t>
      </w:r>
      <w:r>
        <w:t>we</w:t>
      </w:r>
      <w:r>
        <w:rPr>
          <w:spacing w:val="13"/>
        </w:rPr>
        <w:t xml:space="preserve"> </w:t>
      </w:r>
      <w:r>
        <w:rPr>
          <w:spacing w:val="-1"/>
        </w:rPr>
        <w:t>are</w:t>
      </w:r>
      <w:r>
        <w:rPr>
          <w:spacing w:val="14"/>
        </w:rPr>
        <w:t xml:space="preserve"> </w:t>
      </w:r>
      <w:r>
        <w:rPr>
          <w:spacing w:val="-1"/>
        </w:rPr>
        <w:t>going</w:t>
      </w:r>
      <w:r>
        <w:rPr>
          <w:spacing w:val="69"/>
        </w:rPr>
        <w:t xml:space="preserve"> </w:t>
      </w:r>
      <w:r>
        <w:rPr>
          <w:spacing w:val="-1"/>
        </w:rPr>
        <w:t>through</w:t>
      </w:r>
      <w:r>
        <w:rPr>
          <w:spacing w:val="23"/>
        </w:rPr>
        <w:t xml:space="preserve"> </w:t>
      </w:r>
      <w:r>
        <w:t>in</w:t>
      </w:r>
      <w:r>
        <w:rPr>
          <w:spacing w:val="24"/>
        </w:rPr>
        <w:t xml:space="preserve"> </w:t>
      </w:r>
      <w:r>
        <w:t>that</w:t>
      </w:r>
      <w:r>
        <w:rPr>
          <w:spacing w:val="23"/>
        </w:rPr>
        <w:t xml:space="preserve"> </w:t>
      </w:r>
      <w:r>
        <w:rPr>
          <w:spacing w:val="-1"/>
        </w:rPr>
        <w:t>recruitment</w:t>
      </w:r>
      <w:r>
        <w:rPr>
          <w:spacing w:val="24"/>
        </w:rPr>
        <w:t xml:space="preserve"> </w:t>
      </w:r>
      <w:r>
        <w:rPr>
          <w:spacing w:val="-1"/>
        </w:rPr>
        <w:t>process,</w:t>
      </w:r>
      <w:r>
        <w:rPr>
          <w:spacing w:val="24"/>
        </w:rPr>
        <w:t xml:space="preserve"> </w:t>
      </w:r>
      <w:r>
        <w:t>we</w:t>
      </w:r>
      <w:r>
        <w:rPr>
          <w:spacing w:val="22"/>
        </w:rPr>
        <w:t xml:space="preserve"> </w:t>
      </w:r>
      <w:r>
        <w:rPr>
          <w:spacing w:val="-1"/>
        </w:rPr>
        <w:t>continue</w:t>
      </w:r>
      <w:r>
        <w:rPr>
          <w:spacing w:val="24"/>
        </w:rPr>
        <w:t xml:space="preserve"> </w:t>
      </w:r>
      <w:r>
        <w:t>to</w:t>
      </w:r>
      <w:r>
        <w:rPr>
          <w:spacing w:val="24"/>
        </w:rPr>
        <w:t xml:space="preserve"> </w:t>
      </w:r>
      <w:r>
        <w:rPr>
          <w:spacing w:val="-1"/>
        </w:rPr>
        <w:t>reflect</w:t>
      </w:r>
      <w:r>
        <w:rPr>
          <w:spacing w:val="24"/>
        </w:rPr>
        <w:t xml:space="preserve"> </w:t>
      </w:r>
      <w:r>
        <w:t>on.</w:t>
      </w:r>
      <w:r>
        <w:rPr>
          <w:spacing w:val="23"/>
        </w:rPr>
        <w:t xml:space="preserve"> </w:t>
      </w:r>
      <w:r>
        <w:rPr>
          <w:spacing w:val="-1"/>
        </w:rPr>
        <w:t>For</w:t>
      </w:r>
      <w:r>
        <w:rPr>
          <w:spacing w:val="23"/>
        </w:rPr>
        <w:t xml:space="preserve"> </w:t>
      </w:r>
      <w:r>
        <w:t>a</w:t>
      </w:r>
      <w:r>
        <w:rPr>
          <w:spacing w:val="25"/>
        </w:rPr>
        <w:t xml:space="preserve"> </w:t>
      </w:r>
      <w:r>
        <w:rPr>
          <w:spacing w:val="-1"/>
        </w:rPr>
        <w:t>certain</w:t>
      </w:r>
      <w:r>
        <w:rPr>
          <w:spacing w:val="24"/>
        </w:rPr>
        <w:t xml:space="preserve"> </w:t>
      </w:r>
      <w:r>
        <w:rPr>
          <w:spacing w:val="-1"/>
        </w:rPr>
        <w:t>class</w:t>
      </w:r>
      <w:r>
        <w:rPr>
          <w:spacing w:val="23"/>
        </w:rPr>
        <w:t xml:space="preserve"> </w:t>
      </w:r>
      <w:r>
        <w:t>of</w:t>
      </w:r>
      <w:r>
        <w:rPr>
          <w:spacing w:val="75"/>
        </w:rPr>
        <w:t xml:space="preserve"> </w:t>
      </w:r>
      <w:r>
        <w:t>jobs,</w:t>
      </w:r>
      <w:r>
        <w:rPr>
          <w:spacing w:val="10"/>
        </w:rPr>
        <w:t xml:space="preserve"> </w:t>
      </w:r>
      <w:r>
        <w:t>the</w:t>
      </w:r>
      <w:r>
        <w:rPr>
          <w:spacing w:val="8"/>
        </w:rPr>
        <w:t xml:space="preserve"> </w:t>
      </w:r>
      <w:r>
        <w:t>capacity</w:t>
      </w:r>
      <w:r>
        <w:rPr>
          <w:spacing w:val="4"/>
        </w:rPr>
        <w:t xml:space="preserve"> </w:t>
      </w:r>
      <w:r>
        <w:t>to</w:t>
      </w:r>
      <w:r>
        <w:rPr>
          <w:spacing w:val="9"/>
        </w:rPr>
        <w:t xml:space="preserve"> </w:t>
      </w:r>
      <w:r>
        <w:t>write</w:t>
      </w:r>
      <w:r>
        <w:rPr>
          <w:spacing w:val="8"/>
        </w:rPr>
        <w:t xml:space="preserve"> </w:t>
      </w:r>
      <w:r>
        <w:t>against</w:t>
      </w:r>
      <w:r>
        <w:rPr>
          <w:spacing w:val="12"/>
        </w:rPr>
        <w:t xml:space="preserve"> </w:t>
      </w:r>
      <w:r>
        <w:t>five</w:t>
      </w:r>
      <w:r>
        <w:rPr>
          <w:spacing w:val="8"/>
        </w:rPr>
        <w:t xml:space="preserve"> </w:t>
      </w:r>
      <w:r>
        <w:rPr>
          <w:spacing w:val="-1"/>
        </w:rPr>
        <w:t>selection</w:t>
      </w:r>
      <w:r>
        <w:rPr>
          <w:spacing w:val="9"/>
        </w:rPr>
        <w:t xml:space="preserve"> </w:t>
      </w:r>
      <w:r>
        <w:rPr>
          <w:spacing w:val="-1"/>
        </w:rPr>
        <w:t>criteria</w:t>
      </w:r>
      <w:r>
        <w:rPr>
          <w:spacing w:val="8"/>
        </w:rPr>
        <w:t xml:space="preserve"> </w:t>
      </w:r>
      <w:r>
        <w:t>is</w:t>
      </w:r>
      <w:r>
        <w:rPr>
          <w:spacing w:val="10"/>
        </w:rPr>
        <w:t xml:space="preserve"> </w:t>
      </w:r>
      <w:r>
        <w:t>a</w:t>
      </w:r>
      <w:r>
        <w:rPr>
          <w:spacing w:val="12"/>
        </w:rPr>
        <w:t xml:space="preserve"> </w:t>
      </w:r>
      <w:r>
        <w:rPr>
          <w:spacing w:val="-1"/>
        </w:rPr>
        <w:t>good</w:t>
      </w:r>
      <w:r>
        <w:rPr>
          <w:spacing w:val="9"/>
        </w:rPr>
        <w:t xml:space="preserve"> </w:t>
      </w:r>
      <w:r>
        <w:rPr>
          <w:spacing w:val="1"/>
        </w:rPr>
        <w:t>way</w:t>
      </w:r>
      <w:r>
        <w:rPr>
          <w:spacing w:val="4"/>
        </w:rPr>
        <w:t xml:space="preserve"> </w:t>
      </w:r>
      <w:r>
        <w:t>to</w:t>
      </w:r>
      <w:r>
        <w:rPr>
          <w:spacing w:val="9"/>
        </w:rPr>
        <w:t xml:space="preserve"> </w:t>
      </w:r>
      <w:r>
        <w:t>test</w:t>
      </w:r>
      <w:r>
        <w:rPr>
          <w:spacing w:val="10"/>
        </w:rPr>
        <w:t xml:space="preserve"> </w:t>
      </w:r>
      <w:r>
        <w:rPr>
          <w:spacing w:val="-1"/>
        </w:rPr>
        <w:t>whether</w:t>
      </w:r>
      <w:r>
        <w:rPr>
          <w:spacing w:val="56"/>
        </w:rPr>
        <w:t xml:space="preserve"> </w:t>
      </w:r>
      <w:r>
        <w:t>someone</w:t>
      </w:r>
      <w:r>
        <w:rPr>
          <w:spacing w:val="27"/>
        </w:rPr>
        <w:t xml:space="preserve"> </w:t>
      </w:r>
      <w:r>
        <w:t>is</w:t>
      </w:r>
      <w:r>
        <w:rPr>
          <w:spacing w:val="31"/>
        </w:rPr>
        <w:t xml:space="preserve"> </w:t>
      </w:r>
      <w:r>
        <w:rPr>
          <w:spacing w:val="-1"/>
        </w:rPr>
        <w:t>going</w:t>
      </w:r>
      <w:r>
        <w:rPr>
          <w:spacing w:val="26"/>
        </w:rPr>
        <w:t xml:space="preserve"> </w:t>
      </w:r>
      <w:r>
        <w:t>to</w:t>
      </w:r>
      <w:r>
        <w:rPr>
          <w:spacing w:val="29"/>
        </w:rPr>
        <w:t xml:space="preserve"> </w:t>
      </w:r>
      <w:r>
        <w:t>be</w:t>
      </w:r>
      <w:r>
        <w:rPr>
          <w:spacing w:val="32"/>
        </w:rPr>
        <w:t xml:space="preserve"> </w:t>
      </w:r>
      <w:r>
        <w:rPr>
          <w:spacing w:val="-1"/>
        </w:rPr>
        <w:t>able</w:t>
      </w:r>
      <w:r>
        <w:rPr>
          <w:spacing w:val="28"/>
        </w:rPr>
        <w:t xml:space="preserve"> </w:t>
      </w:r>
      <w:r>
        <w:t>to</w:t>
      </w:r>
      <w:r w:rsidR="00E86BE0">
        <w:t xml:space="preserve"> fulfil </w:t>
      </w:r>
      <w:r>
        <w:t>the</w:t>
      </w:r>
      <w:r>
        <w:rPr>
          <w:spacing w:val="30"/>
        </w:rPr>
        <w:t xml:space="preserve"> </w:t>
      </w:r>
      <w:r>
        <w:t>job.</w:t>
      </w:r>
      <w:r>
        <w:rPr>
          <w:spacing w:val="29"/>
        </w:rPr>
        <w:t xml:space="preserve"> </w:t>
      </w:r>
      <w:r>
        <w:t>There</w:t>
      </w:r>
      <w:r>
        <w:rPr>
          <w:spacing w:val="29"/>
        </w:rPr>
        <w:t xml:space="preserve"> </w:t>
      </w:r>
      <w:r>
        <w:rPr>
          <w:spacing w:val="-1"/>
        </w:rPr>
        <w:t>are</w:t>
      </w:r>
      <w:r>
        <w:rPr>
          <w:spacing w:val="29"/>
        </w:rPr>
        <w:t xml:space="preserve"> </w:t>
      </w:r>
      <w:r>
        <w:t>a</w:t>
      </w:r>
      <w:r>
        <w:rPr>
          <w:spacing w:val="30"/>
        </w:rPr>
        <w:t xml:space="preserve"> </w:t>
      </w:r>
      <w:r>
        <w:rPr>
          <w:spacing w:val="-1"/>
        </w:rPr>
        <w:t>good</w:t>
      </w:r>
      <w:r>
        <w:rPr>
          <w:spacing w:val="30"/>
        </w:rPr>
        <w:t xml:space="preserve"> </w:t>
      </w:r>
      <w:r>
        <w:t>number</w:t>
      </w:r>
      <w:r>
        <w:rPr>
          <w:spacing w:val="31"/>
        </w:rPr>
        <w:t xml:space="preserve"> </w:t>
      </w:r>
      <w:r>
        <w:t>of</w:t>
      </w:r>
      <w:r>
        <w:rPr>
          <w:spacing w:val="27"/>
        </w:rPr>
        <w:t xml:space="preserve"> </w:t>
      </w:r>
      <w:r>
        <w:t>our</w:t>
      </w:r>
      <w:r>
        <w:rPr>
          <w:spacing w:val="27"/>
        </w:rPr>
        <w:t xml:space="preserve"> </w:t>
      </w:r>
      <w:r>
        <w:t>jobs</w:t>
      </w:r>
      <w:r>
        <w:rPr>
          <w:spacing w:val="31"/>
        </w:rPr>
        <w:t xml:space="preserve"> </w:t>
      </w:r>
      <w:r>
        <w:rPr>
          <w:spacing w:val="-1"/>
        </w:rPr>
        <w:t>across</w:t>
      </w:r>
      <w:r>
        <w:rPr>
          <w:spacing w:val="28"/>
        </w:rPr>
        <w:t xml:space="preserve"> </w:t>
      </w:r>
      <w:r>
        <w:t>the</w:t>
      </w:r>
      <w:r>
        <w:rPr>
          <w:spacing w:val="28"/>
        </w:rPr>
        <w:t xml:space="preserve"> </w:t>
      </w:r>
      <w:r>
        <w:rPr>
          <w:spacing w:val="-1"/>
        </w:rPr>
        <w:t>service,</w:t>
      </w:r>
      <w:r>
        <w:rPr>
          <w:spacing w:val="28"/>
        </w:rPr>
        <w:t xml:space="preserve"> </w:t>
      </w:r>
      <w:r>
        <w:t>not</w:t>
      </w:r>
      <w:r>
        <w:rPr>
          <w:spacing w:val="29"/>
        </w:rPr>
        <w:t xml:space="preserve"> </w:t>
      </w:r>
      <w:r>
        <w:t>just</w:t>
      </w:r>
      <w:r>
        <w:rPr>
          <w:spacing w:val="29"/>
        </w:rPr>
        <w:t xml:space="preserve"> </w:t>
      </w:r>
      <w:r>
        <w:t>in</w:t>
      </w:r>
      <w:r>
        <w:rPr>
          <w:spacing w:val="29"/>
        </w:rPr>
        <w:t xml:space="preserve"> </w:t>
      </w:r>
      <w:r>
        <w:rPr>
          <w:spacing w:val="-1"/>
        </w:rPr>
        <w:t>relation</w:t>
      </w:r>
      <w:r>
        <w:rPr>
          <w:spacing w:val="26"/>
        </w:rPr>
        <w:t xml:space="preserve"> </w:t>
      </w:r>
      <w:r>
        <w:t>to</w:t>
      </w:r>
      <w:r>
        <w:rPr>
          <w:spacing w:val="29"/>
        </w:rPr>
        <w:t xml:space="preserve"> </w:t>
      </w:r>
      <w:r>
        <w:t>the</w:t>
      </w:r>
      <w:r>
        <w:rPr>
          <w:spacing w:val="28"/>
        </w:rPr>
        <w:t xml:space="preserve"> </w:t>
      </w:r>
      <w:r>
        <w:rPr>
          <w:spacing w:val="-1"/>
        </w:rPr>
        <w:t>particular</w:t>
      </w:r>
      <w:r>
        <w:rPr>
          <w:spacing w:val="27"/>
        </w:rPr>
        <w:t xml:space="preserve"> </w:t>
      </w:r>
      <w:r>
        <w:rPr>
          <w:spacing w:val="-1"/>
        </w:rPr>
        <w:t>group</w:t>
      </w:r>
      <w:r>
        <w:rPr>
          <w:spacing w:val="27"/>
        </w:rPr>
        <w:t xml:space="preserve"> </w:t>
      </w:r>
      <w:r>
        <w:t>we</w:t>
      </w:r>
      <w:r>
        <w:rPr>
          <w:spacing w:val="27"/>
        </w:rPr>
        <w:t xml:space="preserve"> </w:t>
      </w:r>
      <w:r>
        <w:t>are</w:t>
      </w:r>
      <w:r>
        <w:rPr>
          <w:spacing w:val="26"/>
        </w:rPr>
        <w:t xml:space="preserve"> </w:t>
      </w:r>
      <w:r>
        <w:t>discussing</w:t>
      </w:r>
      <w:r>
        <w:rPr>
          <w:spacing w:val="26"/>
        </w:rPr>
        <w:t xml:space="preserve"> </w:t>
      </w:r>
      <w:r>
        <w:t>this</w:t>
      </w:r>
      <w:r>
        <w:rPr>
          <w:spacing w:val="43"/>
        </w:rPr>
        <w:t xml:space="preserve"> </w:t>
      </w:r>
      <w:r>
        <w:rPr>
          <w:spacing w:val="-1"/>
        </w:rPr>
        <w:t>morning,</w:t>
      </w:r>
      <w:r>
        <w:rPr>
          <w:spacing w:val="2"/>
        </w:rPr>
        <w:t xml:space="preserve"> </w:t>
      </w:r>
      <w:r>
        <w:t>where</w:t>
      </w:r>
      <w:r>
        <w:rPr>
          <w:spacing w:val="5"/>
        </w:rPr>
        <w:t xml:space="preserve"> </w:t>
      </w:r>
      <w:r>
        <w:t>I</w:t>
      </w:r>
      <w:r>
        <w:rPr>
          <w:spacing w:val="1"/>
        </w:rPr>
        <w:t xml:space="preserve"> </w:t>
      </w:r>
      <w:r>
        <w:t>would</w:t>
      </w:r>
      <w:r>
        <w:rPr>
          <w:spacing w:val="4"/>
        </w:rPr>
        <w:t xml:space="preserve"> </w:t>
      </w:r>
      <w:r>
        <w:t>be</w:t>
      </w:r>
      <w:r>
        <w:rPr>
          <w:spacing w:val="1"/>
        </w:rPr>
        <w:t xml:space="preserve"> </w:t>
      </w:r>
      <w:r>
        <w:t>much</w:t>
      </w:r>
      <w:r>
        <w:rPr>
          <w:spacing w:val="2"/>
        </w:rPr>
        <w:t xml:space="preserve"> </w:t>
      </w:r>
      <w:r>
        <w:t>more</w:t>
      </w:r>
      <w:r>
        <w:rPr>
          <w:spacing w:val="1"/>
        </w:rPr>
        <w:t xml:space="preserve"> </w:t>
      </w:r>
      <w:r>
        <w:rPr>
          <w:spacing w:val="-1"/>
        </w:rPr>
        <w:t>interested</w:t>
      </w:r>
      <w:r>
        <w:rPr>
          <w:spacing w:val="4"/>
        </w:rPr>
        <w:t xml:space="preserve"> </w:t>
      </w:r>
      <w:r>
        <w:t>to</w:t>
      </w:r>
      <w:r>
        <w:rPr>
          <w:spacing w:val="2"/>
        </w:rPr>
        <w:t xml:space="preserve"> </w:t>
      </w:r>
      <w:r>
        <w:t>know</w:t>
      </w:r>
      <w:r>
        <w:rPr>
          <w:spacing w:val="1"/>
        </w:rPr>
        <w:t xml:space="preserve"> </w:t>
      </w:r>
      <w:r>
        <w:t>their</w:t>
      </w:r>
      <w:r>
        <w:rPr>
          <w:spacing w:val="1"/>
        </w:rPr>
        <w:t xml:space="preserve"> </w:t>
      </w:r>
      <w:r>
        <w:t>capacity</w:t>
      </w:r>
      <w:r>
        <w:rPr>
          <w:spacing w:val="-3"/>
        </w:rPr>
        <w:t xml:space="preserve"> </w:t>
      </w:r>
      <w:r>
        <w:t>to</w:t>
      </w:r>
      <w:r>
        <w:rPr>
          <w:spacing w:val="4"/>
        </w:rPr>
        <w:t xml:space="preserve"> </w:t>
      </w:r>
      <w:r>
        <w:rPr>
          <w:spacing w:val="-1"/>
        </w:rPr>
        <w:t>deliver</w:t>
      </w:r>
      <w:r>
        <w:rPr>
          <w:spacing w:val="1"/>
        </w:rPr>
        <w:t xml:space="preserve"> </w:t>
      </w:r>
      <w:r>
        <w:t>the</w:t>
      </w:r>
      <w:r>
        <w:rPr>
          <w:spacing w:val="46"/>
        </w:rPr>
        <w:t xml:space="preserve"> </w:t>
      </w:r>
      <w:r>
        <w:t xml:space="preserve">job, of </w:t>
      </w:r>
      <w:r>
        <w:rPr>
          <w:spacing w:val="-1"/>
        </w:rPr>
        <w:t>which</w:t>
      </w:r>
      <w:r>
        <w:t xml:space="preserve"> </w:t>
      </w:r>
      <w:r>
        <w:rPr>
          <w:spacing w:val="-1"/>
        </w:rPr>
        <w:t>writing</w:t>
      </w:r>
      <w:r>
        <w:rPr>
          <w:spacing w:val="-2"/>
        </w:rPr>
        <w:t xml:space="preserve"> </w:t>
      </w:r>
      <w:r>
        <w:t>has</w:t>
      </w:r>
      <w:r>
        <w:rPr>
          <w:spacing w:val="2"/>
        </w:rPr>
        <w:t xml:space="preserve"> </w:t>
      </w:r>
      <w:r>
        <w:t>very</w:t>
      </w:r>
      <w:r>
        <w:rPr>
          <w:spacing w:val="-5"/>
        </w:rPr>
        <w:t xml:space="preserve"> </w:t>
      </w:r>
      <w:r>
        <w:t xml:space="preserve">little </w:t>
      </w:r>
      <w:r>
        <w:rPr>
          <w:spacing w:val="-1"/>
        </w:rPr>
        <w:t>part.</w:t>
      </w:r>
    </w:p>
    <w:p w:rsidR="006D4D1D" w:rsidRPr="006E5FF2" w:rsidRDefault="006E5FF2" w:rsidP="006E5FF2">
      <w:pPr>
        <w:pStyle w:val="Quote"/>
      </w:pPr>
      <w:r>
        <w:rPr>
          <w:spacing w:val="-2"/>
        </w:rPr>
        <w:t>In</w:t>
      </w:r>
      <w:r>
        <w:rPr>
          <w:spacing w:val="11"/>
        </w:rPr>
        <w:t xml:space="preserve"> </w:t>
      </w:r>
      <w:r>
        <w:t>the</w:t>
      </w:r>
      <w:r>
        <w:rPr>
          <w:spacing w:val="10"/>
        </w:rPr>
        <w:t xml:space="preserve"> </w:t>
      </w:r>
      <w:r>
        <w:t>context</w:t>
      </w:r>
      <w:r>
        <w:rPr>
          <w:spacing w:val="12"/>
        </w:rPr>
        <w:t xml:space="preserve"> </w:t>
      </w:r>
      <w:r>
        <w:t>of</w:t>
      </w:r>
      <w:r>
        <w:rPr>
          <w:spacing w:val="11"/>
        </w:rPr>
        <w:t xml:space="preserve"> </w:t>
      </w:r>
      <w:r>
        <w:t>the</w:t>
      </w:r>
      <w:r>
        <w:rPr>
          <w:spacing w:val="11"/>
        </w:rPr>
        <w:t xml:space="preserve"> </w:t>
      </w:r>
      <w:r>
        <w:t>review</w:t>
      </w:r>
      <w:r>
        <w:rPr>
          <w:spacing w:val="10"/>
        </w:rPr>
        <w:t xml:space="preserve"> </w:t>
      </w:r>
      <w:r>
        <w:t>of</w:t>
      </w:r>
      <w:r>
        <w:rPr>
          <w:spacing w:val="11"/>
        </w:rPr>
        <w:t xml:space="preserve"> </w:t>
      </w:r>
      <w:r>
        <w:t>the</w:t>
      </w:r>
      <w:r>
        <w:rPr>
          <w:spacing w:val="13"/>
        </w:rPr>
        <w:t xml:space="preserve"> [</w:t>
      </w:r>
      <w:r w:rsidRPr="006E5FF2">
        <w:rPr>
          <w:i/>
          <w:spacing w:val="13"/>
        </w:rPr>
        <w:t>Public Sector Management Act 1994</w:t>
      </w:r>
      <w:r>
        <w:rPr>
          <w:spacing w:val="13"/>
        </w:rPr>
        <w:t>] ...</w:t>
      </w:r>
      <w:r>
        <w:rPr>
          <w:spacing w:val="12"/>
        </w:rPr>
        <w:t xml:space="preserve"> </w:t>
      </w:r>
      <w:r>
        <w:t>which</w:t>
      </w:r>
      <w:r>
        <w:rPr>
          <w:spacing w:val="11"/>
        </w:rPr>
        <w:t xml:space="preserve"> </w:t>
      </w:r>
      <w:r>
        <w:t>we</w:t>
      </w:r>
      <w:r>
        <w:rPr>
          <w:spacing w:val="12"/>
        </w:rPr>
        <w:t xml:space="preserve"> </w:t>
      </w:r>
      <w:r>
        <w:rPr>
          <w:spacing w:val="-1"/>
        </w:rPr>
        <w:t>are</w:t>
      </w:r>
      <w:r>
        <w:rPr>
          <w:spacing w:val="12"/>
        </w:rPr>
        <w:t xml:space="preserve"> </w:t>
      </w:r>
      <w:r>
        <w:t>currently</w:t>
      </w:r>
      <w:r>
        <w:rPr>
          <w:spacing w:val="9"/>
        </w:rPr>
        <w:t xml:space="preserve"> </w:t>
      </w:r>
      <w:r>
        <w:t>working</w:t>
      </w:r>
      <w:r>
        <w:rPr>
          <w:spacing w:val="9"/>
        </w:rPr>
        <w:t xml:space="preserve"> </w:t>
      </w:r>
      <w:r>
        <w:t>on,</w:t>
      </w:r>
      <w:r>
        <w:rPr>
          <w:spacing w:val="11"/>
        </w:rPr>
        <w:t xml:space="preserve"> </w:t>
      </w:r>
      <w:r>
        <w:t>one</w:t>
      </w:r>
      <w:r>
        <w:rPr>
          <w:spacing w:val="10"/>
        </w:rPr>
        <w:t xml:space="preserve"> </w:t>
      </w:r>
      <w:r>
        <w:t>of</w:t>
      </w:r>
      <w:r>
        <w:rPr>
          <w:spacing w:val="11"/>
        </w:rPr>
        <w:t xml:space="preserve"> </w:t>
      </w:r>
      <w:r>
        <w:t>the</w:t>
      </w:r>
      <w:r>
        <w:rPr>
          <w:spacing w:val="22"/>
        </w:rPr>
        <w:t xml:space="preserve"> </w:t>
      </w:r>
      <w:r>
        <w:rPr>
          <w:spacing w:val="-1"/>
        </w:rPr>
        <w:t>significant</w:t>
      </w:r>
      <w:r>
        <w:rPr>
          <w:spacing w:val="17"/>
        </w:rPr>
        <w:t xml:space="preserve"> </w:t>
      </w:r>
      <w:r>
        <w:rPr>
          <w:spacing w:val="-1"/>
        </w:rPr>
        <w:t>conversations</w:t>
      </w:r>
      <w:r>
        <w:rPr>
          <w:spacing w:val="18"/>
        </w:rPr>
        <w:t xml:space="preserve"> </w:t>
      </w:r>
      <w:r>
        <w:t>we</w:t>
      </w:r>
      <w:r>
        <w:rPr>
          <w:spacing w:val="15"/>
        </w:rPr>
        <w:t xml:space="preserve"> </w:t>
      </w:r>
      <w:r>
        <w:rPr>
          <w:spacing w:val="-1"/>
        </w:rPr>
        <w:t>were</w:t>
      </w:r>
      <w:r>
        <w:rPr>
          <w:spacing w:val="15"/>
        </w:rPr>
        <w:t xml:space="preserve"> </w:t>
      </w:r>
      <w:r>
        <w:rPr>
          <w:spacing w:val="-1"/>
        </w:rPr>
        <w:t>having</w:t>
      </w:r>
      <w:r>
        <w:rPr>
          <w:spacing w:val="17"/>
        </w:rPr>
        <w:t xml:space="preserve"> </w:t>
      </w:r>
      <w:r>
        <w:rPr>
          <w:spacing w:val="-1"/>
        </w:rPr>
        <w:t>as</w:t>
      </w:r>
      <w:r>
        <w:rPr>
          <w:spacing w:val="16"/>
        </w:rPr>
        <w:t xml:space="preserve"> </w:t>
      </w:r>
      <w:r>
        <w:t>recently</w:t>
      </w:r>
      <w:r>
        <w:rPr>
          <w:spacing w:val="11"/>
        </w:rPr>
        <w:t xml:space="preserve"> </w:t>
      </w:r>
      <w:r>
        <w:rPr>
          <w:spacing w:val="-1"/>
        </w:rPr>
        <w:t>as</w:t>
      </w:r>
      <w:r>
        <w:rPr>
          <w:spacing w:val="19"/>
        </w:rPr>
        <w:t xml:space="preserve"> </w:t>
      </w:r>
      <w:r>
        <w:t>yesterday</w:t>
      </w:r>
      <w:r>
        <w:rPr>
          <w:spacing w:val="9"/>
        </w:rPr>
        <w:t xml:space="preserve"> </w:t>
      </w:r>
      <w:r>
        <w:t>is</w:t>
      </w:r>
      <w:r>
        <w:rPr>
          <w:spacing w:val="23"/>
        </w:rPr>
        <w:t xml:space="preserve"> </w:t>
      </w:r>
      <w:r>
        <w:t>what</w:t>
      </w:r>
      <w:r>
        <w:rPr>
          <w:spacing w:val="17"/>
        </w:rPr>
        <w:t xml:space="preserve"> </w:t>
      </w:r>
      <w:r>
        <w:rPr>
          <w:spacing w:val="-1"/>
        </w:rPr>
        <w:t>does</w:t>
      </w:r>
      <w:r>
        <w:rPr>
          <w:spacing w:val="16"/>
        </w:rPr>
        <w:t xml:space="preserve"> </w:t>
      </w:r>
      <w:r>
        <w:rPr>
          <w:spacing w:val="-1"/>
        </w:rPr>
        <w:t>merit</w:t>
      </w:r>
      <w:r>
        <w:rPr>
          <w:spacing w:val="75"/>
        </w:rPr>
        <w:t xml:space="preserve"> </w:t>
      </w:r>
      <w:r>
        <w:t>actually</w:t>
      </w:r>
      <w:r>
        <w:rPr>
          <w:spacing w:val="-5"/>
        </w:rPr>
        <w:t xml:space="preserve"> </w:t>
      </w:r>
      <w:r>
        <w:t>look like?</w:t>
      </w:r>
      <w:r>
        <w:rPr>
          <w:spacing w:val="3"/>
        </w:rPr>
        <w:t xml:space="preserve"> </w:t>
      </w:r>
      <w:r>
        <w:t>As a</w:t>
      </w:r>
      <w:r>
        <w:rPr>
          <w:spacing w:val="-2"/>
        </w:rPr>
        <w:t xml:space="preserve"> </w:t>
      </w:r>
      <w:r>
        <w:t>public</w:t>
      </w:r>
      <w:r>
        <w:rPr>
          <w:spacing w:val="-1"/>
        </w:rPr>
        <w:t xml:space="preserve"> service,</w:t>
      </w:r>
      <w:r>
        <w:rPr>
          <w:spacing w:val="2"/>
        </w:rPr>
        <w:t xml:space="preserve"> </w:t>
      </w:r>
      <w:r>
        <w:t>of</w:t>
      </w:r>
      <w:r>
        <w:rPr>
          <w:spacing w:val="1"/>
        </w:rPr>
        <w:t xml:space="preserve"> </w:t>
      </w:r>
      <w:r>
        <w:rPr>
          <w:spacing w:val="-1"/>
        </w:rPr>
        <w:t>course,</w:t>
      </w:r>
      <w:r>
        <w:rPr>
          <w:spacing w:val="4"/>
        </w:rPr>
        <w:t xml:space="preserve"> </w:t>
      </w:r>
      <w:r>
        <w:t>we</w:t>
      </w:r>
      <w:r>
        <w:rPr>
          <w:spacing w:val="-2"/>
        </w:rPr>
        <w:t xml:space="preserve"> </w:t>
      </w:r>
      <w:r>
        <w:t>need to make</w:t>
      </w:r>
      <w:r>
        <w:rPr>
          <w:spacing w:val="-1"/>
        </w:rPr>
        <w:t xml:space="preserve"> selection</w:t>
      </w:r>
      <w:r>
        <w:t xml:space="preserve"> </w:t>
      </w:r>
      <w:r>
        <w:rPr>
          <w:spacing w:val="-1"/>
        </w:rPr>
        <w:t>processes</w:t>
      </w:r>
      <w:r>
        <w:rPr>
          <w:spacing w:val="59"/>
        </w:rPr>
        <w:t xml:space="preserve"> </w:t>
      </w:r>
      <w:r>
        <w:rPr>
          <w:spacing w:val="-1"/>
        </w:rPr>
        <w:t>based</w:t>
      </w:r>
      <w:r>
        <w:rPr>
          <w:spacing w:val="16"/>
        </w:rPr>
        <w:t xml:space="preserve"> </w:t>
      </w:r>
      <w:r>
        <w:t>on</w:t>
      </w:r>
      <w:r>
        <w:rPr>
          <w:spacing w:val="16"/>
        </w:rPr>
        <w:t xml:space="preserve"> </w:t>
      </w:r>
      <w:r>
        <w:rPr>
          <w:spacing w:val="-1"/>
        </w:rPr>
        <w:t>merit,</w:t>
      </w:r>
      <w:r>
        <w:rPr>
          <w:spacing w:val="16"/>
        </w:rPr>
        <w:t xml:space="preserve"> </w:t>
      </w:r>
      <w:r>
        <w:rPr>
          <w:spacing w:val="-1"/>
        </w:rPr>
        <w:t>which</w:t>
      </w:r>
      <w:r>
        <w:rPr>
          <w:spacing w:val="18"/>
        </w:rPr>
        <w:t xml:space="preserve"> </w:t>
      </w:r>
      <w:r>
        <w:t>go</w:t>
      </w:r>
      <w:r>
        <w:rPr>
          <w:spacing w:val="16"/>
        </w:rPr>
        <w:t xml:space="preserve"> </w:t>
      </w:r>
      <w:r>
        <w:t>to</w:t>
      </w:r>
      <w:r>
        <w:rPr>
          <w:spacing w:val="17"/>
        </w:rPr>
        <w:t xml:space="preserve"> </w:t>
      </w:r>
      <w:r>
        <w:t>both</w:t>
      </w:r>
      <w:r>
        <w:rPr>
          <w:spacing w:val="17"/>
        </w:rPr>
        <w:t xml:space="preserve"> </w:t>
      </w:r>
      <w:r>
        <w:t>opportunity</w:t>
      </w:r>
      <w:r>
        <w:rPr>
          <w:spacing w:val="9"/>
        </w:rPr>
        <w:t xml:space="preserve"> </w:t>
      </w:r>
      <w:r>
        <w:t>to</w:t>
      </w:r>
      <w:r>
        <w:rPr>
          <w:spacing w:val="17"/>
        </w:rPr>
        <w:t xml:space="preserve"> </w:t>
      </w:r>
      <w:r>
        <w:rPr>
          <w:spacing w:val="-1"/>
        </w:rPr>
        <w:t>compete</w:t>
      </w:r>
      <w:r>
        <w:rPr>
          <w:spacing w:val="15"/>
        </w:rPr>
        <w:t xml:space="preserve"> </w:t>
      </w:r>
      <w:r>
        <w:t>for</w:t>
      </w:r>
      <w:r>
        <w:rPr>
          <w:spacing w:val="15"/>
        </w:rPr>
        <w:t xml:space="preserve"> </w:t>
      </w:r>
      <w:r>
        <w:t>positions</w:t>
      </w:r>
      <w:r>
        <w:rPr>
          <w:spacing w:val="16"/>
        </w:rPr>
        <w:t xml:space="preserve"> </w:t>
      </w:r>
      <w:r>
        <w:rPr>
          <w:spacing w:val="-1"/>
        </w:rPr>
        <w:t>as</w:t>
      </w:r>
      <w:r>
        <w:rPr>
          <w:spacing w:val="18"/>
        </w:rPr>
        <w:t xml:space="preserve"> </w:t>
      </w:r>
      <w:r>
        <w:rPr>
          <w:spacing w:val="-1"/>
        </w:rPr>
        <w:t>well</w:t>
      </w:r>
      <w:r>
        <w:rPr>
          <w:spacing w:val="17"/>
        </w:rPr>
        <w:t xml:space="preserve"> </w:t>
      </w:r>
      <w:r>
        <w:rPr>
          <w:spacing w:val="-1"/>
        </w:rPr>
        <w:t>as</w:t>
      </w:r>
      <w:r>
        <w:rPr>
          <w:spacing w:val="16"/>
        </w:rPr>
        <w:t xml:space="preserve"> </w:t>
      </w:r>
      <w:r>
        <w:t>the</w:t>
      </w:r>
      <w:r>
        <w:rPr>
          <w:spacing w:val="45"/>
        </w:rPr>
        <w:t xml:space="preserve"> </w:t>
      </w:r>
      <w:r>
        <w:rPr>
          <w:spacing w:val="1"/>
        </w:rPr>
        <w:t>way</w:t>
      </w:r>
      <w:r>
        <w:rPr>
          <w:spacing w:val="16"/>
        </w:rPr>
        <w:t xml:space="preserve"> </w:t>
      </w:r>
      <w:r>
        <w:t>in</w:t>
      </w:r>
      <w:r>
        <w:rPr>
          <w:spacing w:val="21"/>
        </w:rPr>
        <w:t xml:space="preserve"> </w:t>
      </w:r>
      <w:r>
        <w:rPr>
          <w:spacing w:val="-1"/>
        </w:rPr>
        <w:t>which</w:t>
      </w:r>
      <w:r>
        <w:rPr>
          <w:spacing w:val="23"/>
        </w:rPr>
        <w:t xml:space="preserve"> </w:t>
      </w:r>
      <w:r>
        <w:t>we</w:t>
      </w:r>
      <w:r>
        <w:rPr>
          <w:spacing w:val="19"/>
        </w:rPr>
        <w:t xml:space="preserve"> </w:t>
      </w:r>
      <w:r>
        <w:t>make</w:t>
      </w:r>
      <w:r>
        <w:rPr>
          <w:spacing w:val="20"/>
        </w:rPr>
        <w:t xml:space="preserve"> </w:t>
      </w:r>
      <w:r>
        <w:t>that</w:t>
      </w:r>
      <w:r>
        <w:rPr>
          <w:spacing w:val="21"/>
        </w:rPr>
        <w:t xml:space="preserve"> </w:t>
      </w:r>
      <w:r>
        <w:rPr>
          <w:spacing w:val="-1"/>
        </w:rPr>
        <w:t>relative</w:t>
      </w:r>
      <w:r>
        <w:rPr>
          <w:spacing w:val="23"/>
        </w:rPr>
        <w:t xml:space="preserve"> </w:t>
      </w:r>
      <w:r>
        <w:rPr>
          <w:spacing w:val="-1"/>
        </w:rPr>
        <w:t>assessment.</w:t>
      </w:r>
      <w:r>
        <w:rPr>
          <w:spacing w:val="23"/>
        </w:rPr>
        <w:t xml:space="preserve"> </w:t>
      </w:r>
      <w:r>
        <w:rPr>
          <w:spacing w:val="-1"/>
        </w:rPr>
        <w:t>But</w:t>
      </w:r>
      <w:r>
        <w:rPr>
          <w:spacing w:val="21"/>
        </w:rPr>
        <w:t xml:space="preserve"> </w:t>
      </w:r>
      <w:r>
        <w:rPr>
          <w:spacing w:val="-1"/>
        </w:rPr>
        <w:t>as</w:t>
      </w:r>
      <w:r>
        <w:rPr>
          <w:spacing w:val="24"/>
        </w:rPr>
        <w:t xml:space="preserve"> </w:t>
      </w:r>
      <w:r>
        <w:t>we</w:t>
      </w:r>
      <w:r>
        <w:rPr>
          <w:spacing w:val="19"/>
        </w:rPr>
        <w:t xml:space="preserve"> </w:t>
      </w:r>
      <w:r>
        <w:rPr>
          <w:spacing w:val="-1"/>
        </w:rPr>
        <w:t>reframe</w:t>
      </w:r>
      <w:r>
        <w:rPr>
          <w:spacing w:val="20"/>
        </w:rPr>
        <w:t xml:space="preserve"> </w:t>
      </w:r>
      <w:r>
        <w:rPr>
          <w:spacing w:val="1"/>
        </w:rPr>
        <w:t>those</w:t>
      </w:r>
      <w:r>
        <w:rPr>
          <w:spacing w:val="22"/>
        </w:rPr>
        <w:t xml:space="preserve"> </w:t>
      </w:r>
      <w:r>
        <w:rPr>
          <w:spacing w:val="-1"/>
        </w:rPr>
        <w:t>guidelines</w:t>
      </w:r>
      <w:r>
        <w:rPr>
          <w:spacing w:val="77"/>
        </w:rPr>
        <w:t xml:space="preserve"> </w:t>
      </w:r>
      <w:r>
        <w:t>for</w:t>
      </w:r>
      <w:r>
        <w:rPr>
          <w:spacing w:val="10"/>
        </w:rPr>
        <w:t xml:space="preserve"> </w:t>
      </w:r>
      <w:r>
        <w:rPr>
          <w:spacing w:val="-1"/>
        </w:rPr>
        <w:t>general</w:t>
      </w:r>
      <w:r>
        <w:rPr>
          <w:spacing w:val="12"/>
        </w:rPr>
        <w:t xml:space="preserve"> </w:t>
      </w:r>
      <w:r>
        <w:rPr>
          <w:spacing w:val="-1"/>
        </w:rPr>
        <w:t>application</w:t>
      </w:r>
      <w:r>
        <w:rPr>
          <w:spacing w:val="11"/>
        </w:rPr>
        <w:t xml:space="preserve"> </w:t>
      </w:r>
      <w:r>
        <w:rPr>
          <w:spacing w:val="-1"/>
        </w:rPr>
        <w:t>as</w:t>
      </w:r>
      <w:r>
        <w:rPr>
          <w:spacing w:val="9"/>
        </w:rPr>
        <w:t xml:space="preserve"> </w:t>
      </w:r>
      <w:r>
        <w:rPr>
          <w:spacing w:val="-1"/>
        </w:rPr>
        <w:t>well</w:t>
      </w:r>
      <w:r>
        <w:rPr>
          <w:spacing w:val="10"/>
        </w:rPr>
        <w:t xml:space="preserve"> </w:t>
      </w:r>
      <w:r>
        <w:rPr>
          <w:spacing w:val="-1"/>
        </w:rPr>
        <w:t>as</w:t>
      </w:r>
      <w:r>
        <w:rPr>
          <w:spacing w:val="12"/>
        </w:rPr>
        <w:t xml:space="preserve"> </w:t>
      </w:r>
      <w:r>
        <w:t>for</w:t>
      </w:r>
      <w:r>
        <w:rPr>
          <w:spacing w:val="7"/>
        </w:rPr>
        <w:t xml:space="preserve"> </w:t>
      </w:r>
      <w:r>
        <w:t>particular</w:t>
      </w:r>
      <w:r>
        <w:rPr>
          <w:spacing w:val="8"/>
        </w:rPr>
        <w:t xml:space="preserve"> </w:t>
      </w:r>
      <w:r>
        <w:rPr>
          <w:spacing w:val="-1"/>
        </w:rPr>
        <w:t>groups</w:t>
      </w:r>
      <w:r>
        <w:rPr>
          <w:spacing w:val="9"/>
        </w:rPr>
        <w:t xml:space="preserve"> </w:t>
      </w:r>
      <w:r>
        <w:t>for</w:t>
      </w:r>
      <w:r>
        <w:rPr>
          <w:spacing w:val="10"/>
        </w:rPr>
        <w:t xml:space="preserve"> </w:t>
      </w:r>
      <w:r>
        <w:rPr>
          <w:spacing w:val="-1"/>
        </w:rPr>
        <w:t>which</w:t>
      </w:r>
      <w:r>
        <w:rPr>
          <w:spacing w:val="9"/>
        </w:rPr>
        <w:t xml:space="preserve"> </w:t>
      </w:r>
      <w:r>
        <w:t>we</w:t>
      </w:r>
      <w:r>
        <w:rPr>
          <w:spacing w:val="10"/>
        </w:rPr>
        <w:t xml:space="preserve"> </w:t>
      </w:r>
      <w:r>
        <w:rPr>
          <w:spacing w:val="-1"/>
        </w:rPr>
        <w:t>have</w:t>
      </w:r>
      <w:r>
        <w:rPr>
          <w:spacing w:val="10"/>
        </w:rPr>
        <w:t xml:space="preserve"> </w:t>
      </w:r>
      <w:r>
        <w:rPr>
          <w:spacing w:val="-1"/>
        </w:rPr>
        <w:t>got strategies</w:t>
      </w:r>
      <w:r>
        <w:rPr>
          <w:spacing w:val="4"/>
        </w:rPr>
        <w:t xml:space="preserve"> </w:t>
      </w:r>
      <w:r>
        <w:t>in</w:t>
      </w:r>
      <w:r>
        <w:rPr>
          <w:spacing w:val="5"/>
        </w:rPr>
        <w:t xml:space="preserve"> </w:t>
      </w:r>
      <w:r>
        <w:rPr>
          <w:spacing w:val="-1"/>
        </w:rPr>
        <w:t>place,</w:t>
      </w:r>
      <w:r>
        <w:rPr>
          <w:spacing w:val="6"/>
        </w:rPr>
        <w:t xml:space="preserve"> </w:t>
      </w:r>
      <w:r>
        <w:t>I</w:t>
      </w:r>
      <w:r>
        <w:rPr>
          <w:spacing w:val="-1"/>
        </w:rPr>
        <w:t xml:space="preserve"> </w:t>
      </w:r>
      <w:r>
        <w:t>think</w:t>
      </w:r>
      <w:r>
        <w:rPr>
          <w:spacing w:val="4"/>
        </w:rPr>
        <w:t xml:space="preserve"> </w:t>
      </w:r>
      <w:r>
        <w:rPr>
          <w:spacing w:val="-1"/>
        </w:rPr>
        <w:t>there</w:t>
      </w:r>
      <w:r>
        <w:rPr>
          <w:spacing w:val="3"/>
        </w:rPr>
        <w:t xml:space="preserve"> </w:t>
      </w:r>
      <w:r>
        <w:t>is</w:t>
      </w:r>
      <w:r>
        <w:rPr>
          <w:spacing w:val="5"/>
        </w:rPr>
        <w:t xml:space="preserve"> </w:t>
      </w:r>
      <w:r>
        <w:t>room</w:t>
      </w:r>
      <w:r>
        <w:rPr>
          <w:spacing w:val="4"/>
        </w:rPr>
        <w:t xml:space="preserve"> </w:t>
      </w:r>
      <w:r>
        <w:t>in</w:t>
      </w:r>
      <w:r>
        <w:rPr>
          <w:spacing w:val="2"/>
        </w:rPr>
        <w:t xml:space="preserve"> </w:t>
      </w:r>
      <w:r>
        <w:rPr>
          <w:spacing w:val="-1"/>
        </w:rPr>
        <w:t>there</w:t>
      </w:r>
      <w:r>
        <w:rPr>
          <w:spacing w:val="3"/>
        </w:rPr>
        <w:t xml:space="preserve"> </w:t>
      </w:r>
      <w:r>
        <w:rPr>
          <w:spacing w:val="-1"/>
        </w:rPr>
        <w:t>to</w:t>
      </w:r>
      <w:r>
        <w:rPr>
          <w:spacing w:val="4"/>
        </w:rPr>
        <w:t xml:space="preserve"> </w:t>
      </w:r>
      <w:r>
        <w:t>be</w:t>
      </w:r>
      <w:r>
        <w:rPr>
          <w:spacing w:val="3"/>
        </w:rPr>
        <w:t xml:space="preserve"> </w:t>
      </w:r>
      <w:r>
        <w:rPr>
          <w:spacing w:val="-1"/>
        </w:rPr>
        <w:t>clearer</w:t>
      </w:r>
      <w:r>
        <w:rPr>
          <w:spacing w:val="3"/>
        </w:rPr>
        <w:t xml:space="preserve"> </w:t>
      </w:r>
      <w:r>
        <w:t>that</w:t>
      </w:r>
      <w:r>
        <w:rPr>
          <w:spacing w:val="4"/>
        </w:rPr>
        <w:t xml:space="preserve"> </w:t>
      </w:r>
      <w:r>
        <w:rPr>
          <w:spacing w:val="-1"/>
        </w:rPr>
        <w:t>there</w:t>
      </w:r>
      <w:r>
        <w:rPr>
          <w:spacing w:val="3"/>
        </w:rPr>
        <w:t xml:space="preserve"> </w:t>
      </w:r>
      <w:r>
        <w:t>are</w:t>
      </w:r>
      <w:r>
        <w:rPr>
          <w:spacing w:val="5"/>
        </w:rPr>
        <w:t xml:space="preserve"> </w:t>
      </w:r>
      <w:r>
        <w:t>other</w:t>
      </w:r>
      <w:r>
        <w:rPr>
          <w:spacing w:val="3"/>
        </w:rPr>
        <w:t xml:space="preserve"> </w:t>
      </w:r>
      <w:r>
        <w:rPr>
          <w:spacing w:val="-1"/>
        </w:rPr>
        <w:t>ways</w:t>
      </w:r>
      <w:r>
        <w:rPr>
          <w:spacing w:val="47"/>
        </w:rPr>
        <w:t xml:space="preserve"> </w:t>
      </w:r>
      <w:r>
        <w:t>to</w:t>
      </w:r>
      <w:r>
        <w:rPr>
          <w:spacing w:val="9"/>
        </w:rPr>
        <w:t xml:space="preserve"> </w:t>
      </w:r>
      <w:r>
        <w:rPr>
          <w:spacing w:val="-1"/>
        </w:rPr>
        <w:t>assess</w:t>
      </w:r>
      <w:r>
        <w:rPr>
          <w:spacing w:val="9"/>
        </w:rPr>
        <w:t xml:space="preserve"> </w:t>
      </w:r>
      <w:r>
        <w:t>the</w:t>
      </w:r>
      <w:r>
        <w:rPr>
          <w:spacing w:val="8"/>
        </w:rPr>
        <w:t xml:space="preserve"> </w:t>
      </w:r>
      <w:r>
        <w:t>suitability</w:t>
      </w:r>
      <w:r>
        <w:rPr>
          <w:spacing w:val="4"/>
        </w:rPr>
        <w:t xml:space="preserve"> </w:t>
      </w:r>
      <w:r>
        <w:rPr>
          <w:spacing w:val="1"/>
        </w:rPr>
        <w:t>of</w:t>
      </w:r>
      <w:r>
        <w:rPr>
          <w:spacing w:val="8"/>
        </w:rPr>
        <w:t xml:space="preserve"> </w:t>
      </w:r>
      <w:r>
        <w:rPr>
          <w:spacing w:val="-1"/>
        </w:rPr>
        <w:t>people</w:t>
      </w:r>
      <w:r>
        <w:rPr>
          <w:spacing w:val="8"/>
        </w:rPr>
        <w:t xml:space="preserve"> </w:t>
      </w:r>
      <w:r>
        <w:t>for</w:t>
      </w:r>
      <w:r>
        <w:rPr>
          <w:spacing w:val="8"/>
        </w:rPr>
        <w:t xml:space="preserve"> </w:t>
      </w:r>
      <w:r>
        <w:t>positions</w:t>
      </w:r>
      <w:r>
        <w:rPr>
          <w:spacing w:val="9"/>
        </w:rPr>
        <w:t xml:space="preserve"> </w:t>
      </w:r>
      <w:r>
        <w:t>that</w:t>
      </w:r>
      <w:r>
        <w:rPr>
          <w:spacing w:val="9"/>
        </w:rPr>
        <w:t xml:space="preserve"> </w:t>
      </w:r>
      <w:r>
        <w:rPr>
          <w:spacing w:val="-1"/>
        </w:rPr>
        <w:t>are</w:t>
      </w:r>
      <w:r>
        <w:rPr>
          <w:spacing w:val="7"/>
        </w:rPr>
        <w:t xml:space="preserve"> </w:t>
      </w:r>
      <w:r>
        <w:t>perfectly</w:t>
      </w:r>
      <w:r>
        <w:rPr>
          <w:spacing w:val="12"/>
        </w:rPr>
        <w:t xml:space="preserve"> </w:t>
      </w:r>
      <w:r>
        <w:rPr>
          <w:spacing w:val="-1"/>
        </w:rPr>
        <w:t>valid</w:t>
      </w:r>
      <w:r>
        <w:rPr>
          <w:spacing w:val="9"/>
        </w:rPr>
        <w:t xml:space="preserve"> </w:t>
      </w:r>
      <w:r>
        <w:rPr>
          <w:spacing w:val="-1"/>
        </w:rPr>
        <w:t>and</w:t>
      </w:r>
      <w:r>
        <w:rPr>
          <w:spacing w:val="11"/>
        </w:rPr>
        <w:t xml:space="preserve"> </w:t>
      </w:r>
      <w:r>
        <w:t>do</w:t>
      </w:r>
      <w:r>
        <w:rPr>
          <w:spacing w:val="9"/>
        </w:rPr>
        <w:t xml:space="preserve"> </w:t>
      </w:r>
      <w:r>
        <w:t>not</w:t>
      </w:r>
      <w:r>
        <w:rPr>
          <w:spacing w:val="9"/>
        </w:rPr>
        <w:t xml:space="preserve"> </w:t>
      </w:r>
      <w:r>
        <w:t>rely</w:t>
      </w:r>
      <w:r>
        <w:rPr>
          <w:spacing w:val="52"/>
        </w:rPr>
        <w:t xml:space="preserve"> </w:t>
      </w:r>
      <w:r>
        <w:t>on long</w:t>
      </w:r>
      <w:r>
        <w:rPr>
          <w:spacing w:val="-2"/>
        </w:rPr>
        <w:t xml:space="preserve"> </w:t>
      </w:r>
      <w:r>
        <w:rPr>
          <w:spacing w:val="-1"/>
        </w:rPr>
        <w:t>statements</w:t>
      </w:r>
      <w:r>
        <w:t xml:space="preserve"> against </w:t>
      </w:r>
      <w:r>
        <w:rPr>
          <w:spacing w:val="-1"/>
        </w:rPr>
        <w:t>selection</w:t>
      </w:r>
      <w:r>
        <w:t xml:space="preserve"> </w:t>
      </w:r>
      <w:r>
        <w:rPr>
          <w:spacing w:val="-1"/>
        </w:rPr>
        <w:t>criteria.</w:t>
      </w:r>
      <w:r>
        <w:rPr>
          <w:rStyle w:val="FootnoteReference"/>
          <w:spacing w:val="-1"/>
        </w:rPr>
        <w:footnoteReference w:id="55"/>
      </w:r>
    </w:p>
    <w:p w:rsidR="00E5413F" w:rsidRDefault="00323080" w:rsidP="00E5413F">
      <w:pPr>
        <w:pStyle w:val="Bodytext"/>
        <w:rPr>
          <w:lang w:val="en-US"/>
        </w:rPr>
      </w:pPr>
      <w:r>
        <w:t xml:space="preserve">Elected Body </w:t>
      </w:r>
      <w:r w:rsidR="00E5413F">
        <w:t xml:space="preserve"> member, Mr Brendan Church, said he recognised that </w:t>
      </w:r>
      <w:r w:rsidR="00E5413F" w:rsidRPr="00E5413F">
        <w:rPr>
          <w:lang w:val="en-US"/>
        </w:rPr>
        <w:t>recruitment and the promotion of public service positions would always be challenging.   He suggested that</w:t>
      </w:r>
      <w:r w:rsidR="00E5413F">
        <w:rPr>
          <w:lang w:val="en-US"/>
        </w:rPr>
        <w:t xml:space="preserve"> </w:t>
      </w:r>
      <w:r w:rsidR="00E5413F" w:rsidRPr="00E5413F">
        <w:rPr>
          <w:lang w:val="en-US"/>
        </w:rPr>
        <w:t xml:space="preserve">people like Robyn </w:t>
      </w:r>
      <w:r w:rsidR="00E5413F">
        <w:rPr>
          <w:lang w:val="en-US"/>
        </w:rPr>
        <w:t xml:space="preserve">Forester and </w:t>
      </w:r>
      <w:r w:rsidR="00E5413F" w:rsidRPr="00E5413F">
        <w:rPr>
          <w:lang w:val="en-US"/>
        </w:rPr>
        <w:t xml:space="preserve">other senior employees </w:t>
      </w:r>
      <w:r w:rsidR="00E5413F">
        <w:rPr>
          <w:lang w:val="en-US"/>
        </w:rPr>
        <w:t xml:space="preserve">should be </w:t>
      </w:r>
      <w:r w:rsidR="00E5413F" w:rsidRPr="00E5413F">
        <w:rPr>
          <w:lang w:val="en-US"/>
        </w:rPr>
        <w:t xml:space="preserve">actively engaging in the public service network </w:t>
      </w:r>
      <w:r w:rsidR="00E5413F">
        <w:rPr>
          <w:lang w:val="en-US"/>
        </w:rPr>
        <w:t xml:space="preserve">and </w:t>
      </w:r>
      <w:r w:rsidR="00E5413F" w:rsidRPr="00E5413F">
        <w:rPr>
          <w:lang w:val="en-US"/>
        </w:rPr>
        <w:t xml:space="preserve">also speaking with school </w:t>
      </w:r>
      <w:r w:rsidR="00E5413F">
        <w:rPr>
          <w:lang w:val="en-US"/>
        </w:rPr>
        <w:t xml:space="preserve">students:  </w:t>
      </w:r>
    </w:p>
    <w:p w:rsidR="00E5413F" w:rsidRDefault="00E5413F" w:rsidP="00E5413F">
      <w:pPr>
        <w:pStyle w:val="Quote"/>
        <w:rPr>
          <w:lang w:val="en-US"/>
        </w:rPr>
      </w:pPr>
      <w:r w:rsidRPr="00E5413F">
        <w:rPr>
          <w:lang w:val="en-US"/>
        </w:rPr>
        <w:t xml:space="preserve">There should be engagement with younger people. </w:t>
      </w:r>
    </w:p>
    <w:p w:rsidR="00E5413F" w:rsidRPr="00E5413F" w:rsidRDefault="00E5413F" w:rsidP="00E5413F">
      <w:pPr>
        <w:pStyle w:val="Quote"/>
        <w:rPr>
          <w:lang w:val="en-US"/>
        </w:rPr>
      </w:pPr>
      <w:r>
        <w:rPr>
          <w:lang w:val="en-US"/>
        </w:rPr>
        <w:t>…</w:t>
      </w:r>
      <w:r w:rsidRPr="00E5413F">
        <w:rPr>
          <w:lang w:val="en-US"/>
        </w:rPr>
        <w:t xml:space="preserve"> The message we need to pass on to these young people in the schools is that opportunities are out there, and if you stick by it and if you go to school, you can end up as an SES director in ACT government, as Robyn is.</w:t>
      </w:r>
    </w:p>
    <w:p w:rsidR="00E5413F" w:rsidRPr="0047564E" w:rsidRDefault="00E5413F" w:rsidP="00E5413F">
      <w:pPr>
        <w:pStyle w:val="Quote"/>
        <w:rPr>
          <w:lang w:val="en-US"/>
        </w:rPr>
      </w:pPr>
      <w:r w:rsidRPr="0047564E">
        <w:rPr>
          <w:lang w:val="en-US"/>
        </w:rPr>
        <w:t>We have got a lot of successful public servants in the ACT that work in the ACT public service but also in the commonwealth. I really think we underutilise them. A lot of people think the public service is an inflexible job where you come in and you cannot progress, whereas we have examples of that where you can. Getting that out to the community is really hard. But I think the best way would be to engage in the public service network, to engage in schools and provide flyers and brochures around Robyn’s career and how she started off. I think a lot of our community are afraid to start. But once they start, then there is no holding them back.</w:t>
      </w:r>
    </w:p>
    <w:p w:rsidR="00B614DA" w:rsidRDefault="00E86BE0" w:rsidP="00F1484D">
      <w:pPr>
        <w:pStyle w:val="Bodytext"/>
      </w:pPr>
      <w:r>
        <w:t>The Committee notes that the AC</w:t>
      </w:r>
      <w:r w:rsidR="002C181C">
        <w:t>T</w:t>
      </w:r>
      <w:r>
        <w:t xml:space="preserve">PS is contemplating change in this area but questions </w:t>
      </w:r>
      <w:r w:rsidR="00317B31">
        <w:t xml:space="preserve">whether </w:t>
      </w:r>
      <w:r>
        <w:t xml:space="preserve">it is fast enough.  </w:t>
      </w:r>
      <w:r w:rsidR="00B614DA">
        <w:t>The Committee concludes t</w:t>
      </w:r>
      <w:r>
        <w:t xml:space="preserve">here is </w:t>
      </w:r>
      <w:r w:rsidR="008617CD">
        <w:t xml:space="preserve">a </w:t>
      </w:r>
      <w:r>
        <w:t xml:space="preserve">challenge for the ACTPS </w:t>
      </w:r>
      <w:r w:rsidR="00934D40">
        <w:t>to ‘</w:t>
      </w:r>
      <w:r>
        <w:t xml:space="preserve">think outside the </w:t>
      </w:r>
      <w:r w:rsidR="008617CD">
        <w:t xml:space="preserve">square’ </w:t>
      </w:r>
      <w:r w:rsidR="00E5413F">
        <w:t xml:space="preserve">and </w:t>
      </w:r>
      <w:r w:rsidR="00B614DA">
        <w:t xml:space="preserve">believes that </w:t>
      </w:r>
      <w:r w:rsidR="00E5413F">
        <w:t xml:space="preserve">the </w:t>
      </w:r>
      <w:r w:rsidR="00323080">
        <w:t xml:space="preserve">Elected Body </w:t>
      </w:r>
      <w:r w:rsidR="00E5413F">
        <w:t xml:space="preserve"> is ideally suited to assist in this task</w:t>
      </w:r>
      <w:r w:rsidR="00B614DA">
        <w:t xml:space="preserve"> as are various organisations in the private sector. </w:t>
      </w:r>
      <w:r w:rsidR="00E5413F">
        <w:t xml:space="preserve"> </w:t>
      </w:r>
    </w:p>
    <w:p w:rsidR="00271B86" w:rsidRDefault="00271B86" w:rsidP="00F1484D">
      <w:pPr>
        <w:pStyle w:val="Bodytext"/>
      </w:pPr>
      <w:r>
        <w:t>The Committee notes comments in the ACTPS submission:</w:t>
      </w:r>
    </w:p>
    <w:p w:rsidR="00271B86" w:rsidRDefault="00271B86" w:rsidP="00271B86">
      <w:pPr>
        <w:pStyle w:val="Quote"/>
        <w:rPr>
          <w:lang w:val="en-US"/>
        </w:rPr>
      </w:pPr>
      <w:r w:rsidRPr="00271B86">
        <w:rPr>
          <w:lang w:val="en-US"/>
        </w:rPr>
        <w:t xml:space="preserve">The </w:t>
      </w:r>
      <w:r w:rsidR="00323080">
        <w:rPr>
          <w:lang w:val="en-US"/>
        </w:rPr>
        <w:t xml:space="preserve">Elected Body </w:t>
      </w:r>
      <w:r w:rsidRPr="00271B86">
        <w:rPr>
          <w:lang w:val="en-US"/>
        </w:rPr>
        <w:t xml:space="preserve"> has regularly highlighted the importance of reaching out to the Aboriginal and Torres Strait Islander community to market the ACTPS as an attractive place to work and emphasising its immediacy to the people it serves. They have suggested that forming links beyond the university centres with other groups to tell the stories of how Aboriginal and Torres Strait Islander staff have progressed in the ACTPS to build word-of-mouth and currency in the community would be beneficial to achieving greater levels of indigenous employment across the ACTPS</w:t>
      </w:r>
      <w:r>
        <w:rPr>
          <w:lang w:val="en-US"/>
        </w:rPr>
        <w:t>.</w:t>
      </w:r>
    </w:p>
    <w:p w:rsidR="00271B86" w:rsidRPr="00271B86" w:rsidRDefault="00271B86" w:rsidP="00271B86">
      <w:pPr>
        <w:pStyle w:val="Quote"/>
        <w:rPr>
          <w:lang w:val="en-US"/>
        </w:rPr>
      </w:pPr>
      <w:r w:rsidRPr="00271B86">
        <w:rPr>
          <w:lang w:val="en-US"/>
        </w:rPr>
        <w:t>A further suggestion around recruitment methodology was to think of ways other than addressing selection criteria in writing as a means of applying to work in the ACTPS. Criticism of using responses to selection criteria as a first step in recruitment is not new, particularly for jobs where high level writing skills are not required.  This will be investigated further as part of the review of the whole-of-government recruitment guidelines currently taking place.</w:t>
      </w:r>
      <w:r>
        <w:rPr>
          <w:rStyle w:val="FootnoteReference"/>
          <w:lang w:val="en-US"/>
        </w:rPr>
        <w:footnoteReference w:id="56"/>
      </w:r>
    </w:p>
    <w:p w:rsidR="00CC3985" w:rsidRPr="00CC3985" w:rsidRDefault="00B614DA" w:rsidP="00CC3985">
      <w:pPr>
        <w:pStyle w:val="Bodytext"/>
      </w:pPr>
      <w:r w:rsidRPr="00CC3985">
        <w:t xml:space="preserve">The </w:t>
      </w:r>
      <w:r w:rsidR="00271B86" w:rsidRPr="00CC3985">
        <w:t xml:space="preserve">Committee </w:t>
      </w:r>
      <w:r w:rsidR="00CC3985" w:rsidRPr="00CC3985">
        <w:t>notes evidence from Professor Matthew Gray, Director of the Centre for Aboriginal Economic Policy Research at the Australian National University that Australia’s major banks are leading the way in making contact with younger Indigenous people to attract them to undertake traineeships and apprenticeships.</w:t>
      </w:r>
      <w:r w:rsidR="000F2D86">
        <w:rPr>
          <w:rStyle w:val="FootnoteReference"/>
        </w:rPr>
        <w:footnoteReference w:id="57"/>
      </w:r>
      <w:r w:rsidR="00CC3985" w:rsidRPr="00CC3985">
        <w:t xml:space="preserve">  </w:t>
      </w:r>
    </w:p>
    <w:p w:rsidR="00CC3985" w:rsidRDefault="00CC3985" w:rsidP="00E5413F">
      <w:pPr>
        <w:pStyle w:val="Bodytext"/>
      </w:pPr>
      <w:r>
        <w:t xml:space="preserve">The Committee also notes that some employers make effective use of their websites for Indigenous recruitment.  One example is Virgin Airways which includes </w:t>
      </w:r>
      <w:r w:rsidR="00B957C4">
        <w:t xml:space="preserve">straight forward </w:t>
      </w:r>
      <w:r>
        <w:t>descriptions of what jobs entail.</w:t>
      </w:r>
      <w:r>
        <w:rPr>
          <w:rStyle w:val="FootnoteReference"/>
        </w:rPr>
        <w:footnoteReference w:id="58"/>
      </w:r>
    </w:p>
    <w:p w:rsidR="00F1484D" w:rsidRDefault="00CC3985" w:rsidP="000471A1">
      <w:pPr>
        <w:pStyle w:val="Bodytext"/>
      </w:pPr>
      <w:r>
        <w:t>T</w:t>
      </w:r>
      <w:r w:rsidR="00271B86">
        <w:t xml:space="preserve">he Committee </w:t>
      </w:r>
      <w:r w:rsidR="000471A1">
        <w:t xml:space="preserve">notes </w:t>
      </w:r>
      <w:r w:rsidR="00271B86">
        <w:t xml:space="preserve">the </w:t>
      </w:r>
      <w:r w:rsidR="000471A1">
        <w:t xml:space="preserve">ACTPS </w:t>
      </w:r>
      <w:r w:rsidR="00271B86">
        <w:t xml:space="preserve">whole-of-government </w:t>
      </w:r>
      <w:r w:rsidR="00317B31">
        <w:t xml:space="preserve">recruitment </w:t>
      </w:r>
      <w:r w:rsidR="00271B86">
        <w:t xml:space="preserve">guidelines </w:t>
      </w:r>
      <w:r w:rsidR="000471A1">
        <w:t>are being</w:t>
      </w:r>
      <w:r w:rsidR="00317B31">
        <w:t> </w:t>
      </w:r>
      <w:r w:rsidR="000471A1">
        <w:t>reviewed.</w:t>
      </w:r>
    </w:p>
    <w:p w:rsidR="000471A1" w:rsidRDefault="000471A1" w:rsidP="000471A1">
      <w:pPr>
        <w:pStyle w:val="Recommendation"/>
      </w:pPr>
      <w:bookmarkStart w:id="71" w:name="_Toc384024361"/>
      <w:bookmarkEnd w:id="71"/>
    </w:p>
    <w:p w:rsidR="000471A1" w:rsidRDefault="000471A1" w:rsidP="00D35FCB">
      <w:pPr>
        <w:pStyle w:val="RecommendationText"/>
      </w:pPr>
      <w:bookmarkStart w:id="72" w:name="_Toc384024362"/>
      <w:r>
        <w:t xml:space="preserve">The Committee recommends that the </w:t>
      </w:r>
      <w:r w:rsidR="00323080">
        <w:t xml:space="preserve">ACT Public Service </w:t>
      </w:r>
      <w:r>
        <w:t xml:space="preserve">give priority to identifying and implementing innovative ways of recruiting Aboriginal and Torres Strait Islander people into the </w:t>
      </w:r>
      <w:r w:rsidR="00323080">
        <w:t>ACT Public Service</w:t>
      </w:r>
      <w:r>
        <w:t xml:space="preserve">, </w:t>
      </w:r>
      <w:r w:rsidR="00CB5484">
        <w:t>including secondments from non-government sectors.  This must entail ongoing</w:t>
      </w:r>
      <w:r>
        <w:t xml:space="preserve"> consultation with the A</w:t>
      </w:r>
      <w:r w:rsidR="003C4774">
        <w:t xml:space="preserve">CT </w:t>
      </w:r>
      <w:r>
        <w:t xml:space="preserve">Aboriginal and Torres Strait Islander </w:t>
      </w:r>
      <w:r w:rsidR="00323080">
        <w:t>Elected Body</w:t>
      </w:r>
      <w:r>
        <w:t>.</w:t>
      </w:r>
      <w:bookmarkEnd w:id="72"/>
      <w:r>
        <w:t xml:space="preserve">  </w:t>
      </w:r>
    </w:p>
    <w:p w:rsidR="00546589" w:rsidRDefault="00546589" w:rsidP="00546589">
      <w:pPr>
        <w:pStyle w:val="Bodytext"/>
      </w:pPr>
      <w:r>
        <w:t xml:space="preserve">The Committee notes that the annual recruitment to the ACTPS is in the range of 500 – 700 and that the Aboriginal and Torres Strait Islander percentage share is in the range 2 - 4%.  The Committee considers that </w:t>
      </w:r>
      <w:r w:rsidR="00330736">
        <w:t xml:space="preserve">more </w:t>
      </w:r>
      <w:r>
        <w:t>suitabl</w:t>
      </w:r>
      <w:r w:rsidR="00330736">
        <w:t>y</w:t>
      </w:r>
      <w:r>
        <w:t xml:space="preserve"> </w:t>
      </w:r>
      <w:r w:rsidR="00B957C4">
        <w:t xml:space="preserve">qualified </w:t>
      </w:r>
      <w:r>
        <w:t xml:space="preserve">Aboriginal and Torres Strait Islander applicants could have been recruited for many of these positions.  The Committee notes that this would require proactive recruitment tactics rather than the current traditional application and selection processes.  The Committee is of the opinion that the only way in which the percentage share of the ACTPS can </w:t>
      </w:r>
      <w:r w:rsidR="000F2D86">
        <w:t xml:space="preserve">be </w:t>
      </w:r>
      <w:r>
        <w:t>increased to 407 employees by 2015 (strategy indicator 5) is by a proactive recruitment campaign.  The Committee acknowledges that this may require the use of external recruitment agencies.</w:t>
      </w:r>
    </w:p>
    <w:p w:rsidR="00546589" w:rsidRDefault="00546589" w:rsidP="00546589">
      <w:pPr>
        <w:pStyle w:val="Recommendation"/>
      </w:pPr>
      <w:bookmarkStart w:id="73" w:name="_Toc384024363"/>
      <w:bookmarkEnd w:id="73"/>
    </w:p>
    <w:p w:rsidR="00546589" w:rsidRPr="003C4774" w:rsidRDefault="00546589" w:rsidP="00546589">
      <w:pPr>
        <w:pStyle w:val="RecommendationText"/>
      </w:pPr>
      <w:bookmarkStart w:id="74" w:name="_Toc384024364"/>
      <w:r w:rsidRPr="003C4774">
        <w:t xml:space="preserve">The Committee </w:t>
      </w:r>
      <w:r w:rsidR="00330736">
        <w:t xml:space="preserve">recommends that </w:t>
      </w:r>
      <w:r w:rsidRPr="003C4774">
        <w:t xml:space="preserve">the </w:t>
      </w:r>
      <w:r w:rsidR="00323080" w:rsidRPr="003C4774">
        <w:t xml:space="preserve">ACT Public Service </w:t>
      </w:r>
      <w:r w:rsidRPr="003C4774">
        <w:t xml:space="preserve">use proactive recruitment </w:t>
      </w:r>
      <w:r w:rsidR="003C4774">
        <w:t>methods, includ</w:t>
      </w:r>
      <w:r w:rsidR="001E7D00">
        <w:t>ing</w:t>
      </w:r>
      <w:r w:rsidR="003C4774">
        <w:t xml:space="preserve"> </w:t>
      </w:r>
      <w:r w:rsidRPr="003C4774">
        <w:t xml:space="preserve">external recruitment agencies </w:t>
      </w:r>
      <w:r w:rsidR="003C4774">
        <w:t xml:space="preserve">and alternative merit-based selection processes, </w:t>
      </w:r>
      <w:r w:rsidR="00330736">
        <w:t xml:space="preserve">to fill more vacancies with </w:t>
      </w:r>
      <w:r w:rsidR="000F2D86" w:rsidRPr="003C4774">
        <w:t>Aboriginal and Torres Strait Islander people</w:t>
      </w:r>
      <w:r w:rsidRPr="003C4774">
        <w:t>.</w:t>
      </w:r>
      <w:bookmarkEnd w:id="74"/>
    </w:p>
    <w:p w:rsidR="00743520" w:rsidRDefault="00743520" w:rsidP="00D35FCB">
      <w:pPr>
        <w:pStyle w:val="Headinglevel2"/>
      </w:pPr>
      <w:bookmarkStart w:id="75" w:name="_Toc383615038"/>
      <w:r>
        <w:t>Recruitment guidelines</w:t>
      </w:r>
      <w:bookmarkEnd w:id="75"/>
    </w:p>
    <w:p w:rsidR="00743520" w:rsidRDefault="006F7DE4" w:rsidP="00C95E47">
      <w:pPr>
        <w:pStyle w:val="Bodytext"/>
      </w:pPr>
      <w:r>
        <w:t xml:space="preserve">The Committee notes advice in the </w:t>
      </w:r>
      <w:r w:rsidR="00743520">
        <w:t xml:space="preserve">ACTPS submission </w:t>
      </w:r>
      <w:r>
        <w:t>that</w:t>
      </w:r>
      <w:r w:rsidR="00743520">
        <w:t xml:space="preserve">: </w:t>
      </w:r>
    </w:p>
    <w:p w:rsidR="00C95E47" w:rsidRDefault="00C95E47" w:rsidP="00743520">
      <w:pPr>
        <w:pStyle w:val="Quote"/>
      </w:pPr>
      <w:r>
        <w:t>In order to support these processes, the ACTPS Recruitment Guidelines are being amended to include specific information around recruitment of Aboriginal and Torres Strait Islander people, among other things, such as the use of identified positions, having Aboriginal and Torres Strait Islander people as panel members and conducting cross-cultural training.</w:t>
      </w:r>
      <w:r w:rsidR="00743520">
        <w:rPr>
          <w:rStyle w:val="FootnoteReference"/>
        </w:rPr>
        <w:footnoteReference w:id="59"/>
      </w:r>
    </w:p>
    <w:p w:rsidR="00BB7B70" w:rsidRDefault="00BB7B70" w:rsidP="000471A1">
      <w:pPr>
        <w:pStyle w:val="Bodytext"/>
      </w:pPr>
      <w:r>
        <w:t xml:space="preserve">The Committee notes that the ACT Government website provides guidance on recruitment for prospective employees.  The Committee believes there is scope to enhance with website with a section specifically for Aboriginal and Torres Strait Islander people. </w:t>
      </w:r>
    </w:p>
    <w:p w:rsidR="00BB7B70" w:rsidRDefault="00BB7B70" w:rsidP="00BB7B70">
      <w:pPr>
        <w:pStyle w:val="Recommendation"/>
      </w:pPr>
      <w:bookmarkStart w:id="76" w:name="_Toc384024365"/>
      <w:bookmarkEnd w:id="76"/>
    </w:p>
    <w:p w:rsidR="000471A1" w:rsidRPr="00FA19A0" w:rsidRDefault="00BB7B70" w:rsidP="00BB7B70">
      <w:pPr>
        <w:pStyle w:val="RecommendationText"/>
      </w:pPr>
      <w:bookmarkStart w:id="77" w:name="_Toc384024366"/>
      <w:r w:rsidRPr="00FA19A0">
        <w:t xml:space="preserve">The Committee recommends that the </w:t>
      </w:r>
      <w:r w:rsidR="00323080" w:rsidRPr="00FA19A0">
        <w:t xml:space="preserve">ACT Public Service </w:t>
      </w:r>
      <w:r w:rsidRPr="00FA19A0">
        <w:t xml:space="preserve">enhance its website </w:t>
      </w:r>
      <w:r w:rsidR="00FA19A0">
        <w:t xml:space="preserve">to </w:t>
      </w:r>
      <w:r w:rsidR="00CB5484" w:rsidRPr="00FA19A0">
        <w:t xml:space="preserve">address </w:t>
      </w:r>
      <w:r w:rsidRPr="00FA19A0">
        <w:t xml:space="preserve">the requirements of Aboriginal and Torres Strait Islander people who may be interested in employment in the </w:t>
      </w:r>
      <w:r w:rsidR="00323080" w:rsidRPr="00FA19A0">
        <w:t>ACT Public Service</w:t>
      </w:r>
      <w:r w:rsidRPr="00FA19A0">
        <w:t>.</w:t>
      </w:r>
      <w:bookmarkEnd w:id="77"/>
      <w:r w:rsidRPr="00FA19A0">
        <w:t xml:space="preserve">   </w:t>
      </w:r>
    </w:p>
    <w:p w:rsidR="00DB762F" w:rsidRDefault="00DB762F" w:rsidP="00D35FCB">
      <w:pPr>
        <w:pStyle w:val="Headinglevel3"/>
      </w:pPr>
      <w:r>
        <w:t>Ambition</w:t>
      </w:r>
    </w:p>
    <w:p w:rsidR="00352146" w:rsidRDefault="00DB762F" w:rsidP="00DB762F">
      <w:pPr>
        <w:pStyle w:val="Bodytext"/>
      </w:pPr>
      <w:r>
        <w:t>At the public hearing held on 11 December 2013</w:t>
      </w:r>
      <w:r w:rsidR="00634DDA">
        <w:t>, the</w:t>
      </w:r>
      <w:r>
        <w:t xml:space="preserve"> Director of the ACTPS Office of Aboriginal and Torres Strait Islander Affairs, Ms Roby</w:t>
      </w:r>
      <w:r w:rsidR="00317B31">
        <w:t>n</w:t>
      </w:r>
      <w:r>
        <w:t xml:space="preserve"> Forester </w:t>
      </w:r>
      <w:r w:rsidR="00352146">
        <w:t xml:space="preserve">told the Committee her story of becoming a senior executive in the ACTPS.  In the course of this she suggested it was valid to ask </w:t>
      </w:r>
      <w:r w:rsidR="0067469A">
        <w:t xml:space="preserve">what </w:t>
      </w:r>
      <w:r w:rsidR="00352146">
        <w:t>Aboriginal and Torres Strait Islander people wanted in terms of a working life.  Reflecting on her own community,</w:t>
      </w:r>
      <w:r w:rsidR="00810AB6">
        <w:t xml:space="preserve"> she indicated that the level of ambition was different to </w:t>
      </w:r>
      <w:r w:rsidR="0067469A">
        <w:t xml:space="preserve">that of </w:t>
      </w:r>
      <w:r w:rsidR="00810AB6">
        <w:t xml:space="preserve">some others in the wider community.  She </w:t>
      </w:r>
      <w:r w:rsidR="00352146">
        <w:t>said it was reasonable to question aspirations and motivations</w:t>
      </w:r>
      <w:r w:rsidR="00810AB6">
        <w:t>, adding:</w:t>
      </w:r>
      <w:r w:rsidR="00352146">
        <w:t xml:space="preserve">  </w:t>
      </w:r>
    </w:p>
    <w:p w:rsidR="00DB762F" w:rsidRDefault="00352146" w:rsidP="00352146">
      <w:pPr>
        <w:pStyle w:val="Quote"/>
      </w:pPr>
      <w:r w:rsidRPr="00352146">
        <w:rPr>
          <w:lang w:val="en-US"/>
        </w:rPr>
        <w:t xml:space="preserve">I think the motivation for Aboriginal and Torres Strait Islander people to work is (a) to be able to feed their family, </w:t>
      </w:r>
      <w:r w:rsidR="00810AB6">
        <w:rPr>
          <w:lang w:val="en-US"/>
        </w:rPr>
        <w:t xml:space="preserve">[and b] </w:t>
      </w:r>
      <w:r w:rsidRPr="00352146">
        <w:rPr>
          <w:lang w:val="en-US"/>
        </w:rPr>
        <w:t>to be able to get accommodation, clothing, and so forth. The motivation for a lot of Aboriginal and Torres Strait Islander people to get into the workforce is to be able to look after the mob.</w:t>
      </w:r>
      <w:r>
        <w:rPr>
          <w:rStyle w:val="FootnoteReference"/>
          <w:lang w:val="en-US"/>
        </w:rPr>
        <w:footnoteReference w:id="60"/>
      </w:r>
      <w:r w:rsidR="00DB762F">
        <w:t xml:space="preserve">   </w:t>
      </w:r>
    </w:p>
    <w:p w:rsidR="00810AB6" w:rsidRDefault="00810AB6" w:rsidP="00352146">
      <w:pPr>
        <w:pStyle w:val="Bodytext"/>
      </w:pPr>
      <w:r>
        <w:t xml:space="preserve">Commenting on how government may respond, she said: </w:t>
      </w:r>
    </w:p>
    <w:p w:rsidR="00810AB6" w:rsidRDefault="00810AB6" w:rsidP="00810AB6">
      <w:pPr>
        <w:pStyle w:val="Quote"/>
        <w:rPr>
          <w:lang w:val="en-US"/>
        </w:rPr>
      </w:pPr>
      <w:r w:rsidRPr="006011BC">
        <w:rPr>
          <w:lang w:val="en-US"/>
        </w:rPr>
        <w:t xml:space="preserve">I think it is about people out there actually knowing what we </w:t>
      </w:r>
      <w:r>
        <w:rPr>
          <w:lang w:val="en-US"/>
        </w:rPr>
        <w:t xml:space="preserve">[the ACTPS] </w:t>
      </w:r>
      <w:r w:rsidRPr="006011BC">
        <w:rPr>
          <w:lang w:val="en-US"/>
        </w:rPr>
        <w:t>do, knowing what services we provide and where there could be opportunities for Aboriginal and Torres Strait Islander people. Earlier we talked about the terminology of jobs. Yes, a high percentage of Aboriginal and Torres Strait Islander people want to work in Aboriginal and Torres Strait Islander programs. Another percentage of them just would like a job. We need to be clear about what the opportunities are out there, what we can provide and what are the expectations of those particular roles.</w:t>
      </w:r>
    </w:p>
    <w:p w:rsidR="00810AB6" w:rsidRDefault="00810AB6" w:rsidP="00810AB6">
      <w:pPr>
        <w:pStyle w:val="Quote"/>
        <w:rPr>
          <w:lang w:val="en-US"/>
        </w:rPr>
      </w:pPr>
      <w:r w:rsidRPr="006011BC">
        <w:rPr>
          <w:lang w:val="en-US"/>
        </w:rPr>
        <w:t>I think that where we can focus the best is to start getting into the younger generation, particularly our year 10s, 11s and 12s, talking to them about what government does and getting them job ready so that when they do graduate from year 12 there are opportunities for them to make that decision, so they can say (a) “I want to work for government,” (b) “I want to go study,” (c) “I want to work in the retail sector or in a community services type area.” I think that is where we need to concentrate our efforts so that people have an understanding about what is available in government. Yes, there are areas where you can work specifically supporting your community and supporting your mob, but there are other areas. If you want to work in IT, you can work in IT; if you want to be in HR, you can work in HR; if you want to be involved in the schools as a teacher’s aide or even in some of the more manual areas in horticulture or whatever, those opportunities are out there. I think that is really what we need to do.</w:t>
      </w:r>
    </w:p>
    <w:p w:rsidR="00810AB6" w:rsidRPr="006011BC" w:rsidRDefault="00810AB6" w:rsidP="00810AB6">
      <w:pPr>
        <w:pStyle w:val="Bodytext"/>
        <w:rPr>
          <w:lang w:val="en-US"/>
        </w:rPr>
      </w:pPr>
      <w:r>
        <w:rPr>
          <w:lang w:val="en-US"/>
        </w:rPr>
        <w:t xml:space="preserve">In response to a question the need for mentoring for those in their later school years and early adulthood, Ms Forester said: </w:t>
      </w:r>
    </w:p>
    <w:p w:rsidR="00810AB6" w:rsidRDefault="00810AB6" w:rsidP="00810AB6">
      <w:pPr>
        <w:pStyle w:val="Quote"/>
        <w:rPr>
          <w:lang w:val="en-US"/>
        </w:rPr>
      </w:pPr>
      <w:r w:rsidRPr="006011BC">
        <w:rPr>
          <w:lang w:val="en-US"/>
        </w:rPr>
        <w:t xml:space="preserve"> Yes; mentoring, school-based apprenticeships—those types of areas, where we can provide some of the work experience so that people can get an opportunity to know what it is to work in our organisation prior to them making a decision that this is where they want to end up.</w:t>
      </w:r>
    </w:p>
    <w:p w:rsidR="00FA19A0" w:rsidRDefault="00FA19A0" w:rsidP="00810AB6">
      <w:pPr>
        <w:pStyle w:val="Quote"/>
        <w:rPr>
          <w:lang w:val="en-US"/>
        </w:rPr>
      </w:pPr>
    </w:p>
    <w:p w:rsidR="00FA19A0" w:rsidRPr="006011BC" w:rsidRDefault="00FA19A0" w:rsidP="00810AB6">
      <w:pPr>
        <w:pStyle w:val="Quote"/>
        <w:rPr>
          <w:lang w:val="en-US"/>
        </w:rPr>
      </w:pPr>
    </w:p>
    <w:p w:rsidR="0067469A" w:rsidRDefault="0067469A" w:rsidP="00810AB6">
      <w:pPr>
        <w:pStyle w:val="Bodytext"/>
      </w:pPr>
      <w:r>
        <w:t xml:space="preserve">Later during the hearing, </w:t>
      </w:r>
      <w:r w:rsidR="00323080">
        <w:t xml:space="preserve">Elected Body </w:t>
      </w:r>
      <w:r w:rsidR="00E24EF8">
        <w:t xml:space="preserve">member, </w:t>
      </w:r>
      <w:r>
        <w:t>Mr Brendan Church</w:t>
      </w:r>
      <w:r w:rsidR="00E24EF8">
        <w:t>,</w:t>
      </w:r>
      <w:r>
        <w:t xml:space="preserve"> commented: </w:t>
      </w:r>
    </w:p>
    <w:p w:rsidR="0067469A" w:rsidRDefault="0067469A" w:rsidP="0067469A">
      <w:pPr>
        <w:pStyle w:val="Quote"/>
      </w:pPr>
      <w:r w:rsidRPr="006011BC">
        <w:rPr>
          <w:lang w:val="en-US"/>
        </w:rPr>
        <w:t xml:space="preserve">We would like to take this time to challenge, I guess, the comment that Robyn made around the ambitions of Aboriginal people within the community. I think that Aboriginal people generally are very ambitious. We have got seven dedicated </w:t>
      </w:r>
      <w:r w:rsidR="00323080">
        <w:rPr>
          <w:lang w:val="en-US"/>
        </w:rPr>
        <w:t xml:space="preserve">Elected Body </w:t>
      </w:r>
      <w:r w:rsidRPr="006011BC">
        <w:rPr>
          <w:lang w:val="en-US"/>
        </w:rPr>
        <w:t>members and we have got an Aboriginal person sitting across the table from us who is quite ambitious. That statement is probably a statement that does not apply to the whole of the population; it is probably a small population group.</w:t>
      </w:r>
      <w:r w:rsidR="00E24EF8">
        <w:rPr>
          <w:rStyle w:val="FootnoteReference"/>
          <w:lang w:val="en-US"/>
        </w:rPr>
        <w:footnoteReference w:id="61"/>
      </w:r>
    </w:p>
    <w:p w:rsidR="00C95E47" w:rsidRDefault="00743520" w:rsidP="00D35FCB">
      <w:pPr>
        <w:pStyle w:val="Headinglevel3"/>
      </w:pPr>
      <w:r>
        <w:t>Entry level programs</w:t>
      </w:r>
    </w:p>
    <w:p w:rsidR="006F7DE4" w:rsidRDefault="006F7DE4" w:rsidP="006F7DE4">
      <w:pPr>
        <w:pStyle w:val="Bodytext"/>
        <w:rPr>
          <w:iCs/>
        </w:rPr>
      </w:pPr>
      <w:r>
        <w:rPr>
          <w:iCs/>
        </w:rPr>
        <w:t xml:space="preserve">The ACTPS Submission states: </w:t>
      </w:r>
    </w:p>
    <w:p w:rsidR="006F7DE4" w:rsidRDefault="006F7DE4" w:rsidP="006F7DE4">
      <w:pPr>
        <w:pStyle w:val="Quote"/>
        <w:rPr>
          <w:lang w:val="en-US"/>
        </w:rPr>
      </w:pPr>
      <w:r w:rsidRPr="00BA39D1">
        <w:rPr>
          <w:lang w:val="en-US"/>
        </w:rPr>
        <w:t>In the specific area of employment of Aboriginal and Torres Strait Islander people, the ACTPS is particularly supportive of dedicated entry level programs to provide employment opportunities for individuals entering the workforce for the first time, and economic freedom for Aboriginal and Torres Strait Islander people.</w:t>
      </w:r>
      <w:r>
        <w:rPr>
          <w:lang w:val="en-US"/>
        </w:rPr>
        <w:t xml:space="preserve">  </w:t>
      </w:r>
    </w:p>
    <w:p w:rsidR="006F7DE4" w:rsidRDefault="006F7DE4" w:rsidP="006F7DE4">
      <w:pPr>
        <w:pStyle w:val="Bodytext"/>
        <w:rPr>
          <w:iCs/>
        </w:rPr>
      </w:pPr>
      <w:r>
        <w:rPr>
          <w:iCs/>
        </w:rPr>
        <w:t>The ACTPS submission refer</w:t>
      </w:r>
      <w:r w:rsidR="00317B31">
        <w:rPr>
          <w:iCs/>
        </w:rPr>
        <w:t>s</w:t>
      </w:r>
      <w:r>
        <w:rPr>
          <w:iCs/>
        </w:rPr>
        <w:t xml:space="preserve"> to three </w:t>
      </w:r>
      <w:r w:rsidR="00317B31">
        <w:rPr>
          <w:iCs/>
        </w:rPr>
        <w:t xml:space="preserve">program </w:t>
      </w:r>
      <w:r>
        <w:rPr>
          <w:iCs/>
        </w:rPr>
        <w:t>level</w:t>
      </w:r>
      <w:r w:rsidR="00317B31">
        <w:rPr>
          <w:iCs/>
        </w:rPr>
        <w:t>s</w:t>
      </w:r>
      <w:r>
        <w:rPr>
          <w:iCs/>
        </w:rPr>
        <w:t xml:space="preserve">; </w:t>
      </w:r>
    </w:p>
    <w:p w:rsidR="006F7DE4" w:rsidRDefault="006F7DE4" w:rsidP="00A146E9">
      <w:pPr>
        <w:pStyle w:val="ListBullet"/>
      </w:pPr>
      <w:r>
        <w:t xml:space="preserve">the ACTPS Graduate Program; </w:t>
      </w:r>
    </w:p>
    <w:p w:rsidR="006F7DE4" w:rsidRDefault="006F7DE4" w:rsidP="00A146E9">
      <w:pPr>
        <w:pStyle w:val="ListBullet"/>
      </w:pPr>
      <w:r>
        <w:t>Australian Government Department of Education, Employment and Workplace Relations (DEEWR) Cadetship Program; and</w:t>
      </w:r>
    </w:p>
    <w:p w:rsidR="006F7DE4" w:rsidRDefault="006F7DE4" w:rsidP="00A146E9">
      <w:pPr>
        <w:pStyle w:val="ListBullet"/>
      </w:pPr>
      <w:r>
        <w:t xml:space="preserve">the Community Services Directorate </w:t>
      </w:r>
      <w:r w:rsidR="00963CEF">
        <w:t xml:space="preserve">(CSD) </w:t>
      </w:r>
      <w:r>
        <w:t xml:space="preserve">Indigenous Traineeship Program. </w:t>
      </w:r>
    </w:p>
    <w:p w:rsidR="006F7DE4" w:rsidRDefault="00963CEF" w:rsidP="00D35FCB">
      <w:pPr>
        <w:pStyle w:val="Headinglevel3"/>
      </w:pPr>
      <w:r>
        <w:t>ACTPS Graduate Program</w:t>
      </w:r>
    </w:p>
    <w:p w:rsidR="00963CEF" w:rsidRPr="00E24EF8" w:rsidRDefault="006D6117" w:rsidP="00963CEF">
      <w:pPr>
        <w:pStyle w:val="Bodytext"/>
        <w:rPr>
          <w:lang w:val="en-US"/>
        </w:rPr>
      </w:pPr>
      <w:r>
        <w:rPr>
          <w:lang w:val="en-US"/>
        </w:rPr>
        <w:t>While a program for all graduates, t</w:t>
      </w:r>
      <w:r w:rsidR="00963CEF" w:rsidRPr="00E24EF8">
        <w:rPr>
          <w:lang w:val="en-US"/>
        </w:rPr>
        <w:t>he ACTPS aims to attract applications from Aboriginal and Torres Strait Islander students through targeted marketing strategies including promotion</w:t>
      </w:r>
      <w:r>
        <w:rPr>
          <w:lang w:val="en-US"/>
        </w:rPr>
        <w:t> </w:t>
      </w:r>
      <w:r w:rsidR="00963CEF" w:rsidRPr="00E24EF8">
        <w:rPr>
          <w:lang w:val="en-US"/>
        </w:rPr>
        <w:t>through:</w:t>
      </w:r>
    </w:p>
    <w:p w:rsidR="00963CEF" w:rsidRPr="00E24EF8" w:rsidRDefault="00963CEF" w:rsidP="00A146E9">
      <w:pPr>
        <w:pStyle w:val="ListBullet"/>
        <w:rPr>
          <w:lang w:val="en-US"/>
        </w:rPr>
      </w:pPr>
      <w:r w:rsidRPr="00E24EF8">
        <w:rPr>
          <w:lang w:val="en-US"/>
        </w:rPr>
        <w:t>local and regional university careers days;</w:t>
      </w:r>
    </w:p>
    <w:p w:rsidR="00963CEF" w:rsidRPr="00E24EF8" w:rsidRDefault="00963CEF" w:rsidP="00A146E9">
      <w:pPr>
        <w:pStyle w:val="ListBullet"/>
        <w:rPr>
          <w:lang w:val="en-US"/>
        </w:rPr>
      </w:pPr>
      <w:r w:rsidRPr="00E24EF8">
        <w:rPr>
          <w:lang w:val="en-US"/>
        </w:rPr>
        <w:t>Aboriginal and Torres Strait Islander centres in all Australian universities; and</w:t>
      </w:r>
    </w:p>
    <w:p w:rsidR="00963CEF" w:rsidRDefault="00963CEF" w:rsidP="00A146E9">
      <w:pPr>
        <w:pStyle w:val="ListBullet"/>
        <w:rPr>
          <w:lang w:val="en-US"/>
        </w:rPr>
      </w:pPr>
      <w:r w:rsidRPr="00E24EF8">
        <w:rPr>
          <w:lang w:val="en-US"/>
        </w:rPr>
        <w:t>Indigenous Jobs Australia.</w:t>
      </w:r>
    </w:p>
    <w:p w:rsidR="00E24EF8" w:rsidRPr="00E24EF8" w:rsidRDefault="00E24EF8" w:rsidP="00E24EF8">
      <w:pPr>
        <w:pStyle w:val="Bodytext"/>
        <w:rPr>
          <w:lang w:val="en-US"/>
        </w:rPr>
      </w:pPr>
      <w:r w:rsidRPr="00E24EF8">
        <w:rPr>
          <w:lang w:val="en-US"/>
        </w:rPr>
        <w:t xml:space="preserve">The ACTPS submission describes the Program: </w:t>
      </w:r>
    </w:p>
    <w:p w:rsidR="00E24EF8" w:rsidRPr="001D439E" w:rsidRDefault="00E24EF8" w:rsidP="00E24EF8">
      <w:pPr>
        <w:pStyle w:val="Quote"/>
        <w:rPr>
          <w:lang w:val="en-US"/>
        </w:rPr>
      </w:pPr>
      <w:r>
        <w:rPr>
          <w:lang w:val="en-US"/>
        </w:rPr>
        <w:t>I</w:t>
      </w:r>
      <w:r w:rsidRPr="001D439E">
        <w:rPr>
          <w:lang w:val="en-US"/>
        </w:rPr>
        <w:t>n addition to generalist streams in public policy and public administration, the program provides the use of specialist streams to specifically engage graduates with skills in engineering, human resources, information and communications technology, social work, and project management. The Health and Education and Training Directorates administer their own programs for graduate nurses and teachers.</w:t>
      </w:r>
    </w:p>
    <w:p w:rsidR="00E24EF8" w:rsidRPr="001D439E" w:rsidRDefault="00E24EF8" w:rsidP="00E24EF8">
      <w:pPr>
        <w:pStyle w:val="Quote"/>
        <w:rPr>
          <w:lang w:val="en-US"/>
        </w:rPr>
      </w:pPr>
      <w:r w:rsidRPr="001D439E">
        <w:rPr>
          <w:lang w:val="en-US"/>
        </w:rPr>
        <w:t>The ACTPS Graduate Program is further enhanced with a comprehensive Learning &amp; Development component which now provides participants with a higher level qualification - Graduate Certificate in Public Administration - delivered by the Australia and New Zealand School of Government Institute of Governance at the University of Canberra. This qualification can be matriculated towards a MBA qualification.</w:t>
      </w:r>
    </w:p>
    <w:p w:rsidR="00E24EF8" w:rsidRPr="00963CEF" w:rsidRDefault="004079AE" w:rsidP="00E24EF8">
      <w:pPr>
        <w:pStyle w:val="Quote"/>
        <w:rPr>
          <w:lang w:val="en-US"/>
        </w:rPr>
      </w:pPr>
      <w:r>
        <w:rPr>
          <w:lang w:val="en-US"/>
        </w:rPr>
        <w:t xml:space="preserve">Graduates are promoted to at least </w:t>
      </w:r>
      <w:r w:rsidR="00E24EF8" w:rsidRPr="00963CEF">
        <w:rPr>
          <w:lang w:val="en-US"/>
        </w:rPr>
        <w:t>ASO5 or similar level at the successful completion of the program.</w:t>
      </w:r>
    </w:p>
    <w:p w:rsidR="00E24EF8" w:rsidRPr="00963CEF" w:rsidRDefault="00E24EF8" w:rsidP="00E24EF8">
      <w:pPr>
        <w:pStyle w:val="Quote"/>
        <w:rPr>
          <w:lang w:val="en-US"/>
        </w:rPr>
      </w:pPr>
      <w:r w:rsidRPr="00963CEF">
        <w:rPr>
          <w:lang w:val="en-US"/>
        </w:rPr>
        <w:t xml:space="preserve">Planning is underway for the 2015 </w:t>
      </w:r>
      <w:r w:rsidR="004079AE">
        <w:rPr>
          <w:lang w:val="en-US"/>
        </w:rPr>
        <w:t>P</w:t>
      </w:r>
      <w:r w:rsidRPr="00963CEF">
        <w:rPr>
          <w:lang w:val="en-US"/>
        </w:rPr>
        <w:t>rogram to:</w:t>
      </w:r>
    </w:p>
    <w:p w:rsidR="00E24EF8" w:rsidRPr="00963CEF" w:rsidRDefault="00E24EF8" w:rsidP="001E356C">
      <w:pPr>
        <w:pStyle w:val="ListBullet"/>
        <w:numPr>
          <w:ilvl w:val="1"/>
          <w:numId w:val="9"/>
        </w:numPr>
        <w:rPr>
          <w:lang w:val="en-US"/>
        </w:rPr>
      </w:pPr>
      <w:r w:rsidRPr="00963CEF">
        <w:rPr>
          <w:lang w:val="en-US"/>
        </w:rPr>
        <w:t>further increase the number of Aboriginal and Torres Strait Islander students by providing a number of identified positions;</w:t>
      </w:r>
    </w:p>
    <w:p w:rsidR="00E24EF8" w:rsidRPr="00963CEF" w:rsidRDefault="00E24EF8" w:rsidP="001E356C">
      <w:pPr>
        <w:pStyle w:val="ListBullet"/>
        <w:numPr>
          <w:ilvl w:val="1"/>
          <w:numId w:val="9"/>
        </w:numPr>
        <w:rPr>
          <w:lang w:val="en-US"/>
        </w:rPr>
      </w:pPr>
      <w:r w:rsidRPr="00963CEF">
        <w:rPr>
          <w:lang w:val="en-US"/>
        </w:rPr>
        <w:t>provide for mentoring during assessment and duration of the program; and</w:t>
      </w:r>
    </w:p>
    <w:p w:rsidR="00E24EF8" w:rsidRPr="00963CEF" w:rsidRDefault="00E24EF8" w:rsidP="001E356C">
      <w:pPr>
        <w:pStyle w:val="ListBullet"/>
        <w:numPr>
          <w:ilvl w:val="1"/>
          <w:numId w:val="9"/>
        </w:numPr>
        <w:rPr>
          <w:lang w:val="en-US"/>
        </w:rPr>
      </w:pPr>
      <w:r w:rsidRPr="00963CEF">
        <w:rPr>
          <w:lang w:val="en-US"/>
        </w:rPr>
        <w:t xml:space="preserve">focus on engaging Aboriginal and Torres Strait Islander Students </w:t>
      </w:r>
      <w:r w:rsidR="00634DDA">
        <w:rPr>
          <w:lang w:val="en-US"/>
        </w:rPr>
        <w:t>Centre</w:t>
      </w:r>
      <w:r w:rsidRPr="00963CEF">
        <w:rPr>
          <w:lang w:val="en-US"/>
        </w:rPr>
        <w:t xml:space="preserve"> at the University of Canberra and the Australian National University.</w:t>
      </w:r>
      <w:r w:rsidR="004079AE">
        <w:rPr>
          <w:rStyle w:val="FootnoteReference"/>
          <w:lang w:val="en-US"/>
        </w:rPr>
        <w:footnoteReference w:id="62"/>
      </w:r>
    </w:p>
    <w:p w:rsidR="00F1484D" w:rsidRDefault="004079AE" w:rsidP="00F1484D">
      <w:pPr>
        <w:pStyle w:val="Bodytext"/>
        <w:rPr>
          <w:lang w:val="en-US"/>
        </w:rPr>
      </w:pPr>
      <w:r>
        <w:rPr>
          <w:lang w:val="en-US"/>
        </w:rPr>
        <w:t xml:space="preserve">The ACTPS submission </w:t>
      </w:r>
      <w:r w:rsidR="001E356C">
        <w:rPr>
          <w:lang w:val="en-US"/>
        </w:rPr>
        <w:t xml:space="preserve">says the </w:t>
      </w:r>
      <w:r>
        <w:rPr>
          <w:lang w:val="en-US"/>
        </w:rPr>
        <w:t>Program</w:t>
      </w:r>
      <w:r w:rsidR="001E356C">
        <w:rPr>
          <w:lang w:val="en-US"/>
        </w:rPr>
        <w:t xml:space="preserve"> is effective</w:t>
      </w:r>
      <w:r>
        <w:rPr>
          <w:lang w:val="en-US"/>
        </w:rPr>
        <w:t>, noting that</w:t>
      </w:r>
      <w:r w:rsidR="00F1484D">
        <w:rPr>
          <w:lang w:val="en-US"/>
        </w:rPr>
        <w:t xml:space="preserve">: </w:t>
      </w:r>
    </w:p>
    <w:p w:rsidR="004079AE" w:rsidRDefault="00F1484D" w:rsidP="00A146E9">
      <w:pPr>
        <w:pStyle w:val="ListBullet"/>
      </w:pPr>
      <w:r w:rsidRPr="00F1484D">
        <w:t xml:space="preserve">promotion of the </w:t>
      </w:r>
      <w:r w:rsidR="004079AE">
        <w:t>P</w:t>
      </w:r>
      <w:r w:rsidRPr="00F1484D">
        <w:t xml:space="preserve">rogram has </w:t>
      </w:r>
      <w:r w:rsidR="001E356C">
        <w:t xml:space="preserve">resulted in </w:t>
      </w:r>
      <w:r w:rsidRPr="00F1484D">
        <w:t xml:space="preserve">number of applications </w:t>
      </w:r>
      <w:r w:rsidR="004079AE">
        <w:t>rising in 2013 and 2014</w:t>
      </w:r>
      <w:r w:rsidR="006D6117">
        <w:t xml:space="preserve"> and applications being received from other jurisdictions, eg Queensland</w:t>
      </w:r>
      <w:r w:rsidR="004079AE">
        <w:t xml:space="preserve">; </w:t>
      </w:r>
    </w:p>
    <w:p w:rsidR="006D6117" w:rsidRDefault="006D6117" w:rsidP="00A146E9">
      <w:pPr>
        <w:pStyle w:val="ListBullet"/>
      </w:pPr>
      <w:r>
        <w:t xml:space="preserve">from the 2012 cohort, one graduate </w:t>
      </w:r>
      <w:r w:rsidRPr="00F1484D">
        <w:t>has already established a career pathway, and is currently acting at a Senior Officer Grade C level in the Community Services Directorate</w:t>
      </w:r>
    </w:p>
    <w:p w:rsidR="006D6117" w:rsidRDefault="001E356C" w:rsidP="00A146E9">
      <w:pPr>
        <w:pStyle w:val="ListBullet"/>
      </w:pPr>
      <w:r>
        <w:t>s</w:t>
      </w:r>
      <w:r w:rsidR="00F1484D" w:rsidRPr="00F1484D">
        <w:t xml:space="preserve">ince 2011 there have been a total of 1930 applications for the graduate program, including 15 from students who identify as being an Aboriginal and/or Torres Strait Islander. </w:t>
      </w:r>
    </w:p>
    <w:p w:rsidR="00F1484D" w:rsidRDefault="00A84EEB" w:rsidP="00F1484D">
      <w:pPr>
        <w:pStyle w:val="Bodytext"/>
      </w:pPr>
      <w:r>
        <w:t>The Committee notes that the actual number of Aboriginal and Torres Strait Islander</w:t>
      </w:r>
      <w:r w:rsidR="00317B31">
        <w:t>s</w:t>
      </w:r>
      <w:r>
        <w:t xml:space="preserve"> </w:t>
      </w:r>
      <w:r w:rsidR="00317B31">
        <w:t xml:space="preserve">being accepted into </w:t>
      </w:r>
      <w:r>
        <w:t xml:space="preserve">the Program is small.  For the 2014 cohort, a record number of 811 applications were received </w:t>
      </w:r>
      <w:r w:rsidR="00F1484D" w:rsidRPr="00F1484D">
        <w:t>with 145 applicants being shortlisted to attend assessment centres</w:t>
      </w:r>
      <w:r>
        <w:t xml:space="preserve">.  This </w:t>
      </w:r>
      <w:r w:rsidR="00F1484D" w:rsidRPr="00F1484D">
        <w:t>include</w:t>
      </w:r>
      <w:r>
        <w:t xml:space="preserve">d just </w:t>
      </w:r>
      <w:r w:rsidR="00F1484D" w:rsidRPr="00F1484D">
        <w:t xml:space="preserve">two students who </w:t>
      </w:r>
      <w:r>
        <w:t xml:space="preserve">identified </w:t>
      </w:r>
      <w:r w:rsidR="00F1484D" w:rsidRPr="00F1484D">
        <w:t xml:space="preserve">as </w:t>
      </w:r>
      <w:r>
        <w:t xml:space="preserve">being Aboriginal and Torres Strait Islander.  This is </w:t>
      </w:r>
      <w:r w:rsidR="00F1484D" w:rsidRPr="00F1484D">
        <w:t xml:space="preserve">1.4% of </w:t>
      </w:r>
      <w:r>
        <w:t xml:space="preserve">the </w:t>
      </w:r>
      <w:r w:rsidR="00F1484D" w:rsidRPr="00F1484D">
        <w:t xml:space="preserve">total </w:t>
      </w:r>
      <w:r>
        <w:t xml:space="preserve">graduates </w:t>
      </w:r>
      <w:r w:rsidR="00F1484D" w:rsidRPr="00F1484D">
        <w:t>shortlisted.</w:t>
      </w:r>
    </w:p>
    <w:p w:rsidR="00A84EEB" w:rsidRDefault="00A84EEB" w:rsidP="00A84EEB">
      <w:pPr>
        <w:pStyle w:val="Bodytext"/>
      </w:pPr>
      <w:r>
        <w:t xml:space="preserve">The ACTPS submission states: </w:t>
      </w:r>
    </w:p>
    <w:p w:rsidR="00F1484D" w:rsidRPr="00F1484D" w:rsidRDefault="00F1484D" w:rsidP="00F1484D">
      <w:pPr>
        <w:pStyle w:val="Quote"/>
      </w:pPr>
      <w:r w:rsidRPr="00F1484D">
        <w:t>While entry level programs are contributing to increase in employment numbers, and raising awareness of the ACTPS as an employer, we continue to examine ways to maximise opportunities for individuals completing traineeship and other programs to secure permanent employment. This is an issue of general application across the ACTPS and as such is not specifically related to Aboriginal and Torres Strait Islander employment, but reflects the tightening employment opportunities across the ACTPS. It reflects a reluct</w:t>
      </w:r>
      <w:r w:rsidR="00A84EEB">
        <w:t>a</w:t>
      </w:r>
      <w:r w:rsidRPr="00F1484D">
        <w:t>nce from directorates to commit to ongoing employment as staffing budgets are being reduced.</w:t>
      </w:r>
    </w:p>
    <w:p w:rsidR="00F1484D" w:rsidRDefault="00F1484D" w:rsidP="00F1484D">
      <w:pPr>
        <w:pStyle w:val="Quote"/>
      </w:pPr>
      <w:r w:rsidRPr="00F1484D">
        <w:t>CMTD is looking at ways to address this, including allowing agencies to offer a position somewhere in the agency (rather than a specific business unit) or elsewhere in the ACTPS. That said, some candidates might be primarily interested in a particular job or work area rather than a broader offer. It is also important for directorates to take into account the likely staff turnover rates at the ASO 5/6 and equivalent levels.  The ACT Government has made a commitment to expand the number of entry level training places by 10 per cent per annum.</w:t>
      </w:r>
      <w:r>
        <w:rPr>
          <w:rStyle w:val="FootnoteReference"/>
        </w:rPr>
        <w:footnoteReference w:id="63"/>
      </w:r>
    </w:p>
    <w:p w:rsidR="00B4442F" w:rsidRDefault="00B4442F" w:rsidP="00A84EEB">
      <w:pPr>
        <w:pStyle w:val="Bodytext"/>
      </w:pPr>
      <w:r>
        <w:t>The Committee endorses the ACTPS plans for 2015</w:t>
      </w:r>
      <w:r w:rsidR="00E3640D">
        <w:t xml:space="preserve"> ACTPS Graduate Program and</w:t>
      </w:r>
      <w:r>
        <w:t xml:space="preserve"> </w:t>
      </w:r>
      <w:r w:rsidR="00E3640D">
        <w:t xml:space="preserve">believes there is a need to </w:t>
      </w:r>
      <w:r>
        <w:t>creat</w:t>
      </w:r>
      <w:r w:rsidR="00E3640D">
        <w:t>e</w:t>
      </w:r>
      <w:r>
        <w:t xml:space="preserve"> </w:t>
      </w:r>
      <w:r w:rsidR="00E3640D">
        <w:t xml:space="preserve">several </w:t>
      </w:r>
      <w:r>
        <w:t>positions for Aboriginal and Torres Strait Islander graduate</w:t>
      </w:r>
      <w:r w:rsidR="00317B31">
        <w:t>s</w:t>
      </w:r>
      <w:r>
        <w:t xml:space="preserve"> on the ACTPS Graduate Program.  </w:t>
      </w:r>
      <w:r w:rsidR="00E3640D">
        <w:t>This is necessary if Aboriginal and Torres Strait Islander employees are going to progress to the middle ranks of the ACTPS and more senior levels.</w:t>
      </w:r>
      <w:r>
        <w:t xml:space="preserve"> </w:t>
      </w:r>
      <w:r w:rsidR="00E3640D">
        <w:t xml:space="preserve"> The Committee believes </w:t>
      </w:r>
      <w:r>
        <w:t>this has the potential to create a new generation of talented Indigenous leaders in the ACTP</w:t>
      </w:r>
      <w:r w:rsidR="00815058">
        <w:t>S</w:t>
      </w:r>
      <w:r>
        <w:t xml:space="preserve">.   </w:t>
      </w:r>
    </w:p>
    <w:p w:rsidR="00A84EEB" w:rsidRDefault="00B4442F" w:rsidP="00A84EEB">
      <w:pPr>
        <w:pStyle w:val="Bodytext"/>
      </w:pPr>
      <w:r>
        <w:t xml:space="preserve">The Committee firmly believes this change must be accompanied by well planned and implemented promotion and mentoring </w:t>
      </w:r>
      <w:r w:rsidR="0037358A">
        <w:t xml:space="preserve">programs. </w:t>
      </w:r>
    </w:p>
    <w:p w:rsidR="00E3640D" w:rsidRDefault="00E3640D" w:rsidP="00A84EEB">
      <w:pPr>
        <w:pStyle w:val="Bodytext"/>
      </w:pPr>
      <w:r>
        <w:t xml:space="preserve">The attrition rate of Aboriginal and Torres Strait Islander employees suggests that in the short term the percentage of positions </w:t>
      </w:r>
      <w:r w:rsidR="002B6018">
        <w:t xml:space="preserve">for Aboriginal and Torres Strait Islanders </w:t>
      </w:r>
      <w:r>
        <w:t xml:space="preserve">in the ACTPS Graduate Program should be greater than 2.0 percent.  </w:t>
      </w:r>
    </w:p>
    <w:p w:rsidR="00E3640D" w:rsidRDefault="00E3640D" w:rsidP="00E3640D">
      <w:pPr>
        <w:pStyle w:val="Recommendation"/>
      </w:pPr>
      <w:bookmarkStart w:id="78" w:name="_Toc384024367"/>
      <w:bookmarkEnd w:id="78"/>
    </w:p>
    <w:p w:rsidR="00E3640D" w:rsidRPr="00E3640D" w:rsidRDefault="00E3640D" w:rsidP="00E3640D">
      <w:pPr>
        <w:pStyle w:val="RecommendationText"/>
      </w:pPr>
      <w:bookmarkStart w:id="79" w:name="_Toc384024368"/>
      <w:r>
        <w:t xml:space="preserve">The Committee recommends that the </w:t>
      </w:r>
      <w:r w:rsidR="00362151" w:rsidRPr="00815058">
        <w:rPr>
          <w:i/>
        </w:rPr>
        <w:t>A</w:t>
      </w:r>
      <w:r w:rsidR="00815058" w:rsidRPr="00815058">
        <w:rPr>
          <w:i/>
        </w:rPr>
        <w:t>CT</w:t>
      </w:r>
      <w:r w:rsidR="00362151" w:rsidRPr="00815058">
        <w:rPr>
          <w:i/>
        </w:rPr>
        <w:t xml:space="preserve"> </w:t>
      </w:r>
      <w:r w:rsidRPr="00815058">
        <w:rPr>
          <w:i/>
        </w:rPr>
        <w:t>Public Service Graduate Program</w:t>
      </w:r>
      <w:r>
        <w:t xml:space="preserve"> </w:t>
      </w:r>
      <w:r w:rsidR="00581F10">
        <w:t xml:space="preserve">offer at least </w:t>
      </w:r>
      <w:r w:rsidR="00C045C6">
        <w:t>2.0 percent of the total number of positions</w:t>
      </w:r>
      <w:r w:rsidR="00581F10">
        <w:t xml:space="preserve"> to Aboriginal and Torres Strait Islander people</w:t>
      </w:r>
      <w:r w:rsidR="00C045C6">
        <w:t>.</w:t>
      </w:r>
      <w:bookmarkEnd w:id="79"/>
      <w:r w:rsidR="00C045C6">
        <w:t xml:space="preserve">  </w:t>
      </w:r>
    </w:p>
    <w:p w:rsidR="00A833EB" w:rsidRDefault="00FA19A0" w:rsidP="00D35FCB">
      <w:pPr>
        <w:pStyle w:val="Headinglevel3"/>
      </w:pPr>
      <w:r>
        <w:br w:type="page"/>
      </w:r>
      <w:r w:rsidR="00A833EB">
        <w:t>Indigenous Cadetship Program</w:t>
      </w:r>
    </w:p>
    <w:p w:rsidR="00A833EB" w:rsidRDefault="00A833EB" w:rsidP="00A833EB">
      <w:pPr>
        <w:pStyle w:val="Bodytext"/>
      </w:pPr>
      <w:r>
        <w:t xml:space="preserve">The ACTPS submission refers to the </w:t>
      </w:r>
      <w:r w:rsidR="00963CEF">
        <w:t>Australian Government Department of Education, Employment and Workplace Relations (DEEWR) Cadetship Program</w:t>
      </w:r>
      <w:r>
        <w:t xml:space="preserve"> as a program that offers students a paid 12-week work period with one year’s guaranteed employment upon completion of the Program.</w:t>
      </w:r>
      <w:r>
        <w:rPr>
          <w:rStyle w:val="FootnoteReference"/>
        </w:rPr>
        <w:footnoteReference w:id="64"/>
      </w:r>
    </w:p>
    <w:p w:rsidR="00A833EB" w:rsidRPr="00A833EB" w:rsidRDefault="00A833EB" w:rsidP="00A833EB">
      <w:pPr>
        <w:pStyle w:val="Bodytext"/>
      </w:pPr>
      <w:r>
        <w:t xml:space="preserve">The Committee notes that </w:t>
      </w:r>
      <w:r w:rsidR="00447B42">
        <w:t>o</w:t>
      </w:r>
      <w:r w:rsidRPr="00A833EB">
        <w:t>n 18 Septembe</w:t>
      </w:r>
      <w:r>
        <w:t xml:space="preserve">r 2013, responsibility for the Program </w:t>
      </w:r>
      <w:r w:rsidRPr="00A833EB">
        <w:t>transferred to the Department of the Prime Minister and Cabinet.</w:t>
      </w:r>
      <w:r>
        <w:t xml:space="preserve"> The Program is described on the Department of Employment website</w:t>
      </w:r>
      <w:r w:rsidR="00C045C6">
        <w:t xml:space="preserve"> as the Cadetship Support Program.  The website states</w:t>
      </w:r>
      <w:r>
        <w:t xml:space="preserve">: </w:t>
      </w:r>
    </w:p>
    <w:p w:rsidR="00A833EB" w:rsidRPr="00A833EB" w:rsidRDefault="00A833EB" w:rsidP="00A833EB">
      <w:pPr>
        <w:pStyle w:val="Quote"/>
      </w:pPr>
      <w:r w:rsidRPr="00A833EB">
        <w:t>Employers who want to offer work placements and ongoing employment to Aboriginal and Torres Strait Islander tertiary students can get financial help from the Australian Government</w:t>
      </w:r>
      <w:r>
        <w:t xml:space="preserve"> … </w:t>
      </w:r>
      <w:r w:rsidRPr="00A833EB">
        <w:t>through the Indigenous Cadetship Support program.</w:t>
      </w:r>
    </w:p>
    <w:p w:rsidR="00A833EB" w:rsidRPr="00A833EB" w:rsidRDefault="00A833EB" w:rsidP="00A833EB">
      <w:pPr>
        <w:pStyle w:val="Quote"/>
      </w:pPr>
      <w:r w:rsidRPr="00A833EB">
        <w:t>The Indigenous Cadetship Support program aims to improve the job prospects of Aboriginal and Torres Strait Islander students.</w:t>
      </w:r>
    </w:p>
    <w:p w:rsidR="00A833EB" w:rsidRPr="00A833EB" w:rsidRDefault="00A833EB" w:rsidP="00A833EB">
      <w:pPr>
        <w:pStyle w:val="Quote"/>
      </w:pPr>
      <w:r w:rsidRPr="00A833EB">
        <w:t>The program links full-time students undertaking their first undergraduate degree with employers who can give them work placements and ongoing employment once they finish their studies.</w:t>
      </w:r>
    </w:p>
    <w:p w:rsidR="00A833EB" w:rsidRPr="00A833EB" w:rsidRDefault="00A833EB" w:rsidP="00A833EB">
      <w:pPr>
        <w:pStyle w:val="Quote"/>
      </w:pPr>
      <w:r w:rsidRPr="00A833EB">
        <w:t>Cadetship employers:</w:t>
      </w:r>
    </w:p>
    <w:p w:rsidR="00A833EB" w:rsidRPr="00A833EB" w:rsidRDefault="00A833EB" w:rsidP="00185285">
      <w:pPr>
        <w:pStyle w:val="Quote"/>
        <w:numPr>
          <w:ilvl w:val="0"/>
          <w:numId w:val="10"/>
        </w:numPr>
      </w:pPr>
      <w:r w:rsidRPr="00A833EB">
        <w:t>provide paid work placements of 12 weeks for each year of the cadetship</w:t>
      </w:r>
    </w:p>
    <w:p w:rsidR="00A833EB" w:rsidRPr="00A833EB" w:rsidRDefault="00A833EB" w:rsidP="00185285">
      <w:pPr>
        <w:pStyle w:val="Quote"/>
        <w:numPr>
          <w:ilvl w:val="0"/>
          <w:numId w:val="10"/>
        </w:numPr>
      </w:pPr>
      <w:r w:rsidRPr="00A833EB">
        <w:t>support the cadet through their study and work placements, giving professional guidance and mentorship</w:t>
      </w:r>
    </w:p>
    <w:p w:rsidR="00A833EB" w:rsidRPr="00A833EB" w:rsidRDefault="00A833EB" w:rsidP="00185285">
      <w:pPr>
        <w:pStyle w:val="Quote"/>
        <w:numPr>
          <w:ilvl w:val="0"/>
          <w:numId w:val="10"/>
        </w:numPr>
      </w:pPr>
      <w:r w:rsidRPr="00A833EB">
        <w:t>intend to offer ongoing employment to the cadet once they successfully complete their cadetship</w:t>
      </w:r>
      <w:r>
        <w:t>.</w:t>
      </w:r>
      <w:r>
        <w:rPr>
          <w:rStyle w:val="FootnoteReference"/>
        </w:rPr>
        <w:footnoteReference w:id="65"/>
      </w:r>
    </w:p>
    <w:p w:rsidR="001F1DA5" w:rsidRDefault="00A833EB" w:rsidP="00DB762F">
      <w:pPr>
        <w:pStyle w:val="Bodytext"/>
      </w:pPr>
      <w:r>
        <w:t xml:space="preserve">The Indigenous Support website is: </w:t>
      </w:r>
      <w:hyperlink r:id="rId26" w:history="1">
        <w:r w:rsidRPr="004D0E3D">
          <w:rPr>
            <w:rStyle w:val="Hyperlink"/>
          </w:rPr>
          <w:t>https://www.ics.deewr.gov.au/</w:t>
        </w:r>
      </w:hyperlink>
      <w:r w:rsidR="006E2B0F">
        <w:t>.  The Committee notes t</w:t>
      </w:r>
      <w:r w:rsidR="001F1DA5">
        <w:t xml:space="preserve">hat the website lists </w:t>
      </w:r>
      <w:r w:rsidR="006E2B0F">
        <w:t xml:space="preserve">the ACT Chief Minister’s </w:t>
      </w:r>
      <w:r w:rsidR="001F1DA5">
        <w:t>Department</w:t>
      </w:r>
      <w:r w:rsidR="006E2B0F">
        <w:t xml:space="preserve"> as a participating employer. </w:t>
      </w:r>
      <w:r w:rsidR="001F1DA5">
        <w:t xml:space="preserve">  The Committee also notes that the Chief Minister’s and Treasury Directorate plans to review the Program in 2014.  </w:t>
      </w:r>
    </w:p>
    <w:p w:rsidR="00DB762F" w:rsidRDefault="001F1DA5" w:rsidP="00DB762F">
      <w:pPr>
        <w:pStyle w:val="Bodytext"/>
      </w:pPr>
      <w:r>
        <w:t xml:space="preserve">The Committee endorses participation in the </w:t>
      </w:r>
      <w:r w:rsidR="00C045C6">
        <w:t xml:space="preserve">Australian Government’s Indigenous Cadetship Support </w:t>
      </w:r>
      <w:r>
        <w:t xml:space="preserve">Program. </w:t>
      </w:r>
    </w:p>
    <w:p w:rsidR="00C045C6" w:rsidRDefault="00C045C6" w:rsidP="00C045C6">
      <w:pPr>
        <w:pStyle w:val="Recommendation"/>
      </w:pPr>
      <w:bookmarkStart w:id="80" w:name="_Toc384024369"/>
      <w:bookmarkEnd w:id="80"/>
    </w:p>
    <w:p w:rsidR="00C045C6" w:rsidRPr="00C045C6" w:rsidRDefault="00C045C6" w:rsidP="00C045C6">
      <w:pPr>
        <w:pStyle w:val="RecommendationText"/>
      </w:pPr>
      <w:bookmarkStart w:id="81" w:name="_Toc384024370"/>
      <w:r>
        <w:t xml:space="preserve">The Committee recommends that the </w:t>
      </w:r>
      <w:r w:rsidR="00323080">
        <w:t xml:space="preserve">ACT Public Service </w:t>
      </w:r>
      <w:r>
        <w:t xml:space="preserve"> continue to be involved in the Australian Government’s Indigenous Cadetship Program.</w:t>
      </w:r>
      <w:bookmarkEnd w:id="81"/>
      <w:r>
        <w:t xml:space="preserve">  </w:t>
      </w:r>
    </w:p>
    <w:p w:rsidR="00DB762F" w:rsidRDefault="00963CEF" w:rsidP="00D35FCB">
      <w:pPr>
        <w:pStyle w:val="Headinglevel3"/>
      </w:pPr>
      <w:r>
        <w:t xml:space="preserve">CSD Indigenous Traineeship Program </w:t>
      </w:r>
    </w:p>
    <w:p w:rsidR="003E018E" w:rsidRPr="00A83970" w:rsidRDefault="003E018E" w:rsidP="003E018E">
      <w:pPr>
        <w:pStyle w:val="Bodytext"/>
        <w:rPr>
          <w:lang w:val="en-US"/>
        </w:rPr>
      </w:pPr>
      <w:r w:rsidRPr="00A83970">
        <w:rPr>
          <w:lang w:val="en-US"/>
        </w:rPr>
        <w:t>The Traineeship Program offer</w:t>
      </w:r>
      <w:r>
        <w:rPr>
          <w:lang w:val="en-US"/>
        </w:rPr>
        <w:t>s</w:t>
      </w:r>
      <w:r w:rsidRPr="00A83970">
        <w:rPr>
          <w:lang w:val="en-US"/>
        </w:rPr>
        <w:t xml:space="preserve"> Aboriginal and Torres Strait Islander people careers </w:t>
      </w:r>
      <w:r>
        <w:rPr>
          <w:lang w:val="en-US"/>
        </w:rPr>
        <w:t xml:space="preserve">in the ACTPS after </w:t>
      </w:r>
      <w:r w:rsidRPr="00A83970">
        <w:rPr>
          <w:lang w:val="en-US"/>
        </w:rPr>
        <w:t xml:space="preserve">successful completion of </w:t>
      </w:r>
      <w:r>
        <w:rPr>
          <w:lang w:val="en-US"/>
        </w:rPr>
        <w:t xml:space="preserve">12-month’s </w:t>
      </w:r>
      <w:r w:rsidRPr="00A83970">
        <w:rPr>
          <w:lang w:val="en-US"/>
        </w:rPr>
        <w:t>training and work</w:t>
      </w:r>
      <w:r>
        <w:rPr>
          <w:lang w:val="en-US"/>
        </w:rPr>
        <w:t xml:space="preserve"> placements.  The ACTPS submission states: </w:t>
      </w:r>
    </w:p>
    <w:p w:rsidR="003E018E" w:rsidRPr="00A83970" w:rsidRDefault="003E018E" w:rsidP="003E018E">
      <w:pPr>
        <w:pStyle w:val="Quote"/>
        <w:rPr>
          <w:lang w:val="en-US"/>
        </w:rPr>
      </w:pPr>
      <w:r w:rsidRPr="00A83970">
        <w:rPr>
          <w:lang w:val="en-US"/>
        </w:rPr>
        <w:t>Participants who successfully complete the program and meet their workplace commitments during the twelve months may be advanced to a higher position (an ASO2) in the ACTPS without a further merit selection process. Participants are advanced within the agency where they undertook their traineeship.</w:t>
      </w:r>
      <w:r>
        <w:rPr>
          <w:rStyle w:val="FootnoteReference"/>
          <w:lang w:val="en-US"/>
        </w:rPr>
        <w:footnoteReference w:id="66"/>
      </w:r>
    </w:p>
    <w:p w:rsidR="003E018E" w:rsidRDefault="003E018E" w:rsidP="007A3BDC">
      <w:pPr>
        <w:pStyle w:val="Bodytext"/>
      </w:pPr>
      <w:r>
        <w:t xml:space="preserve">The ACTPS submission claims there is continuing support for the Program across the ACTPS.  In particular: </w:t>
      </w:r>
    </w:p>
    <w:p w:rsidR="003E018E" w:rsidRPr="00A83970" w:rsidRDefault="003E018E" w:rsidP="003E018E">
      <w:pPr>
        <w:pStyle w:val="Quote"/>
        <w:rPr>
          <w:lang w:val="en-US"/>
        </w:rPr>
      </w:pPr>
      <w:r w:rsidRPr="00A83970">
        <w:rPr>
          <w:lang w:val="en-US"/>
        </w:rPr>
        <w:t>Seven agencies created placements for 20 trainees who commenced the program in</w:t>
      </w:r>
      <w:r>
        <w:rPr>
          <w:lang w:val="en-US"/>
        </w:rPr>
        <w:t xml:space="preserve"> </w:t>
      </w:r>
      <w:r w:rsidRPr="00A83970">
        <w:rPr>
          <w:lang w:val="en-US"/>
        </w:rPr>
        <w:t xml:space="preserve">August 2012. The Trainees participated in a </w:t>
      </w:r>
      <w:r w:rsidRPr="003E018E">
        <w:rPr>
          <w:i/>
          <w:lang w:val="en-US"/>
        </w:rPr>
        <w:t>Certificate III of Government</w:t>
      </w:r>
      <w:r w:rsidRPr="00A83970">
        <w:rPr>
          <w:lang w:val="en-US"/>
        </w:rPr>
        <w:t xml:space="preserve"> and attend the Job Ready Program. Initially 21 people commenced the program, with 13 people completing the required qualifications. 11 people graduated from the program in NAIDOC Week 2013, and all graduated trainees are employed at the ASO2 level in the</w:t>
      </w:r>
      <w:r>
        <w:rPr>
          <w:lang w:val="en-US"/>
        </w:rPr>
        <w:t> </w:t>
      </w:r>
      <w:r w:rsidRPr="00A83970">
        <w:rPr>
          <w:lang w:val="en-US"/>
        </w:rPr>
        <w:t>ACTPS.</w:t>
      </w:r>
      <w:r>
        <w:rPr>
          <w:rStyle w:val="FootnoteReference"/>
          <w:lang w:val="en-US"/>
        </w:rPr>
        <w:footnoteReference w:id="67"/>
      </w:r>
    </w:p>
    <w:p w:rsidR="00667519" w:rsidRDefault="009F5DA9" w:rsidP="007A3BDC">
      <w:pPr>
        <w:pStyle w:val="Bodytext"/>
      </w:pPr>
      <w:r>
        <w:t xml:space="preserve">A more critical </w:t>
      </w:r>
      <w:r w:rsidR="00287237">
        <w:t xml:space="preserve">assessment </w:t>
      </w:r>
      <w:r>
        <w:t xml:space="preserve">was provided by </w:t>
      </w:r>
      <w:r w:rsidR="00323080">
        <w:t xml:space="preserve">Elected Body </w:t>
      </w:r>
      <w:r w:rsidR="00287237">
        <w:t xml:space="preserve"> Member, </w:t>
      </w:r>
      <w:r>
        <w:t>Mr B</w:t>
      </w:r>
      <w:r w:rsidR="00287237">
        <w:t xml:space="preserve">rendan Church: </w:t>
      </w:r>
    </w:p>
    <w:p w:rsidR="009F5DA9" w:rsidRPr="00EF47DA" w:rsidRDefault="009F5DA9" w:rsidP="009F5DA9">
      <w:pPr>
        <w:pStyle w:val="Quote"/>
        <w:rPr>
          <w:lang w:val="en-US"/>
        </w:rPr>
      </w:pPr>
      <w:r w:rsidRPr="00EF47DA">
        <w:rPr>
          <w:lang w:val="en-US"/>
        </w:rPr>
        <w:t>There are some particular concerns around the traineeship program and around the</w:t>
      </w:r>
      <w:r>
        <w:rPr>
          <w:lang w:val="en-US"/>
        </w:rPr>
        <w:t xml:space="preserve"> </w:t>
      </w:r>
      <w:r w:rsidRPr="00EF47DA">
        <w:rPr>
          <w:lang w:val="en-US"/>
        </w:rPr>
        <w:t xml:space="preserve">success rate of the current trainees. </w:t>
      </w:r>
      <w:r w:rsidR="00287237">
        <w:rPr>
          <w:lang w:val="en-US"/>
        </w:rPr>
        <w:t xml:space="preserve"> </w:t>
      </w:r>
      <w:r w:rsidRPr="00EF47DA">
        <w:rPr>
          <w:lang w:val="en-US"/>
        </w:rPr>
        <w:t xml:space="preserve">What I think we need to remember is that this trainee experience is often the first employment or position that a lot of these young people have occupied. </w:t>
      </w:r>
      <w:r w:rsidR="00287237">
        <w:rPr>
          <w:lang w:val="en-US"/>
        </w:rPr>
        <w:t xml:space="preserve"> </w:t>
      </w:r>
      <w:r w:rsidRPr="00EF47DA">
        <w:rPr>
          <w:lang w:val="en-US"/>
        </w:rPr>
        <w:t xml:space="preserve">So their experience with employment in basically the public service is really going to be impacted if they have a bad experience initially as a trainee. So I think we need to keep in mind that this is going to impact on them long term. The </w:t>
      </w:r>
      <w:r w:rsidR="00323080">
        <w:rPr>
          <w:lang w:val="en-US"/>
        </w:rPr>
        <w:t xml:space="preserve">Elected Body </w:t>
      </w:r>
      <w:r w:rsidR="00287237">
        <w:rPr>
          <w:lang w:val="en-US"/>
        </w:rPr>
        <w:t xml:space="preserve"> </w:t>
      </w:r>
      <w:r w:rsidRPr="00EF47DA">
        <w:rPr>
          <w:lang w:val="en-US"/>
        </w:rPr>
        <w:t>strongly believe</w:t>
      </w:r>
      <w:r w:rsidR="00287237">
        <w:rPr>
          <w:lang w:val="en-US"/>
        </w:rPr>
        <w:t xml:space="preserve">s </w:t>
      </w:r>
      <w:r w:rsidRPr="00EF47DA">
        <w:rPr>
          <w:lang w:val="en-US"/>
        </w:rPr>
        <w:t xml:space="preserve">that there needs to be additional support for the trainees. </w:t>
      </w:r>
      <w:r w:rsidR="00287237">
        <w:rPr>
          <w:lang w:val="en-US"/>
        </w:rPr>
        <w:t xml:space="preserve"> </w:t>
      </w:r>
      <w:r w:rsidRPr="00EF47DA">
        <w:rPr>
          <w:lang w:val="en-US"/>
        </w:rPr>
        <w:t>This will see an increase in the number of trainees that go through the program successfully.</w:t>
      </w:r>
    </w:p>
    <w:p w:rsidR="00287237" w:rsidRPr="00287237" w:rsidRDefault="00287237" w:rsidP="00287237">
      <w:pPr>
        <w:pStyle w:val="Quote"/>
        <w:rPr>
          <w:lang w:val="en-US"/>
        </w:rPr>
      </w:pPr>
      <w:r>
        <w:t xml:space="preserve">... </w:t>
      </w:r>
      <w:r w:rsidRPr="00287237">
        <w:rPr>
          <w:lang w:val="en-US"/>
        </w:rPr>
        <w:t>Tracing that back to the traineeship program, I think that we really need to make sure that this traineeship program is effective and there are really high standards set for these young people entering the workforce.</w:t>
      </w:r>
    </w:p>
    <w:p w:rsidR="00287237" w:rsidRPr="00287237" w:rsidRDefault="00287237" w:rsidP="00287237">
      <w:pPr>
        <w:pStyle w:val="Quote"/>
        <w:rPr>
          <w:lang w:val="en-US"/>
        </w:rPr>
      </w:pPr>
      <w:r w:rsidRPr="00287237">
        <w:rPr>
          <w:lang w:val="en-US"/>
        </w:rPr>
        <w:t xml:space="preserve">With the traineeship program, the </w:t>
      </w:r>
      <w:r w:rsidR="00323080">
        <w:rPr>
          <w:lang w:val="en-US"/>
        </w:rPr>
        <w:t xml:space="preserve">Elected Body </w:t>
      </w:r>
      <w:r w:rsidRPr="00287237">
        <w:rPr>
          <w:lang w:val="en-US"/>
        </w:rPr>
        <w:t xml:space="preserve"> are concerned that this is the first employment experience for a lot of these participants. And throwing some of them into a five-day-a-week position may not be the best way to approach it. So there needs to be greater flexibility, whether that be a one, two or three-day-a-week transition- type program. A lot of them are overwhelmed going straight into a traineeship program from no work. So that needs to be really taken into account.</w:t>
      </w:r>
    </w:p>
    <w:p w:rsidR="00287237" w:rsidRPr="00287237" w:rsidRDefault="00287237" w:rsidP="00287237">
      <w:pPr>
        <w:pStyle w:val="Quote"/>
        <w:rPr>
          <w:lang w:val="en-US"/>
        </w:rPr>
      </w:pPr>
      <w:r w:rsidRPr="00287237">
        <w:rPr>
          <w:lang w:val="en-US"/>
        </w:rPr>
        <w:t>This applies, really, across all ACT government employee positions. There needs to be clear transition pathways, and, with the traineeship program, we have seen a couple of the initial graduates finding it very hard to find full-time permanent employment in the public service following the traineeship program. And that is a big concern for us. We believe there should be a strategic pathway for each and every person that goes through this program.</w:t>
      </w:r>
      <w:r>
        <w:rPr>
          <w:rStyle w:val="FootnoteReference"/>
          <w:lang w:val="en-US"/>
        </w:rPr>
        <w:footnoteReference w:id="68"/>
      </w:r>
    </w:p>
    <w:p w:rsidR="002B7A0D" w:rsidRDefault="00287237" w:rsidP="007A3BDC">
      <w:pPr>
        <w:pStyle w:val="Bodytext"/>
      </w:pPr>
      <w:r>
        <w:t xml:space="preserve">The Committee notes the achievements outlined in the ACTPS submission but </w:t>
      </w:r>
      <w:r w:rsidR="002B7A0D">
        <w:t xml:space="preserve">is of the view that </w:t>
      </w:r>
      <w:r>
        <w:t xml:space="preserve">the concerns raised by the </w:t>
      </w:r>
      <w:r w:rsidR="00323080">
        <w:t xml:space="preserve">Elected Body </w:t>
      </w:r>
      <w:r>
        <w:t xml:space="preserve"> must be addressed.  </w:t>
      </w:r>
      <w:r w:rsidR="002B7A0D">
        <w:t xml:space="preserve"> </w:t>
      </w:r>
      <w:r>
        <w:t>The</w:t>
      </w:r>
      <w:r w:rsidR="002B7A0D">
        <w:t xml:space="preserve"> Committee notes evidence provided by</w:t>
      </w:r>
      <w:r>
        <w:t xml:space="preserve"> Dr Kate Barnett</w:t>
      </w:r>
      <w:r w:rsidR="00975AF9">
        <w:t>, Deputy Director, WISeR,</w:t>
      </w:r>
      <w:r>
        <w:t xml:space="preserve"> in relation to </w:t>
      </w:r>
      <w:r w:rsidR="002B7A0D">
        <w:t xml:space="preserve">Indigenous employment in the </w:t>
      </w:r>
      <w:r>
        <w:t>South Australian Public Sector</w:t>
      </w:r>
      <w:r w:rsidR="002B7A0D">
        <w:t xml:space="preserve">: </w:t>
      </w:r>
    </w:p>
    <w:p w:rsidR="00366BF5" w:rsidRDefault="002B7A0D" w:rsidP="002B7A0D">
      <w:pPr>
        <w:pStyle w:val="Quote"/>
        <w:rPr>
          <w:spacing w:val="19"/>
        </w:rPr>
      </w:pPr>
      <w:r>
        <w:t>When</w:t>
      </w:r>
      <w:r>
        <w:rPr>
          <w:spacing w:val="38"/>
        </w:rPr>
        <w:t xml:space="preserve"> </w:t>
      </w:r>
      <w:r>
        <w:t>we</w:t>
      </w:r>
      <w:r>
        <w:rPr>
          <w:spacing w:val="36"/>
        </w:rPr>
        <w:t xml:space="preserve"> </w:t>
      </w:r>
      <w:r>
        <w:t>looked</w:t>
      </w:r>
      <w:r>
        <w:rPr>
          <w:spacing w:val="37"/>
        </w:rPr>
        <w:t xml:space="preserve"> </w:t>
      </w:r>
      <w:r>
        <w:t>through</w:t>
      </w:r>
      <w:r>
        <w:rPr>
          <w:spacing w:val="38"/>
        </w:rPr>
        <w:t xml:space="preserve"> </w:t>
      </w:r>
      <w:r>
        <w:t>the</w:t>
      </w:r>
      <w:r>
        <w:rPr>
          <w:spacing w:val="37"/>
        </w:rPr>
        <w:t xml:space="preserve"> </w:t>
      </w:r>
      <w:r>
        <w:rPr>
          <w:spacing w:val="-1"/>
        </w:rPr>
        <w:t>data</w:t>
      </w:r>
      <w:r>
        <w:rPr>
          <w:spacing w:val="39"/>
        </w:rPr>
        <w:t xml:space="preserve"> </w:t>
      </w:r>
      <w:r>
        <w:rPr>
          <w:spacing w:val="-1"/>
        </w:rPr>
        <w:t>set</w:t>
      </w:r>
      <w:r>
        <w:rPr>
          <w:spacing w:val="38"/>
        </w:rPr>
        <w:t xml:space="preserve"> </w:t>
      </w:r>
      <w:r>
        <w:t>on</w:t>
      </w:r>
      <w:r>
        <w:rPr>
          <w:spacing w:val="40"/>
        </w:rPr>
        <w:t xml:space="preserve"> </w:t>
      </w:r>
      <w:r>
        <w:rPr>
          <w:spacing w:val="-1"/>
        </w:rPr>
        <w:t>apprenticeships</w:t>
      </w:r>
      <w:r>
        <w:rPr>
          <w:spacing w:val="38"/>
        </w:rPr>
        <w:t xml:space="preserve"> </w:t>
      </w:r>
      <w:r>
        <w:rPr>
          <w:spacing w:val="-1"/>
        </w:rPr>
        <w:t>and</w:t>
      </w:r>
      <w:r>
        <w:rPr>
          <w:spacing w:val="38"/>
        </w:rPr>
        <w:t xml:space="preserve"> </w:t>
      </w:r>
      <w:r>
        <w:t>traineeships,</w:t>
      </w:r>
      <w:r>
        <w:rPr>
          <w:spacing w:val="38"/>
        </w:rPr>
        <w:t xml:space="preserve"> </w:t>
      </w:r>
      <w:r>
        <w:rPr>
          <w:spacing w:val="-1"/>
        </w:rPr>
        <w:t>as</w:t>
      </w:r>
      <w:r>
        <w:rPr>
          <w:spacing w:val="38"/>
        </w:rPr>
        <w:t xml:space="preserve"> </w:t>
      </w:r>
      <w:r>
        <w:t>with</w:t>
      </w:r>
      <w:r>
        <w:rPr>
          <w:spacing w:val="47"/>
        </w:rPr>
        <w:t xml:space="preserve"> </w:t>
      </w:r>
      <w:r>
        <w:rPr>
          <w:spacing w:val="-1"/>
        </w:rPr>
        <w:t>what</w:t>
      </w:r>
      <w:r>
        <w:rPr>
          <w:spacing w:val="29"/>
        </w:rPr>
        <w:t xml:space="preserve"> </w:t>
      </w:r>
      <w:r>
        <w:rPr>
          <w:spacing w:val="-2"/>
        </w:rPr>
        <w:t>you</w:t>
      </w:r>
      <w:r>
        <w:rPr>
          <w:spacing w:val="26"/>
        </w:rPr>
        <w:t xml:space="preserve"> </w:t>
      </w:r>
      <w:r>
        <w:rPr>
          <w:spacing w:val="-1"/>
        </w:rPr>
        <w:t>have</w:t>
      </w:r>
      <w:r>
        <w:rPr>
          <w:spacing w:val="25"/>
        </w:rPr>
        <w:t xml:space="preserve"> </w:t>
      </w:r>
      <w:r>
        <w:t>been</w:t>
      </w:r>
      <w:r>
        <w:rPr>
          <w:spacing w:val="26"/>
        </w:rPr>
        <w:t xml:space="preserve"> </w:t>
      </w:r>
      <w:r>
        <w:t>finding</w:t>
      </w:r>
      <w:r>
        <w:rPr>
          <w:spacing w:val="24"/>
        </w:rPr>
        <w:t xml:space="preserve"> </w:t>
      </w:r>
      <w:r>
        <w:t>in</w:t>
      </w:r>
      <w:r>
        <w:rPr>
          <w:spacing w:val="26"/>
        </w:rPr>
        <w:t xml:space="preserve"> </w:t>
      </w:r>
      <w:r>
        <w:t>the</w:t>
      </w:r>
      <w:r>
        <w:rPr>
          <w:spacing w:val="25"/>
        </w:rPr>
        <w:t xml:space="preserve"> </w:t>
      </w:r>
      <w:r>
        <w:t>ACT,</w:t>
      </w:r>
      <w:r>
        <w:rPr>
          <w:spacing w:val="26"/>
        </w:rPr>
        <w:t xml:space="preserve"> </w:t>
      </w:r>
      <w:r>
        <w:t>we</w:t>
      </w:r>
      <w:r>
        <w:rPr>
          <w:spacing w:val="24"/>
        </w:rPr>
        <w:t xml:space="preserve"> </w:t>
      </w:r>
      <w:r>
        <w:rPr>
          <w:spacing w:val="-1"/>
        </w:rPr>
        <w:t>were</w:t>
      </w:r>
      <w:r>
        <w:rPr>
          <w:spacing w:val="24"/>
        </w:rPr>
        <w:t xml:space="preserve"> </w:t>
      </w:r>
      <w:r>
        <w:t>finding</w:t>
      </w:r>
      <w:r>
        <w:rPr>
          <w:spacing w:val="24"/>
        </w:rPr>
        <w:t xml:space="preserve"> </w:t>
      </w:r>
      <w:r>
        <w:t>that</w:t>
      </w:r>
      <w:r>
        <w:rPr>
          <w:spacing w:val="26"/>
        </w:rPr>
        <w:t xml:space="preserve"> </w:t>
      </w:r>
      <w:r>
        <w:rPr>
          <w:spacing w:val="-1"/>
        </w:rPr>
        <w:t>commencements</w:t>
      </w:r>
      <w:r>
        <w:rPr>
          <w:spacing w:val="26"/>
        </w:rPr>
        <w:t xml:space="preserve"> </w:t>
      </w:r>
      <w:r>
        <w:rPr>
          <w:spacing w:val="-1"/>
        </w:rPr>
        <w:t>had</w:t>
      </w:r>
      <w:r>
        <w:rPr>
          <w:spacing w:val="43"/>
        </w:rPr>
        <w:t xml:space="preserve"> </w:t>
      </w:r>
      <w:r>
        <w:rPr>
          <w:spacing w:val="-1"/>
        </w:rPr>
        <w:t>been</w:t>
      </w:r>
      <w:r>
        <w:rPr>
          <w:spacing w:val="38"/>
        </w:rPr>
        <w:t xml:space="preserve"> </w:t>
      </w:r>
      <w:r>
        <w:rPr>
          <w:spacing w:val="-1"/>
        </w:rPr>
        <w:t>high</w:t>
      </w:r>
      <w:r>
        <w:rPr>
          <w:spacing w:val="38"/>
        </w:rPr>
        <w:t xml:space="preserve"> </w:t>
      </w:r>
      <w:r>
        <w:t>due</w:t>
      </w:r>
      <w:r>
        <w:rPr>
          <w:spacing w:val="37"/>
        </w:rPr>
        <w:t xml:space="preserve"> </w:t>
      </w:r>
      <w:r>
        <w:t>to</w:t>
      </w:r>
      <w:r>
        <w:rPr>
          <w:spacing w:val="38"/>
        </w:rPr>
        <w:t xml:space="preserve"> </w:t>
      </w:r>
      <w:r>
        <w:rPr>
          <w:spacing w:val="-1"/>
        </w:rPr>
        <w:t>campaigns</w:t>
      </w:r>
      <w:r>
        <w:rPr>
          <w:spacing w:val="38"/>
        </w:rPr>
        <w:t xml:space="preserve"> </w:t>
      </w:r>
      <w:r>
        <w:t>to</w:t>
      </w:r>
      <w:r>
        <w:rPr>
          <w:spacing w:val="38"/>
        </w:rPr>
        <w:t xml:space="preserve"> </w:t>
      </w:r>
      <w:r>
        <w:rPr>
          <w:spacing w:val="-1"/>
        </w:rPr>
        <w:t>attract</w:t>
      </w:r>
      <w:r>
        <w:rPr>
          <w:spacing w:val="41"/>
        </w:rPr>
        <w:t xml:space="preserve"> </w:t>
      </w:r>
      <w:r>
        <w:rPr>
          <w:spacing w:val="-1"/>
        </w:rPr>
        <w:t>young</w:t>
      </w:r>
      <w:r>
        <w:rPr>
          <w:spacing w:val="35"/>
        </w:rPr>
        <w:t xml:space="preserve"> </w:t>
      </w:r>
      <w:r>
        <w:rPr>
          <w:spacing w:val="-1"/>
        </w:rPr>
        <w:t>Aboriginal</w:t>
      </w:r>
      <w:r>
        <w:rPr>
          <w:spacing w:val="38"/>
        </w:rPr>
        <w:t xml:space="preserve"> </w:t>
      </w:r>
      <w:r>
        <w:rPr>
          <w:spacing w:val="-1"/>
        </w:rPr>
        <w:t>people</w:t>
      </w:r>
      <w:r>
        <w:rPr>
          <w:spacing w:val="37"/>
        </w:rPr>
        <w:t xml:space="preserve"> </w:t>
      </w:r>
      <w:r>
        <w:rPr>
          <w:spacing w:val="-1"/>
        </w:rPr>
        <w:t>as</w:t>
      </w:r>
      <w:r>
        <w:rPr>
          <w:spacing w:val="38"/>
        </w:rPr>
        <w:t xml:space="preserve"> </w:t>
      </w:r>
      <w:r>
        <w:rPr>
          <w:spacing w:val="-1"/>
        </w:rPr>
        <w:t>apprentices</w:t>
      </w:r>
      <w:r>
        <w:rPr>
          <w:spacing w:val="38"/>
        </w:rPr>
        <w:t xml:space="preserve"> </w:t>
      </w:r>
      <w:r>
        <w:rPr>
          <w:spacing w:val="-1"/>
        </w:rPr>
        <w:t>and</w:t>
      </w:r>
      <w:r>
        <w:rPr>
          <w:spacing w:val="79"/>
        </w:rPr>
        <w:t xml:space="preserve"> </w:t>
      </w:r>
      <w:r>
        <w:rPr>
          <w:spacing w:val="-1"/>
        </w:rPr>
        <w:t>trainees</w:t>
      </w:r>
      <w:r>
        <w:rPr>
          <w:spacing w:val="45"/>
        </w:rPr>
        <w:t xml:space="preserve"> </w:t>
      </w:r>
      <w:r>
        <w:t>but</w:t>
      </w:r>
      <w:r>
        <w:rPr>
          <w:spacing w:val="45"/>
        </w:rPr>
        <w:t xml:space="preserve"> </w:t>
      </w:r>
      <w:r>
        <w:rPr>
          <w:spacing w:val="-1"/>
        </w:rPr>
        <w:t>that</w:t>
      </w:r>
      <w:r>
        <w:rPr>
          <w:spacing w:val="45"/>
        </w:rPr>
        <w:t xml:space="preserve"> </w:t>
      </w:r>
      <w:r>
        <w:rPr>
          <w:spacing w:val="-1"/>
        </w:rPr>
        <w:t>completion</w:t>
      </w:r>
      <w:r>
        <w:rPr>
          <w:spacing w:val="45"/>
        </w:rPr>
        <w:t xml:space="preserve"> </w:t>
      </w:r>
      <w:r>
        <w:rPr>
          <w:spacing w:val="-1"/>
        </w:rPr>
        <w:t>rates</w:t>
      </w:r>
      <w:r>
        <w:rPr>
          <w:spacing w:val="45"/>
        </w:rPr>
        <w:t xml:space="preserve"> </w:t>
      </w:r>
      <w:r>
        <w:rPr>
          <w:spacing w:val="-1"/>
        </w:rPr>
        <w:t>were</w:t>
      </w:r>
      <w:r>
        <w:rPr>
          <w:spacing w:val="43"/>
        </w:rPr>
        <w:t xml:space="preserve"> </w:t>
      </w:r>
      <w:r>
        <w:t>much</w:t>
      </w:r>
      <w:r>
        <w:rPr>
          <w:spacing w:val="45"/>
        </w:rPr>
        <w:t xml:space="preserve"> </w:t>
      </w:r>
      <w:r>
        <w:rPr>
          <w:spacing w:val="-1"/>
        </w:rPr>
        <w:t>lower</w:t>
      </w:r>
      <w:r>
        <w:rPr>
          <w:spacing w:val="44"/>
        </w:rPr>
        <w:t xml:space="preserve"> </w:t>
      </w:r>
      <w:r>
        <w:t>than</w:t>
      </w:r>
      <w:r>
        <w:rPr>
          <w:spacing w:val="44"/>
        </w:rPr>
        <w:t xml:space="preserve"> </w:t>
      </w:r>
      <w:r>
        <w:t>for</w:t>
      </w:r>
      <w:r>
        <w:rPr>
          <w:spacing w:val="43"/>
        </w:rPr>
        <w:t xml:space="preserve"> </w:t>
      </w:r>
      <w:r>
        <w:rPr>
          <w:spacing w:val="-1"/>
        </w:rPr>
        <w:t>non-Aboriginal</w:t>
      </w:r>
      <w:r>
        <w:rPr>
          <w:spacing w:val="77"/>
        </w:rPr>
        <w:t xml:space="preserve"> </w:t>
      </w:r>
      <w:r>
        <w:rPr>
          <w:spacing w:val="-1"/>
        </w:rPr>
        <w:t>apprentices</w:t>
      </w:r>
      <w:r>
        <w:rPr>
          <w:spacing w:val="14"/>
        </w:rPr>
        <w:t xml:space="preserve"> </w:t>
      </w:r>
      <w:r>
        <w:rPr>
          <w:spacing w:val="-1"/>
        </w:rPr>
        <w:t>and</w:t>
      </w:r>
      <w:r>
        <w:rPr>
          <w:spacing w:val="11"/>
        </w:rPr>
        <w:t xml:space="preserve"> </w:t>
      </w:r>
      <w:r>
        <w:rPr>
          <w:spacing w:val="-1"/>
        </w:rPr>
        <w:t>trainees.</w:t>
      </w:r>
      <w:r>
        <w:rPr>
          <w:spacing w:val="14"/>
        </w:rPr>
        <w:t xml:space="preserve"> </w:t>
      </w:r>
      <w:r>
        <w:rPr>
          <w:spacing w:val="-1"/>
        </w:rPr>
        <w:t>People</w:t>
      </w:r>
      <w:r>
        <w:rPr>
          <w:spacing w:val="11"/>
        </w:rPr>
        <w:t xml:space="preserve"> </w:t>
      </w:r>
      <w:r>
        <w:t>were</w:t>
      </w:r>
      <w:r>
        <w:rPr>
          <w:spacing w:val="10"/>
        </w:rPr>
        <w:t xml:space="preserve"> </w:t>
      </w:r>
      <w:r>
        <w:t>leaving</w:t>
      </w:r>
      <w:r>
        <w:rPr>
          <w:spacing w:val="12"/>
        </w:rPr>
        <w:t xml:space="preserve"> </w:t>
      </w:r>
      <w:r>
        <w:rPr>
          <w:spacing w:val="-1"/>
        </w:rPr>
        <w:t>before</w:t>
      </w:r>
      <w:r>
        <w:rPr>
          <w:spacing w:val="10"/>
        </w:rPr>
        <w:t xml:space="preserve"> </w:t>
      </w:r>
      <w:r>
        <w:rPr>
          <w:spacing w:val="1"/>
        </w:rPr>
        <w:t>they</w:t>
      </w:r>
      <w:r>
        <w:rPr>
          <w:spacing w:val="6"/>
        </w:rPr>
        <w:t xml:space="preserve"> </w:t>
      </w:r>
      <w:r>
        <w:t>had</w:t>
      </w:r>
      <w:r>
        <w:rPr>
          <w:spacing w:val="11"/>
        </w:rPr>
        <w:t xml:space="preserve"> </w:t>
      </w:r>
      <w:r>
        <w:rPr>
          <w:spacing w:val="-1"/>
        </w:rPr>
        <w:t>completed</w:t>
      </w:r>
      <w:r>
        <w:rPr>
          <w:spacing w:val="15"/>
        </w:rPr>
        <w:t xml:space="preserve"> </w:t>
      </w:r>
      <w:r>
        <w:t>but</w:t>
      </w:r>
      <w:r>
        <w:rPr>
          <w:spacing w:val="12"/>
        </w:rPr>
        <w:t xml:space="preserve"> </w:t>
      </w:r>
      <w:r>
        <w:t>the</w:t>
      </w:r>
      <w:r>
        <w:rPr>
          <w:spacing w:val="11"/>
        </w:rPr>
        <w:t xml:space="preserve"> </w:t>
      </w:r>
      <w:r>
        <w:rPr>
          <w:spacing w:val="-1"/>
        </w:rPr>
        <w:t>data</w:t>
      </w:r>
      <w:r>
        <w:rPr>
          <w:spacing w:val="73"/>
        </w:rPr>
        <w:t xml:space="preserve"> </w:t>
      </w:r>
      <w:r>
        <w:rPr>
          <w:spacing w:val="-1"/>
        </w:rPr>
        <w:t>set</w:t>
      </w:r>
      <w:r>
        <w:rPr>
          <w:spacing w:val="2"/>
        </w:rPr>
        <w:t xml:space="preserve"> </w:t>
      </w:r>
      <w:r>
        <w:rPr>
          <w:spacing w:val="-1"/>
        </w:rPr>
        <w:t>was</w:t>
      </w:r>
      <w:r>
        <w:rPr>
          <w:spacing w:val="2"/>
        </w:rPr>
        <w:t xml:space="preserve"> </w:t>
      </w:r>
      <w:r>
        <w:t>not</w:t>
      </w:r>
      <w:r>
        <w:rPr>
          <w:spacing w:val="2"/>
        </w:rPr>
        <w:t xml:space="preserve"> </w:t>
      </w:r>
      <w:r>
        <w:t>showing what</w:t>
      </w:r>
      <w:r>
        <w:rPr>
          <w:spacing w:val="2"/>
        </w:rPr>
        <w:t xml:space="preserve"> </w:t>
      </w:r>
      <w:r>
        <w:t>the</w:t>
      </w:r>
      <w:r>
        <w:rPr>
          <w:spacing w:val="1"/>
        </w:rPr>
        <w:t xml:space="preserve"> </w:t>
      </w:r>
      <w:r>
        <w:rPr>
          <w:spacing w:val="-1"/>
        </w:rPr>
        <w:t>reasons</w:t>
      </w:r>
      <w:r>
        <w:rPr>
          <w:spacing w:val="2"/>
        </w:rPr>
        <w:t xml:space="preserve"> </w:t>
      </w:r>
      <w:r>
        <w:rPr>
          <w:spacing w:val="-1"/>
        </w:rPr>
        <w:t>were.</w:t>
      </w:r>
      <w:r>
        <w:rPr>
          <w:spacing w:val="2"/>
        </w:rPr>
        <w:t xml:space="preserve"> </w:t>
      </w:r>
      <w:r>
        <w:t>We</w:t>
      </w:r>
      <w:r>
        <w:rPr>
          <w:spacing w:val="1"/>
        </w:rPr>
        <w:t xml:space="preserve"> </w:t>
      </w:r>
      <w:r>
        <w:rPr>
          <w:spacing w:val="-1"/>
        </w:rPr>
        <w:t>speculated</w:t>
      </w:r>
      <w:r>
        <w:rPr>
          <w:spacing w:val="2"/>
        </w:rPr>
        <w:t xml:space="preserve"> </w:t>
      </w:r>
      <w:r>
        <w:t>that</w:t>
      </w:r>
      <w:r>
        <w:rPr>
          <w:spacing w:val="2"/>
        </w:rPr>
        <w:t xml:space="preserve"> </w:t>
      </w:r>
      <w:r>
        <w:rPr>
          <w:spacing w:val="1"/>
        </w:rPr>
        <w:t>they</w:t>
      </w:r>
      <w:r>
        <w:rPr>
          <w:spacing w:val="-3"/>
        </w:rPr>
        <w:t xml:space="preserve"> </w:t>
      </w:r>
      <w:r>
        <w:t>were</w:t>
      </w:r>
      <w:r>
        <w:rPr>
          <w:spacing w:val="2"/>
        </w:rPr>
        <w:t xml:space="preserve"> </w:t>
      </w:r>
      <w:r>
        <w:t>very</w:t>
      </w:r>
      <w:r>
        <w:rPr>
          <w:spacing w:val="-3"/>
        </w:rPr>
        <w:t xml:space="preserve"> </w:t>
      </w:r>
      <w:r>
        <w:rPr>
          <w:spacing w:val="-1"/>
        </w:rPr>
        <w:t>similar</w:t>
      </w:r>
      <w:r>
        <w:rPr>
          <w:spacing w:val="53"/>
        </w:rPr>
        <w:t xml:space="preserve"> </w:t>
      </w:r>
      <w:r>
        <w:rPr>
          <w:spacing w:val="-1"/>
        </w:rPr>
        <w:t>reasons</w:t>
      </w:r>
      <w:r>
        <w:rPr>
          <w:spacing w:val="7"/>
        </w:rPr>
        <w:t xml:space="preserve"> </w:t>
      </w:r>
      <w:r>
        <w:t>to</w:t>
      </w:r>
      <w:r>
        <w:rPr>
          <w:spacing w:val="7"/>
        </w:rPr>
        <w:t xml:space="preserve"> </w:t>
      </w:r>
      <w:r>
        <w:t>those</w:t>
      </w:r>
      <w:r>
        <w:rPr>
          <w:spacing w:val="8"/>
        </w:rPr>
        <w:t xml:space="preserve"> </w:t>
      </w:r>
      <w:r>
        <w:t>of</w:t>
      </w:r>
      <w:r>
        <w:rPr>
          <w:spacing w:val="6"/>
        </w:rPr>
        <w:t xml:space="preserve"> </w:t>
      </w:r>
      <w:r>
        <w:rPr>
          <w:spacing w:val="-1"/>
        </w:rPr>
        <w:t>Aboriginal</w:t>
      </w:r>
      <w:r>
        <w:rPr>
          <w:spacing w:val="7"/>
        </w:rPr>
        <w:t xml:space="preserve"> </w:t>
      </w:r>
      <w:r>
        <w:t>public</w:t>
      </w:r>
      <w:r>
        <w:rPr>
          <w:spacing w:val="6"/>
        </w:rPr>
        <w:t xml:space="preserve"> </w:t>
      </w:r>
      <w:r>
        <w:t>sector</w:t>
      </w:r>
      <w:r>
        <w:rPr>
          <w:spacing w:val="9"/>
        </w:rPr>
        <w:t xml:space="preserve"> </w:t>
      </w:r>
      <w:r>
        <w:rPr>
          <w:spacing w:val="-1"/>
        </w:rPr>
        <w:t>employees.</w:t>
      </w:r>
      <w:r>
        <w:rPr>
          <w:spacing w:val="7"/>
        </w:rPr>
        <w:t xml:space="preserve"> </w:t>
      </w:r>
      <w:r>
        <w:t>And</w:t>
      </w:r>
      <w:r>
        <w:rPr>
          <w:spacing w:val="6"/>
        </w:rPr>
        <w:t xml:space="preserve"> </w:t>
      </w:r>
      <w:r>
        <w:t>the</w:t>
      </w:r>
      <w:r>
        <w:rPr>
          <w:spacing w:val="6"/>
        </w:rPr>
        <w:t xml:space="preserve"> </w:t>
      </w:r>
      <w:r>
        <w:t>notion</w:t>
      </w:r>
      <w:r>
        <w:rPr>
          <w:spacing w:val="6"/>
        </w:rPr>
        <w:t xml:space="preserve"> </w:t>
      </w:r>
      <w:r>
        <w:t>of</w:t>
      </w:r>
      <w:r>
        <w:rPr>
          <w:spacing w:val="8"/>
        </w:rPr>
        <w:t xml:space="preserve"> </w:t>
      </w:r>
      <w:r>
        <w:rPr>
          <w:spacing w:val="-1"/>
        </w:rPr>
        <w:t>bringing</w:t>
      </w:r>
      <w:r>
        <w:rPr>
          <w:spacing w:val="4"/>
        </w:rPr>
        <w:t xml:space="preserve"> </w:t>
      </w:r>
      <w:r>
        <w:rPr>
          <w:spacing w:val="1"/>
        </w:rPr>
        <w:t>in</w:t>
      </w:r>
      <w:r>
        <w:rPr>
          <w:spacing w:val="56"/>
        </w:rPr>
        <w:t xml:space="preserve"> </w:t>
      </w:r>
      <w:r>
        <w:rPr>
          <w:spacing w:val="-1"/>
        </w:rPr>
        <w:t>Aboriginal</w:t>
      </w:r>
      <w:r>
        <w:rPr>
          <w:spacing w:val="9"/>
        </w:rPr>
        <w:t xml:space="preserve"> </w:t>
      </w:r>
      <w:r>
        <w:rPr>
          <w:spacing w:val="-1"/>
        </w:rPr>
        <w:t>apprentices</w:t>
      </w:r>
      <w:r>
        <w:rPr>
          <w:spacing w:val="9"/>
        </w:rPr>
        <w:t xml:space="preserve"> </w:t>
      </w:r>
      <w:r>
        <w:t>and</w:t>
      </w:r>
      <w:r>
        <w:rPr>
          <w:spacing w:val="9"/>
        </w:rPr>
        <w:t xml:space="preserve"> </w:t>
      </w:r>
      <w:r>
        <w:rPr>
          <w:spacing w:val="-1"/>
        </w:rPr>
        <w:t>trainees</w:t>
      </w:r>
      <w:r>
        <w:rPr>
          <w:spacing w:val="9"/>
        </w:rPr>
        <w:t xml:space="preserve"> </w:t>
      </w:r>
      <w:r>
        <w:t>in</w:t>
      </w:r>
      <w:r>
        <w:rPr>
          <w:spacing w:val="9"/>
        </w:rPr>
        <w:t xml:space="preserve"> </w:t>
      </w:r>
      <w:r>
        <w:rPr>
          <w:spacing w:val="-1"/>
        </w:rPr>
        <w:t>larger</w:t>
      </w:r>
      <w:r>
        <w:rPr>
          <w:spacing w:val="11"/>
        </w:rPr>
        <w:t xml:space="preserve"> </w:t>
      </w:r>
      <w:r>
        <w:rPr>
          <w:spacing w:val="-1"/>
        </w:rPr>
        <w:t>groups</w:t>
      </w:r>
      <w:r>
        <w:rPr>
          <w:spacing w:val="9"/>
        </w:rPr>
        <w:t xml:space="preserve"> </w:t>
      </w:r>
      <w:r>
        <w:t>to</w:t>
      </w:r>
      <w:r>
        <w:rPr>
          <w:spacing w:val="9"/>
        </w:rPr>
        <w:t xml:space="preserve"> </w:t>
      </w:r>
      <w:r>
        <w:rPr>
          <w:spacing w:val="-1"/>
        </w:rPr>
        <w:t>achieve</w:t>
      </w:r>
      <w:r>
        <w:rPr>
          <w:spacing w:val="10"/>
        </w:rPr>
        <w:t xml:space="preserve"> </w:t>
      </w:r>
      <w:r>
        <w:rPr>
          <w:spacing w:val="-1"/>
        </w:rPr>
        <w:t>critical</w:t>
      </w:r>
      <w:r>
        <w:rPr>
          <w:spacing w:val="9"/>
        </w:rPr>
        <w:t xml:space="preserve"> </w:t>
      </w:r>
      <w:r>
        <w:t>mass</w:t>
      </w:r>
      <w:r>
        <w:rPr>
          <w:spacing w:val="9"/>
        </w:rPr>
        <w:t xml:space="preserve"> </w:t>
      </w:r>
      <w:r>
        <w:rPr>
          <w:spacing w:val="-1"/>
        </w:rPr>
        <w:t>might</w:t>
      </w:r>
      <w:r>
        <w:rPr>
          <w:spacing w:val="9"/>
        </w:rPr>
        <w:t xml:space="preserve"> </w:t>
      </w:r>
      <w:r>
        <w:t>be</w:t>
      </w:r>
      <w:r>
        <w:rPr>
          <w:spacing w:val="85"/>
        </w:rPr>
        <w:t xml:space="preserve"> </w:t>
      </w:r>
      <w:r>
        <w:t>a</w:t>
      </w:r>
      <w:r>
        <w:rPr>
          <w:spacing w:val="15"/>
        </w:rPr>
        <w:t xml:space="preserve"> </w:t>
      </w:r>
      <w:r>
        <w:rPr>
          <w:spacing w:val="-1"/>
        </w:rPr>
        <w:t>factor,</w:t>
      </w:r>
      <w:r>
        <w:rPr>
          <w:spacing w:val="16"/>
        </w:rPr>
        <w:t xml:space="preserve"> </w:t>
      </w:r>
      <w:r>
        <w:rPr>
          <w:spacing w:val="-1"/>
        </w:rPr>
        <w:t>combined</w:t>
      </w:r>
      <w:r>
        <w:rPr>
          <w:spacing w:val="16"/>
        </w:rPr>
        <w:t xml:space="preserve"> </w:t>
      </w:r>
      <w:r>
        <w:t>with</w:t>
      </w:r>
      <w:r>
        <w:rPr>
          <w:spacing w:val="19"/>
        </w:rPr>
        <w:t xml:space="preserve"> </w:t>
      </w:r>
      <w:r>
        <w:rPr>
          <w:spacing w:val="-1"/>
        </w:rPr>
        <w:t>having</w:t>
      </w:r>
      <w:r>
        <w:rPr>
          <w:spacing w:val="14"/>
        </w:rPr>
        <w:t xml:space="preserve"> </w:t>
      </w:r>
      <w:r>
        <w:rPr>
          <w:spacing w:val="-1"/>
        </w:rPr>
        <w:t>appropriate</w:t>
      </w:r>
      <w:r>
        <w:rPr>
          <w:spacing w:val="15"/>
        </w:rPr>
        <w:t xml:space="preserve"> </w:t>
      </w:r>
      <w:r>
        <w:t>support.</w:t>
      </w:r>
      <w:r>
        <w:rPr>
          <w:spacing w:val="19"/>
        </w:rPr>
        <w:t xml:space="preserve"> </w:t>
      </w:r>
    </w:p>
    <w:p w:rsidR="002B7A0D" w:rsidRDefault="00366BF5" w:rsidP="002B7A0D">
      <w:pPr>
        <w:pStyle w:val="Quote"/>
      </w:pPr>
      <w:r>
        <w:t xml:space="preserve">... </w:t>
      </w:r>
      <w:r w:rsidR="002B7A0D">
        <w:t>it</w:t>
      </w:r>
      <w:r w:rsidR="002B7A0D">
        <w:rPr>
          <w:spacing w:val="31"/>
        </w:rPr>
        <w:t xml:space="preserve"> </w:t>
      </w:r>
      <w:r w:rsidR="002B7A0D">
        <w:t>is</w:t>
      </w:r>
      <w:r w:rsidR="002B7A0D">
        <w:rPr>
          <w:spacing w:val="31"/>
        </w:rPr>
        <w:t xml:space="preserve"> </w:t>
      </w:r>
      <w:r w:rsidR="002B7A0D">
        <w:rPr>
          <w:spacing w:val="-1"/>
        </w:rPr>
        <w:t>about</w:t>
      </w:r>
      <w:r w:rsidR="002B7A0D">
        <w:rPr>
          <w:spacing w:val="31"/>
        </w:rPr>
        <w:t xml:space="preserve"> </w:t>
      </w:r>
      <w:r w:rsidR="002B7A0D">
        <w:rPr>
          <w:spacing w:val="-1"/>
        </w:rPr>
        <w:t>not</w:t>
      </w:r>
      <w:r w:rsidR="002B7A0D">
        <w:rPr>
          <w:spacing w:val="31"/>
        </w:rPr>
        <w:t xml:space="preserve"> </w:t>
      </w:r>
      <w:r w:rsidR="002B7A0D">
        <w:rPr>
          <w:spacing w:val="-1"/>
        </w:rPr>
        <w:t>simply</w:t>
      </w:r>
      <w:r w:rsidR="002B7A0D">
        <w:rPr>
          <w:spacing w:val="23"/>
        </w:rPr>
        <w:t xml:space="preserve"> </w:t>
      </w:r>
      <w:r w:rsidR="002B7A0D">
        <w:t>providing</w:t>
      </w:r>
      <w:r w:rsidR="002B7A0D">
        <w:rPr>
          <w:spacing w:val="28"/>
        </w:rPr>
        <w:t xml:space="preserve"> </w:t>
      </w:r>
      <w:r w:rsidR="002B7A0D">
        <w:t>an</w:t>
      </w:r>
      <w:r w:rsidR="002B7A0D">
        <w:rPr>
          <w:spacing w:val="53"/>
        </w:rPr>
        <w:t xml:space="preserve"> </w:t>
      </w:r>
      <w:r w:rsidR="002B7A0D">
        <w:rPr>
          <w:spacing w:val="-1"/>
        </w:rPr>
        <w:t>apprenticeship</w:t>
      </w:r>
      <w:r w:rsidR="002B7A0D">
        <w:rPr>
          <w:spacing w:val="24"/>
        </w:rPr>
        <w:t xml:space="preserve"> </w:t>
      </w:r>
      <w:r w:rsidR="002B7A0D">
        <w:rPr>
          <w:spacing w:val="-1"/>
        </w:rPr>
        <w:t>and</w:t>
      </w:r>
      <w:r w:rsidR="002B7A0D">
        <w:rPr>
          <w:spacing w:val="23"/>
        </w:rPr>
        <w:t xml:space="preserve"> </w:t>
      </w:r>
      <w:r w:rsidR="002B7A0D">
        <w:t>leaving</w:t>
      </w:r>
      <w:r w:rsidR="002B7A0D">
        <w:rPr>
          <w:spacing w:val="21"/>
        </w:rPr>
        <w:t xml:space="preserve"> </w:t>
      </w:r>
      <w:r w:rsidR="002B7A0D">
        <w:t>someone</w:t>
      </w:r>
      <w:r w:rsidR="002B7A0D">
        <w:rPr>
          <w:spacing w:val="22"/>
        </w:rPr>
        <w:t xml:space="preserve"> </w:t>
      </w:r>
      <w:r w:rsidR="002B7A0D">
        <w:t>to</w:t>
      </w:r>
      <w:r w:rsidR="002B7A0D">
        <w:rPr>
          <w:spacing w:val="24"/>
        </w:rPr>
        <w:t xml:space="preserve"> </w:t>
      </w:r>
      <w:r w:rsidR="002B7A0D">
        <w:t>undertake</w:t>
      </w:r>
      <w:r w:rsidR="002B7A0D">
        <w:rPr>
          <w:spacing w:val="22"/>
        </w:rPr>
        <w:t xml:space="preserve"> </w:t>
      </w:r>
      <w:r w:rsidR="002B7A0D">
        <w:t>it,</w:t>
      </w:r>
      <w:r w:rsidR="002B7A0D">
        <w:rPr>
          <w:spacing w:val="23"/>
        </w:rPr>
        <w:t xml:space="preserve"> </w:t>
      </w:r>
      <w:r w:rsidR="002B7A0D">
        <w:rPr>
          <w:spacing w:val="-1"/>
        </w:rPr>
        <w:t>assuming</w:t>
      </w:r>
      <w:r w:rsidR="002B7A0D">
        <w:rPr>
          <w:spacing w:val="21"/>
        </w:rPr>
        <w:t xml:space="preserve"> </w:t>
      </w:r>
      <w:r w:rsidR="002B7A0D">
        <w:t>that</w:t>
      </w:r>
      <w:r w:rsidR="002B7A0D">
        <w:rPr>
          <w:spacing w:val="23"/>
        </w:rPr>
        <w:t xml:space="preserve"> </w:t>
      </w:r>
      <w:r w:rsidR="002B7A0D">
        <w:t>they</w:t>
      </w:r>
      <w:r w:rsidR="002B7A0D">
        <w:rPr>
          <w:spacing w:val="21"/>
        </w:rPr>
        <w:t xml:space="preserve"> </w:t>
      </w:r>
      <w:r w:rsidR="002B7A0D">
        <w:t>do</w:t>
      </w:r>
      <w:r w:rsidR="002B7A0D">
        <w:rPr>
          <w:spacing w:val="23"/>
        </w:rPr>
        <w:t xml:space="preserve"> </w:t>
      </w:r>
      <w:r w:rsidR="002B7A0D">
        <w:t>not</w:t>
      </w:r>
      <w:r w:rsidR="002B7A0D">
        <w:rPr>
          <w:spacing w:val="24"/>
        </w:rPr>
        <w:t xml:space="preserve"> </w:t>
      </w:r>
      <w:r w:rsidR="002B7A0D">
        <w:rPr>
          <w:spacing w:val="-1"/>
        </w:rPr>
        <w:t>need</w:t>
      </w:r>
      <w:r w:rsidR="002B7A0D">
        <w:rPr>
          <w:spacing w:val="45"/>
        </w:rPr>
        <w:t xml:space="preserve"> </w:t>
      </w:r>
      <w:r w:rsidR="002B7A0D">
        <w:rPr>
          <w:spacing w:val="-1"/>
        </w:rPr>
        <w:t>additional</w:t>
      </w:r>
      <w:r w:rsidR="002B7A0D">
        <w:t xml:space="preserve"> support </w:t>
      </w:r>
      <w:r w:rsidR="002B7A0D">
        <w:rPr>
          <w:spacing w:val="-1"/>
        </w:rPr>
        <w:t>when</w:t>
      </w:r>
      <w:r w:rsidR="002B7A0D">
        <w:t xml:space="preserve"> they</w:t>
      </w:r>
      <w:r w:rsidR="002B7A0D">
        <w:rPr>
          <w:spacing w:val="-5"/>
        </w:rPr>
        <w:t xml:space="preserve"> </w:t>
      </w:r>
      <w:r w:rsidR="002B7A0D">
        <w:t>might.</w:t>
      </w:r>
    </w:p>
    <w:p w:rsidR="00975AF9" w:rsidRDefault="00366BF5" w:rsidP="007A3BDC">
      <w:pPr>
        <w:pStyle w:val="Bodytext"/>
      </w:pPr>
      <w:r>
        <w:t xml:space="preserve">Dr Barnett explained that traineeship programs and apprenticeships were more likely to </w:t>
      </w:r>
      <w:r w:rsidR="00975AF9">
        <w:t xml:space="preserve">attract </w:t>
      </w:r>
      <w:r>
        <w:t xml:space="preserve">younger Indigenous </w:t>
      </w:r>
      <w:r w:rsidR="00975AF9">
        <w:t>people when there were career pathways.  The relevant recommendation in her WISeR report was to focus on building stronger pathways for younger Indigenous people to come into the South Australian public sector.  This meant, ‘...putting</w:t>
      </w:r>
      <w:r w:rsidR="00975AF9">
        <w:rPr>
          <w:spacing w:val="28"/>
        </w:rPr>
        <w:t xml:space="preserve"> </w:t>
      </w:r>
      <w:r w:rsidR="00975AF9">
        <w:t>a</w:t>
      </w:r>
      <w:r w:rsidR="00975AF9">
        <w:rPr>
          <w:spacing w:val="32"/>
        </w:rPr>
        <w:t xml:space="preserve"> </w:t>
      </w:r>
      <w:r w:rsidR="00975AF9">
        <w:t>stronger</w:t>
      </w:r>
      <w:r w:rsidR="00975AF9">
        <w:rPr>
          <w:spacing w:val="30"/>
        </w:rPr>
        <w:t xml:space="preserve"> </w:t>
      </w:r>
      <w:r w:rsidR="00975AF9">
        <w:rPr>
          <w:spacing w:val="-1"/>
        </w:rPr>
        <w:t>emphasis</w:t>
      </w:r>
      <w:r w:rsidR="00975AF9">
        <w:rPr>
          <w:spacing w:val="31"/>
        </w:rPr>
        <w:t xml:space="preserve"> </w:t>
      </w:r>
      <w:r w:rsidR="00975AF9">
        <w:t>on</w:t>
      </w:r>
      <w:r w:rsidR="00975AF9">
        <w:rPr>
          <w:spacing w:val="33"/>
        </w:rPr>
        <w:t xml:space="preserve"> </w:t>
      </w:r>
      <w:r w:rsidR="00975AF9">
        <w:t>early</w:t>
      </w:r>
      <w:r w:rsidR="00975AF9">
        <w:rPr>
          <w:spacing w:val="26"/>
        </w:rPr>
        <w:t xml:space="preserve"> </w:t>
      </w:r>
      <w:r w:rsidR="00975AF9">
        <w:t>intervention</w:t>
      </w:r>
      <w:r w:rsidR="00975AF9">
        <w:rPr>
          <w:spacing w:val="30"/>
        </w:rPr>
        <w:t xml:space="preserve"> </w:t>
      </w:r>
      <w:r w:rsidR="00975AF9">
        <w:rPr>
          <w:spacing w:val="-1"/>
        </w:rPr>
        <w:t>and</w:t>
      </w:r>
      <w:r w:rsidR="00975AF9">
        <w:rPr>
          <w:spacing w:val="33"/>
        </w:rPr>
        <w:t xml:space="preserve"> </w:t>
      </w:r>
      <w:r w:rsidR="00975AF9">
        <w:t>looking</w:t>
      </w:r>
      <w:r w:rsidR="00975AF9">
        <w:rPr>
          <w:spacing w:val="30"/>
        </w:rPr>
        <w:t xml:space="preserve"> </w:t>
      </w:r>
      <w:r w:rsidR="00975AF9">
        <w:rPr>
          <w:spacing w:val="-1"/>
        </w:rPr>
        <w:t>at</w:t>
      </w:r>
      <w:r w:rsidR="00975AF9">
        <w:rPr>
          <w:spacing w:val="33"/>
        </w:rPr>
        <w:t xml:space="preserve"> </w:t>
      </w:r>
      <w:r w:rsidR="00975AF9">
        <w:t>developing</w:t>
      </w:r>
      <w:r w:rsidR="00975AF9">
        <w:rPr>
          <w:spacing w:val="48"/>
        </w:rPr>
        <w:t xml:space="preserve"> </w:t>
      </w:r>
      <w:r w:rsidR="00975AF9">
        <w:rPr>
          <w:spacing w:val="-1"/>
        </w:rPr>
        <w:t>pathways</w:t>
      </w:r>
      <w:r w:rsidR="00975AF9">
        <w:rPr>
          <w:spacing w:val="7"/>
        </w:rPr>
        <w:t xml:space="preserve"> </w:t>
      </w:r>
      <w:r w:rsidR="00975AF9">
        <w:t>from</w:t>
      </w:r>
      <w:r w:rsidR="00975AF9">
        <w:rPr>
          <w:spacing w:val="6"/>
        </w:rPr>
        <w:t xml:space="preserve"> </w:t>
      </w:r>
      <w:r w:rsidR="00975AF9">
        <w:t>secondary</w:t>
      </w:r>
      <w:r w:rsidR="00975AF9">
        <w:rPr>
          <w:spacing w:val="4"/>
        </w:rPr>
        <w:t xml:space="preserve"> </w:t>
      </w:r>
      <w:r w:rsidR="00975AF9">
        <w:t>school</w:t>
      </w:r>
      <w:r w:rsidR="00975AF9">
        <w:rPr>
          <w:spacing w:val="7"/>
        </w:rPr>
        <w:t xml:space="preserve"> </w:t>
      </w:r>
      <w:r w:rsidR="00975AF9">
        <w:t>onwards.</w:t>
      </w:r>
      <w:r w:rsidR="00975AF9">
        <w:rPr>
          <w:rStyle w:val="FootnoteReference"/>
        </w:rPr>
        <w:footnoteReference w:id="69"/>
      </w:r>
      <w:r w:rsidR="00975AF9">
        <w:t xml:space="preserve">  </w:t>
      </w:r>
      <w:r w:rsidR="002B7A0D">
        <w:t xml:space="preserve"> </w:t>
      </w:r>
    </w:p>
    <w:p w:rsidR="00667519" w:rsidRDefault="00975AF9" w:rsidP="007A3BDC">
      <w:pPr>
        <w:pStyle w:val="Bodytext"/>
      </w:pPr>
      <w:r>
        <w:t xml:space="preserve">The Committee </w:t>
      </w:r>
      <w:r w:rsidR="002B7A0D">
        <w:t xml:space="preserve">believes there is scope to significantly improve the Indigenous Traineeship Program and in particular, the support and guidance through mentoring that is afforded to participants. </w:t>
      </w:r>
    </w:p>
    <w:p w:rsidR="00975AF9" w:rsidRDefault="00975AF9" w:rsidP="007A3BDC">
      <w:pPr>
        <w:pStyle w:val="Bodytext"/>
      </w:pPr>
      <w:r>
        <w:t xml:space="preserve">The Committee strong supports the thinking of building pathways for Indigenous people that start during their secondary schooling. </w:t>
      </w:r>
    </w:p>
    <w:p w:rsidR="00546589" w:rsidRPr="00522330" w:rsidRDefault="00546589" w:rsidP="00546589">
      <w:pPr>
        <w:pStyle w:val="Bodytext"/>
      </w:pPr>
      <w:r>
        <w:t>Trainees following completion of their traineeship must be case managed to continue their professional development.  Approved training must be qualification based with automatic promotion upon successful completion within a broadband appointment.</w:t>
      </w:r>
    </w:p>
    <w:p w:rsidR="00C045C6" w:rsidRDefault="00C045C6" w:rsidP="00C045C6">
      <w:pPr>
        <w:pStyle w:val="Recommendation"/>
      </w:pPr>
      <w:bookmarkStart w:id="82" w:name="_Toc384024371"/>
      <w:bookmarkEnd w:id="82"/>
    </w:p>
    <w:p w:rsidR="000F2D86" w:rsidRPr="00FA19A0" w:rsidRDefault="00C045C6" w:rsidP="00C2013A">
      <w:pPr>
        <w:pStyle w:val="RecommendationText"/>
      </w:pPr>
      <w:bookmarkStart w:id="83" w:name="_Toc384024372"/>
      <w:r w:rsidRPr="00FA19A0">
        <w:t>The Commi</w:t>
      </w:r>
      <w:r w:rsidR="00072B13" w:rsidRPr="00FA19A0">
        <w:t>ttee recommends that</w:t>
      </w:r>
      <w:r w:rsidRPr="00FA19A0">
        <w:t xml:space="preserve">, as a matter of priority, the </w:t>
      </w:r>
      <w:r w:rsidR="00362151" w:rsidRPr="00FA19A0">
        <w:t>A</w:t>
      </w:r>
      <w:r w:rsidR="00FA19A0">
        <w:t>CT</w:t>
      </w:r>
      <w:r w:rsidRPr="00FA19A0">
        <w:t xml:space="preserve"> Public Service takes steps to improve the </w:t>
      </w:r>
      <w:r w:rsidRPr="00FA19A0">
        <w:rPr>
          <w:i/>
        </w:rPr>
        <w:t>Community Services Directorate Indigenous Traineeship Program</w:t>
      </w:r>
      <w:r w:rsidRPr="00FA19A0">
        <w:t xml:space="preserve">, ensuring </w:t>
      </w:r>
      <w:r w:rsidR="00072B13" w:rsidRPr="00FA19A0">
        <w:t>that</w:t>
      </w:r>
      <w:r w:rsidR="000F2D86" w:rsidRPr="00FA19A0">
        <w:t>:</w:t>
      </w:r>
      <w:bookmarkEnd w:id="83"/>
    </w:p>
    <w:p w:rsidR="000F2D86" w:rsidRPr="00FA19A0" w:rsidRDefault="00C045C6" w:rsidP="00924579">
      <w:pPr>
        <w:pStyle w:val="RecommendationText"/>
        <w:numPr>
          <w:ilvl w:val="0"/>
          <w:numId w:val="25"/>
        </w:numPr>
      </w:pPr>
      <w:bookmarkStart w:id="84" w:name="_Toc384024373"/>
      <w:r w:rsidRPr="00FA19A0">
        <w:t>there is effective support and guidance given to all participants</w:t>
      </w:r>
      <w:bookmarkEnd w:id="84"/>
    </w:p>
    <w:p w:rsidR="000F2D86" w:rsidRPr="00FA19A0" w:rsidRDefault="00441E2F" w:rsidP="00924579">
      <w:pPr>
        <w:pStyle w:val="RecommendationText"/>
        <w:numPr>
          <w:ilvl w:val="0"/>
          <w:numId w:val="25"/>
        </w:numPr>
      </w:pPr>
      <w:bookmarkStart w:id="85" w:name="_Toc384024374"/>
      <w:r w:rsidRPr="00FA19A0">
        <w:t xml:space="preserve">Aboriginal and Torres Strait Islander secondary school students become aware of </w:t>
      </w:r>
      <w:r w:rsidR="00072B13" w:rsidRPr="00FA19A0">
        <w:t xml:space="preserve">career </w:t>
      </w:r>
      <w:r w:rsidR="00C045C6" w:rsidRPr="00FA19A0">
        <w:t xml:space="preserve">pathways </w:t>
      </w:r>
      <w:r w:rsidRPr="00FA19A0">
        <w:t xml:space="preserve">linked </w:t>
      </w:r>
      <w:r w:rsidR="00072B13" w:rsidRPr="00FA19A0">
        <w:t>to the Traineeship Program</w:t>
      </w:r>
      <w:bookmarkEnd w:id="85"/>
      <w:r w:rsidR="000F2D86" w:rsidRPr="00FA19A0">
        <w:t xml:space="preserve"> </w:t>
      </w:r>
    </w:p>
    <w:p w:rsidR="000F2D86" w:rsidRPr="00FA19A0" w:rsidRDefault="000F2D86" w:rsidP="00924579">
      <w:pPr>
        <w:pStyle w:val="RecommendationText"/>
        <w:numPr>
          <w:ilvl w:val="0"/>
          <w:numId w:val="25"/>
        </w:numPr>
      </w:pPr>
      <w:bookmarkStart w:id="86" w:name="_Toc384024375"/>
      <w:r w:rsidRPr="00FA19A0">
        <w:t>at the completion of their traineeship the trainee</w:t>
      </w:r>
      <w:r w:rsidR="00FA19A0">
        <w:t>s are mentored</w:t>
      </w:r>
      <w:r w:rsidRPr="00FA19A0">
        <w:t xml:space="preserve"> to continue their professional development; and</w:t>
      </w:r>
      <w:bookmarkEnd w:id="86"/>
    </w:p>
    <w:p w:rsidR="000F2D86" w:rsidRPr="00FA19A0" w:rsidRDefault="000F2D86" w:rsidP="00924579">
      <w:pPr>
        <w:pStyle w:val="RecommendationText"/>
        <w:numPr>
          <w:ilvl w:val="0"/>
          <w:numId w:val="25"/>
        </w:numPr>
      </w:pPr>
      <w:bookmarkStart w:id="87" w:name="_Toc384024376"/>
      <w:r w:rsidRPr="00FA19A0">
        <w:t>approved training must be qualification</w:t>
      </w:r>
      <w:r w:rsidR="00FA19A0">
        <w:t>-</w:t>
      </w:r>
      <w:r w:rsidRPr="00FA19A0">
        <w:t>based with automatic promotion upon successful completion with</w:t>
      </w:r>
      <w:r w:rsidR="00FA19A0">
        <w:t>in</w:t>
      </w:r>
      <w:r w:rsidRPr="00FA19A0">
        <w:t xml:space="preserve"> a br</w:t>
      </w:r>
      <w:r w:rsidR="00FA19A0">
        <w:t>oa</w:t>
      </w:r>
      <w:r w:rsidRPr="00FA19A0">
        <w:t>dband appointment.</w:t>
      </w:r>
      <w:bookmarkEnd w:id="87"/>
    </w:p>
    <w:p w:rsidR="000F2D86" w:rsidRPr="000F2D86" w:rsidRDefault="000F2D86" w:rsidP="000F2D86">
      <w:pPr>
        <w:pStyle w:val="Bodytext"/>
        <w:numPr>
          <w:ilvl w:val="0"/>
          <w:numId w:val="0"/>
        </w:numPr>
        <w:ind w:left="992"/>
      </w:pPr>
    </w:p>
    <w:p w:rsidR="00002730" w:rsidRPr="00002730" w:rsidRDefault="00002730" w:rsidP="00002730">
      <w:pPr>
        <w:pStyle w:val="Bodytext"/>
        <w:numPr>
          <w:ilvl w:val="0"/>
          <w:numId w:val="0"/>
        </w:numPr>
        <w:ind w:left="567"/>
      </w:pPr>
    </w:p>
    <w:p w:rsidR="005B60C2" w:rsidRDefault="005B60C2" w:rsidP="00F0612C">
      <w:pPr>
        <w:pStyle w:val="Bodytext"/>
        <w:numPr>
          <w:ilvl w:val="0"/>
          <w:numId w:val="0"/>
        </w:numPr>
        <w:ind w:left="680" w:hanging="680"/>
      </w:pPr>
    </w:p>
    <w:p w:rsidR="00167854" w:rsidRDefault="00167854" w:rsidP="00037305">
      <w:pPr>
        <w:pStyle w:val="Heading2"/>
        <w:sectPr w:rsidR="00167854" w:rsidSect="00957111">
          <w:footerReference w:type="default" r:id="rId27"/>
          <w:type w:val="oddPage"/>
          <w:pgSz w:w="11907" w:h="16840" w:code="9"/>
          <w:pgMar w:top="1588" w:right="1418" w:bottom="1418" w:left="1418" w:header="720" w:footer="851" w:gutter="0"/>
          <w:cols w:space="720"/>
          <w:docGrid w:linePitch="360"/>
        </w:sectPr>
      </w:pPr>
    </w:p>
    <w:p w:rsidR="00D561BC" w:rsidRDefault="007235EF" w:rsidP="00A36E0A">
      <w:pPr>
        <w:pStyle w:val="Heading1"/>
      </w:pPr>
      <w:bookmarkStart w:id="88" w:name="_Toc383615039"/>
      <w:bookmarkStart w:id="89" w:name="_Toc341433430"/>
      <w:bookmarkStart w:id="90" w:name="_Toc341687875"/>
      <w:r>
        <w:t>Retention</w:t>
      </w:r>
      <w:bookmarkEnd w:id="88"/>
      <w:r w:rsidR="00D33F96" w:rsidRPr="00123676">
        <w:t xml:space="preserve"> </w:t>
      </w:r>
      <w:bookmarkEnd w:id="89"/>
      <w:bookmarkEnd w:id="90"/>
    </w:p>
    <w:p w:rsidR="007235EF" w:rsidRDefault="007235EF" w:rsidP="00D35FCB">
      <w:pPr>
        <w:pStyle w:val="Headinglevel2"/>
      </w:pPr>
      <w:bookmarkStart w:id="91" w:name="_Toc383615040"/>
      <w:r>
        <w:t>Introduction</w:t>
      </w:r>
      <w:bookmarkEnd w:id="91"/>
    </w:p>
    <w:p w:rsidR="007235EF" w:rsidRDefault="000F2D86" w:rsidP="007235EF">
      <w:pPr>
        <w:pStyle w:val="Bodytext"/>
      </w:pPr>
      <w:r>
        <w:tab/>
      </w:r>
      <w:r w:rsidR="007A55A3">
        <w:t>The ACT</w:t>
      </w:r>
      <w:r w:rsidR="007235EF">
        <w:t xml:space="preserve">PS submission states:  </w:t>
      </w:r>
    </w:p>
    <w:p w:rsidR="007235EF" w:rsidRDefault="007235EF" w:rsidP="007235EF">
      <w:pPr>
        <w:pStyle w:val="Quote"/>
        <w:rPr>
          <w:spacing w:val="61"/>
        </w:rPr>
      </w:pPr>
      <w:r>
        <w:t>Retention initiatives are</w:t>
      </w:r>
      <w:r>
        <w:rPr>
          <w:spacing w:val="-4"/>
        </w:rPr>
        <w:t xml:space="preserve"> </w:t>
      </w:r>
      <w:r>
        <w:t>aimed at developing the</w:t>
      </w:r>
      <w:r>
        <w:rPr>
          <w:spacing w:val="-2"/>
        </w:rPr>
        <w:t xml:space="preserve"> </w:t>
      </w:r>
      <w:r>
        <w:t>cultural</w:t>
      </w:r>
      <w:r>
        <w:rPr>
          <w:spacing w:val="-2"/>
        </w:rPr>
        <w:t xml:space="preserve"> </w:t>
      </w:r>
      <w:r>
        <w:t>maturity</w:t>
      </w:r>
      <w:r>
        <w:rPr>
          <w:spacing w:val="-2"/>
        </w:rPr>
        <w:t xml:space="preserve"> </w:t>
      </w:r>
      <w:r>
        <w:t>and sensitivity</w:t>
      </w:r>
      <w:r>
        <w:rPr>
          <w:spacing w:val="-2"/>
        </w:rPr>
        <w:t xml:space="preserve"> of</w:t>
      </w:r>
      <w:r>
        <w:rPr>
          <w:spacing w:val="2"/>
        </w:rPr>
        <w:t xml:space="preserve"> </w:t>
      </w:r>
      <w:r>
        <w:t>the</w:t>
      </w:r>
      <w:r>
        <w:rPr>
          <w:spacing w:val="51"/>
        </w:rPr>
        <w:t xml:space="preserve"> </w:t>
      </w:r>
      <w:r>
        <w:t>ACTPS to</w:t>
      </w:r>
      <w:r>
        <w:rPr>
          <w:spacing w:val="-2"/>
        </w:rPr>
        <w:t xml:space="preserve"> </w:t>
      </w:r>
      <w:r>
        <w:t>ensure it is</w:t>
      </w:r>
      <w:r>
        <w:rPr>
          <w:spacing w:val="1"/>
        </w:rPr>
        <w:t xml:space="preserve"> </w:t>
      </w:r>
      <w:r>
        <w:t>a</w:t>
      </w:r>
      <w:r>
        <w:rPr>
          <w:spacing w:val="-4"/>
        </w:rPr>
        <w:t xml:space="preserve"> </w:t>
      </w:r>
      <w:r>
        <w:t>welcoming</w:t>
      </w:r>
      <w:r>
        <w:rPr>
          <w:spacing w:val="2"/>
        </w:rPr>
        <w:t xml:space="preserve"> </w:t>
      </w:r>
      <w:r>
        <w:t>and</w:t>
      </w:r>
      <w:r>
        <w:rPr>
          <w:spacing w:val="-2"/>
        </w:rPr>
        <w:t xml:space="preserve"> </w:t>
      </w:r>
      <w:r>
        <w:t>pleasant</w:t>
      </w:r>
      <w:r>
        <w:rPr>
          <w:spacing w:val="-3"/>
        </w:rPr>
        <w:t xml:space="preserve"> </w:t>
      </w:r>
      <w:r>
        <w:t>environment for Aboriginal and</w:t>
      </w:r>
      <w:r>
        <w:rPr>
          <w:spacing w:val="-2"/>
        </w:rPr>
        <w:t xml:space="preserve"> </w:t>
      </w:r>
      <w:r>
        <w:t>Torres</w:t>
      </w:r>
      <w:r>
        <w:rPr>
          <w:spacing w:val="51"/>
        </w:rPr>
        <w:t xml:space="preserve"> </w:t>
      </w:r>
      <w:r>
        <w:t xml:space="preserve">Strait Islander staff, as </w:t>
      </w:r>
      <w:r>
        <w:rPr>
          <w:spacing w:val="-2"/>
        </w:rPr>
        <w:t>well</w:t>
      </w:r>
      <w:r>
        <w:t xml:space="preserve"> as implementing specific</w:t>
      </w:r>
      <w:r>
        <w:rPr>
          <w:spacing w:val="-2"/>
        </w:rPr>
        <w:t xml:space="preserve"> </w:t>
      </w:r>
      <w:r>
        <w:t>programs</w:t>
      </w:r>
      <w:r>
        <w:rPr>
          <w:spacing w:val="1"/>
        </w:rPr>
        <w:t xml:space="preserve"> </w:t>
      </w:r>
      <w:r>
        <w:t>to</w:t>
      </w:r>
      <w:r>
        <w:rPr>
          <w:spacing w:val="-4"/>
        </w:rPr>
        <w:t xml:space="preserve"> </w:t>
      </w:r>
      <w:r>
        <w:t>further</w:t>
      </w:r>
      <w:r>
        <w:rPr>
          <w:spacing w:val="1"/>
        </w:rPr>
        <w:t xml:space="preserve"> </w:t>
      </w:r>
      <w:r>
        <w:t>enhance the</w:t>
      </w:r>
      <w:r>
        <w:rPr>
          <w:spacing w:val="-2"/>
        </w:rPr>
        <w:t xml:space="preserve"> skills</w:t>
      </w:r>
      <w:r>
        <w:rPr>
          <w:spacing w:val="71"/>
        </w:rPr>
        <w:t xml:space="preserve"> </w:t>
      </w:r>
      <w:r>
        <w:t>and capabilities</w:t>
      </w:r>
      <w:r>
        <w:rPr>
          <w:spacing w:val="1"/>
        </w:rPr>
        <w:t xml:space="preserve"> </w:t>
      </w:r>
      <w:r>
        <w:rPr>
          <w:spacing w:val="-2"/>
        </w:rPr>
        <w:t>of</w:t>
      </w:r>
      <w:r>
        <w:rPr>
          <w:spacing w:val="2"/>
        </w:rPr>
        <w:t xml:space="preserve"> </w:t>
      </w:r>
      <w:r>
        <w:t>these</w:t>
      </w:r>
      <w:r>
        <w:rPr>
          <w:spacing w:val="-4"/>
        </w:rPr>
        <w:t xml:space="preserve"> </w:t>
      </w:r>
      <w:r>
        <w:t>employees</w:t>
      </w:r>
      <w:r>
        <w:rPr>
          <w:spacing w:val="2"/>
        </w:rPr>
        <w:t xml:space="preserve"> </w:t>
      </w:r>
      <w:r>
        <w:t>to encourage</w:t>
      </w:r>
      <w:r>
        <w:rPr>
          <w:spacing w:val="-2"/>
        </w:rPr>
        <w:t xml:space="preserve"> </w:t>
      </w:r>
      <w:r>
        <w:t>representation in senior</w:t>
      </w:r>
      <w:r>
        <w:rPr>
          <w:spacing w:val="-4"/>
        </w:rPr>
        <w:t xml:space="preserve"> </w:t>
      </w:r>
      <w:r>
        <w:t>ranks</w:t>
      </w:r>
      <w:r w:rsidR="001C4422">
        <w:t>.</w:t>
      </w:r>
      <w:r>
        <w:rPr>
          <w:rStyle w:val="FootnoteReference"/>
        </w:rPr>
        <w:footnoteReference w:id="70"/>
      </w:r>
      <w:r>
        <w:rPr>
          <w:spacing w:val="61"/>
        </w:rPr>
        <w:t xml:space="preserve"> </w:t>
      </w:r>
    </w:p>
    <w:p w:rsidR="007235EF" w:rsidRDefault="000F2D86" w:rsidP="007235EF">
      <w:pPr>
        <w:pStyle w:val="Bodytext"/>
        <w:rPr>
          <w:iCs/>
        </w:rPr>
      </w:pPr>
      <w:r>
        <w:rPr>
          <w:iCs/>
        </w:rPr>
        <w:tab/>
      </w:r>
      <w:r w:rsidR="007235EF">
        <w:rPr>
          <w:iCs/>
        </w:rPr>
        <w:t xml:space="preserve">The Employment Strategy’s three performance measures for retaining Aboriginal and Torres Strait Islander employees in the ACTPS are: </w:t>
      </w:r>
    </w:p>
    <w:p w:rsidR="007235EF" w:rsidRPr="0049027B" w:rsidRDefault="007235EF" w:rsidP="00A146E9">
      <w:pPr>
        <w:pStyle w:val="ListBullet"/>
      </w:pPr>
      <w:r>
        <w:t xml:space="preserve">Indicator 2 – </w:t>
      </w:r>
      <w:r w:rsidRPr="0049027B">
        <w:t>The difference in representation of Aboriginal and Torres Strait Islander employees across ACTPS classifications and levels, as measured by average remune</w:t>
      </w:r>
      <w:r>
        <w:t>ration is progressively reduced;</w:t>
      </w:r>
    </w:p>
    <w:p w:rsidR="007235EF" w:rsidRPr="0049027B" w:rsidRDefault="007235EF" w:rsidP="00A146E9">
      <w:pPr>
        <w:pStyle w:val="ListBullet"/>
      </w:pPr>
      <w:r>
        <w:t xml:space="preserve">Indicator 3 – The </w:t>
      </w:r>
      <w:r w:rsidRPr="0049027B">
        <w:t>number and percentage share of ACTPS permanent Aboriginal and Torres Strait Islander employees that leave the s</w:t>
      </w:r>
      <w:r>
        <w:t xml:space="preserve">ervice is progressively reduced; and </w:t>
      </w:r>
    </w:p>
    <w:p w:rsidR="007235EF" w:rsidRDefault="007235EF" w:rsidP="00A146E9">
      <w:pPr>
        <w:pStyle w:val="ListBullet"/>
      </w:pPr>
      <w:r>
        <w:t xml:space="preserve">Indicator 4 – All </w:t>
      </w:r>
      <w:r w:rsidRPr="0049027B">
        <w:t>Aboriginal and Torres Strait Islander employees in the ACTPS have learning and development / career plans.</w:t>
      </w:r>
    </w:p>
    <w:p w:rsidR="007235EF" w:rsidRDefault="000F2D86" w:rsidP="007235EF">
      <w:pPr>
        <w:pStyle w:val="Bodytext"/>
      </w:pPr>
      <w:r>
        <w:tab/>
      </w:r>
      <w:r w:rsidR="007235EF">
        <w:t>Performance data relating to Indicators 2, 3 and 4 is presented below and followed by consideration of ACTPS retention initiatives, which include:</w:t>
      </w:r>
    </w:p>
    <w:p w:rsidR="007235EF" w:rsidRDefault="001C4422" w:rsidP="00A146E9">
      <w:pPr>
        <w:pStyle w:val="ListBullet"/>
      </w:pPr>
      <w:r>
        <w:t>i</w:t>
      </w:r>
      <w:r w:rsidR="007235EF">
        <w:t>nduction;</w:t>
      </w:r>
    </w:p>
    <w:p w:rsidR="007235EF" w:rsidRDefault="001C4422" w:rsidP="00A146E9">
      <w:pPr>
        <w:pStyle w:val="ListBullet"/>
      </w:pPr>
      <w:r>
        <w:t>c</w:t>
      </w:r>
      <w:r w:rsidR="007235EF">
        <w:t>ross-cultural training;</w:t>
      </w:r>
    </w:p>
    <w:p w:rsidR="007235EF" w:rsidRDefault="001C4422" w:rsidP="00A146E9">
      <w:pPr>
        <w:pStyle w:val="ListBullet"/>
      </w:pPr>
      <w:r>
        <w:t>t</w:t>
      </w:r>
      <w:r w:rsidR="007235EF">
        <w:t>he ACTPS Indigenous Network</w:t>
      </w:r>
    </w:p>
    <w:p w:rsidR="007235EF" w:rsidRDefault="001C4422" w:rsidP="00A146E9">
      <w:pPr>
        <w:pStyle w:val="ListBullet"/>
      </w:pPr>
      <w:r>
        <w:t>p</w:t>
      </w:r>
      <w:r w:rsidR="007235EF">
        <w:t>romotion and observation of dates and events of significance to Aboriginal and Torres Strait Islander people;</w:t>
      </w:r>
    </w:p>
    <w:p w:rsidR="007235EF" w:rsidRDefault="001C4422" w:rsidP="00A146E9">
      <w:pPr>
        <w:pStyle w:val="ListBullet"/>
      </w:pPr>
      <w:r>
        <w:t>m</w:t>
      </w:r>
      <w:r w:rsidR="007235EF">
        <w:t>entoring, buddy and coaching programs; and</w:t>
      </w:r>
    </w:p>
    <w:p w:rsidR="007235EF" w:rsidRDefault="001C4422" w:rsidP="00A146E9">
      <w:pPr>
        <w:pStyle w:val="ListBullet"/>
      </w:pPr>
      <w:r>
        <w:t>c</w:t>
      </w:r>
      <w:r w:rsidR="007235EF">
        <w:t>areer development.</w:t>
      </w:r>
      <w:r w:rsidR="007235EF">
        <w:rPr>
          <w:rStyle w:val="FootnoteReference"/>
        </w:rPr>
        <w:footnoteReference w:id="71"/>
      </w:r>
    </w:p>
    <w:p w:rsidR="007235EF" w:rsidRDefault="007235EF" w:rsidP="00D35FCB">
      <w:pPr>
        <w:pStyle w:val="Headinglevel2"/>
      </w:pPr>
      <w:r>
        <w:t xml:space="preserve"> </w:t>
      </w:r>
      <w:bookmarkStart w:id="92" w:name="_Toc383615041"/>
      <w:r>
        <w:t xml:space="preserve">Indicator 2 – </w:t>
      </w:r>
      <w:r w:rsidR="001E7D00">
        <w:t>D</w:t>
      </w:r>
      <w:r>
        <w:t>ifference in average salary</w:t>
      </w:r>
      <w:bookmarkEnd w:id="92"/>
    </w:p>
    <w:p w:rsidR="007235EF" w:rsidRDefault="00BE50B9" w:rsidP="007235EF">
      <w:pPr>
        <w:pStyle w:val="Bodytext"/>
      </w:pPr>
      <w:r>
        <w:tab/>
      </w:r>
      <w:r w:rsidR="007235EF">
        <w:t xml:space="preserve">Table </w:t>
      </w:r>
      <w:r w:rsidR="007A55A3">
        <w:t>4</w:t>
      </w:r>
      <w:r w:rsidR="007235EF">
        <w:t>.1 shows data for Indicator 2.  Table 4.1 is reproduced from the ACTPS submission and shows that the difference in average remuneration has increased since 2011.  The submission notes, ‘there is a decreasing trend over the last three years since June 2011’.</w:t>
      </w:r>
      <w:r w:rsidR="007235EF">
        <w:rPr>
          <w:rStyle w:val="FootnoteReference"/>
        </w:rPr>
        <w:footnoteReference w:id="72"/>
      </w:r>
      <w:r w:rsidR="007235EF">
        <w:t xml:space="preserve"> </w:t>
      </w:r>
    </w:p>
    <w:p w:rsidR="007235EF" w:rsidRDefault="007235EF" w:rsidP="007235EF">
      <w:pPr>
        <w:pStyle w:val="Caption"/>
      </w:pPr>
      <w:r>
        <w:tab/>
        <w:t>Table</w:t>
      </w:r>
      <w:r w:rsidR="00BE50B9">
        <w:t xml:space="preserve"> </w:t>
      </w:r>
      <w:r w:rsidR="007A55A3">
        <w:t>4</w:t>
      </w:r>
      <w:r>
        <w:t>.1 – Variation in average salaries between Aboriginal and Torres Strait Islander employees and all ACTPS employees</w:t>
      </w:r>
    </w:p>
    <w:tbl>
      <w:tblPr>
        <w:tblW w:w="8522" w:type="dxa"/>
        <w:tblInd w:w="817" w:type="dxa"/>
        <w:tblBorders>
          <w:top w:val="single" w:sz="4" w:space="0" w:color="auto"/>
          <w:bottom w:val="single" w:sz="4" w:space="0" w:color="auto"/>
          <w:insideH w:val="single" w:sz="4" w:space="0" w:color="auto"/>
          <w:insideV w:val="single" w:sz="48" w:space="0" w:color="FFFFFF"/>
        </w:tblBorders>
        <w:tblLook w:val="01E0"/>
      </w:tblPr>
      <w:tblGrid>
        <w:gridCol w:w="1857"/>
        <w:gridCol w:w="1857"/>
        <w:gridCol w:w="1857"/>
        <w:gridCol w:w="1483"/>
        <w:gridCol w:w="1468"/>
      </w:tblGrid>
      <w:tr w:rsidR="007235EF" w:rsidTr="001C4422">
        <w:trPr>
          <w:cantSplit/>
        </w:trPr>
        <w:tc>
          <w:tcPr>
            <w:tcW w:w="1857" w:type="dxa"/>
            <w:tcBorders>
              <w:bottom w:val="single" w:sz="4" w:space="0" w:color="auto"/>
            </w:tcBorders>
            <w:shd w:val="clear" w:color="auto" w:fill="DBE5F1"/>
          </w:tcPr>
          <w:p w:rsidR="007235EF" w:rsidRDefault="007235EF" w:rsidP="007235EF">
            <w:pPr>
              <w:pStyle w:val="TableHeading"/>
            </w:pPr>
            <w:r>
              <w:t>Group</w:t>
            </w:r>
          </w:p>
        </w:tc>
        <w:tc>
          <w:tcPr>
            <w:tcW w:w="1857" w:type="dxa"/>
            <w:tcBorders>
              <w:bottom w:val="single" w:sz="4" w:space="0" w:color="auto"/>
            </w:tcBorders>
            <w:shd w:val="clear" w:color="auto" w:fill="DBE5F1"/>
          </w:tcPr>
          <w:p w:rsidR="007235EF" w:rsidRDefault="007235EF" w:rsidP="007235EF">
            <w:pPr>
              <w:pStyle w:val="TableHeading"/>
              <w:jc w:val="center"/>
            </w:pPr>
            <w:r>
              <w:t>June 2010</w:t>
            </w:r>
          </w:p>
        </w:tc>
        <w:tc>
          <w:tcPr>
            <w:tcW w:w="1857" w:type="dxa"/>
            <w:tcBorders>
              <w:bottom w:val="single" w:sz="4" w:space="0" w:color="auto"/>
            </w:tcBorders>
            <w:shd w:val="clear" w:color="auto" w:fill="DBE5F1"/>
          </w:tcPr>
          <w:p w:rsidR="007235EF" w:rsidRDefault="007235EF" w:rsidP="007235EF">
            <w:pPr>
              <w:pStyle w:val="TableHeading"/>
              <w:jc w:val="center"/>
            </w:pPr>
            <w:r>
              <w:t>June 2011</w:t>
            </w:r>
          </w:p>
        </w:tc>
        <w:tc>
          <w:tcPr>
            <w:tcW w:w="1483" w:type="dxa"/>
            <w:tcBorders>
              <w:bottom w:val="single" w:sz="4" w:space="0" w:color="auto"/>
            </w:tcBorders>
            <w:shd w:val="clear" w:color="auto" w:fill="DBE5F1"/>
          </w:tcPr>
          <w:p w:rsidR="007235EF" w:rsidRDefault="007235EF" w:rsidP="007235EF">
            <w:pPr>
              <w:pStyle w:val="TableHeading"/>
              <w:jc w:val="center"/>
            </w:pPr>
            <w:r>
              <w:t>June 2012</w:t>
            </w:r>
          </w:p>
        </w:tc>
        <w:tc>
          <w:tcPr>
            <w:tcW w:w="1468" w:type="dxa"/>
            <w:tcBorders>
              <w:bottom w:val="single" w:sz="4" w:space="0" w:color="auto"/>
            </w:tcBorders>
            <w:shd w:val="clear" w:color="auto" w:fill="DBE5F1"/>
          </w:tcPr>
          <w:p w:rsidR="007235EF" w:rsidRDefault="007235EF" w:rsidP="007235EF">
            <w:pPr>
              <w:pStyle w:val="TableHeading"/>
              <w:jc w:val="center"/>
            </w:pPr>
            <w:r>
              <w:t>June 2013</w:t>
            </w:r>
          </w:p>
        </w:tc>
      </w:tr>
      <w:tr w:rsidR="007235EF" w:rsidTr="001C4422">
        <w:trPr>
          <w:cantSplit/>
        </w:trPr>
        <w:tc>
          <w:tcPr>
            <w:tcW w:w="1857" w:type="dxa"/>
            <w:shd w:val="clear" w:color="auto" w:fill="C6D9F1"/>
          </w:tcPr>
          <w:p w:rsidR="007235EF" w:rsidRDefault="007235EF" w:rsidP="007235EF">
            <w:pPr>
              <w:pStyle w:val="Tabletext"/>
              <w:keepNext w:val="0"/>
            </w:pPr>
            <w:r>
              <w:t>Indigenous identified staff average salary ($)</w:t>
            </w:r>
          </w:p>
        </w:tc>
        <w:tc>
          <w:tcPr>
            <w:tcW w:w="1857" w:type="dxa"/>
            <w:shd w:val="clear" w:color="auto" w:fill="C6D9F1"/>
            <w:vAlign w:val="center"/>
          </w:tcPr>
          <w:p w:rsidR="007235EF" w:rsidRDefault="007235EF" w:rsidP="007235EF">
            <w:pPr>
              <w:pStyle w:val="TableParagraph"/>
              <w:spacing w:before="53"/>
              <w:ind w:left="102"/>
              <w:jc w:val="right"/>
              <w:rPr>
                <w:rFonts w:ascii="Arial" w:eastAsia="Arial" w:hAnsi="Arial" w:cs="Arial"/>
              </w:rPr>
            </w:pPr>
            <w:r w:rsidRPr="0096349C">
              <w:rPr>
                <w:rFonts w:ascii="Arial"/>
                <w:spacing w:val="-1"/>
              </w:rPr>
              <w:t>66,390.73</w:t>
            </w:r>
          </w:p>
        </w:tc>
        <w:tc>
          <w:tcPr>
            <w:tcW w:w="1857" w:type="dxa"/>
            <w:shd w:val="clear" w:color="auto" w:fill="C6D9F1"/>
            <w:vAlign w:val="center"/>
          </w:tcPr>
          <w:p w:rsidR="007235EF" w:rsidRDefault="007235EF" w:rsidP="007235EF">
            <w:pPr>
              <w:pStyle w:val="TableParagraph"/>
              <w:spacing w:before="53"/>
              <w:ind w:left="102"/>
              <w:jc w:val="right"/>
              <w:rPr>
                <w:rFonts w:ascii="Arial" w:eastAsia="Arial" w:hAnsi="Arial" w:cs="Arial"/>
              </w:rPr>
            </w:pPr>
            <w:r w:rsidRPr="0096349C">
              <w:rPr>
                <w:rFonts w:ascii="Arial"/>
                <w:spacing w:val="-1"/>
              </w:rPr>
              <w:t>64,059.26</w:t>
            </w:r>
          </w:p>
        </w:tc>
        <w:tc>
          <w:tcPr>
            <w:tcW w:w="1483" w:type="dxa"/>
            <w:shd w:val="clear" w:color="auto" w:fill="C6D9F1"/>
            <w:vAlign w:val="center"/>
          </w:tcPr>
          <w:p w:rsidR="007235EF" w:rsidRDefault="007235EF" w:rsidP="007235EF">
            <w:pPr>
              <w:pStyle w:val="TableParagraph"/>
              <w:spacing w:before="53"/>
              <w:ind w:left="102"/>
              <w:jc w:val="right"/>
              <w:rPr>
                <w:rFonts w:ascii="Arial" w:eastAsia="Arial" w:hAnsi="Arial" w:cs="Arial"/>
              </w:rPr>
            </w:pPr>
            <w:r w:rsidRPr="0096349C">
              <w:rPr>
                <w:rFonts w:ascii="Arial"/>
                <w:spacing w:val="-1"/>
              </w:rPr>
              <w:t>68,473.44</w:t>
            </w:r>
          </w:p>
        </w:tc>
        <w:tc>
          <w:tcPr>
            <w:tcW w:w="1468" w:type="dxa"/>
            <w:shd w:val="clear" w:color="auto" w:fill="C6D9F1"/>
            <w:vAlign w:val="center"/>
          </w:tcPr>
          <w:p w:rsidR="007235EF" w:rsidRDefault="007235EF" w:rsidP="007235EF">
            <w:pPr>
              <w:pStyle w:val="TableParagraph"/>
              <w:spacing w:before="53"/>
              <w:ind w:left="102"/>
              <w:jc w:val="right"/>
              <w:rPr>
                <w:rFonts w:ascii="Arial" w:eastAsia="Arial" w:hAnsi="Arial" w:cs="Arial"/>
              </w:rPr>
            </w:pPr>
            <w:r w:rsidRPr="0096349C">
              <w:rPr>
                <w:rFonts w:ascii="Arial"/>
                <w:spacing w:val="-1"/>
              </w:rPr>
              <w:t>71,831.34</w:t>
            </w:r>
          </w:p>
        </w:tc>
      </w:tr>
      <w:tr w:rsidR="007235EF" w:rsidTr="001C4422">
        <w:trPr>
          <w:cantSplit/>
        </w:trPr>
        <w:tc>
          <w:tcPr>
            <w:tcW w:w="1857" w:type="dxa"/>
            <w:tcBorders>
              <w:bottom w:val="single" w:sz="4" w:space="0" w:color="auto"/>
            </w:tcBorders>
            <w:shd w:val="clear" w:color="auto" w:fill="DBE5F1"/>
          </w:tcPr>
          <w:p w:rsidR="007235EF" w:rsidRDefault="007235EF" w:rsidP="007235EF">
            <w:pPr>
              <w:pStyle w:val="Tabletext"/>
              <w:keepNext w:val="0"/>
            </w:pPr>
            <w:r>
              <w:t>All staff average salary ($)</w:t>
            </w:r>
          </w:p>
        </w:tc>
        <w:tc>
          <w:tcPr>
            <w:tcW w:w="1857" w:type="dxa"/>
            <w:tcBorders>
              <w:bottom w:val="single" w:sz="4" w:space="0" w:color="auto"/>
            </w:tcBorders>
            <w:shd w:val="clear" w:color="auto" w:fill="DBE5F1"/>
            <w:vAlign w:val="center"/>
          </w:tcPr>
          <w:p w:rsidR="007235EF" w:rsidRDefault="007235EF" w:rsidP="007235EF">
            <w:pPr>
              <w:pStyle w:val="TableParagraph"/>
              <w:spacing w:before="51"/>
              <w:ind w:left="102"/>
              <w:jc w:val="right"/>
              <w:rPr>
                <w:rFonts w:ascii="Arial" w:eastAsia="Arial" w:hAnsi="Arial" w:cs="Arial"/>
              </w:rPr>
            </w:pPr>
            <w:r w:rsidRPr="0096349C">
              <w:rPr>
                <w:rFonts w:ascii="Arial"/>
                <w:spacing w:val="-1"/>
              </w:rPr>
              <w:t>71,669.28</w:t>
            </w:r>
          </w:p>
        </w:tc>
        <w:tc>
          <w:tcPr>
            <w:tcW w:w="1857" w:type="dxa"/>
            <w:tcBorders>
              <w:bottom w:val="single" w:sz="4" w:space="0" w:color="auto"/>
            </w:tcBorders>
            <w:shd w:val="clear" w:color="auto" w:fill="DBE5F1"/>
            <w:vAlign w:val="center"/>
          </w:tcPr>
          <w:p w:rsidR="007235EF" w:rsidRDefault="007235EF" w:rsidP="007235EF">
            <w:pPr>
              <w:pStyle w:val="TableParagraph"/>
              <w:spacing w:before="51"/>
              <w:ind w:left="102"/>
              <w:jc w:val="right"/>
              <w:rPr>
                <w:rFonts w:ascii="Arial" w:eastAsia="Arial" w:hAnsi="Arial" w:cs="Arial"/>
              </w:rPr>
            </w:pPr>
            <w:r w:rsidRPr="0096349C">
              <w:rPr>
                <w:rFonts w:ascii="Arial"/>
                <w:spacing w:val="-1"/>
              </w:rPr>
              <w:t>73,617.04</w:t>
            </w:r>
          </w:p>
        </w:tc>
        <w:tc>
          <w:tcPr>
            <w:tcW w:w="1483" w:type="dxa"/>
            <w:tcBorders>
              <w:bottom w:val="single" w:sz="4" w:space="0" w:color="auto"/>
            </w:tcBorders>
            <w:shd w:val="clear" w:color="auto" w:fill="DBE5F1"/>
            <w:vAlign w:val="center"/>
          </w:tcPr>
          <w:p w:rsidR="007235EF" w:rsidRDefault="007235EF" w:rsidP="007235EF">
            <w:pPr>
              <w:pStyle w:val="TableParagraph"/>
              <w:spacing w:before="51"/>
              <w:ind w:left="102"/>
              <w:jc w:val="right"/>
              <w:rPr>
                <w:rFonts w:ascii="Arial" w:eastAsia="Arial" w:hAnsi="Arial" w:cs="Arial"/>
              </w:rPr>
            </w:pPr>
            <w:r w:rsidRPr="0096349C">
              <w:rPr>
                <w:rFonts w:ascii="Arial"/>
                <w:spacing w:val="-1"/>
              </w:rPr>
              <w:t>76,856.16</w:t>
            </w:r>
          </w:p>
        </w:tc>
        <w:tc>
          <w:tcPr>
            <w:tcW w:w="1468" w:type="dxa"/>
            <w:tcBorders>
              <w:bottom w:val="single" w:sz="4" w:space="0" w:color="auto"/>
            </w:tcBorders>
            <w:shd w:val="clear" w:color="auto" w:fill="DBE5F1"/>
            <w:vAlign w:val="center"/>
          </w:tcPr>
          <w:p w:rsidR="007235EF" w:rsidRDefault="007235EF" w:rsidP="007235EF">
            <w:pPr>
              <w:pStyle w:val="TableParagraph"/>
              <w:spacing w:before="51"/>
              <w:ind w:left="102"/>
              <w:jc w:val="right"/>
              <w:rPr>
                <w:rFonts w:ascii="Arial" w:eastAsia="Arial" w:hAnsi="Arial" w:cs="Arial"/>
              </w:rPr>
            </w:pPr>
            <w:r w:rsidRPr="0096349C">
              <w:rPr>
                <w:rFonts w:ascii="Arial"/>
                <w:spacing w:val="-1"/>
              </w:rPr>
              <w:t>80,112.30</w:t>
            </w:r>
          </w:p>
        </w:tc>
      </w:tr>
      <w:tr w:rsidR="007235EF" w:rsidTr="001C4422">
        <w:trPr>
          <w:cantSplit/>
        </w:trPr>
        <w:tc>
          <w:tcPr>
            <w:tcW w:w="1857" w:type="dxa"/>
            <w:tcBorders>
              <w:bottom w:val="single" w:sz="4" w:space="0" w:color="auto"/>
            </w:tcBorders>
            <w:shd w:val="clear" w:color="auto" w:fill="C6D9F1"/>
          </w:tcPr>
          <w:p w:rsidR="007235EF" w:rsidRDefault="00634DDA" w:rsidP="007235EF">
            <w:pPr>
              <w:pStyle w:val="Tabletext"/>
              <w:keepNext w:val="0"/>
            </w:pPr>
            <w:r>
              <w:t>Difference (</w:t>
            </w:r>
            <w:r w:rsidR="007235EF">
              <w:t>%)</w:t>
            </w:r>
          </w:p>
        </w:tc>
        <w:tc>
          <w:tcPr>
            <w:tcW w:w="1857" w:type="dxa"/>
            <w:tcBorders>
              <w:bottom w:val="single" w:sz="4" w:space="0" w:color="auto"/>
            </w:tcBorders>
            <w:shd w:val="clear" w:color="auto" w:fill="C6D9F1"/>
            <w:vAlign w:val="center"/>
          </w:tcPr>
          <w:p w:rsidR="007235EF" w:rsidRDefault="007235EF" w:rsidP="007235EF">
            <w:pPr>
              <w:pStyle w:val="TableParagraph"/>
              <w:spacing w:line="250" w:lineRule="exact"/>
              <w:ind w:left="102"/>
              <w:jc w:val="right"/>
              <w:rPr>
                <w:rFonts w:ascii="Arial" w:eastAsia="Arial" w:hAnsi="Arial" w:cs="Arial"/>
              </w:rPr>
            </w:pPr>
            <w:r w:rsidRPr="0096349C">
              <w:rPr>
                <w:rFonts w:ascii="Arial"/>
                <w:spacing w:val="-1"/>
              </w:rPr>
              <w:t>-7.37</w:t>
            </w:r>
          </w:p>
        </w:tc>
        <w:tc>
          <w:tcPr>
            <w:tcW w:w="1857" w:type="dxa"/>
            <w:tcBorders>
              <w:bottom w:val="single" w:sz="4" w:space="0" w:color="auto"/>
            </w:tcBorders>
            <w:shd w:val="clear" w:color="auto" w:fill="C6D9F1"/>
            <w:vAlign w:val="center"/>
          </w:tcPr>
          <w:p w:rsidR="007235EF" w:rsidRDefault="007235EF" w:rsidP="007235EF">
            <w:pPr>
              <w:pStyle w:val="TableParagraph"/>
              <w:spacing w:line="250" w:lineRule="exact"/>
              <w:ind w:left="102"/>
              <w:jc w:val="right"/>
              <w:rPr>
                <w:rFonts w:ascii="Arial" w:eastAsia="Arial" w:hAnsi="Arial" w:cs="Arial"/>
              </w:rPr>
            </w:pPr>
            <w:r w:rsidRPr="0096349C">
              <w:rPr>
                <w:rFonts w:ascii="Arial"/>
                <w:spacing w:val="-1"/>
              </w:rPr>
              <w:t>-12.98</w:t>
            </w:r>
          </w:p>
        </w:tc>
        <w:tc>
          <w:tcPr>
            <w:tcW w:w="1483" w:type="dxa"/>
            <w:tcBorders>
              <w:bottom w:val="single" w:sz="4" w:space="0" w:color="auto"/>
            </w:tcBorders>
            <w:shd w:val="clear" w:color="auto" w:fill="C6D9F1"/>
            <w:vAlign w:val="center"/>
          </w:tcPr>
          <w:p w:rsidR="007235EF" w:rsidRDefault="007235EF" w:rsidP="007235EF">
            <w:pPr>
              <w:pStyle w:val="TableParagraph"/>
              <w:spacing w:line="250" w:lineRule="exact"/>
              <w:ind w:left="102"/>
              <w:jc w:val="right"/>
              <w:rPr>
                <w:rFonts w:ascii="Arial" w:eastAsia="Arial" w:hAnsi="Arial" w:cs="Arial"/>
              </w:rPr>
            </w:pPr>
            <w:r w:rsidRPr="0096349C">
              <w:rPr>
                <w:rFonts w:ascii="Arial"/>
                <w:spacing w:val="-1"/>
              </w:rPr>
              <w:t>-10.91</w:t>
            </w:r>
          </w:p>
        </w:tc>
        <w:tc>
          <w:tcPr>
            <w:tcW w:w="1468" w:type="dxa"/>
            <w:tcBorders>
              <w:bottom w:val="single" w:sz="4" w:space="0" w:color="auto"/>
            </w:tcBorders>
            <w:shd w:val="clear" w:color="auto" w:fill="C6D9F1"/>
            <w:vAlign w:val="center"/>
          </w:tcPr>
          <w:p w:rsidR="007235EF" w:rsidRDefault="007235EF" w:rsidP="007235EF">
            <w:pPr>
              <w:pStyle w:val="TableParagraph"/>
              <w:spacing w:line="250" w:lineRule="exact"/>
              <w:ind w:left="102"/>
              <w:jc w:val="right"/>
              <w:rPr>
                <w:rFonts w:ascii="Arial" w:eastAsia="Arial" w:hAnsi="Arial" w:cs="Arial"/>
              </w:rPr>
            </w:pPr>
            <w:r w:rsidRPr="0096349C">
              <w:rPr>
                <w:rFonts w:ascii="Arial"/>
                <w:spacing w:val="-1"/>
              </w:rPr>
              <w:t>-10.34</w:t>
            </w:r>
          </w:p>
        </w:tc>
      </w:tr>
      <w:tr w:rsidR="007235EF" w:rsidTr="007235EF">
        <w:trPr>
          <w:cantSplit/>
        </w:trPr>
        <w:tc>
          <w:tcPr>
            <w:tcW w:w="8522" w:type="dxa"/>
            <w:gridSpan w:val="5"/>
            <w:tcBorders>
              <w:top w:val="single" w:sz="4" w:space="0" w:color="auto"/>
              <w:bottom w:val="nil"/>
            </w:tcBorders>
          </w:tcPr>
          <w:p w:rsidR="007235EF" w:rsidRDefault="007235EF" w:rsidP="007235EF">
            <w:pPr>
              <w:pStyle w:val="Tabletext"/>
              <w:ind w:left="743" w:hanging="743"/>
            </w:pPr>
            <w:r>
              <w:t xml:space="preserve">Source:  </w:t>
            </w:r>
            <w:r w:rsidRPr="00F56F03">
              <w:t xml:space="preserve">ACT Public Service, </w:t>
            </w:r>
            <w:r w:rsidRPr="00F56F03">
              <w:rPr>
                <w:i/>
              </w:rPr>
              <w:t>Submission to the Standing Committee on Health, Ageing, Community and Social Services – Inquiry into ACT Public Service Aboriginal and Torres Strait Islander Employment</w:t>
            </w:r>
            <w:r w:rsidRPr="00F56F03">
              <w:t>, August 2013, pp. 22-3.</w:t>
            </w:r>
          </w:p>
        </w:tc>
      </w:tr>
    </w:tbl>
    <w:p w:rsidR="00B957C4" w:rsidRDefault="00BE50B9" w:rsidP="00B957C4">
      <w:pPr>
        <w:pStyle w:val="Bodytext"/>
        <w:numPr>
          <w:ilvl w:val="0"/>
          <w:numId w:val="0"/>
        </w:numPr>
        <w:ind w:left="425"/>
      </w:pPr>
      <w:r>
        <w:tab/>
      </w:r>
    </w:p>
    <w:p w:rsidR="007235EF" w:rsidRDefault="00B957C4" w:rsidP="007235EF">
      <w:pPr>
        <w:pStyle w:val="Bodytext"/>
      </w:pPr>
      <w:r>
        <w:tab/>
      </w:r>
      <w:r w:rsidR="007235EF">
        <w:t xml:space="preserve">Figure </w:t>
      </w:r>
      <w:r w:rsidR="007A55A3">
        <w:t>4</w:t>
      </w:r>
      <w:r w:rsidR="007235EF">
        <w:t xml:space="preserve">.1 shows </w:t>
      </w:r>
      <w:r w:rsidR="00EE7D94">
        <w:t xml:space="preserve">graphically </w:t>
      </w:r>
      <w:r w:rsidR="007235EF">
        <w:t xml:space="preserve">the salary variation in Table </w:t>
      </w:r>
      <w:r w:rsidR="00EE7D94">
        <w:t>4.1.</w:t>
      </w:r>
      <w:r w:rsidR="007235EF">
        <w:t xml:space="preserve">  </w:t>
      </w:r>
    </w:p>
    <w:p w:rsidR="007235EF" w:rsidRDefault="00BE50B9" w:rsidP="007235EF">
      <w:pPr>
        <w:pStyle w:val="Bodytext"/>
      </w:pPr>
      <w:r>
        <w:tab/>
      </w:r>
      <w:r w:rsidR="007235EF">
        <w:t xml:space="preserve">The Committee found that there had been a similar situation in the South Australian public sector.  Dr Kate Barnett explained: </w:t>
      </w:r>
    </w:p>
    <w:p w:rsidR="007235EF" w:rsidRDefault="007235EF" w:rsidP="007235EF">
      <w:pPr>
        <w:pStyle w:val="Quote"/>
        <w:rPr>
          <w:lang w:val="en-US"/>
        </w:rPr>
      </w:pPr>
      <w:r w:rsidRPr="004B6456">
        <w:rPr>
          <w:lang w:val="en-US"/>
        </w:rPr>
        <w:t>We then looked at salary, and what we found was that there was a far greater proportion of Aboriginal employees being remunerated in the two lower salary groups. Seventy-eight per cent of Aboriginal employees were earning up to $40,000 or so per annum and also up into the next bracket, up to around $46,000, compared to 60 per cent of non-Aboriginal employees. Conversely, there were lower proportions of Aboriginal people in the higher salary groupings compared with non-Aboriginal employees.</w:t>
      </w:r>
    </w:p>
    <w:p w:rsidR="00331191" w:rsidRDefault="00331191" w:rsidP="007235EF">
      <w:pPr>
        <w:pStyle w:val="Quote"/>
        <w:rPr>
          <w:lang w:val="en-US"/>
        </w:rPr>
      </w:pPr>
    </w:p>
    <w:p w:rsidR="00331191" w:rsidRDefault="00331191" w:rsidP="007235EF">
      <w:pPr>
        <w:pStyle w:val="Quote"/>
        <w:rPr>
          <w:lang w:val="en-US"/>
        </w:rPr>
      </w:pPr>
    </w:p>
    <w:p w:rsidR="00331191" w:rsidRPr="004B6456" w:rsidRDefault="00331191" w:rsidP="007235EF">
      <w:pPr>
        <w:pStyle w:val="Quote"/>
        <w:rPr>
          <w:lang w:val="en-US"/>
        </w:rPr>
      </w:pPr>
    </w:p>
    <w:p w:rsidR="007235EF" w:rsidRDefault="007235EF" w:rsidP="007235EF">
      <w:pPr>
        <w:pStyle w:val="Quote"/>
        <w:rPr>
          <w:lang w:val="en-US"/>
        </w:rPr>
      </w:pPr>
      <w:r w:rsidRPr="004B6456">
        <w:rPr>
          <w:lang w:val="en-US"/>
        </w:rPr>
        <w:t>Of course, this is in part linked to the greater amount of short-term contractual employees but, as you will see when I go on, there are fewer Aboriginal people in more senior levels of the public service. I can give you details of this</w:t>
      </w:r>
      <w:r>
        <w:rPr>
          <w:lang w:val="en-US"/>
        </w:rPr>
        <w:t xml:space="preserve"> …. </w:t>
      </w:r>
      <w:r w:rsidRPr="004B6456">
        <w:rPr>
          <w:lang w:val="en-US"/>
        </w:rPr>
        <w:t xml:space="preserve"> the differences are quite significant.</w:t>
      </w:r>
    </w:p>
    <w:p w:rsidR="007235EF" w:rsidRPr="004B6456" w:rsidRDefault="007235EF" w:rsidP="007235EF">
      <w:pPr>
        <w:pStyle w:val="Quote"/>
        <w:rPr>
          <w:lang w:val="en-US"/>
        </w:rPr>
      </w:pPr>
      <w:r w:rsidRPr="004B6456">
        <w:rPr>
          <w:lang w:val="en-US"/>
        </w:rPr>
        <w:t>With recruitment, there was also a stronger trend for Aboriginal employees to be coming into the public sector from outside rather than from within. There were fewer than 20 per cent of Aboriginal appointments to the South Australian public sector in 2006 made from within the public sector compared to non-Aboriginal employees.</w:t>
      </w:r>
    </w:p>
    <w:p w:rsidR="007235EF" w:rsidRPr="004B6456" w:rsidRDefault="007235EF" w:rsidP="007235EF">
      <w:pPr>
        <w:pStyle w:val="Quote"/>
        <w:rPr>
          <w:lang w:val="en-US"/>
        </w:rPr>
      </w:pPr>
      <w:r w:rsidRPr="004B6456">
        <w:rPr>
          <w:lang w:val="en-US"/>
        </w:rPr>
        <w:t>When we looked at the survey of Aboriginal public servants, what we found was that the thing that was drawing them to come and work in the sector, the largest reason, was to make a difference for Indigenous South Australians. In other words, there was—and this was also clear in our interviews—quite a strong sense of giving back to community and making a difference to your community by being in a public sector role. That was followed by wanting, obviously, to obtain secure employment and what was seen as a good job.</w:t>
      </w:r>
    </w:p>
    <w:p w:rsidR="007235EF" w:rsidRDefault="007235EF" w:rsidP="007235EF">
      <w:pPr>
        <w:pStyle w:val="Caption"/>
      </w:pPr>
      <w:r>
        <w:t xml:space="preserve">Figure </w:t>
      </w:r>
      <w:r w:rsidR="007A55A3">
        <w:t>4</w:t>
      </w:r>
      <w:r>
        <w:t>.1 – Variation in average salaries between Aboriginal and Torres Strait Islander employees and all ACTPS employees</w:t>
      </w:r>
    </w:p>
    <w:p w:rsidR="00447B42" w:rsidRPr="00447B42" w:rsidRDefault="00447B42" w:rsidP="00447B42"/>
    <w:p w:rsidR="00447B42" w:rsidRPr="00447B42" w:rsidRDefault="007B7864" w:rsidP="00447B42">
      <w:pPr>
        <w:ind w:left="567"/>
      </w:pPr>
      <w:r>
        <w:rPr>
          <w:noProof/>
          <w:lang w:eastAsia="zh-TW"/>
        </w:rPr>
        <w:drawing>
          <wp:inline distT="0" distB="0" distL="0" distR="0">
            <wp:extent cx="5113655" cy="2954655"/>
            <wp:effectExtent l="1905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8" cstate="print"/>
                    <a:srcRect/>
                    <a:stretch>
                      <a:fillRect/>
                    </a:stretch>
                  </pic:blipFill>
                  <pic:spPr bwMode="auto">
                    <a:xfrm>
                      <a:off x="0" y="0"/>
                      <a:ext cx="5113655" cy="2954655"/>
                    </a:xfrm>
                    <a:prstGeom prst="rect">
                      <a:avLst/>
                    </a:prstGeom>
                    <a:noFill/>
                    <a:ln w="9525">
                      <a:noFill/>
                      <a:miter lim="800000"/>
                      <a:headEnd/>
                      <a:tailEnd/>
                    </a:ln>
                  </pic:spPr>
                </pic:pic>
              </a:graphicData>
            </a:graphic>
          </wp:inline>
        </w:drawing>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7229"/>
      </w:tblGrid>
      <w:tr w:rsidR="007A55A3" w:rsidTr="007A55A3">
        <w:tc>
          <w:tcPr>
            <w:tcW w:w="851" w:type="dxa"/>
          </w:tcPr>
          <w:p w:rsidR="007A55A3" w:rsidRPr="007A55A3" w:rsidRDefault="007A55A3" w:rsidP="007A55A3">
            <w:pPr>
              <w:pStyle w:val="Headinglevel5"/>
              <w:numPr>
                <w:ilvl w:val="0"/>
                <w:numId w:val="0"/>
              </w:numPr>
              <w:spacing w:before="120" w:after="0" w:line="240" w:lineRule="auto"/>
              <w:rPr>
                <w:sz w:val="16"/>
                <w:szCs w:val="16"/>
              </w:rPr>
            </w:pPr>
            <w:r w:rsidRPr="007A55A3">
              <w:rPr>
                <w:sz w:val="16"/>
                <w:szCs w:val="16"/>
              </w:rPr>
              <w:t>source:</w:t>
            </w:r>
          </w:p>
        </w:tc>
        <w:tc>
          <w:tcPr>
            <w:tcW w:w="7229" w:type="dxa"/>
          </w:tcPr>
          <w:p w:rsidR="007A55A3" w:rsidRPr="007A55A3" w:rsidRDefault="007A55A3" w:rsidP="007A55A3">
            <w:pPr>
              <w:pStyle w:val="Headinglevel5"/>
              <w:numPr>
                <w:ilvl w:val="0"/>
                <w:numId w:val="0"/>
              </w:numPr>
              <w:spacing w:before="120" w:after="0" w:line="240" w:lineRule="auto"/>
              <w:rPr>
                <w:sz w:val="16"/>
                <w:szCs w:val="16"/>
              </w:rPr>
            </w:pPr>
            <w:r w:rsidRPr="007A55A3">
              <w:rPr>
                <w:rFonts w:cs="Times New Roman"/>
                <w:bCs/>
                <w:smallCaps w:val="0"/>
                <w:spacing w:val="0"/>
                <w:kern w:val="26"/>
                <w:sz w:val="16"/>
                <w:szCs w:val="16"/>
              </w:rPr>
              <w:t>ACT Public Service, Submission to the Standing Committee on Health, Ageing, Community and Social Services – Inquiry into ACT Public Service Aboriginal and Torres Strait Islander Employment, August 2013, pp. 22-3.</w:t>
            </w:r>
          </w:p>
        </w:tc>
      </w:tr>
    </w:tbl>
    <w:p w:rsidR="007235EF" w:rsidRPr="00F56F03" w:rsidRDefault="007235EF" w:rsidP="007235EF">
      <w:pPr>
        <w:pStyle w:val="Headinglevel5"/>
      </w:pPr>
    </w:p>
    <w:p w:rsidR="00331191" w:rsidRDefault="007723FA" w:rsidP="00331191">
      <w:pPr>
        <w:pStyle w:val="Bodytext"/>
        <w:numPr>
          <w:ilvl w:val="0"/>
          <w:numId w:val="0"/>
        </w:numPr>
        <w:ind w:left="425"/>
      </w:pPr>
      <w:r>
        <w:tab/>
      </w:r>
    </w:p>
    <w:p w:rsidR="007723FA" w:rsidRDefault="00331191" w:rsidP="007723FA">
      <w:pPr>
        <w:pStyle w:val="Bodytext"/>
      </w:pPr>
      <w:r>
        <w:br w:type="page"/>
      </w:r>
      <w:r>
        <w:tab/>
      </w:r>
      <w:r w:rsidR="007723FA">
        <w:t xml:space="preserve">Professor Gray suggested that the issue for the ACTPS then became </w:t>
      </w:r>
      <w:r w:rsidR="007A55A3">
        <w:t xml:space="preserve">akin to competing for </w:t>
      </w:r>
      <w:r w:rsidR="007723FA">
        <w:t xml:space="preserve">its share of Aboriginal and Torres Strait Islander employees.  The Employment Strategy may provide opportunities for some people who may otherwise find it hard to get a job and it may also attract other people who would otherwise work elsewhere.  The result may be the achievement of targets.  Professor Gray said: </w:t>
      </w:r>
    </w:p>
    <w:p w:rsidR="007723FA" w:rsidRDefault="007723FA" w:rsidP="007723FA">
      <w:pPr>
        <w:pStyle w:val="Quote"/>
      </w:pPr>
      <w:r>
        <w:t xml:space="preserve">...  you need to have a clear statement about the strategy. In the submissions, I saw sort of some concern about low levels of employment—low levels in the ranks. </w:t>
      </w:r>
    </w:p>
    <w:p w:rsidR="007723FA" w:rsidRDefault="007723FA" w:rsidP="007723FA">
      <w:pPr>
        <w:pStyle w:val="Quote"/>
      </w:pPr>
      <w:r>
        <w:t xml:space="preserve">...  I share that, but I want to know where people have come from. If you are actually bringing in people who would not have had a job otherwise and the fact is that they are coming in at the lower level, it is not necessarily a sign that there is a problem.  You need to understand more about it.  It is important and desirable to get people into more senior roles and professional roles, management roles; there is no question about that. But there are questions about understanding pathways in and where people go. Bringing people into entry-level jobs is not necessarily a bad thing if you are giving people a start which they otherwise would not get. </w:t>
      </w:r>
    </w:p>
    <w:p w:rsidR="007235EF" w:rsidRDefault="007723FA" w:rsidP="007235EF">
      <w:pPr>
        <w:pStyle w:val="Bodytext"/>
      </w:pPr>
      <w:r>
        <w:tab/>
      </w:r>
      <w:r w:rsidR="007235EF">
        <w:t xml:space="preserve">The Committee concludes that the Employment Strategy has in practice focussed on recruiting Aboriginal and Torres Strait Islander people to more junior grades.  While there is nothing wrong with this </w:t>
      </w:r>
      <w:r w:rsidR="007235EF" w:rsidRPr="00AC038D">
        <w:rPr>
          <w:i/>
        </w:rPr>
        <w:t>per se</w:t>
      </w:r>
      <w:r w:rsidR="007235EF">
        <w:t xml:space="preserve">, when combined with factors such as the lack of career pathways, it is not surprising that there is an ongoing </w:t>
      </w:r>
      <w:r w:rsidR="007A55A3">
        <w:t xml:space="preserve">disparity between </w:t>
      </w:r>
      <w:r w:rsidR="007235EF">
        <w:t xml:space="preserve">the salaries of Aboriginal and Torres Strait Islander employees in the ACTPS and the total ACTPS.  </w:t>
      </w:r>
    </w:p>
    <w:p w:rsidR="007235EF" w:rsidRDefault="007235EF" w:rsidP="00234973">
      <w:pPr>
        <w:pStyle w:val="Headinglevel2"/>
      </w:pPr>
      <w:bookmarkStart w:id="93" w:name="_Toc383615042"/>
      <w:r>
        <w:t>Indicator 3 – Reduction in number and percentage of separations</w:t>
      </w:r>
      <w:bookmarkEnd w:id="93"/>
      <w:r>
        <w:t xml:space="preserve"> </w:t>
      </w:r>
    </w:p>
    <w:p w:rsidR="007235EF" w:rsidRDefault="00BE50B9" w:rsidP="007235EF">
      <w:pPr>
        <w:pStyle w:val="Bodytext"/>
      </w:pPr>
      <w:r>
        <w:tab/>
      </w:r>
      <w:r w:rsidR="007235EF">
        <w:t xml:space="preserve">Table </w:t>
      </w:r>
      <w:r w:rsidR="007A55A3">
        <w:t>4</w:t>
      </w:r>
      <w:r w:rsidR="007235EF">
        <w:t xml:space="preserve">.2 shows data for Indicator 3, which is ‘The </w:t>
      </w:r>
      <w:r w:rsidR="007235EF" w:rsidRPr="0049027B">
        <w:t>number and percentage share of ACTPS permanent Aboriginal and Torres Strait Islander employees that leave the s</w:t>
      </w:r>
      <w:r w:rsidR="007235EF">
        <w:t xml:space="preserve">ervice is progressively reduced’.   Table </w:t>
      </w:r>
      <w:r w:rsidR="007A55A3">
        <w:t>4.2</w:t>
      </w:r>
      <w:r w:rsidR="007235EF">
        <w:t xml:space="preserve"> is reproduced from the ACTPS submission.</w:t>
      </w:r>
      <w:r w:rsidR="007235EF">
        <w:rPr>
          <w:rStyle w:val="FootnoteReference"/>
        </w:rPr>
        <w:footnoteReference w:id="73"/>
      </w:r>
      <w:r w:rsidR="007235EF">
        <w:t xml:space="preserve"> </w:t>
      </w:r>
    </w:p>
    <w:p w:rsidR="00331191" w:rsidRDefault="00331191" w:rsidP="00331191">
      <w:pPr>
        <w:pStyle w:val="Bodytext"/>
      </w:pPr>
      <w:r>
        <w:t xml:space="preserve">The ACTPS submission comments on the data in Table 4.2 as follows: </w:t>
      </w:r>
    </w:p>
    <w:p w:rsidR="00331191" w:rsidRDefault="00331191" w:rsidP="00331191">
      <w:pPr>
        <w:pStyle w:val="Quote"/>
        <w:rPr>
          <w:spacing w:val="-2"/>
        </w:rPr>
      </w:pPr>
      <w:r>
        <w:t>The</w:t>
      </w:r>
      <w:r>
        <w:rPr>
          <w:spacing w:val="-2"/>
        </w:rPr>
        <w:t xml:space="preserve"> </w:t>
      </w:r>
      <w:r>
        <w:rPr>
          <w:spacing w:val="-1"/>
        </w:rPr>
        <w:t>increase</w:t>
      </w:r>
      <w:r>
        <w:rPr>
          <w:spacing w:val="-2"/>
        </w:rPr>
        <w:t xml:space="preserve"> </w:t>
      </w:r>
      <w:r>
        <w:rPr>
          <w:spacing w:val="-1"/>
        </w:rPr>
        <w:t>in</w:t>
      </w:r>
      <w:r>
        <w:t xml:space="preserve"> </w:t>
      </w:r>
      <w:r>
        <w:rPr>
          <w:spacing w:val="-1"/>
        </w:rPr>
        <w:t>identified Aboriginal</w:t>
      </w:r>
      <w:r>
        <w:t xml:space="preserve"> </w:t>
      </w:r>
      <w:r>
        <w:rPr>
          <w:spacing w:val="-1"/>
        </w:rPr>
        <w:t>and</w:t>
      </w:r>
      <w:r>
        <w:rPr>
          <w:spacing w:val="-2"/>
        </w:rPr>
        <w:t xml:space="preserve"> </w:t>
      </w:r>
      <w:r>
        <w:rPr>
          <w:spacing w:val="-1"/>
        </w:rPr>
        <w:t>Torres</w:t>
      </w:r>
      <w:r>
        <w:rPr>
          <w:spacing w:val="-2"/>
        </w:rPr>
        <w:t xml:space="preserve"> </w:t>
      </w:r>
      <w:r>
        <w:rPr>
          <w:spacing w:val="-1"/>
        </w:rPr>
        <w:t>Strait Islander</w:t>
      </w:r>
      <w:r>
        <w:rPr>
          <w:spacing w:val="1"/>
        </w:rPr>
        <w:t xml:space="preserve"> </w:t>
      </w:r>
      <w:r>
        <w:rPr>
          <w:spacing w:val="-1"/>
        </w:rPr>
        <w:t>staff separations</w:t>
      </w:r>
      <w:r>
        <w:rPr>
          <w:spacing w:val="1"/>
        </w:rPr>
        <w:t xml:space="preserve"> </w:t>
      </w:r>
      <w:r>
        <w:rPr>
          <w:spacing w:val="-1"/>
        </w:rPr>
        <w:t>over</w:t>
      </w:r>
      <w:r>
        <w:rPr>
          <w:spacing w:val="1"/>
        </w:rPr>
        <w:t xml:space="preserve"> </w:t>
      </w:r>
      <w:r>
        <w:t>the</w:t>
      </w:r>
      <w:r>
        <w:rPr>
          <w:spacing w:val="63"/>
        </w:rPr>
        <w:t xml:space="preserve"> </w:t>
      </w:r>
      <w:r>
        <w:rPr>
          <w:spacing w:val="-1"/>
        </w:rPr>
        <w:t>2011-13</w:t>
      </w:r>
      <w:r>
        <w:t xml:space="preserve"> </w:t>
      </w:r>
      <w:r>
        <w:rPr>
          <w:spacing w:val="-1"/>
        </w:rPr>
        <w:t>period</w:t>
      </w:r>
      <w:r>
        <w:t xml:space="preserve"> </w:t>
      </w:r>
      <w:r>
        <w:rPr>
          <w:spacing w:val="-1"/>
        </w:rPr>
        <w:t>reported</w:t>
      </w:r>
      <w:r>
        <w:rPr>
          <w:spacing w:val="-5"/>
        </w:rPr>
        <w:t xml:space="preserve"> </w:t>
      </w:r>
      <w:r>
        <w:rPr>
          <w:spacing w:val="-1"/>
        </w:rPr>
        <w:t>in</w:t>
      </w:r>
      <w:r>
        <w:t xml:space="preserve"> the </w:t>
      </w:r>
      <w:r>
        <w:rPr>
          <w:spacing w:val="-1"/>
        </w:rPr>
        <w:t>above</w:t>
      </w:r>
      <w:r>
        <w:rPr>
          <w:spacing w:val="-2"/>
        </w:rPr>
        <w:t xml:space="preserve"> </w:t>
      </w:r>
      <w:r>
        <w:rPr>
          <w:spacing w:val="-1"/>
        </w:rPr>
        <w:t>table</w:t>
      </w:r>
      <w:r>
        <w:t xml:space="preserve"> is </w:t>
      </w:r>
      <w:r>
        <w:rPr>
          <w:spacing w:val="-1"/>
        </w:rPr>
        <w:t>concerning,</w:t>
      </w:r>
      <w:r>
        <w:rPr>
          <w:spacing w:val="2"/>
        </w:rPr>
        <w:t xml:space="preserve"> </w:t>
      </w:r>
      <w:r>
        <w:rPr>
          <w:spacing w:val="-1"/>
        </w:rPr>
        <w:t>although</w:t>
      </w:r>
      <w:r>
        <w:rPr>
          <w:spacing w:val="-2"/>
        </w:rPr>
        <w:t xml:space="preserve"> </w:t>
      </w:r>
      <w:r>
        <w:t xml:space="preserve">the </w:t>
      </w:r>
      <w:r>
        <w:rPr>
          <w:spacing w:val="-1"/>
        </w:rPr>
        <w:t>number is</w:t>
      </w:r>
      <w:r>
        <w:rPr>
          <w:spacing w:val="1"/>
        </w:rPr>
        <w:t xml:space="preserve"> </w:t>
      </w:r>
      <w:r>
        <w:rPr>
          <w:spacing w:val="-1"/>
        </w:rPr>
        <w:t>small</w:t>
      </w:r>
      <w:r>
        <w:rPr>
          <w:spacing w:val="39"/>
        </w:rPr>
        <w:t xml:space="preserve"> </w:t>
      </w:r>
      <w:r>
        <w:rPr>
          <w:spacing w:val="-1"/>
        </w:rPr>
        <w:t>within</w:t>
      </w:r>
      <w:r>
        <w:t xml:space="preserve"> the </w:t>
      </w:r>
      <w:r>
        <w:rPr>
          <w:spacing w:val="-1"/>
        </w:rPr>
        <w:t xml:space="preserve">number </w:t>
      </w:r>
      <w:r>
        <w:rPr>
          <w:spacing w:val="-2"/>
        </w:rPr>
        <w:t>of</w:t>
      </w:r>
      <w:r>
        <w:rPr>
          <w:spacing w:val="-1"/>
        </w:rPr>
        <w:t xml:space="preserve"> total</w:t>
      </w:r>
      <w:r>
        <w:t xml:space="preserve"> </w:t>
      </w:r>
      <w:r>
        <w:rPr>
          <w:spacing w:val="-1"/>
        </w:rPr>
        <w:t>separations.</w:t>
      </w:r>
      <w:r>
        <w:rPr>
          <w:spacing w:val="57"/>
        </w:rPr>
        <w:t xml:space="preserve"> </w:t>
      </w:r>
      <w:r>
        <w:rPr>
          <w:spacing w:val="1"/>
        </w:rPr>
        <w:t>When</w:t>
      </w:r>
      <w:r>
        <w:rPr>
          <w:spacing w:val="-2"/>
        </w:rPr>
        <w:t xml:space="preserve"> </w:t>
      </w:r>
      <w:r>
        <w:rPr>
          <w:spacing w:val="-1"/>
        </w:rPr>
        <w:t>combined</w:t>
      </w:r>
      <w:r>
        <w:t xml:space="preserve"> </w:t>
      </w:r>
      <w:r>
        <w:rPr>
          <w:spacing w:val="-2"/>
        </w:rPr>
        <w:t>with</w:t>
      </w:r>
      <w:r>
        <w:t xml:space="preserve"> the </w:t>
      </w:r>
      <w:r>
        <w:rPr>
          <w:spacing w:val="-1"/>
        </w:rPr>
        <w:t>pay</w:t>
      </w:r>
      <w:r>
        <w:rPr>
          <w:spacing w:val="-4"/>
        </w:rPr>
        <w:t xml:space="preserve"> </w:t>
      </w:r>
      <w:r>
        <w:t>gap</w:t>
      </w:r>
      <w:r>
        <w:rPr>
          <w:spacing w:val="-5"/>
        </w:rPr>
        <w:t xml:space="preserve"> </w:t>
      </w:r>
      <w:r>
        <w:rPr>
          <w:spacing w:val="-1"/>
        </w:rPr>
        <w:t>information, it</w:t>
      </w:r>
      <w:r>
        <w:rPr>
          <w:spacing w:val="45"/>
        </w:rPr>
        <w:t xml:space="preserve"> </w:t>
      </w:r>
      <w:r>
        <w:rPr>
          <w:spacing w:val="-1"/>
        </w:rPr>
        <w:t>suggests</w:t>
      </w:r>
      <w:r>
        <w:rPr>
          <w:spacing w:val="-2"/>
        </w:rPr>
        <w:t xml:space="preserve"> </w:t>
      </w:r>
      <w:r>
        <w:rPr>
          <w:spacing w:val="-1"/>
        </w:rPr>
        <w:t xml:space="preserve">that </w:t>
      </w:r>
      <w:r>
        <w:t xml:space="preserve">the </w:t>
      </w:r>
      <w:r>
        <w:rPr>
          <w:spacing w:val="-2"/>
        </w:rPr>
        <w:t>ACTPS</w:t>
      </w:r>
      <w:r>
        <w:t xml:space="preserve"> </w:t>
      </w:r>
      <w:r>
        <w:rPr>
          <w:spacing w:val="-1"/>
        </w:rPr>
        <w:t>is</w:t>
      </w:r>
      <w:r>
        <w:rPr>
          <w:spacing w:val="1"/>
        </w:rPr>
        <w:t xml:space="preserve"> </w:t>
      </w:r>
      <w:r>
        <w:rPr>
          <w:spacing w:val="-1"/>
        </w:rPr>
        <w:t>losing</w:t>
      </w:r>
      <w:r>
        <w:t xml:space="preserve"> </w:t>
      </w:r>
      <w:r>
        <w:rPr>
          <w:spacing w:val="-1"/>
        </w:rPr>
        <w:t>its</w:t>
      </w:r>
      <w:r>
        <w:rPr>
          <w:spacing w:val="-2"/>
        </w:rPr>
        <w:t xml:space="preserve"> </w:t>
      </w:r>
      <w:r>
        <w:rPr>
          <w:spacing w:val="-1"/>
        </w:rPr>
        <w:t>Aboriginal</w:t>
      </w:r>
      <w:r>
        <w:t xml:space="preserve"> </w:t>
      </w:r>
      <w:r>
        <w:rPr>
          <w:spacing w:val="-1"/>
        </w:rPr>
        <w:t>and</w:t>
      </w:r>
      <w:r>
        <w:rPr>
          <w:spacing w:val="-2"/>
        </w:rPr>
        <w:t xml:space="preserve"> </w:t>
      </w:r>
      <w:r>
        <w:rPr>
          <w:spacing w:val="-1"/>
        </w:rPr>
        <w:t>Torres</w:t>
      </w:r>
      <w:r>
        <w:t xml:space="preserve"> </w:t>
      </w:r>
      <w:r>
        <w:rPr>
          <w:spacing w:val="-1"/>
        </w:rPr>
        <w:t>Strait Islander</w:t>
      </w:r>
      <w:r>
        <w:rPr>
          <w:spacing w:val="1"/>
        </w:rPr>
        <w:t xml:space="preserve"> </w:t>
      </w:r>
      <w:r>
        <w:rPr>
          <w:spacing w:val="-2"/>
        </w:rPr>
        <w:t>staff</w:t>
      </w:r>
      <w:r>
        <w:rPr>
          <w:spacing w:val="7"/>
        </w:rPr>
        <w:t xml:space="preserve"> </w:t>
      </w:r>
      <w:r>
        <w:rPr>
          <w:spacing w:val="-2"/>
        </w:rPr>
        <w:t>at</w:t>
      </w:r>
      <w:r>
        <w:rPr>
          <w:spacing w:val="-1"/>
        </w:rPr>
        <w:t xml:space="preserve"> </w:t>
      </w:r>
      <w:r>
        <w:t>the</w:t>
      </w:r>
      <w:r>
        <w:rPr>
          <w:spacing w:val="-2"/>
        </w:rPr>
        <w:t xml:space="preserve"> </w:t>
      </w:r>
      <w:r>
        <w:rPr>
          <w:spacing w:val="-1"/>
        </w:rPr>
        <w:t>middle</w:t>
      </w:r>
      <w:r>
        <w:rPr>
          <w:spacing w:val="57"/>
        </w:rPr>
        <w:t xml:space="preserve"> </w:t>
      </w:r>
      <w:r>
        <w:rPr>
          <w:spacing w:val="-1"/>
        </w:rPr>
        <w:t>levels</w:t>
      </w:r>
      <w:r>
        <w:rPr>
          <w:spacing w:val="1"/>
        </w:rPr>
        <w:t xml:space="preserve"> </w:t>
      </w:r>
      <w:r>
        <w:rPr>
          <w:spacing w:val="-2"/>
        </w:rPr>
        <w:t>of</w:t>
      </w:r>
      <w:r>
        <w:rPr>
          <w:spacing w:val="2"/>
        </w:rPr>
        <w:t xml:space="preserve"> </w:t>
      </w:r>
      <w:r>
        <w:t xml:space="preserve">the </w:t>
      </w:r>
      <w:r>
        <w:rPr>
          <w:spacing w:val="-2"/>
        </w:rPr>
        <w:t>Service.</w:t>
      </w:r>
    </w:p>
    <w:p w:rsidR="00331191" w:rsidRDefault="00331191" w:rsidP="00331191">
      <w:pPr>
        <w:pStyle w:val="Bodytext"/>
        <w:numPr>
          <w:ilvl w:val="0"/>
          <w:numId w:val="0"/>
        </w:numPr>
        <w:ind w:left="425"/>
      </w:pPr>
      <w:r>
        <w:br w:type="page"/>
      </w:r>
    </w:p>
    <w:p w:rsidR="007235EF" w:rsidRDefault="007235EF" w:rsidP="007235EF">
      <w:pPr>
        <w:pStyle w:val="Caption"/>
        <w:rPr>
          <w:rFonts w:cs="Arial"/>
          <w:smallCaps/>
          <w:spacing w:val="20"/>
          <w:sz w:val="24"/>
        </w:rPr>
      </w:pPr>
      <w:r w:rsidRPr="00026470">
        <w:t xml:space="preserve">Table </w:t>
      </w:r>
      <w:r w:rsidR="007A55A3">
        <w:t>4</w:t>
      </w:r>
      <w:r>
        <w:t>.2</w:t>
      </w:r>
      <w:r w:rsidRPr="00026470">
        <w:t xml:space="preserve"> – </w:t>
      </w:r>
      <w:r>
        <w:t>Number and share of ACTPS permanent Aboriginal and Torres Strait Islander employees leaving the Service.</w:t>
      </w:r>
    </w:p>
    <w:p w:rsidR="007235EF" w:rsidRDefault="007235EF" w:rsidP="007235EF"/>
    <w:tbl>
      <w:tblPr>
        <w:tblW w:w="8522" w:type="dxa"/>
        <w:tblInd w:w="817" w:type="dxa"/>
        <w:tblBorders>
          <w:top w:val="single" w:sz="4" w:space="0" w:color="auto"/>
          <w:bottom w:val="single" w:sz="4" w:space="0" w:color="auto"/>
          <w:insideH w:val="single" w:sz="4" w:space="0" w:color="auto"/>
          <w:insideV w:val="single" w:sz="48" w:space="0" w:color="FFFFFF"/>
        </w:tblBorders>
        <w:tblLook w:val="01E0"/>
      </w:tblPr>
      <w:tblGrid>
        <w:gridCol w:w="2552"/>
        <w:gridCol w:w="1417"/>
        <w:gridCol w:w="1701"/>
        <w:gridCol w:w="1384"/>
        <w:gridCol w:w="1468"/>
      </w:tblGrid>
      <w:tr w:rsidR="007235EF" w:rsidTr="00053EDC">
        <w:trPr>
          <w:cantSplit/>
        </w:trPr>
        <w:tc>
          <w:tcPr>
            <w:tcW w:w="2552" w:type="dxa"/>
            <w:tcBorders>
              <w:bottom w:val="single" w:sz="4" w:space="0" w:color="auto"/>
            </w:tcBorders>
            <w:shd w:val="clear" w:color="auto" w:fill="DBE5F1"/>
          </w:tcPr>
          <w:p w:rsidR="007235EF" w:rsidRDefault="007235EF" w:rsidP="007235EF">
            <w:pPr>
              <w:pStyle w:val="TableParagraph"/>
              <w:spacing w:before="40"/>
              <w:ind w:left="102"/>
            </w:pPr>
            <w:r w:rsidRPr="00280172">
              <w:rPr>
                <w:rFonts w:ascii="Arial"/>
                <w:spacing w:val="-1"/>
              </w:rPr>
              <w:t>Group</w:t>
            </w:r>
          </w:p>
        </w:tc>
        <w:tc>
          <w:tcPr>
            <w:tcW w:w="1417" w:type="dxa"/>
            <w:tcBorders>
              <w:bottom w:val="single" w:sz="4" w:space="0" w:color="auto"/>
            </w:tcBorders>
            <w:shd w:val="clear" w:color="auto" w:fill="DBE5F1"/>
          </w:tcPr>
          <w:p w:rsidR="007235EF" w:rsidRDefault="007235EF" w:rsidP="007235EF">
            <w:pPr>
              <w:pStyle w:val="TableHeading"/>
              <w:jc w:val="center"/>
            </w:pPr>
            <w:r>
              <w:t>2009-0</w:t>
            </w:r>
          </w:p>
        </w:tc>
        <w:tc>
          <w:tcPr>
            <w:tcW w:w="1701" w:type="dxa"/>
            <w:tcBorders>
              <w:bottom w:val="single" w:sz="4" w:space="0" w:color="auto"/>
            </w:tcBorders>
            <w:shd w:val="clear" w:color="auto" w:fill="DBE5F1"/>
          </w:tcPr>
          <w:p w:rsidR="007235EF" w:rsidRDefault="007235EF" w:rsidP="007235EF">
            <w:pPr>
              <w:pStyle w:val="TableHeading"/>
              <w:jc w:val="center"/>
            </w:pPr>
            <w:r>
              <w:t>2010-11</w:t>
            </w:r>
          </w:p>
        </w:tc>
        <w:tc>
          <w:tcPr>
            <w:tcW w:w="1384" w:type="dxa"/>
            <w:tcBorders>
              <w:bottom w:val="single" w:sz="4" w:space="0" w:color="auto"/>
            </w:tcBorders>
            <w:shd w:val="clear" w:color="auto" w:fill="DBE5F1"/>
          </w:tcPr>
          <w:p w:rsidR="007235EF" w:rsidRDefault="007235EF" w:rsidP="007235EF">
            <w:pPr>
              <w:pStyle w:val="TableHeading"/>
              <w:jc w:val="center"/>
            </w:pPr>
            <w:r>
              <w:t>2011-12</w:t>
            </w:r>
          </w:p>
        </w:tc>
        <w:tc>
          <w:tcPr>
            <w:tcW w:w="1468" w:type="dxa"/>
            <w:tcBorders>
              <w:bottom w:val="single" w:sz="4" w:space="0" w:color="auto"/>
            </w:tcBorders>
            <w:shd w:val="clear" w:color="auto" w:fill="DBE5F1"/>
          </w:tcPr>
          <w:p w:rsidR="007235EF" w:rsidRDefault="007235EF" w:rsidP="007235EF">
            <w:pPr>
              <w:pStyle w:val="TableHeading"/>
              <w:jc w:val="center"/>
            </w:pPr>
            <w:r>
              <w:t>2012-13</w:t>
            </w:r>
          </w:p>
        </w:tc>
      </w:tr>
      <w:tr w:rsidR="007235EF" w:rsidTr="001C4422">
        <w:trPr>
          <w:cantSplit/>
        </w:trPr>
        <w:tc>
          <w:tcPr>
            <w:tcW w:w="2552" w:type="dxa"/>
            <w:shd w:val="clear" w:color="auto" w:fill="C6D9F1"/>
            <w:vAlign w:val="center"/>
          </w:tcPr>
          <w:p w:rsidR="007235EF" w:rsidRDefault="007235EF" w:rsidP="007235EF">
            <w:pPr>
              <w:pStyle w:val="TableParagraph"/>
              <w:spacing w:line="250" w:lineRule="exact"/>
              <w:ind w:left="102"/>
              <w:rPr>
                <w:rFonts w:ascii="Arial"/>
                <w:spacing w:val="-1"/>
              </w:rPr>
            </w:pPr>
          </w:p>
          <w:p w:rsidR="007235EF" w:rsidRDefault="007235EF" w:rsidP="007235EF">
            <w:pPr>
              <w:pStyle w:val="TableParagraph"/>
              <w:spacing w:line="250" w:lineRule="exact"/>
              <w:ind w:left="102"/>
              <w:rPr>
                <w:rFonts w:ascii="Arial"/>
                <w:spacing w:val="-1"/>
              </w:rPr>
            </w:pPr>
            <w:r>
              <w:rPr>
                <w:rFonts w:ascii="Arial"/>
                <w:spacing w:val="-1"/>
              </w:rPr>
              <w:t>Indigenous</w:t>
            </w:r>
            <w:r>
              <w:rPr>
                <w:rFonts w:ascii="Arial"/>
                <w:spacing w:val="-2"/>
              </w:rPr>
              <w:t xml:space="preserve"> </w:t>
            </w:r>
            <w:r>
              <w:rPr>
                <w:rFonts w:ascii="Arial"/>
                <w:spacing w:val="-1"/>
              </w:rPr>
              <w:t>Identified</w:t>
            </w:r>
            <w:r>
              <w:rPr>
                <w:rFonts w:ascii="Arial"/>
              </w:rPr>
              <w:t xml:space="preserve"> </w:t>
            </w:r>
            <w:r>
              <w:rPr>
                <w:rFonts w:ascii="Arial"/>
                <w:spacing w:val="-2"/>
              </w:rPr>
              <w:t>Staff</w:t>
            </w:r>
            <w:r>
              <w:rPr>
                <w:rFonts w:ascii="Arial"/>
                <w:spacing w:val="2"/>
              </w:rPr>
              <w:t xml:space="preserve"> </w:t>
            </w:r>
            <w:r>
              <w:rPr>
                <w:rFonts w:ascii="Arial"/>
                <w:spacing w:val="-1"/>
              </w:rPr>
              <w:t>Separations</w:t>
            </w:r>
          </w:p>
          <w:p w:rsidR="007235EF" w:rsidRDefault="007235EF" w:rsidP="007235EF">
            <w:pPr>
              <w:pStyle w:val="TableParagraph"/>
              <w:spacing w:line="250" w:lineRule="exact"/>
              <w:ind w:left="102"/>
              <w:rPr>
                <w:rFonts w:ascii="Arial" w:eastAsia="Arial" w:hAnsi="Arial" w:cs="Arial"/>
              </w:rPr>
            </w:pPr>
          </w:p>
        </w:tc>
        <w:tc>
          <w:tcPr>
            <w:tcW w:w="1417" w:type="dxa"/>
            <w:shd w:val="clear" w:color="auto" w:fill="C6D9F1"/>
            <w:vAlign w:val="center"/>
          </w:tcPr>
          <w:p w:rsidR="007235EF" w:rsidRDefault="007235EF" w:rsidP="007235EF">
            <w:pPr>
              <w:pStyle w:val="TableParagraph"/>
              <w:spacing w:line="250" w:lineRule="exact"/>
              <w:ind w:left="102"/>
              <w:jc w:val="right"/>
              <w:rPr>
                <w:rFonts w:ascii="Arial" w:eastAsia="Arial" w:hAnsi="Arial" w:cs="Arial"/>
              </w:rPr>
            </w:pPr>
            <w:r>
              <w:rPr>
                <w:rFonts w:ascii="Arial"/>
                <w:spacing w:val="-1"/>
              </w:rPr>
              <w:t>16</w:t>
            </w:r>
          </w:p>
        </w:tc>
        <w:tc>
          <w:tcPr>
            <w:tcW w:w="1701" w:type="dxa"/>
            <w:shd w:val="clear" w:color="auto" w:fill="C6D9F1"/>
            <w:vAlign w:val="center"/>
          </w:tcPr>
          <w:p w:rsidR="007235EF" w:rsidRDefault="007235EF" w:rsidP="007235EF">
            <w:pPr>
              <w:pStyle w:val="TableParagraph"/>
              <w:spacing w:line="250" w:lineRule="exact"/>
              <w:ind w:left="102"/>
              <w:jc w:val="right"/>
              <w:rPr>
                <w:rFonts w:ascii="Arial" w:eastAsia="Arial" w:hAnsi="Arial" w:cs="Arial"/>
              </w:rPr>
            </w:pPr>
            <w:r>
              <w:rPr>
                <w:rFonts w:ascii="Arial"/>
                <w:spacing w:val="-1"/>
              </w:rPr>
              <w:t>16</w:t>
            </w:r>
          </w:p>
        </w:tc>
        <w:tc>
          <w:tcPr>
            <w:tcW w:w="1384" w:type="dxa"/>
            <w:shd w:val="clear" w:color="auto" w:fill="C6D9F1"/>
            <w:vAlign w:val="center"/>
          </w:tcPr>
          <w:p w:rsidR="007235EF" w:rsidRDefault="007235EF" w:rsidP="007235EF">
            <w:pPr>
              <w:pStyle w:val="TableParagraph"/>
              <w:spacing w:line="250" w:lineRule="exact"/>
              <w:ind w:left="102"/>
              <w:jc w:val="right"/>
              <w:rPr>
                <w:rFonts w:ascii="Arial" w:eastAsia="Arial" w:hAnsi="Arial" w:cs="Arial"/>
              </w:rPr>
            </w:pPr>
            <w:r>
              <w:rPr>
                <w:rFonts w:ascii="Arial"/>
                <w:spacing w:val="-1"/>
              </w:rPr>
              <w:t>24</w:t>
            </w:r>
          </w:p>
        </w:tc>
        <w:tc>
          <w:tcPr>
            <w:tcW w:w="1468" w:type="dxa"/>
            <w:shd w:val="clear" w:color="auto" w:fill="C6D9F1"/>
            <w:vAlign w:val="center"/>
          </w:tcPr>
          <w:p w:rsidR="007235EF" w:rsidRDefault="007235EF" w:rsidP="007235EF">
            <w:pPr>
              <w:pStyle w:val="TableParagraph"/>
              <w:spacing w:line="250" w:lineRule="exact"/>
              <w:ind w:left="102"/>
              <w:jc w:val="right"/>
              <w:rPr>
                <w:rFonts w:ascii="Arial" w:eastAsia="Arial" w:hAnsi="Arial" w:cs="Arial"/>
              </w:rPr>
            </w:pPr>
            <w:r>
              <w:rPr>
                <w:rFonts w:ascii="Arial"/>
                <w:spacing w:val="-1"/>
              </w:rPr>
              <w:t>30</w:t>
            </w:r>
          </w:p>
        </w:tc>
      </w:tr>
      <w:tr w:rsidR="007235EF" w:rsidTr="001C4422">
        <w:trPr>
          <w:cantSplit/>
        </w:trPr>
        <w:tc>
          <w:tcPr>
            <w:tcW w:w="2552" w:type="dxa"/>
            <w:tcBorders>
              <w:bottom w:val="single" w:sz="4" w:space="0" w:color="auto"/>
            </w:tcBorders>
            <w:shd w:val="clear" w:color="auto" w:fill="DBE5F1"/>
            <w:vAlign w:val="center"/>
          </w:tcPr>
          <w:p w:rsidR="007235EF" w:rsidRDefault="007235EF" w:rsidP="007235EF">
            <w:pPr>
              <w:pStyle w:val="TableParagraph"/>
              <w:spacing w:line="250" w:lineRule="exact"/>
              <w:ind w:left="102"/>
              <w:rPr>
                <w:rFonts w:ascii="Arial"/>
                <w:spacing w:val="-1"/>
              </w:rPr>
            </w:pPr>
          </w:p>
          <w:p w:rsidR="007235EF" w:rsidRDefault="007235EF" w:rsidP="007235EF">
            <w:pPr>
              <w:pStyle w:val="TableParagraph"/>
              <w:spacing w:line="250" w:lineRule="exact"/>
              <w:ind w:left="102"/>
              <w:rPr>
                <w:rFonts w:ascii="Arial"/>
                <w:spacing w:val="-1"/>
              </w:rPr>
            </w:pPr>
            <w:r>
              <w:rPr>
                <w:rFonts w:ascii="Arial"/>
                <w:spacing w:val="-1"/>
              </w:rPr>
              <w:t>Total Separations</w:t>
            </w:r>
          </w:p>
          <w:p w:rsidR="007235EF" w:rsidRDefault="007235EF" w:rsidP="007235EF">
            <w:pPr>
              <w:pStyle w:val="TableParagraph"/>
              <w:spacing w:line="250" w:lineRule="exact"/>
              <w:ind w:left="102"/>
              <w:rPr>
                <w:rFonts w:ascii="Arial" w:eastAsia="Arial" w:hAnsi="Arial" w:cs="Arial"/>
              </w:rPr>
            </w:pPr>
          </w:p>
        </w:tc>
        <w:tc>
          <w:tcPr>
            <w:tcW w:w="1417" w:type="dxa"/>
            <w:tcBorders>
              <w:bottom w:val="single" w:sz="4" w:space="0" w:color="auto"/>
            </w:tcBorders>
            <w:shd w:val="clear" w:color="auto" w:fill="DBE5F1"/>
            <w:vAlign w:val="center"/>
          </w:tcPr>
          <w:p w:rsidR="007235EF" w:rsidRDefault="007235EF" w:rsidP="007235EF">
            <w:pPr>
              <w:pStyle w:val="TableParagraph"/>
              <w:spacing w:line="250" w:lineRule="exact"/>
              <w:ind w:left="102"/>
              <w:jc w:val="right"/>
              <w:rPr>
                <w:rFonts w:ascii="Arial" w:eastAsia="Arial" w:hAnsi="Arial" w:cs="Arial"/>
              </w:rPr>
            </w:pPr>
            <w:r>
              <w:rPr>
                <w:rFonts w:ascii="Arial"/>
                <w:spacing w:val="-1"/>
              </w:rPr>
              <w:t>1060</w:t>
            </w:r>
          </w:p>
        </w:tc>
        <w:tc>
          <w:tcPr>
            <w:tcW w:w="1701" w:type="dxa"/>
            <w:tcBorders>
              <w:bottom w:val="single" w:sz="4" w:space="0" w:color="auto"/>
            </w:tcBorders>
            <w:shd w:val="clear" w:color="auto" w:fill="DBE5F1"/>
            <w:vAlign w:val="center"/>
          </w:tcPr>
          <w:p w:rsidR="007235EF" w:rsidRDefault="007235EF" w:rsidP="007235EF">
            <w:pPr>
              <w:pStyle w:val="TableParagraph"/>
              <w:spacing w:line="250" w:lineRule="exact"/>
              <w:ind w:left="102"/>
              <w:jc w:val="right"/>
              <w:rPr>
                <w:rFonts w:ascii="Arial" w:eastAsia="Arial" w:hAnsi="Arial" w:cs="Arial"/>
              </w:rPr>
            </w:pPr>
            <w:r>
              <w:rPr>
                <w:rFonts w:ascii="Arial"/>
                <w:spacing w:val="-1"/>
              </w:rPr>
              <w:t>1399</w:t>
            </w:r>
          </w:p>
        </w:tc>
        <w:tc>
          <w:tcPr>
            <w:tcW w:w="1384" w:type="dxa"/>
            <w:tcBorders>
              <w:bottom w:val="single" w:sz="4" w:space="0" w:color="auto"/>
            </w:tcBorders>
            <w:shd w:val="clear" w:color="auto" w:fill="DBE5F1"/>
            <w:vAlign w:val="center"/>
          </w:tcPr>
          <w:p w:rsidR="007235EF" w:rsidRDefault="007235EF" w:rsidP="007235EF">
            <w:pPr>
              <w:pStyle w:val="TableParagraph"/>
              <w:spacing w:line="250" w:lineRule="exact"/>
              <w:ind w:left="102"/>
              <w:jc w:val="right"/>
              <w:rPr>
                <w:rFonts w:ascii="Arial" w:eastAsia="Arial" w:hAnsi="Arial" w:cs="Arial"/>
              </w:rPr>
            </w:pPr>
            <w:r>
              <w:rPr>
                <w:rFonts w:ascii="Arial"/>
                <w:spacing w:val="-1"/>
              </w:rPr>
              <w:t>1323</w:t>
            </w:r>
          </w:p>
        </w:tc>
        <w:tc>
          <w:tcPr>
            <w:tcW w:w="1468" w:type="dxa"/>
            <w:tcBorders>
              <w:bottom w:val="single" w:sz="4" w:space="0" w:color="auto"/>
            </w:tcBorders>
            <w:shd w:val="clear" w:color="auto" w:fill="DBE5F1"/>
            <w:vAlign w:val="center"/>
          </w:tcPr>
          <w:p w:rsidR="007235EF" w:rsidRDefault="007235EF" w:rsidP="007235EF">
            <w:pPr>
              <w:pStyle w:val="TableParagraph"/>
              <w:spacing w:line="250" w:lineRule="exact"/>
              <w:ind w:left="102"/>
              <w:jc w:val="right"/>
              <w:rPr>
                <w:rFonts w:ascii="Arial" w:eastAsia="Arial" w:hAnsi="Arial" w:cs="Arial"/>
              </w:rPr>
            </w:pPr>
            <w:r>
              <w:rPr>
                <w:rFonts w:ascii="Arial"/>
                <w:spacing w:val="-1"/>
              </w:rPr>
              <w:t>1097</w:t>
            </w:r>
          </w:p>
        </w:tc>
      </w:tr>
      <w:tr w:rsidR="007235EF" w:rsidTr="001C4422">
        <w:trPr>
          <w:cantSplit/>
        </w:trPr>
        <w:tc>
          <w:tcPr>
            <w:tcW w:w="2552" w:type="dxa"/>
            <w:tcBorders>
              <w:bottom w:val="single" w:sz="4" w:space="0" w:color="auto"/>
            </w:tcBorders>
            <w:shd w:val="clear" w:color="auto" w:fill="C6D9F1"/>
            <w:vAlign w:val="center"/>
          </w:tcPr>
          <w:p w:rsidR="007235EF" w:rsidRDefault="007235EF" w:rsidP="007235EF">
            <w:pPr>
              <w:pStyle w:val="TableParagraph"/>
              <w:spacing w:line="250" w:lineRule="exact"/>
              <w:ind w:left="102"/>
              <w:rPr>
                <w:rFonts w:ascii="Arial"/>
                <w:spacing w:val="-1"/>
              </w:rPr>
            </w:pPr>
          </w:p>
          <w:p w:rsidR="007235EF" w:rsidRDefault="007235EF" w:rsidP="007235EF">
            <w:pPr>
              <w:pStyle w:val="TableParagraph"/>
              <w:spacing w:line="250" w:lineRule="exact"/>
              <w:ind w:left="102"/>
              <w:rPr>
                <w:rFonts w:ascii="Arial"/>
                <w:spacing w:val="-2"/>
              </w:rPr>
            </w:pPr>
            <w:r>
              <w:rPr>
                <w:rFonts w:ascii="Arial"/>
                <w:spacing w:val="-1"/>
              </w:rPr>
              <w:t>Proportion Indigenous</w:t>
            </w:r>
            <w:r>
              <w:rPr>
                <w:rFonts w:ascii="Arial"/>
                <w:spacing w:val="-2"/>
              </w:rPr>
              <w:t xml:space="preserve"> </w:t>
            </w:r>
          </w:p>
          <w:p w:rsidR="007235EF" w:rsidRDefault="007235EF" w:rsidP="007235EF">
            <w:pPr>
              <w:pStyle w:val="TableParagraph"/>
              <w:spacing w:line="250" w:lineRule="exact"/>
              <w:ind w:left="102"/>
              <w:rPr>
                <w:rFonts w:ascii="Arial"/>
                <w:spacing w:val="-1"/>
              </w:rPr>
            </w:pPr>
            <w:r>
              <w:rPr>
                <w:rFonts w:ascii="Arial"/>
                <w:spacing w:val="-1"/>
              </w:rPr>
              <w:t>(%</w:t>
            </w:r>
            <w:r>
              <w:rPr>
                <w:rFonts w:ascii="Arial"/>
                <w:spacing w:val="1"/>
              </w:rPr>
              <w:t xml:space="preserve"> </w:t>
            </w:r>
            <w:r>
              <w:rPr>
                <w:rFonts w:ascii="Arial"/>
                <w:spacing w:val="-2"/>
              </w:rPr>
              <w:t>of</w:t>
            </w:r>
            <w:r>
              <w:rPr>
                <w:rFonts w:ascii="Arial"/>
                <w:spacing w:val="-1"/>
              </w:rPr>
              <w:t xml:space="preserve"> total)</w:t>
            </w:r>
          </w:p>
          <w:p w:rsidR="007235EF" w:rsidRDefault="007235EF" w:rsidP="007235EF">
            <w:pPr>
              <w:pStyle w:val="TableParagraph"/>
              <w:spacing w:line="250" w:lineRule="exact"/>
              <w:ind w:left="102"/>
              <w:rPr>
                <w:rFonts w:ascii="Arial" w:eastAsia="Arial" w:hAnsi="Arial" w:cs="Arial"/>
              </w:rPr>
            </w:pPr>
          </w:p>
        </w:tc>
        <w:tc>
          <w:tcPr>
            <w:tcW w:w="1417" w:type="dxa"/>
            <w:tcBorders>
              <w:bottom w:val="single" w:sz="4" w:space="0" w:color="auto"/>
            </w:tcBorders>
            <w:shd w:val="clear" w:color="auto" w:fill="C6D9F1"/>
            <w:vAlign w:val="center"/>
          </w:tcPr>
          <w:p w:rsidR="007235EF" w:rsidRDefault="007235EF" w:rsidP="007235EF">
            <w:pPr>
              <w:pStyle w:val="TableParagraph"/>
              <w:spacing w:line="250" w:lineRule="exact"/>
              <w:ind w:left="102"/>
              <w:jc w:val="right"/>
              <w:rPr>
                <w:rFonts w:ascii="Arial" w:eastAsia="Arial" w:hAnsi="Arial" w:cs="Arial"/>
              </w:rPr>
            </w:pPr>
            <w:r>
              <w:rPr>
                <w:rFonts w:ascii="Arial"/>
              </w:rPr>
              <w:t>1.51%</w:t>
            </w:r>
          </w:p>
        </w:tc>
        <w:tc>
          <w:tcPr>
            <w:tcW w:w="1701" w:type="dxa"/>
            <w:tcBorders>
              <w:bottom w:val="single" w:sz="4" w:space="0" w:color="auto"/>
            </w:tcBorders>
            <w:shd w:val="clear" w:color="auto" w:fill="C6D9F1"/>
            <w:vAlign w:val="center"/>
          </w:tcPr>
          <w:p w:rsidR="007235EF" w:rsidRDefault="007235EF" w:rsidP="007235EF">
            <w:pPr>
              <w:pStyle w:val="TableParagraph"/>
              <w:spacing w:line="250" w:lineRule="exact"/>
              <w:ind w:left="102"/>
              <w:jc w:val="right"/>
              <w:rPr>
                <w:rFonts w:ascii="Arial" w:eastAsia="Arial" w:hAnsi="Arial" w:cs="Arial"/>
              </w:rPr>
            </w:pPr>
            <w:r>
              <w:rPr>
                <w:rFonts w:ascii="Arial"/>
              </w:rPr>
              <w:t>1.14%</w:t>
            </w:r>
          </w:p>
        </w:tc>
        <w:tc>
          <w:tcPr>
            <w:tcW w:w="1384" w:type="dxa"/>
            <w:tcBorders>
              <w:bottom w:val="single" w:sz="4" w:space="0" w:color="auto"/>
            </w:tcBorders>
            <w:shd w:val="clear" w:color="auto" w:fill="C6D9F1"/>
            <w:vAlign w:val="center"/>
          </w:tcPr>
          <w:p w:rsidR="007235EF" w:rsidRDefault="007235EF" w:rsidP="007235EF">
            <w:pPr>
              <w:pStyle w:val="TableParagraph"/>
              <w:spacing w:line="250" w:lineRule="exact"/>
              <w:ind w:left="102"/>
              <w:jc w:val="right"/>
              <w:rPr>
                <w:rFonts w:ascii="Arial" w:eastAsia="Arial" w:hAnsi="Arial" w:cs="Arial"/>
              </w:rPr>
            </w:pPr>
            <w:r>
              <w:rPr>
                <w:rFonts w:ascii="Arial"/>
              </w:rPr>
              <w:t>1.81%</w:t>
            </w:r>
          </w:p>
        </w:tc>
        <w:tc>
          <w:tcPr>
            <w:tcW w:w="1468" w:type="dxa"/>
            <w:tcBorders>
              <w:bottom w:val="single" w:sz="4" w:space="0" w:color="auto"/>
            </w:tcBorders>
            <w:shd w:val="clear" w:color="auto" w:fill="C6D9F1"/>
            <w:vAlign w:val="center"/>
          </w:tcPr>
          <w:p w:rsidR="007235EF" w:rsidRDefault="007235EF" w:rsidP="007235EF">
            <w:pPr>
              <w:pStyle w:val="TableParagraph"/>
              <w:spacing w:line="250" w:lineRule="exact"/>
              <w:ind w:left="102"/>
              <w:jc w:val="right"/>
              <w:rPr>
                <w:rFonts w:ascii="Arial" w:eastAsia="Arial" w:hAnsi="Arial" w:cs="Arial"/>
              </w:rPr>
            </w:pPr>
            <w:r>
              <w:rPr>
                <w:rFonts w:ascii="Arial"/>
              </w:rPr>
              <w:t>2.73%</w:t>
            </w:r>
          </w:p>
        </w:tc>
      </w:tr>
      <w:tr w:rsidR="007235EF" w:rsidTr="007235EF">
        <w:trPr>
          <w:cantSplit/>
        </w:trPr>
        <w:tc>
          <w:tcPr>
            <w:tcW w:w="8522" w:type="dxa"/>
            <w:gridSpan w:val="5"/>
            <w:tcBorders>
              <w:top w:val="single" w:sz="4" w:space="0" w:color="auto"/>
              <w:bottom w:val="nil"/>
            </w:tcBorders>
          </w:tcPr>
          <w:p w:rsidR="007235EF" w:rsidRDefault="007235EF" w:rsidP="007A55A3">
            <w:pPr>
              <w:pStyle w:val="Tabletext"/>
              <w:ind w:left="743" w:hanging="743"/>
            </w:pPr>
            <w:r>
              <w:t xml:space="preserve">Source:  </w:t>
            </w:r>
            <w:r w:rsidRPr="00F56F03">
              <w:t xml:space="preserve">ACT Public Service, </w:t>
            </w:r>
            <w:r w:rsidRPr="00F56F03">
              <w:rPr>
                <w:i/>
              </w:rPr>
              <w:t>Submission to the Standing Committee on Health, Ageing, Community and Social Services – Inquiry into ACT Public Service Aboriginal and Torres Strait Islander Employment</w:t>
            </w:r>
            <w:r w:rsidRPr="00F56F03">
              <w:t>, August</w:t>
            </w:r>
            <w:r w:rsidR="007A55A3">
              <w:t>  </w:t>
            </w:r>
            <w:r w:rsidRPr="00F56F03">
              <w:t>2013, p</w:t>
            </w:r>
            <w:r>
              <w:t>. 16</w:t>
            </w:r>
            <w:r w:rsidRPr="00F56F03">
              <w:t>.</w:t>
            </w:r>
          </w:p>
        </w:tc>
      </w:tr>
    </w:tbl>
    <w:p w:rsidR="007235EF" w:rsidRPr="00053EDC" w:rsidRDefault="007235EF" w:rsidP="007235EF">
      <w:pPr>
        <w:pStyle w:val="Bodytext"/>
      </w:pPr>
      <w:r>
        <w:t>The Committee’s view is that the increase in the number and percentage of Aboriginal and Torres Strait Islander employees leaving the ACTPS should be considered of concern if the reasons for the increase are linked to a less than satisfactory experience of working in the ACTPS</w:t>
      </w:r>
      <w:r w:rsidR="00053EDC">
        <w:t xml:space="preserve">. </w:t>
      </w:r>
      <w:r>
        <w:t xml:space="preserve"> On the other hand, if the increase </w:t>
      </w:r>
      <w:r w:rsidR="00053EDC">
        <w:t xml:space="preserve">in the attrition rate </w:t>
      </w:r>
      <w:r>
        <w:t xml:space="preserve">is due to employees </w:t>
      </w:r>
      <w:r w:rsidR="00053EDC">
        <w:t xml:space="preserve">not being dissatisfied with the ACTPS and finding career advancing </w:t>
      </w:r>
      <w:r>
        <w:t xml:space="preserve">jobs elsewhere then </w:t>
      </w:r>
      <w:r w:rsidR="00053EDC">
        <w:t xml:space="preserve">the change may </w:t>
      </w:r>
      <w:r>
        <w:t xml:space="preserve">be considered </w:t>
      </w:r>
      <w:r w:rsidR="00053EDC">
        <w:t>satisfactory.</w:t>
      </w:r>
      <w:r>
        <w:t xml:space="preserve">  </w:t>
      </w:r>
      <w:r w:rsidR="00053EDC">
        <w:t xml:space="preserve"> The </w:t>
      </w:r>
      <w:r>
        <w:t xml:space="preserve">Committee </w:t>
      </w:r>
      <w:r w:rsidR="00053EDC">
        <w:t xml:space="preserve">was told that </w:t>
      </w:r>
      <w:r>
        <w:t>the ACTPS</w:t>
      </w:r>
      <w:r w:rsidR="00053EDC">
        <w:t>’s</w:t>
      </w:r>
      <w:r>
        <w:t xml:space="preserve"> direct competitor, the Australian Public </w:t>
      </w:r>
      <w:r w:rsidRPr="00053EDC">
        <w:t xml:space="preserve">Service, pays higher salaries for equivalent job classifications and so recognises </w:t>
      </w:r>
      <w:r w:rsidR="00053EDC" w:rsidRPr="00053EDC">
        <w:t xml:space="preserve">that this </w:t>
      </w:r>
      <w:r w:rsidRPr="00053EDC">
        <w:t xml:space="preserve">may </w:t>
      </w:r>
      <w:r w:rsidR="00053EDC" w:rsidRPr="00053EDC">
        <w:t xml:space="preserve">have </w:t>
      </w:r>
      <w:r w:rsidRPr="00053EDC">
        <w:t>an impact on ACTPS employees</w:t>
      </w:r>
      <w:r w:rsidR="00053EDC" w:rsidRPr="00053EDC">
        <w:t>’</w:t>
      </w:r>
      <w:r w:rsidRPr="00053EDC">
        <w:t xml:space="preserve"> career decisions. </w:t>
      </w:r>
    </w:p>
    <w:p w:rsidR="007235EF" w:rsidRPr="00053EDC" w:rsidRDefault="007235EF" w:rsidP="007235EF">
      <w:pPr>
        <w:pStyle w:val="Bodytext"/>
      </w:pPr>
      <w:r w:rsidRPr="00053EDC">
        <w:t>In relation to this issue, the Committee notes evidence at the public hearing held on 12 December 2013 by Professor Mathew Gray, Director of the Centre for Aboriginal Economic Research at the Australian National University.   Professor Gray said:</w:t>
      </w:r>
    </w:p>
    <w:p w:rsidR="007235EF" w:rsidRDefault="007235EF" w:rsidP="007235EF">
      <w:pPr>
        <w:pStyle w:val="Quote"/>
      </w:pPr>
      <w:r>
        <w:t>If you think about your employment targets, partly you can view this as a competition: there is a pool of workers and you take from the Commonwealth or from the private sector.  In a way it is not really a valuable use of your efforts.  If you have got a job, what do you care really except if you want people to work on your programs and help with what you do? In a way, if you are talking about retention, why are you worried about retention?  Partly because you have invested in people. But if they are going onto a job somewhere else and it is a better job with another employer, it is sort of</w:t>
      </w:r>
      <w:r w:rsidR="00053EDC">
        <w:t> </w:t>
      </w:r>
      <w:r>
        <w:t xml:space="preserve">[alright]. </w:t>
      </w:r>
      <w:r>
        <w:rPr>
          <w:rStyle w:val="FootnoteReference"/>
        </w:rPr>
        <w:footnoteReference w:id="74"/>
      </w:r>
      <w:r>
        <w:t xml:space="preserve"> </w:t>
      </w:r>
    </w:p>
    <w:p w:rsidR="007235EF" w:rsidRDefault="007235EF" w:rsidP="007235EF">
      <w:pPr>
        <w:pStyle w:val="Bodytext"/>
      </w:pPr>
      <w:r>
        <w:t>The Committee notes that the ACTPS was unable to provide exit data that may explain why Aboriginal and Torres Strait Islander employees were leaving the Service and advised that the CMTD would seek more information on exit survey data from directorates.</w:t>
      </w:r>
      <w:r>
        <w:rPr>
          <w:rStyle w:val="FootnoteReference"/>
        </w:rPr>
        <w:footnoteReference w:id="75"/>
      </w:r>
      <w:r>
        <w:t xml:space="preserve">  At the public hearing held on 11 December 2013 the evidence </w:t>
      </w:r>
      <w:r w:rsidR="00053EDC">
        <w:t xml:space="preserve">presented to the Committee amounted to </w:t>
      </w:r>
      <w:r>
        <w:t xml:space="preserve">good intentions </w:t>
      </w:r>
      <w:r w:rsidR="00053EDC">
        <w:t xml:space="preserve">and </w:t>
      </w:r>
      <w:r>
        <w:t>no data.</w:t>
      </w:r>
      <w:r>
        <w:rPr>
          <w:rStyle w:val="FootnoteReference"/>
        </w:rPr>
        <w:footnoteReference w:id="76"/>
      </w:r>
      <w:r>
        <w:t xml:space="preserve">  The Committee finds this unsatisfactory several years into the life of the Employment Strategy. </w:t>
      </w:r>
    </w:p>
    <w:p w:rsidR="007235EF" w:rsidRDefault="007235EF" w:rsidP="007235EF">
      <w:pPr>
        <w:pStyle w:val="Bodytext"/>
      </w:pPr>
      <w:r>
        <w:t xml:space="preserve">The Committee also notes that the </w:t>
      </w:r>
      <w:r w:rsidR="00323080">
        <w:t xml:space="preserve">Elected Body </w:t>
      </w:r>
      <w:r>
        <w:t xml:space="preserve"> </w:t>
      </w:r>
      <w:r w:rsidR="00053EDC">
        <w:t xml:space="preserve">has indicated that it wants </w:t>
      </w:r>
      <w:r>
        <w:t>the ACTPS to produce exit surveys.</w:t>
      </w:r>
      <w:r>
        <w:rPr>
          <w:rStyle w:val="FootnoteReference"/>
        </w:rPr>
        <w:footnoteReference w:id="77"/>
      </w:r>
      <w:r>
        <w:t xml:space="preserve"> </w:t>
      </w:r>
    </w:p>
    <w:p w:rsidR="00053EDC" w:rsidRDefault="00053EDC" w:rsidP="00053EDC">
      <w:pPr>
        <w:pStyle w:val="Recommendation"/>
      </w:pPr>
      <w:bookmarkStart w:id="94" w:name="_Toc384024377"/>
      <w:bookmarkEnd w:id="94"/>
    </w:p>
    <w:p w:rsidR="00331191" w:rsidRDefault="00053EDC" w:rsidP="00053EDC">
      <w:pPr>
        <w:pStyle w:val="RecommendationText"/>
      </w:pPr>
      <w:bookmarkStart w:id="95" w:name="_Toc384024378"/>
      <w:r>
        <w:t xml:space="preserve">The Committee recommends that the </w:t>
      </w:r>
      <w:r w:rsidR="00362151">
        <w:t>AC</w:t>
      </w:r>
      <w:r w:rsidR="00331191">
        <w:t>T</w:t>
      </w:r>
      <w:r>
        <w:t xml:space="preserve"> Public Service take the necessary steps to ensure exit data relating to Aboriginal and Torres Strait Islander employees is collected and reported</w:t>
      </w:r>
      <w:r w:rsidR="00331191">
        <w:t>:</w:t>
      </w:r>
      <w:bookmarkEnd w:id="95"/>
    </w:p>
    <w:p w:rsidR="00331191" w:rsidRDefault="00053EDC" w:rsidP="00331191">
      <w:pPr>
        <w:pStyle w:val="RecommendationText"/>
        <w:numPr>
          <w:ilvl w:val="0"/>
          <w:numId w:val="0"/>
        </w:numPr>
        <w:ind w:left="992"/>
      </w:pPr>
      <w:bookmarkStart w:id="96" w:name="_Toc384024379"/>
      <w:r>
        <w:t>(a)</w:t>
      </w:r>
      <w:r w:rsidR="00081037">
        <w:t xml:space="preserve"> </w:t>
      </w:r>
      <w:r>
        <w:t xml:space="preserve"> to the ACT Aboriginal and Torres Strait Islander </w:t>
      </w:r>
      <w:r w:rsidR="00323080">
        <w:t>Elected Body</w:t>
      </w:r>
      <w:r w:rsidR="00331191">
        <w:t>;</w:t>
      </w:r>
      <w:bookmarkEnd w:id="96"/>
      <w:r>
        <w:t xml:space="preserve"> </w:t>
      </w:r>
    </w:p>
    <w:p w:rsidR="00331191" w:rsidRDefault="0003488F" w:rsidP="00331191">
      <w:pPr>
        <w:pStyle w:val="RecommendationText"/>
        <w:numPr>
          <w:ilvl w:val="0"/>
          <w:numId w:val="0"/>
        </w:numPr>
        <w:ind w:left="992"/>
      </w:pPr>
      <w:bookmarkStart w:id="97" w:name="_Toc384024380"/>
      <w:r>
        <w:t xml:space="preserve">(b) </w:t>
      </w:r>
      <w:r w:rsidR="00081037">
        <w:t xml:space="preserve"> </w:t>
      </w:r>
      <w:r w:rsidR="00053EDC">
        <w:t xml:space="preserve">in </w:t>
      </w:r>
      <w:r>
        <w:t>directorate annual reports for 2013-14</w:t>
      </w:r>
      <w:r w:rsidR="00331191">
        <w:t>;</w:t>
      </w:r>
      <w:r w:rsidR="00441E2F">
        <w:t xml:space="preserve"> and</w:t>
      </w:r>
      <w:bookmarkEnd w:id="97"/>
      <w:r w:rsidR="00441E2F">
        <w:t xml:space="preserve"> </w:t>
      </w:r>
    </w:p>
    <w:p w:rsidR="00053EDC" w:rsidRPr="00053EDC" w:rsidRDefault="00441E2F" w:rsidP="00331191">
      <w:pPr>
        <w:pStyle w:val="RecommendationText"/>
        <w:numPr>
          <w:ilvl w:val="0"/>
          <w:numId w:val="0"/>
        </w:numPr>
        <w:ind w:left="992"/>
      </w:pPr>
      <w:bookmarkStart w:id="98" w:name="_Toc384024381"/>
      <w:r>
        <w:t>(c)</w:t>
      </w:r>
      <w:r w:rsidR="00081037">
        <w:t xml:space="preserve"> </w:t>
      </w:r>
      <w:r>
        <w:t xml:space="preserve"> in annual </w:t>
      </w:r>
      <w:r w:rsidR="00331191">
        <w:t xml:space="preserve">ACT Public Service </w:t>
      </w:r>
      <w:r>
        <w:t>State of the Service reports</w:t>
      </w:r>
      <w:r w:rsidR="0003488F">
        <w:t>.</w:t>
      </w:r>
      <w:bookmarkEnd w:id="98"/>
      <w:r w:rsidR="00053EDC">
        <w:t xml:space="preserve">  </w:t>
      </w:r>
    </w:p>
    <w:p w:rsidR="007235EF" w:rsidRDefault="007235EF" w:rsidP="00D35FCB">
      <w:pPr>
        <w:pStyle w:val="Headinglevel2"/>
      </w:pPr>
      <w:bookmarkStart w:id="99" w:name="_Toc383615043"/>
      <w:r>
        <w:t xml:space="preserve">Indicator 4 – </w:t>
      </w:r>
      <w:r w:rsidR="001E7D00">
        <w:t>L</w:t>
      </w:r>
      <w:r>
        <w:t>earning and development / career</w:t>
      </w:r>
      <w:r w:rsidR="00072B13">
        <w:t> </w:t>
      </w:r>
      <w:r>
        <w:t>plans</w:t>
      </w:r>
      <w:bookmarkEnd w:id="99"/>
      <w:r>
        <w:t xml:space="preserve">  </w:t>
      </w:r>
    </w:p>
    <w:p w:rsidR="007235EF" w:rsidRDefault="007235EF" w:rsidP="007235EF">
      <w:pPr>
        <w:pStyle w:val="Bodytext"/>
      </w:pPr>
      <w:r>
        <w:t xml:space="preserve">Indicator 4 in the Employment Strategy is that, ‘All </w:t>
      </w:r>
      <w:r w:rsidRPr="0049027B">
        <w:t>Aboriginal and Torres Strait Islander employees in the ACTPS have learning and development / career plans</w:t>
      </w:r>
      <w:r>
        <w:t>’</w:t>
      </w:r>
      <w:r w:rsidRPr="0049027B">
        <w:t>.</w:t>
      </w:r>
      <w:r>
        <w:t xml:space="preserve"> The ACTPS submission states: </w:t>
      </w:r>
    </w:p>
    <w:p w:rsidR="007235EF" w:rsidRDefault="007235EF" w:rsidP="007235EF">
      <w:pPr>
        <w:pStyle w:val="Quote"/>
        <w:rPr>
          <w:sz w:val="16"/>
          <w:szCs w:val="16"/>
        </w:rPr>
      </w:pPr>
      <w:r>
        <w:t>All agencies</w:t>
      </w:r>
      <w:r>
        <w:rPr>
          <w:spacing w:val="-2"/>
        </w:rPr>
        <w:t xml:space="preserve"> </w:t>
      </w:r>
      <w:r>
        <w:t>reported on</w:t>
      </w:r>
      <w:r>
        <w:rPr>
          <w:spacing w:val="-5"/>
        </w:rPr>
        <w:t xml:space="preserve"> </w:t>
      </w:r>
      <w:r>
        <w:t>this</w:t>
      </w:r>
      <w:r>
        <w:rPr>
          <w:spacing w:val="1"/>
        </w:rPr>
        <w:t xml:space="preserve"> </w:t>
      </w:r>
      <w:r>
        <w:t xml:space="preserve">indicator </w:t>
      </w:r>
      <w:r>
        <w:rPr>
          <w:spacing w:val="-2"/>
        </w:rPr>
        <w:t>positively,</w:t>
      </w:r>
      <w:r>
        <w:rPr>
          <w:spacing w:val="2"/>
        </w:rPr>
        <w:t xml:space="preserve"> </w:t>
      </w:r>
      <w:r>
        <w:t>but</w:t>
      </w:r>
      <w:r>
        <w:rPr>
          <w:spacing w:val="2"/>
        </w:rPr>
        <w:t xml:space="preserve"> </w:t>
      </w:r>
      <w:r>
        <w:t>anecdotal evidence suggests</w:t>
      </w:r>
      <w:r>
        <w:rPr>
          <w:spacing w:val="-2"/>
        </w:rPr>
        <w:t xml:space="preserve"> </w:t>
      </w:r>
      <w:r>
        <w:t>that this</w:t>
      </w:r>
      <w:r>
        <w:rPr>
          <w:spacing w:val="1"/>
        </w:rPr>
        <w:t xml:space="preserve"> </w:t>
      </w:r>
      <w:r>
        <w:t>is</w:t>
      </w:r>
      <w:r>
        <w:rPr>
          <w:spacing w:val="79"/>
        </w:rPr>
        <w:t xml:space="preserve"> </w:t>
      </w:r>
      <w:r>
        <w:t>because nearly</w:t>
      </w:r>
      <w:r>
        <w:rPr>
          <w:spacing w:val="-2"/>
        </w:rPr>
        <w:t xml:space="preserve"> </w:t>
      </w:r>
      <w:r>
        <w:t>all performance</w:t>
      </w:r>
      <w:r>
        <w:rPr>
          <w:spacing w:val="-2"/>
        </w:rPr>
        <w:t xml:space="preserve"> </w:t>
      </w:r>
      <w:r>
        <w:t>mechanisms</w:t>
      </w:r>
      <w:r>
        <w:rPr>
          <w:spacing w:val="-2"/>
        </w:rPr>
        <w:t xml:space="preserve"> </w:t>
      </w:r>
      <w:r>
        <w:t>throughout the ACTPS</w:t>
      </w:r>
      <w:r>
        <w:rPr>
          <w:spacing w:val="-2"/>
        </w:rPr>
        <w:t xml:space="preserve"> </w:t>
      </w:r>
      <w:r>
        <w:t>require statements</w:t>
      </w:r>
      <w:r>
        <w:rPr>
          <w:spacing w:val="47"/>
        </w:rPr>
        <w:t xml:space="preserve"> </w:t>
      </w:r>
      <w:r>
        <w:t>around learning</w:t>
      </w:r>
      <w:r>
        <w:rPr>
          <w:spacing w:val="2"/>
        </w:rPr>
        <w:t xml:space="preserve"> </w:t>
      </w:r>
      <w:r>
        <w:t>and</w:t>
      </w:r>
      <w:r>
        <w:rPr>
          <w:spacing w:val="-2"/>
        </w:rPr>
        <w:t xml:space="preserve"> </w:t>
      </w:r>
      <w:r>
        <w:t>development</w:t>
      </w:r>
      <w:r>
        <w:rPr>
          <w:spacing w:val="2"/>
        </w:rPr>
        <w:t xml:space="preserve"> </w:t>
      </w:r>
      <w:r>
        <w:t>needs</w:t>
      </w:r>
      <w:r>
        <w:rPr>
          <w:spacing w:val="1"/>
        </w:rPr>
        <w:t xml:space="preserve"> </w:t>
      </w:r>
      <w:r>
        <w:t>and</w:t>
      </w:r>
      <w:r>
        <w:rPr>
          <w:spacing w:val="-2"/>
        </w:rPr>
        <w:t xml:space="preserve"> </w:t>
      </w:r>
      <w:r>
        <w:t>career</w:t>
      </w:r>
      <w:r>
        <w:rPr>
          <w:spacing w:val="1"/>
        </w:rPr>
        <w:t xml:space="preserve"> </w:t>
      </w:r>
      <w:r>
        <w:t>aspirations.</w:t>
      </w:r>
    </w:p>
    <w:p w:rsidR="007235EF" w:rsidRDefault="007235EF" w:rsidP="007235EF">
      <w:pPr>
        <w:pStyle w:val="Quote"/>
      </w:pPr>
      <w:r>
        <w:t>In order to</w:t>
      </w:r>
      <w:r>
        <w:rPr>
          <w:spacing w:val="-2"/>
        </w:rPr>
        <w:t xml:space="preserve"> </w:t>
      </w:r>
      <w:r>
        <w:t>increase</w:t>
      </w:r>
      <w:r>
        <w:rPr>
          <w:spacing w:val="-2"/>
        </w:rPr>
        <w:t xml:space="preserve"> </w:t>
      </w:r>
      <w:r>
        <w:t>the</w:t>
      </w:r>
      <w:r>
        <w:rPr>
          <w:spacing w:val="-2"/>
        </w:rPr>
        <w:t xml:space="preserve"> </w:t>
      </w:r>
      <w:r>
        <w:t>usefulness</w:t>
      </w:r>
      <w:r>
        <w:rPr>
          <w:spacing w:val="1"/>
        </w:rPr>
        <w:t xml:space="preserve"> </w:t>
      </w:r>
      <w:r>
        <w:rPr>
          <w:spacing w:val="-2"/>
        </w:rPr>
        <w:t>of</w:t>
      </w:r>
      <w:r>
        <w:t xml:space="preserve"> this</w:t>
      </w:r>
      <w:r>
        <w:rPr>
          <w:spacing w:val="1"/>
        </w:rPr>
        <w:t xml:space="preserve"> </w:t>
      </w:r>
      <w:r>
        <w:t>indicator, the</w:t>
      </w:r>
      <w:r>
        <w:rPr>
          <w:spacing w:val="-2"/>
        </w:rPr>
        <w:t xml:space="preserve"> CMTD</w:t>
      </w:r>
      <w:r>
        <w:t xml:space="preserve"> is</w:t>
      </w:r>
      <w:r>
        <w:rPr>
          <w:spacing w:val="1"/>
        </w:rPr>
        <w:t xml:space="preserve"> </w:t>
      </w:r>
      <w:r>
        <w:t>looking to</w:t>
      </w:r>
      <w:r>
        <w:rPr>
          <w:spacing w:val="-2"/>
        </w:rPr>
        <w:t xml:space="preserve"> </w:t>
      </w:r>
      <w:r>
        <w:t>do some</w:t>
      </w:r>
      <w:r>
        <w:rPr>
          <w:spacing w:val="51"/>
        </w:rPr>
        <w:t xml:space="preserve"> </w:t>
      </w:r>
      <w:r>
        <w:t>qualitative analysis</w:t>
      </w:r>
      <w:r>
        <w:rPr>
          <w:spacing w:val="1"/>
        </w:rPr>
        <w:t xml:space="preserve"> </w:t>
      </w:r>
      <w:r>
        <w:rPr>
          <w:spacing w:val="-2"/>
        </w:rPr>
        <w:t>of</w:t>
      </w:r>
      <w:r>
        <w:rPr>
          <w:spacing w:val="4"/>
        </w:rPr>
        <w:t xml:space="preserve"> </w:t>
      </w:r>
      <w:r>
        <w:t>learning and development/career plans,</w:t>
      </w:r>
      <w:r>
        <w:rPr>
          <w:spacing w:val="2"/>
        </w:rPr>
        <w:t xml:space="preserve"> </w:t>
      </w:r>
      <w:r>
        <w:t>and</w:t>
      </w:r>
      <w:r>
        <w:rPr>
          <w:spacing w:val="-2"/>
        </w:rPr>
        <w:t xml:space="preserve"> </w:t>
      </w:r>
      <w:r>
        <w:t>whether they</w:t>
      </w:r>
      <w:r>
        <w:rPr>
          <w:spacing w:val="-2"/>
        </w:rPr>
        <w:t xml:space="preserve"> </w:t>
      </w:r>
      <w:r>
        <w:t>are</w:t>
      </w:r>
      <w:r>
        <w:rPr>
          <w:spacing w:val="-2"/>
        </w:rPr>
        <w:t xml:space="preserve"> meeting</w:t>
      </w:r>
      <w:r>
        <w:rPr>
          <w:spacing w:val="61"/>
        </w:rPr>
        <w:t xml:space="preserve"> </w:t>
      </w:r>
      <w:r>
        <w:t>the needs</w:t>
      </w:r>
      <w:r>
        <w:rPr>
          <w:spacing w:val="-2"/>
        </w:rPr>
        <w:t xml:space="preserve"> of</w:t>
      </w:r>
      <w:r>
        <w:rPr>
          <w:spacing w:val="2"/>
        </w:rPr>
        <w:t xml:space="preserve"> </w:t>
      </w:r>
      <w:r>
        <w:t>Aboriginal and</w:t>
      </w:r>
      <w:r>
        <w:rPr>
          <w:spacing w:val="-2"/>
        </w:rPr>
        <w:t xml:space="preserve"> </w:t>
      </w:r>
      <w:r>
        <w:t>Torres Strait Island</w:t>
      </w:r>
      <w:r>
        <w:rPr>
          <w:spacing w:val="-2"/>
        </w:rPr>
        <w:t xml:space="preserve"> </w:t>
      </w:r>
      <w:r>
        <w:t>staff.</w:t>
      </w:r>
    </w:p>
    <w:p w:rsidR="007235EF" w:rsidRDefault="007235EF" w:rsidP="007235EF">
      <w:pPr>
        <w:pStyle w:val="Quote"/>
      </w:pPr>
      <w:r>
        <w:t>Data</w:t>
      </w:r>
      <w:r>
        <w:rPr>
          <w:spacing w:val="1"/>
        </w:rPr>
        <w:t xml:space="preserve"> </w:t>
      </w:r>
      <w:r>
        <w:t>relating to</w:t>
      </w:r>
      <w:r>
        <w:rPr>
          <w:spacing w:val="-2"/>
        </w:rPr>
        <w:t xml:space="preserve"> </w:t>
      </w:r>
      <w:r>
        <w:t>learning, development</w:t>
      </w:r>
      <w:r>
        <w:rPr>
          <w:spacing w:val="2"/>
        </w:rPr>
        <w:t xml:space="preserve"> </w:t>
      </w:r>
      <w:r>
        <w:t>and</w:t>
      </w:r>
      <w:r>
        <w:rPr>
          <w:spacing w:val="-2"/>
        </w:rPr>
        <w:t xml:space="preserve"> </w:t>
      </w:r>
      <w:r>
        <w:t>career pathways</w:t>
      </w:r>
      <w:r>
        <w:rPr>
          <w:spacing w:val="1"/>
        </w:rPr>
        <w:t xml:space="preserve"> </w:t>
      </w:r>
      <w:r>
        <w:t>to be published in the</w:t>
      </w:r>
      <w:r>
        <w:rPr>
          <w:spacing w:val="2"/>
        </w:rPr>
        <w:t xml:space="preserve"> </w:t>
      </w:r>
      <w:r>
        <w:rPr>
          <w:i/>
        </w:rPr>
        <w:t>2012-13</w:t>
      </w:r>
      <w:r>
        <w:rPr>
          <w:i/>
          <w:spacing w:val="33"/>
        </w:rPr>
        <w:t xml:space="preserve"> </w:t>
      </w:r>
      <w:r>
        <w:rPr>
          <w:i/>
        </w:rPr>
        <w:t>State</w:t>
      </w:r>
      <w:r>
        <w:rPr>
          <w:i/>
          <w:spacing w:val="1"/>
        </w:rPr>
        <w:t xml:space="preserve"> </w:t>
      </w:r>
      <w:r>
        <w:rPr>
          <w:i/>
          <w:spacing w:val="-2"/>
        </w:rPr>
        <w:t>of</w:t>
      </w:r>
      <w:r>
        <w:rPr>
          <w:i/>
        </w:rPr>
        <w:t xml:space="preserve"> the</w:t>
      </w:r>
      <w:r>
        <w:rPr>
          <w:i/>
          <w:spacing w:val="-2"/>
        </w:rPr>
        <w:t xml:space="preserve"> </w:t>
      </w:r>
      <w:r>
        <w:rPr>
          <w:i/>
        </w:rPr>
        <w:t>Service Report</w:t>
      </w:r>
      <w:r>
        <w:rPr>
          <w:i/>
          <w:spacing w:val="1"/>
        </w:rPr>
        <w:t xml:space="preserve"> </w:t>
      </w:r>
      <w:r>
        <w:t>is</w:t>
      </w:r>
      <w:r>
        <w:rPr>
          <w:spacing w:val="1"/>
        </w:rPr>
        <w:t xml:space="preserve"> </w:t>
      </w:r>
      <w:r>
        <w:t>included in Attachment A.</w:t>
      </w:r>
      <w:r>
        <w:rPr>
          <w:rStyle w:val="FootnoteReference"/>
        </w:rPr>
        <w:footnoteReference w:id="78"/>
      </w:r>
    </w:p>
    <w:p w:rsidR="007235EF" w:rsidRDefault="007235EF" w:rsidP="007235EF">
      <w:pPr>
        <w:pStyle w:val="Bodytext"/>
        <w:rPr>
          <w:rFonts w:eastAsia="Arial"/>
        </w:rPr>
      </w:pPr>
      <w:r>
        <w:rPr>
          <w:rFonts w:eastAsia="Arial"/>
        </w:rPr>
        <w:t xml:space="preserve">The Committee notes data in the </w:t>
      </w:r>
      <w:r w:rsidRPr="006A69A8">
        <w:rPr>
          <w:rFonts w:eastAsia="Arial"/>
          <w:i/>
        </w:rPr>
        <w:t>State of the Service Plan 2013</w:t>
      </w:r>
      <w:r>
        <w:rPr>
          <w:rFonts w:eastAsia="Arial"/>
        </w:rPr>
        <w:t xml:space="preserve">.  The data related to a survey of the following ACT Government agencies: </w:t>
      </w:r>
    </w:p>
    <w:p w:rsidR="007235EF" w:rsidRPr="00DB60E9" w:rsidRDefault="007235EF" w:rsidP="00A146E9">
      <w:pPr>
        <w:pStyle w:val="ListBullet"/>
      </w:pPr>
      <w:r w:rsidRPr="00DB60E9">
        <w:t xml:space="preserve">Chief Minister and Treasury Directorate; </w:t>
      </w:r>
    </w:p>
    <w:p w:rsidR="007235EF" w:rsidRPr="00DB60E9" w:rsidRDefault="007235EF" w:rsidP="00A146E9">
      <w:pPr>
        <w:pStyle w:val="ListBullet"/>
      </w:pPr>
      <w:r w:rsidRPr="00DB60E9">
        <w:t>Community Services Directorate;</w:t>
      </w:r>
    </w:p>
    <w:p w:rsidR="007235EF" w:rsidRPr="00DB60E9" w:rsidRDefault="007235EF" w:rsidP="00A146E9">
      <w:pPr>
        <w:pStyle w:val="ListBullet"/>
      </w:pPr>
      <w:r w:rsidRPr="00DB60E9">
        <w:t>Commerce and Works Directorate;</w:t>
      </w:r>
    </w:p>
    <w:p w:rsidR="007235EF" w:rsidRPr="00DB60E9" w:rsidRDefault="007235EF" w:rsidP="00A146E9">
      <w:pPr>
        <w:pStyle w:val="ListBullet"/>
      </w:pPr>
      <w:r w:rsidRPr="00DB60E9">
        <w:t>Economic Development Directorate;</w:t>
      </w:r>
    </w:p>
    <w:p w:rsidR="007235EF" w:rsidRPr="00DB60E9" w:rsidRDefault="007235EF" w:rsidP="00A146E9">
      <w:pPr>
        <w:pStyle w:val="ListBullet"/>
      </w:pPr>
      <w:r w:rsidRPr="00DB60E9">
        <w:t>Education and Training Directorate;</w:t>
      </w:r>
    </w:p>
    <w:p w:rsidR="007235EF" w:rsidRPr="00DB60E9" w:rsidRDefault="007235EF" w:rsidP="00A146E9">
      <w:pPr>
        <w:pStyle w:val="ListBullet"/>
      </w:pPr>
      <w:r w:rsidRPr="00DB60E9">
        <w:t>Environment and Sustainable Development Directorate;</w:t>
      </w:r>
    </w:p>
    <w:p w:rsidR="007235EF" w:rsidRPr="00DB60E9" w:rsidRDefault="007235EF" w:rsidP="00A146E9">
      <w:pPr>
        <w:pStyle w:val="ListBullet"/>
      </w:pPr>
      <w:r w:rsidRPr="00DB60E9">
        <w:t>Health Directorate;</w:t>
      </w:r>
    </w:p>
    <w:p w:rsidR="007235EF" w:rsidRPr="00DB60E9" w:rsidRDefault="007235EF" w:rsidP="00A146E9">
      <w:pPr>
        <w:pStyle w:val="ListBullet"/>
      </w:pPr>
      <w:r w:rsidRPr="00DB60E9">
        <w:t>Justice and Community Safety Directorate;</w:t>
      </w:r>
    </w:p>
    <w:p w:rsidR="007235EF" w:rsidRPr="00DB60E9" w:rsidRDefault="007235EF" w:rsidP="00A146E9">
      <w:pPr>
        <w:pStyle w:val="ListBullet"/>
      </w:pPr>
      <w:r w:rsidRPr="00DB60E9">
        <w:t>Territory and Municipal Services Directorate;</w:t>
      </w:r>
    </w:p>
    <w:p w:rsidR="007235EF" w:rsidRPr="00DB60E9" w:rsidRDefault="007235EF" w:rsidP="00A146E9">
      <w:pPr>
        <w:pStyle w:val="ListBullet"/>
      </w:pPr>
      <w:r w:rsidRPr="00DB60E9">
        <w:t>Auditor-General’s Office;</w:t>
      </w:r>
    </w:p>
    <w:p w:rsidR="007235EF" w:rsidRPr="00DB60E9" w:rsidRDefault="007235EF" w:rsidP="00A146E9">
      <w:pPr>
        <w:pStyle w:val="ListBullet"/>
      </w:pPr>
      <w:r w:rsidRPr="00DB60E9">
        <w:t>Calvary Public Hospital</w:t>
      </w:r>
      <w:r>
        <w:t>;</w:t>
      </w:r>
    </w:p>
    <w:p w:rsidR="007235EF" w:rsidRPr="00DB60E9" w:rsidRDefault="007235EF" w:rsidP="00A146E9">
      <w:pPr>
        <w:pStyle w:val="ListBullet"/>
      </w:pPr>
      <w:r w:rsidRPr="00DB60E9">
        <w:t>Canberra Institute of Technology;</w:t>
      </w:r>
    </w:p>
    <w:p w:rsidR="007235EF" w:rsidRPr="00DB60E9" w:rsidRDefault="007235EF" w:rsidP="00A146E9">
      <w:pPr>
        <w:pStyle w:val="ListBullet"/>
      </w:pPr>
      <w:r w:rsidRPr="00DB60E9">
        <w:t>Director Public Prosecutions; and</w:t>
      </w:r>
    </w:p>
    <w:p w:rsidR="007235EF" w:rsidRDefault="007235EF" w:rsidP="00A146E9">
      <w:pPr>
        <w:pStyle w:val="ListBullet"/>
      </w:pPr>
      <w:r w:rsidRPr="00DB60E9">
        <w:t>Office of the Legislative Assembly.</w:t>
      </w:r>
    </w:p>
    <w:p w:rsidR="007235EF" w:rsidRPr="00EE7D94" w:rsidRDefault="007235EF" w:rsidP="007235EF">
      <w:pPr>
        <w:pStyle w:val="Bodytext"/>
      </w:pPr>
      <w:r w:rsidRPr="00EE7D94">
        <w:t xml:space="preserve">Of the above 14 agencies only five (35 percent) had learning and development programs for Aboriginal and Torres Strait Islander employees.  Seven (50 percent) had career pathway plans.  </w:t>
      </w:r>
    </w:p>
    <w:p w:rsidR="007235EF" w:rsidRDefault="007235EF" w:rsidP="00EE7D94">
      <w:pPr>
        <w:pStyle w:val="Bodytext"/>
      </w:pPr>
      <w:r w:rsidRPr="00EE7D94">
        <w:t>The Committee notes</w:t>
      </w:r>
      <w:r w:rsidR="007A55A3">
        <w:t xml:space="preserve"> that the </w:t>
      </w:r>
      <w:r w:rsidRPr="00EE7D94">
        <w:rPr>
          <w:i/>
        </w:rPr>
        <w:t xml:space="preserve">State of the Service Report 2013 </w:t>
      </w:r>
      <w:r w:rsidRPr="00EE7D94">
        <w:t>does not indicate details of specific directorates and/or other agencies.  Given the number of Aboriginal and Torres Strait Islander employees in the ACTPS it is</w:t>
      </w:r>
      <w:r w:rsidR="007A55A3">
        <w:t xml:space="preserve"> a</w:t>
      </w:r>
      <w:r w:rsidRPr="00EE7D94">
        <w:t xml:space="preserve"> less than impressive outcome for the fourth year of the Employment Strategy. </w:t>
      </w:r>
    </w:p>
    <w:p w:rsidR="0003488F" w:rsidRDefault="0003488F" w:rsidP="0003488F">
      <w:pPr>
        <w:pStyle w:val="Recommendation"/>
      </w:pPr>
      <w:bookmarkStart w:id="100" w:name="_Toc384024382"/>
      <w:bookmarkEnd w:id="100"/>
    </w:p>
    <w:p w:rsidR="0003488F" w:rsidRPr="00331191" w:rsidRDefault="0003488F" w:rsidP="0003488F">
      <w:pPr>
        <w:pStyle w:val="RecommendationText"/>
      </w:pPr>
      <w:bookmarkStart w:id="101" w:name="_Toc384024383"/>
      <w:r w:rsidRPr="00331191">
        <w:t xml:space="preserve">The Committee recommends that, as a matter of priority, the </w:t>
      </w:r>
      <w:r w:rsidR="00323080" w:rsidRPr="00331191">
        <w:t>ACT Public Service</w:t>
      </w:r>
      <w:r w:rsidRPr="00331191">
        <w:t xml:space="preserve"> take steps to ensure all </w:t>
      </w:r>
      <w:r w:rsidR="00323080" w:rsidRPr="00331191">
        <w:t xml:space="preserve">ACT Public Service </w:t>
      </w:r>
      <w:r w:rsidRPr="00331191">
        <w:t>agencies have in place</w:t>
      </w:r>
      <w:r w:rsidR="000C7575">
        <w:t xml:space="preserve"> for all staff and in particular Aboriginal and Torres Strait Islander employees</w:t>
      </w:r>
      <w:r w:rsidRPr="00331191">
        <w:t xml:space="preserve"> (a) learning and development </w:t>
      </w:r>
      <w:r w:rsidR="00634DDA" w:rsidRPr="00331191">
        <w:t>plans and</w:t>
      </w:r>
      <w:r w:rsidRPr="00331191">
        <w:t xml:space="preserve"> (b) career pathway plans.</w:t>
      </w:r>
      <w:bookmarkEnd w:id="101"/>
      <w:r w:rsidRPr="00331191">
        <w:t xml:space="preserve"> </w:t>
      </w:r>
    </w:p>
    <w:p w:rsidR="007235EF" w:rsidRDefault="007235EF" w:rsidP="00D35FCB">
      <w:pPr>
        <w:pStyle w:val="Headinglevel2"/>
      </w:pPr>
      <w:bookmarkStart w:id="102" w:name="_Toc383615044"/>
      <w:r w:rsidRPr="009709E6">
        <w:t>Induction</w:t>
      </w:r>
      <w:bookmarkEnd w:id="102"/>
    </w:p>
    <w:p w:rsidR="007235EF" w:rsidRDefault="007235EF" w:rsidP="007235EF">
      <w:pPr>
        <w:pStyle w:val="Bodytext"/>
      </w:pPr>
      <w:r>
        <w:t xml:space="preserve">The ACTPS submission state that: </w:t>
      </w:r>
    </w:p>
    <w:p w:rsidR="007235EF" w:rsidRDefault="007235EF" w:rsidP="007235EF">
      <w:pPr>
        <w:pStyle w:val="Quote"/>
      </w:pPr>
      <w:r>
        <w:t>Managers</w:t>
      </w:r>
      <w:r>
        <w:rPr>
          <w:spacing w:val="1"/>
        </w:rPr>
        <w:t xml:space="preserve"> </w:t>
      </w:r>
      <w:r>
        <w:t>and</w:t>
      </w:r>
      <w:r>
        <w:rPr>
          <w:spacing w:val="-2"/>
        </w:rPr>
        <w:t xml:space="preserve"> </w:t>
      </w:r>
      <w:r>
        <w:t>supervisors receive a</w:t>
      </w:r>
      <w:r>
        <w:rPr>
          <w:spacing w:val="2"/>
        </w:rPr>
        <w:t xml:space="preserve"> </w:t>
      </w:r>
      <w:r>
        <w:t>RED</w:t>
      </w:r>
      <w:r>
        <w:rPr>
          <w:spacing w:val="-3"/>
        </w:rPr>
        <w:t xml:space="preserve"> </w:t>
      </w:r>
      <w:r>
        <w:t>framework</w:t>
      </w:r>
      <w:r>
        <w:rPr>
          <w:spacing w:val="4"/>
        </w:rPr>
        <w:t xml:space="preserve"> </w:t>
      </w:r>
      <w:r>
        <w:t>package upon</w:t>
      </w:r>
      <w:r>
        <w:rPr>
          <w:spacing w:val="-3"/>
        </w:rPr>
        <w:t xml:space="preserve"> </w:t>
      </w:r>
      <w:r>
        <w:t>appointment to</w:t>
      </w:r>
      <w:r>
        <w:rPr>
          <w:spacing w:val="-2"/>
        </w:rPr>
        <w:t xml:space="preserve"> </w:t>
      </w:r>
      <w:r>
        <w:t>the</w:t>
      </w:r>
      <w:r>
        <w:rPr>
          <w:spacing w:val="45"/>
        </w:rPr>
        <w:t xml:space="preserve"> </w:t>
      </w:r>
      <w:r>
        <w:t>ACTPS and are</w:t>
      </w:r>
      <w:r>
        <w:rPr>
          <w:spacing w:val="-2"/>
        </w:rPr>
        <w:t xml:space="preserve"> </w:t>
      </w:r>
      <w:r>
        <w:t>expected to adhere</w:t>
      </w:r>
      <w:r>
        <w:rPr>
          <w:spacing w:val="-2"/>
        </w:rPr>
        <w:t xml:space="preserve"> </w:t>
      </w:r>
      <w:r>
        <w:t>to</w:t>
      </w:r>
      <w:r>
        <w:rPr>
          <w:spacing w:val="-2"/>
        </w:rPr>
        <w:t xml:space="preserve"> </w:t>
      </w:r>
      <w:r>
        <w:t>the</w:t>
      </w:r>
      <w:r>
        <w:rPr>
          <w:spacing w:val="-2"/>
        </w:rPr>
        <w:t xml:space="preserve"> </w:t>
      </w:r>
      <w:r>
        <w:t>values</w:t>
      </w:r>
      <w:r>
        <w:rPr>
          <w:spacing w:val="1"/>
        </w:rPr>
        <w:t xml:space="preserve"> </w:t>
      </w:r>
      <w:r>
        <w:t>outlined in</w:t>
      </w:r>
      <w:r>
        <w:rPr>
          <w:spacing w:val="-2"/>
        </w:rPr>
        <w:t xml:space="preserve"> </w:t>
      </w:r>
      <w:r>
        <w:t>the RED</w:t>
      </w:r>
      <w:r>
        <w:rPr>
          <w:spacing w:val="-2"/>
        </w:rPr>
        <w:t xml:space="preserve"> </w:t>
      </w:r>
      <w:r>
        <w:t>framework</w:t>
      </w:r>
      <w:r>
        <w:rPr>
          <w:spacing w:val="3"/>
        </w:rPr>
        <w:t xml:space="preserve"> </w:t>
      </w:r>
      <w:r>
        <w:t>and</w:t>
      </w:r>
      <w:r>
        <w:rPr>
          <w:spacing w:val="-2"/>
        </w:rPr>
        <w:t xml:space="preserve"> </w:t>
      </w:r>
      <w:r>
        <w:t>the</w:t>
      </w:r>
      <w:r>
        <w:rPr>
          <w:spacing w:val="37"/>
        </w:rPr>
        <w:t xml:space="preserve"> </w:t>
      </w:r>
      <w:r w:rsidRPr="0003488F">
        <w:rPr>
          <w:i/>
        </w:rPr>
        <w:t>ACTPS Code of</w:t>
      </w:r>
      <w:r w:rsidRPr="0003488F">
        <w:rPr>
          <w:i/>
          <w:spacing w:val="2"/>
        </w:rPr>
        <w:t xml:space="preserve"> </w:t>
      </w:r>
      <w:r w:rsidRPr="0003488F">
        <w:rPr>
          <w:i/>
        </w:rPr>
        <w:t>Conduct</w:t>
      </w:r>
      <w:r w:rsidRPr="0003488F">
        <w:t>.</w:t>
      </w:r>
    </w:p>
    <w:p w:rsidR="007235EF" w:rsidRDefault="007235EF" w:rsidP="007235EF">
      <w:pPr>
        <w:pStyle w:val="Quote"/>
      </w:pPr>
      <w:r>
        <w:t>CMTD is</w:t>
      </w:r>
      <w:r>
        <w:rPr>
          <w:spacing w:val="1"/>
        </w:rPr>
        <w:t xml:space="preserve"> </w:t>
      </w:r>
      <w:r>
        <w:t>currently</w:t>
      </w:r>
      <w:r>
        <w:rPr>
          <w:spacing w:val="-2"/>
        </w:rPr>
        <w:t xml:space="preserve"> </w:t>
      </w:r>
      <w:r>
        <w:t>redeveloping</w:t>
      </w:r>
      <w:r>
        <w:rPr>
          <w:spacing w:val="2"/>
        </w:rPr>
        <w:t xml:space="preserve"> </w:t>
      </w:r>
      <w:r>
        <w:t>a whole-of-government package</w:t>
      </w:r>
      <w:r>
        <w:rPr>
          <w:spacing w:val="-4"/>
        </w:rPr>
        <w:t xml:space="preserve"> </w:t>
      </w:r>
      <w:r>
        <w:t>for</w:t>
      </w:r>
      <w:r>
        <w:rPr>
          <w:spacing w:val="1"/>
        </w:rPr>
        <w:t xml:space="preserve"> </w:t>
      </w:r>
      <w:r>
        <w:t xml:space="preserve">all </w:t>
      </w:r>
      <w:r>
        <w:rPr>
          <w:spacing w:val="-2"/>
        </w:rPr>
        <w:t>staff</w:t>
      </w:r>
      <w:r>
        <w:rPr>
          <w:spacing w:val="2"/>
        </w:rPr>
        <w:t xml:space="preserve"> </w:t>
      </w:r>
      <w:r>
        <w:t>inducted</w:t>
      </w:r>
      <w:r>
        <w:rPr>
          <w:spacing w:val="-2"/>
        </w:rPr>
        <w:t xml:space="preserve"> </w:t>
      </w:r>
      <w:r>
        <w:t>into</w:t>
      </w:r>
      <w:r>
        <w:rPr>
          <w:spacing w:val="53"/>
        </w:rPr>
        <w:t xml:space="preserve"> </w:t>
      </w:r>
      <w:r>
        <w:t xml:space="preserve">the ACTPS </w:t>
      </w:r>
      <w:r>
        <w:rPr>
          <w:spacing w:val="-2"/>
        </w:rPr>
        <w:t>which</w:t>
      </w:r>
      <w:r>
        <w:t xml:space="preserve"> will incorporate</w:t>
      </w:r>
      <w:r>
        <w:rPr>
          <w:spacing w:val="-2"/>
        </w:rPr>
        <w:t xml:space="preserve"> </w:t>
      </w:r>
      <w:r>
        <w:t>the RED framework, Learning</w:t>
      </w:r>
      <w:r>
        <w:rPr>
          <w:spacing w:val="2"/>
        </w:rPr>
        <w:t xml:space="preserve"> </w:t>
      </w:r>
      <w:r>
        <w:t>and</w:t>
      </w:r>
      <w:r>
        <w:rPr>
          <w:spacing w:val="-2"/>
        </w:rPr>
        <w:t xml:space="preserve"> </w:t>
      </w:r>
      <w:r>
        <w:t>Development calendar</w:t>
      </w:r>
      <w:r>
        <w:rPr>
          <w:spacing w:val="47"/>
        </w:rPr>
        <w:t xml:space="preserve"> </w:t>
      </w:r>
      <w:r>
        <w:rPr>
          <w:spacing w:val="-2"/>
        </w:rPr>
        <w:t>of</w:t>
      </w:r>
      <w:r>
        <w:rPr>
          <w:spacing w:val="4"/>
        </w:rPr>
        <w:t xml:space="preserve"> </w:t>
      </w:r>
      <w:r>
        <w:t>events,</w:t>
      </w:r>
      <w:r>
        <w:rPr>
          <w:spacing w:val="2"/>
        </w:rPr>
        <w:t xml:space="preserve"> </w:t>
      </w:r>
      <w:r>
        <w:t xml:space="preserve">dates </w:t>
      </w:r>
      <w:r>
        <w:rPr>
          <w:spacing w:val="-2"/>
        </w:rPr>
        <w:t>of</w:t>
      </w:r>
      <w:r>
        <w:t xml:space="preserve"> cultural significant</w:t>
      </w:r>
      <w:r>
        <w:rPr>
          <w:spacing w:val="2"/>
        </w:rPr>
        <w:t xml:space="preserve"> </w:t>
      </w:r>
      <w:r>
        <w:t>events</w:t>
      </w:r>
      <w:r>
        <w:rPr>
          <w:spacing w:val="-2"/>
        </w:rPr>
        <w:t xml:space="preserve"> </w:t>
      </w:r>
      <w:r>
        <w:t>and</w:t>
      </w:r>
      <w:r>
        <w:rPr>
          <w:spacing w:val="-2"/>
        </w:rPr>
        <w:t xml:space="preserve"> </w:t>
      </w:r>
      <w:r>
        <w:t>information about</w:t>
      </w:r>
      <w:r>
        <w:rPr>
          <w:spacing w:val="2"/>
        </w:rPr>
        <w:t xml:space="preserve"> </w:t>
      </w:r>
      <w:r>
        <w:t>cultural leave.</w:t>
      </w:r>
    </w:p>
    <w:p w:rsidR="007235EF" w:rsidRDefault="007235EF" w:rsidP="007235EF">
      <w:pPr>
        <w:spacing w:before="3" w:line="160" w:lineRule="exact"/>
        <w:rPr>
          <w:sz w:val="16"/>
          <w:szCs w:val="16"/>
        </w:rPr>
      </w:pPr>
    </w:p>
    <w:p w:rsidR="007235EF" w:rsidRDefault="007235EF" w:rsidP="007235EF">
      <w:pPr>
        <w:pStyle w:val="Quote"/>
      </w:pPr>
      <w:r>
        <w:t xml:space="preserve">Furthermore, </w:t>
      </w:r>
      <w:r>
        <w:rPr>
          <w:spacing w:val="-2"/>
        </w:rPr>
        <w:t>CMTD</w:t>
      </w:r>
      <w:r>
        <w:t xml:space="preserve"> is</w:t>
      </w:r>
      <w:r>
        <w:rPr>
          <w:spacing w:val="1"/>
        </w:rPr>
        <w:t xml:space="preserve"> </w:t>
      </w:r>
      <w:r>
        <w:t>developing</w:t>
      </w:r>
      <w:r>
        <w:rPr>
          <w:spacing w:val="2"/>
        </w:rPr>
        <w:t xml:space="preserve"> </w:t>
      </w:r>
      <w:r>
        <w:t>a</w:t>
      </w:r>
      <w:r>
        <w:rPr>
          <w:spacing w:val="-2"/>
        </w:rPr>
        <w:t xml:space="preserve"> </w:t>
      </w:r>
      <w:r>
        <w:t>toolkit</w:t>
      </w:r>
      <w:r>
        <w:rPr>
          <w:spacing w:val="-3"/>
        </w:rPr>
        <w:t xml:space="preserve"> </w:t>
      </w:r>
      <w:r>
        <w:t>for managers, supervisors and</w:t>
      </w:r>
      <w:r>
        <w:rPr>
          <w:spacing w:val="-2"/>
        </w:rPr>
        <w:t xml:space="preserve"> </w:t>
      </w:r>
      <w:r>
        <w:t>colleagues</w:t>
      </w:r>
      <w:r>
        <w:rPr>
          <w:spacing w:val="1"/>
        </w:rPr>
        <w:t xml:space="preserve"> </w:t>
      </w:r>
      <w:r>
        <w:rPr>
          <w:spacing w:val="-2"/>
        </w:rPr>
        <w:t>of</w:t>
      </w:r>
      <w:r>
        <w:rPr>
          <w:spacing w:val="59"/>
        </w:rPr>
        <w:t xml:space="preserve"> </w:t>
      </w:r>
      <w:r>
        <w:t>Aboriginal and</w:t>
      </w:r>
      <w:r>
        <w:rPr>
          <w:spacing w:val="-2"/>
        </w:rPr>
        <w:t xml:space="preserve"> </w:t>
      </w:r>
      <w:r>
        <w:t>Torres</w:t>
      </w:r>
      <w:r>
        <w:rPr>
          <w:spacing w:val="1"/>
        </w:rPr>
        <w:t xml:space="preserve"> </w:t>
      </w:r>
      <w:r>
        <w:rPr>
          <w:spacing w:val="-2"/>
        </w:rPr>
        <w:t>Strait</w:t>
      </w:r>
      <w:r>
        <w:rPr>
          <w:spacing w:val="2"/>
        </w:rPr>
        <w:t xml:space="preserve"> </w:t>
      </w:r>
      <w:r>
        <w:t>Islander</w:t>
      </w:r>
      <w:r>
        <w:rPr>
          <w:spacing w:val="4"/>
        </w:rPr>
        <w:t xml:space="preserve"> </w:t>
      </w:r>
      <w:r>
        <w:rPr>
          <w:spacing w:val="-2"/>
        </w:rPr>
        <w:t>staff</w:t>
      </w:r>
      <w:r>
        <w:rPr>
          <w:spacing w:val="2"/>
        </w:rPr>
        <w:t xml:space="preserve"> </w:t>
      </w:r>
      <w:r>
        <w:rPr>
          <w:spacing w:val="-2"/>
        </w:rPr>
        <w:t>which</w:t>
      </w:r>
      <w:r>
        <w:t xml:space="preserve"> aims</w:t>
      </w:r>
      <w:r>
        <w:rPr>
          <w:spacing w:val="-2"/>
        </w:rPr>
        <w:t xml:space="preserve"> </w:t>
      </w:r>
      <w:r>
        <w:t>to</w:t>
      </w:r>
      <w:r>
        <w:rPr>
          <w:spacing w:val="2"/>
        </w:rPr>
        <w:t xml:space="preserve"> </w:t>
      </w:r>
      <w:r>
        <w:rPr>
          <w:spacing w:val="-2"/>
        </w:rPr>
        <w:t>provide</w:t>
      </w:r>
      <w:r>
        <w:t xml:space="preserve"> information and assistance</w:t>
      </w:r>
      <w:r>
        <w:rPr>
          <w:spacing w:val="75"/>
        </w:rPr>
        <w:t xml:space="preserve"> </w:t>
      </w:r>
      <w:r>
        <w:t>to support the</w:t>
      </w:r>
      <w:r>
        <w:rPr>
          <w:spacing w:val="-2"/>
        </w:rPr>
        <w:t xml:space="preserve"> </w:t>
      </w:r>
      <w:r>
        <w:t>attraction</w:t>
      </w:r>
      <w:r>
        <w:rPr>
          <w:spacing w:val="-2"/>
        </w:rPr>
        <w:t xml:space="preserve"> </w:t>
      </w:r>
      <w:r>
        <w:t xml:space="preserve">and retention </w:t>
      </w:r>
      <w:r>
        <w:rPr>
          <w:spacing w:val="-2"/>
        </w:rPr>
        <w:t>of</w:t>
      </w:r>
      <w:r>
        <w:rPr>
          <w:spacing w:val="4"/>
        </w:rPr>
        <w:t xml:space="preserve"> </w:t>
      </w:r>
      <w:r>
        <w:rPr>
          <w:spacing w:val="-2"/>
        </w:rPr>
        <w:t>Aboriginal</w:t>
      </w:r>
      <w:r>
        <w:t xml:space="preserve"> and</w:t>
      </w:r>
      <w:r>
        <w:rPr>
          <w:spacing w:val="-2"/>
        </w:rPr>
        <w:t xml:space="preserve"> </w:t>
      </w:r>
      <w:r>
        <w:t>Torres Strait</w:t>
      </w:r>
      <w:r>
        <w:rPr>
          <w:spacing w:val="-3"/>
        </w:rPr>
        <w:t xml:space="preserve"> </w:t>
      </w:r>
      <w:r>
        <w:t>Islander</w:t>
      </w:r>
      <w:r>
        <w:rPr>
          <w:spacing w:val="4"/>
        </w:rPr>
        <w:t xml:space="preserve"> </w:t>
      </w:r>
      <w:r>
        <w:t>people in</w:t>
      </w:r>
      <w:r>
        <w:rPr>
          <w:spacing w:val="-2"/>
        </w:rPr>
        <w:t xml:space="preserve"> </w:t>
      </w:r>
      <w:r>
        <w:t>the ACTPS.</w:t>
      </w:r>
      <w:r>
        <w:rPr>
          <w:rStyle w:val="FootnoteReference"/>
        </w:rPr>
        <w:footnoteReference w:id="79"/>
      </w:r>
    </w:p>
    <w:p w:rsidR="007235EF" w:rsidRPr="00D14C9F" w:rsidRDefault="007235EF" w:rsidP="007235EF">
      <w:pPr>
        <w:pStyle w:val="Bodytext"/>
        <w:rPr>
          <w:lang w:val="en-US"/>
        </w:rPr>
      </w:pPr>
      <w:r>
        <w:t xml:space="preserve">At the public hearing on 11 December 2013, the Acting Head of Service, Mr Gary Byles told the Committee: </w:t>
      </w:r>
    </w:p>
    <w:p w:rsidR="007235EF" w:rsidRPr="00D14C9F" w:rsidRDefault="007235EF" w:rsidP="007235EF">
      <w:pPr>
        <w:pStyle w:val="Quote"/>
        <w:rPr>
          <w:lang w:val="en-US"/>
        </w:rPr>
      </w:pPr>
      <w:r>
        <w:rPr>
          <w:lang w:val="en-US"/>
        </w:rPr>
        <w:t>A</w:t>
      </w:r>
      <w:r w:rsidRPr="00D14C9F">
        <w:rPr>
          <w:lang w:val="en-US"/>
        </w:rPr>
        <w:t>t induction training, sometimes for new people and sometimes for not so new people, there is normally a session on cultural awareness. People come in the door to join an organisation. That forms part of the induction training.</w:t>
      </w:r>
      <w:r>
        <w:rPr>
          <w:rStyle w:val="FootnoteReference"/>
          <w:lang w:val="en-US"/>
        </w:rPr>
        <w:footnoteReference w:id="80"/>
      </w:r>
    </w:p>
    <w:p w:rsidR="007235EF" w:rsidRDefault="007235EF" w:rsidP="007235EF">
      <w:pPr>
        <w:pStyle w:val="Bodytext"/>
      </w:pPr>
      <w:r>
        <w:t xml:space="preserve">The Committee notes that the ACTPS runs induction programs for all new staff that include some cultural awareness as part of exposure to the RED Framework and that is has some plans to develop other materials but this falls well short of what may be considered best practice for the Induction of new Indigenous staff.  </w:t>
      </w:r>
      <w:r w:rsidR="00013E35">
        <w:t>In this regard, t</w:t>
      </w:r>
      <w:r>
        <w:t xml:space="preserve">he Committee cites the example of the University of Sydney given by Dr Kate Barnett: </w:t>
      </w:r>
    </w:p>
    <w:p w:rsidR="007235EF" w:rsidRDefault="007235EF" w:rsidP="007235EF">
      <w:pPr>
        <w:pStyle w:val="Quote"/>
        <w:rPr>
          <w:spacing w:val="-1"/>
        </w:rPr>
      </w:pPr>
      <w:r>
        <w:rPr>
          <w:spacing w:val="-2"/>
        </w:rPr>
        <w:t>It</w:t>
      </w:r>
      <w:r>
        <w:rPr>
          <w:spacing w:val="9"/>
        </w:rPr>
        <w:t xml:space="preserve"> </w:t>
      </w:r>
      <w:r>
        <w:rPr>
          <w:spacing w:val="-1"/>
        </w:rPr>
        <w:t>involves</w:t>
      </w:r>
      <w:r>
        <w:rPr>
          <w:spacing w:val="7"/>
        </w:rPr>
        <w:t xml:space="preserve"> </w:t>
      </w:r>
      <w:r>
        <w:rPr>
          <w:spacing w:val="-1"/>
        </w:rPr>
        <w:t>appropriate</w:t>
      </w:r>
      <w:r>
        <w:rPr>
          <w:spacing w:val="8"/>
        </w:rPr>
        <w:t xml:space="preserve"> </w:t>
      </w:r>
      <w:r>
        <w:t>induction.</w:t>
      </w:r>
      <w:r>
        <w:rPr>
          <w:spacing w:val="6"/>
        </w:rPr>
        <w:t xml:space="preserve"> </w:t>
      </w:r>
      <w:r>
        <w:rPr>
          <w:spacing w:val="-1"/>
        </w:rPr>
        <w:t>Once</w:t>
      </w:r>
      <w:r>
        <w:rPr>
          <w:spacing w:val="8"/>
        </w:rPr>
        <w:t xml:space="preserve"> </w:t>
      </w:r>
      <w:r>
        <w:t>the</w:t>
      </w:r>
      <w:r>
        <w:rPr>
          <w:spacing w:val="8"/>
        </w:rPr>
        <w:t xml:space="preserve"> </w:t>
      </w:r>
      <w:r>
        <w:rPr>
          <w:spacing w:val="-1"/>
        </w:rPr>
        <w:t>person</w:t>
      </w:r>
      <w:r>
        <w:rPr>
          <w:spacing w:val="8"/>
        </w:rPr>
        <w:t xml:space="preserve"> </w:t>
      </w:r>
      <w:r>
        <w:rPr>
          <w:spacing w:val="-1"/>
        </w:rPr>
        <w:t>has</w:t>
      </w:r>
      <w:r>
        <w:rPr>
          <w:spacing w:val="7"/>
        </w:rPr>
        <w:t xml:space="preserve"> </w:t>
      </w:r>
      <w:r>
        <w:t>been</w:t>
      </w:r>
      <w:r>
        <w:rPr>
          <w:spacing w:val="9"/>
        </w:rPr>
        <w:t xml:space="preserve"> </w:t>
      </w:r>
      <w:r>
        <w:t>selected,</w:t>
      </w:r>
      <w:r>
        <w:rPr>
          <w:spacing w:val="6"/>
        </w:rPr>
        <w:t xml:space="preserve"> </w:t>
      </w:r>
      <w:r>
        <w:rPr>
          <w:spacing w:val="1"/>
        </w:rPr>
        <w:t>they</w:t>
      </w:r>
      <w:r>
        <w:rPr>
          <w:spacing w:val="6"/>
        </w:rPr>
        <w:t xml:space="preserve"> </w:t>
      </w:r>
      <w:r>
        <w:rPr>
          <w:spacing w:val="-1"/>
        </w:rPr>
        <w:t>are</w:t>
      </w:r>
      <w:r>
        <w:rPr>
          <w:spacing w:val="7"/>
        </w:rPr>
        <w:t xml:space="preserve"> </w:t>
      </w:r>
      <w:r>
        <w:t>not</w:t>
      </w:r>
      <w:r>
        <w:rPr>
          <w:spacing w:val="7"/>
        </w:rPr>
        <w:t xml:space="preserve"> </w:t>
      </w:r>
      <w:r>
        <w:t>just</w:t>
      </w:r>
      <w:r>
        <w:rPr>
          <w:spacing w:val="67"/>
        </w:rPr>
        <w:t xml:space="preserve"> </w:t>
      </w:r>
      <w:r>
        <w:rPr>
          <w:spacing w:val="-1"/>
        </w:rPr>
        <w:t>dropped</w:t>
      </w:r>
      <w:r>
        <w:rPr>
          <w:spacing w:val="6"/>
        </w:rPr>
        <w:t xml:space="preserve"> </w:t>
      </w:r>
      <w:r>
        <w:t>in</w:t>
      </w:r>
      <w:r>
        <w:rPr>
          <w:spacing w:val="7"/>
        </w:rPr>
        <w:t xml:space="preserve"> </w:t>
      </w:r>
      <w:r>
        <w:t>on</w:t>
      </w:r>
      <w:r>
        <w:rPr>
          <w:spacing w:val="6"/>
        </w:rPr>
        <w:t xml:space="preserve"> </w:t>
      </w:r>
      <w:r>
        <w:t>the</w:t>
      </w:r>
      <w:r>
        <w:rPr>
          <w:spacing w:val="8"/>
        </w:rPr>
        <w:t xml:space="preserve"> </w:t>
      </w:r>
      <w:r>
        <w:rPr>
          <w:spacing w:val="-1"/>
        </w:rPr>
        <w:t>first</w:t>
      </w:r>
      <w:r>
        <w:rPr>
          <w:spacing w:val="7"/>
        </w:rPr>
        <w:t xml:space="preserve"> </w:t>
      </w:r>
      <w:r>
        <w:rPr>
          <w:spacing w:val="1"/>
        </w:rPr>
        <w:t>day</w:t>
      </w:r>
      <w:r>
        <w:rPr>
          <w:spacing w:val="4"/>
        </w:rPr>
        <w:t xml:space="preserve"> </w:t>
      </w:r>
      <w:r>
        <w:rPr>
          <w:spacing w:val="-1"/>
        </w:rPr>
        <w:t>and</w:t>
      </w:r>
      <w:r>
        <w:rPr>
          <w:spacing w:val="6"/>
        </w:rPr>
        <w:t xml:space="preserve"> </w:t>
      </w:r>
      <w:r>
        <w:t>it</w:t>
      </w:r>
      <w:r>
        <w:rPr>
          <w:spacing w:val="7"/>
        </w:rPr>
        <w:t xml:space="preserve"> </w:t>
      </w:r>
      <w:r>
        <w:t>is</w:t>
      </w:r>
      <w:r>
        <w:rPr>
          <w:spacing w:val="7"/>
        </w:rPr>
        <w:t xml:space="preserve"> </w:t>
      </w:r>
      <w:r>
        <w:t>like</w:t>
      </w:r>
      <w:r>
        <w:rPr>
          <w:spacing w:val="6"/>
        </w:rPr>
        <w:t xml:space="preserve"> </w:t>
      </w:r>
      <w:r>
        <w:t>a</w:t>
      </w:r>
      <w:r>
        <w:rPr>
          <w:spacing w:val="6"/>
        </w:rPr>
        <w:t xml:space="preserve"> </w:t>
      </w:r>
      <w:r>
        <w:t>survival</w:t>
      </w:r>
      <w:r>
        <w:rPr>
          <w:spacing w:val="7"/>
        </w:rPr>
        <w:t xml:space="preserve"> </w:t>
      </w:r>
      <w:r>
        <w:rPr>
          <w:spacing w:val="-1"/>
        </w:rPr>
        <w:t>process.</w:t>
      </w:r>
      <w:r>
        <w:rPr>
          <w:spacing w:val="7"/>
        </w:rPr>
        <w:t xml:space="preserve"> </w:t>
      </w:r>
      <w:r>
        <w:t>There</w:t>
      </w:r>
      <w:r>
        <w:rPr>
          <w:spacing w:val="5"/>
        </w:rPr>
        <w:t xml:space="preserve"> </w:t>
      </w:r>
      <w:r>
        <w:t>is</w:t>
      </w:r>
      <w:r>
        <w:rPr>
          <w:spacing w:val="7"/>
        </w:rPr>
        <w:t xml:space="preserve"> </w:t>
      </w:r>
      <w:r>
        <w:t>quite</w:t>
      </w:r>
      <w:r>
        <w:rPr>
          <w:spacing w:val="8"/>
        </w:rPr>
        <w:t xml:space="preserve"> </w:t>
      </w:r>
      <w:r>
        <w:t>a</w:t>
      </w:r>
      <w:r>
        <w:rPr>
          <w:spacing w:val="6"/>
        </w:rPr>
        <w:t xml:space="preserve"> </w:t>
      </w:r>
      <w:r>
        <w:rPr>
          <w:spacing w:val="-1"/>
        </w:rPr>
        <w:t>structured</w:t>
      </w:r>
      <w:r>
        <w:rPr>
          <w:spacing w:val="51"/>
        </w:rPr>
        <w:t xml:space="preserve"> </w:t>
      </w:r>
      <w:r>
        <w:t>induction</w:t>
      </w:r>
      <w:r>
        <w:rPr>
          <w:spacing w:val="55"/>
        </w:rPr>
        <w:t xml:space="preserve"> </w:t>
      </w:r>
      <w:r>
        <w:rPr>
          <w:spacing w:val="-1"/>
        </w:rPr>
        <w:t>process,</w:t>
      </w:r>
      <w:r>
        <w:rPr>
          <w:spacing w:val="55"/>
        </w:rPr>
        <w:t xml:space="preserve"> </w:t>
      </w:r>
      <w:r>
        <w:rPr>
          <w:spacing w:val="-1"/>
        </w:rPr>
        <w:t>and</w:t>
      </w:r>
      <w:r>
        <w:rPr>
          <w:spacing w:val="57"/>
        </w:rPr>
        <w:t xml:space="preserve"> </w:t>
      </w:r>
      <w:r>
        <w:rPr>
          <w:spacing w:val="-1"/>
        </w:rPr>
        <w:t>managers</w:t>
      </w:r>
      <w:r>
        <w:rPr>
          <w:spacing w:val="54"/>
        </w:rPr>
        <w:t xml:space="preserve"> </w:t>
      </w:r>
      <w:r>
        <w:t>are</w:t>
      </w:r>
      <w:r>
        <w:rPr>
          <w:spacing w:val="53"/>
        </w:rPr>
        <w:t xml:space="preserve"> </w:t>
      </w:r>
      <w:r>
        <w:rPr>
          <w:spacing w:val="-1"/>
        </w:rPr>
        <w:t>sufficiently</w:t>
      </w:r>
      <w:r>
        <w:rPr>
          <w:spacing w:val="53"/>
        </w:rPr>
        <w:t xml:space="preserve"> </w:t>
      </w:r>
      <w:r>
        <w:t>culturally</w:t>
      </w:r>
      <w:r>
        <w:rPr>
          <w:spacing w:val="50"/>
        </w:rPr>
        <w:t xml:space="preserve"> </w:t>
      </w:r>
      <w:r>
        <w:rPr>
          <w:spacing w:val="-1"/>
        </w:rPr>
        <w:t>sensitive</w:t>
      </w:r>
      <w:r>
        <w:rPr>
          <w:spacing w:val="54"/>
        </w:rPr>
        <w:t xml:space="preserve"> </w:t>
      </w:r>
      <w:r>
        <w:t>to</w:t>
      </w:r>
      <w:r>
        <w:rPr>
          <w:spacing w:val="57"/>
        </w:rPr>
        <w:t xml:space="preserve"> </w:t>
      </w:r>
      <w:r>
        <w:t>make</w:t>
      </w:r>
      <w:r>
        <w:rPr>
          <w:spacing w:val="53"/>
        </w:rPr>
        <w:t xml:space="preserve"> </w:t>
      </w:r>
      <w:r>
        <w:t>that</w:t>
      </w:r>
      <w:r>
        <w:rPr>
          <w:spacing w:val="67"/>
        </w:rPr>
        <w:t xml:space="preserve"> </w:t>
      </w:r>
      <w:r>
        <w:t xml:space="preserve">induction </w:t>
      </w:r>
      <w:r>
        <w:rPr>
          <w:spacing w:val="-1"/>
        </w:rPr>
        <w:t>process</w:t>
      </w:r>
      <w:r>
        <w:t xml:space="preserve"> as inclusive </w:t>
      </w:r>
      <w:r>
        <w:rPr>
          <w:spacing w:val="-1"/>
        </w:rPr>
        <w:t>as</w:t>
      </w:r>
      <w:r>
        <w:t xml:space="preserve"> </w:t>
      </w:r>
      <w:r>
        <w:rPr>
          <w:spacing w:val="-1"/>
        </w:rPr>
        <w:t>possible.</w:t>
      </w:r>
    </w:p>
    <w:p w:rsidR="007235EF" w:rsidRDefault="007235EF" w:rsidP="007235EF">
      <w:pPr>
        <w:pStyle w:val="Quote"/>
      </w:pPr>
      <w:r>
        <w:t>The</w:t>
      </w:r>
      <w:r>
        <w:rPr>
          <w:spacing w:val="12"/>
        </w:rPr>
        <w:t xml:space="preserve"> </w:t>
      </w:r>
      <w:r>
        <w:t>next</w:t>
      </w:r>
      <w:r>
        <w:rPr>
          <w:spacing w:val="14"/>
        </w:rPr>
        <w:t xml:space="preserve"> </w:t>
      </w:r>
      <w:r>
        <w:t>step</w:t>
      </w:r>
      <w:r>
        <w:rPr>
          <w:spacing w:val="14"/>
        </w:rPr>
        <w:t xml:space="preserve"> </w:t>
      </w:r>
      <w:r>
        <w:t>is</w:t>
      </w:r>
      <w:r>
        <w:rPr>
          <w:spacing w:val="14"/>
        </w:rPr>
        <w:t xml:space="preserve"> </w:t>
      </w:r>
      <w:r>
        <w:rPr>
          <w:spacing w:val="-1"/>
        </w:rPr>
        <w:t>having</w:t>
      </w:r>
      <w:r>
        <w:rPr>
          <w:spacing w:val="12"/>
        </w:rPr>
        <w:t xml:space="preserve"> </w:t>
      </w:r>
      <w:r>
        <w:t>a</w:t>
      </w:r>
      <w:r>
        <w:rPr>
          <w:spacing w:val="13"/>
        </w:rPr>
        <w:t xml:space="preserve"> </w:t>
      </w:r>
      <w:r>
        <w:t>culturally</w:t>
      </w:r>
      <w:r>
        <w:rPr>
          <w:spacing w:val="6"/>
        </w:rPr>
        <w:t xml:space="preserve"> </w:t>
      </w:r>
      <w:r>
        <w:t>inclusive</w:t>
      </w:r>
      <w:r>
        <w:rPr>
          <w:spacing w:val="13"/>
        </w:rPr>
        <w:t xml:space="preserve"> </w:t>
      </w:r>
      <w:r>
        <w:rPr>
          <w:spacing w:val="-1"/>
        </w:rPr>
        <w:t>workplace</w:t>
      </w:r>
      <w:r>
        <w:rPr>
          <w:spacing w:val="13"/>
        </w:rPr>
        <w:t xml:space="preserve"> </w:t>
      </w:r>
      <w:r>
        <w:t>where</w:t>
      </w:r>
      <w:r>
        <w:rPr>
          <w:spacing w:val="12"/>
        </w:rPr>
        <w:t xml:space="preserve"> </w:t>
      </w:r>
      <w:r>
        <w:t>other,</w:t>
      </w:r>
      <w:r>
        <w:rPr>
          <w:spacing w:val="13"/>
        </w:rPr>
        <w:t xml:space="preserve"> </w:t>
      </w:r>
      <w:r>
        <w:t>non-Aboriginal</w:t>
      </w:r>
      <w:r>
        <w:rPr>
          <w:spacing w:val="41"/>
        </w:rPr>
        <w:t xml:space="preserve"> </w:t>
      </w:r>
      <w:r>
        <w:rPr>
          <w:spacing w:val="-1"/>
        </w:rPr>
        <w:t>employees</w:t>
      </w:r>
      <w:r>
        <w:rPr>
          <w:spacing w:val="16"/>
        </w:rPr>
        <w:t xml:space="preserve"> </w:t>
      </w:r>
      <w:r>
        <w:t>have</w:t>
      </w:r>
      <w:r>
        <w:rPr>
          <w:spacing w:val="15"/>
        </w:rPr>
        <w:t xml:space="preserve"> </w:t>
      </w:r>
      <w:r>
        <w:rPr>
          <w:spacing w:val="-1"/>
        </w:rPr>
        <w:t>cultural</w:t>
      </w:r>
      <w:r>
        <w:rPr>
          <w:spacing w:val="19"/>
        </w:rPr>
        <w:t xml:space="preserve"> </w:t>
      </w:r>
      <w:r>
        <w:rPr>
          <w:spacing w:val="-1"/>
        </w:rPr>
        <w:t>competence</w:t>
      </w:r>
      <w:r>
        <w:rPr>
          <w:spacing w:val="15"/>
        </w:rPr>
        <w:t xml:space="preserve"> </w:t>
      </w:r>
      <w:r>
        <w:t>training</w:t>
      </w:r>
      <w:r>
        <w:rPr>
          <w:spacing w:val="14"/>
        </w:rPr>
        <w:t xml:space="preserve"> </w:t>
      </w:r>
      <w:r>
        <w:rPr>
          <w:spacing w:val="-1"/>
        </w:rPr>
        <w:t>and,</w:t>
      </w:r>
      <w:r>
        <w:rPr>
          <w:spacing w:val="18"/>
        </w:rPr>
        <w:t xml:space="preserve"> </w:t>
      </w:r>
      <w:r>
        <w:t>in</w:t>
      </w:r>
      <w:r>
        <w:rPr>
          <w:spacing w:val="17"/>
        </w:rPr>
        <w:t xml:space="preserve"> </w:t>
      </w:r>
      <w:r>
        <w:rPr>
          <w:spacing w:val="-1"/>
        </w:rPr>
        <w:t>particular,</w:t>
      </w:r>
      <w:r>
        <w:rPr>
          <w:spacing w:val="15"/>
        </w:rPr>
        <w:t xml:space="preserve"> </w:t>
      </w:r>
      <w:r>
        <w:t>have</w:t>
      </w:r>
      <w:r>
        <w:rPr>
          <w:spacing w:val="15"/>
        </w:rPr>
        <w:t xml:space="preserve"> </w:t>
      </w:r>
      <w:r>
        <w:t>training</w:t>
      </w:r>
      <w:r>
        <w:rPr>
          <w:spacing w:val="14"/>
        </w:rPr>
        <w:t xml:space="preserve"> </w:t>
      </w:r>
      <w:r>
        <w:t>around</w:t>
      </w:r>
      <w:r>
        <w:rPr>
          <w:spacing w:val="69"/>
        </w:rPr>
        <w:t xml:space="preserve"> </w:t>
      </w:r>
      <w:r>
        <w:t>the</w:t>
      </w:r>
      <w:r>
        <w:rPr>
          <w:spacing w:val="44"/>
        </w:rPr>
        <w:t xml:space="preserve"> </w:t>
      </w:r>
      <w:r>
        <w:t>history</w:t>
      </w:r>
      <w:r>
        <w:rPr>
          <w:spacing w:val="42"/>
        </w:rPr>
        <w:t xml:space="preserve"> </w:t>
      </w:r>
      <w:r>
        <w:t>of</w:t>
      </w:r>
      <w:r>
        <w:rPr>
          <w:spacing w:val="46"/>
        </w:rPr>
        <w:t xml:space="preserve"> </w:t>
      </w:r>
      <w:r>
        <w:rPr>
          <w:spacing w:val="-1"/>
        </w:rPr>
        <w:t>Aboriginal</w:t>
      </w:r>
      <w:r>
        <w:rPr>
          <w:spacing w:val="45"/>
        </w:rPr>
        <w:t xml:space="preserve"> </w:t>
      </w:r>
      <w:r>
        <w:rPr>
          <w:spacing w:val="-1"/>
        </w:rPr>
        <w:t>people</w:t>
      </w:r>
      <w:r>
        <w:rPr>
          <w:spacing w:val="47"/>
        </w:rPr>
        <w:t xml:space="preserve"> </w:t>
      </w:r>
      <w:r>
        <w:rPr>
          <w:spacing w:val="-1"/>
        </w:rPr>
        <w:t>and</w:t>
      </w:r>
      <w:r>
        <w:rPr>
          <w:spacing w:val="45"/>
        </w:rPr>
        <w:t xml:space="preserve"> </w:t>
      </w:r>
      <w:r>
        <w:t>what</w:t>
      </w:r>
      <w:r>
        <w:rPr>
          <w:spacing w:val="45"/>
        </w:rPr>
        <w:t xml:space="preserve"> </w:t>
      </w:r>
      <w:r>
        <w:t>that</w:t>
      </w:r>
      <w:r>
        <w:rPr>
          <w:spacing w:val="49"/>
        </w:rPr>
        <w:t xml:space="preserve"> </w:t>
      </w:r>
      <w:r>
        <w:rPr>
          <w:spacing w:val="-1"/>
        </w:rPr>
        <w:t>might</w:t>
      </w:r>
      <w:r>
        <w:rPr>
          <w:spacing w:val="45"/>
        </w:rPr>
        <w:t xml:space="preserve"> </w:t>
      </w:r>
      <w:r>
        <w:rPr>
          <w:spacing w:val="-1"/>
        </w:rPr>
        <w:t>mean.</w:t>
      </w:r>
      <w:r>
        <w:rPr>
          <w:spacing w:val="47"/>
        </w:rPr>
        <w:t xml:space="preserve"> </w:t>
      </w:r>
      <w:r>
        <w:t>Another</w:t>
      </w:r>
      <w:r>
        <w:rPr>
          <w:spacing w:val="44"/>
        </w:rPr>
        <w:t xml:space="preserve"> </w:t>
      </w:r>
      <w:r>
        <w:t>is</w:t>
      </w:r>
      <w:r>
        <w:rPr>
          <w:spacing w:val="48"/>
        </w:rPr>
        <w:t xml:space="preserve"> </w:t>
      </w:r>
      <w:r>
        <w:rPr>
          <w:spacing w:val="-1"/>
        </w:rPr>
        <w:t>providing</w:t>
      </w:r>
      <w:r>
        <w:rPr>
          <w:spacing w:val="61"/>
        </w:rPr>
        <w:t xml:space="preserve"> </w:t>
      </w:r>
      <w:r>
        <w:rPr>
          <w:spacing w:val="-1"/>
        </w:rPr>
        <w:t>ongoing</w:t>
      </w:r>
      <w:r>
        <w:rPr>
          <w:spacing w:val="-3"/>
        </w:rPr>
        <w:t xml:space="preserve"> </w:t>
      </w:r>
      <w:r>
        <w:rPr>
          <w:spacing w:val="-1"/>
        </w:rPr>
        <w:t>employment</w:t>
      </w:r>
      <w:r>
        <w:t xml:space="preserve"> with a</w:t>
      </w:r>
      <w:r>
        <w:rPr>
          <w:spacing w:val="-1"/>
        </w:rPr>
        <w:t xml:space="preserve"> </w:t>
      </w:r>
      <w:r>
        <w:t>very</w:t>
      </w:r>
      <w:r>
        <w:rPr>
          <w:spacing w:val="-5"/>
        </w:rPr>
        <w:t xml:space="preserve"> </w:t>
      </w:r>
      <w:r>
        <w:rPr>
          <w:spacing w:val="-1"/>
        </w:rPr>
        <w:t>clear</w:t>
      </w:r>
      <w:r>
        <w:t xml:space="preserve"> development </w:t>
      </w:r>
      <w:r>
        <w:rPr>
          <w:spacing w:val="-1"/>
        </w:rPr>
        <w:t>plan</w:t>
      </w:r>
      <w:r>
        <w:t xml:space="preserve"> </w:t>
      </w:r>
      <w:r>
        <w:rPr>
          <w:spacing w:val="-1"/>
        </w:rPr>
        <w:t>and</w:t>
      </w:r>
      <w:r>
        <w:t xml:space="preserve"> </w:t>
      </w:r>
      <w:r>
        <w:rPr>
          <w:spacing w:val="-1"/>
        </w:rPr>
        <w:t>pathways</w:t>
      </w:r>
      <w:r>
        <w:t xml:space="preserve"> and</w:t>
      </w:r>
      <w:r>
        <w:rPr>
          <w:spacing w:val="1"/>
        </w:rPr>
        <w:t xml:space="preserve"> </w:t>
      </w:r>
      <w:r>
        <w:t xml:space="preserve">so </w:t>
      </w:r>
      <w:r>
        <w:rPr>
          <w:spacing w:val="-1"/>
        </w:rPr>
        <w:t>forth.</w:t>
      </w:r>
      <w:r>
        <w:rPr>
          <w:rStyle w:val="FootnoteReference"/>
          <w:spacing w:val="-1"/>
        </w:rPr>
        <w:footnoteReference w:id="81"/>
      </w:r>
    </w:p>
    <w:p w:rsidR="007235EF" w:rsidRDefault="007235EF" w:rsidP="007235EF">
      <w:pPr>
        <w:pStyle w:val="Bodytext"/>
      </w:pPr>
      <w:r>
        <w:t xml:space="preserve">The Committee notes that the need for bespoke induction programs for Aboriginal and Torres Strait Islander employees </w:t>
      </w:r>
      <w:r w:rsidR="00013E35">
        <w:t xml:space="preserve">seems to be </w:t>
      </w:r>
      <w:r>
        <w:t xml:space="preserve">well understood </w:t>
      </w:r>
      <w:r w:rsidR="00013E35">
        <w:t>in those organisations that excel in the area of Indigenous employment.</w:t>
      </w:r>
      <w:r>
        <w:t xml:space="preserve">   </w:t>
      </w:r>
    </w:p>
    <w:p w:rsidR="00013E35" w:rsidRDefault="007235EF" w:rsidP="007235EF">
      <w:pPr>
        <w:pStyle w:val="Bodytext"/>
      </w:pPr>
      <w:r>
        <w:t xml:space="preserve">The Committee </w:t>
      </w:r>
      <w:r w:rsidR="00013E35">
        <w:t>is mindful that anyone</w:t>
      </w:r>
      <w:r w:rsidR="009F1035">
        <w:t xml:space="preserve"> </w:t>
      </w:r>
      <w:r w:rsidR="009F1035" w:rsidRPr="009F1035">
        <w:t>who starts a new job</w:t>
      </w:r>
      <w:r w:rsidR="00013E35">
        <w:t xml:space="preserve">, particularly someone younger with limited experience of </w:t>
      </w:r>
      <w:r w:rsidR="0039175B">
        <w:t xml:space="preserve">the </w:t>
      </w:r>
      <w:r w:rsidR="00013E35">
        <w:t>work</w:t>
      </w:r>
      <w:r w:rsidR="0039175B">
        <w:t xml:space="preserve"> environment</w:t>
      </w:r>
      <w:r w:rsidR="00013E35">
        <w:t>, can find it challenging to settle and feel comfortable.  It would be common enough for anyone in this situation to experience anxiety.  The Committee recognises that this could be accentuated if someone for a variety of reasons felt very different to those around them in the workplace</w:t>
      </w:r>
      <w:r w:rsidR="0039175B">
        <w:t xml:space="preserve"> by virtue of the</w:t>
      </w:r>
      <w:r w:rsidR="009F1035">
        <w:t>ir</w:t>
      </w:r>
      <w:r w:rsidR="0039175B">
        <w:t xml:space="preserve"> cultural background</w:t>
      </w:r>
      <w:r w:rsidR="00013E35">
        <w:t xml:space="preserve">. </w:t>
      </w:r>
    </w:p>
    <w:p w:rsidR="0039175B" w:rsidRDefault="0039175B" w:rsidP="0039175B">
      <w:pPr>
        <w:pStyle w:val="Recommendation"/>
      </w:pPr>
      <w:bookmarkStart w:id="103" w:name="_Toc384024384"/>
      <w:bookmarkEnd w:id="103"/>
    </w:p>
    <w:p w:rsidR="0039175B" w:rsidRPr="0039175B" w:rsidRDefault="0039175B" w:rsidP="0039175B">
      <w:pPr>
        <w:pStyle w:val="RecommendationText"/>
      </w:pPr>
      <w:bookmarkStart w:id="104" w:name="_Toc384024385"/>
      <w:r>
        <w:t xml:space="preserve">The Committee recommends that the </w:t>
      </w:r>
      <w:r w:rsidR="00323080">
        <w:t>ACT Public Service</w:t>
      </w:r>
      <w:r>
        <w:t xml:space="preserve"> develop an induction program for new Aboriginal and Torres Strait Islander employees that augments the induction program for all new staff.  At a minimum the program should alert these new employees to structure</w:t>
      </w:r>
      <w:r w:rsidR="009F1035">
        <w:t>s</w:t>
      </w:r>
      <w:r>
        <w:t xml:space="preserve"> and processes in place for their benefit such as networks</w:t>
      </w:r>
      <w:r w:rsidR="00581F10">
        <w:t xml:space="preserve">, </w:t>
      </w:r>
      <w:r>
        <w:t>buddy systems and mentoring.</w:t>
      </w:r>
      <w:bookmarkEnd w:id="104"/>
      <w:r>
        <w:t xml:space="preserve">  </w:t>
      </w:r>
    </w:p>
    <w:p w:rsidR="007235EF" w:rsidRDefault="007235EF" w:rsidP="00D35FCB">
      <w:pPr>
        <w:pStyle w:val="Headinglevel2"/>
      </w:pPr>
      <w:bookmarkStart w:id="105" w:name="_Toc383615045"/>
      <w:r w:rsidRPr="009709E6">
        <w:t>Cross-cultural training;</w:t>
      </w:r>
      <w:bookmarkEnd w:id="105"/>
    </w:p>
    <w:p w:rsidR="009F1035" w:rsidRDefault="009F1035" w:rsidP="007235EF">
      <w:pPr>
        <w:pStyle w:val="Bodytext"/>
        <w:rPr>
          <w:lang w:eastAsia="en-AU"/>
        </w:rPr>
      </w:pPr>
      <w:r>
        <w:rPr>
          <w:lang w:eastAsia="en-AU"/>
        </w:rPr>
        <w:t xml:space="preserve">The Committee recognises that in any organisation, </w:t>
      </w:r>
      <w:r w:rsidRPr="008D68BE">
        <w:rPr>
          <w:lang w:eastAsia="en-AU"/>
        </w:rPr>
        <w:t>understanding the role that culture plays is often the difference between success and failure.</w:t>
      </w:r>
      <w:r>
        <w:rPr>
          <w:lang w:eastAsia="en-AU"/>
        </w:rPr>
        <w:t xml:space="preserve">  </w:t>
      </w:r>
      <w:r w:rsidR="007235EF" w:rsidRPr="008D68BE">
        <w:rPr>
          <w:lang w:eastAsia="en-AU"/>
        </w:rPr>
        <w:t xml:space="preserve">Even if people from different </w:t>
      </w:r>
      <w:r w:rsidR="007235EF">
        <w:rPr>
          <w:lang w:eastAsia="en-AU"/>
        </w:rPr>
        <w:t xml:space="preserve">regions or </w:t>
      </w:r>
      <w:r w:rsidR="007235EF" w:rsidRPr="008D68BE">
        <w:rPr>
          <w:lang w:eastAsia="en-AU"/>
        </w:rPr>
        <w:t xml:space="preserve">countries speak the same language, </w:t>
      </w:r>
      <w:r w:rsidR="007235EF">
        <w:rPr>
          <w:lang w:eastAsia="en-AU"/>
        </w:rPr>
        <w:t xml:space="preserve">it does not mean that they </w:t>
      </w:r>
      <w:r w:rsidR="007235EF" w:rsidRPr="008D68BE">
        <w:rPr>
          <w:lang w:eastAsia="en-AU"/>
        </w:rPr>
        <w:t xml:space="preserve">understand each other. </w:t>
      </w:r>
      <w:r w:rsidR="007235EF">
        <w:rPr>
          <w:lang w:eastAsia="en-AU"/>
        </w:rPr>
        <w:t xml:space="preserve">  </w:t>
      </w:r>
    </w:p>
    <w:p w:rsidR="007235EF" w:rsidRDefault="009F1035" w:rsidP="007235EF">
      <w:pPr>
        <w:pStyle w:val="Bodytext"/>
        <w:rPr>
          <w:lang w:eastAsia="en-AU"/>
        </w:rPr>
      </w:pPr>
      <w:r>
        <w:rPr>
          <w:lang w:eastAsia="en-AU"/>
        </w:rPr>
        <w:t>C</w:t>
      </w:r>
      <w:r w:rsidR="007235EF" w:rsidRPr="008D68BE">
        <w:rPr>
          <w:lang w:eastAsia="en-AU"/>
        </w:rPr>
        <w:t xml:space="preserve">ultural training allows </w:t>
      </w:r>
      <w:r w:rsidR="007235EF">
        <w:rPr>
          <w:lang w:eastAsia="en-AU"/>
        </w:rPr>
        <w:t xml:space="preserve">people </w:t>
      </w:r>
      <w:r w:rsidR="007235EF" w:rsidRPr="008D68BE">
        <w:rPr>
          <w:lang w:eastAsia="en-AU"/>
        </w:rPr>
        <w:t xml:space="preserve">to better understand how the culture and </w:t>
      </w:r>
      <w:r w:rsidR="007235EF">
        <w:rPr>
          <w:lang w:eastAsia="en-AU"/>
        </w:rPr>
        <w:t xml:space="preserve">place they come </w:t>
      </w:r>
      <w:r w:rsidR="007235EF" w:rsidRPr="008D68BE">
        <w:rPr>
          <w:lang w:eastAsia="en-AU"/>
        </w:rPr>
        <w:t>from effects everything</w:t>
      </w:r>
      <w:r w:rsidR="007235EF">
        <w:rPr>
          <w:lang w:eastAsia="en-AU"/>
        </w:rPr>
        <w:t xml:space="preserve">: </w:t>
      </w:r>
      <w:r w:rsidR="007235EF" w:rsidRPr="008D68BE">
        <w:rPr>
          <w:lang w:eastAsia="en-AU"/>
        </w:rPr>
        <w:t xml:space="preserve">the way </w:t>
      </w:r>
      <w:r w:rsidR="007235EF">
        <w:rPr>
          <w:lang w:eastAsia="en-AU"/>
        </w:rPr>
        <w:t xml:space="preserve">they </w:t>
      </w:r>
      <w:r w:rsidR="007235EF" w:rsidRPr="008D68BE">
        <w:rPr>
          <w:lang w:eastAsia="en-AU"/>
        </w:rPr>
        <w:t xml:space="preserve">communicate, approach time, work on teams, relate to authority and </w:t>
      </w:r>
      <w:r w:rsidR="007235EF">
        <w:rPr>
          <w:lang w:eastAsia="en-AU"/>
        </w:rPr>
        <w:t xml:space="preserve">understand </w:t>
      </w:r>
      <w:r w:rsidR="007235EF" w:rsidRPr="008D68BE">
        <w:rPr>
          <w:lang w:eastAsia="en-AU"/>
        </w:rPr>
        <w:t>relationships</w:t>
      </w:r>
      <w:r>
        <w:rPr>
          <w:lang w:eastAsia="en-AU"/>
        </w:rPr>
        <w:t>.  C</w:t>
      </w:r>
      <w:r w:rsidR="007235EF">
        <w:rPr>
          <w:lang w:eastAsia="en-AU"/>
        </w:rPr>
        <w:t>ross-cultural t</w:t>
      </w:r>
      <w:r w:rsidR="007235EF" w:rsidRPr="008D68BE">
        <w:rPr>
          <w:lang w:eastAsia="en-AU"/>
        </w:rPr>
        <w:t xml:space="preserve">raining teaches </w:t>
      </w:r>
      <w:r w:rsidR="007235EF">
        <w:rPr>
          <w:lang w:eastAsia="en-AU"/>
        </w:rPr>
        <w:t xml:space="preserve">people </w:t>
      </w:r>
      <w:r w:rsidR="007235EF" w:rsidRPr="008D68BE">
        <w:rPr>
          <w:lang w:eastAsia="en-AU"/>
        </w:rPr>
        <w:t xml:space="preserve">how to look at the exact same factors </w:t>
      </w:r>
      <w:r w:rsidR="007235EF">
        <w:rPr>
          <w:lang w:eastAsia="en-AU"/>
        </w:rPr>
        <w:t xml:space="preserve">in </w:t>
      </w:r>
      <w:r w:rsidR="007235EF" w:rsidRPr="008D68BE">
        <w:rPr>
          <w:lang w:eastAsia="en-AU"/>
        </w:rPr>
        <w:t>other culture</w:t>
      </w:r>
      <w:r w:rsidR="007235EF">
        <w:rPr>
          <w:lang w:eastAsia="en-AU"/>
        </w:rPr>
        <w:t>s</w:t>
      </w:r>
      <w:r w:rsidR="007235EF" w:rsidRPr="008D68BE">
        <w:rPr>
          <w:lang w:eastAsia="en-AU"/>
        </w:rPr>
        <w:t xml:space="preserve"> and develop the insight and understanding to see how culture</w:t>
      </w:r>
      <w:r>
        <w:rPr>
          <w:lang w:eastAsia="en-AU"/>
        </w:rPr>
        <w:t>s</w:t>
      </w:r>
      <w:r w:rsidR="007235EF" w:rsidRPr="008D68BE">
        <w:rPr>
          <w:lang w:eastAsia="en-AU"/>
        </w:rPr>
        <w:t xml:space="preserve"> </w:t>
      </w:r>
      <w:r w:rsidR="007235EF">
        <w:rPr>
          <w:lang w:eastAsia="en-AU"/>
        </w:rPr>
        <w:t>may interact.</w:t>
      </w:r>
      <w:r w:rsidR="007235EF">
        <w:rPr>
          <w:rStyle w:val="FootnoteReference"/>
          <w:lang w:eastAsia="en-AU"/>
        </w:rPr>
        <w:footnoteReference w:id="82"/>
      </w:r>
    </w:p>
    <w:p w:rsidR="007235EF" w:rsidRDefault="007235EF" w:rsidP="007235EF">
      <w:pPr>
        <w:pStyle w:val="Bodytext"/>
        <w:rPr>
          <w:lang w:eastAsia="en-AU"/>
        </w:rPr>
      </w:pPr>
      <w:r>
        <w:rPr>
          <w:lang w:eastAsia="en-AU"/>
        </w:rPr>
        <w:t xml:space="preserve">In Australia there is an ongoing challenge for all Australians to </w:t>
      </w:r>
      <w:r w:rsidR="000C7575">
        <w:rPr>
          <w:lang w:eastAsia="en-AU"/>
        </w:rPr>
        <w:t xml:space="preserve">appreciate </w:t>
      </w:r>
      <w:r>
        <w:rPr>
          <w:lang w:eastAsia="en-AU"/>
        </w:rPr>
        <w:t xml:space="preserve">numerous cultures and in particular Aboriginal and Torres Strait Islander culture.  The Committee recognises that when cross-cultural training is done well, organisations are empowered to achieve their full potential.  In its consideration of cross-cultural training the Committee is mindful that is undertaken against a background of the ongoing need for learning and understanding about other cultures in the wider Australian community.  </w:t>
      </w:r>
    </w:p>
    <w:p w:rsidR="007235EF" w:rsidRDefault="007235EF" w:rsidP="007235EF">
      <w:pPr>
        <w:pStyle w:val="Bodytext"/>
        <w:rPr>
          <w:lang w:eastAsia="en-AU"/>
        </w:rPr>
      </w:pPr>
      <w:r>
        <w:rPr>
          <w:lang w:eastAsia="en-AU"/>
        </w:rPr>
        <w:t>The Committee acknowledges organisations such as Reconciliation Australia that are seeking to bring about reconciliation</w:t>
      </w:r>
      <w:r w:rsidR="000C7575">
        <w:rPr>
          <w:lang w:eastAsia="en-AU"/>
        </w:rPr>
        <w:t>, that is,</w:t>
      </w:r>
      <w:r>
        <w:rPr>
          <w:lang w:eastAsia="en-AU"/>
        </w:rPr>
        <w:t xml:space="preserve">  </w:t>
      </w:r>
      <w:r w:rsidR="009F1035">
        <w:rPr>
          <w:lang w:eastAsia="en-AU"/>
        </w:rPr>
        <w:t xml:space="preserve">the </w:t>
      </w:r>
      <w:r>
        <w:rPr>
          <w:lang w:eastAsia="en-AU"/>
        </w:rPr>
        <w:t>creati</w:t>
      </w:r>
      <w:r w:rsidR="009F1035">
        <w:rPr>
          <w:lang w:eastAsia="en-AU"/>
        </w:rPr>
        <w:t>on</w:t>
      </w:r>
      <w:r>
        <w:rPr>
          <w:lang w:eastAsia="en-AU"/>
        </w:rPr>
        <w:t xml:space="preserve"> of lasting friendly relationship</w:t>
      </w:r>
      <w:r w:rsidR="009F1035">
        <w:rPr>
          <w:lang w:eastAsia="en-AU"/>
        </w:rPr>
        <w:t>s</w:t>
      </w:r>
      <w:r>
        <w:rPr>
          <w:lang w:eastAsia="en-AU"/>
        </w:rPr>
        <w:t xml:space="preserve"> between all Australians. The Committee notes that the Reconciliation Action Plan (RAP) Program enjoys continu</w:t>
      </w:r>
      <w:r w:rsidR="009F1035">
        <w:rPr>
          <w:lang w:eastAsia="en-AU"/>
        </w:rPr>
        <w:t xml:space="preserve">ing </w:t>
      </w:r>
      <w:r>
        <w:rPr>
          <w:lang w:eastAsia="en-AU"/>
        </w:rPr>
        <w:t xml:space="preserve">success and that a number of directorates in the ACTPS are implementing RAPs. </w:t>
      </w:r>
    </w:p>
    <w:p w:rsidR="007235EF" w:rsidRDefault="007235EF" w:rsidP="007235EF">
      <w:pPr>
        <w:pStyle w:val="Bodytext"/>
        <w:rPr>
          <w:lang w:eastAsia="en-AU"/>
        </w:rPr>
      </w:pPr>
      <w:r>
        <w:rPr>
          <w:lang w:eastAsia="en-AU"/>
        </w:rPr>
        <w:t>The Committee also acknowledges the impressive work being done by the Australia</w:t>
      </w:r>
      <w:r w:rsidR="009F1035">
        <w:rPr>
          <w:lang w:eastAsia="en-AU"/>
        </w:rPr>
        <w:t>n</w:t>
      </w:r>
      <w:r>
        <w:rPr>
          <w:lang w:eastAsia="en-AU"/>
        </w:rPr>
        <w:t xml:space="preserve"> Indigenous Leadership Centre.  </w:t>
      </w:r>
    </w:p>
    <w:p w:rsidR="007235EF" w:rsidRDefault="007235EF" w:rsidP="007235EF">
      <w:pPr>
        <w:pStyle w:val="Bodytext"/>
      </w:pPr>
      <w:r>
        <w:t xml:space="preserve">The ACTPS submission states: </w:t>
      </w:r>
    </w:p>
    <w:p w:rsidR="007235EF" w:rsidRDefault="007235EF" w:rsidP="007235EF">
      <w:pPr>
        <w:pStyle w:val="Quote"/>
        <w:rPr>
          <w:spacing w:val="-2"/>
        </w:rPr>
      </w:pPr>
      <w:r>
        <w:t>An ACT Government cross-cultural training program</w:t>
      </w:r>
      <w:r>
        <w:rPr>
          <w:spacing w:val="1"/>
        </w:rPr>
        <w:t xml:space="preserve"> </w:t>
      </w:r>
      <w:r>
        <w:t>has</w:t>
      </w:r>
      <w:r>
        <w:rPr>
          <w:spacing w:val="-2"/>
        </w:rPr>
        <w:t xml:space="preserve"> </w:t>
      </w:r>
      <w:r>
        <w:t>been</w:t>
      </w:r>
      <w:r>
        <w:rPr>
          <w:spacing w:val="-2"/>
        </w:rPr>
        <w:t xml:space="preserve"> </w:t>
      </w:r>
      <w:r>
        <w:t>developed and is listed on</w:t>
      </w:r>
      <w:r>
        <w:rPr>
          <w:spacing w:val="-5"/>
        </w:rPr>
        <w:t xml:space="preserve"> </w:t>
      </w:r>
      <w:r>
        <w:t>the</w:t>
      </w:r>
      <w:r>
        <w:rPr>
          <w:spacing w:val="59"/>
        </w:rPr>
        <w:t xml:space="preserve"> </w:t>
      </w:r>
      <w:r>
        <w:t>Shared Services</w:t>
      </w:r>
      <w:r>
        <w:rPr>
          <w:spacing w:val="-2"/>
        </w:rPr>
        <w:t xml:space="preserve"> </w:t>
      </w:r>
      <w:r>
        <w:t>Training Calendar.</w:t>
      </w:r>
      <w:r>
        <w:rPr>
          <w:spacing w:val="-3"/>
        </w:rPr>
        <w:t xml:space="preserve">  </w:t>
      </w:r>
      <w:r>
        <w:t>Training is</w:t>
      </w:r>
      <w:r>
        <w:rPr>
          <w:spacing w:val="1"/>
        </w:rPr>
        <w:t xml:space="preserve"> </w:t>
      </w:r>
      <w:r>
        <w:t>delivered by</w:t>
      </w:r>
      <w:r>
        <w:rPr>
          <w:spacing w:val="-2"/>
        </w:rPr>
        <w:t xml:space="preserve"> </w:t>
      </w:r>
      <w:r>
        <w:t>the Yurauna</w:t>
      </w:r>
      <w:r>
        <w:rPr>
          <w:spacing w:val="-2"/>
        </w:rPr>
        <w:t xml:space="preserve"> </w:t>
      </w:r>
      <w:r>
        <w:t xml:space="preserve">Centre </w:t>
      </w:r>
      <w:r>
        <w:rPr>
          <w:spacing w:val="-2"/>
        </w:rPr>
        <w:t>at</w:t>
      </w:r>
      <w:r>
        <w:rPr>
          <w:spacing w:val="2"/>
        </w:rPr>
        <w:t xml:space="preserve"> </w:t>
      </w:r>
      <w:r>
        <w:rPr>
          <w:spacing w:val="-2"/>
        </w:rPr>
        <w:t>CIT [Canberra Institute of Technology].</w:t>
      </w:r>
      <w:r>
        <w:rPr>
          <w:rStyle w:val="FootnoteReference"/>
          <w:spacing w:val="-2"/>
        </w:rPr>
        <w:footnoteReference w:id="83"/>
      </w:r>
    </w:p>
    <w:p w:rsidR="007235EF" w:rsidRPr="007920F0" w:rsidRDefault="007235EF" w:rsidP="007235EF">
      <w:pPr>
        <w:pStyle w:val="Quote"/>
        <w:rPr>
          <w:spacing w:val="-2"/>
          <w:lang w:val="en-US"/>
        </w:rPr>
      </w:pPr>
      <w:r>
        <w:rPr>
          <w:spacing w:val="-2"/>
        </w:rPr>
        <w:t xml:space="preserve">... </w:t>
      </w:r>
      <w:r w:rsidRPr="007920F0">
        <w:rPr>
          <w:spacing w:val="-2"/>
          <w:lang w:val="en-US"/>
        </w:rPr>
        <w:t>The Aboriginal and Torres Strait Islander cross-cultural training workshop has been conducted four times with a total of 57 participants.  Cross-cultural training is being scheduled to take place at a Strategic Board meeting during 2013. Additionally, some agencies are conducting in-house training to ensure their staff have ready access to learning opportunities.</w:t>
      </w:r>
    </w:p>
    <w:p w:rsidR="007235EF" w:rsidRPr="007920F0" w:rsidRDefault="007235EF" w:rsidP="007235EF">
      <w:pPr>
        <w:pStyle w:val="Quote"/>
        <w:rPr>
          <w:lang w:val="en-US"/>
        </w:rPr>
      </w:pPr>
      <w:r w:rsidRPr="007920F0">
        <w:rPr>
          <w:lang w:val="en-US"/>
        </w:rPr>
        <w:t>However, while interest in training increases and enrolment numbers in courses are on the rise, the ACTPS is interested in undertaking targeted work on their effectiveness, particularly given that Aboriginal and Torres Strait Islander staff retention may be an issue.  Also, while training is a good start, the ACTPS is interested in forming closer links with the Aboriginal and Torres Strait Islander community to gain better understanding of its culture and customs and actively promote the ACTPS as an attractive employer where Aboriginal and Torres Strait Islander people can develop professionally while serving their community.</w:t>
      </w:r>
      <w:r>
        <w:rPr>
          <w:rStyle w:val="FootnoteReference"/>
          <w:lang w:val="en-US"/>
        </w:rPr>
        <w:footnoteReference w:id="84"/>
      </w:r>
    </w:p>
    <w:p w:rsidR="007235EF" w:rsidRDefault="007235EF" w:rsidP="007235EF">
      <w:pPr>
        <w:pStyle w:val="Bodytext"/>
      </w:pPr>
      <w:r>
        <w:t xml:space="preserve">At the 11 December 2013 public hearing, the Committee heard the following evidence from the ACTPS: </w:t>
      </w:r>
    </w:p>
    <w:p w:rsidR="007235EF" w:rsidRDefault="007235EF" w:rsidP="007235EF">
      <w:pPr>
        <w:pStyle w:val="Quote"/>
      </w:pPr>
      <w:r w:rsidRPr="00111087">
        <w:rPr>
          <w:b/>
          <w:lang w:val="en-US"/>
        </w:rPr>
        <w:t>Mr Byles</w:t>
      </w:r>
      <w:r>
        <w:rPr>
          <w:spacing w:val="-2"/>
        </w:rPr>
        <w:t xml:space="preserve"> In</w:t>
      </w:r>
      <w:r>
        <w:t xml:space="preserve"> </w:t>
      </w:r>
      <w:r>
        <w:rPr>
          <w:spacing w:val="-1"/>
        </w:rPr>
        <w:t>terms</w:t>
      </w:r>
      <w:r>
        <w:t xml:space="preserve"> of </w:t>
      </w:r>
      <w:r>
        <w:rPr>
          <w:spacing w:val="-1"/>
        </w:rPr>
        <w:t>cross-cultural</w:t>
      </w:r>
      <w:r>
        <w:t xml:space="preserve"> </w:t>
      </w:r>
      <w:r>
        <w:rPr>
          <w:spacing w:val="-1"/>
        </w:rPr>
        <w:t>training,</w:t>
      </w:r>
      <w:r>
        <w:t xml:space="preserve"> </w:t>
      </w:r>
      <w:r>
        <w:rPr>
          <w:spacing w:val="-1"/>
        </w:rPr>
        <w:t>can</w:t>
      </w:r>
      <w:r>
        <w:rPr>
          <w:spacing w:val="4"/>
        </w:rPr>
        <w:t xml:space="preserve"> </w:t>
      </w:r>
      <w:r>
        <w:t>I</w:t>
      </w:r>
      <w:r>
        <w:rPr>
          <w:spacing w:val="56"/>
        </w:rPr>
        <w:t xml:space="preserve"> </w:t>
      </w:r>
      <w:r>
        <w:t>say</w:t>
      </w:r>
      <w:r>
        <w:rPr>
          <w:spacing w:val="54"/>
        </w:rPr>
        <w:t xml:space="preserve"> </w:t>
      </w:r>
      <w:r>
        <w:t>that this very</w:t>
      </w:r>
      <w:r>
        <w:rPr>
          <w:spacing w:val="57"/>
        </w:rPr>
        <w:t xml:space="preserve"> </w:t>
      </w:r>
      <w:r>
        <w:rPr>
          <w:spacing w:val="-1"/>
        </w:rPr>
        <w:t>day,</w:t>
      </w:r>
      <w:r>
        <w:t xml:space="preserve"> this</w:t>
      </w:r>
      <w:r>
        <w:rPr>
          <w:spacing w:val="60"/>
        </w:rPr>
        <w:t xml:space="preserve"> </w:t>
      </w:r>
      <w:r>
        <w:rPr>
          <w:spacing w:val="-1"/>
        </w:rPr>
        <w:t>afternoon,</w:t>
      </w:r>
      <w:r>
        <w:rPr>
          <w:spacing w:val="59"/>
        </w:rPr>
        <w:t xml:space="preserve"> </w:t>
      </w:r>
      <w:r>
        <w:t>the</w:t>
      </w:r>
      <w:r>
        <w:rPr>
          <w:spacing w:val="59"/>
        </w:rPr>
        <w:t xml:space="preserve"> </w:t>
      </w:r>
      <w:r>
        <w:rPr>
          <w:spacing w:val="-1"/>
        </w:rPr>
        <w:t>strategic</w:t>
      </w:r>
      <w:r>
        <w:t xml:space="preserve"> </w:t>
      </w:r>
      <w:r>
        <w:rPr>
          <w:spacing w:val="-1"/>
        </w:rPr>
        <w:t>board</w:t>
      </w:r>
      <w:r>
        <w:rPr>
          <w:spacing w:val="59"/>
        </w:rPr>
        <w:t xml:space="preserve"> </w:t>
      </w:r>
      <w:r>
        <w:rPr>
          <w:spacing w:val="-1"/>
        </w:rPr>
        <w:t>as</w:t>
      </w:r>
      <w:r>
        <w:t xml:space="preserve"> a</w:t>
      </w:r>
      <w:r>
        <w:rPr>
          <w:spacing w:val="58"/>
        </w:rPr>
        <w:t xml:space="preserve"> </w:t>
      </w:r>
      <w:r>
        <w:rPr>
          <w:spacing w:val="-1"/>
        </w:rPr>
        <w:t>group</w:t>
      </w:r>
      <w:r>
        <w:rPr>
          <w:spacing w:val="59"/>
        </w:rPr>
        <w:t xml:space="preserve"> </w:t>
      </w:r>
      <w:r>
        <w:t>will be</w:t>
      </w:r>
      <w:r>
        <w:rPr>
          <w:spacing w:val="58"/>
        </w:rPr>
        <w:t xml:space="preserve"> </w:t>
      </w:r>
      <w:r>
        <w:t>undergoing</w:t>
      </w:r>
      <w:r>
        <w:rPr>
          <w:spacing w:val="57"/>
        </w:rPr>
        <w:t xml:space="preserve"> </w:t>
      </w:r>
      <w:r>
        <w:t>some</w:t>
      </w:r>
      <w:r>
        <w:rPr>
          <w:spacing w:val="59"/>
        </w:rPr>
        <w:t xml:space="preserve"> </w:t>
      </w:r>
      <w:r>
        <w:rPr>
          <w:spacing w:val="-1"/>
        </w:rPr>
        <w:t>cross-cultural</w:t>
      </w:r>
      <w:r>
        <w:rPr>
          <w:spacing w:val="61"/>
        </w:rPr>
        <w:t xml:space="preserve"> </w:t>
      </w:r>
      <w:r>
        <w:rPr>
          <w:spacing w:val="-1"/>
        </w:rPr>
        <w:t>training</w:t>
      </w:r>
      <w:r>
        <w:rPr>
          <w:spacing w:val="33"/>
        </w:rPr>
        <w:t xml:space="preserve"> </w:t>
      </w:r>
      <w:r>
        <w:t>for</w:t>
      </w:r>
      <w:r>
        <w:rPr>
          <w:spacing w:val="34"/>
        </w:rPr>
        <w:t xml:space="preserve"> </w:t>
      </w:r>
      <w:r>
        <w:t>a</w:t>
      </w:r>
      <w:r>
        <w:rPr>
          <w:spacing w:val="34"/>
        </w:rPr>
        <w:t xml:space="preserve"> </w:t>
      </w:r>
      <w:r>
        <w:rPr>
          <w:spacing w:val="-1"/>
        </w:rPr>
        <w:t>period</w:t>
      </w:r>
      <w:r>
        <w:rPr>
          <w:spacing w:val="35"/>
        </w:rPr>
        <w:t xml:space="preserve"> </w:t>
      </w:r>
      <w:r>
        <w:t>of</w:t>
      </w:r>
      <w:r>
        <w:rPr>
          <w:spacing w:val="37"/>
        </w:rPr>
        <w:t xml:space="preserve"> </w:t>
      </w:r>
      <w:r>
        <w:rPr>
          <w:spacing w:val="-1"/>
        </w:rPr>
        <w:t>three</w:t>
      </w:r>
      <w:r>
        <w:rPr>
          <w:spacing w:val="34"/>
        </w:rPr>
        <w:t xml:space="preserve"> </w:t>
      </w:r>
      <w:r>
        <w:t>hours,</w:t>
      </w:r>
      <w:r>
        <w:rPr>
          <w:spacing w:val="35"/>
        </w:rPr>
        <w:t xml:space="preserve"> </w:t>
      </w:r>
      <w:r>
        <w:rPr>
          <w:spacing w:val="-1"/>
        </w:rPr>
        <w:t>again</w:t>
      </w:r>
      <w:r>
        <w:rPr>
          <w:spacing w:val="36"/>
        </w:rPr>
        <w:t xml:space="preserve"> </w:t>
      </w:r>
      <w:r>
        <w:t>to</w:t>
      </w:r>
      <w:r>
        <w:rPr>
          <w:spacing w:val="36"/>
        </w:rPr>
        <w:t xml:space="preserve"> </w:t>
      </w:r>
      <w:r>
        <w:rPr>
          <w:spacing w:val="-1"/>
        </w:rPr>
        <w:t>model</w:t>
      </w:r>
      <w:r>
        <w:rPr>
          <w:spacing w:val="36"/>
        </w:rPr>
        <w:t xml:space="preserve"> </w:t>
      </w:r>
      <w:r>
        <w:t>the</w:t>
      </w:r>
      <w:r>
        <w:rPr>
          <w:spacing w:val="35"/>
        </w:rPr>
        <w:t xml:space="preserve"> </w:t>
      </w:r>
      <w:r>
        <w:rPr>
          <w:spacing w:val="-1"/>
        </w:rPr>
        <w:t>behaviour</w:t>
      </w:r>
      <w:r>
        <w:rPr>
          <w:spacing w:val="35"/>
        </w:rPr>
        <w:t xml:space="preserve"> </w:t>
      </w:r>
      <w:r>
        <w:rPr>
          <w:spacing w:val="-1"/>
        </w:rPr>
        <w:t>expected.</w:t>
      </w:r>
      <w:r>
        <w:rPr>
          <w:spacing w:val="35"/>
        </w:rPr>
        <w:t xml:space="preserve"> </w:t>
      </w:r>
      <w:r>
        <w:t>And</w:t>
      </w:r>
      <w:r>
        <w:rPr>
          <w:spacing w:val="37"/>
        </w:rPr>
        <w:t xml:space="preserve"> </w:t>
      </w:r>
      <w:r>
        <w:t>I</w:t>
      </w:r>
      <w:r>
        <w:rPr>
          <w:spacing w:val="67"/>
        </w:rPr>
        <w:t xml:space="preserve"> </w:t>
      </w:r>
      <w:r>
        <w:t>know</w:t>
      </w:r>
      <w:r>
        <w:rPr>
          <w:spacing w:val="18"/>
        </w:rPr>
        <w:t xml:space="preserve"> </w:t>
      </w:r>
      <w:r>
        <w:rPr>
          <w:spacing w:val="-1"/>
        </w:rPr>
        <w:t>there</w:t>
      </w:r>
      <w:r>
        <w:rPr>
          <w:spacing w:val="18"/>
        </w:rPr>
        <w:t xml:space="preserve"> </w:t>
      </w:r>
      <w:r>
        <w:rPr>
          <w:spacing w:val="-1"/>
        </w:rPr>
        <w:t>has</w:t>
      </w:r>
      <w:r>
        <w:rPr>
          <w:spacing w:val="19"/>
        </w:rPr>
        <w:t xml:space="preserve"> </w:t>
      </w:r>
      <w:r>
        <w:rPr>
          <w:spacing w:val="-1"/>
        </w:rPr>
        <w:t>been</w:t>
      </w:r>
      <w:r>
        <w:rPr>
          <w:spacing w:val="18"/>
        </w:rPr>
        <w:t xml:space="preserve"> </w:t>
      </w:r>
      <w:r>
        <w:t>some</w:t>
      </w:r>
      <w:r>
        <w:rPr>
          <w:spacing w:val="18"/>
        </w:rPr>
        <w:t xml:space="preserve"> </w:t>
      </w:r>
      <w:r>
        <w:rPr>
          <w:spacing w:val="-1"/>
        </w:rPr>
        <w:t>training</w:t>
      </w:r>
      <w:r>
        <w:rPr>
          <w:spacing w:val="16"/>
        </w:rPr>
        <w:t xml:space="preserve"> </w:t>
      </w:r>
      <w:r>
        <w:t>done</w:t>
      </w:r>
      <w:r>
        <w:rPr>
          <w:spacing w:val="18"/>
        </w:rPr>
        <w:t xml:space="preserve"> </w:t>
      </w:r>
      <w:r>
        <w:t>throughout</w:t>
      </w:r>
      <w:r>
        <w:rPr>
          <w:spacing w:val="19"/>
        </w:rPr>
        <w:t xml:space="preserve"> </w:t>
      </w:r>
      <w:r>
        <w:t>the</w:t>
      </w:r>
      <w:r>
        <w:rPr>
          <w:spacing w:val="18"/>
        </w:rPr>
        <w:t xml:space="preserve"> </w:t>
      </w:r>
      <w:r>
        <w:rPr>
          <w:spacing w:val="-1"/>
        </w:rPr>
        <w:t>directorates,</w:t>
      </w:r>
      <w:r>
        <w:rPr>
          <w:spacing w:val="18"/>
        </w:rPr>
        <w:t xml:space="preserve"> </w:t>
      </w:r>
      <w:r>
        <w:t>but</w:t>
      </w:r>
      <w:r>
        <w:rPr>
          <w:spacing w:val="21"/>
        </w:rPr>
        <w:t xml:space="preserve"> </w:t>
      </w:r>
      <w:r>
        <w:t>I</w:t>
      </w:r>
      <w:r>
        <w:rPr>
          <w:spacing w:val="13"/>
        </w:rPr>
        <w:t xml:space="preserve"> </w:t>
      </w:r>
      <w:r>
        <w:rPr>
          <w:spacing w:val="-1"/>
        </w:rPr>
        <w:t>might</w:t>
      </w:r>
      <w:r>
        <w:rPr>
          <w:spacing w:val="19"/>
        </w:rPr>
        <w:t xml:space="preserve"> </w:t>
      </w:r>
      <w:r>
        <w:rPr>
          <w:spacing w:val="-1"/>
        </w:rPr>
        <w:t>ask</w:t>
      </w:r>
      <w:r>
        <w:rPr>
          <w:spacing w:val="51"/>
        </w:rPr>
        <w:t xml:space="preserve"> </w:t>
      </w:r>
      <w:r>
        <w:t>Mr</w:t>
      </w:r>
      <w:r>
        <w:rPr>
          <w:spacing w:val="-1"/>
        </w:rPr>
        <w:t xml:space="preserve"> Kefford</w:t>
      </w:r>
      <w:r>
        <w:t xml:space="preserve"> if</w:t>
      </w:r>
      <w:r>
        <w:rPr>
          <w:spacing w:val="-1"/>
        </w:rPr>
        <w:t xml:space="preserve"> </w:t>
      </w:r>
      <w:r>
        <w:t xml:space="preserve">he </w:t>
      </w:r>
      <w:r>
        <w:rPr>
          <w:spacing w:val="-1"/>
        </w:rPr>
        <w:t>can</w:t>
      </w:r>
      <w:r>
        <w:t xml:space="preserve"> expand on that.</w:t>
      </w:r>
    </w:p>
    <w:p w:rsidR="007235EF" w:rsidRPr="00111087" w:rsidRDefault="007235EF" w:rsidP="007235EF">
      <w:pPr>
        <w:pStyle w:val="Quote"/>
        <w:rPr>
          <w:lang w:val="en-US"/>
        </w:rPr>
      </w:pPr>
      <w:r w:rsidRPr="00111087">
        <w:rPr>
          <w:b/>
          <w:lang w:val="en-US"/>
        </w:rPr>
        <w:t>Mr Kefford</w:t>
      </w:r>
      <w:r w:rsidRPr="00111087">
        <w:rPr>
          <w:lang w:val="en-US"/>
        </w:rPr>
        <w:t>: It is not just in this area of the submission that it flows through. One of the features of the way in which the process has been developed to date is that we have reached a point now where, as a service, we need to be engaging better with the community. It is not to say we have not been but we recognise that halfway through the process we have done a number of the things that we could do ourselves to remove some of the obstacles to reaching the target, the designated positions being one example of that. So this sort of initiative appears regularly on the public service training calendars. Training is an interesting way to describe it, but that is the place in which it appears.</w:t>
      </w:r>
    </w:p>
    <w:p w:rsidR="007235EF" w:rsidRPr="00111087" w:rsidRDefault="007235EF" w:rsidP="007235EF">
      <w:pPr>
        <w:pStyle w:val="Quote"/>
        <w:rPr>
          <w:lang w:val="en-US"/>
        </w:rPr>
      </w:pPr>
      <w:r w:rsidRPr="00111087">
        <w:rPr>
          <w:lang w:val="en-US"/>
        </w:rPr>
        <w:t>I think also one of the strengths of the way in which the Community Services Directorate has now structured and organised the Office of Aboriginal and Torres Strait Islander Affairs is that it will allow us as a service to engage more coherently with the community, using the links that Ms Forester and her colleagues have, at a much more immediate way than we do perhaps from Chief Minister and Treasury.</w:t>
      </w:r>
    </w:p>
    <w:p w:rsidR="007235EF" w:rsidRDefault="007235EF" w:rsidP="007235EF">
      <w:pPr>
        <w:pStyle w:val="Quote"/>
        <w:rPr>
          <w:lang w:val="en-US"/>
        </w:rPr>
      </w:pPr>
      <w:r w:rsidRPr="00111087">
        <w:rPr>
          <w:b/>
          <w:lang w:val="en-US"/>
        </w:rPr>
        <w:t>Mr Byles</w:t>
      </w:r>
      <w:r w:rsidRPr="00111087">
        <w:rPr>
          <w:lang w:val="en-US"/>
        </w:rPr>
        <w:t xml:space="preserve">: Again, could I just add, it is about connecting and ensuring that we are committed to achieving good outcomes, tangible outcomes. Notwithstanding what I mentioned about the cultural training, can I say we have developed, certainly in my time over the past few years, some very strong and close links with the </w:t>
      </w:r>
      <w:r w:rsidR="00323080">
        <w:rPr>
          <w:lang w:val="en-US"/>
        </w:rPr>
        <w:t xml:space="preserve">Elected Body </w:t>
      </w:r>
      <w:r w:rsidRPr="00111087">
        <w:rPr>
          <w:lang w:val="en-US"/>
        </w:rPr>
        <w:t xml:space="preserve">. I know that that has developed and matured in the period of the last few years to the point that I know directors-general meet regularly with their portfolio representatives. For the very first time, I am sure, the </w:t>
      </w:r>
      <w:r w:rsidR="00323080">
        <w:rPr>
          <w:lang w:val="en-US"/>
        </w:rPr>
        <w:t xml:space="preserve">Elected Body </w:t>
      </w:r>
      <w:r w:rsidRPr="00111087">
        <w:rPr>
          <w:lang w:val="en-US"/>
        </w:rPr>
        <w:t xml:space="preserve"> attended the strategic board meeting two weeks ago and we had the opportunity to discuss issues that were of concern to them, many of which are reflected in the submission.</w:t>
      </w:r>
      <w:r w:rsidR="009F1035">
        <w:rPr>
          <w:rStyle w:val="FootnoteReference"/>
          <w:lang w:val="en-US"/>
        </w:rPr>
        <w:footnoteReference w:id="85"/>
      </w:r>
    </w:p>
    <w:p w:rsidR="000C7575" w:rsidRDefault="000C7575" w:rsidP="007235EF">
      <w:pPr>
        <w:pStyle w:val="Quote"/>
        <w:rPr>
          <w:lang w:val="en-US"/>
        </w:rPr>
      </w:pPr>
    </w:p>
    <w:p w:rsidR="000C7575" w:rsidRPr="00111087" w:rsidRDefault="000C7575" w:rsidP="007235EF">
      <w:pPr>
        <w:pStyle w:val="Quote"/>
        <w:rPr>
          <w:lang w:val="en-US"/>
        </w:rPr>
      </w:pPr>
    </w:p>
    <w:p w:rsidR="007235EF" w:rsidRDefault="007235EF" w:rsidP="007235EF">
      <w:pPr>
        <w:pStyle w:val="Bodytext"/>
      </w:pPr>
      <w:r>
        <w:t xml:space="preserve">And later: </w:t>
      </w:r>
    </w:p>
    <w:p w:rsidR="007235EF" w:rsidRDefault="007235EF" w:rsidP="007235EF">
      <w:pPr>
        <w:pStyle w:val="Quote"/>
      </w:pPr>
      <w:r w:rsidRPr="009F1035">
        <w:rPr>
          <w:b/>
          <w:lang w:val="en-US"/>
        </w:rPr>
        <w:t>Ms Forester:</w:t>
      </w:r>
      <w:r>
        <w:rPr>
          <w:spacing w:val="55"/>
        </w:rPr>
        <w:t xml:space="preserve"> </w:t>
      </w:r>
      <w:r w:rsidRPr="00111087">
        <w:rPr>
          <w:lang w:val="en-US"/>
        </w:rPr>
        <w:t>I would like to talk directly to your question about engaging with community and cross-cultural awareness training. The majority of directorates in their</w:t>
      </w:r>
      <w:r>
        <w:rPr>
          <w:spacing w:val="79"/>
        </w:rPr>
        <w:t xml:space="preserve"> </w:t>
      </w:r>
      <w:r>
        <w:t>reconciliation</w:t>
      </w:r>
      <w:r>
        <w:rPr>
          <w:spacing w:val="38"/>
        </w:rPr>
        <w:t xml:space="preserve"> </w:t>
      </w:r>
      <w:r>
        <w:t>action</w:t>
      </w:r>
      <w:r>
        <w:rPr>
          <w:spacing w:val="38"/>
        </w:rPr>
        <w:t xml:space="preserve"> </w:t>
      </w:r>
      <w:r>
        <w:t>plans</w:t>
      </w:r>
      <w:r>
        <w:rPr>
          <w:spacing w:val="38"/>
        </w:rPr>
        <w:t xml:space="preserve"> </w:t>
      </w:r>
      <w:r>
        <w:t>do</w:t>
      </w:r>
      <w:r>
        <w:rPr>
          <w:spacing w:val="38"/>
        </w:rPr>
        <w:t xml:space="preserve"> </w:t>
      </w:r>
      <w:r>
        <w:t>have</w:t>
      </w:r>
      <w:r>
        <w:rPr>
          <w:spacing w:val="39"/>
        </w:rPr>
        <w:t xml:space="preserve"> </w:t>
      </w:r>
      <w:r>
        <w:t>commitments</w:t>
      </w:r>
      <w:r>
        <w:rPr>
          <w:spacing w:val="38"/>
        </w:rPr>
        <w:t xml:space="preserve"> </w:t>
      </w:r>
      <w:r>
        <w:t>towards</w:t>
      </w:r>
      <w:r>
        <w:rPr>
          <w:spacing w:val="37"/>
        </w:rPr>
        <w:t xml:space="preserve"> </w:t>
      </w:r>
      <w:r>
        <w:t>cross-cultural</w:t>
      </w:r>
      <w:r>
        <w:rPr>
          <w:spacing w:val="41"/>
        </w:rPr>
        <w:t xml:space="preserve"> </w:t>
      </w:r>
      <w:r>
        <w:t>training</w:t>
      </w:r>
      <w:r>
        <w:rPr>
          <w:spacing w:val="35"/>
        </w:rPr>
        <w:t xml:space="preserve"> </w:t>
      </w:r>
      <w:r>
        <w:rPr>
          <w:spacing w:val="1"/>
        </w:rPr>
        <w:t>or</w:t>
      </w:r>
      <w:r>
        <w:rPr>
          <w:spacing w:val="75"/>
        </w:rPr>
        <w:t xml:space="preserve"> </w:t>
      </w:r>
      <w:r>
        <w:t>cultural</w:t>
      </w:r>
      <w:r>
        <w:rPr>
          <w:spacing w:val="19"/>
        </w:rPr>
        <w:t xml:space="preserve"> </w:t>
      </w:r>
      <w:r>
        <w:t>awareness</w:t>
      </w:r>
      <w:r>
        <w:rPr>
          <w:spacing w:val="19"/>
        </w:rPr>
        <w:t xml:space="preserve"> </w:t>
      </w:r>
      <w:r>
        <w:t>training.</w:t>
      </w:r>
      <w:r>
        <w:rPr>
          <w:spacing w:val="18"/>
        </w:rPr>
        <w:t xml:space="preserve"> </w:t>
      </w:r>
      <w:r>
        <w:t>From</w:t>
      </w:r>
      <w:r>
        <w:rPr>
          <w:spacing w:val="18"/>
        </w:rPr>
        <w:t xml:space="preserve"> </w:t>
      </w:r>
      <w:r>
        <w:t>the</w:t>
      </w:r>
      <w:r>
        <w:rPr>
          <w:spacing w:val="18"/>
        </w:rPr>
        <w:t xml:space="preserve"> </w:t>
      </w:r>
      <w:r>
        <w:t>directorate</w:t>
      </w:r>
      <w:r>
        <w:rPr>
          <w:spacing w:val="18"/>
        </w:rPr>
        <w:t xml:space="preserve"> </w:t>
      </w:r>
      <w:r>
        <w:t>that</w:t>
      </w:r>
      <w:r>
        <w:rPr>
          <w:spacing w:val="18"/>
        </w:rPr>
        <w:t xml:space="preserve"> </w:t>
      </w:r>
      <w:r>
        <w:t>we</w:t>
      </w:r>
      <w:r>
        <w:rPr>
          <w:spacing w:val="17"/>
        </w:rPr>
        <w:t xml:space="preserve"> </w:t>
      </w:r>
      <w:r>
        <w:t>sit</w:t>
      </w:r>
      <w:r>
        <w:rPr>
          <w:spacing w:val="19"/>
        </w:rPr>
        <w:t xml:space="preserve"> </w:t>
      </w:r>
      <w:r>
        <w:t>in,</w:t>
      </w:r>
      <w:r>
        <w:rPr>
          <w:spacing w:val="19"/>
        </w:rPr>
        <w:t xml:space="preserve"> </w:t>
      </w:r>
      <w:r>
        <w:t>which</w:t>
      </w:r>
      <w:r>
        <w:rPr>
          <w:spacing w:val="18"/>
        </w:rPr>
        <w:t xml:space="preserve"> </w:t>
      </w:r>
      <w:r>
        <w:t>is</w:t>
      </w:r>
      <w:r>
        <w:rPr>
          <w:spacing w:val="16"/>
        </w:rPr>
        <w:t xml:space="preserve"> </w:t>
      </w:r>
      <w:r>
        <w:t>Community</w:t>
      </w:r>
      <w:r>
        <w:rPr>
          <w:spacing w:val="65"/>
        </w:rPr>
        <w:t xml:space="preserve"> </w:t>
      </w:r>
      <w:r>
        <w:t>Services</w:t>
      </w:r>
      <w:r>
        <w:rPr>
          <w:spacing w:val="50"/>
        </w:rPr>
        <w:t xml:space="preserve"> </w:t>
      </w:r>
      <w:r>
        <w:t>Directorate,</w:t>
      </w:r>
      <w:r>
        <w:rPr>
          <w:spacing w:val="49"/>
        </w:rPr>
        <w:t xml:space="preserve"> </w:t>
      </w:r>
      <w:r>
        <w:t>we</w:t>
      </w:r>
      <w:r>
        <w:rPr>
          <w:spacing w:val="50"/>
        </w:rPr>
        <w:t xml:space="preserve"> </w:t>
      </w:r>
      <w:r>
        <w:t>do</w:t>
      </w:r>
      <w:r>
        <w:rPr>
          <w:spacing w:val="50"/>
        </w:rPr>
        <w:t xml:space="preserve"> </w:t>
      </w:r>
      <w:r>
        <w:t>run</w:t>
      </w:r>
      <w:r>
        <w:rPr>
          <w:spacing w:val="49"/>
        </w:rPr>
        <w:t xml:space="preserve"> </w:t>
      </w:r>
      <w:r>
        <w:t>regular</w:t>
      </w:r>
      <w:r>
        <w:rPr>
          <w:spacing w:val="48"/>
        </w:rPr>
        <w:t xml:space="preserve"> </w:t>
      </w:r>
      <w:r>
        <w:t>training</w:t>
      </w:r>
      <w:r>
        <w:rPr>
          <w:spacing w:val="50"/>
        </w:rPr>
        <w:t xml:space="preserve"> </w:t>
      </w:r>
      <w:r>
        <w:t>for</w:t>
      </w:r>
      <w:r>
        <w:rPr>
          <w:spacing w:val="48"/>
        </w:rPr>
        <w:t xml:space="preserve"> </w:t>
      </w:r>
      <w:r>
        <w:t>working</w:t>
      </w:r>
      <w:r>
        <w:rPr>
          <w:spacing w:val="48"/>
        </w:rPr>
        <w:t xml:space="preserve"> </w:t>
      </w:r>
      <w:r>
        <w:t>with</w:t>
      </w:r>
      <w:r>
        <w:rPr>
          <w:spacing w:val="50"/>
        </w:rPr>
        <w:t xml:space="preserve"> </w:t>
      </w:r>
      <w:r>
        <w:t>Aboriginal</w:t>
      </w:r>
      <w:r>
        <w:rPr>
          <w:spacing w:val="50"/>
        </w:rPr>
        <w:t xml:space="preserve"> </w:t>
      </w:r>
      <w:r>
        <w:t>and Torres Strait</w:t>
      </w:r>
      <w:r>
        <w:rPr>
          <w:spacing w:val="2"/>
        </w:rPr>
        <w:t xml:space="preserve"> </w:t>
      </w:r>
      <w:r>
        <w:t xml:space="preserve">Islander people, which is a </w:t>
      </w:r>
      <w:r>
        <w:rPr>
          <w:spacing w:val="1"/>
        </w:rPr>
        <w:t>key</w:t>
      </w:r>
      <w:r>
        <w:rPr>
          <w:spacing w:val="-5"/>
        </w:rPr>
        <w:t xml:space="preserve"> </w:t>
      </w:r>
      <w:r>
        <w:t>focus</w:t>
      </w:r>
      <w:r>
        <w:rPr>
          <w:spacing w:val="2"/>
        </w:rPr>
        <w:t xml:space="preserve"> </w:t>
      </w:r>
      <w:r>
        <w:t>of the training</w:t>
      </w:r>
      <w:r>
        <w:rPr>
          <w:spacing w:val="-3"/>
        </w:rPr>
        <w:t xml:space="preserve"> </w:t>
      </w:r>
      <w:r>
        <w:t xml:space="preserve">that we are doing.  </w:t>
      </w:r>
    </w:p>
    <w:p w:rsidR="007235EF" w:rsidRDefault="007235EF" w:rsidP="007235EF">
      <w:pPr>
        <w:pStyle w:val="Quote"/>
      </w:pPr>
      <w:r>
        <w:t xml:space="preserve">A major piece </w:t>
      </w:r>
      <w:r>
        <w:rPr>
          <w:spacing w:val="1"/>
        </w:rPr>
        <w:t>of</w:t>
      </w:r>
      <w:r>
        <w:t xml:space="preserve"> work</w:t>
      </w:r>
      <w:r>
        <w:rPr>
          <w:spacing w:val="2"/>
        </w:rPr>
        <w:t xml:space="preserve"> </w:t>
      </w:r>
      <w:r>
        <w:t>that the Office</w:t>
      </w:r>
      <w:r>
        <w:rPr>
          <w:spacing w:val="1"/>
        </w:rPr>
        <w:t xml:space="preserve"> </w:t>
      </w:r>
      <w:r>
        <w:t>for</w:t>
      </w:r>
      <w:r>
        <w:rPr>
          <w:spacing w:val="1"/>
        </w:rPr>
        <w:t xml:space="preserve"> </w:t>
      </w:r>
      <w:r>
        <w:t>Aboriginal and Torres Strait</w:t>
      </w:r>
      <w:r>
        <w:rPr>
          <w:spacing w:val="2"/>
        </w:rPr>
        <w:t xml:space="preserve"> </w:t>
      </w:r>
      <w:r>
        <w:t>Islander Affairs</w:t>
      </w:r>
      <w:r>
        <w:rPr>
          <w:spacing w:val="65"/>
        </w:rPr>
        <w:t xml:space="preserve"> </w:t>
      </w:r>
      <w:r>
        <w:t>is</w:t>
      </w:r>
      <w:r>
        <w:rPr>
          <w:spacing w:val="50"/>
        </w:rPr>
        <w:t xml:space="preserve"> </w:t>
      </w:r>
      <w:r>
        <w:t>working</w:t>
      </w:r>
      <w:r>
        <w:rPr>
          <w:spacing w:val="48"/>
        </w:rPr>
        <w:t xml:space="preserve"> </w:t>
      </w:r>
      <w:r>
        <w:t>on</w:t>
      </w:r>
      <w:r>
        <w:rPr>
          <w:spacing w:val="50"/>
        </w:rPr>
        <w:t xml:space="preserve"> </w:t>
      </w:r>
      <w:r>
        <w:t>at</w:t>
      </w:r>
      <w:r>
        <w:rPr>
          <w:spacing w:val="50"/>
        </w:rPr>
        <w:t xml:space="preserve"> </w:t>
      </w:r>
      <w:r>
        <w:t>the</w:t>
      </w:r>
      <w:r>
        <w:rPr>
          <w:spacing w:val="49"/>
        </w:rPr>
        <w:t xml:space="preserve"> </w:t>
      </w:r>
      <w:r>
        <w:t>moment</w:t>
      </w:r>
      <w:r>
        <w:rPr>
          <w:spacing w:val="50"/>
        </w:rPr>
        <w:t xml:space="preserve"> </w:t>
      </w:r>
      <w:r>
        <w:t>is</w:t>
      </w:r>
      <w:r>
        <w:rPr>
          <w:spacing w:val="50"/>
        </w:rPr>
        <w:t xml:space="preserve"> </w:t>
      </w:r>
      <w:r>
        <w:t>a</w:t>
      </w:r>
      <w:r>
        <w:rPr>
          <w:spacing w:val="49"/>
        </w:rPr>
        <w:t xml:space="preserve"> </w:t>
      </w:r>
      <w:r>
        <w:t>whole-of-government</w:t>
      </w:r>
      <w:r>
        <w:rPr>
          <w:spacing w:val="50"/>
        </w:rPr>
        <w:t xml:space="preserve"> </w:t>
      </w:r>
      <w:r>
        <w:t>agreement</w:t>
      </w:r>
      <w:r>
        <w:rPr>
          <w:spacing w:val="50"/>
        </w:rPr>
        <w:t xml:space="preserve"> </w:t>
      </w:r>
      <w:r>
        <w:t>which</w:t>
      </w:r>
      <w:r>
        <w:rPr>
          <w:spacing w:val="49"/>
        </w:rPr>
        <w:t xml:space="preserve"> </w:t>
      </w:r>
      <w:r>
        <w:t>will</w:t>
      </w:r>
      <w:r>
        <w:rPr>
          <w:spacing w:val="50"/>
        </w:rPr>
        <w:t xml:space="preserve"> </w:t>
      </w:r>
      <w:r>
        <w:t>be</w:t>
      </w:r>
      <w:r>
        <w:rPr>
          <w:spacing w:val="63"/>
        </w:rPr>
        <w:t xml:space="preserve"> </w:t>
      </w:r>
      <w:r>
        <w:t>commencing</w:t>
      </w:r>
      <w:r>
        <w:rPr>
          <w:spacing w:val="16"/>
        </w:rPr>
        <w:t xml:space="preserve"> </w:t>
      </w:r>
      <w:r>
        <w:t>that</w:t>
      </w:r>
      <w:r>
        <w:rPr>
          <w:spacing w:val="21"/>
        </w:rPr>
        <w:t xml:space="preserve"> </w:t>
      </w:r>
      <w:r>
        <w:t>conversation</w:t>
      </w:r>
      <w:r>
        <w:rPr>
          <w:spacing w:val="18"/>
        </w:rPr>
        <w:t xml:space="preserve"> </w:t>
      </w:r>
      <w:r>
        <w:t>for</w:t>
      </w:r>
      <w:r>
        <w:rPr>
          <w:spacing w:val="19"/>
        </w:rPr>
        <w:t xml:space="preserve"> </w:t>
      </w:r>
      <w:r>
        <w:t>a</w:t>
      </w:r>
      <w:r>
        <w:rPr>
          <w:spacing w:val="20"/>
        </w:rPr>
        <w:t xml:space="preserve"> </w:t>
      </w:r>
      <w:r>
        <w:t>good</w:t>
      </w:r>
      <w:r>
        <w:rPr>
          <w:spacing w:val="21"/>
        </w:rPr>
        <w:t xml:space="preserve"> </w:t>
      </w:r>
      <w:r>
        <w:t>partnership</w:t>
      </w:r>
      <w:r>
        <w:rPr>
          <w:spacing w:val="19"/>
        </w:rPr>
        <w:t xml:space="preserve"> </w:t>
      </w:r>
      <w:r>
        <w:t>with</w:t>
      </w:r>
      <w:r>
        <w:rPr>
          <w:spacing w:val="19"/>
        </w:rPr>
        <w:t xml:space="preserve"> </w:t>
      </w:r>
      <w:r>
        <w:t>community,</w:t>
      </w:r>
      <w:r>
        <w:rPr>
          <w:spacing w:val="21"/>
        </w:rPr>
        <w:t xml:space="preserve"> </w:t>
      </w:r>
      <w:r w:rsidR="00323080">
        <w:t xml:space="preserve">Elected Body </w:t>
      </w:r>
      <w:r>
        <w:rPr>
          <w:spacing w:val="67"/>
        </w:rPr>
        <w:t xml:space="preserve"> </w:t>
      </w:r>
      <w:r>
        <w:t>and</w:t>
      </w:r>
      <w:r>
        <w:rPr>
          <w:spacing w:val="47"/>
        </w:rPr>
        <w:t xml:space="preserve"> </w:t>
      </w:r>
      <w:r>
        <w:t>government</w:t>
      </w:r>
      <w:r>
        <w:rPr>
          <w:spacing w:val="45"/>
        </w:rPr>
        <w:t xml:space="preserve"> </w:t>
      </w:r>
      <w:r>
        <w:t>about</w:t>
      </w:r>
      <w:r>
        <w:rPr>
          <w:spacing w:val="48"/>
        </w:rPr>
        <w:t xml:space="preserve"> </w:t>
      </w:r>
      <w:r>
        <w:t>what</w:t>
      </w:r>
      <w:r>
        <w:rPr>
          <w:spacing w:val="45"/>
        </w:rPr>
        <w:t xml:space="preserve"> </w:t>
      </w:r>
      <w:r>
        <w:t>we</w:t>
      </w:r>
      <w:r>
        <w:rPr>
          <w:spacing w:val="48"/>
        </w:rPr>
        <w:t xml:space="preserve"> </w:t>
      </w:r>
      <w:r>
        <w:t>as</w:t>
      </w:r>
      <w:r>
        <w:rPr>
          <w:spacing w:val="48"/>
        </w:rPr>
        <w:t xml:space="preserve"> </w:t>
      </w:r>
      <w:r>
        <w:t>government</w:t>
      </w:r>
      <w:r>
        <w:rPr>
          <w:spacing w:val="48"/>
        </w:rPr>
        <w:t xml:space="preserve"> </w:t>
      </w:r>
      <w:r>
        <w:t>can</w:t>
      </w:r>
      <w:r>
        <w:rPr>
          <w:spacing w:val="45"/>
        </w:rPr>
        <w:t xml:space="preserve"> </w:t>
      </w:r>
      <w:r>
        <w:t>do</w:t>
      </w:r>
      <w:r>
        <w:rPr>
          <w:spacing w:val="47"/>
        </w:rPr>
        <w:t xml:space="preserve"> </w:t>
      </w:r>
      <w:r>
        <w:t>to</w:t>
      </w:r>
      <w:r>
        <w:rPr>
          <w:spacing w:val="45"/>
        </w:rPr>
        <w:t xml:space="preserve"> </w:t>
      </w:r>
      <w:r>
        <w:t>support</w:t>
      </w:r>
      <w:r>
        <w:rPr>
          <w:spacing w:val="45"/>
        </w:rPr>
        <w:t xml:space="preserve"> </w:t>
      </w:r>
      <w:r>
        <w:t>community</w:t>
      </w:r>
      <w:r>
        <w:rPr>
          <w:spacing w:val="40"/>
        </w:rPr>
        <w:t xml:space="preserve"> </w:t>
      </w:r>
      <w:r>
        <w:t>and</w:t>
      </w:r>
      <w:r>
        <w:rPr>
          <w:spacing w:val="55"/>
        </w:rPr>
        <w:t xml:space="preserve"> </w:t>
      </w:r>
      <w:r>
        <w:t>community</w:t>
      </w:r>
      <w:r>
        <w:rPr>
          <w:spacing w:val="6"/>
        </w:rPr>
        <w:t xml:space="preserve"> </w:t>
      </w:r>
      <w:r>
        <w:t>aspirations,</w:t>
      </w:r>
      <w:r>
        <w:rPr>
          <w:spacing w:val="12"/>
        </w:rPr>
        <w:t xml:space="preserve"> </w:t>
      </w:r>
      <w:r>
        <w:t>and</w:t>
      </w:r>
      <w:r>
        <w:rPr>
          <w:spacing w:val="11"/>
        </w:rPr>
        <w:t xml:space="preserve"> </w:t>
      </w:r>
      <w:r>
        <w:t>vice</w:t>
      </w:r>
      <w:r>
        <w:rPr>
          <w:spacing w:val="10"/>
        </w:rPr>
        <w:t xml:space="preserve"> </w:t>
      </w:r>
      <w:r>
        <w:t>versa.</w:t>
      </w:r>
      <w:r>
        <w:rPr>
          <w:spacing w:val="11"/>
        </w:rPr>
        <w:t xml:space="preserve"> </w:t>
      </w:r>
      <w:r>
        <w:t>That</w:t>
      </w:r>
      <w:r>
        <w:rPr>
          <w:spacing w:val="12"/>
        </w:rPr>
        <w:t xml:space="preserve"> </w:t>
      </w:r>
      <w:r>
        <w:t>is</w:t>
      </w:r>
      <w:r>
        <w:rPr>
          <w:spacing w:val="12"/>
        </w:rPr>
        <w:t xml:space="preserve"> </w:t>
      </w:r>
      <w:r>
        <w:t>a</w:t>
      </w:r>
      <w:r>
        <w:rPr>
          <w:spacing w:val="13"/>
        </w:rPr>
        <w:t xml:space="preserve"> </w:t>
      </w:r>
      <w:r>
        <w:t>great</w:t>
      </w:r>
      <w:r>
        <w:rPr>
          <w:spacing w:val="12"/>
        </w:rPr>
        <w:t xml:space="preserve"> </w:t>
      </w:r>
      <w:r>
        <w:t>place</w:t>
      </w:r>
      <w:r>
        <w:rPr>
          <w:spacing w:val="10"/>
        </w:rPr>
        <w:t xml:space="preserve"> </w:t>
      </w:r>
      <w:r>
        <w:t>to</w:t>
      </w:r>
      <w:r>
        <w:rPr>
          <w:spacing w:val="12"/>
        </w:rPr>
        <w:t xml:space="preserve"> </w:t>
      </w:r>
      <w:r>
        <w:t>start</w:t>
      </w:r>
      <w:r>
        <w:rPr>
          <w:spacing w:val="12"/>
        </w:rPr>
        <w:t xml:space="preserve"> </w:t>
      </w:r>
      <w:r>
        <w:t>that</w:t>
      </w:r>
      <w:r>
        <w:rPr>
          <w:spacing w:val="11"/>
        </w:rPr>
        <w:t xml:space="preserve"> </w:t>
      </w:r>
      <w:r>
        <w:t>conversation</w:t>
      </w:r>
      <w:r>
        <w:rPr>
          <w:spacing w:val="63"/>
        </w:rPr>
        <w:t xml:space="preserve"> </w:t>
      </w:r>
      <w:r>
        <w:t>with</w:t>
      </w:r>
      <w:r>
        <w:rPr>
          <w:spacing w:val="21"/>
        </w:rPr>
        <w:t xml:space="preserve"> </w:t>
      </w:r>
      <w:r>
        <w:t>community</w:t>
      </w:r>
      <w:r>
        <w:rPr>
          <w:spacing w:val="18"/>
        </w:rPr>
        <w:t xml:space="preserve"> </w:t>
      </w:r>
      <w:r>
        <w:t>and</w:t>
      </w:r>
      <w:r>
        <w:rPr>
          <w:spacing w:val="21"/>
        </w:rPr>
        <w:t xml:space="preserve"> </w:t>
      </w:r>
      <w:r>
        <w:t>to</w:t>
      </w:r>
      <w:r>
        <w:rPr>
          <w:spacing w:val="24"/>
        </w:rPr>
        <w:t xml:space="preserve"> </w:t>
      </w:r>
      <w:r>
        <w:rPr>
          <w:spacing w:val="-2"/>
        </w:rPr>
        <w:t>get</w:t>
      </w:r>
      <w:r>
        <w:rPr>
          <w:spacing w:val="24"/>
        </w:rPr>
        <w:t xml:space="preserve"> </w:t>
      </w:r>
      <w:r>
        <w:t>members</w:t>
      </w:r>
      <w:r>
        <w:rPr>
          <w:spacing w:val="23"/>
        </w:rPr>
        <w:t xml:space="preserve"> </w:t>
      </w:r>
      <w:r>
        <w:t>of</w:t>
      </w:r>
      <w:r>
        <w:rPr>
          <w:spacing w:val="20"/>
        </w:rPr>
        <w:t xml:space="preserve"> </w:t>
      </w:r>
      <w:r>
        <w:t>the</w:t>
      </w:r>
      <w:r>
        <w:rPr>
          <w:spacing w:val="20"/>
        </w:rPr>
        <w:t xml:space="preserve"> </w:t>
      </w:r>
      <w:r>
        <w:t>community</w:t>
      </w:r>
      <w:r>
        <w:rPr>
          <w:spacing w:val="16"/>
        </w:rPr>
        <w:t xml:space="preserve"> </w:t>
      </w:r>
      <w:r>
        <w:t>involved</w:t>
      </w:r>
      <w:r>
        <w:rPr>
          <w:spacing w:val="21"/>
        </w:rPr>
        <w:t xml:space="preserve"> </w:t>
      </w:r>
      <w:r>
        <w:t>who</w:t>
      </w:r>
      <w:r>
        <w:rPr>
          <w:spacing w:val="23"/>
        </w:rPr>
        <w:t xml:space="preserve"> </w:t>
      </w:r>
      <w:r>
        <w:rPr>
          <w:spacing w:val="1"/>
        </w:rPr>
        <w:t>may</w:t>
      </w:r>
      <w:r>
        <w:rPr>
          <w:spacing w:val="18"/>
        </w:rPr>
        <w:t xml:space="preserve"> </w:t>
      </w:r>
      <w:r>
        <w:t>not</w:t>
      </w:r>
      <w:r>
        <w:rPr>
          <w:spacing w:val="21"/>
        </w:rPr>
        <w:t xml:space="preserve"> </w:t>
      </w:r>
      <w:r>
        <w:t>have</w:t>
      </w:r>
      <w:r>
        <w:rPr>
          <w:spacing w:val="50"/>
        </w:rPr>
        <w:t xml:space="preserve"> </w:t>
      </w:r>
      <w:r>
        <w:t>been</w:t>
      </w:r>
      <w:r>
        <w:rPr>
          <w:spacing w:val="57"/>
        </w:rPr>
        <w:t xml:space="preserve"> </w:t>
      </w:r>
      <w:r>
        <w:t>engaged</w:t>
      </w:r>
      <w:r>
        <w:rPr>
          <w:spacing w:val="57"/>
        </w:rPr>
        <w:t xml:space="preserve"> </w:t>
      </w:r>
      <w:r>
        <w:t>with</w:t>
      </w:r>
      <w:r>
        <w:rPr>
          <w:spacing w:val="57"/>
        </w:rPr>
        <w:t xml:space="preserve"> </w:t>
      </w:r>
      <w:r>
        <w:t>ACT</w:t>
      </w:r>
      <w:r>
        <w:rPr>
          <w:spacing w:val="57"/>
        </w:rPr>
        <w:t xml:space="preserve"> </w:t>
      </w:r>
      <w:r>
        <w:t>government</w:t>
      </w:r>
      <w:r>
        <w:rPr>
          <w:spacing w:val="57"/>
        </w:rPr>
        <w:t xml:space="preserve"> </w:t>
      </w:r>
      <w:r>
        <w:t>previously</w:t>
      </w:r>
      <w:r>
        <w:rPr>
          <w:spacing w:val="58"/>
        </w:rPr>
        <w:t xml:space="preserve"> </w:t>
      </w:r>
      <w:r>
        <w:t>as</w:t>
      </w:r>
      <w:r>
        <w:rPr>
          <w:spacing w:val="57"/>
        </w:rPr>
        <w:t xml:space="preserve"> </w:t>
      </w:r>
      <w:r>
        <w:t>part</w:t>
      </w:r>
      <w:r>
        <w:rPr>
          <w:spacing w:val="57"/>
        </w:rPr>
        <w:t xml:space="preserve"> </w:t>
      </w:r>
      <w:r>
        <w:t>of</w:t>
      </w:r>
      <w:r>
        <w:rPr>
          <w:spacing w:val="56"/>
        </w:rPr>
        <w:t xml:space="preserve"> </w:t>
      </w:r>
      <w:r>
        <w:t>that</w:t>
      </w:r>
      <w:r>
        <w:rPr>
          <w:spacing w:val="57"/>
        </w:rPr>
        <w:t xml:space="preserve"> </w:t>
      </w:r>
      <w:r>
        <w:t>conversation</w:t>
      </w:r>
      <w:r>
        <w:rPr>
          <w:spacing w:val="57"/>
        </w:rPr>
        <w:t xml:space="preserve"> </w:t>
      </w:r>
      <w:r>
        <w:t>and</w:t>
      </w:r>
      <w:r>
        <w:rPr>
          <w:spacing w:val="55"/>
        </w:rPr>
        <w:t xml:space="preserve"> </w:t>
      </w:r>
      <w:r>
        <w:t>partnership.</w:t>
      </w:r>
      <w:r w:rsidR="009F1035">
        <w:rPr>
          <w:rStyle w:val="FootnoteReference"/>
        </w:rPr>
        <w:footnoteReference w:id="86"/>
      </w:r>
    </w:p>
    <w:p w:rsidR="00C96176" w:rsidRDefault="007235EF" w:rsidP="007235EF">
      <w:pPr>
        <w:pStyle w:val="Bodytext"/>
      </w:pPr>
      <w:r>
        <w:t xml:space="preserve">The Committee acknowledges that the ACTPS </w:t>
      </w:r>
      <w:r w:rsidR="009F1035">
        <w:t xml:space="preserve">undertakes </w:t>
      </w:r>
      <w:r>
        <w:t xml:space="preserve">some cross-cultural training for its staff but is not convinced of its adequacy. </w:t>
      </w:r>
      <w:r w:rsidR="0039175B">
        <w:t xml:space="preserve"> The Committee was </w:t>
      </w:r>
      <w:r w:rsidR="009F1035">
        <w:t xml:space="preserve">concerned </w:t>
      </w:r>
      <w:r w:rsidR="00C96176">
        <w:t xml:space="preserve">to hear </w:t>
      </w:r>
      <w:r w:rsidR="0039175B">
        <w:t xml:space="preserve">that </w:t>
      </w:r>
      <w:r w:rsidR="00C96176">
        <w:t xml:space="preserve">some employees received </w:t>
      </w:r>
      <w:r w:rsidR="0039175B">
        <w:t xml:space="preserve">cross-cultural </w:t>
      </w:r>
      <w:r w:rsidR="00C96176">
        <w:t>by means of sitting at a computer for an hour.  That said the Committee recognises organisation</w:t>
      </w:r>
      <w:r w:rsidR="001905F5">
        <w:t>s</w:t>
      </w:r>
      <w:r w:rsidR="00C96176">
        <w:t xml:space="preserve"> such as Reconciliation Australia have developed impressive educational material that include videos.</w:t>
      </w:r>
      <w:r w:rsidR="00C96176">
        <w:rPr>
          <w:rStyle w:val="FootnoteReference"/>
        </w:rPr>
        <w:footnoteReference w:id="87"/>
      </w:r>
      <w:r w:rsidR="00C96176">
        <w:t xml:space="preserve"> </w:t>
      </w:r>
    </w:p>
    <w:p w:rsidR="0039175B" w:rsidRDefault="0039175B" w:rsidP="007235EF">
      <w:pPr>
        <w:pStyle w:val="Bodytext"/>
      </w:pPr>
      <w:r>
        <w:t xml:space="preserve">The Committee believes </w:t>
      </w:r>
      <w:r w:rsidR="00C96176">
        <w:t xml:space="preserve">cross-cultural training which incorporates learning and development about Indigenous culture to be of paramount importance.  Moreover, </w:t>
      </w:r>
      <w:r>
        <w:t xml:space="preserve">this is one area where the </w:t>
      </w:r>
      <w:r w:rsidR="00C96176">
        <w:t>Committee believes</w:t>
      </w:r>
      <w:r w:rsidR="009F1035">
        <w:t xml:space="preserve"> the</w:t>
      </w:r>
      <w:r w:rsidR="00C96176">
        <w:t xml:space="preserve"> </w:t>
      </w:r>
      <w:r>
        <w:t xml:space="preserve">ACTPS should </w:t>
      </w:r>
      <w:r w:rsidR="00C96176">
        <w:t>be an exemplar.</w:t>
      </w:r>
      <w:r>
        <w:t xml:space="preserve"> </w:t>
      </w:r>
    </w:p>
    <w:p w:rsidR="0039175B" w:rsidRDefault="0039175B" w:rsidP="0039175B">
      <w:pPr>
        <w:pStyle w:val="Recommendation"/>
      </w:pPr>
      <w:bookmarkStart w:id="106" w:name="_Toc384024386"/>
      <w:bookmarkEnd w:id="106"/>
    </w:p>
    <w:p w:rsidR="00C96176" w:rsidRDefault="0039175B" w:rsidP="0039175B">
      <w:pPr>
        <w:pStyle w:val="RecommendationText"/>
      </w:pPr>
      <w:bookmarkStart w:id="107" w:name="_Toc384024387"/>
      <w:r>
        <w:t xml:space="preserve">The Committee recommends that the </w:t>
      </w:r>
      <w:r w:rsidR="00323080">
        <w:t xml:space="preserve">ACT Public Service </w:t>
      </w:r>
      <w:r>
        <w:t>review its cross-cultural training and take necessary steps to ensure it is of the highest standard</w:t>
      </w:r>
      <w:r w:rsidR="00A173A1">
        <w:t xml:space="preserve">, </w:t>
      </w:r>
      <w:r w:rsidR="00441E2F">
        <w:t xml:space="preserve">with </w:t>
      </w:r>
      <w:r w:rsidR="00A173A1">
        <w:t>benchmarking as appropriate</w:t>
      </w:r>
      <w:r w:rsidR="00C96176">
        <w:t>.</w:t>
      </w:r>
      <w:bookmarkEnd w:id="107"/>
      <w:r w:rsidR="00C96176">
        <w:t xml:space="preserve"> </w:t>
      </w:r>
    </w:p>
    <w:p w:rsidR="00815058" w:rsidRPr="00815058" w:rsidRDefault="00815058" w:rsidP="00815058">
      <w:pPr>
        <w:pStyle w:val="Bodytext"/>
        <w:numPr>
          <w:ilvl w:val="0"/>
          <w:numId w:val="0"/>
        </w:numPr>
        <w:ind w:left="425"/>
      </w:pPr>
    </w:p>
    <w:p w:rsidR="002C445E" w:rsidRPr="002C445E" w:rsidRDefault="002C445E" w:rsidP="002C445E">
      <w:pPr>
        <w:pStyle w:val="Recommendation"/>
      </w:pPr>
      <w:bookmarkStart w:id="108" w:name="_Toc384024388"/>
      <w:bookmarkEnd w:id="108"/>
    </w:p>
    <w:p w:rsidR="00A173A1" w:rsidRDefault="00C96176" w:rsidP="0039175B">
      <w:pPr>
        <w:pStyle w:val="RecommendationText"/>
      </w:pPr>
      <w:bookmarkStart w:id="109" w:name="_Toc384024389"/>
      <w:r>
        <w:t xml:space="preserve">The Committee recommends that the </w:t>
      </w:r>
      <w:r w:rsidR="00323080">
        <w:t xml:space="preserve">ACT Public Service </w:t>
      </w:r>
      <w:r>
        <w:t>ensure all staff undertake cross-cultural</w:t>
      </w:r>
      <w:r w:rsidR="00A80D24">
        <w:t xml:space="preserve"> </w:t>
      </w:r>
      <w:r>
        <w:t xml:space="preserve">training </w:t>
      </w:r>
      <w:r w:rsidR="00A80D24">
        <w:t>so that they all possess high levels of cultural competence and that data on this training together with an assessment of its impact be reported in directorate and agency annual reports</w:t>
      </w:r>
      <w:r>
        <w:t>.</w:t>
      </w:r>
      <w:bookmarkEnd w:id="109"/>
    </w:p>
    <w:p w:rsidR="007723FA" w:rsidRDefault="007723FA" w:rsidP="007723FA">
      <w:pPr>
        <w:pStyle w:val="Recommendation"/>
      </w:pPr>
      <w:bookmarkStart w:id="110" w:name="_Toc384024390"/>
      <w:bookmarkEnd w:id="110"/>
    </w:p>
    <w:p w:rsidR="007723FA" w:rsidRPr="00C305A7" w:rsidRDefault="007723FA" w:rsidP="00C305A7">
      <w:pPr>
        <w:pStyle w:val="RecommendationText"/>
      </w:pPr>
      <w:bookmarkStart w:id="111" w:name="_Toc384024391"/>
      <w:r w:rsidRPr="00C305A7">
        <w:t xml:space="preserve">The Committee recommends that the </w:t>
      </w:r>
      <w:r w:rsidR="00323080" w:rsidRPr="00C305A7">
        <w:t xml:space="preserve">ACT Public Service </w:t>
      </w:r>
      <w:r w:rsidR="00C03C1C" w:rsidRPr="00C305A7">
        <w:t xml:space="preserve">ensure all work environments are properly prepared for new Aboriginal and Torres Strait Islander employees.  This may mean additional cross-cultural </w:t>
      </w:r>
      <w:r w:rsidRPr="00C305A7">
        <w:t xml:space="preserve">training programs </w:t>
      </w:r>
      <w:r w:rsidR="00C03C1C" w:rsidRPr="00C305A7">
        <w:t xml:space="preserve">for </w:t>
      </w:r>
      <w:r w:rsidR="00C305A7" w:rsidRPr="00C305A7">
        <w:t xml:space="preserve">the </w:t>
      </w:r>
      <w:r w:rsidRPr="00C305A7">
        <w:t xml:space="preserve">managers </w:t>
      </w:r>
      <w:r w:rsidR="00C305A7" w:rsidRPr="00C305A7">
        <w:t xml:space="preserve">and/or supervisors </w:t>
      </w:r>
      <w:r w:rsidRPr="00C305A7">
        <w:t>of Aboriginal and Torres Strait Islander employees.</w:t>
      </w:r>
      <w:bookmarkEnd w:id="111"/>
    </w:p>
    <w:p w:rsidR="002C445E" w:rsidRPr="002C445E" w:rsidRDefault="002C445E" w:rsidP="002C445E">
      <w:pPr>
        <w:pStyle w:val="Recommendation"/>
      </w:pPr>
      <w:bookmarkStart w:id="112" w:name="_Toc384024392"/>
      <w:bookmarkEnd w:id="112"/>
    </w:p>
    <w:p w:rsidR="007723FA" w:rsidRDefault="00A173A1" w:rsidP="00C305A7">
      <w:pPr>
        <w:pStyle w:val="RecommendationText"/>
      </w:pPr>
      <w:bookmarkStart w:id="113" w:name="_Toc384024393"/>
      <w:r>
        <w:t xml:space="preserve">The Committee recommends that, until the end of the current </w:t>
      </w:r>
      <w:r w:rsidRPr="004D5416">
        <w:rPr>
          <w:i/>
        </w:rPr>
        <w:t>ACT Employment Strategy for Aboriginal and Torres Strait Islander</w:t>
      </w:r>
      <w:r w:rsidR="001E7D00">
        <w:rPr>
          <w:i/>
        </w:rPr>
        <w:t xml:space="preserve"> P</w:t>
      </w:r>
      <w:r w:rsidRPr="004D5416">
        <w:rPr>
          <w:i/>
        </w:rPr>
        <w:t>eople</w:t>
      </w:r>
      <w:r>
        <w:t xml:space="preserve">, the </w:t>
      </w:r>
      <w:r w:rsidR="00362151">
        <w:t>ACT</w:t>
      </w:r>
      <w:r>
        <w:t xml:space="preserve"> Public Service report to the ACT Aboriginal and Torres Strait Islander </w:t>
      </w:r>
      <w:r w:rsidR="00323080">
        <w:t xml:space="preserve">Elected Body </w:t>
      </w:r>
      <w:r>
        <w:t>on a six-monthly basis providing data and </w:t>
      </w:r>
      <w:r w:rsidR="00581F10">
        <w:t xml:space="preserve">information on the </w:t>
      </w:r>
      <w:r>
        <w:t>effectiveness of cross-cultural training.</w:t>
      </w:r>
      <w:bookmarkEnd w:id="113"/>
      <w:r>
        <w:t xml:space="preserve">  </w:t>
      </w:r>
    </w:p>
    <w:p w:rsidR="007235EF" w:rsidRPr="00B275AE" w:rsidRDefault="007235EF" w:rsidP="00815058">
      <w:pPr>
        <w:pStyle w:val="Headinglevel3"/>
        <w:rPr>
          <w:lang w:eastAsia="en-AU"/>
        </w:rPr>
      </w:pPr>
      <w:r>
        <w:rPr>
          <w:lang w:eastAsia="en-AU"/>
        </w:rPr>
        <w:t>Racism and bullying</w:t>
      </w:r>
    </w:p>
    <w:p w:rsidR="00A173A1" w:rsidRPr="00A173A1" w:rsidRDefault="007235EF" w:rsidP="007235EF">
      <w:pPr>
        <w:pStyle w:val="Bodytext"/>
        <w:rPr>
          <w:lang w:eastAsia="en-AU"/>
        </w:rPr>
      </w:pPr>
      <w:r>
        <w:t xml:space="preserve">Linked to cross-cultural training </w:t>
      </w:r>
      <w:r w:rsidR="00A173A1">
        <w:t xml:space="preserve">are </w:t>
      </w:r>
      <w:r>
        <w:t>the issue</w:t>
      </w:r>
      <w:r w:rsidR="00A173A1">
        <w:t>s</w:t>
      </w:r>
      <w:r>
        <w:t xml:space="preserve"> of racism and bullying, which were examined during the Inquiry.  </w:t>
      </w:r>
    </w:p>
    <w:p w:rsidR="007235EF" w:rsidRDefault="007235EF" w:rsidP="007235EF">
      <w:pPr>
        <w:pStyle w:val="Bodytext"/>
        <w:rPr>
          <w:lang w:eastAsia="en-AU"/>
        </w:rPr>
      </w:pPr>
      <w:r w:rsidRPr="00B275AE">
        <w:rPr>
          <w:spacing w:val="-1"/>
        </w:rPr>
        <w:t xml:space="preserve">Racism can be defined as </w:t>
      </w:r>
      <w:r w:rsidRPr="00B275AE">
        <w:rPr>
          <w:lang w:eastAsia="en-AU"/>
        </w:rPr>
        <w:t>the belief that one race is superior to another.  It has to be taught or developed as a cultural ideology.  Whereas, prejudice is different. Prejudice is the pre-judging of a situation or person based upon less than all the facts.</w:t>
      </w:r>
      <w:r w:rsidRPr="00B275AE">
        <w:rPr>
          <w:rStyle w:val="FootnoteReference"/>
          <w:lang w:eastAsia="en-AU"/>
        </w:rPr>
        <w:footnoteReference w:id="88"/>
      </w:r>
    </w:p>
    <w:p w:rsidR="008A5A4F" w:rsidRDefault="008A5A4F" w:rsidP="007235EF">
      <w:pPr>
        <w:pStyle w:val="Bodytext"/>
        <w:rPr>
          <w:lang w:eastAsia="en-AU"/>
        </w:rPr>
      </w:pPr>
      <w:r>
        <w:rPr>
          <w:lang w:eastAsia="en-AU"/>
        </w:rPr>
        <w:t>Bullying is defined in Guidelines issued by the ACTPS Commissioner for Public Administration:</w:t>
      </w:r>
    </w:p>
    <w:p w:rsidR="008A5A4F" w:rsidRPr="008A5A4F" w:rsidRDefault="008A5A4F" w:rsidP="008A5A4F">
      <w:pPr>
        <w:pStyle w:val="Quote"/>
        <w:rPr>
          <w:lang w:val="en-US" w:eastAsia="en-AU"/>
        </w:rPr>
      </w:pPr>
      <w:r w:rsidRPr="008A5A4F">
        <w:rPr>
          <w:lang w:val="en-US" w:eastAsia="en-AU"/>
        </w:rPr>
        <w:t>Work bullying can cover a broad range of overt or subtle behaviours. For the purpose of the policy and guidelines work bullying is unreasonable, undesirable behaviour at work that generally meets each of the following criteria:</w:t>
      </w:r>
    </w:p>
    <w:p w:rsidR="008A5A4F" w:rsidRPr="008A5A4F" w:rsidRDefault="008A5A4F" w:rsidP="00924579">
      <w:pPr>
        <w:pStyle w:val="Quote"/>
        <w:numPr>
          <w:ilvl w:val="2"/>
          <w:numId w:val="21"/>
        </w:numPr>
        <w:rPr>
          <w:lang w:val="en-US" w:eastAsia="en-AU"/>
        </w:rPr>
      </w:pPr>
      <w:r w:rsidRPr="008A5A4F">
        <w:rPr>
          <w:lang w:val="en-US" w:eastAsia="en-AU"/>
        </w:rPr>
        <w:t>It is repeated;</w:t>
      </w:r>
    </w:p>
    <w:p w:rsidR="008A5A4F" w:rsidRPr="008A5A4F" w:rsidRDefault="008A5A4F" w:rsidP="00924579">
      <w:pPr>
        <w:pStyle w:val="Quote"/>
        <w:numPr>
          <w:ilvl w:val="2"/>
          <w:numId w:val="21"/>
        </w:numPr>
        <w:rPr>
          <w:lang w:val="en-US" w:eastAsia="en-AU"/>
        </w:rPr>
      </w:pPr>
      <w:r w:rsidRPr="008A5A4F">
        <w:rPr>
          <w:lang w:val="en-US" w:eastAsia="en-AU"/>
        </w:rPr>
        <w:t>It is unwelcome and unsolicited;</w:t>
      </w:r>
    </w:p>
    <w:p w:rsidR="008A5A4F" w:rsidRPr="008A5A4F" w:rsidRDefault="008A5A4F" w:rsidP="00924579">
      <w:pPr>
        <w:pStyle w:val="Quote"/>
        <w:numPr>
          <w:ilvl w:val="2"/>
          <w:numId w:val="21"/>
        </w:numPr>
        <w:rPr>
          <w:lang w:val="en-US" w:eastAsia="en-AU"/>
        </w:rPr>
      </w:pPr>
      <w:r w:rsidRPr="008A5A4F">
        <w:rPr>
          <w:lang w:val="en-US" w:eastAsia="en-AU"/>
        </w:rPr>
        <w:t>It occurs between workers of an organisation (i.e. it is internal as opposed to being client initiated or initiated by a person outside the organisation);</w:t>
      </w:r>
    </w:p>
    <w:p w:rsidR="008A5A4F" w:rsidRPr="008A5A4F" w:rsidRDefault="008A5A4F" w:rsidP="00924579">
      <w:pPr>
        <w:pStyle w:val="Quote"/>
        <w:numPr>
          <w:ilvl w:val="2"/>
          <w:numId w:val="21"/>
        </w:numPr>
        <w:rPr>
          <w:lang w:val="en-US" w:eastAsia="en-AU"/>
        </w:rPr>
      </w:pPr>
      <w:r w:rsidRPr="008A5A4F">
        <w:rPr>
          <w:lang w:val="en-US" w:eastAsia="en-AU"/>
        </w:rPr>
        <w:t>A reasonable person would consider the behaviour to be offensive, intimidating, humiliating or threatening; and</w:t>
      </w:r>
    </w:p>
    <w:p w:rsidR="008A5A4F" w:rsidRPr="008A5A4F" w:rsidRDefault="008A5A4F" w:rsidP="00924579">
      <w:pPr>
        <w:pStyle w:val="Quote"/>
        <w:numPr>
          <w:ilvl w:val="2"/>
          <w:numId w:val="21"/>
        </w:numPr>
        <w:rPr>
          <w:lang w:val="en-US" w:eastAsia="en-AU"/>
        </w:rPr>
      </w:pPr>
      <w:r w:rsidRPr="008A5A4F">
        <w:rPr>
          <w:lang w:val="en-US" w:eastAsia="en-AU"/>
        </w:rPr>
        <w:t>It has the potential to cause harm to those experiencing the behaviour.</w:t>
      </w:r>
    </w:p>
    <w:p w:rsidR="008A5A4F" w:rsidRPr="008A5A4F" w:rsidRDefault="008A5A4F" w:rsidP="001905F5">
      <w:pPr>
        <w:pStyle w:val="Quote"/>
        <w:spacing w:before="160"/>
        <w:ind w:left="1435"/>
        <w:rPr>
          <w:lang w:val="en-US" w:eastAsia="en-AU"/>
        </w:rPr>
      </w:pPr>
      <w:r w:rsidRPr="008A5A4F">
        <w:rPr>
          <w:lang w:val="en-US" w:eastAsia="en-AU"/>
        </w:rPr>
        <w:t>Workplace bullying can be:</w:t>
      </w:r>
    </w:p>
    <w:p w:rsidR="008A5A4F" w:rsidRPr="008A5A4F" w:rsidRDefault="008A5A4F" w:rsidP="00924579">
      <w:pPr>
        <w:pStyle w:val="Quote"/>
        <w:numPr>
          <w:ilvl w:val="2"/>
          <w:numId w:val="21"/>
        </w:numPr>
        <w:rPr>
          <w:lang w:val="en-US" w:eastAsia="en-AU"/>
        </w:rPr>
      </w:pPr>
      <w:r w:rsidRPr="008A5A4F">
        <w:rPr>
          <w:lang w:val="en-US" w:eastAsia="en-AU"/>
        </w:rPr>
        <w:t>Intended: Where actions were intended to humiliate, offend, intimidate or distress, whether or not the behaviour did in fact have that effect; or</w:t>
      </w:r>
    </w:p>
    <w:p w:rsidR="008A5A4F" w:rsidRPr="008A5A4F" w:rsidRDefault="008A5A4F" w:rsidP="00924579">
      <w:pPr>
        <w:pStyle w:val="Quote"/>
        <w:numPr>
          <w:ilvl w:val="2"/>
          <w:numId w:val="21"/>
        </w:numPr>
        <w:rPr>
          <w:lang w:val="en-US" w:eastAsia="en-AU"/>
        </w:rPr>
      </w:pPr>
      <w:r w:rsidRPr="008A5A4F">
        <w:rPr>
          <w:lang w:val="en-US" w:eastAsia="en-AU"/>
        </w:rPr>
        <w:t>Unintended:  Although not intended to humiliate, offend, intimidate or distress, did cause and should reasonably have been expected to cause that effect.</w:t>
      </w:r>
      <w:r w:rsidR="002471F5">
        <w:rPr>
          <w:rStyle w:val="FootnoteReference"/>
          <w:lang w:val="en-US" w:eastAsia="en-AU"/>
        </w:rPr>
        <w:footnoteReference w:id="89"/>
      </w:r>
    </w:p>
    <w:p w:rsidR="008A5A4F" w:rsidRDefault="00A173A1" w:rsidP="007235EF">
      <w:pPr>
        <w:pStyle w:val="Bodytext"/>
      </w:pPr>
      <w:r>
        <w:t>During the Inquiry t</w:t>
      </w:r>
      <w:r w:rsidR="007235EF" w:rsidRPr="00B275AE">
        <w:t xml:space="preserve">he Committee was mindful of a current Australian Human Rights Commission program titled, </w:t>
      </w:r>
      <w:r w:rsidR="007235EF" w:rsidRPr="00A173A1">
        <w:rPr>
          <w:i/>
        </w:rPr>
        <w:t>Racism. It stops with me</w:t>
      </w:r>
      <w:r w:rsidR="008A5A4F">
        <w:t xml:space="preserve">.  Key facts </w:t>
      </w:r>
      <w:r w:rsidR="007235EF" w:rsidRPr="00B275AE">
        <w:t xml:space="preserve">from the Program </w:t>
      </w:r>
      <w:r w:rsidR="008A5A4F">
        <w:t>are</w:t>
      </w:r>
      <w:r w:rsidR="007235EF" w:rsidRPr="00B275AE">
        <w:t xml:space="preserve"> that</w:t>
      </w:r>
      <w:r w:rsidR="008A5A4F">
        <w:t>:</w:t>
      </w:r>
    </w:p>
    <w:p w:rsidR="008A5A4F" w:rsidRDefault="007235EF" w:rsidP="008A5A4F">
      <w:pPr>
        <w:pStyle w:val="ListBullet"/>
      </w:pPr>
      <w:r w:rsidRPr="00B275AE">
        <w:t>one in five Australians have been subjected to race hate talk</w:t>
      </w:r>
      <w:r w:rsidR="008A5A4F">
        <w:t>;</w:t>
      </w:r>
      <w:r w:rsidRPr="00B275AE">
        <w:t xml:space="preserve"> and </w:t>
      </w:r>
    </w:p>
    <w:p w:rsidR="008A5A4F" w:rsidRDefault="007235EF" w:rsidP="008A5A4F">
      <w:pPr>
        <w:pStyle w:val="ListBullet"/>
      </w:pPr>
      <w:r w:rsidRPr="00B275AE">
        <w:t xml:space="preserve">one in 20 </w:t>
      </w:r>
      <w:r w:rsidR="008A5A4F">
        <w:t xml:space="preserve">Australians </w:t>
      </w:r>
      <w:r w:rsidRPr="00B275AE">
        <w:t xml:space="preserve">have been physically attacked because of their race.   </w:t>
      </w:r>
    </w:p>
    <w:p w:rsidR="007235EF" w:rsidRPr="00B275AE" w:rsidRDefault="007235EF" w:rsidP="008A5A4F">
      <w:pPr>
        <w:pStyle w:val="Bodytext"/>
      </w:pPr>
      <w:r w:rsidRPr="00B275AE">
        <w:t xml:space="preserve">The Committee recognised that </w:t>
      </w:r>
      <w:r w:rsidR="001905F5">
        <w:t xml:space="preserve">these facts have </w:t>
      </w:r>
      <w:r w:rsidRPr="00B275AE">
        <w:t xml:space="preserve">implications for </w:t>
      </w:r>
      <w:r>
        <w:t xml:space="preserve">employees and managers in </w:t>
      </w:r>
      <w:r w:rsidRPr="00B275AE">
        <w:t>any Australia</w:t>
      </w:r>
      <w:r>
        <w:t>n </w:t>
      </w:r>
      <w:r w:rsidRPr="00B275AE">
        <w:t xml:space="preserve">workplace.  </w:t>
      </w:r>
    </w:p>
    <w:p w:rsidR="007235EF" w:rsidRDefault="007235EF" w:rsidP="007235EF">
      <w:pPr>
        <w:pStyle w:val="Bodytext"/>
      </w:pPr>
      <w:r>
        <w:t xml:space="preserve">In relation to this, the Acting Head of Service, Mr Gary Byles,  commented: </w:t>
      </w:r>
    </w:p>
    <w:p w:rsidR="007235EF" w:rsidRDefault="007235EF" w:rsidP="007235EF">
      <w:pPr>
        <w:pStyle w:val="Quote"/>
      </w:pPr>
      <w:r>
        <w:t>I</w:t>
      </w:r>
      <w:r>
        <w:rPr>
          <w:spacing w:val="15"/>
        </w:rPr>
        <w:t xml:space="preserve"> </w:t>
      </w:r>
      <w:r>
        <w:t>will</w:t>
      </w:r>
      <w:r>
        <w:rPr>
          <w:spacing w:val="17"/>
        </w:rPr>
        <w:t xml:space="preserve"> </w:t>
      </w:r>
      <w:r>
        <w:rPr>
          <w:spacing w:val="-1"/>
        </w:rPr>
        <w:t>agree</w:t>
      </w:r>
      <w:r>
        <w:rPr>
          <w:spacing w:val="15"/>
        </w:rPr>
        <w:t xml:space="preserve"> </w:t>
      </w:r>
      <w:r>
        <w:t>that</w:t>
      </w:r>
      <w:r>
        <w:rPr>
          <w:spacing w:val="16"/>
        </w:rPr>
        <w:t xml:space="preserve"> </w:t>
      </w:r>
      <w:r>
        <w:t>the</w:t>
      </w:r>
      <w:r>
        <w:rPr>
          <w:spacing w:val="60"/>
        </w:rPr>
        <w:t xml:space="preserve"> </w:t>
      </w:r>
      <w:r>
        <w:t>ACT</w:t>
      </w:r>
      <w:r>
        <w:rPr>
          <w:spacing w:val="21"/>
        </w:rPr>
        <w:t xml:space="preserve"> </w:t>
      </w:r>
      <w:r>
        <w:t>public</w:t>
      </w:r>
      <w:r>
        <w:rPr>
          <w:spacing w:val="20"/>
        </w:rPr>
        <w:t xml:space="preserve"> </w:t>
      </w:r>
      <w:r>
        <w:rPr>
          <w:spacing w:val="-1"/>
        </w:rPr>
        <w:t>service</w:t>
      </w:r>
      <w:r>
        <w:rPr>
          <w:spacing w:val="20"/>
        </w:rPr>
        <w:t xml:space="preserve"> </w:t>
      </w:r>
      <w:r>
        <w:t>is</w:t>
      </w:r>
      <w:r>
        <w:rPr>
          <w:spacing w:val="22"/>
        </w:rPr>
        <w:t xml:space="preserve"> </w:t>
      </w:r>
      <w:r>
        <w:rPr>
          <w:spacing w:val="-1"/>
        </w:rPr>
        <w:t>representative</w:t>
      </w:r>
      <w:r>
        <w:rPr>
          <w:spacing w:val="20"/>
        </w:rPr>
        <w:t xml:space="preserve"> </w:t>
      </w:r>
      <w:r>
        <w:t>of</w:t>
      </w:r>
      <w:r>
        <w:rPr>
          <w:spacing w:val="20"/>
        </w:rPr>
        <w:t xml:space="preserve"> </w:t>
      </w:r>
      <w:r>
        <w:t>the</w:t>
      </w:r>
      <w:r>
        <w:rPr>
          <w:spacing w:val="20"/>
        </w:rPr>
        <w:t xml:space="preserve"> </w:t>
      </w:r>
      <w:r>
        <w:t>population.</w:t>
      </w:r>
      <w:r>
        <w:rPr>
          <w:spacing w:val="21"/>
        </w:rPr>
        <w:t xml:space="preserve"> </w:t>
      </w:r>
      <w:r>
        <w:rPr>
          <w:spacing w:val="-1"/>
        </w:rPr>
        <w:t>That</w:t>
      </w:r>
      <w:r>
        <w:rPr>
          <w:spacing w:val="21"/>
        </w:rPr>
        <w:t xml:space="preserve"> </w:t>
      </w:r>
      <w:r>
        <w:rPr>
          <w:spacing w:val="-1"/>
        </w:rPr>
        <w:t>goes</w:t>
      </w:r>
      <w:r>
        <w:rPr>
          <w:spacing w:val="21"/>
        </w:rPr>
        <w:t xml:space="preserve"> </w:t>
      </w:r>
      <w:r>
        <w:t>without</w:t>
      </w:r>
      <w:r>
        <w:rPr>
          <w:spacing w:val="22"/>
        </w:rPr>
        <w:t xml:space="preserve"> </w:t>
      </w:r>
      <w:r>
        <w:rPr>
          <w:spacing w:val="-1"/>
        </w:rPr>
        <w:t>argument.</w:t>
      </w:r>
      <w:r>
        <w:rPr>
          <w:spacing w:val="41"/>
        </w:rPr>
        <w:t xml:space="preserve"> </w:t>
      </w:r>
      <w:r>
        <w:rPr>
          <w:spacing w:val="-1"/>
        </w:rPr>
        <w:t>But</w:t>
      </w:r>
      <w:r>
        <w:rPr>
          <w:spacing w:val="17"/>
        </w:rPr>
        <w:t xml:space="preserve"> </w:t>
      </w:r>
      <w:r>
        <w:t>I</w:t>
      </w:r>
      <w:r>
        <w:rPr>
          <w:spacing w:val="13"/>
        </w:rPr>
        <w:t xml:space="preserve"> </w:t>
      </w:r>
      <w:r>
        <w:rPr>
          <w:spacing w:val="-1"/>
        </w:rPr>
        <w:t>can</w:t>
      </w:r>
      <w:r>
        <w:rPr>
          <w:spacing w:val="14"/>
        </w:rPr>
        <w:t xml:space="preserve"> </w:t>
      </w:r>
      <w:r>
        <w:rPr>
          <w:spacing w:val="1"/>
        </w:rPr>
        <w:t>say</w:t>
      </w:r>
      <w:r>
        <w:rPr>
          <w:spacing w:val="9"/>
        </w:rPr>
        <w:t xml:space="preserve"> </w:t>
      </w:r>
      <w:r>
        <w:t>that</w:t>
      </w:r>
      <w:r>
        <w:rPr>
          <w:spacing w:val="14"/>
        </w:rPr>
        <w:t xml:space="preserve"> </w:t>
      </w:r>
      <w:r>
        <w:t>the</w:t>
      </w:r>
      <w:r>
        <w:rPr>
          <w:spacing w:val="13"/>
        </w:rPr>
        <w:t xml:space="preserve"> </w:t>
      </w:r>
      <w:r>
        <w:t>ACT</w:t>
      </w:r>
      <w:r>
        <w:rPr>
          <w:spacing w:val="13"/>
        </w:rPr>
        <w:t xml:space="preserve"> </w:t>
      </w:r>
      <w:r>
        <w:t>public</w:t>
      </w:r>
      <w:r>
        <w:rPr>
          <w:spacing w:val="13"/>
        </w:rPr>
        <w:t xml:space="preserve"> </w:t>
      </w:r>
      <w:r>
        <w:rPr>
          <w:spacing w:val="-1"/>
        </w:rPr>
        <w:t>service</w:t>
      </w:r>
      <w:r>
        <w:rPr>
          <w:spacing w:val="13"/>
        </w:rPr>
        <w:t xml:space="preserve"> </w:t>
      </w:r>
      <w:r>
        <w:rPr>
          <w:spacing w:val="-1"/>
        </w:rPr>
        <w:t>has</w:t>
      </w:r>
      <w:r>
        <w:rPr>
          <w:spacing w:val="14"/>
        </w:rPr>
        <w:t xml:space="preserve"> </w:t>
      </w:r>
      <w:r>
        <w:t>been</w:t>
      </w:r>
      <w:r>
        <w:rPr>
          <w:spacing w:val="14"/>
        </w:rPr>
        <w:t xml:space="preserve"> </w:t>
      </w:r>
      <w:r>
        <w:t>very</w:t>
      </w:r>
      <w:r>
        <w:rPr>
          <w:spacing w:val="11"/>
        </w:rPr>
        <w:t xml:space="preserve"> </w:t>
      </w:r>
      <w:r>
        <w:t>strong</w:t>
      </w:r>
      <w:r>
        <w:rPr>
          <w:spacing w:val="11"/>
        </w:rPr>
        <w:t xml:space="preserve"> </w:t>
      </w:r>
      <w:r>
        <w:t>in</w:t>
      </w:r>
      <w:r>
        <w:rPr>
          <w:spacing w:val="14"/>
        </w:rPr>
        <w:t xml:space="preserve"> </w:t>
      </w:r>
      <w:r>
        <w:t>the</w:t>
      </w:r>
      <w:r>
        <w:rPr>
          <w:spacing w:val="15"/>
        </w:rPr>
        <w:t xml:space="preserve"> </w:t>
      </w:r>
      <w:r>
        <w:rPr>
          <w:spacing w:val="-1"/>
        </w:rPr>
        <w:t>respect,</w:t>
      </w:r>
      <w:r>
        <w:rPr>
          <w:spacing w:val="14"/>
        </w:rPr>
        <w:t xml:space="preserve"> </w:t>
      </w:r>
      <w:r>
        <w:t>equity</w:t>
      </w:r>
      <w:r>
        <w:rPr>
          <w:spacing w:val="62"/>
        </w:rPr>
        <w:t xml:space="preserve"> </w:t>
      </w:r>
      <w:r>
        <w:rPr>
          <w:spacing w:val="-1"/>
        </w:rPr>
        <w:t>and</w:t>
      </w:r>
      <w:r>
        <w:rPr>
          <w:spacing w:val="4"/>
        </w:rPr>
        <w:t xml:space="preserve"> </w:t>
      </w:r>
      <w:r>
        <w:t>diversity</w:t>
      </w:r>
      <w:r>
        <w:rPr>
          <w:spacing w:val="2"/>
        </w:rPr>
        <w:t xml:space="preserve"> </w:t>
      </w:r>
      <w:r>
        <w:rPr>
          <w:spacing w:val="-1"/>
        </w:rPr>
        <w:t>framework,</w:t>
      </w:r>
      <w:r>
        <w:rPr>
          <w:spacing w:val="6"/>
        </w:rPr>
        <w:t xml:space="preserve"> </w:t>
      </w:r>
      <w:r>
        <w:rPr>
          <w:spacing w:val="-1"/>
        </w:rPr>
        <w:t>and</w:t>
      </w:r>
      <w:r>
        <w:rPr>
          <w:spacing w:val="4"/>
        </w:rPr>
        <w:t xml:space="preserve"> </w:t>
      </w:r>
      <w:r>
        <w:rPr>
          <w:spacing w:val="-1"/>
        </w:rPr>
        <w:t>what</w:t>
      </w:r>
      <w:r>
        <w:rPr>
          <w:spacing w:val="5"/>
        </w:rPr>
        <w:t xml:space="preserve"> </w:t>
      </w:r>
      <w:r>
        <w:t>we</w:t>
      </w:r>
      <w:r>
        <w:rPr>
          <w:spacing w:val="3"/>
        </w:rPr>
        <w:t xml:space="preserve"> </w:t>
      </w:r>
      <w:r>
        <w:t>are</w:t>
      </w:r>
      <w:r>
        <w:rPr>
          <w:spacing w:val="3"/>
        </w:rPr>
        <w:t xml:space="preserve"> </w:t>
      </w:r>
      <w:r>
        <w:t>trying</w:t>
      </w:r>
      <w:r>
        <w:rPr>
          <w:spacing w:val="2"/>
        </w:rPr>
        <w:t xml:space="preserve"> </w:t>
      </w:r>
      <w:r>
        <w:rPr>
          <w:spacing w:val="1"/>
        </w:rPr>
        <w:t>to</w:t>
      </w:r>
      <w:r>
        <w:rPr>
          <w:spacing w:val="4"/>
        </w:rPr>
        <w:t xml:space="preserve"> </w:t>
      </w:r>
      <w:r>
        <w:rPr>
          <w:spacing w:val="-1"/>
        </w:rPr>
        <w:t>enforce</w:t>
      </w:r>
      <w:r>
        <w:rPr>
          <w:spacing w:val="3"/>
        </w:rPr>
        <w:t xml:space="preserve"> </w:t>
      </w:r>
      <w:r>
        <w:t>in</w:t>
      </w:r>
      <w:r>
        <w:rPr>
          <w:spacing w:val="5"/>
        </w:rPr>
        <w:t xml:space="preserve"> </w:t>
      </w:r>
      <w:r>
        <w:t>the</w:t>
      </w:r>
      <w:r>
        <w:rPr>
          <w:spacing w:val="4"/>
        </w:rPr>
        <w:t xml:space="preserve"> </w:t>
      </w:r>
      <w:r>
        <w:t>ACT</w:t>
      </w:r>
      <w:r>
        <w:rPr>
          <w:spacing w:val="4"/>
        </w:rPr>
        <w:t xml:space="preserve"> </w:t>
      </w:r>
      <w:r>
        <w:t>public</w:t>
      </w:r>
      <w:r>
        <w:rPr>
          <w:spacing w:val="3"/>
        </w:rPr>
        <w:t xml:space="preserve"> </w:t>
      </w:r>
      <w:r>
        <w:rPr>
          <w:spacing w:val="-1"/>
        </w:rPr>
        <w:t>service</w:t>
      </w:r>
      <w:r>
        <w:rPr>
          <w:spacing w:val="52"/>
        </w:rPr>
        <w:t xml:space="preserve"> </w:t>
      </w:r>
      <w:r>
        <w:t>is</w:t>
      </w:r>
      <w:r>
        <w:rPr>
          <w:spacing w:val="24"/>
        </w:rPr>
        <w:t xml:space="preserve"> </w:t>
      </w:r>
      <w:r>
        <w:rPr>
          <w:spacing w:val="-1"/>
        </w:rPr>
        <w:t>all</w:t>
      </w:r>
      <w:r>
        <w:rPr>
          <w:spacing w:val="24"/>
        </w:rPr>
        <w:t xml:space="preserve"> </w:t>
      </w:r>
      <w:r>
        <w:rPr>
          <w:spacing w:val="-1"/>
        </w:rPr>
        <w:t>about</w:t>
      </w:r>
      <w:r>
        <w:rPr>
          <w:spacing w:val="24"/>
        </w:rPr>
        <w:t xml:space="preserve"> </w:t>
      </w:r>
      <w:r>
        <w:rPr>
          <w:spacing w:val="-1"/>
        </w:rPr>
        <w:t>common</w:t>
      </w:r>
      <w:r>
        <w:rPr>
          <w:spacing w:val="26"/>
        </w:rPr>
        <w:t xml:space="preserve"> </w:t>
      </w:r>
      <w:r>
        <w:t>decency</w:t>
      </w:r>
      <w:r>
        <w:rPr>
          <w:spacing w:val="18"/>
        </w:rPr>
        <w:t xml:space="preserve"> </w:t>
      </w:r>
      <w:r>
        <w:rPr>
          <w:spacing w:val="-1"/>
        </w:rPr>
        <w:t>and</w:t>
      </w:r>
      <w:r>
        <w:rPr>
          <w:spacing w:val="26"/>
        </w:rPr>
        <w:t xml:space="preserve"> </w:t>
      </w:r>
      <w:r>
        <w:rPr>
          <w:spacing w:val="-1"/>
        </w:rPr>
        <w:t>respect</w:t>
      </w:r>
      <w:r>
        <w:rPr>
          <w:spacing w:val="24"/>
        </w:rPr>
        <w:t xml:space="preserve"> </w:t>
      </w:r>
      <w:r>
        <w:t>for</w:t>
      </w:r>
      <w:r>
        <w:rPr>
          <w:spacing w:val="23"/>
        </w:rPr>
        <w:t xml:space="preserve"> </w:t>
      </w:r>
      <w:r>
        <w:rPr>
          <w:spacing w:val="-1"/>
        </w:rPr>
        <w:t>colleagues,</w:t>
      </w:r>
      <w:r>
        <w:rPr>
          <w:spacing w:val="24"/>
        </w:rPr>
        <w:t xml:space="preserve"> </w:t>
      </w:r>
      <w:r>
        <w:t>not</w:t>
      </w:r>
      <w:r>
        <w:rPr>
          <w:spacing w:val="24"/>
        </w:rPr>
        <w:t xml:space="preserve"> </w:t>
      </w:r>
      <w:r>
        <w:rPr>
          <w:spacing w:val="1"/>
        </w:rPr>
        <w:t>only</w:t>
      </w:r>
      <w:r>
        <w:rPr>
          <w:spacing w:val="21"/>
        </w:rPr>
        <w:t xml:space="preserve"> </w:t>
      </w:r>
      <w:r>
        <w:t>within</w:t>
      </w:r>
      <w:r>
        <w:rPr>
          <w:spacing w:val="23"/>
        </w:rPr>
        <w:t xml:space="preserve"> </w:t>
      </w:r>
      <w:r>
        <w:t>the</w:t>
      </w:r>
      <w:r>
        <w:rPr>
          <w:spacing w:val="61"/>
        </w:rPr>
        <w:t xml:space="preserve"> </w:t>
      </w:r>
      <w:r>
        <w:rPr>
          <w:spacing w:val="-1"/>
        </w:rPr>
        <w:t>workforce,</w:t>
      </w:r>
      <w:r>
        <w:t xml:space="preserve"> but in the </w:t>
      </w:r>
      <w:r>
        <w:rPr>
          <w:spacing w:val="-1"/>
        </w:rPr>
        <w:t>broader</w:t>
      </w:r>
      <w:r>
        <w:t xml:space="preserve"> </w:t>
      </w:r>
      <w:r>
        <w:rPr>
          <w:spacing w:val="-1"/>
        </w:rPr>
        <w:t>community.</w:t>
      </w:r>
      <w:r>
        <w:rPr>
          <w:rStyle w:val="FootnoteReference"/>
          <w:spacing w:val="-1"/>
        </w:rPr>
        <w:footnoteReference w:id="90"/>
      </w:r>
    </w:p>
    <w:p w:rsidR="007235EF" w:rsidRDefault="007235EF" w:rsidP="007235EF">
      <w:pPr>
        <w:pStyle w:val="Bodytext"/>
      </w:pPr>
      <w:r>
        <w:t xml:space="preserve">In response to question about the RED Framework, the Commissioner for Public Administration, Mr Andrew Kefford, said: </w:t>
      </w:r>
    </w:p>
    <w:p w:rsidR="007235EF" w:rsidRDefault="007235EF" w:rsidP="007235EF">
      <w:pPr>
        <w:pStyle w:val="Quote"/>
        <w:rPr>
          <w:sz w:val="26"/>
          <w:szCs w:val="26"/>
        </w:rPr>
      </w:pPr>
      <w:r>
        <w:t>The respect,</w:t>
      </w:r>
      <w:r>
        <w:rPr>
          <w:spacing w:val="2"/>
        </w:rPr>
        <w:t xml:space="preserve"> </w:t>
      </w:r>
      <w:r>
        <w:t>equity</w:t>
      </w:r>
      <w:r>
        <w:rPr>
          <w:spacing w:val="59"/>
        </w:rPr>
        <w:t xml:space="preserve"> </w:t>
      </w:r>
      <w:r>
        <w:t>and</w:t>
      </w:r>
      <w:r>
        <w:rPr>
          <w:spacing w:val="2"/>
        </w:rPr>
        <w:t xml:space="preserve"> </w:t>
      </w:r>
      <w:r>
        <w:t>diversity framework</w:t>
      </w:r>
      <w:r>
        <w:rPr>
          <w:spacing w:val="4"/>
        </w:rPr>
        <w:t xml:space="preserve"> </w:t>
      </w:r>
      <w:r>
        <w:t>was</w:t>
      </w:r>
      <w:r>
        <w:rPr>
          <w:spacing w:val="2"/>
        </w:rPr>
        <w:t xml:space="preserve"> </w:t>
      </w:r>
      <w:r>
        <w:t>launched</w:t>
      </w:r>
      <w:r>
        <w:rPr>
          <w:spacing w:val="2"/>
        </w:rPr>
        <w:t xml:space="preserve"> by</w:t>
      </w:r>
      <w:r>
        <w:rPr>
          <w:spacing w:val="57"/>
        </w:rPr>
        <w:t xml:space="preserve"> </w:t>
      </w:r>
      <w:r>
        <w:rPr>
          <w:spacing w:val="2"/>
        </w:rPr>
        <w:t>my</w:t>
      </w:r>
      <w:r>
        <w:rPr>
          <w:spacing w:val="63"/>
        </w:rPr>
        <w:t xml:space="preserve"> </w:t>
      </w:r>
      <w:r>
        <w:t>predecessor</w:t>
      </w:r>
      <w:r>
        <w:rPr>
          <w:spacing w:val="49"/>
        </w:rPr>
        <w:t xml:space="preserve"> </w:t>
      </w:r>
      <w:r>
        <w:t>as</w:t>
      </w:r>
      <w:r>
        <w:rPr>
          <w:spacing w:val="52"/>
        </w:rPr>
        <w:t xml:space="preserve"> </w:t>
      </w:r>
      <w:r>
        <w:t>commissioner</w:t>
      </w:r>
      <w:r>
        <w:rPr>
          <w:spacing w:val="48"/>
        </w:rPr>
        <w:t xml:space="preserve"> </w:t>
      </w:r>
      <w:r>
        <w:t>and</w:t>
      </w:r>
      <w:r>
        <w:rPr>
          <w:spacing w:val="50"/>
        </w:rPr>
        <w:t xml:space="preserve"> </w:t>
      </w:r>
      <w:r>
        <w:t>the</w:t>
      </w:r>
      <w:r>
        <w:rPr>
          <w:spacing w:val="49"/>
        </w:rPr>
        <w:t xml:space="preserve"> </w:t>
      </w:r>
      <w:r>
        <w:t>former</w:t>
      </w:r>
      <w:r>
        <w:rPr>
          <w:spacing w:val="49"/>
        </w:rPr>
        <w:t xml:space="preserve"> </w:t>
      </w:r>
      <w:r>
        <w:t>Chief</w:t>
      </w:r>
      <w:r>
        <w:rPr>
          <w:spacing w:val="48"/>
        </w:rPr>
        <w:t xml:space="preserve"> </w:t>
      </w:r>
      <w:r>
        <w:t>Minister</w:t>
      </w:r>
      <w:r>
        <w:rPr>
          <w:spacing w:val="49"/>
        </w:rPr>
        <w:t xml:space="preserve"> </w:t>
      </w:r>
      <w:r>
        <w:t>in</w:t>
      </w:r>
      <w:r>
        <w:rPr>
          <w:spacing w:val="50"/>
        </w:rPr>
        <w:t xml:space="preserve"> </w:t>
      </w:r>
      <w:r>
        <w:t>2010.</w:t>
      </w:r>
      <w:r>
        <w:rPr>
          <w:spacing w:val="52"/>
        </w:rPr>
        <w:t xml:space="preserve"> </w:t>
      </w:r>
      <w:r>
        <w:rPr>
          <w:spacing w:val="-2"/>
        </w:rPr>
        <w:t>It</w:t>
      </w:r>
      <w:r>
        <w:rPr>
          <w:spacing w:val="50"/>
        </w:rPr>
        <w:t xml:space="preserve"> </w:t>
      </w:r>
      <w:r>
        <w:t>has</w:t>
      </w:r>
      <w:r>
        <w:rPr>
          <w:spacing w:val="50"/>
        </w:rPr>
        <w:t xml:space="preserve"> </w:t>
      </w:r>
      <w:r>
        <w:t xml:space="preserve">three </w:t>
      </w:r>
      <w:r>
        <w:rPr>
          <w:spacing w:val="-1"/>
        </w:rPr>
        <w:t>elements</w:t>
      </w:r>
      <w:r>
        <w:rPr>
          <w:spacing w:val="22"/>
        </w:rPr>
        <w:t xml:space="preserve"> </w:t>
      </w:r>
      <w:r>
        <w:t>to</w:t>
      </w:r>
      <w:r>
        <w:rPr>
          <w:spacing w:val="21"/>
        </w:rPr>
        <w:t xml:space="preserve"> </w:t>
      </w:r>
      <w:r>
        <w:t>it,</w:t>
      </w:r>
      <w:r>
        <w:rPr>
          <w:spacing w:val="21"/>
        </w:rPr>
        <w:t xml:space="preserve"> </w:t>
      </w:r>
      <w:r>
        <w:rPr>
          <w:spacing w:val="-1"/>
        </w:rPr>
        <w:t>which</w:t>
      </w:r>
      <w:r>
        <w:rPr>
          <w:spacing w:val="21"/>
        </w:rPr>
        <w:t xml:space="preserve"> </w:t>
      </w:r>
      <w:r>
        <w:t>are</w:t>
      </w:r>
      <w:r>
        <w:rPr>
          <w:spacing w:val="22"/>
        </w:rPr>
        <w:t xml:space="preserve"> </w:t>
      </w:r>
      <w:r>
        <w:t>borne</w:t>
      </w:r>
      <w:r>
        <w:rPr>
          <w:spacing w:val="19"/>
        </w:rPr>
        <w:t xml:space="preserve"> </w:t>
      </w:r>
      <w:r>
        <w:t>out</w:t>
      </w:r>
      <w:r>
        <w:rPr>
          <w:spacing w:val="21"/>
        </w:rPr>
        <w:t xml:space="preserve"> </w:t>
      </w:r>
      <w:r>
        <w:t>in</w:t>
      </w:r>
      <w:r>
        <w:rPr>
          <w:spacing w:val="21"/>
        </w:rPr>
        <w:t xml:space="preserve"> </w:t>
      </w:r>
      <w:r>
        <w:t>the</w:t>
      </w:r>
      <w:r>
        <w:rPr>
          <w:spacing w:val="23"/>
        </w:rPr>
        <w:t xml:space="preserve"> </w:t>
      </w:r>
      <w:r>
        <w:rPr>
          <w:spacing w:val="-1"/>
        </w:rPr>
        <w:t>acronym.</w:t>
      </w:r>
      <w:r>
        <w:rPr>
          <w:spacing w:val="21"/>
        </w:rPr>
        <w:t xml:space="preserve"> </w:t>
      </w:r>
      <w:r>
        <w:t>One</w:t>
      </w:r>
      <w:r>
        <w:rPr>
          <w:spacing w:val="19"/>
        </w:rPr>
        <w:t xml:space="preserve"> </w:t>
      </w:r>
      <w:r>
        <w:t>is</w:t>
      </w:r>
      <w:r>
        <w:rPr>
          <w:spacing w:val="22"/>
        </w:rPr>
        <w:t xml:space="preserve"> </w:t>
      </w:r>
      <w:r>
        <w:rPr>
          <w:spacing w:val="-1"/>
        </w:rPr>
        <w:t>around</w:t>
      </w:r>
      <w:r>
        <w:rPr>
          <w:spacing w:val="23"/>
        </w:rPr>
        <w:t xml:space="preserve"> </w:t>
      </w:r>
      <w:r>
        <w:t>respect,</w:t>
      </w:r>
      <w:r>
        <w:rPr>
          <w:spacing w:val="21"/>
        </w:rPr>
        <w:t xml:space="preserve"> </w:t>
      </w:r>
      <w:r>
        <w:t>in</w:t>
      </w:r>
      <w:r>
        <w:rPr>
          <w:spacing w:val="21"/>
        </w:rPr>
        <w:t xml:space="preserve"> </w:t>
      </w:r>
      <w:r>
        <w:rPr>
          <w:spacing w:val="-1"/>
        </w:rPr>
        <w:t>which</w:t>
      </w:r>
      <w:r>
        <w:rPr>
          <w:spacing w:val="51"/>
        </w:rPr>
        <w:t xml:space="preserve"> </w:t>
      </w:r>
      <w:r>
        <w:t>much</w:t>
      </w:r>
      <w:r>
        <w:rPr>
          <w:spacing w:val="56"/>
        </w:rPr>
        <w:t xml:space="preserve"> </w:t>
      </w:r>
      <w:r>
        <w:t>of</w:t>
      </w:r>
      <w:r>
        <w:rPr>
          <w:spacing w:val="56"/>
        </w:rPr>
        <w:t xml:space="preserve"> </w:t>
      </w:r>
      <w:r>
        <w:t>the</w:t>
      </w:r>
      <w:r>
        <w:rPr>
          <w:spacing w:val="56"/>
        </w:rPr>
        <w:t xml:space="preserve"> </w:t>
      </w:r>
      <w:r>
        <w:rPr>
          <w:spacing w:val="-1"/>
        </w:rPr>
        <w:t>conversation</w:t>
      </w:r>
      <w:r>
        <w:rPr>
          <w:spacing w:val="57"/>
        </w:rPr>
        <w:t xml:space="preserve"> </w:t>
      </w:r>
      <w:r>
        <w:rPr>
          <w:spacing w:val="-1"/>
        </w:rPr>
        <w:t>has</w:t>
      </w:r>
      <w:r>
        <w:rPr>
          <w:spacing w:val="57"/>
        </w:rPr>
        <w:t xml:space="preserve"> </w:t>
      </w:r>
      <w:r>
        <w:rPr>
          <w:spacing w:val="-1"/>
        </w:rPr>
        <w:t>been</w:t>
      </w:r>
      <w:r>
        <w:rPr>
          <w:spacing w:val="57"/>
        </w:rPr>
        <w:t xml:space="preserve"> </w:t>
      </w:r>
      <w:r>
        <w:rPr>
          <w:spacing w:val="-1"/>
        </w:rPr>
        <w:t>focused</w:t>
      </w:r>
      <w:r>
        <w:rPr>
          <w:spacing w:val="56"/>
        </w:rPr>
        <w:t xml:space="preserve"> </w:t>
      </w:r>
      <w:r>
        <w:t>around</w:t>
      </w:r>
      <w:r>
        <w:rPr>
          <w:spacing w:val="57"/>
        </w:rPr>
        <w:t xml:space="preserve"> </w:t>
      </w:r>
      <w:r>
        <w:t>the</w:t>
      </w:r>
      <w:r>
        <w:rPr>
          <w:spacing w:val="56"/>
        </w:rPr>
        <w:t xml:space="preserve"> </w:t>
      </w:r>
      <w:r>
        <w:rPr>
          <w:spacing w:val="-1"/>
        </w:rPr>
        <w:t>behaviour</w:t>
      </w:r>
      <w:r>
        <w:rPr>
          <w:spacing w:val="57"/>
        </w:rPr>
        <w:t xml:space="preserve"> </w:t>
      </w:r>
      <w:r>
        <w:t>of</w:t>
      </w:r>
      <w:r>
        <w:rPr>
          <w:spacing w:val="56"/>
        </w:rPr>
        <w:t xml:space="preserve"> </w:t>
      </w:r>
      <w:r>
        <w:rPr>
          <w:spacing w:val="-1"/>
        </w:rPr>
        <w:t>staff</w:t>
      </w:r>
      <w:r>
        <w:rPr>
          <w:spacing w:val="56"/>
        </w:rPr>
        <w:t xml:space="preserve"> </w:t>
      </w:r>
      <w:r>
        <w:t>in</w:t>
      </w:r>
      <w:r>
        <w:rPr>
          <w:spacing w:val="57"/>
        </w:rPr>
        <w:t xml:space="preserve"> </w:t>
      </w:r>
      <w:r>
        <w:t>the</w:t>
      </w:r>
      <w:r>
        <w:rPr>
          <w:spacing w:val="57"/>
        </w:rPr>
        <w:t xml:space="preserve"> </w:t>
      </w:r>
      <w:r>
        <w:rPr>
          <w:spacing w:val="-1"/>
        </w:rPr>
        <w:t>service</w:t>
      </w:r>
      <w:r>
        <w:rPr>
          <w:spacing w:val="30"/>
        </w:rPr>
        <w:t xml:space="preserve"> </w:t>
      </w:r>
      <w:r>
        <w:t>towards</w:t>
      </w:r>
      <w:r>
        <w:rPr>
          <w:spacing w:val="30"/>
        </w:rPr>
        <w:t xml:space="preserve"> </w:t>
      </w:r>
      <w:r>
        <w:t>their</w:t>
      </w:r>
      <w:r>
        <w:rPr>
          <w:spacing w:val="30"/>
        </w:rPr>
        <w:t xml:space="preserve"> </w:t>
      </w:r>
      <w:r>
        <w:rPr>
          <w:spacing w:val="-1"/>
        </w:rPr>
        <w:t>colleagues.</w:t>
      </w:r>
      <w:r>
        <w:rPr>
          <w:spacing w:val="31"/>
        </w:rPr>
        <w:t xml:space="preserve"> </w:t>
      </w:r>
      <w:r>
        <w:t>There</w:t>
      </w:r>
      <w:r>
        <w:rPr>
          <w:spacing w:val="29"/>
        </w:rPr>
        <w:t xml:space="preserve"> </w:t>
      </w:r>
      <w:r>
        <w:t>are</w:t>
      </w:r>
      <w:r>
        <w:rPr>
          <w:spacing w:val="29"/>
        </w:rPr>
        <w:t xml:space="preserve"> </w:t>
      </w:r>
      <w:r>
        <w:t>then</w:t>
      </w:r>
      <w:r>
        <w:rPr>
          <w:spacing w:val="32"/>
        </w:rPr>
        <w:t xml:space="preserve"> </w:t>
      </w:r>
      <w:r>
        <w:t>the</w:t>
      </w:r>
      <w:r>
        <w:rPr>
          <w:spacing w:val="30"/>
        </w:rPr>
        <w:t xml:space="preserve"> </w:t>
      </w:r>
      <w:r>
        <w:rPr>
          <w:spacing w:val="-1"/>
        </w:rPr>
        <w:t>elements,</w:t>
      </w:r>
      <w:r>
        <w:rPr>
          <w:spacing w:val="35"/>
        </w:rPr>
        <w:t xml:space="preserve"> </w:t>
      </w:r>
      <w:r>
        <w:t>one</w:t>
      </w:r>
      <w:r>
        <w:rPr>
          <w:spacing w:val="30"/>
        </w:rPr>
        <w:t xml:space="preserve"> </w:t>
      </w:r>
      <w:r>
        <w:t>of</w:t>
      </w:r>
      <w:r>
        <w:rPr>
          <w:spacing w:val="30"/>
        </w:rPr>
        <w:t xml:space="preserve"> </w:t>
      </w:r>
      <w:r>
        <w:t>which</w:t>
      </w:r>
      <w:r>
        <w:rPr>
          <w:spacing w:val="30"/>
        </w:rPr>
        <w:t xml:space="preserve"> </w:t>
      </w:r>
      <w:r>
        <w:t>we</w:t>
      </w:r>
      <w:r>
        <w:rPr>
          <w:spacing w:val="29"/>
        </w:rPr>
        <w:t xml:space="preserve"> </w:t>
      </w:r>
      <w:r>
        <w:t>are</w:t>
      </w:r>
      <w:r>
        <w:rPr>
          <w:spacing w:val="45"/>
        </w:rPr>
        <w:t xml:space="preserve"> </w:t>
      </w:r>
      <w:r>
        <w:t>talking</w:t>
      </w:r>
      <w:r>
        <w:rPr>
          <w:spacing w:val="5"/>
        </w:rPr>
        <w:t xml:space="preserve"> </w:t>
      </w:r>
      <w:r>
        <w:t>to</w:t>
      </w:r>
      <w:r>
        <w:rPr>
          <w:spacing w:val="7"/>
        </w:rPr>
        <w:t xml:space="preserve"> </w:t>
      </w:r>
      <w:r>
        <w:t>the</w:t>
      </w:r>
      <w:r>
        <w:rPr>
          <w:spacing w:val="6"/>
        </w:rPr>
        <w:t xml:space="preserve"> </w:t>
      </w:r>
      <w:r>
        <w:t>committee</w:t>
      </w:r>
      <w:r>
        <w:rPr>
          <w:spacing w:val="6"/>
        </w:rPr>
        <w:t xml:space="preserve"> </w:t>
      </w:r>
      <w:r>
        <w:rPr>
          <w:spacing w:val="-1"/>
        </w:rPr>
        <w:t>about</w:t>
      </w:r>
      <w:r>
        <w:rPr>
          <w:spacing w:val="7"/>
        </w:rPr>
        <w:t xml:space="preserve"> </w:t>
      </w:r>
      <w:r>
        <w:t>this</w:t>
      </w:r>
      <w:r>
        <w:rPr>
          <w:spacing w:val="7"/>
        </w:rPr>
        <w:t xml:space="preserve"> </w:t>
      </w:r>
      <w:r>
        <w:rPr>
          <w:spacing w:val="-1"/>
        </w:rPr>
        <w:t>morning,</w:t>
      </w:r>
      <w:r>
        <w:rPr>
          <w:spacing w:val="9"/>
        </w:rPr>
        <w:t xml:space="preserve"> </w:t>
      </w:r>
      <w:r>
        <w:rPr>
          <w:spacing w:val="1"/>
        </w:rPr>
        <w:t>in</w:t>
      </w:r>
      <w:r>
        <w:rPr>
          <w:spacing w:val="6"/>
        </w:rPr>
        <w:t xml:space="preserve"> </w:t>
      </w:r>
      <w:r>
        <w:rPr>
          <w:spacing w:val="-1"/>
        </w:rPr>
        <w:t>relation</w:t>
      </w:r>
      <w:r>
        <w:rPr>
          <w:spacing w:val="7"/>
        </w:rPr>
        <w:t xml:space="preserve"> </w:t>
      </w:r>
      <w:r>
        <w:t>to</w:t>
      </w:r>
      <w:r>
        <w:rPr>
          <w:spacing w:val="9"/>
        </w:rPr>
        <w:t xml:space="preserve"> </w:t>
      </w:r>
      <w:r>
        <w:t>the</w:t>
      </w:r>
      <w:r>
        <w:rPr>
          <w:spacing w:val="6"/>
        </w:rPr>
        <w:t xml:space="preserve"> </w:t>
      </w:r>
      <w:r>
        <w:t>diversity</w:t>
      </w:r>
      <w:r>
        <w:rPr>
          <w:spacing w:val="2"/>
        </w:rPr>
        <w:t xml:space="preserve"> </w:t>
      </w:r>
      <w:r>
        <w:t>of</w:t>
      </w:r>
      <w:r>
        <w:rPr>
          <w:spacing w:val="8"/>
        </w:rPr>
        <w:t xml:space="preserve"> </w:t>
      </w:r>
      <w:r>
        <w:t>the</w:t>
      </w:r>
      <w:r>
        <w:rPr>
          <w:spacing w:val="48"/>
        </w:rPr>
        <w:t xml:space="preserve"> </w:t>
      </w:r>
      <w:r>
        <w:rPr>
          <w:spacing w:val="-1"/>
        </w:rPr>
        <w:t>workforce</w:t>
      </w:r>
      <w:r>
        <w:rPr>
          <w:spacing w:val="10"/>
        </w:rPr>
        <w:t xml:space="preserve"> </w:t>
      </w:r>
      <w:r>
        <w:rPr>
          <w:spacing w:val="-1"/>
        </w:rPr>
        <w:t>and</w:t>
      </w:r>
      <w:r>
        <w:rPr>
          <w:spacing w:val="13"/>
        </w:rPr>
        <w:t xml:space="preserve"> </w:t>
      </w:r>
      <w:r>
        <w:t>ensuring</w:t>
      </w:r>
      <w:r>
        <w:rPr>
          <w:spacing w:val="9"/>
        </w:rPr>
        <w:t xml:space="preserve"> </w:t>
      </w:r>
      <w:r>
        <w:t>that</w:t>
      </w:r>
      <w:r>
        <w:rPr>
          <w:spacing w:val="12"/>
        </w:rPr>
        <w:t xml:space="preserve"> </w:t>
      </w:r>
      <w:r>
        <w:t>our</w:t>
      </w:r>
      <w:r>
        <w:rPr>
          <w:spacing w:val="11"/>
        </w:rPr>
        <w:t xml:space="preserve"> </w:t>
      </w:r>
      <w:r>
        <w:rPr>
          <w:spacing w:val="-1"/>
        </w:rPr>
        <w:t>workforce</w:t>
      </w:r>
      <w:r>
        <w:rPr>
          <w:spacing w:val="10"/>
        </w:rPr>
        <w:t xml:space="preserve"> </w:t>
      </w:r>
      <w:r>
        <w:rPr>
          <w:spacing w:val="-1"/>
        </w:rPr>
        <w:t>represents</w:t>
      </w:r>
      <w:r>
        <w:rPr>
          <w:spacing w:val="12"/>
        </w:rPr>
        <w:t xml:space="preserve"> </w:t>
      </w:r>
      <w:r>
        <w:t>the</w:t>
      </w:r>
      <w:r>
        <w:rPr>
          <w:spacing w:val="11"/>
        </w:rPr>
        <w:t xml:space="preserve"> </w:t>
      </w:r>
      <w:r>
        <w:t>community</w:t>
      </w:r>
      <w:r>
        <w:rPr>
          <w:spacing w:val="9"/>
        </w:rPr>
        <w:t xml:space="preserve"> </w:t>
      </w:r>
      <w:r>
        <w:t>from</w:t>
      </w:r>
      <w:r>
        <w:rPr>
          <w:spacing w:val="12"/>
        </w:rPr>
        <w:t xml:space="preserve"> </w:t>
      </w:r>
      <w:r>
        <w:rPr>
          <w:spacing w:val="-1"/>
        </w:rPr>
        <w:t>which</w:t>
      </w:r>
      <w:r>
        <w:rPr>
          <w:spacing w:val="11"/>
        </w:rPr>
        <w:t xml:space="preserve"> </w:t>
      </w:r>
      <w:r>
        <w:t>we</w:t>
      </w:r>
      <w:r>
        <w:rPr>
          <w:spacing w:val="67"/>
        </w:rPr>
        <w:t xml:space="preserve"> </w:t>
      </w:r>
      <w:r>
        <w:rPr>
          <w:spacing w:val="-1"/>
        </w:rPr>
        <w:t>are</w:t>
      </w:r>
      <w:r>
        <w:rPr>
          <w:spacing w:val="31"/>
        </w:rPr>
        <w:t xml:space="preserve"> </w:t>
      </w:r>
      <w:r>
        <w:t>drawn.</w:t>
      </w:r>
      <w:r>
        <w:rPr>
          <w:spacing w:val="32"/>
        </w:rPr>
        <w:t xml:space="preserve"> </w:t>
      </w:r>
      <w:r>
        <w:t>There</w:t>
      </w:r>
      <w:r>
        <w:rPr>
          <w:spacing w:val="34"/>
        </w:rPr>
        <w:t xml:space="preserve"> </w:t>
      </w:r>
      <w:r>
        <w:rPr>
          <w:spacing w:val="-1"/>
        </w:rPr>
        <w:t>are</w:t>
      </w:r>
      <w:r>
        <w:rPr>
          <w:spacing w:val="31"/>
        </w:rPr>
        <w:t xml:space="preserve"> </w:t>
      </w:r>
      <w:r>
        <w:t>particular</w:t>
      </w:r>
      <w:r>
        <w:rPr>
          <w:spacing w:val="32"/>
        </w:rPr>
        <w:t xml:space="preserve"> </w:t>
      </w:r>
      <w:r>
        <w:rPr>
          <w:spacing w:val="-1"/>
        </w:rPr>
        <w:t>targets</w:t>
      </w:r>
      <w:r>
        <w:rPr>
          <w:spacing w:val="34"/>
        </w:rPr>
        <w:t xml:space="preserve"> </w:t>
      </w:r>
      <w:r>
        <w:rPr>
          <w:spacing w:val="-1"/>
        </w:rPr>
        <w:t>as</w:t>
      </w:r>
      <w:r>
        <w:rPr>
          <w:spacing w:val="33"/>
        </w:rPr>
        <w:t xml:space="preserve"> </w:t>
      </w:r>
      <w:r>
        <w:rPr>
          <w:spacing w:val="-1"/>
        </w:rPr>
        <w:t>part</w:t>
      </w:r>
      <w:r>
        <w:rPr>
          <w:spacing w:val="33"/>
        </w:rPr>
        <w:t xml:space="preserve"> </w:t>
      </w:r>
      <w:r>
        <w:rPr>
          <w:spacing w:val="1"/>
        </w:rPr>
        <w:t>of</w:t>
      </w:r>
      <w:r>
        <w:rPr>
          <w:spacing w:val="32"/>
        </w:rPr>
        <w:t xml:space="preserve"> </w:t>
      </w:r>
      <w:r>
        <w:t>that</w:t>
      </w:r>
      <w:r>
        <w:rPr>
          <w:spacing w:val="33"/>
        </w:rPr>
        <w:t xml:space="preserve"> </w:t>
      </w:r>
      <w:r>
        <w:t>in</w:t>
      </w:r>
      <w:r>
        <w:rPr>
          <w:spacing w:val="33"/>
        </w:rPr>
        <w:t xml:space="preserve"> </w:t>
      </w:r>
      <w:r>
        <w:rPr>
          <w:spacing w:val="-1"/>
        </w:rPr>
        <w:t>relation</w:t>
      </w:r>
      <w:r>
        <w:rPr>
          <w:spacing w:val="33"/>
        </w:rPr>
        <w:t xml:space="preserve"> </w:t>
      </w:r>
      <w:r>
        <w:t>to</w:t>
      </w:r>
      <w:r>
        <w:rPr>
          <w:spacing w:val="33"/>
        </w:rPr>
        <w:t xml:space="preserve"> </w:t>
      </w:r>
      <w:r>
        <w:t>employment</w:t>
      </w:r>
      <w:r>
        <w:rPr>
          <w:spacing w:val="33"/>
        </w:rPr>
        <w:t xml:space="preserve"> </w:t>
      </w:r>
      <w:r>
        <w:t>of</w:t>
      </w:r>
      <w:r>
        <w:rPr>
          <w:spacing w:val="45"/>
        </w:rPr>
        <w:t xml:space="preserve"> </w:t>
      </w:r>
      <w:r>
        <w:rPr>
          <w:spacing w:val="-1"/>
        </w:rPr>
        <w:t>people</w:t>
      </w:r>
      <w:r>
        <w:rPr>
          <w:spacing w:val="30"/>
        </w:rPr>
        <w:t xml:space="preserve"> </w:t>
      </w:r>
      <w:r>
        <w:t>with</w:t>
      </w:r>
      <w:r>
        <w:rPr>
          <w:spacing w:val="31"/>
        </w:rPr>
        <w:t xml:space="preserve"> </w:t>
      </w:r>
      <w:r>
        <w:t>a</w:t>
      </w:r>
      <w:r>
        <w:rPr>
          <w:spacing w:val="30"/>
        </w:rPr>
        <w:t xml:space="preserve"> </w:t>
      </w:r>
      <w:r>
        <w:t>disability</w:t>
      </w:r>
      <w:r>
        <w:rPr>
          <w:spacing w:val="28"/>
        </w:rPr>
        <w:t xml:space="preserve"> </w:t>
      </w:r>
      <w:r>
        <w:rPr>
          <w:spacing w:val="-1"/>
        </w:rPr>
        <w:t>as</w:t>
      </w:r>
      <w:r>
        <w:rPr>
          <w:spacing w:val="31"/>
        </w:rPr>
        <w:t xml:space="preserve"> </w:t>
      </w:r>
      <w:r>
        <w:rPr>
          <w:spacing w:val="-1"/>
        </w:rPr>
        <w:t>well</w:t>
      </w:r>
      <w:r>
        <w:rPr>
          <w:spacing w:val="31"/>
        </w:rPr>
        <w:t xml:space="preserve"> </w:t>
      </w:r>
      <w:r>
        <w:rPr>
          <w:spacing w:val="-1"/>
        </w:rPr>
        <w:t>as</w:t>
      </w:r>
      <w:r>
        <w:rPr>
          <w:spacing w:val="31"/>
        </w:rPr>
        <w:t xml:space="preserve"> </w:t>
      </w:r>
      <w:r>
        <w:rPr>
          <w:spacing w:val="-1"/>
        </w:rPr>
        <w:t>employment</w:t>
      </w:r>
      <w:r>
        <w:rPr>
          <w:spacing w:val="31"/>
        </w:rPr>
        <w:t xml:space="preserve"> </w:t>
      </w:r>
      <w:r>
        <w:t>of</w:t>
      </w:r>
      <w:r>
        <w:rPr>
          <w:spacing w:val="30"/>
        </w:rPr>
        <w:t xml:space="preserve"> </w:t>
      </w:r>
      <w:r>
        <w:rPr>
          <w:spacing w:val="-1"/>
        </w:rPr>
        <w:t>people</w:t>
      </w:r>
      <w:r>
        <w:rPr>
          <w:spacing w:val="30"/>
        </w:rPr>
        <w:t xml:space="preserve"> </w:t>
      </w:r>
      <w:r>
        <w:t>of</w:t>
      </w:r>
      <w:r>
        <w:rPr>
          <w:spacing w:val="30"/>
        </w:rPr>
        <w:t xml:space="preserve"> </w:t>
      </w:r>
      <w:r>
        <w:rPr>
          <w:spacing w:val="-1"/>
        </w:rPr>
        <w:t>Aboriginal</w:t>
      </w:r>
      <w:r>
        <w:rPr>
          <w:spacing w:val="33"/>
        </w:rPr>
        <w:t xml:space="preserve"> </w:t>
      </w:r>
      <w:r>
        <w:rPr>
          <w:spacing w:val="-1"/>
        </w:rPr>
        <w:t>and</w:t>
      </w:r>
      <w:r>
        <w:rPr>
          <w:spacing w:val="30"/>
        </w:rPr>
        <w:t xml:space="preserve"> </w:t>
      </w:r>
      <w:r>
        <w:rPr>
          <w:spacing w:val="-1"/>
        </w:rPr>
        <w:t>Torres</w:t>
      </w:r>
      <w:r>
        <w:rPr>
          <w:spacing w:val="73"/>
        </w:rPr>
        <w:t xml:space="preserve"> </w:t>
      </w:r>
      <w:r>
        <w:rPr>
          <w:spacing w:val="-1"/>
        </w:rPr>
        <w:t>Strait</w:t>
      </w:r>
      <w:r>
        <w:rPr>
          <w:spacing w:val="2"/>
        </w:rPr>
        <w:t xml:space="preserve"> </w:t>
      </w:r>
      <w:r>
        <w:rPr>
          <w:spacing w:val="-1"/>
        </w:rPr>
        <w:t>Islander</w:t>
      </w:r>
      <w:r>
        <w:t xml:space="preserve"> </w:t>
      </w:r>
      <w:r>
        <w:rPr>
          <w:spacing w:val="-1"/>
        </w:rPr>
        <w:t>descent.</w:t>
      </w:r>
    </w:p>
    <w:p w:rsidR="007235EF" w:rsidRDefault="007235EF" w:rsidP="007235EF">
      <w:pPr>
        <w:pStyle w:val="Quote"/>
        <w:rPr>
          <w:spacing w:val="-1"/>
        </w:rPr>
      </w:pPr>
      <w:r>
        <w:t>The</w:t>
      </w:r>
      <w:r>
        <w:rPr>
          <w:spacing w:val="22"/>
        </w:rPr>
        <w:t xml:space="preserve"> </w:t>
      </w:r>
      <w:r>
        <w:t>framework</w:t>
      </w:r>
      <w:r>
        <w:rPr>
          <w:spacing w:val="23"/>
        </w:rPr>
        <w:t xml:space="preserve"> </w:t>
      </w:r>
      <w:r>
        <w:t>sits</w:t>
      </w:r>
      <w:r>
        <w:rPr>
          <w:spacing w:val="24"/>
        </w:rPr>
        <w:t xml:space="preserve"> </w:t>
      </w:r>
      <w:r>
        <w:rPr>
          <w:spacing w:val="-1"/>
        </w:rPr>
        <w:t>alongside</w:t>
      </w:r>
      <w:r>
        <w:rPr>
          <w:spacing w:val="25"/>
        </w:rPr>
        <w:t xml:space="preserve"> </w:t>
      </w:r>
      <w:r>
        <w:rPr>
          <w:spacing w:val="-1"/>
        </w:rPr>
        <w:t>and</w:t>
      </w:r>
      <w:r>
        <w:rPr>
          <w:spacing w:val="23"/>
        </w:rPr>
        <w:t xml:space="preserve"> </w:t>
      </w:r>
      <w:r>
        <w:t>supports</w:t>
      </w:r>
      <w:r>
        <w:rPr>
          <w:spacing w:val="24"/>
        </w:rPr>
        <w:t xml:space="preserve"> </w:t>
      </w:r>
      <w:r>
        <w:t>the</w:t>
      </w:r>
      <w:r>
        <w:rPr>
          <w:spacing w:val="22"/>
        </w:rPr>
        <w:t xml:space="preserve"> </w:t>
      </w:r>
      <w:r>
        <w:t>implementation</w:t>
      </w:r>
      <w:r>
        <w:rPr>
          <w:spacing w:val="23"/>
        </w:rPr>
        <w:t xml:space="preserve"> </w:t>
      </w:r>
      <w:r>
        <w:rPr>
          <w:spacing w:val="-1"/>
        </w:rPr>
        <w:t>and</w:t>
      </w:r>
      <w:r>
        <w:rPr>
          <w:spacing w:val="23"/>
        </w:rPr>
        <w:t xml:space="preserve"> </w:t>
      </w:r>
      <w:r>
        <w:t>the</w:t>
      </w:r>
      <w:r>
        <w:rPr>
          <w:spacing w:val="25"/>
        </w:rPr>
        <w:t xml:space="preserve"> </w:t>
      </w:r>
      <w:r>
        <w:t>expectations</w:t>
      </w:r>
      <w:r>
        <w:rPr>
          <w:spacing w:val="28"/>
        </w:rPr>
        <w:t xml:space="preserve"> </w:t>
      </w:r>
      <w:r>
        <w:t>of</w:t>
      </w:r>
      <w:r>
        <w:rPr>
          <w:spacing w:val="35"/>
        </w:rPr>
        <w:t xml:space="preserve"> </w:t>
      </w:r>
      <w:r>
        <w:rPr>
          <w:spacing w:val="-1"/>
        </w:rPr>
        <w:t>behaviour</w:t>
      </w:r>
      <w:r>
        <w:rPr>
          <w:spacing w:val="35"/>
        </w:rPr>
        <w:t xml:space="preserve"> </w:t>
      </w:r>
      <w:r>
        <w:rPr>
          <w:spacing w:val="-1"/>
        </w:rPr>
        <w:t>which</w:t>
      </w:r>
      <w:r>
        <w:rPr>
          <w:spacing w:val="35"/>
        </w:rPr>
        <w:t xml:space="preserve"> </w:t>
      </w:r>
      <w:r>
        <w:t>are</w:t>
      </w:r>
      <w:r>
        <w:rPr>
          <w:spacing w:val="34"/>
        </w:rPr>
        <w:t xml:space="preserve"> </w:t>
      </w:r>
      <w:r>
        <w:rPr>
          <w:spacing w:val="-1"/>
        </w:rPr>
        <w:t>set</w:t>
      </w:r>
      <w:r>
        <w:rPr>
          <w:spacing w:val="36"/>
        </w:rPr>
        <w:t xml:space="preserve"> </w:t>
      </w:r>
      <w:r>
        <w:t>out</w:t>
      </w:r>
      <w:r>
        <w:rPr>
          <w:spacing w:val="36"/>
        </w:rPr>
        <w:t xml:space="preserve"> </w:t>
      </w:r>
      <w:r>
        <w:t>ultimately</w:t>
      </w:r>
      <w:r>
        <w:rPr>
          <w:spacing w:val="28"/>
        </w:rPr>
        <w:t xml:space="preserve"> </w:t>
      </w:r>
      <w:r>
        <w:rPr>
          <w:spacing w:val="1"/>
        </w:rPr>
        <w:t>in</w:t>
      </w:r>
      <w:r>
        <w:rPr>
          <w:spacing w:val="35"/>
        </w:rPr>
        <w:t xml:space="preserve"> </w:t>
      </w:r>
      <w:r>
        <w:rPr>
          <w:spacing w:val="-1"/>
        </w:rPr>
        <w:t>section</w:t>
      </w:r>
      <w:r>
        <w:rPr>
          <w:spacing w:val="35"/>
        </w:rPr>
        <w:t xml:space="preserve"> </w:t>
      </w:r>
      <w:r>
        <w:t>9</w:t>
      </w:r>
      <w:r>
        <w:rPr>
          <w:spacing w:val="40"/>
        </w:rPr>
        <w:t xml:space="preserve"> </w:t>
      </w:r>
      <w:r>
        <w:t>of</w:t>
      </w:r>
      <w:r>
        <w:rPr>
          <w:spacing w:val="35"/>
        </w:rPr>
        <w:t xml:space="preserve"> </w:t>
      </w:r>
      <w:r>
        <w:t>the</w:t>
      </w:r>
      <w:r>
        <w:rPr>
          <w:spacing w:val="35"/>
        </w:rPr>
        <w:t xml:space="preserve"> </w:t>
      </w:r>
      <w:r>
        <w:rPr>
          <w:spacing w:val="-1"/>
        </w:rPr>
        <w:t>Public</w:t>
      </w:r>
      <w:r>
        <w:rPr>
          <w:spacing w:val="34"/>
        </w:rPr>
        <w:t xml:space="preserve"> </w:t>
      </w:r>
      <w:r>
        <w:rPr>
          <w:spacing w:val="-1"/>
        </w:rPr>
        <w:t>Sector</w:t>
      </w:r>
      <w:r>
        <w:rPr>
          <w:spacing w:val="57"/>
        </w:rPr>
        <w:t xml:space="preserve"> </w:t>
      </w:r>
      <w:r>
        <w:rPr>
          <w:spacing w:val="-1"/>
        </w:rPr>
        <w:t>Management</w:t>
      </w:r>
      <w:r>
        <w:rPr>
          <w:spacing w:val="42"/>
        </w:rPr>
        <w:t xml:space="preserve"> </w:t>
      </w:r>
      <w:r>
        <w:rPr>
          <w:spacing w:val="-1"/>
        </w:rPr>
        <w:t>Act</w:t>
      </w:r>
      <w:r>
        <w:rPr>
          <w:spacing w:val="43"/>
        </w:rPr>
        <w:t xml:space="preserve"> </w:t>
      </w:r>
      <w:r>
        <w:rPr>
          <w:spacing w:val="-1"/>
        </w:rPr>
        <w:t>and,</w:t>
      </w:r>
      <w:r>
        <w:rPr>
          <w:spacing w:val="45"/>
        </w:rPr>
        <w:t xml:space="preserve"> </w:t>
      </w:r>
      <w:r>
        <w:t>more</w:t>
      </w:r>
      <w:r>
        <w:rPr>
          <w:spacing w:val="41"/>
        </w:rPr>
        <w:t xml:space="preserve"> </w:t>
      </w:r>
      <w:r>
        <w:t>importantly</w:t>
      </w:r>
      <w:r>
        <w:rPr>
          <w:spacing w:val="38"/>
        </w:rPr>
        <w:t xml:space="preserve"> </w:t>
      </w:r>
      <w:r>
        <w:rPr>
          <w:spacing w:val="-1"/>
        </w:rPr>
        <w:t>and</w:t>
      </w:r>
      <w:r>
        <w:rPr>
          <w:spacing w:val="42"/>
        </w:rPr>
        <w:t xml:space="preserve"> </w:t>
      </w:r>
      <w:r>
        <w:rPr>
          <w:spacing w:val="-1"/>
        </w:rPr>
        <w:t>perhaps</w:t>
      </w:r>
      <w:r>
        <w:rPr>
          <w:spacing w:val="43"/>
        </w:rPr>
        <w:t xml:space="preserve"> </w:t>
      </w:r>
      <w:r>
        <w:t>more</w:t>
      </w:r>
      <w:r>
        <w:rPr>
          <w:spacing w:val="41"/>
        </w:rPr>
        <w:t xml:space="preserve"> </w:t>
      </w:r>
      <w:r>
        <w:rPr>
          <w:spacing w:val="-1"/>
        </w:rPr>
        <w:t>relevantly,</w:t>
      </w:r>
      <w:r>
        <w:rPr>
          <w:spacing w:val="45"/>
        </w:rPr>
        <w:t xml:space="preserve"> </w:t>
      </w:r>
      <w:r>
        <w:t>in</w:t>
      </w:r>
      <w:r>
        <w:rPr>
          <w:spacing w:val="43"/>
        </w:rPr>
        <w:t xml:space="preserve"> </w:t>
      </w:r>
      <w:r>
        <w:t>the</w:t>
      </w:r>
      <w:r>
        <w:rPr>
          <w:spacing w:val="42"/>
        </w:rPr>
        <w:t xml:space="preserve"> </w:t>
      </w:r>
      <w:r>
        <w:t>ACT</w:t>
      </w:r>
      <w:r>
        <w:rPr>
          <w:spacing w:val="57"/>
        </w:rPr>
        <w:t xml:space="preserve"> </w:t>
      </w:r>
      <w:r>
        <w:t>public</w:t>
      </w:r>
      <w:r>
        <w:rPr>
          <w:spacing w:val="56"/>
        </w:rPr>
        <w:t xml:space="preserve"> </w:t>
      </w:r>
      <w:r>
        <w:rPr>
          <w:spacing w:val="-1"/>
        </w:rPr>
        <w:t>service</w:t>
      </w:r>
      <w:r>
        <w:rPr>
          <w:spacing w:val="56"/>
        </w:rPr>
        <w:t xml:space="preserve"> </w:t>
      </w:r>
      <w:r>
        <w:rPr>
          <w:spacing w:val="-1"/>
        </w:rPr>
        <w:t>code</w:t>
      </w:r>
      <w:r>
        <w:rPr>
          <w:spacing w:val="56"/>
        </w:rPr>
        <w:t xml:space="preserve"> </w:t>
      </w:r>
      <w:r>
        <w:t>of</w:t>
      </w:r>
      <w:r>
        <w:rPr>
          <w:spacing w:val="56"/>
        </w:rPr>
        <w:t xml:space="preserve"> </w:t>
      </w:r>
      <w:r>
        <w:rPr>
          <w:spacing w:val="-1"/>
        </w:rPr>
        <w:t>conduct,</w:t>
      </w:r>
      <w:r>
        <w:rPr>
          <w:spacing w:val="57"/>
        </w:rPr>
        <w:t xml:space="preserve"> </w:t>
      </w:r>
      <w:r>
        <w:rPr>
          <w:spacing w:val="-1"/>
        </w:rPr>
        <w:t>which,</w:t>
      </w:r>
      <w:r>
        <w:rPr>
          <w:spacing w:val="57"/>
        </w:rPr>
        <w:t xml:space="preserve"> </w:t>
      </w:r>
      <w:r>
        <w:rPr>
          <w:spacing w:val="-1"/>
        </w:rPr>
        <w:t>as</w:t>
      </w:r>
      <w:r>
        <w:rPr>
          <w:spacing w:val="57"/>
        </w:rPr>
        <w:t xml:space="preserve"> </w:t>
      </w:r>
      <w:r>
        <w:rPr>
          <w:spacing w:val="-1"/>
        </w:rPr>
        <w:t>commissioner,</w:t>
      </w:r>
      <w:r>
        <w:rPr>
          <w:spacing w:val="59"/>
        </w:rPr>
        <w:t xml:space="preserve"> </w:t>
      </w:r>
      <w:r>
        <w:t>I</w:t>
      </w:r>
      <w:r>
        <w:rPr>
          <w:spacing w:val="51"/>
        </w:rPr>
        <w:t xml:space="preserve"> </w:t>
      </w:r>
      <w:r>
        <w:t>formally</w:t>
      </w:r>
      <w:r>
        <w:rPr>
          <w:spacing w:val="50"/>
        </w:rPr>
        <w:t xml:space="preserve"> </w:t>
      </w:r>
      <w:r>
        <w:t>published</w:t>
      </w:r>
      <w:r>
        <w:rPr>
          <w:spacing w:val="56"/>
        </w:rPr>
        <w:t xml:space="preserve"> </w:t>
      </w:r>
      <w:r>
        <w:t>in</w:t>
      </w:r>
      <w:r>
        <w:rPr>
          <w:spacing w:val="69"/>
        </w:rPr>
        <w:t xml:space="preserve"> </w:t>
      </w:r>
      <w:r>
        <w:rPr>
          <w:spacing w:val="-1"/>
        </w:rPr>
        <w:t>October</w:t>
      </w:r>
      <w:r>
        <w:rPr>
          <w:spacing w:val="-2"/>
        </w:rPr>
        <w:t xml:space="preserve"> </w:t>
      </w:r>
      <w:r>
        <w:t xml:space="preserve">of </w:t>
      </w:r>
      <w:r>
        <w:rPr>
          <w:spacing w:val="-1"/>
        </w:rPr>
        <w:t>2012</w:t>
      </w:r>
      <w:r>
        <w:rPr>
          <w:spacing w:val="2"/>
        </w:rPr>
        <w:t xml:space="preserve"> </w:t>
      </w:r>
      <w:r>
        <w:t>following</w:t>
      </w:r>
      <w:r>
        <w:rPr>
          <w:spacing w:val="-3"/>
        </w:rPr>
        <w:t xml:space="preserve"> </w:t>
      </w:r>
      <w:r>
        <w:t>a</w:t>
      </w:r>
      <w:r>
        <w:rPr>
          <w:spacing w:val="-1"/>
        </w:rPr>
        <w:t xml:space="preserve"> process</w:t>
      </w:r>
      <w:r>
        <w:t xml:space="preserve"> </w:t>
      </w:r>
      <w:r>
        <w:rPr>
          <w:spacing w:val="1"/>
        </w:rPr>
        <w:t>of</w:t>
      </w:r>
      <w:r>
        <w:t xml:space="preserve"> </w:t>
      </w:r>
      <w:r>
        <w:rPr>
          <w:spacing w:val="-1"/>
        </w:rPr>
        <w:t xml:space="preserve">consultation. </w:t>
      </w:r>
    </w:p>
    <w:p w:rsidR="007235EF" w:rsidRDefault="007235EF" w:rsidP="007235EF">
      <w:pPr>
        <w:pStyle w:val="Quote"/>
      </w:pPr>
      <w:r>
        <w:rPr>
          <w:spacing w:val="-1"/>
        </w:rPr>
        <w:t>T</w:t>
      </w:r>
      <w:r>
        <w:t>he</w:t>
      </w:r>
      <w:r>
        <w:rPr>
          <w:spacing w:val="20"/>
        </w:rPr>
        <w:t xml:space="preserve"> </w:t>
      </w:r>
      <w:r>
        <w:rPr>
          <w:spacing w:val="-1"/>
        </w:rPr>
        <w:t>intent</w:t>
      </w:r>
      <w:r>
        <w:rPr>
          <w:spacing w:val="21"/>
        </w:rPr>
        <w:t xml:space="preserve"> </w:t>
      </w:r>
      <w:r>
        <w:t>of</w:t>
      </w:r>
      <w:r>
        <w:rPr>
          <w:spacing w:val="22"/>
        </w:rPr>
        <w:t xml:space="preserve"> </w:t>
      </w:r>
      <w:r>
        <w:t>that</w:t>
      </w:r>
      <w:r>
        <w:rPr>
          <w:spacing w:val="21"/>
        </w:rPr>
        <w:t xml:space="preserve"> </w:t>
      </w:r>
      <w:r>
        <w:t>framework</w:t>
      </w:r>
      <w:r>
        <w:rPr>
          <w:spacing w:val="21"/>
        </w:rPr>
        <w:t xml:space="preserve"> </w:t>
      </w:r>
      <w:r>
        <w:t>is</w:t>
      </w:r>
      <w:r>
        <w:rPr>
          <w:spacing w:val="22"/>
        </w:rPr>
        <w:t xml:space="preserve"> </w:t>
      </w:r>
      <w:r>
        <w:t>to</w:t>
      </w:r>
      <w:r>
        <w:rPr>
          <w:spacing w:val="21"/>
        </w:rPr>
        <w:t xml:space="preserve"> </w:t>
      </w:r>
      <w:r>
        <w:t>both</w:t>
      </w:r>
      <w:r>
        <w:rPr>
          <w:spacing w:val="24"/>
        </w:rPr>
        <w:t xml:space="preserve"> </w:t>
      </w:r>
      <w:r>
        <w:rPr>
          <w:spacing w:val="-1"/>
        </w:rPr>
        <w:t>create</w:t>
      </w:r>
      <w:r>
        <w:rPr>
          <w:spacing w:val="23"/>
        </w:rPr>
        <w:t xml:space="preserve"> </w:t>
      </w:r>
      <w:r>
        <w:t>an</w:t>
      </w:r>
      <w:r>
        <w:rPr>
          <w:spacing w:val="21"/>
        </w:rPr>
        <w:t xml:space="preserve"> </w:t>
      </w:r>
      <w:r>
        <w:t>explicit</w:t>
      </w:r>
      <w:r>
        <w:rPr>
          <w:spacing w:val="22"/>
        </w:rPr>
        <w:t xml:space="preserve"> </w:t>
      </w:r>
      <w:r>
        <w:rPr>
          <w:spacing w:val="-1"/>
        </w:rPr>
        <w:t>set</w:t>
      </w:r>
      <w:r>
        <w:rPr>
          <w:spacing w:val="21"/>
        </w:rPr>
        <w:t xml:space="preserve"> </w:t>
      </w:r>
      <w:r>
        <w:t>of</w:t>
      </w:r>
      <w:r>
        <w:rPr>
          <w:spacing w:val="20"/>
        </w:rPr>
        <w:t xml:space="preserve"> </w:t>
      </w:r>
      <w:r>
        <w:t>expectations</w:t>
      </w:r>
      <w:r>
        <w:rPr>
          <w:spacing w:val="22"/>
        </w:rPr>
        <w:t xml:space="preserve"> </w:t>
      </w:r>
      <w:r>
        <w:rPr>
          <w:spacing w:val="-1"/>
        </w:rPr>
        <w:t>around</w:t>
      </w:r>
      <w:r>
        <w:rPr>
          <w:spacing w:val="37"/>
        </w:rPr>
        <w:t xml:space="preserve"> </w:t>
      </w:r>
      <w:r>
        <w:t>the</w:t>
      </w:r>
      <w:r>
        <w:rPr>
          <w:spacing w:val="16"/>
        </w:rPr>
        <w:t xml:space="preserve"> </w:t>
      </w:r>
      <w:r>
        <w:rPr>
          <w:spacing w:val="-1"/>
        </w:rPr>
        <w:t>behaviour</w:t>
      </w:r>
      <w:r>
        <w:rPr>
          <w:spacing w:val="16"/>
        </w:rPr>
        <w:t xml:space="preserve"> </w:t>
      </w:r>
      <w:r>
        <w:t>that</w:t>
      </w:r>
      <w:r>
        <w:rPr>
          <w:spacing w:val="16"/>
        </w:rPr>
        <w:t xml:space="preserve"> </w:t>
      </w:r>
      <w:r>
        <w:t>we</w:t>
      </w:r>
      <w:r>
        <w:rPr>
          <w:spacing w:val="15"/>
        </w:rPr>
        <w:t xml:space="preserve"> </w:t>
      </w:r>
      <w:r>
        <w:t>will</w:t>
      </w:r>
      <w:r>
        <w:rPr>
          <w:spacing w:val="17"/>
        </w:rPr>
        <w:t xml:space="preserve"> </w:t>
      </w:r>
      <w:r>
        <w:rPr>
          <w:spacing w:val="-1"/>
        </w:rPr>
        <w:t>exhibit</w:t>
      </w:r>
      <w:r>
        <w:rPr>
          <w:spacing w:val="17"/>
        </w:rPr>
        <w:t xml:space="preserve"> </w:t>
      </w:r>
      <w:r>
        <w:rPr>
          <w:spacing w:val="-1"/>
        </w:rPr>
        <w:t>not</w:t>
      </w:r>
      <w:r>
        <w:rPr>
          <w:spacing w:val="17"/>
        </w:rPr>
        <w:t xml:space="preserve"> </w:t>
      </w:r>
      <w:r>
        <w:t>only</w:t>
      </w:r>
      <w:r>
        <w:rPr>
          <w:spacing w:val="9"/>
        </w:rPr>
        <w:t xml:space="preserve"> </w:t>
      </w:r>
      <w:r>
        <w:rPr>
          <w:spacing w:val="-1"/>
        </w:rPr>
        <w:t>towards</w:t>
      </w:r>
      <w:r>
        <w:rPr>
          <w:spacing w:val="16"/>
        </w:rPr>
        <w:t xml:space="preserve"> </w:t>
      </w:r>
      <w:r>
        <w:t>our</w:t>
      </w:r>
      <w:r>
        <w:rPr>
          <w:spacing w:val="15"/>
        </w:rPr>
        <w:t xml:space="preserve"> </w:t>
      </w:r>
      <w:r>
        <w:rPr>
          <w:spacing w:val="-1"/>
        </w:rPr>
        <w:t>colleagues</w:t>
      </w:r>
      <w:r>
        <w:rPr>
          <w:spacing w:val="16"/>
        </w:rPr>
        <w:t xml:space="preserve"> </w:t>
      </w:r>
      <w:r>
        <w:t>but</w:t>
      </w:r>
      <w:r>
        <w:rPr>
          <w:spacing w:val="17"/>
        </w:rPr>
        <w:t xml:space="preserve"> </w:t>
      </w:r>
      <w:r>
        <w:t>to</w:t>
      </w:r>
      <w:r>
        <w:rPr>
          <w:spacing w:val="17"/>
        </w:rPr>
        <w:t xml:space="preserve"> </w:t>
      </w:r>
      <w:r>
        <w:t>the</w:t>
      </w:r>
      <w:r>
        <w:rPr>
          <w:spacing w:val="55"/>
        </w:rPr>
        <w:t xml:space="preserve"> </w:t>
      </w:r>
      <w:r>
        <w:rPr>
          <w:spacing w:val="-1"/>
        </w:rPr>
        <w:t>recipients</w:t>
      </w:r>
      <w:r>
        <w:rPr>
          <w:spacing w:val="17"/>
        </w:rPr>
        <w:t xml:space="preserve"> </w:t>
      </w:r>
      <w:r>
        <w:t>of</w:t>
      </w:r>
      <w:r>
        <w:rPr>
          <w:spacing w:val="15"/>
        </w:rPr>
        <w:t xml:space="preserve"> </w:t>
      </w:r>
      <w:r>
        <w:t>the</w:t>
      </w:r>
      <w:r>
        <w:rPr>
          <w:spacing w:val="16"/>
        </w:rPr>
        <w:t xml:space="preserve"> </w:t>
      </w:r>
      <w:r>
        <w:rPr>
          <w:spacing w:val="-1"/>
        </w:rPr>
        <w:t>services</w:t>
      </w:r>
      <w:r>
        <w:rPr>
          <w:spacing w:val="18"/>
        </w:rPr>
        <w:t xml:space="preserve"> </w:t>
      </w:r>
      <w:r>
        <w:rPr>
          <w:spacing w:val="-1"/>
        </w:rPr>
        <w:t>which</w:t>
      </w:r>
      <w:r>
        <w:rPr>
          <w:spacing w:val="16"/>
        </w:rPr>
        <w:t xml:space="preserve"> </w:t>
      </w:r>
      <w:r>
        <w:t>we</w:t>
      </w:r>
      <w:r>
        <w:rPr>
          <w:spacing w:val="15"/>
        </w:rPr>
        <w:t xml:space="preserve"> </w:t>
      </w:r>
      <w:r>
        <w:rPr>
          <w:spacing w:val="-1"/>
        </w:rPr>
        <w:t>as</w:t>
      </w:r>
      <w:r>
        <w:rPr>
          <w:spacing w:val="16"/>
        </w:rPr>
        <w:t xml:space="preserve"> </w:t>
      </w:r>
      <w:r>
        <w:t>a</w:t>
      </w:r>
      <w:r>
        <w:rPr>
          <w:spacing w:val="15"/>
        </w:rPr>
        <w:t xml:space="preserve"> </w:t>
      </w:r>
      <w:r>
        <w:rPr>
          <w:spacing w:val="-1"/>
        </w:rPr>
        <w:t>service</w:t>
      </w:r>
      <w:r>
        <w:rPr>
          <w:spacing w:val="15"/>
        </w:rPr>
        <w:t xml:space="preserve"> </w:t>
      </w:r>
      <w:r>
        <w:t>provide</w:t>
      </w:r>
      <w:r>
        <w:rPr>
          <w:spacing w:val="15"/>
        </w:rPr>
        <w:t xml:space="preserve"> </w:t>
      </w:r>
      <w:r>
        <w:rPr>
          <w:spacing w:val="-1"/>
        </w:rPr>
        <w:t>and</w:t>
      </w:r>
      <w:r>
        <w:rPr>
          <w:spacing w:val="16"/>
        </w:rPr>
        <w:t xml:space="preserve"> </w:t>
      </w:r>
      <w:r>
        <w:t>to</w:t>
      </w:r>
      <w:r>
        <w:rPr>
          <w:spacing w:val="17"/>
        </w:rPr>
        <w:t xml:space="preserve"> </w:t>
      </w:r>
      <w:r>
        <w:rPr>
          <w:spacing w:val="-1"/>
        </w:rPr>
        <w:t>provide</w:t>
      </w:r>
      <w:r>
        <w:rPr>
          <w:spacing w:val="16"/>
        </w:rPr>
        <w:t xml:space="preserve"> </w:t>
      </w:r>
      <w:r>
        <w:t>a</w:t>
      </w:r>
      <w:r>
        <w:rPr>
          <w:spacing w:val="15"/>
        </w:rPr>
        <w:t xml:space="preserve"> </w:t>
      </w:r>
      <w:r>
        <w:rPr>
          <w:spacing w:val="-1"/>
        </w:rPr>
        <w:t>mechanism</w:t>
      </w:r>
      <w:r>
        <w:rPr>
          <w:spacing w:val="71"/>
        </w:rPr>
        <w:t xml:space="preserve"> </w:t>
      </w:r>
      <w:r>
        <w:rPr>
          <w:spacing w:val="-1"/>
        </w:rPr>
        <w:t>through</w:t>
      </w:r>
      <w:r>
        <w:rPr>
          <w:spacing w:val="30"/>
        </w:rPr>
        <w:t xml:space="preserve"> </w:t>
      </w:r>
      <w:r>
        <w:rPr>
          <w:spacing w:val="-1"/>
        </w:rPr>
        <w:t>which</w:t>
      </w:r>
      <w:r>
        <w:rPr>
          <w:spacing w:val="30"/>
        </w:rPr>
        <w:t xml:space="preserve"> </w:t>
      </w:r>
      <w:r>
        <w:rPr>
          <w:spacing w:val="-1"/>
        </w:rPr>
        <w:t>colleagues</w:t>
      </w:r>
      <w:r>
        <w:rPr>
          <w:spacing w:val="28"/>
        </w:rPr>
        <w:t xml:space="preserve"> </w:t>
      </w:r>
      <w:r>
        <w:t>who</w:t>
      </w:r>
      <w:r>
        <w:rPr>
          <w:spacing w:val="28"/>
        </w:rPr>
        <w:t xml:space="preserve"> </w:t>
      </w:r>
      <w:r>
        <w:rPr>
          <w:spacing w:val="1"/>
        </w:rPr>
        <w:t>have</w:t>
      </w:r>
      <w:r>
        <w:rPr>
          <w:spacing w:val="30"/>
        </w:rPr>
        <w:t xml:space="preserve"> </w:t>
      </w:r>
      <w:r>
        <w:rPr>
          <w:spacing w:val="-1"/>
        </w:rPr>
        <w:t>experienced</w:t>
      </w:r>
      <w:r>
        <w:rPr>
          <w:spacing w:val="30"/>
        </w:rPr>
        <w:t xml:space="preserve"> </w:t>
      </w:r>
      <w:r>
        <w:rPr>
          <w:spacing w:val="-1"/>
        </w:rPr>
        <w:t>inappropriate</w:t>
      </w:r>
      <w:r>
        <w:rPr>
          <w:spacing w:val="27"/>
        </w:rPr>
        <w:t xml:space="preserve"> </w:t>
      </w:r>
      <w:r>
        <w:t>behaviour</w:t>
      </w:r>
      <w:r>
        <w:rPr>
          <w:spacing w:val="30"/>
        </w:rPr>
        <w:t xml:space="preserve"> </w:t>
      </w:r>
      <w:r>
        <w:t>or</w:t>
      </w:r>
      <w:r>
        <w:rPr>
          <w:spacing w:val="27"/>
        </w:rPr>
        <w:t xml:space="preserve"> </w:t>
      </w:r>
      <w:r>
        <w:t>believe</w:t>
      </w:r>
      <w:r>
        <w:rPr>
          <w:spacing w:val="71"/>
        </w:rPr>
        <w:t xml:space="preserve"> </w:t>
      </w:r>
      <w:r>
        <w:t>they</w:t>
      </w:r>
      <w:r>
        <w:rPr>
          <w:spacing w:val="4"/>
        </w:rPr>
        <w:t xml:space="preserve"> </w:t>
      </w:r>
      <w:r>
        <w:rPr>
          <w:spacing w:val="-1"/>
        </w:rPr>
        <w:t>have</w:t>
      </w:r>
      <w:r>
        <w:rPr>
          <w:spacing w:val="8"/>
        </w:rPr>
        <w:t xml:space="preserve"> </w:t>
      </w:r>
      <w:r>
        <w:rPr>
          <w:spacing w:val="-1"/>
        </w:rPr>
        <w:t>experienced</w:t>
      </w:r>
      <w:r>
        <w:rPr>
          <w:spacing w:val="11"/>
        </w:rPr>
        <w:t xml:space="preserve"> </w:t>
      </w:r>
      <w:r>
        <w:rPr>
          <w:spacing w:val="-1"/>
        </w:rPr>
        <w:t>inappropriate</w:t>
      </w:r>
      <w:r>
        <w:rPr>
          <w:spacing w:val="8"/>
        </w:rPr>
        <w:t xml:space="preserve"> </w:t>
      </w:r>
      <w:r>
        <w:t>behaviour</w:t>
      </w:r>
      <w:r>
        <w:rPr>
          <w:spacing w:val="10"/>
        </w:rPr>
        <w:t xml:space="preserve"> </w:t>
      </w:r>
      <w:r>
        <w:rPr>
          <w:spacing w:val="-1"/>
        </w:rPr>
        <w:t>can</w:t>
      </w:r>
      <w:r>
        <w:rPr>
          <w:spacing w:val="9"/>
        </w:rPr>
        <w:t xml:space="preserve"> </w:t>
      </w:r>
      <w:r>
        <w:rPr>
          <w:spacing w:val="-1"/>
        </w:rPr>
        <w:t>raise</w:t>
      </w:r>
      <w:r>
        <w:rPr>
          <w:spacing w:val="9"/>
        </w:rPr>
        <w:t xml:space="preserve"> </w:t>
      </w:r>
      <w:r>
        <w:t>those</w:t>
      </w:r>
      <w:r>
        <w:rPr>
          <w:spacing w:val="9"/>
        </w:rPr>
        <w:t xml:space="preserve"> </w:t>
      </w:r>
      <w:r>
        <w:rPr>
          <w:spacing w:val="-1"/>
        </w:rPr>
        <w:t>concerns</w:t>
      </w:r>
      <w:r>
        <w:rPr>
          <w:spacing w:val="9"/>
        </w:rPr>
        <w:t xml:space="preserve"> </w:t>
      </w:r>
      <w:r>
        <w:rPr>
          <w:spacing w:val="-1"/>
        </w:rPr>
        <w:t>through</w:t>
      </w:r>
      <w:r>
        <w:rPr>
          <w:spacing w:val="73"/>
        </w:rPr>
        <w:t xml:space="preserve"> </w:t>
      </w:r>
      <w:r>
        <w:rPr>
          <w:spacing w:val="-1"/>
        </w:rPr>
        <w:t>informal,</w:t>
      </w:r>
      <w:r>
        <w:rPr>
          <w:spacing w:val="21"/>
        </w:rPr>
        <w:t xml:space="preserve"> </w:t>
      </w:r>
      <w:r>
        <w:t>or</w:t>
      </w:r>
      <w:r>
        <w:rPr>
          <w:spacing w:val="20"/>
        </w:rPr>
        <w:t xml:space="preserve"> </w:t>
      </w:r>
      <w:r>
        <w:t>indeed</w:t>
      </w:r>
      <w:r>
        <w:rPr>
          <w:spacing w:val="23"/>
        </w:rPr>
        <w:t xml:space="preserve"> </w:t>
      </w:r>
      <w:r>
        <w:t>formal,</w:t>
      </w:r>
      <w:r>
        <w:rPr>
          <w:spacing w:val="21"/>
        </w:rPr>
        <w:t xml:space="preserve"> </w:t>
      </w:r>
      <w:r>
        <w:rPr>
          <w:spacing w:val="-1"/>
        </w:rPr>
        <w:t>channels</w:t>
      </w:r>
      <w:r>
        <w:rPr>
          <w:spacing w:val="22"/>
        </w:rPr>
        <w:t xml:space="preserve"> </w:t>
      </w:r>
      <w:r>
        <w:t>to</w:t>
      </w:r>
      <w:r>
        <w:rPr>
          <w:spacing w:val="24"/>
        </w:rPr>
        <w:t xml:space="preserve"> </w:t>
      </w:r>
      <w:r>
        <w:rPr>
          <w:spacing w:val="-1"/>
        </w:rPr>
        <w:t>have</w:t>
      </w:r>
      <w:r>
        <w:rPr>
          <w:spacing w:val="22"/>
        </w:rPr>
        <w:t xml:space="preserve"> </w:t>
      </w:r>
      <w:r>
        <w:t>those</w:t>
      </w:r>
      <w:r>
        <w:rPr>
          <w:spacing w:val="21"/>
        </w:rPr>
        <w:t xml:space="preserve"> </w:t>
      </w:r>
      <w:r>
        <w:rPr>
          <w:spacing w:val="-1"/>
        </w:rPr>
        <w:t>addressed.</w:t>
      </w:r>
      <w:r>
        <w:rPr>
          <w:spacing w:val="20"/>
        </w:rPr>
        <w:t xml:space="preserve"> </w:t>
      </w:r>
      <w:r>
        <w:t>While</w:t>
      </w:r>
      <w:r>
        <w:rPr>
          <w:spacing w:val="20"/>
        </w:rPr>
        <w:t xml:space="preserve"> </w:t>
      </w:r>
      <w:r>
        <w:t>it</w:t>
      </w:r>
      <w:r>
        <w:rPr>
          <w:spacing w:val="22"/>
        </w:rPr>
        <w:t xml:space="preserve"> </w:t>
      </w:r>
      <w:r>
        <w:t>is</w:t>
      </w:r>
      <w:r>
        <w:rPr>
          <w:spacing w:val="22"/>
        </w:rPr>
        <w:t xml:space="preserve"> </w:t>
      </w:r>
      <w:r>
        <w:t>not</w:t>
      </w:r>
      <w:r>
        <w:rPr>
          <w:spacing w:val="53"/>
        </w:rPr>
        <w:t xml:space="preserve"> </w:t>
      </w:r>
      <w:r>
        <w:t>specifically</w:t>
      </w:r>
      <w:r>
        <w:rPr>
          <w:spacing w:val="26"/>
        </w:rPr>
        <w:t xml:space="preserve"> </w:t>
      </w:r>
      <w:r>
        <w:rPr>
          <w:spacing w:val="-1"/>
        </w:rPr>
        <w:t>framed</w:t>
      </w:r>
      <w:r>
        <w:rPr>
          <w:spacing w:val="30"/>
        </w:rPr>
        <w:t xml:space="preserve"> </w:t>
      </w:r>
      <w:r>
        <w:t>in</w:t>
      </w:r>
      <w:r>
        <w:rPr>
          <w:spacing w:val="31"/>
        </w:rPr>
        <w:t xml:space="preserve"> </w:t>
      </w:r>
      <w:r>
        <w:t>terms</w:t>
      </w:r>
      <w:r>
        <w:rPr>
          <w:spacing w:val="30"/>
        </w:rPr>
        <w:t xml:space="preserve"> </w:t>
      </w:r>
      <w:r>
        <w:t>of</w:t>
      </w:r>
      <w:r>
        <w:rPr>
          <w:spacing w:val="30"/>
        </w:rPr>
        <w:t xml:space="preserve"> </w:t>
      </w:r>
      <w:r>
        <w:t>the</w:t>
      </w:r>
      <w:r>
        <w:rPr>
          <w:spacing w:val="30"/>
        </w:rPr>
        <w:t xml:space="preserve"> </w:t>
      </w:r>
      <w:r>
        <w:rPr>
          <w:spacing w:val="-1"/>
        </w:rPr>
        <w:t>issues</w:t>
      </w:r>
      <w:r>
        <w:rPr>
          <w:spacing w:val="31"/>
        </w:rPr>
        <w:t xml:space="preserve"> </w:t>
      </w:r>
      <w:r>
        <w:t>that</w:t>
      </w:r>
      <w:r>
        <w:rPr>
          <w:spacing w:val="35"/>
        </w:rPr>
        <w:t xml:space="preserve"> </w:t>
      </w:r>
      <w:r>
        <w:t>you</w:t>
      </w:r>
      <w:r>
        <w:rPr>
          <w:spacing w:val="30"/>
        </w:rPr>
        <w:t xml:space="preserve"> </w:t>
      </w:r>
      <w:r>
        <w:rPr>
          <w:spacing w:val="-1"/>
        </w:rPr>
        <w:t>are</w:t>
      </w:r>
      <w:r>
        <w:rPr>
          <w:spacing w:val="29"/>
        </w:rPr>
        <w:t xml:space="preserve"> </w:t>
      </w:r>
      <w:r>
        <w:rPr>
          <w:spacing w:val="-1"/>
        </w:rPr>
        <w:t>raising,</w:t>
      </w:r>
      <w:r>
        <w:rPr>
          <w:spacing w:val="33"/>
        </w:rPr>
        <w:t xml:space="preserve"> </w:t>
      </w:r>
      <w:r>
        <w:t>Dr</w:t>
      </w:r>
      <w:r>
        <w:rPr>
          <w:spacing w:val="2"/>
        </w:rPr>
        <w:t xml:space="preserve"> </w:t>
      </w:r>
      <w:r>
        <w:rPr>
          <w:spacing w:val="-1"/>
        </w:rPr>
        <w:t>Bourke,</w:t>
      </w:r>
      <w:r>
        <w:rPr>
          <w:spacing w:val="30"/>
        </w:rPr>
        <w:t xml:space="preserve"> </w:t>
      </w:r>
      <w:r>
        <w:t>certainly</w:t>
      </w:r>
      <w:r>
        <w:rPr>
          <w:spacing w:val="53"/>
        </w:rPr>
        <w:t xml:space="preserve"> </w:t>
      </w:r>
      <w:r>
        <w:rPr>
          <w:spacing w:val="-1"/>
        </w:rPr>
        <w:t>conduct</w:t>
      </w:r>
      <w:r>
        <w:rPr>
          <w:spacing w:val="24"/>
        </w:rPr>
        <w:t xml:space="preserve"> </w:t>
      </w:r>
      <w:r>
        <w:t>of</w:t>
      </w:r>
      <w:r>
        <w:rPr>
          <w:spacing w:val="23"/>
        </w:rPr>
        <w:t xml:space="preserve"> </w:t>
      </w:r>
      <w:r>
        <w:t>the</w:t>
      </w:r>
      <w:r>
        <w:rPr>
          <w:spacing w:val="23"/>
        </w:rPr>
        <w:t xml:space="preserve"> </w:t>
      </w:r>
      <w:r>
        <w:t>sort</w:t>
      </w:r>
      <w:r>
        <w:rPr>
          <w:spacing w:val="23"/>
        </w:rPr>
        <w:t xml:space="preserve"> </w:t>
      </w:r>
      <w:r>
        <w:t>that</w:t>
      </w:r>
      <w:r>
        <w:rPr>
          <w:spacing w:val="23"/>
        </w:rPr>
        <w:t xml:space="preserve"> </w:t>
      </w:r>
      <w:r>
        <w:rPr>
          <w:spacing w:val="-1"/>
        </w:rPr>
        <w:t>you</w:t>
      </w:r>
      <w:r>
        <w:rPr>
          <w:spacing w:val="23"/>
        </w:rPr>
        <w:t xml:space="preserve"> </w:t>
      </w:r>
      <w:r>
        <w:t>describe</w:t>
      </w:r>
      <w:r>
        <w:rPr>
          <w:spacing w:val="22"/>
        </w:rPr>
        <w:t xml:space="preserve"> </w:t>
      </w:r>
      <w:r>
        <w:t>in</w:t>
      </w:r>
      <w:r>
        <w:rPr>
          <w:spacing w:val="24"/>
        </w:rPr>
        <w:t xml:space="preserve"> </w:t>
      </w:r>
      <w:r>
        <w:t>those</w:t>
      </w:r>
      <w:r>
        <w:rPr>
          <w:spacing w:val="23"/>
        </w:rPr>
        <w:t xml:space="preserve"> </w:t>
      </w:r>
      <w:r>
        <w:rPr>
          <w:spacing w:val="-1"/>
        </w:rPr>
        <w:t>statistics</w:t>
      </w:r>
      <w:r>
        <w:rPr>
          <w:spacing w:val="24"/>
        </w:rPr>
        <w:t xml:space="preserve"> </w:t>
      </w:r>
      <w:r>
        <w:t>that</w:t>
      </w:r>
      <w:r>
        <w:rPr>
          <w:spacing w:val="26"/>
        </w:rPr>
        <w:t xml:space="preserve"> </w:t>
      </w:r>
      <w:r>
        <w:rPr>
          <w:spacing w:val="-3"/>
        </w:rPr>
        <w:t>you</w:t>
      </w:r>
      <w:r>
        <w:rPr>
          <w:spacing w:val="23"/>
        </w:rPr>
        <w:t xml:space="preserve"> </w:t>
      </w:r>
      <w:r>
        <w:t>quoted</w:t>
      </w:r>
      <w:r>
        <w:rPr>
          <w:spacing w:val="23"/>
        </w:rPr>
        <w:t xml:space="preserve"> </w:t>
      </w:r>
      <w:r>
        <w:t>would</w:t>
      </w:r>
      <w:r>
        <w:rPr>
          <w:spacing w:val="24"/>
        </w:rPr>
        <w:t xml:space="preserve"> </w:t>
      </w:r>
      <w:r>
        <w:rPr>
          <w:spacing w:val="-1"/>
        </w:rPr>
        <w:t>come</w:t>
      </w:r>
      <w:r>
        <w:rPr>
          <w:spacing w:val="39"/>
        </w:rPr>
        <w:t xml:space="preserve"> </w:t>
      </w:r>
      <w:r>
        <w:rPr>
          <w:spacing w:val="-1"/>
        </w:rPr>
        <w:t>well</w:t>
      </w:r>
      <w:r>
        <w:t xml:space="preserve"> within the </w:t>
      </w:r>
      <w:r>
        <w:rPr>
          <w:spacing w:val="-1"/>
        </w:rPr>
        <w:t>expectations</w:t>
      </w:r>
      <w:r>
        <w:t xml:space="preserve"> of </w:t>
      </w:r>
      <w:r>
        <w:rPr>
          <w:spacing w:val="-1"/>
        </w:rPr>
        <w:t>that</w:t>
      </w:r>
      <w:r>
        <w:t xml:space="preserve"> </w:t>
      </w:r>
      <w:r>
        <w:rPr>
          <w:spacing w:val="-1"/>
        </w:rPr>
        <w:t>framework.</w:t>
      </w:r>
    </w:p>
    <w:p w:rsidR="007235EF" w:rsidRDefault="007235EF" w:rsidP="007235EF">
      <w:pPr>
        <w:pStyle w:val="Quote"/>
      </w:pPr>
      <w:r>
        <w:t>The</w:t>
      </w:r>
      <w:r>
        <w:rPr>
          <w:spacing w:val="22"/>
        </w:rPr>
        <w:t xml:space="preserve"> </w:t>
      </w:r>
      <w:r>
        <w:t>whole</w:t>
      </w:r>
      <w:r>
        <w:rPr>
          <w:spacing w:val="22"/>
        </w:rPr>
        <w:t xml:space="preserve"> </w:t>
      </w:r>
      <w:r>
        <w:rPr>
          <w:spacing w:val="1"/>
        </w:rPr>
        <w:t>of</w:t>
      </w:r>
      <w:r>
        <w:rPr>
          <w:spacing w:val="23"/>
        </w:rPr>
        <w:t xml:space="preserve"> </w:t>
      </w:r>
      <w:r>
        <w:t>that</w:t>
      </w:r>
      <w:r>
        <w:rPr>
          <w:spacing w:val="23"/>
        </w:rPr>
        <w:t xml:space="preserve"> </w:t>
      </w:r>
      <w:r>
        <w:t>system</w:t>
      </w:r>
      <w:r>
        <w:rPr>
          <w:spacing w:val="23"/>
        </w:rPr>
        <w:t xml:space="preserve"> </w:t>
      </w:r>
      <w:r>
        <w:t>is</w:t>
      </w:r>
      <w:r>
        <w:rPr>
          <w:spacing w:val="24"/>
        </w:rPr>
        <w:t xml:space="preserve"> </w:t>
      </w:r>
      <w:r>
        <w:rPr>
          <w:spacing w:val="-1"/>
        </w:rPr>
        <w:t>underpinned</w:t>
      </w:r>
      <w:r>
        <w:rPr>
          <w:spacing w:val="23"/>
        </w:rPr>
        <w:t xml:space="preserve"> </w:t>
      </w:r>
      <w:r>
        <w:rPr>
          <w:spacing w:val="2"/>
        </w:rPr>
        <w:t>by</w:t>
      </w:r>
      <w:r>
        <w:rPr>
          <w:spacing w:val="21"/>
        </w:rPr>
        <w:t xml:space="preserve"> </w:t>
      </w:r>
      <w:r>
        <w:t>the</w:t>
      </w:r>
      <w:r>
        <w:rPr>
          <w:spacing w:val="23"/>
        </w:rPr>
        <w:t xml:space="preserve"> </w:t>
      </w:r>
      <w:r>
        <w:t>ACT</w:t>
      </w:r>
      <w:r>
        <w:rPr>
          <w:spacing w:val="23"/>
        </w:rPr>
        <w:t xml:space="preserve"> </w:t>
      </w:r>
      <w:r>
        <w:t>being</w:t>
      </w:r>
      <w:r>
        <w:rPr>
          <w:spacing w:val="21"/>
        </w:rPr>
        <w:t xml:space="preserve"> </w:t>
      </w:r>
      <w:r>
        <w:t>one</w:t>
      </w:r>
      <w:r>
        <w:rPr>
          <w:spacing w:val="27"/>
        </w:rPr>
        <w:t xml:space="preserve"> </w:t>
      </w:r>
      <w:r>
        <w:t>of</w:t>
      </w:r>
      <w:r>
        <w:rPr>
          <w:spacing w:val="23"/>
        </w:rPr>
        <w:t xml:space="preserve"> </w:t>
      </w:r>
      <w:r>
        <w:t>the</w:t>
      </w:r>
      <w:r>
        <w:rPr>
          <w:spacing w:val="23"/>
        </w:rPr>
        <w:t xml:space="preserve"> </w:t>
      </w:r>
      <w:r>
        <w:t>two</w:t>
      </w:r>
      <w:r>
        <w:rPr>
          <w:spacing w:val="30"/>
        </w:rPr>
        <w:t xml:space="preserve"> </w:t>
      </w:r>
      <w:r>
        <w:rPr>
          <w:spacing w:val="-1"/>
        </w:rPr>
        <w:t>jurisdictions</w:t>
      </w:r>
      <w:r>
        <w:rPr>
          <w:spacing w:val="33"/>
        </w:rPr>
        <w:t xml:space="preserve"> </w:t>
      </w:r>
      <w:r>
        <w:t>in</w:t>
      </w:r>
      <w:r>
        <w:rPr>
          <w:spacing w:val="33"/>
        </w:rPr>
        <w:t xml:space="preserve"> </w:t>
      </w:r>
      <w:r>
        <w:t>the</w:t>
      </w:r>
      <w:r>
        <w:rPr>
          <w:spacing w:val="32"/>
        </w:rPr>
        <w:t xml:space="preserve"> </w:t>
      </w:r>
      <w:r>
        <w:t>country</w:t>
      </w:r>
      <w:r>
        <w:rPr>
          <w:spacing w:val="30"/>
        </w:rPr>
        <w:t xml:space="preserve"> </w:t>
      </w:r>
      <w:r>
        <w:rPr>
          <w:spacing w:val="-1"/>
        </w:rPr>
        <w:t>which</w:t>
      </w:r>
      <w:r>
        <w:rPr>
          <w:spacing w:val="33"/>
        </w:rPr>
        <w:t xml:space="preserve"> </w:t>
      </w:r>
      <w:r>
        <w:t>have</w:t>
      </w:r>
      <w:r>
        <w:rPr>
          <w:spacing w:val="32"/>
        </w:rPr>
        <w:t xml:space="preserve"> </w:t>
      </w:r>
      <w:r>
        <w:t>a</w:t>
      </w:r>
      <w:r>
        <w:rPr>
          <w:spacing w:val="32"/>
        </w:rPr>
        <w:t xml:space="preserve"> </w:t>
      </w:r>
      <w:r>
        <w:t>human</w:t>
      </w:r>
      <w:r>
        <w:rPr>
          <w:spacing w:val="32"/>
        </w:rPr>
        <w:t xml:space="preserve"> </w:t>
      </w:r>
      <w:r>
        <w:rPr>
          <w:spacing w:val="-1"/>
        </w:rPr>
        <w:t>rights</w:t>
      </w:r>
      <w:r>
        <w:rPr>
          <w:spacing w:val="36"/>
        </w:rPr>
        <w:t xml:space="preserve"> </w:t>
      </w:r>
      <w:r>
        <w:rPr>
          <w:spacing w:val="-1"/>
        </w:rPr>
        <w:t>framework.</w:t>
      </w:r>
      <w:r>
        <w:rPr>
          <w:spacing w:val="33"/>
        </w:rPr>
        <w:t xml:space="preserve"> </w:t>
      </w:r>
      <w:r>
        <w:rPr>
          <w:spacing w:val="-1"/>
        </w:rPr>
        <w:t>That</w:t>
      </w:r>
      <w:r>
        <w:rPr>
          <w:spacing w:val="33"/>
        </w:rPr>
        <w:t xml:space="preserve"> </w:t>
      </w:r>
      <w:r>
        <w:t>sits</w:t>
      </w:r>
      <w:r>
        <w:rPr>
          <w:spacing w:val="65"/>
        </w:rPr>
        <w:t xml:space="preserve"> </w:t>
      </w:r>
      <w:r>
        <w:rPr>
          <w:spacing w:val="-1"/>
        </w:rPr>
        <w:t>underneath</w:t>
      </w:r>
      <w:r>
        <w:rPr>
          <w:spacing w:val="2"/>
        </w:rPr>
        <w:t xml:space="preserve"> </w:t>
      </w:r>
      <w:r>
        <w:rPr>
          <w:spacing w:val="-1"/>
        </w:rPr>
        <w:t>and</w:t>
      </w:r>
      <w:r>
        <w:rPr>
          <w:spacing w:val="59"/>
        </w:rPr>
        <w:t xml:space="preserve"> </w:t>
      </w:r>
      <w:r>
        <w:rPr>
          <w:spacing w:val="-1"/>
        </w:rPr>
        <w:t>guides</w:t>
      </w:r>
      <w:r>
        <w:t xml:space="preserve"> the</w:t>
      </w:r>
      <w:r>
        <w:rPr>
          <w:spacing w:val="59"/>
        </w:rPr>
        <w:t xml:space="preserve"> </w:t>
      </w:r>
      <w:r>
        <w:rPr>
          <w:spacing w:val="-1"/>
        </w:rPr>
        <w:t>framing</w:t>
      </w:r>
      <w:r>
        <w:rPr>
          <w:spacing w:val="57"/>
        </w:rPr>
        <w:t xml:space="preserve"> </w:t>
      </w:r>
      <w:r>
        <w:rPr>
          <w:spacing w:val="-1"/>
        </w:rPr>
        <w:t>and</w:t>
      </w:r>
      <w:r>
        <w:rPr>
          <w:spacing w:val="59"/>
        </w:rPr>
        <w:t xml:space="preserve"> </w:t>
      </w:r>
      <w:r>
        <w:t>the</w:t>
      </w:r>
      <w:r>
        <w:rPr>
          <w:spacing w:val="59"/>
        </w:rPr>
        <w:t xml:space="preserve"> </w:t>
      </w:r>
      <w:r>
        <w:rPr>
          <w:spacing w:val="-1"/>
        </w:rPr>
        <w:t>carrying</w:t>
      </w:r>
      <w:r>
        <w:rPr>
          <w:spacing w:val="57"/>
        </w:rPr>
        <w:t xml:space="preserve"> </w:t>
      </w:r>
      <w:r>
        <w:t>out of</w:t>
      </w:r>
      <w:r>
        <w:rPr>
          <w:spacing w:val="59"/>
        </w:rPr>
        <w:t xml:space="preserve"> </w:t>
      </w:r>
      <w:r>
        <w:rPr>
          <w:spacing w:val="-1"/>
        </w:rPr>
        <w:t>all</w:t>
      </w:r>
      <w:r>
        <w:t xml:space="preserve"> of</w:t>
      </w:r>
      <w:r>
        <w:rPr>
          <w:spacing w:val="59"/>
        </w:rPr>
        <w:t xml:space="preserve"> </w:t>
      </w:r>
      <w:r>
        <w:t>the</w:t>
      </w:r>
      <w:r>
        <w:rPr>
          <w:spacing w:val="1"/>
        </w:rPr>
        <w:t xml:space="preserve"> </w:t>
      </w:r>
      <w:r>
        <w:rPr>
          <w:spacing w:val="-1"/>
        </w:rPr>
        <w:t>legislative</w:t>
      </w:r>
      <w:r>
        <w:rPr>
          <w:spacing w:val="73"/>
        </w:rPr>
        <w:t xml:space="preserve"> </w:t>
      </w:r>
      <w:r>
        <w:rPr>
          <w:spacing w:val="-1"/>
        </w:rPr>
        <w:t>obligations</w:t>
      </w:r>
      <w:r>
        <w:t xml:space="preserve"> to </w:t>
      </w:r>
      <w:r>
        <w:rPr>
          <w:spacing w:val="-1"/>
        </w:rPr>
        <w:t>which</w:t>
      </w:r>
      <w:r>
        <w:t xml:space="preserve"> we </w:t>
      </w:r>
      <w:r>
        <w:rPr>
          <w:spacing w:val="-1"/>
        </w:rPr>
        <w:t>as</w:t>
      </w:r>
      <w:r>
        <w:t xml:space="preserve"> </w:t>
      </w:r>
      <w:r>
        <w:rPr>
          <w:spacing w:val="-1"/>
        </w:rPr>
        <w:t>officials</w:t>
      </w:r>
      <w:r>
        <w:t xml:space="preserve"> are</w:t>
      </w:r>
      <w:r>
        <w:rPr>
          <w:spacing w:val="-2"/>
        </w:rPr>
        <w:t xml:space="preserve"> </w:t>
      </w:r>
      <w:r>
        <w:t>subject.</w:t>
      </w:r>
      <w:r>
        <w:rPr>
          <w:rStyle w:val="FootnoteReference"/>
        </w:rPr>
        <w:footnoteReference w:id="91"/>
      </w:r>
    </w:p>
    <w:p w:rsidR="007235EF" w:rsidRDefault="007235EF" w:rsidP="007235EF">
      <w:pPr>
        <w:pStyle w:val="Bodytext"/>
        <w:spacing w:before="16" w:line="260" w:lineRule="exact"/>
        <w:jc w:val="both"/>
      </w:pPr>
      <w:r w:rsidRPr="008C5E13">
        <w:t>When asked</w:t>
      </w:r>
      <w:r>
        <w:t xml:space="preserve"> by the Chair</w:t>
      </w:r>
      <w:r w:rsidRPr="008C5E13">
        <w:t xml:space="preserve">, ‘As the Commissioner for Public </w:t>
      </w:r>
      <w:r w:rsidR="001905F5">
        <w:t>Administration</w:t>
      </w:r>
      <w:r w:rsidRPr="008C5E13">
        <w:t xml:space="preserve">, </w:t>
      </w:r>
      <w:r>
        <w:t>how</w:t>
      </w:r>
      <w:r w:rsidRPr="008C5E13">
        <w:t xml:space="preserve"> </w:t>
      </w:r>
      <w:r>
        <w:t>many</w:t>
      </w:r>
      <w:r w:rsidRPr="008C5E13">
        <w:t xml:space="preserve"> </w:t>
      </w:r>
      <w:r>
        <w:t>complaints</w:t>
      </w:r>
      <w:r w:rsidRPr="008C5E13">
        <w:t xml:space="preserve"> </w:t>
      </w:r>
      <w:r>
        <w:t>would</w:t>
      </w:r>
      <w:r w:rsidRPr="008C5E13">
        <w:t xml:space="preserve"> you receive </w:t>
      </w:r>
      <w:r>
        <w:t xml:space="preserve">of </w:t>
      </w:r>
      <w:r w:rsidRPr="008C5E13">
        <w:t>racism</w:t>
      </w:r>
      <w:r>
        <w:t xml:space="preserve"> within the public </w:t>
      </w:r>
      <w:r w:rsidRPr="008C5E13">
        <w:t>service?</w:t>
      </w:r>
      <w:r>
        <w:t xml:space="preserve">’, Mr Kefford answered: </w:t>
      </w:r>
    </w:p>
    <w:p w:rsidR="007235EF" w:rsidRDefault="007235EF" w:rsidP="007235EF">
      <w:pPr>
        <w:pStyle w:val="Quote"/>
      </w:pPr>
      <w:r>
        <w:t xml:space="preserve"> ‘</w:t>
      </w:r>
      <w:r w:rsidRPr="008C5E13">
        <w:rPr>
          <w:spacing w:val="-3"/>
        </w:rPr>
        <w:t>In</w:t>
      </w:r>
      <w:r>
        <w:t xml:space="preserve"> </w:t>
      </w:r>
      <w:r w:rsidRPr="008C5E13">
        <w:rPr>
          <w:spacing w:val="1"/>
        </w:rPr>
        <w:t>my</w:t>
      </w:r>
      <w:r w:rsidRPr="008C5E13">
        <w:rPr>
          <w:spacing w:val="-5"/>
        </w:rPr>
        <w:t xml:space="preserve"> </w:t>
      </w:r>
      <w:r>
        <w:t>time</w:t>
      </w:r>
      <w:r w:rsidRPr="008C5E13">
        <w:rPr>
          <w:spacing w:val="1"/>
        </w:rPr>
        <w:t xml:space="preserve"> </w:t>
      </w:r>
      <w:r>
        <w:t xml:space="preserve">in this </w:t>
      </w:r>
      <w:r w:rsidRPr="008C5E13">
        <w:rPr>
          <w:spacing w:val="-1"/>
        </w:rPr>
        <w:t>office,</w:t>
      </w:r>
      <w:r>
        <w:t xml:space="preserve"> Dr</w:t>
      </w:r>
      <w:r w:rsidRPr="008C5E13">
        <w:rPr>
          <w:spacing w:val="3"/>
        </w:rPr>
        <w:t xml:space="preserve"> </w:t>
      </w:r>
      <w:r w:rsidRPr="008C5E13">
        <w:rPr>
          <w:spacing w:val="-1"/>
        </w:rPr>
        <w:t>Bourke,</w:t>
      </w:r>
      <w:r w:rsidRPr="008C5E13">
        <w:rPr>
          <w:spacing w:val="4"/>
        </w:rPr>
        <w:t xml:space="preserve"> </w:t>
      </w:r>
      <w:r>
        <w:t>I</w:t>
      </w:r>
      <w:r w:rsidRPr="008C5E13">
        <w:rPr>
          <w:spacing w:val="-6"/>
        </w:rPr>
        <w:t xml:space="preserve"> </w:t>
      </w:r>
      <w:r>
        <w:t>have</w:t>
      </w:r>
      <w:r w:rsidRPr="008C5E13">
        <w:rPr>
          <w:spacing w:val="-1"/>
        </w:rPr>
        <w:t xml:space="preserve"> had</w:t>
      </w:r>
      <w:r>
        <w:t xml:space="preserve"> one.   </w:t>
      </w:r>
    </w:p>
    <w:p w:rsidR="007235EF" w:rsidRDefault="007235EF" w:rsidP="007235EF">
      <w:pPr>
        <w:pStyle w:val="Quote"/>
      </w:pPr>
      <w:r>
        <w:t>... That</w:t>
      </w:r>
      <w:r>
        <w:rPr>
          <w:spacing w:val="26"/>
        </w:rPr>
        <w:t xml:space="preserve"> </w:t>
      </w:r>
      <w:r>
        <w:t>was</w:t>
      </w:r>
      <w:r>
        <w:rPr>
          <w:spacing w:val="28"/>
        </w:rPr>
        <w:t xml:space="preserve"> </w:t>
      </w:r>
      <w:r>
        <w:t>raised</w:t>
      </w:r>
      <w:r>
        <w:rPr>
          <w:spacing w:val="28"/>
        </w:rPr>
        <w:t xml:space="preserve"> </w:t>
      </w:r>
      <w:r>
        <w:t>amidst</w:t>
      </w:r>
      <w:r>
        <w:rPr>
          <w:spacing w:val="26"/>
        </w:rPr>
        <w:t xml:space="preserve"> </w:t>
      </w:r>
      <w:r>
        <w:t>a</w:t>
      </w:r>
      <w:r>
        <w:rPr>
          <w:spacing w:val="25"/>
        </w:rPr>
        <w:t xml:space="preserve"> </w:t>
      </w:r>
      <w:r>
        <w:t>number</w:t>
      </w:r>
      <w:r>
        <w:rPr>
          <w:spacing w:val="29"/>
        </w:rPr>
        <w:t xml:space="preserve"> </w:t>
      </w:r>
      <w:r>
        <w:t>of</w:t>
      </w:r>
      <w:r>
        <w:rPr>
          <w:spacing w:val="25"/>
        </w:rPr>
        <w:t xml:space="preserve"> </w:t>
      </w:r>
      <w:r>
        <w:t>other</w:t>
      </w:r>
      <w:r>
        <w:rPr>
          <w:spacing w:val="27"/>
        </w:rPr>
        <w:t xml:space="preserve"> </w:t>
      </w:r>
      <w:r>
        <w:t>issues.</w:t>
      </w:r>
      <w:r>
        <w:rPr>
          <w:spacing w:val="26"/>
        </w:rPr>
        <w:t xml:space="preserve"> </w:t>
      </w:r>
      <w:r>
        <w:t>The</w:t>
      </w:r>
      <w:r>
        <w:rPr>
          <w:spacing w:val="27"/>
        </w:rPr>
        <w:t xml:space="preserve"> </w:t>
      </w:r>
      <w:r>
        <w:t>majority</w:t>
      </w:r>
      <w:r>
        <w:rPr>
          <w:spacing w:val="21"/>
        </w:rPr>
        <w:t xml:space="preserve"> </w:t>
      </w:r>
      <w:r>
        <w:rPr>
          <w:spacing w:val="1"/>
        </w:rPr>
        <w:t>of</w:t>
      </w:r>
      <w:r>
        <w:rPr>
          <w:spacing w:val="25"/>
        </w:rPr>
        <w:t xml:space="preserve"> </w:t>
      </w:r>
      <w:r>
        <w:t>the</w:t>
      </w:r>
      <w:r>
        <w:rPr>
          <w:spacing w:val="61"/>
        </w:rPr>
        <w:t xml:space="preserve"> </w:t>
      </w:r>
      <w:r>
        <w:t>matters</w:t>
      </w:r>
      <w:r>
        <w:rPr>
          <w:spacing w:val="9"/>
        </w:rPr>
        <w:t xml:space="preserve"> </w:t>
      </w:r>
      <w:r>
        <w:t>that</w:t>
      </w:r>
      <w:r>
        <w:rPr>
          <w:spacing w:val="9"/>
        </w:rPr>
        <w:t xml:space="preserve"> </w:t>
      </w:r>
      <w:r>
        <w:t>end</w:t>
      </w:r>
      <w:r>
        <w:rPr>
          <w:spacing w:val="11"/>
        </w:rPr>
        <w:t xml:space="preserve"> </w:t>
      </w:r>
      <w:r>
        <w:t>up</w:t>
      </w:r>
      <w:r>
        <w:rPr>
          <w:spacing w:val="9"/>
        </w:rPr>
        <w:t xml:space="preserve"> </w:t>
      </w:r>
      <w:r>
        <w:t>with</w:t>
      </w:r>
      <w:r>
        <w:rPr>
          <w:spacing w:val="12"/>
        </w:rPr>
        <w:t xml:space="preserve"> </w:t>
      </w:r>
      <w:r>
        <w:t>me</w:t>
      </w:r>
      <w:r>
        <w:rPr>
          <w:rFonts w:ascii="Times New Roman" w:hAnsi="Times New Roman" w:cs="Times New Roman"/>
        </w:rPr>
        <w:t>—</w:t>
      </w:r>
      <w:r>
        <w:t>and</w:t>
      </w:r>
      <w:r>
        <w:rPr>
          <w:spacing w:val="9"/>
        </w:rPr>
        <w:t xml:space="preserve"> </w:t>
      </w:r>
      <w:r>
        <w:t>this</w:t>
      </w:r>
      <w:r>
        <w:rPr>
          <w:spacing w:val="9"/>
        </w:rPr>
        <w:t xml:space="preserve"> </w:t>
      </w:r>
      <w:r>
        <w:t>is</w:t>
      </w:r>
      <w:r>
        <w:rPr>
          <w:spacing w:val="10"/>
        </w:rPr>
        <w:t xml:space="preserve"> </w:t>
      </w:r>
      <w:r>
        <w:t>borne</w:t>
      </w:r>
      <w:r>
        <w:rPr>
          <w:spacing w:val="9"/>
        </w:rPr>
        <w:t xml:space="preserve"> </w:t>
      </w:r>
      <w:r>
        <w:t>out</w:t>
      </w:r>
      <w:r>
        <w:rPr>
          <w:spacing w:val="9"/>
        </w:rPr>
        <w:t xml:space="preserve"> </w:t>
      </w:r>
      <w:r>
        <w:t>in</w:t>
      </w:r>
      <w:r>
        <w:rPr>
          <w:spacing w:val="9"/>
        </w:rPr>
        <w:t xml:space="preserve"> </w:t>
      </w:r>
      <w:r>
        <w:t>the</w:t>
      </w:r>
      <w:r>
        <w:rPr>
          <w:spacing w:val="8"/>
        </w:rPr>
        <w:t xml:space="preserve"> </w:t>
      </w:r>
      <w:r>
        <w:t>reporting</w:t>
      </w:r>
      <w:r>
        <w:rPr>
          <w:spacing w:val="7"/>
        </w:rPr>
        <w:t xml:space="preserve"> </w:t>
      </w:r>
      <w:r>
        <w:t>that</w:t>
      </w:r>
      <w:r>
        <w:rPr>
          <w:spacing w:val="9"/>
        </w:rPr>
        <w:t xml:space="preserve"> </w:t>
      </w:r>
      <w:r>
        <w:t>is</w:t>
      </w:r>
      <w:r>
        <w:rPr>
          <w:spacing w:val="10"/>
        </w:rPr>
        <w:t xml:space="preserve"> </w:t>
      </w:r>
      <w:r>
        <w:t>in</w:t>
      </w:r>
      <w:r>
        <w:rPr>
          <w:spacing w:val="9"/>
        </w:rPr>
        <w:t xml:space="preserve"> </w:t>
      </w:r>
      <w:r>
        <w:t>the</w:t>
      </w:r>
      <w:r>
        <w:rPr>
          <w:spacing w:val="13"/>
        </w:rPr>
        <w:t xml:space="preserve"> </w:t>
      </w:r>
      <w:r>
        <w:t>state</w:t>
      </w:r>
      <w:r>
        <w:rPr>
          <w:spacing w:val="20"/>
        </w:rPr>
        <w:t xml:space="preserve"> </w:t>
      </w:r>
      <w:r>
        <w:t>of</w:t>
      </w:r>
      <w:r>
        <w:rPr>
          <w:spacing w:val="35"/>
        </w:rPr>
        <w:t xml:space="preserve"> </w:t>
      </w:r>
      <w:r>
        <w:t>the</w:t>
      </w:r>
      <w:r>
        <w:rPr>
          <w:spacing w:val="35"/>
        </w:rPr>
        <w:t xml:space="preserve"> </w:t>
      </w:r>
      <w:r>
        <w:t>service</w:t>
      </w:r>
      <w:r>
        <w:rPr>
          <w:spacing w:val="35"/>
        </w:rPr>
        <w:t xml:space="preserve"> </w:t>
      </w:r>
      <w:r>
        <w:t>report</w:t>
      </w:r>
      <w:r>
        <w:rPr>
          <w:rFonts w:ascii="Times New Roman" w:hAnsi="Times New Roman" w:cs="Times New Roman"/>
        </w:rPr>
        <w:t>—</w:t>
      </w:r>
      <w:r>
        <w:t>have</w:t>
      </w:r>
      <w:r>
        <w:rPr>
          <w:spacing w:val="34"/>
        </w:rPr>
        <w:t xml:space="preserve"> </w:t>
      </w:r>
      <w:r>
        <w:t>tended</w:t>
      </w:r>
      <w:r>
        <w:rPr>
          <w:spacing w:val="35"/>
        </w:rPr>
        <w:t xml:space="preserve"> </w:t>
      </w:r>
      <w:r>
        <w:t>to</w:t>
      </w:r>
      <w:r>
        <w:rPr>
          <w:spacing w:val="36"/>
        </w:rPr>
        <w:t xml:space="preserve"> </w:t>
      </w:r>
      <w:r>
        <w:t>be</w:t>
      </w:r>
      <w:r>
        <w:rPr>
          <w:spacing w:val="34"/>
        </w:rPr>
        <w:t xml:space="preserve"> </w:t>
      </w:r>
      <w:r>
        <w:t>more</w:t>
      </w:r>
      <w:r>
        <w:rPr>
          <w:spacing w:val="34"/>
        </w:rPr>
        <w:t xml:space="preserve"> </w:t>
      </w:r>
      <w:r>
        <w:t>in</w:t>
      </w:r>
      <w:r>
        <w:rPr>
          <w:spacing w:val="36"/>
        </w:rPr>
        <w:t xml:space="preserve"> </w:t>
      </w:r>
      <w:r>
        <w:t>the</w:t>
      </w:r>
      <w:r>
        <w:rPr>
          <w:spacing w:val="35"/>
        </w:rPr>
        <w:t xml:space="preserve"> </w:t>
      </w:r>
      <w:r>
        <w:t>workplace</w:t>
      </w:r>
      <w:r>
        <w:rPr>
          <w:spacing w:val="34"/>
        </w:rPr>
        <w:t xml:space="preserve"> </w:t>
      </w:r>
      <w:r>
        <w:t>bullying</w:t>
      </w:r>
      <w:r>
        <w:rPr>
          <w:spacing w:val="33"/>
        </w:rPr>
        <w:t xml:space="preserve"> </w:t>
      </w:r>
      <w:r>
        <w:t>area</w:t>
      </w:r>
      <w:r>
        <w:rPr>
          <w:spacing w:val="34"/>
        </w:rPr>
        <w:t xml:space="preserve"> </w:t>
      </w:r>
      <w:r>
        <w:t>than</w:t>
      </w:r>
      <w:r>
        <w:rPr>
          <w:spacing w:val="53"/>
        </w:rPr>
        <w:t xml:space="preserve"> </w:t>
      </w:r>
      <w:r>
        <w:t>racism.</w:t>
      </w:r>
      <w:r>
        <w:rPr>
          <w:spacing w:val="28"/>
        </w:rPr>
        <w:t xml:space="preserve"> </w:t>
      </w:r>
      <w:r>
        <w:t>But</w:t>
      </w:r>
      <w:r>
        <w:rPr>
          <w:rFonts w:ascii="Times New Roman" w:hAnsi="Times New Roman" w:cs="Times New Roman"/>
        </w:rPr>
        <w:t>—</w:t>
      </w:r>
      <w:r>
        <w:t>I</w:t>
      </w:r>
      <w:r>
        <w:rPr>
          <w:spacing w:val="23"/>
        </w:rPr>
        <w:t xml:space="preserve"> </w:t>
      </w:r>
      <w:r>
        <w:t>have</w:t>
      </w:r>
      <w:r>
        <w:rPr>
          <w:spacing w:val="25"/>
        </w:rPr>
        <w:t xml:space="preserve"> </w:t>
      </w:r>
      <w:r>
        <w:t>been</w:t>
      </w:r>
      <w:r>
        <w:rPr>
          <w:spacing w:val="26"/>
        </w:rPr>
        <w:t xml:space="preserve"> </w:t>
      </w:r>
      <w:r>
        <w:t>in</w:t>
      </w:r>
      <w:r>
        <w:rPr>
          <w:spacing w:val="26"/>
        </w:rPr>
        <w:t xml:space="preserve"> </w:t>
      </w:r>
      <w:r>
        <w:t>this</w:t>
      </w:r>
      <w:r>
        <w:rPr>
          <w:spacing w:val="26"/>
        </w:rPr>
        <w:t xml:space="preserve"> </w:t>
      </w:r>
      <w:r>
        <w:t>position</w:t>
      </w:r>
      <w:r>
        <w:rPr>
          <w:spacing w:val="26"/>
        </w:rPr>
        <w:t xml:space="preserve"> </w:t>
      </w:r>
      <w:r>
        <w:t>coming</w:t>
      </w:r>
      <w:r>
        <w:rPr>
          <w:spacing w:val="23"/>
        </w:rPr>
        <w:t xml:space="preserve"> </w:t>
      </w:r>
      <w:r>
        <w:t>up</w:t>
      </w:r>
      <w:r>
        <w:rPr>
          <w:spacing w:val="28"/>
        </w:rPr>
        <w:t xml:space="preserve"> </w:t>
      </w:r>
      <w:r>
        <w:t>for</w:t>
      </w:r>
      <w:r>
        <w:rPr>
          <w:spacing w:val="26"/>
        </w:rPr>
        <w:t xml:space="preserve"> </w:t>
      </w:r>
      <w:r>
        <w:t>2½</w:t>
      </w:r>
      <w:r>
        <w:rPr>
          <w:spacing w:val="30"/>
        </w:rPr>
        <w:t xml:space="preserve"> </w:t>
      </w:r>
      <w:r>
        <w:t>years</w:t>
      </w:r>
      <w:r>
        <w:rPr>
          <w:rFonts w:ascii="Times New Roman" w:hAnsi="Times New Roman" w:cs="Times New Roman"/>
        </w:rPr>
        <w:t>—</w:t>
      </w:r>
      <w:r>
        <w:t>I</w:t>
      </w:r>
      <w:r>
        <w:rPr>
          <w:spacing w:val="25"/>
        </w:rPr>
        <w:t xml:space="preserve"> </w:t>
      </w:r>
      <w:r>
        <w:t>have</w:t>
      </w:r>
      <w:r>
        <w:rPr>
          <w:spacing w:val="25"/>
        </w:rPr>
        <w:t xml:space="preserve"> </w:t>
      </w:r>
      <w:r>
        <w:t>had</w:t>
      </w:r>
      <w:r>
        <w:rPr>
          <w:spacing w:val="28"/>
        </w:rPr>
        <w:t xml:space="preserve"> </w:t>
      </w:r>
      <w:r>
        <w:t>one</w:t>
      </w:r>
      <w:r>
        <w:rPr>
          <w:spacing w:val="34"/>
        </w:rPr>
        <w:t xml:space="preserve"> </w:t>
      </w:r>
      <w:r>
        <w:t>matter</w:t>
      </w:r>
      <w:r>
        <w:rPr>
          <w:spacing w:val="-2"/>
        </w:rPr>
        <w:t xml:space="preserve"> </w:t>
      </w:r>
      <w:r>
        <w:t>that has specifically</w:t>
      </w:r>
      <w:r>
        <w:rPr>
          <w:spacing w:val="-5"/>
        </w:rPr>
        <w:t xml:space="preserve"> </w:t>
      </w:r>
      <w:r>
        <w:t>raised racism as one of</w:t>
      </w:r>
      <w:r>
        <w:rPr>
          <w:spacing w:val="1"/>
        </w:rPr>
        <w:t xml:space="preserve"> </w:t>
      </w:r>
      <w:r>
        <w:t>the concerns being</w:t>
      </w:r>
      <w:r>
        <w:rPr>
          <w:spacing w:val="-3"/>
        </w:rPr>
        <w:t xml:space="preserve"> </w:t>
      </w:r>
      <w:r>
        <w:t>addressed.</w:t>
      </w:r>
      <w:r>
        <w:rPr>
          <w:rStyle w:val="FootnoteReference"/>
        </w:rPr>
        <w:footnoteReference w:id="92"/>
      </w:r>
    </w:p>
    <w:p w:rsidR="007235EF" w:rsidRDefault="007235EF" w:rsidP="007235EF">
      <w:pPr>
        <w:pStyle w:val="Bodytext"/>
        <w:spacing w:before="16" w:line="260" w:lineRule="exact"/>
        <w:jc w:val="both"/>
      </w:pPr>
      <w:r>
        <w:t xml:space="preserve">When asked if he were surprised by the reporting of just one case, Mr Kefford responded: </w:t>
      </w:r>
    </w:p>
    <w:p w:rsidR="007235EF" w:rsidRDefault="007235EF" w:rsidP="007235EF">
      <w:pPr>
        <w:pStyle w:val="Quote"/>
      </w:pPr>
      <w:r>
        <w:rPr>
          <w:spacing w:val="-3"/>
        </w:rPr>
        <w:t>It</w:t>
      </w:r>
      <w:r>
        <w:t xml:space="preserve"> disappoints me,</w:t>
      </w:r>
      <w:r>
        <w:rPr>
          <w:spacing w:val="23"/>
        </w:rPr>
        <w:t xml:space="preserve"> </w:t>
      </w:r>
      <w:r>
        <w:rPr>
          <w:spacing w:val="-1"/>
        </w:rPr>
        <w:t>certainly.</w:t>
      </w:r>
      <w:r>
        <w:rPr>
          <w:spacing w:val="23"/>
        </w:rPr>
        <w:t xml:space="preserve"> </w:t>
      </w:r>
      <w:r>
        <w:rPr>
          <w:spacing w:val="-1"/>
        </w:rPr>
        <w:t>Surprise?</w:t>
      </w:r>
      <w:r>
        <w:t xml:space="preserve">  As</w:t>
      </w:r>
      <w:r>
        <w:rPr>
          <w:spacing w:val="23"/>
        </w:rPr>
        <w:t xml:space="preserve"> </w:t>
      </w:r>
      <w:r>
        <w:t>Mr</w:t>
      </w:r>
      <w:r>
        <w:rPr>
          <w:spacing w:val="3"/>
        </w:rPr>
        <w:t xml:space="preserve"> </w:t>
      </w:r>
      <w:r>
        <w:rPr>
          <w:spacing w:val="-1"/>
        </w:rPr>
        <w:t>Byles</w:t>
      </w:r>
      <w:r>
        <w:rPr>
          <w:spacing w:val="23"/>
        </w:rPr>
        <w:t xml:space="preserve"> </w:t>
      </w:r>
      <w:r>
        <w:rPr>
          <w:spacing w:val="-1"/>
        </w:rPr>
        <w:t>has</w:t>
      </w:r>
      <w:r>
        <w:t xml:space="preserve"> said,</w:t>
      </w:r>
      <w:r>
        <w:rPr>
          <w:spacing w:val="23"/>
        </w:rPr>
        <w:t xml:space="preserve"> </w:t>
      </w:r>
      <w:r>
        <w:t>we</w:t>
      </w:r>
      <w:r>
        <w:rPr>
          <w:spacing w:val="22"/>
        </w:rPr>
        <w:t xml:space="preserve"> </w:t>
      </w:r>
      <w:r>
        <w:rPr>
          <w:spacing w:val="-1"/>
        </w:rPr>
        <w:t>are</w:t>
      </w:r>
      <w:r>
        <w:rPr>
          <w:spacing w:val="22"/>
        </w:rPr>
        <w:t xml:space="preserve"> </w:t>
      </w:r>
      <w:r>
        <w:t>a</w:t>
      </w:r>
      <w:r>
        <w:rPr>
          <w:spacing w:val="51"/>
        </w:rPr>
        <w:t xml:space="preserve"> </w:t>
      </w:r>
      <w:r>
        <w:rPr>
          <w:spacing w:val="-1"/>
        </w:rPr>
        <w:t>service</w:t>
      </w:r>
      <w:r>
        <w:rPr>
          <w:spacing w:val="6"/>
        </w:rPr>
        <w:t xml:space="preserve"> </w:t>
      </w:r>
      <w:r>
        <w:t>that</w:t>
      </w:r>
      <w:r>
        <w:rPr>
          <w:spacing w:val="6"/>
        </w:rPr>
        <w:t xml:space="preserve"> </w:t>
      </w:r>
      <w:r>
        <w:t>is</w:t>
      </w:r>
      <w:r>
        <w:rPr>
          <w:spacing w:val="7"/>
        </w:rPr>
        <w:t xml:space="preserve"> </w:t>
      </w:r>
      <w:r>
        <w:t>made</w:t>
      </w:r>
      <w:r>
        <w:rPr>
          <w:spacing w:val="5"/>
        </w:rPr>
        <w:t xml:space="preserve"> </w:t>
      </w:r>
      <w:r>
        <w:t>up</w:t>
      </w:r>
      <w:r>
        <w:rPr>
          <w:spacing w:val="6"/>
        </w:rPr>
        <w:t xml:space="preserve"> </w:t>
      </w:r>
      <w:r>
        <w:rPr>
          <w:spacing w:val="1"/>
        </w:rPr>
        <w:t>of</w:t>
      </w:r>
      <w:r>
        <w:rPr>
          <w:spacing w:val="6"/>
        </w:rPr>
        <w:t xml:space="preserve"> </w:t>
      </w:r>
      <w:r>
        <w:t>22,000</w:t>
      </w:r>
      <w:r>
        <w:rPr>
          <w:spacing w:val="6"/>
        </w:rPr>
        <w:t xml:space="preserve"> </w:t>
      </w:r>
      <w:r>
        <w:rPr>
          <w:spacing w:val="-1"/>
        </w:rPr>
        <w:t>people</w:t>
      </w:r>
      <w:r>
        <w:rPr>
          <w:spacing w:val="6"/>
        </w:rPr>
        <w:t xml:space="preserve"> </w:t>
      </w:r>
      <w:r>
        <w:rPr>
          <w:spacing w:val="-1"/>
        </w:rPr>
        <w:t>drawn</w:t>
      </w:r>
      <w:r>
        <w:rPr>
          <w:spacing w:val="6"/>
        </w:rPr>
        <w:t xml:space="preserve"> </w:t>
      </w:r>
      <w:r>
        <w:t>from</w:t>
      </w:r>
      <w:r>
        <w:rPr>
          <w:spacing w:val="7"/>
        </w:rPr>
        <w:t xml:space="preserve"> </w:t>
      </w:r>
      <w:r>
        <w:t>a</w:t>
      </w:r>
      <w:r>
        <w:rPr>
          <w:spacing w:val="6"/>
        </w:rPr>
        <w:t xml:space="preserve"> </w:t>
      </w:r>
      <w:r>
        <w:t>society</w:t>
      </w:r>
      <w:r>
        <w:rPr>
          <w:spacing w:val="2"/>
        </w:rPr>
        <w:t xml:space="preserve"> </w:t>
      </w:r>
      <w:r>
        <w:t>that</w:t>
      </w:r>
      <w:r>
        <w:rPr>
          <w:spacing w:val="6"/>
        </w:rPr>
        <w:t xml:space="preserve"> </w:t>
      </w:r>
      <w:r>
        <w:t>is</w:t>
      </w:r>
      <w:r>
        <w:rPr>
          <w:spacing w:val="7"/>
        </w:rPr>
        <w:t xml:space="preserve"> </w:t>
      </w:r>
      <w:r>
        <w:t>obviously</w:t>
      </w:r>
      <w:r>
        <w:rPr>
          <w:spacing w:val="2"/>
        </w:rPr>
        <w:t xml:space="preserve"> </w:t>
      </w:r>
      <w:r>
        <w:t>much</w:t>
      </w:r>
      <w:r>
        <w:rPr>
          <w:spacing w:val="32"/>
        </w:rPr>
        <w:t xml:space="preserve"> </w:t>
      </w:r>
      <w:r>
        <w:rPr>
          <w:spacing w:val="-1"/>
        </w:rPr>
        <w:t>greater.</w:t>
      </w:r>
      <w:r>
        <w:rPr>
          <w:spacing w:val="18"/>
        </w:rPr>
        <w:t xml:space="preserve"> </w:t>
      </w:r>
      <w:r>
        <w:t>I</w:t>
      </w:r>
      <w:r>
        <w:rPr>
          <w:spacing w:val="15"/>
        </w:rPr>
        <w:t xml:space="preserve"> </w:t>
      </w:r>
      <w:r>
        <w:t>would</w:t>
      </w:r>
      <w:r>
        <w:rPr>
          <w:spacing w:val="16"/>
        </w:rPr>
        <w:t xml:space="preserve"> </w:t>
      </w:r>
      <w:r>
        <w:t>like</w:t>
      </w:r>
      <w:r>
        <w:rPr>
          <w:spacing w:val="15"/>
        </w:rPr>
        <w:t xml:space="preserve"> </w:t>
      </w:r>
      <w:r>
        <w:t>to</w:t>
      </w:r>
      <w:r>
        <w:rPr>
          <w:spacing w:val="17"/>
        </w:rPr>
        <w:t xml:space="preserve"> </w:t>
      </w:r>
      <w:r>
        <w:t>think,</w:t>
      </w:r>
      <w:r>
        <w:rPr>
          <w:spacing w:val="17"/>
        </w:rPr>
        <w:t xml:space="preserve"> </w:t>
      </w:r>
      <w:r>
        <w:rPr>
          <w:spacing w:val="-1"/>
        </w:rPr>
        <w:t>and</w:t>
      </w:r>
      <w:r>
        <w:rPr>
          <w:spacing w:val="16"/>
        </w:rPr>
        <w:t xml:space="preserve"> </w:t>
      </w:r>
      <w:r>
        <w:t>certainly</w:t>
      </w:r>
      <w:r>
        <w:rPr>
          <w:spacing w:val="11"/>
        </w:rPr>
        <w:t xml:space="preserve"> </w:t>
      </w:r>
      <w:r>
        <w:t>it</w:t>
      </w:r>
      <w:r>
        <w:rPr>
          <w:spacing w:val="17"/>
        </w:rPr>
        <w:t xml:space="preserve"> </w:t>
      </w:r>
      <w:r>
        <w:t>is</w:t>
      </w:r>
      <w:r>
        <w:rPr>
          <w:spacing w:val="19"/>
        </w:rPr>
        <w:t xml:space="preserve"> </w:t>
      </w:r>
      <w:r>
        <w:t>our</w:t>
      </w:r>
      <w:r>
        <w:rPr>
          <w:spacing w:val="15"/>
        </w:rPr>
        <w:t xml:space="preserve"> </w:t>
      </w:r>
      <w:r>
        <w:rPr>
          <w:spacing w:val="-1"/>
        </w:rPr>
        <w:t>intention</w:t>
      </w:r>
      <w:r>
        <w:rPr>
          <w:spacing w:val="16"/>
        </w:rPr>
        <w:t xml:space="preserve"> </w:t>
      </w:r>
      <w:r>
        <w:rPr>
          <w:spacing w:val="-1"/>
        </w:rPr>
        <w:t>and</w:t>
      </w:r>
      <w:r>
        <w:rPr>
          <w:spacing w:val="16"/>
        </w:rPr>
        <w:t xml:space="preserve"> </w:t>
      </w:r>
      <w:r>
        <w:t>aspiration,</w:t>
      </w:r>
      <w:r>
        <w:rPr>
          <w:spacing w:val="17"/>
        </w:rPr>
        <w:t xml:space="preserve"> </w:t>
      </w:r>
      <w:r>
        <w:t>that</w:t>
      </w:r>
      <w:r>
        <w:rPr>
          <w:spacing w:val="16"/>
        </w:rPr>
        <w:t xml:space="preserve"> </w:t>
      </w:r>
      <w:r>
        <w:t>we</w:t>
      </w:r>
      <w:r>
        <w:rPr>
          <w:spacing w:val="49"/>
        </w:rPr>
        <w:t xml:space="preserve"> </w:t>
      </w:r>
      <w:r>
        <w:rPr>
          <w:spacing w:val="-1"/>
        </w:rPr>
        <w:t>have</w:t>
      </w:r>
      <w:r>
        <w:rPr>
          <w:spacing w:val="22"/>
        </w:rPr>
        <w:t xml:space="preserve"> </w:t>
      </w:r>
      <w:r>
        <w:t>a</w:t>
      </w:r>
      <w:r>
        <w:rPr>
          <w:spacing w:val="22"/>
        </w:rPr>
        <w:t xml:space="preserve"> </w:t>
      </w:r>
      <w:r>
        <w:rPr>
          <w:spacing w:val="-1"/>
        </w:rPr>
        <w:t>service</w:t>
      </w:r>
      <w:r>
        <w:rPr>
          <w:spacing w:val="22"/>
        </w:rPr>
        <w:t xml:space="preserve"> </w:t>
      </w:r>
      <w:r>
        <w:rPr>
          <w:spacing w:val="-1"/>
        </w:rPr>
        <w:t>where</w:t>
      </w:r>
      <w:r>
        <w:rPr>
          <w:spacing w:val="22"/>
        </w:rPr>
        <w:t xml:space="preserve"> </w:t>
      </w:r>
      <w:r>
        <w:t>the</w:t>
      </w:r>
      <w:r>
        <w:rPr>
          <w:spacing w:val="25"/>
        </w:rPr>
        <w:t xml:space="preserve"> </w:t>
      </w:r>
      <w:r>
        <w:rPr>
          <w:spacing w:val="-1"/>
        </w:rPr>
        <w:t>values</w:t>
      </w:r>
      <w:r>
        <w:rPr>
          <w:spacing w:val="23"/>
        </w:rPr>
        <w:t xml:space="preserve"> </w:t>
      </w:r>
      <w:r>
        <w:rPr>
          <w:spacing w:val="-1"/>
        </w:rPr>
        <w:t>and</w:t>
      </w:r>
      <w:r>
        <w:rPr>
          <w:spacing w:val="23"/>
        </w:rPr>
        <w:t xml:space="preserve"> </w:t>
      </w:r>
      <w:r>
        <w:rPr>
          <w:spacing w:val="-1"/>
        </w:rPr>
        <w:t>behaviours</w:t>
      </w:r>
      <w:r>
        <w:rPr>
          <w:spacing w:val="23"/>
        </w:rPr>
        <w:t xml:space="preserve"> </w:t>
      </w:r>
      <w:r>
        <w:t xml:space="preserve">to </w:t>
      </w:r>
      <w:r>
        <w:rPr>
          <w:spacing w:val="-1"/>
        </w:rPr>
        <w:t>which</w:t>
      </w:r>
      <w:r>
        <w:rPr>
          <w:spacing w:val="23"/>
        </w:rPr>
        <w:t xml:space="preserve"> </w:t>
      </w:r>
      <w:r>
        <w:t>we</w:t>
      </w:r>
      <w:r>
        <w:rPr>
          <w:spacing w:val="22"/>
        </w:rPr>
        <w:t xml:space="preserve"> </w:t>
      </w:r>
      <w:r>
        <w:rPr>
          <w:spacing w:val="-1"/>
        </w:rPr>
        <w:t>all</w:t>
      </w:r>
      <w:r>
        <w:t xml:space="preserve"> </w:t>
      </w:r>
      <w:r>
        <w:rPr>
          <w:spacing w:val="-1"/>
        </w:rPr>
        <w:t>ascribe,</w:t>
      </w:r>
      <w:r>
        <w:rPr>
          <w:spacing w:val="23"/>
        </w:rPr>
        <w:t xml:space="preserve"> </w:t>
      </w:r>
      <w:r>
        <w:rPr>
          <w:spacing w:val="-1"/>
        </w:rPr>
        <w:t>and</w:t>
      </w:r>
      <w:r>
        <w:rPr>
          <w:spacing w:val="23"/>
        </w:rPr>
        <w:t xml:space="preserve"> </w:t>
      </w:r>
      <w:r>
        <w:rPr>
          <w:spacing w:val="-1"/>
        </w:rPr>
        <w:t>indeed</w:t>
      </w:r>
      <w:r>
        <w:rPr>
          <w:spacing w:val="87"/>
        </w:rPr>
        <w:t xml:space="preserve"> </w:t>
      </w:r>
      <w:r>
        <w:t>ultimately</w:t>
      </w:r>
      <w:r>
        <w:rPr>
          <w:spacing w:val="6"/>
        </w:rPr>
        <w:t xml:space="preserve"> </w:t>
      </w:r>
      <w:r>
        <w:t>to</w:t>
      </w:r>
      <w:r>
        <w:rPr>
          <w:spacing w:val="14"/>
        </w:rPr>
        <w:t xml:space="preserve"> </w:t>
      </w:r>
      <w:r>
        <w:rPr>
          <w:spacing w:val="-1"/>
        </w:rPr>
        <w:t>which</w:t>
      </w:r>
      <w:r>
        <w:rPr>
          <w:spacing w:val="14"/>
        </w:rPr>
        <w:t xml:space="preserve"> </w:t>
      </w:r>
      <w:r>
        <w:t>we</w:t>
      </w:r>
      <w:r>
        <w:rPr>
          <w:spacing w:val="12"/>
        </w:rPr>
        <w:t xml:space="preserve"> </w:t>
      </w:r>
      <w:r>
        <w:t>are</w:t>
      </w:r>
      <w:r>
        <w:rPr>
          <w:spacing w:val="12"/>
        </w:rPr>
        <w:t xml:space="preserve"> </w:t>
      </w:r>
      <w:r>
        <w:rPr>
          <w:spacing w:val="-1"/>
        </w:rPr>
        <w:t>all</w:t>
      </w:r>
      <w:r>
        <w:rPr>
          <w:spacing w:val="14"/>
        </w:rPr>
        <w:t xml:space="preserve"> </w:t>
      </w:r>
      <w:r>
        <w:t>legislatively</w:t>
      </w:r>
      <w:r>
        <w:rPr>
          <w:spacing w:val="6"/>
        </w:rPr>
        <w:t xml:space="preserve"> </w:t>
      </w:r>
      <w:r>
        <w:t>bound,</w:t>
      </w:r>
      <w:r>
        <w:rPr>
          <w:spacing w:val="14"/>
        </w:rPr>
        <w:t xml:space="preserve"> </w:t>
      </w:r>
      <w:r>
        <w:rPr>
          <w:spacing w:val="-1"/>
        </w:rPr>
        <w:t>and</w:t>
      </w:r>
      <w:r>
        <w:rPr>
          <w:spacing w:val="16"/>
        </w:rPr>
        <w:t xml:space="preserve"> </w:t>
      </w:r>
      <w:r>
        <w:t>I</w:t>
      </w:r>
      <w:r>
        <w:rPr>
          <w:spacing w:val="8"/>
        </w:rPr>
        <w:t xml:space="preserve"> </w:t>
      </w:r>
      <w:r>
        <w:t>would</w:t>
      </w:r>
      <w:r>
        <w:rPr>
          <w:spacing w:val="14"/>
        </w:rPr>
        <w:t xml:space="preserve"> </w:t>
      </w:r>
      <w:r>
        <w:t>like</w:t>
      </w:r>
      <w:r>
        <w:rPr>
          <w:spacing w:val="13"/>
        </w:rPr>
        <w:t xml:space="preserve"> </w:t>
      </w:r>
      <w:r>
        <w:t>to</w:t>
      </w:r>
      <w:r>
        <w:rPr>
          <w:spacing w:val="14"/>
        </w:rPr>
        <w:t xml:space="preserve"> </w:t>
      </w:r>
      <w:r>
        <w:rPr>
          <w:spacing w:val="-1"/>
        </w:rPr>
        <w:t>think</w:t>
      </w:r>
      <w:r>
        <w:rPr>
          <w:spacing w:val="14"/>
        </w:rPr>
        <w:t xml:space="preserve"> </w:t>
      </w:r>
      <w:r>
        <w:t>we</w:t>
      </w:r>
      <w:r>
        <w:rPr>
          <w:spacing w:val="12"/>
        </w:rPr>
        <w:t xml:space="preserve"> </w:t>
      </w:r>
      <w:r>
        <w:rPr>
          <w:spacing w:val="-1"/>
        </w:rPr>
        <w:t>are</w:t>
      </w:r>
      <w:r>
        <w:rPr>
          <w:spacing w:val="12"/>
        </w:rPr>
        <w:t xml:space="preserve"> </w:t>
      </w:r>
      <w:r>
        <w:t xml:space="preserve">a </w:t>
      </w:r>
      <w:r>
        <w:rPr>
          <w:spacing w:val="-1"/>
        </w:rPr>
        <w:t>service</w:t>
      </w:r>
      <w:r>
        <w:rPr>
          <w:spacing w:val="22"/>
        </w:rPr>
        <w:t xml:space="preserve"> </w:t>
      </w:r>
      <w:r>
        <w:t>where</w:t>
      </w:r>
      <w:r>
        <w:rPr>
          <w:spacing w:val="24"/>
        </w:rPr>
        <w:t xml:space="preserve"> </w:t>
      </w:r>
      <w:r>
        <w:t>we</w:t>
      </w:r>
      <w:r>
        <w:rPr>
          <w:spacing w:val="22"/>
        </w:rPr>
        <w:t xml:space="preserve"> </w:t>
      </w:r>
      <w:r>
        <w:t>never</w:t>
      </w:r>
      <w:r>
        <w:rPr>
          <w:spacing w:val="23"/>
        </w:rPr>
        <w:t xml:space="preserve"> </w:t>
      </w:r>
      <w:r>
        <w:rPr>
          <w:spacing w:val="-1"/>
        </w:rPr>
        <w:t>have</w:t>
      </w:r>
      <w:r>
        <w:rPr>
          <w:spacing w:val="22"/>
        </w:rPr>
        <w:t xml:space="preserve"> </w:t>
      </w:r>
      <w:r>
        <w:rPr>
          <w:spacing w:val="-1"/>
        </w:rPr>
        <w:t>transgressions,</w:t>
      </w:r>
      <w:r>
        <w:rPr>
          <w:spacing w:val="24"/>
        </w:rPr>
        <w:t xml:space="preserve"> </w:t>
      </w:r>
      <w:r>
        <w:t>but</w:t>
      </w:r>
      <w:r>
        <w:rPr>
          <w:spacing w:val="24"/>
        </w:rPr>
        <w:t xml:space="preserve"> </w:t>
      </w:r>
      <w:r>
        <w:rPr>
          <w:spacing w:val="-1"/>
        </w:rPr>
        <w:t>at</w:t>
      </w:r>
      <w:r>
        <w:rPr>
          <w:spacing w:val="24"/>
        </w:rPr>
        <w:t xml:space="preserve"> </w:t>
      </w:r>
      <w:r>
        <w:t>the</w:t>
      </w:r>
      <w:r>
        <w:rPr>
          <w:spacing w:val="23"/>
        </w:rPr>
        <w:t xml:space="preserve"> </w:t>
      </w:r>
      <w:r>
        <w:rPr>
          <w:spacing w:val="-1"/>
        </w:rPr>
        <w:t>same</w:t>
      </w:r>
      <w:r>
        <w:rPr>
          <w:spacing w:val="23"/>
        </w:rPr>
        <w:t xml:space="preserve"> </w:t>
      </w:r>
      <w:r>
        <w:t>time</w:t>
      </w:r>
      <w:r>
        <w:rPr>
          <w:spacing w:val="23"/>
        </w:rPr>
        <w:t xml:space="preserve"> </w:t>
      </w:r>
      <w:r>
        <w:t>we</w:t>
      </w:r>
      <w:r>
        <w:rPr>
          <w:spacing w:val="22"/>
        </w:rPr>
        <w:t xml:space="preserve"> </w:t>
      </w:r>
      <w:r>
        <w:t>are</w:t>
      </w:r>
      <w:r>
        <w:rPr>
          <w:spacing w:val="22"/>
        </w:rPr>
        <w:t xml:space="preserve"> </w:t>
      </w:r>
      <w:r>
        <w:rPr>
          <w:spacing w:val="-1"/>
        </w:rPr>
        <w:t>an</w:t>
      </w:r>
      <w:r>
        <w:rPr>
          <w:spacing w:val="55"/>
        </w:rPr>
        <w:t xml:space="preserve"> </w:t>
      </w:r>
      <w:r>
        <w:rPr>
          <w:spacing w:val="-1"/>
        </w:rPr>
        <w:t>organisation</w:t>
      </w:r>
      <w:r>
        <w:rPr>
          <w:spacing w:val="9"/>
        </w:rPr>
        <w:t xml:space="preserve"> </w:t>
      </w:r>
      <w:r>
        <w:t>of</w:t>
      </w:r>
      <w:r>
        <w:rPr>
          <w:spacing w:val="8"/>
        </w:rPr>
        <w:t xml:space="preserve"> </w:t>
      </w:r>
      <w:r>
        <w:t>22,000</w:t>
      </w:r>
      <w:r>
        <w:rPr>
          <w:spacing w:val="9"/>
        </w:rPr>
        <w:t xml:space="preserve"> </w:t>
      </w:r>
      <w:r>
        <w:t>individuals,</w:t>
      </w:r>
      <w:r>
        <w:rPr>
          <w:spacing w:val="9"/>
        </w:rPr>
        <w:t xml:space="preserve"> </w:t>
      </w:r>
      <w:r>
        <w:rPr>
          <w:spacing w:val="-1"/>
        </w:rPr>
        <w:t>and</w:t>
      </w:r>
      <w:r>
        <w:rPr>
          <w:spacing w:val="9"/>
        </w:rPr>
        <w:t xml:space="preserve"> </w:t>
      </w:r>
      <w:r>
        <w:t>just</w:t>
      </w:r>
      <w:r>
        <w:rPr>
          <w:spacing w:val="10"/>
        </w:rPr>
        <w:t xml:space="preserve"> </w:t>
      </w:r>
      <w:r>
        <w:rPr>
          <w:spacing w:val="-1"/>
        </w:rPr>
        <w:t>as</w:t>
      </w:r>
      <w:r>
        <w:rPr>
          <w:spacing w:val="7"/>
        </w:rPr>
        <w:t xml:space="preserve"> </w:t>
      </w:r>
      <w:r>
        <w:rPr>
          <w:spacing w:val="-1"/>
        </w:rPr>
        <w:t>there</w:t>
      </w:r>
      <w:r>
        <w:rPr>
          <w:spacing w:val="8"/>
        </w:rPr>
        <w:t xml:space="preserve"> </w:t>
      </w:r>
      <w:r>
        <w:t>are</w:t>
      </w:r>
      <w:r>
        <w:rPr>
          <w:spacing w:val="8"/>
        </w:rPr>
        <w:t xml:space="preserve"> </w:t>
      </w:r>
      <w:r>
        <w:rPr>
          <w:spacing w:val="-1"/>
        </w:rPr>
        <w:t>transgressions</w:t>
      </w:r>
      <w:r>
        <w:rPr>
          <w:spacing w:val="9"/>
        </w:rPr>
        <w:t xml:space="preserve"> </w:t>
      </w:r>
      <w:r>
        <w:t>of</w:t>
      </w:r>
      <w:r>
        <w:rPr>
          <w:spacing w:val="8"/>
        </w:rPr>
        <w:t xml:space="preserve"> </w:t>
      </w:r>
      <w:r>
        <w:t>other</w:t>
      </w:r>
      <w:r>
        <w:rPr>
          <w:spacing w:val="55"/>
        </w:rPr>
        <w:t xml:space="preserve"> </w:t>
      </w:r>
      <w:r>
        <w:rPr>
          <w:spacing w:val="-1"/>
        </w:rPr>
        <w:t>standards</w:t>
      </w:r>
      <w:r>
        <w:t xml:space="preserve"> of behaviour set out in </w:t>
      </w:r>
      <w:r>
        <w:rPr>
          <w:spacing w:val="-1"/>
        </w:rPr>
        <w:t>areas</w:t>
      </w:r>
      <w:r>
        <w:t xml:space="preserve"> </w:t>
      </w:r>
      <w:r>
        <w:rPr>
          <w:spacing w:val="1"/>
        </w:rPr>
        <w:t>of</w:t>
      </w:r>
      <w:r>
        <w:t xml:space="preserve"> the statute</w:t>
      </w:r>
      <w:r>
        <w:rPr>
          <w:spacing w:val="-1"/>
        </w:rPr>
        <w:t xml:space="preserve"> </w:t>
      </w:r>
      <w:r>
        <w:t>book</w:t>
      </w:r>
      <w:r>
        <w:rPr>
          <w:rFonts w:ascii="Times New Roman" w:hAnsi="Times New Roman" w:cs="Times New Roman"/>
        </w:rPr>
        <w:t>—</w:t>
      </w:r>
      <w:r>
        <w:t>one</w:t>
      </w:r>
      <w:r>
        <w:rPr>
          <w:spacing w:val="1"/>
        </w:rPr>
        <w:t xml:space="preserve"> </w:t>
      </w:r>
      <w:r>
        <w:t xml:space="preserve">is too </w:t>
      </w:r>
      <w:r>
        <w:rPr>
          <w:spacing w:val="1"/>
        </w:rPr>
        <w:t>many</w:t>
      </w:r>
      <w:r>
        <w:rPr>
          <w:spacing w:val="-3"/>
        </w:rPr>
        <w:t xml:space="preserve"> </w:t>
      </w:r>
      <w:r>
        <w:t>but, at the</w:t>
      </w:r>
      <w:r>
        <w:rPr>
          <w:spacing w:val="30"/>
        </w:rPr>
        <w:t xml:space="preserve"> </w:t>
      </w:r>
      <w:r>
        <w:rPr>
          <w:spacing w:val="-1"/>
        </w:rPr>
        <w:t>same</w:t>
      </w:r>
      <w:r>
        <w:t xml:space="preserve"> </w:t>
      </w:r>
      <w:r>
        <w:rPr>
          <w:spacing w:val="-1"/>
        </w:rPr>
        <w:t>time,</w:t>
      </w:r>
      <w:r>
        <w:rPr>
          <w:spacing w:val="2"/>
        </w:rPr>
        <w:t xml:space="preserve"> </w:t>
      </w:r>
      <w:r>
        <w:t>I</w:t>
      </w:r>
      <w:r>
        <w:rPr>
          <w:spacing w:val="-1"/>
        </w:rPr>
        <w:t xml:space="preserve"> am</w:t>
      </w:r>
      <w:r>
        <w:t xml:space="preserve"> not naive</w:t>
      </w:r>
      <w:r>
        <w:rPr>
          <w:spacing w:val="-1"/>
        </w:rPr>
        <w:t xml:space="preserve"> enough</w:t>
      </w:r>
      <w:r>
        <w:t xml:space="preserve"> to sit here </w:t>
      </w:r>
      <w:r>
        <w:rPr>
          <w:spacing w:val="-1"/>
        </w:rPr>
        <w:t>and</w:t>
      </w:r>
      <w:r>
        <w:t xml:space="preserve"> </w:t>
      </w:r>
      <w:r>
        <w:rPr>
          <w:spacing w:val="1"/>
        </w:rPr>
        <w:t>say</w:t>
      </w:r>
      <w:r>
        <w:rPr>
          <w:spacing w:val="-3"/>
        </w:rPr>
        <w:t xml:space="preserve"> </w:t>
      </w:r>
      <w:r>
        <w:t xml:space="preserve">we will </w:t>
      </w:r>
      <w:r>
        <w:rPr>
          <w:spacing w:val="-1"/>
        </w:rPr>
        <w:t>never</w:t>
      </w:r>
      <w:r>
        <w:rPr>
          <w:spacing w:val="1"/>
        </w:rPr>
        <w:t xml:space="preserve"> </w:t>
      </w:r>
      <w:r>
        <w:rPr>
          <w:spacing w:val="-1"/>
        </w:rPr>
        <w:t>have</w:t>
      </w:r>
      <w:r>
        <w:rPr>
          <w:spacing w:val="1"/>
        </w:rPr>
        <w:t xml:space="preserve"> </w:t>
      </w:r>
      <w:r>
        <w:rPr>
          <w:spacing w:val="-1"/>
        </w:rPr>
        <w:t>an</w:t>
      </w:r>
      <w:r>
        <w:rPr>
          <w:spacing w:val="2"/>
        </w:rPr>
        <w:t xml:space="preserve"> </w:t>
      </w:r>
      <w:r>
        <w:rPr>
          <w:spacing w:val="-1"/>
        </w:rPr>
        <w:t>issue.</w:t>
      </w:r>
      <w:r>
        <w:t xml:space="preserve"> </w:t>
      </w:r>
      <w:r>
        <w:rPr>
          <w:spacing w:val="-1"/>
        </w:rPr>
        <w:t>That</w:t>
      </w:r>
      <w:r>
        <w:rPr>
          <w:spacing w:val="61"/>
        </w:rPr>
        <w:t xml:space="preserve"> </w:t>
      </w:r>
      <w:r>
        <w:t>is</w:t>
      </w:r>
      <w:r>
        <w:rPr>
          <w:spacing w:val="10"/>
        </w:rPr>
        <w:t xml:space="preserve"> </w:t>
      </w:r>
      <w:r>
        <w:t>why</w:t>
      </w:r>
      <w:r>
        <w:rPr>
          <w:spacing w:val="6"/>
        </w:rPr>
        <w:t xml:space="preserve"> </w:t>
      </w:r>
      <w:r>
        <w:t>we</w:t>
      </w:r>
      <w:r>
        <w:rPr>
          <w:spacing w:val="10"/>
        </w:rPr>
        <w:t xml:space="preserve"> </w:t>
      </w:r>
      <w:r>
        <w:rPr>
          <w:spacing w:val="-1"/>
        </w:rPr>
        <w:t>have</w:t>
      </w:r>
      <w:r>
        <w:rPr>
          <w:spacing w:val="10"/>
        </w:rPr>
        <w:t xml:space="preserve"> </w:t>
      </w:r>
      <w:r>
        <w:t>in</w:t>
      </w:r>
      <w:r>
        <w:rPr>
          <w:spacing w:val="9"/>
        </w:rPr>
        <w:t xml:space="preserve"> </w:t>
      </w:r>
      <w:r>
        <w:t>place</w:t>
      </w:r>
      <w:r>
        <w:rPr>
          <w:spacing w:val="10"/>
        </w:rPr>
        <w:t xml:space="preserve"> </w:t>
      </w:r>
      <w:r>
        <w:rPr>
          <w:spacing w:val="-1"/>
        </w:rPr>
        <w:t>frameworks</w:t>
      </w:r>
      <w:r>
        <w:rPr>
          <w:spacing w:val="8"/>
        </w:rPr>
        <w:t xml:space="preserve"> </w:t>
      </w:r>
      <w:r>
        <w:t>that,</w:t>
      </w:r>
      <w:r>
        <w:rPr>
          <w:spacing w:val="11"/>
        </w:rPr>
        <w:t xml:space="preserve"> </w:t>
      </w:r>
      <w:r>
        <w:rPr>
          <w:spacing w:val="-1"/>
        </w:rPr>
        <w:t>first</w:t>
      </w:r>
      <w:r>
        <w:rPr>
          <w:spacing w:val="10"/>
        </w:rPr>
        <w:t xml:space="preserve"> </w:t>
      </w:r>
      <w:r>
        <w:t>of</w:t>
      </w:r>
      <w:r>
        <w:rPr>
          <w:spacing w:val="11"/>
        </w:rPr>
        <w:t xml:space="preserve"> </w:t>
      </w:r>
      <w:r>
        <w:rPr>
          <w:spacing w:val="-1"/>
        </w:rPr>
        <w:t>all,</w:t>
      </w:r>
      <w:r>
        <w:rPr>
          <w:spacing w:val="9"/>
        </w:rPr>
        <w:t xml:space="preserve"> </w:t>
      </w:r>
      <w:r>
        <w:rPr>
          <w:spacing w:val="-1"/>
        </w:rPr>
        <w:t>as</w:t>
      </w:r>
      <w:r>
        <w:rPr>
          <w:spacing w:val="12"/>
        </w:rPr>
        <w:t xml:space="preserve"> </w:t>
      </w:r>
      <w:r>
        <w:t>I</w:t>
      </w:r>
      <w:r>
        <w:rPr>
          <w:spacing w:val="8"/>
        </w:rPr>
        <w:t xml:space="preserve"> </w:t>
      </w:r>
      <w:r>
        <w:rPr>
          <w:spacing w:val="-1"/>
        </w:rPr>
        <w:t>say,</w:t>
      </w:r>
      <w:r>
        <w:rPr>
          <w:spacing w:val="11"/>
        </w:rPr>
        <w:t xml:space="preserve"> </w:t>
      </w:r>
      <w:r>
        <w:rPr>
          <w:spacing w:val="-1"/>
        </w:rPr>
        <w:t>are</w:t>
      </w:r>
      <w:r>
        <w:rPr>
          <w:spacing w:val="9"/>
        </w:rPr>
        <w:t xml:space="preserve"> </w:t>
      </w:r>
      <w:r>
        <w:t>explicit</w:t>
      </w:r>
      <w:r>
        <w:rPr>
          <w:spacing w:val="10"/>
        </w:rPr>
        <w:t xml:space="preserve"> </w:t>
      </w:r>
      <w:r>
        <w:t>in</w:t>
      </w:r>
      <w:r>
        <w:rPr>
          <w:spacing w:val="9"/>
        </w:rPr>
        <w:t xml:space="preserve"> </w:t>
      </w:r>
      <w:r>
        <w:rPr>
          <w:spacing w:val="-1"/>
        </w:rPr>
        <w:t>terms</w:t>
      </w:r>
      <w:r>
        <w:rPr>
          <w:spacing w:val="10"/>
        </w:rPr>
        <w:t xml:space="preserve"> </w:t>
      </w:r>
      <w:r>
        <w:rPr>
          <w:spacing w:val="1"/>
        </w:rPr>
        <w:t>of</w:t>
      </w:r>
      <w:r>
        <w:rPr>
          <w:spacing w:val="55"/>
        </w:rPr>
        <w:t xml:space="preserve"> </w:t>
      </w:r>
      <w:r>
        <w:t>our</w:t>
      </w:r>
      <w:r>
        <w:rPr>
          <w:spacing w:val="3"/>
        </w:rPr>
        <w:t xml:space="preserve"> </w:t>
      </w:r>
      <w:r>
        <w:rPr>
          <w:spacing w:val="-1"/>
        </w:rPr>
        <w:t>expectations</w:t>
      </w:r>
      <w:r>
        <w:rPr>
          <w:spacing w:val="5"/>
        </w:rPr>
        <w:t xml:space="preserve"> </w:t>
      </w:r>
      <w:r>
        <w:rPr>
          <w:spacing w:val="-1"/>
        </w:rPr>
        <w:t>and</w:t>
      </w:r>
      <w:r>
        <w:rPr>
          <w:spacing w:val="4"/>
        </w:rPr>
        <w:t xml:space="preserve"> </w:t>
      </w:r>
      <w:r>
        <w:t>then</w:t>
      </w:r>
      <w:r>
        <w:rPr>
          <w:spacing w:val="4"/>
        </w:rPr>
        <w:t xml:space="preserve"> </w:t>
      </w:r>
      <w:r>
        <w:rPr>
          <w:spacing w:val="-1"/>
        </w:rPr>
        <w:t>also</w:t>
      </w:r>
      <w:r>
        <w:rPr>
          <w:spacing w:val="5"/>
        </w:rPr>
        <w:t xml:space="preserve"> </w:t>
      </w:r>
      <w:r>
        <w:rPr>
          <w:spacing w:val="-1"/>
        </w:rPr>
        <w:t>provide</w:t>
      </w:r>
      <w:r>
        <w:rPr>
          <w:spacing w:val="4"/>
        </w:rPr>
        <w:t xml:space="preserve"> </w:t>
      </w:r>
      <w:r>
        <w:t>for</w:t>
      </w:r>
      <w:r>
        <w:rPr>
          <w:spacing w:val="3"/>
        </w:rPr>
        <w:t xml:space="preserve"> </w:t>
      </w:r>
      <w:r>
        <w:t>mechanisms</w:t>
      </w:r>
      <w:r>
        <w:rPr>
          <w:spacing w:val="4"/>
        </w:rPr>
        <w:t xml:space="preserve"> </w:t>
      </w:r>
      <w:r>
        <w:t>for</w:t>
      </w:r>
      <w:r>
        <w:rPr>
          <w:spacing w:val="3"/>
        </w:rPr>
        <w:t xml:space="preserve"> </w:t>
      </w:r>
      <w:r>
        <w:t>those</w:t>
      </w:r>
      <w:r>
        <w:rPr>
          <w:spacing w:val="4"/>
        </w:rPr>
        <w:t xml:space="preserve"> </w:t>
      </w:r>
      <w:r>
        <w:t>who</w:t>
      </w:r>
      <w:r>
        <w:rPr>
          <w:spacing w:val="4"/>
        </w:rPr>
        <w:t xml:space="preserve"> </w:t>
      </w:r>
      <w:r>
        <w:rPr>
          <w:spacing w:val="-1"/>
        </w:rPr>
        <w:t>transgress</w:t>
      </w:r>
      <w:r>
        <w:rPr>
          <w:spacing w:val="5"/>
        </w:rPr>
        <w:t xml:space="preserve"> </w:t>
      </w:r>
      <w:r>
        <w:t>those</w:t>
      </w:r>
      <w:r>
        <w:rPr>
          <w:spacing w:val="65"/>
        </w:rPr>
        <w:t xml:space="preserve"> </w:t>
      </w:r>
      <w:r>
        <w:rPr>
          <w:spacing w:val="-1"/>
        </w:rPr>
        <w:t>standards</w:t>
      </w:r>
      <w:r>
        <w:t xml:space="preserve"> of</w:t>
      </w:r>
      <w:r>
        <w:rPr>
          <w:spacing w:val="-2"/>
        </w:rPr>
        <w:t xml:space="preserve"> </w:t>
      </w:r>
      <w:r>
        <w:t>behaviour to</w:t>
      </w:r>
      <w:r>
        <w:rPr>
          <w:spacing w:val="2"/>
        </w:rPr>
        <w:t xml:space="preserve"> </w:t>
      </w:r>
      <w:r>
        <w:t>be</w:t>
      </w:r>
      <w:r>
        <w:rPr>
          <w:spacing w:val="-1"/>
        </w:rPr>
        <w:t xml:space="preserve"> </w:t>
      </w:r>
      <w:r>
        <w:t xml:space="preserve">disciplined </w:t>
      </w:r>
      <w:r>
        <w:rPr>
          <w:spacing w:val="-1"/>
        </w:rPr>
        <w:t>and</w:t>
      </w:r>
      <w:r>
        <w:t xml:space="preserve"> </w:t>
      </w:r>
      <w:r>
        <w:rPr>
          <w:spacing w:val="-1"/>
        </w:rPr>
        <w:t>dealt</w:t>
      </w:r>
      <w:r>
        <w:rPr>
          <w:spacing w:val="2"/>
        </w:rPr>
        <w:t xml:space="preserve"> </w:t>
      </w:r>
      <w:r>
        <w:t>with.</w:t>
      </w:r>
      <w:r>
        <w:rPr>
          <w:rStyle w:val="FootnoteReference"/>
        </w:rPr>
        <w:footnoteReference w:id="93"/>
      </w:r>
    </w:p>
    <w:p w:rsidR="007235EF" w:rsidRDefault="007235EF" w:rsidP="001B6F2C">
      <w:pPr>
        <w:pStyle w:val="Bodytext"/>
        <w:spacing w:before="16" w:line="276" w:lineRule="auto"/>
        <w:jc w:val="both"/>
      </w:pPr>
      <w:r>
        <w:t xml:space="preserve">The Committee’s 12 December 2013 Roundtable discussion with ACTPS Aboriginal and Torres Strait Islander people employees provided evidence of several instances of racism and bullying.  In one instance the perpetrator was said to be an HR manager.  It was evident that sometimes racism occurred in a direct way and at other times it was subtle.  </w:t>
      </w:r>
    </w:p>
    <w:p w:rsidR="007235EF" w:rsidRDefault="007235EF" w:rsidP="007235EF">
      <w:pPr>
        <w:pStyle w:val="Bodytext"/>
        <w:spacing w:before="16" w:line="260" w:lineRule="exact"/>
        <w:jc w:val="both"/>
      </w:pPr>
      <w:r>
        <w:t xml:space="preserve">In the context of talking about mentoring, </w:t>
      </w:r>
      <w:r w:rsidR="00323080">
        <w:t xml:space="preserve">Elected Body </w:t>
      </w:r>
      <w:r>
        <w:t xml:space="preserve">  Member, Ms Roslyn Brown, told the Committee: </w:t>
      </w:r>
    </w:p>
    <w:p w:rsidR="007235EF" w:rsidRDefault="007235EF" w:rsidP="007235EF">
      <w:pPr>
        <w:pStyle w:val="Quote"/>
      </w:pPr>
      <w:r>
        <w:t>I</w:t>
      </w:r>
      <w:r>
        <w:rPr>
          <w:spacing w:val="39"/>
        </w:rPr>
        <w:t xml:space="preserve"> </w:t>
      </w:r>
      <w:r>
        <w:t>think</w:t>
      </w:r>
      <w:r>
        <w:rPr>
          <w:spacing w:val="45"/>
        </w:rPr>
        <w:t xml:space="preserve"> </w:t>
      </w:r>
      <w:r>
        <w:t>the</w:t>
      </w:r>
      <w:r>
        <w:rPr>
          <w:spacing w:val="47"/>
        </w:rPr>
        <w:t xml:space="preserve"> </w:t>
      </w:r>
      <w:r>
        <w:t>basic</w:t>
      </w:r>
      <w:r>
        <w:rPr>
          <w:spacing w:val="45"/>
        </w:rPr>
        <w:t xml:space="preserve"> </w:t>
      </w:r>
      <w:r>
        <w:t>element,</w:t>
      </w:r>
      <w:r>
        <w:rPr>
          <w:spacing w:val="45"/>
        </w:rPr>
        <w:t xml:space="preserve"> </w:t>
      </w:r>
      <w:r>
        <w:t>the</w:t>
      </w:r>
      <w:r>
        <w:rPr>
          <w:spacing w:val="47"/>
        </w:rPr>
        <w:t xml:space="preserve"> </w:t>
      </w:r>
      <w:r>
        <w:t>fundamental</w:t>
      </w:r>
      <w:r>
        <w:rPr>
          <w:spacing w:val="45"/>
        </w:rPr>
        <w:t xml:space="preserve"> </w:t>
      </w:r>
      <w:r>
        <w:t>element,</w:t>
      </w:r>
      <w:r>
        <w:rPr>
          <w:spacing w:val="45"/>
        </w:rPr>
        <w:t xml:space="preserve"> </w:t>
      </w:r>
      <w:r>
        <w:t>is</w:t>
      </w:r>
      <w:r>
        <w:rPr>
          <w:spacing w:val="46"/>
        </w:rPr>
        <w:t xml:space="preserve"> </w:t>
      </w:r>
      <w:r>
        <w:t>to</w:t>
      </w:r>
      <w:r>
        <w:rPr>
          <w:spacing w:val="48"/>
        </w:rPr>
        <w:t xml:space="preserve"> </w:t>
      </w:r>
      <w:r>
        <w:t>address</w:t>
      </w:r>
      <w:r>
        <w:rPr>
          <w:spacing w:val="45"/>
        </w:rPr>
        <w:t xml:space="preserve"> </w:t>
      </w:r>
      <w:r>
        <w:t>the</w:t>
      </w:r>
      <w:r>
        <w:rPr>
          <w:spacing w:val="65"/>
        </w:rPr>
        <w:t xml:space="preserve"> </w:t>
      </w:r>
      <w:r>
        <w:t>racism</w:t>
      </w:r>
      <w:r>
        <w:rPr>
          <w:spacing w:val="27"/>
        </w:rPr>
        <w:t xml:space="preserve"> </w:t>
      </w:r>
      <w:r>
        <w:t>and</w:t>
      </w:r>
      <w:r>
        <w:rPr>
          <w:spacing w:val="26"/>
        </w:rPr>
        <w:t xml:space="preserve"> </w:t>
      </w:r>
      <w:r>
        <w:t>the</w:t>
      </w:r>
      <w:r>
        <w:rPr>
          <w:spacing w:val="25"/>
        </w:rPr>
        <w:t xml:space="preserve"> </w:t>
      </w:r>
      <w:r>
        <w:t>prejudice.</w:t>
      </w:r>
      <w:r>
        <w:rPr>
          <w:spacing w:val="26"/>
        </w:rPr>
        <w:t xml:space="preserve"> </w:t>
      </w:r>
      <w:r>
        <w:t>You</w:t>
      </w:r>
      <w:r>
        <w:rPr>
          <w:spacing w:val="25"/>
        </w:rPr>
        <w:t xml:space="preserve"> </w:t>
      </w:r>
      <w:r>
        <w:t>can</w:t>
      </w:r>
      <w:r>
        <w:rPr>
          <w:spacing w:val="26"/>
        </w:rPr>
        <w:t xml:space="preserve"> </w:t>
      </w:r>
      <w:r>
        <w:t>tell</w:t>
      </w:r>
      <w:r>
        <w:rPr>
          <w:spacing w:val="26"/>
        </w:rPr>
        <w:t xml:space="preserve"> </w:t>
      </w:r>
      <w:r>
        <w:t>people</w:t>
      </w:r>
      <w:r>
        <w:rPr>
          <w:spacing w:val="25"/>
        </w:rPr>
        <w:t xml:space="preserve"> </w:t>
      </w:r>
      <w:r>
        <w:t>what</w:t>
      </w:r>
      <w:r>
        <w:rPr>
          <w:spacing w:val="26"/>
        </w:rPr>
        <w:t xml:space="preserve"> </w:t>
      </w:r>
      <w:r>
        <w:t>to</w:t>
      </w:r>
      <w:r>
        <w:rPr>
          <w:spacing w:val="26"/>
        </w:rPr>
        <w:t xml:space="preserve"> </w:t>
      </w:r>
      <w:r>
        <w:t>do</w:t>
      </w:r>
      <w:r>
        <w:rPr>
          <w:spacing w:val="26"/>
        </w:rPr>
        <w:t xml:space="preserve"> </w:t>
      </w:r>
      <w:r>
        <w:t>and</w:t>
      </w:r>
      <w:r>
        <w:rPr>
          <w:spacing w:val="26"/>
        </w:rPr>
        <w:t xml:space="preserve"> </w:t>
      </w:r>
      <w:r>
        <w:t>they</w:t>
      </w:r>
      <w:r>
        <w:rPr>
          <w:spacing w:val="18"/>
        </w:rPr>
        <w:t xml:space="preserve"> </w:t>
      </w:r>
      <w:r>
        <w:t>can</w:t>
      </w:r>
      <w:r>
        <w:rPr>
          <w:spacing w:val="28"/>
        </w:rPr>
        <w:t xml:space="preserve"> </w:t>
      </w:r>
      <w:r>
        <w:t>change</w:t>
      </w:r>
      <w:r>
        <w:rPr>
          <w:spacing w:val="25"/>
        </w:rPr>
        <w:t xml:space="preserve"> </w:t>
      </w:r>
      <w:r>
        <w:t>their</w:t>
      </w:r>
      <w:r>
        <w:rPr>
          <w:spacing w:val="53"/>
        </w:rPr>
        <w:t xml:space="preserve"> </w:t>
      </w:r>
      <w:r>
        <w:t>behaviour,</w:t>
      </w:r>
      <w:r>
        <w:rPr>
          <w:spacing w:val="59"/>
        </w:rPr>
        <w:t xml:space="preserve"> </w:t>
      </w:r>
      <w:r>
        <w:t>their</w:t>
      </w:r>
      <w:r>
        <w:rPr>
          <w:spacing w:val="1"/>
        </w:rPr>
        <w:t xml:space="preserve"> body</w:t>
      </w:r>
      <w:r>
        <w:rPr>
          <w:spacing w:val="54"/>
        </w:rPr>
        <w:t xml:space="preserve"> </w:t>
      </w:r>
      <w:r>
        <w:t>language and</w:t>
      </w:r>
      <w:r>
        <w:rPr>
          <w:spacing w:val="59"/>
        </w:rPr>
        <w:t xml:space="preserve"> </w:t>
      </w:r>
      <w:r>
        <w:t>their</w:t>
      </w:r>
      <w:r>
        <w:rPr>
          <w:spacing w:val="59"/>
        </w:rPr>
        <w:t xml:space="preserve"> </w:t>
      </w:r>
      <w:r>
        <w:t>verbal language,</w:t>
      </w:r>
      <w:r>
        <w:rPr>
          <w:spacing w:val="1"/>
        </w:rPr>
        <w:t xml:space="preserve"> </w:t>
      </w:r>
      <w:r>
        <w:t>but subtle</w:t>
      </w:r>
      <w:r>
        <w:rPr>
          <w:spacing w:val="1"/>
        </w:rPr>
        <w:t xml:space="preserve"> </w:t>
      </w:r>
      <w:r>
        <w:t>racism</w:t>
      </w:r>
      <w:r>
        <w:rPr>
          <w:spacing w:val="3"/>
        </w:rPr>
        <w:t xml:space="preserve"> </w:t>
      </w:r>
      <w:r>
        <w:t>and</w:t>
      </w:r>
      <w:r>
        <w:rPr>
          <w:spacing w:val="57"/>
        </w:rPr>
        <w:t xml:space="preserve"> </w:t>
      </w:r>
      <w:r>
        <w:t>prejudice,</w:t>
      </w:r>
      <w:r>
        <w:rPr>
          <w:spacing w:val="16"/>
        </w:rPr>
        <w:t xml:space="preserve"> </w:t>
      </w:r>
      <w:r>
        <w:t>I</w:t>
      </w:r>
      <w:r>
        <w:rPr>
          <w:spacing w:val="11"/>
        </w:rPr>
        <w:t xml:space="preserve"> </w:t>
      </w:r>
      <w:r>
        <w:t>think,</w:t>
      </w:r>
      <w:r>
        <w:rPr>
          <w:spacing w:val="14"/>
        </w:rPr>
        <w:t xml:space="preserve"> </w:t>
      </w:r>
      <w:r>
        <w:t>are</w:t>
      </w:r>
      <w:r>
        <w:rPr>
          <w:spacing w:val="12"/>
        </w:rPr>
        <w:t xml:space="preserve"> </w:t>
      </w:r>
      <w:r>
        <w:t>the</w:t>
      </w:r>
      <w:r>
        <w:rPr>
          <w:spacing w:val="13"/>
        </w:rPr>
        <w:t xml:space="preserve"> </w:t>
      </w:r>
      <w:r>
        <w:t>fundamental</w:t>
      </w:r>
      <w:r>
        <w:rPr>
          <w:spacing w:val="14"/>
        </w:rPr>
        <w:t xml:space="preserve"> </w:t>
      </w:r>
      <w:r>
        <w:t>things</w:t>
      </w:r>
      <w:r>
        <w:rPr>
          <w:spacing w:val="14"/>
        </w:rPr>
        <w:t xml:space="preserve"> </w:t>
      </w:r>
      <w:r>
        <w:t>that</w:t>
      </w:r>
      <w:r>
        <w:rPr>
          <w:spacing w:val="14"/>
        </w:rPr>
        <w:t xml:space="preserve"> </w:t>
      </w:r>
      <w:r>
        <w:t>need</w:t>
      </w:r>
      <w:r>
        <w:rPr>
          <w:spacing w:val="14"/>
        </w:rPr>
        <w:t xml:space="preserve"> </w:t>
      </w:r>
      <w:r>
        <w:t>to</w:t>
      </w:r>
      <w:r>
        <w:rPr>
          <w:spacing w:val="14"/>
        </w:rPr>
        <w:t xml:space="preserve"> </w:t>
      </w:r>
      <w:r>
        <w:t>be</w:t>
      </w:r>
      <w:r>
        <w:rPr>
          <w:spacing w:val="13"/>
        </w:rPr>
        <w:t xml:space="preserve"> </w:t>
      </w:r>
      <w:r>
        <w:t>addressed.</w:t>
      </w:r>
      <w:r>
        <w:rPr>
          <w:spacing w:val="16"/>
        </w:rPr>
        <w:t xml:space="preserve"> </w:t>
      </w:r>
      <w:r>
        <w:t>And</w:t>
      </w:r>
      <w:r>
        <w:rPr>
          <w:spacing w:val="13"/>
        </w:rPr>
        <w:t xml:space="preserve"> </w:t>
      </w:r>
      <w:r>
        <w:t>it</w:t>
      </w:r>
      <w:r>
        <w:rPr>
          <w:spacing w:val="14"/>
        </w:rPr>
        <w:t xml:space="preserve"> </w:t>
      </w:r>
      <w:r>
        <w:t>is</w:t>
      </w:r>
      <w:r>
        <w:rPr>
          <w:spacing w:val="14"/>
        </w:rPr>
        <w:t xml:space="preserve"> </w:t>
      </w:r>
      <w:r>
        <w:t>not</w:t>
      </w:r>
      <w:r>
        <w:rPr>
          <w:spacing w:val="63"/>
        </w:rPr>
        <w:t xml:space="preserve"> </w:t>
      </w:r>
      <w:r>
        <w:t>just</w:t>
      </w:r>
      <w:r>
        <w:rPr>
          <w:spacing w:val="10"/>
        </w:rPr>
        <w:t xml:space="preserve"> </w:t>
      </w:r>
      <w:r>
        <w:t>about</w:t>
      </w:r>
      <w:r>
        <w:rPr>
          <w:spacing w:val="9"/>
        </w:rPr>
        <w:t xml:space="preserve"> </w:t>
      </w:r>
      <w:r>
        <w:t>punishing</w:t>
      </w:r>
      <w:r>
        <w:rPr>
          <w:spacing w:val="7"/>
        </w:rPr>
        <w:t xml:space="preserve"> </w:t>
      </w:r>
      <w:r>
        <w:t>a</w:t>
      </w:r>
      <w:r>
        <w:rPr>
          <w:spacing w:val="8"/>
        </w:rPr>
        <w:t xml:space="preserve"> </w:t>
      </w:r>
      <w:r>
        <w:t>racist.</w:t>
      </w:r>
      <w:r>
        <w:rPr>
          <w:spacing w:val="9"/>
        </w:rPr>
        <w:t xml:space="preserve"> </w:t>
      </w:r>
      <w:r>
        <w:t>They</w:t>
      </w:r>
      <w:r>
        <w:rPr>
          <w:spacing w:val="4"/>
        </w:rPr>
        <w:t xml:space="preserve"> </w:t>
      </w:r>
      <w:r>
        <w:t>are</w:t>
      </w:r>
      <w:r>
        <w:rPr>
          <w:spacing w:val="7"/>
        </w:rPr>
        <w:t xml:space="preserve"> </w:t>
      </w:r>
      <w:r>
        <w:t>human</w:t>
      </w:r>
      <w:r>
        <w:rPr>
          <w:spacing w:val="8"/>
        </w:rPr>
        <w:t xml:space="preserve"> </w:t>
      </w:r>
      <w:r>
        <w:t>beings</w:t>
      </w:r>
      <w:r>
        <w:rPr>
          <w:spacing w:val="9"/>
        </w:rPr>
        <w:t xml:space="preserve"> </w:t>
      </w:r>
      <w:r>
        <w:t>too</w:t>
      </w:r>
      <w:r>
        <w:rPr>
          <w:spacing w:val="9"/>
        </w:rPr>
        <w:t xml:space="preserve"> </w:t>
      </w:r>
      <w:r>
        <w:t>and</w:t>
      </w:r>
      <w:r>
        <w:rPr>
          <w:spacing w:val="9"/>
        </w:rPr>
        <w:t xml:space="preserve"> </w:t>
      </w:r>
      <w:r>
        <w:rPr>
          <w:spacing w:val="1"/>
        </w:rPr>
        <w:t>they</w:t>
      </w:r>
      <w:r>
        <w:rPr>
          <w:spacing w:val="4"/>
        </w:rPr>
        <w:t xml:space="preserve"> </w:t>
      </w:r>
      <w:r>
        <w:t>need</w:t>
      </w:r>
      <w:r>
        <w:rPr>
          <w:spacing w:val="9"/>
        </w:rPr>
        <w:t xml:space="preserve"> </w:t>
      </w:r>
      <w:r>
        <w:t>support.</w:t>
      </w:r>
      <w:r>
        <w:rPr>
          <w:spacing w:val="9"/>
        </w:rPr>
        <w:t xml:space="preserve"> </w:t>
      </w:r>
      <w:r>
        <w:t>How</w:t>
      </w:r>
      <w:r>
        <w:rPr>
          <w:spacing w:val="32"/>
        </w:rPr>
        <w:t xml:space="preserve"> </w:t>
      </w:r>
      <w:r>
        <w:t>come</w:t>
      </w:r>
      <w:r>
        <w:rPr>
          <w:spacing w:val="44"/>
        </w:rPr>
        <w:t xml:space="preserve"> </w:t>
      </w:r>
      <w:r>
        <w:rPr>
          <w:spacing w:val="1"/>
        </w:rPr>
        <w:t>they</w:t>
      </w:r>
      <w:r>
        <w:rPr>
          <w:spacing w:val="42"/>
        </w:rPr>
        <w:t xml:space="preserve"> </w:t>
      </w:r>
      <w:r>
        <w:t>are</w:t>
      </w:r>
      <w:r>
        <w:rPr>
          <w:spacing w:val="44"/>
        </w:rPr>
        <w:t xml:space="preserve"> </w:t>
      </w:r>
      <w:r>
        <w:t>a</w:t>
      </w:r>
      <w:r>
        <w:rPr>
          <w:spacing w:val="46"/>
        </w:rPr>
        <w:t xml:space="preserve"> </w:t>
      </w:r>
      <w:r>
        <w:t>racist?</w:t>
      </w:r>
      <w:r>
        <w:rPr>
          <w:spacing w:val="46"/>
        </w:rPr>
        <w:t xml:space="preserve"> </w:t>
      </w:r>
      <w:r>
        <w:rPr>
          <w:spacing w:val="1"/>
        </w:rPr>
        <w:t>Why</w:t>
      </w:r>
      <w:r>
        <w:rPr>
          <w:spacing w:val="42"/>
        </w:rPr>
        <w:t xml:space="preserve"> </w:t>
      </w:r>
      <w:r>
        <w:t>are</w:t>
      </w:r>
      <w:r>
        <w:rPr>
          <w:spacing w:val="45"/>
        </w:rPr>
        <w:t xml:space="preserve"> </w:t>
      </w:r>
      <w:r>
        <w:rPr>
          <w:spacing w:val="1"/>
        </w:rPr>
        <w:t>they</w:t>
      </w:r>
      <w:r>
        <w:rPr>
          <w:spacing w:val="40"/>
        </w:rPr>
        <w:t xml:space="preserve"> </w:t>
      </w:r>
      <w:r>
        <w:t>a</w:t>
      </w:r>
      <w:r>
        <w:rPr>
          <w:spacing w:val="46"/>
        </w:rPr>
        <w:t xml:space="preserve"> </w:t>
      </w:r>
      <w:r>
        <w:t>racist?</w:t>
      </w:r>
      <w:r>
        <w:rPr>
          <w:spacing w:val="46"/>
        </w:rPr>
        <w:t xml:space="preserve"> </w:t>
      </w:r>
      <w:r>
        <w:t>That</w:t>
      </w:r>
      <w:r>
        <w:rPr>
          <w:spacing w:val="45"/>
        </w:rPr>
        <w:t xml:space="preserve"> </w:t>
      </w:r>
      <w:r>
        <w:t>would</w:t>
      </w:r>
      <w:r>
        <w:rPr>
          <w:spacing w:val="45"/>
        </w:rPr>
        <w:t xml:space="preserve"> </w:t>
      </w:r>
      <w:r>
        <w:rPr>
          <w:spacing w:val="1"/>
        </w:rPr>
        <w:t>be</w:t>
      </w:r>
      <w:r>
        <w:rPr>
          <w:spacing w:val="44"/>
        </w:rPr>
        <w:t xml:space="preserve"> </w:t>
      </w:r>
      <w:r>
        <w:t>a</w:t>
      </w:r>
      <w:r>
        <w:rPr>
          <w:spacing w:val="46"/>
        </w:rPr>
        <w:t xml:space="preserve"> </w:t>
      </w:r>
      <w:r>
        <w:t>product</w:t>
      </w:r>
      <w:r>
        <w:rPr>
          <w:spacing w:val="45"/>
        </w:rPr>
        <w:t xml:space="preserve"> </w:t>
      </w:r>
      <w:r>
        <w:t>of</w:t>
      </w:r>
      <w:r>
        <w:rPr>
          <w:spacing w:val="44"/>
        </w:rPr>
        <w:t xml:space="preserve"> </w:t>
      </w:r>
      <w:r>
        <w:t>their</w:t>
      </w:r>
      <w:r>
        <w:rPr>
          <w:spacing w:val="38"/>
        </w:rPr>
        <w:t xml:space="preserve"> </w:t>
      </w:r>
      <w:r>
        <w:t>upbringing,</w:t>
      </w:r>
      <w:r>
        <w:rPr>
          <w:spacing w:val="2"/>
        </w:rPr>
        <w:t xml:space="preserve"> </w:t>
      </w:r>
      <w:r>
        <w:t>I</w:t>
      </w:r>
      <w:r>
        <w:rPr>
          <w:spacing w:val="-4"/>
        </w:rPr>
        <w:t xml:space="preserve"> </w:t>
      </w:r>
      <w:r>
        <w:t>think, or learned behaviour.</w:t>
      </w:r>
    </w:p>
    <w:p w:rsidR="007235EF" w:rsidRDefault="007235EF" w:rsidP="007235EF">
      <w:pPr>
        <w:pStyle w:val="Quote"/>
        <w:rPr>
          <w:rFonts w:ascii="Times New Roman" w:hAnsi="Times New Roman" w:cs="Times New Roman"/>
          <w:spacing w:val="-1"/>
        </w:rPr>
      </w:pPr>
      <w:r>
        <w:t>So</w:t>
      </w:r>
      <w:r>
        <w:rPr>
          <w:spacing w:val="6"/>
        </w:rPr>
        <w:t xml:space="preserve"> </w:t>
      </w:r>
      <w:r>
        <w:t>that</w:t>
      </w:r>
      <w:r>
        <w:rPr>
          <w:spacing w:val="6"/>
        </w:rPr>
        <w:t xml:space="preserve"> </w:t>
      </w:r>
      <w:r>
        <w:t>really</w:t>
      </w:r>
      <w:r>
        <w:rPr>
          <w:spacing w:val="2"/>
        </w:rPr>
        <w:t xml:space="preserve"> </w:t>
      </w:r>
      <w:r>
        <w:t>needs</w:t>
      </w:r>
      <w:r>
        <w:rPr>
          <w:spacing w:val="7"/>
        </w:rPr>
        <w:t xml:space="preserve"> </w:t>
      </w:r>
      <w:r>
        <w:t>to</w:t>
      </w:r>
      <w:r>
        <w:rPr>
          <w:spacing w:val="7"/>
        </w:rPr>
        <w:t xml:space="preserve"> </w:t>
      </w:r>
      <w:r>
        <w:rPr>
          <w:spacing w:val="1"/>
        </w:rPr>
        <w:t>be</w:t>
      </w:r>
      <w:r>
        <w:rPr>
          <w:spacing w:val="6"/>
        </w:rPr>
        <w:t xml:space="preserve"> </w:t>
      </w:r>
      <w:r>
        <w:t>addressed</w:t>
      </w:r>
      <w:r>
        <w:rPr>
          <w:rFonts w:ascii="Times New Roman" w:hAnsi="Times New Roman" w:cs="Times New Roman"/>
        </w:rPr>
        <w:t>—</w:t>
      </w:r>
      <w:r>
        <w:t>as</w:t>
      </w:r>
      <w:r>
        <w:rPr>
          <w:spacing w:val="9"/>
        </w:rPr>
        <w:t xml:space="preserve"> </w:t>
      </w:r>
      <w:r>
        <w:t>far</w:t>
      </w:r>
      <w:r>
        <w:rPr>
          <w:spacing w:val="6"/>
        </w:rPr>
        <w:t xml:space="preserve"> </w:t>
      </w:r>
      <w:r>
        <w:rPr>
          <w:spacing w:val="-1"/>
        </w:rPr>
        <w:t>as</w:t>
      </w:r>
      <w:r>
        <w:rPr>
          <w:spacing w:val="12"/>
        </w:rPr>
        <w:t xml:space="preserve"> </w:t>
      </w:r>
      <w:r>
        <w:t>I</w:t>
      </w:r>
      <w:r>
        <w:rPr>
          <w:spacing w:val="6"/>
        </w:rPr>
        <w:t xml:space="preserve"> </w:t>
      </w:r>
      <w:r>
        <w:rPr>
          <w:spacing w:val="-1"/>
        </w:rPr>
        <w:t>am</w:t>
      </w:r>
      <w:r>
        <w:rPr>
          <w:spacing w:val="7"/>
        </w:rPr>
        <w:t xml:space="preserve"> </w:t>
      </w:r>
      <w:r>
        <w:rPr>
          <w:spacing w:val="-1"/>
        </w:rPr>
        <w:t>concerned,</w:t>
      </w:r>
      <w:r>
        <w:rPr>
          <w:spacing w:val="9"/>
        </w:rPr>
        <w:t xml:space="preserve"> </w:t>
      </w:r>
      <w:r>
        <w:t>for</w:t>
      </w:r>
      <w:r>
        <w:rPr>
          <w:spacing w:val="7"/>
        </w:rPr>
        <w:t xml:space="preserve"> </w:t>
      </w:r>
      <w:r>
        <w:t>cultural</w:t>
      </w:r>
      <w:r>
        <w:rPr>
          <w:spacing w:val="7"/>
        </w:rPr>
        <w:t xml:space="preserve"> </w:t>
      </w:r>
      <w:r>
        <w:t>reasons</w:t>
      </w:r>
      <w:r>
        <w:rPr>
          <w:rFonts w:ascii="Times New Roman" w:hAnsi="Times New Roman" w:cs="Times New Roman"/>
        </w:rPr>
        <w:t>—</w:t>
      </w:r>
      <w:r>
        <w:rPr>
          <w:rFonts w:ascii="Times New Roman" w:hAnsi="Times New Roman" w:cs="Times New Roman"/>
          <w:spacing w:val="27"/>
        </w:rPr>
        <w:t xml:space="preserve"> </w:t>
      </w:r>
      <w:r>
        <w:t>for</w:t>
      </w:r>
      <w:r>
        <w:rPr>
          <w:spacing w:val="29"/>
        </w:rPr>
        <w:t xml:space="preserve"> </w:t>
      </w:r>
      <w:r>
        <w:t>the</w:t>
      </w:r>
      <w:r>
        <w:rPr>
          <w:spacing w:val="30"/>
        </w:rPr>
        <w:t xml:space="preserve"> </w:t>
      </w:r>
      <w:r>
        <w:t>whole</w:t>
      </w:r>
      <w:r>
        <w:rPr>
          <w:spacing w:val="30"/>
        </w:rPr>
        <w:t xml:space="preserve"> </w:t>
      </w:r>
      <w:r>
        <w:rPr>
          <w:spacing w:val="-1"/>
        </w:rPr>
        <w:t>country,</w:t>
      </w:r>
      <w:r>
        <w:rPr>
          <w:spacing w:val="30"/>
        </w:rPr>
        <w:t xml:space="preserve"> </w:t>
      </w:r>
      <w:r>
        <w:t>not</w:t>
      </w:r>
      <w:r>
        <w:rPr>
          <w:spacing w:val="31"/>
        </w:rPr>
        <w:t xml:space="preserve"> </w:t>
      </w:r>
      <w:r>
        <w:t>just</w:t>
      </w:r>
      <w:r>
        <w:rPr>
          <w:spacing w:val="31"/>
        </w:rPr>
        <w:t xml:space="preserve"> </w:t>
      </w:r>
      <w:r>
        <w:t>for</w:t>
      </w:r>
      <w:r>
        <w:rPr>
          <w:spacing w:val="29"/>
        </w:rPr>
        <w:t xml:space="preserve"> </w:t>
      </w:r>
      <w:r>
        <w:rPr>
          <w:spacing w:val="-1"/>
        </w:rPr>
        <w:t>Aboriginal</w:t>
      </w:r>
      <w:r>
        <w:rPr>
          <w:spacing w:val="30"/>
        </w:rPr>
        <w:t xml:space="preserve"> </w:t>
      </w:r>
      <w:r>
        <w:rPr>
          <w:spacing w:val="-1"/>
        </w:rPr>
        <w:t>and</w:t>
      </w:r>
      <w:r>
        <w:rPr>
          <w:spacing w:val="30"/>
        </w:rPr>
        <w:t xml:space="preserve"> </w:t>
      </w:r>
      <w:r>
        <w:rPr>
          <w:spacing w:val="-1"/>
        </w:rPr>
        <w:t>Torres</w:t>
      </w:r>
      <w:r>
        <w:rPr>
          <w:spacing w:val="31"/>
        </w:rPr>
        <w:t xml:space="preserve"> </w:t>
      </w:r>
      <w:r>
        <w:rPr>
          <w:spacing w:val="-1"/>
        </w:rPr>
        <w:t>Strait</w:t>
      </w:r>
      <w:r>
        <w:rPr>
          <w:spacing w:val="34"/>
        </w:rPr>
        <w:t xml:space="preserve"> </w:t>
      </w:r>
      <w:r>
        <w:rPr>
          <w:spacing w:val="-1"/>
        </w:rPr>
        <w:t>Islander</w:t>
      </w:r>
      <w:r>
        <w:rPr>
          <w:spacing w:val="30"/>
        </w:rPr>
        <w:t xml:space="preserve"> </w:t>
      </w:r>
      <w:r>
        <w:rPr>
          <w:spacing w:val="-1"/>
        </w:rPr>
        <w:t>people</w:t>
      </w:r>
      <w:r>
        <w:rPr>
          <w:spacing w:val="30"/>
        </w:rPr>
        <w:t xml:space="preserve"> </w:t>
      </w:r>
      <w:r>
        <w:t>but</w:t>
      </w:r>
      <w:r>
        <w:rPr>
          <w:spacing w:val="57"/>
        </w:rPr>
        <w:t xml:space="preserve"> </w:t>
      </w:r>
      <w:r>
        <w:rPr>
          <w:spacing w:val="-1"/>
        </w:rPr>
        <w:t>also</w:t>
      </w:r>
      <w:r>
        <w:rPr>
          <w:spacing w:val="17"/>
        </w:rPr>
        <w:t xml:space="preserve"> </w:t>
      </w:r>
      <w:r>
        <w:t>for</w:t>
      </w:r>
      <w:r>
        <w:rPr>
          <w:spacing w:val="15"/>
        </w:rPr>
        <w:t xml:space="preserve"> </w:t>
      </w:r>
      <w:r>
        <w:t>the</w:t>
      </w:r>
      <w:r>
        <w:rPr>
          <w:spacing w:val="16"/>
        </w:rPr>
        <w:t xml:space="preserve"> </w:t>
      </w:r>
      <w:r>
        <w:t>non-Indigenous</w:t>
      </w:r>
      <w:r>
        <w:rPr>
          <w:spacing w:val="16"/>
        </w:rPr>
        <w:t xml:space="preserve"> </w:t>
      </w:r>
      <w:r>
        <w:rPr>
          <w:spacing w:val="-1"/>
        </w:rPr>
        <w:t>people.</w:t>
      </w:r>
      <w:r>
        <w:rPr>
          <w:spacing w:val="18"/>
        </w:rPr>
        <w:t xml:space="preserve"> </w:t>
      </w:r>
      <w:r>
        <w:rPr>
          <w:spacing w:val="-2"/>
        </w:rPr>
        <w:t>If</w:t>
      </w:r>
      <w:r>
        <w:rPr>
          <w:spacing w:val="20"/>
        </w:rPr>
        <w:t xml:space="preserve"> </w:t>
      </w:r>
      <w:r>
        <w:rPr>
          <w:spacing w:val="-2"/>
        </w:rPr>
        <w:t>you</w:t>
      </w:r>
      <w:r>
        <w:rPr>
          <w:spacing w:val="18"/>
        </w:rPr>
        <w:t xml:space="preserve"> </w:t>
      </w:r>
      <w:r>
        <w:t>make</w:t>
      </w:r>
      <w:r>
        <w:rPr>
          <w:spacing w:val="17"/>
        </w:rPr>
        <w:t xml:space="preserve"> </w:t>
      </w:r>
      <w:r>
        <w:t>somebody</w:t>
      </w:r>
      <w:r>
        <w:rPr>
          <w:spacing w:val="14"/>
        </w:rPr>
        <w:t xml:space="preserve"> </w:t>
      </w:r>
      <w:r>
        <w:rPr>
          <w:spacing w:val="-1"/>
        </w:rPr>
        <w:t>feel</w:t>
      </w:r>
      <w:r>
        <w:rPr>
          <w:spacing w:val="17"/>
        </w:rPr>
        <w:t xml:space="preserve"> </w:t>
      </w:r>
      <w:r>
        <w:t>that</w:t>
      </w:r>
      <w:r>
        <w:rPr>
          <w:spacing w:val="17"/>
        </w:rPr>
        <w:t xml:space="preserve"> </w:t>
      </w:r>
      <w:r>
        <w:rPr>
          <w:spacing w:val="1"/>
        </w:rPr>
        <w:t>they</w:t>
      </w:r>
      <w:r>
        <w:rPr>
          <w:spacing w:val="14"/>
        </w:rPr>
        <w:t xml:space="preserve"> </w:t>
      </w:r>
      <w:r>
        <w:rPr>
          <w:spacing w:val="-1"/>
        </w:rPr>
        <w:t>come</w:t>
      </w:r>
      <w:r>
        <w:rPr>
          <w:spacing w:val="16"/>
        </w:rPr>
        <w:t xml:space="preserve"> </w:t>
      </w:r>
      <w:r>
        <w:rPr>
          <w:spacing w:val="-1"/>
        </w:rPr>
        <w:t>from</w:t>
      </w:r>
      <w:r>
        <w:rPr>
          <w:spacing w:val="37"/>
        </w:rPr>
        <w:t xml:space="preserve"> </w:t>
      </w:r>
      <w:r>
        <w:t>the</w:t>
      </w:r>
      <w:r>
        <w:rPr>
          <w:spacing w:val="52"/>
        </w:rPr>
        <w:t xml:space="preserve"> </w:t>
      </w:r>
      <w:r>
        <w:rPr>
          <w:spacing w:val="-1"/>
        </w:rPr>
        <w:t>lowest</w:t>
      </w:r>
      <w:r>
        <w:rPr>
          <w:spacing w:val="53"/>
        </w:rPr>
        <w:t xml:space="preserve"> </w:t>
      </w:r>
      <w:r>
        <w:rPr>
          <w:spacing w:val="-1"/>
        </w:rPr>
        <w:t>form</w:t>
      </w:r>
      <w:r>
        <w:rPr>
          <w:spacing w:val="53"/>
        </w:rPr>
        <w:t xml:space="preserve"> </w:t>
      </w:r>
      <w:r>
        <w:t>of</w:t>
      </w:r>
      <w:r>
        <w:rPr>
          <w:spacing w:val="51"/>
        </w:rPr>
        <w:t xml:space="preserve"> </w:t>
      </w:r>
      <w:r>
        <w:t>life,</w:t>
      </w:r>
      <w:r>
        <w:rPr>
          <w:spacing w:val="57"/>
        </w:rPr>
        <w:t xml:space="preserve"> </w:t>
      </w:r>
      <w:r>
        <w:rPr>
          <w:spacing w:val="-2"/>
        </w:rPr>
        <w:t>you</w:t>
      </w:r>
      <w:r>
        <w:rPr>
          <w:spacing w:val="52"/>
        </w:rPr>
        <w:t xml:space="preserve"> </w:t>
      </w:r>
      <w:r>
        <w:t>have</w:t>
      </w:r>
      <w:r>
        <w:rPr>
          <w:spacing w:val="51"/>
        </w:rPr>
        <w:t xml:space="preserve"> </w:t>
      </w:r>
      <w:r>
        <w:rPr>
          <w:spacing w:val="-1"/>
        </w:rPr>
        <w:t>set</w:t>
      </w:r>
      <w:r>
        <w:rPr>
          <w:spacing w:val="53"/>
        </w:rPr>
        <w:t xml:space="preserve"> </w:t>
      </w:r>
      <w:r>
        <w:t>them</w:t>
      </w:r>
      <w:r>
        <w:rPr>
          <w:spacing w:val="52"/>
        </w:rPr>
        <w:t xml:space="preserve"> </w:t>
      </w:r>
      <w:r>
        <w:t>up</w:t>
      </w:r>
      <w:r>
        <w:rPr>
          <w:spacing w:val="54"/>
        </w:rPr>
        <w:t xml:space="preserve"> </w:t>
      </w:r>
      <w:r>
        <w:t>for</w:t>
      </w:r>
      <w:r>
        <w:rPr>
          <w:spacing w:val="51"/>
        </w:rPr>
        <w:t xml:space="preserve"> </w:t>
      </w:r>
      <w:r>
        <w:rPr>
          <w:spacing w:val="-1"/>
        </w:rPr>
        <w:t>failure.</w:t>
      </w:r>
      <w:r>
        <w:rPr>
          <w:spacing w:val="52"/>
        </w:rPr>
        <w:t xml:space="preserve"> </w:t>
      </w:r>
      <w:r>
        <w:t>You</w:t>
      </w:r>
      <w:r>
        <w:rPr>
          <w:spacing w:val="52"/>
        </w:rPr>
        <w:t xml:space="preserve"> </w:t>
      </w:r>
      <w:r>
        <w:t>walk</w:t>
      </w:r>
      <w:r>
        <w:rPr>
          <w:spacing w:val="55"/>
        </w:rPr>
        <w:t xml:space="preserve"> </w:t>
      </w:r>
      <w:r>
        <w:t>in</w:t>
      </w:r>
      <w:r>
        <w:rPr>
          <w:spacing w:val="53"/>
        </w:rPr>
        <w:t xml:space="preserve"> </w:t>
      </w:r>
      <w:r>
        <w:rPr>
          <w:spacing w:val="-1"/>
        </w:rPr>
        <w:t>and</w:t>
      </w:r>
      <w:r>
        <w:rPr>
          <w:spacing w:val="54"/>
        </w:rPr>
        <w:t xml:space="preserve"> </w:t>
      </w:r>
      <w:r>
        <w:t>you</w:t>
      </w:r>
      <w:r>
        <w:rPr>
          <w:spacing w:val="43"/>
        </w:rPr>
        <w:t xml:space="preserve"> </w:t>
      </w:r>
      <w:r>
        <w:rPr>
          <w:spacing w:val="-1"/>
        </w:rPr>
        <w:t>experience</w:t>
      </w:r>
      <w:r>
        <w:rPr>
          <w:spacing w:val="18"/>
        </w:rPr>
        <w:t xml:space="preserve"> </w:t>
      </w:r>
      <w:r>
        <w:rPr>
          <w:spacing w:val="-1"/>
        </w:rPr>
        <w:t>racism,</w:t>
      </w:r>
      <w:r>
        <w:rPr>
          <w:spacing w:val="21"/>
        </w:rPr>
        <w:t xml:space="preserve"> </w:t>
      </w:r>
      <w:r>
        <w:rPr>
          <w:spacing w:val="-2"/>
        </w:rPr>
        <w:t>you</w:t>
      </w:r>
      <w:r>
        <w:rPr>
          <w:spacing w:val="18"/>
        </w:rPr>
        <w:t xml:space="preserve"> </w:t>
      </w:r>
      <w:r>
        <w:rPr>
          <w:spacing w:val="-1"/>
        </w:rPr>
        <w:t>see</w:t>
      </w:r>
      <w:r>
        <w:rPr>
          <w:spacing w:val="18"/>
        </w:rPr>
        <w:t xml:space="preserve"> </w:t>
      </w:r>
      <w:r>
        <w:t>it</w:t>
      </w:r>
      <w:r>
        <w:rPr>
          <w:spacing w:val="19"/>
        </w:rPr>
        <w:t xml:space="preserve"> </w:t>
      </w:r>
      <w:r>
        <w:t>but</w:t>
      </w:r>
      <w:r>
        <w:rPr>
          <w:spacing w:val="21"/>
        </w:rPr>
        <w:t xml:space="preserve"> </w:t>
      </w:r>
      <w:r>
        <w:rPr>
          <w:spacing w:val="-3"/>
        </w:rPr>
        <w:t>you</w:t>
      </w:r>
      <w:r>
        <w:rPr>
          <w:spacing w:val="18"/>
        </w:rPr>
        <w:t xml:space="preserve"> </w:t>
      </w:r>
      <w:r>
        <w:rPr>
          <w:spacing w:val="-1"/>
        </w:rPr>
        <w:t>also</w:t>
      </w:r>
      <w:r>
        <w:rPr>
          <w:spacing w:val="19"/>
        </w:rPr>
        <w:t xml:space="preserve"> </w:t>
      </w:r>
      <w:r>
        <w:rPr>
          <w:spacing w:val="-1"/>
        </w:rPr>
        <w:t>experience</w:t>
      </w:r>
      <w:r>
        <w:rPr>
          <w:spacing w:val="18"/>
        </w:rPr>
        <w:t xml:space="preserve"> </w:t>
      </w:r>
      <w:r>
        <w:t>it.</w:t>
      </w:r>
      <w:r>
        <w:rPr>
          <w:spacing w:val="18"/>
        </w:rPr>
        <w:t xml:space="preserve"> </w:t>
      </w:r>
      <w:r>
        <w:t>So</w:t>
      </w:r>
      <w:r>
        <w:rPr>
          <w:spacing w:val="18"/>
        </w:rPr>
        <w:t xml:space="preserve"> </w:t>
      </w:r>
      <w:r>
        <w:t>if</w:t>
      </w:r>
      <w:r>
        <w:rPr>
          <w:spacing w:val="21"/>
        </w:rPr>
        <w:t xml:space="preserve"> </w:t>
      </w:r>
      <w:r>
        <w:rPr>
          <w:spacing w:val="-3"/>
        </w:rPr>
        <w:t>you</w:t>
      </w:r>
      <w:r>
        <w:rPr>
          <w:spacing w:val="18"/>
        </w:rPr>
        <w:t xml:space="preserve"> </w:t>
      </w:r>
      <w:r>
        <w:rPr>
          <w:spacing w:val="-1"/>
        </w:rPr>
        <w:t>are</w:t>
      </w:r>
      <w:r>
        <w:rPr>
          <w:spacing w:val="19"/>
        </w:rPr>
        <w:t xml:space="preserve"> </w:t>
      </w:r>
      <w:r>
        <w:rPr>
          <w:spacing w:val="-1"/>
        </w:rPr>
        <w:t>going</w:t>
      </w:r>
      <w:r>
        <w:rPr>
          <w:spacing w:val="17"/>
        </w:rPr>
        <w:t xml:space="preserve"> </w:t>
      </w:r>
      <w:r>
        <w:t>to</w:t>
      </w:r>
      <w:r>
        <w:rPr>
          <w:spacing w:val="19"/>
        </w:rPr>
        <w:t xml:space="preserve"> </w:t>
      </w:r>
      <w:r>
        <w:rPr>
          <w:spacing w:val="-1"/>
        </w:rPr>
        <w:t>set</w:t>
      </w:r>
      <w:r>
        <w:rPr>
          <w:spacing w:val="19"/>
        </w:rPr>
        <w:t xml:space="preserve"> </w:t>
      </w:r>
      <w:r>
        <w:t>a</w:t>
      </w:r>
      <w:r>
        <w:rPr>
          <w:spacing w:val="73"/>
        </w:rPr>
        <w:t xml:space="preserve"> </w:t>
      </w:r>
      <w:r>
        <w:rPr>
          <w:spacing w:val="-1"/>
        </w:rPr>
        <w:t>mentoring</w:t>
      </w:r>
      <w:r>
        <w:rPr>
          <w:spacing w:val="31"/>
        </w:rPr>
        <w:t xml:space="preserve"> </w:t>
      </w:r>
      <w:r>
        <w:t>process</w:t>
      </w:r>
      <w:r>
        <w:rPr>
          <w:spacing w:val="33"/>
        </w:rPr>
        <w:t xml:space="preserve"> </w:t>
      </w:r>
      <w:r>
        <w:t>up</w:t>
      </w:r>
      <w:r>
        <w:rPr>
          <w:spacing w:val="35"/>
        </w:rPr>
        <w:t xml:space="preserve"> </w:t>
      </w:r>
      <w:r>
        <w:t>and</w:t>
      </w:r>
      <w:r>
        <w:rPr>
          <w:spacing w:val="33"/>
        </w:rPr>
        <w:t xml:space="preserve"> </w:t>
      </w:r>
      <w:r>
        <w:rPr>
          <w:spacing w:val="-1"/>
        </w:rPr>
        <w:t>there</w:t>
      </w:r>
      <w:r>
        <w:rPr>
          <w:spacing w:val="34"/>
        </w:rPr>
        <w:t xml:space="preserve"> </w:t>
      </w:r>
      <w:r>
        <w:t>is</w:t>
      </w:r>
      <w:r>
        <w:rPr>
          <w:spacing w:val="34"/>
        </w:rPr>
        <w:t xml:space="preserve"> </w:t>
      </w:r>
      <w:r>
        <w:t>still</w:t>
      </w:r>
      <w:r>
        <w:rPr>
          <w:spacing w:val="34"/>
        </w:rPr>
        <w:t xml:space="preserve"> </w:t>
      </w:r>
      <w:r>
        <w:rPr>
          <w:spacing w:val="-1"/>
        </w:rPr>
        <w:t>racism</w:t>
      </w:r>
      <w:r>
        <w:rPr>
          <w:spacing w:val="36"/>
        </w:rPr>
        <w:t xml:space="preserve"> </w:t>
      </w:r>
      <w:r>
        <w:t>happening</w:t>
      </w:r>
      <w:r>
        <w:rPr>
          <w:rFonts w:ascii="Times New Roman" w:hAnsi="Times New Roman" w:cs="Times New Roman"/>
        </w:rPr>
        <w:t>—</w:t>
      </w:r>
      <w:r>
        <w:t>ie,</w:t>
      </w:r>
      <w:r>
        <w:rPr>
          <w:spacing w:val="32"/>
        </w:rPr>
        <w:t xml:space="preserve"> </w:t>
      </w:r>
      <w:r>
        <w:t>the</w:t>
      </w:r>
      <w:r>
        <w:rPr>
          <w:spacing w:val="37"/>
        </w:rPr>
        <w:t xml:space="preserve"> </w:t>
      </w:r>
      <w:r>
        <w:rPr>
          <w:spacing w:val="-1"/>
        </w:rPr>
        <w:t>glass</w:t>
      </w:r>
      <w:r>
        <w:rPr>
          <w:spacing w:val="35"/>
        </w:rPr>
        <w:t xml:space="preserve"> </w:t>
      </w:r>
      <w:r>
        <w:t>ceiling</w:t>
      </w:r>
      <w:r>
        <w:rPr>
          <w:spacing w:val="30"/>
        </w:rPr>
        <w:t xml:space="preserve"> </w:t>
      </w:r>
      <w:r>
        <w:rPr>
          <w:spacing w:val="-1"/>
        </w:rPr>
        <w:t>and</w:t>
      </w:r>
      <w:r>
        <w:rPr>
          <w:spacing w:val="45"/>
        </w:rPr>
        <w:t xml:space="preserve"> </w:t>
      </w:r>
      <w:r>
        <w:t>stuff</w:t>
      </w:r>
      <w:r>
        <w:rPr>
          <w:spacing w:val="-1"/>
        </w:rPr>
        <w:t xml:space="preserve"> </w:t>
      </w:r>
      <w:r>
        <w:t>like</w:t>
      </w:r>
      <w:r>
        <w:rPr>
          <w:spacing w:val="-1"/>
        </w:rPr>
        <w:t xml:space="preserve"> </w:t>
      </w:r>
      <w:r>
        <w:t>that</w:t>
      </w:r>
      <w:r>
        <w:rPr>
          <w:rFonts w:ascii="Times New Roman" w:hAnsi="Times New Roman" w:cs="Times New Roman"/>
        </w:rPr>
        <w:t xml:space="preserve">—it is </w:t>
      </w:r>
      <w:r>
        <w:rPr>
          <w:rFonts w:ascii="Times New Roman" w:hAnsi="Times New Roman" w:cs="Times New Roman"/>
          <w:spacing w:val="-1"/>
        </w:rPr>
        <w:t>set</w:t>
      </w:r>
      <w:r>
        <w:rPr>
          <w:rFonts w:ascii="Times New Roman" w:hAnsi="Times New Roman" w:cs="Times New Roman"/>
        </w:rPr>
        <w:t xml:space="preserve"> up to </w:t>
      </w:r>
      <w:r>
        <w:rPr>
          <w:rFonts w:ascii="Times New Roman" w:hAnsi="Times New Roman" w:cs="Times New Roman"/>
          <w:spacing w:val="-1"/>
        </w:rPr>
        <w:t>fail,</w:t>
      </w:r>
      <w:r>
        <w:rPr>
          <w:rFonts w:ascii="Times New Roman" w:hAnsi="Times New Roman" w:cs="Times New Roman"/>
        </w:rPr>
        <w:t xml:space="preserve"> isn’t </w:t>
      </w:r>
      <w:r>
        <w:rPr>
          <w:rFonts w:ascii="Times New Roman" w:hAnsi="Times New Roman" w:cs="Times New Roman"/>
          <w:spacing w:val="-1"/>
        </w:rPr>
        <w:t>it?</w:t>
      </w:r>
      <w:r w:rsidR="007A0061">
        <w:rPr>
          <w:rStyle w:val="FootnoteReference"/>
          <w:rFonts w:ascii="Times New Roman" w:hAnsi="Times New Roman" w:cs="Times New Roman"/>
          <w:spacing w:val="-1"/>
        </w:rPr>
        <w:footnoteReference w:id="94"/>
      </w:r>
    </w:p>
    <w:p w:rsidR="007235EF" w:rsidRDefault="00323080" w:rsidP="007235EF">
      <w:pPr>
        <w:pStyle w:val="Bodytext"/>
        <w:spacing w:before="16" w:line="260" w:lineRule="exact"/>
        <w:jc w:val="both"/>
      </w:pPr>
      <w:r>
        <w:t xml:space="preserve">Elected Body </w:t>
      </w:r>
      <w:r w:rsidR="007235EF">
        <w:t xml:space="preserve"> Member, Mr Brendan Church made similar comments: </w:t>
      </w:r>
    </w:p>
    <w:p w:rsidR="007235EF" w:rsidRDefault="007235EF" w:rsidP="007235EF">
      <w:pPr>
        <w:pStyle w:val="Quote"/>
      </w:pPr>
      <w:r>
        <w:t>I</w:t>
      </w:r>
      <w:r>
        <w:rPr>
          <w:spacing w:val="15"/>
        </w:rPr>
        <w:t xml:space="preserve"> </w:t>
      </w:r>
      <w:r>
        <w:t>think</w:t>
      </w:r>
      <w:r>
        <w:rPr>
          <w:spacing w:val="21"/>
        </w:rPr>
        <w:t xml:space="preserve"> </w:t>
      </w:r>
      <w:r>
        <w:t>there</w:t>
      </w:r>
      <w:r>
        <w:rPr>
          <w:spacing w:val="19"/>
        </w:rPr>
        <w:t xml:space="preserve"> </w:t>
      </w:r>
      <w:r>
        <w:t>is</w:t>
      </w:r>
      <w:r>
        <w:rPr>
          <w:spacing w:val="22"/>
        </w:rPr>
        <w:t xml:space="preserve"> </w:t>
      </w:r>
      <w:r>
        <w:t>a</w:t>
      </w:r>
      <w:r>
        <w:rPr>
          <w:spacing w:val="20"/>
        </w:rPr>
        <w:t xml:space="preserve"> </w:t>
      </w:r>
      <w:r>
        <w:t>lot</w:t>
      </w:r>
      <w:r>
        <w:rPr>
          <w:spacing w:val="22"/>
        </w:rPr>
        <w:t xml:space="preserve"> </w:t>
      </w:r>
      <w:r>
        <w:t>of</w:t>
      </w:r>
      <w:r>
        <w:rPr>
          <w:spacing w:val="20"/>
        </w:rPr>
        <w:t xml:space="preserve"> </w:t>
      </w:r>
      <w:r>
        <w:rPr>
          <w:spacing w:val="-1"/>
        </w:rPr>
        <w:t>indirect</w:t>
      </w:r>
      <w:r>
        <w:rPr>
          <w:spacing w:val="21"/>
        </w:rPr>
        <w:t xml:space="preserve"> </w:t>
      </w:r>
      <w:r>
        <w:t>racism</w:t>
      </w:r>
      <w:r>
        <w:rPr>
          <w:spacing w:val="22"/>
        </w:rPr>
        <w:t xml:space="preserve"> </w:t>
      </w:r>
      <w:r>
        <w:rPr>
          <w:spacing w:val="-1"/>
        </w:rPr>
        <w:t>going</w:t>
      </w:r>
      <w:r>
        <w:rPr>
          <w:spacing w:val="19"/>
        </w:rPr>
        <w:t xml:space="preserve"> </w:t>
      </w:r>
      <w:r>
        <w:t>on</w:t>
      </w:r>
      <w:r>
        <w:rPr>
          <w:spacing w:val="21"/>
        </w:rPr>
        <w:t xml:space="preserve"> </w:t>
      </w:r>
      <w:r>
        <w:rPr>
          <w:spacing w:val="-1"/>
        </w:rPr>
        <w:t>as</w:t>
      </w:r>
      <w:r>
        <w:rPr>
          <w:spacing w:val="21"/>
        </w:rPr>
        <w:t xml:space="preserve"> </w:t>
      </w:r>
      <w:r>
        <w:t>well.</w:t>
      </w:r>
      <w:r>
        <w:rPr>
          <w:spacing w:val="21"/>
        </w:rPr>
        <w:t xml:space="preserve"> </w:t>
      </w:r>
      <w:r>
        <w:rPr>
          <w:spacing w:val="-1"/>
        </w:rPr>
        <w:t>Racism</w:t>
      </w:r>
      <w:r>
        <w:rPr>
          <w:spacing w:val="22"/>
        </w:rPr>
        <w:t xml:space="preserve"> </w:t>
      </w:r>
      <w:r>
        <w:t>these</w:t>
      </w:r>
      <w:r>
        <w:rPr>
          <w:spacing w:val="42"/>
        </w:rPr>
        <w:t xml:space="preserve"> </w:t>
      </w:r>
      <w:r>
        <w:rPr>
          <w:spacing w:val="-1"/>
        </w:rPr>
        <w:t>days</w:t>
      </w:r>
      <w:r>
        <w:rPr>
          <w:spacing w:val="40"/>
        </w:rPr>
        <w:t xml:space="preserve"> </w:t>
      </w:r>
      <w:r>
        <w:t>is</w:t>
      </w:r>
      <w:r>
        <w:rPr>
          <w:spacing w:val="43"/>
        </w:rPr>
        <w:t xml:space="preserve"> </w:t>
      </w:r>
      <w:r>
        <w:t>generally</w:t>
      </w:r>
      <w:r>
        <w:rPr>
          <w:spacing w:val="35"/>
        </w:rPr>
        <w:t xml:space="preserve"> </w:t>
      </w:r>
      <w:r>
        <w:t>not</w:t>
      </w:r>
      <w:r>
        <w:rPr>
          <w:spacing w:val="41"/>
        </w:rPr>
        <w:t xml:space="preserve"> </w:t>
      </w:r>
      <w:r>
        <w:t>someone</w:t>
      </w:r>
      <w:r>
        <w:rPr>
          <w:spacing w:val="39"/>
        </w:rPr>
        <w:t xml:space="preserve"> </w:t>
      </w:r>
      <w:r>
        <w:t>calling</w:t>
      </w:r>
      <w:r>
        <w:rPr>
          <w:spacing w:val="38"/>
        </w:rPr>
        <w:t xml:space="preserve"> </w:t>
      </w:r>
      <w:r>
        <w:t>someone</w:t>
      </w:r>
      <w:r>
        <w:rPr>
          <w:spacing w:val="41"/>
        </w:rPr>
        <w:t xml:space="preserve"> </w:t>
      </w:r>
      <w:r>
        <w:t>a</w:t>
      </w:r>
      <w:r>
        <w:rPr>
          <w:spacing w:val="39"/>
        </w:rPr>
        <w:t xml:space="preserve"> </w:t>
      </w:r>
      <w:r>
        <w:t>derogatory</w:t>
      </w:r>
      <w:r>
        <w:rPr>
          <w:spacing w:val="35"/>
        </w:rPr>
        <w:t xml:space="preserve"> </w:t>
      </w:r>
      <w:r>
        <w:rPr>
          <w:spacing w:val="-1"/>
        </w:rPr>
        <w:t>name;</w:t>
      </w:r>
      <w:r>
        <w:rPr>
          <w:spacing w:val="40"/>
        </w:rPr>
        <w:t xml:space="preserve"> </w:t>
      </w:r>
      <w:r>
        <w:t>it</w:t>
      </w:r>
      <w:r>
        <w:rPr>
          <w:spacing w:val="41"/>
        </w:rPr>
        <w:t xml:space="preserve"> </w:t>
      </w:r>
      <w:r>
        <w:t>is</w:t>
      </w:r>
      <w:r>
        <w:rPr>
          <w:spacing w:val="41"/>
        </w:rPr>
        <w:t xml:space="preserve"> </w:t>
      </w:r>
      <w:r>
        <w:t>indirectly</w:t>
      </w:r>
      <w:r>
        <w:rPr>
          <w:spacing w:val="27"/>
        </w:rPr>
        <w:t xml:space="preserve"> </w:t>
      </w:r>
      <w:r>
        <w:t>making</w:t>
      </w:r>
      <w:r>
        <w:rPr>
          <w:spacing w:val="35"/>
        </w:rPr>
        <w:t xml:space="preserve"> </w:t>
      </w:r>
      <w:r>
        <w:rPr>
          <w:spacing w:val="-1"/>
        </w:rPr>
        <w:t>comments</w:t>
      </w:r>
      <w:r>
        <w:rPr>
          <w:spacing w:val="41"/>
        </w:rPr>
        <w:t xml:space="preserve"> </w:t>
      </w:r>
      <w:r>
        <w:t>around</w:t>
      </w:r>
      <w:r>
        <w:rPr>
          <w:spacing w:val="38"/>
        </w:rPr>
        <w:t xml:space="preserve"> </w:t>
      </w:r>
      <w:r>
        <w:t>a</w:t>
      </w:r>
      <w:r>
        <w:rPr>
          <w:spacing w:val="37"/>
        </w:rPr>
        <w:t xml:space="preserve"> </w:t>
      </w:r>
      <w:r>
        <w:rPr>
          <w:spacing w:val="-1"/>
        </w:rPr>
        <w:t>person.</w:t>
      </w:r>
      <w:r>
        <w:rPr>
          <w:spacing w:val="42"/>
        </w:rPr>
        <w:t xml:space="preserve"> </w:t>
      </w:r>
      <w:r>
        <w:t>I</w:t>
      </w:r>
      <w:r>
        <w:rPr>
          <w:spacing w:val="35"/>
        </w:rPr>
        <w:t xml:space="preserve"> </w:t>
      </w:r>
      <w:r>
        <w:t>would</w:t>
      </w:r>
      <w:r>
        <w:rPr>
          <w:spacing w:val="38"/>
        </w:rPr>
        <w:t xml:space="preserve"> </w:t>
      </w:r>
      <w:r>
        <w:t>argue</w:t>
      </w:r>
      <w:r>
        <w:rPr>
          <w:spacing w:val="37"/>
        </w:rPr>
        <w:t xml:space="preserve"> </w:t>
      </w:r>
      <w:r>
        <w:t>that</w:t>
      </w:r>
      <w:r>
        <w:rPr>
          <w:spacing w:val="38"/>
        </w:rPr>
        <w:t xml:space="preserve"> </w:t>
      </w:r>
      <w:r>
        <w:rPr>
          <w:spacing w:val="-1"/>
        </w:rPr>
        <w:t>racism</w:t>
      </w:r>
      <w:r>
        <w:rPr>
          <w:spacing w:val="39"/>
        </w:rPr>
        <w:t xml:space="preserve"> </w:t>
      </w:r>
      <w:r>
        <w:t>in</w:t>
      </w:r>
      <w:r>
        <w:rPr>
          <w:spacing w:val="38"/>
        </w:rPr>
        <w:t xml:space="preserve"> </w:t>
      </w:r>
      <w:r>
        <w:t>the</w:t>
      </w:r>
      <w:r>
        <w:rPr>
          <w:spacing w:val="37"/>
        </w:rPr>
        <w:t xml:space="preserve"> </w:t>
      </w:r>
      <w:r>
        <w:rPr>
          <w:spacing w:val="-1"/>
        </w:rPr>
        <w:t>workplace</w:t>
      </w:r>
      <w:r>
        <w:rPr>
          <w:spacing w:val="37"/>
        </w:rPr>
        <w:t xml:space="preserve"> </w:t>
      </w:r>
      <w:r>
        <w:t>is</w:t>
      </w:r>
      <w:r>
        <w:rPr>
          <w:spacing w:val="49"/>
        </w:rPr>
        <w:t xml:space="preserve"> </w:t>
      </w:r>
      <w:r>
        <w:rPr>
          <w:spacing w:val="-1"/>
        </w:rPr>
        <w:t>giving</w:t>
      </w:r>
      <w:r>
        <w:rPr>
          <w:spacing w:val="16"/>
        </w:rPr>
        <w:t xml:space="preserve"> </w:t>
      </w:r>
      <w:r>
        <w:t>a</w:t>
      </w:r>
      <w:r>
        <w:rPr>
          <w:spacing w:val="18"/>
        </w:rPr>
        <w:t xml:space="preserve"> </w:t>
      </w:r>
      <w:r>
        <w:rPr>
          <w:spacing w:val="-1"/>
        </w:rPr>
        <w:t>trainee</w:t>
      </w:r>
      <w:r>
        <w:rPr>
          <w:spacing w:val="17"/>
        </w:rPr>
        <w:t xml:space="preserve"> </w:t>
      </w:r>
      <w:r>
        <w:t>a</w:t>
      </w:r>
      <w:r>
        <w:rPr>
          <w:spacing w:val="18"/>
        </w:rPr>
        <w:t xml:space="preserve"> </w:t>
      </w:r>
      <w:r>
        <w:rPr>
          <w:spacing w:val="-1"/>
        </w:rPr>
        <w:t>non-meaningful</w:t>
      </w:r>
      <w:r>
        <w:rPr>
          <w:spacing w:val="18"/>
        </w:rPr>
        <w:t xml:space="preserve"> </w:t>
      </w:r>
      <w:r>
        <w:t>job</w:t>
      </w:r>
      <w:r>
        <w:rPr>
          <w:spacing w:val="19"/>
        </w:rPr>
        <w:t xml:space="preserve"> </w:t>
      </w:r>
      <w:r>
        <w:rPr>
          <w:spacing w:val="-1"/>
        </w:rPr>
        <w:t>and</w:t>
      </w:r>
      <w:r>
        <w:rPr>
          <w:spacing w:val="18"/>
        </w:rPr>
        <w:t xml:space="preserve"> </w:t>
      </w:r>
      <w:r>
        <w:t>just</w:t>
      </w:r>
      <w:r>
        <w:rPr>
          <w:spacing w:val="19"/>
        </w:rPr>
        <w:t xml:space="preserve"> </w:t>
      </w:r>
      <w:r>
        <w:rPr>
          <w:spacing w:val="-1"/>
        </w:rPr>
        <w:t>getting</w:t>
      </w:r>
      <w:r>
        <w:rPr>
          <w:spacing w:val="17"/>
        </w:rPr>
        <w:t xml:space="preserve"> </w:t>
      </w:r>
      <w:r>
        <w:t>them</w:t>
      </w:r>
      <w:r>
        <w:rPr>
          <w:spacing w:val="19"/>
        </w:rPr>
        <w:t xml:space="preserve"> </w:t>
      </w:r>
      <w:r>
        <w:t>to</w:t>
      </w:r>
      <w:r>
        <w:rPr>
          <w:spacing w:val="19"/>
        </w:rPr>
        <w:t xml:space="preserve"> </w:t>
      </w:r>
      <w:r>
        <w:t>do</w:t>
      </w:r>
      <w:r>
        <w:rPr>
          <w:spacing w:val="16"/>
        </w:rPr>
        <w:t xml:space="preserve"> </w:t>
      </w:r>
      <w:r>
        <w:t>the</w:t>
      </w:r>
      <w:r>
        <w:rPr>
          <w:spacing w:val="18"/>
        </w:rPr>
        <w:t xml:space="preserve"> </w:t>
      </w:r>
      <w:r>
        <w:rPr>
          <w:spacing w:val="-1"/>
        </w:rPr>
        <w:t>filing,</w:t>
      </w:r>
      <w:r>
        <w:rPr>
          <w:spacing w:val="18"/>
        </w:rPr>
        <w:t xml:space="preserve"> </w:t>
      </w:r>
      <w:r>
        <w:t>packing</w:t>
      </w:r>
      <w:r>
        <w:rPr>
          <w:spacing w:val="65"/>
        </w:rPr>
        <w:t xml:space="preserve"> </w:t>
      </w:r>
      <w:r>
        <w:t>the</w:t>
      </w:r>
      <w:r>
        <w:rPr>
          <w:spacing w:val="11"/>
        </w:rPr>
        <w:t xml:space="preserve"> </w:t>
      </w:r>
      <w:r>
        <w:rPr>
          <w:spacing w:val="-1"/>
        </w:rPr>
        <w:t>papers</w:t>
      </w:r>
      <w:r>
        <w:rPr>
          <w:spacing w:val="11"/>
        </w:rPr>
        <w:t xml:space="preserve"> </w:t>
      </w:r>
      <w:r>
        <w:t>away</w:t>
      </w:r>
      <w:r>
        <w:rPr>
          <w:spacing w:val="6"/>
        </w:rPr>
        <w:t xml:space="preserve"> </w:t>
      </w:r>
      <w:r>
        <w:rPr>
          <w:spacing w:val="-1"/>
        </w:rPr>
        <w:t>and</w:t>
      </w:r>
      <w:r>
        <w:rPr>
          <w:spacing w:val="11"/>
        </w:rPr>
        <w:t xml:space="preserve"> </w:t>
      </w:r>
      <w:r>
        <w:t>doing</w:t>
      </w:r>
      <w:r>
        <w:rPr>
          <w:spacing w:val="9"/>
        </w:rPr>
        <w:t xml:space="preserve"> </w:t>
      </w:r>
      <w:r>
        <w:t>the</w:t>
      </w:r>
      <w:r>
        <w:rPr>
          <w:spacing w:val="11"/>
        </w:rPr>
        <w:t xml:space="preserve"> </w:t>
      </w:r>
      <w:r>
        <w:rPr>
          <w:spacing w:val="-1"/>
        </w:rPr>
        <w:t>photocopying.</w:t>
      </w:r>
      <w:r>
        <w:rPr>
          <w:spacing w:val="11"/>
        </w:rPr>
        <w:t xml:space="preserve"> </w:t>
      </w:r>
      <w:r>
        <w:t>To</w:t>
      </w:r>
      <w:r>
        <w:rPr>
          <w:spacing w:val="11"/>
        </w:rPr>
        <w:t xml:space="preserve"> </w:t>
      </w:r>
      <w:r>
        <w:t>me,</w:t>
      </w:r>
      <w:r>
        <w:rPr>
          <w:spacing w:val="11"/>
        </w:rPr>
        <w:t xml:space="preserve"> </w:t>
      </w:r>
      <w:r>
        <w:t>that</w:t>
      </w:r>
      <w:r>
        <w:rPr>
          <w:spacing w:val="11"/>
        </w:rPr>
        <w:t xml:space="preserve"> </w:t>
      </w:r>
      <w:r>
        <w:t>is</w:t>
      </w:r>
      <w:r>
        <w:rPr>
          <w:spacing w:val="12"/>
        </w:rPr>
        <w:t xml:space="preserve"> </w:t>
      </w:r>
      <w:r>
        <w:rPr>
          <w:spacing w:val="-1"/>
        </w:rPr>
        <w:t>saying</w:t>
      </w:r>
      <w:r>
        <w:rPr>
          <w:spacing w:val="9"/>
        </w:rPr>
        <w:t xml:space="preserve"> </w:t>
      </w:r>
      <w:r>
        <w:t>that</w:t>
      </w:r>
      <w:r>
        <w:rPr>
          <w:spacing w:val="11"/>
        </w:rPr>
        <w:t xml:space="preserve"> </w:t>
      </w:r>
      <w:r>
        <w:t>that</w:t>
      </w:r>
      <w:r>
        <w:rPr>
          <w:spacing w:val="11"/>
        </w:rPr>
        <w:t xml:space="preserve"> </w:t>
      </w:r>
      <w:r>
        <w:t>is</w:t>
      </w:r>
      <w:r>
        <w:rPr>
          <w:spacing w:val="12"/>
        </w:rPr>
        <w:t xml:space="preserve"> </w:t>
      </w:r>
      <w:r>
        <w:rPr>
          <w:spacing w:val="-1"/>
        </w:rPr>
        <w:t>all</w:t>
      </w:r>
      <w:r>
        <w:rPr>
          <w:spacing w:val="12"/>
        </w:rPr>
        <w:t xml:space="preserve"> </w:t>
      </w:r>
      <w:r>
        <w:t>the</w:t>
      </w:r>
      <w:r>
        <w:rPr>
          <w:spacing w:val="46"/>
        </w:rPr>
        <w:t xml:space="preserve"> </w:t>
      </w:r>
      <w:r>
        <w:rPr>
          <w:spacing w:val="-1"/>
        </w:rPr>
        <w:t>manager</w:t>
      </w:r>
      <w:r>
        <w:rPr>
          <w:spacing w:val="3"/>
        </w:rPr>
        <w:t xml:space="preserve"> </w:t>
      </w:r>
      <w:r>
        <w:t>or</w:t>
      </w:r>
      <w:r>
        <w:rPr>
          <w:spacing w:val="3"/>
        </w:rPr>
        <w:t xml:space="preserve"> </w:t>
      </w:r>
      <w:r>
        <w:t>the</w:t>
      </w:r>
      <w:r>
        <w:rPr>
          <w:spacing w:val="4"/>
        </w:rPr>
        <w:t xml:space="preserve"> </w:t>
      </w:r>
      <w:r>
        <w:t>supervisor</w:t>
      </w:r>
      <w:r>
        <w:rPr>
          <w:spacing w:val="3"/>
        </w:rPr>
        <w:t xml:space="preserve"> </w:t>
      </w:r>
      <w:r>
        <w:t>thinks</w:t>
      </w:r>
      <w:r>
        <w:rPr>
          <w:spacing w:val="4"/>
        </w:rPr>
        <w:t xml:space="preserve"> </w:t>
      </w:r>
      <w:r>
        <w:t>that</w:t>
      </w:r>
      <w:r>
        <w:rPr>
          <w:spacing w:val="4"/>
        </w:rPr>
        <w:t xml:space="preserve"> </w:t>
      </w:r>
      <w:r>
        <w:rPr>
          <w:spacing w:val="-1"/>
        </w:rPr>
        <w:t>person</w:t>
      </w:r>
      <w:r>
        <w:rPr>
          <w:spacing w:val="4"/>
        </w:rPr>
        <w:t xml:space="preserve"> </w:t>
      </w:r>
      <w:r>
        <w:t>is</w:t>
      </w:r>
      <w:r>
        <w:rPr>
          <w:spacing w:val="5"/>
        </w:rPr>
        <w:t xml:space="preserve"> </w:t>
      </w:r>
      <w:r>
        <w:rPr>
          <w:spacing w:val="-1"/>
        </w:rPr>
        <w:t>capable</w:t>
      </w:r>
      <w:r>
        <w:rPr>
          <w:spacing w:val="4"/>
        </w:rPr>
        <w:t xml:space="preserve"> </w:t>
      </w:r>
      <w:r>
        <w:t>of</w:t>
      </w:r>
      <w:r>
        <w:rPr>
          <w:spacing w:val="3"/>
        </w:rPr>
        <w:t xml:space="preserve"> </w:t>
      </w:r>
      <w:r>
        <w:t>doing</w:t>
      </w:r>
      <w:r>
        <w:rPr>
          <w:spacing w:val="2"/>
        </w:rPr>
        <w:t xml:space="preserve"> </w:t>
      </w:r>
      <w:r>
        <w:rPr>
          <w:spacing w:val="-1"/>
        </w:rPr>
        <w:t>whereas,</w:t>
      </w:r>
      <w:r>
        <w:rPr>
          <w:spacing w:val="4"/>
        </w:rPr>
        <w:t xml:space="preserve"> </w:t>
      </w:r>
      <w:r>
        <w:t>in</w:t>
      </w:r>
      <w:r>
        <w:rPr>
          <w:spacing w:val="5"/>
        </w:rPr>
        <w:t xml:space="preserve"> </w:t>
      </w:r>
      <w:r>
        <w:rPr>
          <w:spacing w:val="-1"/>
        </w:rPr>
        <w:t>fact,</w:t>
      </w:r>
      <w:r>
        <w:rPr>
          <w:spacing w:val="5"/>
        </w:rPr>
        <w:t xml:space="preserve"> </w:t>
      </w:r>
      <w:r>
        <w:rPr>
          <w:spacing w:val="1"/>
        </w:rPr>
        <w:t>they</w:t>
      </w:r>
      <w:r>
        <w:rPr>
          <w:spacing w:val="49"/>
        </w:rPr>
        <w:t xml:space="preserve"> </w:t>
      </w:r>
      <w:r>
        <w:rPr>
          <w:spacing w:val="-1"/>
        </w:rPr>
        <w:t>are</w:t>
      </w:r>
      <w:r>
        <w:rPr>
          <w:spacing w:val="-2"/>
        </w:rPr>
        <w:t xml:space="preserve"> </w:t>
      </w:r>
      <w:r>
        <w:t>actually</w:t>
      </w:r>
      <w:r>
        <w:rPr>
          <w:spacing w:val="-5"/>
        </w:rPr>
        <w:t xml:space="preserve"> </w:t>
      </w:r>
      <w:r>
        <w:rPr>
          <w:spacing w:val="-1"/>
        </w:rPr>
        <w:t>capable</w:t>
      </w:r>
      <w:r>
        <w:t xml:space="preserve"> of</w:t>
      </w:r>
      <w:r>
        <w:rPr>
          <w:spacing w:val="-2"/>
        </w:rPr>
        <w:t xml:space="preserve"> </w:t>
      </w:r>
      <w:r>
        <w:t>doing</w:t>
      </w:r>
      <w:r>
        <w:rPr>
          <w:spacing w:val="-2"/>
        </w:rPr>
        <w:t xml:space="preserve"> </w:t>
      </w:r>
      <w:r>
        <w:rPr>
          <w:spacing w:val="-1"/>
        </w:rPr>
        <w:t>work</w:t>
      </w:r>
      <w:r>
        <w:rPr>
          <w:spacing w:val="2"/>
        </w:rPr>
        <w:t xml:space="preserve"> </w:t>
      </w:r>
      <w:r>
        <w:rPr>
          <w:spacing w:val="-1"/>
        </w:rPr>
        <w:t>at</w:t>
      </w:r>
      <w:r>
        <w:t xml:space="preserve"> a </w:t>
      </w:r>
      <w:r>
        <w:rPr>
          <w:spacing w:val="-1"/>
        </w:rPr>
        <w:t>much</w:t>
      </w:r>
      <w:r>
        <w:t xml:space="preserve"> higher level.</w:t>
      </w:r>
      <w:r>
        <w:rPr>
          <w:rStyle w:val="FootnoteReference"/>
        </w:rPr>
        <w:footnoteReference w:id="95"/>
      </w:r>
    </w:p>
    <w:p w:rsidR="00D3357C" w:rsidRDefault="00D3357C" w:rsidP="007A0061">
      <w:pPr>
        <w:pStyle w:val="Bodytext"/>
        <w:spacing w:before="16" w:line="260" w:lineRule="exact"/>
      </w:pPr>
      <w:r>
        <w:t xml:space="preserve">The Committee notes that in the ACTPS there are complaint processes in relation to racism and bullying. </w:t>
      </w:r>
    </w:p>
    <w:p w:rsidR="007235EF" w:rsidRDefault="00D3357C" w:rsidP="001B6F2C">
      <w:pPr>
        <w:pStyle w:val="Bodytext"/>
        <w:spacing w:after="240" w:line="276" w:lineRule="auto"/>
      </w:pPr>
      <w:r>
        <w:t xml:space="preserve">The Committee was interested to hear evidence about research undertaken </w:t>
      </w:r>
      <w:r w:rsidR="007235EF">
        <w:t>by WISeR in relation the South Australian public sector</w:t>
      </w:r>
      <w:r>
        <w:t xml:space="preserve">.  It </w:t>
      </w:r>
      <w:r w:rsidR="007235EF">
        <w:t xml:space="preserve">highlighted the important role for managers in </w:t>
      </w:r>
      <w:r w:rsidR="007235EF" w:rsidRPr="003B7E52">
        <w:t xml:space="preserve">promoting </w:t>
      </w:r>
      <w:r w:rsidR="007235EF">
        <w:t>a</w:t>
      </w:r>
      <w:r w:rsidR="007235EF" w:rsidRPr="003B7E52">
        <w:t xml:space="preserve"> </w:t>
      </w:r>
      <w:r w:rsidR="007235EF">
        <w:t>culturally</w:t>
      </w:r>
      <w:r w:rsidR="007235EF" w:rsidRPr="003B7E52">
        <w:t xml:space="preserve"> secure and </w:t>
      </w:r>
      <w:r w:rsidR="007235EF">
        <w:t>safe</w:t>
      </w:r>
      <w:r w:rsidR="007235EF" w:rsidRPr="003B7E52">
        <w:t xml:space="preserve"> work </w:t>
      </w:r>
      <w:r w:rsidR="007235EF">
        <w:t>environment</w:t>
      </w:r>
      <w:r w:rsidR="007235EF" w:rsidRPr="003B7E52">
        <w:t xml:space="preserve"> </w:t>
      </w:r>
      <w:r w:rsidR="007235EF">
        <w:t>that</w:t>
      </w:r>
      <w:r w:rsidR="007235EF" w:rsidRPr="003B7E52">
        <w:t xml:space="preserve"> actively </w:t>
      </w:r>
      <w:r w:rsidR="007235EF">
        <w:t>discourages</w:t>
      </w:r>
      <w:r w:rsidR="007235EF" w:rsidRPr="003B7E52">
        <w:t xml:space="preserve"> bullying, racism </w:t>
      </w:r>
      <w:r w:rsidR="007235EF">
        <w:t>and</w:t>
      </w:r>
      <w:r w:rsidR="007235EF" w:rsidRPr="003B7E52">
        <w:t xml:space="preserve"> </w:t>
      </w:r>
      <w:r w:rsidR="007235EF">
        <w:t xml:space="preserve">discrimination. </w:t>
      </w:r>
      <w:r w:rsidR="001B6F2C">
        <w:t xml:space="preserve"> </w:t>
      </w:r>
      <w:r w:rsidR="007235EF">
        <w:t>W</w:t>
      </w:r>
      <w:r w:rsidR="00BE50B9">
        <w:t>I</w:t>
      </w:r>
      <w:r w:rsidR="007235EF">
        <w:t xml:space="preserve">SeR Deputy Director, Dr Kate Barnett, said WISeR had recommended training for managers to enhance their cultural competence and included strategies to encourage the reporting of racism and discrimination.  </w:t>
      </w:r>
    </w:p>
    <w:p w:rsidR="007235EF" w:rsidRDefault="007235EF" w:rsidP="007A0061">
      <w:pPr>
        <w:pStyle w:val="Bodytext"/>
        <w:spacing w:line="260" w:lineRule="exact"/>
        <w:jc w:val="both"/>
      </w:pPr>
      <w:r>
        <w:t>Dr Barnett was asked about the level of reporting of racism and bullying in the South Australian public sector.  She answered said there was probably underreporting:</w:t>
      </w:r>
    </w:p>
    <w:p w:rsidR="007235EF" w:rsidRDefault="007235EF" w:rsidP="007235EF">
      <w:pPr>
        <w:pStyle w:val="Quote"/>
      </w:pPr>
      <w:r w:rsidRPr="007A0061">
        <w:t>What</w:t>
      </w:r>
      <w:r w:rsidRPr="007A0061">
        <w:rPr>
          <w:spacing w:val="24"/>
        </w:rPr>
        <w:t xml:space="preserve"> </w:t>
      </w:r>
      <w:r w:rsidRPr="007A0061">
        <w:rPr>
          <w:spacing w:val="-1"/>
        </w:rPr>
        <w:t>people</w:t>
      </w:r>
      <w:r w:rsidRPr="007A0061">
        <w:rPr>
          <w:spacing w:val="61"/>
        </w:rPr>
        <w:t xml:space="preserve"> </w:t>
      </w:r>
      <w:r w:rsidRPr="007A0061">
        <w:t xml:space="preserve">made </w:t>
      </w:r>
      <w:r w:rsidRPr="007A0061">
        <w:rPr>
          <w:spacing w:val="1"/>
        </w:rPr>
        <w:t>very</w:t>
      </w:r>
      <w:r w:rsidRPr="007A0061">
        <w:rPr>
          <w:spacing w:val="57"/>
        </w:rPr>
        <w:t xml:space="preserve"> </w:t>
      </w:r>
      <w:r w:rsidRPr="007A0061">
        <w:rPr>
          <w:spacing w:val="-1"/>
        </w:rPr>
        <w:t>clear</w:t>
      </w:r>
      <w:r w:rsidRPr="007A0061">
        <w:rPr>
          <w:spacing w:val="3"/>
        </w:rPr>
        <w:t xml:space="preserve"> </w:t>
      </w:r>
      <w:r w:rsidRPr="007A0061">
        <w:t>to</w:t>
      </w:r>
      <w:r w:rsidRPr="007A0061">
        <w:rPr>
          <w:spacing w:val="2"/>
        </w:rPr>
        <w:t xml:space="preserve"> </w:t>
      </w:r>
      <w:r w:rsidRPr="007A0061">
        <w:t>us</w:t>
      </w:r>
      <w:r w:rsidRPr="007A0061">
        <w:rPr>
          <w:spacing w:val="4"/>
        </w:rPr>
        <w:t xml:space="preserve"> </w:t>
      </w:r>
      <w:r w:rsidRPr="007A0061">
        <w:rPr>
          <w:spacing w:val="-1"/>
        </w:rPr>
        <w:t>was</w:t>
      </w:r>
      <w:r w:rsidRPr="007A0061">
        <w:rPr>
          <w:spacing w:val="2"/>
        </w:rPr>
        <w:t xml:space="preserve"> </w:t>
      </w:r>
      <w:r w:rsidRPr="007A0061">
        <w:t>reluctance</w:t>
      </w:r>
      <w:r w:rsidRPr="007A0061">
        <w:rPr>
          <w:spacing w:val="1"/>
        </w:rPr>
        <w:t xml:space="preserve"> </w:t>
      </w:r>
      <w:r w:rsidRPr="007A0061">
        <w:t>to</w:t>
      </w:r>
      <w:r w:rsidRPr="007A0061">
        <w:rPr>
          <w:spacing w:val="5"/>
        </w:rPr>
        <w:t xml:space="preserve"> </w:t>
      </w:r>
      <w:r w:rsidRPr="007A0061">
        <w:rPr>
          <w:spacing w:val="-1"/>
        </w:rPr>
        <w:t>report,</w:t>
      </w:r>
      <w:r w:rsidRPr="007A0061">
        <w:rPr>
          <w:spacing w:val="2"/>
        </w:rPr>
        <w:t xml:space="preserve"> </w:t>
      </w:r>
      <w:r w:rsidRPr="007A0061">
        <w:rPr>
          <w:spacing w:val="-1"/>
        </w:rPr>
        <w:t>lack</w:t>
      </w:r>
      <w:r w:rsidRPr="007A0061">
        <w:rPr>
          <w:spacing w:val="2"/>
        </w:rPr>
        <w:t xml:space="preserve"> </w:t>
      </w:r>
      <w:r w:rsidRPr="007A0061">
        <w:t>of</w:t>
      </w:r>
      <w:r w:rsidRPr="007A0061">
        <w:rPr>
          <w:spacing w:val="3"/>
        </w:rPr>
        <w:t xml:space="preserve"> </w:t>
      </w:r>
      <w:r w:rsidRPr="007A0061">
        <w:rPr>
          <w:spacing w:val="-1"/>
        </w:rPr>
        <w:t>confidence</w:t>
      </w:r>
      <w:r w:rsidRPr="007A0061">
        <w:rPr>
          <w:spacing w:val="3"/>
        </w:rPr>
        <w:t xml:space="preserve"> </w:t>
      </w:r>
      <w:r w:rsidRPr="007A0061">
        <w:rPr>
          <w:spacing w:val="1"/>
        </w:rPr>
        <w:t>in</w:t>
      </w:r>
      <w:r w:rsidRPr="007A0061">
        <w:rPr>
          <w:spacing w:val="2"/>
        </w:rPr>
        <w:t xml:space="preserve"> </w:t>
      </w:r>
      <w:r w:rsidRPr="007A0061">
        <w:t>reporting</w:t>
      </w:r>
      <w:r w:rsidRPr="007A0061">
        <w:rPr>
          <w:spacing w:val="42"/>
        </w:rPr>
        <w:t xml:space="preserve"> </w:t>
      </w:r>
      <w:r w:rsidRPr="007A0061">
        <w:rPr>
          <w:spacing w:val="-1"/>
        </w:rPr>
        <w:t>processes</w:t>
      </w:r>
      <w:r w:rsidRPr="007A0061">
        <w:rPr>
          <w:spacing w:val="21"/>
        </w:rPr>
        <w:t xml:space="preserve"> </w:t>
      </w:r>
      <w:r w:rsidRPr="007A0061">
        <w:rPr>
          <w:spacing w:val="-1"/>
        </w:rPr>
        <w:t>and</w:t>
      </w:r>
      <w:r w:rsidRPr="007A0061">
        <w:rPr>
          <w:spacing w:val="21"/>
        </w:rPr>
        <w:t xml:space="preserve"> </w:t>
      </w:r>
      <w:r w:rsidRPr="007A0061">
        <w:rPr>
          <w:spacing w:val="-1"/>
        </w:rPr>
        <w:t>fear</w:t>
      </w:r>
      <w:r w:rsidRPr="007A0061">
        <w:rPr>
          <w:spacing w:val="20"/>
        </w:rPr>
        <w:t xml:space="preserve"> </w:t>
      </w:r>
      <w:r w:rsidRPr="007A0061">
        <w:t>that</w:t>
      </w:r>
      <w:r w:rsidRPr="007A0061">
        <w:rPr>
          <w:spacing w:val="21"/>
        </w:rPr>
        <w:t xml:space="preserve"> </w:t>
      </w:r>
      <w:r w:rsidRPr="007A0061">
        <w:t>reporting</w:t>
      </w:r>
      <w:r w:rsidRPr="007A0061">
        <w:rPr>
          <w:spacing w:val="19"/>
        </w:rPr>
        <w:t xml:space="preserve"> </w:t>
      </w:r>
      <w:r w:rsidRPr="007A0061">
        <w:t>would</w:t>
      </w:r>
      <w:r w:rsidRPr="007A0061">
        <w:rPr>
          <w:spacing w:val="21"/>
        </w:rPr>
        <w:t xml:space="preserve"> </w:t>
      </w:r>
      <w:r w:rsidRPr="007A0061">
        <w:rPr>
          <w:spacing w:val="-1"/>
        </w:rPr>
        <w:t>lead</w:t>
      </w:r>
      <w:r w:rsidRPr="007A0061">
        <w:rPr>
          <w:spacing w:val="21"/>
        </w:rPr>
        <w:t xml:space="preserve"> </w:t>
      </w:r>
      <w:r w:rsidRPr="007A0061">
        <w:t>to</w:t>
      </w:r>
      <w:r w:rsidRPr="007A0061">
        <w:rPr>
          <w:spacing w:val="21"/>
        </w:rPr>
        <w:t xml:space="preserve"> </w:t>
      </w:r>
      <w:r w:rsidRPr="007A0061">
        <w:rPr>
          <w:spacing w:val="-1"/>
        </w:rPr>
        <w:t>further</w:t>
      </w:r>
      <w:r w:rsidRPr="007A0061">
        <w:rPr>
          <w:spacing w:val="20"/>
        </w:rPr>
        <w:t xml:space="preserve"> </w:t>
      </w:r>
      <w:r w:rsidRPr="007A0061">
        <w:t>intimidation.</w:t>
      </w:r>
      <w:r w:rsidRPr="007A0061">
        <w:rPr>
          <w:spacing w:val="21"/>
        </w:rPr>
        <w:t xml:space="preserve"> </w:t>
      </w:r>
      <w:r w:rsidRPr="007A0061">
        <w:t>To</w:t>
      </w:r>
      <w:r w:rsidRPr="007A0061">
        <w:rPr>
          <w:spacing w:val="21"/>
        </w:rPr>
        <w:t xml:space="preserve"> </w:t>
      </w:r>
      <w:r w:rsidRPr="007A0061">
        <w:rPr>
          <w:spacing w:val="-2"/>
        </w:rPr>
        <w:t>be</w:t>
      </w:r>
      <w:r w:rsidRPr="007A0061">
        <w:rPr>
          <w:spacing w:val="20"/>
        </w:rPr>
        <w:t xml:space="preserve"> </w:t>
      </w:r>
      <w:r w:rsidRPr="007A0061">
        <w:rPr>
          <w:spacing w:val="-1"/>
        </w:rPr>
        <w:t>fair,</w:t>
      </w:r>
      <w:r w:rsidRPr="007A0061">
        <w:rPr>
          <w:spacing w:val="21"/>
        </w:rPr>
        <w:t xml:space="preserve"> </w:t>
      </w:r>
      <w:r w:rsidRPr="007A0061">
        <w:t>with</w:t>
      </w:r>
      <w:r w:rsidRPr="007A0061">
        <w:rPr>
          <w:spacing w:val="45"/>
        </w:rPr>
        <w:t xml:space="preserve"> </w:t>
      </w:r>
      <w:r w:rsidRPr="007A0061">
        <w:t>the</w:t>
      </w:r>
      <w:r w:rsidRPr="007A0061">
        <w:rPr>
          <w:spacing w:val="1"/>
        </w:rPr>
        <w:t xml:space="preserve"> </w:t>
      </w:r>
      <w:r w:rsidRPr="007A0061">
        <w:t>other</w:t>
      </w:r>
      <w:r w:rsidRPr="007A0061">
        <w:rPr>
          <w:spacing w:val="3"/>
        </w:rPr>
        <w:t xml:space="preserve"> </w:t>
      </w:r>
      <w:r w:rsidRPr="007A0061">
        <w:rPr>
          <w:spacing w:val="-1"/>
        </w:rPr>
        <w:t>workforce</w:t>
      </w:r>
      <w:r w:rsidRPr="007A0061">
        <w:rPr>
          <w:spacing w:val="4"/>
        </w:rPr>
        <w:t xml:space="preserve"> </w:t>
      </w:r>
      <w:r w:rsidRPr="007A0061">
        <w:rPr>
          <w:spacing w:val="-1"/>
        </w:rPr>
        <w:t>surveys</w:t>
      </w:r>
      <w:r w:rsidRPr="007A0061">
        <w:rPr>
          <w:spacing w:val="4"/>
        </w:rPr>
        <w:t xml:space="preserve"> </w:t>
      </w:r>
      <w:r w:rsidRPr="007A0061">
        <w:t>that</w:t>
      </w:r>
      <w:r w:rsidRPr="007A0061">
        <w:rPr>
          <w:spacing w:val="2"/>
        </w:rPr>
        <w:t xml:space="preserve"> my</w:t>
      </w:r>
      <w:r w:rsidRPr="007A0061">
        <w:rPr>
          <w:spacing w:val="-3"/>
        </w:rPr>
        <w:t xml:space="preserve"> </w:t>
      </w:r>
      <w:r w:rsidRPr="007A0061">
        <w:t>unit</w:t>
      </w:r>
      <w:r w:rsidRPr="007A0061">
        <w:rPr>
          <w:spacing w:val="2"/>
        </w:rPr>
        <w:t xml:space="preserve"> </w:t>
      </w:r>
      <w:r w:rsidRPr="007A0061">
        <w:rPr>
          <w:spacing w:val="-1"/>
        </w:rPr>
        <w:t>does,</w:t>
      </w:r>
      <w:r w:rsidRPr="007A0061">
        <w:rPr>
          <w:spacing w:val="4"/>
        </w:rPr>
        <w:t xml:space="preserve"> </w:t>
      </w:r>
      <w:r w:rsidRPr="007A0061">
        <w:t>we</w:t>
      </w:r>
      <w:r w:rsidRPr="007A0061">
        <w:rPr>
          <w:spacing w:val="2"/>
        </w:rPr>
        <w:t xml:space="preserve"> </w:t>
      </w:r>
      <w:r w:rsidRPr="007A0061">
        <w:t>find</w:t>
      </w:r>
      <w:r w:rsidRPr="007A0061">
        <w:rPr>
          <w:spacing w:val="1"/>
        </w:rPr>
        <w:t xml:space="preserve"> </w:t>
      </w:r>
      <w:r w:rsidRPr="007A0061">
        <w:t>the</w:t>
      </w:r>
      <w:r w:rsidRPr="007A0061">
        <w:rPr>
          <w:spacing w:val="1"/>
        </w:rPr>
        <w:t xml:space="preserve"> </w:t>
      </w:r>
      <w:r w:rsidRPr="007A0061">
        <w:t>same</w:t>
      </w:r>
      <w:r w:rsidRPr="007A0061">
        <w:rPr>
          <w:spacing w:val="1"/>
        </w:rPr>
        <w:t xml:space="preserve"> </w:t>
      </w:r>
      <w:r w:rsidRPr="007A0061">
        <w:t>thing</w:t>
      </w:r>
      <w:r w:rsidRPr="007A0061">
        <w:rPr>
          <w:spacing w:val="2"/>
        </w:rPr>
        <w:t xml:space="preserve"> </w:t>
      </w:r>
      <w:r w:rsidRPr="007A0061">
        <w:t>generally</w:t>
      </w:r>
      <w:r w:rsidRPr="007A0061">
        <w:rPr>
          <w:spacing w:val="-3"/>
        </w:rPr>
        <w:t xml:space="preserve"> </w:t>
      </w:r>
      <w:r w:rsidRPr="007A0061">
        <w:t>in</w:t>
      </w:r>
      <w:r w:rsidRPr="007A0061">
        <w:rPr>
          <w:spacing w:val="4"/>
        </w:rPr>
        <w:t xml:space="preserve"> </w:t>
      </w:r>
      <w:r w:rsidRPr="007A0061">
        <w:t>the</w:t>
      </w:r>
      <w:r w:rsidRPr="007A0061">
        <w:rPr>
          <w:spacing w:val="36"/>
        </w:rPr>
        <w:t xml:space="preserve"> </w:t>
      </w:r>
      <w:r w:rsidRPr="007A0061">
        <w:t>public</w:t>
      </w:r>
      <w:r w:rsidRPr="007A0061">
        <w:rPr>
          <w:spacing w:val="15"/>
        </w:rPr>
        <w:t xml:space="preserve"> </w:t>
      </w:r>
      <w:r w:rsidRPr="007A0061">
        <w:rPr>
          <w:spacing w:val="-1"/>
        </w:rPr>
        <w:t>sector</w:t>
      </w:r>
      <w:r w:rsidRPr="007A0061">
        <w:rPr>
          <w:spacing w:val="16"/>
        </w:rPr>
        <w:t xml:space="preserve"> </w:t>
      </w:r>
      <w:r w:rsidRPr="007A0061">
        <w:rPr>
          <w:spacing w:val="-1"/>
        </w:rPr>
        <w:t>around</w:t>
      </w:r>
      <w:r w:rsidRPr="007A0061">
        <w:rPr>
          <w:spacing w:val="15"/>
        </w:rPr>
        <w:t xml:space="preserve"> </w:t>
      </w:r>
      <w:r w:rsidRPr="007A0061">
        <w:rPr>
          <w:spacing w:val="-1"/>
        </w:rPr>
        <w:t>bullying</w:t>
      </w:r>
      <w:r w:rsidRPr="007A0061">
        <w:rPr>
          <w:rFonts w:ascii="Times New Roman" w:hAnsi="Times New Roman" w:cs="Times New Roman"/>
          <w:spacing w:val="-1"/>
        </w:rPr>
        <w:t>—</w:t>
      </w:r>
      <w:r w:rsidRPr="007A0061">
        <w:rPr>
          <w:spacing w:val="-1"/>
        </w:rPr>
        <w:t>that</w:t>
      </w:r>
      <w:r w:rsidRPr="007A0061">
        <w:rPr>
          <w:spacing w:val="16"/>
        </w:rPr>
        <w:t xml:space="preserve"> </w:t>
      </w:r>
      <w:r w:rsidRPr="007A0061">
        <w:t>it</w:t>
      </w:r>
      <w:r w:rsidRPr="007A0061">
        <w:rPr>
          <w:spacing w:val="17"/>
        </w:rPr>
        <w:t xml:space="preserve"> </w:t>
      </w:r>
      <w:r w:rsidRPr="007A0061">
        <w:t>is</w:t>
      </w:r>
      <w:r w:rsidRPr="007A0061">
        <w:rPr>
          <w:spacing w:val="17"/>
        </w:rPr>
        <w:t xml:space="preserve"> </w:t>
      </w:r>
      <w:r w:rsidRPr="007A0061">
        <w:t>a</w:t>
      </w:r>
      <w:r w:rsidRPr="007A0061">
        <w:rPr>
          <w:spacing w:val="15"/>
        </w:rPr>
        <w:t xml:space="preserve"> </w:t>
      </w:r>
      <w:r w:rsidRPr="007A0061">
        <w:rPr>
          <w:spacing w:val="-1"/>
        </w:rPr>
        <w:t>highly</w:t>
      </w:r>
      <w:r w:rsidRPr="007A0061">
        <w:rPr>
          <w:spacing w:val="14"/>
        </w:rPr>
        <w:t xml:space="preserve"> </w:t>
      </w:r>
      <w:r w:rsidRPr="007A0061">
        <w:rPr>
          <w:spacing w:val="-1"/>
        </w:rPr>
        <w:t>underreported</w:t>
      </w:r>
      <w:r w:rsidRPr="007A0061">
        <w:rPr>
          <w:spacing w:val="16"/>
        </w:rPr>
        <w:t xml:space="preserve"> </w:t>
      </w:r>
      <w:r w:rsidRPr="007A0061">
        <w:rPr>
          <w:spacing w:val="-1"/>
        </w:rPr>
        <w:t>area</w:t>
      </w:r>
      <w:r w:rsidRPr="007A0061">
        <w:rPr>
          <w:spacing w:val="15"/>
        </w:rPr>
        <w:t xml:space="preserve"> </w:t>
      </w:r>
      <w:r w:rsidRPr="007A0061">
        <w:t>of</w:t>
      </w:r>
      <w:r w:rsidRPr="007A0061">
        <w:rPr>
          <w:spacing w:val="15"/>
        </w:rPr>
        <w:t xml:space="preserve"> </w:t>
      </w:r>
      <w:r w:rsidRPr="007A0061">
        <w:rPr>
          <w:spacing w:val="-1"/>
        </w:rPr>
        <w:t>activity,</w:t>
      </w:r>
      <w:r w:rsidRPr="007A0061">
        <w:rPr>
          <w:spacing w:val="16"/>
        </w:rPr>
        <w:t xml:space="preserve"> </w:t>
      </w:r>
      <w:r w:rsidRPr="007A0061">
        <w:t>with</w:t>
      </w:r>
      <w:r w:rsidRPr="007A0061">
        <w:rPr>
          <w:spacing w:val="77"/>
        </w:rPr>
        <w:t xml:space="preserve"> </w:t>
      </w:r>
      <w:r w:rsidRPr="007A0061">
        <w:rPr>
          <w:spacing w:val="-1"/>
        </w:rPr>
        <w:t>people</w:t>
      </w:r>
      <w:r w:rsidRPr="007A0061">
        <w:rPr>
          <w:spacing w:val="8"/>
        </w:rPr>
        <w:t xml:space="preserve"> </w:t>
      </w:r>
      <w:r w:rsidRPr="007A0061">
        <w:rPr>
          <w:spacing w:val="-1"/>
        </w:rPr>
        <w:t>often</w:t>
      </w:r>
      <w:r w:rsidRPr="007A0061">
        <w:rPr>
          <w:spacing w:val="8"/>
        </w:rPr>
        <w:t xml:space="preserve"> </w:t>
      </w:r>
      <w:r w:rsidRPr="007A0061">
        <w:t>too</w:t>
      </w:r>
      <w:r w:rsidRPr="007A0061">
        <w:rPr>
          <w:spacing w:val="9"/>
        </w:rPr>
        <w:t xml:space="preserve"> </w:t>
      </w:r>
      <w:r w:rsidRPr="007A0061">
        <w:rPr>
          <w:spacing w:val="-1"/>
        </w:rPr>
        <w:t>intimidated</w:t>
      </w:r>
      <w:r w:rsidRPr="007A0061">
        <w:rPr>
          <w:spacing w:val="8"/>
        </w:rPr>
        <w:t xml:space="preserve"> </w:t>
      </w:r>
      <w:r w:rsidRPr="007A0061">
        <w:t>to</w:t>
      </w:r>
      <w:r w:rsidRPr="007A0061">
        <w:rPr>
          <w:spacing w:val="9"/>
        </w:rPr>
        <w:t xml:space="preserve"> </w:t>
      </w:r>
      <w:r w:rsidRPr="007A0061">
        <w:rPr>
          <w:spacing w:val="-1"/>
        </w:rPr>
        <w:t>report</w:t>
      </w:r>
      <w:r w:rsidRPr="007A0061">
        <w:rPr>
          <w:spacing w:val="9"/>
        </w:rPr>
        <w:t xml:space="preserve"> </w:t>
      </w:r>
      <w:r w:rsidRPr="007A0061">
        <w:rPr>
          <w:spacing w:val="-1"/>
        </w:rPr>
        <w:t>because</w:t>
      </w:r>
      <w:r w:rsidRPr="007A0061">
        <w:rPr>
          <w:spacing w:val="10"/>
        </w:rPr>
        <w:t xml:space="preserve"> </w:t>
      </w:r>
      <w:r w:rsidRPr="007A0061">
        <w:rPr>
          <w:spacing w:val="-1"/>
        </w:rPr>
        <w:t>there</w:t>
      </w:r>
      <w:r w:rsidRPr="007A0061">
        <w:rPr>
          <w:spacing w:val="8"/>
        </w:rPr>
        <w:t xml:space="preserve"> </w:t>
      </w:r>
      <w:r w:rsidRPr="007A0061">
        <w:t>is</w:t>
      </w:r>
      <w:r w:rsidRPr="007A0061">
        <w:rPr>
          <w:spacing w:val="10"/>
        </w:rPr>
        <w:t xml:space="preserve"> </w:t>
      </w:r>
      <w:r w:rsidRPr="007A0061">
        <w:t>a</w:t>
      </w:r>
      <w:r w:rsidRPr="007A0061">
        <w:rPr>
          <w:spacing w:val="8"/>
        </w:rPr>
        <w:t xml:space="preserve"> </w:t>
      </w:r>
      <w:r w:rsidRPr="007A0061">
        <w:rPr>
          <w:spacing w:val="-1"/>
        </w:rPr>
        <w:t>lack</w:t>
      </w:r>
      <w:r w:rsidRPr="007A0061">
        <w:rPr>
          <w:spacing w:val="9"/>
        </w:rPr>
        <w:t xml:space="preserve"> </w:t>
      </w:r>
      <w:r w:rsidRPr="007A0061">
        <w:t>of</w:t>
      </w:r>
      <w:r w:rsidRPr="007A0061">
        <w:rPr>
          <w:spacing w:val="8"/>
        </w:rPr>
        <w:t xml:space="preserve"> </w:t>
      </w:r>
      <w:r w:rsidRPr="007A0061">
        <w:rPr>
          <w:spacing w:val="-1"/>
        </w:rPr>
        <w:t>confidence</w:t>
      </w:r>
      <w:r w:rsidRPr="007A0061">
        <w:rPr>
          <w:spacing w:val="8"/>
        </w:rPr>
        <w:t xml:space="preserve"> </w:t>
      </w:r>
      <w:r w:rsidRPr="007A0061">
        <w:t>in</w:t>
      </w:r>
      <w:r w:rsidRPr="007A0061">
        <w:rPr>
          <w:spacing w:val="81"/>
        </w:rPr>
        <w:t xml:space="preserve"> </w:t>
      </w:r>
      <w:r w:rsidRPr="007A0061">
        <w:t>reporting</w:t>
      </w:r>
      <w:r w:rsidRPr="007A0061">
        <w:rPr>
          <w:spacing w:val="-3"/>
        </w:rPr>
        <w:t xml:space="preserve"> </w:t>
      </w:r>
      <w:r w:rsidRPr="007A0061">
        <w:rPr>
          <w:spacing w:val="-1"/>
        </w:rPr>
        <w:t>processes</w:t>
      </w:r>
      <w:r w:rsidRPr="007A0061">
        <w:t xml:space="preserve"> </w:t>
      </w:r>
      <w:r w:rsidRPr="007A0061">
        <w:rPr>
          <w:spacing w:val="-1"/>
        </w:rPr>
        <w:t>and</w:t>
      </w:r>
      <w:r w:rsidRPr="007A0061">
        <w:rPr>
          <w:spacing w:val="2"/>
        </w:rPr>
        <w:t xml:space="preserve"> </w:t>
      </w:r>
      <w:r w:rsidRPr="007A0061">
        <w:rPr>
          <w:spacing w:val="-1"/>
        </w:rPr>
        <w:t>what</w:t>
      </w:r>
      <w:r w:rsidRPr="007A0061">
        <w:t xml:space="preserve"> it </w:t>
      </w:r>
      <w:r w:rsidRPr="007A0061">
        <w:rPr>
          <w:spacing w:val="-1"/>
        </w:rPr>
        <w:t>might</w:t>
      </w:r>
      <w:r w:rsidRPr="007A0061">
        <w:t xml:space="preserve"> </w:t>
      </w:r>
      <w:r w:rsidRPr="007A0061">
        <w:rPr>
          <w:spacing w:val="-1"/>
        </w:rPr>
        <w:t>lead</w:t>
      </w:r>
      <w:r w:rsidRPr="007A0061">
        <w:t xml:space="preserve"> to</w:t>
      </w:r>
      <w:r>
        <w:t>.</w:t>
      </w:r>
      <w:r>
        <w:rPr>
          <w:rStyle w:val="FootnoteReference"/>
        </w:rPr>
        <w:footnoteReference w:id="96"/>
      </w:r>
    </w:p>
    <w:p w:rsidR="00340C33" w:rsidRDefault="007235EF" w:rsidP="007A0061">
      <w:pPr>
        <w:pStyle w:val="Bodytext"/>
      </w:pPr>
      <w:r>
        <w:t xml:space="preserve">The Committee notes that evidence presented to it during the Roundtable discussion and by the </w:t>
      </w:r>
      <w:r w:rsidR="00323080">
        <w:t xml:space="preserve">Elected Body </w:t>
      </w:r>
      <w:r>
        <w:t xml:space="preserve">that highlighted a reluctance to report racism and/or bullying.  There was a concern that the formal reporting mechanisms could prolong things and even make it worse.  In one case </w:t>
      </w:r>
      <w:r w:rsidR="00CE1F0D">
        <w:t xml:space="preserve">it appeared that </w:t>
      </w:r>
      <w:r>
        <w:t>a satisfactory outcome only resulted because the complainant included the Commissioner for Public Administration in an email</w:t>
      </w:r>
      <w:r w:rsidR="00340C33">
        <w:t xml:space="preserve">: </w:t>
      </w:r>
    </w:p>
    <w:p w:rsidR="007235EF" w:rsidRDefault="00340C33" w:rsidP="00340C33">
      <w:pPr>
        <w:pStyle w:val="Quote"/>
      </w:pPr>
      <w:r>
        <w:t>... our HR person was actually the one who made the racist comments against us. And my own manager, direct manager, asked our senior manager if she had to do the Abo training, and I had to pull her up and say something about that. Our RED officer was always out of the office. So we could not go to that person. Luckily ... I had a fantastic mentor who knew Andrew Kefford, the Commissioner for Public Administration. So I was able to speak with him. If I had not made that connection, I do not think that our complaint would have been taken quite so seriously. There were numerous emails between the head of HR, me and my other colleague. Communication was not happening very fast. But I noticed as soon as I cc-ed in Andrew’s name, they were quick to respond to the emails</w:t>
      </w:r>
      <w:r w:rsidR="007235EF">
        <w:t>.</w:t>
      </w:r>
      <w:r w:rsidR="00D3357C">
        <w:rPr>
          <w:rStyle w:val="FootnoteReference"/>
        </w:rPr>
        <w:footnoteReference w:id="97"/>
      </w:r>
      <w:r w:rsidR="007235EF">
        <w:t xml:space="preserve">  </w:t>
      </w:r>
    </w:p>
    <w:p w:rsidR="007235EF" w:rsidRDefault="007235EF" w:rsidP="00D35FCB">
      <w:pPr>
        <w:pStyle w:val="Bodytext"/>
      </w:pPr>
      <w:r>
        <w:t xml:space="preserve">The Committee notes that for anyone on the receiving end of racism and/or bullying there can be prolonged negative effects that include diminished self confidence and an unwillingness to remain in the same working environment. </w:t>
      </w:r>
      <w:r w:rsidR="00D3357C">
        <w:t xml:space="preserve">  </w:t>
      </w:r>
    </w:p>
    <w:p w:rsidR="007723FA" w:rsidRDefault="007723FA" w:rsidP="007723FA">
      <w:pPr>
        <w:pStyle w:val="Recommendation"/>
      </w:pPr>
      <w:bookmarkStart w:id="114" w:name="_Toc384024394"/>
      <w:bookmarkEnd w:id="114"/>
    </w:p>
    <w:p w:rsidR="007723FA" w:rsidRPr="007723FA" w:rsidRDefault="007723FA" w:rsidP="007723FA">
      <w:pPr>
        <w:pStyle w:val="RecommendationText"/>
      </w:pPr>
      <w:bookmarkStart w:id="115" w:name="_Toc384024395"/>
      <w:r>
        <w:t xml:space="preserve">The Committee recommends that the </w:t>
      </w:r>
      <w:r w:rsidR="00323080">
        <w:t xml:space="preserve">ACT Public Service </w:t>
      </w:r>
      <w:r>
        <w:t>ensure induction programs for all new AC</w:t>
      </w:r>
      <w:r w:rsidR="00340C33">
        <w:t>T Public Service</w:t>
      </w:r>
      <w:r>
        <w:t xml:space="preserve"> employees include effective training on the handling of racism and bullying.</w:t>
      </w:r>
      <w:bookmarkEnd w:id="115"/>
      <w:r>
        <w:t xml:space="preserve"> </w:t>
      </w:r>
    </w:p>
    <w:p w:rsidR="007235EF" w:rsidRDefault="007235EF" w:rsidP="00D35FCB">
      <w:pPr>
        <w:pStyle w:val="Headinglevel2"/>
      </w:pPr>
      <w:bookmarkStart w:id="116" w:name="_Toc383615046"/>
      <w:r w:rsidRPr="009709E6">
        <w:t>The ACTPS Indigenous Network</w:t>
      </w:r>
      <w:bookmarkEnd w:id="116"/>
    </w:p>
    <w:p w:rsidR="007235EF" w:rsidRDefault="007235EF" w:rsidP="007235EF">
      <w:pPr>
        <w:pStyle w:val="Bodytext"/>
      </w:pPr>
      <w:r>
        <w:t xml:space="preserve">As the name suggests, the ACTPS Indigenous Network is an informal grouping of Aboriginal and Torres Strait Islander employees in the ACTPS.  It serves to share information and provide a means of communication and networking between Indigenous colleagues and discussion of issues of interest and/or concern. </w:t>
      </w:r>
    </w:p>
    <w:p w:rsidR="007235EF" w:rsidRDefault="007235EF" w:rsidP="007A0061">
      <w:pPr>
        <w:pStyle w:val="Bodytext"/>
      </w:pPr>
      <w:r>
        <w:t xml:space="preserve">The ACTPS submission indicates that the Network may have languished and that the </w:t>
      </w:r>
      <w:r w:rsidRPr="00AC7E01">
        <w:rPr>
          <w:spacing w:val="-1"/>
        </w:rPr>
        <w:t>Office</w:t>
      </w:r>
      <w:r w:rsidRPr="00AC7E01">
        <w:rPr>
          <w:spacing w:val="-4"/>
        </w:rPr>
        <w:t xml:space="preserve"> </w:t>
      </w:r>
      <w:r>
        <w:t>for</w:t>
      </w:r>
      <w:r w:rsidRPr="00AC7E01">
        <w:rPr>
          <w:spacing w:val="1"/>
        </w:rPr>
        <w:t xml:space="preserve"> </w:t>
      </w:r>
      <w:r w:rsidRPr="00AC7E01">
        <w:rPr>
          <w:spacing w:val="-1"/>
        </w:rPr>
        <w:t>Aboriginal</w:t>
      </w:r>
      <w:r w:rsidRPr="00AC7E01">
        <w:rPr>
          <w:spacing w:val="-3"/>
        </w:rPr>
        <w:t xml:space="preserve"> </w:t>
      </w:r>
      <w:r w:rsidRPr="00AC7E01">
        <w:rPr>
          <w:spacing w:val="-1"/>
        </w:rPr>
        <w:t>and</w:t>
      </w:r>
      <w:r w:rsidRPr="00AC7E01">
        <w:rPr>
          <w:spacing w:val="-2"/>
        </w:rPr>
        <w:t xml:space="preserve"> </w:t>
      </w:r>
      <w:r w:rsidRPr="00AC7E01">
        <w:rPr>
          <w:spacing w:val="-1"/>
        </w:rPr>
        <w:t>Torres</w:t>
      </w:r>
      <w:r>
        <w:t xml:space="preserve"> </w:t>
      </w:r>
      <w:r w:rsidRPr="00AC7E01">
        <w:rPr>
          <w:spacing w:val="-1"/>
        </w:rPr>
        <w:t>Strait Islander</w:t>
      </w:r>
      <w:r w:rsidRPr="00AC7E01">
        <w:rPr>
          <w:spacing w:val="1"/>
        </w:rPr>
        <w:t xml:space="preserve"> </w:t>
      </w:r>
      <w:r w:rsidRPr="00AC7E01">
        <w:rPr>
          <w:spacing w:val="-1"/>
        </w:rPr>
        <w:t>Affairs</w:t>
      </w:r>
      <w:r w:rsidRPr="00AC7E01">
        <w:rPr>
          <w:spacing w:val="-2"/>
        </w:rPr>
        <w:t xml:space="preserve"> within</w:t>
      </w:r>
      <w:r w:rsidRPr="00AC7E01">
        <w:rPr>
          <w:spacing w:val="5"/>
        </w:rPr>
        <w:t xml:space="preserve"> </w:t>
      </w:r>
      <w:r>
        <w:rPr>
          <w:spacing w:val="5"/>
        </w:rPr>
        <w:t xml:space="preserve">CSD is </w:t>
      </w:r>
      <w:r w:rsidRPr="00AC7E01">
        <w:rPr>
          <w:spacing w:val="-1"/>
        </w:rPr>
        <w:t>discussing</w:t>
      </w:r>
      <w:r w:rsidRPr="00AC7E01">
        <w:rPr>
          <w:spacing w:val="-2"/>
        </w:rPr>
        <w:t xml:space="preserve"> </w:t>
      </w:r>
      <w:r w:rsidRPr="00AC7E01">
        <w:rPr>
          <w:spacing w:val="-1"/>
        </w:rPr>
        <w:t>options</w:t>
      </w:r>
      <w:r w:rsidRPr="00AC7E01">
        <w:rPr>
          <w:spacing w:val="1"/>
        </w:rPr>
        <w:t xml:space="preserve"> </w:t>
      </w:r>
      <w:r>
        <w:t>to</w:t>
      </w:r>
      <w:r w:rsidRPr="00AC7E01">
        <w:rPr>
          <w:spacing w:val="-2"/>
        </w:rPr>
        <w:t xml:space="preserve"> </w:t>
      </w:r>
      <w:r w:rsidRPr="00AC7E01">
        <w:rPr>
          <w:spacing w:val="-1"/>
        </w:rPr>
        <w:t>revitalise</w:t>
      </w:r>
      <w:r>
        <w:t xml:space="preserve"> the</w:t>
      </w:r>
      <w:r w:rsidRPr="00AC7E01">
        <w:rPr>
          <w:spacing w:val="-3"/>
        </w:rPr>
        <w:t xml:space="preserve"> </w:t>
      </w:r>
      <w:r w:rsidRPr="00AC7E01">
        <w:rPr>
          <w:spacing w:val="-1"/>
        </w:rPr>
        <w:t>ACTPS</w:t>
      </w:r>
      <w:r>
        <w:t xml:space="preserve"> </w:t>
      </w:r>
      <w:r w:rsidRPr="00AC7E01">
        <w:rPr>
          <w:spacing w:val="-1"/>
        </w:rPr>
        <w:t>Indigenous Staff</w:t>
      </w:r>
      <w:r w:rsidRPr="00AC7E01">
        <w:rPr>
          <w:spacing w:val="-3"/>
        </w:rPr>
        <w:t xml:space="preserve"> </w:t>
      </w:r>
      <w:r w:rsidRPr="00AC7E01">
        <w:rPr>
          <w:spacing w:val="-1"/>
        </w:rPr>
        <w:t>Network</w:t>
      </w:r>
      <w:r>
        <w:rPr>
          <w:spacing w:val="-1"/>
        </w:rPr>
        <w:t xml:space="preserve">.  The submission states: </w:t>
      </w:r>
    </w:p>
    <w:p w:rsidR="007235EF" w:rsidRDefault="007235EF" w:rsidP="007235EF">
      <w:pPr>
        <w:pStyle w:val="Quote"/>
      </w:pPr>
      <w:r>
        <w:t>Aboriginal and</w:t>
      </w:r>
      <w:r>
        <w:rPr>
          <w:spacing w:val="-2"/>
        </w:rPr>
        <w:t xml:space="preserve"> </w:t>
      </w:r>
      <w:r>
        <w:t>Torres</w:t>
      </w:r>
      <w:r>
        <w:rPr>
          <w:spacing w:val="1"/>
        </w:rPr>
        <w:t xml:space="preserve"> </w:t>
      </w:r>
      <w:r>
        <w:rPr>
          <w:spacing w:val="-2"/>
        </w:rPr>
        <w:t>Strait</w:t>
      </w:r>
      <w:r>
        <w:rPr>
          <w:spacing w:val="2"/>
        </w:rPr>
        <w:t xml:space="preserve"> </w:t>
      </w:r>
      <w:r>
        <w:t>Islander</w:t>
      </w:r>
      <w:r>
        <w:rPr>
          <w:spacing w:val="1"/>
        </w:rPr>
        <w:t xml:space="preserve"> </w:t>
      </w:r>
      <w:r>
        <w:rPr>
          <w:spacing w:val="-2"/>
        </w:rPr>
        <w:t>Staff</w:t>
      </w:r>
      <w:r>
        <w:rPr>
          <w:spacing w:val="2"/>
        </w:rPr>
        <w:t xml:space="preserve"> </w:t>
      </w:r>
      <w:r>
        <w:t>need</w:t>
      </w:r>
      <w:r>
        <w:rPr>
          <w:spacing w:val="-2"/>
        </w:rPr>
        <w:t xml:space="preserve"> </w:t>
      </w:r>
      <w:r>
        <w:t>to</w:t>
      </w:r>
      <w:r>
        <w:rPr>
          <w:spacing w:val="-4"/>
        </w:rPr>
        <w:t xml:space="preserve"> </w:t>
      </w:r>
      <w:r>
        <w:t>be consulted</w:t>
      </w:r>
      <w:r>
        <w:rPr>
          <w:spacing w:val="-2"/>
        </w:rPr>
        <w:t xml:space="preserve"> </w:t>
      </w:r>
      <w:r>
        <w:t>as</w:t>
      </w:r>
      <w:r>
        <w:rPr>
          <w:spacing w:val="-2"/>
        </w:rPr>
        <w:t xml:space="preserve"> </w:t>
      </w:r>
      <w:r>
        <w:t>to</w:t>
      </w:r>
      <w:r>
        <w:rPr>
          <w:spacing w:val="-2"/>
        </w:rPr>
        <w:t xml:space="preserve"> </w:t>
      </w:r>
      <w:r>
        <w:t>the</w:t>
      </w:r>
      <w:r>
        <w:rPr>
          <w:spacing w:val="-2"/>
        </w:rPr>
        <w:t xml:space="preserve"> </w:t>
      </w:r>
      <w:r>
        <w:t xml:space="preserve">type </w:t>
      </w:r>
      <w:r>
        <w:rPr>
          <w:spacing w:val="-2"/>
        </w:rPr>
        <w:t>of</w:t>
      </w:r>
      <w:r>
        <w:rPr>
          <w:spacing w:val="2"/>
        </w:rPr>
        <w:t xml:space="preserve"> </w:t>
      </w:r>
      <w:r>
        <w:t>network</w:t>
      </w:r>
      <w:r>
        <w:rPr>
          <w:spacing w:val="1"/>
        </w:rPr>
        <w:t xml:space="preserve"> </w:t>
      </w:r>
      <w:r>
        <w:t>that</w:t>
      </w:r>
      <w:r>
        <w:rPr>
          <w:spacing w:val="63"/>
        </w:rPr>
        <w:t xml:space="preserve"> </w:t>
      </w:r>
      <w:r>
        <w:t>they</w:t>
      </w:r>
      <w:r>
        <w:rPr>
          <w:spacing w:val="-2"/>
        </w:rPr>
        <w:t xml:space="preserve"> would</w:t>
      </w:r>
      <w:r>
        <w:t xml:space="preserve"> like. </w:t>
      </w:r>
      <w:r>
        <w:rPr>
          <w:spacing w:val="2"/>
        </w:rPr>
        <w:t xml:space="preserve"> </w:t>
      </w:r>
      <w:r>
        <w:t>Some options</w:t>
      </w:r>
      <w:r>
        <w:rPr>
          <w:spacing w:val="-2"/>
        </w:rPr>
        <w:t xml:space="preserve"> </w:t>
      </w:r>
      <w:r>
        <w:t>for consideration</w:t>
      </w:r>
      <w:r>
        <w:rPr>
          <w:spacing w:val="-4"/>
        </w:rPr>
        <w:t xml:space="preserve"> </w:t>
      </w:r>
      <w:r>
        <w:t>may</w:t>
      </w:r>
      <w:r>
        <w:rPr>
          <w:spacing w:val="-2"/>
        </w:rPr>
        <w:t xml:space="preserve"> </w:t>
      </w:r>
      <w:r>
        <w:t>be a</w:t>
      </w:r>
      <w:r>
        <w:rPr>
          <w:spacing w:val="-2"/>
        </w:rPr>
        <w:t xml:space="preserve"> </w:t>
      </w:r>
      <w:r>
        <w:t>social network</w:t>
      </w:r>
      <w:r>
        <w:rPr>
          <w:spacing w:val="1"/>
        </w:rPr>
        <w:t xml:space="preserve"> </w:t>
      </w:r>
      <w:r>
        <w:t>providing</w:t>
      </w:r>
      <w:r>
        <w:rPr>
          <w:spacing w:val="2"/>
        </w:rPr>
        <w:t xml:space="preserve"> </w:t>
      </w:r>
      <w:r>
        <w:t>peer</w:t>
      </w:r>
      <w:r>
        <w:rPr>
          <w:spacing w:val="53"/>
        </w:rPr>
        <w:t xml:space="preserve"> </w:t>
      </w:r>
      <w:r>
        <w:t>support and</w:t>
      </w:r>
      <w:r>
        <w:rPr>
          <w:spacing w:val="-2"/>
        </w:rPr>
        <w:t xml:space="preserve"> </w:t>
      </w:r>
      <w:r>
        <w:t>mentoring for the</w:t>
      </w:r>
      <w:r>
        <w:rPr>
          <w:spacing w:val="-2"/>
        </w:rPr>
        <w:t xml:space="preserve"> </w:t>
      </w:r>
      <w:r>
        <w:t>membership; one</w:t>
      </w:r>
      <w:r>
        <w:rPr>
          <w:spacing w:val="-2"/>
        </w:rPr>
        <w:t xml:space="preserve"> </w:t>
      </w:r>
      <w:r>
        <w:t>that</w:t>
      </w:r>
      <w:r>
        <w:rPr>
          <w:spacing w:val="1"/>
        </w:rPr>
        <w:t xml:space="preserve"> </w:t>
      </w:r>
      <w:r>
        <w:t>inputs into</w:t>
      </w:r>
      <w:r>
        <w:rPr>
          <w:spacing w:val="-2"/>
        </w:rPr>
        <w:t xml:space="preserve"> </w:t>
      </w:r>
      <w:r>
        <w:t>the</w:t>
      </w:r>
      <w:r>
        <w:rPr>
          <w:spacing w:val="-2"/>
        </w:rPr>
        <w:t xml:space="preserve"> </w:t>
      </w:r>
      <w:r>
        <w:t xml:space="preserve">development </w:t>
      </w:r>
      <w:r>
        <w:rPr>
          <w:spacing w:val="-2"/>
        </w:rPr>
        <w:t>of</w:t>
      </w:r>
      <w:r>
        <w:rPr>
          <w:spacing w:val="2"/>
        </w:rPr>
        <w:t xml:space="preserve"> </w:t>
      </w:r>
      <w:r>
        <w:t>policy</w:t>
      </w:r>
      <w:r>
        <w:rPr>
          <w:spacing w:val="63"/>
        </w:rPr>
        <w:t xml:space="preserve"> </w:t>
      </w:r>
      <w:r>
        <w:t>and service delivery;</w:t>
      </w:r>
      <w:r>
        <w:rPr>
          <w:spacing w:val="2"/>
        </w:rPr>
        <w:t xml:space="preserve"> </w:t>
      </w:r>
      <w:r>
        <w:t>or</w:t>
      </w:r>
      <w:r>
        <w:rPr>
          <w:spacing w:val="1"/>
        </w:rPr>
        <w:t xml:space="preserve"> </w:t>
      </w:r>
      <w:r>
        <w:t>a</w:t>
      </w:r>
      <w:r>
        <w:rPr>
          <w:spacing w:val="-2"/>
        </w:rPr>
        <w:t xml:space="preserve"> </w:t>
      </w:r>
      <w:r>
        <w:t xml:space="preserve">combination </w:t>
      </w:r>
      <w:r>
        <w:rPr>
          <w:spacing w:val="-2"/>
        </w:rPr>
        <w:t>of</w:t>
      </w:r>
      <w:r>
        <w:rPr>
          <w:spacing w:val="2"/>
        </w:rPr>
        <w:t xml:space="preserve"> </w:t>
      </w:r>
      <w:r>
        <w:t>both.</w:t>
      </w:r>
    </w:p>
    <w:p w:rsidR="007235EF" w:rsidRDefault="007235EF" w:rsidP="007235EF">
      <w:pPr>
        <w:pStyle w:val="Quote"/>
      </w:pPr>
      <w:r>
        <w:t xml:space="preserve">Five </w:t>
      </w:r>
      <w:r w:rsidR="00CE1F0D">
        <w:t>a</w:t>
      </w:r>
      <w:r>
        <w:rPr>
          <w:spacing w:val="-1"/>
        </w:rPr>
        <w:t>gencies</w:t>
      </w:r>
      <w:r>
        <w:t xml:space="preserve"> </w:t>
      </w:r>
      <w:r>
        <w:rPr>
          <w:spacing w:val="-1"/>
        </w:rPr>
        <w:t>reported</w:t>
      </w:r>
      <w:r>
        <w:t xml:space="preserve"> having</w:t>
      </w:r>
      <w:r>
        <w:rPr>
          <w:spacing w:val="2"/>
        </w:rPr>
        <w:t xml:space="preserve"> </w:t>
      </w:r>
      <w:r>
        <w:t xml:space="preserve">an </w:t>
      </w:r>
      <w:r>
        <w:rPr>
          <w:spacing w:val="-1"/>
        </w:rPr>
        <w:t>agency</w:t>
      </w:r>
      <w:r>
        <w:t xml:space="preserve"> </w:t>
      </w:r>
      <w:r>
        <w:rPr>
          <w:spacing w:val="-1"/>
        </w:rPr>
        <w:t>based</w:t>
      </w:r>
      <w:r>
        <w:rPr>
          <w:spacing w:val="-5"/>
        </w:rPr>
        <w:t xml:space="preserve"> </w:t>
      </w:r>
      <w:r>
        <w:rPr>
          <w:spacing w:val="-1"/>
        </w:rPr>
        <w:t>Aboriginal</w:t>
      </w:r>
      <w:r>
        <w:t xml:space="preserve"> </w:t>
      </w:r>
      <w:r>
        <w:rPr>
          <w:spacing w:val="-1"/>
        </w:rPr>
        <w:t>and</w:t>
      </w:r>
      <w:r>
        <w:t xml:space="preserve"> </w:t>
      </w:r>
      <w:r>
        <w:rPr>
          <w:spacing w:val="-1"/>
        </w:rPr>
        <w:t>Torres</w:t>
      </w:r>
      <w:r>
        <w:rPr>
          <w:spacing w:val="1"/>
        </w:rPr>
        <w:t xml:space="preserve"> </w:t>
      </w:r>
      <w:r>
        <w:t>Strait</w:t>
      </w:r>
      <w:r>
        <w:rPr>
          <w:spacing w:val="2"/>
        </w:rPr>
        <w:t xml:space="preserve"> </w:t>
      </w:r>
      <w:r>
        <w:rPr>
          <w:spacing w:val="-1"/>
        </w:rPr>
        <w:t>Islander</w:t>
      </w:r>
      <w:r>
        <w:rPr>
          <w:spacing w:val="77"/>
        </w:rPr>
        <w:t xml:space="preserve"> </w:t>
      </w:r>
      <w:r>
        <w:rPr>
          <w:spacing w:val="-1"/>
        </w:rPr>
        <w:t>employee</w:t>
      </w:r>
      <w:r>
        <w:t xml:space="preserve"> </w:t>
      </w:r>
      <w:r>
        <w:rPr>
          <w:spacing w:val="-1"/>
        </w:rPr>
        <w:t>network.</w:t>
      </w:r>
      <w:r>
        <w:rPr>
          <w:rStyle w:val="FootnoteReference"/>
          <w:spacing w:val="-1"/>
        </w:rPr>
        <w:footnoteReference w:id="98"/>
      </w:r>
    </w:p>
    <w:p w:rsidR="007235EF" w:rsidRDefault="007235EF" w:rsidP="007235EF">
      <w:pPr>
        <w:pStyle w:val="Bodytext"/>
      </w:pPr>
      <w:r>
        <w:t xml:space="preserve">At the 11 December 2013 public hearing, the Director of the Office of Aboriginal and Torres Strait Islander Affairs, Ms Robyn Forester told the Committee: </w:t>
      </w:r>
    </w:p>
    <w:p w:rsidR="007235EF" w:rsidRDefault="007235EF" w:rsidP="007235EF">
      <w:pPr>
        <w:pStyle w:val="Quote"/>
      </w:pPr>
      <w:r>
        <w:t>The</w:t>
      </w:r>
      <w:r>
        <w:rPr>
          <w:spacing w:val="51"/>
        </w:rPr>
        <w:t xml:space="preserve"> </w:t>
      </w:r>
      <w:r>
        <w:rPr>
          <w:spacing w:val="-1"/>
        </w:rPr>
        <w:t>staff</w:t>
      </w:r>
      <w:r>
        <w:rPr>
          <w:spacing w:val="51"/>
        </w:rPr>
        <w:t xml:space="preserve"> </w:t>
      </w:r>
      <w:r>
        <w:t>network</w:t>
      </w:r>
      <w:r>
        <w:rPr>
          <w:spacing w:val="51"/>
        </w:rPr>
        <w:t xml:space="preserve"> </w:t>
      </w:r>
      <w:r>
        <w:t>has</w:t>
      </w:r>
      <w:r>
        <w:rPr>
          <w:spacing w:val="52"/>
        </w:rPr>
        <w:t xml:space="preserve"> </w:t>
      </w:r>
      <w:r>
        <w:rPr>
          <w:spacing w:val="-1"/>
        </w:rPr>
        <w:t>had</w:t>
      </w:r>
      <w:r>
        <w:rPr>
          <w:spacing w:val="52"/>
        </w:rPr>
        <w:t xml:space="preserve"> </w:t>
      </w:r>
      <w:r>
        <w:t>two</w:t>
      </w:r>
      <w:r>
        <w:rPr>
          <w:spacing w:val="51"/>
        </w:rPr>
        <w:t xml:space="preserve"> </w:t>
      </w:r>
      <w:r>
        <w:rPr>
          <w:spacing w:val="-1"/>
        </w:rPr>
        <w:t>meetings</w:t>
      </w:r>
      <w:r>
        <w:rPr>
          <w:spacing w:val="4"/>
        </w:rPr>
        <w:t xml:space="preserve"> </w:t>
      </w:r>
      <w:r>
        <w:t>since</w:t>
      </w:r>
      <w:r>
        <w:rPr>
          <w:spacing w:val="3"/>
        </w:rPr>
        <w:t xml:space="preserve"> </w:t>
      </w:r>
      <w:r>
        <w:rPr>
          <w:spacing w:val="1"/>
        </w:rPr>
        <w:t>July</w:t>
      </w:r>
      <w:r>
        <w:rPr>
          <w:spacing w:val="-3"/>
        </w:rPr>
        <w:t xml:space="preserve"> </w:t>
      </w:r>
      <w:r>
        <w:t>to</w:t>
      </w:r>
      <w:r>
        <w:rPr>
          <w:spacing w:val="5"/>
        </w:rPr>
        <w:t xml:space="preserve"> </w:t>
      </w:r>
      <w:r>
        <w:t>talk</w:t>
      </w:r>
      <w:r>
        <w:rPr>
          <w:spacing w:val="4"/>
        </w:rPr>
        <w:t xml:space="preserve"> </w:t>
      </w:r>
      <w:r>
        <w:rPr>
          <w:spacing w:val="-1"/>
        </w:rPr>
        <w:t>about</w:t>
      </w:r>
      <w:r>
        <w:rPr>
          <w:spacing w:val="5"/>
        </w:rPr>
        <w:t xml:space="preserve"> </w:t>
      </w:r>
      <w:r>
        <w:t>the</w:t>
      </w:r>
      <w:r>
        <w:rPr>
          <w:spacing w:val="4"/>
        </w:rPr>
        <w:t xml:space="preserve"> </w:t>
      </w:r>
      <w:r>
        <w:rPr>
          <w:spacing w:val="-1"/>
        </w:rPr>
        <w:t>opportunities</w:t>
      </w:r>
      <w:r>
        <w:rPr>
          <w:spacing w:val="2"/>
        </w:rPr>
        <w:t xml:space="preserve"> </w:t>
      </w:r>
      <w:r>
        <w:t>for</w:t>
      </w:r>
      <w:r>
        <w:rPr>
          <w:spacing w:val="3"/>
        </w:rPr>
        <w:t xml:space="preserve"> </w:t>
      </w:r>
      <w:r>
        <w:rPr>
          <w:spacing w:val="-1"/>
        </w:rPr>
        <w:t>reinvigorating</w:t>
      </w:r>
      <w:r>
        <w:rPr>
          <w:spacing w:val="2"/>
        </w:rPr>
        <w:t xml:space="preserve"> </w:t>
      </w:r>
      <w:r>
        <w:t>the</w:t>
      </w:r>
      <w:r>
        <w:rPr>
          <w:spacing w:val="4"/>
        </w:rPr>
        <w:t xml:space="preserve"> </w:t>
      </w:r>
      <w:r>
        <w:rPr>
          <w:spacing w:val="-1"/>
        </w:rPr>
        <w:t>staff</w:t>
      </w:r>
      <w:r>
        <w:rPr>
          <w:spacing w:val="3"/>
        </w:rPr>
        <w:t xml:space="preserve"> </w:t>
      </w:r>
      <w:r>
        <w:rPr>
          <w:spacing w:val="-1"/>
        </w:rPr>
        <w:t>network.</w:t>
      </w:r>
      <w:r>
        <w:rPr>
          <w:spacing w:val="83"/>
        </w:rPr>
        <w:t xml:space="preserve"> </w:t>
      </w:r>
      <w:r>
        <w:rPr>
          <w:spacing w:val="-1"/>
        </w:rPr>
        <w:t>After</w:t>
      </w:r>
      <w:r>
        <w:rPr>
          <w:spacing w:val="10"/>
        </w:rPr>
        <w:t xml:space="preserve"> </w:t>
      </w:r>
      <w:r>
        <w:t>the</w:t>
      </w:r>
      <w:r>
        <w:rPr>
          <w:spacing w:val="11"/>
        </w:rPr>
        <w:t xml:space="preserve"> </w:t>
      </w:r>
      <w:r>
        <w:rPr>
          <w:spacing w:val="-1"/>
        </w:rPr>
        <w:t>first</w:t>
      </w:r>
      <w:r>
        <w:rPr>
          <w:spacing w:val="13"/>
        </w:rPr>
        <w:t xml:space="preserve"> </w:t>
      </w:r>
      <w:r>
        <w:rPr>
          <w:spacing w:val="-1"/>
        </w:rPr>
        <w:t>meeting,</w:t>
      </w:r>
      <w:r>
        <w:rPr>
          <w:spacing w:val="14"/>
        </w:rPr>
        <w:t xml:space="preserve"> </w:t>
      </w:r>
      <w:r>
        <w:t>we</w:t>
      </w:r>
      <w:r>
        <w:rPr>
          <w:spacing w:val="10"/>
        </w:rPr>
        <w:t xml:space="preserve"> </w:t>
      </w:r>
      <w:r>
        <w:rPr>
          <w:spacing w:val="-1"/>
        </w:rPr>
        <w:t>sent</w:t>
      </w:r>
      <w:r>
        <w:rPr>
          <w:spacing w:val="12"/>
        </w:rPr>
        <w:t xml:space="preserve"> </w:t>
      </w:r>
      <w:r>
        <w:t>out</w:t>
      </w:r>
      <w:r>
        <w:rPr>
          <w:spacing w:val="12"/>
        </w:rPr>
        <w:t xml:space="preserve"> </w:t>
      </w:r>
      <w:r>
        <w:t>a</w:t>
      </w:r>
      <w:r>
        <w:rPr>
          <w:spacing w:val="10"/>
        </w:rPr>
        <w:t xml:space="preserve"> </w:t>
      </w:r>
      <w:r>
        <w:t>survey</w:t>
      </w:r>
      <w:r>
        <w:rPr>
          <w:spacing w:val="6"/>
        </w:rPr>
        <w:t xml:space="preserve"> </w:t>
      </w:r>
      <w:r>
        <w:t>to</w:t>
      </w:r>
      <w:r>
        <w:rPr>
          <w:spacing w:val="12"/>
        </w:rPr>
        <w:t xml:space="preserve"> </w:t>
      </w:r>
      <w:r>
        <w:t>all</w:t>
      </w:r>
      <w:r>
        <w:rPr>
          <w:spacing w:val="12"/>
        </w:rPr>
        <w:t xml:space="preserve"> </w:t>
      </w:r>
      <w:r>
        <w:rPr>
          <w:spacing w:val="-1"/>
        </w:rPr>
        <w:t>staff</w:t>
      </w:r>
      <w:r>
        <w:rPr>
          <w:spacing w:val="11"/>
        </w:rPr>
        <w:t xml:space="preserve"> </w:t>
      </w:r>
      <w:r>
        <w:t>for</w:t>
      </w:r>
      <w:r>
        <w:rPr>
          <w:spacing w:val="10"/>
        </w:rPr>
        <w:t xml:space="preserve"> </w:t>
      </w:r>
      <w:r>
        <w:t>their</w:t>
      </w:r>
      <w:r>
        <w:rPr>
          <w:spacing w:val="11"/>
        </w:rPr>
        <w:t xml:space="preserve"> </w:t>
      </w:r>
      <w:r>
        <w:t>input</w:t>
      </w:r>
      <w:r>
        <w:rPr>
          <w:spacing w:val="12"/>
        </w:rPr>
        <w:t xml:space="preserve"> </w:t>
      </w:r>
      <w:r>
        <w:rPr>
          <w:spacing w:val="-1"/>
        </w:rPr>
        <w:t>into</w:t>
      </w:r>
      <w:r>
        <w:rPr>
          <w:spacing w:val="11"/>
        </w:rPr>
        <w:t xml:space="preserve"> </w:t>
      </w:r>
      <w:r>
        <w:t>the</w:t>
      </w:r>
      <w:r>
        <w:rPr>
          <w:spacing w:val="11"/>
        </w:rPr>
        <w:t xml:space="preserve"> </w:t>
      </w:r>
      <w:r>
        <w:t>sort</w:t>
      </w:r>
      <w:r>
        <w:rPr>
          <w:spacing w:val="11"/>
        </w:rPr>
        <w:t xml:space="preserve"> </w:t>
      </w:r>
      <w:r>
        <w:t>of</w:t>
      </w:r>
      <w:r>
        <w:rPr>
          <w:spacing w:val="41"/>
        </w:rPr>
        <w:t xml:space="preserve"> </w:t>
      </w:r>
      <w:r>
        <w:rPr>
          <w:spacing w:val="-1"/>
        </w:rPr>
        <w:t>network</w:t>
      </w:r>
      <w:r>
        <w:rPr>
          <w:spacing w:val="6"/>
        </w:rPr>
        <w:t xml:space="preserve"> </w:t>
      </w:r>
      <w:r>
        <w:rPr>
          <w:spacing w:val="1"/>
        </w:rPr>
        <w:t>they</w:t>
      </w:r>
      <w:r>
        <w:rPr>
          <w:spacing w:val="2"/>
        </w:rPr>
        <w:t xml:space="preserve"> </w:t>
      </w:r>
      <w:r>
        <w:t>wanted,</w:t>
      </w:r>
      <w:r>
        <w:rPr>
          <w:spacing w:val="6"/>
        </w:rPr>
        <w:t xml:space="preserve"> </w:t>
      </w:r>
      <w:r>
        <w:t>the</w:t>
      </w:r>
      <w:r>
        <w:rPr>
          <w:spacing w:val="8"/>
        </w:rPr>
        <w:t xml:space="preserve"> </w:t>
      </w:r>
      <w:r>
        <w:t>sorts</w:t>
      </w:r>
      <w:r>
        <w:rPr>
          <w:spacing w:val="7"/>
        </w:rPr>
        <w:t xml:space="preserve"> </w:t>
      </w:r>
      <w:r>
        <w:t>of</w:t>
      </w:r>
      <w:r>
        <w:rPr>
          <w:spacing w:val="6"/>
        </w:rPr>
        <w:t xml:space="preserve"> </w:t>
      </w:r>
      <w:r>
        <w:rPr>
          <w:spacing w:val="-1"/>
        </w:rPr>
        <w:t>things</w:t>
      </w:r>
      <w:r>
        <w:rPr>
          <w:spacing w:val="7"/>
        </w:rPr>
        <w:t xml:space="preserve"> </w:t>
      </w:r>
      <w:r>
        <w:rPr>
          <w:spacing w:val="1"/>
        </w:rPr>
        <w:t>they</w:t>
      </w:r>
      <w:r>
        <w:rPr>
          <w:spacing w:val="2"/>
        </w:rPr>
        <w:t xml:space="preserve"> </w:t>
      </w:r>
      <w:r>
        <w:t>would</w:t>
      </w:r>
      <w:r>
        <w:rPr>
          <w:spacing w:val="7"/>
        </w:rPr>
        <w:t xml:space="preserve"> </w:t>
      </w:r>
      <w:r>
        <w:t>like</w:t>
      </w:r>
      <w:r>
        <w:rPr>
          <w:spacing w:val="6"/>
        </w:rPr>
        <w:t xml:space="preserve"> </w:t>
      </w:r>
      <w:r>
        <w:t>to</w:t>
      </w:r>
      <w:r>
        <w:rPr>
          <w:spacing w:val="7"/>
        </w:rPr>
        <w:t xml:space="preserve"> </w:t>
      </w:r>
      <w:r>
        <w:rPr>
          <w:spacing w:val="-1"/>
        </w:rPr>
        <w:t>see</w:t>
      </w:r>
      <w:r>
        <w:rPr>
          <w:spacing w:val="6"/>
        </w:rPr>
        <w:t xml:space="preserve"> </w:t>
      </w:r>
      <w:r>
        <w:rPr>
          <w:spacing w:val="-1"/>
        </w:rPr>
        <w:t>happen</w:t>
      </w:r>
      <w:r>
        <w:rPr>
          <w:spacing w:val="6"/>
        </w:rPr>
        <w:t xml:space="preserve"> </w:t>
      </w:r>
      <w:r>
        <w:t>with</w:t>
      </w:r>
      <w:r>
        <w:rPr>
          <w:spacing w:val="6"/>
        </w:rPr>
        <w:t xml:space="preserve"> </w:t>
      </w:r>
      <w:r>
        <w:t>that,</w:t>
      </w:r>
      <w:r>
        <w:rPr>
          <w:spacing w:val="6"/>
        </w:rPr>
        <w:t xml:space="preserve"> </w:t>
      </w:r>
      <w:r>
        <w:t>how</w:t>
      </w:r>
      <w:r>
        <w:rPr>
          <w:spacing w:val="36"/>
        </w:rPr>
        <w:t xml:space="preserve"> </w:t>
      </w:r>
      <w:r>
        <w:rPr>
          <w:spacing w:val="-1"/>
        </w:rPr>
        <w:t>often</w:t>
      </w:r>
      <w:r>
        <w:rPr>
          <w:spacing w:val="1"/>
        </w:rPr>
        <w:t xml:space="preserve"> they</w:t>
      </w:r>
      <w:r>
        <w:rPr>
          <w:spacing w:val="-3"/>
        </w:rPr>
        <w:t xml:space="preserve"> </w:t>
      </w:r>
      <w:r>
        <w:t>would</w:t>
      </w:r>
      <w:r>
        <w:rPr>
          <w:spacing w:val="2"/>
        </w:rPr>
        <w:t xml:space="preserve"> </w:t>
      </w:r>
      <w:r>
        <w:t>like</w:t>
      </w:r>
      <w:r>
        <w:rPr>
          <w:spacing w:val="1"/>
        </w:rPr>
        <w:t xml:space="preserve"> </w:t>
      </w:r>
      <w:r>
        <w:t>to</w:t>
      </w:r>
      <w:r>
        <w:rPr>
          <w:spacing w:val="2"/>
        </w:rPr>
        <w:t xml:space="preserve"> </w:t>
      </w:r>
      <w:r>
        <w:rPr>
          <w:spacing w:val="-1"/>
        </w:rPr>
        <w:t>meet,</w:t>
      </w:r>
      <w:r>
        <w:rPr>
          <w:spacing w:val="2"/>
        </w:rPr>
        <w:t xml:space="preserve"> </w:t>
      </w:r>
      <w:r>
        <w:rPr>
          <w:spacing w:val="-1"/>
        </w:rPr>
        <w:t>when</w:t>
      </w:r>
      <w:r>
        <w:rPr>
          <w:spacing w:val="2"/>
        </w:rPr>
        <w:t xml:space="preserve"> </w:t>
      </w:r>
      <w:r>
        <w:rPr>
          <w:spacing w:val="1"/>
        </w:rPr>
        <w:t>they</w:t>
      </w:r>
      <w:r>
        <w:rPr>
          <w:spacing w:val="-3"/>
        </w:rPr>
        <w:t xml:space="preserve"> </w:t>
      </w:r>
      <w:r>
        <w:t>would</w:t>
      </w:r>
      <w:r>
        <w:rPr>
          <w:spacing w:val="2"/>
        </w:rPr>
        <w:t xml:space="preserve"> </w:t>
      </w:r>
      <w:r>
        <w:t>like</w:t>
      </w:r>
      <w:r>
        <w:rPr>
          <w:spacing w:val="1"/>
        </w:rPr>
        <w:t xml:space="preserve"> </w:t>
      </w:r>
      <w:r>
        <w:t>to</w:t>
      </w:r>
      <w:r>
        <w:rPr>
          <w:spacing w:val="2"/>
        </w:rPr>
        <w:t xml:space="preserve"> </w:t>
      </w:r>
      <w:r>
        <w:rPr>
          <w:spacing w:val="-1"/>
        </w:rPr>
        <w:t>meet</w:t>
      </w:r>
      <w:r>
        <w:rPr>
          <w:spacing w:val="2"/>
        </w:rPr>
        <w:t xml:space="preserve"> </w:t>
      </w:r>
      <w:r>
        <w:rPr>
          <w:spacing w:val="-1"/>
        </w:rPr>
        <w:t>and</w:t>
      </w:r>
      <w:r>
        <w:rPr>
          <w:spacing w:val="2"/>
        </w:rPr>
        <w:t xml:space="preserve"> </w:t>
      </w:r>
      <w:r>
        <w:t>so</w:t>
      </w:r>
      <w:r>
        <w:rPr>
          <w:spacing w:val="2"/>
        </w:rPr>
        <w:t xml:space="preserve"> </w:t>
      </w:r>
      <w:r>
        <w:rPr>
          <w:spacing w:val="-1"/>
        </w:rPr>
        <w:t>forth.</w:t>
      </w:r>
      <w:r>
        <w:rPr>
          <w:spacing w:val="5"/>
        </w:rPr>
        <w:t xml:space="preserve"> </w:t>
      </w:r>
      <w:r>
        <w:t>We</w:t>
      </w:r>
      <w:r>
        <w:rPr>
          <w:spacing w:val="1"/>
        </w:rPr>
        <w:t xml:space="preserve"> </w:t>
      </w:r>
      <w:r>
        <w:t>recently</w:t>
      </w:r>
      <w:r>
        <w:rPr>
          <w:spacing w:val="39"/>
        </w:rPr>
        <w:t xml:space="preserve"> </w:t>
      </w:r>
      <w:r>
        <w:rPr>
          <w:spacing w:val="-1"/>
        </w:rPr>
        <w:t>had</w:t>
      </w:r>
      <w:r>
        <w:rPr>
          <w:spacing w:val="4"/>
        </w:rPr>
        <w:t xml:space="preserve"> </w:t>
      </w:r>
      <w:r>
        <w:t>the</w:t>
      </w:r>
      <w:r>
        <w:rPr>
          <w:spacing w:val="4"/>
        </w:rPr>
        <w:t xml:space="preserve"> </w:t>
      </w:r>
      <w:r>
        <w:rPr>
          <w:spacing w:val="-1"/>
        </w:rPr>
        <w:t>second</w:t>
      </w:r>
      <w:r>
        <w:rPr>
          <w:spacing w:val="4"/>
        </w:rPr>
        <w:t xml:space="preserve"> </w:t>
      </w:r>
      <w:r>
        <w:t>meeting</w:t>
      </w:r>
      <w:r>
        <w:rPr>
          <w:spacing w:val="2"/>
        </w:rPr>
        <w:t xml:space="preserve"> </w:t>
      </w:r>
      <w:r>
        <w:t>last</w:t>
      </w:r>
      <w:r>
        <w:rPr>
          <w:spacing w:val="4"/>
        </w:rPr>
        <w:t xml:space="preserve"> </w:t>
      </w:r>
      <w:r>
        <w:rPr>
          <w:spacing w:val="-1"/>
        </w:rPr>
        <w:t>week</w:t>
      </w:r>
      <w:r>
        <w:rPr>
          <w:spacing w:val="4"/>
        </w:rPr>
        <w:t xml:space="preserve"> </w:t>
      </w:r>
      <w:r>
        <w:rPr>
          <w:spacing w:val="-1"/>
        </w:rPr>
        <w:t>at</w:t>
      </w:r>
      <w:r>
        <w:rPr>
          <w:spacing w:val="5"/>
        </w:rPr>
        <w:t xml:space="preserve"> </w:t>
      </w:r>
      <w:r>
        <w:t>the</w:t>
      </w:r>
      <w:r>
        <w:rPr>
          <w:spacing w:val="4"/>
        </w:rPr>
        <w:t xml:space="preserve"> </w:t>
      </w:r>
      <w:r>
        <w:rPr>
          <w:spacing w:val="-1"/>
        </w:rPr>
        <w:t>cultural</w:t>
      </w:r>
      <w:r>
        <w:rPr>
          <w:spacing w:val="5"/>
        </w:rPr>
        <w:t xml:space="preserve"> </w:t>
      </w:r>
      <w:r>
        <w:rPr>
          <w:spacing w:val="-1"/>
        </w:rPr>
        <w:t>centre.</w:t>
      </w:r>
      <w:r>
        <w:rPr>
          <w:spacing w:val="4"/>
        </w:rPr>
        <w:t xml:space="preserve"> </w:t>
      </w:r>
      <w:r>
        <w:t>We</w:t>
      </w:r>
      <w:r>
        <w:rPr>
          <w:spacing w:val="3"/>
        </w:rPr>
        <w:t xml:space="preserve"> </w:t>
      </w:r>
      <w:r>
        <w:rPr>
          <w:spacing w:val="-1"/>
        </w:rPr>
        <w:t>are</w:t>
      </w:r>
      <w:r>
        <w:rPr>
          <w:spacing w:val="2"/>
        </w:rPr>
        <w:t xml:space="preserve"> </w:t>
      </w:r>
      <w:r>
        <w:t>working</w:t>
      </w:r>
      <w:r>
        <w:rPr>
          <w:spacing w:val="1"/>
        </w:rPr>
        <w:t xml:space="preserve"> </w:t>
      </w:r>
      <w:r>
        <w:t>really</w:t>
      </w:r>
      <w:r>
        <w:rPr>
          <w:spacing w:val="-1"/>
        </w:rPr>
        <w:t xml:space="preserve"> hard</w:t>
      </w:r>
      <w:r>
        <w:rPr>
          <w:spacing w:val="3"/>
        </w:rPr>
        <w:t xml:space="preserve"> </w:t>
      </w:r>
      <w:r>
        <w:t>to</w:t>
      </w:r>
      <w:r>
        <w:rPr>
          <w:spacing w:val="59"/>
        </w:rPr>
        <w:t xml:space="preserve"> </w:t>
      </w:r>
      <w:r>
        <w:t>try</w:t>
      </w:r>
      <w:r>
        <w:rPr>
          <w:spacing w:val="2"/>
        </w:rPr>
        <w:t xml:space="preserve"> </w:t>
      </w:r>
      <w:r>
        <w:t>to</w:t>
      </w:r>
      <w:r>
        <w:rPr>
          <w:spacing w:val="7"/>
        </w:rPr>
        <w:t xml:space="preserve"> </w:t>
      </w:r>
      <w:r>
        <w:rPr>
          <w:spacing w:val="-1"/>
        </w:rPr>
        <w:t>reinvigorate</w:t>
      </w:r>
      <w:r>
        <w:rPr>
          <w:spacing w:val="6"/>
        </w:rPr>
        <w:t xml:space="preserve"> </w:t>
      </w:r>
      <w:r>
        <w:t>the</w:t>
      </w:r>
      <w:r>
        <w:rPr>
          <w:spacing w:val="8"/>
        </w:rPr>
        <w:t xml:space="preserve"> </w:t>
      </w:r>
      <w:r>
        <w:rPr>
          <w:spacing w:val="-1"/>
        </w:rPr>
        <w:t>whole-of-government</w:t>
      </w:r>
      <w:r>
        <w:rPr>
          <w:spacing w:val="7"/>
        </w:rPr>
        <w:t xml:space="preserve"> </w:t>
      </w:r>
      <w:r>
        <w:rPr>
          <w:spacing w:val="-1"/>
        </w:rPr>
        <w:t>staff</w:t>
      </w:r>
      <w:r>
        <w:rPr>
          <w:spacing w:val="6"/>
        </w:rPr>
        <w:t xml:space="preserve"> </w:t>
      </w:r>
      <w:r>
        <w:rPr>
          <w:spacing w:val="-1"/>
        </w:rPr>
        <w:t>network.</w:t>
      </w:r>
      <w:r>
        <w:rPr>
          <w:spacing w:val="9"/>
        </w:rPr>
        <w:t xml:space="preserve"> </w:t>
      </w:r>
      <w:r>
        <w:t>I</w:t>
      </w:r>
      <w:r>
        <w:rPr>
          <w:spacing w:val="3"/>
        </w:rPr>
        <w:t xml:space="preserve"> </w:t>
      </w:r>
      <w:r>
        <w:t>know</w:t>
      </w:r>
      <w:r>
        <w:rPr>
          <w:spacing w:val="6"/>
        </w:rPr>
        <w:t xml:space="preserve"> </w:t>
      </w:r>
      <w:r>
        <w:t>a</w:t>
      </w:r>
      <w:r>
        <w:rPr>
          <w:spacing w:val="8"/>
        </w:rPr>
        <w:t xml:space="preserve"> </w:t>
      </w:r>
      <w:r>
        <w:t>number</w:t>
      </w:r>
      <w:r>
        <w:rPr>
          <w:spacing w:val="5"/>
        </w:rPr>
        <w:t xml:space="preserve"> </w:t>
      </w:r>
      <w:r>
        <w:t>of</w:t>
      </w:r>
      <w:r>
        <w:rPr>
          <w:spacing w:val="67"/>
        </w:rPr>
        <w:t xml:space="preserve"> </w:t>
      </w:r>
      <w:r>
        <w:rPr>
          <w:spacing w:val="-1"/>
        </w:rPr>
        <w:t>directorates</w:t>
      </w:r>
      <w:r>
        <w:rPr>
          <w:spacing w:val="14"/>
        </w:rPr>
        <w:t xml:space="preserve"> </w:t>
      </w:r>
      <w:r>
        <w:rPr>
          <w:spacing w:val="-1"/>
        </w:rPr>
        <w:t>have</w:t>
      </w:r>
      <w:r>
        <w:rPr>
          <w:spacing w:val="13"/>
        </w:rPr>
        <w:t xml:space="preserve"> </w:t>
      </w:r>
      <w:r>
        <w:t>individual</w:t>
      </w:r>
      <w:r>
        <w:rPr>
          <w:spacing w:val="14"/>
        </w:rPr>
        <w:t xml:space="preserve"> </w:t>
      </w:r>
      <w:r>
        <w:rPr>
          <w:spacing w:val="-1"/>
        </w:rPr>
        <w:t>networks,</w:t>
      </w:r>
      <w:r>
        <w:rPr>
          <w:spacing w:val="14"/>
        </w:rPr>
        <w:t xml:space="preserve"> </w:t>
      </w:r>
      <w:r>
        <w:t>but</w:t>
      </w:r>
      <w:r>
        <w:rPr>
          <w:spacing w:val="14"/>
        </w:rPr>
        <w:t xml:space="preserve"> </w:t>
      </w:r>
      <w:r>
        <w:t>we</w:t>
      </w:r>
      <w:r>
        <w:rPr>
          <w:spacing w:val="12"/>
        </w:rPr>
        <w:t xml:space="preserve"> </w:t>
      </w:r>
      <w:r>
        <w:rPr>
          <w:spacing w:val="-1"/>
        </w:rPr>
        <w:t>are</w:t>
      </w:r>
      <w:r>
        <w:rPr>
          <w:spacing w:val="14"/>
        </w:rPr>
        <w:t xml:space="preserve"> </w:t>
      </w:r>
      <w:r>
        <w:t>looking</w:t>
      </w:r>
      <w:r>
        <w:rPr>
          <w:spacing w:val="11"/>
        </w:rPr>
        <w:t xml:space="preserve"> </w:t>
      </w:r>
      <w:r>
        <w:rPr>
          <w:spacing w:val="-1"/>
        </w:rPr>
        <w:t>at</w:t>
      </w:r>
      <w:r>
        <w:rPr>
          <w:spacing w:val="14"/>
        </w:rPr>
        <w:t xml:space="preserve"> </w:t>
      </w:r>
      <w:r>
        <w:rPr>
          <w:spacing w:val="-1"/>
        </w:rPr>
        <w:t>what</w:t>
      </w:r>
      <w:r>
        <w:rPr>
          <w:spacing w:val="14"/>
        </w:rPr>
        <w:t xml:space="preserve"> </w:t>
      </w:r>
      <w:r>
        <w:t>we</w:t>
      </w:r>
      <w:r>
        <w:rPr>
          <w:spacing w:val="12"/>
        </w:rPr>
        <w:t xml:space="preserve"> </w:t>
      </w:r>
      <w:r>
        <w:rPr>
          <w:spacing w:val="-1"/>
        </w:rPr>
        <w:t>can</w:t>
      </w:r>
      <w:r>
        <w:rPr>
          <w:spacing w:val="14"/>
        </w:rPr>
        <w:t xml:space="preserve"> </w:t>
      </w:r>
      <w:r>
        <w:t>do</w:t>
      </w:r>
      <w:r>
        <w:rPr>
          <w:spacing w:val="14"/>
        </w:rPr>
        <w:t xml:space="preserve"> </w:t>
      </w:r>
      <w:r>
        <w:t>to</w:t>
      </w:r>
      <w:r>
        <w:rPr>
          <w:spacing w:val="14"/>
        </w:rPr>
        <w:t xml:space="preserve"> </w:t>
      </w:r>
      <w:r>
        <w:rPr>
          <w:spacing w:val="-1"/>
        </w:rPr>
        <w:t>bring</w:t>
      </w:r>
      <w:r>
        <w:rPr>
          <w:spacing w:val="57"/>
        </w:rPr>
        <w:t xml:space="preserve"> </w:t>
      </w:r>
      <w:r>
        <w:t>the</w:t>
      </w:r>
      <w:r>
        <w:rPr>
          <w:spacing w:val="25"/>
        </w:rPr>
        <w:t xml:space="preserve"> </w:t>
      </w:r>
      <w:r>
        <w:rPr>
          <w:spacing w:val="-1"/>
        </w:rPr>
        <w:t>Aboriginal</w:t>
      </w:r>
      <w:r>
        <w:rPr>
          <w:spacing w:val="27"/>
        </w:rPr>
        <w:t xml:space="preserve"> </w:t>
      </w:r>
      <w:r>
        <w:rPr>
          <w:spacing w:val="-1"/>
        </w:rPr>
        <w:t>and</w:t>
      </w:r>
      <w:r>
        <w:rPr>
          <w:spacing w:val="26"/>
        </w:rPr>
        <w:t xml:space="preserve"> </w:t>
      </w:r>
      <w:r>
        <w:rPr>
          <w:spacing w:val="-1"/>
        </w:rPr>
        <w:t>Torres</w:t>
      </w:r>
      <w:r>
        <w:rPr>
          <w:spacing w:val="26"/>
        </w:rPr>
        <w:t xml:space="preserve"> </w:t>
      </w:r>
      <w:r>
        <w:rPr>
          <w:spacing w:val="-1"/>
        </w:rPr>
        <w:t>Strait</w:t>
      </w:r>
      <w:r>
        <w:rPr>
          <w:spacing w:val="29"/>
        </w:rPr>
        <w:t xml:space="preserve"> </w:t>
      </w:r>
      <w:r>
        <w:rPr>
          <w:spacing w:val="-1"/>
        </w:rPr>
        <w:t>Islander</w:t>
      </w:r>
      <w:r>
        <w:rPr>
          <w:spacing w:val="25"/>
        </w:rPr>
        <w:t xml:space="preserve"> </w:t>
      </w:r>
      <w:r>
        <w:t>staff</w:t>
      </w:r>
      <w:r>
        <w:rPr>
          <w:spacing w:val="25"/>
        </w:rPr>
        <w:t xml:space="preserve"> </w:t>
      </w:r>
      <w:r>
        <w:rPr>
          <w:spacing w:val="-1"/>
        </w:rPr>
        <w:t>network</w:t>
      </w:r>
      <w:r>
        <w:rPr>
          <w:spacing w:val="25"/>
        </w:rPr>
        <w:t xml:space="preserve"> </w:t>
      </w:r>
      <w:r>
        <w:t>into</w:t>
      </w:r>
      <w:r>
        <w:rPr>
          <w:spacing w:val="26"/>
        </w:rPr>
        <w:t xml:space="preserve"> </w:t>
      </w:r>
      <w:r>
        <w:t>something</w:t>
      </w:r>
      <w:r>
        <w:rPr>
          <w:spacing w:val="23"/>
        </w:rPr>
        <w:t xml:space="preserve"> </w:t>
      </w:r>
      <w:r>
        <w:t>that</w:t>
      </w:r>
      <w:r>
        <w:rPr>
          <w:spacing w:val="26"/>
        </w:rPr>
        <w:t xml:space="preserve"> </w:t>
      </w:r>
      <w:r>
        <w:t>is</w:t>
      </w:r>
      <w:r>
        <w:rPr>
          <w:spacing w:val="57"/>
        </w:rPr>
        <w:t xml:space="preserve"> </w:t>
      </w:r>
      <w:r>
        <w:rPr>
          <w:spacing w:val="-1"/>
        </w:rPr>
        <w:t>workable</w:t>
      </w:r>
      <w:r>
        <w:rPr>
          <w:spacing w:val="1"/>
        </w:rPr>
        <w:t xml:space="preserve"> </w:t>
      </w:r>
      <w:r>
        <w:rPr>
          <w:spacing w:val="-1"/>
        </w:rPr>
        <w:t>and</w:t>
      </w:r>
      <w:r>
        <w:rPr>
          <w:spacing w:val="2"/>
        </w:rPr>
        <w:t xml:space="preserve"> </w:t>
      </w:r>
      <w:r>
        <w:t>something</w:t>
      </w:r>
      <w:r>
        <w:rPr>
          <w:spacing w:val="2"/>
        </w:rPr>
        <w:t xml:space="preserve"> </w:t>
      </w:r>
      <w:r>
        <w:rPr>
          <w:spacing w:val="-1"/>
        </w:rPr>
        <w:t>staff</w:t>
      </w:r>
      <w:r>
        <w:rPr>
          <w:spacing w:val="1"/>
        </w:rPr>
        <w:t xml:space="preserve"> </w:t>
      </w:r>
      <w:r>
        <w:rPr>
          <w:spacing w:val="-1"/>
        </w:rPr>
        <w:t>want</w:t>
      </w:r>
      <w:r>
        <w:rPr>
          <w:spacing w:val="2"/>
        </w:rPr>
        <w:t xml:space="preserve"> </w:t>
      </w:r>
      <w:r>
        <w:rPr>
          <w:spacing w:val="-1"/>
        </w:rPr>
        <w:t>and</w:t>
      </w:r>
      <w:r>
        <w:rPr>
          <w:spacing w:val="4"/>
        </w:rPr>
        <w:t xml:space="preserve"> </w:t>
      </w:r>
      <w:r>
        <w:rPr>
          <w:spacing w:val="-1"/>
        </w:rPr>
        <w:t>rather</w:t>
      </w:r>
      <w:r>
        <w:t xml:space="preserve"> than</w:t>
      </w:r>
      <w:r>
        <w:rPr>
          <w:spacing w:val="2"/>
        </w:rPr>
        <w:t xml:space="preserve"> </w:t>
      </w:r>
      <w:r>
        <w:t>something</w:t>
      </w:r>
      <w:r>
        <w:rPr>
          <w:spacing w:val="-1"/>
        </w:rPr>
        <w:t xml:space="preserve"> </w:t>
      </w:r>
      <w:r>
        <w:t>that</w:t>
      </w:r>
      <w:r>
        <w:rPr>
          <w:spacing w:val="2"/>
        </w:rPr>
        <w:t xml:space="preserve"> </w:t>
      </w:r>
      <w:r>
        <w:t>is</w:t>
      </w:r>
      <w:r>
        <w:rPr>
          <w:spacing w:val="2"/>
        </w:rPr>
        <w:t xml:space="preserve"> </w:t>
      </w:r>
      <w:r>
        <w:t>imposed</w:t>
      </w:r>
      <w:r>
        <w:rPr>
          <w:spacing w:val="1"/>
        </w:rPr>
        <w:t xml:space="preserve"> </w:t>
      </w:r>
      <w:r>
        <w:t>on</w:t>
      </w:r>
      <w:r>
        <w:rPr>
          <w:spacing w:val="2"/>
        </w:rPr>
        <w:t xml:space="preserve"> </w:t>
      </w:r>
      <w:r>
        <w:t>them.</w:t>
      </w:r>
      <w:r w:rsidR="002A6F20">
        <w:rPr>
          <w:rStyle w:val="FootnoteReference"/>
        </w:rPr>
        <w:footnoteReference w:id="99"/>
      </w:r>
    </w:p>
    <w:p w:rsidR="00D3357C" w:rsidRDefault="007235EF" w:rsidP="007235EF">
      <w:pPr>
        <w:pStyle w:val="Bodytext"/>
      </w:pPr>
      <w:r>
        <w:t>The Committee notes 50 percent of ACTPS agencies have Aboriginal and Torres Strait Islander networks.</w:t>
      </w:r>
      <w:r>
        <w:rPr>
          <w:rStyle w:val="FootnoteReference"/>
        </w:rPr>
        <w:footnoteReference w:id="100"/>
      </w:r>
      <w:r>
        <w:t xml:space="preserve"> </w:t>
      </w:r>
      <w:r w:rsidR="00D3357C">
        <w:t xml:space="preserve"> </w:t>
      </w:r>
    </w:p>
    <w:p w:rsidR="00D3357C" w:rsidRDefault="007235EF" w:rsidP="007235EF">
      <w:pPr>
        <w:pStyle w:val="Bodytext"/>
      </w:pPr>
      <w:r>
        <w:t xml:space="preserve">The Committee notes that various submissions and witnesses refer to the importance of a flexible and supportive working environment and the Committee recognises networks are an important element of this.  The Committee fully endorses the development of the </w:t>
      </w:r>
      <w:r w:rsidRPr="00FE591C">
        <w:t>ACTPS Indigenous Network</w:t>
      </w:r>
      <w:r>
        <w:t xml:space="preserve"> and believes it has the potential to be an important part of achieving the Employment Strategy’s objectives.</w:t>
      </w:r>
      <w:r w:rsidR="00D3357C">
        <w:t xml:space="preserve"> </w:t>
      </w:r>
    </w:p>
    <w:p w:rsidR="007235EF" w:rsidRDefault="007235EF" w:rsidP="00D3357C">
      <w:pPr>
        <w:pStyle w:val="Recommendation"/>
      </w:pPr>
      <w:bookmarkStart w:id="117" w:name="_Toc384024396"/>
      <w:bookmarkEnd w:id="117"/>
    </w:p>
    <w:p w:rsidR="00D3357C" w:rsidRDefault="00D3357C" w:rsidP="00D3357C">
      <w:pPr>
        <w:pStyle w:val="RecommendationText"/>
      </w:pPr>
      <w:bookmarkStart w:id="118" w:name="_Toc384024397"/>
      <w:r>
        <w:t xml:space="preserve">The Committee recommends that the </w:t>
      </w:r>
      <w:r w:rsidR="00323080">
        <w:t>ACT Public Service</w:t>
      </w:r>
      <w:r>
        <w:t xml:space="preserve"> take steps to ensure the </w:t>
      </w:r>
      <w:r w:rsidR="004D5416" w:rsidRPr="00FE591C">
        <w:t>ACT</w:t>
      </w:r>
      <w:r w:rsidR="00441E2F" w:rsidRPr="00FE591C">
        <w:t>PS</w:t>
      </w:r>
      <w:r w:rsidR="004D5416" w:rsidRPr="00FE591C">
        <w:t xml:space="preserve"> Indigenous </w:t>
      </w:r>
      <w:r w:rsidRPr="00FE591C">
        <w:t xml:space="preserve">Network </w:t>
      </w:r>
      <w:r>
        <w:t xml:space="preserve">is revitalised and recognised as a valuable resource to all Aboriginal and Torres Strait Islander employees in the </w:t>
      </w:r>
      <w:r w:rsidR="00323080">
        <w:t>ACT Public Service</w:t>
      </w:r>
      <w:r>
        <w:t>.</w:t>
      </w:r>
      <w:bookmarkEnd w:id="118"/>
      <w:r>
        <w:t xml:space="preserve"> </w:t>
      </w:r>
    </w:p>
    <w:p w:rsidR="002C445E" w:rsidRPr="002C445E" w:rsidRDefault="002C445E" w:rsidP="002C445E">
      <w:pPr>
        <w:pStyle w:val="Recommendation"/>
      </w:pPr>
      <w:bookmarkStart w:id="119" w:name="_Toc384024398"/>
      <w:bookmarkEnd w:id="119"/>
    </w:p>
    <w:p w:rsidR="00D3357C" w:rsidRDefault="00D3357C" w:rsidP="00D3357C">
      <w:pPr>
        <w:pStyle w:val="RecommendationText"/>
      </w:pPr>
      <w:bookmarkStart w:id="120" w:name="_Toc384024399"/>
      <w:r>
        <w:t xml:space="preserve">The Committee recommends that the </w:t>
      </w:r>
      <w:r w:rsidR="00362151" w:rsidRPr="00FE591C">
        <w:t>A</w:t>
      </w:r>
      <w:r w:rsidR="00FE591C" w:rsidRPr="00FE591C">
        <w:t xml:space="preserve">CT </w:t>
      </w:r>
      <w:r w:rsidRPr="00FE591C">
        <w:t>Public Service Indigenous Network</w:t>
      </w:r>
      <w:r>
        <w:t xml:space="preserve"> </w:t>
      </w:r>
      <w:r w:rsidR="009C45C0">
        <w:t xml:space="preserve">meet </w:t>
      </w:r>
      <w:r w:rsidR="00441E2F">
        <w:t>regularly</w:t>
      </w:r>
      <w:r w:rsidR="009C45C0">
        <w:t xml:space="preserve"> to discuss issues associated with the implementation of the </w:t>
      </w:r>
      <w:r w:rsidR="00323080">
        <w:rPr>
          <w:i/>
        </w:rPr>
        <w:t xml:space="preserve">ACT Public Service </w:t>
      </w:r>
      <w:r w:rsidR="009C45C0" w:rsidRPr="004D5416">
        <w:rPr>
          <w:i/>
        </w:rPr>
        <w:t xml:space="preserve"> Employment Strategy for Aboriginal and Torres Strait Islander</w:t>
      </w:r>
      <w:r w:rsidR="00FE591C">
        <w:rPr>
          <w:i/>
        </w:rPr>
        <w:t>People.</w:t>
      </w:r>
      <w:bookmarkEnd w:id="120"/>
      <w:r w:rsidR="009C45C0">
        <w:t xml:space="preserve"> </w:t>
      </w:r>
    </w:p>
    <w:p w:rsidR="002C445E" w:rsidRPr="00581F10" w:rsidRDefault="002C445E" w:rsidP="002C445E">
      <w:pPr>
        <w:pStyle w:val="Recommendation"/>
      </w:pPr>
      <w:bookmarkStart w:id="121" w:name="_Toc384024400"/>
      <w:bookmarkEnd w:id="121"/>
    </w:p>
    <w:p w:rsidR="009C45C0" w:rsidRPr="00581F10" w:rsidRDefault="009C45C0" w:rsidP="009C45C0">
      <w:pPr>
        <w:pStyle w:val="RecommendationText"/>
      </w:pPr>
      <w:bookmarkStart w:id="122" w:name="_Toc384024401"/>
      <w:r w:rsidRPr="00581F10">
        <w:t xml:space="preserve">The Committee recommends that the Office of Aboriginal and Torres Strait Islander Affairs report on the operation of the </w:t>
      </w:r>
      <w:r w:rsidR="004D5416" w:rsidRPr="00581F10">
        <w:t>ACT</w:t>
      </w:r>
      <w:r w:rsidR="00441E2F" w:rsidRPr="00581F10">
        <w:t>PS</w:t>
      </w:r>
      <w:r w:rsidR="004D5416" w:rsidRPr="00581F10">
        <w:t xml:space="preserve"> Indigenous </w:t>
      </w:r>
      <w:r w:rsidRPr="00581F10">
        <w:t>Network in the annual report of the Chief Minister and Treasury Directorate.</w:t>
      </w:r>
      <w:bookmarkEnd w:id="122"/>
      <w:r w:rsidRPr="00581F10">
        <w:t xml:space="preserve"> </w:t>
      </w:r>
    </w:p>
    <w:p w:rsidR="007235EF" w:rsidRDefault="007235EF" w:rsidP="00D35FCB">
      <w:pPr>
        <w:pStyle w:val="Headinglevel3"/>
      </w:pPr>
      <w:r>
        <w:t>Critical mass</w:t>
      </w:r>
    </w:p>
    <w:p w:rsidR="007235EF" w:rsidRDefault="007235EF" w:rsidP="007235EF">
      <w:pPr>
        <w:pStyle w:val="Bodytext"/>
      </w:pPr>
      <w:r>
        <w:t xml:space="preserve"> The Committee sees that networks are associated with the concept of critical mass.  Professor Matthew Gray, Director of the Australian National University’s Centre for Aboriginal Economic Policy Research, explained that there are critical mass or threshold issues involved in achieving the outcomes desired in the Employment Strategy.  He said:</w:t>
      </w:r>
    </w:p>
    <w:p w:rsidR="007235EF" w:rsidRDefault="007235EF" w:rsidP="007235EF">
      <w:pPr>
        <w:pStyle w:val="Quote"/>
      </w:pPr>
      <w:r>
        <w:t>It is not such an issue in the ACT because the ACT, I think, has about the highest employment rate of Indigenous people in Australia. The ACT’s performance overall as a labour market is very strong compared to the rest of Australia. But partly it is the threshold issue. Where you have got very low employment rates, for the first few people who get work it is harder. But also it is hardest for the first few people coming into a particular workplace. There are threshold issues and there are issues to do with it being very hard for a single person.  If you have got a group, a cohort that can support people, this is very important.</w:t>
      </w:r>
      <w:r w:rsidR="002A6F20">
        <w:rPr>
          <w:rStyle w:val="FootnoteReference"/>
        </w:rPr>
        <w:footnoteReference w:id="101"/>
      </w:r>
      <w:r>
        <w:t xml:space="preserve"> </w:t>
      </w:r>
    </w:p>
    <w:p w:rsidR="007235EF" w:rsidRDefault="007235EF" w:rsidP="007235EF">
      <w:pPr>
        <w:pStyle w:val="Bodytext"/>
      </w:pPr>
      <w:r>
        <w:t xml:space="preserve">Professor Gray went to say that Australia’s banks, such as the ANZ and the National Australia Bank (NAB) are making a significant effort to ensure they achieve a critical mass with their Indigenous staffing.  Their strategies involve identifying children in school, offering cadetships and traineeships etc.  He stated: </w:t>
      </w:r>
    </w:p>
    <w:p w:rsidR="007235EF" w:rsidRDefault="007235EF" w:rsidP="007235EF">
      <w:pPr>
        <w:pStyle w:val="Quote"/>
      </w:pPr>
      <w:r>
        <w:t>They are not expensive [things to do]. The wages paid in those roles are pretty low, and then that can help encourage them to go on with education.  For most people, if you cannot see any prospect of return from your education, people tend to lose interest pretty quickly. But if they can see it might lead to this, then for those who have got the aptitude and the background, it really does motivate peop</w:t>
      </w:r>
      <w:r w:rsidR="00414B05">
        <w:t>le to continue on in education.</w:t>
      </w:r>
      <w:r w:rsidR="00414B05">
        <w:rPr>
          <w:rStyle w:val="FootnoteReference"/>
        </w:rPr>
        <w:footnoteReference w:id="102"/>
      </w:r>
    </w:p>
    <w:p w:rsidR="007235EF" w:rsidRDefault="007235EF" w:rsidP="007235EF">
      <w:pPr>
        <w:pStyle w:val="Bodytext"/>
      </w:pPr>
      <w:r>
        <w:t xml:space="preserve">The Committee notes related comments made by Dr Kate Barnett, Deputy Director of WISeR: </w:t>
      </w:r>
    </w:p>
    <w:p w:rsidR="007235EF" w:rsidRDefault="007235EF" w:rsidP="007235EF">
      <w:pPr>
        <w:pStyle w:val="Quote"/>
      </w:pPr>
      <w:r>
        <w:rPr>
          <w:spacing w:val="-3"/>
        </w:rPr>
        <w:t>If</w:t>
      </w:r>
      <w:r>
        <w:rPr>
          <w:spacing w:val="11"/>
        </w:rPr>
        <w:t xml:space="preserve"> </w:t>
      </w:r>
      <w:r>
        <w:rPr>
          <w:spacing w:val="-2"/>
        </w:rPr>
        <w:t>you</w:t>
      </w:r>
      <w:r>
        <w:rPr>
          <w:spacing w:val="6"/>
        </w:rPr>
        <w:t xml:space="preserve"> </w:t>
      </w:r>
      <w:r>
        <w:rPr>
          <w:spacing w:val="-1"/>
        </w:rPr>
        <w:t>have</w:t>
      </w:r>
      <w:r>
        <w:rPr>
          <w:spacing w:val="6"/>
        </w:rPr>
        <w:t xml:space="preserve"> </w:t>
      </w:r>
      <w:r>
        <w:t>a</w:t>
      </w:r>
      <w:r>
        <w:rPr>
          <w:spacing w:val="6"/>
        </w:rPr>
        <w:t xml:space="preserve"> </w:t>
      </w:r>
      <w:r>
        <w:t>small</w:t>
      </w:r>
      <w:r>
        <w:rPr>
          <w:spacing w:val="51"/>
        </w:rPr>
        <w:t xml:space="preserve"> </w:t>
      </w:r>
      <w:r>
        <w:t>unit</w:t>
      </w:r>
      <w:r>
        <w:rPr>
          <w:spacing w:val="34"/>
        </w:rPr>
        <w:t xml:space="preserve"> </w:t>
      </w:r>
      <w:r>
        <w:t>of</w:t>
      </w:r>
      <w:r>
        <w:rPr>
          <w:spacing w:val="32"/>
        </w:rPr>
        <w:t xml:space="preserve"> </w:t>
      </w:r>
      <w:r>
        <w:rPr>
          <w:spacing w:val="-1"/>
        </w:rPr>
        <w:t>seven</w:t>
      </w:r>
      <w:r>
        <w:rPr>
          <w:spacing w:val="33"/>
        </w:rPr>
        <w:t xml:space="preserve"> </w:t>
      </w:r>
      <w:r>
        <w:rPr>
          <w:spacing w:val="-1"/>
        </w:rPr>
        <w:t>people</w:t>
      </w:r>
      <w:r>
        <w:rPr>
          <w:spacing w:val="32"/>
        </w:rPr>
        <w:t xml:space="preserve"> </w:t>
      </w:r>
      <w:r>
        <w:t>and</w:t>
      </w:r>
      <w:r>
        <w:rPr>
          <w:spacing w:val="35"/>
        </w:rPr>
        <w:t xml:space="preserve"> </w:t>
      </w:r>
      <w:r>
        <w:rPr>
          <w:spacing w:val="-2"/>
        </w:rPr>
        <w:t>you</w:t>
      </w:r>
      <w:r>
        <w:rPr>
          <w:spacing w:val="33"/>
        </w:rPr>
        <w:t xml:space="preserve"> </w:t>
      </w:r>
      <w:r>
        <w:rPr>
          <w:spacing w:val="-1"/>
        </w:rPr>
        <w:t>want</w:t>
      </w:r>
      <w:r>
        <w:rPr>
          <w:spacing w:val="33"/>
        </w:rPr>
        <w:t xml:space="preserve"> </w:t>
      </w:r>
      <w:r>
        <w:t>to</w:t>
      </w:r>
      <w:r>
        <w:rPr>
          <w:spacing w:val="33"/>
        </w:rPr>
        <w:t xml:space="preserve"> </w:t>
      </w:r>
      <w:r>
        <w:t>bring</w:t>
      </w:r>
      <w:r>
        <w:rPr>
          <w:spacing w:val="30"/>
        </w:rPr>
        <w:t xml:space="preserve"> </w:t>
      </w:r>
      <w:r>
        <w:t>in</w:t>
      </w:r>
      <w:r>
        <w:rPr>
          <w:spacing w:val="36"/>
        </w:rPr>
        <w:t xml:space="preserve"> </w:t>
      </w:r>
      <w:r>
        <w:t>one</w:t>
      </w:r>
      <w:r>
        <w:rPr>
          <w:spacing w:val="32"/>
        </w:rPr>
        <w:t xml:space="preserve"> </w:t>
      </w:r>
      <w:r>
        <w:rPr>
          <w:spacing w:val="-1"/>
        </w:rPr>
        <w:t>Aboriginal</w:t>
      </w:r>
      <w:r>
        <w:rPr>
          <w:spacing w:val="33"/>
        </w:rPr>
        <w:t xml:space="preserve"> </w:t>
      </w:r>
      <w:r>
        <w:rPr>
          <w:spacing w:val="-1"/>
        </w:rPr>
        <w:t>person,</w:t>
      </w:r>
      <w:r>
        <w:rPr>
          <w:spacing w:val="35"/>
        </w:rPr>
        <w:t xml:space="preserve"> </w:t>
      </w:r>
      <w:r>
        <w:t>how</w:t>
      </w:r>
      <w:r>
        <w:rPr>
          <w:spacing w:val="32"/>
        </w:rPr>
        <w:t xml:space="preserve"> </w:t>
      </w:r>
      <w:r>
        <w:t>do</w:t>
      </w:r>
      <w:r>
        <w:rPr>
          <w:spacing w:val="35"/>
        </w:rPr>
        <w:t xml:space="preserve"> </w:t>
      </w:r>
      <w:r>
        <w:t>you</w:t>
      </w:r>
      <w:r>
        <w:rPr>
          <w:spacing w:val="55"/>
        </w:rPr>
        <w:t xml:space="preserve"> </w:t>
      </w:r>
      <w:r>
        <w:rPr>
          <w:spacing w:val="-1"/>
        </w:rPr>
        <w:t>bring</w:t>
      </w:r>
      <w:r>
        <w:t xml:space="preserve"> in</w:t>
      </w:r>
      <w:r>
        <w:rPr>
          <w:spacing w:val="4"/>
        </w:rPr>
        <w:t xml:space="preserve"> </w:t>
      </w:r>
      <w:r>
        <w:rPr>
          <w:spacing w:val="-1"/>
        </w:rPr>
        <w:t>three?</w:t>
      </w:r>
      <w:r>
        <w:rPr>
          <w:spacing w:val="5"/>
        </w:rPr>
        <w:t xml:space="preserve"> </w:t>
      </w:r>
      <w:r>
        <w:t>You</w:t>
      </w:r>
      <w:r>
        <w:rPr>
          <w:spacing w:val="1"/>
        </w:rPr>
        <w:t xml:space="preserve"> </w:t>
      </w:r>
      <w:r>
        <w:t>cannot.</w:t>
      </w:r>
      <w:r>
        <w:rPr>
          <w:spacing w:val="2"/>
        </w:rPr>
        <w:t xml:space="preserve">  </w:t>
      </w:r>
      <w:r>
        <w:rPr>
          <w:spacing w:val="-1"/>
        </w:rPr>
        <w:t>But</w:t>
      </w:r>
      <w:r>
        <w:rPr>
          <w:spacing w:val="7"/>
        </w:rPr>
        <w:t xml:space="preserve"> </w:t>
      </w:r>
      <w:r>
        <w:rPr>
          <w:spacing w:val="-2"/>
        </w:rPr>
        <w:t>you</w:t>
      </w:r>
      <w:r>
        <w:rPr>
          <w:spacing w:val="2"/>
        </w:rPr>
        <w:t xml:space="preserve"> </w:t>
      </w:r>
      <w:r>
        <w:t>might</w:t>
      </w:r>
      <w:r>
        <w:rPr>
          <w:spacing w:val="2"/>
        </w:rPr>
        <w:t xml:space="preserve"> </w:t>
      </w:r>
      <w:r>
        <w:t>have</w:t>
      </w:r>
      <w:r>
        <w:rPr>
          <w:spacing w:val="3"/>
        </w:rPr>
        <w:t xml:space="preserve"> </w:t>
      </w:r>
      <w:r>
        <w:t>a</w:t>
      </w:r>
      <w:r>
        <w:rPr>
          <w:spacing w:val="1"/>
        </w:rPr>
        <w:t xml:space="preserve"> </w:t>
      </w:r>
      <w:r>
        <w:t>supportive</w:t>
      </w:r>
      <w:r>
        <w:rPr>
          <w:spacing w:val="1"/>
        </w:rPr>
        <w:t xml:space="preserve"> </w:t>
      </w:r>
      <w:r>
        <w:t>network</w:t>
      </w:r>
      <w:r>
        <w:rPr>
          <w:spacing w:val="1"/>
        </w:rPr>
        <w:t xml:space="preserve"> </w:t>
      </w:r>
      <w:r>
        <w:t>of</w:t>
      </w:r>
      <w:r>
        <w:rPr>
          <w:spacing w:val="1"/>
        </w:rPr>
        <w:t xml:space="preserve"> </w:t>
      </w:r>
      <w:r>
        <w:t>other</w:t>
      </w:r>
      <w:r>
        <w:rPr>
          <w:spacing w:val="28"/>
        </w:rPr>
        <w:t xml:space="preserve"> </w:t>
      </w:r>
      <w:r>
        <w:rPr>
          <w:spacing w:val="-1"/>
        </w:rPr>
        <w:t>Aboriginal</w:t>
      </w:r>
      <w:r>
        <w:rPr>
          <w:spacing w:val="21"/>
        </w:rPr>
        <w:t xml:space="preserve"> </w:t>
      </w:r>
      <w:r>
        <w:rPr>
          <w:spacing w:val="-1"/>
        </w:rPr>
        <w:t>employees</w:t>
      </w:r>
      <w:r>
        <w:rPr>
          <w:spacing w:val="21"/>
        </w:rPr>
        <w:t xml:space="preserve"> </w:t>
      </w:r>
      <w:r>
        <w:t>who</w:t>
      </w:r>
      <w:r>
        <w:rPr>
          <w:spacing w:val="21"/>
        </w:rPr>
        <w:t xml:space="preserve"> </w:t>
      </w:r>
      <w:r>
        <w:rPr>
          <w:spacing w:val="-1"/>
        </w:rPr>
        <w:t>are</w:t>
      </w:r>
      <w:r>
        <w:rPr>
          <w:spacing w:val="19"/>
        </w:rPr>
        <w:t xml:space="preserve"> </w:t>
      </w:r>
      <w:r>
        <w:rPr>
          <w:spacing w:val="-1"/>
        </w:rPr>
        <w:t>spread</w:t>
      </w:r>
      <w:r>
        <w:rPr>
          <w:spacing w:val="21"/>
        </w:rPr>
        <w:t xml:space="preserve"> </w:t>
      </w:r>
      <w:r>
        <w:t>across</w:t>
      </w:r>
      <w:r>
        <w:rPr>
          <w:spacing w:val="21"/>
        </w:rPr>
        <w:t xml:space="preserve"> </w:t>
      </w:r>
      <w:r>
        <w:t>units</w:t>
      </w:r>
      <w:r>
        <w:rPr>
          <w:spacing w:val="22"/>
        </w:rPr>
        <w:t xml:space="preserve"> </w:t>
      </w:r>
      <w:r>
        <w:rPr>
          <w:spacing w:val="-1"/>
        </w:rPr>
        <w:t>and</w:t>
      </w:r>
      <w:r>
        <w:rPr>
          <w:spacing w:val="21"/>
        </w:rPr>
        <w:t xml:space="preserve"> </w:t>
      </w:r>
      <w:r>
        <w:t>be</w:t>
      </w:r>
      <w:r>
        <w:rPr>
          <w:spacing w:val="20"/>
        </w:rPr>
        <w:t xml:space="preserve"> </w:t>
      </w:r>
      <w:r>
        <w:rPr>
          <w:spacing w:val="-1"/>
        </w:rPr>
        <w:t>able</w:t>
      </w:r>
      <w:r>
        <w:rPr>
          <w:spacing w:val="20"/>
        </w:rPr>
        <w:t xml:space="preserve"> </w:t>
      </w:r>
      <w:r>
        <w:t>to</w:t>
      </w:r>
      <w:r>
        <w:rPr>
          <w:spacing w:val="21"/>
        </w:rPr>
        <w:t xml:space="preserve"> </w:t>
      </w:r>
      <w:r>
        <w:t>structure</w:t>
      </w:r>
      <w:r>
        <w:rPr>
          <w:spacing w:val="19"/>
        </w:rPr>
        <w:t xml:space="preserve"> </w:t>
      </w:r>
      <w:r>
        <w:t>it</w:t>
      </w:r>
      <w:r>
        <w:rPr>
          <w:spacing w:val="22"/>
        </w:rPr>
        <w:t xml:space="preserve"> </w:t>
      </w:r>
      <w:r>
        <w:t>so</w:t>
      </w:r>
      <w:r>
        <w:rPr>
          <w:spacing w:val="21"/>
        </w:rPr>
        <w:t xml:space="preserve"> </w:t>
      </w:r>
      <w:r>
        <w:t>that</w:t>
      </w:r>
      <w:r>
        <w:rPr>
          <w:spacing w:val="56"/>
        </w:rPr>
        <w:t xml:space="preserve"> </w:t>
      </w:r>
      <w:r>
        <w:t>they</w:t>
      </w:r>
      <w:r>
        <w:rPr>
          <w:spacing w:val="-1"/>
        </w:rPr>
        <w:t xml:space="preserve"> can</w:t>
      </w:r>
      <w:r>
        <w:rPr>
          <w:spacing w:val="2"/>
        </w:rPr>
        <w:t xml:space="preserve"> </w:t>
      </w:r>
      <w:r>
        <w:rPr>
          <w:spacing w:val="-1"/>
        </w:rPr>
        <w:t>meet</w:t>
      </w:r>
      <w:r>
        <w:rPr>
          <w:spacing w:val="2"/>
        </w:rPr>
        <w:t xml:space="preserve"> </w:t>
      </w:r>
      <w:r>
        <w:t>regularly</w:t>
      </w:r>
      <w:r>
        <w:rPr>
          <w:spacing w:val="-3"/>
        </w:rPr>
        <w:t xml:space="preserve"> </w:t>
      </w:r>
      <w:r>
        <w:t>and</w:t>
      </w:r>
      <w:r>
        <w:rPr>
          <w:spacing w:val="2"/>
        </w:rPr>
        <w:t xml:space="preserve"> </w:t>
      </w:r>
      <w:r>
        <w:t>their</w:t>
      </w:r>
      <w:r>
        <w:rPr>
          <w:spacing w:val="1"/>
        </w:rPr>
        <w:t xml:space="preserve"> </w:t>
      </w:r>
      <w:r>
        <w:rPr>
          <w:spacing w:val="-1"/>
        </w:rPr>
        <w:t>managers</w:t>
      </w:r>
      <w:r>
        <w:rPr>
          <w:spacing w:val="4"/>
        </w:rPr>
        <w:t xml:space="preserve"> </w:t>
      </w:r>
      <w:r>
        <w:t>will</w:t>
      </w:r>
      <w:r>
        <w:rPr>
          <w:spacing w:val="2"/>
        </w:rPr>
        <w:t xml:space="preserve"> </w:t>
      </w:r>
      <w:r>
        <w:rPr>
          <w:spacing w:val="-1"/>
        </w:rPr>
        <w:t>meet</w:t>
      </w:r>
      <w:r>
        <w:rPr>
          <w:spacing w:val="2"/>
        </w:rPr>
        <w:t xml:space="preserve"> </w:t>
      </w:r>
      <w:r>
        <w:rPr>
          <w:spacing w:val="-1"/>
        </w:rPr>
        <w:t>regularly</w:t>
      </w:r>
      <w:r>
        <w:rPr>
          <w:spacing w:val="-3"/>
        </w:rPr>
        <w:t xml:space="preserve"> </w:t>
      </w:r>
      <w:r>
        <w:t>to</w:t>
      </w:r>
      <w:r>
        <w:rPr>
          <w:spacing w:val="2"/>
        </w:rPr>
        <w:t xml:space="preserve"> </w:t>
      </w:r>
      <w:r>
        <w:t>overcome</w:t>
      </w:r>
      <w:r>
        <w:rPr>
          <w:spacing w:val="1"/>
        </w:rPr>
        <w:t xml:space="preserve"> </w:t>
      </w:r>
      <w:r>
        <w:t>that</w:t>
      </w:r>
      <w:r>
        <w:rPr>
          <w:spacing w:val="2"/>
        </w:rPr>
        <w:t xml:space="preserve"> </w:t>
      </w:r>
      <w:r>
        <w:rPr>
          <w:spacing w:val="-1"/>
        </w:rPr>
        <w:t>sense</w:t>
      </w:r>
      <w:r>
        <w:rPr>
          <w:spacing w:val="53"/>
        </w:rPr>
        <w:t xml:space="preserve"> </w:t>
      </w:r>
      <w:r>
        <w:t>of</w:t>
      </w:r>
      <w:r>
        <w:rPr>
          <w:spacing w:val="-1"/>
        </w:rPr>
        <w:t xml:space="preserve"> </w:t>
      </w:r>
      <w:r>
        <w:t xml:space="preserve">isolation, of </w:t>
      </w:r>
      <w:r>
        <w:rPr>
          <w:spacing w:val="-1"/>
        </w:rPr>
        <w:t>being</w:t>
      </w:r>
      <w:r>
        <w:rPr>
          <w:spacing w:val="-2"/>
        </w:rPr>
        <w:t xml:space="preserve"> </w:t>
      </w:r>
      <w:r>
        <w:t>the</w:t>
      </w:r>
      <w:r>
        <w:rPr>
          <w:spacing w:val="1"/>
        </w:rPr>
        <w:t xml:space="preserve"> </w:t>
      </w:r>
      <w:r>
        <w:rPr>
          <w:spacing w:val="-1"/>
        </w:rPr>
        <w:t>minority.</w:t>
      </w:r>
      <w:r>
        <w:rPr>
          <w:rStyle w:val="FootnoteReference"/>
          <w:spacing w:val="-1"/>
        </w:rPr>
        <w:footnoteReference w:id="103"/>
      </w:r>
    </w:p>
    <w:p w:rsidR="007235EF" w:rsidRDefault="007235EF" w:rsidP="007235EF">
      <w:pPr>
        <w:pStyle w:val="Bodytext"/>
      </w:pPr>
      <w:r>
        <w:t xml:space="preserve">The Committee recognises there are real and sometimes daunting challenges for anyone joining a new workplace and that this can be felt acutely by an Aboriginal and Torres Strait Islander person. </w:t>
      </w:r>
    </w:p>
    <w:p w:rsidR="007235EF" w:rsidRDefault="00414B05" w:rsidP="00D35FCB">
      <w:pPr>
        <w:pStyle w:val="Headinglevel3"/>
      </w:pPr>
      <w:r>
        <w:t xml:space="preserve">cultural </w:t>
      </w:r>
      <w:r w:rsidR="007235EF">
        <w:t xml:space="preserve">capital </w:t>
      </w:r>
    </w:p>
    <w:p w:rsidR="007235EF" w:rsidRDefault="007235EF" w:rsidP="007235EF">
      <w:pPr>
        <w:pStyle w:val="Bodytext"/>
      </w:pPr>
      <w:r>
        <w:t>The Committee notes that Indigenous networks in the ACTPS also could be understood as part of what is termed ‘cultural capital</w:t>
      </w:r>
      <w:r w:rsidR="00FE591C">
        <w:t>’</w:t>
      </w:r>
      <w:r>
        <w:t>.   Professor Matthew Gray, Director of the Centre for Aboriginal Economic Policy Research</w:t>
      </w:r>
      <w:r w:rsidR="00417CA9">
        <w:t>,</w:t>
      </w:r>
      <w:r>
        <w:t xml:space="preserve"> advised the Committee commented:</w:t>
      </w:r>
    </w:p>
    <w:p w:rsidR="007235EF" w:rsidRDefault="007235EF" w:rsidP="007235EF">
      <w:pPr>
        <w:pStyle w:val="Quote"/>
      </w:pPr>
      <w:r>
        <w:t>... ‘cultural capital’ - my understanding anyway –</w:t>
      </w:r>
      <w:r w:rsidR="00417CA9">
        <w:t xml:space="preserve"> </w:t>
      </w:r>
      <w:r>
        <w:t>is partly about knowledge, but it is also about the networks and connections people have. If you have a cohort of Indigenous employees in the public service, they will have cultural capital. They have networks, connections and understanding within the Indigenous community within the ACT and more broadly, and that knowledge and those connections are important in order for the government to be able to be as effective as it can in achieving its objectives. It is similar to other groups as well. It is important to have diversity within the public service. There are many similarities between peoples, but there are also some cultural differences which are challenging for governments to deal with. Having cultural capital can help both with the design of policy and services and the implementation and evaluation in terms of understanding why things may or may not be working.</w:t>
      </w:r>
      <w:r w:rsidR="0062447B">
        <w:rPr>
          <w:rStyle w:val="FootnoteReference"/>
        </w:rPr>
        <w:footnoteReference w:id="104"/>
      </w:r>
    </w:p>
    <w:p w:rsidR="007235EF" w:rsidRDefault="007235EF" w:rsidP="007235EF">
      <w:pPr>
        <w:pStyle w:val="Bodytext"/>
      </w:pPr>
      <w:r>
        <w:t xml:space="preserve">The Committee is of the view that the ACTPS could benefit by fully understanding and recognising the </w:t>
      </w:r>
      <w:r w:rsidR="00414B05">
        <w:t xml:space="preserve">cultural </w:t>
      </w:r>
      <w:r>
        <w:t>capital attributable to their Aboriginal and Torres Strait Islander</w:t>
      </w:r>
      <w:r w:rsidR="009C45C0">
        <w:t> </w:t>
      </w:r>
      <w:r>
        <w:t xml:space="preserve">employees. </w:t>
      </w:r>
    </w:p>
    <w:p w:rsidR="00427598" w:rsidRDefault="00427598" w:rsidP="00D35FCB">
      <w:pPr>
        <w:pStyle w:val="Headinglevel2"/>
      </w:pPr>
      <w:bookmarkStart w:id="123" w:name="_Toc383615047"/>
      <w:r>
        <w:t>Dates and events of significance</w:t>
      </w:r>
      <w:bookmarkEnd w:id="123"/>
    </w:p>
    <w:p w:rsidR="00427598" w:rsidRPr="00427598" w:rsidRDefault="00427598" w:rsidP="00427598">
      <w:pPr>
        <w:pStyle w:val="Bodytext"/>
        <w:rPr>
          <w:lang w:val="en-US"/>
        </w:rPr>
      </w:pPr>
      <w:r>
        <w:t xml:space="preserve">The ACTPS submission says that </w:t>
      </w:r>
      <w:r w:rsidRPr="00427598">
        <w:rPr>
          <w:lang w:val="en-US"/>
        </w:rPr>
        <w:t xml:space="preserve">Individual </w:t>
      </w:r>
      <w:r>
        <w:rPr>
          <w:lang w:val="en-US"/>
        </w:rPr>
        <w:t>d</w:t>
      </w:r>
      <w:r w:rsidRPr="00427598">
        <w:rPr>
          <w:lang w:val="en-US"/>
        </w:rPr>
        <w:t>irectorates actively promote and encourage participation at events of significance to Aboriginal and Torres Strait Islander people</w:t>
      </w:r>
      <w:r>
        <w:rPr>
          <w:lang w:val="en-US"/>
        </w:rPr>
        <w:t>.  Examples are:</w:t>
      </w:r>
    </w:p>
    <w:p w:rsidR="00427598" w:rsidRPr="00427598" w:rsidRDefault="00427598" w:rsidP="00A146E9">
      <w:pPr>
        <w:pStyle w:val="ListBullet"/>
        <w:rPr>
          <w:lang w:val="en-US"/>
        </w:rPr>
      </w:pPr>
      <w:r w:rsidRPr="00427598">
        <w:rPr>
          <w:lang w:val="en-US"/>
        </w:rPr>
        <w:t>inclusion in the Toolkit for Managers, Supervisors and colleagues of Aboriginal and Torres Strait Islander staff;</w:t>
      </w:r>
    </w:p>
    <w:p w:rsidR="00427598" w:rsidRPr="00427598" w:rsidRDefault="00427598" w:rsidP="00A146E9">
      <w:pPr>
        <w:pStyle w:val="ListBullet"/>
        <w:rPr>
          <w:lang w:val="en-US"/>
        </w:rPr>
      </w:pPr>
      <w:r w:rsidRPr="00427598">
        <w:rPr>
          <w:lang w:val="en-US"/>
        </w:rPr>
        <w:t>supporting community to promote and celebrate significant events such as National Aborigines and Islanders Day Observance Committee (NAIDOC) Week, National Reconciliation Week and National Aboriginal Children’s Day;</w:t>
      </w:r>
    </w:p>
    <w:p w:rsidR="00427598" w:rsidRPr="00427598" w:rsidRDefault="00427598" w:rsidP="00A146E9">
      <w:pPr>
        <w:pStyle w:val="ListBullet"/>
        <w:rPr>
          <w:lang w:val="en-US"/>
        </w:rPr>
      </w:pPr>
      <w:r w:rsidRPr="00427598">
        <w:rPr>
          <w:lang w:val="en-US"/>
        </w:rPr>
        <w:t>collating a calendar of NAIDOC events for broad distribution across the Service and Community; and</w:t>
      </w:r>
    </w:p>
    <w:p w:rsidR="00427598" w:rsidRPr="00427598" w:rsidRDefault="00427598" w:rsidP="00A146E9">
      <w:pPr>
        <w:pStyle w:val="ListBullet"/>
        <w:rPr>
          <w:lang w:val="en-US"/>
        </w:rPr>
      </w:pPr>
      <w:r w:rsidRPr="00427598">
        <w:rPr>
          <w:lang w:val="en-US"/>
        </w:rPr>
        <w:t>funding of certain NAIDOC celebrations from Cultural Grants.</w:t>
      </w:r>
      <w:r w:rsidR="00EE7D94">
        <w:rPr>
          <w:rStyle w:val="FootnoteReference"/>
          <w:lang w:val="en-US"/>
        </w:rPr>
        <w:footnoteReference w:id="105"/>
      </w:r>
    </w:p>
    <w:p w:rsidR="00ED626A" w:rsidRDefault="00427598" w:rsidP="00427598">
      <w:pPr>
        <w:pStyle w:val="Bodytext"/>
      </w:pPr>
      <w:r>
        <w:t xml:space="preserve">The Committee agrees with the approach of promoting and celebrating participation in events of significance to Aboriginal and Torres Strait Islander people </w:t>
      </w:r>
    </w:p>
    <w:p w:rsidR="00ED626A" w:rsidRDefault="00ED626A" w:rsidP="00427598">
      <w:pPr>
        <w:pStyle w:val="Bodytext"/>
      </w:pPr>
      <w:r>
        <w:t>At the 11 December 2013 public hearing the Committee asked how the ACTPS agencies celebrated NAIDOC week.</w:t>
      </w:r>
      <w:r>
        <w:rPr>
          <w:rStyle w:val="FootnoteReference"/>
        </w:rPr>
        <w:footnoteReference w:id="106"/>
      </w:r>
      <w:r>
        <w:t xml:space="preserve"> </w:t>
      </w:r>
    </w:p>
    <w:p w:rsidR="00ED626A" w:rsidRDefault="00ED626A" w:rsidP="00427598">
      <w:pPr>
        <w:pStyle w:val="Bodytext"/>
      </w:pPr>
      <w:r>
        <w:t xml:space="preserve">The Acting Head of Service, Mr Gary Byles told the Committee: </w:t>
      </w:r>
    </w:p>
    <w:p w:rsidR="00ED626A" w:rsidRDefault="00ED626A" w:rsidP="00ED626A">
      <w:pPr>
        <w:pStyle w:val="Quote"/>
        <w:rPr>
          <w:spacing w:val="-1"/>
        </w:rPr>
      </w:pPr>
      <w:r>
        <w:t>I</w:t>
      </w:r>
      <w:r>
        <w:rPr>
          <w:spacing w:val="8"/>
        </w:rPr>
        <w:t xml:space="preserve"> </w:t>
      </w:r>
      <w:r>
        <w:t>know</w:t>
      </w:r>
      <w:r>
        <w:rPr>
          <w:spacing w:val="13"/>
        </w:rPr>
        <w:t xml:space="preserve"> </w:t>
      </w:r>
      <w:r>
        <w:t>from</w:t>
      </w:r>
      <w:r>
        <w:rPr>
          <w:spacing w:val="13"/>
        </w:rPr>
        <w:t xml:space="preserve"> </w:t>
      </w:r>
      <w:r>
        <w:rPr>
          <w:spacing w:val="-1"/>
        </w:rPr>
        <w:t>personal</w:t>
      </w:r>
      <w:r>
        <w:rPr>
          <w:spacing w:val="14"/>
        </w:rPr>
        <w:t xml:space="preserve"> </w:t>
      </w:r>
      <w:r>
        <w:rPr>
          <w:spacing w:val="-1"/>
        </w:rPr>
        <w:t>experience</w:t>
      </w:r>
      <w:r>
        <w:rPr>
          <w:spacing w:val="13"/>
        </w:rPr>
        <w:t xml:space="preserve"> </w:t>
      </w:r>
      <w:r>
        <w:t>that</w:t>
      </w:r>
      <w:r>
        <w:rPr>
          <w:spacing w:val="14"/>
        </w:rPr>
        <w:t xml:space="preserve"> </w:t>
      </w:r>
      <w:r>
        <w:rPr>
          <w:spacing w:val="-1"/>
        </w:rPr>
        <w:t>directorates</w:t>
      </w:r>
      <w:r>
        <w:rPr>
          <w:rFonts w:ascii="Times New Roman" w:hAnsi="Times New Roman" w:cs="Times New Roman"/>
          <w:spacing w:val="-1"/>
        </w:rPr>
        <w:t>—</w:t>
      </w:r>
      <w:r>
        <w:rPr>
          <w:spacing w:val="-1"/>
        </w:rPr>
        <w:t>again,</w:t>
      </w:r>
      <w:r>
        <w:rPr>
          <w:spacing w:val="14"/>
        </w:rPr>
        <w:t xml:space="preserve"> </w:t>
      </w:r>
      <w:r>
        <w:t>this</w:t>
      </w:r>
      <w:r>
        <w:rPr>
          <w:spacing w:val="14"/>
        </w:rPr>
        <w:t xml:space="preserve"> </w:t>
      </w:r>
      <w:r>
        <w:t>is</w:t>
      </w:r>
      <w:r>
        <w:rPr>
          <w:spacing w:val="14"/>
        </w:rPr>
        <w:t xml:space="preserve"> </w:t>
      </w:r>
      <w:r>
        <w:rPr>
          <w:spacing w:val="-1"/>
        </w:rPr>
        <w:t>personal</w:t>
      </w:r>
      <w:r>
        <w:rPr>
          <w:spacing w:val="73"/>
        </w:rPr>
        <w:t xml:space="preserve"> </w:t>
      </w:r>
      <w:r>
        <w:rPr>
          <w:spacing w:val="-1"/>
        </w:rPr>
        <w:t>experience</w:t>
      </w:r>
      <w:r>
        <w:rPr>
          <w:rFonts w:ascii="Times New Roman" w:hAnsi="Times New Roman" w:cs="Times New Roman"/>
          <w:spacing w:val="-1"/>
        </w:rPr>
        <w:t>—</w:t>
      </w:r>
      <w:r>
        <w:rPr>
          <w:spacing w:val="-1"/>
        </w:rPr>
        <w:t>are</w:t>
      </w:r>
      <w:r>
        <w:t xml:space="preserve"> very</w:t>
      </w:r>
      <w:r>
        <w:rPr>
          <w:spacing w:val="-3"/>
        </w:rPr>
        <w:t xml:space="preserve"> </w:t>
      </w:r>
      <w:r>
        <w:t>supportive</w:t>
      </w:r>
      <w:r>
        <w:rPr>
          <w:spacing w:val="1"/>
        </w:rPr>
        <w:t xml:space="preserve"> </w:t>
      </w:r>
      <w:r>
        <w:t>of</w:t>
      </w:r>
      <w:r>
        <w:rPr>
          <w:spacing w:val="1"/>
        </w:rPr>
        <w:t xml:space="preserve"> </w:t>
      </w:r>
      <w:r>
        <w:rPr>
          <w:spacing w:val="-1"/>
        </w:rPr>
        <w:t>NAIDOC</w:t>
      </w:r>
      <w:r>
        <w:rPr>
          <w:spacing w:val="2"/>
        </w:rPr>
        <w:t xml:space="preserve"> </w:t>
      </w:r>
      <w:r>
        <w:t>Week,</w:t>
      </w:r>
      <w:r>
        <w:rPr>
          <w:spacing w:val="2"/>
        </w:rPr>
        <w:t xml:space="preserve"> </w:t>
      </w:r>
      <w:r>
        <w:t>emphasising that</w:t>
      </w:r>
      <w:r>
        <w:rPr>
          <w:spacing w:val="2"/>
        </w:rPr>
        <w:t xml:space="preserve"> </w:t>
      </w:r>
      <w:r>
        <w:t>they</w:t>
      </w:r>
      <w:r>
        <w:rPr>
          <w:spacing w:val="-1"/>
        </w:rPr>
        <w:t xml:space="preserve"> </w:t>
      </w:r>
      <w:r>
        <w:t>model</w:t>
      </w:r>
      <w:r>
        <w:rPr>
          <w:spacing w:val="2"/>
        </w:rPr>
        <w:t xml:space="preserve"> </w:t>
      </w:r>
      <w:r>
        <w:t>that</w:t>
      </w:r>
      <w:r>
        <w:rPr>
          <w:spacing w:val="44"/>
        </w:rPr>
        <w:t xml:space="preserve"> </w:t>
      </w:r>
      <w:r>
        <w:t>support</w:t>
      </w:r>
      <w:r>
        <w:rPr>
          <w:spacing w:val="35"/>
        </w:rPr>
        <w:t xml:space="preserve"> </w:t>
      </w:r>
      <w:r>
        <w:t>in</w:t>
      </w:r>
      <w:r>
        <w:rPr>
          <w:spacing w:val="36"/>
        </w:rPr>
        <w:t xml:space="preserve"> </w:t>
      </w:r>
      <w:r>
        <w:rPr>
          <w:spacing w:val="-1"/>
        </w:rPr>
        <w:t>allowing</w:t>
      </w:r>
      <w:r>
        <w:rPr>
          <w:spacing w:val="33"/>
        </w:rPr>
        <w:t xml:space="preserve"> </w:t>
      </w:r>
      <w:r>
        <w:t>leave</w:t>
      </w:r>
      <w:r>
        <w:rPr>
          <w:spacing w:val="34"/>
        </w:rPr>
        <w:t xml:space="preserve"> </w:t>
      </w:r>
      <w:r>
        <w:rPr>
          <w:spacing w:val="-1"/>
        </w:rPr>
        <w:t>and</w:t>
      </w:r>
      <w:r>
        <w:rPr>
          <w:spacing w:val="35"/>
        </w:rPr>
        <w:t xml:space="preserve"> </w:t>
      </w:r>
      <w:r>
        <w:t>providing</w:t>
      </w:r>
      <w:r>
        <w:rPr>
          <w:spacing w:val="33"/>
        </w:rPr>
        <w:t xml:space="preserve"> </w:t>
      </w:r>
      <w:r>
        <w:t>whatever</w:t>
      </w:r>
      <w:r>
        <w:rPr>
          <w:spacing w:val="35"/>
        </w:rPr>
        <w:t xml:space="preserve"> </w:t>
      </w:r>
      <w:r>
        <w:t>support</w:t>
      </w:r>
      <w:r>
        <w:rPr>
          <w:spacing w:val="35"/>
        </w:rPr>
        <w:t xml:space="preserve"> </w:t>
      </w:r>
      <w:r>
        <w:rPr>
          <w:spacing w:val="1"/>
        </w:rPr>
        <w:t>they</w:t>
      </w:r>
      <w:r>
        <w:rPr>
          <w:spacing w:val="33"/>
        </w:rPr>
        <w:t xml:space="preserve"> </w:t>
      </w:r>
      <w:r>
        <w:rPr>
          <w:spacing w:val="-1"/>
        </w:rPr>
        <w:t>can</w:t>
      </w:r>
      <w:r>
        <w:rPr>
          <w:spacing w:val="35"/>
        </w:rPr>
        <w:t xml:space="preserve"> </w:t>
      </w:r>
      <w:r>
        <w:t>for</w:t>
      </w:r>
      <w:r>
        <w:rPr>
          <w:spacing w:val="37"/>
        </w:rPr>
        <w:t xml:space="preserve"> </w:t>
      </w:r>
      <w:r>
        <w:t>the</w:t>
      </w:r>
      <w:r>
        <w:rPr>
          <w:spacing w:val="35"/>
        </w:rPr>
        <w:t xml:space="preserve"> </w:t>
      </w:r>
      <w:r>
        <w:rPr>
          <w:spacing w:val="-1"/>
        </w:rPr>
        <w:t>various</w:t>
      </w:r>
      <w:r>
        <w:rPr>
          <w:spacing w:val="40"/>
        </w:rPr>
        <w:t xml:space="preserve"> </w:t>
      </w:r>
      <w:r>
        <w:rPr>
          <w:spacing w:val="-1"/>
        </w:rPr>
        <w:t>people</w:t>
      </w:r>
      <w:r>
        <w:rPr>
          <w:spacing w:val="18"/>
        </w:rPr>
        <w:t xml:space="preserve"> </w:t>
      </w:r>
      <w:r>
        <w:t>to</w:t>
      </w:r>
      <w:r>
        <w:rPr>
          <w:spacing w:val="19"/>
        </w:rPr>
        <w:t xml:space="preserve"> </w:t>
      </w:r>
      <w:r>
        <w:rPr>
          <w:spacing w:val="-1"/>
        </w:rPr>
        <w:t>attend</w:t>
      </w:r>
      <w:r>
        <w:rPr>
          <w:spacing w:val="18"/>
        </w:rPr>
        <w:t xml:space="preserve"> </w:t>
      </w:r>
      <w:r>
        <w:rPr>
          <w:spacing w:val="-1"/>
        </w:rPr>
        <w:t>NAIDOC</w:t>
      </w:r>
      <w:r>
        <w:rPr>
          <w:spacing w:val="19"/>
        </w:rPr>
        <w:t xml:space="preserve"> </w:t>
      </w:r>
      <w:r>
        <w:rPr>
          <w:spacing w:val="-1"/>
        </w:rPr>
        <w:t>Week.</w:t>
      </w:r>
      <w:r w:rsidR="0062447B">
        <w:rPr>
          <w:rStyle w:val="FootnoteReference"/>
          <w:spacing w:val="-1"/>
        </w:rPr>
        <w:footnoteReference w:id="107"/>
      </w:r>
    </w:p>
    <w:p w:rsidR="00ED626A" w:rsidRDefault="00ED626A" w:rsidP="00ED626A">
      <w:pPr>
        <w:pStyle w:val="Bodytext"/>
      </w:pPr>
      <w:r>
        <w:t>The Commissioner for Public Administration, Mr Andrew Kefford noted that a highlight of NAIDOC Week 2013 was the opening of the Office of Aboriginal and Torres Strait Islander Affairs in CSD.  He added that the form of celebration varied between directorates and activities were organised more at the local level.</w:t>
      </w:r>
      <w:r w:rsidR="0062447B">
        <w:rPr>
          <w:rStyle w:val="FootnoteReference"/>
        </w:rPr>
        <w:footnoteReference w:id="108"/>
      </w:r>
      <w:r>
        <w:t xml:space="preserve"> </w:t>
      </w:r>
    </w:p>
    <w:p w:rsidR="00ED626A" w:rsidRDefault="00ED626A" w:rsidP="00ED626A">
      <w:pPr>
        <w:pStyle w:val="Bodytext"/>
      </w:pPr>
      <w:r>
        <w:t xml:space="preserve">The Director of the Office of Aboriginal and Torres Strait Islander Affairs, Ms Robyn Forester, told the Committee: </w:t>
      </w:r>
    </w:p>
    <w:p w:rsidR="00C84364" w:rsidRPr="00C84364" w:rsidRDefault="00ED626A" w:rsidP="00C84364">
      <w:pPr>
        <w:pStyle w:val="Quote"/>
        <w:rPr>
          <w:lang w:val="en-US"/>
        </w:rPr>
      </w:pPr>
      <w:r>
        <w:t xml:space="preserve"> NAIDOC is really </w:t>
      </w:r>
      <w:r w:rsidR="00C84364" w:rsidRPr="00C84364">
        <w:rPr>
          <w:lang w:val="en-US"/>
        </w:rPr>
        <w:t xml:space="preserve">important, and a number of directorates do have celebration of Aboriginal and Torres Strait Islander culture within their reconciliation action </w:t>
      </w:r>
      <w:r w:rsidR="00C84364">
        <w:rPr>
          <w:lang w:val="en-US"/>
        </w:rPr>
        <w:t>p</w:t>
      </w:r>
      <w:r w:rsidR="00C84364" w:rsidRPr="00C84364">
        <w:rPr>
          <w:lang w:val="en-US"/>
        </w:rPr>
        <w:t>lans. I think the important thing that we need to note is that NAIDOC is the focus but it should not be the only time when we celebrate Aboriginal and Torres Strait Islander culture; it has to be an ongoing conversation. I know that through the Community Services Directorate, with our Aboriginal and Torres Strait  Islander grants program, in the past we have had schools, for instance, apply for funding to run NAIDOC events, and particular projects have come out of that. Again, some directorates probably do it better than others; that really comes down to a lot of the personnel and the opportunities available for people to do things.</w:t>
      </w:r>
    </w:p>
    <w:p w:rsidR="00C84364" w:rsidRPr="00C84364" w:rsidRDefault="00C84364" w:rsidP="00C84364">
      <w:pPr>
        <w:pStyle w:val="Quote"/>
        <w:rPr>
          <w:lang w:val="en-US"/>
        </w:rPr>
      </w:pPr>
      <w:r w:rsidRPr="00C84364">
        <w:rPr>
          <w:lang w:val="en-US"/>
        </w:rPr>
        <w:t>One of the big opportunities for the ACT government in coming up into NAIDOC for 2014 is the fact that we now do have an Office for Aboriginal and Torres Strait Islander Affairs, whose focus is about getting those conversations happening. I think that after next year we will be able to ensure that we have got a good program of</w:t>
      </w:r>
      <w:r>
        <w:rPr>
          <w:lang w:val="en-US"/>
        </w:rPr>
        <w:t xml:space="preserve"> </w:t>
      </w:r>
      <w:r w:rsidRPr="00C84364">
        <w:rPr>
          <w:lang w:val="en-US"/>
        </w:rPr>
        <w:t>activities happening out there and provide support to all of the directorates in ACT government to ensure that that conversation commences and that conversation continues.</w:t>
      </w:r>
      <w:r w:rsidR="0062447B">
        <w:rPr>
          <w:rStyle w:val="FootnoteReference"/>
          <w:lang w:val="en-US"/>
        </w:rPr>
        <w:footnoteReference w:id="109"/>
      </w:r>
    </w:p>
    <w:p w:rsidR="00C84364" w:rsidRDefault="00C84364" w:rsidP="00427598">
      <w:pPr>
        <w:pStyle w:val="Bodytext"/>
      </w:pPr>
      <w:r>
        <w:t xml:space="preserve">The Committee accepts that NAIDOC celebrations are organised by directorates and more locally within directorates but believes there is scope for the </w:t>
      </w:r>
      <w:r w:rsidR="004D5416">
        <w:t xml:space="preserve">Strategic </w:t>
      </w:r>
      <w:r w:rsidR="00634DDA">
        <w:t>Board to</w:t>
      </w:r>
      <w:r>
        <w:t xml:space="preserve"> develop Service-wide recognition of NAIDOC week.  For example, there could be recognition of directorates that are seen to be exemplars of best practice areas relating to the implementi</w:t>
      </w:r>
      <w:r w:rsidR="0062447B">
        <w:t>on</w:t>
      </w:r>
      <w:r>
        <w:t xml:space="preserve"> of the Employment Strategy. </w:t>
      </w:r>
    </w:p>
    <w:p w:rsidR="00427598" w:rsidRDefault="00C84364" w:rsidP="00427598">
      <w:pPr>
        <w:pStyle w:val="Bodytext"/>
      </w:pPr>
      <w:r>
        <w:t xml:space="preserve">The Committee notes </w:t>
      </w:r>
      <w:r w:rsidR="009A1D59">
        <w:t xml:space="preserve">that State of the Service Report 2013 records that </w:t>
      </w:r>
      <w:r w:rsidR="00427598">
        <w:t>in 2012-13 one ACTPS agency gave its Indigenous staff one day’s paid leave during NA</w:t>
      </w:r>
      <w:r w:rsidR="0062447B">
        <w:t>I</w:t>
      </w:r>
      <w:r w:rsidR="00427598">
        <w:t>DOC week.</w:t>
      </w:r>
      <w:r w:rsidR="00427598">
        <w:rPr>
          <w:rStyle w:val="FootnoteReference"/>
        </w:rPr>
        <w:footnoteReference w:id="110"/>
      </w:r>
      <w:r w:rsidR="00427598">
        <w:t xml:space="preserve">   </w:t>
      </w:r>
    </w:p>
    <w:p w:rsidR="009C45C0" w:rsidRDefault="009C45C0" w:rsidP="009C45C0">
      <w:pPr>
        <w:pStyle w:val="Recommendation"/>
      </w:pPr>
      <w:bookmarkStart w:id="124" w:name="_Toc384024402"/>
      <w:bookmarkEnd w:id="124"/>
    </w:p>
    <w:p w:rsidR="009C45C0" w:rsidRDefault="009C45C0" w:rsidP="009C45C0">
      <w:pPr>
        <w:pStyle w:val="RecommendationText"/>
      </w:pPr>
      <w:bookmarkStart w:id="125" w:name="_Toc384024403"/>
      <w:r>
        <w:t xml:space="preserve">The Committee recommends that the </w:t>
      </w:r>
      <w:r w:rsidR="00323080">
        <w:t xml:space="preserve">ACT Public Service </w:t>
      </w:r>
      <w:r w:rsidR="004D5416">
        <w:t xml:space="preserve">Strategic Board </w:t>
      </w:r>
      <w:r w:rsidR="008A4E4D">
        <w:t xml:space="preserve">actively encourage </w:t>
      </w:r>
      <w:r>
        <w:t xml:space="preserve">NAIDOC </w:t>
      </w:r>
      <w:r w:rsidR="00520124">
        <w:t xml:space="preserve">week </w:t>
      </w:r>
      <w:r w:rsidR="008A4E4D">
        <w:t xml:space="preserve">celebrations </w:t>
      </w:r>
      <w:r>
        <w:t>on a Service-wide basis.</w:t>
      </w:r>
      <w:bookmarkEnd w:id="125"/>
      <w:r>
        <w:t xml:space="preserve"> </w:t>
      </w:r>
    </w:p>
    <w:p w:rsidR="009C45C0" w:rsidRDefault="009C45C0" w:rsidP="009C45C0">
      <w:pPr>
        <w:pStyle w:val="Bodytext"/>
      </w:pPr>
      <w:r>
        <w:t xml:space="preserve">The Committee believes there is </w:t>
      </w:r>
      <w:r w:rsidR="00845A2A">
        <w:t xml:space="preserve">significant </w:t>
      </w:r>
      <w:r>
        <w:t>scope to recognise and celebrate the successes of its Aboriginal and Torres Strait Islander employees</w:t>
      </w:r>
      <w:r w:rsidR="00BE50B9">
        <w:t>.</w:t>
      </w:r>
      <w:r w:rsidR="00845A2A">
        <w:t xml:space="preserve">  One example </w:t>
      </w:r>
      <w:r w:rsidR="00BE50B9">
        <w:t xml:space="preserve">of how this is done in other jurisdictions </w:t>
      </w:r>
      <w:r w:rsidR="00845A2A">
        <w:t xml:space="preserve">is the </w:t>
      </w:r>
      <w:r>
        <w:t>Queensland</w:t>
      </w:r>
      <w:r w:rsidR="00845A2A">
        <w:t xml:space="preserve"> Department of Aboriginal and Torres Strait Islander and Multicultural Affairs</w:t>
      </w:r>
      <w:r w:rsidR="00417CA9">
        <w:t>.  Its</w:t>
      </w:r>
      <w:r w:rsidR="00845A2A">
        <w:t xml:space="preserve"> website includes a section devoted to Indigenous people which includes Deadly Stories and Deadly Videos.  The Committee notes that the word ‘deadly’ </w:t>
      </w:r>
      <w:r w:rsidR="00845A2A" w:rsidRPr="00845A2A">
        <w:t xml:space="preserve">is used by many Aboriginal people to mean </w:t>
      </w:r>
      <w:r w:rsidR="00BE50B9">
        <w:t>‘</w:t>
      </w:r>
      <w:r w:rsidR="00845A2A" w:rsidRPr="00845A2A">
        <w:t>excellent</w:t>
      </w:r>
      <w:r w:rsidR="00BE50B9">
        <w:t>’</w:t>
      </w:r>
      <w:r w:rsidR="00417CA9">
        <w:t xml:space="preserve"> or </w:t>
      </w:r>
      <w:r w:rsidR="00BE50B9">
        <w:t>’</w:t>
      </w:r>
      <w:r w:rsidR="00845A2A" w:rsidRPr="00845A2A">
        <w:t xml:space="preserve"> very good</w:t>
      </w:r>
      <w:r w:rsidR="00BE50B9">
        <w:t>’</w:t>
      </w:r>
      <w:r w:rsidR="00845A2A" w:rsidRPr="00845A2A">
        <w:t xml:space="preserve">, in the same way that </w:t>
      </w:r>
      <w:r w:rsidR="00BE50B9">
        <w:t>‘</w:t>
      </w:r>
      <w:r w:rsidR="00845A2A" w:rsidRPr="00BE50B9">
        <w:rPr>
          <w:iCs/>
        </w:rPr>
        <w:t>wicked</w:t>
      </w:r>
      <w:r w:rsidR="00BE50B9">
        <w:rPr>
          <w:i/>
          <w:iCs/>
        </w:rPr>
        <w:t>’</w:t>
      </w:r>
      <w:r w:rsidR="00845A2A" w:rsidRPr="00845A2A">
        <w:t xml:space="preserve"> is by many young English speakers. </w:t>
      </w:r>
      <w:r w:rsidR="00845A2A">
        <w:t xml:space="preserve">The Committee also notes that the annual awards known as </w:t>
      </w:r>
      <w:r w:rsidR="00845A2A">
        <w:rPr>
          <w:i/>
        </w:rPr>
        <w:t>The Deadlys</w:t>
      </w:r>
      <w:r w:rsidR="00845A2A">
        <w:t xml:space="preserve"> recognise outstanding </w:t>
      </w:r>
      <w:r w:rsidR="00845A2A" w:rsidRPr="00845A2A">
        <w:t>achievement by Aboriginal and Torres Strait Island people.</w:t>
      </w:r>
      <w:r w:rsidR="00520124">
        <w:rPr>
          <w:rStyle w:val="FootnoteReference"/>
        </w:rPr>
        <w:footnoteReference w:id="111"/>
      </w:r>
      <w:r>
        <w:t xml:space="preserve">  </w:t>
      </w:r>
      <w:r w:rsidR="00520124">
        <w:t xml:space="preserve">These are but a few of the opportunities open to the ACTPS and its Office of Aboriginal and Torres Strait Islander Affairs. </w:t>
      </w:r>
    </w:p>
    <w:p w:rsidR="00520124" w:rsidRDefault="00520124" w:rsidP="00520124">
      <w:pPr>
        <w:pStyle w:val="Recommendation"/>
      </w:pPr>
      <w:bookmarkStart w:id="126" w:name="_Toc384024404"/>
      <w:bookmarkEnd w:id="126"/>
    </w:p>
    <w:p w:rsidR="00520124" w:rsidRPr="00520124" w:rsidRDefault="00520124" w:rsidP="00520124">
      <w:pPr>
        <w:pStyle w:val="RecommendationText"/>
      </w:pPr>
      <w:bookmarkStart w:id="127" w:name="_Toc384024405"/>
      <w:r>
        <w:t xml:space="preserve">The Committee recommends that the </w:t>
      </w:r>
      <w:r w:rsidR="00323080">
        <w:t>ACT Public Service</w:t>
      </w:r>
      <w:r>
        <w:t xml:space="preserve"> Office of Aboriginal and Torres Strait Islander Affairs develop innovative approaches to celebrating the achievements of Aboriginal and Torres Strait Islander employees in the </w:t>
      </w:r>
      <w:r w:rsidR="00323080">
        <w:t>ACT Public Service</w:t>
      </w:r>
      <w:r>
        <w:t>.</w:t>
      </w:r>
      <w:bookmarkEnd w:id="127"/>
      <w:r>
        <w:t xml:space="preserve">  </w:t>
      </w:r>
    </w:p>
    <w:p w:rsidR="007235EF" w:rsidRDefault="007235EF" w:rsidP="00D35FCB">
      <w:pPr>
        <w:pStyle w:val="Headinglevel2"/>
      </w:pPr>
      <w:bookmarkStart w:id="128" w:name="_Toc383615048"/>
      <w:r w:rsidRPr="009709E6">
        <w:t>Mentoring, buddy and coaching programs</w:t>
      </w:r>
      <w:bookmarkEnd w:id="128"/>
    </w:p>
    <w:p w:rsidR="007235EF" w:rsidRDefault="00427598" w:rsidP="007235EF">
      <w:pPr>
        <w:pStyle w:val="Bodytext"/>
      </w:pPr>
      <w:r>
        <w:t xml:space="preserve">The </w:t>
      </w:r>
      <w:r w:rsidR="009A1D59">
        <w:t xml:space="preserve">ACTPS submission lists mentoring, buddy and coaching programs as a key program in ensuring the retention of Aboriginal and Torres Strait Islander employees.  </w:t>
      </w:r>
      <w:r w:rsidR="000947F8">
        <w:t xml:space="preserve">The </w:t>
      </w:r>
      <w:r w:rsidR="009A1D59" w:rsidRPr="000947F8">
        <w:rPr>
          <w:i/>
        </w:rPr>
        <w:t>State of the Service Report 2013</w:t>
      </w:r>
      <w:r w:rsidR="009A1D59">
        <w:t xml:space="preserve"> indicates that in 2012-13 six agencies (42 percent) provided access to trained mentors for new and existing Aboriginal and Torres Strait Islander employees. </w:t>
      </w:r>
      <w:r w:rsidR="00F94B7D">
        <w:t xml:space="preserve"> Seven agencies (50 percent) had implemented a buddy system for new employees.</w:t>
      </w:r>
      <w:r w:rsidR="00F94B7D">
        <w:rPr>
          <w:rStyle w:val="FootnoteReference"/>
        </w:rPr>
        <w:footnoteReference w:id="112"/>
      </w:r>
      <w:r w:rsidR="00F94B7D">
        <w:t xml:space="preserve"> </w:t>
      </w:r>
    </w:p>
    <w:p w:rsidR="00F94B7D" w:rsidRDefault="00F94B7D" w:rsidP="00F9021F">
      <w:pPr>
        <w:pStyle w:val="Bodytext"/>
      </w:pPr>
      <w:r>
        <w:t>The ACTPS submission details the mentoring practices in the Health Directorate.   The submission states, ‘I</w:t>
      </w:r>
      <w:r>
        <w:rPr>
          <w:spacing w:val="-1"/>
        </w:rPr>
        <w:t>f</w:t>
      </w:r>
      <w:r>
        <w:rPr>
          <w:spacing w:val="2"/>
        </w:rPr>
        <w:t xml:space="preserve"> </w:t>
      </w:r>
      <w:r>
        <w:t>the</w:t>
      </w:r>
      <w:r>
        <w:rPr>
          <w:spacing w:val="-2"/>
        </w:rPr>
        <w:t xml:space="preserve"> </w:t>
      </w:r>
      <w:r>
        <w:rPr>
          <w:spacing w:val="-1"/>
        </w:rPr>
        <w:t>ACT</w:t>
      </w:r>
      <w:r>
        <w:t xml:space="preserve"> </w:t>
      </w:r>
      <w:r>
        <w:rPr>
          <w:spacing w:val="-1"/>
        </w:rPr>
        <w:t>Health</w:t>
      </w:r>
      <w:r>
        <w:rPr>
          <w:spacing w:val="-2"/>
        </w:rPr>
        <w:t xml:space="preserve"> </w:t>
      </w:r>
      <w:r>
        <w:rPr>
          <w:spacing w:val="-1"/>
        </w:rPr>
        <w:t>mentoring</w:t>
      </w:r>
      <w:r>
        <w:rPr>
          <w:spacing w:val="2"/>
        </w:rPr>
        <w:t xml:space="preserve"> </w:t>
      </w:r>
      <w:r>
        <w:rPr>
          <w:spacing w:val="-2"/>
        </w:rPr>
        <w:t>program</w:t>
      </w:r>
      <w:r>
        <w:rPr>
          <w:spacing w:val="1"/>
        </w:rPr>
        <w:t xml:space="preserve"> </w:t>
      </w:r>
      <w:r>
        <w:rPr>
          <w:spacing w:val="-1"/>
        </w:rPr>
        <w:t>is</w:t>
      </w:r>
      <w:r>
        <w:rPr>
          <w:spacing w:val="-2"/>
        </w:rPr>
        <w:t xml:space="preserve"> </w:t>
      </w:r>
      <w:r>
        <w:rPr>
          <w:spacing w:val="-1"/>
        </w:rPr>
        <w:t>successful,</w:t>
      </w:r>
      <w:r>
        <w:rPr>
          <w:spacing w:val="6"/>
        </w:rPr>
        <w:t xml:space="preserve"> </w:t>
      </w:r>
      <w:r>
        <w:rPr>
          <w:spacing w:val="-2"/>
        </w:rPr>
        <w:t>CMTD</w:t>
      </w:r>
      <w:r>
        <w:t xml:space="preserve"> </w:t>
      </w:r>
      <w:r>
        <w:rPr>
          <w:spacing w:val="-2"/>
        </w:rPr>
        <w:t>will</w:t>
      </w:r>
      <w:r>
        <w:t xml:space="preserve"> be </w:t>
      </w:r>
      <w:r>
        <w:rPr>
          <w:spacing w:val="-1"/>
        </w:rPr>
        <w:t>interested</w:t>
      </w:r>
      <w:r>
        <w:t xml:space="preserve"> in</w:t>
      </w:r>
      <w:r>
        <w:rPr>
          <w:spacing w:val="-2"/>
        </w:rPr>
        <w:t xml:space="preserve"> </w:t>
      </w:r>
      <w:r>
        <w:rPr>
          <w:spacing w:val="-1"/>
        </w:rPr>
        <w:t>further</w:t>
      </w:r>
      <w:r>
        <w:rPr>
          <w:spacing w:val="47"/>
        </w:rPr>
        <w:t xml:space="preserve"> </w:t>
      </w:r>
      <w:r>
        <w:rPr>
          <w:spacing w:val="-1"/>
        </w:rPr>
        <w:t>investigating</w:t>
      </w:r>
      <w:r>
        <w:t xml:space="preserve"> a</w:t>
      </w:r>
      <w:r>
        <w:rPr>
          <w:spacing w:val="1"/>
        </w:rPr>
        <w:t xml:space="preserve"> </w:t>
      </w:r>
      <w:r>
        <w:rPr>
          <w:spacing w:val="-1"/>
        </w:rPr>
        <w:t>whole-of-government model in</w:t>
      </w:r>
      <w:r>
        <w:rPr>
          <w:spacing w:val="-2"/>
        </w:rPr>
        <w:t xml:space="preserve"> </w:t>
      </w:r>
      <w:r>
        <w:rPr>
          <w:spacing w:val="-1"/>
        </w:rPr>
        <w:t>this</w:t>
      </w:r>
      <w:r>
        <w:rPr>
          <w:spacing w:val="1"/>
        </w:rPr>
        <w:t xml:space="preserve"> </w:t>
      </w:r>
      <w:r>
        <w:rPr>
          <w:spacing w:val="-1"/>
        </w:rPr>
        <w:t>area.</w:t>
      </w:r>
      <w:r>
        <w:rPr>
          <w:rStyle w:val="FootnoteReference"/>
          <w:spacing w:val="-1"/>
        </w:rPr>
        <w:footnoteReference w:id="113"/>
      </w:r>
    </w:p>
    <w:p w:rsidR="00F94B7D" w:rsidRDefault="00F94B7D" w:rsidP="00F94B7D">
      <w:pPr>
        <w:pStyle w:val="Bodytext"/>
      </w:pPr>
      <w:r>
        <w:t xml:space="preserve">At the 11 December 2013 public hearing, </w:t>
      </w:r>
      <w:r w:rsidR="00323080">
        <w:t xml:space="preserve">Elected Body </w:t>
      </w:r>
      <w:r>
        <w:t xml:space="preserve"> Member, Mr Brendan Church told the Committee: </w:t>
      </w:r>
    </w:p>
    <w:p w:rsidR="00F94B7D" w:rsidRDefault="00F94B7D" w:rsidP="00F94B7D">
      <w:pPr>
        <w:pStyle w:val="Quote"/>
      </w:pPr>
      <w:r>
        <w:t>Mentoring</w:t>
      </w:r>
      <w:r>
        <w:rPr>
          <w:spacing w:val="11"/>
        </w:rPr>
        <w:t xml:space="preserve"> </w:t>
      </w:r>
      <w:r>
        <w:rPr>
          <w:spacing w:val="-1"/>
        </w:rPr>
        <w:t>Aboriginal</w:t>
      </w:r>
      <w:r>
        <w:rPr>
          <w:spacing w:val="12"/>
        </w:rPr>
        <w:t xml:space="preserve"> </w:t>
      </w:r>
      <w:r>
        <w:rPr>
          <w:spacing w:val="-1"/>
        </w:rPr>
        <w:t>people</w:t>
      </w:r>
      <w:r>
        <w:rPr>
          <w:spacing w:val="11"/>
        </w:rPr>
        <w:t xml:space="preserve"> </w:t>
      </w:r>
      <w:r>
        <w:t>is</w:t>
      </w:r>
      <w:r>
        <w:rPr>
          <w:spacing w:val="12"/>
        </w:rPr>
        <w:t xml:space="preserve"> </w:t>
      </w:r>
      <w:r>
        <w:t>a</w:t>
      </w:r>
      <w:r>
        <w:rPr>
          <w:spacing w:val="10"/>
        </w:rPr>
        <w:t xml:space="preserve"> </w:t>
      </w:r>
      <w:r>
        <w:t>lot</w:t>
      </w:r>
      <w:r>
        <w:rPr>
          <w:spacing w:val="12"/>
        </w:rPr>
        <w:t xml:space="preserve"> </w:t>
      </w:r>
      <w:r>
        <w:rPr>
          <w:spacing w:val="-1"/>
        </w:rPr>
        <w:t>different</w:t>
      </w:r>
      <w:r>
        <w:rPr>
          <w:spacing w:val="12"/>
        </w:rPr>
        <w:t xml:space="preserve"> </w:t>
      </w:r>
      <w:r>
        <w:t>to</w:t>
      </w:r>
      <w:r>
        <w:rPr>
          <w:spacing w:val="12"/>
        </w:rPr>
        <w:t xml:space="preserve"> </w:t>
      </w:r>
      <w:r>
        <w:t>mentoring</w:t>
      </w:r>
      <w:r>
        <w:rPr>
          <w:spacing w:val="9"/>
        </w:rPr>
        <w:t xml:space="preserve"> </w:t>
      </w:r>
      <w:r>
        <w:rPr>
          <w:spacing w:val="-1"/>
        </w:rPr>
        <w:t>mainstream</w:t>
      </w:r>
      <w:r>
        <w:rPr>
          <w:spacing w:val="67"/>
        </w:rPr>
        <w:t xml:space="preserve"> </w:t>
      </w:r>
      <w:r>
        <w:rPr>
          <w:spacing w:val="-1"/>
        </w:rPr>
        <w:t>people.</w:t>
      </w:r>
      <w:r>
        <w:rPr>
          <w:spacing w:val="1"/>
        </w:rPr>
        <w:t xml:space="preserve"> </w:t>
      </w:r>
      <w:r>
        <w:t>When</w:t>
      </w:r>
      <w:r>
        <w:rPr>
          <w:spacing w:val="2"/>
        </w:rPr>
        <w:t xml:space="preserve"> </w:t>
      </w:r>
      <w:r>
        <w:rPr>
          <w:spacing w:val="-1"/>
        </w:rPr>
        <w:t>mentoring</w:t>
      </w:r>
      <w:r>
        <w:rPr>
          <w:spacing w:val="2"/>
        </w:rPr>
        <w:t xml:space="preserve"> </w:t>
      </w:r>
      <w:r>
        <w:rPr>
          <w:spacing w:val="-1"/>
        </w:rPr>
        <w:t>an</w:t>
      </w:r>
      <w:r>
        <w:rPr>
          <w:spacing w:val="2"/>
        </w:rPr>
        <w:t xml:space="preserve"> </w:t>
      </w:r>
      <w:r>
        <w:rPr>
          <w:spacing w:val="-1"/>
        </w:rPr>
        <w:t>Aboriginal</w:t>
      </w:r>
      <w:r>
        <w:rPr>
          <w:spacing w:val="2"/>
        </w:rPr>
        <w:t xml:space="preserve"> </w:t>
      </w:r>
      <w:r>
        <w:rPr>
          <w:spacing w:val="-1"/>
        </w:rPr>
        <w:t>person</w:t>
      </w:r>
      <w:r>
        <w:rPr>
          <w:spacing w:val="1"/>
        </w:rPr>
        <w:t xml:space="preserve"> </w:t>
      </w:r>
      <w:r>
        <w:t>in</w:t>
      </w:r>
      <w:r>
        <w:rPr>
          <w:spacing w:val="2"/>
        </w:rPr>
        <w:t xml:space="preserve"> </w:t>
      </w:r>
      <w:r>
        <w:t>the</w:t>
      </w:r>
      <w:r>
        <w:rPr>
          <w:spacing w:val="1"/>
        </w:rPr>
        <w:t xml:space="preserve"> </w:t>
      </w:r>
      <w:r>
        <w:rPr>
          <w:spacing w:val="-1"/>
        </w:rPr>
        <w:t>traineeship</w:t>
      </w:r>
      <w:r>
        <w:rPr>
          <w:spacing w:val="2"/>
        </w:rPr>
        <w:t xml:space="preserve"> </w:t>
      </w:r>
      <w:r>
        <w:rPr>
          <w:spacing w:val="-1"/>
        </w:rPr>
        <w:t>program,</w:t>
      </w:r>
      <w:r>
        <w:rPr>
          <w:spacing w:val="2"/>
        </w:rPr>
        <w:t xml:space="preserve"> </w:t>
      </w:r>
      <w:r>
        <w:rPr>
          <w:spacing w:val="-1"/>
        </w:rPr>
        <w:t>you</w:t>
      </w:r>
      <w:r>
        <w:rPr>
          <w:spacing w:val="2"/>
        </w:rPr>
        <w:t xml:space="preserve"> </w:t>
      </w:r>
      <w:r>
        <w:t>need</w:t>
      </w:r>
      <w:r>
        <w:rPr>
          <w:spacing w:val="2"/>
        </w:rPr>
        <w:t xml:space="preserve"> </w:t>
      </w:r>
      <w:r>
        <w:t>to</w:t>
      </w:r>
      <w:r>
        <w:rPr>
          <w:spacing w:val="81"/>
        </w:rPr>
        <w:t xml:space="preserve"> </w:t>
      </w:r>
      <w:r>
        <w:t>not</w:t>
      </w:r>
      <w:r>
        <w:rPr>
          <w:spacing w:val="31"/>
        </w:rPr>
        <w:t xml:space="preserve"> </w:t>
      </w:r>
      <w:r>
        <w:t>only</w:t>
      </w:r>
      <w:r>
        <w:rPr>
          <w:spacing w:val="28"/>
        </w:rPr>
        <w:t xml:space="preserve"> </w:t>
      </w:r>
      <w:r>
        <w:rPr>
          <w:spacing w:val="-1"/>
        </w:rPr>
        <w:t>consider</w:t>
      </w:r>
      <w:r>
        <w:rPr>
          <w:spacing w:val="32"/>
        </w:rPr>
        <w:t xml:space="preserve"> </w:t>
      </w:r>
      <w:r>
        <w:t>their</w:t>
      </w:r>
      <w:r>
        <w:rPr>
          <w:spacing w:val="32"/>
        </w:rPr>
        <w:t xml:space="preserve"> </w:t>
      </w:r>
      <w:r>
        <w:rPr>
          <w:spacing w:val="-1"/>
        </w:rPr>
        <w:t>professional</w:t>
      </w:r>
      <w:r>
        <w:rPr>
          <w:spacing w:val="31"/>
        </w:rPr>
        <w:t xml:space="preserve"> </w:t>
      </w:r>
      <w:r>
        <w:t>development</w:t>
      </w:r>
      <w:r>
        <w:rPr>
          <w:spacing w:val="31"/>
        </w:rPr>
        <w:t xml:space="preserve"> </w:t>
      </w:r>
      <w:r>
        <w:t>but</w:t>
      </w:r>
      <w:r>
        <w:rPr>
          <w:spacing w:val="31"/>
        </w:rPr>
        <w:t xml:space="preserve"> </w:t>
      </w:r>
      <w:r>
        <w:rPr>
          <w:spacing w:val="-1"/>
        </w:rPr>
        <w:t>also</w:t>
      </w:r>
      <w:r>
        <w:rPr>
          <w:spacing w:val="31"/>
        </w:rPr>
        <w:t xml:space="preserve"> </w:t>
      </w:r>
      <w:r>
        <w:t>their</w:t>
      </w:r>
      <w:r>
        <w:rPr>
          <w:spacing w:val="32"/>
        </w:rPr>
        <w:t xml:space="preserve"> </w:t>
      </w:r>
      <w:r>
        <w:rPr>
          <w:spacing w:val="-1"/>
        </w:rPr>
        <w:t>cultural,</w:t>
      </w:r>
      <w:r>
        <w:rPr>
          <w:spacing w:val="36"/>
        </w:rPr>
        <w:t xml:space="preserve"> </w:t>
      </w:r>
      <w:r>
        <w:t>family</w:t>
      </w:r>
      <w:r>
        <w:rPr>
          <w:spacing w:val="28"/>
        </w:rPr>
        <w:t xml:space="preserve"> </w:t>
      </w:r>
      <w:r>
        <w:rPr>
          <w:spacing w:val="-1"/>
        </w:rPr>
        <w:t>and</w:t>
      </w:r>
      <w:r>
        <w:rPr>
          <w:spacing w:val="57"/>
        </w:rPr>
        <w:t xml:space="preserve"> </w:t>
      </w:r>
      <w:r>
        <w:t>community</w:t>
      </w:r>
      <w:r>
        <w:rPr>
          <w:spacing w:val="22"/>
        </w:rPr>
        <w:t xml:space="preserve"> </w:t>
      </w:r>
      <w:r>
        <w:t>development.</w:t>
      </w:r>
      <w:r>
        <w:rPr>
          <w:spacing w:val="29"/>
        </w:rPr>
        <w:t xml:space="preserve"> </w:t>
      </w:r>
      <w:r>
        <w:rPr>
          <w:spacing w:val="-1"/>
        </w:rPr>
        <w:t>Right</w:t>
      </w:r>
      <w:r>
        <w:rPr>
          <w:spacing w:val="29"/>
        </w:rPr>
        <w:t xml:space="preserve"> </w:t>
      </w:r>
      <w:r>
        <w:t>now</w:t>
      </w:r>
      <w:r>
        <w:rPr>
          <w:spacing w:val="28"/>
        </w:rPr>
        <w:t xml:space="preserve"> </w:t>
      </w:r>
      <w:r>
        <w:t>the</w:t>
      </w:r>
      <w:r>
        <w:rPr>
          <w:spacing w:val="28"/>
        </w:rPr>
        <w:t xml:space="preserve"> </w:t>
      </w:r>
      <w:r>
        <w:rPr>
          <w:spacing w:val="-1"/>
        </w:rPr>
        <w:t>current</w:t>
      </w:r>
      <w:r>
        <w:rPr>
          <w:spacing w:val="29"/>
        </w:rPr>
        <w:t xml:space="preserve"> </w:t>
      </w:r>
      <w:r>
        <w:rPr>
          <w:spacing w:val="-1"/>
        </w:rPr>
        <w:t>program</w:t>
      </w:r>
      <w:r>
        <w:rPr>
          <w:spacing w:val="29"/>
        </w:rPr>
        <w:t xml:space="preserve"> </w:t>
      </w:r>
      <w:r>
        <w:t>is</w:t>
      </w:r>
      <w:r>
        <w:rPr>
          <w:spacing w:val="29"/>
        </w:rPr>
        <w:t xml:space="preserve"> </w:t>
      </w:r>
      <w:r>
        <w:rPr>
          <w:spacing w:val="-1"/>
        </w:rPr>
        <w:t>placing</w:t>
      </w:r>
      <w:r>
        <w:rPr>
          <w:spacing w:val="29"/>
        </w:rPr>
        <w:t xml:space="preserve"> </w:t>
      </w:r>
      <w:r>
        <w:t>too</w:t>
      </w:r>
      <w:r>
        <w:rPr>
          <w:spacing w:val="29"/>
        </w:rPr>
        <w:t xml:space="preserve"> </w:t>
      </w:r>
      <w:r>
        <w:t>much</w:t>
      </w:r>
      <w:r>
        <w:rPr>
          <w:spacing w:val="39"/>
        </w:rPr>
        <w:t xml:space="preserve"> </w:t>
      </w:r>
      <w:r>
        <w:rPr>
          <w:spacing w:val="-1"/>
        </w:rPr>
        <w:t>emphasis</w:t>
      </w:r>
      <w:r>
        <w:rPr>
          <w:spacing w:val="36"/>
        </w:rPr>
        <w:t xml:space="preserve"> </w:t>
      </w:r>
      <w:r>
        <w:t>on</w:t>
      </w:r>
      <w:r>
        <w:rPr>
          <w:spacing w:val="35"/>
        </w:rPr>
        <w:t xml:space="preserve"> </w:t>
      </w:r>
      <w:r>
        <w:t>the</w:t>
      </w:r>
      <w:r>
        <w:rPr>
          <w:spacing w:val="35"/>
        </w:rPr>
        <w:t xml:space="preserve"> </w:t>
      </w:r>
      <w:r>
        <w:rPr>
          <w:spacing w:val="-1"/>
        </w:rPr>
        <w:t>external</w:t>
      </w:r>
      <w:r>
        <w:rPr>
          <w:spacing w:val="36"/>
        </w:rPr>
        <w:t xml:space="preserve"> </w:t>
      </w:r>
      <w:r>
        <w:t>mentor</w:t>
      </w:r>
      <w:r>
        <w:rPr>
          <w:spacing w:val="35"/>
        </w:rPr>
        <w:t xml:space="preserve"> </w:t>
      </w:r>
      <w:r>
        <w:rPr>
          <w:spacing w:val="-1"/>
        </w:rPr>
        <w:t>and</w:t>
      </w:r>
      <w:r>
        <w:rPr>
          <w:spacing w:val="35"/>
        </w:rPr>
        <w:t xml:space="preserve"> </w:t>
      </w:r>
      <w:r>
        <w:t>there</w:t>
      </w:r>
      <w:r>
        <w:rPr>
          <w:spacing w:val="37"/>
        </w:rPr>
        <w:t xml:space="preserve"> </w:t>
      </w:r>
      <w:r>
        <w:t>is</w:t>
      </w:r>
      <w:r>
        <w:rPr>
          <w:spacing w:val="36"/>
        </w:rPr>
        <w:t xml:space="preserve"> </w:t>
      </w:r>
      <w:r>
        <w:t>not</w:t>
      </w:r>
      <w:r>
        <w:rPr>
          <w:spacing w:val="36"/>
        </w:rPr>
        <w:t xml:space="preserve"> </w:t>
      </w:r>
      <w:r>
        <w:rPr>
          <w:spacing w:val="-1"/>
        </w:rPr>
        <w:t>enough</w:t>
      </w:r>
      <w:r>
        <w:rPr>
          <w:spacing w:val="35"/>
        </w:rPr>
        <w:t xml:space="preserve"> </w:t>
      </w:r>
      <w:r>
        <w:rPr>
          <w:spacing w:val="-1"/>
        </w:rPr>
        <w:t>internal</w:t>
      </w:r>
      <w:r>
        <w:rPr>
          <w:spacing w:val="38"/>
        </w:rPr>
        <w:t xml:space="preserve"> </w:t>
      </w:r>
      <w:r>
        <w:rPr>
          <w:spacing w:val="-1"/>
        </w:rPr>
        <w:t>mentoring</w:t>
      </w:r>
      <w:r>
        <w:rPr>
          <w:spacing w:val="61"/>
        </w:rPr>
        <w:t xml:space="preserve"> </w:t>
      </w:r>
      <w:r>
        <w:t>happening</w:t>
      </w:r>
      <w:r>
        <w:rPr>
          <w:spacing w:val="11"/>
        </w:rPr>
        <w:t xml:space="preserve"> </w:t>
      </w:r>
      <w:r>
        <w:t>in</w:t>
      </w:r>
      <w:r>
        <w:rPr>
          <w:spacing w:val="14"/>
        </w:rPr>
        <w:t xml:space="preserve"> </w:t>
      </w:r>
      <w:r>
        <w:t>the</w:t>
      </w:r>
      <w:r>
        <w:rPr>
          <w:spacing w:val="13"/>
        </w:rPr>
        <w:t xml:space="preserve"> </w:t>
      </w:r>
      <w:r>
        <w:t>departments.</w:t>
      </w:r>
      <w:r>
        <w:rPr>
          <w:spacing w:val="16"/>
        </w:rPr>
        <w:t xml:space="preserve"> </w:t>
      </w:r>
      <w:r>
        <w:t>I</w:t>
      </w:r>
      <w:r>
        <w:rPr>
          <w:spacing w:val="11"/>
        </w:rPr>
        <w:t xml:space="preserve"> </w:t>
      </w:r>
      <w:r>
        <w:t>really</w:t>
      </w:r>
      <w:r>
        <w:rPr>
          <w:spacing w:val="9"/>
        </w:rPr>
        <w:t xml:space="preserve"> </w:t>
      </w:r>
      <w:r>
        <w:t>think</w:t>
      </w:r>
      <w:r>
        <w:rPr>
          <w:spacing w:val="14"/>
        </w:rPr>
        <w:t xml:space="preserve"> </w:t>
      </w:r>
      <w:r>
        <w:t>we</w:t>
      </w:r>
      <w:r>
        <w:rPr>
          <w:spacing w:val="15"/>
        </w:rPr>
        <w:t xml:space="preserve"> </w:t>
      </w:r>
      <w:r>
        <w:rPr>
          <w:spacing w:val="-1"/>
        </w:rPr>
        <w:t>need</w:t>
      </w:r>
      <w:r>
        <w:rPr>
          <w:spacing w:val="14"/>
        </w:rPr>
        <w:t xml:space="preserve"> </w:t>
      </w:r>
      <w:r>
        <w:t>to</w:t>
      </w:r>
      <w:r>
        <w:rPr>
          <w:spacing w:val="14"/>
        </w:rPr>
        <w:t xml:space="preserve"> </w:t>
      </w:r>
      <w:r>
        <w:rPr>
          <w:spacing w:val="-1"/>
        </w:rPr>
        <w:t>develop</w:t>
      </w:r>
      <w:r>
        <w:rPr>
          <w:spacing w:val="14"/>
        </w:rPr>
        <w:t xml:space="preserve"> </w:t>
      </w:r>
      <w:r>
        <w:t>that.</w:t>
      </w:r>
      <w:r>
        <w:rPr>
          <w:spacing w:val="14"/>
        </w:rPr>
        <w:t xml:space="preserve"> </w:t>
      </w:r>
      <w:r>
        <w:t>The</w:t>
      </w:r>
      <w:r>
        <w:rPr>
          <w:spacing w:val="13"/>
        </w:rPr>
        <w:t xml:space="preserve"> </w:t>
      </w:r>
      <w:r>
        <w:rPr>
          <w:spacing w:val="-1"/>
        </w:rPr>
        <w:t>Aboriginal</w:t>
      </w:r>
      <w:r>
        <w:rPr>
          <w:spacing w:val="37"/>
        </w:rPr>
        <w:t xml:space="preserve"> </w:t>
      </w:r>
      <w:r>
        <w:rPr>
          <w:spacing w:val="-1"/>
        </w:rPr>
        <w:t>and</w:t>
      </w:r>
      <w:r>
        <w:rPr>
          <w:spacing w:val="54"/>
        </w:rPr>
        <w:t xml:space="preserve"> </w:t>
      </w:r>
      <w:r>
        <w:rPr>
          <w:spacing w:val="-1"/>
        </w:rPr>
        <w:t>Torres</w:t>
      </w:r>
      <w:r>
        <w:rPr>
          <w:spacing w:val="55"/>
        </w:rPr>
        <w:t xml:space="preserve"> </w:t>
      </w:r>
      <w:r>
        <w:rPr>
          <w:spacing w:val="-1"/>
        </w:rPr>
        <w:t>Strait</w:t>
      </w:r>
      <w:r>
        <w:rPr>
          <w:spacing w:val="58"/>
        </w:rPr>
        <w:t xml:space="preserve"> </w:t>
      </w:r>
      <w:r>
        <w:rPr>
          <w:spacing w:val="-1"/>
        </w:rPr>
        <w:t>Islander</w:t>
      </w:r>
      <w:r>
        <w:rPr>
          <w:spacing w:val="54"/>
        </w:rPr>
        <w:t xml:space="preserve"> </w:t>
      </w:r>
      <w:r>
        <w:t>mentors</w:t>
      </w:r>
      <w:r>
        <w:rPr>
          <w:spacing w:val="57"/>
        </w:rPr>
        <w:t xml:space="preserve"> </w:t>
      </w:r>
      <w:r>
        <w:rPr>
          <w:spacing w:val="-1"/>
        </w:rPr>
        <w:t>have</w:t>
      </w:r>
      <w:r>
        <w:rPr>
          <w:spacing w:val="56"/>
        </w:rPr>
        <w:t xml:space="preserve"> </w:t>
      </w:r>
      <w:r>
        <w:t>the</w:t>
      </w:r>
      <w:r>
        <w:rPr>
          <w:spacing w:val="54"/>
        </w:rPr>
        <w:t xml:space="preserve"> </w:t>
      </w:r>
      <w:r>
        <w:t>knowledge</w:t>
      </w:r>
      <w:r>
        <w:rPr>
          <w:spacing w:val="54"/>
        </w:rPr>
        <w:t xml:space="preserve"> </w:t>
      </w:r>
      <w:r>
        <w:t>and</w:t>
      </w:r>
      <w:r>
        <w:rPr>
          <w:spacing w:val="54"/>
        </w:rPr>
        <w:t xml:space="preserve"> </w:t>
      </w:r>
      <w:r>
        <w:t>understanding</w:t>
      </w:r>
      <w:r>
        <w:rPr>
          <w:spacing w:val="53"/>
        </w:rPr>
        <w:t xml:space="preserve"> </w:t>
      </w:r>
      <w:r>
        <w:t>of</w:t>
      </w:r>
      <w:r>
        <w:rPr>
          <w:spacing w:val="56"/>
        </w:rPr>
        <w:t xml:space="preserve"> </w:t>
      </w:r>
      <w:r>
        <w:t>the</w:t>
      </w:r>
      <w:r>
        <w:rPr>
          <w:spacing w:val="47"/>
        </w:rPr>
        <w:t xml:space="preserve"> </w:t>
      </w:r>
      <w:r>
        <w:rPr>
          <w:spacing w:val="-1"/>
        </w:rPr>
        <w:t>community,</w:t>
      </w:r>
      <w:r>
        <w:rPr>
          <w:spacing w:val="6"/>
        </w:rPr>
        <w:t xml:space="preserve"> </w:t>
      </w:r>
      <w:r>
        <w:rPr>
          <w:spacing w:val="-1"/>
        </w:rPr>
        <w:t>and,</w:t>
      </w:r>
      <w:r>
        <w:rPr>
          <w:spacing w:val="9"/>
        </w:rPr>
        <w:t xml:space="preserve"> </w:t>
      </w:r>
      <w:r>
        <w:rPr>
          <w:spacing w:val="-1"/>
        </w:rPr>
        <w:t>at</w:t>
      </w:r>
      <w:r>
        <w:rPr>
          <w:spacing w:val="7"/>
        </w:rPr>
        <w:t xml:space="preserve"> </w:t>
      </w:r>
      <w:r>
        <w:t>times,</w:t>
      </w:r>
      <w:r>
        <w:rPr>
          <w:spacing w:val="7"/>
        </w:rPr>
        <w:t xml:space="preserve"> </w:t>
      </w:r>
      <w:r>
        <w:rPr>
          <w:spacing w:val="-1"/>
        </w:rPr>
        <w:t>there</w:t>
      </w:r>
      <w:r>
        <w:rPr>
          <w:spacing w:val="8"/>
        </w:rPr>
        <w:t xml:space="preserve"> </w:t>
      </w:r>
      <w:r>
        <w:t>is</w:t>
      </w:r>
      <w:r>
        <w:rPr>
          <w:spacing w:val="7"/>
        </w:rPr>
        <w:t xml:space="preserve"> </w:t>
      </w:r>
      <w:r>
        <w:rPr>
          <w:spacing w:val="-1"/>
        </w:rPr>
        <w:t>family.</w:t>
      </w:r>
      <w:r>
        <w:rPr>
          <w:spacing w:val="9"/>
        </w:rPr>
        <w:t xml:space="preserve"> </w:t>
      </w:r>
      <w:r>
        <w:rPr>
          <w:spacing w:val="-1"/>
        </w:rPr>
        <w:t>But</w:t>
      </w:r>
      <w:r>
        <w:rPr>
          <w:spacing w:val="7"/>
        </w:rPr>
        <w:t xml:space="preserve"> </w:t>
      </w:r>
      <w:r>
        <w:t>those</w:t>
      </w:r>
      <w:r>
        <w:rPr>
          <w:spacing w:val="6"/>
        </w:rPr>
        <w:t xml:space="preserve"> </w:t>
      </w:r>
      <w:r>
        <w:t>three</w:t>
      </w:r>
      <w:r>
        <w:rPr>
          <w:spacing w:val="6"/>
        </w:rPr>
        <w:t xml:space="preserve"> </w:t>
      </w:r>
      <w:r>
        <w:t>or</w:t>
      </w:r>
      <w:r>
        <w:rPr>
          <w:spacing w:val="8"/>
        </w:rPr>
        <w:t xml:space="preserve"> </w:t>
      </w:r>
      <w:r>
        <w:t>four</w:t>
      </w:r>
      <w:r>
        <w:rPr>
          <w:spacing w:val="7"/>
        </w:rPr>
        <w:t xml:space="preserve"> </w:t>
      </w:r>
      <w:r>
        <w:t>elements</w:t>
      </w:r>
      <w:r>
        <w:rPr>
          <w:spacing w:val="7"/>
        </w:rPr>
        <w:t xml:space="preserve"> </w:t>
      </w:r>
      <w:r>
        <w:rPr>
          <w:spacing w:val="-1"/>
        </w:rPr>
        <w:t>need</w:t>
      </w:r>
      <w:r>
        <w:rPr>
          <w:spacing w:val="6"/>
        </w:rPr>
        <w:t xml:space="preserve"> </w:t>
      </w:r>
      <w:r>
        <w:t>to</w:t>
      </w:r>
      <w:r>
        <w:rPr>
          <w:spacing w:val="9"/>
        </w:rPr>
        <w:t xml:space="preserve"> </w:t>
      </w:r>
      <w:r>
        <w:t>be</w:t>
      </w:r>
      <w:r>
        <w:rPr>
          <w:spacing w:val="51"/>
        </w:rPr>
        <w:t xml:space="preserve"> </w:t>
      </w:r>
      <w:r>
        <w:t>met</w:t>
      </w:r>
      <w:r>
        <w:rPr>
          <w:spacing w:val="40"/>
        </w:rPr>
        <w:t xml:space="preserve"> </w:t>
      </w:r>
      <w:r>
        <w:rPr>
          <w:spacing w:val="-1"/>
        </w:rPr>
        <w:t>before</w:t>
      </w:r>
      <w:r>
        <w:rPr>
          <w:spacing w:val="39"/>
        </w:rPr>
        <w:t xml:space="preserve"> </w:t>
      </w:r>
      <w:r>
        <w:t>a</w:t>
      </w:r>
      <w:r>
        <w:rPr>
          <w:spacing w:val="39"/>
        </w:rPr>
        <w:t xml:space="preserve"> </w:t>
      </w:r>
      <w:r>
        <w:rPr>
          <w:spacing w:val="-1"/>
        </w:rPr>
        <w:t>person</w:t>
      </w:r>
      <w:r>
        <w:rPr>
          <w:spacing w:val="40"/>
        </w:rPr>
        <w:t xml:space="preserve"> </w:t>
      </w:r>
      <w:r>
        <w:rPr>
          <w:spacing w:val="-1"/>
        </w:rPr>
        <w:t>can</w:t>
      </w:r>
      <w:r>
        <w:rPr>
          <w:spacing w:val="42"/>
        </w:rPr>
        <w:t xml:space="preserve"> </w:t>
      </w:r>
      <w:r>
        <w:rPr>
          <w:spacing w:val="-1"/>
        </w:rPr>
        <w:t>progress.</w:t>
      </w:r>
      <w:r>
        <w:rPr>
          <w:spacing w:val="41"/>
        </w:rPr>
        <w:t xml:space="preserve"> </w:t>
      </w:r>
      <w:r>
        <w:t>Someone</w:t>
      </w:r>
      <w:r>
        <w:rPr>
          <w:spacing w:val="39"/>
        </w:rPr>
        <w:t xml:space="preserve"> </w:t>
      </w:r>
      <w:r>
        <w:t>may</w:t>
      </w:r>
      <w:r>
        <w:rPr>
          <w:spacing w:val="37"/>
        </w:rPr>
        <w:t xml:space="preserve"> </w:t>
      </w:r>
      <w:r>
        <w:t>be</w:t>
      </w:r>
      <w:r>
        <w:rPr>
          <w:spacing w:val="39"/>
        </w:rPr>
        <w:t xml:space="preserve"> </w:t>
      </w:r>
      <w:r>
        <w:rPr>
          <w:spacing w:val="-1"/>
        </w:rPr>
        <w:t>progressing</w:t>
      </w:r>
      <w:r>
        <w:rPr>
          <w:spacing w:val="38"/>
        </w:rPr>
        <w:t xml:space="preserve"> </w:t>
      </w:r>
      <w:r>
        <w:t>really</w:t>
      </w:r>
      <w:r>
        <w:rPr>
          <w:spacing w:val="38"/>
        </w:rPr>
        <w:t xml:space="preserve"> </w:t>
      </w:r>
      <w:r>
        <w:rPr>
          <w:spacing w:val="-1"/>
        </w:rPr>
        <w:t>well</w:t>
      </w:r>
      <w:r>
        <w:rPr>
          <w:spacing w:val="41"/>
        </w:rPr>
        <w:t xml:space="preserve"> </w:t>
      </w:r>
      <w:r>
        <w:t>in</w:t>
      </w:r>
      <w:r>
        <w:rPr>
          <w:spacing w:val="41"/>
        </w:rPr>
        <w:t xml:space="preserve"> </w:t>
      </w:r>
      <w:r>
        <w:t>the</w:t>
      </w:r>
      <w:r>
        <w:rPr>
          <w:spacing w:val="55"/>
        </w:rPr>
        <w:t xml:space="preserve"> </w:t>
      </w:r>
      <w:r>
        <w:rPr>
          <w:spacing w:val="-1"/>
        </w:rPr>
        <w:t>workplace</w:t>
      </w:r>
      <w:r>
        <w:rPr>
          <w:spacing w:val="22"/>
        </w:rPr>
        <w:t xml:space="preserve"> </w:t>
      </w:r>
      <w:r>
        <w:t>with</w:t>
      </w:r>
      <w:r>
        <w:rPr>
          <w:spacing w:val="21"/>
        </w:rPr>
        <w:t xml:space="preserve"> </w:t>
      </w:r>
      <w:r>
        <w:t>the</w:t>
      </w:r>
      <w:r>
        <w:rPr>
          <w:spacing w:val="20"/>
        </w:rPr>
        <w:t xml:space="preserve"> </w:t>
      </w:r>
      <w:r>
        <w:rPr>
          <w:spacing w:val="-1"/>
        </w:rPr>
        <w:t>traineeship,</w:t>
      </w:r>
      <w:r>
        <w:rPr>
          <w:spacing w:val="22"/>
        </w:rPr>
        <w:t xml:space="preserve"> </w:t>
      </w:r>
      <w:r>
        <w:t>but</w:t>
      </w:r>
      <w:r>
        <w:rPr>
          <w:spacing w:val="21"/>
        </w:rPr>
        <w:t xml:space="preserve"> </w:t>
      </w:r>
      <w:r>
        <w:t>then</w:t>
      </w:r>
      <w:r>
        <w:rPr>
          <w:spacing w:val="20"/>
        </w:rPr>
        <w:t xml:space="preserve"> </w:t>
      </w:r>
      <w:r>
        <w:rPr>
          <w:spacing w:val="1"/>
        </w:rPr>
        <w:t>they</w:t>
      </w:r>
      <w:r>
        <w:rPr>
          <w:spacing w:val="16"/>
        </w:rPr>
        <w:t xml:space="preserve"> </w:t>
      </w:r>
      <w:r>
        <w:rPr>
          <w:spacing w:val="1"/>
        </w:rPr>
        <w:t>may</w:t>
      </w:r>
      <w:r>
        <w:rPr>
          <w:spacing w:val="18"/>
        </w:rPr>
        <w:t xml:space="preserve"> </w:t>
      </w:r>
      <w:r>
        <w:t>have</w:t>
      </w:r>
      <w:r>
        <w:rPr>
          <w:spacing w:val="20"/>
        </w:rPr>
        <w:t xml:space="preserve"> </w:t>
      </w:r>
      <w:r>
        <w:t>family</w:t>
      </w:r>
      <w:r>
        <w:rPr>
          <w:spacing w:val="16"/>
        </w:rPr>
        <w:t xml:space="preserve"> </w:t>
      </w:r>
      <w:r>
        <w:rPr>
          <w:spacing w:val="-1"/>
        </w:rPr>
        <w:t>issues</w:t>
      </w:r>
      <w:r>
        <w:rPr>
          <w:spacing w:val="23"/>
        </w:rPr>
        <w:t xml:space="preserve"> </w:t>
      </w:r>
      <w:r>
        <w:rPr>
          <w:spacing w:val="-1"/>
        </w:rPr>
        <w:t>and</w:t>
      </w:r>
      <w:r>
        <w:rPr>
          <w:spacing w:val="23"/>
        </w:rPr>
        <w:t xml:space="preserve"> </w:t>
      </w:r>
      <w:r>
        <w:t>it</w:t>
      </w:r>
      <w:r>
        <w:rPr>
          <w:spacing w:val="22"/>
        </w:rPr>
        <w:t xml:space="preserve"> </w:t>
      </w:r>
      <w:r>
        <w:rPr>
          <w:spacing w:val="-1"/>
        </w:rPr>
        <w:t>all</w:t>
      </w:r>
      <w:r>
        <w:rPr>
          <w:spacing w:val="22"/>
        </w:rPr>
        <w:t xml:space="preserve"> </w:t>
      </w:r>
      <w:r>
        <w:rPr>
          <w:spacing w:val="-1"/>
        </w:rPr>
        <w:t>falls</w:t>
      </w:r>
      <w:r>
        <w:rPr>
          <w:spacing w:val="62"/>
        </w:rPr>
        <w:t xml:space="preserve"> </w:t>
      </w:r>
      <w:r>
        <w:rPr>
          <w:spacing w:val="-1"/>
        </w:rPr>
        <w:t>over.</w:t>
      </w:r>
      <w:r>
        <w:rPr>
          <w:spacing w:val="13"/>
        </w:rPr>
        <w:t xml:space="preserve"> </w:t>
      </w:r>
      <w:r>
        <w:rPr>
          <w:spacing w:val="-2"/>
        </w:rPr>
        <w:t>In</w:t>
      </w:r>
      <w:r>
        <w:rPr>
          <w:spacing w:val="13"/>
        </w:rPr>
        <w:t xml:space="preserve"> </w:t>
      </w:r>
      <w:r>
        <w:t>the</w:t>
      </w:r>
      <w:r>
        <w:rPr>
          <w:spacing w:val="13"/>
        </w:rPr>
        <w:t xml:space="preserve"> </w:t>
      </w:r>
      <w:r>
        <w:rPr>
          <w:spacing w:val="-1"/>
        </w:rPr>
        <w:t>past,</w:t>
      </w:r>
      <w:r>
        <w:rPr>
          <w:spacing w:val="12"/>
        </w:rPr>
        <w:t xml:space="preserve"> </w:t>
      </w:r>
      <w:r>
        <w:t>some</w:t>
      </w:r>
      <w:r>
        <w:rPr>
          <w:spacing w:val="13"/>
        </w:rPr>
        <w:t xml:space="preserve"> </w:t>
      </w:r>
      <w:r>
        <w:rPr>
          <w:spacing w:val="-1"/>
        </w:rPr>
        <w:t>trainees</w:t>
      </w:r>
      <w:r>
        <w:rPr>
          <w:spacing w:val="12"/>
        </w:rPr>
        <w:t xml:space="preserve"> </w:t>
      </w:r>
      <w:r>
        <w:t>have</w:t>
      </w:r>
      <w:r>
        <w:rPr>
          <w:spacing w:val="12"/>
        </w:rPr>
        <w:t xml:space="preserve"> </w:t>
      </w:r>
      <w:r>
        <w:rPr>
          <w:spacing w:val="-1"/>
        </w:rPr>
        <w:t>come</w:t>
      </w:r>
      <w:r>
        <w:rPr>
          <w:spacing w:val="13"/>
        </w:rPr>
        <w:t xml:space="preserve"> </w:t>
      </w:r>
      <w:r>
        <w:rPr>
          <w:spacing w:val="-1"/>
        </w:rPr>
        <w:t>from</w:t>
      </w:r>
      <w:r>
        <w:rPr>
          <w:spacing w:val="12"/>
        </w:rPr>
        <w:t xml:space="preserve"> </w:t>
      </w:r>
      <w:r>
        <w:t>interstate</w:t>
      </w:r>
      <w:r>
        <w:rPr>
          <w:spacing w:val="13"/>
        </w:rPr>
        <w:t xml:space="preserve"> </w:t>
      </w:r>
      <w:r>
        <w:rPr>
          <w:spacing w:val="-1"/>
        </w:rPr>
        <w:t>and</w:t>
      </w:r>
      <w:r>
        <w:rPr>
          <w:spacing w:val="11"/>
        </w:rPr>
        <w:t xml:space="preserve"> </w:t>
      </w:r>
      <w:r>
        <w:rPr>
          <w:spacing w:val="1"/>
        </w:rPr>
        <w:t>they</w:t>
      </w:r>
      <w:r>
        <w:rPr>
          <w:spacing w:val="9"/>
        </w:rPr>
        <w:t xml:space="preserve"> </w:t>
      </w:r>
      <w:r>
        <w:rPr>
          <w:spacing w:val="-1"/>
        </w:rPr>
        <w:t>have</w:t>
      </w:r>
      <w:r>
        <w:rPr>
          <w:spacing w:val="12"/>
        </w:rPr>
        <w:t xml:space="preserve"> </w:t>
      </w:r>
      <w:r>
        <w:t>left</w:t>
      </w:r>
      <w:r>
        <w:rPr>
          <w:spacing w:val="11"/>
        </w:rPr>
        <w:t xml:space="preserve"> </w:t>
      </w:r>
      <w:r>
        <w:rPr>
          <w:spacing w:val="-1"/>
        </w:rPr>
        <w:t>because</w:t>
      </w:r>
      <w:r>
        <w:rPr>
          <w:spacing w:val="65"/>
        </w:rPr>
        <w:t xml:space="preserve"> </w:t>
      </w:r>
      <w:r>
        <w:t>they</w:t>
      </w:r>
      <w:r>
        <w:rPr>
          <w:spacing w:val="-5"/>
        </w:rPr>
        <w:t xml:space="preserve"> </w:t>
      </w:r>
      <w:r>
        <w:t>have</w:t>
      </w:r>
      <w:r>
        <w:rPr>
          <w:spacing w:val="-1"/>
        </w:rPr>
        <w:t xml:space="preserve"> </w:t>
      </w:r>
      <w:r>
        <w:t xml:space="preserve">missed </w:t>
      </w:r>
      <w:r>
        <w:rPr>
          <w:spacing w:val="-1"/>
        </w:rPr>
        <w:t>home.</w:t>
      </w:r>
      <w:r>
        <w:rPr>
          <w:spacing w:val="2"/>
        </w:rPr>
        <w:t xml:space="preserve"> </w:t>
      </w:r>
      <w:r>
        <w:t>So those</w:t>
      </w:r>
      <w:r>
        <w:rPr>
          <w:spacing w:val="-1"/>
        </w:rPr>
        <w:t xml:space="preserve"> </w:t>
      </w:r>
      <w:r>
        <w:t xml:space="preserve">sorts of issues </w:t>
      </w:r>
      <w:r>
        <w:rPr>
          <w:spacing w:val="-1"/>
        </w:rPr>
        <w:t>need</w:t>
      </w:r>
      <w:r>
        <w:t xml:space="preserve"> to be </w:t>
      </w:r>
      <w:r>
        <w:rPr>
          <w:spacing w:val="-1"/>
        </w:rPr>
        <w:t>considered.</w:t>
      </w:r>
      <w:r w:rsidR="0062447B">
        <w:rPr>
          <w:rStyle w:val="FootnoteReference"/>
          <w:spacing w:val="-1"/>
        </w:rPr>
        <w:footnoteReference w:id="114"/>
      </w:r>
    </w:p>
    <w:p w:rsidR="00F94B7D" w:rsidRDefault="00F94B7D" w:rsidP="00F94B7D">
      <w:pPr>
        <w:pStyle w:val="Bodytext"/>
      </w:pPr>
      <w:r>
        <w:t xml:space="preserve">When asked about ‘internal mentoring’, Mr Church said: </w:t>
      </w:r>
    </w:p>
    <w:p w:rsidR="00F94B7D" w:rsidRDefault="00F94B7D" w:rsidP="00F94B7D">
      <w:pPr>
        <w:pStyle w:val="Quote"/>
      </w:pPr>
      <w:r>
        <w:t>Having</w:t>
      </w:r>
      <w:r>
        <w:rPr>
          <w:spacing w:val="18"/>
        </w:rPr>
        <w:t xml:space="preserve"> </w:t>
      </w:r>
      <w:r>
        <w:t>a</w:t>
      </w:r>
      <w:r>
        <w:rPr>
          <w:spacing w:val="20"/>
        </w:rPr>
        <w:t xml:space="preserve"> </w:t>
      </w:r>
      <w:r>
        <w:t>really</w:t>
      </w:r>
      <w:r>
        <w:rPr>
          <w:spacing w:val="16"/>
        </w:rPr>
        <w:t xml:space="preserve"> </w:t>
      </w:r>
      <w:r>
        <w:t>supportive</w:t>
      </w:r>
      <w:r>
        <w:rPr>
          <w:spacing w:val="20"/>
        </w:rPr>
        <w:t xml:space="preserve"> </w:t>
      </w:r>
      <w:r>
        <w:t>mentor</w:t>
      </w:r>
      <w:r>
        <w:rPr>
          <w:spacing w:val="23"/>
        </w:rPr>
        <w:t xml:space="preserve"> </w:t>
      </w:r>
      <w:r>
        <w:t>in</w:t>
      </w:r>
      <w:r>
        <w:rPr>
          <w:spacing w:val="21"/>
        </w:rPr>
        <w:t xml:space="preserve"> </w:t>
      </w:r>
      <w:r>
        <w:t>the</w:t>
      </w:r>
      <w:r>
        <w:rPr>
          <w:spacing w:val="20"/>
        </w:rPr>
        <w:t xml:space="preserve"> </w:t>
      </w:r>
      <w:r>
        <w:rPr>
          <w:spacing w:val="-1"/>
        </w:rPr>
        <w:t>workplace,</w:t>
      </w:r>
      <w:r>
        <w:rPr>
          <w:spacing w:val="21"/>
        </w:rPr>
        <w:t xml:space="preserve"> </w:t>
      </w:r>
      <w:r>
        <w:rPr>
          <w:spacing w:val="-1"/>
        </w:rPr>
        <w:t>whether</w:t>
      </w:r>
      <w:r>
        <w:rPr>
          <w:spacing w:val="20"/>
        </w:rPr>
        <w:t xml:space="preserve"> </w:t>
      </w:r>
      <w:r>
        <w:t>that</w:t>
      </w:r>
      <w:r>
        <w:rPr>
          <w:spacing w:val="21"/>
        </w:rPr>
        <w:t xml:space="preserve"> </w:t>
      </w:r>
      <w:r>
        <w:t>be</w:t>
      </w:r>
      <w:r>
        <w:rPr>
          <w:spacing w:val="22"/>
        </w:rPr>
        <w:t xml:space="preserve"> </w:t>
      </w:r>
      <w:r>
        <w:t>a</w:t>
      </w:r>
      <w:r>
        <w:rPr>
          <w:spacing w:val="36"/>
        </w:rPr>
        <w:t xml:space="preserve"> </w:t>
      </w:r>
      <w:r>
        <w:rPr>
          <w:spacing w:val="-1"/>
        </w:rPr>
        <w:t>colleague,</w:t>
      </w:r>
      <w:r>
        <w:rPr>
          <w:spacing w:val="4"/>
        </w:rPr>
        <w:t xml:space="preserve"> </w:t>
      </w:r>
      <w:r>
        <w:t>a</w:t>
      </w:r>
      <w:r>
        <w:rPr>
          <w:spacing w:val="1"/>
        </w:rPr>
        <w:t xml:space="preserve"> </w:t>
      </w:r>
      <w:r>
        <w:t>manager,</w:t>
      </w:r>
      <w:r>
        <w:rPr>
          <w:spacing w:val="1"/>
        </w:rPr>
        <w:t xml:space="preserve"> </w:t>
      </w:r>
      <w:r>
        <w:t>or</w:t>
      </w:r>
      <w:r>
        <w:rPr>
          <w:spacing w:val="6"/>
        </w:rPr>
        <w:t xml:space="preserve"> </w:t>
      </w:r>
      <w:r>
        <w:t>a</w:t>
      </w:r>
      <w:r>
        <w:rPr>
          <w:spacing w:val="1"/>
        </w:rPr>
        <w:t xml:space="preserve"> </w:t>
      </w:r>
      <w:r>
        <w:rPr>
          <w:spacing w:val="-1"/>
        </w:rPr>
        <w:t>supervisor.</w:t>
      </w:r>
      <w:r>
        <w:rPr>
          <w:spacing w:val="6"/>
        </w:rPr>
        <w:t xml:space="preserve"> </w:t>
      </w:r>
      <w:r>
        <w:t>I</w:t>
      </w:r>
      <w:r>
        <w:rPr>
          <w:spacing w:val="1"/>
        </w:rPr>
        <w:t xml:space="preserve"> </w:t>
      </w:r>
      <w:r>
        <w:t>really</w:t>
      </w:r>
      <w:r>
        <w:rPr>
          <w:spacing w:val="-3"/>
        </w:rPr>
        <w:t xml:space="preserve"> </w:t>
      </w:r>
      <w:r>
        <w:t>think</w:t>
      </w:r>
      <w:r>
        <w:rPr>
          <w:spacing w:val="2"/>
        </w:rPr>
        <w:t xml:space="preserve"> </w:t>
      </w:r>
      <w:r>
        <w:t>it</w:t>
      </w:r>
      <w:r>
        <w:rPr>
          <w:spacing w:val="2"/>
        </w:rPr>
        <w:t xml:space="preserve"> </w:t>
      </w:r>
      <w:r>
        <w:t>is</w:t>
      </w:r>
      <w:r>
        <w:rPr>
          <w:spacing w:val="2"/>
        </w:rPr>
        <w:t xml:space="preserve"> </w:t>
      </w:r>
      <w:r>
        <w:rPr>
          <w:spacing w:val="-1"/>
        </w:rPr>
        <w:t>beneficial</w:t>
      </w:r>
      <w:r>
        <w:rPr>
          <w:spacing w:val="2"/>
        </w:rPr>
        <w:t xml:space="preserve"> </w:t>
      </w:r>
      <w:r>
        <w:t>to</w:t>
      </w:r>
      <w:r>
        <w:rPr>
          <w:spacing w:val="2"/>
        </w:rPr>
        <w:t xml:space="preserve"> </w:t>
      </w:r>
      <w:r>
        <w:t>have</w:t>
      </w:r>
      <w:r>
        <w:rPr>
          <w:spacing w:val="3"/>
        </w:rPr>
        <w:t xml:space="preserve"> </w:t>
      </w:r>
      <w:r>
        <w:t xml:space="preserve">someone </w:t>
      </w:r>
      <w:r>
        <w:rPr>
          <w:spacing w:val="-1"/>
        </w:rPr>
        <w:t>at</w:t>
      </w:r>
      <w:r>
        <w:rPr>
          <w:spacing w:val="57"/>
        </w:rPr>
        <w:t xml:space="preserve"> </w:t>
      </w:r>
      <w:r>
        <w:t>a</w:t>
      </w:r>
      <w:r>
        <w:rPr>
          <w:spacing w:val="13"/>
        </w:rPr>
        <w:t xml:space="preserve"> </w:t>
      </w:r>
      <w:r>
        <w:rPr>
          <w:spacing w:val="-1"/>
        </w:rPr>
        <w:t>high</w:t>
      </w:r>
      <w:r>
        <w:rPr>
          <w:spacing w:val="14"/>
        </w:rPr>
        <w:t xml:space="preserve"> </w:t>
      </w:r>
      <w:r>
        <w:t>level</w:t>
      </w:r>
      <w:r>
        <w:rPr>
          <w:spacing w:val="14"/>
        </w:rPr>
        <w:t xml:space="preserve"> </w:t>
      </w:r>
      <w:r>
        <w:t>that</w:t>
      </w:r>
      <w:r>
        <w:rPr>
          <w:spacing w:val="14"/>
        </w:rPr>
        <w:t xml:space="preserve"> </w:t>
      </w:r>
      <w:r>
        <w:rPr>
          <w:spacing w:val="-1"/>
        </w:rPr>
        <w:t>can</w:t>
      </w:r>
      <w:r>
        <w:rPr>
          <w:spacing w:val="14"/>
        </w:rPr>
        <w:t xml:space="preserve"> </w:t>
      </w:r>
      <w:r>
        <w:t>look</w:t>
      </w:r>
      <w:r>
        <w:rPr>
          <w:spacing w:val="14"/>
        </w:rPr>
        <w:t xml:space="preserve"> </w:t>
      </w:r>
      <w:r>
        <w:t>down.</w:t>
      </w:r>
      <w:r>
        <w:rPr>
          <w:spacing w:val="13"/>
        </w:rPr>
        <w:t xml:space="preserve"> </w:t>
      </w:r>
      <w:r>
        <w:t>We</w:t>
      </w:r>
      <w:r>
        <w:rPr>
          <w:spacing w:val="13"/>
        </w:rPr>
        <w:t xml:space="preserve"> </w:t>
      </w:r>
      <w:r>
        <w:rPr>
          <w:spacing w:val="-1"/>
        </w:rPr>
        <w:t>have</w:t>
      </w:r>
      <w:r>
        <w:rPr>
          <w:spacing w:val="13"/>
        </w:rPr>
        <w:t xml:space="preserve"> </w:t>
      </w:r>
      <w:r>
        <w:rPr>
          <w:spacing w:val="-1"/>
        </w:rPr>
        <w:t>all</w:t>
      </w:r>
      <w:r>
        <w:rPr>
          <w:spacing w:val="14"/>
        </w:rPr>
        <w:t xml:space="preserve"> </w:t>
      </w:r>
      <w:r>
        <w:t>started</w:t>
      </w:r>
      <w:r>
        <w:rPr>
          <w:spacing w:val="14"/>
        </w:rPr>
        <w:t xml:space="preserve"> </w:t>
      </w:r>
      <w:r>
        <w:rPr>
          <w:spacing w:val="-1"/>
        </w:rPr>
        <w:t>at</w:t>
      </w:r>
      <w:r>
        <w:rPr>
          <w:spacing w:val="14"/>
        </w:rPr>
        <w:t xml:space="preserve"> </w:t>
      </w:r>
      <w:r>
        <w:t>the</w:t>
      </w:r>
      <w:r>
        <w:rPr>
          <w:spacing w:val="13"/>
        </w:rPr>
        <w:t xml:space="preserve"> </w:t>
      </w:r>
      <w:r>
        <w:t>bottom,</w:t>
      </w:r>
      <w:r>
        <w:rPr>
          <w:spacing w:val="14"/>
        </w:rPr>
        <w:t xml:space="preserve"> </w:t>
      </w:r>
      <w:r>
        <w:rPr>
          <w:spacing w:val="-1"/>
        </w:rPr>
        <w:t>and</w:t>
      </w:r>
      <w:r>
        <w:rPr>
          <w:spacing w:val="16"/>
        </w:rPr>
        <w:t xml:space="preserve"> </w:t>
      </w:r>
      <w:r>
        <w:rPr>
          <w:spacing w:val="-1"/>
        </w:rPr>
        <w:t>you</w:t>
      </w:r>
      <w:r>
        <w:rPr>
          <w:spacing w:val="14"/>
        </w:rPr>
        <w:t xml:space="preserve"> </w:t>
      </w:r>
      <w:r>
        <w:rPr>
          <w:spacing w:val="-1"/>
        </w:rPr>
        <w:t>have</w:t>
      </w:r>
      <w:r>
        <w:rPr>
          <w:spacing w:val="15"/>
        </w:rPr>
        <w:t xml:space="preserve"> </w:t>
      </w:r>
      <w:r>
        <w:rPr>
          <w:spacing w:val="-1"/>
        </w:rPr>
        <w:t>got</w:t>
      </w:r>
      <w:r>
        <w:rPr>
          <w:spacing w:val="43"/>
        </w:rPr>
        <w:t xml:space="preserve"> </w:t>
      </w:r>
      <w:r>
        <w:rPr>
          <w:spacing w:val="-1"/>
        </w:rPr>
        <w:t>people</w:t>
      </w:r>
      <w:r>
        <w:rPr>
          <w:spacing w:val="11"/>
        </w:rPr>
        <w:t xml:space="preserve"> </w:t>
      </w:r>
      <w:r>
        <w:t>like</w:t>
      </w:r>
      <w:r>
        <w:rPr>
          <w:spacing w:val="10"/>
        </w:rPr>
        <w:t xml:space="preserve"> </w:t>
      </w:r>
      <w:r>
        <w:rPr>
          <w:spacing w:val="-2"/>
        </w:rPr>
        <w:t>Robyn</w:t>
      </w:r>
      <w:r>
        <w:rPr>
          <w:spacing w:val="14"/>
        </w:rPr>
        <w:t xml:space="preserve"> </w:t>
      </w:r>
      <w:r>
        <w:rPr>
          <w:spacing w:val="-1"/>
        </w:rPr>
        <w:t>Forester</w:t>
      </w:r>
      <w:r>
        <w:rPr>
          <w:spacing w:val="11"/>
        </w:rPr>
        <w:t xml:space="preserve"> </w:t>
      </w:r>
      <w:r>
        <w:t>in</w:t>
      </w:r>
      <w:r>
        <w:rPr>
          <w:spacing w:val="12"/>
        </w:rPr>
        <w:t xml:space="preserve"> </w:t>
      </w:r>
      <w:r>
        <w:rPr>
          <w:spacing w:val="-1"/>
        </w:rPr>
        <w:t>OATSIA</w:t>
      </w:r>
      <w:r>
        <w:rPr>
          <w:spacing w:val="11"/>
        </w:rPr>
        <w:t xml:space="preserve"> </w:t>
      </w:r>
      <w:r>
        <w:t>now</w:t>
      </w:r>
      <w:r>
        <w:rPr>
          <w:spacing w:val="11"/>
        </w:rPr>
        <w:t xml:space="preserve"> </w:t>
      </w:r>
      <w:r>
        <w:t>who</w:t>
      </w:r>
      <w:r>
        <w:rPr>
          <w:spacing w:val="13"/>
        </w:rPr>
        <w:t xml:space="preserve"> </w:t>
      </w:r>
      <w:r>
        <w:rPr>
          <w:spacing w:val="-1"/>
        </w:rPr>
        <w:t>have</w:t>
      </w:r>
      <w:r>
        <w:rPr>
          <w:spacing w:val="10"/>
        </w:rPr>
        <w:t xml:space="preserve"> </w:t>
      </w:r>
      <w:r>
        <w:rPr>
          <w:spacing w:val="-1"/>
        </w:rPr>
        <w:t>started</w:t>
      </w:r>
      <w:r>
        <w:rPr>
          <w:spacing w:val="11"/>
        </w:rPr>
        <w:t xml:space="preserve"> </w:t>
      </w:r>
      <w:r>
        <w:rPr>
          <w:spacing w:val="-1"/>
        </w:rPr>
        <w:t>at</w:t>
      </w:r>
      <w:r>
        <w:rPr>
          <w:spacing w:val="12"/>
        </w:rPr>
        <w:t xml:space="preserve"> </w:t>
      </w:r>
      <w:r>
        <w:t>the</w:t>
      </w:r>
      <w:r>
        <w:rPr>
          <w:spacing w:val="11"/>
        </w:rPr>
        <w:t xml:space="preserve"> </w:t>
      </w:r>
      <w:r>
        <w:t>bottom</w:t>
      </w:r>
      <w:r>
        <w:rPr>
          <w:spacing w:val="12"/>
        </w:rPr>
        <w:t xml:space="preserve"> </w:t>
      </w:r>
      <w:r>
        <w:rPr>
          <w:spacing w:val="-1"/>
        </w:rPr>
        <w:t>and</w:t>
      </w:r>
      <w:r>
        <w:rPr>
          <w:spacing w:val="11"/>
        </w:rPr>
        <w:t xml:space="preserve"> </w:t>
      </w:r>
      <w:r>
        <w:t>now</w:t>
      </w:r>
      <w:r>
        <w:rPr>
          <w:spacing w:val="55"/>
        </w:rPr>
        <w:t xml:space="preserve"> </w:t>
      </w:r>
      <w:r>
        <w:t>they</w:t>
      </w:r>
      <w:r>
        <w:rPr>
          <w:spacing w:val="4"/>
        </w:rPr>
        <w:t xml:space="preserve"> </w:t>
      </w:r>
      <w:r>
        <w:t>are</w:t>
      </w:r>
      <w:r>
        <w:rPr>
          <w:spacing w:val="7"/>
        </w:rPr>
        <w:t xml:space="preserve"> </w:t>
      </w:r>
      <w:r>
        <w:rPr>
          <w:spacing w:val="-1"/>
        </w:rPr>
        <w:t>right</w:t>
      </w:r>
      <w:r>
        <w:rPr>
          <w:spacing w:val="9"/>
        </w:rPr>
        <w:t xml:space="preserve"> </w:t>
      </w:r>
      <w:r>
        <w:t>up</w:t>
      </w:r>
      <w:r>
        <w:rPr>
          <w:spacing w:val="9"/>
        </w:rPr>
        <w:t xml:space="preserve"> </w:t>
      </w:r>
      <w:r>
        <w:t>the</w:t>
      </w:r>
      <w:r>
        <w:rPr>
          <w:spacing w:val="8"/>
        </w:rPr>
        <w:t xml:space="preserve"> </w:t>
      </w:r>
      <w:r>
        <w:t>top.</w:t>
      </w:r>
      <w:r>
        <w:rPr>
          <w:spacing w:val="9"/>
        </w:rPr>
        <w:t xml:space="preserve"> </w:t>
      </w:r>
      <w:r>
        <w:rPr>
          <w:spacing w:val="-3"/>
        </w:rPr>
        <w:t>It</w:t>
      </w:r>
      <w:r>
        <w:rPr>
          <w:spacing w:val="9"/>
        </w:rPr>
        <w:t xml:space="preserve"> </w:t>
      </w:r>
      <w:r>
        <w:t>is</w:t>
      </w:r>
      <w:r>
        <w:rPr>
          <w:spacing w:val="10"/>
        </w:rPr>
        <w:t xml:space="preserve"> </w:t>
      </w:r>
      <w:r>
        <w:t>really</w:t>
      </w:r>
      <w:r>
        <w:rPr>
          <w:spacing w:val="6"/>
        </w:rPr>
        <w:t xml:space="preserve"> </w:t>
      </w:r>
      <w:r>
        <w:rPr>
          <w:spacing w:val="-1"/>
        </w:rPr>
        <w:t>good</w:t>
      </w:r>
      <w:r>
        <w:rPr>
          <w:spacing w:val="9"/>
        </w:rPr>
        <w:t xml:space="preserve"> </w:t>
      </w:r>
      <w:r>
        <w:t>for</w:t>
      </w:r>
      <w:r>
        <w:rPr>
          <w:spacing w:val="7"/>
        </w:rPr>
        <w:t xml:space="preserve"> </w:t>
      </w:r>
      <w:r>
        <w:t>our</w:t>
      </w:r>
      <w:r>
        <w:rPr>
          <w:spacing w:val="11"/>
        </w:rPr>
        <w:t xml:space="preserve"> </w:t>
      </w:r>
      <w:r>
        <w:rPr>
          <w:spacing w:val="-1"/>
        </w:rPr>
        <w:t>young</w:t>
      </w:r>
      <w:r>
        <w:rPr>
          <w:spacing w:val="6"/>
        </w:rPr>
        <w:t xml:space="preserve"> </w:t>
      </w:r>
      <w:r>
        <w:rPr>
          <w:spacing w:val="-1"/>
        </w:rPr>
        <w:t>people</w:t>
      </w:r>
      <w:r>
        <w:rPr>
          <w:spacing w:val="8"/>
        </w:rPr>
        <w:t xml:space="preserve"> </w:t>
      </w:r>
      <w:r>
        <w:t>to</w:t>
      </w:r>
      <w:r>
        <w:rPr>
          <w:spacing w:val="9"/>
        </w:rPr>
        <w:t xml:space="preserve"> </w:t>
      </w:r>
      <w:r>
        <w:t>be</w:t>
      </w:r>
      <w:r>
        <w:rPr>
          <w:spacing w:val="8"/>
        </w:rPr>
        <w:t xml:space="preserve"> </w:t>
      </w:r>
      <w:r>
        <w:rPr>
          <w:spacing w:val="-1"/>
        </w:rPr>
        <w:t>able</w:t>
      </w:r>
      <w:r>
        <w:rPr>
          <w:spacing w:val="11"/>
        </w:rPr>
        <w:t xml:space="preserve"> </w:t>
      </w:r>
      <w:r>
        <w:t>to</w:t>
      </w:r>
      <w:r>
        <w:rPr>
          <w:spacing w:val="9"/>
        </w:rPr>
        <w:t xml:space="preserve"> </w:t>
      </w:r>
      <w:r>
        <w:t>look</w:t>
      </w:r>
      <w:r>
        <w:rPr>
          <w:spacing w:val="9"/>
        </w:rPr>
        <w:t xml:space="preserve"> </w:t>
      </w:r>
      <w:r>
        <w:rPr>
          <w:spacing w:val="-1"/>
        </w:rPr>
        <w:t>at</w:t>
      </w:r>
      <w:r>
        <w:rPr>
          <w:spacing w:val="9"/>
        </w:rPr>
        <w:t xml:space="preserve"> </w:t>
      </w:r>
      <w:r>
        <w:t>a</w:t>
      </w:r>
      <w:r>
        <w:rPr>
          <w:spacing w:val="39"/>
        </w:rPr>
        <w:t xml:space="preserve"> </w:t>
      </w:r>
      <w:r>
        <w:rPr>
          <w:spacing w:val="-1"/>
        </w:rPr>
        <w:t>person</w:t>
      </w:r>
      <w:r>
        <w:rPr>
          <w:spacing w:val="32"/>
        </w:rPr>
        <w:t xml:space="preserve"> </w:t>
      </w:r>
      <w:r>
        <w:t>like</w:t>
      </w:r>
      <w:r>
        <w:rPr>
          <w:spacing w:val="32"/>
        </w:rPr>
        <w:t xml:space="preserve"> </w:t>
      </w:r>
      <w:r>
        <w:rPr>
          <w:spacing w:val="-1"/>
        </w:rPr>
        <w:t>Robyn</w:t>
      </w:r>
      <w:r>
        <w:rPr>
          <w:spacing w:val="33"/>
        </w:rPr>
        <w:t xml:space="preserve"> </w:t>
      </w:r>
      <w:r>
        <w:rPr>
          <w:spacing w:val="-1"/>
        </w:rPr>
        <w:t>and</w:t>
      </w:r>
      <w:r>
        <w:rPr>
          <w:spacing w:val="35"/>
        </w:rPr>
        <w:t xml:space="preserve"> </w:t>
      </w:r>
      <w:r>
        <w:rPr>
          <w:spacing w:val="-1"/>
        </w:rPr>
        <w:t>aspire</w:t>
      </w:r>
      <w:r>
        <w:rPr>
          <w:spacing w:val="32"/>
        </w:rPr>
        <w:t xml:space="preserve"> </w:t>
      </w:r>
      <w:r>
        <w:t>to</w:t>
      </w:r>
      <w:r>
        <w:rPr>
          <w:spacing w:val="33"/>
        </w:rPr>
        <w:t xml:space="preserve"> </w:t>
      </w:r>
      <w:r>
        <w:t>be</w:t>
      </w:r>
      <w:r>
        <w:rPr>
          <w:spacing w:val="32"/>
        </w:rPr>
        <w:t xml:space="preserve"> </w:t>
      </w:r>
      <w:r>
        <w:t>someone</w:t>
      </w:r>
      <w:r>
        <w:rPr>
          <w:spacing w:val="32"/>
        </w:rPr>
        <w:t xml:space="preserve"> </w:t>
      </w:r>
      <w:r>
        <w:t>like</w:t>
      </w:r>
      <w:r>
        <w:rPr>
          <w:spacing w:val="32"/>
        </w:rPr>
        <w:t xml:space="preserve"> </w:t>
      </w:r>
      <w:r>
        <w:t>her.</w:t>
      </w:r>
      <w:r>
        <w:rPr>
          <w:spacing w:val="33"/>
        </w:rPr>
        <w:t xml:space="preserve"> </w:t>
      </w:r>
      <w:r>
        <w:t>A</w:t>
      </w:r>
      <w:r>
        <w:rPr>
          <w:spacing w:val="32"/>
        </w:rPr>
        <w:t xml:space="preserve"> </w:t>
      </w:r>
      <w:r>
        <w:t>lot</w:t>
      </w:r>
      <w:r>
        <w:rPr>
          <w:spacing w:val="34"/>
        </w:rPr>
        <w:t xml:space="preserve"> </w:t>
      </w:r>
      <w:r>
        <w:t>of</w:t>
      </w:r>
      <w:r>
        <w:rPr>
          <w:spacing w:val="32"/>
        </w:rPr>
        <w:t xml:space="preserve"> </w:t>
      </w:r>
      <w:r>
        <w:t>the</w:t>
      </w:r>
      <w:r>
        <w:rPr>
          <w:spacing w:val="32"/>
        </w:rPr>
        <w:t xml:space="preserve"> </w:t>
      </w:r>
      <w:r>
        <w:t>time</w:t>
      </w:r>
      <w:r>
        <w:rPr>
          <w:spacing w:val="32"/>
        </w:rPr>
        <w:t xml:space="preserve"> </w:t>
      </w:r>
      <w:r>
        <w:t>our</w:t>
      </w:r>
      <w:r>
        <w:rPr>
          <w:spacing w:val="37"/>
        </w:rPr>
        <w:t xml:space="preserve"> </w:t>
      </w:r>
      <w:r>
        <w:rPr>
          <w:spacing w:val="-1"/>
        </w:rPr>
        <w:t>young</w:t>
      </w:r>
      <w:r>
        <w:rPr>
          <w:spacing w:val="42"/>
        </w:rPr>
        <w:t xml:space="preserve"> </w:t>
      </w:r>
      <w:r>
        <w:rPr>
          <w:spacing w:val="-1"/>
        </w:rPr>
        <w:t>people</w:t>
      </w:r>
      <w:r>
        <w:rPr>
          <w:spacing w:val="20"/>
        </w:rPr>
        <w:t xml:space="preserve"> </w:t>
      </w:r>
      <w:r>
        <w:t>in</w:t>
      </w:r>
      <w:r>
        <w:rPr>
          <w:spacing w:val="21"/>
        </w:rPr>
        <w:t xml:space="preserve"> </w:t>
      </w:r>
      <w:r>
        <w:rPr>
          <w:spacing w:val="-1"/>
        </w:rPr>
        <w:t>particular</w:t>
      </w:r>
      <w:r>
        <w:rPr>
          <w:spacing w:val="22"/>
        </w:rPr>
        <w:t xml:space="preserve"> </w:t>
      </w:r>
      <w:r>
        <w:rPr>
          <w:spacing w:val="-1"/>
        </w:rPr>
        <w:t>and</w:t>
      </w:r>
      <w:r>
        <w:rPr>
          <w:spacing w:val="25"/>
        </w:rPr>
        <w:t xml:space="preserve"> </w:t>
      </w:r>
      <w:r>
        <w:rPr>
          <w:spacing w:val="-1"/>
        </w:rPr>
        <w:t>also</w:t>
      </w:r>
      <w:r>
        <w:rPr>
          <w:spacing w:val="22"/>
        </w:rPr>
        <w:t xml:space="preserve"> </w:t>
      </w:r>
      <w:r>
        <w:t>our</w:t>
      </w:r>
      <w:r>
        <w:rPr>
          <w:spacing w:val="20"/>
        </w:rPr>
        <w:t xml:space="preserve"> </w:t>
      </w:r>
      <w:r>
        <w:t>lower</w:t>
      </w:r>
      <w:r>
        <w:rPr>
          <w:spacing w:val="20"/>
        </w:rPr>
        <w:t xml:space="preserve"> </w:t>
      </w:r>
      <w:r>
        <w:t>level</w:t>
      </w:r>
      <w:r>
        <w:rPr>
          <w:spacing w:val="21"/>
        </w:rPr>
        <w:t xml:space="preserve"> </w:t>
      </w:r>
      <w:r>
        <w:rPr>
          <w:spacing w:val="-1"/>
        </w:rPr>
        <w:t>employees</w:t>
      </w:r>
      <w:r>
        <w:rPr>
          <w:spacing w:val="21"/>
        </w:rPr>
        <w:t xml:space="preserve"> </w:t>
      </w:r>
      <w:r>
        <w:t>in</w:t>
      </w:r>
      <w:r>
        <w:rPr>
          <w:spacing w:val="21"/>
        </w:rPr>
        <w:t xml:space="preserve"> </w:t>
      </w:r>
      <w:r>
        <w:t>the</w:t>
      </w:r>
      <w:r>
        <w:rPr>
          <w:spacing w:val="23"/>
        </w:rPr>
        <w:t xml:space="preserve"> </w:t>
      </w:r>
      <w:r>
        <w:t>public</w:t>
      </w:r>
      <w:r>
        <w:rPr>
          <w:spacing w:val="20"/>
        </w:rPr>
        <w:t xml:space="preserve"> </w:t>
      </w:r>
      <w:r>
        <w:t>service</w:t>
      </w:r>
      <w:r>
        <w:rPr>
          <w:spacing w:val="19"/>
        </w:rPr>
        <w:t xml:space="preserve"> </w:t>
      </w:r>
      <w:r>
        <w:t>have</w:t>
      </w:r>
      <w:r>
        <w:rPr>
          <w:spacing w:val="22"/>
        </w:rPr>
        <w:t xml:space="preserve"> </w:t>
      </w:r>
      <w:r>
        <w:t>a</w:t>
      </w:r>
      <w:r>
        <w:rPr>
          <w:spacing w:val="60"/>
        </w:rPr>
        <w:t xml:space="preserve"> </w:t>
      </w:r>
      <w:r>
        <w:rPr>
          <w:spacing w:val="-1"/>
        </w:rPr>
        <w:t>real</w:t>
      </w:r>
      <w:r>
        <w:rPr>
          <w:spacing w:val="5"/>
        </w:rPr>
        <w:t xml:space="preserve"> </w:t>
      </w:r>
      <w:r>
        <w:rPr>
          <w:spacing w:val="-1"/>
        </w:rPr>
        <w:t>fear</w:t>
      </w:r>
      <w:r>
        <w:rPr>
          <w:spacing w:val="6"/>
        </w:rPr>
        <w:t xml:space="preserve"> </w:t>
      </w:r>
      <w:r>
        <w:t>of</w:t>
      </w:r>
      <w:r>
        <w:rPr>
          <w:spacing w:val="3"/>
        </w:rPr>
        <w:t xml:space="preserve"> </w:t>
      </w:r>
      <w:r>
        <w:t>the</w:t>
      </w:r>
      <w:r>
        <w:rPr>
          <w:spacing w:val="6"/>
        </w:rPr>
        <w:t xml:space="preserve"> </w:t>
      </w:r>
      <w:r>
        <w:t>hierarchy</w:t>
      </w:r>
      <w:r>
        <w:rPr>
          <w:spacing w:val="2"/>
        </w:rPr>
        <w:t xml:space="preserve"> </w:t>
      </w:r>
      <w:r>
        <w:t>in</w:t>
      </w:r>
      <w:r>
        <w:rPr>
          <w:spacing w:val="5"/>
        </w:rPr>
        <w:t xml:space="preserve"> </w:t>
      </w:r>
      <w:r>
        <w:t>public</w:t>
      </w:r>
      <w:r>
        <w:rPr>
          <w:spacing w:val="3"/>
        </w:rPr>
        <w:t xml:space="preserve"> </w:t>
      </w:r>
      <w:r>
        <w:rPr>
          <w:spacing w:val="-1"/>
        </w:rPr>
        <w:t>service.</w:t>
      </w:r>
      <w:r>
        <w:rPr>
          <w:spacing w:val="4"/>
        </w:rPr>
        <w:t xml:space="preserve"> </w:t>
      </w:r>
      <w:r>
        <w:t>They</w:t>
      </w:r>
      <w:r>
        <w:rPr>
          <w:spacing w:val="2"/>
        </w:rPr>
        <w:t xml:space="preserve"> </w:t>
      </w:r>
      <w:r>
        <w:t>do</w:t>
      </w:r>
      <w:r>
        <w:rPr>
          <w:spacing w:val="4"/>
        </w:rPr>
        <w:t xml:space="preserve"> </w:t>
      </w:r>
      <w:r>
        <w:t>not</w:t>
      </w:r>
      <w:r>
        <w:rPr>
          <w:spacing w:val="5"/>
        </w:rPr>
        <w:t xml:space="preserve"> </w:t>
      </w:r>
      <w:r>
        <w:rPr>
          <w:spacing w:val="-1"/>
        </w:rPr>
        <w:t>want</w:t>
      </w:r>
      <w:r>
        <w:rPr>
          <w:spacing w:val="5"/>
        </w:rPr>
        <w:t xml:space="preserve"> </w:t>
      </w:r>
      <w:r>
        <w:t>to</w:t>
      </w:r>
      <w:r>
        <w:rPr>
          <w:spacing w:val="7"/>
        </w:rPr>
        <w:t xml:space="preserve"> </w:t>
      </w:r>
      <w:r>
        <w:rPr>
          <w:spacing w:val="-2"/>
        </w:rPr>
        <w:t>go</w:t>
      </w:r>
      <w:r>
        <w:rPr>
          <w:spacing w:val="4"/>
        </w:rPr>
        <w:t xml:space="preserve"> </w:t>
      </w:r>
      <w:r>
        <w:rPr>
          <w:spacing w:val="-1"/>
        </w:rPr>
        <w:t>and</w:t>
      </w:r>
      <w:r>
        <w:rPr>
          <w:spacing w:val="6"/>
        </w:rPr>
        <w:t xml:space="preserve"> </w:t>
      </w:r>
      <w:r>
        <w:t>talk</w:t>
      </w:r>
      <w:r>
        <w:rPr>
          <w:spacing w:val="4"/>
        </w:rPr>
        <w:t xml:space="preserve"> </w:t>
      </w:r>
      <w:r>
        <w:t>to</w:t>
      </w:r>
      <w:r>
        <w:rPr>
          <w:spacing w:val="5"/>
        </w:rPr>
        <w:t xml:space="preserve"> </w:t>
      </w:r>
      <w:r>
        <w:rPr>
          <w:spacing w:val="-1"/>
        </w:rPr>
        <w:t>another</w:t>
      </w:r>
      <w:r>
        <w:rPr>
          <w:spacing w:val="55"/>
        </w:rPr>
        <w:t xml:space="preserve"> </w:t>
      </w:r>
      <w:r>
        <w:rPr>
          <w:spacing w:val="-1"/>
        </w:rPr>
        <w:t>person</w:t>
      </w:r>
      <w:r>
        <w:rPr>
          <w:spacing w:val="18"/>
        </w:rPr>
        <w:t xml:space="preserve"> </w:t>
      </w:r>
      <w:r>
        <w:t>for</w:t>
      </w:r>
      <w:r>
        <w:rPr>
          <w:spacing w:val="18"/>
        </w:rPr>
        <w:t xml:space="preserve"> </w:t>
      </w:r>
      <w:r>
        <w:rPr>
          <w:spacing w:val="-1"/>
        </w:rPr>
        <w:t>fear</w:t>
      </w:r>
      <w:r>
        <w:rPr>
          <w:spacing w:val="20"/>
        </w:rPr>
        <w:t xml:space="preserve"> </w:t>
      </w:r>
      <w:r>
        <w:t>of</w:t>
      </w:r>
      <w:r>
        <w:rPr>
          <w:spacing w:val="18"/>
        </w:rPr>
        <w:t xml:space="preserve"> </w:t>
      </w:r>
      <w:r>
        <w:t>breaking</w:t>
      </w:r>
      <w:r>
        <w:rPr>
          <w:spacing w:val="17"/>
        </w:rPr>
        <w:t xml:space="preserve"> </w:t>
      </w:r>
      <w:r>
        <w:t>the</w:t>
      </w:r>
      <w:r>
        <w:rPr>
          <w:spacing w:val="18"/>
        </w:rPr>
        <w:t xml:space="preserve"> </w:t>
      </w:r>
      <w:r>
        <w:t>public</w:t>
      </w:r>
      <w:r>
        <w:rPr>
          <w:spacing w:val="18"/>
        </w:rPr>
        <w:t xml:space="preserve"> </w:t>
      </w:r>
      <w:r>
        <w:t>service</w:t>
      </w:r>
      <w:r>
        <w:rPr>
          <w:spacing w:val="18"/>
        </w:rPr>
        <w:t xml:space="preserve"> </w:t>
      </w:r>
      <w:r>
        <w:t>protocols</w:t>
      </w:r>
      <w:r>
        <w:rPr>
          <w:spacing w:val="19"/>
        </w:rPr>
        <w:t xml:space="preserve"> </w:t>
      </w:r>
      <w:r>
        <w:rPr>
          <w:spacing w:val="-1"/>
        </w:rPr>
        <w:t>and</w:t>
      </w:r>
      <w:r>
        <w:rPr>
          <w:spacing w:val="18"/>
        </w:rPr>
        <w:t xml:space="preserve"> </w:t>
      </w:r>
      <w:r>
        <w:rPr>
          <w:spacing w:val="-1"/>
        </w:rPr>
        <w:t>all</w:t>
      </w:r>
      <w:r>
        <w:rPr>
          <w:spacing w:val="19"/>
        </w:rPr>
        <w:t xml:space="preserve"> </w:t>
      </w:r>
      <w:r>
        <w:t>those</w:t>
      </w:r>
      <w:r>
        <w:rPr>
          <w:spacing w:val="18"/>
        </w:rPr>
        <w:t xml:space="preserve"> </w:t>
      </w:r>
      <w:r>
        <w:t>sorts</w:t>
      </w:r>
      <w:r>
        <w:rPr>
          <w:spacing w:val="21"/>
        </w:rPr>
        <w:t xml:space="preserve"> </w:t>
      </w:r>
      <w:r>
        <w:t>of</w:t>
      </w:r>
      <w:r>
        <w:rPr>
          <w:spacing w:val="18"/>
        </w:rPr>
        <w:t xml:space="preserve"> </w:t>
      </w:r>
      <w:r>
        <w:rPr>
          <w:spacing w:val="-1"/>
        </w:rPr>
        <w:t>things.</w:t>
      </w:r>
      <w:r>
        <w:rPr>
          <w:spacing w:val="60"/>
        </w:rPr>
        <w:t xml:space="preserve"> </w:t>
      </w:r>
      <w:r>
        <w:t>So</w:t>
      </w:r>
      <w:r>
        <w:rPr>
          <w:spacing w:val="2"/>
        </w:rPr>
        <w:t xml:space="preserve"> </w:t>
      </w:r>
      <w:r>
        <w:t xml:space="preserve">we </w:t>
      </w:r>
      <w:r>
        <w:rPr>
          <w:spacing w:val="-1"/>
        </w:rPr>
        <w:t>need</w:t>
      </w:r>
      <w:r>
        <w:rPr>
          <w:spacing w:val="2"/>
        </w:rPr>
        <w:t xml:space="preserve"> </w:t>
      </w:r>
      <w:r>
        <w:t>to</w:t>
      </w:r>
      <w:r>
        <w:rPr>
          <w:spacing w:val="2"/>
        </w:rPr>
        <w:t xml:space="preserve"> </w:t>
      </w:r>
      <w:r>
        <w:rPr>
          <w:spacing w:val="-1"/>
        </w:rPr>
        <w:t>break</w:t>
      </w:r>
      <w:r>
        <w:rPr>
          <w:spacing w:val="2"/>
        </w:rPr>
        <w:t xml:space="preserve"> </w:t>
      </w:r>
      <w:r>
        <w:t>down</w:t>
      </w:r>
      <w:r>
        <w:rPr>
          <w:spacing w:val="2"/>
        </w:rPr>
        <w:t xml:space="preserve"> </w:t>
      </w:r>
      <w:r>
        <w:t>those</w:t>
      </w:r>
      <w:r>
        <w:rPr>
          <w:spacing w:val="1"/>
        </w:rPr>
        <w:t xml:space="preserve"> </w:t>
      </w:r>
      <w:r>
        <w:rPr>
          <w:spacing w:val="-1"/>
        </w:rPr>
        <w:t>barriers.</w:t>
      </w:r>
      <w:r>
        <w:rPr>
          <w:spacing w:val="7"/>
        </w:rPr>
        <w:t xml:space="preserve"> </w:t>
      </w:r>
      <w:r>
        <w:rPr>
          <w:spacing w:val="-2"/>
        </w:rPr>
        <w:t>If</w:t>
      </w:r>
      <w:r>
        <w:rPr>
          <w:spacing w:val="1"/>
        </w:rPr>
        <w:t xml:space="preserve"> </w:t>
      </w:r>
      <w:r>
        <w:t>someone</w:t>
      </w:r>
      <w:r>
        <w:rPr>
          <w:spacing w:val="1"/>
        </w:rPr>
        <w:t xml:space="preserve"> </w:t>
      </w:r>
      <w:r>
        <w:rPr>
          <w:spacing w:val="-1"/>
        </w:rPr>
        <w:t>has</w:t>
      </w:r>
      <w:r>
        <w:rPr>
          <w:spacing w:val="2"/>
        </w:rPr>
        <w:t xml:space="preserve"> </w:t>
      </w:r>
      <w:r>
        <w:rPr>
          <w:spacing w:val="-1"/>
        </w:rPr>
        <w:t>an</w:t>
      </w:r>
      <w:r>
        <w:rPr>
          <w:spacing w:val="2"/>
        </w:rPr>
        <w:t xml:space="preserve"> </w:t>
      </w:r>
      <w:r>
        <w:rPr>
          <w:spacing w:val="-1"/>
        </w:rPr>
        <w:t>issue,</w:t>
      </w:r>
      <w:r>
        <w:rPr>
          <w:spacing w:val="2"/>
        </w:rPr>
        <w:t xml:space="preserve"> </w:t>
      </w:r>
      <w:r>
        <w:rPr>
          <w:spacing w:val="1"/>
        </w:rPr>
        <w:t>they</w:t>
      </w:r>
      <w:r>
        <w:rPr>
          <w:spacing w:val="-3"/>
        </w:rPr>
        <w:t xml:space="preserve"> </w:t>
      </w:r>
      <w:r>
        <w:t>should</w:t>
      </w:r>
      <w:r>
        <w:rPr>
          <w:spacing w:val="2"/>
        </w:rPr>
        <w:t xml:space="preserve"> </w:t>
      </w:r>
      <w:r>
        <w:t>be</w:t>
      </w:r>
      <w:r>
        <w:rPr>
          <w:spacing w:val="1"/>
        </w:rPr>
        <w:t xml:space="preserve"> </w:t>
      </w:r>
      <w:r>
        <w:rPr>
          <w:spacing w:val="-1"/>
        </w:rPr>
        <w:t>able</w:t>
      </w:r>
      <w:r w:rsidR="00F9021F" w:rsidRPr="00F9021F">
        <w:t xml:space="preserve"> </w:t>
      </w:r>
      <w:r w:rsidR="00F9021F">
        <w:t xml:space="preserve">to </w:t>
      </w:r>
      <w:r w:rsidR="00F9021F">
        <w:rPr>
          <w:spacing w:val="-1"/>
        </w:rPr>
        <w:t>go</w:t>
      </w:r>
      <w:r w:rsidR="00F9021F">
        <w:t xml:space="preserve"> </w:t>
      </w:r>
      <w:r w:rsidR="00F9021F">
        <w:rPr>
          <w:spacing w:val="-1"/>
        </w:rPr>
        <w:t>and</w:t>
      </w:r>
      <w:r w:rsidR="00F9021F">
        <w:t xml:space="preserve"> talk to someone</w:t>
      </w:r>
      <w:r w:rsidR="00F9021F">
        <w:rPr>
          <w:spacing w:val="-1"/>
        </w:rPr>
        <w:t xml:space="preserve"> </w:t>
      </w:r>
      <w:r w:rsidR="00F9021F">
        <w:t>like</w:t>
      </w:r>
      <w:r w:rsidR="00F9021F">
        <w:rPr>
          <w:spacing w:val="-1"/>
        </w:rPr>
        <w:t xml:space="preserve"> Robyn</w:t>
      </w:r>
      <w:r w:rsidR="00F9021F">
        <w:t xml:space="preserve"> [Forester] </w:t>
      </w:r>
      <w:r w:rsidR="00F9021F">
        <w:rPr>
          <w:spacing w:val="-1"/>
        </w:rPr>
        <w:t>about</w:t>
      </w:r>
      <w:r w:rsidR="00F9021F">
        <w:t xml:space="preserve"> what</w:t>
      </w:r>
      <w:r w:rsidR="00F9021F">
        <w:rPr>
          <w:spacing w:val="2"/>
        </w:rPr>
        <w:t xml:space="preserve"> </w:t>
      </w:r>
      <w:r w:rsidR="00F9021F">
        <w:t xml:space="preserve">is </w:t>
      </w:r>
      <w:r w:rsidR="00F9021F">
        <w:rPr>
          <w:spacing w:val="-1"/>
        </w:rPr>
        <w:t>happening</w:t>
      </w:r>
      <w:r w:rsidR="00F9021F">
        <w:rPr>
          <w:spacing w:val="-2"/>
        </w:rPr>
        <w:t xml:space="preserve"> </w:t>
      </w:r>
      <w:r w:rsidR="00F9021F">
        <w:t>in the</w:t>
      </w:r>
      <w:r w:rsidR="00F9021F">
        <w:rPr>
          <w:spacing w:val="-1"/>
        </w:rPr>
        <w:t xml:space="preserve"> workplace</w:t>
      </w:r>
      <w:r w:rsidR="00FF2E29">
        <w:rPr>
          <w:spacing w:val="-1"/>
        </w:rPr>
        <w:t>.</w:t>
      </w:r>
      <w:r w:rsidR="00FF2E29">
        <w:rPr>
          <w:rStyle w:val="FootnoteReference"/>
          <w:spacing w:val="-1"/>
        </w:rPr>
        <w:footnoteReference w:id="115"/>
      </w:r>
    </w:p>
    <w:p w:rsidR="009D5442" w:rsidRPr="009D5442" w:rsidRDefault="00F9021F" w:rsidP="00F9021F">
      <w:pPr>
        <w:pStyle w:val="Bodytext"/>
      </w:pPr>
      <w:r>
        <w:t xml:space="preserve">Various witness agreed with these views.  WISeR’s Dr Kate Barnett told the Committee that </w:t>
      </w:r>
      <w:r w:rsidR="009D5442">
        <w:t xml:space="preserve">achieving success with an Indigenous employment strategy meant </w:t>
      </w:r>
      <w:r>
        <w:t>... providing</w:t>
      </w:r>
      <w:r w:rsidRPr="009D5442">
        <w:rPr>
          <w:spacing w:val="16"/>
        </w:rPr>
        <w:t xml:space="preserve"> </w:t>
      </w:r>
      <w:r>
        <w:t>support</w:t>
      </w:r>
      <w:r w:rsidRPr="009D5442">
        <w:rPr>
          <w:spacing w:val="16"/>
        </w:rPr>
        <w:t xml:space="preserve"> </w:t>
      </w:r>
      <w:r>
        <w:t>to</w:t>
      </w:r>
      <w:r w:rsidRPr="009D5442">
        <w:rPr>
          <w:spacing w:val="19"/>
        </w:rPr>
        <w:t xml:space="preserve"> </w:t>
      </w:r>
      <w:r w:rsidRPr="009D5442">
        <w:rPr>
          <w:spacing w:val="-1"/>
        </w:rPr>
        <w:t>Aboriginal</w:t>
      </w:r>
      <w:r w:rsidRPr="009D5442">
        <w:rPr>
          <w:spacing w:val="18"/>
        </w:rPr>
        <w:t xml:space="preserve"> </w:t>
      </w:r>
      <w:r w:rsidRPr="009D5442">
        <w:rPr>
          <w:spacing w:val="-1"/>
        </w:rPr>
        <w:t>employees</w:t>
      </w:r>
      <w:r w:rsidRPr="009D5442">
        <w:rPr>
          <w:spacing w:val="50"/>
        </w:rPr>
        <w:t xml:space="preserve"> </w:t>
      </w:r>
      <w:r>
        <w:t>that</w:t>
      </w:r>
      <w:r w:rsidRPr="009D5442">
        <w:rPr>
          <w:spacing w:val="33"/>
        </w:rPr>
        <w:t xml:space="preserve"> </w:t>
      </w:r>
      <w:r w:rsidRPr="009D5442">
        <w:rPr>
          <w:spacing w:val="-1"/>
        </w:rPr>
        <w:t>includes</w:t>
      </w:r>
      <w:r w:rsidRPr="009D5442">
        <w:rPr>
          <w:spacing w:val="33"/>
        </w:rPr>
        <w:t xml:space="preserve"> </w:t>
      </w:r>
      <w:r w:rsidRPr="009D5442">
        <w:rPr>
          <w:spacing w:val="-1"/>
        </w:rPr>
        <w:t>mentors,</w:t>
      </w:r>
      <w:r w:rsidRPr="009D5442">
        <w:rPr>
          <w:spacing w:val="33"/>
        </w:rPr>
        <w:t xml:space="preserve"> </w:t>
      </w:r>
      <w:r w:rsidRPr="009D5442">
        <w:rPr>
          <w:spacing w:val="-1"/>
        </w:rPr>
        <w:t>coaches</w:t>
      </w:r>
      <w:r w:rsidRPr="009D5442">
        <w:rPr>
          <w:spacing w:val="33"/>
        </w:rPr>
        <w:t xml:space="preserve"> </w:t>
      </w:r>
      <w:r w:rsidRPr="009D5442">
        <w:rPr>
          <w:spacing w:val="-1"/>
        </w:rPr>
        <w:t>and</w:t>
      </w:r>
      <w:r w:rsidRPr="009D5442">
        <w:rPr>
          <w:spacing w:val="33"/>
        </w:rPr>
        <w:t xml:space="preserve"> </w:t>
      </w:r>
      <w:r>
        <w:t>buddies,</w:t>
      </w:r>
      <w:r w:rsidRPr="009D5442">
        <w:rPr>
          <w:spacing w:val="33"/>
        </w:rPr>
        <w:t xml:space="preserve"> </w:t>
      </w:r>
      <w:r>
        <w:t>particularly</w:t>
      </w:r>
      <w:r w:rsidRPr="009D5442">
        <w:rPr>
          <w:spacing w:val="28"/>
        </w:rPr>
        <w:t xml:space="preserve"> </w:t>
      </w:r>
      <w:r>
        <w:t>in</w:t>
      </w:r>
      <w:r w:rsidRPr="009D5442">
        <w:rPr>
          <w:spacing w:val="33"/>
        </w:rPr>
        <w:t xml:space="preserve"> </w:t>
      </w:r>
      <w:r>
        <w:t>the</w:t>
      </w:r>
      <w:r w:rsidRPr="009D5442">
        <w:rPr>
          <w:spacing w:val="32"/>
        </w:rPr>
        <w:t xml:space="preserve"> </w:t>
      </w:r>
      <w:r>
        <w:t>early</w:t>
      </w:r>
      <w:r w:rsidRPr="009D5442">
        <w:rPr>
          <w:spacing w:val="28"/>
        </w:rPr>
        <w:t xml:space="preserve"> </w:t>
      </w:r>
      <w:r w:rsidRPr="009D5442">
        <w:rPr>
          <w:spacing w:val="-1"/>
        </w:rPr>
        <w:t>stages</w:t>
      </w:r>
      <w:r w:rsidRPr="009D5442">
        <w:rPr>
          <w:spacing w:val="33"/>
        </w:rPr>
        <w:t xml:space="preserve"> </w:t>
      </w:r>
      <w:r>
        <w:t>of</w:t>
      </w:r>
      <w:r w:rsidRPr="009D5442">
        <w:rPr>
          <w:spacing w:val="32"/>
        </w:rPr>
        <w:t xml:space="preserve"> </w:t>
      </w:r>
      <w:r>
        <w:t>their</w:t>
      </w:r>
      <w:r w:rsidR="009D5442">
        <w:t xml:space="preserve"> employment.</w:t>
      </w:r>
      <w:r w:rsidR="009D5442">
        <w:rPr>
          <w:rStyle w:val="FootnoteReference"/>
        </w:rPr>
        <w:footnoteReference w:id="116"/>
      </w:r>
      <w:r w:rsidR="009D5442">
        <w:t xml:space="preserve"> Roundtable participants who had mentors talked of how it had been significant in them being able to </w:t>
      </w:r>
      <w:r w:rsidR="00634DDA">
        <w:t>resolve</w:t>
      </w:r>
      <w:r w:rsidR="009D5442">
        <w:t xml:space="preserve"> issues and move forward.   </w:t>
      </w:r>
      <w:r w:rsidRPr="009D5442">
        <w:rPr>
          <w:spacing w:val="51"/>
        </w:rPr>
        <w:t xml:space="preserve"> </w:t>
      </w:r>
    </w:p>
    <w:p w:rsidR="000C7D9B" w:rsidRDefault="009D5442" w:rsidP="00F9021F">
      <w:pPr>
        <w:pStyle w:val="Bodytext"/>
      </w:pPr>
      <w:r>
        <w:t>In the area of training mentors, the Committee was very interested in evidence from</w:t>
      </w:r>
      <w:r w:rsidR="00FF2E29">
        <w:t> </w:t>
      </w:r>
      <w:r>
        <w:t>the</w:t>
      </w:r>
      <w:r w:rsidR="00FF2E29">
        <w:t> </w:t>
      </w:r>
      <w:r>
        <w:t>Chief Executive of the Australian Indigenous Leadership Centre (AILC)</w:t>
      </w:r>
      <w:r w:rsidR="00634DDA">
        <w:t xml:space="preserve">, </w:t>
      </w:r>
      <w:r w:rsidR="00FF2E29">
        <w:t>M</w:t>
      </w:r>
      <w:r w:rsidR="00634DDA">
        <w:t>s</w:t>
      </w:r>
      <w:r w:rsidR="004B19AE">
        <w:t> </w:t>
      </w:r>
      <w:r>
        <w:t>Rachelle</w:t>
      </w:r>
      <w:r w:rsidR="004B19AE">
        <w:t> </w:t>
      </w:r>
      <w:r>
        <w:t xml:space="preserve">Towart.  She explained </w:t>
      </w:r>
      <w:r w:rsidR="00FF2E29">
        <w:t xml:space="preserve">that the AILC </w:t>
      </w:r>
      <w:r w:rsidR="000C7D9B">
        <w:t>ran mentoring training in a different way to how it is</w:t>
      </w:r>
      <w:r w:rsidR="00FF2E29">
        <w:t> </w:t>
      </w:r>
      <w:r w:rsidR="000C7D9B">
        <w:t xml:space="preserve">normally taught: </w:t>
      </w:r>
    </w:p>
    <w:p w:rsidR="000C7D9B" w:rsidRDefault="000C7D9B" w:rsidP="000C7D9B">
      <w:pPr>
        <w:pStyle w:val="Quote"/>
      </w:pPr>
      <w:r>
        <w:t>It is one of our non-accredit</w:t>
      </w:r>
      <w:r w:rsidR="000947F8">
        <w:t>ed programs, but the Victorian G</w:t>
      </w:r>
      <w:r>
        <w:t xml:space="preserve">overnment have taken it up and it is booked out every year because of what they do. We set up diversity in the first instance where we have a non-Indigenous female and an Indigenous male. We find that if participants are non-Indigenous, for the first half day the questions are asked directly to the non-Indigenous facilitator, because that is where they feel there is safety and their comfort zone is, and the Indigenous people in the room ask questions of the Indigenous facilitator. But by the end of the three days, they are actually working together. </w:t>
      </w:r>
      <w:r w:rsidR="000947F8">
        <w:rPr>
          <w:rStyle w:val="FootnoteReference"/>
        </w:rPr>
        <w:footnoteReference w:id="117"/>
      </w:r>
    </w:p>
    <w:p w:rsidR="000947F8" w:rsidRDefault="000947F8" w:rsidP="000947F8">
      <w:pPr>
        <w:pStyle w:val="Bodytext"/>
      </w:pPr>
      <w:r>
        <w:t>The Committee notes that the Victorian Government has used the AILC for mentoring training but the ACTPS</w:t>
      </w:r>
      <w:r w:rsidR="00FF2E29">
        <w:t xml:space="preserve"> has not</w:t>
      </w:r>
      <w:r>
        <w:t xml:space="preserve">.  </w:t>
      </w:r>
      <w:r w:rsidR="009325F5">
        <w:t xml:space="preserve">That said 20 percent of participants had an email address that ended ‘act.gov.au’.   </w:t>
      </w:r>
    </w:p>
    <w:p w:rsidR="009325F5" w:rsidRDefault="009325F5" w:rsidP="000947F8">
      <w:pPr>
        <w:pStyle w:val="Bodytext"/>
      </w:pPr>
      <w:r>
        <w:t xml:space="preserve">The Committee notes </w:t>
      </w:r>
      <w:r w:rsidR="005F2760">
        <w:t xml:space="preserve">in the ACTPS submission that it is looking to have a greater focus on mentoring and believes the AILC should be considered as </w:t>
      </w:r>
      <w:r w:rsidR="00FF2E29">
        <w:t xml:space="preserve">a </w:t>
      </w:r>
      <w:r w:rsidR="005F2760">
        <w:t>partner to help advance that</w:t>
      </w:r>
      <w:r w:rsidR="00A86185">
        <w:t> </w:t>
      </w:r>
      <w:r w:rsidR="005F2760">
        <w:t xml:space="preserve">goal. </w:t>
      </w:r>
    </w:p>
    <w:p w:rsidR="00520124" w:rsidRDefault="00520124" w:rsidP="00520124">
      <w:pPr>
        <w:pStyle w:val="Recommendation"/>
      </w:pPr>
      <w:bookmarkStart w:id="129" w:name="_Toc384024406"/>
      <w:bookmarkEnd w:id="129"/>
    </w:p>
    <w:p w:rsidR="00520124" w:rsidRPr="00417CA9" w:rsidRDefault="00520124" w:rsidP="00520124">
      <w:pPr>
        <w:pStyle w:val="RecommendationText"/>
      </w:pPr>
      <w:bookmarkStart w:id="130" w:name="_Toc384024407"/>
      <w:r w:rsidRPr="00417CA9">
        <w:t xml:space="preserve">The Committee recommends that the </w:t>
      </w:r>
      <w:r w:rsidR="00362151" w:rsidRPr="00417CA9">
        <w:t>A</w:t>
      </w:r>
      <w:r w:rsidR="00417CA9">
        <w:t xml:space="preserve">CT Public </w:t>
      </w:r>
      <w:r w:rsidRPr="00417CA9">
        <w:t xml:space="preserve">Service examine ways of working with the Australian Indigenous Leadership Centre for the delivery of </w:t>
      </w:r>
      <w:r w:rsidR="00ED70BD" w:rsidRPr="00417CA9">
        <w:t xml:space="preserve">innovative </w:t>
      </w:r>
      <w:r w:rsidRPr="00417CA9">
        <w:t>diversity and mentoring training</w:t>
      </w:r>
      <w:r w:rsidR="00ED70BD" w:rsidRPr="00417CA9">
        <w:t xml:space="preserve"> for all </w:t>
      </w:r>
      <w:r w:rsidR="00323080" w:rsidRPr="00417CA9">
        <w:t xml:space="preserve">ACT Public Service </w:t>
      </w:r>
      <w:r w:rsidR="00ED70BD" w:rsidRPr="00417CA9">
        <w:t>employees</w:t>
      </w:r>
      <w:r w:rsidRPr="00417CA9">
        <w:t>.</w:t>
      </w:r>
      <w:bookmarkEnd w:id="130"/>
      <w:r w:rsidRPr="00417CA9">
        <w:t xml:space="preserve"> </w:t>
      </w:r>
    </w:p>
    <w:p w:rsidR="004B19AE" w:rsidRDefault="004B19AE" w:rsidP="004B19AE">
      <w:pPr>
        <w:pStyle w:val="Bodytext"/>
      </w:pPr>
      <w:r>
        <w:t xml:space="preserve">The Committee believes there is a need for a strong Aboriginal and Torres Strait Islander mentoring program in the ACTPS.  Such mentors </w:t>
      </w:r>
      <w:r w:rsidR="000C21DA">
        <w:t xml:space="preserve">should be respected people within the Aboriginal and Torres Strait Islander community who are ACTPS employees.  The linking of mentors and new staff should happen at the earliest opportunity after new staff begin working in the ACTPS. </w:t>
      </w:r>
    </w:p>
    <w:p w:rsidR="000C21DA" w:rsidRDefault="000C21DA" w:rsidP="000C21DA">
      <w:pPr>
        <w:pStyle w:val="Recommendation"/>
      </w:pPr>
      <w:bookmarkStart w:id="131" w:name="_Toc384024408"/>
      <w:bookmarkEnd w:id="131"/>
    </w:p>
    <w:p w:rsidR="000C21DA" w:rsidRPr="000C21DA" w:rsidRDefault="000C21DA" w:rsidP="000C21DA">
      <w:pPr>
        <w:pStyle w:val="RecommendationText"/>
      </w:pPr>
      <w:bookmarkStart w:id="132" w:name="_Toc384024409"/>
      <w:r>
        <w:t xml:space="preserve">The Committee recommends that the </w:t>
      </w:r>
      <w:r w:rsidR="00323080">
        <w:t>ACT Public Service</w:t>
      </w:r>
      <w:r>
        <w:t xml:space="preserve"> ensure mentors for Aboriginal and Torres Strait Islander employees </w:t>
      </w:r>
      <w:r w:rsidR="00417CA9">
        <w:t xml:space="preserve">are </w:t>
      </w:r>
      <w:r>
        <w:t>draw</w:t>
      </w:r>
      <w:r w:rsidR="00417CA9">
        <w:t xml:space="preserve">n from </w:t>
      </w:r>
      <w:r>
        <w:t xml:space="preserve">those </w:t>
      </w:r>
      <w:r w:rsidR="00323080">
        <w:t xml:space="preserve">ACT Public Service </w:t>
      </w:r>
      <w:r w:rsidR="008A4E4D">
        <w:t xml:space="preserve"> </w:t>
      </w:r>
      <w:r>
        <w:t>employees who are respected within the wider Aboriginal and Torres Strait Islander</w:t>
      </w:r>
      <w:r w:rsidR="00417CA9">
        <w:t> </w:t>
      </w:r>
      <w:r>
        <w:t>community.</w:t>
      </w:r>
      <w:bookmarkEnd w:id="132"/>
      <w:r>
        <w:t xml:space="preserve"> </w:t>
      </w:r>
    </w:p>
    <w:p w:rsidR="007235EF" w:rsidRDefault="007235EF" w:rsidP="00D35FCB">
      <w:pPr>
        <w:pStyle w:val="Headinglevel2"/>
      </w:pPr>
      <w:bookmarkStart w:id="133" w:name="_Toc383615049"/>
      <w:r w:rsidRPr="009709E6">
        <w:t>Career development</w:t>
      </w:r>
      <w:bookmarkEnd w:id="133"/>
    </w:p>
    <w:p w:rsidR="00C36F21" w:rsidRDefault="005F2760" w:rsidP="00C36F21">
      <w:pPr>
        <w:pStyle w:val="Bodytext"/>
        <w:rPr>
          <w:lang w:eastAsia="en-AU"/>
        </w:rPr>
      </w:pPr>
      <w:r>
        <w:rPr>
          <w:lang w:eastAsia="en-AU"/>
        </w:rPr>
        <w:t xml:space="preserve">The ACTPS submission lists ‘career development’ as one of its retention initiatives.  The Committee understands career development </w:t>
      </w:r>
      <w:r w:rsidR="00786492">
        <w:rPr>
          <w:lang w:eastAsia="en-AU"/>
        </w:rPr>
        <w:t xml:space="preserve">as the process </w:t>
      </w:r>
      <w:r w:rsidR="00C36F21" w:rsidRPr="00C36F21">
        <w:rPr>
          <w:lang w:eastAsia="en-AU"/>
        </w:rPr>
        <w:t>of</w:t>
      </w:r>
      <w:r w:rsidR="00786492">
        <w:rPr>
          <w:lang w:eastAsia="en-AU"/>
        </w:rPr>
        <w:t xml:space="preserve"> managing </w:t>
      </w:r>
      <w:r w:rsidR="006A0605">
        <w:rPr>
          <w:lang w:eastAsia="en-AU"/>
        </w:rPr>
        <w:t xml:space="preserve">a person’s </w:t>
      </w:r>
      <w:r w:rsidR="00786492">
        <w:rPr>
          <w:lang w:eastAsia="en-AU"/>
        </w:rPr>
        <w:t xml:space="preserve">learning and </w:t>
      </w:r>
      <w:r w:rsidR="00C36F21" w:rsidRPr="00C36F21">
        <w:rPr>
          <w:lang w:eastAsia="en-AU"/>
        </w:rPr>
        <w:t>work</w:t>
      </w:r>
      <w:r w:rsidR="00786492">
        <w:rPr>
          <w:lang w:eastAsia="en-AU"/>
        </w:rPr>
        <w:t xml:space="preserve"> </w:t>
      </w:r>
      <w:r w:rsidR="006A0605">
        <w:rPr>
          <w:lang w:eastAsia="en-AU"/>
        </w:rPr>
        <w:t xml:space="preserve">both of </w:t>
      </w:r>
      <w:r w:rsidR="00786492">
        <w:rPr>
          <w:lang w:eastAsia="en-AU"/>
        </w:rPr>
        <w:t xml:space="preserve">which involve developing goals and ways to achieve </w:t>
      </w:r>
      <w:r w:rsidR="006A0605">
        <w:rPr>
          <w:lang w:eastAsia="en-AU"/>
        </w:rPr>
        <w:t>goals</w:t>
      </w:r>
      <w:r w:rsidR="00786492">
        <w:rPr>
          <w:lang w:eastAsia="en-AU"/>
        </w:rPr>
        <w:t>.   Career development also involves decision</w:t>
      </w:r>
      <w:r w:rsidR="006A0605">
        <w:rPr>
          <w:lang w:eastAsia="en-AU"/>
        </w:rPr>
        <w:t>-</w:t>
      </w:r>
      <w:r w:rsidR="00786492">
        <w:rPr>
          <w:lang w:eastAsia="en-AU"/>
        </w:rPr>
        <w:t xml:space="preserve">making relating to </w:t>
      </w:r>
      <w:r w:rsidR="006A0605">
        <w:rPr>
          <w:lang w:eastAsia="en-AU"/>
        </w:rPr>
        <w:t>non-work matters</w:t>
      </w:r>
      <w:r w:rsidR="00786492">
        <w:rPr>
          <w:lang w:eastAsia="en-AU"/>
        </w:rPr>
        <w:t xml:space="preserve"> and life in general. </w:t>
      </w:r>
      <w:r w:rsidR="00C36F21" w:rsidRPr="00C36F21">
        <w:rPr>
          <w:lang w:eastAsia="en-AU"/>
        </w:rPr>
        <w:t xml:space="preserve"> It applies to people of all ages</w:t>
      </w:r>
      <w:r w:rsidR="00786492">
        <w:rPr>
          <w:lang w:eastAsia="en-AU"/>
        </w:rPr>
        <w:t xml:space="preserve"> and most definitely </w:t>
      </w:r>
      <w:r w:rsidR="006A0605">
        <w:rPr>
          <w:lang w:eastAsia="en-AU"/>
        </w:rPr>
        <w:t xml:space="preserve">to </w:t>
      </w:r>
      <w:r w:rsidR="00786492">
        <w:rPr>
          <w:lang w:eastAsia="en-AU"/>
        </w:rPr>
        <w:t xml:space="preserve">those who are younger and need guidance and assistance in developing career plans and understanding career pathways. </w:t>
      </w:r>
      <w:r w:rsidR="00C36F21">
        <w:rPr>
          <w:rStyle w:val="FootnoteReference"/>
          <w:lang w:eastAsia="en-AU"/>
        </w:rPr>
        <w:footnoteReference w:id="118"/>
      </w:r>
    </w:p>
    <w:p w:rsidR="006A0605" w:rsidRDefault="00EA4A0D" w:rsidP="00EA4A0D">
      <w:pPr>
        <w:pStyle w:val="Bodytext"/>
        <w:ind w:right="157"/>
        <w:jc w:val="both"/>
      </w:pPr>
      <w:r>
        <w:t xml:space="preserve">At the 11 December 2013 public hearing </w:t>
      </w:r>
      <w:r w:rsidR="006A0605">
        <w:t xml:space="preserve">the Committee considered various aspects of career development.  It was mindful that the </w:t>
      </w:r>
      <w:r w:rsidR="00323080">
        <w:t xml:space="preserve">Elected Body </w:t>
      </w:r>
      <w:r w:rsidR="006A0605">
        <w:t xml:space="preserve"> wanted to see clear career pathways and clearly articulated development opportunities for Aboriginal and Torres Strait Islander employees.</w:t>
      </w:r>
      <w:r w:rsidR="006A0605">
        <w:rPr>
          <w:rStyle w:val="FootnoteReference"/>
        </w:rPr>
        <w:footnoteReference w:id="119"/>
      </w:r>
      <w:r w:rsidR="006A0605">
        <w:t xml:space="preserve"> </w:t>
      </w:r>
    </w:p>
    <w:p w:rsidR="00EA4A0D" w:rsidRDefault="006A0605" w:rsidP="00EA4A0D">
      <w:pPr>
        <w:pStyle w:val="Bodytext"/>
        <w:ind w:right="157"/>
        <w:jc w:val="both"/>
      </w:pPr>
      <w:r>
        <w:t xml:space="preserve">In response to a question about </w:t>
      </w:r>
      <w:r w:rsidR="00EA4A0D">
        <w:t>what en</w:t>
      </w:r>
      <w:r w:rsidR="00EA4A0D" w:rsidRPr="00EA4A0D">
        <w:rPr>
          <w:spacing w:val="-1"/>
        </w:rPr>
        <w:t>couragement</w:t>
      </w:r>
      <w:r w:rsidR="00EA4A0D" w:rsidRPr="00EA4A0D">
        <w:rPr>
          <w:spacing w:val="19"/>
        </w:rPr>
        <w:t xml:space="preserve"> </w:t>
      </w:r>
      <w:r w:rsidR="00EA4A0D">
        <w:t>there</w:t>
      </w:r>
      <w:r w:rsidR="00EA4A0D" w:rsidRPr="00EA4A0D">
        <w:rPr>
          <w:spacing w:val="20"/>
        </w:rPr>
        <w:t xml:space="preserve"> </w:t>
      </w:r>
      <w:r w:rsidR="00EA4A0D">
        <w:rPr>
          <w:spacing w:val="20"/>
        </w:rPr>
        <w:t xml:space="preserve">was </w:t>
      </w:r>
      <w:r w:rsidR="00EA4A0D">
        <w:t>for</w:t>
      </w:r>
      <w:r w:rsidR="00EA4A0D" w:rsidRPr="00EA4A0D">
        <w:rPr>
          <w:spacing w:val="22"/>
        </w:rPr>
        <w:t xml:space="preserve"> </w:t>
      </w:r>
      <w:r w:rsidR="00EA4A0D" w:rsidRPr="00EA4A0D">
        <w:rPr>
          <w:spacing w:val="-1"/>
        </w:rPr>
        <w:t>Indigenous</w:t>
      </w:r>
      <w:r w:rsidR="00EA4A0D" w:rsidRPr="00EA4A0D">
        <w:rPr>
          <w:spacing w:val="21"/>
        </w:rPr>
        <w:t xml:space="preserve"> </w:t>
      </w:r>
      <w:r w:rsidR="00EA4A0D" w:rsidRPr="00EA4A0D">
        <w:rPr>
          <w:spacing w:val="-1"/>
        </w:rPr>
        <w:t>employees</w:t>
      </w:r>
      <w:r w:rsidR="00EA4A0D" w:rsidRPr="00EA4A0D">
        <w:rPr>
          <w:spacing w:val="19"/>
        </w:rPr>
        <w:t xml:space="preserve"> </w:t>
      </w:r>
      <w:r w:rsidR="00EA4A0D" w:rsidRPr="00EA4A0D">
        <w:rPr>
          <w:spacing w:val="1"/>
        </w:rPr>
        <w:t>to</w:t>
      </w:r>
      <w:r w:rsidR="00EA4A0D" w:rsidRPr="00EA4A0D">
        <w:rPr>
          <w:spacing w:val="18"/>
        </w:rPr>
        <w:t xml:space="preserve"> </w:t>
      </w:r>
      <w:r w:rsidR="00EA4A0D" w:rsidRPr="00EA4A0D">
        <w:rPr>
          <w:spacing w:val="-1"/>
        </w:rPr>
        <w:t>undertake</w:t>
      </w:r>
      <w:r w:rsidR="00EA4A0D" w:rsidRPr="00EA4A0D">
        <w:rPr>
          <w:spacing w:val="61"/>
        </w:rPr>
        <w:t xml:space="preserve"> </w:t>
      </w:r>
      <w:r w:rsidR="00EA4A0D" w:rsidRPr="00EA4A0D">
        <w:rPr>
          <w:spacing w:val="-1"/>
        </w:rPr>
        <w:t>further</w:t>
      </w:r>
      <w:r w:rsidR="00EA4A0D" w:rsidRPr="00EA4A0D">
        <w:rPr>
          <w:spacing w:val="10"/>
        </w:rPr>
        <w:t xml:space="preserve"> </w:t>
      </w:r>
      <w:r w:rsidR="00EA4A0D" w:rsidRPr="00EA4A0D">
        <w:rPr>
          <w:spacing w:val="1"/>
        </w:rPr>
        <w:t>study</w:t>
      </w:r>
      <w:r w:rsidR="00EA4A0D" w:rsidRPr="00EA4A0D">
        <w:rPr>
          <w:spacing w:val="6"/>
        </w:rPr>
        <w:t xml:space="preserve"> </w:t>
      </w:r>
      <w:r w:rsidR="00EA4A0D">
        <w:t>in</w:t>
      </w:r>
      <w:r w:rsidR="00EA4A0D" w:rsidRPr="00EA4A0D">
        <w:rPr>
          <w:spacing w:val="12"/>
        </w:rPr>
        <w:t xml:space="preserve"> </w:t>
      </w:r>
      <w:r w:rsidR="00EA4A0D">
        <w:t>their</w:t>
      </w:r>
      <w:r w:rsidR="00EA4A0D" w:rsidRPr="00EA4A0D">
        <w:rPr>
          <w:spacing w:val="13"/>
        </w:rPr>
        <w:t xml:space="preserve"> </w:t>
      </w:r>
      <w:r w:rsidR="00EA4A0D">
        <w:t>chosen</w:t>
      </w:r>
      <w:r w:rsidR="00EA4A0D" w:rsidRPr="00EA4A0D">
        <w:rPr>
          <w:spacing w:val="11"/>
        </w:rPr>
        <w:t xml:space="preserve"> </w:t>
      </w:r>
      <w:r w:rsidR="00EA4A0D" w:rsidRPr="00EA4A0D">
        <w:rPr>
          <w:spacing w:val="-1"/>
        </w:rPr>
        <w:t>field</w:t>
      </w:r>
      <w:r w:rsidR="00EA4A0D" w:rsidRPr="00EA4A0D">
        <w:rPr>
          <w:spacing w:val="12"/>
        </w:rPr>
        <w:t xml:space="preserve"> </w:t>
      </w:r>
      <w:r w:rsidR="00EA4A0D">
        <w:t>once</w:t>
      </w:r>
      <w:r w:rsidR="00EA4A0D" w:rsidRPr="00EA4A0D">
        <w:rPr>
          <w:spacing w:val="10"/>
        </w:rPr>
        <w:t xml:space="preserve"> </w:t>
      </w:r>
      <w:r w:rsidR="00EA4A0D" w:rsidRPr="00EA4A0D">
        <w:rPr>
          <w:spacing w:val="1"/>
        </w:rPr>
        <w:t>they</w:t>
      </w:r>
      <w:r w:rsidR="00EA4A0D" w:rsidRPr="00EA4A0D">
        <w:rPr>
          <w:spacing w:val="6"/>
        </w:rPr>
        <w:t xml:space="preserve"> </w:t>
      </w:r>
      <w:r w:rsidR="00EA4A0D">
        <w:t>have</w:t>
      </w:r>
      <w:r w:rsidR="00EA4A0D" w:rsidRPr="00EA4A0D">
        <w:rPr>
          <w:spacing w:val="13"/>
        </w:rPr>
        <w:t xml:space="preserve"> </w:t>
      </w:r>
      <w:r w:rsidR="00EA4A0D">
        <w:t>moved</w:t>
      </w:r>
      <w:r w:rsidR="00EA4A0D" w:rsidRPr="00EA4A0D">
        <w:rPr>
          <w:spacing w:val="11"/>
        </w:rPr>
        <w:t xml:space="preserve"> </w:t>
      </w:r>
      <w:r w:rsidR="00EA4A0D" w:rsidRPr="00EA4A0D">
        <w:rPr>
          <w:spacing w:val="-1"/>
        </w:rPr>
        <w:t>beyond</w:t>
      </w:r>
      <w:r w:rsidR="00EA4A0D" w:rsidRPr="00EA4A0D">
        <w:rPr>
          <w:spacing w:val="11"/>
        </w:rPr>
        <w:t xml:space="preserve"> </w:t>
      </w:r>
      <w:r w:rsidR="00EA4A0D">
        <w:t>traineeships</w:t>
      </w:r>
      <w:r w:rsidR="00EA4A0D" w:rsidRPr="00EA4A0D">
        <w:rPr>
          <w:spacing w:val="12"/>
        </w:rPr>
        <w:t xml:space="preserve"> </w:t>
      </w:r>
      <w:r w:rsidR="00EA4A0D" w:rsidRPr="00EA4A0D">
        <w:rPr>
          <w:spacing w:val="-1"/>
        </w:rPr>
        <w:t>and</w:t>
      </w:r>
      <w:r w:rsidR="00EA4A0D" w:rsidRPr="00EA4A0D">
        <w:rPr>
          <w:spacing w:val="11"/>
        </w:rPr>
        <w:t xml:space="preserve"> </w:t>
      </w:r>
      <w:r w:rsidR="00EA4A0D">
        <w:rPr>
          <w:spacing w:val="11"/>
        </w:rPr>
        <w:t xml:space="preserve">progress </w:t>
      </w:r>
      <w:r w:rsidR="00EA4A0D">
        <w:t>up the middle</w:t>
      </w:r>
      <w:r w:rsidR="00EA4A0D" w:rsidRPr="00EA4A0D">
        <w:rPr>
          <w:spacing w:val="-1"/>
        </w:rPr>
        <w:t xml:space="preserve"> </w:t>
      </w:r>
      <w:r w:rsidR="00EA4A0D">
        <w:t>ranks of the</w:t>
      </w:r>
      <w:r w:rsidR="00EA4A0D" w:rsidRPr="00EA4A0D">
        <w:rPr>
          <w:spacing w:val="-1"/>
        </w:rPr>
        <w:t xml:space="preserve"> </w:t>
      </w:r>
      <w:r w:rsidR="00EA4A0D">
        <w:rPr>
          <w:spacing w:val="-1"/>
        </w:rPr>
        <w:t>ACTPS</w:t>
      </w:r>
      <w:r>
        <w:rPr>
          <w:spacing w:val="-1"/>
        </w:rPr>
        <w:t xml:space="preserve">, </w:t>
      </w:r>
      <w:r>
        <w:t>The Commissioner for Public Administration, Mr Andrew Kefford</w:t>
      </w:r>
      <w:r w:rsidR="00EA4A0D">
        <w:rPr>
          <w:spacing w:val="-1"/>
        </w:rPr>
        <w:t xml:space="preserve"> replied that: </w:t>
      </w:r>
    </w:p>
    <w:p w:rsidR="00EA4A0D" w:rsidRDefault="00EA4A0D" w:rsidP="00EA4A0D">
      <w:pPr>
        <w:pStyle w:val="Quote"/>
      </w:pPr>
      <w:r>
        <w:t>... the</w:t>
      </w:r>
      <w:r>
        <w:rPr>
          <w:spacing w:val="11"/>
        </w:rPr>
        <w:t xml:space="preserve"> </w:t>
      </w:r>
      <w:r>
        <w:t>opportunities</w:t>
      </w:r>
      <w:r>
        <w:rPr>
          <w:spacing w:val="12"/>
        </w:rPr>
        <w:t xml:space="preserve"> </w:t>
      </w:r>
      <w:r>
        <w:t>for</w:t>
      </w:r>
      <w:r>
        <w:rPr>
          <w:spacing w:val="12"/>
        </w:rPr>
        <w:t xml:space="preserve"> </w:t>
      </w:r>
      <w:r>
        <w:t>our</w:t>
      </w:r>
      <w:r>
        <w:rPr>
          <w:spacing w:val="11"/>
        </w:rPr>
        <w:t xml:space="preserve"> </w:t>
      </w:r>
      <w:r>
        <w:t>Aboriginal</w:t>
      </w:r>
      <w:r>
        <w:rPr>
          <w:spacing w:val="11"/>
        </w:rPr>
        <w:t xml:space="preserve"> </w:t>
      </w:r>
      <w:r>
        <w:t>and</w:t>
      </w:r>
      <w:r>
        <w:rPr>
          <w:spacing w:val="11"/>
        </w:rPr>
        <w:t xml:space="preserve"> </w:t>
      </w:r>
      <w:r>
        <w:t>Torres</w:t>
      </w:r>
      <w:r>
        <w:rPr>
          <w:spacing w:val="12"/>
        </w:rPr>
        <w:t xml:space="preserve"> </w:t>
      </w:r>
      <w:r>
        <w:t>Strait</w:t>
      </w:r>
      <w:r>
        <w:rPr>
          <w:spacing w:val="71"/>
        </w:rPr>
        <w:t xml:space="preserve"> </w:t>
      </w:r>
      <w:r>
        <w:t>Islander</w:t>
      </w:r>
      <w:r>
        <w:rPr>
          <w:spacing w:val="27"/>
        </w:rPr>
        <w:t xml:space="preserve"> </w:t>
      </w:r>
      <w:r>
        <w:t>staff</w:t>
      </w:r>
      <w:r>
        <w:rPr>
          <w:spacing w:val="27"/>
        </w:rPr>
        <w:t xml:space="preserve"> </w:t>
      </w:r>
      <w:r>
        <w:t>are</w:t>
      </w:r>
      <w:r>
        <w:rPr>
          <w:spacing w:val="27"/>
        </w:rPr>
        <w:t xml:space="preserve"> </w:t>
      </w:r>
      <w:r>
        <w:t>the</w:t>
      </w:r>
      <w:r>
        <w:rPr>
          <w:spacing w:val="28"/>
        </w:rPr>
        <w:t xml:space="preserve"> </w:t>
      </w:r>
      <w:r>
        <w:t>same</w:t>
      </w:r>
      <w:r>
        <w:rPr>
          <w:spacing w:val="28"/>
        </w:rPr>
        <w:t xml:space="preserve"> </w:t>
      </w:r>
      <w:r>
        <w:t>as</w:t>
      </w:r>
      <w:r>
        <w:rPr>
          <w:spacing w:val="28"/>
        </w:rPr>
        <w:t xml:space="preserve"> </w:t>
      </w:r>
      <w:r>
        <w:t>for</w:t>
      </w:r>
      <w:r>
        <w:rPr>
          <w:spacing w:val="27"/>
        </w:rPr>
        <w:t xml:space="preserve"> </w:t>
      </w:r>
      <w:r>
        <w:t>the</w:t>
      </w:r>
      <w:r>
        <w:rPr>
          <w:spacing w:val="28"/>
        </w:rPr>
        <w:t xml:space="preserve"> </w:t>
      </w:r>
      <w:r>
        <w:t>rest</w:t>
      </w:r>
      <w:r>
        <w:rPr>
          <w:spacing w:val="29"/>
        </w:rPr>
        <w:t xml:space="preserve"> </w:t>
      </w:r>
      <w:r>
        <w:t>of</w:t>
      </w:r>
      <w:r>
        <w:rPr>
          <w:spacing w:val="27"/>
        </w:rPr>
        <w:t xml:space="preserve"> </w:t>
      </w:r>
      <w:r>
        <w:t>the</w:t>
      </w:r>
      <w:r>
        <w:rPr>
          <w:spacing w:val="30"/>
        </w:rPr>
        <w:t xml:space="preserve"> </w:t>
      </w:r>
      <w:r>
        <w:t>service.</w:t>
      </w:r>
      <w:r>
        <w:rPr>
          <w:spacing w:val="28"/>
        </w:rPr>
        <w:t xml:space="preserve"> </w:t>
      </w:r>
      <w:r>
        <w:t>A</w:t>
      </w:r>
      <w:r>
        <w:rPr>
          <w:spacing w:val="28"/>
        </w:rPr>
        <w:t xml:space="preserve"> </w:t>
      </w:r>
      <w:r>
        <w:t>larger</w:t>
      </w:r>
      <w:r>
        <w:rPr>
          <w:spacing w:val="27"/>
        </w:rPr>
        <w:t xml:space="preserve"> </w:t>
      </w:r>
      <w:r>
        <w:t>proportion</w:t>
      </w:r>
      <w:r>
        <w:rPr>
          <w:spacing w:val="28"/>
        </w:rPr>
        <w:t xml:space="preserve"> </w:t>
      </w:r>
      <w:r>
        <w:t>of</w:t>
      </w:r>
      <w:r>
        <w:rPr>
          <w:spacing w:val="27"/>
        </w:rPr>
        <w:t xml:space="preserve"> </w:t>
      </w:r>
      <w:r>
        <w:t>our</w:t>
      </w:r>
      <w:r>
        <w:rPr>
          <w:spacing w:val="37"/>
        </w:rPr>
        <w:t xml:space="preserve"> </w:t>
      </w:r>
      <w:r>
        <w:t>Aboriginal</w:t>
      </w:r>
      <w:r>
        <w:rPr>
          <w:spacing w:val="57"/>
        </w:rPr>
        <w:t xml:space="preserve"> </w:t>
      </w:r>
      <w:r>
        <w:t>and</w:t>
      </w:r>
      <w:r>
        <w:rPr>
          <w:spacing w:val="58"/>
        </w:rPr>
        <w:t xml:space="preserve"> </w:t>
      </w:r>
      <w:r>
        <w:t>Torres</w:t>
      </w:r>
      <w:r>
        <w:rPr>
          <w:spacing w:val="59"/>
        </w:rPr>
        <w:t xml:space="preserve"> </w:t>
      </w:r>
      <w:r>
        <w:t>Strait</w:t>
      </w:r>
      <w:r>
        <w:rPr>
          <w:spacing w:val="58"/>
        </w:rPr>
        <w:t xml:space="preserve"> </w:t>
      </w:r>
      <w:r>
        <w:t>Islander</w:t>
      </w:r>
      <w:r>
        <w:rPr>
          <w:spacing w:val="56"/>
        </w:rPr>
        <w:t xml:space="preserve"> </w:t>
      </w:r>
      <w:r>
        <w:t>staff</w:t>
      </w:r>
      <w:r>
        <w:rPr>
          <w:spacing w:val="56"/>
        </w:rPr>
        <w:t xml:space="preserve"> </w:t>
      </w:r>
      <w:r>
        <w:t>than</w:t>
      </w:r>
      <w:r>
        <w:rPr>
          <w:spacing w:val="56"/>
        </w:rPr>
        <w:t xml:space="preserve"> </w:t>
      </w:r>
      <w:r>
        <w:t>the</w:t>
      </w:r>
      <w:r>
        <w:rPr>
          <w:spacing w:val="56"/>
        </w:rPr>
        <w:t xml:space="preserve"> </w:t>
      </w:r>
      <w:r>
        <w:t>overall</w:t>
      </w:r>
      <w:r>
        <w:rPr>
          <w:spacing w:val="58"/>
        </w:rPr>
        <w:t xml:space="preserve"> </w:t>
      </w:r>
      <w:r>
        <w:t>workforce</w:t>
      </w:r>
      <w:r>
        <w:rPr>
          <w:spacing w:val="56"/>
        </w:rPr>
        <w:t xml:space="preserve"> </w:t>
      </w:r>
      <w:r>
        <w:t>have</w:t>
      </w:r>
      <w:r>
        <w:rPr>
          <w:spacing w:val="61"/>
        </w:rPr>
        <w:t xml:space="preserve"> </w:t>
      </w:r>
      <w:r>
        <w:t>participated</w:t>
      </w:r>
      <w:r>
        <w:rPr>
          <w:spacing w:val="6"/>
        </w:rPr>
        <w:t xml:space="preserve"> </w:t>
      </w:r>
      <w:r>
        <w:t>in</w:t>
      </w:r>
      <w:r>
        <w:rPr>
          <w:spacing w:val="7"/>
        </w:rPr>
        <w:t xml:space="preserve"> </w:t>
      </w:r>
      <w:r>
        <w:t>the</w:t>
      </w:r>
      <w:r>
        <w:rPr>
          <w:spacing w:val="6"/>
        </w:rPr>
        <w:t xml:space="preserve"> </w:t>
      </w:r>
      <w:r>
        <w:t>future</w:t>
      </w:r>
      <w:r>
        <w:rPr>
          <w:spacing w:val="8"/>
        </w:rPr>
        <w:t xml:space="preserve"> </w:t>
      </w:r>
      <w:r>
        <w:t>leaders</w:t>
      </w:r>
      <w:r>
        <w:rPr>
          <w:spacing w:val="6"/>
        </w:rPr>
        <w:t xml:space="preserve"> </w:t>
      </w:r>
      <w:r>
        <w:t>program</w:t>
      </w:r>
      <w:r>
        <w:rPr>
          <w:spacing w:val="7"/>
        </w:rPr>
        <w:t xml:space="preserve"> </w:t>
      </w:r>
      <w:r>
        <w:t>that</w:t>
      </w:r>
      <w:r>
        <w:rPr>
          <w:spacing w:val="6"/>
        </w:rPr>
        <w:t xml:space="preserve"> </w:t>
      </w:r>
      <w:r>
        <w:t>we</w:t>
      </w:r>
      <w:r>
        <w:rPr>
          <w:spacing w:val="7"/>
        </w:rPr>
        <w:t xml:space="preserve"> </w:t>
      </w:r>
      <w:r>
        <w:t>run</w:t>
      </w:r>
      <w:r>
        <w:rPr>
          <w:spacing w:val="6"/>
        </w:rPr>
        <w:t xml:space="preserve"> </w:t>
      </w:r>
      <w:r>
        <w:t>centrally.</w:t>
      </w:r>
      <w:r>
        <w:rPr>
          <w:spacing w:val="6"/>
        </w:rPr>
        <w:t xml:space="preserve"> </w:t>
      </w:r>
      <w:r w:rsidR="00634DDA">
        <w:t xml:space="preserve">The </w:t>
      </w:r>
      <w:r w:rsidR="00634DDA">
        <w:rPr>
          <w:spacing w:val="5"/>
        </w:rPr>
        <w:t>way</w:t>
      </w:r>
      <w:r>
        <w:rPr>
          <w:spacing w:val="2"/>
        </w:rPr>
        <w:t xml:space="preserve"> </w:t>
      </w:r>
      <w:r>
        <w:t>in</w:t>
      </w:r>
      <w:r>
        <w:rPr>
          <w:spacing w:val="7"/>
        </w:rPr>
        <w:t xml:space="preserve"> </w:t>
      </w:r>
      <w:r>
        <w:t>which</w:t>
      </w:r>
      <w:r>
        <w:rPr>
          <w:spacing w:val="6"/>
        </w:rPr>
        <w:t xml:space="preserve"> </w:t>
      </w:r>
      <w:r>
        <w:t>the</w:t>
      </w:r>
      <w:r>
        <w:rPr>
          <w:spacing w:val="71"/>
        </w:rPr>
        <w:t xml:space="preserve"> </w:t>
      </w:r>
      <w:r>
        <w:t>training</w:t>
      </w:r>
      <w:r>
        <w:rPr>
          <w:spacing w:val="42"/>
        </w:rPr>
        <w:t xml:space="preserve"> </w:t>
      </w:r>
      <w:r>
        <w:t>development</w:t>
      </w:r>
      <w:r>
        <w:rPr>
          <w:spacing w:val="45"/>
        </w:rPr>
        <w:t xml:space="preserve"> </w:t>
      </w:r>
      <w:r>
        <w:t>needs</w:t>
      </w:r>
      <w:r>
        <w:rPr>
          <w:spacing w:val="45"/>
        </w:rPr>
        <w:t xml:space="preserve"> </w:t>
      </w:r>
      <w:r>
        <w:t>are</w:t>
      </w:r>
      <w:r>
        <w:rPr>
          <w:spacing w:val="43"/>
        </w:rPr>
        <w:t xml:space="preserve"> </w:t>
      </w:r>
      <w:r>
        <w:t>administered</w:t>
      </w:r>
      <w:r>
        <w:rPr>
          <w:spacing w:val="47"/>
        </w:rPr>
        <w:t xml:space="preserve"> </w:t>
      </w:r>
      <w:r>
        <w:t>generally</w:t>
      </w:r>
      <w:r>
        <w:rPr>
          <w:spacing w:val="38"/>
        </w:rPr>
        <w:t xml:space="preserve"> </w:t>
      </w:r>
      <w:r>
        <w:t>is</w:t>
      </w:r>
      <w:r>
        <w:rPr>
          <w:spacing w:val="46"/>
        </w:rPr>
        <w:t xml:space="preserve"> </w:t>
      </w:r>
      <w:r>
        <w:t>through</w:t>
      </w:r>
      <w:r>
        <w:rPr>
          <w:spacing w:val="45"/>
        </w:rPr>
        <w:t xml:space="preserve"> </w:t>
      </w:r>
      <w:r>
        <w:t>the</w:t>
      </w:r>
      <w:r>
        <w:rPr>
          <w:spacing w:val="44"/>
        </w:rPr>
        <w:t xml:space="preserve"> </w:t>
      </w:r>
      <w:r>
        <w:t>performance</w:t>
      </w:r>
      <w:r>
        <w:rPr>
          <w:spacing w:val="77"/>
        </w:rPr>
        <w:t xml:space="preserve"> </w:t>
      </w:r>
      <w:r>
        <w:t>framework</w:t>
      </w:r>
      <w:r>
        <w:rPr>
          <w:spacing w:val="13"/>
        </w:rPr>
        <w:t xml:space="preserve"> ...</w:t>
      </w:r>
      <w:r>
        <w:rPr>
          <w:spacing w:val="14"/>
        </w:rPr>
        <w:t xml:space="preserve"> </w:t>
      </w:r>
      <w:r>
        <w:t>so</w:t>
      </w:r>
      <w:r>
        <w:rPr>
          <w:spacing w:val="14"/>
        </w:rPr>
        <w:t xml:space="preserve"> </w:t>
      </w:r>
      <w:r>
        <w:t>it</w:t>
      </w:r>
      <w:r>
        <w:rPr>
          <w:spacing w:val="14"/>
        </w:rPr>
        <w:t xml:space="preserve"> </w:t>
      </w:r>
      <w:r>
        <w:t>becomes</w:t>
      </w:r>
      <w:r>
        <w:rPr>
          <w:spacing w:val="13"/>
        </w:rPr>
        <w:t xml:space="preserve"> </w:t>
      </w:r>
      <w:r>
        <w:t>a</w:t>
      </w:r>
      <w:r>
        <w:rPr>
          <w:spacing w:val="13"/>
        </w:rPr>
        <w:t xml:space="preserve"> </w:t>
      </w:r>
      <w:r>
        <w:t>conversation</w:t>
      </w:r>
      <w:r>
        <w:rPr>
          <w:spacing w:val="14"/>
        </w:rPr>
        <w:t xml:space="preserve"> </w:t>
      </w:r>
      <w:r>
        <w:t>that</w:t>
      </w:r>
      <w:r>
        <w:rPr>
          <w:spacing w:val="14"/>
        </w:rPr>
        <w:t xml:space="preserve"> </w:t>
      </w:r>
      <w:r>
        <w:t>staff</w:t>
      </w:r>
      <w:r>
        <w:rPr>
          <w:spacing w:val="13"/>
        </w:rPr>
        <w:t xml:space="preserve"> </w:t>
      </w:r>
      <w:r>
        <w:t>have</w:t>
      </w:r>
      <w:r>
        <w:rPr>
          <w:spacing w:val="64"/>
        </w:rPr>
        <w:t xml:space="preserve"> </w:t>
      </w:r>
      <w:r>
        <w:t>with</w:t>
      </w:r>
      <w:r>
        <w:rPr>
          <w:spacing w:val="36"/>
        </w:rPr>
        <w:t xml:space="preserve"> </w:t>
      </w:r>
      <w:r>
        <w:t>their</w:t>
      </w:r>
      <w:r>
        <w:rPr>
          <w:spacing w:val="35"/>
        </w:rPr>
        <w:t xml:space="preserve"> </w:t>
      </w:r>
      <w:r>
        <w:t>supervisors</w:t>
      </w:r>
      <w:r>
        <w:rPr>
          <w:spacing w:val="36"/>
        </w:rPr>
        <w:t xml:space="preserve"> </w:t>
      </w:r>
      <w:r>
        <w:t>about</w:t>
      </w:r>
      <w:r>
        <w:rPr>
          <w:spacing w:val="36"/>
        </w:rPr>
        <w:t xml:space="preserve"> </w:t>
      </w:r>
      <w:r>
        <w:t>their</w:t>
      </w:r>
      <w:r>
        <w:rPr>
          <w:spacing w:val="35"/>
        </w:rPr>
        <w:t xml:space="preserve"> </w:t>
      </w:r>
      <w:r>
        <w:t>future</w:t>
      </w:r>
      <w:r>
        <w:rPr>
          <w:spacing w:val="34"/>
        </w:rPr>
        <w:t xml:space="preserve"> </w:t>
      </w:r>
      <w:r>
        <w:t>development</w:t>
      </w:r>
      <w:r>
        <w:rPr>
          <w:spacing w:val="35"/>
        </w:rPr>
        <w:t xml:space="preserve"> </w:t>
      </w:r>
      <w:r>
        <w:t>desires</w:t>
      </w:r>
      <w:r>
        <w:rPr>
          <w:spacing w:val="36"/>
        </w:rPr>
        <w:t xml:space="preserve"> </w:t>
      </w:r>
      <w:r>
        <w:t>and,</w:t>
      </w:r>
      <w:r>
        <w:rPr>
          <w:spacing w:val="35"/>
        </w:rPr>
        <w:t xml:space="preserve"> </w:t>
      </w:r>
      <w:r>
        <w:t>therefore,</w:t>
      </w:r>
      <w:r>
        <w:rPr>
          <w:spacing w:val="35"/>
        </w:rPr>
        <w:t xml:space="preserve"> </w:t>
      </w:r>
      <w:r>
        <w:t>needs.</w:t>
      </w:r>
      <w:r>
        <w:rPr>
          <w:spacing w:val="67"/>
        </w:rPr>
        <w:t xml:space="preserve"> </w:t>
      </w:r>
      <w:r>
        <w:t>There</w:t>
      </w:r>
      <w:r>
        <w:rPr>
          <w:spacing w:val="43"/>
        </w:rPr>
        <w:t xml:space="preserve"> </w:t>
      </w:r>
      <w:r>
        <w:t>is</w:t>
      </w:r>
      <w:r>
        <w:rPr>
          <w:spacing w:val="48"/>
        </w:rPr>
        <w:t xml:space="preserve"> </w:t>
      </w:r>
      <w:r>
        <w:t>an</w:t>
      </w:r>
      <w:r>
        <w:rPr>
          <w:spacing w:val="45"/>
        </w:rPr>
        <w:t xml:space="preserve"> </w:t>
      </w:r>
      <w:r>
        <w:t>opportunity</w:t>
      </w:r>
      <w:r>
        <w:rPr>
          <w:spacing w:val="42"/>
        </w:rPr>
        <w:t xml:space="preserve"> </w:t>
      </w:r>
      <w:r>
        <w:t>as</w:t>
      </w:r>
      <w:r>
        <w:rPr>
          <w:spacing w:val="45"/>
        </w:rPr>
        <w:t xml:space="preserve"> </w:t>
      </w:r>
      <w:r>
        <w:t>part</w:t>
      </w:r>
      <w:r>
        <w:rPr>
          <w:spacing w:val="45"/>
        </w:rPr>
        <w:t xml:space="preserve"> </w:t>
      </w:r>
      <w:r>
        <w:t>of</w:t>
      </w:r>
      <w:r>
        <w:rPr>
          <w:spacing w:val="44"/>
        </w:rPr>
        <w:t xml:space="preserve"> </w:t>
      </w:r>
      <w:r>
        <w:t>that</w:t>
      </w:r>
      <w:r>
        <w:rPr>
          <w:spacing w:val="45"/>
        </w:rPr>
        <w:t xml:space="preserve"> </w:t>
      </w:r>
      <w:r>
        <w:t>framework</w:t>
      </w:r>
      <w:r>
        <w:rPr>
          <w:spacing w:val="45"/>
        </w:rPr>
        <w:t xml:space="preserve"> </w:t>
      </w:r>
      <w:r>
        <w:t>to</w:t>
      </w:r>
      <w:r>
        <w:rPr>
          <w:spacing w:val="45"/>
        </w:rPr>
        <w:t xml:space="preserve"> </w:t>
      </w:r>
      <w:r>
        <w:t>have</w:t>
      </w:r>
      <w:r>
        <w:rPr>
          <w:spacing w:val="44"/>
        </w:rPr>
        <w:t xml:space="preserve"> </w:t>
      </w:r>
      <w:r>
        <w:t>that</w:t>
      </w:r>
      <w:r>
        <w:rPr>
          <w:spacing w:val="45"/>
        </w:rPr>
        <w:t xml:space="preserve"> </w:t>
      </w:r>
      <w:r>
        <w:t>conversation</w:t>
      </w:r>
      <w:r>
        <w:rPr>
          <w:spacing w:val="45"/>
        </w:rPr>
        <w:t xml:space="preserve"> </w:t>
      </w:r>
      <w:r>
        <w:t>on</w:t>
      </w:r>
      <w:r>
        <w:rPr>
          <w:spacing w:val="45"/>
        </w:rPr>
        <w:t xml:space="preserve"> </w:t>
      </w:r>
      <w:r>
        <w:t>a</w:t>
      </w:r>
      <w:r>
        <w:rPr>
          <w:spacing w:val="40"/>
        </w:rPr>
        <w:t xml:space="preserve"> </w:t>
      </w:r>
      <w:r>
        <w:t>regular</w:t>
      </w:r>
      <w:r>
        <w:rPr>
          <w:spacing w:val="5"/>
        </w:rPr>
        <w:t xml:space="preserve"> </w:t>
      </w:r>
      <w:r>
        <w:t>basis.</w:t>
      </w:r>
      <w:r>
        <w:rPr>
          <w:spacing w:val="4"/>
        </w:rPr>
        <w:t xml:space="preserve"> </w:t>
      </w:r>
      <w:r>
        <w:t>That</w:t>
      </w:r>
      <w:r>
        <w:rPr>
          <w:spacing w:val="5"/>
        </w:rPr>
        <w:t xml:space="preserve"> </w:t>
      </w:r>
      <w:r>
        <w:t>takes</w:t>
      </w:r>
      <w:r>
        <w:rPr>
          <w:spacing w:val="7"/>
        </w:rPr>
        <w:t xml:space="preserve"> </w:t>
      </w:r>
      <w:r>
        <w:t>into</w:t>
      </w:r>
      <w:r>
        <w:rPr>
          <w:spacing w:val="7"/>
        </w:rPr>
        <w:t xml:space="preserve"> </w:t>
      </w:r>
      <w:r>
        <w:t>account,</w:t>
      </w:r>
      <w:r>
        <w:rPr>
          <w:spacing w:val="7"/>
        </w:rPr>
        <w:t xml:space="preserve"> </w:t>
      </w:r>
      <w:r>
        <w:t>as</w:t>
      </w:r>
      <w:r>
        <w:rPr>
          <w:spacing w:val="9"/>
        </w:rPr>
        <w:t xml:space="preserve"> </w:t>
      </w:r>
      <w:r>
        <w:t>I</w:t>
      </w:r>
      <w:r>
        <w:rPr>
          <w:spacing w:val="1"/>
        </w:rPr>
        <w:t xml:space="preserve"> </w:t>
      </w:r>
      <w:r>
        <w:t>say,</w:t>
      </w:r>
      <w:r>
        <w:rPr>
          <w:spacing w:val="6"/>
        </w:rPr>
        <w:t xml:space="preserve"> </w:t>
      </w:r>
      <w:r>
        <w:t>the</w:t>
      </w:r>
      <w:r>
        <w:rPr>
          <w:spacing w:val="3"/>
        </w:rPr>
        <w:t xml:space="preserve"> </w:t>
      </w:r>
      <w:r>
        <w:t>performance</w:t>
      </w:r>
      <w:r>
        <w:rPr>
          <w:spacing w:val="5"/>
        </w:rPr>
        <w:t xml:space="preserve"> </w:t>
      </w:r>
      <w:r>
        <w:t>on</w:t>
      </w:r>
      <w:r>
        <w:rPr>
          <w:spacing w:val="4"/>
        </w:rPr>
        <w:t xml:space="preserve"> </w:t>
      </w:r>
      <w:r>
        <w:t>the</w:t>
      </w:r>
      <w:r>
        <w:rPr>
          <w:spacing w:val="6"/>
        </w:rPr>
        <w:t xml:space="preserve"> </w:t>
      </w:r>
      <w:r>
        <w:t>job</w:t>
      </w:r>
      <w:r>
        <w:rPr>
          <w:spacing w:val="7"/>
        </w:rPr>
        <w:t xml:space="preserve"> </w:t>
      </w:r>
      <w:r>
        <w:t>in</w:t>
      </w:r>
      <w:r>
        <w:rPr>
          <w:spacing w:val="5"/>
        </w:rPr>
        <w:t xml:space="preserve"> </w:t>
      </w:r>
      <w:r>
        <w:t>terms</w:t>
      </w:r>
      <w:r>
        <w:rPr>
          <w:spacing w:val="5"/>
        </w:rPr>
        <w:t xml:space="preserve"> </w:t>
      </w:r>
      <w:r>
        <w:rPr>
          <w:spacing w:val="1"/>
        </w:rPr>
        <w:t>of</w:t>
      </w:r>
      <w:r>
        <w:rPr>
          <w:spacing w:val="63"/>
        </w:rPr>
        <w:t xml:space="preserve"> </w:t>
      </w:r>
      <w:r>
        <w:t>areas</w:t>
      </w:r>
      <w:r>
        <w:rPr>
          <w:spacing w:val="47"/>
        </w:rPr>
        <w:t xml:space="preserve"> </w:t>
      </w:r>
      <w:r>
        <w:t>where</w:t>
      </w:r>
      <w:r>
        <w:rPr>
          <w:spacing w:val="43"/>
        </w:rPr>
        <w:t xml:space="preserve"> </w:t>
      </w:r>
      <w:r>
        <w:t>perhaps</w:t>
      </w:r>
      <w:r>
        <w:rPr>
          <w:spacing w:val="47"/>
        </w:rPr>
        <w:t xml:space="preserve"> </w:t>
      </w:r>
      <w:r>
        <w:t>an</w:t>
      </w:r>
      <w:r>
        <w:rPr>
          <w:spacing w:val="47"/>
        </w:rPr>
        <w:t xml:space="preserve"> </w:t>
      </w:r>
      <w:r>
        <w:t>individual</w:t>
      </w:r>
      <w:r>
        <w:rPr>
          <w:spacing w:val="45"/>
        </w:rPr>
        <w:t xml:space="preserve"> </w:t>
      </w:r>
      <w:r>
        <w:t>might</w:t>
      </w:r>
      <w:r>
        <w:rPr>
          <w:spacing w:val="45"/>
        </w:rPr>
        <w:t xml:space="preserve"> </w:t>
      </w:r>
      <w:r>
        <w:t>have</w:t>
      </w:r>
      <w:r>
        <w:rPr>
          <w:spacing w:val="46"/>
        </w:rPr>
        <w:t xml:space="preserve"> </w:t>
      </w:r>
      <w:r>
        <w:t>it</w:t>
      </w:r>
      <w:r>
        <w:rPr>
          <w:spacing w:val="46"/>
        </w:rPr>
        <w:t xml:space="preserve"> </w:t>
      </w:r>
      <w:r>
        <w:t>suggested</w:t>
      </w:r>
      <w:r>
        <w:rPr>
          <w:spacing w:val="47"/>
        </w:rPr>
        <w:t xml:space="preserve"> </w:t>
      </w:r>
      <w:r>
        <w:t>to</w:t>
      </w:r>
      <w:r>
        <w:rPr>
          <w:spacing w:val="45"/>
        </w:rPr>
        <w:t xml:space="preserve"> </w:t>
      </w:r>
      <w:r>
        <w:t>them</w:t>
      </w:r>
      <w:r>
        <w:rPr>
          <w:spacing w:val="45"/>
        </w:rPr>
        <w:t xml:space="preserve"> </w:t>
      </w:r>
      <w:r>
        <w:t>that</w:t>
      </w:r>
      <w:r>
        <w:rPr>
          <w:spacing w:val="45"/>
        </w:rPr>
        <w:t xml:space="preserve"> </w:t>
      </w:r>
      <w:r>
        <w:rPr>
          <w:spacing w:val="1"/>
        </w:rPr>
        <w:t>they</w:t>
      </w:r>
      <w:r>
        <w:rPr>
          <w:spacing w:val="40"/>
        </w:rPr>
        <w:t xml:space="preserve"> </w:t>
      </w:r>
      <w:r>
        <w:t>will</w:t>
      </w:r>
      <w:r>
        <w:rPr>
          <w:spacing w:val="35"/>
        </w:rPr>
        <w:t xml:space="preserve"> </w:t>
      </w:r>
      <w:r>
        <w:t>benefit</w:t>
      </w:r>
      <w:r>
        <w:rPr>
          <w:spacing w:val="43"/>
        </w:rPr>
        <w:t xml:space="preserve"> </w:t>
      </w:r>
      <w:r>
        <w:t>from</w:t>
      </w:r>
      <w:r>
        <w:rPr>
          <w:spacing w:val="43"/>
        </w:rPr>
        <w:t xml:space="preserve"> </w:t>
      </w:r>
      <w:r>
        <w:t>a</w:t>
      </w:r>
      <w:r>
        <w:rPr>
          <w:spacing w:val="42"/>
        </w:rPr>
        <w:t xml:space="preserve"> </w:t>
      </w:r>
      <w:r>
        <w:t>training</w:t>
      </w:r>
      <w:r>
        <w:rPr>
          <w:spacing w:val="42"/>
        </w:rPr>
        <w:t xml:space="preserve"> </w:t>
      </w:r>
      <w:r>
        <w:t>course</w:t>
      </w:r>
      <w:r>
        <w:rPr>
          <w:spacing w:val="41"/>
        </w:rPr>
        <w:t xml:space="preserve"> </w:t>
      </w:r>
      <w:r>
        <w:t>or,</w:t>
      </w:r>
      <w:r>
        <w:rPr>
          <w:spacing w:val="45"/>
        </w:rPr>
        <w:t xml:space="preserve"> </w:t>
      </w:r>
      <w:r>
        <w:t>alternatively,</w:t>
      </w:r>
      <w:r>
        <w:rPr>
          <w:spacing w:val="45"/>
        </w:rPr>
        <w:t xml:space="preserve"> </w:t>
      </w:r>
      <w:r>
        <w:t>they</w:t>
      </w:r>
      <w:r>
        <w:rPr>
          <w:spacing w:val="38"/>
        </w:rPr>
        <w:t xml:space="preserve"> </w:t>
      </w:r>
      <w:r>
        <w:t>express</w:t>
      </w:r>
      <w:r>
        <w:rPr>
          <w:spacing w:val="43"/>
        </w:rPr>
        <w:t xml:space="preserve"> </w:t>
      </w:r>
      <w:r>
        <w:t>a</w:t>
      </w:r>
      <w:r>
        <w:rPr>
          <w:spacing w:val="42"/>
        </w:rPr>
        <w:t xml:space="preserve"> </w:t>
      </w:r>
      <w:r>
        <w:t>desire</w:t>
      </w:r>
      <w:r>
        <w:rPr>
          <w:spacing w:val="42"/>
        </w:rPr>
        <w:t xml:space="preserve"> </w:t>
      </w:r>
      <w:r>
        <w:t>to</w:t>
      </w:r>
      <w:r>
        <w:rPr>
          <w:spacing w:val="45"/>
        </w:rPr>
        <w:t xml:space="preserve"> </w:t>
      </w:r>
      <w:r>
        <w:t>undertake</w:t>
      </w:r>
      <w:r>
        <w:rPr>
          <w:spacing w:val="75"/>
        </w:rPr>
        <w:t xml:space="preserve"> </w:t>
      </w:r>
      <w:r>
        <w:t>something.</w:t>
      </w:r>
      <w:r>
        <w:rPr>
          <w:spacing w:val="6"/>
        </w:rPr>
        <w:t xml:space="preserve"> </w:t>
      </w:r>
      <w:r>
        <w:t>At</w:t>
      </w:r>
      <w:r>
        <w:rPr>
          <w:spacing w:val="6"/>
        </w:rPr>
        <w:t xml:space="preserve"> </w:t>
      </w:r>
      <w:r>
        <w:t>the</w:t>
      </w:r>
      <w:r>
        <w:rPr>
          <w:spacing w:val="6"/>
        </w:rPr>
        <w:t xml:space="preserve"> </w:t>
      </w:r>
      <w:r>
        <w:t>same</w:t>
      </w:r>
      <w:r>
        <w:rPr>
          <w:spacing w:val="8"/>
        </w:rPr>
        <w:t xml:space="preserve"> </w:t>
      </w:r>
      <w:r>
        <w:t>time,</w:t>
      </w:r>
      <w:r>
        <w:rPr>
          <w:spacing w:val="6"/>
        </w:rPr>
        <w:t xml:space="preserve"> </w:t>
      </w:r>
      <w:r>
        <w:t>the</w:t>
      </w:r>
      <w:r>
        <w:rPr>
          <w:spacing w:val="9"/>
        </w:rPr>
        <w:t xml:space="preserve"> </w:t>
      </w:r>
      <w:r>
        <w:t>intention</w:t>
      </w:r>
      <w:r>
        <w:rPr>
          <w:spacing w:val="6"/>
        </w:rPr>
        <w:t xml:space="preserve"> </w:t>
      </w:r>
      <w:r>
        <w:t>of</w:t>
      </w:r>
      <w:r>
        <w:rPr>
          <w:spacing w:val="8"/>
        </w:rPr>
        <w:t xml:space="preserve"> </w:t>
      </w:r>
      <w:r>
        <w:t>all</w:t>
      </w:r>
      <w:r>
        <w:rPr>
          <w:spacing w:val="10"/>
        </w:rPr>
        <w:t xml:space="preserve"> </w:t>
      </w:r>
      <w:r>
        <w:t>of</w:t>
      </w:r>
      <w:r>
        <w:rPr>
          <w:spacing w:val="6"/>
        </w:rPr>
        <w:t xml:space="preserve"> </w:t>
      </w:r>
      <w:r>
        <w:t>that</w:t>
      </w:r>
      <w:r>
        <w:rPr>
          <w:spacing w:val="6"/>
        </w:rPr>
        <w:t xml:space="preserve"> </w:t>
      </w:r>
      <w:r>
        <w:t>is</w:t>
      </w:r>
      <w:r>
        <w:rPr>
          <w:spacing w:val="7"/>
        </w:rPr>
        <w:t xml:space="preserve"> </w:t>
      </w:r>
      <w:r>
        <w:t>that</w:t>
      </w:r>
      <w:r>
        <w:rPr>
          <w:spacing w:val="6"/>
        </w:rPr>
        <w:t xml:space="preserve"> </w:t>
      </w:r>
      <w:r>
        <w:t>it</w:t>
      </w:r>
      <w:r>
        <w:rPr>
          <w:spacing w:val="7"/>
        </w:rPr>
        <w:t xml:space="preserve"> </w:t>
      </w:r>
      <w:r>
        <w:t>becomes</w:t>
      </w:r>
      <w:r>
        <w:rPr>
          <w:spacing w:val="8"/>
        </w:rPr>
        <w:t xml:space="preserve"> </w:t>
      </w:r>
      <w:r>
        <w:t>an</w:t>
      </w:r>
      <w:r>
        <w:rPr>
          <w:spacing w:val="6"/>
        </w:rPr>
        <w:t xml:space="preserve"> </w:t>
      </w:r>
      <w:r>
        <w:t>ongoing</w:t>
      </w:r>
      <w:r>
        <w:rPr>
          <w:spacing w:val="49"/>
        </w:rPr>
        <w:t xml:space="preserve"> </w:t>
      </w:r>
      <w:r>
        <w:t>conversation</w:t>
      </w:r>
      <w:r>
        <w:rPr>
          <w:spacing w:val="6"/>
        </w:rPr>
        <w:t xml:space="preserve"> </w:t>
      </w:r>
      <w:r>
        <w:t>and</w:t>
      </w:r>
      <w:r>
        <w:rPr>
          <w:spacing w:val="6"/>
        </w:rPr>
        <w:t xml:space="preserve"> </w:t>
      </w:r>
      <w:r>
        <w:t>recognises</w:t>
      </w:r>
      <w:r>
        <w:rPr>
          <w:spacing w:val="6"/>
        </w:rPr>
        <w:t xml:space="preserve"> </w:t>
      </w:r>
      <w:r>
        <w:t>that</w:t>
      </w:r>
      <w:r>
        <w:rPr>
          <w:spacing w:val="6"/>
        </w:rPr>
        <w:t xml:space="preserve"> </w:t>
      </w:r>
      <w:r>
        <w:t>sometimes</w:t>
      </w:r>
      <w:r>
        <w:rPr>
          <w:spacing w:val="6"/>
        </w:rPr>
        <w:t xml:space="preserve"> </w:t>
      </w:r>
      <w:r>
        <w:t>the</w:t>
      </w:r>
      <w:r>
        <w:rPr>
          <w:spacing w:val="6"/>
        </w:rPr>
        <w:t xml:space="preserve"> </w:t>
      </w:r>
      <w:r>
        <w:t>best</w:t>
      </w:r>
      <w:r>
        <w:rPr>
          <w:spacing w:val="7"/>
        </w:rPr>
        <w:t xml:space="preserve"> </w:t>
      </w:r>
      <w:r>
        <w:t>training</w:t>
      </w:r>
      <w:r>
        <w:rPr>
          <w:spacing w:val="4"/>
        </w:rPr>
        <w:t xml:space="preserve"> </w:t>
      </w:r>
      <w:r>
        <w:t>and</w:t>
      </w:r>
      <w:r>
        <w:rPr>
          <w:spacing w:val="6"/>
        </w:rPr>
        <w:t xml:space="preserve"> </w:t>
      </w:r>
      <w:r>
        <w:t>development</w:t>
      </w:r>
      <w:r>
        <w:rPr>
          <w:spacing w:val="6"/>
        </w:rPr>
        <w:t xml:space="preserve"> </w:t>
      </w:r>
      <w:r>
        <w:t>will</w:t>
      </w:r>
      <w:r>
        <w:rPr>
          <w:spacing w:val="7"/>
        </w:rPr>
        <w:t xml:space="preserve"> </w:t>
      </w:r>
      <w:r>
        <w:t>be</w:t>
      </w:r>
      <w:r>
        <w:rPr>
          <w:spacing w:val="53"/>
        </w:rPr>
        <w:t xml:space="preserve"> </w:t>
      </w:r>
      <w:r>
        <w:t xml:space="preserve">provided </w:t>
      </w:r>
      <w:r>
        <w:rPr>
          <w:spacing w:val="2"/>
        </w:rPr>
        <w:t>by</w:t>
      </w:r>
      <w:r>
        <w:rPr>
          <w:spacing w:val="-5"/>
        </w:rPr>
        <w:t xml:space="preserve"> </w:t>
      </w:r>
      <w:r>
        <w:t>on</w:t>
      </w:r>
      <w:r>
        <w:noBreakHyphen/>
        <w:t>the-job experience rather than formal coursework.</w:t>
      </w:r>
      <w:r w:rsidR="00FF2E29">
        <w:rPr>
          <w:rStyle w:val="FootnoteReference"/>
        </w:rPr>
        <w:footnoteReference w:id="120"/>
      </w:r>
    </w:p>
    <w:p w:rsidR="00EA4A0D" w:rsidRPr="00EA4A0D" w:rsidRDefault="00EA4A0D" w:rsidP="00EA4A0D">
      <w:pPr>
        <w:pStyle w:val="Bodytext"/>
        <w:rPr>
          <w:sz w:val="26"/>
          <w:szCs w:val="26"/>
        </w:rPr>
      </w:pPr>
      <w:r>
        <w:t>The Committee asked if there was any</w:t>
      </w:r>
      <w:r w:rsidRPr="00EA4A0D">
        <w:rPr>
          <w:spacing w:val="30"/>
        </w:rPr>
        <w:t xml:space="preserve"> </w:t>
      </w:r>
      <w:r>
        <w:t>checking</w:t>
      </w:r>
      <w:r w:rsidRPr="00EA4A0D">
        <w:rPr>
          <w:spacing w:val="31"/>
        </w:rPr>
        <w:t xml:space="preserve"> </w:t>
      </w:r>
      <w:r w:rsidRPr="00EA4A0D">
        <w:rPr>
          <w:spacing w:val="1"/>
        </w:rPr>
        <w:t>of</w:t>
      </w:r>
      <w:r w:rsidRPr="00EA4A0D">
        <w:rPr>
          <w:spacing w:val="32"/>
        </w:rPr>
        <w:t xml:space="preserve"> </w:t>
      </w:r>
      <w:r>
        <w:t>directorates</w:t>
      </w:r>
      <w:r w:rsidRPr="00FF2E29">
        <w:t xml:space="preserve"> </w:t>
      </w:r>
      <w:r>
        <w:t>to</w:t>
      </w:r>
      <w:r w:rsidRPr="00FF2E29">
        <w:t xml:space="preserve"> </w:t>
      </w:r>
      <w:r>
        <w:t>find</w:t>
      </w:r>
      <w:r w:rsidRPr="00FF2E29">
        <w:t xml:space="preserve"> </w:t>
      </w:r>
      <w:r w:rsidR="00FF2E29" w:rsidRPr="00FF2E29">
        <w:t xml:space="preserve">out if each </w:t>
      </w:r>
      <w:r>
        <w:t>Indigenous</w:t>
      </w:r>
      <w:r w:rsidRPr="00FF2E29">
        <w:t xml:space="preserve"> </w:t>
      </w:r>
      <w:r>
        <w:t>employee has the</w:t>
      </w:r>
      <w:r w:rsidRPr="00FF2E29">
        <w:t xml:space="preserve"> </w:t>
      </w:r>
      <w:r>
        <w:t>required individual learning and</w:t>
      </w:r>
      <w:r w:rsidRPr="00FF2E29">
        <w:t xml:space="preserve"> </w:t>
      </w:r>
      <w:r>
        <w:t>development career plan.  Mr</w:t>
      </w:r>
      <w:r w:rsidR="006A0605">
        <w:t> </w:t>
      </w:r>
      <w:r>
        <w:t xml:space="preserve">Kefford answered: </w:t>
      </w:r>
    </w:p>
    <w:p w:rsidR="00EA4A0D" w:rsidRDefault="00EA4A0D" w:rsidP="00EA4A0D">
      <w:pPr>
        <w:pStyle w:val="Quote"/>
      </w:pPr>
      <w:r>
        <w:t>Not</w:t>
      </w:r>
      <w:r>
        <w:rPr>
          <w:spacing w:val="4"/>
        </w:rPr>
        <w:t xml:space="preserve"> </w:t>
      </w:r>
      <w:r>
        <w:t>specifically</w:t>
      </w:r>
      <w:r>
        <w:rPr>
          <w:spacing w:val="59"/>
        </w:rPr>
        <w:t xml:space="preserve"> </w:t>
      </w:r>
      <w:r>
        <w:t>for</w:t>
      </w:r>
      <w:r>
        <w:rPr>
          <w:spacing w:val="3"/>
        </w:rPr>
        <w:t xml:space="preserve"> </w:t>
      </w:r>
      <w:r>
        <w:t>that</w:t>
      </w:r>
      <w:r>
        <w:rPr>
          <w:spacing w:val="4"/>
        </w:rPr>
        <w:t xml:space="preserve"> </w:t>
      </w:r>
      <w:r>
        <w:t>class</w:t>
      </w:r>
      <w:r>
        <w:rPr>
          <w:spacing w:val="4"/>
        </w:rPr>
        <w:t xml:space="preserve"> </w:t>
      </w:r>
      <w:r>
        <w:t>of</w:t>
      </w:r>
      <w:r>
        <w:rPr>
          <w:spacing w:val="6"/>
        </w:rPr>
        <w:t xml:space="preserve"> </w:t>
      </w:r>
      <w:r>
        <w:t>employees.</w:t>
      </w:r>
      <w:r>
        <w:rPr>
          <w:spacing w:val="4"/>
        </w:rPr>
        <w:t xml:space="preserve"> </w:t>
      </w:r>
      <w:r w:rsidR="001E6EC8">
        <w:rPr>
          <w:spacing w:val="4"/>
        </w:rPr>
        <w:t xml:space="preserve"> </w:t>
      </w:r>
      <w:r>
        <w:t>Although</w:t>
      </w:r>
      <w:r>
        <w:rPr>
          <w:spacing w:val="6"/>
        </w:rPr>
        <w:t xml:space="preserve"> </w:t>
      </w:r>
      <w:r>
        <w:t>one</w:t>
      </w:r>
      <w:r>
        <w:rPr>
          <w:spacing w:val="3"/>
        </w:rPr>
        <w:t xml:space="preserve"> </w:t>
      </w:r>
      <w:r>
        <w:t>of</w:t>
      </w:r>
      <w:r>
        <w:rPr>
          <w:spacing w:val="3"/>
        </w:rPr>
        <w:t xml:space="preserve"> </w:t>
      </w:r>
      <w:r>
        <w:t>the</w:t>
      </w:r>
      <w:r>
        <w:rPr>
          <w:spacing w:val="71"/>
        </w:rPr>
        <w:t xml:space="preserve"> </w:t>
      </w:r>
      <w:r>
        <w:t>significant</w:t>
      </w:r>
      <w:r>
        <w:rPr>
          <w:spacing w:val="16"/>
        </w:rPr>
        <w:t xml:space="preserve"> </w:t>
      </w:r>
      <w:r>
        <w:t>areas</w:t>
      </w:r>
      <w:r>
        <w:rPr>
          <w:spacing w:val="16"/>
        </w:rPr>
        <w:t xml:space="preserve"> </w:t>
      </w:r>
      <w:r>
        <w:t>of</w:t>
      </w:r>
      <w:r>
        <w:rPr>
          <w:spacing w:val="15"/>
        </w:rPr>
        <w:t xml:space="preserve"> </w:t>
      </w:r>
      <w:r>
        <w:t>emphasis</w:t>
      </w:r>
      <w:r>
        <w:rPr>
          <w:spacing w:val="14"/>
        </w:rPr>
        <w:t xml:space="preserve"> </w:t>
      </w:r>
      <w:r>
        <w:t>in</w:t>
      </w:r>
      <w:r>
        <w:rPr>
          <w:spacing w:val="14"/>
        </w:rPr>
        <w:t xml:space="preserve"> </w:t>
      </w:r>
      <w:r>
        <w:t>the</w:t>
      </w:r>
      <w:r>
        <w:rPr>
          <w:spacing w:val="16"/>
        </w:rPr>
        <w:t xml:space="preserve"> </w:t>
      </w:r>
      <w:r>
        <w:t>rollout</w:t>
      </w:r>
      <w:r>
        <w:rPr>
          <w:spacing w:val="14"/>
        </w:rPr>
        <w:t xml:space="preserve"> </w:t>
      </w:r>
      <w:r>
        <w:t>of</w:t>
      </w:r>
      <w:r>
        <w:rPr>
          <w:spacing w:val="13"/>
        </w:rPr>
        <w:t xml:space="preserve"> </w:t>
      </w:r>
      <w:r>
        <w:t>the</w:t>
      </w:r>
      <w:r>
        <w:rPr>
          <w:spacing w:val="13"/>
        </w:rPr>
        <w:t xml:space="preserve"> </w:t>
      </w:r>
      <w:r>
        <w:t>new</w:t>
      </w:r>
      <w:r>
        <w:rPr>
          <w:spacing w:val="15"/>
        </w:rPr>
        <w:t xml:space="preserve"> </w:t>
      </w:r>
      <w:r>
        <w:t>performance</w:t>
      </w:r>
      <w:r>
        <w:rPr>
          <w:spacing w:val="15"/>
        </w:rPr>
        <w:t xml:space="preserve"> </w:t>
      </w:r>
      <w:r>
        <w:t>framework</w:t>
      </w:r>
      <w:r>
        <w:rPr>
          <w:spacing w:val="14"/>
        </w:rPr>
        <w:t xml:space="preserve"> </w:t>
      </w:r>
      <w:r>
        <w:t>is</w:t>
      </w:r>
      <w:r>
        <w:rPr>
          <w:spacing w:val="17"/>
        </w:rPr>
        <w:t xml:space="preserve"> </w:t>
      </w:r>
      <w:r>
        <w:t>the</w:t>
      </w:r>
      <w:r>
        <w:rPr>
          <w:spacing w:val="69"/>
        </w:rPr>
        <w:t xml:space="preserve"> </w:t>
      </w:r>
      <w:r>
        <w:t>expectation</w:t>
      </w:r>
      <w:r>
        <w:rPr>
          <w:spacing w:val="29"/>
        </w:rPr>
        <w:t xml:space="preserve"> </w:t>
      </w:r>
      <w:r>
        <w:t>from</w:t>
      </w:r>
      <w:r>
        <w:rPr>
          <w:spacing w:val="29"/>
        </w:rPr>
        <w:t xml:space="preserve"> </w:t>
      </w:r>
      <w:r>
        <w:t>the</w:t>
      </w:r>
      <w:r>
        <w:rPr>
          <w:spacing w:val="28"/>
        </w:rPr>
        <w:t xml:space="preserve"> </w:t>
      </w:r>
      <w:r>
        <w:t>Head</w:t>
      </w:r>
      <w:r>
        <w:rPr>
          <w:spacing w:val="28"/>
        </w:rPr>
        <w:t xml:space="preserve"> </w:t>
      </w:r>
      <w:r>
        <w:t>of</w:t>
      </w:r>
      <w:r>
        <w:rPr>
          <w:spacing w:val="27"/>
        </w:rPr>
        <w:t xml:space="preserve"> </w:t>
      </w:r>
      <w:r>
        <w:t>Service</w:t>
      </w:r>
      <w:r>
        <w:rPr>
          <w:spacing w:val="27"/>
        </w:rPr>
        <w:t xml:space="preserve"> </w:t>
      </w:r>
      <w:r>
        <w:t>and</w:t>
      </w:r>
      <w:r>
        <w:rPr>
          <w:spacing w:val="28"/>
        </w:rPr>
        <w:t xml:space="preserve"> </w:t>
      </w:r>
      <w:r>
        <w:t>the</w:t>
      </w:r>
      <w:r>
        <w:rPr>
          <w:spacing w:val="27"/>
        </w:rPr>
        <w:t xml:space="preserve"> </w:t>
      </w:r>
      <w:r>
        <w:t>strategic</w:t>
      </w:r>
      <w:r>
        <w:rPr>
          <w:spacing w:val="28"/>
        </w:rPr>
        <w:t xml:space="preserve"> </w:t>
      </w:r>
      <w:r>
        <w:t>board</w:t>
      </w:r>
      <w:r>
        <w:rPr>
          <w:spacing w:val="27"/>
        </w:rPr>
        <w:t xml:space="preserve"> </w:t>
      </w:r>
      <w:r>
        <w:t>that</w:t>
      </w:r>
      <w:r>
        <w:rPr>
          <w:spacing w:val="28"/>
        </w:rPr>
        <w:t xml:space="preserve"> </w:t>
      </w:r>
      <w:r>
        <w:t>it</w:t>
      </w:r>
      <w:r>
        <w:rPr>
          <w:spacing w:val="29"/>
        </w:rPr>
        <w:t xml:space="preserve"> </w:t>
      </w:r>
      <w:r>
        <w:t>will</w:t>
      </w:r>
      <w:r>
        <w:rPr>
          <w:spacing w:val="29"/>
        </w:rPr>
        <w:t xml:space="preserve"> </w:t>
      </w:r>
      <w:r>
        <w:t>be</w:t>
      </w:r>
      <w:r>
        <w:rPr>
          <w:spacing w:val="61"/>
        </w:rPr>
        <w:t xml:space="preserve"> </w:t>
      </w:r>
      <w:r>
        <w:t>administered</w:t>
      </w:r>
      <w:r>
        <w:rPr>
          <w:spacing w:val="21"/>
        </w:rPr>
        <w:t xml:space="preserve"> </w:t>
      </w:r>
      <w:r>
        <w:t>for</w:t>
      </w:r>
      <w:r>
        <w:rPr>
          <w:spacing w:val="22"/>
        </w:rPr>
        <w:t xml:space="preserve"> </w:t>
      </w:r>
      <w:r>
        <w:t>every</w:t>
      </w:r>
      <w:r>
        <w:rPr>
          <w:spacing w:val="18"/>
        </w:rPr>
        <w:t xml:space="preserve"> </w:t>
      </w:r>
      <w:r>
        <w:t>employee.</w:t>
      </w:r>
      <w:r>
        <w:rPr>
          <w:spacing w:val="23"/>
        </w:rPr>
        <w:t xml:space="preserve"> </w:t>
      </w:r>
      <w:r w:rsidR="001E6EC8">
        <w:rPr>
          <w:spacing w:val="23"/>
        </w:rPr>
        <w:t xml:space="preserve"> </w:t>
      </w:r>
      <w:r>
        <w:t>As</w:t>
      </w:r>
      <w:r>
        <w:rPr>
          <w:spacing w:val="23"/>
        </w:rPr>
        <w:t xml:space="preserve"> </w:t>
      </w:r>
      <w:r>
        <w:t>I</w:t>
      </w:r>
      <w:r>
        <w:rPr>
          <w:spacing w:val="18"/>
        </w:rPr>
        <w:t xml:space="preserve"> </w:t>
      </w:r>
      <w:r>
        <w:t>say,</w:t>
      </w:r>
      <w:r>
        <w:rPr>
          <w:spacing w:val="21"/>
        </w:rPr>
        <w:t xml:space="preserve"> </w:t>
      </w:r>
      <w:r>
        <w:t>that</w:t>
      </w:r>
      <w:r>
        <w:rPr>
          <w:spacing w:val="23"/>
        </w:rPr>
        <w:t xml:space="preserve"> </w:t>
      </w:r>
      <w:r>
        <w:t>framework</w:t>
      </w:r>
      <w:r>
        <w:rPr>
          <w:spacing w:val="20"/>
        </w:rPr>
        <w:t xml:space="preserve"> </w:t>
      </w:r>
      <w:r>
        <w:t>was</w:t>
      </w:r>
      <w:r>
        <w:rPr>
          <w:spacing w:val="21"/>
        </w:rPr>
        <w:t xml:space="preserve"> </w:t>
      </w:r>
      <w:r>
        <w:t>launched</w:t>
      </w:r>
      <w:r>
        <w:rPr>
          <w:spacing w:val="23"/>
        </w:rPr>
        <w:t xml:space="preserve"> </w:t>
      </w:r>
      <w:r>
        <w:t>in</w:t>
      </w:r>
      <w:r w:rsidRPr="00FF2E29">
        <w:t xml:space="preserve"> July </w:t>
      </w:r>
      <w:r w:rsidR="001E6EC8" w:rsidRPr="00FF2E29">
        <w:t xml:space="preserve">[2013] </w:t>
      </w:r>
      <w:r w:rsidRPr="00FF2E29">
        <w:t xml:space="preserve">by </w:t>
      </w:r>
      <w:r>
        <w:t>the</w:t>
      </w:r>
      <w:r w:rsidRPr="00FF2E29">
        <w:t xml:space="preserve"> </w:t>
      </w:r>
      <w:r>
        <w:t>Head</w:t>
      </w:r>
      <w:r w:rsidRPr="00FF2E29">
        <w:t xml:space="preserve"> </w:t>
      </w:r>
      <w:r>
        <w:t>of</w:t>
      </w:r>
      <w:r>
        <w:rPr>
          <w:spacing w:val="20"/>
        </w:rPr>
        <w:t xml:space="preserve"> </w:t>
      </w:r>
      <w:r>
        <w:t>Service,</w:t>
      </w:r>
      <w:r>
        <w:rPr>
          <w:spacing w:val="23"/>
        </w:rPr>
        <w:t xml:space="preserve"> </w:t>
      </w:r>
      <w:r>
        <w:t>and</w:t>
      </w:r>
      <w:r>
        <w:rPr>
          <w:spacing w:val="23"/>
        </w:rPr>
        <w:t xml:space="preserve"> </w:t>
      </w:r>
      <w:r>
        <w:t>there</w:t>
      </w:r>
      <w:r>
        <w:rPr>
          <w:spacing w:val="22"/>
        </w:rPr>
        <w:t xml:space="preserve"> </w:t>
      </w:r>
      <w:r>
        <w:t>will</w:t>
      </w:r>
      <w:r>
        <w:rPr>
          <w:spacing w:val="22"/>
        </w:rPr>
        <w:t xml:space="preserve"> </w:t>
      </w:r>
      <w:r>
        <w:t>be</w:t>
      </w:r>
      <w:r>
        <w:rPr>
          <w:spacing w:val="20"/>
        </w:rPr>
        <w:t xml:space="preserve"> </w:t>
      </w:r>
      <w:r>
        <w:t>reporting</w:t>
      </w:r>
      <w:r>
        <w:rPr>
          <w:spacing w:val="21"/>
        </w:rPr>
        <w:t xml:space="preserve"> </w:t>
      </w:r>
      <w:r>
        <w:t>to</w:t>
      </w:r>
      <w:r>
        <w:rPr>
          <w:spacing w:val="21"/>
        </w:rPr>
        <w:t xml:space="preserve"> </w:t>
      </w:r>
      <w:r>
        <w:t>us</w:t>
      </w:r>
      <w:r>
        <w:rPr>
          <w:spacing w:val="21"/>
        </w:rPr>
        <w:t xml:space="preserve"> </w:t>
      </w:r>
      <w:r>
        <w:t>as</w:t>
      </w:r>
      <w:r>
        <w:rPr>
          <w:spacing w:val="21"/>
        </w:rPr>
        <w:t xml:space="preserve"> </w:t>
      </w:r>
      <w:r>
        <w:t>part</w:t>
      </w:r>
      <w:r>
        <w:rPr>
          <w:spacing w:val="21"/>
        </w:rPr>
        <w:t xml:space="preserve"> </w:t>
      </w:r>
      <w:r>
        <w:t>of</w:t>
      </w:r>
      <w:r>
        <w:rPr>
          <w:spacing w:val="20"/>
        </w:rPr>
        <w:t xml:space="preserve"> </w:t>
      </w:r>
      <w:r>
        <w:t>that.</w:t>
      </w:r>
      <w:r>
        <w:rPr>
          <w:spacing w:val="21"/>
        </w:rPr>
        <w:t xml:space="preserve"> </w:t>
      </w:r>
      <w:r w:rsidR="001E6EC8">
        <w:rPr>
          <w:spacing w:val="21"/>
        </w:rPr>
        <w:t xml:space="preserve"> </w:t>
      </w:r>
      <w:r>
        <w:t>There</w:t>
      </w:r>
      <w:r>
        <w:rPr>
          <w:spacing w:val="19"/>
        </w:rPr>
        <w:t xml:space="preserve"> </w:t>
      </w:r>
      <w:r>
        <w:t>are</w:t>
      </w:r>
      <w:r>
        <w:rPr>
          <w:spacing w:val="22"/>
        </w:rPr>
        <w:t xml:space="preserve"> </w:t>
      </w:r>
      <w:r>
        <w:rPr>
          <w:spacing w:val="1"/>
        </w:rPr>
        <w:t>also</w:t>
      </w:r>
      <w:r>
        <w:rPr>
          <w:spacing w:val="41"/>
        </w:rPr>
        <w:t xml:space="preserve"> </w:t>
      </w:r>
      <w:r>
        <w:t>reporting</w:t>
      </w:r>
      <w:r>
        <w:rPr>
          <w:spacing w:val="18"/>
        </w:rPr>
        <w:t xml:space="preserve"> </w:t>
      </w:r>
      <w:r>
        <w:t>expectations</w:t>
      </w:r>
      <w:r>
        <w:rPr>
          <w:spacing w:val="21"/>
        </w:rPr>
        <w:t xml:space="preserve"> </w:t>
      </w:r>
      <w:r>
        <w:t>under</w:t>
      </w:r>
      <w:r>
        <w:rPr>
          <w:spacing w:val="20"/>
        </w:rPr>
        <w:t xml:space="preserve"> </w:t>
      </w:r>
      <w:r>
        <w:t>the</w:t>
      </w:r>
      <w:r>
        <w:rPr>
          <w:spacing w:val="20"/>
        </w:rPr>
        <w:t xml:space="preserve"> </w:t>
      </w:r>
      <w:r>
        <w:t>RED</w:t>
      </w:r>
      <w:r>
        <w:rPr>
          <w:spacing w:val="20"/>
        </w:rPr>
        <w:t xml:space="preserve"> </w:t>
      </w:r>
      <w:r>
        <w:t>framework</w:t>
      </w:r>
      <w:r>
        <w:rPr>
          <w:spacing w:val="21"/>
        </w:rPr>
        <w:t xml:space="preserve"> </w:t>
      </w:r>
      <w:r>
        <w:t>of</w:t>
      </w:r>
      <w:r>
        <w:rPr>
          <w:spacing w:val="20"/>
        </w:rPr>
        <w:t xml:space="preserve"> </w:t>
      </w:r>
      <w:r>
        <w:t>directorates</w:t>
      </w:r>
      <w:r>
        <w:rPr>
          <w:spacing w:val="21"/>
        </w:rPr>
        <w:t xml:space="preserve"> </w:t>
      </w:r>
      <w:r>
        <w:t>providing</w:t>
      </w:r>
      <w:r>
        <w:rPr>
          <w:spacing w:val="79"/>
        </w:rPr>
        <w:t xml:space="preserve"> </w:t>
      </w:r>
      <w:r>
        <w:t>information</w:t>
      </w:r>
      <w:r>
        <w:rPr>
          <w:spacing w:val="24"/>
        </w:rPr>
        <w:t xml:space="preserve"> </w:t>
      </w:r>
      <w:r>
        <w:t>about</w:t>
      </w:r>
      <w:r>
        <w:rPr>
          <w:spacing w:val="24"/>
        </w:rPr>
        <w:t xml:space="preserve"> </w:t>
      </w:r>
      <w:r>
        <w:t>the</w:t>
      </w:r>
      <w:r>
        <w:rPr>
          <w:spacing w:val="23"/>
        </w:rPr>
        <w:t xml:space="preserve"> </w:t>
      </w:r>
      <w:r>
        <w:t>learning</w:t>
      </w:r>
      <w:r>
        <w:rPr>
          <w:spacing w:val="23"/>
        </w:rPr>
        <w:t xml:space="preserve"> </w:t>
      </w:r>
      <w:r>
        <w:t>and</w:t>
      </w:r>
      <w:r>
        <w:rPr>
          <w:spacing w:val="23"/>
        </w:rPr>
        <w:t xml:space="preserve"> </w:t>
      </w:r>
      <w:r>
        <w:t>development</w:t>
      </w:r>
      <w:r>
        <w:rPr>
          <w:spacing w:val="26"/>
        </w:rPr>
        <w:t xml:space="preserve"> </w:t>
      </w:r>
      <w:r>
        <w:t>needs</w:t>
      </w:r>
      <w:r>
        <w:rPr>
          <w:spacing w:val="24"/>
        </w:rPr>
        <w:t xml:space="preserve"> </w:t>
      </w:r>
      <w:r>
        <w:t>and</w:t>
      </w:r>
      <w:r>
        <w:rPr>
          <w:spacing w:val="23"/>
        </w:rPr>
        <w:t xml:space="preserve"> </w:t>
      </w:r>
      <w:r>
        <w:t>responses</w:t>
      </w:r>
      <w:r>
        <w:rPr>
          <w:spacing w:val="24"/>
        </w:rPr>
        <w:t xml:space="preserve"> </w:t>
      </w:r>
      <w:r>
        <w:t>for</w:t>
      </w:r>
      <w:r>
        <w:rPr>
          <w:spacing w:val="24"/>
        </w:rPr>
        <w:t xml:space="preserve"> </w:t>
      </w:r>
      <w:r>
        <w:t>Aboriginal</w:t>
      </w:r>
      <w:r w:rsidR="00FF2E29">
        <w:t xml:space="preserve"> </w:t>
      </w:r>
      <w:r>
        <w:t>and Torres Strait</w:t>
      </w:r>
      <w:r>
        <w:rPr>
          <w:spacing w:val="2"/>
        </w:rPr>
        <w:t xml:space="preserve"> </w:t>
      </w:r>
      <w:r>
        <w:t>Islander</w:t>
      </w:r>
      <w:r>
        <w:rPr>
          <w:spacing w:val="1"/>
        </w:rPr>
        <w:t xml:space="preserve"> </w:t>
      </w:r>
      <w:r>
        <w:t>staff.</w:t>
      </w:r>
      <w:r w:rsidR="004E6B3A">
        <w:rPr>
          <w:rStyle w:val="FootnoteReference"/>
        </w:rPr>
        <w:footnoteReference w:id="121"/>
      </w:r>
    </w:p>
    <w:p w:rsidR="001E6EC8" w:rsidRDefault="001E6EC8" w:rsidP="007235EF">
      <w:pPr>
        <w:pStyle w:val="Bodytext"/>
      </w:pPr>
      <w:r>
        <w:t xml:space="preserve">The Committee asked why </w:t>
      </w:r>
      <w:r w:rsidR="006A0605">
        <w:t xml:space="preserve">it </w:t>
      </w:r>
      <w:r>
        <w:t xml:space="preserve">was that the careers of Indigenous employees seemed to plateau in the middle ranks of the ACTPS.  Mr Kefford answered: </w:t>
      </w:r>
    </w:p>
    <w:p w:rsidR="001E6EC8" w:rsidRDefault="001E6EC8" w:rsidP="001E6EC8">
      <w:pPr>
        <w:pStyle w:val="Quote"/>
      </w:pPr>
      <w:r>
        <w:t>I</w:t>
      </w:r>
      <w:r>
        <w:rPr>
          <w:spacing w:val="30"/>
        </w:rPr>
        <w:t xml:space="preserve"> </w:t>
      </w:r>
      <w:r>
        <w:rPr>
          <w:spacing w:val="-1"/>
        </w:rPr>
        <w:t>am</w:t>
      </w:r>
      <w:r>
        <w:rPr>
          <w:spacing w:val="36"/>
        </w:rPr>
        <w:t xml:space="preserve"> </w:t>
      </w:r>
      <w:r>
        <w:t>not</w:t>
      </w:r>
      <w:r>
        <w:rPr>
          <w:spacing w:val="38"/>
        </w:rPr>
        <w:t xml:space="preserve"> </w:t>
      </w:r>
      <w:r>
        <w:t>sure</w:t>
      </w:r>
      <w:r>
        <w:rPr>
          <w:spacing w:val="34"/>
        </w:rPr>
        <w:t xml:space="preserve"> </w:t>
      </w:r>
      <w:r>
        <w:rPr>
          <w:spacing w:val="-1"/>
        </w:rPr>
        <w:t>there</w:t>
      </w:r>
      <w:r>
        <w:rPr>
          <w:spacing w:val="34"/>
        </w:rPr>
        <w:t xml:space="preserve"> </w:t>
      </w:r>
      <w:r>
        <w:t>is</w:t>
      </w:r>
      <w:r>
        <w:rPr>
          <w:spacing w:val="36"/>
        </w:rPr>
        <w:t xml:space="preserve"> </w:t>
      </w:r>
      <w:r>
        <w:rPr>
          <w:spacing w:val="-1"/>
        </w:rPr>
        <w:t>an</w:t>
      </w:r>
      <w:r>
        <w:rPr>
          <w:spacing w:val="38"/>
        </w:rPr>
        <w:t xml:space="preserve"> </w:t>
      </w:r>
      <w:r>
        <w:t>easy</w:t>
      </w:r>
      <w:r>
        <w:rPr>
          <w:spacing w:val="30"/>
        </w:rPr>
        <w:t xml:space="preserve"> </w:t>
      </w:r>
      <w:r>
        <w:rPr>
          <w:spacing w:val="-1"/>
        </w:rPr>
        <w:t>answer</w:t>
      </w:r>
      <w:r>
        <w:rPr>
          <w:spacing w:val="35"/>
        </w:rPr>
        <w:t xml:space="preserve"> </w:t>
      </w:r>
      <w:r>
        <w:t>to</w:t>
      </w:r>
      <w:r>
        <w:rPr>
          <w:spacing w:val="36"/>
        </w:rPr>
        <w:t xml:space="preserve"> </w:t>
      </w:r>
      <w:r>
        <w:t>that.</w:t>
      </w:r>
      <w:r>
        <w:rPr>
          <w:spacing w:val="38"/>
        </w:rPr>
        <w:t xml:space="preserve"> </w:t>
      </w:r>
      <w:r>
        <w:rPr>
          <w:spacing w:val="-2"/>
        </w:rPr>
        <w:t>In</w:t>
      </w:r>
      <w:r>
        <w:rPr>
          <w:spacing w:val="38"/>
        </w:rPr>
        <w:t xml:space="preserve"> </w:t>
      </w:r>
      <w:r>
        <w:rPr>
          <w:spacing w:val="-1"/>
        </w:rPr>
        <w:t>general,</w:t>
      </w:r>
      <w:r>
        <w:rPr>
          <w:spacing w:val="38"/>
        </w:rPr>
        <w:t xml:space="preserve"> </w:t>
      </w:r>
      <w:r>
        <w:t>one</w:t>
      </w:r>
      <w:r>
        <w:rPr>
          <w:spacing w:val="34"/>
        </w:rPr>
        <w:t xml:space="preserve"> </w:t>
      </w:r>
      <w:r>
        <w:t>of</w:t>
      </w:r>
      <w:r>
        <w:rPr>
          <w:spacing w:val="35"/>
        </w:rPr>
        <w:t xml:space="preserve"> </w:t>
      </w:r>
      <w:r>
        <w:t>the</w:t>
      </w:r>
      <w:r>
        <w:rPr>
          <w:spacing w:val="47"/>
        </w:rPr>
        <w:t xml:space="preserve"> </w:t>
      </w:r>
      <w:r>
        <w:rPr>
          <w:spacing w:val="-1"/>
        </w:rPr>
        <w:t>issues</w:t>
      </w:r>
      <w:r>
        <w:rPr>
          <w:spacing w:val="7"/>
        </w:rPr>
        <w:t xml:space="preserve"> </w:t>
      </w:r>
      <w:r>
        <w:t>we</w:t>
      </w:r>
      <w:r>
        <w:rPr>
          <w:spacing w:val="7"/>
        </w:rPr>
        <w:t xml:space="preserve"> </w:t>
      </w:r>
      <w:r>
        <w:rPr>
          <w:spacing w:val="-1"/>
        </w:rPr>
        <w:t>are</w:t>
      </w:r>
      <w:r>
        <w:rPr>
          <w:spacing w:val="7"/>
        </w:rPr>
        <w:t xml:space="preserve"> </w:t>
      </w:r>
      <w:r>
        <w:t>seeking</w:t>
      </w:r>
      <w:r>
        <w:rPr>
          <w:spacing w:val="7"/>
        </w:rPr>
        <w:t xml:space="preserve"> </w:t>
      </w:r>
      <w:r>
        <w:t>to</w:t>
      </w:r>
      <w:r>
        <w:rPr>
          <w:spacing w:val="9"/>
        </w:rPr>
        <w:t xml:space="preserve"> </w:t>
      </w:r>
      <w:r>
        <w:rPr>
          <w:spacing w:val="-1"/>
        </w:rPr>
        <w:t>engage</w:t>
      </w:r>
      <w:r>
        <w:rPr>
          <w:spacing w:val="8"/>
        </w:rPr>
        <w:t xml:space="preserve"> </w:t>
      </w:r>
      <w:r>
        <w:rPr>
          <w:spacing w:val="-1"/>
        </w:rPr>
        <w:t>right</w:t>
      </w:r>
      <w:r>
        <w:rPr>
          <w:spacing w:val="7"/>
        </w:rPr>
        <w:t xml:space="preserve"> </w:t>
      </w:r>
      <w:r>
        <w:t>across</w:t>
      </w:r>
      <w:r>
        <w:rPr>
          <w:spacing w:val="6"/>
        </w:rPr>
        <w:t xml:space="preserve"> </w:t>
      </w:r>
      <w:r>
        <w:t>the</w:t>
      </w:r>
      <w:r>
        <w:rPr>
          <w:spacing w:val="8"/>
        </w:rPr>
        <w:t xml:space="preserve"> </w:t>
      </w:r>
      <w:r>
        <w:rPr>
          <w:spacing w:val="-1"/>
        </w:rPr>
        <w:t>service</w:t>
      </w:r>
      <w:r>
        <w:rPr>
          <w:spacing w:val="8"/>
        </w:rPr>
        <w:t xml:space="preserve"> </w:t>
      </w:r>
      <w:r>
        <w:t>is</w:t>
      </w:r>
      <w:r>
        <w:rPr>
          <w:spacing w:val="7"/>
        </w:rPr>
        <w:t xml:space="preserve"> </w:t>
      </w:r>
      <w:r>
        <w:t>a</w:t>
      </w:r>
      <w:r>
        <w:rPr>
          <w:spacing w:val="8"/>
        </w:rPr>
        <w:t xml:space="preserve"> </w:t>
      </w:r>
      <w:r>
        <w:rPr>
          <w:spacing w:val="-1"/>
        </w:rPr>
        <w:t>better</w:t>
      </w:r>
      <w:r>
        <w:rPr>
          <w:spacing w:val="8"/>
        </w:rPr>
        <w:t xml:space="preserve"> </w:t>
      </w:r>
      <w:r>
        <w:rPr>
          <w:spacing w:val="-1"/>
        </w:rPr>
        <w:t>sense</w:t>
      </w:r>
      <w:r>
        <w:rPr>
          <w:spacing w:val="8"/>
        </w:rPr>
        <w:t xml:space="preserve"> </w:t>
      </w:r>
      <w:r>
        <w:rPr>
          <w:spacing w:val="1"/>
        </w:rPr>
        <w:t>of</w:t>
      </w:r>
      <w:r>
        <w:rPr>
          <w:spacing w:val="6"/>
        </w:rPr>
        <w:t xml:space="preserve"> </w:t>
      </w:r>
      <w:r>
        <w:rPr>
          <w:spacing w:val="-1"/>
        </w:rPr>
        <w:t>workforce</w:t>
      </w:r>
      <w:r>
        <w:rPr>
          <w:spacing w:val="71"/>
        </w:rPr>
        <w:t xml:space="preserve"> </w:t>
      </w:r>
      <w:r>
        <w:rPr>
          <w:spacing w:val="-1"/>
        </w:rPr>
        <w:t>planning,</w:t>
      </w:r>
      <w:r>
        <w:rPr>
          <w:spacing w:val="2"/>
        </w:rPr>
        <w:t xml:space="preserve"> </w:t>
      </w:r>
      <w:r>
        <w:rPr>
          <w:spacing w:val="-1"/>
        </w:rPr>
        <w:t>career</w:t>
      </w:r>
      <w:r>
        <w:rPr>
          <w:spacing w:val="1"/>
        </w:rPr>
        <w:t xml:space="preserve"> </w:t>
      </w:r>
      <w:r>
        <w:t>progression</w:t>
      </w:r>
      <w:r>
        <w:rPr>
          <w:spacing w:val="2"/>
        </w:rPr>
        <w:t xml:space="preserve"> </w:t>
      </w:r>
      <w:r>
        <w:rPr>
          <w:spacing w:val="-1"/>
        </w:rPr>
        <w:t>and</w:t>
      </w:r>
      <w:r>
        <w:rPr>
          <w:spacing w:val="2"/>
        </w:rPr>
        <w:t xml:space="preserve"> </w:t>
      </w:r>
      <w:r>
        <w:rPr>
          <w:spacing w:val="-1"/>
        </w:rPr>
        <w:t>succession</w:t>
      </w:r>
      <w:r>
        <w:rPr>
          <w:spacing w:val="2"/>
        </w:rPr>
        <w:t xml:space="preserve"> </w:t>
      </w:r>
      <w:r>
        <w:rPr>
          <w:spacing w:val="-1"/>
        </w:rPr>
        <w:t>planning.</w:t>
      </w:r>
      <w:r>
        <w:rPr>
          <w:spacing w:val="4"/>
        </w:rPr>
        <w:t xml:space="preserve"> </w:t>
      </w:r>
      <w:r>
        <w:rPr>
          <w:spacing w:val="-2"/>
        </w:rPr>
        <w:t>It</w:t>
      </w:r>
      <w:r>
        <w:rPr>
          <w:spacing w:val="2"/>
        </w:rPr>
        <w:t xml:space="preserve"> </w:t>
      </w:r>
      <w:r>
        <w:t>is</w:t>
      </w:r>
      <w:r>
        <w:rPr>
          <w:spacing w:val="2"/>
        </w:rPr>
        <w:t xml:space="preserve"> </w:t>
      </w:r>
      <w:r>
        <w:rPr>
          <w:spacing w:val="-1"/>
        </w:rPr>
        <w:t>an</w:t>
      </w:r>
      <w:r>
        <w:rPr>
          <w:spacing w:val="4"/>
        </w:rPr>
        <w:t xml:space="preserve"> </w:t>
      </w:r>
      <w:r>
        <w:rPr>
          <w:spacing w:val="-1"/>
        </w:rPr>
        <w:t>area</w:t>
      </w:r>
      <w:r>
        <w:rPr>
          <w:spacing w:val="1"/>
        </w:rPr>
        <w:t xml:space="preserve"> </w:t>
      </w:r>
      <w:r>
        <w:t>in</w:t>
      </w:r>
      <w:r>
        <w:rPr>
          <w:spacing w:val="2"/>
        </w:rPr>
        <w:t xml:space="preserve"> </w:t>
      </w:r>
      <w:r>
        <w:rPr>
          <w:spacing w:val="-1"/>
        </w:rPr>
        <w:t>which</w:t>
      </w:r>
      <w:r>
        <w:rPr>
          <w:spacing w:val="6"/>
        </w:rPr>
        <w:t xml:space="preserve"> </w:t>
      </w:r>
      <w:r>
        <w:t>I</w:t>
      </w:r>
      <w:r>
        <w:rPr>
          <w:spacing w:val="-4"/>
        </w:rPr>
        <w:t xml:space="preserve"> </w:t>
      </w:r>
      <w:r>
        <w:t>think</w:t>
      </w:r>
      <w:r>
        <w:rPr>
          <w:spacing w:val="2"/>
        </w:rPr>
        <w:t xml:space="preserve"> </w:t>
      </w:r>
      <w:r>
        <w:t>we</w:t>
      </w:r>
      <w:r>
        <w:rPr>
          <w:spacing w:val="73"/>
        </w:rPr>
        <w:t xml:space="preserve"> </w:t>
      </w:r>
      <w:r>
        <w:t xml:space="preserve">will do </w:t>
      </w:r>
      <w:r>
        <w:rPr>
          <w:spacing w:val="-1"/>
        </w:rPr>
        <w:t>better</w:t>
      </w:r>
      <w:r>
        <w:t xml:space="preserve"> </w:t>
      </w:r>
      <w:r>
        <w:rPr>
          <w:spacing w:val="-1"/>
        </w:rPr>
        <w:t>with</w:t>
      </w:r>
      <w:r>
        <w:t xml:space="preserve"> the </w:t>
      </w:r>
      <w:r>
        <w:rPr>
          <w:spacing w:val="-1"/>
        </w:rPr>
        <w:t>sort</w:t>
      </w:r>
      <w:r>
        <w:t xml:space="preserve"> of </w:t>
      </w:r>
      <w:r>
        <w:rPr>
          <w:spacing w:val="-1"/>
        </w:rPr>
        <w:t>data</w:t>
      </w:r>
      <w:r>
        <w:t xml:space="preserve"> we</w:t>
      </w:r>
      <w:r>
        <w:rPr>
          <w:spacing w:val="-1"/>
        </w:rPr>
        <w:t xml:space="preserve"> </w:t>
      </w:r>
      <w:r>
        <w:t>are</w:t>
      </w:r>
      <w:r>
        <w:rPr>
          <w:spacing w:val="1"/>
        </w:rPr>
        <w:t xml:space="preserve"> </w:t>
      </w:r>
      <w:r>
        <w:rPr>
          <w:spacing w:val="-1"/>
        </w:rPr>
        <w:t>going</w:t>
      </w:r>
      <w:r>
        <w:rPr>
          <w:spacing w:val="-3"/>
        </w:rPr>
        <w:t xml:space="preserve"> </w:t>
      </w:r>
      <w:r>
        <w:t xml:space="preserve">to </w:t>
      </w:r>
      <w:r>
        <w:rPr>
          <w:spacing w:val="-1"/>
        </w:rPr>
        <w:t>get</w:t>
      </w:r>
      <w:r>
        <w:t xml:space="preserve"> out of the</w:t>
      </w:r>
      <w:r>
        <w:rPr>
          <w:spacing w:val="-1"/>
        </w:rPr>
        <w:t xml:space="preserve"> </w:t>
      </w:r>
      <w:r>
        <w:t>survey</w:t>
      </w:r>
      <w:r>
        <w:rPr>
          <w:spacing w:val="-3"/>
        </w:rPr>
        <w:t xml:space="preserve"> </w:t>
      </w:r>
      <w:r>
        <w:t>when we</w:t>
      </w:r>
      <w:r>
        <w:rPr>
          <w:spacing w:val="-2"/>
        </w:rPr>
        <w:t xml:space="preserve"> </w:t>
      </w:r>
      <w:r>
        <w:t>do it.</w:t>
      </w:r>
      <w:r>
        <w:rPr>
          <w:spacing w:val="41"/>
        </w:rPr>
        <w:t xml:space="preserve"> </w:t>
      </w:r>
      <w:r>
        <w:rPr>
          <w:rFonts w:ascii="Times New Roman" w:hAnsi="Times New Roman" w:cs="Times New Roman"/>
        </w:rPr>
        <w:t>I</w:t>
      </w:r>
      <w:r>
        <w:rPr>
          <w:rFonts w:ascii="Times New Roman" w:hAnsi="Times New Roman" w:cs="Times New Roman"/>
          <w:spacing w:val="11"/>
        </w:rPr>
        <w:t xml:space="preserve"> </w:t>
      </w:r>
      <w:r>
        <w:rPr>
          <w:rFonts w:ascii="Times New Roman" w:hAnsi="Times New Roman" w:cs="Times New Roman"/>
          <w:spacing w:val="-1"/>
        </w:rPr>
        <w:t>could</w:t>
      </w:r>
      <w:r>
        <w:rPr>
          <w:rFonts w:ascii="Times New Roman" w:hAnsi="Times New Roman" w:cs="Times New Roman"/>
          <w:spacing w:val="14"/>
        </w:rPr>
        <w:t xml:space="preserve"> </w:t>
      </w:r>
      <w:r>
        <w:rPr>
          <w:rFonts w:ascii="Times New Roman" w:hAnsi="Times New Roman" w:cs="Times New Roman"/>
          <w:spacing w:val="-1"/>
        </w:rPr>
        <w:t>relate</w:t>
      </w:r>
      <w:r>
        <w:rPr>
          <w:rFonts w:ascii="Times New Roman" w:hAnsi="Times New Roman" w:cs="Times New Roman"/>
          <w:spacing w:val="13"/>
        </w:rPr>
        <w:t xml:space="preserve"> </w:t>
      </w:r>
      <w:r>
        <w:rPr>
          <w:rFonts w:ascii="Times New Roman" w:hAnsi="Times New Roman" w:cs="Times New Roman"/>
        </w:rPr>
        <w:t>a</w:t>
      </w:r>
      <w:r>
        <w:rPr>
          <w:rFonts w:ascii="Times New Roman" w:hAnsi="Times New Roman" w:cs="Times New Roman"/>
          <w:spacing w:val="13"/>
        </w:rPr>
        <w:t xml:space="preserve"> </w:t>
      </w:r>
      <w:r>
        <w:rPr>
          <w:rFonts w:ascii="Times New Roman" w:hAnsi="Times New Roman" w:cs="Times New Roman"/>
          <w:spacing w:val="-1"/>
        </w:rPr>
        <w:t>series</w:t>
      </w:r>
      <w:r>
        <w:rPr>
          <w:rFonts w:ascii="Times New Roman" w:hAnsi="Times New Roman" w:cs="Times New Roman"/>
          <w:spacing w:val="14"/>
        </w:rPr>
        <w:t xml:space="preserve"> </w:t>
      </w:r>
      <w:r>
        <w:rPr>
          <w:rFonts w:ascii="Times New Roman" w:hAnsi="Times New Roman" w:cs="Times New Roman"/>
        </w:rPr>
        <w:t>of</w:t>
      </w:r>
      <w:r>
        <w:rPr>
          <w:rFonts w:ascii="Times New Roman" w:hAnsi="Times New Roman" w:cs="Times New Roman"/>
          <w:spacing w:val="15"/>
        </w:rPr>
        <w:t xml:space="preserve"> </w:t>
      </w:r>
      <w:r>
        <w:rPr>
          <w:rFonts w:ascii="Times New Roman" w:hAnsi="Times New Roman" w:cs="Times New Roman"/>
          <w:spacing w:val="-1"/>
        </w:rPr>
        <w:t>anecdotes</w:t>
      </w:r>
      <w:r>
        <w:rPr>
          <w:rFonts w:ascii="Times New Roman" w:hAnsi="Times New Roman" w:cs="Times New Roman"/>
          <w:spacing w:val="13"/>
        </w:rPr>
        <w:t xml:space="preserve"> </w:t>
      </w:r>
      <w:r>
        <w:rPr>
          <w:rFonts w:ascii="Times New Roman" w:hAnsi="Times New Roman" w:cs="Times New Roman"/>
        </w:rPr>
        <w:t>from</w:t>
      </w:r>
      <w:r>
        <w:rPr>
          <w:rFonts w:ascii="Times New Roman" w:hAnsi="Times New Roman" w:cs="Times New Roman"/>
          <w:spacing w:val="13"/>
        </w:rPr>
        <w:t xml:space="preserve"> </w:t>
      </w:r>
      <w:r>
        <w:rPr>
          <w:rFonts w:ascii="Times New Roman" w:hAnsi="Times New Roman" w:cs="Times New Roman"/>
          <w:spacing w:val="1"/>
        </w:rPr>
        <w:t>my</w:t>
      </w:r>
      <w:r>
        <w:rPr>
          <w:rFonts w:ascii="Times New Roman" w:hAnsi="Times New Roman" w:cs="Times New Roman"/>
          <w:spacing w:val="6"/>
        </w:rPr>
        <w:t xml:space="preserve"> </w:t>
      </w:r>
      <w:r>
        <w:rPr>
          <w:rFonts w:ascii="Times New Roman" w:hAnsi="Times New Roman" w:cs="Times New Roman"/>
        </w:rPr>
        <w:t>own</w:t>
      </w:r>
      <w:r>
        <w:rPr>
          <w:rFonts w:ascii="Times New Roman" w:hAnsi="Times New Roman" w:cs="Times New Roman"/>
          <w:spacing w:val="13"/>
        </w:rPr>
        <w:t xml:space="preserve"> </w:t>
      </w:r>
      <w:r>
        <w:rPr>
          <w:rFonts w:ascii="Times New Roman" w:hAnsi="Times New Roman" w:cs="Times New Roman"/>
          <w:spacing w:val="-1"/>
        </w:rPr>
        <w:t>staff’s</w:t>
      </w:r>
      <w:r>
        <w:rPr>
          <w:rFonts w:ascii="Times New Roman" w:hAnsi="Times New Roman" w:cs="Times New Roman"/>
          <w:spacing w:val="14"/>
        </w:rPr>
        <w:t xml:space="preserve"> </w:t>
      </w:r>
      <w:r>
        <w:rPr>
          <w:rFonts w:ascii="Times New Roman" w:hAnsi="Times New Roman" w:cs="Times New Roman"/>
          <w:spacing w:val="-1"/>
        </w:rPr>
        <w:t>experience</w:t>
      </w:r>
      <w:r>
        <w:rPr>
          <w:rFonts w:ascii="Times New Roman" w:hAnsi="Times New Roman" w:cs="Times New Roman"/>
          <w:spacing w:val="13"/>
        </w:rPr>
        <w:t xml:space="preserve"> </w:t>
      </w:r>
      <w:r>
        <w:rPr>
          <w:rFonts w:ascii="Times New Roman" w:hAnsi="Times New Roman" w:cs="Times New Roman"/>
          <w:spacing w:val="-1"/>
        </w:rPr>
        <w:t>as</w:t>
      </w:r>
      <w:r>
        <w:rPr>
          <w:rFonts w:ascii="Times New Roman" w:hAnsi="Times New Roman" w:cs="Times New Roman"/>
          <w:spacing w:val="14"/>
        </w:rPr>
        <w:t xml:space="preserve"> </w:t>
      </w:r>
      <w:r>
        <w:rPr>
          <w:rFonts w:ascii="Times New Roman" w:hAnsi="Times New Roman" w:cs="Times New Roman"/>
        </w:rPr>
        <w:t>to</w:t>
      </w:r>
      <w:r>
        <w:rPr>
          <w:rFonts w:ascii="Times New Roman" w:hAnsi="Times New Roman" w:cs="Times New Roman"/>
          <w:spacing w:val="14"/>
        </w:rPr>
        <w:t xml:space="preserve"> </w:t>
      </w:r>
      <w:r>
        <w:rPr>
          <w:rFonts w:ascii="Times New Roman" w:hAnsi="Times New Roman" w:cs="Times New Roman"/>
        </w:rPr>
        <w:t>why</w:t>
      </w:r>
      <w:r>
        <w:rPr>
          <w:rFonts w:ascii="Times New Roman" w:hAnsi="Times New Roman" w:cs="Times New Roman"/>
          <w:spacing w:val="9"/>
        </w:rPr>
        <w:t xml:space="preserve"> </w:t>
      </w:r>
      <w:r>
        <w:rPr>
          <w:rFonts w:ascii="Times New Roman" w:hAnsi="Times New Roman" w:cs="Times New Roman"/>
          <w:spacing w:val="-1"/>
        </w:rPr>
        <w:t>people</w:t>
      </w:r>
      <w:r>
        <w:rPr>
          <w:rFonts w:ascii="Times New Roman" w:hAnsi="Times New Roman" w:cs="Times New Roman"/>
          <w:spacing w:val="83"/>
        </w:rPr>
        <w:t xml:space="preserve"> </w:t>
      </w:r>
      <w:r>
        <w:rPr>
          <w:spacing w:val="-1"/>
        </w:rPr>
        <w:t>have</w:t>
      </w:r>
      <w:r>
        <w:rPr>
          <w:spacing w:val="1"/>
        </w:rPr>
        <w:t xml:space="preserve"> </w:t>
      </w:r>
      <w:r>
        <w:rPr>
          <w:spacing w:val="-1"/>
        </w:rPr>
        <w:t xml:space="preserve">gone </w:t>
      </w:r>
      <w:r>
        <w:t>where</w:t>
      </w:r>
      <w:r>
        <w:rPr>
          <w:spacing w:val="-2"/>
        </w:rPr>
        <w:t xml:space="preserve"> </w:t>
      </w:r>
      <w:r>
        <w:rPr>
          <w:spacing w:val="1"/>
        </w:rPr>
        <w:t>they</w:t>
      </w:r>
      <w:r>
        <w:rPr>
          <w:spacing w:val="-5"/>
        </w:rPr>
        <w:t xml:space="preserve"> </w:t>
      </w:r>
      <w:r>
        <w:t>have</w:t>
      </w:r>
      <w:r>
        <w:rPr>
          <w:spacing w:val="-1"/>
        </w:rPr>
        <w:t xml:space="preserve"> gone.</w:t>
      </w:r>
    </w:p>
    <w:p w:rsidR="001E6EC8" w:rsidRDefault="001E6EC8" w:rsidP="001E6EC8">
      <w:pPr>
        <w:pStyle w:val="Quote"/>
      </w:pPr>
      <w:r>
        <w:rPr>
          <w:spacing w:val="-2"/>
        </w:rPr>
        <w:t>In</w:t>
      </w:r>
      <w:r>
        <w:rPr>
          <w:spacing w:val="52"/>
        </w:rPr>
        <w:t xml:space="preserve"> </w:t>
      </w:r>
      <w:r>
        <w:t>some</w:t>
      </w:r>
      <w:r>
        <w:rPr>
          <w:spacing w:val="54"/>
        </w:rPr>
        <w:t xml:space="preserve"> </w:t>
      </w:r>
      <w:r>
        <w:rPr>
          <w:spacing w:val="-1"/>
        </w:rPr>
        <w:t>respects,</w:t>
      </w:r>
      <w:r>
        <w:rPr>
          <w:spacing w:val="53"/>
        </w:rPr>
        <w:t xml:space="preserve"> </w:t>
      </w:r>
      <w:r>
        <w:t>some</w:t>
      </w:r>
      <w:r>
        <w:rPr>
          <w:spacing w:val="54"/>
        </w:rPr>
        <w:t xml:space="preserve"> </w:t>
      </w:r>
      <w:r>
        <w:t>individuals</w:t>
      </w:r>
      <w:r>
        <w:rPr>
          <w:spacing w:val="52"/>
        </w:rPr>
        <w:t xml:space="preserve"> </w:t>
      </w:r>
      <w:r>
        <w:t>will</w:t>
      </w:r>
      <w:r>
        <w:rPr>
          <w:spacing w:val="53"/>
        </w:rPr>
        <w:t xml:space="preserve"> </w:t>
      </w:r>
      <w:r>
        <w:t>consciously</w:t>
      </w:r>
      <w:r>
        <w:rPr>
          <w:spacing w:val="47"/>
        </w:rPr>
        <w:t xml:space="preserve"> </w:t>
      </w:r>
      <w:r>
        <w:rPr>
          <w:spacing w:val="-1"/>
        </w:rPr>
        <w:t>choose</w:t>
      </w:r>
      <w:r>
        <w:rPr>
          <w:spacing w:val="51"/>
        </w:rPr>
        <w:t xml:space="preserve"> </w:t>
      </w:r>
      <w:r>
        <w:t>not</w:t>
      </w:r>
      <w:r>
        <w:rPr>
          <w:spacing w:val="53"/>
        </w:rPr>
        <w:t xml:space="preserve"> </w:t>
      </w:r>
      <w:r>
        <w:t>to</w:t>
      </w:r>
      <w:r>
        <w:rPr>
          <w:spacing w:val="53"/>
        </w:rPr>
        <w:t xml:space="preserve"> </w:t>
      </w:r>
      <w:r>
        <w:t>pursue</w:t>
      </w:r>
      <w:r>
        <w:rPr>
          <w:spacing w:val="51"/>
        </w:rPr>
        <w:t xml:space="preserve"> </w:t>
      </w:r>
      <w:r>
        <w:rPr>
          <w:spacing w:val="-1"/>
        </w:rPr>
        <w:t>further</w:t>
      </w:r>
      <w:r>
        <w:rPr>
          <w:spacing w:val="39"/>
        </w:rPr>
        <w:t xml:space="preserve"> </w:t>
      </w:r>
      <w:r>
        <w:rPr>
          <w:spacing w:val="-1"/>
        </w:rPr>
        <w:t>promotions.</w:t>
      </w:r>
      <w:r>
        <w:rPr>
          <w:spacing w:val="12"/>
        </w:rPr>
        <w:t xml:space="preserve"> </w:t>
      </w:r>
      <w:r>
        <w:rPr>
          <w:spacing w:val="-1"/>
        </w:rPr>
        <w:t>For</w:t>
      </w:r>
      <w:r>
        <w:rPr>
          <w:spacing w:val="11"/>
        </w:rPr>
        <w:t xml:space="preserve"> </w:t>
      </w:r>
      <w:r>
        <w:rPr>
          <w:spacing w:val="-1"/>
        </w:rPr>
        <w:t>others,</w:t>
      </w:r>
      <w:r>
        <w:rPr>
          <w:spacing w:val="12"/>
        </w:rPr>
        <w:t xml:space="preserve"> </w:t>
      </w:r>
      <w:r>
        <w:rPr>
          <w:spacing w:val="-1"/>
        </w:rPr>
        <w:t>there</w:t>
      </w:r>
      <w:r>
        <w:rPr>
          <w:spacing w:val="10"/>
        </w:rPr>
        <w:t xml:space="preserve"> </w:t>
      </w:r>
      <w:r>
        <w:t>may</w:t>
      </w:r>
      <w:r>
        <w:rPr>
          <w:spacing w:val="6"/>
        </w:rPr>
        <w:t xml:space="preserve"> </w:t>
      </w:r>
      <w:r>
        <w:t>be</w:t>
      </w:r>
      <w:r>
        <w:rPr>
          <w:spacing w:val="10"/>
        </w:rPr>
        <w:t xml:space="preserve"> </w:t>
      </w:r>
      <w:r>
        <w:t>skills</w:t>
      </w:r>
      <w:r>
        <w:rPr>
          <w:spacing w:val="12"/>
        </w:rPr>
        <w:t xml:space="preserve"> </w:t>
      </w:r>
      <w:r>
        <w:t>or</w:t>
      </w:r>
      <w:r>
        <w:rPr>
          <w:spacing w:val="11"/>
        </w:rPr>
        <w:t xml:space="preserve"> </w:t>
      </w:r>
      <w:r>
        <w:t>capability</w:t>
      </w:r>
      <w:r>
        <w:rPr>
          <w:spacing w:val="4"/>
        </w:rPr>
        <w:t xml:space="preserve"> </w:t>
      </w:r>
      <w:r>
        <w:rPr>
          <w:spacing w:val="-1"/>
        </w:rPr>
        <w:t>deficiencies</w:t>
      </w:r>
      <w:r>
        <w:rPr>
          <w:spacing w:val="11"/>
        </w:rPr>
        <w:t xml:space="preserve"> </w:t>
      </w:r>
      <w:r>
        <w:t>which</w:t>
      </w:r>
      <w:r>
        <w:rPr>
          <w:spacing w:val="11"/>
        </w:rPr>
        <w:t xml:space="preserve"> </w:t>
      </w:r>
      <w:r>
        <w:t>we</w:t>
      </w:r>
      <w:r>
        <w:rPr>
          <w:spacing w:val="10"/>
        </w:rPr>
        <w:t xml:space="preserve"> </w:t>
      </w:r>
      <w:r>
        <w:rPr>
          <w:spacing w:val="-1"/>
        </w:rPr>
        <w:t>could</w:t>
      </w:r>
      <w:r>
        <w:rPr>
          <w:spacing w:val="76"/>
        </w:rPr>
        <w:t xml:space="preserve"> </w:t>
      </w:r>
      <w:r>
        <w:t>be</w:t>
      </w:r>
      <w:r>
        <w:rPr>
          <w:spacing w:val="13"/>
        </w:rPr>
        <w:t xml:space="preserve"> </w:t>
      </w:r>
      <w:r>
        <w:rPr>
          <w:spacing w:val="-1"/>
        </w:rPr>
        <w:t>addressing.</w:t>
      </w:r>
      <w:r>
        <w:rPr>
          <w:spacing w:val="14"/>
        </w:rPr>
        <w:t xml:space="preserve"> </w:t>
      </w:r>
      <w:r>
        <w:rPr>
          <w:spacing w:val="-1"/>
        </w:rPr>
        <w:t>Again,</w:t>
      </w:r>
      <w:r>
        <w:rPr>
          <w:spacing w:val="14"/>
        </w:rPr>
        <w:t xml:space="preserve"> </w:t>
      </w:r>
      <w:r>
        <w:t>the</w:t>
      </w:r>
      <w:r>
        <w:rPr>
          <w:spacing w:val="13"/>
        </w:rPr>
        <w:t xml:space="preserve"> </w:t>
      </w:r>
      <w:r>
        <w:rPr>
          <w:spacing w:val="-1"/>
        </w:rPr>
        <w:t>performance</w:t>
      </w:r>
      <w:r>
        <w:rPr>
          <w:spacing w:val="13"/>
        </w:rPr>
        <w:t xml:space="preserve"> </w:t>
      </w:r>
      <w:r>
        <w:t>framework</w:t>
      </w:r>
      <w:r>
        <w:rPr>
          <w:spacing w:val="14"/>
        </w:rPr>
        <w:t xml:space="preserve"> </w:t>
      </w:r>
      <w:r>
        <w:t>is</w:t>
      </w:r>
      <w:r>
        <w:rPr>
          <w:spacing w:val="14"/>
        </w:rPr>
        <w:t xml:space="preserve"> </w:t>
      </w:r>
      <w:r>
        <w:rPr>
          <w:spacing w:val="-1"/>
        </w:rPr>
        <w:t>part</w:t>
      </w:r>
      <w:r>
        <w:rPr>
          <w:spacing w:val="18"/>
        </w:rPr>
        <w:t xml:space="preserve"> </w:t>
      </w:r>
      <w:r>
        <w:t>of</w:t>
      </w:r>
      <w:r>
        <w:rPr>
          <w:spacing w:val="13"/>
        </w:rPr>
        <w:t xml:space="preserve"> </w:t>
      </w:r>
      <w:r>
        <w:t>the</w:t>
      </w:r>
      <w:r>
        <w:rPr>
          <w:spacing w:val="13"/>
        </w:rPr>
        <w:t xml:space="preserve"> </w:t>
      </w:r>
      <w:r>
        <w:rPr>
          <w:spacing w:val="-1"/>
        </w:rPr>
        <w:t>answer</w:t>
      </w:r>
      <w:r>
        <w:rPr>
          <w:spacing w:val="13"/>
        </w:rPr>
        <w:t xml:space="preserve"> </w:t>
      </w:r>
      <w:r>
        <w:t>to</w:t>
      </w:r>
      <w:r>
        <w:rPr>
          <w:spacing w:val="12"/>
        </w:rPr>
        <w:t xml:space="preserve"> </w:t>
      </w:r>
      <w:r>
        <w:t>this.</w:t>
      </w:r>
      <w:r>
        <w:rPr>
          <w:spacing w:val="14"/>
        </w:rPr>
        <w:t xml:space="preserve"> </w:t>
      </w:r>
      <w:r>
        <w:rPr>
          <w:spacing w:val="-3"/>
        </w:rPr>
        <w:t>It</w:t>
      </w:r>
      <w:r>
        <w:rPr>
          <w:spacing w:val="14"/>
        </w:rPr>
        <w:t xml:space="preserve"> </w:t>
      </w:r>
      <w:r>
        <w:t>sits</w:t>
      </w:r>
      <w:r>
        <w:rPr>
          <w:spacing w:val="49"/>
        </w:rPr>
        <w:t xml:space="preserve"> </w:t>
      </w:r>
      <w:r>
        <w:t>more</w:t>
      </w:r>
      <w:r>
        <w:rPr>
          <w:spacing w:val="51"/>
        </w:rPr>
        <w:t xml:space="preserve"> </w:t>
      </w:r>
      <w:r>
        <w:t>with</w:t>
      </w:r>
      <w:r>
        <w:rPr>
          <w:spacing w:val="53"/>
        </w:rPr>
        <w:t xml:space="preserve"> </w:t>
      </w:r>
      <w:r>
        <w:t>a</w:t>
      </w:r>
      <w:r>
        <w:rPr>
          <w:spacing w:val="54"/>
        </w:rPr>
        <w:t xml:space="preserve"> </w:t>
      </w:r>
      <w:r>
        <w:rPr>
          <w:spacing w:val="-1"/>
        </w:rPr>
        <w:t>focus</w:t>
      </w:r>
      <w:r>
        <w:rPr>
          <w:spacing w:val="52"/>
        </w:rPr>
        <w:t xml:space="preserve"> </w:t>
      </w:r>
      <w:r>
        <w:t>on</w:t>
      </w:r>
      <w:r>
        <w:rPr>
          <w:spacing w:val="54"/>
        </w:rPr>
        <w:t xml:space="preserve"> </w:t>
      </w:r>
      <w:r>
        <w:t>those</w:t>
      </w:r>
      <w:r>
        <w:rPr>
          <w:spacing w:val="52"/>
        </w:rPr>
        <w:t xml:space="preserve"> </w:t>
      </w:r>
      <w:r>
        <w:t>of</w:t>
      </w:r>
      <w:r>
        <w:rPr>
          <w:spacing w:val="51"/>
        </w:rPr>
        <w:t xml:space="preserve"> </w:t>
      </w:r>
      <w:r>
        <w:t>us</w:t>
      </w:r>
      <w:r>
        <w:rPr>
          <w:spacing w:val="55"/>
        </w:rPr>
        <w:t xml:space="preserve"> </w:t>
      </w:r>
      <w:r>
        <w:rPr>
          <w:spacing w:val="-1"/>
        </w:rPr>
        <w:t>responsible</w:t>
      </w:r>
      <w:r>
        <w:rPr>
          <w:spacing w:val="54"/>
        </w:rPr>
        <w:t xml:space="preserve"> </w:t>
      </w:r>
      <w:r>
        <w:t>for</w:t>
      </w:r>
      <w:r>
        <w:rPr>
          <w:spacing w:val="51"/>
        </w:rPr>
        <w:t xml:space="preserve"> </w:t>
      </w:r>
      <w:r>
        <w:t>staff</w:t>
      </w:r>
      <w:r>
        <w:rPr>
          <w:spacing w:val="51"/>
        </w:rPr>
        <w:t xml:space="preserve"> </w:t>
      </w:r>
      <w:r>
        <w:t>in</w:t>
      </w:r>
      <w:r>
        <w:rPr>
          <w:spacing w:val="53"/>
        </w:rPr>
        <w:t xml:space="preserve"> </w:t>
      </w:r>
      <w:r>
        <w:t>the</w:t>
      </w:r>
      <w:r>
        <w:rPr>
          <w:spacing w:val="52"/>
        </w:rPr>
        <w:t xml:space="preserve"> </w:t>
      </w:r>
      <w:r>
        <w:t>service</w:t>
      </w:r>
      <w:r>
        <w:rPr>
          <w:spacing w:val="54"/>
        </w:rPr>
        <w:t xml:space="preserve"> </w:t>
      </w:r>
      <w:r>
        <w:t>to</w:t>
      </w:r>
      <w:r>
        <w:rPr>
          <w:spacing w:val="53"/>
        </w:rPr>
        <w:t xml:space="preserve"> </w:t>
      </w:r>
      <w:r>
        <w:t>actually</w:t>
      </w:r>
      <w:r>
        <w:rPr>
          <w:spacing w:val="35"/>
        </w:rPr>
        <w:t xml:space="preserve"> </w:t>
      </w:r>
      <w:r>
        <w:t>consciously</w:t>
      </w:r>
      <w:r>
        <w:rPr>
          <w:spacing w:val="2"/>
        </w:rPr>
        <w:t xml:space="preserve"> </w:t>
      </w:r>
      <w:r>
        <w:t>think</w:t>
      </w:r>
      <w:r>
        <w:rPr>
          <w:spacing w:val="6"/>
        </w:rPr>
        <w:t xml:space="preserve"> </w:t>
      </w:r>
      <w:r>
        <w:rPr>
          <w:spacing w:val="-1"/>
        </w:rPr>
        <w:t>about</w:t>
      </w:r>
      <w:r>
        <w:rPr>
          <w:spacing w:val="7"/>
        </w:rPr>
        <w:t xml:space="preserve"> </w:t>
      </w:r>
      <w:r>
        <w:rPr>
          <w:spacing w:val="-1"/>
        </w:rPr>
        <w:t>and</w:t>
      </w:r>
      <w:r>
        <w:rPr>
          <w:spacing w:val="6"/>
        </w:rPr>
        <w:t xml:space="preserve"> </w:t>
      </w:r>
      <w:r>
        <w:t>talk</w:t>
      </w:r>
      <w:r>
        <w:rPr>
          <w:spacing w:val="6"/>
        </w:rPr>
        <w:t xml:space="preserve"> </w:t>
      </w:r>
      <w:r>
        <w:rPr>
          <w:spacing w:val="-1"/>
        </w:rPr>
        <w:t>about</w:t>
      </w:r>
      <w:r>
        <w:rPr>
          <w:spacing w:val="7"/>
        </w:rPr>
        <w:t xml:space="preserve"> </w:t>
      </w:r>
      <w:r>
        <w:t>how</w:t>
      </w:r>
      <w:r>
        <w:rPr>
          <w:spacing w:val="4"/>
        </w:rPr>
        <w:t xml:space="preserve"> </w:t>
      </w:r>
      <w:r>
        <w:t>we</w:t>
      </w:r>
      <w:r>
        <w:rPr>
          <w:spacing w:val="5"/>
        </w:rPr>
        <w:t xml:space="preserve"> </w:t>
      </w:r>
      <w:r>
        <w:rPr>
          <w:spacing w:val="-1"/>
        </w:rPr>
        <w:t>can</w:t>
      </w:r>
      <w:r>
        <w:rPr>
          <w:spacing w:val="6"/>
        </w:rPr>
        <w:t xml:space="preserve"> </w:t>
      </w:r>
      <w:r>
        <w:rPr>
          <w:spacing w:val="-1"/>
        </w:rPr>
        <w:t>assist</w:t>
      </w:r>
      <w:r>
        <w:rPr>
          <w:spacing w:val="7"/>
        </w:rPr>
        <w:t xml:space="preserve"> </w:t>
      </w:r>
      <w:r>
        <w:t>our</w:t>
      </w:r>
      <w:r>
        <w:rPr>
          <w:spacing w:val="6"/>
        </w:rPr>
        <w:t xml:space="preserve"> </w:t>
      </w:r>
      <w:r>
        <w:rPr>
          <w:spacing w:val="-1"/>
        </w:rPr>
        <w:t>colleagues</w:t>
      </w:r>
      <w:r>
        <w:rPr>
          <w:spacing w:val="7"/>
        </w:rPr>
        <w:t xml:space="preserve"> </w:t>
      </w:r>
      <w:r>
        <w:rPr>
          <w:spacing w:val="-1"/>
        </w:rPr>
        <w:t>reach</w:t>
      </w:r>
      <w:r>
        <w:rPr>
          <w:spacing w:val="51"/>
        </w:rPr>
        <w:t xml:space="preserve"> </w:t>
      </w:r>
      <w:r>
        <w:rPr>
          <w:spacing w:val="-1"/>
        </w:rPr>
        <w:t>whatever</w:t>
      </w:r>
      <w:r>
        <w:rPr>
          <w:spacing w:val="22"/>
        </w:rPr>
        <w:t xml:space="preserve"> </w:t>
      </w:r>
      <w:r>
        <w:t>their</w:t>
      </w:r>
      <w:r>
        <w:rPr>
          <w:spacing w:val="23"/>
        </w:rPr>
        <w:t xml:space="preserve"> </w:t>
      </w:r>
      <w:r>
        <w:t>aspirations</w:t>
      </w:r>
      <w:r>
        <w:rPr>
          <w:spacing w:val="21"/>
        </w:rPr>
        <w:t xml:space="preserve"> </w:t>
      </w:r>
      <w:r>
        <w:rPr>
          <w:spacing w:val="-1"/>
        </w:rPr>
        <w:t>might</w:t>
      </w:r>
      <w:r>
        <w:rPr>
          <w:spacing w:val="21"/>
        </w:rPr>
        <w:t xml:space="preserve"> </w:t>
      </w:r>
      <w:r>
        <w:rPr>
          <w:spacing w:val="-1"/>
        </w:rPr>
        <w:t>be.</w:t>
      </w:r>
      <w:r>
        <w:rPr>
          <w:spacing w:val="23"/>
        </w:rPr>
        <w:t xml:space="preserve"> </w:t>
      </w:r>
      <w:r>
        <w:rPr>
          <w:spacing w:val="-1"/>
        </w:rPr>
        <w:t>Again,</w:t>
      </w:r>
      <w:r>
        <w:rPr>
          <w:spacing w:val="21"/>
        </w:rPr>
        <w:t xml:space="preserve"> </w:t>
      </w:r>
      <w:r>
        <w:t>the</w:t>
      </w:r>
      <w:r>
        <w:rPr>
          <w:spacing w:val="23"/>
        </w:rPr>
        <w:t xml:space="preserve"> </w:t>
      </w:r>
      <w:r>
        <w:rPr>
          <w:spacing w:val="-1"/>
        </w:rPr>
        <w:t>performance</w:t>
      </w:r>
      <w:r>
        <w:rPr>
          <w:spacing w:val="22"/>
        </w:rPr>
        <w:t xml:space="preserve"> </w:t>
      </w:r>
      <w:r>
        <w:t>framework</w:t>
      </w:r>
      <w:r>
        <w:rPr>
          <w:spacing w:val="23"/>
        </w:rPr>
        <w:t xml:space="preserve"> </w:t>
      </w:r>
      <w:r>
        <w:rPr>
          <w:spacing w:val="-1"/>
        </w:rPr>
        <w:t>places</w:t>
      </w:r>
      <w:r>
        <w:rPr>
          <w:spacing w:val="24"/>
        </w:rPr>
        <w:t xml:space="preserve"> </w:t>
      </w:r>
      <w:r>
        <w:rPr>
          <w:spacing w:val="-1"/>
        </w:rPr>
        <w:t>great</w:t>
      </w:r>
      <w:r>
        <w:rPr>
          <w:spacing w:val="55"/>
        </w:rPr>
        <w:t xml:space="preserve"> </w:t>
      </w:r>
      <w:r>
        <w:rPr>
          <w:spacing w:val="-1"/>
        </w:rPr>
        <w:t>emphasis</w:t>
      </w:r>
      <w:r>
        <w:rPr>
          <w:spacing w:val="29"/>
        </w:rPr>
        <w:t xml:space="preserve"> </w:t>
      </w:r>
      <w:r>
        <w:t>on</w:t>
      </w:r>
      <w:r>
        <w:rPr>
          <w:spacing w:val="28"/>
        </w:rPr>
        <w:t xml:space="preserve"> </w:t>
      </w:r>
      <w:r>
        <w:t>that</w:t>
      </w:r>
      <w:r>
        <w:rPr>
          <w:spacing w:val="28"/>
        </w:rPr>
        <w:t xml:space="preserve"> </w:t>
      </w:r>
      <w:r>
        <w:t>responsibility</w:t>
      </w:r>
      <w:r>
        <w:rPr>
          <w:spacing w:val="21"/>
        </w:rPr>
        <w:t xml:space="preserve"> </w:t>
      </w:r>
      <w:r>
        <w:t>to</w:t>
      </w:r>
      <w:r>
        <w:rPr>
          <w:spacing w:val="29"/>
        </w:rPr>
        <w:t xml:space="preserve"> </w:t>
      </w:r>
      <w:r>
        <w:rPr>
          <w:spacing w:val="-1"/>
        </w:rPr>
        <w:t>manage</w:t>
      </w:r>
      <w:r>
        <w:rPr>
          <w:spacing w:val="27"/>
        </w:rPr>
        <w:t xml:space="preserve"> </w:t>
      </w:r>
      <w:r>
        <w:rPr>
          <w:spacing w:val="-1"/>
        </w:rPr>
        <w:t>and</w:t>
      </w:r>
      <w:r>
        <w:rPr>
          <w:spacing w:val="28"/>
        </w:rPr>
        <w:t xml:space="preserve"> </w:t>
      </w:r>
      <w:r>
        <w:t>look</w:t>
      </w:r>
      <w:r>
        <w:rPr>
          <w:spacing w:val="28"/>
        </w:rPr>
        <w:t xml:space="preserve"> </w:t>
      </w:r>
      <w:r>
        <w:rPr>
          <w:spacing w:val="-1"/>
        </w:rPr>
        <w:t>after</w:t>
      </w:r>
      <w:r>
        <w:rPr>
          <w:spacing w:val="27"/>
        </w:rPr>
        <w:t xml:space="preserve"> </w:t>
      </w:r>
      <w:r>
        <w:t>our</w:t>
      </w:r>
      <w:r>
        <w:rPr>
          <w:spacing w:val="27"/>
        </w:rPr>
        <w:t xml:space="preserve"> </w:t>
      </w:r>
      <w:r>
        <w:rPr>
          <w:spacing w:val="-1"/>
        </w:rPr>
        <w:t>people</w:t>
      </w:r>
      <w:r>
        <w:rPr>
          <w:spacing w:val="28"/>
        </w:rPr>
        <w:t xml:space="preserve"> </w:t>
      </w:r>
      <w:r>
        <w:t>in</w:t>
      </w:r>
      <w:r>
        <w:rPr>
          <w:spacing w:val="31"/>
        </w:rPr>
        <w:t xml:space="preserve"> </w:t>
      </w:r>
      <w:r>
        <w:rPr>
          <w:spacing w:val="-1"/>
        </w:rPr>
        <w:t>all</w:t>
      </w:r>
      <w:r>
        <w:rPr>
          <w:spacing w:val="29"/>
        </w:rPr>
        <w:t xml:space="preserve"> </w:t>
      </w:r>
      <w:r>
        <w:rPr>
          <w:spacing w:val="-1"/>
        </w:rPr>
        <w:t>respects,</w:t>
      </w:r>
      <w:r>
        <w:rPr>
          <w:spacing w:val="59"/>
        </w:rPr>
        <w:t xml:space="preserve"> </w:t>
      </w:r>
      <w:r>
        <w:t>including</w:t>
      </w:r>
      <w:r>
        <w:rPr>
          <w:spacing w:val="21"/>
        </w:rPr>
        <w:t xml:space="preserve"> </w:t>
      </w:r>
      <w:r>
        <w:t>actively</w:t>
      </w:r>
      <w:r>
        <w:rPr>
          <w:spacing w:val="18"/>
        </w:rPr>
        <w:t xml:space="preserve"> </w:t>
      </w:r>
      <w:r>
        <w:rPr>
          <w:spacing w:val="-1"/>
        </w:rPr>
        <w:t>assisting</w:t>
      </w:r>
      <w:r>
        <w:rPr>
          <w:spacing w:val="21"/>
        </w:rPr>
        <w:t xml:space="preserve"> </w:t>
      </w:r>
      <w:r>
        <w:t>them</w:t>
      </w:r>
      <w:r>
        <w:rPr>
          <w:spacing w:val="23"/>
        </w:rPr>
        <w:t xml:space="preserve"> </w:t>
      </w:r>
      <w:r>
        <w:t>to</w:t>
      </w:r>
      <w:r>
        <w:rPr>
          <w:spacing w:val="24"/>
        </w:rPr>
        <w:t xml:space="preserve"> </w:t>
      </w:r>
      <w:r>
        <w:rPr>
          <w:spacing w:val="-1"/>
        </w:rPr>
        <w:t>reach</w:t>
      </w:r>
      <w:r>
        <w:rPr>
          <w:spacing w:val="23"/>
        </w:rPr>
        <w:t xml:space="preserve"> </w:t>
      </w:r>
      <w:r>
        <w:rPr>
          <w:spacing w:val="-1"/>
        </w:rPr>
        <w:t>whatever</w:t>
      </w:r>
      <w:r>
        <w:rPr>
          <w:spacing w:val="23"/>
        </w:rPr>
        <w:t xml:space="preserve"> </w:t>
      </w:r>
      <w:r>
        <w:t>it</w:t>
      </w:r>
      <w:r>
        <w:rPr>
          <w:spacing w:val="24"/>
        </w:rPr>
        <w:t xml:space="preserve"> </w:t>
      </w:r>
      <w:r>
        <w:t>is</w:t>
      </w:r>
      <w:r>
        <w:rPr>
          <w:spacing w:val="24"/>
        </w:rPr>
        <w:t xml:space="preserve"> </w:t>
      </w:r>
      <w:r>
        <w:t>they</w:t>
      </w:r>
      <w:r>
        <w:rPr>
          <w:spacing w:val="16"/>
        </w:rPr>
        <w:t xml:space="preserve"> </w:t>
      </w:r>
      <w:r>
        <w:t>would</w:t>
      </w:r>
      <w:r>
        <w:rPr>
          <w:spacing w:val="23"/>
        </w:rPr>
        <w:t xml:space="preserve"> </w:t>
      </w:r>
      <w:r>
        <w:t>choose</w:t>
      </w:r>
      <w:r>
        <w:rPr>
          <w:spacing w:val="23"/>
        </w:rPr>
        <w:t xml:space="preserve"> </w:t>
      </w:r>
      <w:r>
        <w:t>to</w:t>
      </w:r>
      <w:r>
        <w:rPr>
          <w:spacing w:val="24"/>
        </w:rPr>
        <w:t xml:space="preserve"> </w:t>
      </w:r>
      <w:r>
        <w:t>do</w:t>
      </w:r>
      <w:r>
        <w:rPr>
          <w:spacing w:val="23"/>
        </w:rPr>
        <w:t xml:space="preserve"> </w:t>
      </w:r>
      <w:r>
        <w:t>in</w:t>
      </w:r>
      <w:r>
        <w:rPr>
          <w:spacing w:val="43"/>
        </w:rPr>
        <w:t xml:space="preserve"> </w:t>
      </w:r>
      <w:r>
        <w:t>their</w:t>
      </w:r>
      <w:r>
        <w:rPr>
          <w:spacing w:val="-1"/>
        </w:rPr>
        <w:t xml:space="preserve"> </w:t>
      </w:r>
      <w:r>
        <w:t xml:space="preserve">own </w:t>
      </w:r>
      <w:r>
        <w:rPr>
          <w:spacing w:val="-1"/>
        </w:rPr>
        <w:t>careers.</w:t>
      </w:r>
      <w:r w:rsidR="004E6B3A">
        <w:rPr>
          <w:rStyle w:val="FootnoteReference"/>
          <w:spacing w:val="-1"/>
        </w:rPr>
        <w:footnoteReference w:id="122"/>
      </w:r>
    </w:p>
    <w:p w:rsidR="0025094D" w:rsidRDefault="00B9078F" w:rsidP="0025094D">
      <w:pPr>
        <w:pStyle w:val="Bodytext"/>
      </w:pPr>
      <w:r>
        <w:t>The Committee notes that the ACTPS submission  includes the following:</w:t>
      </w:r>
      <w:r w:rsidR="0025094D">
        <w:t xml:space="preserve">  </w:t>
      </w:r>
    </w:p>
    <w:p w:rsidR="0025094D" w:rsidRDefault="0025094D" w:rsidP="0025094D">
      <w:pPr>
        <w:pStyle w:val="Quote"/>
      </w:pPr>
      <w:r>
        <w:t>As</w:t>
      </w:r>
      <w:r>
        <w:rPr>
          <w:spacing w:val="1"/>
        </w:rPr>
        <w:t xml:space="preserve"> </w:t>
      </w:r>
      <w:r>
        <w:t>a demonstration</w:t>
      </w:r>
      <w:r>
        <w:rPr>
          <w:spacing w:val="-2"/>
        </w:rPr>
        <w:t xml:space="preserve"> of</w:t>
      </w:r>
      <w:r>
        <w:rPr>
          <w:spacing w:val="2"/>
        </w:rPr>
        <w:t xml:space="preserve"> </w:t>
      </w:r>
      <w:r>
        <w:t>intent</w:t>
      </w:r>
      <w:r>
        <w:rPr>
          <w:spacing w:val="2"/>
        </w:rPr>
        <w:t xml:space="preserve"> </w:t>
      </w:r>
      <w:r>
        <w:t>and</w:t>
      </w:r>
      <w:r>
        <w:rPr>
          <w:spacing w:val="-2"/>
        </w:rPr>
        <w:t xml:space="preserve"> </w:t>
      </w:r>
      <w:r>
        <w:t>to</w:t>
      </w:r>
      <w:r>
        <w:rPr>
          <w:spacing w:val="-4"/>
        </w:rPr>
        <w:t xml:space="preserve"> </w:t>
      </w:r>
      <w:r>
        <w:t>kick</w:t>
      </w:r>
      <w:r>
        <w:rPr>
          <w:spacing w:val="3"/>
        </w:rPr>
        <w:t xml:space="preserve"> </w:t>
      </w:r>
      <w:r>
        <w:t xml:space="preserve">start awareness </w:t>
      </w:r>
      <w:r>
        <w:rPr>
          <w:spacing w:val="-2"/>
        </w:rPr>
        <w:t>of</w:t>
      </w:r>
      <w:r>
        <w:t xml:space="preserve"> training opportunities to</w:t>
      </w:r>
      <w:r>
        <w:rPr>
          <w:spacing w:val="55"/>
        </w:rPr>
        <w:t xml:space="preserve"> </w:t>
      </w:r>
      <w:r>
        <w:t>Aboriginal and</w:t>
      </w:r>
      <w:r>
        <w:rPr>
          <w:spacing w:val="-2"/>
        </w:rPr>
        <w:t xml:space="preserve"> </w:t>
      </w:r>
      <w:r>
        <w:t>Torres</w:t>
      </w:r>
      <w:r>
        <w:rPr>
          <w:spacing w:val="1"/>
        </w:rPr>
        <w:t xml:space="preserve"> </w:t>
      </w:r>
      <w:r>
        <w:rPr>
          <w:spacing w:val="-2"/>
        </w:rPr>
        <w:t>Strait</w:t>
      </w:r>
      <w:r>
        <w:rPr>
          <w:spacing w:val="2"/>
        </w:rPr>
        <w:t xml:space="preserve"> </w:t>
      </w:r>
      <w:r>
        <w:t>Islander</w:t>
      </w:r>
      <w:r>
        <w:rPr>
          <w:spacing w:val="1"/>
        </w:rPr>
        <w:t xml:space="preserve"> </w:t>
      </w:r>
      <w:r>
        <w:t xml:space="preserve">staff, </w:t>
      </w:r>
      <w:r>
        <w:rPr>
          <w:spacing w:val="-2"/>
        </w:rPr>
        <w:t>with</w:t>
      </w:r>
      <w:r>
        <w:t xml:space="preserve"> the</w:t>
      </w:r>
      <w:r>
        <w:rPr>
          <w:spacing w:val="-2"/>
        </w:rPr>
        <w:t xml:space="preserve"> </w:t>
      </w:r>
      <w:r>
        <w:t xml:space="preserve">launch </w:t>
      </w:r>
      <w:r>
        <w:rPr>
          <w:spacing w:val="-2"/>
        </w:rPr>
        <w:t>of</w:t>
      </w:r>
      <w:r>
        <w:t xml:space="preserve"> the</w:t>
      </w:r>
      <w:r>
        <w:rPr>
          <w:spacing w:val="5"/>
        </w:rPr>
        <w:t xml:space="preserve"> </w:t>
      </w:r>
      <w:r>
        <w:t>employment</w:t>
      </w:r>
      <w:r>
        <w:rPr>
          <w:spacing w:val="2"/>
        </w:rPr>
        <w:t xml:space="preserve"> </w:t>
      </w:r>
      <w:r>
        <w:t>strategy</w:t>
      </w:r>
      <w:r>
        <w:rPr>
          <w:spacing w:val="1"/>
        </w:rPr>
        <w:t xml:space="preserve"> </w:t>
      </w:r>
      <w:r>
        <w:rPr>
          <w:spacing w:val="-2"/>
        </w:rPr>
        <w:t>CMTD</w:t>
      </w:r>
      <w:r>
        <w:rPr>
          <w:spacing w:val="49"/>
        </w:rPr>
        <w:t xml:space="preserve"> </w:t>
      </w:r>
      <w:r>
        <w:t>offered</w:t>
      </w:r>
      <w:r>
        <w:rPr>
          <w:spacing w:val="-2"/>
        </w:rPr>
        <w:t xml:space="preserve"> </w:t>
      </w:r>
      <w:r>
        <w:t>funded places</w:t>
      </w:r>
      <w:r>
        <w:rPr>
          <w:spacing w:val="-2"/>
        </w:rPr>
        <w:t xml:space="preserve"> </w:t>
      </w:r>
      <w:r>
        <w:t>in</w:t>
      </w:r>
      <w:r>
        <w:rPr>
          <w:spacing w:val="-2"/>
        </w:rPr>
        <w:t xml:space="preserve"> </w:t>
      </w:r>
      <w:r>
        <w:t xml:space="preserve">the </w:t>
      </w:r>
      <w:r>
        <w:rPr>
          <w:spacing w:val="-2"/>
        </w:rPr>
        <w:t>Executive</w:t>
      </w:r>
      <w:r>
        <w:t xml:space="preserve"> Leadership and Future</w:t>
      </w:r>
      <w:r>
        <w:rPr>
          <w:spacing w:val="-2"/>
        </w:rPr>
        <w:t xml:space="preserve"> </w:t>
      </w:r>
      <w:r>
        <w:t xml:space="preserve">Leaders </w:t>
      </w:r>
      <w:r>
        <w:rPr>
          <w:spacing w:val="-2"/>
        </w:rPr>
        <w:t>Development</w:t>
      </w:r>
      <w:r>
        <w:rPr>
          <w:spacing w:val="91"/>
        </w:rPr>
        <w:t xml:space="preserve"> </w:t>
      </w:r>
      <w:r>
        <w:t>programs.</w:t>
      </w:r>
      <w:r>
        <w:rPr>
          <w:spacing w:val="59"/>
        </w:rPr>
        <w:t xml:space="preserve"> </w:t>
      </w:r>
      <w:r>
        <w:t>These are</w:t>
      </w:r>
      <w:r>
        <w:rPr>
          <w:spacing w:val="-2"/>
        </w:rPr>
        <w:t xml:space="preserve"> </w:t>
      </w:r>
      <w:r>
        <w:t>the lead whole-of-government training</w:t>
      </w:r>
      <w:r>
        <w:rPr>
          <w:spacing w:val="1"/>
        </w:rPr>
        <w:t xml:space="preserve"> </w:t>
      </w:r>
      <w:r>
        <w:t>programs</w:t>
      </w:r>
      <w:r>
        <w:rPr>
          <w:spacing w:val="1"/>
        </w:rPr>
        <w:t xml:space="preserve"> </w:t>
      </w:r>
      <w:r>
        <w:rPr>
          <w:spacing w:val="-2"/>
        </w:rPr>
        <w:t xml:space="preserve">which </w:t>
      </w:r>
      <w:r>
        <w:t>foster</w:t>
      </w:r>
      <w:r>
        <w:rPr>
          <w:spacing w:val="49"/>
        </w:rPr>
        <w:t xml:space="preserve"> </w:t>
      </w:r>
      <w:r>
        <w:t>leadership capability</w:t>
      </w:r>
      <w:r>
        <w:rPr>
          <w:spacing w:val="-2"/>
        </w:rPr>
        <w:t xml:space="preserve"> </w:t>
      </w:r>
      <w:r>
        <w:t>in high performing staff.</w:t>
      </w:r>
      <w:r>
        <w:rPr>
          <w:spacing w:val="-3"/>
        </w:rPr>
        <w:t xml:space="preserve"> </w:t>
      </w:r>
      <w:r>
        <w:t>To</w:t>
      </w:r>
      <w:r>
        <w:rPr>
          <w:spacing w:val="-2"/>
        </w:rPr>
        <w:t xml:space="preserve"> </w:t>
      </w:r>
      <w:r>
        <w:t>date, eight</w:t>
      </w:r>
      <w:r>
        <w:rPr>
          <w:spacing w:val="5"/>
        </w:rPr>
        <w:t xml:space="preserve"> </w:t>
      </w:r>
      <w:r>
        <w:t>Aboriginal and/or Torres</w:t>
      </w:r>
      <w:r>
        <w:rPr>
          <w:spacing w:val="-2"/>
        </w:rPr>
        <w:t xml:space="preserve"> </w:t>
      </w:r>
      <w:r>
        <w:t>Strait</w:t>
      </w:r>
      <w:r>
        <w:rPr>
          <w:spacing w:val="43"/>
        </w:rPr>
        <w:t xml:space="preserve"> </w:t>
      </w:r>
      <w:r>
        <w:t>Islander staff have undertaken</w:t>
      </w:r>
      <w:r>
        <w:rPr>
          <w:spacing w:val="-2"/>
        </w:rPr>
        <w:t xml:space="preserve"> </w:t>
      </w:r>
      <w:r>
        <w:t xml:space="preserve">the </w:t>
      </w:r>
      <w:r>
        <w:rPr>
          <w:spacing w:val="-2"/>
        </w:rPr>
        <w:t>programs.</w:t>
      </w:r>
      <w:r>
        <w:rPr>
          <w:spacing w:val="2"/>
        </w:rPr>
        <w:t xml:space="preserve"> </w:t>
      </w:r>
      <w:r>
        <w:t>Out</w:t>
      </w:r>
      <w:r>
        <w:rPr>
          <w:spacing w:val="-3"/>
        </w:rPr>
        <w:t xml:space="preserve"> </w:t>
      </w:r>
      <w:r>
        <w:rPr>
          <w:spacing w:val="-2"/>
        </w:rPr>
        <w:t>of</w:t>
      </w:r>
      <w:r>
        <w:rPr>
          <w:spacing w:val="4"/>
        </w:rPr>
        <w:t xml:space="preserve"> </w:t>
      </w:r>
      <w:r>
        <w:t>a</w:t>
      </w:r>
      <w:r>
        <w:rPr>
          <w:spacing w:val="-2"/>
        </w:rPr>
        <w:t xml:space="preserve"> </w:t>
      </w:r>
      <w:r>
        <w:t xml:space="preserve">total participation </w:t>
      </w:r>
      <w:r>
        <w:rPr>
          <w:spacing w:val="-2"/>
        </w:rPr>
        <w:t>of</w:t>
      </w:r>
      <w:r>
        <w:t xml:space="preserve"> 243 staff,</w:t>
      </w:r>
      <w:r>
        <w:rPr>
          <w:spacing w:val="67"/>
        </w:rPr>
        <w:t xml:space="preserve"> </w:t>
      </w:r>
      <w:r>
        <w:t>participation</w:t>
      </w:r>
      <w:r>
        <w:rPr>
          <w:spacing w:val="-2"/>
        </w:rPr>
        <w:t xml:space="preserve"> </w:t>
      </w:r>
      <w:r>
        <w:t>rates</w:t>
      </w:r>
      <w:r>
        <w:rPr>
          <w:spacing w:val="-3"/>
        </w:rPr>
        <w:t xml:space="preserve"> </w:t>
      </w:r>
      <w:r>
        <w:t>for</w:t>
      </w:r>
      <w:r>
        <w:rPr>
          <w:spacing w:val="1"/>
        </w:rPr>
        <w:t xml:space="preserve"> </w:t>
      </w:r>
      <w:r>
        <w:t>Aboriginal and</w:t>
      </w:r>
      <w:r>
        <w:rPr>
          <w:spacing w:val="-4"/>
        </w:rPr>
        <w:t xml:space="preserve"> </w:t>
      </w:r>
      <w:r>
        <w:t>Torres Strait Islander</w:t>
      </w:r>
      <w:r>
        <w:rPr>
          <w:spacing w:val="2"/>
        </w:rPr>
        <w:t xml:space="preserve"> </w:t>
      </w:r>
      <w:r>
        <w:rPr>
          <w:spacing w:val="-2"/>
        </w:rPr>
        <w:t>staff</w:t>
      </w:r>
      <w:r>
        <w:rPr>
          <w:spacing w:val="2"/>
        </w:rPr>
        <w:t xml:space="preserve"> </w:t>
      </w:r>
      <w:r>
        <w:t>equate</w:t>
      </w:r>
      <w:r>
        <w:rPr>
          <w:spacing w:val="-2"/>
        </w:rPr>
        <w:t xml:space="preserve"> </w:t>
      </w:r>
      <w:r>
        <w:t>to</w:t>
      </w:r>
      <w:r>
        <w:rPr>
          <w:spacing w:val="-2"/>
        </w:rPr>
        <w:t xml:space="preserve"> </w:t>
      </w:r>
      <w:r>
        <w:t>3.3%.</w:t>
      </w:r>
      <w:r w:rsidR="00B9078F">
        <w:rPr>
          <w:rStyle w:val="FootnoteReference"/>
        </w:rPr>
        <w:footnoteReference w:id="123"/>
      </w:r>
    </w:p>
    <w:p w:rsidR="0025094D" w:rsidRDefault="00B9078F" w:rsidP="00B9078F">
      <w:pPr>
        <w:pStyle w:val="Bodytext"/>
      </w:pPr>
      <w:r>
        <w:t xml:space="preserve">The Committee’s consideration of data on career development is in Chapter </w:t>
      </w:r>
      <w:r w:rsidR="007723FA">
        <w:t>6</w:t>
      </w:r>
      <w:r>
        <w:t xml:space="preserve">. </w:t>
      </w:r>
    </w:p>
    <w:p w:rsidR="0047671F" w:rsidRDefault="00B9078F" w:rsidP="0047671F">
      <w:pPr>
        <w:pStyle w:val="Bodytext"/>
      </w:pPr>
      <w:r>
        <w:t xml:space="preserve">At the 11 December 2013 public hearing, </w:t>
      </w:r>
      <w:r w:rsidR="00323080">
        <w:t xml:space="preserve">Elected Body </w:t>
      </w:r>
      <w:r>
        <w:t xml:space="preserve">Member, Mr Brendan Church </w:t>
      </w:r>
      <w:r w:rsidR="0047671F">
        <w:t>referred to the importance of career development in the context of retention of Aboriginal and Torres Strait Islander employees in the ACTPS.</w:t>
      </w:r>
    </w:p>
    <w:p w:rsidR="00B9078F" w:rsidRDefault="0047671F" w:rsidP="0047671F">
      <w:pPr>
        <w:pStyle w:val="Quote"/>
        <w:rPr>
          <w:spacing w:val="-1"/>
        </w:rPr>
      </w:pPr>
      <w:r>
        <w:t xml:space="preserve"> ... </w:t>
      </w:r>
      <w:r w:rsidR="00B9078F">
        <w:t>retaining</w:t>
      </w:r>
      <w:r w:rsidR="00B9078F">
        <w:rPr>
          <w:spacing w:val="5"/>
        </w:rPr>
        <w:t xml:space="preserve"> </w:t>
      </w:r>
      <w:r w:rsidR="00B9078F">
        <w:t>staff</w:t>
      </w:r>
      <w:r w:rsidR="00B9078F">
        <w:rPr>
          <w:spacing w:val="6"/>
        </w:rPr>
        <w:t xml:space="preserve"> </w:t>
      </w:r>
      <w:r w:rsidR="00B9078F">
        <w:t>is</w:t>
      </w:r>
      <w:r w:rsidR="00B9078F">
        <w:rPr>
          <w:spacing w:val="7"/>
        </w:rPr>
        <w:t xml:space="preserve"> </w:t>
      </w:r>
      <w:r w:rsidR="00B9078F">
        <w:t>a</w:t>
      </w:r>
      <w:r w:rsidR="00B9078F">
        <w:rPr>
          <w:spacing w:val="6"/>
        </w:rPr>
        <w:t xml:space="preserve"> </w:t>
      </w:r>
      <w:r w:rsidR="00B9078F">
        <w:t>profound</w:t>
      </w:r>
      <w:r w:rsidR="00B9078F">
        <w:rPr>
          <w:spacing w:val="6"/>
        </w:rPr>
        <w:t xml:space="preserve"> </w:t>
      </w:r>
      <w:r w:rsidR="00B9078F">
        <w:t>issue</w:t>
      </w:r>
      <w:r w:rsidR="00B9078F">
        <w:rPr>
          <w:spacing w:val="6"/>
        </w:rPr>
        <w:t xml:space="preserve"> </w:t>
      </w:r>
      <w:r w:rsidR="00B9078F">
        <w:t>identified</w:t>
      </w:r>
      <w:r w:rsidR="00B9078F">
        <w:rPr>
          <w:spacing w:val="6"/>
        </w:rPr>
        <w:t xml:space="preserve"> </w:t>
      </w:r>
      <w:r w:rsidR="00B9078F">
        <w:rPr>
          <w:spacing w:val="2"/>
        </w:rPr>
        <w:t>by</w:t>
      </w:r>
      <w:r w:rsidR="00B9078F">
        <w:rPr>
          <w:spacing w:val="54"/>
        </w:rPr>
        <w:t xml:space="preserve"> </w:t>
      </w:r>
      <w:r w:rsidR="00B9078F">
        <w:t>the</w:t>
      </w:r>
      <w:r w:rsidR="00B9078F" w:rsidRPr="00815058">
        <w:t xml:space="preserve"> </w:t>
      </w:r>
      <w:r w:rsidR="00323080" w:rsidRPr="00815058">
        <w:t>Elected Body</w:t>
      </w:r>
      <w:r w:rsidR="00B9078F">
        <w:t>.</w:t>
      </w:r>
      <w:r w:rsidR="00B9078F" w:rsidRPr="00815058">
        <w:t xml:space="preserve"> </w:t>
      </w:r>
      <w:r w:rsidR="00815058">
        <w:t xml:space="preserve">  </w:t>
      </w:r>
      <w:r w:rsidR="00B9078F">
        <w:t>Losing</w:t>
      </w:r>
      <w:r w:rsidR="00B9078F">
        <w:rPr>
          <w:spacing w:val="30"/>
        </w:rPr>
        <w:t xml:space="preserve"> </w:t>
      </w:r>
      <w:r w:rsidR="00B9078F">
        <w:t>30</w:t>
      </w:r>
      <w:r>
        <w:t> </w:t>
      </w:r>
      <w:r w:rsidR="00B9078F">
        <w:t>staff</w:t>
      </w:r>
      <w:r w:rsidR="00B9078F">
        <w:rPr>
          <w:spacing w:val="30"/>
        </w:rPr>
        <w:t xml:space="preserve"> </w:t>
      </w:r>
      <w:r w:rsidR="00B9078F">
        <w:t>last</w:t>
      </w:r>
      <w:r w:rsidR="00B9078F">
        <w:rPr>
          <w:spacing w:val="36"/>
        </w:rPr>
        <w:t xml:space="preserve"> </w:t>
      </w:r>
      <w:r w:rsidR="00B9078F">
        <w:rPr>
          <w:spacing w:val="-2"/>
        </w:rPr>
        <w:t>yea</w:t>
      </w:r>
      <w:r>
        <w:rPr>
          <w:spacing w:val="-2"/>
        </w:rPr>
        <w:t xml:space="preserve">r </w:t>
      </w:r>
      <w:r w:rsidR="00B9078F">
        <w:t>is</w:t>
      </w:r>
      <w:r w:rsidR="00FE30FB">
        <w:t xml:space="preserve"> </w:t>
      </w:r>
      <w:r w:rsidR="00B9078F">
        <w:t>not</w:t>
      </w:r>
      <w:r w:rsidR="00B9078F">
        <w:rPr>
          <w:spacing w:val="31"/>
        </w:rPr>
        <w:t xml:space="preserve"> </w:t>
      </w:r>
      <w:r w:rsidR="00B9078F">
        <w:t>okay.</w:t>
      </w:r>
      <w:r w:rsidR="00B9078F">
        <w:rPr>
          <w:spacing w:val="33"/>
        </w:rPr>
        <w:t xml:space="preserve"> </w:t>
      </w:r>
      <w:r w:rsidR="00B9078F">
        <w:t>And</w:t>
      </w:r>
      <w:r w:rsidR="00B9078F">
        <w:rPr>
          <w:spacing w:val="32"/>
        </w:rPr>
        <w:t xml:space="preserve"> </w:t>
      </w:r>
      <w:r w:rsidR="00B9078F">
        <w:t>given</w:t>
      </w:r>
      <w:r w:rsidR="00B9078F">
        <w:rPr>
          <w:spacing w:val="30"/>
        </w:rPr>
        <w:t xml:space="preserve"> </w:t>
      </w:r>
      <w:r w:rsidR="00B9078F">
        <w:t>that</w:t>
      </w:r>
      <w:r w:rsidR="00B9078F">
        <w:rPr>
          <w:spacing w:val="30"/>
        </w:rPr>
        <w:t xml:space="preserve"> </w:t>
      </w:r>
      <w:r w:rsidR="00B9078F">
        <w:t>number</w:t>
      </w:r>
      <w:r w:rsidR="00B9078F">
        <w:rPr>
          <w:spacing w:val="29"/>
        </w:rPr>
        <w:t xml:space="preserve"> </w:t>
      </w:r>
      <w:r w:rsidR="00B9078F">
        <w:t>has</w:t>
      </w:r>
      <w:r w:rsidR="00B9078F">
        <w:rPr>
          <w:spacing w:val="54"/>
        </w:rPr>
        <w:t xml:space="preserve"> </w:t>
      </w:r>
      <w:r w:rsidR="00B9078F">
        <w:t>been</w:t>
      </w:r>
      <w:r w:rsidR="00B9078F">
        <w:rPr>
          <w:spacing w:val="11"/>
        </w:rPr>
        <w:t xml:space="preserve"> </w:t>
      </w:r>
      <w:r w:rsidR="00B9078F">
        <w:t>on</w:t>
      </w:r>
      <w:r w:rsidR="00B9078F">
        <w:rPr>
          <w:spacing w:val="11"/>
        </w:rPr>
        <w:t xml:space="preserve"> </w:t>
      </w:r>
      <w:r w:rsidR="00B9078F">
        <w:t>the</w:t>
      </w:r>
      <w:r w:rsidR="00B9078F">
        <w:rPr>
          <w:spacing w:val="11"/>
        </w:rPr>
        <w:t xml:space="preserve"> </w:t>
      </w:r>
      <w:r w:rsidR="00B9078F">
        <w:t>rise</w:t>
      </w:r>
      <w:r w:rsidR="00B9078F">
        <w:rPr>
          <w:spacing w:val="10"/>
        </w:rPr>
        <w:t xml:space="preserve"> </w:t>
      </w:r>
      <w:r w:rsidR="00B9078F">
        <w:t>over</w:t>
      </w:r>
      <w:r w:rsidR="00B9078F">
        <w:rPr>
          <w:spacing w:val="11"/>
        </w:rPr>
        <w:t xml:space="preserve"> </w:t>
      </w:r>
      <w:r w:rsidR="00B9078F">
        <w:t>the</w:t>
      </w:r>
      <w:r w:rsidR="00B9078F">
        <w:rPr>
          <w:spacing w:val="13"/>
        </w:rPr>
        <w:t xml:space="preserve"> </w:t>
      </w:r>
      <w:r w:rsidR="00B9078F">
        <w:t>past</w:t>
      </w:r>
      <w:r w:rsidR="00B9078F">
        <w:rPr>
          <w:spacing w:val="12"/>
        </w:rPr>
        <w:t xml:space="preserve"> </w:t>
      </w:r>
      <w:r w:rsidR="00B9078F">
        <w:t>couple</w:t>
      </w:r>
      <w:r w:rsidR="00B9078F">
        <w:rPr>
          <w:spacing w:val="11"/>
        </w:rPr>
        <w:t xml:space="preserve"> </w:t>
      </w:r>
      <w:r w:rsidR="00B9078F">
        <w:t>of</w:t>
      </w:r>
      <w:r w:rsidR="00B9078F">
        <w:rPr>
          <w:spacing w:val="13"/>
        </w:rPr>
        <w:t xml:space="preserve"> </w:t>
      </w:r>
      <w:r w:rsidR="00B9078F">
        <w:t>years,</w:t>
      </w:r>
      <w:r w:rsidR="00B9078F">
        <w:rPr>
          <w:spacing w:val="13"/>
        </w:rPr>
        <w:t xml:space="preserve"> </w:t>
      </w:r>
      <w:r w:rsidR="00B9078F">
        <w:t>I</w:t>
      </w:r>
      <w:r w:rsidR="00B9078F">
        <w:rPr>
          <w:spacing w:val="6"/>
        </w:rPr>
        <w:t xml:space="preserve"> </w:t>
      </w:r>
      <w:r w:rsidR="00B9078F">
        <w:t>think</w:t>
      </w:r>
      <w:r w:rsidR="00B9078F">
        <w:rPr>
          <w:spacing w:val="12"/>
        </w:rPr>
        <w:t xml:space="preserve"> </w:t>
      </w:r>
      <w:r w:rsidR="00B9078F">
        <w:t>we</w:t>
      </w:r>
      <w:r w:rsidR="00B9078F">
        <w:rPr>
          <w:spacing w:val="10"/>
        </w:rPr>
        <w:t xml:space="preserve"> </w:t>
      </w:r>
      <w:r w:rsidR="00B9078F">
        <w:t>need</w:t>
      </w:r>
      <w:r w:rsidR="00B9078F">
        <w:rPr>
          <w:spacing w:val="11"/>
        </w:rPr>
        <w:t xml:space="preserve"> </w:t>
      </w:r>
      <w:r w:rsidR="00B9078F">
        <w:t>to</w:t>
      </w:r>
      <w:r w:rsidR="00B9078F">
        <w:rPr>
          <w:spacing w:val="12"/>
        </w:rPr>
        <w:t xml:space="preserve"> </w:t>
      </w:r>
      <w:r w:rsidR="00B9078F">
        <w:t>really</w:t>
      </w:r>
      <w:r w:rsidR="00B9078F">
        <w:rPr>
          <w:spacing w:val="6"/>
        </w:rPr>
        <w:t xml:space="preserve"> </w:t>
      </w:r>
      <w:r w:rsidR="00B9078F">
        <w:t>look</w:t>
      </w:r>
      <w:r w:rsidR="00B9078F">
        <w:rPr>
          <w:spacing w:val="11"/>
        </w:rPr>
        <w:t xml:space="preserve"> </w:t>
      </w:r>
      <w:r w:rsidR="00B9078F">
        <w:t>at</w:t>
      </w:r>
      <w:r w:rsidR="00B9078F">
        <w:rPr>
          <w:spacing w:val="12"/>
        </w:rPr>
        <w:t xml:space="preserve"> </w:t>
      </w:r>
      <w:r w:rsidR="00B9078F">
        <w:t>doing</w:t>
      </w:r>
      <w:r w:rsidR="00B9078F">
        <w:rPr>
          <w:spacing w:val="43"/>
        </w:rPr>
        <w:t xml:space="preserve"> </w:t>
      </w:r>
      <w:r w:rsidR="00B9078F">
        <w:t>something</w:t>
      </w:r>
      <w:r w:rsidR="00B9078F">
        <w:rPr>
          <w:spacing w:val="40"/>
        </w:rPr>
        <w:t xml:space="preserve"> </w:t>
      </w:r>
      <w:r w:rsidR="00B9078F">
        <w:t>to</w:t>
      </w:r>
      <w:r w:rsidR="00B9078F">
        <w:rPr>
          <w:spacing w:val="43"/>
        </w:rPr>
        <w:t xml:space="preserve"> </w:t>
      </w:r>
      <w:r w:rsidR="00B9078F">
        <w:t>help</w:t>
      </w:r>
      <w:r w:rsidR="00B9078F">
        <w:rPr>
          <w:spacing w:val="44"/>
        </w:rPr>
        <w:t xml:space="preserve"> </w:t>
      </w:r>
      <w:r w:rsidR="00B9078F">
        <w:t>retain</w:t>
      </w:r>
      <w:r w:rsidR="00B9078F">
        <w:rPr>
          <w:spacing w:val="45"/>
        </w:rPr>
        <w:t xml:space="preserve"> </w:t>
      </w:r>
      <w:r w:rsidR="00B9078F">
        <w:t>staff.</w:t>
      </w:r>
      <w:r w:rsidR="00B9078F">
        <w:rPr>
          <w:spacing w:val="42"/>
        </w:rPr>
        <w:t xml:space="preserve"> </w:t>
      </w:r>
      <w:r w:rsidR="00B9078F">
        <w:t>That</w:t>
      </w:r>
      <w:r w:rsidR="00B9078F">
        <w:rPr>
          <w:spacing w:val="43"/>
        </w:rPr>
        <w:t xml:space="preserve"> </w:t>
      </w:r>
      <w:r w:rsidR="00B9078F">
        <w:t>will</w:t>
      </w:r>
      <w:r w:rsidR="00B9078F">
        <w:rPr>
          <w:spacing w:val="43"/>
        </w:rPr>
        <w:t xml:space="preserve"> </w:t>
      </w:r>
      <w:r w:rsidR="00B9078F">
        <w:t>be</w:t>
      </w:r>
      <w:r w:rsidR="00B9078F">
        <w:rPr>
          <w:spacing w:val="42"/>
        </w:rPr>
        <w:t xml:space="preserve"> </w:t>
      </w:r>
      <w:r w:rsidR="00B9078F">
        <w:t>things</w:t>
      </w:r>
      <w:r w:rsidR="00B9078F">
        <w:rPr>
          <w:spacing w:val="43"/>
        </w:rPr>
        <w:t xml:space="preserve"> </w:t>
      </w:r>
      <w:r w:rsidR="00B9078F">
        <w:t>like</w:t>
      </w:r>
      <w:r w:rsidR="00B9078F">
        <w:rPr>
          <w:spacing w:val="42"/>
        </w:rPr>
        <w:t xml:space="preserve"> </w:t>
      </w:r>
      <w:r w:rsidR="00B9078F">
        <w:t>making</w:t>
      </w:r>
      <w:r w:rsidR="00B9078F">
        <w:rPr>
          <w:spacing w:val="40"/>
        </w:rPr>
        <w:t xml:space="preserve"> </w:t>
      </w:r>
      <w:r w:rsidR="00B9078F">
        <w:t>sure</w:t>
      </w:r>
      <w:r w:rsidR="00B9078F">
        <w:rPr>
          <w:spacing w:val="41"/>
        </w:rPr>
        <w:t xml:space="preserve"> </w:t>
      </w:r>
      <w:r w:rsidR="00B9078F">
        <w:t>that</w:t>
      </w:r>
      <w:r w:rsidR="00B9078F">
        <w:rPr>
          <w:spacing w:val="43"/>
        </w:rPr>
        <w:t xml:space="preserve"> </w:t>
      </w:r>
      <w:r w:rsidR="00B9078F">
        <w:t>there</w:t>
      </w:r>
      <w:r w:rsidR="00B9078F">
        <w:rPr>
          <w:spacing w:val="42"/>
        </w:rPr>
        <w:t xml:space="preserve"> </w:t>
      </w:r>
      <w:r w:rsidR="00B9078F">
        <w:t>are</w:t>
      </w:r>
      <w:r w:rsidR="00B9078F">
        <w:rPr>
          <w:spacing w:val="47"/>
        </w:rPr>
        <w:t xml:space="preserve"> </w:t>
      </w:r>
      <w:r w:rsidR="00B9078F">
        <w:t>meaningful</w:t>
      </w:r>
      <w:r w:rsidR="00B9078F">
        <w:rPr>
          <w:spacing w:val="14"/>
        </w:rPr>
        <w:t xml:space="preserve"> </w:t>
      </w:r>
      <w:r w:rsidR="00B9078F">
        <w:t>roles</w:t>
      </w:r>
      <w:r w:rsidR="00B9078F">
        <w:rPr>
          <w:spacing w:val="14"/>
        </w:rPr>
        <w:t xml:space="preserve"> </w:t>
      </w:r>
      <w:r w:rsidR="00B9078F">
        <w:t>attached</w:t>
      </w:r>
      <w:r w:rsidR="00B9078F">
        <w:rPr>
          <w:spacing w:val="14"/>
        </w:rPr>
        <w:t xml:space="preserve"> </w:t>
      </w:r>
      <w:r w:rsidR="00B9078F">
        <w:t>to</w:t>
      </w:r>
      <w:r w:rsidR="00B9078F">
        <w:rPr>
          <w:spacing w:val="14"/>
        </w:rPr>
        <w:t xml:space="preserve"> </w:t>
      </w:r>
      <w:r w:rsidR="00B9078F">
        <w:t>their</w:t>
      </w:r>
      <w:r w:rsidR="00B9078F">
        <w:rPr>
          <w:spacing w:val="13"/>
        </w:rPr>
        <w:t xml:space="preserve"> </w:t>
      </w:r>
      <w:r w:rsidR="00B9078F">
        <w:t>positions,</w:t>
      </w:r>
      <w:r w:rsidR="00B9078F">
        <w:rPr>
          <w:spacing w:val="14"/>
        </w:rPr>
        <w:t xml:space="preserve"> </w:t>
      </w:r>
      <w:r w:rsidR="00B9078F">
        <w:t>clear</w:t>
      </w:r>
      <w:r w:rsidR="00B9078F">
        <w:rPr>
          <w:spacing w:val="13"/>
        </w:rPr>
        <w:t xml:space="preserve"> </w:t>
      </w:r>
      <w:r w:rsidR="00B9078F">
        <w:t>career</w:t>
      </w:r>
      <w:r w:rsidR="00B9078F">
        <w:rPr>
          <w:spacing w:val="13"/>
        </w:rPr>
        <w:t xml:space="preserve"> </w:t>
      </w:r>
      <w:r w:rsidR="00B9078F">
        <w:t>progression,</w:t>
      </w:r>
      <w:r w:rsidR="00B9078F">
        <w:rPr>
          <w:spacing w:val="14"/>
        </w:rPr>
        <w:t xml:space="preserve"> </w:t>
      </w:r>
      <w:r w:rsidR="00B9078F">
        <w:t>but</w:t>
      </w:r>
      <w:r w:rsidR="00B9078F">
        <w:rPr>
          <w:spacing w:val="14"/>
        </w:rPr>
        <w:t xml:space="preserve"> </w:t>
      </w:r>
      <w:r w:rsidR="00B9078F">
        <w:t>also</w:t>
      </w:r>
      <w:r w:rsidR="00B9078F">
        <w:rPr>
          <w:spacing w:val="14"/>
        </w:rPr>
        <w:t xml:space="preserve"> </w:t>
      </w:r>
      <w:r w:rsidR="00B9078F">
        <w:t>greater</w:t>
      </w:r>
      <w:r w:rsidR="00B9078F">
        <w:rPr>
          <w:spacing w:val="91"/>
        </w:rPr>
        <w:t xml:space="preserve"> </w:t>
      </w:r>
      <w:r w:rsidR="00B9078F">
        <w:t>flexibility</w:t>
      </w:r>
      <w:r w:rsidR="00B9078F">
        <w:rPr>
          <w:spacing w:val="42"/>
        </w:rPr>
        <w:t xml:space="preserve"> </w:t>
      </w:r>
      <w:r w:rsidR="00B9078F">
        <w:t>in</w:t>
      </w:r>
      <w:r w:rsidR="00B9078F">
        <w:rPr>
          <w:spacing w:val="48"/>
        </w:rPr>
        <w:t xml:space="preserve"> </w:t>
      </w:r>
      <w:r w:rsidR="00B9078F">
        <w:t>the</w:t>
      </w:r>
      <w:r w:rsidR="00B9078F">
        <w:rPr>
          <w:spacing w:val="47"/>
        </w:rPr>
        <w:t xml:space="preserve"> </w:t>
      </w:r>
      <w:r w:rsidR="00B9078F">
        <w:t>public</w:t>
      </w:r>
      <w:r w:rsidR="00B9078F">
        <w:rPr>
          <w:spacing w:val="48"/>
        </w:rPr>
        <w:t xml:space="preserve"> </w:t>
      </w:r>
      <w:r w:rsidR="00B9078F">
        <w:t>service.</w:t>
      </w:r>
      <w:r w:rsidR="00B9078F">
        <w:rPr>
          <w:spacing w:val="52"/>
        </w:rPr>
        <w:t xml:space="preserve"> </w:t>
      </w:r>
      <w:r w:rsidR="00B9078F">
        <w:rPr>
          <w:spacing w:val="-2"/>
        </w:rPr>
        <w:t>It</w:t>
      </w:r>
      <w:r w:rsidR="00B9078F">
        <w:rPr>
          <w:spacing w:val="48"/>
        </w:rPr>
        <w:t xml:space="preserve"> </w:t>
      </w:r>
      <w:r w:rsidR="00B9078F">
        <w:t>is</w:t>
      </w:r>
      <w:r w:rsidR="00B9078F">
        <w:rPr>
          <w:spacing w:val="48"/>
        </w:rPr>
        <w:t xml:space="preserve"> </w:t>
      </w:r>
      <w:r w:rsidR="00B9078F">
        <w:t>unfortunate</w:t>
      </w:r>
      <w:r w:rsidR="00B9078F">
        <w:rPr>
          <w:spacing w:val="47"/>
        </w:rPr>
        <w:t xml:space="preserve"> </w:t>
      </w:r>
      <w:r w:rsidR="00B9078F">
        <w:t>that</w:t>
      </w:r>
      <w:r w:rsidR="00B9078F">
        <w:rPr>
          <w:spacing w:val="47"/>
        </w:rPr>
        <w:t xml:space="preserve"> </w:t>
      </w:r>
      <w:r w:rsidR="00B9078F">
        <w:t>we</w:t>
      </w:r>
      <w:r w:rsidR="00B9078F">
        <w:rPr>
          <w:spacing w:val="48"/>
        </w:rPr>
        <w:t xml:space="preserve"> </w:t>
      </w:r>
      <w:r w:rsidR="00B9078F">
        <w:t>do</w:t>
      </w:r>
      <w:r w:rsidR="00B9078F">
        <w:rPr>
          <w:spacing w:val="47"/>
        </w:rPr>
        <w:t xml:space="preserve"> </w:t>
      </w:r>
      <w:r w:rsidR="00B9078F">
        <w:t>not</w:t>
      </w:r>
      <w:r w:rsidR="00B9078F">
        <w:rPr>
          <w:spacing w:val="48"/>
        </w:rPr>
        <w:t xml:space="preserve"> </w:t>
      </w:r>
      <w:r w:rsidR="00B9078F">
        <w:t>have</w:t>
      </w:r>
      <w:r w:rsidR="00B9078F">
        <w:rPr>
          <w:spacing w:val="48"/>
        </w:rPr>
        <w:t xml:space="preserve"> </w:t>
      </w:r>
      <w:r w:rsidR="00B9078F">
        <w:t>the</w:t>
      </w:r>
      <w:r w:rsidR="00B9078F">
        <w:rPr>
          <w:spacing w:val="47"/>
        </w:rPr>
        <w:t xml:space="preserve"> </w:t>
      </w:r>
      <w:r w:rsidR="00B9078F">
        <w:t>current</w:t>
      </w:r>
      <w:r w:rsidR="00B9078F">
        <w:rPr>
          <w:spacing w:val="23"/>
        </w:rPr>
        <w:t xml:space="preserve"> </w:t>
      </w:r>
      <w:r w:rsidR="00B9078F">
        <w:t>capacity</w:t>
      </w:r>
      <w:r w:rsidR="00B9078F">
        <w:rPr>
          <w:spacing w:val="57"/>
        </w:rPr>
        <w:t xml:space="preserve"> </w:t>
      </w:r>
      <w:r w:rsidR="00B9078F">
        <w:t xml:space="preserve">to </w:t>
      </w:r>
      <w:r w:rsidR="00B9078F">
        <w:rPr>
          <w:spacing w:val="2"/>
        </w:rPr>
        <w:t xml:space="preserve"> </w:t>
      </w:r>
      <w:r w:rsidR="00B9078F">
        <w:t xml:space="preserve">do </w:t>
      </w:r>
      <w:r w:rsidR="00B9078F">
        <w:rPr>
          <w:spacing w:val="3"/>
        </w:rPr>
        <w:t xml:space="preserve"> </w:t>
      </w:r>
      <w:r w:rsidR="00B9078F">
        <w:t xml:space="preserve">secondments </w:t>
      </w:r>
      <w:r w:rsidR="00B9078F">
        <w:rPr>
          <w:spacing w:val="2"/>
        </w:rPr>
        <w:t xml:space="preserve"> </w:t>
      </w:r>
      <w:r w:rsidR="00B9078F">
        <w:t xml:space="preserve">across </w:t>
      </w:r>
      <w:r w:rsidR="00B9078F">
        <w:rPr>
          <w:spacing w:val="1"/>
        </w:rPr>
        <w:t xml:space="preserve"> </w:t>
      </w:r>
      <w:r w:rsidR="00B9078F">
        <w:t xml:space="preserve">other  areas </w:t>
      </w:r>
      <w:r w:rsidR="00B9078F">
        <w:rPr>
          <w:spacing w:val="4"/>
        </w:rPr>
        <w:t xml:space="preserve"> </w:t>
      </w:r>
      <w:r w:rsidR="00B9078F">
        <w:t xml:space="preserve">of </w:t>
      </w:r>
      <w:r w:rsidR="00B9078F">
        <w:rPr>
          <w:spacing w:val="1"/>
        </w:rPr>
        <w:t xml:space="preserve"> </w:t>
      </w:r>
      <w:r w:rsidR="00B9078F">
        <w:t xml:space="preserve">directorates, </w:t>
      </w:r>
      <w:r w:rsidR="00B9078F">
        <w:rPr>
          <w:spacing w:val="1"/>
        </w:rPr>
        <w:t xml:space="preserve"> </w:t>
      </w:r>
      <w:r w:rsidR="00B9078F">
        <w:t xml:space="preserve">which </w:t>
      </w:r>
      <w:r w:rsidR="00B9078F">
        <w:rPr>
          <w:spacing w:val="4"/>
        </w:rPr>
        <w:t xml:space="preserve"> </w:t>
      </w:r>
      <w:r w:rsidR="00B9078F">
        <w:t xml:space="preserve">the </w:t>
      </w:r>
      <w:r w:rsidR="00B9078F">
        <w:rPr>
          <w:spacing w:val="1"/>
        </w:rPr>
        <w:t xml:space="preserve"> </w:t>
      </w:r>
      <w:r w:rsidR="00B9078F">
        <w:t>federal</w:t>
      </w:r>
      <w:r>
        <w:t xml:space="preserve"> </w:t>
      </w:r>
      <w:r w:rsidR="00B9078F">
        <w:rPr>
          <w:spacing w:val="-1"/>
        </w:rPr>
        <w:t>government</w:t>
      </w:r>
      <w:r w:rsidR="00B9078F">
        <w:rPr>
          <w:spacing w:val="5"/>
        </w:rPr>
        <w:t xml:space="preserve"> </w:t>
      </w:r>
      <w:r w:rsidR="00B9078F">
        <w:t>can</w:t>
      </w:r>
      <w:r w:rsidR="00B9078F">
        <w:rPr>
          <w:spacing w:val="4"/>
        </w:rPr>
        <w:t xml:space="preserve"> </w:t>
      </w:r>
      <w:r w:rsidR="00B9078F">
        <w:t>do.</w:t>
      </w:r>
      <w:r>
        <w:t xml:space="preserve"> </w:t>
      </w:r>
      <w:r w:rsidR="00B9078F">
        <w:rPr>
          <w:spacing w:val="6"/>
        </w:rPr>
        <w:t xml:space="preserve"> </w:t>
      </w:r>
      <w:r w:rsidR="00B9078F">
        <w:rPr>
          <w:spacing w:val="-2"/>
        </w:rPr>
        <w:t>If</w:t>
      </w:r>
      <w:r w:rsidR="00B9078F">
        <w:rPr>
          <w:spacing w:val="6"/>
        </w:rPr>
        <w:t xml:space="preserve"> </w:t>
      </w:r>
      <w:r w:rsidR="00B9078F">
        <w:t>we</w:t>
      </w:r>
      <w:r w:rsidR="00B9078F">
        <w:rPr>
          <w:spacing w:val="3"/>
        </w:rPr>
        <w:t xml:space="preserve"> </w:t>
      </w:r>
      <w:r w:rsidR="00B9078F">
        <w:rPr>
          <w:spacing w:val="-1"/>
        </w:rPr>
        <w:t>work</w:t>
      </w:r>
      <w:r w:rsidR="00B9078F">
        <w:rPr>
          <w:spacing w:val="4"/>
        </w:rPr>
        <w:t xml:space="preserve"> </w:t>
      </w:r>
      <w:r w:rsidR="00B9078F">
        <w:t>to</w:t>
      </w:r>
      <w:r w:rsidR="00B9078F">
        <w:rPr>
          <w:spacing w:val="5"/>
        </w:rPr>
        <w:t xml:space="preserve"> </w:t>
      </w:r>
      <w:r w:rsidR="00B9078F">
        <w:rPr>
          <w:spacing w:val="-1"/>
        </w:rPr>
        <w:t>promote</w:t>
      </w:r>
      <w:r w:rsidR="00B9078F">
        <w:rPr>
          <w:spacing w:val="3"/>
        </w:rPr>
        <w:t xml:space="preserve"> </w:t>
      </w:r>
      <w:r w:rsidR="00B9078F">
        <w:t>those</w:t>
      </w:r>
      <w:r w:rsidR="00B9078F">
        <w:rPr>
          <w:spacing w:val="8"/>
        </w:rPr>
        <w:t xml:space="preserve"> </w:t>
      </w:r>
      <w:r w:rsidR="00B9078F">
        <w:rPr>
          <w:spacing w:val="-1"/>
        </w:rPr>
        <w:t>types</w:t>
      </w:r>
      <w:r w:rsidR="00B9078F">
        <w:rPr>
          <w:spacing w:val="4"/>
        </w:rPr>
        <w:t xml:space="preserve"> </w:t>
      </w:r>
      <w:r w:rsidR="00B9078F">
        <w:t>of</w:t>
      </w:r>
      <w:r w:rsidR="00B9078F">
        <w:rPr>
          <w:spacing w:val="6"/>
        </w:rPr>
        <w:t xml:space="preserve"> </w:t>
      </w:r>
      <w:r w:rsidR="00B9078F">
        <w:rPr>
          <w:spacing w:val="-1"/>
        </w:rPr>
        <w:t>activities</w:t>
      </w:r>
      <w:r w:rsidR="00B9078F">
        <w:rPr>
          <w:spacing w:val="4"/>
        </w:rPr>
        <w:t xml:space="preserve"> </w:t>
      </w:r>
      <w:r w:rsidR="00B9078F">
        <w:t>in</w:t>
      </w:r>
      <w:r w:rsidR="00B9078F">
        <w:rPr>
          <w:spacing w:val="5"/>
        </w:rPr>
        <w:t xml:space="preserve"> </w:t>
      </w:r>
      <w:r w:rsidR="00B9078F">
        <w:t>the</w:t>
      </w:r>
      <w:r w:rsidR="00B9078F">
        <w:rPr>
          <w:spacing w:val="6"/>
        </w:rPr>
        <w:t xml:space="preserve"> </w:t>
      </w:r>
      <w:r w:rsidR="00B9078F">
        <w:t>ACT</w:t>
      </w:r>
      <w:r w:rsidR="00B9078F">
        <w:rPr>
          <w:spacing w:val="4"/>
        </w:rPr>
        <w:t xml:space="preserve"> </w:t>
      </w:r>
      <w:r w:rsidR="00B9078F">
        <w:t>public</w:t>
      </w:r>
      <w:r w:rsidR="00B9078F">
        <w:rPr>
          <w:spacing w:val="49"/>
        </w:rPr>
        <w:t xml:space="preserve"> </w:t>
      </w:r>
      <w:r w:rsidR="00B9078F">
        <w:rPr>
          <w:spacing w:val="-1"/>
        </w:rPr>
        <w:t>service,</w:t>
      </w:r>
      <w:r w:rsidR="00B9078F">
        <w:rPr>
          <w:spacing w:val="2"/>
        </w:rPr>
        <w:t xml:space="preserve"> </w:t>
      </w:r>
      <w:r w:rsidR="00B9078F">
        <w:t>I</w:t>
      </w:r>
      <w:r w:rsidR="00B9078F">
        <w:rPr>
          <w:spacing w:val="-1"/>
        </w:rPr>
        <w:t xml:space="preserve"> am</w:t>
      </w:r>
      <w:r w:rsidR="00B9078F">
        <w:t xml:space="preserve"> sure</w:t>
      </w:r>
      <w:r w:rsidR="00B9078F">
        <w:rPr>
          <w:spacing w:val="-1"/>
        </w:rPr>
        <w:t xml:space="preserve"> </w:t>
      </w:r>
      <w:r w:rsidR="00B9078F">
        <w:t>the</w:t>
      </w:r>
      <w:r w:rsidR="00B9078F">
        <w:rPr>
          <w:spacing w:val="1"/>
        </w:rPr>
        <w:t xml:space="preserve"> </w:t>
      </w:r>
      <w:r w:rsidR="00B9078F">
        <w:rPr>
          <w:spacing w:val="-1"/>
        </w:rPr>
        <w:t>retention</w:t>
      </w:r>
      <w:r w:rsidR="00B9078F">
        <w:t xml:space="preserve"> </w:t>
      </w:r>
      <w:r w:rsidR="00B9078F">
        <w:rPr>
          <w:spacing w:val="-1"/>
        </w:rPr>
        <w:t>rates</w:t>
      </w:r>
      <w:r w:rsidR="00B9078F">
        <w:t xml:space="preserve"> </w:t>
      </w:r>
      <w:r w:rsidR="00B9078F">
        <w:rPr>
          <w:spacing w:val="-1"/>
        </w:rPr>
        <w:t>would</w:t>
      </w:r>
      <w:r w:rsidR="00B9078F">
        <w:t xml:space="preserve"> </w:t>
      </w:r>
      <w:r w:rsidR="00B9078F">
        <w:rPr>
          <w:spacing w:val="-1"/>
        </w:rPr>
        <w:t>level</w:t>
      </w:r>
      <w:r w:rsidR="00B9078F">
        <w:rPr>
          <w:spacing w:val="2"/>
        </w:rPr>
        <w:t xml:space="preserve"> </w:t>
      </w:r>
      <w:r w:rsidR="00B9078F">
        <w:t xml:space="preserve">out a lot </w:t>
      </w:r>
      <w:r w:rsidR="00B9078F">
        <w:rPr>
          <w:spacing w:val="-1"/>
        </w:rPr>
        <w:t>better.</w:t>
      </w:r>
      <w:r>
        <w:rPr>
          <w:rStyle w:val="FootnoteReference"/>
          <w:spacing w:val="-1"/>
        </w:rPr>
        <w:footnoteReference w:id="124"/>
      </w:r>
    </w:p>
    <w:p w:rsidR="003A3852" w:rsidRDefault="003A3852" w:rsidP="0047671F">
      <w:pPr>
        <w:pStyle w:val="Bodytext"/>
      </w:pPr>
      <w:r>
        <w:t xml:space="preserve">The Committee agrees with the need for the initiatives listed by </w:t>
      </w:r>
      <w:r w:rsidR="00E4027E">
        <w:t>Mr Church</w:t>
      </w:r>
      <w:r>
        <w:t>.  The Committee strongly believes that success in creating rewarding working environments and career paths will be of advantage to the ACTPS as a whole.   The Committee notes the same issues in seeking to implement the Indigenous employment strategy in the South Australian public sector.</w:t>
      </w:r>
      <w:r w:rsidR="00E4027E">
        <w:t xml:space="preserve">  </w:t>
      </w:r>
    </w:p>
    <w:p w:rsidR="00E4027E" w:rsidRDefault="003A3852" w:rsidP="0047671F">
      <w:pPr>
        <w:pStyle w:val="Bodytext"/>
      </w:pPr>
      <w:r>
        <w:t xml:space="preserve">While the need for improvement in these areas </w:t>
      </w:r>
      <w:r w:rsidR="00EE42B7">
        <w:t xml:space="preserve">exists </w:t>
      </w:r>
      <w:r>
        <w:t>in the ACTPS as a whole, t</w:t>
      </w:r>
      <w:r w:rsidR="00E4027E">
        <w:t xml:space="preserve">he Committee acknowledges that some directorates seem to be making progress in the right direction.  At the 12 December 2013 Roundtable discussion with ACTPS Aboriginal and Torres Strait Islander employees, the Committee was very pleased to hear from Ms Ginibi Robinson about the development and launch of the Education and Training Directorate’s </w:t>
      </w:r>
      <w:r w:rsidR="00E4027E" w:rsidRPr="00E4027E">
        <w:rPr>
          <w:i/>
        </w:rPr>
        <w:t>Aboriginal and Torres Strait Islander Employment Action Plan 2014-17</w:t>
      </w:r>
      <w:r w:rsidR="00E4027E">
        <w:t xml:space="preserve">.  </w:t>
      </w:r>
    </w:p>
    <w:p w:rsidR="00E4027E" w:rsidRDefault="00E4027E" w:rsidP="0047671F">
      <w:pPr>
        <w:pStyle w:val="Bodytext"/>
      </w:pPr>
      <w:r>
        <w:t xml:space="preserve">Ms Robinson stated: </w:t>
      </w:r>
    </w:p>
    <w:p w:rsidR="00E4027E" w:rsidRDefault="00E4027E" w:rsidP="00E4027E">
      <w:pPr>
        <w:pStyle w:val="Quote"/>
      </w:pPr>
      <w:r>
        <w:t xml:space="preserve">One of the key actions [in the Employment Action Plan] is looking at supporting pathways, and real pathways, for Aboriginal and Torres Strait Islander staff, both in identified positions and mainstream positions.  In the role I currently have in HR, I think there is a real push, probably for the first time, to increase the number of Aboriginal staff and pathways into education, and real pathways into education, for community mob but then to look at career pathways as well and supporting career opportunities. I think we are at the start, having gone through some real changes and some challenging times, to be in a position where for the first time, as a collective, our career aspirations will be supported and there will be a genuine commitment from the directorate to create some real pathways. </w:t>
      </w:r>
    </w:p>
    <w:p w:rsidR="00E4027E" w:rsidRDefault="00E4027E" w:rsidP="00E4027E">
      <w:pPr>
        <w:pStyle w:val="Quote"/>
      </w:pPr>
      <w:r>
        <w:t xml:space="preserve">I think part of that is in the launch. It is not just a bureaucratic-type document but it actually has the voices in it of Aboriginal and Torres Strait Islander staff, and non-Aboriginal mob too, about what the directorate would look like if there were real career opportunities, if there were pathways for community mob into education, if there was appropriate cultural supervision, mentoring, induction, the whole gamut. Aboriginal and Torres Strait Islander staff were also asked to share their stories and their journeys in education. So that is part of what was launched the other day. </w:t>
      </w:r>
    </w:p>
    <w:p w:rsidR="00E4027E" w:rsidRDefault="00E4027E" w:rsidP="00E4027E">
      <w:pPr>
        <w:pStyle w:val="Quote"/>
      </w:pPr>
      <w:r>
        <w:t>We have got an email address as well, our mob, and that will be part of a whole range of promotional materials that will support community members into pathways in education and then current staff to look at career opportunities as well. So I think that is where we can actually start looking at yarning with every staff member from an HR perspective and really asking the questions: where do you want to be? Where do you want to go? What do you need to be supported to apply for a position that might be at a higher level? What can we do to support that as well?</w:t>
      </w:r>
      <w:r w:rsidR="00EE42B7">
        <w:rPr>
          <w:rStyle w:val="FootnoteReference"/>
        </w:rPr>
        <w:footnoteReference w:id="125"/>
      </w:r>
    </w:p>
    <w:p w:rsidR="00AF1445" w:rsidRDefault="00E4027E" w:rsidP="0047671F">
      <w:pPr>
        <w:pStyle w:val="Bodytext"/>
      </w:pPr>
      <w:r>
        <w:t xml:space="preserve">The Committee was impressed with </w:t>
      </w:r>
      <w:r w:rsidR="00AF1445">
        <w:t xml:space="preserve">both </w:t>
      </w:r>
      <w:r>
        <w:t>the Education and Training Directorate</w:t>
      </w:r>
      <w:r w:rsidR="003A3852">
        <w:t>’</w:t>
      </w:r>
      <w:r>
        <w:t xml:space="preserve">s </w:t>
      </w:r>
      <w:r w:rsidRPr="00415749">
        <w:rPr>
          <w:i/>
        </w:rPr>
        <w:t xml:space="preserve">Aboriginal and Torres Strait Islander </w:t>
      </w:r>
      <w:r w:rsidR="00ED70BD">
        <w:rPr>
          <w:i/>
        </w:rPr>
        <w:t xml:space="preserve">Employment </w:t>
      </w:r>
      <w:r w:rsidRPr="00415749">
        <w:rPr>
          <w:i/>
        </w:rPr>
        <w:t>Action Plan</w:t>
      </w:r>
      <w:r>
        <w:t xml:space="preserve"> and the commitment and enthusiasm evident in Ms Robinson’s evidence.   </w:t>
      </w:r>
    </w:p>
    <w:p w:rsidR="00E4027E" w:rsidRDefault="00E4027E" w:rsidP="0047671F">
      <w:pPr>
        <w:pStyle w:val="Bodytext"/>
      </w:pPr>
      <w:r>
        <w:t>While the Committee understands that two other directorates (</w:t>
      </w:r>
      <w:r w:rsidR="00AF1445">
        <w:t xml:space="preserve">namely </w:t>
      </w:r>
      <w:r w:rsidR="00EE42B7">
        <w:t>the Community Services Directorate and the Health Directorate</w:t>
      </w:r>
      <w:r>
        <w:t xml:space="preserve">) have </w:t>
      </w:r>
      <w:r w:rsidR="00AF1445">
        <w:t xml:space="preserve">Aboriginal and Torres Strait Islander </w:t>
      </w:r>
      <w:r w:rsidR="00415749">
        <w:t>employment action plans</w:t>
      </w:r>
      <w:r w:rsidR="00ED70BD">
        <w:t xml:space="preserve">, </w:t>
      </w:r>
      <w:r w:rsidR="00EE42B7">
        <w:t xml:space="preserve">it believes </w:t>
      </w:r>
      <w:r w:rsidR="003A3852">
        <w:t xml:space="preserve">the </w:t>
      </w:r>
      <w:r w:rsidR="00AF1445">
        <w:t xml:space="preserve">Education Directorate has created a benchmark not only for its </w:t>
      </w:r>
      <w:r w:rsidR="00415749">
        <w:t xml:space="preserve">Action Plan </w:t>
      </w:r>
      <w:r w:rsidR="00AF1445">
        <w:t xml:space="preserve">but also </w:t>
      </w:r>
      <w:r w:rsidR="00415749">
        <w:t>the processes associated with its development and</w:t>
      </w:r>
      <w:r w:rsidR="00EE42B7">
        <w:t> </w:t>
      </w:r>
      <w:r w:rsidR="00415749">
        <w:t>launch</w:t>
      </w:r>
      <w:r w:rsidR="00AF1445">
        <w:t>.</w:t>
      </w:r>
      <w:r w:rsidR="00415749">
        <w:t xml:space="preserve">  </w:t>
      </w:r>
      <w:r w:rsidR="003A3852">
        <w:t xml:space="preserve"> </w:t>
      </w:r>
    </w:p>
    <w:p w:rsidR="00417CA9" w:rsidRDefault="00417CA9" w:rsidP="00417CA9">
      <w:pPr>
        <w:pStyle w:val="Bodytext"/>
        <w:numPr>
          <w:ilvl w:val="0"/>
          <w:numId w:val="0"/>
        </w:numPr>
        <w:ind w:left="425"/>
      </w:pPr>
    </w:p>
    <w:p w:rsidR="00ED70BD" w:rsidRDefault="00ED70BD" w:rsidP="00ED70BD">
      <w:pPr>
        <w:pStyle w:val="Recommendation"/>
      </w:pPr>
      <w:bookmarkStart w:id="134" w:name="_Toc384024410"/>
      <w:bookmarkEnd w:id="134"/>
    </w:p>
    <w:p w:rsidR="00ED70BD" w:rsidRPr="00ED70BD" w:rsidRDefault="00ED70BD" w:rsidP="00415749">
      <w:pPr>
        <w:pStyle w:val="RecommendationText"/>
      </w:pPr>
      <w:bookmarkStart w:id="135" w:name="_Toc384024411"/>
      <w:r>
        <w:t xml:space="preserve">The Committee recommends that the all </w:t>
      </w:r>
      <w:r w:rsidR="00362151">
        <w:t>A</w:t>
      </w:r>
      <w:r w:rsidR="00417CA9">
        <w:t xml:space="preserve">CT </w:t>
      </w:r>
      <w:r>
        <w:t xml:space="preserve">Public Service directorates and agencies ensure they have </w:t>
      </w:r>
      <w:r w:rsidR="008A4E4D">
        <w:t xml:space="preserve">an </w:t>
      </w:r>
      <w:r>
        <w:t>Aboriginal and Torres Strait Islander employment action plan with implementation underway during 2014-15</w:t>
      </w:r>
      <w:r w:rsidR="008A4E4D">
        <w:t>, this to be managed by the proposed Project Team (Recommendation 1)</w:t>
      </w:r>
      <w:r>
        <w:t>.</w:t>
      </w:r>
      <w:bookmarkEnd w:id="135"/>
      <w:r w:rsidR="008A4E4D">
        <w:t xml:space="preserve"> </w:t>
      </w:r>
    </w:p>
    <w:p w:rsidR="00415749" w:rsidRDefault="00FE30FB" w:rsidP="00415749">
      <w:pPr>
        <w:pStyle w:val="Headinglevel2"/>
      </w:pPr>
      <w:bookmarkStart w:id="136" w:name="_Toc383615050"/>
      <w:r>
        <w:t>Secondments</w:t>
      </w:r>
      <w:bookmarkEnd w:id="136"/>
    </w:p>
    <w:p w:rsidR="00BE6460" w:rsidRDefault="00BE6460" w:rsidP="00415749">
      <w:pPr>
        <w:pStyle w:val="Bodytext"/>
      </w:pPr>
      <w:r>
        <w:t xml:space="preserve">Related to career development is the </w:t>
      </w:r>
      <w:r w:rsidR="00FE30FB">
        <w:t>issue of se</w:t>
      </w:r>
      <w:r w:rsidR="00415749">
        <w:t>condments</w:t>
      </w:r>
      <w:r w:rsidR="00FE30FB">
        <w:t xml:space="preserve"> </w:t>
      </w:r>
      <w:r>
        <w:t xml:space="preserve">being available to Aboriginal and Torres Strait Islander employees.  </w:t>
      </w:r>
    </w:p>
    <w:p w:rsidR="00C04AFC" w:rsidRDefault="00BE6460" w:rsidP="00C04AFC">
      <w:pPr>
        <w:pStyle w:val="Bodytext"/>
      </w:pPr>
      <w:r w:rsidRPr="00BE6460">
        <w:t xml:space="preserve"> The word 'secondment' describe</w:t>
      </w:r>
      <w:r w:rsidR="00417CA9">
        <w:t>s</w:t>
      </w:r>
      <w:r w:rsidRPr="00BE6460">
        <w:t xml:space="preserve"> a variety of possible </w:t>
      </w:r>
      <w:r w:rsidR="00C04AFC">
        <w:t xml:space="preserve">working </w:t>
      </w:r>
      <w:r w:rsidRPr="00BE6460">
        <w:t xml:space="preserve">arrangements but is </w:t>
      </w:r>
      <w:r>
        <w:t xml:space="preserve">essentially </w:t>
      </w:r>
      <w:r w:rsidRPr="00BE6460">
        <w:t xml:space="preserve">an arrangement </w:t>
      </w:r>
      <w:r>
        <w:t xml:space="preserve">between </w:t>
      </w:r>
      <w:r w:rsidR="00C04AFC">
        <w:t xml:space="preserve">two </w:t>
      </w:r>
      <w:r>
        <w:t>organisations</w:t>
      </w:r>
      <w:r w:rsidR="00C04AFC">
        <w:t xml:space="preserve">, eg two ACTPS agencies, </w:t>
      </w:r>
      <w:r>
        <w:t xml:space="preserve">where an </w:t>
      </w:r>
      <w:r w:rsidRPr="00BE6460">
        <w:t xml:space="preserve">employee remains an employee of the 'home' </w:t>
      </w:r>
      <w:r w:rsidR="00C04AFC">
        <w:t xml:space="preserve">agency </w:t>
      </w:r>
      <w:r>
        <w:t>and is</w:t>
      </w:r>
      <w:r w:rsidRPr="00BE6460">
        <w:t xml:space="preserve"> 'lent' for a period</w:t>
      </w:r>
      <w:r w:rsidR="00C04AFC">
        <w:t xml:space="preserve"> to another</w:t>
      </w:r>
      <w:r>
        <w:t xml:space="preserve">.  </w:t>
      </w:r>
      <w:r w:rsidR="00C04AFC" w:rsidRPr="00BE6460">
        <w:t xml:space="preserve">The practical effect of a secondment is that </w:t>
      </w:r>
      <w:r w:rsidR="00C04AFC">
        <w:t xml:space="preserve">an </w:t>
      </w:r>
      <w:r w:rsidR="00C04AFC" w:rsidRPr="00BE6460">
        <w:t>employee remains an employee of the</w:t>
      </w:r>
      <w:r w:rsidR="00C04AFC">
        <w:t xml:space="preserve">ir organisation </w:t>
      </w:r>
      <w:r w:rsidR="00C04AFC" w:rsidRPr="00BE6460">
        <w:t>but is directed by their home employer to take day-to-day direction from the staff of the host employer.</w:t>
      </w:r>
      <w:r w:rsidR="00C04AFC">
        <w:rPr>
          <w:rStyle w:val="FootnoteReference"/>
        </w:rPr>
        <w:footnoteReference w:id="126"/>
      </w:r>
      <w:r w:rsidR="00C04AFC">
        <w:t xml:space="preserve">   There are benefits to all stakeholders. For example:  </w:t>
      </w:r>
    </w:p>
    <w:p w:rsidR="00C04AFC" w:rsidRDefault="00C04AFC" w:rsidP="00A146E9">
      <w:pPr>
        <w:pStyle w:val="ListBullet"/>
      </w:pPr>
      <w:r>
        <w:t xml:space="preserve">the seconded employee gains experience and knowledge that they otherwise would not gain in their home agency; </w:t>
      </w:r>
    </w:p>
    <w:p w:rsidR="00C04AFC" w:rsidRDefault="00C04AFC" w:rsidP="00A146E9">
      <w:pPr>
        <w:pStyle w:val="ListBullet"/>
      </w:pPr>
      <w:r>
        <w:t xml:space="preserve"> at the conclusion of the secondment when the employee returns to their home agency, that agency benefits from a new experience and knowledge that will contribute to its effectiveness; </w:t>
      </w:r>
    </w:p>
    <w:p w:rsidR="00C04AFC" w:rsidRPr="00BE6460" w:rsidRDefault="00C04AFC" w:rsidP="00A146E9">
      <w:pPr>
        <w:pStyle w:val="ListBullet"/>
      </w:pPr>
      <w:r>
        <w:t>during the secondment, the borrowing agency has the benefit of an additional resource</w:t>
      </w:r>
      <w:r w:rsidR="00F724E5">
        <w:t xml:space="preserve">. </w:t>
      </w:r>
    </w:p>
    <w:p w:rsidR="007D2B38" w:rsidRDefault="007D2B38" w:rsidP="00C04AFC">
      <w:pPr>
        <w:pStyle w:val="Bodytext"/>
      </w:pPr>
      <w:r>
        <w:t xml:space="preserve">There are </w:t>
      </w:r>
      <w:r w:rsidR="00EE7D94">
        <w:t xml:space="preserve">a number of variations </w:t>
      </w:r>
      <w:r>
        <w:t>on the above</w:t>
      </w:r>
      <w:r w:rsidR="00EE7D94">
        <w:t>mentioned arrangements</w:t>
      </w:r>
      <w:r>
        <w:t xml:space="preserve">.  For example, agencies could agree to have ongoing secondments with them taking turns to be the lending </w:t>
      </w:r>
      <w:r w:rsidR="00EE7D94">
        <w:t xml:space="preserve">and home </w:t>
      </w:r>
      <w:r>
        <w:t xml:space="preserve">organisation. </w:t>
      </w:r>
    </w:p>
    <w:p w:rsidR="00C04AFC" w:rsidRDefault="00C04AFC" w:rsidP="00C04AFC">
      <w:pPr>
        <w:pStyle w:val="Bodytext"/>
      </w:pPr>
      <w:r>
        <w:t xml:space="preserve">The Committee notes that the ACTPS submission refers to an </w:t>
      </w:r>
      <w:r w:rsidR="00323080">
        <w:t xml:space="preserve">Elected Body </w:t>
      </w:r>
      <w:r>
        <w:t xml:space="preserve"> suggestion for a secondment program: </w:t>
      </w:r>
    </w:p>
    <w:p w:rsidR="00C04AFC" w:rsidRDefault="00C04AFC" w:rsidP="00C04AFC">
      <w:pPr>
        <w:pStyle w:val="Quote"/>
      </w:pPr>
      <w:r>
        <w:t>Another</w:t>
      </w:r>
      <w:r>
        <w:rPr>
          <w:spacing w:val="1"/>
        </w:rPr>
        <w:t xml:space="preserve"> </w:t>
      </w:r>
      <w:r>
        <w:t>idea</w:t>
      </w:r>
      <w:r>
        <w:rPr>
          <w:spacing w:val="-2"/>
        </w:rPr>
        <w:t xml:space="preserve"> </w:t>
      </w:r>
      <w:r>
        <w:t>put</w:t>
      </w:r>
      <w:r>
        <w:rPr>
          <w:spacing w:val="-3"/>
        </w:rPr>
        <w:t xml:space="preserve"> </w:t>
      </w:r>
      <w:r>
        <w:t>forward</w:t>
      </w:r>
      <w:r>
        <w:rPr>
          <w:spacing w:val="1"/>
        </w:rPr>
        <w:t xml:space="preserve"> </w:t>
      </w:r>
      <w:r>
        <w:t>by</w:t>
      </w:r>
      <w:r>
        <w:rPr>
          <w:spacing w:val="-2"/>
        </w:rPr>
        <w:t xml:space="preserve"> </w:t>
      </w:r>
      <w:r>
        <w:t xml:space="preserve">the </w:t>
      </w:r>
      <w:r w:rsidR="00323080">
        <w:t xml:space="preserve">Elected Body </w:t>
      </w:r>
      <w:r>
        <w:rPr>
          <w:spacing w:val="-2"/>
        </w:rPr>
        <w:t xml:space="preserve"> </w:t>
      </w:r>
      <w:r>
        <w:t>is</w:t>
      </w:r>
      <w:r>
        <w:rPr>
          <w:spacing w:val="-2"/>
        </w:rPr>
        <w:t xml:space="preserve"> </w:t>
      </w:r>
      <w:r>
        <w:t>to have a</w:t>
      </w:r>
      <w:r>
        <w:rPr>
          <w:spacing w:val="1"/>
        </w:rPr>
        <w:t xml:space="preserve"> </w:t>
      </w:r>
      <w:r>
        <w:t>secondment program.</w:t>
      </w:r>
      <w:r>
        <w:rPr>
          <w:spacing w:val="59"/>
        </w:rPr>
        <w:t xml:space="preserve"> </w:t>
      </w:r>
      <w:r>
        <w:t>This</w:t>
      </w:r>
      <w:r>
        <w:rPr>
          <w:spacing w:val="1"/>
        </w:rPr>
        <w:t xml:space="preserve"> </w:t>
      </w:r>
      <w:r>
        <w:rPr>
          <w:spacing w:val="-2"/>
        </w:rPr>
        <w:t>would</w:t>
      </w:r>
      <w:r>
        <w:rPr>
          <w:spacing w:val="55"/>
        </w:rPr>
        <w:t xml:space="preserve"> </w:t>
      </w:r>
      <w:r>
        <w:t>provide an avenue into</w:t>
      </w:r>
      <w:r>
        <w:rPr>
          <w:spacing w:val="1"/>
        </w:rPr>
        <w:t xml:space="preserve"> </w:t>
      </w:r>
      <w:r>
        <w:t>the ACTPS particularly</w:t>
      </w:r>
      <w:r>
        <w:rPr>
          <w:spacing w:val="-4"/>
        </w:rPr>
        <w:t xml:space="preserve"> </w:t>
      </w:r>
      <w:r>
        <w:t xml:space="preserve">for </w:t>
      </w:r>
      <w:r>
        <w:rPr>
          <w:spacing w:val="3"/>
        </w:rPr>
        <w:t xml:space="preserve"> </w:t>
      </w:r>
      <w:r>
        <w:t>Aboriginal and</w:t>
      </w:r>
      <w:r>
        <w:rPr>
          <w:spacing w:val="-2"/>
        </w:rPr>
        <w:t xml:space="preserve"> </w:t>
      </w:r>
      <w:r>
        <w:t>Torres</w:t>
      </w:r>
      <w:r>
        <w:rPr>
          <w:spacing w:val="-4"/>
        </w:rPr>
        <w:t xml:space="preserve"> </w:t>
      </w:r>
      <w:r>
        <w:t>Strait Islander</w:t>
      </w:r>
      <w:r>
        <w:rPr>
          <w:spacing w:val="61"/>
        </w:rPr>
        <w:t xml:space="preserve"> </w:t>
      </w:r>
      <w:r>
        <w:t>workers in the</w:t>
      </w:r>
      <w:r>
        <w:rPr>
          <w:spacing w:val="-2"/>
        </w:rPr>
        <w:t xml:space="preserve"> community </w:t>
      </w:r>
      <w:r>
        <w:t>sector,</w:t>
      </w:r>
      <w:r>
        <w:rPr>
          <w:spacing w:val="2"/>
        </w:rPr>
        <w:t xml:space="preserve"> </w:t>
      </w:r>
      <w:r>
        <w:rPr>
          <w:spacing w:val="-2"/>
        </w:rPr>
        <w:t>who</w:t>
      </w:r>
      <w:r>
        <w:t xml:space="preserve"> </w:t>
      </w:r>
      <w:r>
        <w:rPr>
          <w:spacing w:val="-2"/>
        </w:rPr>
        <w:t>would</w:t>
      </w:r>
      <w:r>
        <w:t xml:space="preserve"> have years</w:t>
      </w:r>
      <w:r>
        <w:rPr>
          <w:spacing w:val="1"/>
        </w:rPr>
        <w:t xml:space="preserve"> </w:t>
      </w:r>
      <w:r>
        <w:rPr>
          <w:spacing w:val="-2"/>
        </w:rPr>
        <w:t>of</w:t>
      </w:r>
      <w:r>
        <w:rPr>
          <w:spacing w:val="2"/>
        </w:rPr>
        <w:t xml:space="preserve"> </w:t>
      </w:r>
      <w:r>
        <w:t>experience</w:t>
      </w:r>
      <w:r>
        <w:rPr>
          <w:spacing w:val="-2"/>
        </w:rPr>
        <w:t xml:space="preserve"> </w:t>
      </w:r>
      <w:r>
        <w:t>that</w:t>
      </w:r>
      <w:r>
        <w:rPr>
          <w:spacing w:val="1"/>
        </w:rPr>
        <w:t xml:space="preserve"> </w:t>
      </w:r>
      <w:r>
        <w:rPr>
          <w:spacing w:val="-2"/>
        </w:rPr>
        <w:t>would</w:t>
      </w:r>
      <w:r>
        <w:t xml:space="preserve"> make</w:t>
      </w:r>
      <w:r>
        <w:rPr>
          <w:spacing w:val="69"/>
        </w:rPr>
        <w:t xml:space="preserve"> </w:t>
      </w:r>
      <w:r>
        <w:t>them unsuitable</w:t>
      </w:r>
      <w:r>
        <w:rPr>
          <w:spacing w:val="-2"/>
        </w:rPr>
        <w:t xml:space="preserve"> </w:t>
      </w:r>
      <w:r>
        <w:t>for the</w:t>
      </w:r>
      <w:r>
        <w:rPr>
          <w:spacing w:val="-2"/>
        </w:rPr>
        <w:t xml:space="preserve"> </w:t>
      </w:r>
      <w:r>
        <w:t>current</w:t>
      </w:r>
      <w:r>
        <w:rPr>
          <w:spacing w:val="2"/>
        </w:rPr>
        <w:t xml:space="preserve"> </w:t>
      </w:r>
      <w:r>
        <w:t>entry</w:t>
      </w:r>
      <w:r>
        <w:rPr>
          <w:spacing w:val="-2"/>
        </w:rPr>
        <w:t xml:space="preserve"> </w:t>
      </w:r>
      <w:r>
        <w:t xml:space="preserve">level programs, but </w:t>
      </w:r>
      <w:r>
        <w:rPr>
          <w:spacing w:val="-2"/>
        </w:rPr>
        <w:t>who</w:t>
      </w:r>
      <w:r>
        <w:t xml:space="preserve"> need some</w:t>
      </w:r>
      <w:r>
        <w:rPr>
          <w:spacing w:val="-2"/>
        </w:rPr>
        <w:t xml:space="preserve"> </w:t>
      </w:r>
      <w:r>
        <w:t>public</w:t>
      </w:r>
      <w:r>
        <w:rPr>
          <w:spacing w:val="1"/>
        </w:rPr>
        <w:t xml:space="preserve"> </w:t>
      </w:r>
      <w:r>
        <w:t>service</w:t>
      </w:r>
      <w:r>
        <w:rPr>
          <w:spacing w:val="55"/>
        </w:rPr>
        <w:t xml:space="preserve"> </w:t>
      </w:r>
      <w:r>
        <w:t>experience to be</w:t>
      </w:r>
      <w:r>
        <w:rPr>
          <w:spacing w:val="-2"/>
        </w:rPr>
        <w:t xml:space="preserve"> competitive</w:t>
      </w:r>
      <w:r>
        <w:t xml:space="preserve"> in open selection processes.</w:t>
      </w:r>
      <w:r w:rsidR="007D2B38">
        <w:rPr>
          <w:rStyle w:val="FootnoteReference"/>
        </w:rPr>
        <w:footnoteReference w:id="127"/>
      </w:r>
    </w:p>
    <w:p w:rsidR="00DF28D8" w:rsidRDefault="000B6B97" w:rsidP="00F118F1">
      <w:pPr>
        <w:pStyle w:val="Bodytext"/>
      </w:pPr>
      <w:r w:rsidRPr="000B6B97">
        <w:t xml:space="preserve">The Committee </w:t>
      </w:r>
      <w:r w:rsidR="009651AC">
        <w:t xml:space="preserve">considers the concept of secondments </w:t>
      </w:r>
      <w:r w:rsidRPr="000B6B97">
        <w:t xml:space="preserve">has much merit and </w:t>
      </w:r>
      <w:r w:rsidR="009651AC">
        <w:t xml:space="preserve">believes that </w:t>
      </w:r>
      <w:r w:rsidRPr="000B6B97">
        <w:t xml:space="preserve">there </w:t>
      </w:r>
      <w:r w:rsidR="009651AC">
        <w:t xml:space="preserve">are many </w:t>
      </w:r>
      <w:r w:rsidR="00634DDA" w:rsidRPr="000B6B97">
        <w:t>opportunities</w:t>
      </w:r>
      <w:r w:rsidRPr="000B6B97">
        <w:t xml:space="preserve"> for secondments within ACTPS agencies and with external bodies.  For example, the ACT Legislative Assembly runs a number of secondment and/or work placement programs.   </w:t>
      </w:r>
    </w:p>
    <w:p w:rsidR="00333832" w:rsidRPr="00F118F1" w:rsidRDefault="000B6B97" w:rsidP="00F118F1">
      <w:pPr>
        <w:pStyle w:val="Bodytext"/>
      </w:pPr>
      <w:r w:rsidRPr="000B6B97">
        <w:t xml:space="preserve">One such program is the </w:t>
      </w:r>
      <w:r w:rsidRPr="000B6B97">
        <w:rPr>
          <w:i/>
        </w:rPr>
        <w:t>Work-in-the-Assembly Program</w:t>
      </w:r>
      <w:r w:rsidRPr="000B6B97">
        <w:t xml:space="preserve"> which is open to ACTPS employees at the ASO6 / SOG C levels.   Each six months one employee works in the Legislative Assembly, gaining knowledge and understanding of the ACT’s legislature.  The Committee believes there is scope for a similar program that targets Aboriginal and Torres Strait Islander employees in the ACTPS. </w:t>
      </w:r>
      <w:r w:rsidR="00F73E25">
        <w:t xml:space="preserve">The Committee is of the view that Aboriginal and Torres Strait Islander employees would derive much benefit from such a program. </w:t>
      </w:r>
    </w:p>
    <w:p w:rsidR="00F118F1" w:rsidRDefault="00F118F1" w:rsidP="00F118F1">
      <w:pPr>
        <w:pStyle w:val="Recommendation"/>
      </w:pPr>
      <w:bookmarkStart w:id="137" w:name="_Toc384024412"/>
      <w:bookmarkEnd w:id="137"/>
    </w:p>
    <w:p w:rsidR="00F118F1" w:rsidRPr="00F118F1" w:rsidRDefault="00F118F1" w:rsidP="00F118F1">
      <w:pPr>
        <w:pStyle w:val="RecommendationText"/>
      </w:pPr>
      <w:bookmarkStart w:id="138" w:name="_Toc384024413"/>
      <w:r>
        <w:t xml:space="preserve">The Committee recommends that the </w:t>
      </w:r>
      <w:r w:rsidR="00323080">
        <w:t xml:space="preserve">ACT Public Service </w:t>
      </w:r>
      <w:r>
        <w:t>establish a Work</w:t>
      </w:r>
      <w:r w:rsidR="00417CA9">
        <w:t xml:space="preserve"> </w:t>
      </w:r>
      <w:r>
        <w:t>in</w:t>
      </w:r>
      <w:r w:rsidR="00417CA9">
        <w:t xml:space="preserve"> </w:t>
      </w:r>
      <w:r>
        <w:t>the</w:t>
      </w:r>
      <w:r w:rsidR="00417CA9">
        <w:t xml:space="preserve"> </w:t>
      </w:r>
      <w:r>
        <w:t xml:space="preserve">Assembly Program for Aboriginal and Torres Strait Islander employees along the lines of the current </w:t>
      </w:r>
      <w:r w:rsidR="00417CA9">
        <w:t>Work in the Assembly P</w:t>
      </w:r>
      <w:r>
        <w:t xml:space="preserve">rogram which is open to all </w:t>
      </w:r>
      <w:r w:rsidR="00323080">
        <w:t xml:space="preserve">ACT Public Service </w:t>
      </w:r>
      <w:r>
        <w:t xml:space="preserve"> employees at the Administrative Service Officer 6 or Senior Officer Grade C levels.</w:t>
      </w:r>
      <w:bookmarkEnd w:id="138"/>
      <w:r>
        <w:t xml:space="preserve"> </w:t>
      </w:r>
    </w:p>
    <w:p w:rsidR="00333832" w:rsidRDefault="00333832" w:rsidP="00333832">
      <w:pPr>
        <w:pStyle w:val="Bodytext"/>
        <w:numPr>
          <w:ilvl w:val="0"/>
          <w:numId w:val="0"/>
        </w:numPr>
        <w:ind w:left="680" w:hanging="680"/>
      </w:pPr>
    </w:p>
    <w:p w:rsidR="00333832" w:rsidRDefault="00333832" w:rsidP="00333832">
      <w:pPr>
        <w:pStyle w:val="Heading2"/>
        <w:sectPr w:rsidR="00333832" w:rsidSect="00957111">
          <w:type w:val="oddPage"/>
          <w:pgSz w:w="11907" w:h="16840" w:code="9"/>
          <w:pgMar w:top="1588" w:right="1418" w:bottom="1418" w:left="1418" w:header="720" w:footer="851" w:gutter="0"/>
          <w:cols w:space="720"/>
          <w:docGrid w:linePitch="360"/>
        </w:sectPr>
      </w:pPr>
    </w:p>
    <w:p w:rsidR="00333832" w:rsidRDefault="007235EF" w:rsidP="00333832">
      <w:pPr>
        <w:pStyle w:val="Heading1"/>
      </w:pPr>
      <w:bookmarkStart w:id="139" w:name="_Toc383615051"/>
      <w:r>
        <w:t>Data collection, monitoring and reporting mechanisms</w:t>
      </w:r>
      <w:bookmarkEnd w:id="139"/>
    </w:p>
    <w:p w:rsidR="00333832" w:rsidRDefault="00333832" w:rsidP="00333832">
      <w:pPr>
        <w:pStyle w:val="Headinglevel2"/>
      </w:pPr>
      <w:bookmarkStart w:id="140" w:name="_Toc383615052"/>
      <w:r>
        <w:t>Introduction</w:t>
      </w:r>
      <w:bookmarkEnd w:id="140"/>
    </w:p>
    <w:p w:rsidR="00AF401B" w:rsidRDefault="00EE42B7" w:rsidP="00333832">
      <w:pPr>
        <w:pStyle w:val="Bodytext"/>
      </w:pPr>
      <w:r>
        <w:tab/>
      </w:r>
      <w:r w:rsidR="00AF401B">
        <w:t xml:space="preserve">The </w:t>
      </w:r>
      <w:r w:rsidR="00EA204A">
        <w:t xml:space="preserve">Committee </w:t>
      </w:r>
      <w:r w:rsidR="00AF401B">
        <w:t xml:space="preserve">is </w:t>
      </w:r>
      <w:r w:rsidR="00EA204A">
        <w:t>interest</w:t>
      </w:r>
      <w:r w:rsidR="00AF401B">
        <w:t xml:space="preserve">ed </w:t>
      </w:r>
      <w:r w:rsidR="00EA204A">
        <w:t xml:space="preserve">in data collection, monitoring and reporting mechanisms </w:t>
      </w:r>
      <w:r w:rsidR="00AF401B">
        <w:t xml:space="preserve">because they are the </w:t>
      </w:r>
      <w:r w:rsidR="00936992">
        <w:t xml:space="preserve">necessary </w:t>
      </w:r>
      <w:r w:rsidR="00AF401B">
        <w:t xml:space="preserve">elements for </w:t>
      </w:r>
      <w:r w:rsidR="00714D07">
        <w:t xml:space="preserve">any </w:t>
      </w:r>
      <w:r w:rsidR="00AF401B">
        <w:t>stakeholders</w:t>
      </w:r>
      <w:r w:rsidR="00714D07">
        <w:t>,</w:t>
      </w:r>
      <w:r w:rsidR="00AF401B">
        <w:t xml:space="preserve"> </w:t>
      </w:r>
      <w:r w:rsidR="00714D07">
        <w:t xml:space="preserve">either within the ACT Public Service (ACTPS) or outside of it, </w:t>
      </w:r>
      <w:r w:rsidR="00AF401B">
        <w:t xml:space="preserve">to assess the implementation of the Employment Strategy. </w:t>
      </w:r>
    </w:p>
    <w:p w:rsidR="00045993" w:rsidRDefault="00EE42B7" w:rsidP="00045993">
      <w:pPr>
        <w:pStyle w:val="Bodytext"/>
      </w:pPr>
      <w:r>
        <w:tab/>
      </w:r>
      <w:r w:rsidR="00714D07">
        <w:t>Outside of the ACTPS the two key stakeholder</w:t>
      </w:r>
      <w:r w:rsidR="009651AC">
        <w:t>s</w:t>
      </w:r>
      <w:r w:rsidR="00714D07">
        <w:t xml:space="preserve"> are the </w:t>
      </w:r>
      <w:r w:rsidR="00045993">
        <w:t xml:space="preserve">ACT Aboriginal and Torres Strait Islander </w:t>
      </w:r>
      <w:r w:rsidR="00323080">
        <w:t xml:space="preserve">Elected Body </w:t>
      </w:r>
      <w:r w:rsidR="00045993">
        <w:t xml:space="preserve"> (the </w:t>
      </w:r>
      <w:r w:rsidR="00323080">
        <w:t xml:space="preserve">Elected Body </w:t>
      </w:r>
      <w:r w:rsidR="00045993">
        <w:t xml:space="preserve">) and the </w:t>
      </w:r>
      <w:r w:rsidR="00714D07">
        <w:t>Legislative Assembly</w:t>
      </w:r>
      <w:r w:rsidR="00045993">
        <w:t xml:space="preserve">. </w:t>
      </w:r>
      <w:r w:rsidR="009651AC">
        <w:t xml:space="preserve"> </w:t>
      </w:r>
      <w:r w:rsidR="00045993">
        <w:t xml:space="preserve">Box </w:t>
      </w:r>
      <w:r w:rsidR="00BE50B9">
        <w:t>6</w:t>
      </w:r>
      <w:r w:rsidR="00045993">
        <w:t xml:space="preserve">.1 has information on the </w:t>
      </w:r>
      <w:r w:rsidR="00323080">
        <w:t xml:space="preserve">Elected Body </w:t>
      </w:r>
      <w:r w:rsidR="00045993">
        <w:t xml:space="preserve"> and </w:t>
      </w:r>
      <w:r w:rsidR="008B2BE5">
        <w:t xml:space="preserve">Box </w:t>
      </w:r>
      <w:r w:rsidR="00BE50B9">
        <w:t>6</w:t>
      </w:r>
      <w:r w:rsidR="008B2BE5">
        <w:t>.</w:t>
      </w:r>
      <w:r w:rsidR="00045993">
        <w:t>2</w:t>
      </w:r>
      <w:r w:rsidR="008B2BE5">
        <w:t xml:space="preserve"> has information on the ACT’s system of government and the Legislative Assembly</w:t>
      </w:r>
      <w:r w:rsidR="00045993">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6"/>
      </w:tblGrid>
      <w:tr w:rsidR="00045993" w:rsidTr="00EE42B7">
        <w:tc>
          <w:tcPr>
            <w:tcW w:w="8186" w:type="dxa"/>
            <w:tcBorders>
              <w:top w:val="nil"/>
              <w:left w:val="nil"/>
              <w:bottom w:val="single" w:sz="4" w:space="0" w:color="auto"/>
              <w:right w:val="nil"/>
            </w:tcBorders>
          </w:tcPr>
          <w:p w:rsidR="00045993" w:rsidRDefault="00045993" w:rsidP="00EE42B7">
            <w:pPr>
              <w:pStyle w:val="Caption"/>
              <w:ind w:left="-108"/>
            </w:pPr>
            <w:r>
              <w:t xml:space="preserve">Box </w:t>
            </w:r>
            <w:r w:rsidR="00BE50B9">
              <w:t>6</w:t>
            </w:r>
            <w:r>
              <w:t>.</w:t>
            </w:r>
            <w:r w:rsidR="000F501D">
              <w:t>1</w:t>
            </w:r>
            <w:r>
              <w:t xml:space="preserve"> – The ACT Aboriginal and Torres Strait Islander </w:t>
            </w:r>
            <w:r w:rsidR="00323080">
              <w:t xml:space="preserve">Elected Body </w:t>
            </w:r>
          </w:p>
        </w:tc>
      </w:tr>
      <w:tr w:rsidR="00045993" w:rsidTr="00EE42B7">
        <w:tc>
          <w:tcPr>
            <w:tcW w:w="8186" w:type="dxa"/>
            <w:tcBorders>
              <w:top w:val="single" w:sz="4" w:space="0" w:color="auto"/>
            </w:tcBorders>
            <w:shd w:val="clear" w:color="auto" w:fill="DBE5F1"/>
          </w:tcPr>
          <w:p w:rsidR="00045993" w:rsidRDefault="00045993" w:rsidP="00045993">
            <w:pPr>
              <w:ind w:left="318" w:right="282"/>
            </w:pPr>
          </w:p>
          <w:p w:rsidR="00045993" w:rsidRPr="009F1964" w:rsidRDefault="00045993" w:rsidP="00045993">
            <w:pPr>
              <w:ind w:left="318" w:right="282"/>
              <w:rPr>
                <w:color w:val="244061"/>
              </w:rPr>
            </w:pPr>
            <w:r w:rsidRPr="009F1964">
              <w:rPr>
                <w:color w:val="244061"/>
              </w:rPr>
              <w:t xml:space="preserve">The </w:t>
            </w:r>
            <w:r w:rsidR="00BE50B9">
              <w:rPr>
                <w:color w:val="244061"/>
              </w:rPr>
              <w:t>Australian Capital Territory (</w:t>
            </w:r>
            <w:r w:rsidRPr="009F1964">
              <w:rPr>
                <w:color w:val="244061"/>
              </w:rPr>
              <w:t>ACT</w:t>
            </w:r>
            <w:r w:rsidR="00BE50B9">
              <w:rPr>
                <w:color w:val="244061"/>
              </w:rPr>
              <w:t>)</w:t>
            </w:r>
            <w:r w:rsidRPr="009F1964">
              <w:rPr>
                <w:color w:val="244061"/>
              </w:rPr>
              <w:t xml:space="preserve"> is unique in having the ACT Aboriginal and Torres Strait Islander </w:t>
            </w:r>
            <w:r w:rsidR="00323080">
              <w:rPr>
                <w:color w:val="244061"/>
              </w:rPr>
              <w:t>Elected Body</w:t>
            </w:r>
            <w:r w:rsidRPr="009F1964">
              <w:rPr>
                <w:color w:val="244061"/>
              </w:rPr>
              <w:t xml:space="preserve">, a representative body established to enable Aboriginal and Torres Strait Islanders in the ACT to have a strong democratically elected voice.  The </w:t>
            </w:r>
            <w:r w:rsidR="00323080">
              <w:rPr>
                <w:color w:val="244061"/>
              </w:rPr>
              <w:t xml:space="preserve">Elected Body </w:t>
            </w:r>
            <w:r w:rsidRPr="009F1964">
              <w:rPr>
                <w:color w:val="244061"/>
              </w:rPr>
              <w:t xml:space="preserve"> has seven members elected for 4-year terms from the Aboriginal and Torres Strait Islander community in the ACT.  </w:t>
            </w:r>
          </w:p>
          <w:p w:rsidR="00045993" w:rsidRPr="009F1964" w:rsidRDefault="00045993" w:rsidP="00045993">
            <w:pPr>
              <w:ind w:left="318" w:right="282"/>
              <w:rPr>
                <w:color w:val="244061"/>
              </w:rPr>
            </w:pPr>
          </w:p>
          <w:p w:rsidR="00045993" w:rsidRPr="009F1964" w:rsidRDefault="00045993" w:rsidP="00045993">
            <w:pPr>
              <w:ind w:left="318" w:right="282"/>
              <w:rPr>
                <w:color w:val="244061"/>
              </w:rPr>
            </w:pPr>
            <w:r w:rsidRPr="009F1964">
              <w:rPr>
                <w:color w:val="244061"/>
              </w:rPr>
              <w:t xml:space="preserve">The </w:t>
            </w:r>
            <w:r w:rsidR="00323080">
              <w:rPr>
                <w:color w:val="244061"/>
              </w:rPr>
              <w:t xml:space="preserve">Elected Body </w:t>
            </w:r>
            <w:r w:rsidRPr="009F1964">
              <w:rPr>
                <w:color w:val="244061"/>
              </w:rPr>
              <w:t xml:space="preserve"> has broad</w:t>
            </w:r>
            <w:r w:rsidR="005A0977" w:rsidRPr="009F1964">
              <w:rPr>
                <w:color w:val="244061"/>
              </w:rPr>
              <w:t>-</w:t>
            </w:r>
            <w:r w:rsidRPr="009F1964">
              <w:rPr>
                <w:color w:val="244061"/>
              </w:rPr>
              <w:t xml:space="preserve">ranging functions that include: </w:t>
            </w:r>
          </w:p>
          <w:p w:rsidR="00045993" w:rsidRPr="009F1964" w:rsidRDefault="00045993" w:rsidP="00185285">
            <w:pPr>
              <w:numPr>
                <w:ilvl w:val="0"/>
                <w:numId w:val="14"/>
              </w:numPr>
              <w:ind w:right="282"/>
              <w:rPr>
                <w:color w:val="244061"/>
              </w:rPr>
            </w:pPr>
            <w:r w:rsidRPr="009F1964">
              <w:rPr>
                <w:color w:val="244061"/>
              </w:rPr>
              <w:t>proposing programs and design</w:t>
            </w:r>
            <w:r w:rsidR="00815058">
              <w:rPr>
                <w:color w:val="244061"/>
              </w:rPr>
              <w:t>ing</w:t>
            </w:r>
            <w:r w:rsidRPr="009F1964">
              <w:rPr>
                <w:color w:val="244061"/>
              </w:rPr>
              <w:t xml:space="preserve"> services for Aboriginal and Torres Strait Islander people living in the ACT for consideration by the government and its agencies;</w:t>
            </w:r>
          </w:p>
          <w:p w:rsidR="00045993" w:rsidRPr="009F1964" w:rsidRDefault="00045993" w:rsidP="00185285">
            <w:pPr>
              <w:numPr>
                <w:ilvl w:val="0"/>
                <w:numId w:val="14"/>
              </w:numPr>
              <w:ind w:right="282"/>
              <w:rPr>
                <w:color w:val="244061"/>
              </w:rPr>
            </w:pPr>
            <w:r w:rsidRPr="009F1964">
              <w:rPr>
                <w:color w:val="244061"/>
              </w:rPr>
              <w:t xml:space="preserve">monitoring and reporting on the effectiveness of programs conducted by government agencies for Aboriginal and Torres Strait Islander people living in the ACT. </w:t>
            </w:r>
          </w:p>
          <w:p w:rsidR="00045993" w:rsidRPr="009F1964" w:rsidRDefault="00045993" w:rsidP="00045993">
            <w:pPr>
              <w:ind w:right="282"/>
              <w:rPr>
                <w:color w:val="244061"/>
              </w:rPr>
            </w:pPr>
          </w:p>
          <w:p w:rsidR="00045993" w:rsidRPr="009F1964" w:rsidRDefault="00045993" w:rsidP="00045993">
            <w:pPr>
              <w:ind w:left="318" w:right="282"/>
              <w:rPr>
                <w:color w:val="244061"/>
              </w:rPr>
            </w:pPr>
            <w:r w:rsidRPr="009F1964">
              <w:rPr>
                <w:color w:val="244061"/>
              </w:rPr>
              <w:t xml:space="preserve">In relation to the second dot point, the </w:t>
            </w:r>
            <w:r w:rsidR="00323080">
              <w:rPr>
                <w:color w:val="244061"/>
              </w:rPr>
              <w:t>Elected Body</w:t>
            </w:r>
            <w:r w:rsidRPr="009F1964">
              <w:rPr>
                <w:color w:val="244061"/>
              </w:rPr>
              <w:t xml:space="preserve"> has established an annual Estimates-style hearing process whereby the ACTPS is called to answer questions. </w:t>
            </w:r>
          </w:p>
          <w:p w:rsidR="00045993" w:rsidRPr="009F1964" w:rsidRDefault="00045993" w:rsidP="00045993">
            <w:pPr>
              <w:ind w:left="318" w:right="282"/>
              <w:rPr>
                <w:color w:val="244061"/>
              </w:rPr>
            </w:pPr>
          </w:p>
          <w:p w:rsidR="00045993" w:rsidRPr="009F1964" w:rsidRDefault="00BE50B9" w:rsidP="00045993">
            <w:pPr>
              <w:ind w:left="318" w:right="282"/>
              <w:rPr>
                <w:color w:val="244061"/>
              </w:rPr>
            </w:pPr>
            <w:r>
              <w:rPr>
                <w:color w:val="244061"/>
              </w:rPr>
              <w:t xml:space="preserve">The </w:t>
            </w:r>
            <w:r w:rsidR="00323080">
              <w:rPr>
                <w:color w:val="244061"/>
              </w:rPr>
              <w:t xml:space="preserve">Elected Body </w:t>
            </w:r>
            <w:r>
              <w:rPr>
                <w:color w:val="244061"/>
              </w:rPr>
              <w:t xml:space="preserve"> </w:t>
            </w:r>
            <w:r w:rsidR="00045993" w:rsidRPr="009F1964">
              <w:rPr>
                <w:color w:val="244061"/>
              </w:rPr>
              <w:t>provides direct advice to the ACT Government with the ambition of improving the lives of Aboriginal and Torres Strait Islanders in the ACT - a step towards true reconciliation.</w:t>
            </w:r>
          </w:p>
          <w:p w:rsidR="00045993" w:rsidRDefault="00045993" w:rsidP="00045993">
            <w:pPr>
              <w:ind w:left="318" w:right="282"/>
            </w:pPr>
          </w:p>
        </w:tc>
      </w:tr>
    </w:tbl>
    <w:p w:rsidR="00045993" w:rsidRDefault="00045993" w:rsidP="00045993">
      <w:pPr>
        <w:pStyle w:val="Bodytext"/>
        <w:numPr>
          <w:ilvl w:val="0"/>
          <w:numId w:val="0"/>
        </w:numPr>
      </w:pPr>
    </w:p>
    <w:p w:rsidR="00045993" w:rsidRDefault="00045993" w:rsidP="00045993">
      <w:pPr>
        <w:pStyle w:val="Bodytext"/>
        <w:numPr>
          <w:ilvl w:val="0"/>
          <w:numId w:val="0"/>
        </w:num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6"/>
      </w:tblGrid>
      <w:tr w:rsidR="00045993" w:rsidTr="00EE42B7">
        <w:tc>
          <w:tcPr>
            <w:tcW w:w="8186" w:type="dxa"/>
            <w:tcBorders>
              <w:top w:val="nil"/>
              <w:left w:val="nil"/>
              <w:bottom w:val="single" w:sz="4" w:space="0" w:color="auto"/>
              <w:right w:val="nil"/>
            </w:tcBorders>
          </w:tcPr>
          <w:p w:rsidR="00045993" w:rsidRDefault="00045993" w:rsidP="00EE42B7">
            <w:pPr>
              <w:pStyle w:val="Caption"/>
              <w:ind w:left="-108"/>
            </w:pPr>
            <w:r>
              <w:t>Box</w:t>
            </w:r>
            <w:r w:rsidR="00BE50B9">
              <w:t xml:space="preserve"> 6</w:t>
            </w:r>
            <w:r>
              <w:t>.</w:t>
            </w:r>
            <w:r w:rsidR="000F501D">
              <w:t>2</w:t>
            </w:r>
            <w:r>
              <w:t xml:space="preserve"> – System of government in the Australian Capital Territory</w:t>
            </w:r>
          </w:p>
        </w:tc>
      </w:tr>
      <w:tr w:rsidR="00045993" w:rsidTr="00EE42B7">
        <w:tc>
          <w:tcPr>
            <w:tcW w:w="8186" w:type="dxa"/>
            <w:tcBorders>
              <w:top w:val="single" w:sz="4" w:space="0" w:color="auto"/>
            </w:tcBorders>
            <w:shd w:val="clear" w:color="auto" w:fill="DBE5F1"/>
          </w:tcPr>
          <w:p w:rsidR="00045993" w:rsidRDefault="00045993" w:rsidP="00045993">
            <w:pPr>
              <w:ind w:left="318"/>
            </w:pPr>
          </w:p>
          <w:p w:rsidR="00045993" w:rsidRPr="009F1964" w:rsidRDefault="00045993" w:rsidP="00045993">
            <w:pPr>
              <w:ind w:left="318" w:right="282"/>
              <w:rPr>
                <w:color w:val="244061"/>
              </w:rPr>
            </w:pPr>
            <w:r w:rsidRPr="009F1964">
              <w:rPr>
                <w:color w:val="244061"/>
              </w:rPr>
              <w:t xml:space="preserve">The system of government in the Australian Capital Territory (ACT) broadly follows what is known as ‘the Westminster model’, the key features of which are: </w:t>
            </w:r>
          </w:p>
          <w:p w:rsidR="00045993" w:rsidRPr="009F1964" w:rsidRDefault="00045993" w:rsidP="00185285">
            <w:pPr>
              <w:numPr>
                <w:ilvl w:val="0"/>
                <w:numId w:val="13"/>
              </w:numPr>
              <w:ind w:left="318" w:right="282" w:firstLine="0"/>
              <w:rPr>
                <w:color w:val="244061"/>
              </w:rPr>
            </w:pPr>
            <w:r w:rsidRPr="009F1964">
              <w:rPr>
                <w:color w:val="244061"/>
              </w:rPr>
              <w:t xml:space="preserve">Parliamentary government; and - </w:t>
            </w:r>
          </w:p>
          <w:p w:rsidR="00045993" w:rsidRPr="009F1964" w:rsidRDefault="00045993" w:rsidP="00185285">
            <w:pPr>
              <w:numPr>
                <w:ilvl w:val="0"/>
                <w:numId w:val="13"/>
              </w:numPr>
              <w:ind w:left="318" w:right="282" w:firstLine="0"/>
              <w:rPr>
                <w:color w:val="244061"/>
              </w:rPr>
            </w:pPr>
            <w:r w:rsidRPr="009F1964">
              <w:rPr>
                <w:color w:val="244061"/>
              </w:rPr>
              <w:t xml:space="preserve">Responsible government.  </w:t>
            </w:r>
          </w:p>
          <w:p w:rsidR="00045993" w:rsidRPr="009F1964" w:rsidRDefault="00045993" w:rsidP="00045993">
            <w:pPr>
              <w:ind w:left="318" w:right="282"/>
              <w:rPr>
                <w:color w:val="244061"/>
              </w:rPr>
            </w:pPr>
          </w:p>
          <w:p w:rsidR="00045993" w:rsidRPr="009F1964" w:rsidRDefault="00045993" w:rsidP="00045993">
            <w:pPr>
              <w:ind w:left="318" w:right="282"/>
              <w:rPr>
                <w:color w:val="244061"/>
              </w:rPr>
            </w:pPr>
            <w:r w:rsidRPr="009F1964">
              <w:rPr>
                <w:color w:val="244061"/>
                <w:u w:val="single"/>
              </w:rPr>
              <w:t>Parliamentary government</w:t>
            </w:r>
            <w:r w:rsidRPr="009F1964">
              <w:rPr>
                <w:color w:val="244061"/>
              </w:rPr>
              <w:t xml:space="preserve"> means that the Executive Government comes from within the Parliament.  In the case of the ACT, the Parliament is the Legislative Assembly which has 17 members elected from three multi-member electorates.  </w:t>
            </w:r>
          </w:p>
          <w:p w:rsidR="00045993" w:rsidRPr="009F1964" w:rsidRDefault="00045993" w:rsidP="00045993">
            <w:pPr>
              <w:ind w:left="318" w:right="282"/>
              <w:rPr>
                <w:color w:val="244061"/>
                <w:u w:val="single"/>
              </w:rPr>
            </w:pPr>
          </w:p>
          <w:p w:rsidR="00045993" w:rsidRPr="009F1964" w:rsidRDefault="00045993" w:rsidP="00045993">
            <w:pPr>
              <w:ind w:left="318" w:right="282"/>
              <w:rPr>
                <w:color w:val="244061"/>
              </w:rPr>
            </w:pPr>
            <w:r w:rsidRPr="009F1964">
              <w:rPr>
                <w:color w:val="244061"/>
                <w:u w:val="single"/>
              </w:rPr>
              <w:t>Responsible government</w:t>
            </w:r>
            <w:r w:rsidRPr="009F1964">
              <w:rPr>
                <w:color w:val="244061"/>
              </w:rPr>
              <w:t xml:space="preserve"> means the Executive Government is responsible to the Parliament (the Legislative Assembly).   In practice the Government and individual Ministers are held to account in the Assembly.  They are required to answer questions from Members at</w:t>
            </w:r>
            <w:r w:rsidRPr="009F1964">
              <w:rPr>
                <w:smallCaps/>
                <w:color w:val="244061"/>
                <w:spacing w:val="40"/>
                <w:sz w:val="24"/>
                <w:szCs w:val="22"/>
              </w:rPr>
              <w:t xml:space="preserve"> </w:t>
            </w:r>
            <w:r w:rsidRPr="009F1964">
              <w:rPr>
                <w:color w:val="244061"/>
              </w:rPr>
              <w:t>Question Time</w:t>
            </w:r>
            <w:r w:rsidR="00BC122A">
              <w:rPr>
                <w:color w:val="244061"/>
              </w:rPr>
              <w:t>;</w:t>
            </w:r>
            <w:r w:rsidRPr="009F1964">
              <w:rPr>
                <w:color w:val="244061"/>
              </w:rPr>
              <w:t xml:space="preserve"> Minister</w:t>
            </w:r>
            <w:r w:rsidR="00BC122A">
              <w:rPr>
                <w:color w:val="244061"/>
              </w:rPr>
              <w:t>s</w:t>
            </w:r>
            <w:r w:rsidRPr="009F1964">
              <w:rPr>
                <w:color w:val="244061"/>
              </w:rPr>
              <w:t xml:space="preserve"> and officials appear before an annual Estimates Committee to answer questions on budgets and expenditure and then</w:t>
            </w:r>
            <w:r w:rsidR="00BC122A">
              <w:rPr>
                <w:color w:val="244061"/>
              </w:rPr>
              <w:t xml:space="preserve">, </w:t>
            </w:r>
            <w:r w:rsidRPr="009F1964">
              <w:rPr>
                <w:color w:val="244061"/>
              </w:rPr>
              <w:t>after the tabling of ACTPS directorate annual reports in September each year</w:t>
            </w:r>
            <w:r w:rsidR="00BC122A">
              <w:rPr>
                <w:color w:val="244061"/>
              </w:rPr>
              <w:t>,</w:t>
            </w:r>
            <w:r w:rsidRPr="009F1964">
              <w:rPr>
                <w:color w:val="244061"/>
              </w:rPr>
              <w:t xml:space="preserve"> there are inquiries into annual reports</w:t>
            </w:r>
            <w:r w:rsidR="00BE50B9">
              <w:rPr>
                <w:color w:val="244061"/>
              </w:rPr>
              <w:t xml:space="preserve"> conducted by each of the </w:t>
            </w:r>
            <w:r w:rsidR="00BC122A">
              <w:rPr>
                <w:color w:val="244061"/>
              </w:rPr>
              <w:t>L</w:t>
            </w:r>
            <w:r w:rsidR="00BE50B9">
              <w:rPr>
                <w:color w:val="244061"/>
              </w:rPr>
              <w:t>egislative Assembly’s Standing Committees</w:t>
            </w:r>
            <w:r w:rsidRPr="009F1964">
              <w:rPr>
                <w:color w:val="244061"/>
              </w:rPr>
              <w:t xml:space="preserve">.  </w:t>
            </w:r>
          </w:p>
          <w:p w:rsidR="00045993" w:rsidRPr="009F1964" w:rsidRDefault="00045993" w:rsidP="00045993">
            <w:pPr>
              <w:ind w:left="318" w:right="282"/>
              <w:rPr>
                <w:color w:val="244061"/>
              </w:rPr>
            </w:pPr>
          </w:p>
          <w:p w:rsidR="00045993" w:rsidRPr="009F1964" w:rsidRDefault="00045993" w:rsidP="00045993">
            <w:pPr>
              <w:ind w:left="318" w:right="282"/>
              <w:rPr>
                <w:color w:val="244061"/>
              </w:rPr>
            </w:pPr>
            <w:r w:rsidRPr="009F1964">
              <w:rPr>
                <w:color w:val="244061"/>
              </w:rPr>
              <w:t xml:space="preserve">In addition, there are general scrutiny and policy investigations conducted by Assembly parliamentary committees.  These committees, which include the Public Accounts Committee and various standing committees can examine matters of policy and </w:t>
            </w:r>
            <w:r w:rsidR="00BC122A">
              <w:rPr>
                <w:color w:val="244061"/>
              </w:rPr>
              <w:t xml:space="preserve">of </w:t>
            </w:r>
            <w:r w:rsidRPr="009F1964">
              <w:rPr>
                <w:color w:val="244061"/>
              </w:rPr>
              <w:t>interest to the community and/or scrutinise the performance of the Government, in particular, the administration arm of Government, which is the ACT Public Service.  The Legislative Assembly is assisted in its scrutiny of public administration by the Auditor-General</w:t>
            </w:r>
            <w:r w:rsidR="00BC122A">
              <w:rPr>
                <w:color w:val="244061"/>
              </w:rPr>
              <w:t>,</w:t>
            </w:r>
            <w:r w:rsidRPr="009F1964">
              <w:rPr>
                <w:color w:val="244061"/>
              </w:rPr>
              <w:t xml:space="preserve"> who undertakes regular financial and performance audits of government that are tabled in the Assembly. </w:t>
            </w:r>
          </w:p>
          <w:p w:rsidR="00045993" w:rsidRPr="009F1964" w:rsidRDefault="00045993" w:rsidP="00045993">
            <w:pPr>
              <w:ind w:left="318" w:right="282"/>
              <w:rPr>
                <w:color w:val="244061"/>
              </w:rPr>
            </w:pPr>
          </w:p>
          <w:p w:rsidR="00045993" w:rsidRPr="009F1964" w:rsidRDefault="00045993" w:rsidP="00045993">
            <w:pPr>
              <w:ind w:left="318" w:right="282"/>
              <w:rPr>
                <w:color w:val="244061"/>
              </w:rPr>
            </w:pPr>
            <w:r w:rsidRPr="009F1964">
              <w:rPr>
                <w:color w:val="244061"/>
              </w:rPr>
              <w:t xml:space="preserve">The ACT is unique amongst jurisdictions in Australia in that Executive Government is responsible for both Territory and local government matters. </w:t>
            </w:r>
          </w:p>
          <w:p w:rsidR="00045993" w:rsidRDefault="00045993" w:rsidP="00045993">
            <w:pPr>
              <w:ind w:left="318" w:right="282"/>
            </w:pPr>
          </w:p>
        </w:tc>
      </w:tr>
    </w:tbl>
    <w:p w:rsidR="00045993" w:rsidRDefault="00045993" w:rsidP="00045993">
      <w:pPr>
        <w:pStyle w:val="Bodytext"/>
        <w:numPr>
          <w:ilvl w:val="0"/>
          <w:numId w:val="0"/>
        </w:numPr>
      </w:pPr>
    </w:p>
    <w:p w:rsidR="009D1879" w:rsidRDefault="00EE42B7" w:rsidP="009D1879">
      <w:pPr>
        <w:pStyle w:val="Bodytext"/>
      </w:pPr>
      <w:r>
        <w:tab/>
      </w:r>
      <w:r w:rsidR="009D1879">
        <w:t xml:space="preserve">The Committee is aware that the ACTPS has various guidance documents on organisational performance and reporting.   The main </w:t>
      </w:r>
      <w:r w:rsidR="003729B9">
        <w:t xml:space="preserve">documents </w:t>
      </w:r>
      <w:r w:rsidR="009D1879">
        <w:t xml:space="preserve"> </w:t>
      </w:r>
      <w:r w:rsidR="009651AC">
        <w:t>include</w:t>
      </w:r>
      <w:r w:rsidR="009D1879">
        <w:t xml:space="preserve">: </w:t>
      </w:r>
    </w:p>
    <w:p w:rsidR="009D1879" w:rsidRDefault="009D1879" w:rsidP="009D1879">
      <w:pPr>
        <w:pStyle w:val="ListBullet"/>
      </w:pPr>
      <w:r w:rsidRPr="009D1879">
        <w:rPr>
          <w:i/>
        </w:rPr>
        <w:t>Organisational performance management and reporting</w:t>
      </w:r>
      <w:r>
        <w:t xml:space="preserve">,  published by the Chief Minister and </w:t>
      </w:r>
      <w:r w:rsidR="00815058">
        <w:t xml:space="preserve">Treasury Directorate </w:t>
      </w:r>
      <w:r>
        <w:t xml:space="preserve"> </w:t>
      </w:r>
      <w:r w:rsidR="003729B9">
        <w:t xml:space="preserve">in 2013; </w:t>
      </w:r>
    </w:p>
    <w:p w:rsidR="009D1879" w:rsidRDefault="009D1879" w:rsidP="009D1879">
      <w:pPr>
        <w:pStyle w:val="ListBullet"/>
      </w:pPr>
      <w:r w:rsidRPr="009D1879">
        <w:rPr>
          <w:i/>
        </w:rPr>
        <w:t>ACT Government evaluation policy and guidelines</w:t>
      </w:r>
      <w:r>
        <w:t>, published by the Chief</w:t>
      </w:r>
      <w:r w:rsidR="003729B9">
        <w:t xml:space="preserve"> Minister’s Department in 2010; and</w:t>
      </w:r>
    </w:p>
    <w:p w:rsidR="003729B9" w:rsidRDefault="003729B9" w:rsidP="003729B9">
      <w:pPr>
        <w:pStyle w:val="ListBullet"/>
      </w:pPr>
      <w:r w:rsidRPr="003729B9">
        <w:rPr>
          <w:i/>
          <w:lang w:val="en-GB"/>
        </w:rPr>
        <w:t>Strengthening performance and accountability:  A framework for the ACT Government</w:t>
      </w:r>
      <w:r>
        <w:rPr>
          <w:lang w:val="en-GB"/>
        </w:rPr>
        <w:t xml:space="preserve">, published by the Chief Minister’s Department in 2010. </w:t>
      </w:r>
    </w:p>
    <w:p w:rsidR="009D1879" w:rsidRDefault="003840D5" w:rsidP="009D1879">
      <w:pPr>
        <w:pStyle w:val="Bodytext"/>
      </w:pPr>
      <w:r>
        <w:tab/>
      </w:r>
      <w:r w:rsidR="009D1879">
        <w:t>Thes</w:t>
      </w:r>
      <w:r w:rsidR="00CF6AF8">
        <w:t xml:space="preserve">e documents provide a </w:t>
      </w:r>
      <w:r w:rsidR="009D1879">
        <w:t>comprehensive guide as to how a</w:t>
      </w:r>
      <w:r w:rsidR="00CF6AF8">
        <w:t>ny</w:t>
      </w:r>
      <w:r w:rsidR="009D1879">
        <w:t xml:space="preserve"> stakeholder </w:t>
      </w:r>
      <w:r w:rsidR="00CF6AF8">
        <w:t>c</w:t>
      </w:r>
      <w:r w:rsidR="009D1879">
        <w:t xml:space="preserve">ould expect the Employment Strategy to be assessed.  The Committee notes that </w:t>
      </w:r>
      <w:r w:rsidR="009651AC">
        <w:t xml:space="preserve">during the Inquiry it </w:t>
      </w:r>
      <w:r w:rsidR="009D1879">
        <w:t xml:space="preserve">did not receive any evidence that reviews of the Employment Strategy </w:t>
      </w:r>
      <w:r w:rsidR="006F6DC3">
        <w:t xml:space="preserve">in accordance with published guidance </w:t>
      </w:r>
      <w:r w:rsidR="009D1879">
        <w:t>were scheduled when the Strategy was launched</w:t>
      </w:r>
      <w:r w:rsidR="006F6DC3">
        <w:t xml:space="preserve"> or </w:t>
      </w:r>
      <w:r w:rsidR="009651AC">
        <w:t>since that time.</w:t>
      </w:r>
      <w:r w:rsidR="009D1879">
        <w:t xml:space="preserve"> </w:t>
      </w:r>
      <w:r w:rsidR="009651AC">
        <w:t xml:space="preserve"> Given the duration of the Employment Strategy and the Committee’s Inquiry the Committee sees benefit in a further external review to follow up responses to the Committee’s recommendations in this report.  A performance audit by the Auditor-General would provide the Assembly and the </w:t>
      </w:r>
      <w:r w:rsidR="00323080">
        <w:t xml:space="preserve">Elected Body </w:t>
      </w:r>
      <w:r w:rsidR="009651AC">
        <w:t xml:space="preserve"> with a further independent</w:t>
      </w:r>
      <w:r>
        <w:t> </w:t>
      </w:r>
      <w:r w:rsidR="009651AC">
        <w:t xml:space="preserve">assessment.  </w:t>
      </w:r>
    </w:p>
    <w:p w:rsidR="00A37CE8" w:rsidRDefault="00A37CE8" w:rsidP="009D1879">
      <w:pPr>
        <w:pStyle w:val="Bodytext"/>
      </w:pPr>
      <w:r>
        <w:tab/>
        <w:t xml:space="preserve">The Committee notes that the Organisation Maturity Chart which features in the report titled </w:t>
      </w:r>
      <w:r w:rsidRPr="00A016FB">
        <w:rPr>
          <w:i/>
        </w:rPr>
        <w:t>Indigenous Employment in the Minerals Industry</w:t>
      </w:r>
      <w:r>
        <w:t xml:space="preserve"> by the Centre for Social Responsibility in Mining at the University of Queensland could be used in such a performance audit.</w:t>
      </w:r>
      <w:r>
        <w:rPr>
          <w:rStyle w:val="FootnoteReference"/>
        </w:rPr>
        <w:footnoteReference w:id="128"/>
      </w:r>
      <w:r>
        <w:t xml:space="preserve">  A copy of the Chart is provided at Appendix D. </w:t>
      </w:r>
    </w:p>
    <w:p w:rsidR="009651AC" w:rsidRDefault="009651AC" w:rsidP="009651AC">
      <w:pPr>
        <w:pStyle w:val="Recommendation"/>
      </w:pPr>
      <w:bookmarkStart w:id="141" w:name="_Toc384024414"/>
      <w:bookmarkEnd w:id="141"/>
    </w:p>
    <w:p w:rsidR="009651AC" w:rsidRPr="009651AC" w:rsidRDefault="007723FA" w:rsidP="009651AC">
      <w:pPr>
        <w:pStyle w:val="RecommendationText"/>
      </w:pPr>
      <w:r>
        <w:tab/>
      </w:r>
      <w:bookmarkStart w:id="142" w:name="_Toc384024415"/>
      <w:r w:rsidR="009651AC">
        <w:t xml:space="preserve">The Committee recommends that the </w:t>
      </w:r>
      <w:r w:rsidR="00362151">
        <w:t>A</w:t>
      </w:r>
      <w:r w:rsidR="00BC122A">
        <w:t xml:space="preserve">CT </w:t>
      </w:r>
      <w:r w:rsidR="009651AC">
        <w:t xml:space="preserve">Auditor-General conduct a performance audit of the implementation of the </w:t>
      </w:r>
      <w:r w:rsidR="009651AC" w:rsidRPr="00BC122A">
        <w:rPr>
          <w:i/>
        </w:rPr>
        <w:t>A</w:t>
      </w:r>
      <w:r w:rsidR="00BC122A" w:rsidRPr="00BC122A">
        <w:rPr>
          <w:i/>
        </w:rPr>
        <w:t xml:space="preserve">CT </w:t>
      </w:r>
      <w:r w:rsidR="009651AC" w:rsidRPr="00BC122A">
        <w:rPr>
          <w:i/>
        </w:rPr>
        <w:t xml:space="preserve">Employment Strategy for Aboriginal and Torres Strait Islander </w:t>
      </w:r>
      <w:r w:rsidR="00BC122A">
        <w:rPr>
          <w:i/>
        </w:rPr>
        <w:t>P</w:t>
      </w:r>
      <w:r w:rsidR="009651AC" w:rsidRPr="00BC122A">
        <w:rPr>
          <w:i/>
        </w:rPr>
        <w:t>eople</w:t>
      </w:r>
      <w:r w:rsidR="009651AC">
        <w:t xml:space="preserve"> in 20</w:t>
      </w:r>
      <w:r w:rsidR="000D6558">
        <w:t>16</w:t>
      </w:r>
      <w:r w:rsidR="009651AC">
        <w:t xml:space="preserve"> which encompasses implementation of recommendations made by the Standing Committee on Health, Ageing, Community and Social Services</w:t>
      </w:r>
      <w:r w:rsidR="000D6558">
        <w:t>.</w:t>
      </w:r>
      <w:bookmarkEnd w:id="142"/>
      <w:r w:rsidR="000D6558">
        <w:t xml:space="preserve"> </w:t>
      </w:r>
      <w:r w:rsidR="009651AC">
        <w:t xml:space="preserve">  </w:t>
      </w:r>
    </w:p>
    <w:p w:rsidR="00CF6AF8" w:rsidRDefault="007723FA" w:rsidP="009D1879">
      <w:pPr>
        <w:pStyle w:val="Bodytext"/>
      </w:pPr>
      <w:r>
        <w:tab/>
      </w:r>
      <w:r w:rsidR="00CF6AF8">
        <w:t xml:space="preserve">The Committee notes that the </w:t>
      </w:r>
      <w:r w:rsidR="000D6558">
        <w:t xml:space="preserve">ACTPS guidance </w:t>
      </w:r>
      <w:r w:rsidR="00CF6AF8">
        <w:t xml:space="preserve">documents do not make any reference to the </w:t>
      </w:r>
      <w:r w:rsidR="00323080">
        <w:t xml:space="preserve">Elected Body </w:t>
      </w:r>
      <w:r w:rsidR="00CF6AF8">
        <w:t>and give limited emphasis to the Legislative Assembly</w:t>
      </w:r>
      <w:r w:rsidR="000D6558">
        <w:t xml:space="preserve"> as the ultimate source of accountability</w:t>
      </w:r>
      <w:r w:rsidR="00CF6AF8">
        <w:t xml:space="preserve">. </w:t>
      </w:r>
    </w:p>
    <w:p w:rsidR="00045993" w:rsidRDefault="00045993" w:rsidP="00045993">
      <w:pPr>
        <w:pStyle w:val="Headinglevel2"/>
      </w:pPr>
      <w:bookmarkStart w:id="143" w:name="_Toc383615053"/>
      <w:r>
        <w:t>Data</w:t>
      </w:r>
      <w:bookmarkEnd w:id="143"/>
      <w:r w:rsidR="000F501D">
        <w:t xml:space="preserve"> </w:t>
      </w:r>
    </w:p>
    <w:p w:rsidR="00045993" w:rsidRDefault="007723FA" w:rsidP="00045993">
      <w:pPr>
        <w:pStyle w:val="Bodytext"/>
      </w:pPr>
      <w:r>
        <w:tab/>
      </w:r>
      <w:r w:rsidR="00045993">
        <w:t>During the Inquiry there were various occasions when the Committee’s questions could not be answered because there was no data</w:t>
      </w:r>
      <w:r w:rsidR="003840D5">
        <w:t xml:space="preserve"> available</w:t>
      </w:r>
      <w:r w:rsidR="00045993">
        <w:t xml:space="preserve">.  </w:t>
      </w:r>
      <w:r w:rsidR="006F6DC3">
        <w:t xml:space="preserve">The Committee finds this </w:t>
      </w:r>
      <w:r w:rsidR="00045993">
        <w:t>somewhat concerning given that data is fundamental to any organisation being able to make sound management decision</w:t>
      </w:r>
      <w:r w:rsidR="003840D5">
        <w:t>s</w:t>
      </w:r>
      <w:r w:rsidR="00045993">
        <w:t xml:space="preserve">. </w:t>
      </w:r>
    </w:p>
    <w:p w:rsidR="00045993" w:rsidRDefault="007723FA" w:rsidP="00045993">
      <w:pPr>
        <w:pStyle w:val="Bodytext"/>
      </w:pPr>
      <w:r>
        <w:tab/>
      </w:r>
      <w:r w:rsidR="00045993">
        <w:t xml:space="preserve">The CPSU submission commented on data: </w:t>
      </w:r>
    </w:p>
    <w:p w:rsidR="00045993" w:rsidRPr="00D94762" w:rsidRDefault="00045993" w:rsidP="00045993">
      <w:pPr>
        <w:pStyle w:val="Quote"/>
      </w:pPr>
      <w:r w:rsidRPr="00D94762">
        <w:t xml:space="preserve">To be open and transparent, and assist in a collaborative approach to facilitating Aboriginal and Torres Strait Islander employment, the ACTPS should collect and make public Aboriginal and Torres Strait Islander employment data. Currently not all data collected is published, the only publicly available data is that contained in the ACTPS State of the Service Report. This makes it hard to assess the progress </w:t>
      </w:r>
      <w:r w:rsidR="003840D5">
        <w:t xml:space="preserve">... </w:t>
      </w:r>
      <w:r w:rsidRPr="00D94762">
        <w:t xml:space="preserve">that is being made in this area. </w:t>
      </w:r>
    </w:p>
    <w:p w:rsidR="00045993" w:rsidRPr="00D94762" w:rsidRDefault="00045993" w:rsidP="00045993">
      <w:pPr>
        <w:pStyle w:val="Quote"/>
      </w:pPr>
      <w:r w:rsidRPr="00D94762">
        <w:t xml:space="preserve">The reported data only relates to the most recent financial year and there is a lack of historical data available to track changes over time.  </w:t>
      </w:r>
    </w:p>
    <w:p w:rsidR="00045993" w:rsidRDefault="00045993" w:rsidP="00045993">
      <w:pPr>
        <w:pStyle w:val="Quote"/>
      </w:pPr>
      <w:r w:rsidRPr="00D94762">
        <w:t>As a comparison the Australian Public Service APSED database</w:t>
      </w:r>
      <w:r>
        <w:rPr>
          <w:rStyle w:val="FootnoteReference"/>
        </w:rPr>
        <w:footnoteReference w:id="129"/>
      </w:r>
      <w:r w:rsidRPr="00D94762">
        <w:t xml:space="preserve"> allows people to search APS employment statistics broken down by any combination of diversity, classification, length of service, age, educational background and gender. It is also possible to get time series data on these attributes for the last 10 years</w:t>
      </w:r>
      <w:r>
        <w:t>.</w:t>
      </w:r>
      <w:r>
        <w:rPr>
          <w:rStyle w:val="FootnoteReference"/>
        </w:rPr>
        <w:footnoteReference w:id="130"/>
      </w:r>
    </w:p>
    <w:p w:rsidR="006F6DC3" w:rsidRDefault="006F6DC3" w:rsidP="00045993">
      <w:pPr>
        <w:pStyle w:val="Bodytext"/>
      </w:pPr>
      <w:r>
        <w:t xml:space="preserve">At the 11 December 2013 public hearing the Committee enquired about the status of a whole-of-government staff survey scheduled for the second half of 2013. The Commissioner for Public Administration, Mr Andrew Kefford answered in the following terms: </w:t>
      </w:r>
    </w:p>
    <w:p w:rsidR="006F6DC3" w:rsidRDefault="006F6DC3" w:rsidP="006F6DC3">
      <w:pPr>
        <w:pStyle w:val="Quote"/>
      </w:pPr>
      <w:r>
        <w:t>That</w:t>
      </w:r>
      <w:r>
        <w:rPr>
          <w:spacing w:val="29"/>
        </w:rPr>
        <w:t xml:space="preserve"> </w:t>
      </w:r>
      <w:r>
        <w:t>was</w:t>
      </w:r>
      <w:r>
        <w:rPr>
          <w:spacing w:val="28"/>
        </w:rPr>
        <w:t xml:space="preserve"> </w:t>
      </w:r>
      <w:r>
        <w:t>the</w:t>
      </w:r>
      <w:r>
        <w:rPr>
          <w:spacing w:val="27"/>
        </w:rPr>
        <w:t xml:space="preserve"> </w:t>
      </w:r>
      <w:r>
        <w:t>intention</w:t>
      </w:r>
      <w:r>
        <w:rPr>
          <w:spacing w:val="28"/>
        </w:rPr>
        <w:t xml:space="preserve"> </w:t>
      </w:r>
      <w:r>
        <w:t>at</w:t>
      </w:r>
      <w:r>
        <w:rPr>
          <w:spacing w:val="26"/>
        </w:rPr>
        <w:t xml:space="preserve"> </w:t>
      </w:r>
      <w:r>
        <w:t>the</w:t>
      </w:r>
      <w:r>
        <w:rPr>
          <w:spacing w:val="28"/>
        </w:rPr>
        <w:t xml:space="preserve"> </w:t>
      </w:r>
      <w:r>
        <w:t>point</w:t>
      </w:r>
      <w:r>
        <w:rPr>
          <w:spacing w:val="27"/>
        </w:rPr>
        <w:t xml:space="preserve"> </w:t>
      </w:r>
      <w:r>
        <w:t>we</w:t>
      </w:r>
      <w:r>
        <w:rPr>
          <w:spacing w:val="27"/>
        </w:rPr>
        <w:t xml:space="preserve"> </w:t>
      </w:r>
      <w:r>
        <w:t>wrote</w:t>
      </w:r>
      <w:r>
        <w:rPr>
          <w:spacing w:val="28"/>
        </w:rPr>
        <w:t xml:space="preserve"> </w:t>
      </w:r>
      <w:r>
        <w:t>that.</w:t>
      </w:r>
      <w:r>
        <w:rPr>
          <w:spacing w:val="28"/>
        </w:rPr>
        <w:t xml:space="preserve"> </w:t>
      </w:r>
      <w:r>
        <w:t>But,</w:t>
      </w:r>
      <w:r>
        <w:rPr>
          <w:spacing w:val="29"/>
        </w:rPr>
        <w:t xml:space="preserve"> </w:t>
      </w:r>
      <w:r>
        <w:t>for</w:t>
      </w:r>
      <w:r>
        <w:rPr>
          <w:spacing w:val="27"/>
        </w:rPr>
        <w:t xml:space="preserve"> </w:t>
      </w:r>
      <w:r>
        <w:t>a</w:t>
      </w:r>
      <w:r>
        <w:rPr>
          <w:spacing w:val="27"/>
        </w:rPr>
        <w:t xml:space="preserve"> </w:t>
      </w:r>
      <w:r>
        <w:t>range</w:t>
      </w:r>
      <w:r>
        <w:rPr>
          <w:spacing w:val="27"/>
        </w:rPr>
        <w:t xml:space="preserve"> </w:t>
      </w:r>
      <w:r>
        <w:t>of</w:t>
      </w:r>
      <w:r>
        <w:rPr>
          <w:spacing w:val="59"/>
        </w:rPr>
        <w:t xml:space="preserve"> </w:t>
      </w:r>
      <w:r>
        <w:t>reasons</w:t>
      </w:r>
      <w:r>
        <w:rPr>
          <w:rFonts w:ascii="Times New Roman" w:hAnsi="Times New Roman" w:cs="Times New Roman"/>
        </w:rPr>
        <w:t>—</w:t>
      </w:r>
      <w:r>
        <w:t>many</w:t>
      </w:r>
      <w:r>
        <w:rPr>
          <w:spacing w:val="9"/>
        </w:rPr>
        <w:t xml:space="preserve"> </w:t>
      </w:r>
      <w:r>
        <w:t>of</w:t>
      </w:r>
      <w:r>
        <w:rPr>
          <w:spacing w:val="11"/>
        </w:rPr>
        <w:t xml:space="preserve"> </w:t>
      </w:r>
      <w:r>
        <w:t>which</w:t>
      </w:r>
      <w:r>
        <w:rPr>
          <w:spacing w:val="13"/>
        </w:rPr>
        <w:t xml:space="preserve"> </w:t>
      </w:r>
      <w:r>
        <w:rPr>
          <w:spacing w:val="-2"/>
        </w:rPr>
        <w:t>go</w:t>
      </w:r>
      <w:r>
        <w:rPr>
          <w:spacing w:val="13"/>
        </w:rPr>
        <w:t xml:space="preserve"> </w:t>
      </w:r>
      <w:r>
        <w:t>to</w:t>
      </w:r>
      <w:r>
        <w:rPr>
          <w:spacing w:val="12"/>
        </w:rPr>
        <w:t xml:space="preserve"> </w:t>
      </w:r>
      <w:r>
        <w:t>the</w:t>
      </w:r>
      <w:r>
        <w:rPr>
          <w:spacing w:val="13"/>
        </w:rPr>
        <w:t xml:space="preserve"> </w:t>
      </w:r>
      <w:r>
        <w:t>capacity</w:t>
      </w:r>
      <w:r>
        <w:rPr>
          <w:spacing w:val="6"/>
        </w:rPr>
        <w:t xml:space="preserve"> </w:t>
      </w:r>
      <w:r>
        <w:t>of</w:t>
      </w:r>
      <w:r>
        <w:rPr>
          <w:spacing w:val="13"/>
        </w:rPr>
        <w:t xml:space="preserve"> </w:t>
      </w:r>
      <w:r>
        <w:t>our</w:t>
      </w:r>
      <w:r>
        <w:rPr>
          <w:spacing w:val="11"/>
        </w:rPr>
        <w:t xml:space="preserve"> </w:t>
      </w:r>
      <w:r>
        <w:t>Victorian</w:t>
      </w:r>
      <w:r>
        <w:rPr>
          <w:spacing w:val="13"/>
        </w:rPr>
        <w:t xml:space="preserve"> </w:t>
      </w:r>
      <w:r>
        <w:t>colleagues</w:t>
      </w:r>
      <w:r>
        <w:rPr>
          <w:spacing w:val="12"/>
        </w:rPr>
        <w:t xml:space="preserve"> </w:t>
      </w:r>
      <w:r>
        <w:t>to</w:t>
      </w:r>
      <w:r>
        <w:rPr>
          <w:spacing w:val="14"/>
        </w:rPr>
        <w:t xml:space="preserve"> </w:t>
      </w:r>
      <w:r>
        <w:t>administer</w:t>
      </w:r>
      <w:r>
        <w:rPr>
          <w:spacing w:val="61"/>
        </w:rPr>
        <w:t xml:space="preserve"> </w:t>
      </w:r>
      <w:r>
        <w:t>the</w:t>
      </w:r>
      <w:r>
        <w:rPr>
          <w:spacing w:val="6"/>
        </w:rPr>
        <w:t xml:space="preserve"> </w:t>
      </w:r>
      <w:r>
        <w:t>survey</w:t>
      </w:r>
      <w:r>
        <w:rPr>
          <w:rFonts w:ascii="Times New Roman" w:hAnsi="Times New Roman" w:cs="Times New Roman"/>
        </w:rPr>
        <w:t>—</w:t>
      </w:r>
      <w:r>
        <w:t>we</w:t>
      </w:r>
      <w:r>
        <w:rPr>
          <w:spacing w:val="6"/>
        </w:rPr>
        <w:t xml:space="preserve"> </w:t>
      </w:r>
      <w:r>
        <w:t>have</w:t>
      </w:r>
      <w:r>
        <w:rPr>
          <w:spacing w:val="6"/>
        </w:rPr>
        <w:t xml:space="preserve"> </w:t>
      </w:r>
      <w:r>
        <w:t>decided</w:t>
      </w:r>
      <w:r>
        <w:rPr>
          <w:spacing w:val="6"/>
        </w:rPr>
        <w:t xml:space="preserve"> </w:t>
      </w:r>
      <w:r>
        <w:t>to</w:t>
      </w:r>
      <w:r>
        <w:rPr>
          <w:spacing w:val="7"/>
        </w:rPr>
        <w:t xml:space="preserve"> </w:t>
      </w:r>
      <w:r>
        <w:t>do</w:t>
      </w:r>
      <w:r>
        <w:rPr>
          <w:spacing w:val="6"/>
        </w:rPr>
        <w:t xml:space="preserve"> </w:t>
      </w:r>
      <w:r>
        <w:t>that</w:t>
      </w:r>
      <w:r>
        <w:rPr>
          <w:spacing w:val="9"/>
        </w:rPr>
        <w:t xml:space="preserve"> </w:t>
      </w:r>
      <w:r>
        <w:t>in</w:t>
      </w:r>
      <w:r>
        <w:rPr>
          <w:spacing w:val="7"/>
        </w:rPr>
        <w:t xml:space="preserve"> </w:t>
      </w:r>
      <w:r>
        <w:t>March [2014]</w:t>
      </w:r>
      <w:r>
        <w:rPr>
          <w:spacing w:val="9"/>
        </w:rPr>
        <w:t xml:space="preserve"> </w:t>
      </w:r>
      <w:r>
        <w:t>rather</w:t>
      </w:r>
      <w:r>
        <w:rPr>
          <w:spacing w:val="7"/>
        </w:rPr>
        <w:t xml:space="preserve"> </w:t>
      </w:r>
      <w:r>
        <w:t>than</w:t>
      </w:r>
      <w:r>
        <w:rPr>
          <w:spacing w:val="6"/>
        </w:rPr>
        <w:t xml:space="preserve"> </w:t>
      </w:r>
      <w:r>
        <w:t>December.</w:t>
      </w:r>
      <w:r>
        <w:rPr>
          <w:spacing w:val="9"/>
        </w:rPr>
        <w:t xml:space="preserve"> </w:t>
      </w:r>
      <w:r>
        <w:t>As</w:t>
      </w:r>
      <w:r>
        <w:rPr>
          <w:spacing w:val="9"/>
        </w:rPr>
        <w:t xml:space="preserve"> </w:t>
      </w:r>
      <w:r>
        <w:t>I</w:t>
      </w:r>
      <w:r>
        <w:rPr>
          <w:spacing w:val="3"/>
        </w:rPr>
        <w:t xml:space="preserve"> </w:t>
      </w:r>
      <w:r>
        <w:t>say,</w:t>
      </w:r>
      <w:r>
        <w:rPr>
          <w:spacing w:val="9"/>
        </w:rPr>
        <w:t xml:space="preserve"> </w:t>
      </w:r>
      <w:r>
        <w:t>the</w:t>
      </w:r>
      <w:r>
        <w:rPr>
          <w:spacing w:val="62"/>
        </w:rPr>
        <w:t xml:space="preserve"> </w:t>
      </w:r>
      <w:r>
        <w:t>Victorian</w:t>
      </w:r>
      <w:r>
        <w:rPr>
          <w:spacing w:val="47"/>
        </w:rPr>
        <w:t xml:space="preserve"> </w:t>
      </w:r>
      <w:r>
        <w:t>State</w:t>
      </w:r>
      <w:r>
        <w:rPr>
          <w:spacing w:val="46"/>
        </w:rPr>
        <w:t xml:space="preserve"> </w:t>
      </w:r>
      <w:r>
        <w:t>Services</w:t>
      </w:r>
      <w:r>
        <w:rPr>
          <w:spacing w:val="48"/>
        </w:rPr>
        <w:t xml:space="preserve"> </w:t>
      </w:r>
      <w:r>
        <w:t>Authority</w:t>
      </w:r>
      <w:r>
        <w:rPr>
          <w:spacing w:val="40"/>
        </w:rPr>
        <w:t xml:space="preserve"> </w:t>
      </w:r>
      <w:r>
        <w:t>administer</w:t>
      </w:r>
      <w:r>
        <w:rPr>
          <w:spacing w:val="47"/>
        </w:rPr>
        <w:t xml:space="preserve"> </w:t>
      </w:r>
      <w:r>
        <w:t>the</w:t>
      </w:r>
      <w:r>
        <w:rPr>
          <w:spacing w:val="47"/>
        </w:rPr>
        <w:t xml:space="preserve"> </w:t>
      </w:r>
      <w:r>
        <w:t>survey</w:t>
      </w:r>
      <w:r>
        <w:rPr>
          <w:spacing w:val="40"/>
        </w:rPr>
        <w:t xml:space="preserve"> </w:t>
      </w:r>
      <w:r>
        <w:t>themselves,</w:t>
      </w:r>
      <w:r>
        <w:rPr>
          <w:spacing w:val="47"/>
        </w:rPr>
        <w:t xml:space="preserve"> </w:t>
      </w:r>
      <w:r>
        <w:t>but</w:t>
      </w:r>
      <w:r>
        <w:rPr>
          <w:spacing w:val="48"/>
        </w:rPr>
        <w:t xml:space="preserve"> </w:t>
      </w:r>
      <w:r>
        <w:t>they</w:t>
      </w:r>
      <w:r>
        <w:rPr>
          <w:spacing w:val="40"/>
        </w:rPr>
        <w:t xml:space="preserve"> </w:t>
      </w:r>
      <w:r>
        <w:t>use</w:t>
      </w:r>
      <w:r>
        <w:rPr>
          <w:spacing w:val="78"/>
        </w:rPr>
        <w:t xml:space="preserve"> </w:t>
      </w:r>
      <w:r>
        <w:t>external</w:t>
      </w:r>
      <w:r>
        <w:rPr>
          <w:spacing w:val="26"/>
        </w:rPr>
        <w:t xml:space="preserve"> </w:t>
      </w:r>
      <w:r>
        <w:t>providers</w:t>
      </w:r>
      <w:r>
        <w:rPr>
          <w:spacing w:val="26"/>
        </w:rPr>
        <w:t xml:space="preserve"> </w:t>
      </w:r>
      <w:r>
        <w:t>to</w:t>
      </w:r>
      <w:r>
        <w:rPr>
          <w:spacing w:val="28"/>
        </w:rPr>
        <w:t xml:space="preserve"> </w:t>
      </w:r>
      <w:r>
        <w:t>support</w:t>
      </w:r>
      <w:r>
        <w:rPr>
          <w:spacing w:val="25"/>
        </w:rPr>
        <w:t xml:space="preserve"> </w:t>
      </w:r>
      <w:r>
        <w:t>them</w:t>
      </w:r>
      <w:r>
        <w:rPr>
          <w:spacing w:val="26"/>
        </w:rPr>
        <w:t xml:space="preserve"> </w:t>
      </w:r>
      <w:r>
        <w:t>in</w:t>
      </w:r>
      <w:r>
        <w:rPr>
          <w:spacing w:val="26"/>
        </w:rPr>
        <w:t xml:space="preserve"> </w:t>
      </w:r>
      <w:r>
        <w:t>doing</w:t>
      </w:r>
      <w:r>
        <w:rPr>
          <w:spacing w:val="23"/>
        </w:rPr>
        <w:t xml:space="preserve"> </w:t>
      </w:r>
      <w:r>
        <w:t>that.</w:t>
      </w:r>
      <w:r>
        <w:rPr>
          <w:spacing w:val="26"/>
        </w:rPr>
        <w:t xml:space="preserve"> </w:t>
      </w:r>
      <w:r>
        <w:t>Essentially,</w:t>
      </w:r>
      <w:r>
        <w:rPr>
          <w:spacing w:val="28"/>
        </w:rPr>
        <w:t xml:space="preserve"> </w:t>
      </w:r>
      <w:r>
        <w:rPr>
          <w:spacing w:val="2"/>
        </w:rPr>
        <w:t>by</w:t>
      </w:r>
      <w:r>
        <w:rPr>
          <w:spacing w:val="21"/>
        </w:rPr>
        <w:t xml:space="preserve"> </w:t>
      </w:r>
      <w:r>
        <w:t>taking</w:t>
      </w:r>
      <w:r>
        <w:rPr>
          <w:spacing w:val="23"/>
        </w:rPr>
        <w:t xml:space="preserve"> </w:t>
      </w:r>
      <w:r>
        <w:rPr>
          <w:spacing w:val="1"/>
        </w:rPr>
        <w:t>it</w:t>
      </w:r>
      <w:r>
        <w:rPr>
          <w:spacing w:val="26"/>
        </w:rPr>
        <w:t xml:space="preserve"> </w:t>
      </w:r>
      <w:r>
        <w:t>to</w:t>
      </w:r>
      <w:r>
        <w:rPr>
          <w:spacing w:val="26"/>
        </w:rPr>
        <w:t xml:space="preserve"> </w:t>
      </w:r>
      <w:r>
        <w:t>March,</w:t>
      </w:r>
      <w:r>
        <w:rPr>
          <w:spacing w:val="62"/>
        </w:rPr>
        <w:t xml:space="preserve"> </w:t>
      </w:r>
      <w:r>
        <w:t>they</w:t>
      </w:r>
      <w:r>
        <w:rPr>
          <w:spacing w:val="21"/>
        </w:rPr>
        <w:t xml:space="preserve"> </w:t>
      </w:r>
      <w:r>
        <w:t>are</w:t>
      </w:r>
      <w:r>
        <w:rPr>
          <w:spacing w:val="24"/>
        </w:rPr>
        <w:t xml:space="preserve"> </w:t>
      </w:r>
      <w:r>
        <w:t>already</w:t>
      </w:r>
      <w:r>
        <w:rPr>
          <w:spacing w:val="21"/>
        </w:rPr>
        <w:t xml:space="preserve"> </w:t>
      </w:r>
      <w:r>
        <w:t>geared</w:t>
      </w:r>
      <w:r>
        <w:rPr>
          <w:spacing w:val="26"/>
        </w:rPr>
        <w:t xml:space="preserve"> </w:t>
      </w:r>
      <w:r>
        <w:t>up</w:t>
      </w:r>
      <w:r>
        <w:rPr>
          <w:spacing w:val="26"/>
        </w:rPr>
        <w:t xml:space="preserve"> </w:t>
      </w:r>
      <w:r>
        <w:t>to</w:t>
      </w:r>
      <w:r>
        <w:rPr>
          <w:spacing w:val="24"/>
        </w:rPr>
        <w:t xml:space="preserve"> </w:t>
      </w:r>
      <w:r>
        <w:t>deliver</w:t>
      </w:r>
      <w:r>
        <w:rPr>
          <w:spacing w:val="23"/>
        </w:rPr>
        <w:t xml:space="preserve"> </w:t>
      </w:r>
      <w:r>
        <w:t>it</w:t>
      </w:r>
      <w:r>
        <w:rPr>
          <w:spacing w:val="24"/>
        </w:rPr>
        <w:t xml:space="preserve"> </w:t>
      </w:r>
      <w:r>
        <w:t>and</w:t>
      </w:r>
      <w:r>
        <w:rPr>
          <w:spacing w:val="23"/>
        </w:rPr>
        <w:t xml:space="preserve"> </w:t>
      </w:r>
      <w:r>
        <w:t>that</w:t>
      </w:r>
      <w:r>
        <w:rPr>
          <w:spacing w:val="23"/>
        </w:rPr>
        <w:t xml:space="preserve"> </w:t>
      </w:r>
      <w:r>
        <w:t>will</w:t>
      </w:r>
      <w:r>
        <w:rPr>
          <w:spacing w:val="24"/>
        </w:rPr>
        <w:t xml:space="preserve"> </w:t>
      </w:r>
      <w:r>
        <w:t>allow</w:t>
      </w:r>
      <w:r>
        <w:rPr>
          <w:spacing w:val="23"/>
        </w:rPr>
        <w:t xml:space="preserve"> </w:t>
      </w:r>
      <w:r>
        <w:t>us</w:t>
      </w:r>
      <w:r>
        <w:rPr>
          <w:spacing w:val="24"/>
        </w:rPr>
        <w:t xml:space="preserve"> </w:t>
      </w:r>
      <w:r>
        <w:t>to</w:t>
      </w:r>
      <w:r>
        <w:rPr>
          <w:spacing w:val="24"/>
        </w:rPr>
        <w:t xml:space="preserve"> </w:t>
      </w:r>
      <w:r>
        <w:t>deliver</w:t>
      </w:r>
      <w:r>
        <w:rPr>
          <w:spacing w:val="23"/>
        </w:rPr>
        <w:t xml:space="preserve"> </w:t>
      </w:r>
      <w:r>
        <w:t>the</w:t>
      </w:r>
      <w:r w:rsidR="000F501D">
        <w:t> </w:t>
      </w:r>
      <w:r>
        <w:t xml:space="preserve">process. </w:t>
      </w:r>
      <w:r w:rsidR="000F501D">
        <w:rPr>
          <w:rStyle w:val="FootnoteReference"/>
        </w:rPr>
        <w:footnoteReference w:id="131"/>
      </w:r>
    </w:p>
    <w:p w:rsidR="000F501D" w:rsidRDefault="000F501D" w:rsidP="000F501D">
      <w:pPr>
        <w:pStyle w:val="Bodytext"/>
      </w:pPr>
      <w:r>
        <w:t>The Committee notes that its questions about exit surveys could not be answered due to lack of data.  Mr Kefford told the Committee:</w:t>
      </w:r>
    </w:p>
    <w:p w:rsidR="000F501D" w:rsidRDefault="000F501D" w:rsidP="000F501D">
      <w:pPr>
        <w:pStyle w:val="Quote"/>
      </w:pPr>
      <w:r>
        <w:rPr>
          <w:spacing w:val="-1"/>
        </w:rPr>
        <w:t>Again,</w:t>
      </w:r>
      <w:r>
        <w:t xml:space="preserve"> it is</w:t>
      </w:r>
      <w:r>
        <w:rPr>
          <w:spacing w:val="2"/>
        </w:rPr>
        <w:t xml:space="preserve"> </w:t>
      </w:r>
      <w:r>
        <w:rPr>
          <w:spacing w:val="-1"/>
        </w:rPr>
        <w:t>patchy.</w:t>
      </w:r>
      <w:r>
        <w:rPr>
          <w:spacing w:val="4"/>
        </w:rPr>
        <w:t xml:space="preserve"> </w:t>
      </w:r>
      <w:r>
        <w:t>I</w:t>
      </w:r>
      <w:r>
        <w:rPr>
          <w:spacing w:val="-4"/>
        </w:rPr>
        <w:t xml:space="preserve"> </w:t>
      </w:r>
      <w:r>
        <w:t>think this is one</w:t>
      </w:r>
      <w:r>
        <w:rPr>
          <w:spacing w:val="-1"/>
        </w:rPr>
        <w:t xml:space="preserve"> </w:t>
      </w:r>
      <w:r>
        <w:t>of the</w:t>
      </w:r>
      <w:r>
        <w:rPr>
          <w:spacing w:val="-1"/>
        </w:rPr>
        <w:t xml:space="preserve"> </w:t>
      </w:r>
      <w:r>
        <w:t xml:space="preserve">other </w:t>
      </w:r>
      <w:r>
        <w:rPr>
          <w:spacing w:val="-1"/>
        </w:rPr>
        <w:t>areas</w:t>
      </w:r>
      <w:r>
        <w:rPr>
          <w:spacing w:val="2"/>
        </w:rPr>
        <w:t xml:space="preserve"> </w:t>
      </w:r>
      <w:r>
        <w:t xml:space="preserve">in </w:t>
      </w:r>
      <w:r>
        <w:rPr>
          <w:spacing w:val="1"/>
        </w:rPr>
        <w:t>which</w:t>
      </w:r>
      <w:r>
        <w:rPr>
          <w:spacing w:val="2"/>
        </w:rPr>
        <w:t xml:space="preserve"> </w:t>
      </w:r>
      <w:r>
        <w:t>I</w:t>
      </w:r>
      <w:r>
        <w:rPr>
          <w:spacing w:val="-4"/>
        </w:rPr>
        <w:t xml:space="preserve"> </w:t>
      </w:r>
      <w:r>
        <w:t>would</w:t>
      </w:r>
      <w:r>
        <w:rPr>
          <w:spacing w:val="42"/>
        </w:rPr>
        <w:t xml:space="preserve"> </w:t>
      </w:r>
      <w:r>
        <w:t>like</w:t>
      </w:r>
      <w:r>
        <w:rPr>
          <w:spacing w:val="-1"/>
        </w:rPr>
        <w:t xml:space="preserve"> </w:t>
      </w:r>
      <w:r>
        <w:t>a</w:t>
      </w:r>
      <w:r>
        <w:rPr>
          <w:spacing w:val="-1"/>
        </w:rPr>
        <w:t xml:space="preserve"> clearer</w:t>
      </w:r>
      <w:r>
        <w:t xml:space="preserve"> sense.</w:t>
      </w:r>
      <w:r>
        <w:rPr>
          <w:spacing w:val="3"/>
        </w:rPr>
        <w:t xml:space="preserve"> </w:t>
      </w:r>
      <w:r>
        <w:t>I</w:t>
      </w:r>
      <w:r>
        <w:rPr>
          <w:spacing w:val="-4"/>
        </w:rPr>
        <w:t xml:space="preserve"> </w:t>
      </w:r>
      <w:r>
        <w:t>have</w:t>
      </w:r>
      <w:r>
        <w:rPr>
          <w:spacing w:val="-1"/>
        </w:rPr>
        <w:t xml:space="preserve"> </w:t>
      </w:r>
      <w:r>
        <w:t>a</w:t>
      </w:r>
      <w:r>
        <w:rPr>
          <w:spacing w:val="1"/>
        </w:rPr>
        <w:t xml:space="preserve"> </w:t>
      </w:r>
      <w:r>
        <w:rPr>
          <w:spacing w:val="-1"/>
        </w:rPr>
        <w:t>sense,</w:t>
      </w:r>
      <w:r>
        <w:rPr>
          <w:spacing w:val="2"/>
        </w:rPr>
        <w:t xml:space="preserve"> </w:t>
      </w:r>
      <w:r>
        <w:t>but</w:t>
      </w:r>
      <w:r>
        <w:rPr>
          <w:spacing w:val="2"/>
        </w:rPr>
        <w:t xml:space="preserve"> </w:t>
      </w:r>
      <w:r>
        <w:t>I</w:t>
      </w:r>
      <w:r>
        <w:rPr>
          <w:spacing w:val="-1"/>
        </w:rPr>
        <w:t xml:space="preserve"> </w:t>
      </w:r>
      <w:r>
        <w:t>would like</w:t>
      </w:r>
      <w:r>
        <w:rPr>
          <w:spacing w:val="-1"/>
        </w:rPr>
        <w:t xml:space="preserve"> </w:t>
      </w:r>
      <w:r>
        <w:t>some</w:t>
      </w:r>
      <w:r>
        <w:rPr>
          <w:spacing w:val="1"/>
        </w:rPr>
        <w:t xml:space="preserve"> </w:t>
      </w:r>
      <w:r>
        <w:rPr>
          <w:spacing w:val="-1"/>
        </w:rPr>
        <w:t>clear</w:t>
      </w:r>
      <w:r>
        <w:rPr>
          <w:spacing w:val="1"/>
        </w:rPr>
        <w:t xml:space="preserve"> </w:t>
      </w:r>
      <w:r>
        <w:rPr>
          <w:spacing w:val="-1"/>
        </w:rPr>
        <w:t>data</w:t>
      </w:r>
      <w:r>
        <w:rPr>
          <w:spacing w:val="1"/>
        </w:rPr>
        <w:t xml:space="preserve"> </w:t>
      </w:r>
      <w:r>
        <w:rPr>
          <w:spacing w:val="-1"/>
        </w:rPr>
        <w:t>behind</w:t>
      </w:r>
      <w:r>
        <w:rPr>
          <w:spacing w:val="2"/>
        </w:rPr>
        <w:t xml:space="preserve"> </w:t>
      </w:r>
      <w:r>
        <w:t>it.</w:t>
      </w:r>
      <w:r>
        <w:rPr>
          <w:spacing w:val="2"/>
        </w:rPr>
        <w:t xml:space="preserve"> </w:t>
      </w:r>
      <w:r>
        <w:rPr>
          <w:spacing w:val="-3"/>
        </w:rPr>
        <w:t>In</w:t>
      </w:r>
      <w:r>
        <w:rPr>
          <w:spacing w:val="2"/>
        </w:rPr>
        <w:t xml:space="preserve"> </w:t>
      </w:r>
      <w:r>
        <w:rPr>
          <w:spacing w:val="1"/>
        </w:rPr>
        <w:t>many</w:t>
      </w:r>
      <w:r>
        <w:rPr>
          <w:spacing w:val="47"/>
        </w:rPr>
        <w:t xml:space="preserve"> </w:t>
      </w:r>
      <w:r>
        <w:rPr>
          <w:spacing w:val="-1"/>
        </w:rPr>
        <w:t>cases</w:t>
      </w:r>
      <w:r>
        <w:rPr>
          <w:spacing w:val="48"/>
        </w:rPr>
        <w:t xml:space="preserve"> </w:t>
      </w:r>
      <w:r>
        <w:rPr>
          <w:spacing w:val="1"/>
        </w:rPr>
        <w:t>they</w:t>
      </w:r>
      <w:r>
        <w:rPr>
          <w:spacing w:val="42"/>
        </w:rPr>
        <w:t xml:space="preserve"> </w:t>
      </w:r>
      <w:r>
        <w:t>are</w:t>
      </w:r>
      <w:r>
        <w:rPr>
          <w:spacing w:val="48"/>
        </w:rPr>
        <w:t xml:space="preserve"> </w:t>
      </w:r>
      <w:r>
        <w:rPr>
          <w:spacing w:val="-1"/>
        </w:rPr>
        <w:t>going</w:t>
      </w:r>
      <w:r>
        <w:rPr>
          <w:spacing w:val="45"/>
        </w:rPr>
        <w:t xml:space="preserve"> </w:t>
      </w:r>
      <w:r>
        <w:t>on</w:t>
      </w:r>
      <w:r>
        <w:rPr>
          <w:spacing w:val="49"/>
        </w:rPr>
        <w:t xml:space="preserve"> </w:t>
      </w:r>
      <w:r>
        <w:rPr>
          <w:spacing w:val="-1"/>
        </w:rPr>
        <w:t>promotion</w:t>
      </w:r>
      <w:r>
        <w:rPr>
          <w:spacing w:val="48"/>
        </w:rPr>
        <w:t xml:space="preserve"> </w:t>
      </w:r>
      <w:r>
        <w:rPr>
          <w:spacing w:val="-1"/>
        </w:rPr>
        <w:t>somewhere</w:t>
      </w:r>
      <w:r>
        <w:rPr>
          <w:spacing w:val="48"/>
        </w:rPr>
        <w:t xml:space="preserve"> </w:t>
      </w:r>
      <w:r>
        <w:rPr>
          <w:spacing w:val="-1"/>
        </w:rPr>
        <w:t>else.</w:t>
      </w:r>
      <w:r>
        <w:rPr>
          <w:spacing w:val="47"/>
        </w:rPr>
        <w:t xml:space="preserve"> </w:t>
      </w:r>
      <w:r>
        <w:t>So,</w:t>
      </w:r>
      <w:r>
        <w:rPr>
          <w:spacing w:val="47"/>
        </w:rPr>
        <w:t xml:space="preserve"> </w:t>
      </w:r>
      <w:r>
        <w:t>in</w:t>
      </w:r>
      <w:r>
        <w:rPr>
          <w:spacing w:val="48"/>
        </w:rPr>
        <w:t xml:space="preserve"> </w:t>
      </w:r>
      <w:r>
        <w:t>one</w:t>
      </w:r>
      <w:r>
        <w:rPr>
          <w:spacing w:val="46"/>
        </w:rPr>
        <w:t xml:space="preserve"> </w:t>
      </w:r>
      <w:r>
        <w:rPr>
          <w:spacing w:val="-1"/>
        </w:rPr>
        <w:t>sense,</w:t>
      </w:r>
      <w:r>
        <w:rPr>
          <w:spacing w:val="49"/>
        </w:rPr>
        <w:t xml:space="preserve"> </w:t>
      </w:r>
      <w:r>
        <w:t>the</w:t>
      </w:r>
      <w:r>
        <w:rPr>
          <w:spacing w:val="47"/>
        </w:rPr>
        <w:t xml:space="preserve"> </w:t>
      </w:r>
      <w:r>
        <w:rPr>
          <w:spacing w:val="-1"/>
        </w:rPr>
        <w:t>system</w:t>
      </w:r>
      <w:r>
        <w:rPr>
          <w:spacing w:val="68"/>
        </w:rPr>
        <w:t xml:space="preserve"> </w:t>
      </w:r>
      <w:r>
        <w:rPr>
          <w:spacing w:val="-1"/>
        </w:rPr>
        <w:t>works.</w:t>
      </w:r>
      <w:r>
        <w:rPr>
          <w:spacing w:val="9"/>
        </w:rPr>
        <w:t xml:space="preserve"> </w:t>
      </w:r>
      <w:r>
        <w:t>So</w:t>
      </w:r>
      <w:r>
        <w:rPr>
          <w:spacing w:val="9"/>
        </w:rPr>
        <w:t xml:space="preserve"> </w:t>
      </w:r>
      <w:r>
        <w:t>while</w:t>
      </w:r>
      <w:r>
        <w:rPr>
          <w:spacing w:val="8"/>
        </w:rPr>
        <w:t xml:space="preserve"> </w:t>
      </w:r>
      <w:r>
        <w:rPr>
          <w:spacing w:val="1"/>
        </w:rPr>
        <w:t>they</w:t>
      </w:r>
      <w:r>
        <w:rPr>
          <w:spacing w:val="4"/>
        </w:rPr>
        <w:t xml:space="preserve"> </w:t>
      </w:r>
      <w:r>
        <w:t>are</w:t>
      </w:r>
      <w:r>
        <w:rPr>
          <w:spacing w:val="9"/>
        </w:rPr>
        <w:t xml:space="preserve"> </w:t>
      </w:r>
      <w:r>
        <w:t>not</w:t>
      </w:r>
      <w:r>
        <w:rPr>
          <w:spacing w:val="9"/>
        </w:rPr>
        <w:t xml:space="preserve"> </w:t>
      </w:r>
      <w:r>
        <w:rPr>
          <w:spacing w:val="-1"/>
        </w:rPr>
        <w:t>counted</w:t>
      </w:r>
      <w:r>
        <w:rPr>
          <w:spacing w:val="8"/>
        </w:rPr>
        <w:t xml:space="preserve"> </w:t>
      </w:r>
      <w:r>
        <w:t>in</w:t>
      </w:r>
      <w:r>
        <w:rPr>
          <w:spacing w:val="9"/>
        </w:rPr>
        <w:t xml:space="preserve"> </w:t>
      </w:r>
      <w:r>
        <w:t>our</w:t>
      </w:r>
      <w:r>
        <w:rPr>
          <w:spacing w:val="8"/>
        </w:rPr>
        <w:t xml:space="preserve"> </w:t>
      </w:r>
      <w:r>
        <w:t>numbers</w:t>
      </w:r>
      <w:r>
        <w:rPr>
          <w:spacing w:val="8"/>
        </w:rPr>
        <w:t xml:space="preserve"> </w:t>
      </w:r>
      <w:r>
        <w:rPr>
          <w:spacing w:val="1"/>
        </w:rPr>
        <w:t>any</w:t>
      </w:r>
      <w:r>
        <w:rPr>
          <w:spacing w:val="4"/>
        </w:rPr>
        <w:t xml:space="preserve"> </w:t>
      </w:r>
      <w:r>
        <w:t>more,</w:t>
      </w:r>
      <w:r>
        <w:rPr>
          <w:spacing w:val="9"/>
        </w:rPr>
        <w:t xml:space="preserve"> </w:t>
      </w:r>
      <w:r>
        <w:t>we</w:t>
      </w:r>
      <w:r>
        <w:rPr>
          <w:spacing w:val="8"/>
        </w:rPr>
        <w:t xml:space="preserve"> </w:t>
      </w:r>
      <w:r>
        <w:t>are</w:t>
      </w:r>
      <w:r>
        <w:rPr>
          <w:spacing w:val="8"/>
        </w:rPr>
        <w:t xml:space="preserve"> </w:t>
      </w:r>
      <w:r>
        <w:t>seeing</w:t>
      </w:r>
      <w:r>
        <w:rPr>
          <w:spacing w:val="14"/>
        </w:rPr>
        <w:t xml:space="preserve"> </w:t>
      </w:r>
      <w:r>
        <w:t>people</w:t>
      </w:r>
      <w:r>
        <w:rPr>
          <w:spacing w:val="28"/>
        </w:rPr>
        <w:t xml:space="preserve"> </w:t>
      </w:r>
      <w:r>
        <w:rPr>
          <w:spacing w:val="-1"/>
        </w:rPr>
        <w:t>come</w:t>
      </w:r>
      <w:r>
        <w:rPr>
          <w:spacing w:val="18"/>
        </w:rPr>
        <w:t xml:space="preserve"> </w:t>
      </w:r>
      <w:r>
        <w:t>to</w:t>
      </w:r>
      <w:r>
        <w:rPr>
          <w:spacing w:val="19"/>
        </w:rPr>
        <w:t xml:space="preserve"> </w:t>
      </w:r>
      <w:r>
        <w:t>us,</w:t>
      </w:r>
      <w:r>
        <w:rPr>
          <w:spacing w:val="19"/>
        </w:rPr>
        <w:t xml:space="preserve"> </w:t>
      </w:r>
      <w:r>
        <w:rPr>
          <w:spacing w:val="-1"/>
        </w:rPr>
        <w:t>enter</w:t>
      </w:r>
      <w:r>
        <w:rPr>
          <w:spacing w:val="17"/>
        </w:rPr>
        <w:t xml:space="preserve"> </w:t>
      </w:r>
      <w:r>
        <w:t>the</w:t>
      </w:r>
      <w:r>
        <w:rPr>
          <w:spacing w:val="18"/>
        </w:rPr>
        <w:t xml:space="preserve"> </w:t>
      </w:r>
      <w:r>
        <w:rPr>
          <w:spacing w:val="-1"/>
        </w:rPr>
        <w:t>workforce,</w:t>
      </w:r>
      <w:r>
        <w:rPr>
          <w:spacing w:val="18"/>
        </w:rPr>
        <w:t xml:space="preserve"> </w:t>
      </w:r>
      <w:r>
        <w:t>do</w:t>
      </w:r>
      <w:r>
        <w:rPr>
          <w:spacing w:val="18"/>
        </w:rPr>
        <w:t xml:space="preserve"> </w:t>
      </w:r>
      <w:r>
        <w:t>some</w:t>
      </w:r>
      <w:r>
        <w:rPr>
          <w:spacing w:val="18"/>
        </w:rPr>
        <w:t xml:space="preserve"> </w:t>
      </w:r>
      <w:r>
        <w:rPr>
          <w:spacing w:val="-1"/>
        </w:rPr>
        <w:t>training</w:t>
      </w:r>
      <w:r>
        <w:rPr>
          <w:spacing w:val="16"/>
        </w:rPr>
        <w:t xml:space="preserve"> </w:t>
      </w:r>
      <w:r>
        <w:t>with</w:t>
      </w:r>
      <w:r>
        <w:rPr>
          <w:spacing w:val="19"/>
        </w:rPr>
        <w:t xml:space="preserve"> </w:t>
      </w:r>
      <w:r>
        <w:t>us</w:t>
      </w:r>
      <w:r>
        <w:rPr>
          <w:spacing w:val="19"/>
        </w:rPr>
        <w:t xml:space="preserve"> </w:t>
      </w:r>
      <w:r>
        <w:rPr>
          <w:spacing w:val="-1"/>
        </w:rPr>
        <w:t>and</w:t>
      </w:r>
      <w:r>
        <w:rPr>
          <w:spacing w:val="18"/>
        </w:rPr>
        <w:t xml:space="preserve"> </w:t>
      </w:r>
      <w:r>
        <w:t>then</w:t>
      </w:r>
      <w:r>
        <w:rPr>
          <w:spacing w:val="20"/>
        </w:rPr>
        <w:t xml:space="preserve"> </w:t>
      </w:r>
      <w:r>
        <w:rPr>
          <w:spacing w:val="-2"/>
        </w:rPr>
        <w:t>go</w:t>
      </w:r>
      <w:r>
        <w:rPr>
          <w:spacing w:val="18"/>
        </w:rPr>
        <w:t xml:space="preserve"> </w:t>
      </w:r>
      <w:r>
        <w:t>and</w:t>
      </w:r>
      <w:r>
        <w:rPr>
          <w:spacing w:val="18"/>
        </w:rPr>
        <w:t xml:space="preserve"> </w:t>
      </w:r>
      <w:r>
        <w:rPr>
          <w:spacing w:val="-1"/>
        </w:rPr>
        <w:t>work</w:t>
      </w:r>
      <w:r>
        <w:rPr>
          <w:spacing w:val="18"/>
        </w:rPr>
        <w:t xml:space="preserve"> </w:t>
      </w:r>
      <w:r>
        <w:t>for</w:t>
      </w:r>
      <w:r>
        <w:rPr>
          <w:spacing w:val="55"/>
        </w:rPr>
        <w:t xml:space="preserve"> </w:t>
      </w:r>
      <w:r>
        <w:t>the</w:t>
      </w:r>
      <w:r>
        <w:rPr>
          <w:spacing w:val="4"/>
        </w:rPr>
        <w:t xml:space="preserve"> </w:t>
      </w:r>
      <w:r>
        <w:rPr>
          <w:spacing w:val="-1"/>
        </w:rPr>
        <w:t>commonwealth</w:t>
      </w:r>
      <w:r>
        <w:rPr>
          <w:spacing w:val="4"/>
        </w:rPr>
        <w:t xml:space="preserve"> </w:t>
      </w:r>
      <w:r>
        <w:t>or</w:t>
      </w:r>
      <w:r>
        <w:rPr>
          <w:spacing w:val="3"/>
        </w:rPr>
        <w:t xml:space="preserve"> </w:t>
      </w:r>
      <w:r>
        <w:t>the</w:t>
      </w:r>
      <w:r>
        <w:rPr>
          <w:spacing w:val="4"/>
        </w:rPr>
        <w:t xml:space="preserve"> </w:t>
      </w:r>
      <w:r>
        <w:t>community</w:t>
      </w:r>
      <w:r>
        <w:rPr>
          <w:spacing w:val="-3"/>
        </w:rPr>
        <w:t xml:space="preserve"> </w:t>
      </w:r>
      <w:r>
        <w:t>sector.</w:t>
      </w:r>
      <w:r>
        <w:rPr>
          <w:rStyle w:val="FootnoteReference"/>
        </w:rPr>
        <w:footnoteReference w:id="132"/>
      </w:r>
    </w:p>
    <w:p w:rsidR="007043A7" w:rsidRDefault="007043A7" w:rsidP="000D6558">
      <w:pPr>
        <w:pStyle w:val="Recommendation"/>
      </w:pPr>
      <w:bookmarkStart w:id="144" w:name="_Toc384024416"/>
      <w:bookmarkEnd w:id="144"/>
    </w:p>
    <w:p w:rsidR="000D6558" w:rsidRPr="000D6558" w:rsidRDefault="000D6558" w:rsidP="000D6558">
      <w:pPr>
        <w:pStyle w:val="RecommendationText"/>
      </w:pPr>
      <w:bookmarkStart w:id="145" w:name="_Toc384024417"/>
      <w:r>
        <w:t xml:space="preserve">The Committee recommends that the </w:t>
      </w:r>
      <w:r w:rsidR="00323080">
        <w:t xml:space="preserve">ACT Public Service </w:t>
      </w:r>
      <w:r>
        <w:t xml:space="preserve">take prompt action to ensure the </w:t>
      </w:r>
      <w:r w:rsidR="008A4E4D">
        <w:t xml:space="preserve">wider </w:t>
      </w:r>
      <w:r>
        <w:t>collection of data</w:t>
      </w:r>
      <w:r w:rsidR="007723FA">
        <w:t>, including exit surveys,</w:t>
      </w:r>
      <w:r>
        <w:t xml:space="preserve"> relating to Aboriginal and Torres Strait Islander employees in the </w:t>
      </w:r>
      <w:r w:rsidR="00323080">
        <w:t xml:space="preserve">ACT Public Service </w:t>
      </w:r>
      <w:r>
        <w:t>.</w:t>
      </w:r>
      <w:bookmarkEnd w:id="145"/>
      <w:r>
        <w:t xml:space="preserve"> </w:t>
      </w:r>
    </w:p>
    <w:p w:rsidR="007043A7" w:rsidRDefault="007043A7" w:rsidP="007043A7">
      <w:pPr>
        <w:pStyle w:val="Headinglevel2"/>
      </w:pPr>
      <w:bookmarkStart w:id="146" w:name="_Toc383615054"/>
      <w:r>
        <w:t>Monitoring and reporting mechanisms</w:t>
      </w:r>
      <w:bookmarkEnd w:id="146"/>
    </w:p>
    <w:p w:rsidR="00BC0293" w:rsidRDefault="00BC0293" w:rsidP="00BC0293">
      <w:pPr>
        <w:pStyle w:val="Bodytext"/>
        <w:rPr>
          <w:lang w:val="en-US"/>
        </w:rPr>
      </w:pPr>
      <w:r>
        <w:t xml:space="preserve">The ACTPS submission states that as part of the RED framework it had </w:t>
      </w:r>
      <w:r w:rsidRPr="00BC0293">
        <w:rPr>
          <w:lang w:val="en-US"/>
        </w:rPr>
        <w:t>determined a process to monitor and evaluate our performance against respect, equity and diversity</w:t>
      </w:r>
      <w:r>
        <w:rPr>
          <w:lang w:val="en-US"/>
        </w:rPr>
        <w:t>.  Later the submission states that:</w:t>
      </w:r>
    </w:p>
    <w:p w:rsidR="00BC0293" w:rsidRPr="00BC0293" w:rsidRDefault="00BC0293" w:rsidP="00BC0293">
      <w:pPr>
        <w:pStyle w:val="ListBullet"/>
        <w:rPr>
          <w:szCs w:val="24"/>
          <w:lang w:val="en-US"/>
        </w:rPr>
      </w:pPr>
      <w:r>
        <w:rPr>
          <w:lang w:val="en-US"/>
        </w:rPr>
        <w:t xml:space="preserve"> the CMTD has a role in monitoring performance reporting explained; and</w:t>
      </w:r>
    </w:p>
    <w:p w:rsidR="00BC0293" w:rsidRPr="00BC0293" w:rsidRDefault="00BC0293" w:rsidP="00BC0293">
      <w:pPr>
        <w:pStyle w:val="ListBullet"/>
        <w:rPr>
          <w:szCs w:val="24"/>
          <w:lang w:val="en-US"/>
        </w:rPr>
      </w:pPr>
      <w:r>
        <w:rPr>
          <w:lang w:val="en-US"/>
        </w:rPr>
        <w:t xml:space="preserve">Reports on the implementation of the Employment Strategy (as part of the RED Framework reporting requirements) are provided by all agencies, and is now included as part of the State of the Service Report.  </w:t>
      </w:r>
    </w:p>
    <w:p w:rsidR="00BC0293" w:rsidRDefault="00BC0293" w:rsidP="00BC0293">
      <w:pPr>
        <w:pStyle w:val="Bodytext"/>
        <w:rPr>
          <w:lang w:val="en-US"/>
        </w:rPr>
      </w:pPr>
      <w:r>
        <w:rPr>
          <w:lang w:val="en-US"/>
        </w:rPr>
        <w:t xml:space="preserve">At the time the ACTPS submission was prepared the State of the Service Report 2012 was available.  The State of the Service Report 2013 was published in 2013. </w:t>
      </w:r>
    </w:p>
    <w:p w:rsidR="00024210" w:rsidRDefault="0034498B" w:rsidP="00BC0293">
      <w:pPr>
        <w:pStyle w:val="Bodytext"/>
        <w:rPr>
          <w:lang w:val="en-US"/>
        </w:rPr>
      </w:pPr>
      <w:r>
        <w:rPr>
          <w:lang w:val="en-US"/>
        </w:rPr>
        <w:t>The Committee note</w:t>
      </w:r>
      <w:r w:rsidR="00EE7D94">
        <w:rPr>
          <w:lang w:val="en-US"/>
        </w:rPr>
        <w:t>s</w:t>
      </w:r>
      <w:r>
        <w:rPr>
          <w:lang w:val="en-US"/>
        </w:rPr>
        <w:t xml:space="preserve"> that the </w:t>
      </w:r>
      <w:r w:rsidR="00323080">
        <w:rPr>
          <w:lang w:val="en-US"/>
        </w:rPr>
        <w:t xml:space="preserve">Elected Body </w:t>
      </w:r>
      <w:r>
        <w:rPr>
          <w:lang w:val="en-US"/>
        </w:rPr>
        <w:t xml:space="preserve">conducts annual Estimates-type hearings and that it increasingly uses these forums to scrutinise implementation of the Employment Strategy.  That said, evidence from the </w:t>
      </w:r>
      <w:r w:rsidR="00BC122A">
        <w:rPr>
          <w:lang w:val="en-US"/>
        </w:rPr>
        <w:t>Elected Body</w:t>
      </w:r>
      <w:r>
        <w:rPr>
          <w:lang w:val="en-US"/>
        </w:rPr>
        <w:t xml:space="preserve"> </w:t>
      </w:r>
      <w:r w:rsidR="00EE7D94">
        <w:rPr>
          <w:lang w:val="en-US"/>
        </w:rPr>
        <w:t xml:space="preserve">presented during the Inquiry </w:t>
      </w:r>
      <w:r>
        <w:rPr>
          <w:lang w:val="en-US"/>
        </w:rPr>
        <w:t xml:space="preserve">leaves no doubt that is it </w:t>
      </w:r>
      <w:r w:rsidR="00EE7D94">
        <w:rPr>
          <w:lang w:val="en-US"/>
        </w:rPr>
        <w:t xml:space="preserve">far from </w:t>
      </w:r>
      <w:r>
        <w:rPr>
          <w:lang w:val="en-US"/>
        </w:rPr>
        <w:t xml:space="preserve">satisfied </w:t>
      </w:r>
      <w:r w:rsidR="00EE7D94">
        <w:rPr>
          <w:lang w:val="en-US"/>
        </w:rPr>
        <w:t xml:space="preserve">about monitoring and reporting.  </w:t>
      </w:r>
    </w:p>
    <w:p w:rsidR="00BC0293" w:rsidRDefault="00EE7D94" w:rsidP="00BC0293">
      <w:pPr>
        <w:pStyle w:val="Bodytext"/>
        <w:rPr>
          <w:lang w:val="en-US"/>
        </w:rPr>
      </w:pPr>
      <w:r>
        <w:rPr>
          <w:lang w:val="en-US"/>
        </w:rPr>
        <w:t xml:space="preserve">Similarly, the CPSU submission states: </w:t>
      </w:r>
    </w:p>
    <w:p w:rsidR="00EE7D94" w:rsidRPr="00EE7D94" w:rsidRDefault="00EE7D94" w:rsidP="00EE7D94">
      <w:pPr>
        <w:pStyle w:val="Quote"/>
        <w:rPr>
          <w:lang w:val="en-GB"/>
        </w:rPr>
      </w:pPr>
      <w:r w:rsidRPr="00EE7D94">
        <w:rPr>
          <w:lang w:val="en-GB"/>
        </w:rPr>
        <w:t>There are currently three quantifiable Key Performance Measures set by the Strategy. These are:</w:t>
      </w:r>
    </w:p>
    <w:p w:rsidR="00EE7D94" w:rsidRPr="00EE7D94" w:rsidRDefault="00EE7D94" w:rsidP="00185285">
      <w:pPr>
        <w:pStyle w:val="Quote"/>
        <w:numPr>
          <w:ilvl w:val="0"/>
          <w:numId w:val="16"/>
        </w:numPr>
        <w:tabs>
          <w:tab w:val="left" w:pos="1560"/>
        </w:tabs>
      </w:pPr>
      <w:r w:rsidRPr="00EE7D94">
        <w:t>Increase the percentage of Aboriginal and Torres Strait Islander employees to 2% by 2015</w:t>
      </w:r>
    </w:p>
    <w:p w:rsidR="00EE7D94" w:rsidRPr="00EE7D94" w:rsidRDefault="00EE7D94" w:rsidP="00185285">
      <w:pPr>
        <w:pStyle w:val="Quote"/>
        <w:numPr>
          <w:ilvl w:val="0"/>
          <w:numId w:val="16"/>
        </w:numPr>
        <w:tabs>
          <w:tab w:val="left" w:pos="1560"/>
        </w:tabs>
      </w:pPr>
      <w:r w:rsidRPr="00EE7D94">
        <w:t>Decrease the separation rate for Aboriginal and Torres Strait Islander employees</w:t>
      </w:r>
    </w:p>
    <w:p w:rsidR="00EE7D94" w:rsidRPr="00EE7D94" w:rsidRDefault="00EE7D94" w:rsidP="00185285">
      <w:pPr>
        <w:pStyle w:val="Quote"/>
        <w:numPr>
          <w:ilvl w:val="0"/>
          <w:numId w:val="16"/>
        </w:numPr>
        <w:tabs>
          <w:tab w:val="left" w:pos="1560"/>
        </w:tabs>
      </w:pPr>
      <w:r w:rsidRPr="00EE7D94">
        <w:t xml:space="preserve">Decrease the gap in average remuneration between Aboriginal and Torres Strait Islander employees and other employees. </w:t>
      </w:r>
    </w:p>
    <w:p w:rsidR="00EE7D94" w:rsidRPr="00EE7D94" w:rsidRDefault="00EE7D94" w:rsidP="00EE7D94">
      <w:pPr>
        <w:pStyle w:val="Quote"/>
        <w:rPr>
          <w:lang w:val="en-GB"/>
        </w:rPr>
      </w:pPr>
      <w:r w:rsidRPr="00EE7D94">
        <w:rPr>
          <w:lang w:val="en-GB"/>
        </w:rPr>
        <w:t xml:space="preserve">There are a number of other Key Performance Measures that could be added to these that would help encourage a focus on career development and the creation of quality jobs, as well as ensure more comprehensive monitoring and reporting of Aboriginal and Torres Strait Islander employment in the ACTPS. These could include targets to reduce the number of Aboriginal and Torres Strait Islander employees in non permanent positions and increasing the average classification level of Aboriginal and Torres Strait Islander employees. </w:t>
      </w:r>
    </w:p>
    <w:p w:rsidR="00EE7D94" w:rsidRPr="00EE7D94" w:rsidRDefault="00EE7D94" w:rsidP="00EE7D94">
      <w:pPr>
        <w:pStyle w:val="Quote"/>
        <w:rPr>
          <w:lang w:val="en-GB"/>
        </w:rPr>
      </w:pPr>
      <w:r w:rsidRPr="00EE7D94">
        <w:rPr>
          <w:lang w:val="en-GB"/>
        </w:rPr>
        <w:t xml:space="preserve">In addition, there is no publicly available data to monitor the career progression of Aboriginal and Torres Strait Islander employees. Such data could include current and historical data about how many Aboriginal and Torres Strait Islander employees are engaged at each classification level or pay bracket as well as the length of time employees have spent at their current classification level.  While the State of The Service Report, reports on average and median salary for all Aboriginal and Torres Strait Islander employees, it does not break it down in a manner in which it is possible to track the number of Aboriginal and Torres Strait Islander employees at each level over time. Nor does it state how many years employees have spent in their current classification.  </w:t>
      </w:r>
    </w:p>
    <w:p w:rsidR="00EE7D94" w:rsidRPr="00EE7D94" w:rsidRDefault="00EE7D94" w:rsidP="00EE7D94">
      <w:pPr>
        <w:pStyle w:val="Quote"/>
        <w:rPr>
          <w:lang w:val="en-GB"/>
        </w:rPr>
      </w:pPr>
      <w:r w:rsidRPr="00EE7D94">
        <w:rPr>
          <w:lang w:val="en-GB"/>
        </w:rPr>
        <w:t xml:space="preserve">Other factors that could be reported on include the type of engagement of Aboriginal and Torres Strait Islander employees (i.e. traineeship, cadetship, general recruitment processes, identified positions, etc., reasons for leaving, and access to formal training and education including tertiary qualifications.  </w:t>
      </w:r>
    </w:p>
    <w:p w:rsidR="00BC0293" w:rsidRPr="007F695B" w:rsidRDefault="00024210" w:rsidP="00BC0293">
      <w:pPr>
        <w:pStyle w:val="Bodytext"/>
        <w:rPr>
          <w:lang w:val="en-US"/>
        </w:rPr>
      </w:pPr>
      <w:r>
        <w:t xml:space="preserve">The </w:t>
      </w:r>
      <w:r w:rsidR="00BC0293">
        <w:t xml:space="preserve">Committee commends to those interested a report titled </w:t>
      </w:r>
      <w:r w:rsidR="00BC0293" w:rsidRPr="00A016FB">
        <w:rPr>
          <w:i/>
        </w:rPr>
        <w:t>Indigenous Employment in the Minerals Industry</w:t>
      </w:r>
      <w:r w:rsidR="00BC0293">
        <w:t>, a report on a collaborative research project between the Centre for Social Responsibility in Mining at the University of Queensland, Rio Tinto and other companies that have been active in the field of Indigenous employment.</w:t>
      </w:r>
      <w:r w:rsidR="00BC0293">
        <w:rPr>
          <w:rStyle w:val="FootnoteReference"/>
        </w:rPr>
        <w:footnoteReference w:id="133"/>
      </w:r>
      <w:r w:rsidR="00BC0293">
        <w:t xml:space="preserve">  </w:t>
      </w:r>
      <w:r w:rsidR="00BC0293" w:rsidRPr="007F695B">
        <w:rPr>
          <w:lang w:val="en-US"/>
        </w:rPr>
        <w:t>Key objectives of the project were</w:t>
      </w:r>
      <w:r>
        <w:rPr>
          <w:lang w:val="en-US"/>
        </w:rPr>
        <w:t> </w:t>
      </w:r>
      <w:r w:rsidR="00BC0293" w:rsidRPr="007F695B">
        <w:rPr>
          <w:lang w:val="en-US"/>
        </w:rPr>
        <w:t>to:</w:t>
      </w:r>
    </w:p>
    <w:p w:rsidR="00BC0293" w:rsidRPr="007F695B" w:rsidRDefault="00BC0293" w:rsidP="00BC0293">
      <w:pPr>
        <w:pStyle w:val="ListBullet"/>
        <w:rPr>
          <w:lang w:val="en-US"/>
        </w:rPr>
      </w:pPr>
      <w:r w:rsidRPr="007F695B">
        <w:rPr>
          <w:lang w:val="en-US"/>
        </w:rPr>
        <w:t>inform the minerals industry and policy makers about key trends and issues relating to Indigenous employment in the minerals industry</w:t>
      </w:r>
    </w:p>
    <w:p w:rsidR="00BC0293" w:rsidRPr="007F695B" w:rsidRDefault="00BC0293" w:rsidP="00BC0293">
      <w:pPr>
        <w:pStyle w:val="ListBullet"/>
        <w:rPr>
          <w:lang w:val="en-US"/>
        </w:rPr>
      </w:pPr>
      <w:r w:rsidRPr="007F695B">
        <w:rPr>
          <w:lang w:val="en-US"/>
        </w:rPr>
        <w:t>develop a toolkit to assist mining companies achieve improved Indigenous employment outcomes</w:t>
      </w:r>
    </w:p>
    <w:p w:rsidR="00BC0293" w:rsidRPr="007F695B" w:rsidRDefault="00BC0293" w:rsidP="00BC0293">
      <w:pPr>
        <w:pStyle w:val="ListBullet"/>
        <w:rPr>
          <w:lang w:val="en-US"/>
        </w:rPr>
      </w:pPr>
      <w:r w:rsidRPr="007F695B">
        <w:rPr>
          <w:lang w:val="en-US"/>
        </w:rPr>
        <w:t>develop a standard framework for evaluating and comparing the Indigenous employment practices of mining operations</w:t>
      </w:r>
    </w:p>
    <w:p w:rsidR="00BC0293" w:rsidRPr="007F695B" w:rsidRDefault="00BC0293" w:rsidP="00BC0293">
      <w:pPr>
        <w:pStyle w:val="ListBullet"/>
        <w:rPr>
          <w:lang w:val="en-US"/>
        </w:rPr>
      </w:pPr>
      <w:r w:rsidRPr="007F695B">
        <w:rPr>
          <w:lang w:val="en-US"/>
        </w:rPr>
        <w:t>facilitate the sharing of good practice within the industry.</w:t>
      </w:r>
    </w:p>
    <w:p w:rsidR="00BC0293" w:rsidRDefault="00BC0293" w:rsidP="007043A7">
      <w:pPr>
        <w:pStyle w:val="Bodytext"/>
      </w:pPr>
      <w:r>
        <w:t xml:space="preserve">The Report’s section titled </w:t>
      </w:r>
      <w:r w:rsidRPr="00BC122A">
        <w:rPr>
          <w:i/>
        </w:rPr>
        <w:t>Resources for Practitioners</w:t>
      </w:r>
      <w:r>
        <w:t xml:space="preserve"> </w:t>
      </w:r>
      <w:r w:rsidR="00024210">
        <w:t xml:space="preserve">highlights the important role of management information systems in tracking an organisation’s Indigenous employment performance.  It states: </w:t>
      </w:r>
    </w:p>
    <w:p w:rsidR="00024210" w:rsidRDefault="00024210" w:rsidP="00024210">
      <w:pPr>
        <w:pStyle w:val="Quote"/>
      </w:pPr>
      <w:r>
        <w:rPr>
          <w:spacing w:val="4"/>
        </w:rPr>
        <w:t>Effective</w:t>
      </w:r>
      <w:r>
        <w:rPr>
          <w:spacing w:val="32"/>
        </w:rPr>
        <w:t xml:space="preserve"> </w:t>
      </w:r>
      <w:r>
        <w:rPr>
          <w:spacing w:val="-1"/>
        </w:rPr>
        <w:t>management</w:t>
      </w:r>
      <w:r>
        <w:rPr>
          <w:spacing w:val="39"/>
        </w:rPr>
        <w:t xml:space="preserve"> </w:t>
      </w:r>
      <w:r>
        <w:t>systems</w:t>
      </w:r>
      <w:r>
        <w:rPr>
          <w:spacing w:val="35"/>
        </w:rPr>
        <w:t xml:space="preserve"> </w:t>
      </w:r>
      <w:r>
        <w:rPr>
          <w:spacing w:val="-1"/>
        </w:rPr>
        <w:t>enable</w:t>
      </w:r>
      <w:r>
        <w:rPr>
          <w:spacing w:val="35"/>
        </w:rPr>
        <w:t xml:space="preserve"> </w:t>
      </w:r>
      <w:r>
        <w:rPr>
          <w:spacing w:val="-1"/>
        </w:rPr>
        <w:t>companies</w:t>
      </w:r>
      <w:r>
        <w:rPr>
          <w:spacing w:val="45"/>
        </w:rPr>
        <w:t xml:space="preserve"> </w:t>
      </w:r>
      <w:r>
        <w:t>to</w:t>
      </w:r>
      <w:r>
        <w:rPr>
          <w:spacing w:val="39"/>
        </w:rPr>
        <w:t xml:space="preserve"> </w:t>
      </w:r>
      <w:r>
        <w:t>see</w:t>
      </w:r>
      <w:r>
        <w:rPr>
          <w:spacing w:val="28"/>
        </w:rPr>
        <w:t xml:space="preserve"> </w:t>
      </w:r>
      <w:r>
        <w:rPr>
          <w:spacing w:val="2"/>
        </w:rPr>
        <w:t>how</w:t>
      </w:r>
      <w:r>
        <w:rPr>
          <w:spacing w:val="45"/>
        </w:rPr>
        <w:t xml:space="preserve"> </w:t>
      </w:r>
      <w:r>
        <w:rPr>
          <w:spacing w:val="-2"/>
        </w:rPr>
        <w:t>well</w:t>
      </w:r>
      <w:r>
        <w:rPr>
          <w:spacing w:val="-3"/>
        </w:rPr>
        <w:t xml:space="preserve"> </w:t>
      </w:r>
      <w:r>
        <w:rPr>
          <w:spacing w:val="-1"/>
        </w:rPr>
        <w:t>new</w:t>
      </w:r>
      <w:r>
        <w:t xml:space="preserve"> policies</w:t>
      </w:r>
      <w:r>
        <w:rPr>
          <w:spacing w:val="-10"/>
        </w:rPr>
        <w:t xml:space="preserve"> </w:t>
      </w:r>
      <w:r>
        <w:rPr>
          <w:spacing w:val="-1"/>
        </w:rPr>
        <w:t>and</w:t>
      </w:r>
      <w:r>
        <w:t xml:space="preserve"> </w:t>
      </w:r>
      <w:r>
        <w:rPr>
          <w:spacing w:val="-1"/>
        </w:rPr>
        <w:t>processes</w:t>
      </w:r>
      <w:r>
        <w:t xml:space="preserve"> </w:t>
      </w:r>
      <w:r>
        <w:rPr>
          <w:spacing w:val="-3"/>
        </w:rPr>
        <w:t>are</w:t>
      </w:r>
      <w:r>
        <w:rPr>
          <w:spacing w:val="-7"/>
        </w:rPr>
        <w:t xml:space="preserve"> </w:t>
      </w:r>
      <w:r>
        <w:rPr>
          <w:spacing w:val="-1"/>
        </w:rPr>
        <w:t>being</w:t>
      </w:r>
      <w:r>
        <w:rPr>
          <w:spacing w:val="-4"/>
        </w:rPr>
        <w:t xml:space="preserve"> </w:t>
      </w:r>
      <w:r>
        <w:t>implemented</w:t>
      </w:r>
      <w:r>
        <w:rPr>
          <w:spacing w:val="53"/>
        </w:rPr>
        <w:t xml:space="preserve"> </w:t>
      </w:r>
      <w:r>
        <w:rPr>
          <w:spacing w:val="-1"/>
        </w:rPr>
        <w:t>and</w:t>
      </w:r>
      <w:r>
        <w:rPr>
          <w:spacing w:val="33"/>
        </w:rPr>
        <w:t xml:space="preserve"> </w:t>
      </w:r>
      <w:r>
        <w:t>which</w:t>
      </w:r>
      <w:r>
        <w:rPr>
          <w:spacing w:val="26"/>
        </w:rPr>
        <w:t xml:space="preserve"> </w:t>
      </w:r>
      <w:r>
        <w:t>strategies</w:t>
      </w:r>
      <w:r>
        <w:rPr>
          <w:spacing w:val="26"/>
        </w:rPr>
        <w:t xml:space="preserve"> </w:t>
      </w:r>
      <w:r>
        <w:rPr>
          <w:spacing w:val="-3"/>
        </w:rPr>
        <w:t>are</w:t>
      </w:r>
      <w:r>
        <w:rPr>
          <w:spacing w:val="26"/>
        </w:rPr>
        <w:t xml:space="preserve"> </w:t>
      </w:r>
      <w:r>
        <w:t>working.</w:t>
      </w:r>
      <w:r>
        <w:rPr>
          <w:spacing w:val="30"/>
        </w:rPr>
        <w:t xml:space="preserve"> </w:t>
      </w:r>
      <w:r>
        <w:rPr>
          <w:spacing w:val="-1"/>
        </w:rPr>
        <w:t>They</w:t>
      </w:r>
      <w:r>
        <w:rPr>
          <w:spacing w:val="23"/>
        </w:rPr>
        <w:t xml:space="preserve"> </w:t>
      </w:r>
      <w:r>
        <w:rPr>
          <w:spacing w:val="-1"/>
        </w:rPr>
        <w:t>also</w:t>
      </w:r>
      <w:r>
        <w:rPr>
          <w:spacing w:val="30"/>
        </w:rPr>
        <w:t xml:space="preserve"> </w:t>
      </w:r>
      <w:r>
        <w:rPr>
          <w:spacing w:val="-1"/>
        </w:rPr>
        <w:t>assist</w:t>
      </w:r>
      <w:r>
        <w:rPr>
          <w:spacing w:val="30"/>
        </w:rPr>
        <w:t xml:space="preserve"> </w:t>
      </w:r>
      <w:r>
        <w:t>in</w:t>
      </w:r>
      <w:r>
        <w:rPr>
          <w:spacing w:val="40"/>
        </w:rPr>
        <w:t xml:space="preserve"> </w:t>
      </w:r>
      <w:r>
        <w:t>the</w:t>
      </w:r>
      <w:r>
        <w:rPr>
          <w:spacing w:val="-1"/>
        </w:rPr>
        <w:t xml:space="preserve"> </w:t>
      </w:r>
      <w:r>
        <w:t>identification</w:t>
      </w:r>
      <w:r>
        <w:rPr>
          <w:spacing w:val="5"/>
        </w:rPr>
        <w:t xml:space="preserve"> </w:t>
      </w:r>
      <w:r>
        <w:t>of</w:t>
      </w:r>
      <w:r>
        <w:rPr>
          <w:spacing w:val="9"/>
        </w:rPr>
        <w:t xml:space="preserve"> </w:t>
      </w:r>
      <w:r>
        <w:t>problem</w:t>
      </w:r>
      <w:r>
        <w:rPr>
          <w:spacing w:val="4"/>
        </w:rPr>
        <w:t xml:space="preserve"> </w:t>
      </w:r>
      <w:r>
        <w:rPr>
          <w:spacing w:val="-3"/>
        </w:rPr>
        <w:t>areas</w:t>
      </w:r>
      <w:r>
        <w:rPr>
          <w:spacing w:val="2"/>
        </w:rPr>
        <w:t xml:space="preserve"> </w:t>
      </w:r>
      <w:r>
        <w:t>so</w:t>
      </w:r>
      <w:r>
        <w:rPr>
          <w:spacing w:val="9"/>
        </w:rPr>
        <w:t xml:space="preserve"> </w:t>
      </w:r>
      <w:r>
        <w:t>that</w:t>
      </w:r>
      <w:r>
        <w:rPr>
          <w:spacing w:val="6"/>
        </w:rPr>
        <w:t xml:space="preserve"> </w:t>
      </w:r>
      <w:r>
        <w:t>interventions</w:t>
      </w:r>
      <w:r>
        <w:rPr>
          <w:spacing w:val="34"/>
        </w:rPr>
        <w:t xml:space="preserve"> </w:t>
      </w:r>
      <w:r>
        <w:rPr>
          <w:spacing w:val="-1"/>
        </w:rPr>
        <w:t>can</w:t>
      </w:r>
      <w:r>
        <w:rPr>
          <w:spacing w:val="30"/>
        </w:rPr>
        <w:t xml:space="preserve"> </w:t>
      </w:r>
      <w:r>
        <w:t>be</w:t>
      </w:r>
      <w:r>
        <w:rPr>
          <w:spacing w:val="27"/>
        </w:rPr>
        <w:t xml:space="preserve"> </w:t>
      </w:r>
      <w:r>
        <w:t>designed</w:t>
      </w:r>
      <w:r>
        <w:rPr>
          <w:spacing w:val="33"/>
        </w:rPr>
        <w:t xml:space="preserve"> </w:t>
      </w:r>
      <w:r>
        <w:t>before</w:t>
      </w:r>
      <w:r>
        <w:rPr>
          <w:spacing w:val="23"/>
        </w:rPr>
        <w:t xml:space="preserve"> </w:t>
      </w:r>
      <w:r>
        <w:t>a</w:t>
      </w:r>
      <w:r>
        <w:rPr>
          <w:spacing w:val="27"/>
        </w:rPr>
        <w:t xml:space="preserve"> </w:t>
      </w:r>
      <w:r>
        <w:t>company</w:t>
      </w:r>
      <w:r>
        <w:rPr>
          <w:spacing w:val="30"/>
        </w:rPr>
        <w:t xml:space="preserve"> </w:t>
      </w:r>
      <w:r>
        <w:t>has</w:t>
      </w:r>
      <w:r>
        <w:rPr>
          <w:spacing w:val="23"/>
        </w:rPr>
        <w:t xml:space="preserve"> </w:t>
      </w:r>
      <w:r>
        <w:t>invested</w:t>
      </w:r>
      <w:r>
        <w:rPr>
          <w:spacing w:val="33"/>
        </w:rPr>
        <w:t xml:space="preserve"> </w:t>
      </w:r>
      <w:r>
        <w:rPr>
          <w:spacing w:val="3"/>
        </w:rPr>
        <w:t>too</w:t>
      </w:r>
      <w:r>
        <w:rPr>
          <w:spacing w:val="28"/>
        </w:rPr>
        <w:t xml:space="preserve"> </w:t>
      </w:r>
      <w:r>
        <w:t>much</w:t>
      </w:r>
      <w:r>
        <w:rPr>
          <w:spacing w:val="38"/>
        </w:rPr>
        <w:t xml:space="preserve"> </w:t>
      </w:r>
      <w:r>
        <w:t>time</w:t>
      </w:r>
      <w:r>
        <w:rPr>
          <w:spacing w:val="32"/>
        </w:rPr>
        <w:t xml:space="preserve"> </w:t>
      </w:r>
      <w:r>
        <w:rPr>
          <w:spacing w:val="-1"/>
        </w:rPr>
        <w:t>and</w:t>
      </w:r>
      <w:r>
        <w:rPr>
          <w:spacing w:val="38"/>
        </w:rPr>
        <w:t xml:space="preserve"> </w:t>
      </w:r>
      <w:r>
        <w:t>effort</w:t>
      </w:r>
      <w:r>
        <w:rPr>
          <w:spacing w:val="38"/>
        </w:rPr>
        <w:t xml:space="preserve"> </w:t>
      </w:r>
      <w:r>
        <w:t>on</w:t>
      </w:r>
      <w:r>
        <w:rPr>
          <w:spacing w:val="35"/>
        </w:rPr>
        <w:t xml:space="preserve"> </w:t>
      </w:r>
      <w:r>
        <w:t>a</w:t>
      </w:r>
      <w:r>
        <w:rPr>
          <w:spacing w:val="32"/>
        </w:rPr>
        <w:t xml:space="preserve"> </w:t>
      </w:r>
      <w:r>
        <w:t>strategy</w:t>
      </w:r>
      <w:r>
        <w:rPr>
          <w:spacing w:val="38"/>
        </w:rPr>
        <w:t xml:space="preserve"> </w:t>
      </w:r>
      <w:r>
        <w:t>that</w:t>
      </w:r>
      <w:r>
        <w:rPr>
          <w:spacing w:val="40"/>
        </w:rPr>
        <w:t xml:space="preserve"> </w:t>
      </w:r>
      <w:r>
        <w:rPr>
          <w:spacing w:val="-1"/>
        </w:rPr>
        <w:t>may</w:t>
      </w:r>
      <w:r>
        <w:rPr>
          <w:spacing w:val="35"/>
        </w:rPr>
        <w:t xml:space="preserve"> </w:t>
      </w:r>
      <w:r>
        <w:rPr>
          <w:spacing w:val="2"/>
        </w:rPr>
        <w:t>not</w:t>
      </w:r>
      <w:r>
        <w:rPr>
          <w:spacing w:val="42"/>
        </w:rPr>
        <w:t xml:space="preserve"> </w:t>
      </w:r>
      <w:r>
        <w:t>be</w:t>
      </w:r>
      <w:r>
        <w:rPr>
          <w:spacing w:val="44"/>
        </w:rPr>
        <w:t xml:space="preserve"> </w:t>
      </w:r>
      <w:r>
        <w:t>providing</w:t>
      </w:r>
      <w:r>
        <w:rPr>
          <w:spacing w:val="-3"/>
        </w:rPr>
        <w:t xml:space="preserve"> </w:t>
      </w:r>
      <w:r>
        <w:t xml:space="preserve">the </w:t>
      </w:r>
      <w:r>
        <w:rPr>
          <w:spacing w:val="-1"/>
        </w:rPr>
        <w:t>desired</w:t>
      </w:r>
      <w:r>
        <w:rPr>
          <w:spacing w:val="3"/>
        </w:rPr>
        <w:t xml:space="preserve"> </w:t>
      </w:r>
      <w:r>
        <w:t>outcomes.</w:t>
      </w:r>
      <w:r>
        <w:rPr>
          <w:spacing w:val="-2"/>
        </w:rPr>
        <w:t xml:space="preserve"> </w:t>
      </w:r>
      <w:r>
        <w:t>Effective</w:t>
      </w:r>
      <w:r>
        <w:rPr>
          <w:spacing w:val="-2"/>
        </w:rPr>
        <w:t xml:space="preserve"> </w:t>
      </w:r>
      <w:r>
        <w:rPr>
          <w:spacing w:val="-1"/>
        </w:rPr>
        <w:t>management</w:t>
      </w:r>
      <w:r>
        <w:rPr>
          <w:spacing w:val="42"/>
        </w:rPr>
        <w:t xml:space="preserve"> </w:t>
      </w:r>
      <w:r>
        <w:t>systems</w:t>
      </w:r>
      <w:r>
        <w:rPr>
          <w:spacing w:val="49"/>
        </w:rPr>
        <w:t xml:space="preserve"> </w:t>
      </w:r>
      <w:r>
        <w:rPr>
          <w:spacing w:val="-1"/>
        </w:rPr>
        <w:t>also</w:t>
      </w:r>
      <w:r>
        <w:rPr>
          <w:spacing w:val="2"/>
        </w:rPr>
        <w:t xml:space="preserve"> </w:t>
      </w:r>
      <w:r>
        <w:rPr>
          <w:spacing w:val="-1"/>
        </w:rPr>
        <w:t>enable</w:t>
      </w:r>
      <w:r>
        <w:rPr>
          <w:spacing w:val="45"/>
        </w:rPr>
        <w:t xml:space="preserve"> </w:t>
      </w:r>
      <w:r>
        <w:t>operations</w:t>
      </w:r>
      <w:r>
        <w:rPr>
          <w:spacing w:val="5"/>
        </w:rPr>
        <w:t xml:space="preserve"> </w:t>
      </w:r>
      <w:r>
        <w:t>to</w:t>
      </w:r>
      <w:r>
        <w:rPr>
          <w:spacing w:val="5"/>
        </w:rPr>
        <w:t xml:space="preserve"> </w:t>
      </w:r>
      <w:r>
        <w:t>collect</w:t>
      </w:r>
      <w:r>
        <w:rPr>
          <w:spacing w:val="9"/>
        </w:rPr>
        <w:t xml:space="preserve"> </w:t>
      </w:r>
      <w:r>
        <w:t>data</w:t>
      </w:r>
      <w:r>
        <w:rPr>
          <w:spacing w:val="49"/>
        </w:rPr>
        <w:t xml:space="preserve"> </w:t>
      </w:r>
      <w:r>
        <w:t>that</w:t>
      </w:r>
      <w:r>
        <w:rPr>
          <w:spacing w:val="42"/>
        </w:rPr>
        <w:t xml:space="preserve"> </w:t>
      </w:r>
      <w:r>
        <w:t>tracks</w:t>
      </w:r>
      <w:r>
        <w:rPr>
          <w:spacing w:val="4"/>
        </w:rPr>
        <w:t xml:space="preserve"> </w:t>
      </w:r>
      <w:r>
        <w:t>performance</w:t>
      </w:r>
      <w:r>
        <w:rPr>
          <w:spacing w:val="-2"/>
        </w:rPr>
        <w:t xml:space="preserve"> </w:t>
      </w:r>
      <w:r>
        <w:rPr>
          <w:spacing w:val="2"/>
        </w:rPr>
        <w:t>outcomes</w:t>
      </w:r>
      <w:r>
        <w:t xml:space="preserve"> </w:t>
      </w:r>
      <w:r>
        <w:rPr>
          <w:spacing w:val="-1"/>
        </w:rPr>
        <w:t>over</w:t>
      </w:r>
      <w:r>
        <w:rPr>
          <w:spacing w:val="4"/>
        </w:rPr>
        <w:t xml:space="preserve"> </w:t>
      </w:r>
      <w:r>
        <w:t>time, allowing</w:t>
      </w:r>
      <w:r>
        <w:rPr>
          <w:spacing w:val="4"/>
        </w:rPr>
        <w:t xml:space="preserve"> </w:t>
      </w:r>
      <w:r>
        <w:t>them</w:t>
      </w:r>
      <w:r>
        <w:rPr>
          <w:spacing w:val="30"/>
        </w:rPr>
        <w:t xml:space="preserve"> </w:t>
      </w:r>
      <w:r>
        <w:t>to</w:t>
      </w:r>
      <w:r>
        <w:rPr>
          <w:spacing w:val="3"/>
        </w:rPr>
        <w:t xml:space="preserve"> </w:t>
      </w:r>
      <w:r>
        <w:rPr>
          <w:spacing w:val="-1"/>
        </w:rPr>
        <w:t>set</w:t>
      </w:r>
      <w:r>
        <w:rPr>
          <w:spacing w:val="5"/>
        </w:rPr>
        <w:t xml:space="preserve"> </w:t>
      </w:r>
      <w:r>
        <w:t xml:space="preserve">meaningful performance </w:t>
      </w:r>
      <w:r>
        <w:rPr>
          <w:spacing w:val="-1"/>
        </w:rPr>
        <w:t>targets.</w:t>
      </w:r>
      <w:r>
        <w:rPr>
          <w:spacing w:val="-4"/>
        </w:rPr>
        <w:t xml:space="preserve"> </w:t>
      </w:r>
      <w:r>
        <w:rPr>
          <w:spacing w:val="-3"/>
        </w:rPr>
        <w:t>Finally,</w:t>
      </w:r>
      <w:r>
        <w:t xml:space="preserve"> effective</w:t>
      </w:r>
      <w:r>
        <w:rPr>
          <w:spacing w:val="62"/>
        </w:rPr>
        <w:t xml:space="preserve"> </w:t>
      </w:r>
      <w:r>
        <w:rPr>
          <w:spacing w:val="-1"/>
        </w:rPr>
        <w:t>management</w:t>
      </w:r>
      <w:r>
        <w:rPr>
          <w:spacing w:val="16"/>
        </w:rPr>
        <w:t xml:space="preserve"> </w:t>
      </w:r>
      <w:r>
        <w:t>systems</w:t>
      </w:r>
      <w:r>
        <w:rPr>
          <w:spacing w:val="13"/>
        </w:rPr>
        <w:t xml:space="preserve"> </w:t>
      </w:r>
      <w:r>
        <w:rPr>
          <w:spacing w:val="-3"/>
        </w:rPr>
        <w:t>are</w:t>
      </w:r>
      <w:r>
        <w:rPr>
          <w:spacing w:val="10"/>
        </w:rPr>
        <w:t xml:space="preserve"> </w:t>
      </w:r>
      <w:r>
        <w:rPr>
          <w:spacing w:val="-2"/>
        </w:rPr>
        <w:t>an</w:t>
      </w:r>
      <w:r>
        <w:rPr>
          <w:spacing w:val="13"/>
        </w:rPr>
        <w:t xml:space="preserve"> </w:t>
      </w:r>
      <w:r>
        <w:t>indicator</w:t>
      </w:r>
      <w:r>
        <w:rPr>
          <w:spacing w:val="13"/>
        </w:rPr>
        <w:t xml:space="preserve"> </w:t>
      </w:r>
      <w:r>
        <w:t>of</w:t>
      </w:r>
      <w:r>
        <w:rPr>
          <w:spacing w:val="16"/>
        </w:rPr>
        <w:t xml:space="preserve"> </w:t>
      </w:r>
      <w:r>
        <w:t>a</w:t>
      </w:r>
      <w:r>
        <w:rPr>
          <w:spacing w:val="13"/>
        </w:rPr>
        <w:t xml:space="preserve"> </w:t>
      </w:r>
      <w:r>
        <w:t>company’s</w:t>
      </w:r>
      <w:r>
        <w:rPr>
          <w:spacing w:val="54"/>
        </w:rPr>
        <w:t xml:space="preserve"> </w:t>
      </w:r>
      <w:r>
        <w:rPr>
          <w:spacing w:val="2"/>
        </w:rPr>
        <w:t>commitment</w:t>
      </w:r>
      <w:r>
        <w:rPr>
          <w:spacing w:val="33"/>
        </w:rPr>
        <w:t xml:space="preserve"> </w:t>
      </w:r>
      <w:r>
        <w:t>to</w:t>
      </w:r>
      <w:r>
        <w:rPr>
          <w:spacing w:val="30"/>
        </w:rPr>
        <w:t xml:space="preserve"> </w:t>
      </w:r>
      <w:r>
        <w:t>improving</w:t>
      </w:r>
      <w:r>
        <w:rPr>
          <w:spacing w:val="23"/>
        </w:rPr>
        <w:t xml:space="preserve"> </w:t>
      </w:r>
      <w:r>
        <w:t>performance</w:t>
      </w:r>
      <w:r>
        <w:rPr>
          <w:spacing w:val="23"/>
        </w:rPr>
        <w:t xml:space="preserve"> </w:t>
      </w:r>
      <w:r>
        <w:t>in</w:t>
      </w:r>
      <w:r>
        <w:rPr>
          <w:spacing w:val="26"/>
        </w:rPr>
        <w:t xml:space="preserve"> </w:t>
      </w:r>
      <w:r>
        <w:t>a</w:t>
      </w:r>
      <w:r>
        <w:rPr>
          <w:spacing w:val="26"/>
        </w:rPr>
        <w:t xml:space="preserve"> </w:t>
      </w:r>
      <w:r>
        <w:t>particular</w:t>
      </w:r>
      <w:r>
        <w:rPr>
          <w:spacing w:val="36"/>
        </w:rPr>
        <w:t xml:space="preserve"> </w:t>
      </w:r>
      <w:r>
        <w:rPr>
          <w:spacing w:val="-3"/>
        </w:rPr>
        <w:t>area.</w:t>
      </w:r>
      <w:r>
        <w:rPr>
          <w:spacing w:val="15"/>
        </w:rPr>
        <w:t xml:space="preserve"> </w:t>
      </w:r>
      <w:r>
        <w:rPr>
          <w:spacing w:val="-1"/>
        </w:rPr>
        <w:t>They</w:t>
      </w:r>
      <w:r>
        <w:rPr>
          <w:spacing w:val="15"/>
        </w:rPr>
        <w:t xml:space="preserve"> </w:t>
      </w:r>
      <w:r>
        <w:rPr>
          <w:spacing w:val="-1"/>
        </w:rPr>
        <w:t>send</w:t>
      </w:r>
      <w:r>
        <w:rPr>
          <w:spacing w:val="22"/>
        </w:rPr>
        <w:t xml:space="preserve"> </w:t>
      </w:r>
      <w:r>
        <w:t>a</w:t>
      </w:r>
      <w:r>
        <w:rPr>
          <w:spacing w:val="18"/>
        </w:rPr>
        <w:t xml:space="preserve"> </w:t>
      </w:r>
      <w:r>
        <w:t>clear</w:t>
      </w:r>
      <w:r>
        <w:rPr>
          <w:spacing w:val="13"/>
        </w:rPr>
        <w:t xml:space="preserve"> </w:t>
      </w:r>
      <w:r>
        <w:rPr>
          <w:spacing w:val="-1"/>
        </w:rPr>
        <w:t>message</w:t>
      </w:r>
      <w:r>
        <w:rPr>
          <w:spacing w:val="18"/>
        </w:rPr>
        <w:t xml:space="preserve"> </w:t>
      </w:r>
      <w:r>
        <w:t>that</w:t>
      </w:r>
      <w:r>
        <w:rPr>
          <w:spacing w:val="24"/>
        </w:rPr>
        <w:t xml:space="preserve"> </w:t>
      </w:r>
      <w:r>
        <w:rPr>
          <w:spacing w:val="-1"/>
        </w:rPr>
        <w:t>management</w:t>
      </w:r>
      <w:r>
        <w:rPr>
          <w:spacing w:val="22"/>
        </w:rPr>
        <w:t xml:space="preserve"> </w:t>
      </w:r>
      <w:r>
        <w:t>is</w:t>
      </w:r>
      <w:r>
        <w:rPr>
          <w:spacing w:val="31"/>
        </w:rPr>
        <w:t xml:space="preserve"> </w:t>
      </w:r>
      <w:r>
        <w:rPr>
          <w:spacing w:val="2"/>
        </w:rPr>
        <w:t>committed</w:t>
      </w:r>
      <w:r>
        <w:rPr>
          <w:spacing w:val="11"/>
        </w:rPr>
        <w:t xml:space="preserve"> </w:t>
      </w:r>
      <w:r>
        <w:t>to</w:t>
      </w:r>
      <w:r>
        <w:rPr>
          <w:spacing w:val="8"/>
        </w:rPr>
        <w:t xml:space="preserve"> </w:t>
      </w:r>
      <w:r>
        <w:t>implementing</w:t>
      </w:r>
      <w:r>
        <w:rPr>
          <w:spacing w:val="8"/>
        </w:rPr>
        <w:t xml:space="preserve"> </w:t>
      </w:r>
      <w:r>
        <w:rPr>
          <w:spacing w:val="2"/>
        </w:rPr>
        <w:t>its</w:t>
      </w:r>
      <w:r>
        <w:rPr>
          <w:spacing w:val="8"/>
        </w:rPr>
        <w:t xml:space="preserve"> </w:t>
      </w:r>
      <w:r>
        <w:t>commitments.</w:t>
      </w:r>
      <w:r>
        <w:rPr>
          <w:rStyle w:val="FootnoteReference"/>
        </w:rPr>
        <w:footnoteReference w:id="134"/>
      </w:r>
    </w:p>
    <w:p w:rsidR="0089288C" w:rsidRPr="00024210" w:rsidRDefault="00024210" w:rsidP="0089288C">
      <w:pPr>
        <w:pStyle w:val="Bodytext"/>
        <w:rPr>
          <w:lang w:val="en-US"/>
        </w:rPr>
      </w:pPr>
      <w:r>
        <w:t>The Report provides an Indigenous employment evaluation tool that was developed during the Project</w:t>
      </w:r>
      <w:r w:rsidR="0089288C">
        <w:t xml:space="preserve"> and </w:t>
      </w:r>
      <w:r w:rsidR="0089288C" w:rsidRPr="00024210">
        <w:rPr>
          <w:lang w:val="en-US"/>
        </w:rPr>
        <w:t xml:space="preserve">is broadly </w:t>
      </w:r>
      <w:r w:rsidR="00634DDA" w:rsidRPr="00024210">
        <w:rPr>
          <w:lang w:val="en-US"/>
        </w:rPr>
        <w:t>mode</w:t>
      </w:r>
      <w:r w:rsidR="00634DDA">
        <w:rPr>
          <w:lang w:val="en-US"/>
        </w:rPr>
        <w:t>l</w:t>
      </w:r>
      <w:r w:rsidR="00634DDA" w:rsidRPr="00024210">
        <w:rPr>
          <w:lang w:val="en-US"/>
        </w:rPr>
        <w:t>ed</w:t>
      </w:r>
      <w:r w:rsidR="0089288C" w:rsidRPr="00024210">
        <w:rPr>
          <w:lang w:val="en-US"/>
        </w:rPr>
        <w:t xml:space="preserve"> on the International Standards Organisation (ISO) framework, and follows the Plan, Do, Check</w:t>
      </w:r>
      <w:r w:rsidR="003840D5">
        <w:rPr>
          <w:lang w:val="en-US"/>
        </w:rPr>
        <w:t>,</w:t>
      </w:r>
      <w:r w:rsidR="0089288C" w:rsidRPr="00024210">
        <w:rPr>
          <w:lang w:val="en-US"/>
        </w:rPr>
        <w:t xml:space="preserve"> Act cycle that is used in many management systems</w:t>
      </w:r>
      <w:r w:rsidR="0089288C">
        <w:rPr>
          <w:lang w:val="en-US"/>
        </w:rPr>
        <w:t>.</w:t>
      </w:r>
      <w:r w:rsidR="0089288C">
        <w:rPr>
          <w:rStyle w:val="FootnoteReference"/>
          <w:lang w:val="en-US"/>
        </w:rPr>
        <w:footnoteReference w:id="135"/>
      </w:r>
    </w:p>
    <w:p w:rsidR="00024210" w:rsidRPr="00024210" w:rsidRDefault="00024210" w:rsidP="00024210">
      <w:pPr>
        <w:pStyle w:val="Bodytext"/>
        <w:rPr>
          <w:lang w:val="en-US"/>
        </w:rPr>
      </w:pPr>
      <w:r w:rsidRPr="00024210">
        <w:rPr>
          <w:lang w:val="en-US"/>
        </w:rPr>
        <w:t>The tool can be used for:</w:t>
      </w:r>
    </w:p>
    <w:p w:rsidR="00024210" w:rsidRPr="00024210" w:rsidRDefault="00024210" w:rsidP="00024210">
      <w:pPr>
        <w:pStyle w:val="ListBullet"/>
        <w:rPr>
          <w:lang w:val="en-US"/>
        </w:rPr>
      </w:pPr>
      <w:r w:rsidRPr="00024210">
        <w:rPr>
          <w:lang w:val="en-US"/>
        </w:rPr>
        <w:t>assessing the Indigenous employment aspects of external or site-managed community assessment programs</w:t>
      </w:r>
      <w:r w:rsidR="00476BC9">
        <w:rPr>
          <w:lang w:val="en-US"/>
        </w:rPr>
        <w:t>;</w:t>
      </w:r>
    </w:p>
    <w:p w:rsidR="00024210" w:rsidRPr="00024210" w:rsidRDefault="00024210" w:rsidP="00024210">
      <w:pPr>
        <w:pStyle w:val="ListBullet"/>
        <w:rPr>
          <w:lang w:val="en-US"/>
        </w:rPr>
      </w:pPr>
      <w:r w:rsidRPr="00024210">
        <w:rPr>
          <w:lang w:val="en-US"/>
        </w:rPr>
        <w:t>comparing operations within the same company</w:t>
      </w:r>
      <w:r w:rsidR="00476BC9">
        <w:rPr>
          <w:lang w:val="en-US"/>
        </w:rPr>
        <w:t>;</w:t>
      </w:r>
    </w:p>
    <w:p w:rsidR="00024210" w:rsidRPr="00024210" w:rsidRDefault="00024210" w:rsidP="00024210">
      <w:pPr>
        <w:pStyle w:val="ListBullet"/>
        <w:rPr>
          <w:lang w:val="en-US"/>
        </w:rPr>
      </w:pPr>
      <w:r w:rsidRPr="00024210">
        <w:rPr>
          <w:lang w:val="en-US"/>
        </w:rPr>
        <w:t>identifying and prioritising performance gaps</w:t>
      </w:r>
      <w:r w:rsidR="00476BC9">
        <w:rPr>
          <w:lang w:val="en-US"/>
        </w:rPr>
        <w:t>;</w:t>
      </w:r>
    </w:p>
    <w:p w:rsidR="00024210" w:rsidRPr="00024210" w:rsidRDefault="00024210" w:rsidP="00024210">
      <w:pPr>
        <w:pStyle w:val="ListBullet"/>
        <w:rPr>
          <w:lang w:val="en-US"/>
        </w:rPr>
      </w:pPr>
      <w:r w:rsidRPr="00024210">
        <w:rPr>
          <w:lang w:val="en-US"/>
        </w:rPr>
        <w:t>developing an Indigenous employment strategy</w:t>
      </w:r>
      <w:r w:rsidR="00476BC9">
        <w:rPr>
          <w:lang w:val="en-US"/>
        </w:rPr>
        <w:t>; and</w:t>
      </w:r>
    </w:p>
    <w:p w:rsidR="00024210" w:rsidRDefault="00024210" w:rsidP="00024210">
      <w:pPr>
        <w:pStyle w:val="ListBullet"/>
        <w:rPr>
          <w:lang w:val="en-US"/>
        </w:rPr>
      </w:pPr>
      <w:r w:rsidRPr="00024210">
        <w:rPr>
          <w:lang w:val="en-US"/>
        </w:rPr>
        <w:t>assisting stakeholders to evaluate the effectiveness of Indigenous employment practices in different companies.</w:t>
      </w:r>
    </w:p>
    <w:p w:rsidR="00EE47B0" w:rsidRDefault="00A7080D" w:rsidP="006D733F">
      <w:pPr>
        <w:pStyle w:val="Bodytext"/>
      </w:pPr>
      <w:r>
        <w:rPr>
          <w:lang w:val="en-US"/>
        </w:rPr>
        <w:t xml:space="preserve">The Report contains </w:t>
      </w:r>
      <w:r w:rsidR="006D733F">
        <w:rPr>
          <w:lang w:val="en-US"/>
        </w:rPr>
        <w:t xml:space="preserve">an </w:t>
      </w:r>
      <w:r w:rsidR="00634DDA" w:rsidRPr="006D733F">
        <w:t>organisational</w:t>
      </w:r>
      <w:r w:rsidR="006D733F" w:rsidRPr="006D733F">
        <w:t xml:space="preserve"> </w:t>
      </w:r>
      <w:r w:rsidR="006D733F">
        <w:t>m</w:t>
      </w:r>
      <w:r w:rsidR="006D733F" w:rsidRPr="006D733F">
        <w:t xml:space="preserve">aturity </w:t>
      </w:r>
      <w:r w:rsidR="006D733F">
        <w:t>c</w:t>
      </w:r>
      <w:r w:rsidR="006D733F" w:rsidRPr="006D733F">
        <w:t xml:space="preserve">hart </w:t>
      </w:r>
      <w:r w:rsidR="006D733F">
        <w:t xml:space="preserve">that </w:t>
      </w:r>
      <w:r w:rsidR="006D733F" w:rsidRPr="006D733F">
        <w:t xml:space="preserve">describes five stages of maturity in Indigenous employment initiatives, ranging from ‘no interest’ through to ‘committed, capable and consistent’ performance. </w:t>
      </w:r>
    </w:p>
    <w:p w:rsidR="00EE47B0" w:rsidRDefault="006D733F" w:rsidP="00EE47B0">
      <w:pPr>
        <w:pStyle w:val="Bodytext"/>
      </w:pPr>
      <w:r w:rsidRPr="006D733F">
        <w:t>The chart follows loosely the structure of the evaluation tool, evaluating maturity in the areas</w:t>
      </w:r>
      <w:r w:rsidR="00EE47B0">
        <w:t xml:space="preserve"> such as leadership, policy, competent people, readiness, recruitment and retention systems, cultural awareness, recognition and reward, partnerships and Indigenous employment levels.  </w:t>
      </w:r>
      <w:r w:rsidR="00A7080D" w:rsidRPr="00EE47B0">
        <w:rPr>
          <w:lang w:val="en-US"/>
        </w:rPr>
        <w:t xml:space="preserve">Accompanying the Report is </w:t>
      </w:r>
      <w:r w:rsidR="00EE47B0" w:rsidRPr="00EE47B0">
        <w:rPr>
          <w:lang w:val="en-US"/>
        </w:rPr>
        <w:t xml:space="preserve">a booklet titled, the </w:t>
      </w:r>
      <w:r w:rsidR="00A7080D" w:rsidRPr="00EE47B0">
        <w:rPr>
          <w:i/>
          <w:lang w:val="en-US"/>
        </w:rPr>
        <w:t>Indigenous Employment Assessment Checklist</w:t>
      </w:r>
      <w:r w:rsidR="00EE47B0" w:rsidRPr="00EE47B0">
        <w:rPr>
          <w:i/>
          <w:lang w:val="en-US"/>
        </w:rPr>
        <w:t xml:space="preserve">.  </w:t>
      </w:r>
      <w:r w:rsidR="00EE47B0" w:rsidRPr="00EE47B0">
        <w:rPr>
          <w:lang w:val="en-US"/>
        </w:rPr>
        <w:t xml:space="preserve">The Organisational Maturity </w:t>
      </w:r>
      <w:r w:rsidR="00EE47B0">
        <w:t xml:space="preserve">Chart can be used with the </w:t>
      </w:r>
      <w:r w:rsidR="00EE47B0" w:rsidRPr="00EE47B0">
        <w:rPr>
          <w:i/>
        </w:rPr>
        <w:t>Indigenous Employment Assessment Checklist</w:t>
      </w:r>
      <w:r w:rsidR="00EE47B0" w:rsidRPr="00EE47B0">
        <w:t>, or as a stand-alone tool</w:t>
      </w:r>
      <w:r w:rsidR="00EE47B0">
        <w:t>.</w:t>
      </w:r>
    </w:p>
    <w:p w:rsidR="000D6558" w:rsidRDefault="000D6558" w:rsidP="007043A7">
      <w:pPr>
        <w:pStyle w:val="Bodytext"/>
      </w:pPr>
      <w:r>
        <w:t xml:space="preserve">The Organisational Maturity Chart is provided as Appendix </w:t>
      </w:r>
      <w:r w:rsidR="003840D5">
        <w:t>D</w:t>
      </w:r>
      <w:r>
        <w:t xml:space="preserve">.   </w:t>
      </w:r>
    </w:p>
    <w:p w:rsidR="007723FA" w:rsidRDefault="007723FA" w:rsidP="007723FA">
      <w:pPr>
        <w:pStyle w:val="Bodytext"/>
        <w:numPr>
          <w:ilvl w:val="0"/>
          <w:numId w:val="0"/>
        </w:numPr>
        <w:ind w:left="425"/>
      </w:pPr>
    </w:p>
    <w:p w:rsidR="007043A7" w:rsidRDefault="007043A7" w:rsidP="007043A7">
      <w:pPr>
        <w:pStyle w:val="Headinglevel3"/>
      </w:pPr>
      <w:r>
        <w:t>State of the Service Report</w:t>
      </w:r>
    </w:p>
    <w:p w:rsidR="0089288C" w:rsidRDefault="0089288C" w:rsidP="007043A7">
      <w:pPr>
        <w:pStyle w:val="Bodytext"/>
      </w:pPr>
      <w:r>
        <w:t xml:space="preserve">The Committee has examined data in </w:t>
      </w:r>
      <w:r w:rsidRPr="0089288C">
        <w:rPr>
          <w:i/>
        </w:rPr>
        <w:t>State of the Service Report 2013</w:t>
      </w:r>
      <w:r w:rsidR="000D6558">
        <w:rPr>
          <w:i/>
        </w:rPr>
        <w:t xml:space="preserve">, </w:t>
      </w:r>
      <w:r w:rsidR="000D6558" w:rsidRPr="000D6558">
        <w:t>which is</w:t>
      </w:r>
      <w:r w:rsidR="000D6558">
        <w:t xml:space="preserve"> produced by the Commissioner for Public Administration in the ACTPS a</w:t>
      </w:r>
      <w:r>
        <w:t>nd conclude</w:t>
      </w:r>
      <w:r w:rsidR="000D6558">
        <w:t>d</w:t>
      </w:r>
      <w:r>
        <w:t xml:space="preserve"> that while it is useful in providing a high level appreciation of the implementation it does not drill down sufficiently so that any assessment can be made of implementation at the agency level.</w:t>
      </w:r>
    </w:p>
    <w:p w:rsidR="007043A7" w:rsidRDefault="0089288C" w:rsidP="0089288C">
      <w:pPr>
        <w:pStyle w:val="Bodytext"/>
      </w:pPr>
      <w:r>
        <w:t>The Committee is of the view that such data would be greatly enhanced if there were some analysis and interpretation</w:t>
      </w:r>
      <w:r w:rsidR="009F5545">
        <w:t xml:space="preserve"> of data</w:t>
      </w:r>
      <w:r>
        <w:t xml:space="preserve">.  </w:t>
      </w:r>
    </w:p>
    <w:p w:rsidR="000D6558" w:rsidRDefault="000D6558" w:rsidP="000D6558">
      <w:pPr>
        <w:pStyle w:val="Recommendation"/>
      </w:pPr>
      <w:bookmarkStart w:id="147" w:name="_Toc384024418"/>
      <w:bookmarkEnd w:id="147"/>
    </w:p>
    <w:p w:rsidR="000D6558" w:rsidRPr="000D6558" w:rsidRDefault="000D6558" w:rsidP="000D6558">
      <w:pPr>
        <w:pStyle w:val="RecommendationText"/>
      </w:pPr>
      <w:bookmarkStart w:id="148" w:name="_Toc384024419"/>
      <w:r>
        <w:t xml:space="preserve">The Committee recommends that the </w:t>
      </w:r>
      <w:r w:rsidR="00323080">
        <w:t>ACT Public Service</w:t>
      </w:r>
      <w:r>
        <w:t xml:space="preserve"> </w:t>
      </w:r>
      <w:r w:rsidR="009F5545">
        <w:t xml:space="preserve">Commissioner for Public Administration enhance the usefulness of his </w:t>
      </w:r>
      <w:r w:rsidR="009F5545" w:rsidRPr="00476BC9">
        <w:rPr>
          <w:i/>
        </w:rPr>
        <w:t>State of the Service Report</w:t>
      </w:r>
      <w:r w:rsidR="009F5545">
        <w:t xml:space="preserve"> by including analysis and interpretation of data relating to Aboriginal and Torres Strait Islander</w:t>
      </w:r>
      <w:r w:rsidR="00476BC9">
        <w:t> </w:t>
      </w:r>
      <w:r w:rsidR="009F5545">
        <w:t>employees.</w:t>
      </w:r>
      <w:bookmarkEnd w:id="148"/>
      <w:r w:rsidR="009F5545">
        <w:t xml:space="preserve"> </w:t>
      </w:r>
    </w:p>
    <w:p w:rsidR="007043A7" w:rsidRDefault="007043A7" w:rsidP="007043A7">
      <w:pPr>
        <w:pStyle w:val="Headinglevel3"/>
      </w:pPr>
      <w:r>
        <w:t xml:space="preserve">Annual reports </w:t>
      </w:r>
    </w:p>
    <w:p w:rsidR="0089288C" w:rsidRDefault="0089288C" w:rsidP="007043A7">
      <w:pPr>
        <w:pStyle w:val="Bodytext"/>
      </w:pPr>
      <w:r>
        <w:t xml:space="preserve">The Committee notes that directorates are supposed to report on their implementation of the Employment Strategy in their respective annual reports.  Having reviewed a number of annual reports for 2012-13 the Committee concludes this reporting is far from adequate.  The limited information presented in annual reports means it is impossible to make any evidenced based assessment about how each ACTPS </w:t>
      </w:r>
      <w:r w:rsidR="007723FA">
        <w:t xml:space="preserve">directorate or agency </w:t>
      </w:r>
      <w:r>
        <w:t xml:space="preserve">is delivering on Employment Strategy outcomes. </w:t>
      </w:r>
    </w:p>
    <w:p w:rsidR="007235EF" w:rsidRDefault="00323080" w:rsidP="007043A7">
      <w:pPr>
        <w:pStyle w:val="Headinglevel3"/>
      </w:pPr>
      <w:r>
        <w:t xml:space="preserve">Elected Body </w:t>
      </w:r>
    </w:p>
    <w:p w:rsidR="00A7080D" w:rsidRPr="007235EF" w:rsidRDefault="0089288C" w:rsidP="00815058">
      <w:pPr>
        <w:pStyle w:val="Bodytext"/>
      </w:pPr>
      <w:r>
        <w:t xml:space="preserve">The Committee notes that the </w:t>
      </w:r>
      <w:r w:rsidR="00323080">
        <w:t>Elected Body</w:t>
      </w:r>
      <w:r>
        <w:t xml:space="preserve"> makes a concerted effort to scrutinise the ACTPS’s implementation of the Employment Strategy.  The Committee has found it helpful to be able to refer to the </w:t>
      </w:r>
      <w:r w:rsidR="00323080">
        <w:t>Elected Body</w:t>
      </w:r>
      <w:r>
        <w:t>’s reports to government which have been prod</w:t>
      </w:r>
      <w:r w:rsidR="00A7080D">
        <w:t xml:space="preserve">uced each year following the </w:t>
      </w:r>
      <w:r w:rsidR="00323080">
        <w:t>Elected Body</w:t>
      </w:r>
      <w:r w:rsidR="00A7080D">
        <w:t xml:space="preserve">’s </w:t>
      </w:r>
      <w:r w:rsidR="00476BC9">
        <w:t>e</w:t>
      </w:r>
      <w:r w:rsidR="00A7080D">
        <w:t xml:space="preserve">stimates-style hearings. </w:t>
      </w:r>
    </w:p>
    <w:p w:rsidR="00333832" w:rsidRDefault="007235EF" w:rsidP="007043A7">
      <w:pPr>
        <w:pStyle w:val="Headinglevel3"/>
      </w:pPr>
      <w:r>
        <w:t xml:space="preserve">The legislative Assembly </w:t>
      </w:r>
    </w:p>
    <w:p w:rsidR="00333832" w:rsidRDefault="00A7080D" w:rsidP="00333832">
      <w:pPr>
        <w:pStyle w:val="Bodytext"/>
      </w:pPr>
      <w:r>
        <w:t xml:space="preserve">The Committee notes that apart from annual reporting and its own inquiry there is no annual progress report to the Assembly on the status of implementation of the Employment Strategy. </w:t>
      </w:r>
      <w:r w:rsidR="004D5416">
        <w:t xml:space="preserve"> The Committee recognises that traditional forms of accountability to the Parliament include inquiries by Assembly standing committees into annual reports and the annual Estimates Committee hearings.  In addition there is scope for committees to scrutinise performance through other inquiries such as the Committee’s </w:t>
      </w:r>
      <w:r w:rsidR="004D5416" w:rsidRPr="004D5416">
        <w:rPr>
          <w:i/>
        </w:rPr>
        <w:t>Inquiry into ACT Public Service Aboriginal and Torres Strait Islander employment</w:t>
      </w:r>
      <w:r w:rsidR="004D5416">
        <w:t xml:space="preserve">. </w:t>
      </w:r>
    </w:p>
    <w:p w:rsidR="005D0D04" w:rsidRDefault="005D0D04" w:rsidP="00333832">
      <w:pPr>
        <w:pStyle w:val="Bodytext"/>
      </w:pPr>
      <w:r>
        <w:t xml:space="preserve">The Committee is firmly of the view that information relating to the Employment Strategy, specifically its implementation and operation, that is reported to the </w:t>
      </w:r>
      <w:r w:rsidR="00323080">
        <w:t xml:space="preserve">Elected Body </w:t>
      </w:r>
      <w:r>
        <w:t xml:space="preserve"> should also be reported to the Legislative Assembly.  This could be done in conjunction with annual reports inquiries and/or Estimates Committee hearings. </w:t>
      </w:r>
    </w:p>
    <w:p w:rsidR="005D0D04" w:rsidRDefault="005D0D04" w:rsidP="005D0D04">
      <w:pPr>
        <w:pStyle w:val="Recommendation"/>
      </w:pPr>
      <w:bookmarkStart w:id="149" w:name="_Toc384024420"/>
      <w:bookmarkEnd w:id="149"/>
    </w:p>
    <w:p w:rsidR="005D0D04" w:rsidRDefault="005D0D04" w:rsidP="005D0D04">
      <w:pPr>
        <w:pStyle w:val="RecommendationText"/>
      </w:pPr>
      <w:bookmarkStart w:id="150" w:name="_Toc384024421"/>
      <w:r>
        <w:t xml:space="preserve">The Committee recommends that the </w:t>
      </w:r>
      <w:r w:rsidR="00362151">
        <w:t>A</w:t>
      </w:r>
      <w:r w:rsidR="00476BC9">
        <w:t xml:space="preserve">CT </w:t>
      </w:r>
      <w:r>
        <w:t xml:space="preserve">Public Service ensure information relating to the implementation and performance of the </w:t>
      </w:r>
      <w:r w:rsidRPr="005D0D04">
        <w:rPr>
          <w:i/>
        </w:rPr>
        <w:t>A</w:t>
      </w:r>
      <w:r w:rsidR="00476BC9">
        <w:rPr>
          <w:i/>
        </w:rPr>
        <w:t xml:space="preserve">CT </w:t>
      </w:r>
      <w:r w:rsidRPr="005D0D04">
        <w:rPr>
          <w:i/>
        </w:rPr>
        <w:t xml:space="preserve">Employment Strategy for Aboriginal and Torres Strait Island </w:t>
      </w:r>
      <w:r w:rsidR="00476BC9">
        <w:rPr>
          <w:i/>
        </w:rPr>
        <w:t>P</w:t>
      </w:r>
      <w:r>
        <w:rPr>
          <w:i/>
        </w:rPr>
        <w:t xml:space="preserve">eople </w:t>
      </w:r>
      <w:r>
        <w:t xml:space="preserve">that is reported to the Australian Capital Territory Aboriginal and Torres Strait Islander </w:t>
      </w:r>
      <w:r w:rsidR="00476BC9">
        <w:t>E</w:t>
      </w:r>
      <w:r w:rsidR="00323080">
        <w:t xml:space="preserve">lected Body </w:t>
      </w:r>
      <w:r>
        <w:t>also be reported to the Legislative Assembly to facilitate examination at annual reports inquiry hearings and/or Estimates Committee hearings.</w:t>
      </w:r>
      <w:bookmarkEnd w:id="150"/>
      <w:r>
        <w:t xml:space="preserve">  </w:t>
      </w:r>
    </w:p>
    <w:p w:rsidR="005D0D04" w:rsidRDefault="005D0D04" w:rsidP="005D0D04">
      <w:pPr>
        <w:pStyle w:val="Bodytext"/>
        <w:numPr>
          <w:ilvl w:val="0"/>
          <w:numId w:val="0"/>
        </w:numPr>
        <w:ind w:left="567"/>
      </w:pPr>
    </w:p>
    <w:p w:rsidR="00333832" w:rsidRDefault="00333832" w:rsidP="00333832">
      <w:pPr>
        <w:pStyle w:val="Bodytext"/>
        <w:numPr>
          <w:ilvl w:val="0"/>
          <w:numId w:val="0"/>
        </w:numPr>
        <w:ind w:left="567"/>
      </w:pPr>
    </w:p>
    <w:p w:rsidR="002F707A" w:rsidRDefault="002F707A" w:rsidP="00333832">
      <w:pPr>
        <w:pStyle w:val="Bodytext"/>
        <w:numPr>
          <w:ilvl w:val="0"/>
          <w:numId w:val="0"/>
        </w:numPr>
        <w:ind w:left="567"/>
      </w:pPr>
    </w:p>
    <w:p w:rsidR="002F707A" w:rsidRDefault="002F707A" w:rsidP="00333832">
      <w:pPr>
        <w:pStyle w:val="Bodytext"/>
        <w:numPr>
          <w:ilvl w:val="0"/>
          <w:numId w:val="0"/>
        </w:numPr>
        <w:ind w:left="567"/>
      </w:pPr>
    </w:p>
    <w:p w:rsidR="002F707A" w:rsidRDefault="002F707A" w:rsidP="00333832">
      <w:pPr>
        <w:pStyle w:val="Bodytext"/>
        <w:numPr>
          <w:ilvl w:val="0"/>
          <w:numId w:val="0"/>
        </w:numPr>
        <w:ind w:left="567"/>
      </w:pPr>
    </w:p>
    <w:p w:rsidR="002F707A" w:rsidRDefault="002F707A" w:rsidP="00333832">
      <w:pPr>
        <w:pStyle w:val="Bodytext"/>
        <w:numPr>
          <w:ilvl w:val="0"/>
          <w:numId w:val="0"/>
        </w:numPr>
        <w:ind w:left="567"/>
      </w:pPr>
    </w:p>
    <w:p w:rsidR="002F707A" w:rsidRDefault="002F707A" w:rsidP="00333832">
      <w:pPr>
        <w:pStyle w:val="Bodytext"/>
        <w:numPr>
          <w:ilvl w:val="0"/>
          <w:numId w:val="0"/>
        </w:numPr>
        <w:ind w:left="567"/>
      </w:pPr>
    </w:p>
    <w:p w:rsidR="002F707A" w:rsidRDefault="002F707A" w:rsidP="00333832">
      <w:pPr>
        <w:pStyle w:val="Bodytext"/>
        <w:numPr>
          <w:ilvl w:val="0"/>
          <w:numId w:val="0"/>
        </w:numPr>
        <w:ind w:left="567"/>
      </w:pPr>
    </w:p>
    <w:p w:rsidR="0071763B" w:rsidRPr="00D0012A" w:rsidRDefault="0071763B" w:rsidP="00D0012A">
      <w:pPr>
        <w:pStyle w:val="Bodytext"/>
        <w:numPr>
          <w:ilvl w:val="0"/>
          <w:numId w:val="0"/>
        </w:numPr>
        <w:ind w:left="567"/>
        <w:sectPr w:rsidR="0071763B" w:rsidRPr="00D0012A" w:rsidSect="005B60C2">
          <w:headerReference w:type="default" r:id="rId29"/>
          <w:type w:val="oddPage"/>
          <w:pgSz w:w="11907" w:h="16840" w:code="9"/>
          <w:pgMar w:top="1588" w:right="1418" w:bottom="1418" w:left="1418" w:header="720" w:footer="851" w:gutter="0"/>
          <w:cols w:space="720"/>
          <w:docGrid w:linePitch="360"/>
        </w:sectPr>
      </w:pPr>
    </w:p>
    <w:p w:rsidR="00D561BC" w:rsidRDefault="009F5545" w:rsidP="00E55AFF">
      <w:pPr>
        <w:pStyle w:val="Heading1"/>
      </w:pPr>
      <w:bookmarkStart w:id="151" w:name="_Toc383615055"/>
      <w:r>
        <w:t>Other jurisdictions</w:t>
      </w:r>
      <w:bookmarkEnd w:id="151"/>
    </w:p>
    <w:p w:rsidR="000258AC" w:rsidRDefault="00447B42" w:rsidP="00447B42">
      <w:pPr>
        <w:pStyle w:val="Bodytext"/>
      </w:pPr>
      <w:r>
        <w:tab/>
      </w:r>
      <w:r w:rsidR="00A07637">
        <w:t xml:space="preserve">As part of its inquiry the Committee </w:t>
      </w:r>
      <w:r w:rsidR="00F83F2F">
        <w:t xml:space="preserve">endeavoured to identify relevant experiences </w:t>
      </w:r>
      <w:r w:rsidR="00D10F61">
        <w:t xml:space="preserve">and learnings </w:t>
      </w:r>
      <w:r w:rsidR="00F83F2F">
        <w:t xml:space="preserve">from other jurisdictions.  Findings are presented under the </w:t>
      </w:r>
      <w:r w:rsidR="000258AC">
        <w:t xml:space="preserve">headings: </w:t>
      </w:r>
    </w:p>
    <w:p w:rsidR="000258AC" w:rsidRDefault="00C87F2A" w:rsidP="00447B42">
      <w:pPr>
        <w:pStyle w:val="ListBullet"/>
        <w:ind w:left="1418"/>
      </w:pPr>
      <w:r>
        <w:t>Australian Public Service</w:t>
      </w:r>
      <w:r w:rsidR="000258AC">
        <w:t xml:space="preserve">;  </w:t>
      </w:r>
    </w:p>
    <w:p w:rsidR="000258AC" w:rsidRDefault="000258AC" w:rsidP="00447B42">
      <w:pPr>
        <w:pStyle w:val="ListBullet"/>
        <w:ind w:left="1418"/>
      </w:pPr>
      <w:r>
        <w:t>States and Territories; and</w:t>
      </w:r>
    </w:p>
    <w:p w:rsidR="009F5545" w:rsidRDefault="000258AC" w:rsidP="00447B42">
      <w:pPr>
        <w:pStyle w:val="ListBullet"/>
        <w:ind w:left="1418"/>
      </w:pPr>
      <w:r>
        <w:t xml:space="preserve">International. </w:t>
      </w:r>
    </w:p>
    <w:p w:rsidR="00A07637" w:rsidRDefault="00C87F2A" w:rsidP="000258AC">
      <w:pPr>
        <w:pStyle w:val="Headinglevel2"/>
      </w:pPr>
      <w:bookmarkStart w:id="152" w:name="_Toc383615056"/>
      <w:r>
        <w:t>Australian Public Service</w:t>
      </w:r>
      <w:bookmarkEnd w:id="152"/>
      <w:r>
        <w:t xml:space="preserve"> </w:t>
      </w:r>
    </w:p>
    <w:p w:rsidR="000258AC" w:rsidRDefault="00447B42" w:rsidP="00447B42">
      <w:pPr>
        <w:pStyle w:val="Bodytext"/>
      </w:pPr>
      <w:r>
        <w:tab/>
      </w:r>
      <w:r w:rsidR="000258AC">
        <w:t>The Committee invited the Australian Public Service Commission (APSC) to make a submission to an</w:t>
      </w:r>
      <w:r w:rsidR="007723FA">
        <w:t xml:space="preserve">d appear at a public hearing.  The </w:t>
      </w:r>
      <w:r w:rsidR="000258AC">
        <w:t xml:space="preserve">APSC made a submission. </w:t>
      </w:r>
    </w:p>
    <w:p w:rsidR="00931041" w:rsidRDefault="00447B42" w:rsidP="00447B42">
      <w:pPr>
        <w:pStyle w:val="Bodytext"/>
        <w:rPr>
          <w:lang w:val="en-US"/>
        </w:rPr>
      </w:pPr>
      <w:r>
        <w:tab/>
      </w:r>
      <w:r w:rsidR="000258AC">
        <w:t>The</w:t>
      </w:r>
      <w:r w:rsidR="00FE7EF3">
        <w:t xml:space="preserve"> AP</w:t>
      </w:r>
      <w:r w:rsidR="009921C5">
        <w:t>S</w:t>
      </w:r>
      <w:r w:rsidR="00FE7EF3">
        <w:t>C submission says that the Australian Public Service (APS) has ‘</w:t>
      </w:r>
      <w:r w:rsidR="00FE7EF3" w:rsidRPr="00FE7EF3">
        <w:rPr>
          <w:lang w:val="en-US"/>
        </w:rPr>
        <w:t>long been committed to the principles of equity and diversity and to ensuring its workforce is representative of the broader Australian community’ and strives to mirror the diversity in the community, describing this as a ‘strategic asset’.</w:t>
      </w:r>
      <w:r w:rsidR="00FE7EF3">
        <w:rPr>
          <w:rStyle w:val="FootnoteReference"/>
          <w:lang w:val="en-US"/>
        </w:rPr>
        <w:footnoteReference w:id="136"/>
      </w:r>
      <w:r w:rsidR="00FE7EF3" w:rsidRPr="00FE7EF3">
        <w:rPr>
          <w:lang w:val="en-US"/>
        </w:rPr>
        <w:t xml:space="preserve">  The </w:t>
      </w:r>
      <w:r w:rsidR="00931041">
        <w:rPr>
          <w:lang w:val="en-US"/>
        </w:rPr>
        <w:t xml:space="preserve">submission states that: </w:t>
      </w:r>
    </w:p>
    <w:p w:rsidR="00FE7EF3" w:rsidRDefault="00931041" w:rsidP="00931041">
      <w:pPr>
        <w:pStyle w:val="Quote"/>
        <w:rPr>
          <w:lang w:val="en-US"/>
        </w:rPr>
      </w:pPr>
      <w:r>
        <w:rPr>
          <w:lang w:val="en-US"/>
        </w:rPr>
        <w:t xml:space="preserve">… the </w:t>
      </w:r>
      <w:r w:rsidR="00FE7EF3" w:rsidRPr="00FE7EF3">
        <w:rPr>
          <w:lang w:val="en-US"/>
        </w:rPr>
        <w:t xml:space="preserve">APS’s commitment to equity and diversity is </w:t>
      </w:r>
      <w:r w:rsidR="00FE7EF3">
        <w:rPr>
          <w:lang w:val="en-US"/>
        </w:rPr>
        <w:t>‘</w:t>
      </w:r>
      <w:r w:rsidR="00FE7EF3" w:rsidRPr="00FE7EF3">
        <w:rPr>
          <w:lang w:val="en-US"/>
        </w:rPr>
        <w:t xml:space="preserve">enshrined in the </w:t>
      </w:r>
      <w:r w:rsidR="00FE7EF3" w:rsidRPr="00FE7EF3">
        <w:rPr>
          <w:i/>
          <w:lang w:val="en-US"/>
        </w:rPr>
        <w:t>Public Service</w:t>
      </w:r>
      <w:r w:rsidR="003840D5">
        <w:rPr>
          <w:i/>
          <w:lang w:val="en-US"/>
        </w:rPr>
        <w:t> </w:t>
      </w:r>
      <w:r w:rsidR="00FE7EF3" w:rsidRPr="00FE7EF3">
        <w:rPr>
          <w:i/>
          <w:lang w:val="en-US"/>
        </w:rPr>
        <w:t>Act</w:t>
      </w:r>
      <w:r w:rsidR="003840D5">
        <w:rPr>
          <w:i/>
          <w:lang w:val="en-US"/>
        </w:rPr>
        <w:t> </w:t>
      </w:r>
      <w:r w:rsidR="00FE7EF3" w:rsidRPr="00FE7EF3">
        <w:rPr>
          <w:i/>
          <w:lang w:val="en-US"/>
        </w:rPr>
        <w:t>1999</w:t>
      </w:r>
      <w:r>
        <w:rPr>
          <w:lang w:val="en-US"/>
        </w:rPr>
        <w:t>’ …</w:t>
      </w:r>
      <w:r w:rsidR="00FE7EF3" w:rsidRPr="00FE7EF3">
        <w:rPr>
          <w:lang w:val="en-US"/>
        </w:rPr>
        <w:t xml:space="preserve"> and subordinate legislation, including in the APS Values, Employment Principles and the APS Code of Conduct. It is further strengthened by s.</w:t>
      </w:r>
      <w:r w:rsidR="00476BC9">
        <w:rPr>
          <w:lang w:val="en-US"/>
        </w:rPr>
        <w:t> </w:t>
      </w:r>
      <w:r w:rsidR="00FE7EF3" w:rsidRPr="00FE7EF3">
        <w:rPr>
          <w:lang w:val="en-US"/>
        </w:rPr>
        <w:t>18 of the PS Act, which requires agency heads to establish workplace diversity programmes to give effect to the Employment Principles, and to publish this diversity programme on the agency’s website.</w:t>
      </w:r>
    </w:p>
    <w:p w:rsidR="009921C5" w:rsidRDefault="00447B42" w:rsidP="009921C5">
      <w:pPr>
        <w:pStyle w:val="Bodytext"/>
        <w:rPr>
          <w:lang w:val="en-US"/>
        </w:rPr>
      </w:pPr>
      <w:r>
        <w:rPr>
          <w:lang w:val="en-US"/>
        </w:rPr>
        <w:tab/>
      </w:r>
      <w:r w:rsidR="009921C5">
        <w:rPr>
          <w:lang w:val="en-US"/>
        </w:rPr>
        <w:t xml:space="preserve">Table </w:t>
      </w:r>
      <w:r w:rsidR="003840D5">
        <w:rPr>
          <w:lang w:val="en-US"/>
        </w:rPr>
        <w:t>6</w:t>
      </w:r>
      <w:r w:rsidR="009921C5">
        <w:rPr>
          <w:lang w:val="en-US"/>
        </w:rPr>
        <w:t xml:space="preserve">.1 shows the total number of employees in the APS and that the percentage of the total that are Aboriginal and Torres Strait Islander is 2.3 percent.   There are more than 65,000 APS employees in the Australian Capital Territory and the percentage of these that are Aboriginal and Torres Strait Islander is 1.7 percent.  This compares with 1.2 percent in the ACTPS. </w:t>
      </w:r>
    </w:p>
    <w:p w:rsidR="007723FA" w:rsidRDefault="007723FA" w:rsidP="007723FA">
      <w:pPr>
        <w:pStyle w:val="Bodytext"/>
        <w:numPr>
          <w:ilvl w:val="0"/>
          <w:numId w:val="0"/>
        </w:numPr>
        <w:ind w:left="425"/>
        <w:rPr>
          <w:lang w:val="en-US"/>
        </w:rPr>
      </w:pPr>
    </w:p>
    <w:p w:rsidR="00B44508" w:rsidRDefault="00B44508" w:rsidP="00B44508">
      <w:pPr>
        <w:pStyle w:val="Headinglevel3"/>
        <w:rPr>
          <w:lang w:val="en-US"/>
        </w:rPr>
      </w:pPr>
      <w:r>
        <w:rPr>
          <w:lang w:val="en-US"/>
        </w:rPr>
        <w:t>Diversity Council</w:t>
      </w:r>
    </w:p>
    <w:p w:rsidR="00B44508" w:rsidRDefault="00447B42" w:rsidP="00447B42">
      <w:pPr>
        <w:pStyle w:val="Bodytext"/>
        <w:rPr>
          <w:lang w:val="en-US"/>
        </w:rPr>
      </w:pPr>
      <w:r>
        <w:rPr>
          <w:lang w:val="en-US"/>
        </w:rPr>
        <w:tab/>
      </w:r>
      <w:r w:rsidR="009921C5">
        <w:rPr>
          <w:lang w:val="en-US"/>
        </w:rPr>
        <w:t xml:space="preserve">A significant feature of </w:t>
      </w:r>
      <w:r w:rsidR="00B44508">
        <w:rPr>
          <w:lang w:val="en-US"/>
        </w:rPr>
        <w:t xml:space="preserve">Indigenous employment in the </w:t>
      </w:r>
      <w:r w:rsidR="009921C5">
        <w:rPr>
          <w:lang w:val="en-US"/>
        </w:rPr>
        <w:t xml:space="preserve">APS </w:t>
      </w:r>
      <w:r w:rsidR="00B44508">
        <w:rPr>
          <w:lang w:val="en-US"/>
        </w:rPr>
        <w:t xml:space="preserve">is </w:t>
      </w:r>
      <w:r w:rsidR="009921C5">
        <w:rPr>
          <w:lang w:val="en-US"/>
        </w:rPr>
        <w:t xml:space="preserve">the APS Diversity Council. </w:t>
      </w:r>
      <w:r w:rsidR="00B44508">
        <w:rPr>
          <w:lang w:val="en-US"/>
        </w:rPr>
        <w:t>E</w:t>
      </w:r>
      <w:r w:rsidR="009921C5">
        <w:rPr>
          <w:lang w:val="en-US"/>
        </w:rPr>
        <w:t xml:space="preserve">stablished by the </w:t>
      </w:r>
      <w:r w:rsidR="00B44508">
        <w:rPr>
          <w:lang w:val="en-US"/>
        </w:rPr>
        <w:t xml:space="preserve">Secretaries’ Board in 1982, the Diversity Council seeks to ‘reinforce and </w:t>
      </w:r>
      <w:r w:rsidR="00634DDA">
        <w:rPr>
          <w:lang w:val="en-US"/>
        </w:rPr>
        <w:t>reinvigorate the</w:t>
      </w:r>
      <w:r w:rsidR="00B44508">
        <w:rPr>
          <w:lang w:val="en-US"/>
        </w:rPr>
        <w:t xml:space="preserve"> commitment of APS leadership on diversity</w:t>
      </w:r>
      <w:r w:rsidR="00815058">
        <w:rPr>
          <w:lang w:val="en-US"/>
        </w:rPr>
        <w:t>’</w:t>
      </w:r>
      <w:r w:rsidR="00B44508">
        <w:rPr>
          <w:lang w:val="en-US"/>
        </w:rPr>
        <w:t>.</w:t>
      </w:r>
      <w:r w:rsidR="00815058">
        <w:rPr>
          <w:rStyle w:val="FootnoteReference"/>
          <w:lang w:val="en-US"/>
        </w:rPr>
        <w:footnoteReference w:id="137"/>
      </w:r>
      <w:r w:rsidR="00B44508">
        <w:rPr>
          <w:lang w:val="en-US"/>
        </w:rPr>
        <w:t xml:space="preserve">  It is chaired by the Secretary of the Department of the Prime Minister and Cabinet and the Deputy Chair is the Public Service Commissioner.   Members include 10 departmental secretary and agency heads. </w:t>
      </w:r>
    </w:p>
    <w:p w:rsidR="009921C5" w:rsidRDefault="00447B42" w:rsidP="009921C5">
      <w:pPr>
        <w:pStyle w:val="Bodytext"/>
        <w:rPr>
          <w:lang w:val="en-US"/>
        </w:rPr>
      </w:pPr>
      <w:r>
        <w:rPr>
          <w:lang w:val="en-US"/>
        </w:rPr>
        <w:tab/>
      </w:r>
      <w:r w:rsidR="00B44508">
        <w:rPr>
          <w:lang w:val="en-US"/>
        </w:rPr>
        <w:t>The APS submission notes that the Council reflects an approach to cultural change used widely in the private sector and international jurisdictions.  It is a means to lead cultural change in relation to workforce diversity rather than manage it through HR practices and compliance measures.</w:t>
      </w:r>
      <w:r w:rsidR="00B44508">
        <w:rPr>
          <w:rStyle w:val="FootnoteReference"/>
          <w:lang w:val="en-US"/>
        </w:rPr>
        <w:footnoteReference w:id="138"/>
      </w:r>
      <w:r w:rsidR="00B44508">
        <w:rPr>
          <w:lang w:val="en-US"/>
        </w:rPr>
        <w:t xml:space="preserve">  The Council has reviewed agency policies and processes relating to Indigenous employment and has been a key driver in the continuation of APS recruitment pathways for Aboriginal and Torres Strait Islander people.  </w:t>
      </w:r>
    </w:p>
    <w:p w:rsidR="00B44508" w:rsidRDefault="00447B42" w:rsidP="009921C5">
      <w:pPr>
        <w:pStyle w:val="Bodytext"/>
        <w:rPr>
          <w:lang w:val="en-US"/>
        </w:rPr>
      </w:pPr>
      <w:r>
        <w:rPr>
          <w:lang w:val="en-US"/>
        </w:rPr>
        <w:tab/>
      </w:r>
      <w:r w:rsidR="00B44508">
        <w:rPr>
          <w:lang w:val="en-US"/>
        </w:rPr>
        <w:t xml:space="preserve">The Committee notes </w:t>
      </w:r>
      <w:r w:rsidR="001F7E3B">
        <w:rPr>
          <w:lang w:val="en-US"/>
        </w:rPr>
        <w:t xml:space="preserve">and endorses such an approach for driving cultural change.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709"/>
        <w:gridCol w:w="2126"/>
        <w:gridCol w:w="2127"/>
        <w:gridCol w:w="2268"/>
      </w:tblGrid>
      <w:tr w:rsidR="001D09B6" w:rsidRPr="001D09B6" w:rsidTr="003840D5">
        <w:tc>
          <w:tcPr>
            <w:tcW w:w="7938" w:type="dxa"/>
            <w:gridSpan w:val="5"/>
            <w:tcBorders>
              <w:top w:val="nil"/>
              <w:left w:val="nil"/>
              <w:bottom w:val="single" w:sz="4" w:space="0" w:color="000000"/>
              <w:right w:val="nil"/>
            </w:tcBorders>
          </w:tcPr>
          <w:p w:rsidR="001D09B6" w:rsidRDefault="001D09B6" w:rsidP="00AF497E">
            <w:pPr>
              <w:pStyle w:val="Caption"/>
              <w:spacing w:before="240" w:after="120" w:line="240" w:lineRule="auto"/>
              <w:ind w:left="34"/>
            </w:pPr>
            <w:r w:rsidRPr="001D09B6">
              <w:t>Figure</w:t>
            </w:r>
            <w:r w:rsidR="005F2964">
              <w:t xml:space="preserve"> </w:t>
            </w:r>
            <w:r w:rsidR="003840D5">
              <w:t>6</w:t>
            </w:r>
            <w:r w:rsidRPr="001D09B6">
              <w:t>.1 - ACT and non-ACT APS Indigenous employment (ongoing and non</w:t>
            </w:r>
            <w:r w:rsidR="00AF497E">
              <w:noBreakHyphen/>
            </w:r>
            <w:r w:rsidRPr="001D09B6">
              <w:t>ongoing</w:t>
            </w:r>
            <w:r>
              <w:t> </w:t>
            </w:r>
            <w:r w:rsidRPr="001D09B6">
              <w:t>employees)</w:t>
            </w:r>
          </w:p>
          <w:p w:rsidR="00447B42" w:rsidRPr="00447B42" w:rsidRDefault="00447B42" w:rsidP="00447B42"/>
        </w:tc>
      </w:tr>
      <w:tr w:rsidR="001D09B6" w:rsidRPr="001D09B6" w:rsidTr="003840D5">
        <w:tc>
          <w:tcPr>
            <w:tcW w:w="1417" w:type="dxa"/>
            <w:gridSpan w:val="2"/>
            <w:tcBorders>
              <w:top w:val="single" w:sz="4" w:space="0" w:color="000000"/>
              <w:bottom w:val="single" w:sz="4" w:space="0" w:color="auto"/>
            </w:tcBorders>
            <w:shd w:val="clear" w:color="auto" w:fill="DBE5F1"/>
          </w:tcPr>
          <w:p w:rsidR="001D09B6" w:rsidRPr="00DA4B1A" w:rsidRDefault="001D09B6" w:rsidP="00DA4B1A">
            <w:pPr>
              <w:spacing w:before="120" w:after="120"/>
              <w:ind w:left="318"/>
              <w:rPr>
                <w:rFonts w:ascii="Arial Narrow" w:hAnsi="Arial Narrow"/>
                <w:b/>
                <w:bCs/>
                <w:kern w:val="26"/>
                <w:sz w:val="20"/>
                <w:szCs w:val="20"/>
              </w:rPr>
            </w:pPr>
            <w:r w:rsidRPr="00DA4B1A">
              <w:rPr>
                <w:rFonts w:ascii="Arial Narrow" w:hAnsi="Arial Narrow"/>
                <w:b/>
                <w:bCs/>
                <w:kern w:val="26"/>
                <w:sz w:val="20"/>
                <w:szCs w:val="20"/>
              </w:rPr>
              <w:t>Location</w:t>
            </w:r>
          </w:p>
        </w:tc>
        <w:tc>
          <w:tcPr>
            <w:tcW w:w="2126" w:type="dxa"/>
            <w:tcBorders>
              <w:top w:val="single" w:sz="4" w:space="0" w:color="000000"/>
              <w:bottom w:val="single" w:sz="4" w:space="0" w:color="auto"/>
            </w:tcBorders>
            <w:shd w:val="clear" w:color="auto" w:fill="DBE5F1"/>
          </w:tcPr>
          <w:p w:rsidR="001D09B6" w:rsidRPr="00DA4B1A" w:rsidRDefault="001D09B6" w:rsidP="00DA4B1A">
            <w:pPr>
              <w:spacing w:before="120" w:after="120"/>
              <w:rPr>
                <w:rFonts w:ascii="Arial Narrow" w:hAnsi="Arial Narrow"/>
                <w:b/>
                <w:bCs/>
                <w:kern w:val="26"/>
                <w:sz w:val="20"/>
                <w:szCs w:val="20"/>
              </w:rPr>
            </w:pPr>
            <w:r w:rsidRPr="00DA4B1A">
              <w:rPr>
                <w:rFonts w:ascii="Arial Narrow" w:hAnsi="Arial Narrow"/>
                <w:b/>
                <w:bCs/>
                <w:kern w:val="26"/>
                <w:sz w:val="20"/>
                <w:szCs w:val="20"/>
              </w:rPr>
              <w:t>Total employees</w:t>
            </w:r>
          </w:p>
        </w:tc>
        <w:tc>
          <w:tcPr>
            <w:tcW w:w="2127" w:type="dxa"/>
            <w:tcBorders>
              <w:top w:val="single" w:sz="4" w:space="0" w:color="000000"/>
              <w:bottom w:val="single" w:sz="4" w:space="0" w:color="auto"/>
            </w:tcBorders>
            <w:shd w:val="clear" w:color="auto" w:fill="DBE5F1"/>
          </w:tcPr>
          <w:p w:rsidR="001D09B6" w:rsidRPr="00DA4B1A" w:rsidRDefault="001D09B6" w:rsidP="00DA4B1A">
            <w:pPr>
              <w:spacing w:before="120" w:after="120"/>
              <w:rPr>
                <w:rFonts w:ascii="Arial Narrow" w:hAnsi="Arial Narrow"/>
                <w:b/>
                <w:bCs/>
                <w:kern w:val="26"/>
                <w:sz w:val="20"/>
                <w:szCs w:val="20"/>
              </w:rPr>
            </w:pPr>
            <w:r w:rsidRPr="00DA4B1A">
              <w:rPr>
                <w:rFonts w:ascii="Arial Narrow" w:hAnsi="Arial Narrow"/>
                <w:b/>
                <w:bCs/>
                <w:kern w:val="26"/>
                <w:sz w:val="20"/>
                <w:szCs w:val="20"/>
              </w:rPr>
              <w:t>Total Indigenous employees</w:t>
            </w:r>
          </w:p>
        </w:tc>
        <w:tc>
          <w:tcPr>
            <w:tcW w:w="2268" w:type="dxa"/>
            <w:tcBorders>
              <w:top w:val="single" w:sz="4" w:space="0" w:color="000000"/>
              <w:bottom w:val="single" w:sz="4" w:space="0" w:color="auto"/>
            </w:tcBorders>
            <w:shd w:val="clear" w:color="auto" w:fill="DBE5F1"/>
          </w:tcPr>
          <w:p w:rsidR="00DA4B1A" w:rsidRPr="00DA4B1A" w:rsidRDefault="001D09B6" w:rsidP="00DA4B1A">
            <w:pPr>
              <w:spacing w:before="120" w:after="120"/>
              <w:rPr>
                <w:rFonts w:ascii="Arial Narrow" w:hAnsi="Arial Narrow"/>
                <w:b/>
                <w:bCs/>
                <w:kern w:val="26"/>
                <w:sz w:val="20"/>
                <w:szCs w:val="20"/>
              </w:rPr>
            </w:pPr>
            <w:r w:rsidRPr="00DA4B1A">
              <w:rPr>
                <w:rFonts w:ascii="Arial Narrow" w:hAnsi="Arial Narrow"/>
                <w:b/>
                <w:bCs/>
                <w:kern w:val="26"/>
                <w:sz w:val="20"/>
                <w:szCs w:val="20"/>
              </w:rPr>
              <w:t>Percentage of Total who are Indigenous</w:t>
            </w:r>
          </w:p>
          <w:p w:rsidR="001D09B6" w:rsidRPr="00DA4B1A" w:rsidRDefault="001D09B6" w:rsidP="00DA4B1A">
            <w:pPr>
              <w:spacing w:before="120" w:after="120"/>
              <w:jc w:val="center"/>
              <w:rPr>
                <w:rFonts w:ascii="Arial Narrow" w:hAnsi="Arial Narrow"/>
                <w:b/>
                <w:bCs/>
                <w:kern w:val="26"/>
                <w:sz w:val="20"/>
                <w:szCs w:val="20"/>
              </w:rPr>
            </w:pPr>
            <w:r w:rsidRPr="00DA4B1A">
              <w:rPr>
                <w:rFonts w:ascii="Arial Narrow" w:hAnsi="Arial Narrow"/>
                <w:b/>
                <w:bCs/>
                <w:kern w:val="26"/>
                <w:sz w:val="20"/>
                <w:szCs w:val="20"/>
              </w:rPr>
              <w:t>(%)</w:t>
            </w:r>
          </w:p>
        </w:tc>
      </w:tr>
      <w:tr w:rsidR="001D09B6" w:rsidRPr="001D09B6" w:rsidTr="003840D5">
        <w:tc>
          <w:tcPr>
            <w:tcW w:w="1417" w:type="dxa"/>
            <w:gridSpan w:val="2"/>
            <w:shd w:val="clear" w:color="auto" w:fill="C6D9F1"/>
          </w:tcPr>
          <w:p w:rsidR="001D09B6" w:rsidRPr="00DA4B1A" w:rsidRDefault="001D09B6" w:rsidP="00DA4B1A">
            <w:pPr>
              <w:pStyle w:val="FootnoteText"/>
              <w:spacing w:before="120" w:after="120" w:line="240" w:lineRule="auto"/>
              <w:ind w:left="318"/>
              <w:rPr>
                <w:rFonts w:ascii="Arial Narrow" w:hAnsi="Arial Narrow"/>
                <w:bCs/>
                <w:kern w:val="26"/>
                <w:sz w:val="20"/>
              </w:rPr>
            </w:pPr>
            <w:r w:rsidRPr="00DA4B1A">
              <w:rPr>
                <w:rFonts w:ascii="Arial Narrow" w:hAnsi="Arial Narrow"/>
                <w:bCs/>
                <w:kern w:val="26"/>
                <w:sz w:val="20"/>
              </w:rPr>
              <w:t>ACT</w:t>
            </w:r>
          </w:p>
        </w:tc>
        <w:tc>
          <w:tcPr>
            <w:tcW w:w="2126" w:type="dxa"/>
            <w:shd w:val="clear" w:color="auto" w:fill="C6D9F1"/>
            <w:vAlign w:val="center"/>
          </w:tcPr>
          <w:p w:rsidR="001D09B6" w:rsidRPr="00DA4B1A" w:rsidRDefault="001D09B6" w:rsidP="003840D5">
            <w:pPr>
              <w:pStyle w:val="FootnoteText"/>
              <w:spacing w:before="120" w:after="120" w:line="240" w:lineRule="auto"/>
              <w:ind w:right="229"/>
              <w:jc w:val="right"/>
              <w:rPr>
                <w:rFonts w:ascii="Arial Narrow" w:hAnsi="Arial Narrow"/>
                <w:bCs/>
                <w:kern w:val="26"/>
                <w:sz w:val="20"/>
              </w:rPr>
            </w:pPr>
            <w:r w:rsidRPr="00DA4B1A">
              <w:rPr>
                <w:rFonts w:ascii="Arial Narrow" w:hAnsi="Arial Narrow"/>
                <w:bCs/>
                <w:kern w:val="26"/>
                <w:sz w:val="20"/>
              </w:rPr>
              <w:t>65</w:t>
            </w:r>
            <w:r w:rsidR="00DA4B1A" w:rsidRPr="00DA4B1A">
              <w:rPr>
                <w:rFonts w:ascii="Arial Narrow" w:hAnsi="Arial Narrow"/>
                <w:bCs/>
                <w:kern w:val="26"/>
                <w:sz w:val="20"/>
              </w:rPr>
              <w:t>,</w:t>
            </w:r>
            <w:r w:rsidRPr="00DA4B1A">
              <w:rPr>
                <w:rFonts w:ascii="Arial Narrow" w:hAnsi="Arial Narrow"/>
                <w:bCs/>
                <w:kern w:val="26"/>
                <w:sz w:val="20"/>
              </w:rPr>
              <w:t>353</w:t>
            </w:r>
          </w:p>
        </w:tc>
        <w:tc>
          <w:tcPr>
            <w:tcW w:w="2127" w:type="dxa"/>
            <w:shd w:val="clear" w:color="auto" w:fill="C6D9F1"/>
            <w:vAlign w:val="center"/>
          </w:tcPr>
          <w:p w:rsidR="001D09B6" w:rsidRPr="00DA4B1A" w:rsidRDefault="001D09B6" w:rsidP="003840D5">
            <w:pPr>
              <w:pStyle w:val="FootnoteText"/>
              <w:spacing w:before="120" w:after="120" w:line="240" w:lineRule="auto"/>
              <w:ind w:right="229"/>
              <w:jc w:val="right"/>
              <w:rPr>
                <w:rFonts w:ascii="Arial Narrow" w:hAnsi="Arial Narrow"/>
                <w:bCs/>
                <w:kern w:val="26"/>
                <w:sz w:val="20"/>
              </w:rPr>
            </w:pPr>
            <w:r w:rsidRPr="00DA4B1A">
              <w:rPr>
                <w:rFonts w:ascii="Arial Narrow" w:hAnsi="Arial Narrow"/>
                <w:bCs/>
                <w:kern w:val="26"/>
                <w:sz w:val="20"/>
              </w:rPr>
              <w:t>1</w:t>
            </w:r>
            <w:r w:rsidR="00DA4B1A" w:rsidRPr="00DA4B1A">
              <w:rPr>
                <w:rFonts w:ascii="Arial Narrow" w:hAnsi="Arial Narrow"/>
                <w:bCs/>
                <w:kern w:val="26"/>
                <w:sz w:val="20"/>
              </w:rPr>
              <w:t>,</w:t>
            </w:r>
            <w:r w:rsidRPr="00DA4B1A">
              <w:rPr>
                <w:rFonts w:ascii="Arial Narrow" w:hAnsi="Arial Narrow"/>
                <w:bCs/>
                <w:kern w:val="26"/>
                <w:sz w:val="20"/>
              </w:rPr>
              <w:t>090</w:t>
            </w:r>
          </w:p>
        </w:tc>
        <w:tc>
          <w:tcPr>
            <w:tcW w:w="2268" w:type="dxa"/>
            <w:shd w:val="clear" w:color="auto" w:fill="C6D9F1"/>
            <w:vAlign w:val="center"/>
          </w:tcPr>
          <w:p w:rsidR="001D09B6" w:rsidRPr="00DA4B1A" w:rsidRDefault="001D09B6" w:rsidP="003840D5">
            <w:pPr>
              <w:pStyle w:val="FootnoteText"/>
              <w:spacing w:before="120" w:after="120" w:line="240" w:lineRule="auto"/>
              <w:ind w:right="707"/>
              <w:jc w:val="right"/>
              <w:rPr>
                <w:rFonts w:ascii="Arial Narrow" w:hAnsi="Arial Narrow"/>
                <w:bCs/>
                <w:kern w:val="26"/>
                <w:sz w:val="20"/>
              </w:rPr>
            </w:pPr>
            <w:r w:rsidRPr="00DA4B1A">
              <w:rPr>
                <w:rFonts w:ascii="Arial Narrow" w:hAnsi="Arial Narrow"/>
                <w:bCs/>
                <w:kern w:val="26"/>
                <w:sz w:val="20"/>
              </w:rPr>
              <w:t>1.7</w:t>
            </w:r>
          </w:p>
        </w:tc>
      </w:tr>
      <w:tr w:rsidR="001D09B6" w:rsidRPr="001D09B6" w:rsidTr="003840D5">
        <w:tc>
          <w:tcPr>
            <w:tcW w:w="1417" w:type="dxa"/>
            <w:gridSpan w:val="2"/>
            <w:tcBorders>
              <w:bottom w:val="single" w:sz="4" w:space="0" w:color="auto"/>
            </w:tcBorders>
            <w:shd w:val="clear" w:color="auto" w:fill="DBE5F1"/>
          </w:tcPr>
          <w:p w:rsidR="001D09B6" w:rsidRPr="00DA4B1A" w:rsidRDefault="001D09B6" w:rsidP="00DA4B1A">
            <w:pPr>
              <w:pStyle w:val="FootnoteText"/>
              <w:spacing w:before="120" w:after="120" w:line="240" w:lineRule="auto"/>
              <w:ind w:left="318"/>
              <w:rPr>
                <w:rFonts w:ascii="Arial Narrow" w:hAnsi="Arial Narrow"/>
                <w:bCs/>
                <w:kern w:val="26"/>
                <w:sz w:val="20"/>
              </w:rPr>
            </w:pPr>
            <w:r w:rsidRPr="00DA4B1A">
              <w:rPr>
                <w:rFonts w:ascii="Arial Narrow" w:hAnsi="Arial Narrow"/>
                <w:bCs/>
                <w:kern w:val="26"/>
                <w:sz w:val="20"/>
              </w:rPr>
              <w:t>Non-ACT</w:t>
            </w:r>
          </w:p>
        </w:tc>
        <w:tc>
          <w:tcPr>
            <w:tcW w:w="2126" w:type="dxa"/>
            <w:tcBorders>
              <w:bottom w:val="single" w:sz="4" w:space="0" w:color="auto"/>
            </w:tcBorders>
            <w:shd w:val="clear" w:color="auto" w:fill="DBE5F1"/>
            <w:vAlign w:val="center"/>
          </w:tcPr>
          <w:p w:rsidR="001D09B6" w:rsidRPr="00DA4B1A" w:rsidRDefault="001D09B6" w:rsidP="003840D5">
            <w:pPr>
              <w:pStyle w:val="FootnoteText"/>
              <w:spacing w:before="120" w:after="120" w:line="240" w:lineRule="auto"/>
              <w:ind w:right="229"/>
              <w:jc w:val="right"/>
              <w:rPr>
                <w:rFonts w:ascii="Arial Narrow" w:hAnsi="Arial Narrow"/>
                <w:bCs/>
                <w:kern w:val="26"/>
                <w:sz w:val="20"/>
              </w:rPr>
            </w:pPr>
            <w:r w:rsidRPr="00DA4B1A">
              <w:rPr>
                <w:rFonts w:ascii="Arial Narrow" w:hAnsi="Arial Narrow"/>
                <w:bCs/>
                <w:kern w:val="26"/>
                <w:sz w:val="20"/>
              </w:rPr>
              <w:t>101</w:t>
            </w:r>
            <w:r w:rsidR="00DA4B1A" w:rsidRPr="00DA4B1A">
              <w:rPr>
                <w:rFonts w:ascii="Arial Narrow" w:hAnsi="Arial Narrow"/>
                <w:bCs/>
                <w:kern w:val="26"/>
                <w:sz w:val="20"/>
              </w:rPr>
              <w:t>,</w:t>
            </w:r>
            <w:r w:rsidRPr="00DA4B1A">
              <w:rPr>
                <w:rFonts w:ascii="Arial Narrow" w:hAnsi="Arial Narrow"/>
                <w:bCs/>
                <w:kern w:val="26"/>
                <w:sz w:val="20"/>
              </w:rPr>
              <w:t>904</w:t>
            </w:r>
          </w:p>
        </w:tc>
        <w:tc>
          <w:tcPr>
            <w:tcW w:w="2127" w:type="dxa"/>
            <w:tcBorders>
              <w:bottom w:val="single" w:sz="4" w:space="0" w:color="auto"/>
            </w:tcBorders>
            <w:shd w:val="clear" w:color="auto" w:fill="DBE5F1"/>
            <w:vAlign w:val="center"/>
          </w:tcPr>
          <w:p w:rsidR="001D09B6" w:rsidRPr="00DA4B1A" w:rsidRDefault="001D09B6" w:rsidP="003840D5">
            <w:pPr>
              <w:pStyle w:val="FootnoteText"/>
              <w:spacing w:before="120" w:after="120" w:line="240" w:lineRule="auto"/>
              <w:ind w:right="229"/>
              <w:jc w:val="right"/>
              <w:rPr>
                <w:rFonts w:ascii="Arial Narrow" w:hAnsi="Arial Narrow"/>
                <w:bCs/>
                <w:kern w:val="26"/>
                <w:sz w:val="20"/>
              </w:rPr>
            </w:pPr>
            <w:r w:rsidRPr="00DA4B1A">
              <w:rPr>
                <w:rFonts w:ascii="Arial Narrow" w:hAnsi="Arial Narrow"/>
                <w:bCs/>
                <w:kern w:val="26"/>
                <w:sz w:val="20"/>
              </w:rPr>
              <w:t>2</w:t>
            </w:r>
            <w:r w:rsidR="00DA4B1A" w:rsidRPr="00DA4B1A">
              <w:rPr>
                <w:rFonts w:ascii="Arial Narrow" w:hAnsi="Arial Narrow"/>
                <w:bCs/>
                <w:kern w:val="26"/>
                <w:sz w:val="20"/>
              </w:rPr>
              <w:t>,</w:t>
            </w:r>
            <w:r w:rsidRPr="00DA4B1A">
              <w:rPr>
                <w:rFonts w:ascii="Arial Narrow" w:hAnsi="Arial Narrow"/>
                <w:bCs/>
                <w:kern w:val="26"/>
                <w:sz w:val="20"/>
              </w:rPr>
              <w:t>756</w:t>
            </w:r>
          </w:p>
        </w:tc>
        <w:tc>
          <w:tcPr>
            <w:tcW w:w="2268" w:type="dxa"/>
            <w:tcBorders>
              <w:bottom w:val="single" w:sz="4" w:space="0" w:color="auto"/>
            </w:tcBorders>
            <w:shd w:val="clear" w:color="auto" w:fill="DBE5F1"/>
            <w:vAlign w:val="center"/>
          </w:tcPr>
          <w:p w:rsidR="001D09B6" w:rsidRPr="00DA4B1A" w:rsidRDefault="001D09B6" w:rsidP="003840D5">
            <w:pPr>
              <w:pStyle w:val="FootnoteText"/>
              <w:spacing w:before="120" w:after="120" w:line="240" w:lineRule="auto"/>
              <w:ind w:right="707"/>
              <w:jc w:val="right"/>
              <w:rPr>
                <w:rFonts w:ascii="Arial Narrow" w:hAnsi="Arial Narrow"/>
                <w:bCs/>
                <w:kern w:val="26"/>
                <w:sz w:val="20"/>
              </w:rPr>
            </w:pPr>
            <w:r w:rsidRPr="00DA4B1A">
              <w:rPr>
                <w:rFonts w:ascii="Arial Narrow" w:hAnsi="Arial Narrow"/>
                <w:bCs/>
                <w:kern w:val="26"/>
                <w:sz w:val="20"/>
              </w:rPr>
              <w:t>2.7</w:t>
            </w:r>
          </w:p>
        </w:tc>
      </w:tr>
      <w:tr w:rsidR="001D09B6" w:rsidRPr="001D09B6" w:rsidTr="003840D5">
        <w:tc>
          <w:tcPr>
            <w:tcW w:w="1417" w:type="dxa"/>
            <w:gridSpan w:val="2"/>
            <w:tcBorders>
              <w:bottom w:val="single" w:sz="4" w:space="0" w:color="auto"/>
            </w:tcBorders>
            <w:shd w:val="clear" w:color="auto" w:fill="C6D9F1"/>
          </w:tcPr>
          <w:p w:rsidR="001D09B6" w:rsidRPr="00DA4B1A" w:rsidRDefault="001D09B6" w:rsidP="00DA4B1A">
            <w:pPr>
              <w:pStyle w:val="FootnoteText"/>
              <w:spacing w:before="120" w:after="120" w:line="240" w:lineRule="auto"/>
              <w:ind w:left="318"/>
              <w:rPr>
                <w:rFonts w:ascii="Arial Narrow" w:hAnsi="Arial Narrow"/>
                <w:bCs/>
                <w:kern w:val="26"/>
                <w:sz w:val="20"/>
              </w:rPr>
            </w:pPr>
            <w:r w:rsidRPr="00DA4B1A">
              <w:rPr>
                <w:rFonts w:ascii="Arial Narrow" w:hAnsi="Arial Narrow"/>
                <w:bCs/>
                <w:kern w:val="26"/>
                <w:sz w:val="20"/>
              </w:rPr>
              <w:t>Total</w:t>
            </w:r>
          </w:p>
        </w:tc>
        <w:tc>
          <w:tcPr>
            <w:tcW w:w="2126" w:type="dxa"/>
            <w:tcBorders>
              <w:bottom w:val="single" w:sz="4" w:space="0" w:color="auto"/>
            </w:tcBorders>
            <w:shd w:val="clear" w:color="auto" w:fill="C6D9F1"/>
            <w:vAlign w:val="center"/>
          </w:tcPr>
          <w:p w:rsidR="001D09B6" w:rsidRPr="00DA4B1A" w:rsidRDefault="001D09B6" w:rsidP="003840D5">
            <w:pPr>
              <w:pStyle w:val="FootnoteText"/>
              <w:spacing w:before="120" w:after="120" w:line="240" w:lineRule="auto"/>
              <w:ind w:right="229"/>
              <w:jc w:val="right"/>
              <w:rPr>
                <w:rFonts w:ascii="Arial Narrow" w:hAnsi="Arial Narrow"/>
                <w:bCs/>
                <w:kern w:val="26"/>
                <w:sz w:val="20"/>
              </w:rPr>
            </w:pPr>
            <w:r w:rsidRPr="00DA4B1A">
              <w:rPr>
                <w:rFonts w:ascii="Arial Narrow" w:hAnsi="Arial Narrow"/>
                <w:bCs/>
                <w:kern w:val="26"/>
                <w:sz w:val="20"/>
              </w:rPr>
              <w:t>167</w:t>
            </w:r>
            <w:r w:rsidR="00DA4B1A" w:rsidRPr="00DA4B1A">
              <w:rPr>
                <w:rFonts w:ascii="Arial Narrow" w:hAnsi="Arial Narrow"/>
                <w:bCs/>
                <w:kern w:val="26"/>
                <w:sz w:val="20"/>
              </w:rPr>
              <w:t>,</w:t>
            </w:r>
            <w:r w:rsidRPr="00DA4B1A">
              <w:rPr>
                <w:rFonts w:ascii="Arial Narrow" w:hAnsi="Arial Narrow"/>
                <w:bCs/>
                <w:kern w:val="26"/>
                <w:sz w:val="20"/>
              </w:rPr>
              <w:t>257</w:t>
            </w:r>
          </w:p>
        </w:tc>
        <w:tc>
          <w:tcPr>
            <w:tcW w:w="2127" w:type="dxa"/>
            <w:tcBorders>
              <w:bottom w:val="single" w:sz="4" w:space="0" w:color="auto"/>
            </w:tcBorders>
            <w:shd w:val="clear" w:color="auto" w:fill="C6D9F1"/>
            <w:vAlign w:val="center"/>
          </w:tcPr>
          <w:p w:rsidR="001D09B6" w:rsidRPr="00DA4B1A" w:rsidRDefault="001D09B6" w:rsidP="003840D5">
            <w:pPr>
              <w:pStyle w:val="FootnoteText"/>
              <w:spacing w:before="120" w:after="120" w:line="240" w:lineRule="auto"/>
              <w:ind w:right="229"/>
              <w:jc w:val="right"/>
              <w:rPr>
                <w:rFonts w:ascii="Arial Narrow" w:hAnsi="Arial Narrow"/>
                <w:bCs/>
                <w:kern w:val="26"/>
                <w:sz w:val="20"/>
              </w:rPr>
            </w:pPr>
            <w:r w:rsidRPr="00DA4B1A">
              <w:rPr>
                <w:rFonts w:ascii="Arial Narrow" w:hAnsi="Arial Narrow"/>
                <w:bCs/>
                <w:kern w:val="26"/>
                <w:sz w:val="20"/>
              </w:rPr>
              <w:t>3</w:t>
            </w:r>
            <w:r w:rsidR="00DA4B1A" w:rsidRPr="00DA4B1A">
              <w:rPr>
                <w:rFonts w:ascii="Arial Narrow" w:hAnsi="Arial Narrow"/>
                <w:bCs/>
                <w:kern w:val="26"/>
                <w:sz w:val="20"/>
              </w:rPr>
              <w:t>,</w:t>
            </w:r>
            <w:r w:rsidRPr="00DA4B1A">
              <w:rPr>
                <w:rFonts w:ascii="Arial Narrow" w:hAnsi="Arial Narrow"/>
                <w:bCs/>
                <w:kern w:val="26"/>
                <w:sz w:val="20"/>
              </w:rPr>
              <w:t>846</w:t>
            </w:r>
          </w:p>
        </w:tc>
        <w:tc>
          <w:tcPr>
            <w:tcW w:w="2268" w:type="dxa"/>
            <w:tcBorders>
              <w:bottom w:val="single" w:sz="4" w:space="0" w:color="auto"/>
            </w:tcBorders>
            <w:shd w:val="clear" w:color="auto" w:fill="C6D9F1"/>
            <w:vAlign w:val="center"/>
          </w:tcPr>
          <w:p w:rsidR="001D09B6" w:rsidRPr="00DA4B1A" w:rsidRDefault="001D09B6" w:rsidP="003840D5">
            <w:pPr>
              <w:pStyle w:val="FootnoteText"/>
              <w:spacing w:before="120" w:after="120" w:line="240" w:lineRule="auto"/>
              <w:ind w:right="707"/>
              <w:jc w:val="right"/>
              <w:rPr>
                <w:rFonts w:ascii="Arial Narrow" w:hAnsi="Arial Narrow"/>
                <w:bCs/>
                <w:kern w:val="26"/>
                <w:sz w:val="20"/>
              </w:rPr>
            </w:pPr>
            <w:r w:rsidRPr="00DA4B1A">
              <w:rPr>
                <w:rFonts w:ascii="Arial Narrow" w:hAnsi="Arial Narrow"/>
                <w:bCs/>
                <w:kern w:val="26"/>
                <w:sz w:val="20"/>
              </w:rPr>
              <w:t>2.3</w:t>
            </w:r>
          </w:p>
        </w:tc>
      </w:tr>
      <w:tr w:rsidR="00DA4B1A" w:rsidRPr="001D09B6" w:rsidTr="003840D5">
        <w:tc>
          <w:tcPr>
            <w:tcW w:w="708" w:type="dxa"/>
            <w:tcBorders>
              <w:top w:val="single" w:sz="4" w:space="0" w:color="auto"/>
              <w:left w:val="nil"/>
              <w:bottom w:val="nil"/>
              <w:right w:val="nil"/>
            </w:tcBorders>
          </w:tcPr>
          <w:p w:rsidR="00DA4B1A" w:rsidRPr="00DA4B1A" w:rsidRDefault="00DA4B1A" w:rsidP="00DA4B1A">
            <w:pPr>
              <w:pStyle w:val="FootnoteText"/>
              <w:spacing w:before="120" w:after="120"/>
              <w:ind w:left="34" w:hanging="34"/>
              <w:rPr>
                <w:rFonts w:ascii="Arial Narrow" w:hAnsi="Arial Narrow"/>
                <w:bCs/>
                <w:kern w:val="26"/>
                <w:sz w:val="20"/>
              </w:rPr>
            </w:pPr>
            <w:r w:rsidRPr="00DA4B1A">
              <w:rPr>
                <w:rFonts w:ascii="Arial Narrow" w:hAnsi="Arial Narrow"/>
                <w:bCs/>
                <w:kern w:val="26"/>
                <w:szCs w:val="18"/>
              </w:rPr>
              <w:t>Source:</w:t>
            </w:r>
            <w:r w:rsidRPr="00DA4B1A">
              <w:rPr>
                <w:rFonts w:ascii="Arial Narrow" w:hAnsi="Arial Narrow"/>
                <w:bCs/>
                <w:kern w:val="26"/>
                <w:sz w:val="20"/>
              </w:rPr>
              <w:t xml:space="preserve">  </w:t>
            </w:r>
          </w:p>
        </w:tc>
        <w:tc>
          <w:tcPr>
            <w:tcW w:w="7230" w:type="dxa"/>
            <w:gridSpan w:val="4"/>
            <w:tcBorders>
              <w:top w:val="single" w:sz="4" w:space="0" w:color="auto"/>
              <w:left w:val="nil"/>
              <w:bottom w:val="nil"/>
              <w:right w:val="nil"/>
            </w:tcBorders>
          </w:tcPr>
          <w:p w:rsidR="00DA4B1A" w:rsidRPr="00DA4B1A" w:rsidRDefault="00DA4B1A" w:rsidP="00DA4B1A">
            <w:pPr>
              <w:pStyle w:val="FootnoteText"/>
              <w:spacing w:before="120" w:after="120"/>
              <w:ind w:left="0" w:right="-1" w:firstLine="0"/>
              <w:rPr>
                <w:rFonts w:ascii="Arial Narrow" w:hAnsi="Arial Narrow"/>
                <w:bCs/>
                <w:kern w:val="26"/>
                <w:szCs w:val="18"/>
              </w:rPr>
            </w:pPr>
            <w:r w:rsidRPr="00DA4B1A">
              <w:rPr>
                <w:rFonts w:ascii="Arial Narrow" w:hAnsi="Arial Narrow"/>
                <w:bCs/>
                <w:kern w:val="26"/>
                <w:szCs w:val="18"/>
              </w:rPr>
              <w:t xml:space="preserve">Australian Public Service Commission. </w:t>
            </w:r>
            <w:r w:rsidRPr="00DA4B1A">
              <w:rPr>
                <w:i/>
                <w:szCs w:val="18"/>
              </w:rPr>
              <w:t xml:space="preserve">Submission to the </w:t>
            </w:r>
            <w:r w:rsidRPr="00DA4B1A">
              <w:rPr>
                <w:i/>
                <w:szCs w:val="18"/>
                <w:lang w:val="en-US"/>
              </w:rPr>
              <w:t xml:space="preserve">Submission to the Inquiry into </w:t>
            </w:r>
            <w:r>
              <w:rPr>
                <w:i/>
                <w:szCs w:val="18"/>
                <w:lang w:val="en-US"/>
              </w:rPr>
              <w:t>A</w:t>
            </w:r>
            <w:r w:rsidRPr="00DA4B1A">
              <w:rPr>
                <w:i/>
                <w:szCs w:val="18"/>
                <w:lang w:val="en-US"/>
              </w:rPr>
              <w:t>CT Public Service Aboriginal and Torres Strait Islander Employment.</w:t>
            </w:r>
            <w:r w:rsidRPr="00DA4B1A">
              <w:rPr>
                <w:szCs w:val="18"/>
                <w:lang w:val="en-US"/>
              </w:rPr>
              <w:t xml:space="preserve"> Canberra, August 2013, p. 1.</w:t>
            </w:r>
          </w:p>
        </w:tc>
      </w:tr>
    </w:tbl>
    <w:p w:rsidR="00447B42" w:rsidRDefault="00447B42" w:rsidP="00AF497E">
      <w:pPr>
        <w:pStyle w:val="Headinglevel3"/>
        <w:rPr>
          <w:lang w:val="en-US"/>
        </w:rPr>
      </w:pPr>
    </w:p>
    <w:p w:rsidR="00AF497E" w:rsidRDefault="00447B42" w:rsidP="007F0A2A">
      <w:pPr>
        <w:pStyle w:val="Headinglevel3"/>
        <w:tabs>
          <w:tab w:val="clear" w:pos="567"/>
          <w:tab w:val="clear" w:pos="720"/>
        </w:tabs>
        <w:rPr>
          <w:lang w:val="en-US"/>
        </w:rPr>
      </w:pPr>
      <w:r>
        <w:rPr>
          <w:lang w:val="en-US"/>
        </w:rPr>
        <w:br w:type="page"/>
      </w:r>
      <w:r w:rsidR="00AF497E">
        <w:rPr>
          <w:lang w:val="en-US"/>
        </w:rPr>
        <w:t xml:space="preserve">Employment Strategy  </w:t>
      </w:r>
    </w:p>
    <w:p w:rsidR="00AF497E" w:rsidRDefault="00DF28D8" w:rsidP="00AF497E">
      <w:pPr>
        <w:pStyle w:val="Bodytext"/>
        <w:rPr>
          <w:lang w:val="en-US"/>
        </w:rPr>
      </w:pPr>
      <w:r>
        <w:rPr>
          <w:lang w:val="en-US"/>
        </w:rPr>
        <w:tab/>
      </w:r>
      <w:r w:rsidR="00AF497E">
        <w:rPr>
          <w:lang w:val="en-US"/>
        </w:rPr>
        <w:t>The APS first had an Indigenous employment strategy in 2005-06. The current APS Indigenous Employment Strategy is described</w:t>
      </w:r>
      <w:r w:rsidR="007F0A2A">
        <w:rPr>
          <w:lang w:val="en-US"/>
        </w:rPr>
        <w:t xml:space="preserve">, ‘ … as </w:t>
      </w:r>
      <w:r w:rsidR="00AF497E">
        <w:rPr>
          <w:lang w:val="en-US"/>
        </w:rPr>
        <w:t>a key platform to support APS agencies to improve their Indigenous employment outcomes’.</w:t>
      </w:r>
      <w:r w:rsidR="00AF497E">
        <w:rPr>
          <w:rStyle w:val="FootnoteReference"/>
          <w:lang w:val="en-US"/>
        </w:rPr>
        <w:footnoteReference w:id="139"/>
      </w:r>
      <w:r w:rsidR="00AF497E">
        <w:rPr>
          <w:lang w:val="en-US"/>
        </w:rPr>
        <w:t xml:space="preserve">  The APSC submission</w:t>
      </w:r>
      <w:r w:rsidR="007F0A2A">
        <w:rPr>
          <w:lang w:val="en-US"/>
        </w:rPr>
        <w:t> </w:t>
      </w:r>
      <w:r w:rsidR="00AF497E">
        <w:rPr>
          <w:lang w:val="en-US"/>
        </w:rPr>
        <w:t xml:space="preserve">states: </w:t>
      </w:r>
    </w:p>
    <w:p w:rsidR="00AF497E" w:rsidRPr="00AF497E" w:rsidRDefault="00AF497E" w:rsidP="00AF497E">
      <w:pPr>
        <w:pStyle w:val="Quote"/>
        <w:rPr>
          <w:lang w:val="en-US"/>
        </w:rPr>
      </w:pPr>
      <w:r w:rsidRPr="00AF497E">
        <w:rPr>
          <w:lang w:val="en-US"/>
        </w:rPr>
        <w:t>The Strategy was launched in response to a critical business challenge facing the APS—a trend of declining recruitment and falling retention rates for Indigenous Australians. The current iteration of the Strategy includes targeted programmes to address these critical areas, including:</w:t>
      </w:r>
    </w:p>
    <w:p w:rsidR="00AF497E" w:rsidRPr="00AF497E" w:rsidRDefault="00AF497E" w:rsidP="00924579">
      <w:pPr>
        <w:pStyle w:val="Quote"/>
        <w:numPr>
          <w:ilvl w:val="2"/>
          <w:numId w:val="22"/>
        </w:numPr>
        <w:ind w:left="1843"/>
        <w:rPr>
          <w:lang w:val="en-US"/>
        </w:rPr>
      </w:pPr>
      <w:r w:rsidRPr="00AF497E">
        <w:rPr>
          <w:lang w:val="en-US"/>
        </w:rPr>
        <w:t>recruitment pathways for Indigenous Australians</w:t>
      </w:r>
    </w:p>
    <w:p w:rsidR="00AF497E" w:rsidRPr="00AF497E" w:rsidRDefault="00AF497E" w:rsidP="00924579">
      <w:pPr>
        <w:pStyle w:val="Quote"/>
        <w:numPr>
          <w:ilvl w:val="2"/>
          <w:numId w:val="22"/>
        </w:numPr>
        <w:ind w:left="1843"/>
        <w:rPr>
          <w:lang w:val="en-US"/>
        </w:rPr>
      </w:pPr>
      <w:r w:rsidRPr="00AF497E">
        <w:rPr>
          <w:lang w:val="en-US"/>
        </w:rPr>
        <w:t>retention of Indigenous employees, and</w:t>
      </w:r>
    </w:p>
    <w:p w:rsidR="00AF497E" w:rsidRPr="00AF497E" w:rsidRDefault="00AF497E" w:rsidP="00924579">
      <w:pPr>
        <w:pStyle w:val="Quote"/>
        <w:numPr>
          <w:ilvl w:val="2"/>
          <w:numId w:val="22"/>
        </w:numPr>
        <w:ind w:left="1843"/>
        <w:rPr>
          <w:lang w:val="en-US"/>
        </w:rPr>
      </w:pPr>
      <w:r w:rsidRPr="00AF497E">
        <w:rPr>
          <w:lang w:val="en-US"/>
        </w:rPr>
        <w:t>data collection, monitoring and reporting.</w:t>
      </w:r>
    </w:p>
    <w:p w:rsidR="001A2E77" w:rsidRDefault="00AF497E" w:rsidP="00AF497E">
      <w:pPr>
        <w:pStyle w:val="Bodytext"/>
        <w:rPr>
          <w:lang w:val="en-US"/>
        </w:rPr>
      </w:pPr>
      <w:r>
        <w:rPr>
          <w:lang w:val="en-US"/>
        </w:rPr>
        <w:t xml:space="preserve"> </w:t>
      </w:r>
      <w:r w:rsidR="006E4396">
        <w:rPr>
          <w:lang w:val="en-US"/>
        </w:rPr>
        <w:t>The Committee notes</w:t>
      </w:r>
      <w:r w:rsidR="001A2E77">
        <w:rPr>
          <w:lang w:val="en-US"/>
        </w:rPr>
        <w:t xml:space="preserve"> that: </w:t>
      </w:r>
    </w:p>
    <w:p w:rsidR="001A2E77" w:rsidRDefault="006E4396" w:rsidP="00A376EE">
      <w:pPr>
        <w:pStyle w:val="ListBullet"/>
        <w:rPr>
          <w:lang w:val="en-US"/>
        </w:rPr>
      </w:pPr>
      <w:r>
        <w:rPr>
          <w:lang w:val="en-US"/>
        </w:rPr>
        <w:t xml:space="preserve">an independent evaluation of the 2009-11 version of the Strategy </w:t>
      </w:r>
      <w:r w:rsidR="009651B2">
        <w:rPr>
          <w:lang w:val="en-US"/>
        </w:rPr>
        <w:t xml:space="preserve">found it had contributed to an increase in </w:t>
      </w:r>
      <w:r>
        <w:rPr>
          <w:lang w:val="en-US"/>
        </w:rPr>
        <w:t xml:space="preserve">the proportion of Indigenous employees in the APS. </w:t>
      </w:r>
      <w:r>
        <w:rPr>
          <w:rStyle w:val="FootnoteReference"/>
          <w:lang w:val="en-US"/>
        </w:rPr>
        <w:footnoteReference w:id="140"/>
      </w:r>
      <w:r>
        <w:rPr>
          <w:lang w:val="en-US"/>
        </w:rPr>
        <w:t xml:space="preserve">  </w:t>
      </w:r>
    </w:p>
    <w:p w:rsidR="00AF497E" w:rsidRDefault="00476BC9" w:rsidP="00A376EE">
      <w:pPr>
        <w:pStyle w:val="ListBullet"/>
        <w:rPr>
          <w:lang w:val="en-US"/>
        </w:rPr>
      </w:pPr>
      <w:r>
        <w:rPr>
          <w:lang w:val="en-US"/>
        </w:rPr>
        <w:t>t</w:t>
      </w:r>
      <w:r w:rsidR="001A2E77">
        <w:rPr>
          <w:lang w:val="en-US"/>
        </w:rPr>
        <w:t xml:space="preserve">he </w:t>
      </w:r>
      <w:r w:rsidR="006E4396">
        <w:rPr>
          <w:lang w:val="en-US"/>
        </w:rPr>
        <w:t xml:space="preserve">APS is doing things that the ACTPS plans to do.  </w:t>
      </w:r>
      <w:r w:rsidR="001A2E77">
        <w:rPr>
          <w:lang w:val="en-US"/>
        </w:rPr>
        <w:t xml:space="preserve">For example,  in early 2013 there was a </w:t>
      </w:r>
      <w:r w:rsidR="006E4396">
        <w:rPr>
          <w:lang w:val="en-US"/>
        </w:rPr>
        <w:t>rollout of APS-wide entry and exit surveys</w:t>
      </w:r>
      <w:r w:rsidR="001A2E77">
        <w:rPr>
          <w:lang w:val="en-US"/>
        </w:rPr>
        <w:t xml:space="preserve"> on a trial basis and an initial census (random survey) of all employees was begun in 2012 and repeated in 2013;   </w:t>
      </w:r>
    </w:p>
    <w:p w:rsidR="001A2E77" w:rsidRDefault="00476BC9" w:rsidP="00A376EE">
      <w:pPr>
        <w:pStyle w:val="ListBullet"/>
        <w:rPr>
          <w:lang w:val="en-US"/>
        </w:rPr>
      </w:pPr>
      <w:r>
        <w:rPr>
          <w:lang w:val="en-US"/>
        </w:rPr>
        <w:t>t</w:t>
      </w:r>
      <w:r w:rsidR="001A2E77">
        <w:rPr>
          <w:lang w:val="en-US"/>
        </w:rPr>
        <w:t xml:space="preserve">wo-thirds of </w:t>
      </w:r>
      <w:r w:rsidR="009651B2">
        <w:rPr>
          <w:lang w:val="en-US"/>
        </w:rPr>
        <w:t xml:space="preserve">APS </w:t>
      </w:r>
      <w:r w:rsidR="001A2E77">
        <w:rPr>
          <w:lang w:val="en-US"/>
        </w:rPr>
        <w:t xml:space="preserve">agencies have or are developing cultural awareness training; </w:t>
      </w:r>
      <w:r w:rsidR="009651B2">
        <w:rPr>
          <w:lang w:val="en-US"/>
        </w:rPr>
        <w:t xml:space="preserve"> and</w:t>
      </w:r>
    </w:p>
    <w:p w:rsidR="001A2E77" w:rsidRDefault="00476BC9" w:rsidP="00A376EE">
      <w:pPr>
        <w:pStyle w:val="ListBullet"/>
        <w:rPr>
          <w:lang w:val="en-US"/>
        </w:rPr>
      </w:pPr>
      <w:r>
        <w:rPr>
          <w:lang w:val="en-US"/>
        </w:rPr>
        <w:t>i</w:t>
      </w:r>
      <w:r w:rsidR="001A2E77">
        <w:rPr>
          <w:lang w:val="en-US"/>
        </w:rPr>
        <w:t xml:space="preserve">n recent years there has been a relatively high </w:t>
      </w:r>
      <w:r w:rsidR="00EB4A07">
        <w:rPr>
          <w:lang w:val="en-US"/>
        </w:rPr>
        <w:t>attrition rate for APS Indigenous</w:t>
      </w:r>
      <w:r w:rsidR="009651B2">
        <w:rPr>
          <w:lang w:val="en-US"/>
        </w:rPr>
        <w:t> </w:t>
      </w:r>
      <w:r w:rsidR="00EB4A07">
        <w:rPr>
          <w:lang w:val="en-US"/>
        </w:rPr>
        <w:t>employees.</w:t>
      </w:r>
      <w:r w:rsidR="00EB4A07">
        <w:rPr>
          <w:rStyle w:val="FootnoteReference"/>
          <w:lang w:val="en-US"/>
        </w:rPr>
        <w:footnoteReference w:id="141"/>
      </w:r>
      <w:r w:rsidR="00EB4A07">
        <w:rPr>
          <w:lang w:val="en-US"/>
        </w:rPr>
        <w:t xml:space="preserve"> </w:t>
      </w:r>
    </w:p>
    <w:p w:rsidR="00A376EE" w:rsidRDefault="00A376EE" w:rsidP="00A376EE">
      <w:pPr>
        <w:pStyle w:val="Bodytext"/>
        <w:rPr>
          <w:lang w:val="en-US"/>
        </w:rPr>
      </w:pPr>
      <w:r>
        <w:rPr>
          <w:lang w:val="en-US"/>
        </w:rPr>
        <w:t>The Committee is of the view that most</w:t>
      </w:r>
      <w:r w:rsidR="00476BC9">
        <w:rPr>
          <w:lang w:val="en-US"/>
        </w:rPr>
        <w:t>,</w:t>
      </w:r>
      <w:r>
        <w:rPr>
          <w:lang w:val="en-US"/>
        </w:rPr>
        <w:t xml:space="preserve"> if not all</w:t>
      </w:r>
      <w:r w:rsidR="00476BC9">
        <w:rPr>
          <w:lang w:val="en-US"/>
        </w:rPr>
        <w:t>,</w:t>
      </w:r>
      <w:r>
        <w:rPr>
          <w:lang w:val="en-US"/>
        </w:rPr>
        <w:t xml:space="preserve"> of the initiatives implemented by the APS have applicability to the ACTPS</w:t>
      </w:r>
      <w:r w:rsidR="009651B2">
        <w:rPr>
          <w:lang w:val="en-US"/>
        </w:rPr>
        <w:t xml:space="preserve"> and that there is scope for the ACTPS and the APS to share lessons learned.</w:t>
      </w:r>
      <w:r>
        <w:rPr>
          <w:lang w:val="en-US"/>
        </w:rPr>
        <w:t xml:space="preserve"> </w:t>
      </w:r>
    </w:p>
    <w:p w:rsidR="00C87F2A" w:rsidRDefault="00C87F2A" w:rsidP="00A376EE">
      <w:pPr>
        <w:pStyle w:val="Bodytext"/>
        <w:rPr>
          <w:lang w:val="en-US"/>
        </w:rPr>
      </w:pPr>
      <w:r>
        <w:rPr>
          <w:lang w:val="en-US"/>
        </w:rPr>
        <w:t>The Committee notes that the Federal Government has increased the Indigenous employment target across the public sector – including the APS – to 2.7 percent.   The Federal Government has previously set the target at 2.6 percent as a signatory to the 2009 Council of Australian Governments’ National Partnership Agreement on Indigenous Economic Participation.</w:t>
      </w:r>
      <w:r>
        <w:rPr>
          <w:rStyle w:val="FootnoteReference"/>
          <w:lang w:val="en-US"/>
        </w:rPr>
        <w:footnoteReference w:id="142"/>
      </w:r>
      <w:r>
        <w:rPr>
          <w:lang w:val="en-US"/>
        </w:rPr>
        <w:t xml:space="preserve"> </w:t>
      </w:r>
    </w:p>
    <w:p w:rsidR="001D09B6" w:rsidRDefault="001D09B6" w:rsidP="001D09B6">
      <w:pPr>
        <w:pStyle w:val="Headinglevel2"/>
      </w:pPr>
      <w:bookmarkStart w:id="153" w:name="_Toc383615057"/>
      <w:r>
        <w:t>States and Territories</w:t>
      </w:r>
      <w:bookmarkEnd w:id="153"/>
    </w:p>
    <w:p w:rsidR="00D10F61" w:rsidRDefault="00D10F61" w:rsidP="00D10F61">
      <w:pPr>
        <w:pStyle w:val="Bodytext"/>
        <w:rPr>
          <w:lang w:eastAsia="en-AU"/>
        </w:rPr>
      </w:pPr>
      <w:r>
        <w:rPr>
          <w:lang w:eastAsia="en-AU"/>
        </w:rPr>
        <w:t xml:space="preserve">The Committee notes that Australian Bureau of Statistics (ABS) figures released on 30 August </w:t>
      </w:r>
      <w:r w:rsidR="00634DDA">
        <w:rPr>
          <w:lang w:eastAsia="en-AU"/>
        </w:rPr>
        <w:t>2013 put</w:t>
      </w:r>
      <w:r>
        <w:rPr>
          <w:lang w:eastAsia="en-AU"/>
        </w:rPr>
        <w:t xml:space="preserve"> Australia’s </w:t>
      </w:r>
      <w:r w:rsidRPr="00D10F61">
        <w:rPr>
          <w:lang w:eastAsia="en-AU"/>
        </w:rPr>
        <w:t>Aboriginal and Torres Strait Islander population at 669,900 people.  This is 3.0 percent of the total population.</w:t>
      </w:r>
      <w:r>
        <w:rPr>
          <w:lang w:eastAsia="en-AU"/>
        </w:rPr>
        <w:t xml:space="preserve">  In a media release t</w:t>
      </w:r>
      <w:r w:rsidRPr="00D10F61">
        <w:rPr>
          <w:lang w:eastAsia="en-AU"/>
        </w:rPr>
        <w:t>he Director of Demography at the ABS, Bjorn Jarvis, said that Aboriginal and Torres Strait Islander peoples mainly lived in urban areas</w:t>
      </w:r>
      <w:r>
        <w:rPr>
          <w:lang w:eastAsia="en-AU"/>
        </w:rPr>
        <w:t xml:space="preserve">: </w:t>
      </w:r>
    </w:p>
    <w:p w:rsidR="00D10F61" w:rsidRPr="00D10F61" w:rsidRDefault="00D10F61" w:rsidP="00DF28D8">
      <w:pPr>
        <w:pStyle w:val="Quote"/>
        <w:rPr>
          <w:lang w:eastAsia="en-AU"/>
        </w:rPr>
      </w:pPr>
      <w:r>
        <w:rPr>
          <w:lang w:eastAsia="en-AU"/>
        </w:rPr>
        <w:t>C</w:t>
      </w:r>
      <w:r w:rsidRPr="00D10F61">
        <w:rPr>
          <w:lang w:eastAsia="en-AU"/>
        </w:rPr>
        <w:t>ontrary to popular belief, the Aboriginal and Torres Strait Islander population predominantly lives in Australia's most populous areas, with about 60 percent living in major cities and inner regional areas, and just over 20 percent living in remote and very remote areas</w:t>
      </w:r>
      <w:r>
        <w:rPr>
          <w:lang w:eastAsia="en-AU"/>
        </w:rPr>
        <w:t>.</w:t>
      </w:r>
      <w:r w:rsidRPr="00D10F61">
        <w:rPr>
          <w:lang w:eastAsia="en-AU"/>
        </w:rPr>
        <w:t xml:space="preserve"> </w:t>
      </w:r>
    </w:p>
    <w:p w:rsidR="00D10F61" w:rsidRDefault="00D10F61" w:rsidP="00D10F61">
      <w:pPr>
        <w:pStyle w:val="Quote"/>
        <w:rPr>
          <w:lang w:eastAsia="en-AU"/>
        </w:rPr>
      </w:pPr>
      <w:r w:rsidRPr="00D10F61">
        <w:rPr>
          <w:lang w:eastAsia="en-AU"/>
        </w:rPr>
        <w:t xml:space="preserve">New South Wales has the largest Aboriginal and Torres Strait Islander population (208,500), followed by Queensland (189,000) and Western Australia (88,300). About three-quarters of Aboriginal and Torres Strait Islander people live in these three </w:t>
      </w:r>
      <w:r>
        <w:rPr>
          <w:lang w:eastAsia="en-AU"/>
        </w:rPr>
        <w:t>S</w:t>
      </w:r>
      <w:r w:rsidRPr="00D10F61">
        <w:rPr>
          <w:lang w:eastAsia="en-AU"/>
        </w:rPr>
        <w:t xml:space="preserve">tates. </w:t>
      </w:r>
      <w:r>
        <w:rPr>
          <w:lang w:eastAsia="en-AU"/>
        </w:rPr>
        <w:t xml:space="preserve"> </w:t>
      </w:r>
    </w:p>
    <w:p w:rsidR="00D10F61" w:rsidRPr="00D10F61" w:rsidRDefault="00D10F61" w:rsidP="00D10F61">
      <w:pPr>
        <w:pStyle w:val="Quote"/>
        <w:rPr>
          <w:lang w:eastAsia="en-AU"/>
        </w:rPr>
      </w:pPr>
      <w:r w:rsidRPr="00D10F61">
        <w:rPr>
          <w:lang w:eastAsia="en-AU"/>
        </w:rPr>
        <w:t>Almost a third (30 per cent) of the Northern Territory's population were Aboriginal and Torres Strait Islander people - the highest of any state or territory. Victoria had the smallest proportion of Aboriginal and Torres Strait Islander people at just under</w:t>
      </w:r>
      <w:r>
        <w:rPr>
          <w:lang w:eastAsia="en-AU"/>
        </w:rPr>
        <w:t xml:space="preserve"> </w:t>
      </w:r>
      <w:r w:rsidRPr="00D10F61">
        <w:rPr>
          <w:lang w:eastAsia="en-AU"/>
        </w:rPr>
        <w:t>1</w:t>
      </w:r>
      <w:r>
        <w:rPr>
          <w:lang w:eastAsia="en-AU"/>
        </w:rPr>
        <w:t>.0 </w:t>
      </w:r>
      <w:r w:rsidRPr="00D10F61">
        <w:rPr>
          <w:lang w:eastAsia="en-AU"/>
        </w:rPr>
        <w:t>percent.</w:t>
      </w:r>
    </w:p>
    <w:p w:rsidR="00D10F61" w:rsidRPr="00D10F61" w:rsidRDefault="00D10F61" w:rsidP="00932368">
      <w:pPr>
        <w:pStyle w:val="Quote"/>
        <w:rPr>
          <w:lang w:eastAsia="en-AU"/>
        </w:rPr>
      </w:pPr>
      <w:r w:rsidRPr="00D10F61">
        <w:rPr>
          <w:lang w:eastAsia="en-AU"/>
        </w:rPr>
        <w:t>The Aboriginal and Torres Strait Islander population has a younger age structure than the non-Indigenous population, with larger proportions of young people and smaller proportions of older people. The median age of the Aboriginal and/or Torres Strait Islander population as of June 2011 was 22 years, compared to 38 years for the non-Indigenous population</w:t>
      </w:r>
      <w:r w:rsidR="00932368">
        <w:rPr>
          <w:lang w:eastAsia="en-AU"/>
        </w:rPr>
        <w:t>.</w:t>
      </w:r>
      <w:r w:rsidR="00932368">
        <w:rPr>
          <w:rStyle w:val="FootnoteReference"/>
          <w:lang w:eastAsia="en-AU"/>
        </w:rPr>
        <w:footnoteReference w:id="143"/>
      </w:r>
    </w:p>
    <w:p w:rsidR="00D10F61" w:rsidRDefault="00932368" w:rsidP="001D09B6">
      <w:pPr>
        <w:pStyle w:val="Bodytext"/>
        <w:rPr>
          <w:lang w:eastAsia="en-AU"/>
        </w:rPr>
      </w:pPr>
      <w:r>
        <w:rPr>
          <w:lang w:eastAsia="en-AU"/>
        </w:rPr>
        <w:t xml:space="preserve">The Committee notes that in the Australian Capital Territory the median population for Aboriginal and Torres Strait Islander people is 22.1 years and for non-Indigenous, 34.7 years.  </w:t>
      </w:r>
      <w:r w:rsidR="00634DDA">
        <w:rPr>
          <w:lang w:eastAsia="en-AU"/>
        </w:rPr>
        <w:t xml:space="preserve">This is relevant to the way the ACTPS targets activities forming implementation of the Employment Strategy. </w:t>
      </w:r>
    </w:p>
    <w:p w:rsidR="00B73196" w:rsidRDefault="00B73196" w:rsidP="001D09B6">
      <w:pPr>
        <w:pStyle w:val="Bodytext"/>
        <w:rPr>
          <w:lang w:eastAsia="en-AU"/>
        </w:rPr>
      </w:pPr>
      <w:r>
        <w:rPr>
          <w:lang w:eastAsia="en-AU"/>
        </w:rPr>
        <w:t xml:space="preserve">Table </w:t>
      </w:r>
      <w:r w:rsidR="003840D5">
        <w:rPr>
          <w:lang w:eastAsia="en-AU"/>
        </w:rPr>
        <w:t>6</w:t>
      </w:r>
      <w:r>
        <w:rPr>
          <w:lang w:eastAsia="en-AU"/>
        </w:rPr>
        <w:t xml:space="preserve">.2 shows number and percent of Aboriginal and Torres Strait Islander people and non-Indigenous people in each State and Territory. </w:t>
      </w:r>
    </w:p>
    <w:p w:rsidR="00932368" w:rsidRPr="001D5B4C" w:rsidRDefault="001D5B4C" w:rsidP="00F23CA4">
      <w:pPr>
        <w:pStyle w:val="Bodytext"/>
        <w:numPr>
          <w:ilvl w:val="0"/>
          <w:numId w:val="0"/>
        </w:numPr>
        <w:ind w:left="709" w:hanging="709"/>
        <w:rPr>
          <w:rFonts w:ascii="Arial Narrow" w:hAnsi="Arial Narrow"/>
          <w:bCs/>
          <w:kern w:val="26"/>
          <w:sz w:val="26"/>
          <w:szCs w:val="20"/>
        </w:rPr>
      </w:pPr>
      <w:r>
        <w:rPr>
          <w:rFonts w:ascii="Arial Narrow" w:hAnsi="Arial Narrow"/>
          <w:bCs/>
          <w:kern w:val="26"/>
          <w:sz w:val="26"/>
          <w:szCs w:val="20"/>
        </w:rPr>
        <w:tab/>
      </w:r>
      <w:r w:rsidR="00932368" w:rsidRPr="001D5B4C">
        <w:rPr>
          <w:rFonts w:ascii="Arial Narrow" w:hAnsi="Arial Narrow"/>
          <w:bCs/>
          <w:kern w:val="26"/>
          <w:sz w:val="26"/>
          <w:szCs w:val="20"/>
        </w:rPr>
        <w:t xml:space="preserve">Table </w:t>
      </w:r>
      <w:r w:rsidR="003840D5">
        <w:rPr>
          <w:rFonts w:ascii="Arial Narrow" w:hAnsi="Arial Narrow"/>
          <w:bCs/>
          <w:kern w:val="26"/>
          <w:sz w:val="26"/>
          <w:szCs w:val="20"/>
        </w:rPr>
        <w:t>6</w:t>
      </w:r>
      <w:r w:rsidR="00932368" w:rsidRPr="001D5B4C">
        <w:rPr>
          <w:rFonts w:ascii="Arial Narrow" w:hAnsi="Arial Narrow"/>
          <w:bCs/>
          <w:kern w:val="26"/>
          <w:sz w:val="26"/>
          <w:szCs w:val="20"/>
        </w:rPr>
        <w:t xml:space="preserve">.2 shows a breakdown of the Australian population into those who </w:t>
      </w:r>
      <w:r w:rsidR="00F23CA4">
        <w:rPr>
          <w:rFonts w:ascii="Arial Narrow" w:hAnsi="Arial Narrow"/>
          <w:bCs/>
          <w:kern w:val="26"/>
          <w:sz w:val="26"/>
          <w:szCs w:val="20"/>
        </w:rPr>
        <w:t xml:space="preserve">are </w:t>
      </w:r>
      <w:r w:rsidR="00932368" w:rsidRPr="001D5B4C">
        <w:rPr>
          <w:rFonts w:ascii="Arial Narrow" w:hAnsi="Arial Narrow"/>
          <w:bCs/>
          <w:kern w:val="26"/>
          <w:sz w:val="26"/>
          <w:szCs w:val="20"/>
        </w:rPr>
        <w:t>Aboriginal and</w:t>
      </w:r>
      <w:r w:rsidR="00F23CA4">
        <w:rPr>
          <w:rFonts w:ascii="Arial Narrow" w:hAnsi="Arial Narrow"/>
          <w:bCs/>
          <w:kern w:val="26"/>
          <w:sz w:val="26"/>
          <w:szCs w:val="20"/>
        </w:rPr>
        <w:t xml:space="preserve"> </w:t>
      </w:r>
      <w:r w:rsidR="00932368" w:rsidRPr="001D5B4C">
        <w:rPr>
          <w:rFonts w:ascii="Arial Narrow" w:hAnsi="Arial Narrow"/>
          <w:bCs/>
          <w:kern w:val="26"/>
          <w:sz w:val="26"/>
          <w:szCs w:val="20"/>
        </w:rPr>
        <w:t xml:space="preserve">Torres Strait Islander people and those who are Non-Indigenous.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25"/>
        <w:gridCol w:w="1417"/>
        <w:gridCol w:w="993"/>
        <w:gridCol w:w="1559"/>
        <w:gridCol w:w="850"/>
        <w:gridCol w:w="1418"/>
        <w:gridCol w:w="957"/>
      </w:tblGrid>
      <w:tr w:rsidR="001D5B4C" w:rsidRPr="008C13BF" w:rsidTr="00591138">
        <w:trPr>
          <w:trHeight w:val="982"/>
        </w:trPr>
        <w:tc>
          <w:tcPr>
            <w:tcW w:w="1276" w:type="dxa"/>
            <w:gridSpan w:val="2"/>
            <w:tcBorders>
              <w:bottom w:val="single" w:sz="4" w:space="0" w:color="auto"/>
            </w:tcBorders>
            <w:shd w:val="clear" w:color="auto" w:fill="DBE5F1"/>
            <w:hideMark/>
          </w:tcPr>
          <w:p w:rsidR="001D5B4C" w:rsidRPr="00B73196" w:rsidRDefault="001D5B4C" w:rsidP="001D5B4C">
            <w:pPr>
              <w:spacing w:before="120"/>
              <w:rPr>
                <w:rFonts w:ascii="Arial Narrow" w:hAnsi="Arial Narrow"/>
                <w:b/>
                <w:bCs/>
                <w:kern w:val="26"/>
                <w:sz w:val="20"/>
                <w:szCs w:val="20"/>
              </w:rPr>
            </w:pPr>
            <w:bookmarkStart w:id="154" w:name="_Hlk382422381" w:colFirst="1" w:colLast="6"/>
            <w:r w:rsidRPr="00B73196">
              <w:rPr>
                <w:rFonts w:ascii="Arial Narrow" w:hAnsi="Arial Narrow"/>
                <w:b/>
                <w:bCs/>
                <w:kern w:val="26"/>
                <w:sz w:val="20"/>
                <w:szCs w:val="20"/>
              </w:rPr>
              <w:t>State / Territory</w:t>
            </w:r>
          </w:p>
        </w:tc>
        <w:tc>
          <w:tcPr>
            <w:tcW w:w="1417" w:type="dxa"/>
            <w:tcBorders>
              <w:bottom w:val="single" w:sz="4" w:space="0" w:color="auto"/>
            </w:tcBorders>
            <w:shd w:val="clear" w:color="auto" w:fill="DBE5F1"/>
            <w:hideMark/>
          </w:tcPr>
          <w:p w:rsidR="001D5B4C" w:rsidRDefault="001D5B4C" w:rsidP="001D5B4C">
            <w:pPr>
              <w:spacing w:before="120"/>
              <w:rPr>
                <w:rFonts w:ascii="Arial Narrow" w:hAnsi="Arial Narrow"/>
                <w:b/>
                <w:bCs/>
                <w:kern w:val="26"/>
                <w:sz w:val="20"/>
                <w:szCs w:val="20"/>
              </w:rPr>
            </w:pPr>
            <w:r w:rsidRPr="00B73196">
              <w:rPr>
                <w:rFonts w:ascii="Arial Narrow" w:hAnsi="Arial Narrow"/>
                <w:b/>
                <w:bCs/>
                <w:kern w:val="26"/>
                <w:sz w:val="20"/>
                <w:szCs w:val="20"/>
              </w:rPr>
              <w:t>Aboriginal and Torres Strait Islander</w:t>
            </w:r>
            <w:r w:rsidR="00B73196">
              <w:rPr>
                <w:rFonts w:ascii="Arial Narrow" w:hAnsi="Arial Narrow"/>
                <w:b/>
                <w:bCs/>
                <w:kern w:val="26"/>
                <w:sz w:val="20"/>
                <w:szCs w:val="20"/>
              </w:rPr>
              <w:t xml:space="preserve"> </w:t>
            </w:r>
          </w:p>
          <w:p w:rsidR="00B73196" w:rsidRPr="00B73196" w:rsidRDefault="00B73196" w:rsidP="001D5B4C">
            <w:pPr>
              <w:spacing w:before="120"/>
              <w:rPr>
                <w:rFonts w:ascii="Arial Narrow" w:hAnsi="Arial Narrow"/>
                <w:b/>
                <w:bCs/>
                <w:kern w:val="26"/>
                <w:sz w:val="20"/>
                <w:szCs w:val="20"/>
              </w:rPr>
            </w:pPr>
          </w:p>
        </w:tc>
        <w:tc>
          <w:tcPr>
            <w:tcW w:w="993" w:type="dxa"/>
            <w:tcBorders>
              <w:bottom w:val="single" w:sz="4" w:space="0" w:color="auto"/>
            </w:tcBorders>
            <w:shd w:val="clear" w:color="auto" w:fill="DBE5F1"/>
            <w:hideMark/>
          </w:tcPr>
          <w:p w:rsidR="001D5B4C" w:rsidRPr="00B73196" w:rsidRDefault="001D5B4C" w:rsidP="001D5B4C">
            <w:pPr>
              <w:spacing w:before="120"/>
              <w:jc w:val="center"/>
              <w:rPr>
                <w:rFonts w:ascii="Arial Narrow" w:hAnsi="Arial Narrow"/>
                <w:bCs/>
                <w:kern w:val="26"/>
                <w:sz w:val="20"/>
                <w:szCs w:val="20"/>
              </w:rPr>
            </w:pPr>
            <w:r w:rsidRPr="00B73196">
              <w:rPr>
                <w:rFonts w:ascii="Arial Narrow" w:hAnsi="Arial Narrow"/>
                <w:bCs/>
                <w:kern w:val="26"/>
                <w:sz w:val="20"/>
                <w:szCs w:val="20"/>
              </w:rPr>
              <w:t>(%)</w:t>
            </w:r>
          </w:p>
        </w:tc>
        <w:tc>
          <w:tcPr>
            <w:tcW w:w="1559" w:type="dxa"/>
            <w:tcBorders>
              <w:bottom w:val="single" w:sz="4" w:space="0" w:color="auto"/>
            </w:tcBorders>
            <w:shd w:val="clear" w:color="auto" w:fill="DBE5F1"/>
            <w:hideMark/>
          </w:tcPr>
          <w:p w:rsidR="001D5B4C" w:rsidRPr="00B73196" w:rsidRDefault="001D5B4C" w:rsidP="001D5B4C">
            <w:pPr>
              <w:spacing w:before="120"/>
              <w:rPr>
                <w:rFonts w:ascii="Arial Narrow" w:hAnsi="Arial Narrow"/>
                <w:b/>
                <w:bCs/>
                <w:kern w:val="26"/>
                <w:sz w:val="20"/>
                <w:szCs w:val="20"/>
              </w:rPr>
            </w:pPr>
            <w:r w:rsidRPr="00B73196">
              <w:rPr>
                <w:rFonts w:ascii="Arial Narrow" w:hAnsi="Arial Narrow"/>
                <w:b/>
                <w:bCs/>
                <w:kern w:val="26"/>
                <w:sz w:val="20"/>
                <w:szCs w:val="20"/>
              </w:rPr>
              <w:t>Non-Indigenous</w:t>
            </w:r>
          </w:p>
        </w:tc>
        <w:tc>
          <w:tcPr>
            <w:tcW w:w="850" w:type="dxa"/>
            <w:tcBorders>
              <w:bottom w:val="single" w:sz="4" w:space="0" w:color="auto"/>
            </w:tcBorders>
            <w:shd w:val="clear" w:color="auto" w:fill="DBE5F1"/>
            <w:hideMark/>
          </w:tcPr>
          <w:p w:rsidR="001D5B4C" w:rsidRPr="00B73196" w:rsidRDefault="001D5B4C" w:rsidP="001D5B4C">
            <w:pPr>
              <w:spacing w:before="120"/>
              <w:jc w:val="center"/>
              <w:rPr>
                <w:rFonts w:ascii="Arial Narrow" w:hAnsi="Arial Narrow"/>
                <w:bCs/>
                <w:kern w:val="26"/>
                <w:sz w:val="20"/>
                <w:szCs w:val="20"/>
              </w:rPr>
            </w:pPr>
            <w:r w:rsidRPr="00B73196">
              <w:rPr>
                <w:rFonts w:ascii="Arial Narrow" w:hAnsi="Arial Narrow"/>
                <w:bCs/>
                <w:kern w:val="26"/>
                <w:sz w:val="20"/>
                <w:szCs w:val="20"/>
              </w:rPr>
              <w:t>(%)</w:t>
            </w:r>
          </w:p>
        </w:tc>
        <w:tc>
          <w:tcPr>
            <w:tcW w:w="1418" w:type="dxa"/>
            <w:tcBorders>
              <w:bottom w:val="single" w:sz="4" w:space="0" w:color="auto"/>
            </w:tcBorders>
            <w:shd w:val="clear" w:color="auto" w:fill="DBE5F1"/>
            <w:hideMark/>
          </w:tcPr>
          <w:p w:rsidR="001D5B4C" w:rsidRPr="00B73196" w:rsidRDefault="001D5B4C" w:rsidP="00B73196">
            <w:pPr>
              <w:spacing w:before="120"/>
              <w:rPr>
                <w:rFonts w:ascii="Arial Narrow" w:hAnsi="Arial Narrow"/>
                <w:b/>
                <w:bCs/>
                <w:kern w:val="26"/>
                <w:sz w:val="20"/>
                <w:szCs w:val="20"/>
              </w:rPr>
            </w:pPr>
            <w:r w:rsidRPr="00B73196">
              <w:rPr>
                <w:rFonts w:ascii="Arial Narrow" w:hAnsi="Arial Narrow"/>
                <w:b/>
                <w:bCs/>
                <w:kern w:val="26"/>
                <w:sz w:val="20"/>
                <w:szCs w:val="20"/>
              </w:rPr>
              <w:t xml:space="preserve">Total </w:t>
            </w:r>
            <w:r w:rsidR="00B73196">
              <w:rPr>
                <w:rFonts w:ascii="Arial Narrow" w:hAnsi="Arial Narrow"/>
                <w:b/>
                <w:bCs/>
                <w:kern w:val="26"/>
                <w:sz w:val="20"/>
                <w:szCs w:val="20"/>
              </w:rPr>
              <w:t>number</w:t>
            </w:r>
          </w:p>
        </w:tc>
        <w:tc>
          <w:tcPr>
            <w:tcW w:w="957" w:type="dxa"/>
            <w:tcBorders>
              <w:bottom w:val="single" w:sz="4" w:space="0" w:color="auto"/>
            </w:tcBorders>
            <w:shd w:val="clear" w:color="auto" w:fill="DBE5F1"/>
            <w:hideMark/>
          </w:tcPr>
          <w:p w:rsidR="001D5B4C" w:rsidRPr="00B73196" w:rsidRDefault="001D5B4C" w:rsidP="001D5B4C">
            <w:pPr>
              <w:spacing w:before="120"/>
              <w:jc w:val="center"/>
              <w:rPr>
                <w:rFonts w:ascii="Arial Narrow" w:hAnsi="Arial Narrow"/>
                <w:bCs/>
                <w:kern w:val="26"/>
                <w:sz w:val="20"/>
                <w:szCs w:val="20"/>
              </w:rPr>
            </w:pPr>
            <w:r w:rsidRPr="00B73196">
              <w:rPr>
                <w:rFonts w:ascii="Arial Narrow" w:hAnsi="Arial Narrow"/>
                <w:bCs/>
                <w:kern w:val="26"/>
                <w:sz w:val="20"/>
                <w:szCs w:val="20"/>
              </w:rPr>
              <w:t>(%)</w:t>
            </w:r>
          </w:p>
        </w:tc>
      </w:tr>
      <w:tr w:rsidR="00F061CF" w:rsidRPr="008C13BF" w:rsidTr="00591138">
        <w:trPr>
          <w:trHeight w:val="315"/>
        </w:trPr>
        <w:tc>
          <w:tcPr>
            <w:tcW w:w="1276" w:type="dxa"/>
            <w:gridSpan w:val="2"/>
            <w:shd w:val="clear" w:color="auto" w:fill="C6D9F1"/>
            <w:vAlign w:val="center"/>
            <w:hideMark/>
          </w:tcPr>
          <w:p w:rsidR="00F061CF" w:rsidRPr="00B73196" w:rsidRDefault="00F061CF" w:rsidP="00591138">
            <w:pPr>
              <w:spacing w:before="80" w:after="80"/>
              <w:ind w:left="34"/>
              <w:rPr>
                <w:rFonts w:ascii="Arial Narrow" w:hAnsi="Arial Narrow"/>
                <w:smallCaps/>
                <w:spacing w:val="20"/>
                <w:kern w:val="42"/>
                <w:sz w:val="20"/>
                <w:szCs w:val="20"/>
              </w:rPr>
            </w:pPr>
            <w:r w:rsidRPr="00B73196">
              <w:rPr>
                <w:rFonts w:ascii="Arial Narrow" w:hAnsi="Arial Narrow"/>
                <w:smallCaps/>
                <w:spacing w:val="20"/>
                <w:kern w:val="42"/>
                <w:sz w:val="20"/>
                <w:szCs w:val="20"/>
              </w:rPr>
              <w:t>NSW</w:t>
            </w:r>
          </w:p>
        </w:tc>
        <w:tc>
          <w:tcPr>
            <w:tcW w:w="1417" w:type="dxa"/>
            <w:shd w:val="clear" w:color="auto" w:fill="C6D9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208,476</w:t>
            </w:r>
          </w:p>
        </w:tc>
        <w:tc>
          <w:tcPr>
            <w:tcW w:w="993" w:type="dxa"/>
            <w:shd w:val="clear" w:color="auto" w:fill="C6D9F1"/>
            <w:vAlign w:val="center"/>
            <w:hideMark/>
          </w:tcPr>
          <w:p w:rsidR="00F061CF" w:rsidRPr="00F061CF" w:rsidRDefault="00F061CF" w:rsidP="001D5B4C">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2.9%</w:t>
            </w:r>
          </w:p>
        </w:tc>
        <w:tc>
          <w:tcPr>
            <w:tcW w:w="1559" w:type="dxa"/>
            <w:shd w:val="clear" w:color="auto" w:fill="C6D9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7,010,053</w:t>
            </w:r>
          </w:p>
        </w:tc>
        <w:tc>
          <w:tcPr>
            <w:tcW w:w="850" w:type="dxa"/>
            <w:shd w:val="clear" w:color="auto" w:fill="C6D9F1"/>
            <w:vAlign w:val="bottom"/>
            <w:hideMark/>
          </w:tcPr>
          <w:p w:rsidR="00F061CF" w:rsidRPr="00F061CF" w:rsidRDefault="00F061CF" w:rsidP="00F061CF">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97.1%</w:t>
            </w:r>
          </w:p>
        </w:tc>
        <w:tc>
          <w:tcPr>
            <w:tcW w:w="1418" w:type="dxa"/>
            <w:shd w:val="clear" w:color="auto" w:fill="C6D9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7,218,529</w:t>
            </w:r>
          </w:p>
        </w:tc>
        <w:tc>
          <w:tcPr>
            <w:tcW w:w="957" w:type="dxa"/>
            <w:shd w:val="clear" w:color="auto" w:fill="C6D9F1"/>
            <w:vAlign w:val="center"/>
            <w:hideMark/>
          </w:tcPr>
          <w:p w:rsidR="00F061CF" w:rsidRPr="00F061CF" w:rsidRDefault="00F061CF" w:rsidP="001D5B4C">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100.0%</w:t>
            </w:r>
          </w:p>
        </w:tc>
      </w:tr>
      <w:tr w:rsidR="00F061CF" w:rsidRPr="008C13BF" w:rsidTr="00591138">
        <w:trPr>
          <w:trHeight w:val="315"/>
        </w:trPr>
        <w:tc>
          <w:tcPr>
            <w:tcW w:w="1276" w:type="dxa"/>
            <w:gridSpan w:val="2"/>
            <w:tcBorders>
              <w:bottom w:val="single" w:sz="4" w:space="0" w:color="auto"/>
            </w:tcBorders>
            <w:shd w:val="clear" w:color="auto" w:fill="DBE5F1"/>
            <w:vAlign w:val="center"/>
            <w:hideMark/>
          </w:tcPr>
          <w:p w:rsidR="00F061CF" w:rsidRPr="00B73196" w:rsidRDefault="00F061CF" w:rsidP="00591138">
            <w:pPr>
              <w:spacing w:before="80" w:after="80"/>
              <w:ind w:left="34"/>
              <w:rPr>
                <w:rFonts w:ascii="Arial Narrow" w:hAnsi="Arial Narrow"/>
                <w:smallCaps/>
                <w:spacing w:val="20"/>
                <w:kern w:val="42"/>
                <w:sz w:val="20"/>
                <w:szCs w:val="20"/>
              </w:rPr>
            </w:pPr>
            <w:r w:rsidRPr="00B73196">
              <w:rPr>
                <w:rFonts w:ascii="Arial Narrow" w:hAnsi="Arial Narrow"/>
                <w:smallCaps/>
                <w:spacing w:val="20"/>
                <w:kern w:val="42"/>
                <w:sz w:val="20"/>
                <w:szCs w:val="20"/>
              </w:rPr>
              <w:t>VIC</w:t>
            </w:r>
          </w:p>
        </w:tc>
        <w:tc>
          <w:tcPr>
            <w:tcW w:w="1417" w:type="dxa"/>
            <w:tcBorders>
              <w:bottom w:val="single" w:sz="4" w:space="0" w:color="auto"/>
            </w:tcBorders>
            <w:shd w:val="clear" w:color="auto" w:fill="DBE5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47,333</w:t>
            </w:r>
          </w:p>
        </w:tc>
        <w:tc>
          <w:tcPr>
            <w:tcW w:w="993" w:type="dxa"/>
            <w:tcBorders>
              <w:bottom w:val="single" w:sz="4" w:space="0" w:color="auto"/>
            </w:tcBorders>
            <w:shd w:val="clear" w:color="auto" w:fill="DBE5F1"/>
            <w:vAlign w:val="center"/>
            <w:hideMark/>
          </w:tcPr>
          <w:p w:rsidR="00F061CF" w:rsidRPr="00F061CF" w:rsidRDefault="00F061CF" w:rsidP="001D5B4C">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0.9%</w:t>
            </w:r>
          </w:p>
        </w:tc>
        <w:tc>
          <w:tcPr>
            <w:tcW w:w="1559" w:type="dxa"/>
            <w:tcBorders>
              <w:bottom w:val="single" w:sz="4" w:space="0" w:color="auto"/>
            </w:tcBorders>
            <w:shd w:val="clear" w:color="auto" w:fill="DBE5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5,490,484</w:t>
            </w:r>
          </w:p>
        </w:tc>
        <w:tc>
          <w:tcPr>
            <w:tcW w:w="850" w:type="dxa"/>
            <w:tcBorders>
              <w:bottom w:val="single" w:sz="4" w:space="0" w:color="auto"/>
            </w:tcBorders>
            <w:shd w:val="clear" w:color="auto" w:fill="DBE5F1"/>
            <w:vAlign w:val="bottom"/>
            <w:hideMark/>
          </w:tcPr>
          <w:p w:rsidR="00F061CF" w:rsidRPr="00F061CF" w:rsidRDefault="00F061CF" w:rsidP="00F061CF">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99.1%</w:t>
            </w:r>
          </w:p>
        </w:tc>
        <w:tc>
          <w:tcPr>
            <w:tcW w:w="1418" w:type="dxa"/>
            <w:tcBorders>
              <w:bottom w:val="single" w:sz="4" w:space="0" w:color="auto"/>
            </w:tcBorders>
            <w:shd w:val="clear" w:color="auto" w:fill="DBE5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5,537,817</w:t>
            </w:r>
          </w:p>
        </w:tc>
        <w:tc>
          <w:tcPr>
            <w:tcW w:w="957" w:type="dxa"/>
            <w:tcBorders>
              <w:bottom w:val="single" w:sz="4" w:space="0" w:color="auto"/>
            </w:tcBorders>
            <w:shd w:val="clear" w:color="auto" w:fill="DBE5F1"/>
            <w:vAlign w:val="center"/>
            <w:hideMark/>
          </w:tcPr>
          <w:p w:rsidR="00F061CF" w:rsidRPr="00F061CF" w:rsidRDefault="00F061CF" w:rsidP="001D5B4C">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100.0%</w:t>
            </w:r>
          </w:p>
        </w:tc>
      </w:tr>
      <w:tr w:rsidR="00F061CF" w:rsidRPr="008C13BF" w:rsidTr="00591138">
        <w:trPr>
          <w:trHeight w:val="315"/>
        </w:trPr>
        <w:tc>
          <w:tcPr>
            <w:tcW w:w="1276" w:type="dxa"/>
            <w:gridSpan w:val="2"/>
            <w:shd w:val="clear" w:color="auto" w:fill="C6D9F1"/>
            <w:vAlign w:val="center"/>
            <w:hideMark/>
          </w:tcPr>
          <w:p w:rsidR="00F061CF" w:rsidRPr="00B73196" w:rsidRDefault="00F061CF" w:rsidP="00591138">
            <w:pPr>
              <w:spacing w:before="80" w:after="80"/>
              <w:ind w:left="34"/>
              <w:rPr>
                <w:rFonts w:ascii="Arial Narrow" w:hAnsi="Arial Narrow"/>
                <w:smallCaps/>
                <w:spacing w:val="20"/>
                <w:kern w:val="42"/>
                <w:sz w:val="20"/>
                <w:szCs w:val="20"/>
              </w:rPr>
            </w:pPr>
            <w:r w:rsidRPr="00B73196">
              <w:rPr>
                <w:rFonts w:ascii="Arial Narrow" w:hAnsi="Arial Narrow"/>
                <w:smallCaps/>
                <w:spacing w:val="20"/>
                <w:kern w:val="42"/>
                <w:sz w:val="20"/>
                <w:szCs w:val="20"/>
              </w:rPr>
              <w:t>QLD</w:t>
            </w:r>
          </w:p>
        </w:tc>
        <w:tc>
          <w:tcPr>
            <w:tcW w:w="1417" w:type="dxa"/>
            <w:shd w:val="clear" w:color="auto" w:fill="C6D9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188,954</w:t>
            </w:r>
          </w:p>
        </w:tc>
        <w:tc>
          <w:tcPr>
            <w:tcW w:w="993" w:type="dxa"/>
            <w:shd w:val="clear" w:color="auto" w:fill="C6D9F1"/>
            <w:vAlign w:val="center"/>
            <w:hideMark/>
          </w:tcPr>
          <w:p w:rsidR="00F061CF" w:rsidRPr="00F061CF" w:rsidRDefault="00F061CF" w:rsidP="001D5B4C">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4.2%</w:t>
            </w:r>
          </w:p>
        </w:tc>
        <w:tc>
          <w:tcPr>
            <w:tcW w:w="1559" w:type="dxa"/>
            <w:shd w:val="clear" w:color="auto" w:fill="C6D9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4,287,824</w:t>
            </w:r>
          </w:p>
        </w:tc>
        <w:tc>
          <w:tcPr>
            <w:tcW w:w="850" w:type="dxa"/>
            <w:shd w:val="clear" w:color="auto" w:fill="C6D9F1"/>
            <w:vAlign w:val="bottom"/>
            <w:hideMark/>
          </w:tcPr>
          <w:p w:rsidR="00F061CF" w:rsidRPr="00F061CF" w:rsidRDefault="00F061CF" w:rsidP="00F061CF">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95.8%</w:t>
            </w:r>
          </w:p>
        </w:tc>
        <w:tc>
          <w:tcPr>
            <w:tcW w:w="1418" w:type="dxa"/>
            <w:shd w:val="clear" w:color="auto" w:fill="C6D9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4,476,778</w:t>
            </w:r>
          </w:p>
        </w:tc>
        <w:tc>
          <w:tcPr>
            <w:tcW w:w="957" w:type="dxa"/>
            <w:shd w:val="clear" w:color="auto" w:fill="C6D9F1"/>
            <w:vAlign w:val="center"/>
            <w:hideMark/>
          </w:tcPr>
          <w:p w:rsidR="00F061CF" w:rsidRPr="00F061CF" w:rsidRDefault="00F061CF" w:rsidP="001D5B4C">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100.0%</w:t>
            </w:r>
          </w:p>
        </w:tc>
      </w:tr>
      <w:tr w:rsidR="00F061CF" w:rsidRPr="008C13BF" w:rsidTr="00591138">
        <w:trPr>
          <w:trHeight w:val="315"/>
        </w:trPr>
        <w:tc>
          <w:tcPr>
            <w:tcW w:w="1276" w:type="dxa"/>
            <w:gridSpan w:val="2"/>
            <w:tcBorders>
              <w:bottom w:val="single" w:sz="4" w:space="0" w:color="auto"/>
            </w:tcBorders>
            <w:shd w:val="clear" w:color="auto" w:fill="DBE5F1"/>
            <w:vAlign w:val="center"/>
            <w:hideMark/>
          </w:tcPr>
          <w:p w:rsidR="00F061CF" w:rsidRPr="00B73196" w:rsidRDefault="00F061CF" w:rsidP="00591138">
            <w:pPr>
              <w:spacing w:before="80" w:after="80"/>
              <w:ind w:left="34"/>
              <w:rPr>
                <w:rFonts w:ascii="Arial Narrow" w:hAnsi="Arial Narrow"/>
                <w:smallCaps/>
                <w:spacing w:val="20"/>
                <w:kern w:val="42"/>
                <w:sz w:val="20"/>
                <w:szCs w:val="20"/>
              </w:rPr>
            </w:pPr>
            <w:r w:rsidRPr="00B73196">
              <w:rPr>
                <w:rFonts w:ascii="Arial Narrow" w:hAnsi="Arial Narrow"/>
                <w:smallCaps/>
                <w:spacing w:val="20"/>
                <w:kern w:val="42"/>
                <w:sz w:val="20"/>
                <w:szCs w:val="20"/>
              </w:rPr>
              <w:t>SA</w:t>
            </w:r>
          </w:p>
        </w:tc>
        <w:tc>
          <w:tcPr>
            <w:tcW w:w="1417" w:type="dxa"/>
            <w:tcBorders>
              <w:bottom w:val="single" w:sz="4" w:space="0" w:color="auto"/>
            </w:tcBorders>
            <w:shd w:val="clear" w:color="auto" w:fill="DBE5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37,408</w:t>
            </w:r>
          </w:p>
        </w:tc>
        <w:tc>
          <w:tcPr>
            <w:tcW w:w="993" w:type="dxa"/>
            <w:tcBorders>
              <w:bottom w:val="single" w:sz="4" w:space="0" w:color="auto"/>
            </w:tcBorders>
            <w:shd w:val="clear" w:color="auto" w:fill="DBE5F1"/>
            <w:vAlign w:val="center"/>
            <w:hideMark/>
          </w:tcPr>
          <w:p w:rsidR="00F061CF" w:rsidRPr="00F061CF" w:rsidRDefault="00F061CF" w:rsidP="001D5B4C">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2.3%</w:t>
            </w:r>
          </w:p>
        </w:tc>
        <w:tc>
          <w:tcPr>
            <w:tcW w:w="1559" w:type="dxa"/>
            <w:tcBorders>
              <w:bottom w:val="single" w:sz="4" w:space="0" w:color="auto"/>
            </w:tcBorders>
            <w:shd w:val="clear" w:color="auto" w:fill="DBE5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1,602,206</w:t>
            </w:r>
          </w:p>
        </w:tc>
        <w:tc>
          <w:tcPr>
            <w:tcW w:w="850" w:type="dxa"/>
            <w:tcBorders>
              <w:bottom w:val="single" w:sz="4" w:space="0" w:color="auto"/>
            </w:tcBorders>
            <w:shd w:val="clear" w:color="auto" w:fill="DBE5F1"/>
            <w:vAlign w:val="bottom"/>
            <w:hideMark/>
          </w:tcPr>
          <w:p w:rsidR="00F061CF" w:rsidRPr="00F061CF" w:rsidRDefault="00F061CF" w:rsidP="00F061CF">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97.7%</w:t>
            </w:r>
          </w:p>
        </w:tc>
        <w:tc>
          <w:tcPr>
            <w:tcW w:w="1418" w:type="dxa"/>
            <w:tcBorders>
              <w:bottom w:val="single" w:sz="4" w:space="0" w:color="auto"/>
            </w:tcBorders>
            <w:shd w:val="clear" w:color="auto" w:fill="DBE5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1,639,614</w:t>
            </w:r>
          </w:p>
        </w:tc>
        <w:tc>
          <w:tcPr>
            <w:tcW w:w="957" w:type="dxa"/>
            <w:tcBorders>
              <w:bottom w:val="single" w:sz="4" w:space="0" w:color="auto"/>
            </w:tcBorders>
            <w:shd w:val="clear" w:color="auto" w:fill="DBE5F1"/>
            <w:vAlign w:val="center"/>
            <w:hideMark/>
          </w:tcPr>
          <w:p w:rsidR="00F061CF" w:rsidRPr="00F061CF" w:rsidRDefault="00F061CF" w:rsidP="001D5B4C">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100.0%</w:t>
            </w:r>
          </w:p>
        </w:tc>
      </w:tr>
      <w:tr w:rsidR="00F061CF" w:rsidRPr="008C13BF" w:rsidTr="00591138">
        <w:trPr>
          <w:trHeight w:val="315"/>
        </w:trPr>
        <w:tc>
          <w:tcPr>
            <w:tcW w:w="1276" w:type="dxa"/>
            <w:gridSpan w:val="2"/>
            <w:shd w:val="clear" w:color="auto" w:fill="C6D9F1"/>
            <w:vAlign w:val="center"/>
            <w:hideMark/>
          </w:tcPr>
          <w:p w:rsidR="00F061CF" w:rsidRPr="00B73196" w:rsidRDefault="00F061CF" w:rsidP="00591138">
            <w:pPr>
              <w:spacing w:before="80" w:after="80"/>
              <w:ind w:left="34"/>
              <w:rPr>
                <w:rFonts w:ascii="Arial Narrow" w:hAnsi="Arial Narrow"/>
                <w:smallCaps/>
                <w:spacing w:val="20"/>
                <w:kern w:val="42"/>
                <w:sz w:val="20"/>
                <w:szCs w:val="20"/>
              </w:rPr>
            </w:pPr>
            <w:r w:rsidRPr="00B73196">
              <w:rPr>
                <w:rFonts w:ascii="Arial Narrow" w:hAnsi="Arial Narrow"/>
                <w:smallCaps/>
                <w:spacing w:val="20"/>
                <w:kern w:val="42"/>
                <w:sz w:val="20"/>
                <w:szCs w:val="20"/>
              </w:rPr>
              <w:t>WA</w:t>
            </w:r>
          </w:p>
        </w:tc>
        <w:tc>
          <w:tcPr>
            <w:tcW w:w="1417" w:type="dxa"/>
            <w:shd w:val="clear" w:color="auto" w:fill="C6D9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88,270</w:t>
            </w:r>
          </w:p>
        </w:tc>
        <w:tc>
          <w:tcPr>
            <w:tcW w:w="993" w:type="dxa"/>
            <w:shd w:val="clear" w:color="auto" w:fill="C6D9F1"/>
            <w:vAlign w:val="center"/>
            <w:hideMark/>
          </w:tcPr>
          <w:p w:rsidR="00F061CF" w:rsidRPr="00F061CF" w:rsidRDefault="00F061CF" w:rsidP="001D5B4C">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3.8%</w:t>
            </w:r>
          </w:p>
        </w:tc>
        <w:tc>
          <w:tcPr>
            <w:tcW w:w="1559" w:type="dxa"/>
            <w:shd w:val="clear" w:color="auto" w:fill="C6D9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2,265,139</w:t>
            </w:r>
          </w:p>
        </w:tc>
        <w:tc>
          <w:tcPr>
            <w:tcW w:w="850" w:type="dxa"/>
            <w:shd w:val="clear" w:color="auto" w:fill="C6D9F1"/>
            <w:vAlign w:val="bottom"/>
            <w:hideMark/>
          </w:tcPr>
          <w:p w:rsidR="00F061CF" w:rsidRPr="00F061CF" w:rsidRDefault="00F061CF" w:rsidP="00F061CF">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96.2%</w:t>
            </w:r>
          </w:p>
        </w:tc>
        <w:tc>
          <w:tcPr>
            <w:tcW w:w="1418" w:type="dxa"/>
            <w:shd w:val="clear" w:color="auto" w:fill="C6D9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2,353,409</w:t>
            </w:r>
          </w:p>
        </w:tc>
        <w:tc>
          <w:tcPr>
            <w:tcW w:w="957" w:type="dxa"/>
            <w:shd w:val="clear" w:color="auto" w:fill="C6D9F1"/>
            <w:vAlign w:val="center"/>
            <w:hideMark/>
          </w:tcPr>
          <w:p w:rsidR="00F061CF" w:rsidRPr="00F061CF" w:rsidRDefault="00F061CF" w:rsidP="001D5B4C">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100.0%</w:t>
            </w:r>
          </w:p>
        </w:tc>
      </w:tr>
      <w:tr w:rsidR="00F061CF" w:rsidRPr="008C13BF" w:rsidTr="00591138">
        <w:trPr>
          <w:trHeight w:val="315"/>
        </w:trPr>
        <w:tc>
          <w:tcPr>
            <w:tcW w:w="1276" w:type="dxa"/>
            <w:gridSpan w:val="2"/>
            <w:tcBorders>
              <w:bottom w:val="single" w:sz="4" w:space="0" w:color="auto"/>
            </w:tcBorders>
            <w:shd w:val="clear" w:color="auto" w:fill="DBE5F1"/>
            <w:vAlign w:val="center"/>
            <w:hideMark/>
          </w:tcPr>
          <w:p w:rsidR="00F061CF" w:rsidRPr="00B73196" w:rsidRDefault="00F061CF" w:rsidP="00591138">
            <w:pPr>
              <w:spacing w:before="80" w:after="80"/>
              <w:ind w:left="34"/>
              <w:rPr>
                <w:rFonts w:ascii="Arial Narrow" w:hAnsi="Arial Narrow"/>
                <w:smallCaps/>
                <w:spacing w:val="20"/>
                <w:kern w:val="42"/>
                <w:sz w:val="20"/>
                <w:szCs w:val="20"/>
              </w:rPr>
            </w:pPr>
            <w:r w:rsidRPr="00B73196">
              <w:rPr>
                <w:rFonts w:ascii="Arial Narrow" w:hAnsi="Arial Narrow"/>
                <w:smallCaps/>
                <w:spacing w:val="20"/>
                <w:kern w:val="42"/>
                <w:sz w:val="20"/>
                <w:szCs w:val="20"/>
              </w:rPr>
              <w:t>TAS</w:t>
            </w:r>
          </w:p>
        </w:tc>
        <w:tc>
          <w:tcPr>
            <w:tcW w:w="1417" w:type="dxa"/>
            <w:tcBorders>
              <w:bottom w:val="single" w:sz="4" w:space="0" w:color="auto"/>
            </w:tcBorders>
            <w:shd w:val="clear" w:color="auto" w:fill="DBE5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24,165</w:t>
            </w:r>
          </w:p>
        </w:tc>
        <w:tc>
          <w:tcPr>
            <w:tcW w:w="993" w:type="dxa"/>
            <w:tcBorders>
              <w:bottom w:val="single" w:sz="4" w:space="0" w:color="auto"/>
            </w:tcBorders>
            <w:shd w:val="clear" w:color="auto" w:fill="DBE5F1"/>
            <w:vAlign w:val="center"/>
            <w:hideMark/>
          </w:tcPr>
          <w:p w:rsidR="00F061CF" w:rsidRPr="00F061CF" w:rsidRDefault="00F061CF" w:rsidP="001D5B4C">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4.7%</w:t>
            </w:r>
          </w:p>
        </w:tc>
        <w:tc>
          <w:tcPr>
            <w:tcW w:w="1559" w:type="dxa"/>
            <w:tcBorders>
              <w:bottom w:val="single" w:sz="4" w:space="0" w:color="auto"/>
            </w:tcBorders>
            <w:shd w:val="clear" w:color="auto" w:fill="DBE5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487,318</w:t>
            </w:r>
          </w:p>
        </w:tc>
        <w:tc>
          <w:tcPr>
            <w:tcW w:w="850" w:type="dxa"/>
            <w:tcBorders>
              <w:bottom w:val="single" w:sz="4" w:space="0" w:color="auto"/>
            </w:tcBorders>
            <w:shd w:val="clear" w:color="auto" w:fill="DBE5F1"/>
            <w:vAlign w:val="bottom"/>
            <w:hideMark/>
          </w:tcPr>
          <w:p w:rsidR="00F061CF" w:rsidRPr="00F061CF" w:rsidRDefault="00F061CF" w:rsidP="00F061CF">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95.3%</w:t>
            </w:r>
          </w:p>
        </w:tc>
        <w:tc>
          <w:tcPr>
            <w:tcW w:w="1418" w:type="dxa"/>
            <w:tcBorders>
              <w:bottom w:val="single" w:sz="4" w:space="0" w:color="auto"/>
            </w:tcBorders>
            <w:shd w:val="clear" w:color="auto" w:fill="DBE5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511,483</w:t>
            </w:r>
          </w:p>
        </w:tc>
        <w:tc>
          <w:tcPr>
            <w:tcW w:w="957" w:type="dxa"/>
            <w:tcBorders>
              <w:bottom w:val="single" w:sz="4" w:space="0" w:color="auto"/>
            </w:tcBorders>
            <w:shd w:val="clear" w:color="auto" w:fill="DBE5F1"/>
            <w:vAlign w:val="center"/>
            <w:hideMark/>
          </w:tcPr>
          <w:p w:rsidR="00F061CF" w:rsidRPr="00F061CF" w:rsidRDefault="00F061CF" w:rsidP="001D5B4C">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100.0%</w:t>
            </w:r>
          </w:p>
        </w:tc>
      </w:tr>
      <w:tr w:rsidR="00F061CF" w:rsidRPr="008C13BF" w:rsidTr="00591138">
        <w:trPr>
          <w:trHeight w:val="315"/>
        </w:trPr>
        <w:tc>
          <w:tcPr>
            <w:tcW w:w="1276" w:type="dxa"/>
            <w:gridSpan w:val="2"/>
            <w:shd w:val="clear" w:color="auto" w:fill="C6D9F1"/>
            <w:vAlign w:val="center"/>
            <w:hideMark/>
          </w:tcPr>
          <w:p w:rsidR="00F061CF" w:rsidRPr="00B73196" w:rsidRDefault="00F061CF" w:rsidP="00591138">
            <w:pPr>
              <w:spacing w:before="80" w:after="80"/>
              <w:ind w:left="34"/>
              <w:rPr>
                <w:rFonts w:ascii="Arial Narrow" w:hAnsi="Arial Narrow"/>
                <w:smallCaps/>
                <w:spacing w:val="20"/>
                <w:kern w:val="42"/>
                <w:sz w:val="20"/>
                <w:szCs w:val="20"/>
              </w:rPr>
            </w:pPr>
            <w:r w:rsidRPr="00B73196">
              <w:rPr>
                <w:rFonts w:ascii="Arial Narrow" w:hAnsi="Arial Narrow"/>
                <w:smallCaps/>
                <w:spacing w:val="20"/>
                <w:kern w:val="42"/>
                <w:sz w:val="20"/>
                <w:szCs w:val="20"/>
              </w:rPr>
              <w:t>NT</w:t>
            </w:r>
          </w:p>
        </w:tc>
        <w:tc>
          <w:tcPr>
            <w:tcW w:w="1417" w:type="dxa"/>
            <w:shd w:val="clear" w:color="auto" w:fill="C6D9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68,850</w:t>
            </w:r>
          </w:p>
        </w:tc>
        <w:tc>
          <w:tcPr>
            <w:tcW w:w="993" w:type="dxa"/>
            <w:shd w:val="clear" w:color="auto" w:fill="C6D9F1"/>
            <w:vAlign w:val="center"/>
            <w:hideMark/>
          </w:tcPr>
          <w:p w:rsidR="00F061CF" w:rsidRPr="00F061CF" w:rsidRDefault="00F061CF" w:rsidP="001D5B4C">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29.8%</w:t>
            </w:r>
          </w:p>
        </w:tc>
        <w:tc>
          <w:tcPr>
            <w:tcW w:w="1559" w:type="dxa"/>
            <w:shd w:val="clear" w:color="auto" w:fill="C6D9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162,442</w:t>
            </w:r>
          </w:p>
        </w:tc>
        <w:tc>
          <w:tcPr>
            <w:tcW w:w="850" w:type="dxa"/>
            <w:shd w:val="clear" w:color="auto" w:fill="C6D9F1"/>
            <w:vAlign w:val="bottom"/>
            <w:hideMark/>
          </w:tcPr>
          <w:p w:rsidR="00F061CF" w:rsidRPr="00F061CF" w:rsidRDefault="00F061CF" w:rsidP="00F061CF">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70.2%</w:t>
            </w:r>
          </w:p>
        </w:tc>
        <w:tc>
          <w:tcPr>
            <w:tcW w:w="1418" w:type="dxa"/>
            <w:shd w:val="clear" w:color="auto" w:fill="C6D9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231,292</w:t>
            </w:r>
          </w:p>
        </w:tc>
        <w:tc>
          <w:tcPr>
            <w:tcW w:w="957" w:type="dxa"/>
            <w:shd w:val="clear" w:color="auto" w:fill="C6D9F1"/>
            <w:vAlign w:val="center"/>
            <w:hideMark/>
          </w:tcPr>
          <w:p w:rsidR="00F061CF" w:rsidRPr="00F061CF" w:rsidRDefault="00F061CF" w:rsidP="001D5B4C">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100.0%</w:t>
            </w:r>
          </w:p>
        </w:tc>
      </w:tr>
      <w:tr w:rsidR="00F061CF" w:rsidRPr="008C13BF" w:rsidTr="00591138">
        <w:trPr>
          <w:trHeight w:val="315"/>
        </w:trPr>
        <w:tc>
          <w:tcPr>
            <w:tcW w:w="1276" w:type="dxa"/>
            <w:gridSpan w:val="2"/>
            <w:tcBorders>
              <w:bottom w:val="single" w:sz="4" w:space="0" w:color="auto"/>
            </w:tcBorders>
            <w:shd w:val="clear" w:color="auto" w:fill="DBE5F1"/>
            <w:vAlign w:val="center"/>
            <w:hideMark/>
          </w:tcPr>
          <w:p w:rsidR="00F061CF" w:rsidRPr="00B73196" w:rsidRDefault="00F061CF" w:rsidP="00591138">
            <w:pPr>
              <w:spacing w:before="80" w:after="80"/>
              <w:ind w:left="34"/>
              <w:rPr>
                <w:rFonts w:ascii="Arial Narrow" w:hAnsi="Arial Narrow"/>
                <w:smallCaps/>
                <w:spacing w:val="20"/>
                <w:kern w:val="42"/>
                <w:sz w:val="20"/>
                <w:szCs w:val="20"/>
              </w:rPr>
            </w:pPr>
            <w:r w:rsidRPr="00B73196">
              <w:rPr>
                <w:rFonts w:ascii="Arial Narrow" w:hAnsi="Arial Narrow"/>
                <w:smallCaps/>
                <w:spacing w:val="20"/>
                <w:kern w:val="42"/>
                <w:sz w:val="20"/>
                <w:szCs w:val="20"/>
              </w:rPr>
              <w:t>ACT</w:t>
            </w:r>
          </w:p>
        </w:tc>
        <w:tc>
          <w:tcPr>
            <w:tcW w:w="1417" w:type="dxa"/>
            <w:tcBorders>
              <w:bottom w:val="single" w:sz="4" w:space="0" w:color="auto"/>
            </w:tcBorders>
            <w:shd w:val="clear" w:color="auto" w:fill="DBE5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6,160</w:t>
            </w:r>
          </w:p>
        </w:tc>
        <w:tc>
          <w:tcPr>
            <w:tcW w:w="993" w:type="dxa"/>
            <w:tcBorders>
              <w:bottom w:val="single" w:sz="4" w:space="0" w:color="auto"/>
            </w:tcBorders>
            <w:shd w:val="clear" w:color="auto" w:fill="DBE5F1"/>
            <w:vAlign w:val="center"/>
            <w:hideMark/>
          </w:tcPr>
          <w:p w:rsidR="00F061CF" w:rsidRPr="00F061CF" w:rsidRDefault="00F061CF" w:rsidP="001D5B4C">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1.7%</w:t>
            </w:r>
          </w:p>
        </w:tc>
        <w:tc>
          <w:tcPr>
            <w:tcW w:w="1559" w:type="dxa"/>
            <w:tcBorders>
              <w:bottom w:val="single" w:sz="4" w:space="0" w:color="auto"/>
            </w:tcBorders>
            <w:shd w:val="clear" w:color="auto" w:fill="DBE5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361,825</w:t>
            </w:r>
          </w:p>
        </w:tc>
        <w:tc>
          <w:tcPr>
            <w:tcW w:w="850" w:type="dxa"/>
            <w:tcBorders>
              <w:bottom w:val="single" w:sz="4" w:space="0" w:color="auto"/>
            </w:tcBorders>
            <w:shd w:val="clear" w:color="auto" w:fill="DBE5F1"/>
            <w:vAlign w:val="bottom"/>
            <w:hideMark/>
          </w:tcPr>
          <w:p w:rsidR="00F061CF" w:rsidRPr="00F061CF" w:rsidRDefault="00F061CF" w:rsidP="00F061CF">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98.3%</w:t>
            </w:r>
          </w:p>
        </w:tc>
        <w:tc>
          <w:tcPr>
            <w:tcW w:w="1418" w:type="dxa"/>
            <w:tcBorders>
              <w:bottom w:val="single" w:sz="4" w:space="0" w:color="auto"/>
            </w:tcBorders>
            <w:shd w:val="clear" w:color="auto" w:fill="DBE5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367,985</w:t>
            </w:r>
          </w:p>
        </w:tc>
        <w:tc>
          <w:tcPr>
            <w:tcW w:w="957" w:type="dxa"/>
            <w:tcBorders>
              <w:bottom w:val="single" w:sz="4" w:space="0" w:color="auto"/>
            </w:tcBorders>
            <w:shd w:val="clear" w:color="auto" w:fill="DBE5F1"/>
            <w:vAlign w:val="center"/>
            <w:hideMark/>
          </w:tcPr>
          <w:p w:rsidR="00F061CF" w:rsidRPr="00F061CF" w:rsidRDefault="00F061CF" w:rsidP="001D5B4C">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100.0%</w:t>
            </w:r>
          </w:p>
        </w:tc>
      </w:tr>
      <w:tr w:rsidR="00F061CF" w:rsidRPr="008C13BF" w:rsidTr="00591138">
        <w:trPr>
          <w:trHeight w:val="315"/>
        </w:trPr>
        <w:tc>
          <w:tcPr>
            <w:tcW w:w="1276" w:type="dxa"/>
            <w:gridSpan w:val="2"/>
            <w:tcBorders>
              <w:bottom w:val="single" w:sz="4" w:space="0" w:color="auto"/>
            </w:tcBorders>
            <w:shd w:val="clear" w:color="auto" w:fill="C6D9F1"/>
            <w:vAlign w:val="center"/>
            <w:hideMark/>
          </w:tcPr>
          <w:p w:rsidR="00F061CF" w:rsidRPr="00B73196" w:rsidRDefault="00F061CF" w:rsidP="00591138">
            <w:pPr>
              <w:spacing w:before="80" w:after="80"/>
              <w:ind w:left="34"/>
              <w:rPr>
                <w:rFonts w:ascii="Arial Narrow" w:hAnsi="Arial Narrow"/>
                <w:smallCaps/>
                <w:spacing w:val="20"/>
                <w:kern w:val="42"/>
                <w:sz w:val="20"/>
                <w:szCs w:val="20"/>
              </w:rPr>
            </w:pPr>
            <w:r w:rsidRPr="00B73196">
              <w:rPr>
                <w:rFonts w:ascii="Arial Narrow" w:hAnsi="Arial Narrow"/>
                <w:smallCaps/>
                <w:spacing w:val="20"/>
                <w:kern w:val="42"/>
                <w:sz w:val="20"/>
                <w:szCs w:val="20"/>
              </w:rPr>
              <w:t>Australia</w:t>
            </w:r>
            <w:r>
              <w:rPr>
                <w:rFonts w:ascii="Arial Narrow" w:hAnsi="Arial Narrow"/>
                <w:smallCaps/>
                <w:spacing w:val="20"/>
                <w:kern w:val="42"/>
                <w:sz w:val="20"/>
                <w:szCs w:val="20"/>
              </w:rPr>
              <w:t>*</w:t>
            </w:r>
          </w:p>
        </w:tc>
        <w:tc>
          <w:tcPr>
            <w:tcW w:w="1417" w:type="dxa"/>
            <w:tcBorders>
              <w:bottom w:val="single" w:sz="4" w:space="0" w:color="auto"/>
            </w:tcBorders>
            <w:shd w:val="clear" w:color="auto" w:fill="C6D9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669,881</w:t>
            </w:r>
          </w:p>
        </w:tc>
        <w:tc>
          <w:tcPr>
            <w:tcW w:w="993" w:type="dxa"/>
            <w:tcBorders>
              <w:bottom w:val="single" w:sz="4" w:space="0" w:color="auto"/>
            </w:tcBorders>
            <w:shd w:val="clear" w:color="auto" w:fill="C6D9F1"/>
            <w:vAlign w:val="center"/>
            <w:hideMark/>
          </w:tcPr>
          <w:p w:rsidR="00F061CF" w:rsidRPr="00F061CF" w:rsidRDefault="00F061CF" w:rsidP="001D5B4C">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3.0%</w:t>
            </w:r>
          </w:p>
        </w:tc>
        <w:tc>
          <w:tcPr>
            <w:tcW w:w="1559" w:type="dxa"/>
            <w:tcBorders>
              <w:bottom w:val="single" w:sz="4" w:space="0" w:color="auto"/>
            </w:tcBorders>
            <w:shd w:val="clear" w:color="auto" w:fill="C6D9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21,670,143</w:t>
            </w:r>
          </w:p>
        </w:tc>
        <w:tc>
          <w:tcPr>
            <w:tcW w:w="850" w:type="dxa"/>
            <w:tcBorders>
              <w:bottom w:val="single" w:sz="4" w:space="0" w:color="auto"/>
            </w:tcBorders>
            <w:shd w:val="clear" w:color="auto" w:fill="C6D9F1"/>
            <w:vAlign w:val="bottom"/>
            <w:hideMark/>
          </w:tcPr>
          <w:p w:rsidR="00F061CF" w:rsidRPr="00F061CF" w:rsidRDefault="00F061CF" w:rsidP="00F061CF">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97.0%</w:t>
            </w:r>
          </w:p>
        </w:tc>
        <w:tc>
          <w:tcPr>
            <w:tcW w:w="1418" w:type="dxa"/>
            <w:tcBorders>
              <w:bottom w:val="single" w:sz="4" w:space="0" w:color="auto"/>
            </w:tcBorders>
            <w:shd w:val="clear" w:color="auto" w:fill="C6D9F1"/>
            <w:vAlign w:val="center"/>
            <w:hideMark/>
          </w:tcPr>
          <w:p w:rsidR="00F061CF" w:rsidRPr="00B73196" w:rsidRDefault="00F061CF" w:rsidP="00B73196">
            <w:pPr>
              <w:spacing w:before="80" w:after="80"/>
              <w:ind w:right="175"/>
              <w:jc w:val="right"/>
              <w:rPr>
                <w:rFonts w:ascii="Arial Narrow" w:hAnsi="Arial Narrow"/>
                <w:smallCaps/>
                <w:spacing w:val="20"/>
                <w:kern w:val="42"/>
                <w:sz w:val="20"/>
                <w:szCs w:val="20"/>
              </w:rPr>
            </w:pPr>
            <w:r w:rsidRPr="00B73196">
              <w:rPr>
                <w:rFonts w:ascii="Arial Narrow" w:hAnsi="Arial Narrow"/>
                <w:smallCaps/>
                <w:spacing w:val="20"/>
                <w:kern w:val="42"/>
                <w:sz w:val="20"/>
                <w:szCs w:val="20"/>
              </w:rPr>
              <w:t>22,340,024</w:t>
            </w:r>
          </w:p>
        </w:tc>
        <w:tc>
          <w:tcPr>
            <w:tcW w:w="957" w:type="dxa"/>
            <w:tcBorders>
              <w:bottom w:val="single" w:sz="4" w:space="0" w:color="auto"/>
            </w:tcBorders>
            <w:shd w:val="clear" w:color="auto" w:fill="C6D9F1"/>
            <w:vAlign w:val="center"/>
            <w:hideMark/>
          </w:tcPr>
          <w:p w:rsidR="00F061CF" w:rsidRPr="00F061CF" w:rsidRDefault="00F061CF" w:rsidP="001D5B4C">
            <w:pPr>
              <w:spacing w:before="80" w:after="80"/>
              <w:jc w:val="center"/>
              <w:rPr>
                <w:rFonts w:ascii="Arial Narrow" w:hAnsi="Arial Narrow"/>
                <w:smallCaps/>
                <w:spacing w:val="20"/>
                <w:kern w:val="42"/>
                <w:sz w:val="16"/>
                <w:szCs w:val="16"/>
              </w:rPr>
            </w:pPr>
            <w:r w:rsidRPr="00F061CF">
              <w:rPr>
                <w:rFonts w:ascii="Arial Narrow" w:hAnsi="Arial Narrow"/>
                <w:smallCaps/>
                <w:spacing w:val="20"/>
                <w:kern w:val="42"/>
                <w:sz w:val="16"/>
                <w:szCs w:val="16"/>
              </w:rPr>
              <w:t>100.0%</w:t>
            </w:r>
          </w:p>
        </w:tc>
      </w:tr>
      <w:bookmarkEnd w:id="154"/>
      <w:tr w:rsidR="00B73196" w:rsidRPr="008C13BF" w:rsidTr="00591138">
        <w:trPr>
          <w:trHeight w:val="305"/>
        </w:trPr>
        <w:tc>
          <w:tcPr>
            <w:tcW w:w="851" w:type="dxa"/>
            <w:tcBorders>
              <w:top w:val="single" w:sz="4" w:space="0" w:color="auto"/>
              <w:left w:val="nil"/>
              <w:bottom w:val="nil"/>
              <w:right w:val="nil"/>
            </w:tcBorders>
            <w:hideMark/>
          </w:tcPr>
          <w:p w:rsidR="00B73196" w:rsidRPr="00B73196" w:rsidRDefault="00B73196" w:rsidP="007B7864">
            <w:pPr>
              <w:pStyle w:val="FootnoteText"/>
              <w:spacing w:beforeLines="40" w:after="40" w:line="240" w:lineRule="auto"/>
              <w:ind w:left="601" w:hanging="601"/>
              <w:jc w:val="right"/>
              <w:rPr>
                <w:rFonts w:ascii="Arial Narrow" w:hAnsi="Arial Narrow"/>
                <w:sz w:val="16"/>
                <w:szCs w:val="16"/>
              </w:rPr>
            </w:pPr>
            <w:r w:rsidRPr="00B73196">
              <w:rPr>
                <w:rFonts w:ascii="Arial Narrow" w:hAnsi="Arial Narrow"/>
                <w:sz w:val="16"/>
                <w:szCs w:val="16"/>
              </w:rPr>
              <w:t xml:space="preserve">Source: </w:t>
            </w:r>
          </w:p>
        </w:tc>
        <w:tc>
          <w:tcPr>
            <w:tcW w:w="7619" w:type="dxa"/>
            <w:gridSpan w:val="7"/>
            <w:tcBorders>
              <w:top w:val="single" w:sz="4" w:space="0" w:color="auto"/>
              <w:left w:val="nil"/>
              <w:bottom w:val="nil"/>
              <w:right w:val="nil"/>
            </w:tcBorders>
          </w:tcPr>
          <w:p w:rsidR="00B73196" w:rsidRPr="00B73196" w:rsidRDefault="00B73196" w:rsidP="007B7864">
            <w:pPr>
              <w:spacing w:beforeLines="40" w:after="40"/>
              <w:rPr>
                <w:rFonts w:ascii="Arial Narrow" w:hAnsi="Arial Narrow"/>
                <w:smallCaps/>
                <w:spacing w:val="20"/>
                <w:kern w:val="42"/>
                <w:sz w:val="16"/>
                <w:szCs w:val="16"/>
              </w:rPr>
            </w:pPr>
            <w:r w:rsidRPr="00B73196">
              <w:rPr>
                <w:rFonts w:ascii="Arial Narrow" w:hAnsi="Arial Narrow"/>
                <w:sz w:val="16"/>
                <w:szCs w:val="16"/>
              </w:rPr>
              <w:t xml:space="preserve">Australian Bureau of Statistics. </w:t>
            </w:r>
            <w:r w:rsidRPr="00B73196">
              <w:rPr>
                <w:rFonts w:ascii="Arial Narrow" w:hAnsi="Arial Narrow"/>
                <w:i/>
                <w:sz w:val="16"/>
                <w:szCs w:val="16"/>
              </w:rPr>
              <w:t xml:space="preserve">Estimates of Aboriginal and Torres Strait Islander Australians, </w:t>
            </w:r>
            <w:r w:rsidRPr="00B73196">
              <w:rPr>
                <w:rFonts w:ascii="Arial Narrow" w:hAnsi="Arial Narrow"/>
                <w:sz w:val="16"/>
                <w:szCs w:val="16"/>
              </w:rPr>
              <w:t xml:space="preserve">3238.0.55.001, June 2011.  </w:t>
            </w:r>
          </w:p>
        </w:tc>
      </w:tr>
      <w:tr w:rsidR="00B73196" w:rsidRPr="008C13BF" w:rsidTr="00591138">
        <w:trPr>
          <w:trHeight w:val="252"/>
        </w:trPr>
        <w:tc>
          <w:tcPr>
            <w:tcW w:w="851" w:type="dxa"/>
            <w:tcBorders>
              <w:top w:val="nil"/>
              <w:left w:val="nil"/>
              <w:bottom w:val="nil"/>
              <w:right w:val="nil"/>
            </w:tcBorders>
          </w:tcPr>
          <w:p w:rsidR="00B73196" w:rsidRPr="00B73196" w:rsidRDefault="00B73196" w:rsidP="00F061CF">
            <w:pPr>
              <w:pStyle w:val="FootnoteText"/>
              <w:spacing w:before="0" w:after="0" w:line="240" w:lineRule="auto"/>
              <w:ind w:left="601" w:hanging="601"/>
              <w:jc w:val="right"/>
              <w:rPr>
                <w:rFonts w:ascii="Arial Narrow" w:hAnsi="Arial Narrow"/>
                <w:sz w:val="16"/>
                <w:szCs w:val="16"/>
              </w:rPr>
            </w:pPr>
            <w:r w:rsidRPr="00B73196">
              <w:rPr>
                <w:rFonts w:ascii="Arial Narrow" w:hAnsi="Arial Narrow"/>
                <w:sz w:val="16"/>
                <w:szCs w:val="16"/>
              </w:rPr>
              <w:t xml:space="preserve">* Note:  </w:t>
            </w:r>
          </w:p>
        </w:tc>
        <w:tc>
          <w:tcPr>
            <w:tcW w:w="7619" w:type="dxa"/>
            <w:gridSpan w:val="7"/>
            <w:tcBorders>
              <w:top w:val="nil"/>
              <w:left w:val="nil"/>
              <w:bottom w:val="nil"/>
              <w:right w:val="nil"/>
            </w:tcBorders>
          </w:tcPr>
          <w:p w:rsidR="00B73196" w:rsidRPr="00B73196" w:rsidRDefault="00F061CF" w:rsidP="00F061CF">
            <w:pPr>
              <w:rPr>
                <w:rFonts w:ascii="Arial Narrow" w:hAnsi="Arial Narrow"/>
                <w:sz w:val="16"/>
                <w:szCs w:val="16"/>
              </w:rPr>
            </w:pPr>
            <w:r>
              <w:rPr>
                <w:rFonts w:ascii="Arial Narrow" w:hAnsi="Arial Narrow"/>
                <w:sz w:val="16"/>
                <w:szCs w:val="16"/>
              </w:rPr>
              <w:t>I</w:t>
            </w:r>
            <w:r w:rsidR="00B73196" w:rsidRPr="00B73196">
              <w:rPr>
                <w:rFonts w:ascii="Arial Narrow" w:hAnsi="Arial Narrow"/>
                <w:sz w:val="16"/>
                <w:szCs w:val="16"/>
              </w:rPr>
              <w:t>ncludes other Territories</w:t>
            </w:r>
          </w:p>
        </w:tc>
      </w:tr>
    </w:tbl>
    <w:p w:rsidR="00DF28D8" w:rsidRDefault="00DF28D8" w:rsidP="00DF28D8">
      <w:pPr>
        <w:pStyle w:val="Bodytext"/>
        <w:numPr>
          <w:ilvl w:val="0"/>
          <w:numId w:val="0"/>
        </w:numPr>
        <w:ind w:left="425"/>
      </w:pPr>
    </w:p>
    <w:p w:rsidR="00A07637" w:rsidRDefault="00A376EE" w:rsidP="00932368">
      <w:pPr>
        <w:pStyle w:val="Bodytext"/>
      </w:pPr>
      <w:r>
        <w:t xml:space="preserve">Table </w:t>
      </w:r>
      <w:r w:rsidR="003840D5">
        <w:t>6</w:t>
      </w:r>
      <w:r>
        <w:t>.</w:t>
      </w:r>
      <w:r w:rsidR="00932368">
        <w:t>3</w:t>
      </w:r>
      <w:r>
        <w:t xml:space="preserve"> provides details of Indigenous employment in Australia’s State</w:t>
      </w:r>
      <w:r w:rsidR="007F0A2A">
        <w:t xml:space="preserve">s, </w:t>
      </w:r>
      <w:r>
        <w:t>Territor</w:t>
      </w:r>
      <w:r w:rsidR="007F0A2A">
        <w:t>i</w:t>
      </w:r>
      <w:r>
        <w:t>es</w:t>
      </w:r>
      <w:r w:rsidR="007F0A2A">
        <w:t xml:space="preserve"> and the Federal public sector</w:t>
      </w:r>
      <w:r w:rsidR="00932368">
        <w:t xml:space="preserve">. </w:t>
      </w:r>
      <w:r w:rsidR="00F061CF">
        <w:t xml:space="preserve"> Most States have developed an Indigenous employment strategy as part of their goal of increasing the percentage of Aboriginal and Torres Strait Islander public sector employees. </w:t>
      </w:r>
    </w:p>
    <w:p w:rsidR="00DF28D8" w:rsidRDefault="00DF28D8" w:rsidP="00DF28D8">
      <w:pPr>
        <w:pStyle w:val="Bodytext"/>
      </w:pPr>
      <w:r>
        <w:t xml:space="preserve">The Committee has found there to be some commonality of approach in the pursuit of diverse workforces.  Not all jurisdictions have Indigenous employment strategies and having such a strategy does not guarantee success.   The Committee notes that the </w:t>
      </w:r>
      <w:r w:rsidRPr="004D17DD">
        <w:rPr>
          <w:i/>
        </w:rPr>
        <w:t>South Australian Aboriginal Employment Strategy 2012-2015</w:t>
      </w:r>
      <w:r>
        <w:t xml:space="preserve"> specifies accountabilities and reporting arrangements.  So too does the Indigenous Employment Strategy 2011-2015 in Western Australia.  The Strategy’s Theme 5 is titled, ‘Be accountable’ and details what the Public Sector Commission and line agencies will do during the life of the Strategy.  This includes regular evaluation and reporting.  </w:t>
      </w:r>
    </w:p>
    <w:p w:rsidR="00DF28D8" w:rsidRDefault="00DF28D8"/>
    <w:p w:rsidR="00DF28D8" w:rsidRDefault="00DF28D8"/>
    <w:p w:rsidR="00DF28D8" w:rsidRDefault="00DF28D8"/>
    <w:p w:rsidR="00DF28D8" w:rsidRDefault="00DF28D8"/>
    <w:p w:rsidR="00DF28D8" w:rsidRDefault="00DF28D8"/>
    <w:p w:rsidR="00DF28D8" w:rsidRDefault="00DF28D8"/>
    <w:p w:rsidR="00DF28D8" w:rsidRDefault="00DF28D8"/>
    <w:p w:rsidR="00DF28D8" w:rsidRDefault="00DF28D8"/>
    <w:p w:rsidR="00DF28D8" w:rsidRDefault="00DF28D8"/>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992"/>
        <w:gridCol w:w="851"/>
        <w:gridCol w:w="425"/>
        <w:gridCol w:w="851"/>
        <w:gridCol w:w="283"/>
        <w:gridCol w:w="3934"/>
      </w:tblGrid>
      <w:tr w:rsidR="003E7878" w:rsidTr="00DD1363">
        <w:tc>
          <w:tcPr>
            <w:tcW w:w="8612" w:type="dxa"/>
            <w:gridSpan w:val="7"/>
            <w:tcBorders>
              <w:top w:val="nil"/>
              <w:left w:val="nil"/>
              <w:bottom w:val="single" w:sz="4" w:space="0" w:color="auto"/>
              <w:right w:val="nil"/>
            </w:tcBorders>
          </w:tcPr>
          <w:p w:rsidR="003E7878" w:rsidRPr="00952B49" w:rsidRDefault="00A07637" w:rsidP="003840D5">
            <w:pPr>
              <w:pStyle w:val="Bodytext"/>
              <w:numPr>
                <w:ilvl w:val="0"/>
                <w:numId w:val="0"/>
              </w:numPr>
              <w:spacing w:before="120" w:after="120" w:line="240" w:lineRule="auto"/>
              <w:rPr>
                <w:b/>
                <w:szCs w:val="22"/>
              </w:rPr>
            </w:pPr>
            <w:r>
              <w:br w:type="page"/>
            </w:r>
            <w:r w:rsidR="003E7878" w:rsidRPr="00952B49">
              <w:rPr>
                <w:rFonts w:ascii="Arial Narrow" w:hAnsi="Arial Narrow"/>
                <w:bCs/>
                <w:kern w:val="26"/>
                <w:sz w:val="26"/>
                <w:szCs w:val="20"/>
              </w:rPr>
              <w:t xml:space="preserve">Table </w:t>
            </w:r>
            <w:r w:rsidR="003840D5">
              <w:rPr>
                <w:rFonts w:ascii="Arial Narrow" w:hAnsi="Arial Narrow"/>
                <w:bCs/>
                <w:kern w:val="26"/>
                <w:sz w:val="26"/>
                <w:szCs w:val="20"/>
              </w:rPr>
              <w:t>6</w:t>
            </w:r>
            <w:r w:rsidR="003E7878" w:rsidRPr="00952B49">
              <w:rPr>
                <w:rFonts w:ascii="Arial Narrow" w:hAnsi="Arial Narrow"/>
                <w:bCs/>
                <w:kern w:val="26"/>
                <w:sz w:val="26"/>
                <w:szCs w:val="20"/>
              </w:rPr>
              <w:t>.</w:t>
            </w:r>
            <w:r w:rsidR="00932368">
              <w:rPr>
                <w:rFonts w:ascii="Arial Narrow" w:hAnsi="Arial Narrow"/>
                <w:bCs/>
                <w:kern w:val="26"/>
                <w:sz w:val="26"/>
                <w:szCs w:val="20"/>
              </w:rPr>
              <w:t>3</w:t>
            </w:r>
            <w:r w:rsidR="003E7878" w:rsidRPr="00952B49">
              <w:rPr>
                <w:rFonts w:ascii="Arial Narrow" w:hAnsi="Arial Narrow"/>
                <w:bCs/>
                <w:kern w:val="26"/>
                <w:sz w:val="26"/>
                <w:szCs w:val="20"/>
              </w:rPr>
              <w:t xml:space="preserve"> – Summary of Indigenous employment strategies in Australian jurisdictions</w:t>
            </w:r>
          </w:p>
        </w:tc>
      </w:tr>
      <w:tr w:rsidR="0003674A" w:rsidRPr="00033CCF" w:rsidTr="00DD1363">
        <w:tc>
          <w:tcPr>
            <w:tcW w:w="1276" w:type="dxa"/>
            <w:tcBorders>
              <w:top w:val="single" w:sz="4" w:space="0" w:color="auto"/>
              <w:bottom w:val="single" w:sz="4" w:space="0" w:color="auto"/>
            </w:tcBorders>
            <w:shd w:val="clear" w:color="auto" w:fill="DBE5F1" w:themeFill="accent1" w:themeFillTint="33"/>
          </w:tcPr>
          <w:p w:rsidR="0003674A" w:rsidRPr="00DD1363" w:rsidRDefault="0003674A" w:rsidP="008760FC">
            <w:pPr>
              <w:pStyle w:val="Bodytext"/>
              <w:numPr>
                <w:ilvl w:val="0"/>
                <w:numId w:val="0"/>
              </w:numPr>
              <w:spacing w:before="60" w:after="60" w:line="240" w:lineRule="auto"/>
              <w:rPr>
                <w:rFonts w:ascii="Arial Narrow" w:hAnsi="Arial Narrow"/>
                <w:b/>
                <w:sz w:val="20"/>
                <w:szCs w:val="20"/>
              </w:rPr>
            </w:pPr>
            <w:r w:rsidRPr="00DD1363">
              <w:rPr>
                <w:rFonts w:ascii="Arial Narrow" w:hAnsi="Arial Narrow"/>
                <w:b/>
                <w:sz w:val="20"/>
                <w:szCs w:val="20"/>
              </w:rPr>
              <w:t>Jurisdiction</w:t>
            </w:r>
          </w:p>
        </w:tc>
        <w:tc>
          <w:tcPr>
            <w:tcW w:w="992" w:type="dxa"/>
            <w:tcBorders>
              <w:top w:val="single" w:sz="4" w:space="0" w:color="auto"/>
              <w:bottom w:val="single" w:sz="4" w:space="0" w:color="auto"/>
            </w:tcBorders>
            <w:shd w:val="clear" w:color="auto" w:fill="DBE5F1" w:themeFill="accent1" w:themeFillTint="33"/>
          </w:tcPr>
          <w:p w:rsidR="0003674A" w:rsidRPr="00DD1363" w:rsidRDefault="0003674A" w:rsidP="008760FC">
            <w:pPr>
              <w:pStyle w:val="Bodytext"/>
              <w:numPr>
                <w:ilvl w:val="0"/>
                <w:numId w:val="0"/>
              </w:numPr>
              <w:spacing w:before="60" w:after="60" w:line="240" w:lineRule="auto"/>
              <w:rPr>
                <w:rFonts w:ascii="Arial Narrow" w:hAnsi="Arial Narrow"/>
                <w:b/>
                <w:sz w:val="20"/>
                <w:szCs w:val="20"/>
              </w:rPr>
            </w:pPr>
            <w:r w:rsidRPr="00DD1363">
              <w:rPr>
                <w:rFonts w:ascii="Arial Narrow" w:hAnsi="Arial Narrow"/>
                <w:b/>
                <w:sz w:val="20"/>
                <w:szCs w:val="20"/>
              </w:rPr>
              <w:t xml:space="preserve">Strategy </w:t>
            </w:r>
          </w:p>
          <w:p w:rsidR="0003674A" w:rsidRPr="00DD1363" w:rsidRDefault="0003674A" w:rsidP="008760FC">
            <w:pPr>
              <w:pStyle w:val="Bodytext"/>
              <w:numPr>
                <w:ilvl w:val="0"/>
                <w:numId w:val="0"/>
              </w:numPr>
              <w:spacing w:before="60" w:after="60" w:line="240" w:lineRule="auto"/>
              <w:rPr>
                <w:rFonts w:ascii="Arial Narrow" w:hAnsi="Arial Narrow"/>
                <w:b/>
                <w:sz w:val="16"/>
                <w:szCs w:val="16"/>
              </w:rPr>
            </w:pPr>
          </w:p>
        </w:tc>
        <w:tc>
          <w:tcPr>
            <w:tcW w:w="1276" w:type="dxa"/>
            <w:gridSpan w:val="2"/>
            <w:tcBorders>
              <w:top w:val="single" w:sz="4" w:space="0" w:color="auto"/>
              <w:bottom w:val="single" w:sz="4" w:space="0" w:color="auto"/>
            </w:tcBorders>
            <w:shd w:val="clear" w:color="auto" w:fill="DBE5F1" w:themeFill="accent1" w:themeFillTint="33"/>
          </w:tcPr>
          <w:p w:rsidR="0003674A" w:rsidRPr="00DD1363" w:rsidRDefault="0003674A" w:rsidP="008760FC">
            <w:pPr>
              <w:pStyle w:val="Bodytext"/>
              <w:numPr>
                <w:ilvl w:val="0"/>
                <w:numId w:val="0"/>
              </w:numPr>
              <w:spacing w:before="60" w:after="60" w:line="240" w:lineRule="auto"/>
              <w:rPr>
                <w:rFonts w:ascii="Arial Narrow" w:hAnsi="Arial Narrow"/>
                <w:b/>
                <w:sz w:val="20"/>
                <w:szCs w:val="20"/>
              </w:rPr>
            </w:pPr>
            <w:r w:rsidRPr="00DD1363">
              <w:rPr>
                <w:rFonts w:ascii="Arial Narrow" w:hAnsi="Arial Narrow"/>
                <w:b/>
                <w:sz w:val="20"/>
                <w:szCs w:val="20"/>
              </w:rPr>
              <w:t>Percentage of total employees who are Indigenous</w:t>
            </w:r>
          </w:p>
          <w:p w:rsidR="0003674A" w:rsidRPr="00DD1363" w:rsidRDefault="0003674A" w:rsidP="008760FC">
            <w:pPr>
              <w:pStyle w:val="Bodytext"/>
              <w:numPr>
                <w:ilvl w:val="0"/>
                <w:numId w:val="0"/>
              </w:numPr>
              <w:spacing w:before="60" w:after="60" w:line="240" w:lineRule="auto"/>
              <w:jc w:val="center"/>
              <w:rPr>
                <w:rFonts w:ascii="Arial Narrow" w:hAnsi="Arial Narrow"/>
                <w:b/>
                <w:sz w:val="20"/>
                <w:szCs w:val="20"/>
              </w:rPr>
            </w:pPr>
            <w:r w:rsidRPr="00DD1363">
              <w:rPr>
                <w:rFonts w:ascii="Arial Narrow" w:hAnsi="Arial Narrow"/>
                <w:b/>
                <w:sz w:val="20"/>
                <w:szCs w:val="20"/>
              </w:rPr>
              <w:t>(%)</w:t>
            </w:r>
          </w:p>
        </w:tc>
        <w:tc>
          <w:tcPr>
            <w:tcW w:w="1134" w:type="dxa"/>
            <w:gridSpan w:val="2"/>
            <w:tcBorders>
              <w:top w:val="single" w:sz="4" w:space="0" w:color="auto"/>
              <w:bottom w:val="single" w:sz="4" w:space="0" w:color="auto"/>
            </w:tcBorders>
            <w:shd w:val="clear" w:color="auto" w:fill="DBE5F1" w:themeFill="accent1" w:themeFillTint="33"/>
          </w:tcPr>
          <w:p w:rsidR="0003674A" w:rsidRDefault="0003674A" w:rsidP="008760FC">
            <w:pPr>
              <w:pStyle w:val="Bodytext"/>
              <w:numPr>
                <w:ilvl w:val="0"/>
                <w:numId w:val="0"/>
              </w:numPr>
              <w:spacing w:before="60" w:after="60" w:line="240" w:lineRule="auto"/>
              <w:rPr>
                <w:rFonts w:ascii="Arial Narrow" w:hAnsi="Arial Narrow"/>
                <w:b/>
                <w:sz w:val="20"/>
                <w:szCs w:val="20"/>
              </w:rPr>
            </w:pPr>
            <w:r w:rsidRPr="00DD1363">
              <w:rPr>
                <w:rFonts w:ascii="Arial Narrow" w:hAnsi="Arial Narrow"/>
                <w:b/>
                <w:sz w:val="20"/>
                <w:szCs w:val="20"/>
              </w:rPr>
              <w:t>Total workforce</w:t>
            </w:r>
          </w:p>
          <w:p w:rsidR="007F0A2A" w:rsidRPr="007F0A2A" w:rsidRDefault="007F0A2A" w:rsidP="007F0A2A">
            <w:pPr>
              <w:pStyle w:val="Bodytext"/>
              <w:numPr>
                <w:ilvl w:val="0"/>
                <w:numId w:val="0"/>
              </w:numPr>
              <w:spacing w:before="60" w:after="60" w:line="240" w:lineRule="auto"/>
              <w:rPr>
                <w:rFonts w:ascii="Arial Narrow" w:hAnsi="Arial Narrow"/>
                <w:sz w:val="18"/>
                <w:szCs w:val="18"/>
              </w:rPr>
            </w:pPr>
            <w:r w:rsidRPr="007F0A2A">
              <w:rPr>
                <w:rFonts w:ascii="Arial Narrow" w:hAnsi="Arial Narrow"/>
                <w:sz w:val="18"/>
                <w:szCs w:val="18"/>
              </w:rPr>
              <w:t xml:space="preserve">(size of public service </w:t>
            </w:r>
            <w:r>
              <w:rPr>
                <w:rFonts w:ascii="Arial Narrow" w:hAnsi="Arial Narrow"/>
                <w:sz w:val="18"/>
                <w:szCs w:val="18"/>
              </w:rPr>
              <w:t>and</w:t>
            </w:r>
            <w:r w:rsidRPr="007F0A2A">
              <w:rPr>
                <w:rFonts w:ascii="Arial Narrow" w:hAnsi="Arial Narrow"/>
                <w:sz w:val="18"/>
                <w:szCs w:val="18"/>
              </w:rPr>
              <w:t xml:space="preserve">/or </w:t>
            </w:r>
            <w:r>
              <w:rPr>
                <w:rFonts w:ascii="Arial Narrow" w:hAnsi="Arial Narrow"/>
                <w:sz w:val="18"/>
                <w:szCs w:val="18"/>
              </w:rPr>
              <w:t xml:space="preserve">public </w:t>
            </w:r>
            <w:r w:rsidRPr="007F0A2A">
              <w:rPr>
                <w:rFonts w:ascii="Arial Narrow" w:hAnsi="Arial Narrow"/>
                <w:sz w:val="18"/>
                <w:szCs w:val="18"/>
              </w:rPr>
              <w:t>sector)</w:t>
            </w:r>
          </w:p>
        </w:tc>
        <w:tc>
          <w:tcPr>
            <w:tcW w:w="3934" w:type="dxa"/>
            <w:tcBorders>
              <w:top w:val="single" w:sz="4" w:space="0" w:color="auto"/>
              <w:bottom w:val="single" w:sz="4" w:space="0" w:color="auto"/>
            </w:tcBorders>
            <w:shd w:val="clear" w:color="auto" w:fill="DBE5F1" w:themeFill="accent1" w:themeFillTint="33"/>
          </w:tcPr>
          <w:p w:rsidR="0003674A" w:rsidRPr="00DD1363" w:rsidRDefault="0003674A" w:rsidP="008760FC">
            <w:pPr>
              <w:pStyle w:val="Bodytext"/>
              <w:numPr>
                <w:ilvl w:val="0"/>
                <w:numId w:val="0"/>
              </w:numPr>
              <w:spacing w:before="60" w:after="60" w:line="240" w:lineRule="auto"/>
              <w:rPr>
                <w:rFonts w:ascii="Arial Narrow" w:hAnsi="Arial Narrow"/>
                <w:b/>
                <w:sz w:val="20"/>
                <w:szCs w:val="20"/>
              </w:rPr>
            </w:pPr>
            <w:r w:rsidRPr="00DD1363">
              <w:rPr>
                <w:rFonts w:ascii="Arial Narrow" w:hAnsi="Arial Narrow"/>
                <w:b/>
                <w:sz w:val="20"/>
                <w:szCs w:val="20"/>
              </w:rPr>
              <w:t>Comment</w:t>
            </w:r>
          </w:p>
        </w:tc>
      </w:tr>
      <w:tr w:rsidR="00812FFE" w:rsidTr="00DD1363">
        <w:tc>
          <w:tcPr>
            <w:tcW w:w="1276" w:type="dxa"/>
            <w:tcBorders>
              <w:bottom w:val="single" w:sz="4" w:space="0" w:color="auto"/>
            </w:tcBorders>
            <w:shd w:val="clear" w:color="auto" w:fill="C6D9F1" w:themeFill="text2" w:themeFillTint="33"/>
          </w:tcPr>
          <w:p w:rsidR="00812FFE" w:rsidRPr="008760FC" w:rsidRDefault="00812FFE" w:rsidP="008760FC">
            <w:pPr>
              <w:pStyle w:val="Bodytext"/>
              <w:numPr>
                <w:ilvl w:val="0"/>
                <w:numId w:val="0"/>
              </w:numPr>
              <w:spacing w:before="40" w:after="40" w:line="240" w:lineRule="auto"/>
              <w:ind w:left="176"/>
              <w:rPr>
                <w:rFonts w:ascii="Arial Narrow" w:hAnsi="Arial Narrow"/>
                <w:sz w:val="20"/>
                <w:szCs w:val="20"/>
              </w:rPr>
            </w:pPr>
            <w:r w:rsidRPr="008760FC">
              <w:rPr>
                <w:rFonts w:ascii="Arial Narrow" w:hAnsi="Arial Narrow"/>
                <w:sz w:val="20"/>
                <w:szCs w:val="20"/>
              </w:rPr>
              <w:t>NSW</w:t>
            </w:r>
          </w:p>
        </w:tc>
        <w:tc>
          <w:tcPr>
            <w:tcW w:w="992" w:type="dxa"/>
            <w:tcBorders>
              <w:top w:val="single" w:sz="4" w:space="0" w:color="auto"/>
              <w:bottom w:val="single" w:sz="4" w:space="0" w:color="auto"/>
              <w:right w:val="single" w:sz="4" w:space="0" w:color="auto"/>
            </w:tcBorders>
            <w:shd w:val="clear" w:color="auto" w:fill="C6D9F1" w:themeFill="text2" w:themeFillTint="33"/>
          </w:tcPr>
          <w:p w:rsidR="00812FFE" w:rsidRPr="008760FC" w:rsidRDefault="00812FFE" w:rsidP="008760FC">
            <w:pPr>
              <w:pStyle w:val="Bodytext"/>
              <w:numPr>
                <w:ilvl w:val="0"/>
                <w:numId w:val="0"/>
              </w:numPr>
              <w:spacing w:before="40" w:after="40" w:line="240" w:lineRule="auto"/>
              <w:jc w:val="center"/>
              <w:rPr>
                <w:rFonts w:ascii="Arial Narrow" w:hAnsi="Arial Narrow"/>
                <w:sz w:val="20"/>
                <w:szCs w:val="20"/>
              </w:rPr>
            </w:pPr>
            <w:r w:rsidRPr="008760FC">
              <w:rPr>
                <w:rFonts w:ascii="Arial Narrow" w:hAnsi="Arial Narrow"/>
                <w:sz w:val="20"/>
                <w:szCs w:val="20"/>
              </w:rPr>
              <w:t>2006-09</w:t>
            </w:r>
          </w:p>
          <w:p w:rsidR="00812FFE" w:rsidRPr="008760FC" w:rsidRDefault="00812FFE" w:rsidP="008760FC">
            <w:pPr>
              <w:pStyle w:val="Bodytext"/>
              <w:numPr>
                <w:ilvl w:val="0"/>
                <w:numId w:val="0"/>
              </w:numPr>
              <w:spacing w:before="40" w:after="40" w:line="240" w:lineRule="auto"/>
              <w:jc w:val="center"/>
              <w:rPr>
                <w:rFonts w:ascii="Arial Narrow" w:hAnsi="Arial Narrow"/>
                <w:sz w:val="20"/>
                <w:szCs w:val="20"/>
              </w:rPr>
            </w:pPr>
            <w:r w:rsidRPr="008760FC">
              <w:rPr>
                <w:rFonts w:ascii="Arial Narrow" w:hAnsi="Arial Narrow"/>
                <w:sz w:val="20"/>
                <w:szCs w:val="20"/>
              </w:rPr>
              <w:t xml:space="preserve">New one in 2014. </w:t>
            </w:r>
          </w:p>
        </w:tc>
        <w:tc>
          <w:tcPr>
            <w:tcW w:w="851" w:type="dxa"/>
            <w:tcBorders>
              <w:top w:val="nil"/>
              <w:left w:val="single" w:sz="4" w:space="0" w:color="auto"/>
              <w:bottom w:val="single" w:sz="4" w:space="0" w:color="auto"/>
              <w:right w:val="nil"/>
            </w:tcBorders>
            <w:shd w:val="clear" w:color="auto" w:fill="C6D9F1" w:themeFill="text2" w:themeFillTint="33"/>
          </w:tcPr>
          <w:p w:rsidR="00812FFE" w:rsidRPr="008760FC" w:rsidRDefault="00812FFE" w:rsidP="00812FFE">
            <w:pPr>
              <w:pStyle w:val="Bodytext"/>
              <w:numPr>
                <w:ilvl w:val="0"/>
                <w:numId w:val="0"/>
              </w:numPr>
              <w:spacing w:before="40" w:after="40" w:line="240" w:lineRule="auto"/>
              <w:ind w:right="-108"/>
              <w:jc w:val="right"/>
              <w:rPr>
                <w:rFonts w:ascii="Arial Narrow" w:hAnsi="Arial Narrow"/>
                <w:sz w:val="20"/>
                <w:szCs w:val="20"/>
              </w:rPr>
            </w:pPr>
            <w:r w:rsidRPr="008760FC">
              <w:rPr>
                <w:rFonts w:ascii="Arial Narrow" w:hAnsi="Arial Narrow"/>
                <w:sz w:val="20"/>
                <w:szCs w:val="20"/>
              </w:rPr>
              <w:t>2.74</w:t>
            </w:r>
            <w:r>
              <w:rPr>
                <w:rFonts w:ascii="Arial Narrow" w:hAnsi="Arial Narrow"/>
                <w:sz w:val="20"/>
                <w:szCs w:val="20"/>
              </w:rPr>
              <w:t xml:space="preserve"> </w:t>
            </w:r>
          </w:p>
        </w:tc>
        <w:tc>
          <w:tcPr>
            <w:tcW w:w="425" w:type="dxa"/>
            <w:tcBorders>
              <w:top w:val="single" w:sz="4" w:space="0" w:color="auto"/>
              <w:left w:val="nil"/>
              <w:bottom w:val="single" w:sz="4" w:space="0" w:color="auto"/>
              <w:right w:val="single" w:sz="4" w:space="0" w:color="auto"/>
            </w:tcBorders>
            <w:shd w:val="clear" w:color="auto" w:fill="C6D9F1" w:themeFill="text2" w:themeFillTint="33"/>
          </w:tcPr>
          <w:p w:rsidR="00812FFE" w:rsidRPr="00812FFE" w:rsidRDefault="00812FFE" w:rsidP="00812FFE">
            <w:pPr>
              <w:pStyle w:val="Bodytext"/>
              <w:numPr>
                <w:ilvl w:val="0"/>
                <w:numId w:val="0"/>
              </w:numPr>
              <w:tabs>
                <w:tab w:val="left" w:pos="884"/>
              </w:tabs>
              <w:spacing w:before="40" w:after="40" w:line="240" w:lineRule="auto"/>
              <w:ind w:left="-108"/>
              <w:rPr>
                <w:rStyle w:val="FootnoteReference"/>
              </w:rPr>
            </w:pPr>
            <w:r w:rsidRPr="008760FC">
              <w:rPr>
                <w:rStyle w:val="FootnoteReference"/>
                <w:rFonts w:ascii="Arial Narrow" w:hAnsi="Arial Narrow"/>
                <w:sz w:val="20"/>
                <w:szCs w:val="20"/>
              </w:rPr>
              <w:footnoteReference w:id="144"/>
            </w:r>
          </w:p>
        </w:tc>
        <w:tc>
          <w:tcPr>
            <w:tcW w:w="851" w:type="dxa"/>
            <w:tcBorders>
              <w:left w:val="single" w:sz="4" w:space="0" w:color="auto"/>
              <w:bottom w:val="single" w:sz="4" w:space="0" w:color="auto"/>
              <w:right w:val="nil"/>
            </w:tcBorders>
            <w:shd w:val="clear" w:color="auto" w:fill="C6D9F1" w:themeFill="text2" w:themeFillTint="33"/>
          </w:tcPr>
          <w:p w:rsidR="00812FFE" w:rsidRDefault="00812FFE" w:rsidP="005F2471">
            <w:pPr>
              <w:pStyle w:val="Bodytext"/>
              <w:numPr>
                <w:ilvl w:val="0"/>
                <w:numId w:val="0"/>
              </w:numPr>
              <w:spacing w:before="40" w:after="40" w:line="240" w:lineRule="auto"/>
              <w:ind w:right="-108"/>
              <w:jc w:val="right"/>
              <w:rPr>
                <w:rFonts w:ascii="Arial Narrow" w:hAnsi="Arial Narrow"/>
                <w:sz w:val="20"/>
                <w:szCs w:val="20"/>
              </w:rPr>
            </w:pPr>
            <w:r w:rsidRPr="008760FC">
              <w:rPr>
                <w:rFonts w:ascii="Arial Narrow" w:hAnsi="Arial Narrow"/>
                <w:sz w:val="20"/>
                <w:szCs w:val="20"/>
              </w:rPr>
              <w:t>399,243</w:t>
            </w:r>
            <w:r w:rsidR="005F2471">
              <w:rPr>
                <w:rFonts w:ascii="Arial Narrow" w:hAnsi="Arial Narrow"/>
                <w:sz w:val="20"/>
                <w:szCs w:val="20"/>
              </w:rPr>
              <w:t xml:space="preserve">  </w:t>
            </w:r>
            <w:r>
              <w:rPr>
                <w:rFonts w:ascii="Arial Narrow" w:hAnsi="Arial Narrow"/>
                <w:sz w:val="20"/>
                <w:szCs w:val="20"/>
              </w:rPr>
              <w:t xml:space="preserve"> </w:t>
            </w:r>
          </w:p>
        </w:tc>
        <w:tc>
          <w:tcPr>
            <w:tcW w:w="283" w:type="dxa"/>
            <w:tcBorders>
              <w:left w:val="nil"/>
              <w:bottom w:val="single" w:sz="4" w:space="0" w:color="auto"/>
            </w:tcBorders>
            <w:shd w:val="clear" w:color="auto" w:fill="C6D9F1" w:themeFill="text2" w:themeFillTint="33"/>
          </w:tcPr>
          <w:p w:rsidR="00812FFE" w:rsidRPr="005F2471" w:rsidRDefault="00812FFE" w:rsidP="00812FFE">
            <w:pPr>
              <w:pStyle w:val="Bodytext"/>
              <w:numPr>
                <w:ilvl w:val="0"/>
                <w:numId w:val="0"/>
              </w:numPr>
              <w:tabs>
                <w:tab w:val="left" w:pos="884"/>
              </w:tabs>
              <w:spacing w:before="40" w:after="40" w:line="240" w:lineRule="auto"/>
              <w:ind w:left="-108"/>
              <w:rPr>
                <w:rStyle w:val="FootnoteReference"/>
              </w:rPr>
            </w:pPr>
            <w:r w:rsidRPr="008760FC">
              <w:rPr>
                <w:rStyle w:val="FootnoteReference"/>
                <w:rFonts w:ascii="Arial Narrow" w:hAnsi="Arial Narrow"/>
                <w:sz w:val="20"/>
                <w:szCs w:val="20"/>
              </w:rPr>
              <w:footnoteReference w:id="145"/>
            </w:r>
          </w:p>
        </w:tc>
        <w:tc>
          <w:tcPr>
            <w:tcW w:w="3934" w:type="dxa"/>
            <w:tcBorders>
              <w:bottom w:val="single" w:sz="4" w:space="0" w:color="auto"/>
            </w:tcBorders>
            <w:shd w:val="clear" w:color="auto" w:fill="C6D9F1" w:themeFill="text2" w:themeFillTint="33"/>
          </w:tcPr>
          <w:p w:rsidR="00812FFE" w:rsidRPr="008760FC" w:rsidRDefault="00812FFE" w:rsidP="008760FC">
            <w:pPr>
              <w:pStyle w:val="Bodytext"/>
              <w:numPr>
                <w:ilvl w:val="0"/>
                <w:numId w:val="0"/>
              </w:numPr>
              <w:spacing w:before="40" w:after="40" w:line="240" w:lineRule="auto"/>
              <w:rPr>
                <w:rFonts w:ascii="Arial Narrow" w:hAnsi="Arial Narrow"/>
                <w:sz w:val="20"/>
                <w:szCs w:val="20"/>
              </w:rPr>
            </w:pPr>
            <w:r w:rsidRPr="008760FC">
              <w:rPr>
                <w:rFonts w:ascii="Arial Narrow" w:hAnsi="Arial Narrow"/>
                <w:i/>
                <w:sz w:val="20"/>
                <w:szCs w:val="20"/>
              </w:rPr>
              <w:t xml:space="preserve">Making it our business </w:t>
            </w:r>
            <w:r w:rsidRPr="008760FC">
              <w:rPr>
                <w:rFonts w:ascii="Arial Narrow" w:hAnsi="Arial Narrow"/>
                <w:sz w:val="20"/>
                <w:szCs w:val="20"/>
              </w:rPr>
              <w:t>(MIOB) has been used to guide and support Indigenous employment.  Review current and new strategy to be issued in the 2</w:t>
            </w:r>
            <w:r w:rsidRPr="008760FC">
              <w:rPr>
                <w:rFonts w:ascii="Arial Narrow" w:hAnsi="Arial Narrow"/>
                <w:sz w:val="20"/>
                <w:szCs w:val="20"/>
                <w:vertAlign w:val="superscript"/>
              </w:rPr>
              <w:t>nd</w:t>
            </w:r>
            <w:r w:rsidRPr="008760FC">
              <w:rPr>
                <w:rFonts w:ascii="Arial Narrow" w:hAnsi="Arial Narrow"/>
                <w:sz w:val="20"/>
                <w:szCs w:val="20"/>
              </w:rPr>
              <w:t xml:space="preserve"> Quarter of 2014. </w:t>
            </w:r>
          </w:p>
        </w:tc>
      </w:tr>
      <w:tr w:rsidR="00812FFE" w:rsidTr="00DD1363">
        <w:trPr>
          <w:trHeight w:val="139"/>
        </w:trPr>
        <w:tc>
          <w:tcPr>
            <w:tcW w:w="1276" w:type="dxa"/>
            <w:vMerge w:val="restart"/>
            <w:shd w:val="clear" w:color="auto" w:fill="DBE5F1" w:themeFill="accent1" w:themeFillTint="33"/>
          </w:tcPr>
          <w:p w:rsidR="00812FFE" w:rsidRPr="008760FC" w:rsidRDefault="00812FFE" w:rsidP="00262F66">
            <w:pPr>
              <w:pStyle w:val="Bodytext"/>
              <w:numPr>
                <w:ilvl w:val="0"/>
                <w:numId w:val="0"/>
              </w:numPr>
              <w:spacing w:before="40" w:after="40" w:line="240" w:lineRule="auto"/>
              <w:ind w:left="176"/>
              <w:rPr>
                <w:rFonts w:ascii="Arial Narrow" w:hAnsi="Arial Narrow"/>
                <w:sz w:val="20"/>
                <w:szCs w:val="20"/>
              </w:rPr>
            </w:pPr>
            <w:r w:rsidRPr="008760FC">
              <w:rPr>
                <w:rFonts w:ascii="Arial Narrow" w:hAnsi="Arial Narrow"/>
                <w:sz w:val="20"/>
                <w:szCs w:val="20"/>
              </w:rPr>
              <w:t>VIC</w:t>
            </w:r>
          </w:p>
        </w:tc>
        <w:tc>
          <w:tcPr>
            <w:tcW w:w="992" w:type="dxa"/>
            <w:vMerge w:val="restart"/>
            <w:tcBorders>
              <w:bottom w:val="single" w:sz="4" w:space="0" w:color="auto"/>
              <w:right w:val="single" w:sz="4" w:space="0" w:color="auto"/>
            </w:tcBorders>
            <w:shd w:val="clear" w:color="auto" w:fill="DBE5F1" w:themeFill="accent1" w:themeFillTint="33"/>
          </w:tcPr>
          <w:p w:rsidR="00812FFE" w:rsidRPr="008760FC" w:rsidRDefault="00812FFE" w:rsidP="00262F66">
            <w:pPr>
              <w:pStyle w:val="Bodytext"/>
              <w:numPr>
                <w:ilvl w:val="0"/>
                <w:numId w:val="0"/>
              </w:numPr>
              <w:spacing w:before="40" w:after="40" w:line="240" w:lineRule="auto"/>
              <w:jc w:val="center"/>
              <w:rPr>
                <w:rFonts w:ascii="Arial Narrow" w:hAnsi="Arial Narrow"/>
                <w:sz w:val="20"/>
                <w:szCs w:val="20"/>
              </w:rPr>
            </w:pPr>
            <w:r w:rsidRPr="008760FC">
              <w:rPr>
                <w:rFonts w:ascii="Arial Narrow" w:hAnsi="Arial Narrow"/>
                <w:sz w:val="20"/>
                <w:szCs w:val="20"/>
              </w:rPr>
              <w:t>Yes</w:t>
            </w:r>
          </w:p>
        </w:tc>
        <w:tc>
          <w:tcPr>
            <w:tcW w:w="851" w:type="dxa"/>
            <w:tcBorders>
              <w:top w:val="single" w:sz="4" w:space="0" w:color="auto"/>
              <w:left w:val="single" w:sz="4" w:space="0" w:color="auto"/>
              <w:bottom w:val="nil"/>
              <w:right w:val="nil"/>
            </w:tcBorders>
            <w:shd w:val="clear" w:color="auto" w:fill="DBE5F1" w:themeFill="accent1" w:themeFillTint="33"/>
          </w:tcPr>
          <w:p w:rsidR="00812FFE" w:rsidRDefault="00812FFE" w:rsidP="00812FFE">
            <w:pPr>
              <w:pStyle w:val="Bodytext"/>
              <w:numPr>
                <w:ilvl w:val="0"/>
                <w:numId w:val="0"/>
              </w:numPr>
              <w:spacing w:before="40" w:after="40" w:line="240" w:lineRule="auto"/>
              <w:ind w:right="-108"/>
              <w:jc w:val="right"/>
              <w:rPr>
                <w:rFonts w:ascii="Arial Narrow" w:hAnsi="Arial Narrow"/>
                <w:sz w:val="20"/>
                <w:szCs w:val="20"/>
              </w:rPr>
            </w:pPr>
            <w:r>
              <w:rPr>
                <w:rFonts w:ascii="Arial Narrow" w:hAnsi="Arial Narrow"/>
                <w:sz w:val="20"/>
                <w:szCs w:val="20"/>
              </w:rPr>
              <w:t>0.7</w:t>
            </w:r>
          </w:p>
        </w:tc>
        <w:tc>
          <w:tcPr>
            <w:tcW w:w="425" w:type="dxa"/>
            <w:tcBorders>
              <w:top w:val="nil"/>
              <w:left w:val="nil"/>
              <w:bottom w:val="nil"/>
              <w:right w:val="single" w:sz="4" w:space="0" w:color="auto"/>
            </w:tcBorders>
            <w:shd w:val="clear" w:color="auto" w:fill="DBE5F1" w:themeFill="accent1" w:themeFillTint="33"/>
          </w:tcPr>
          <w:p w:rsidR="00812FFE" w:rsidRPr="00812FFE" w:rsidRDefault="00812FFE" w:rsidP="00812FFE">
            <w:pPr>
              <w:pStyle w:val="Bodytext"/>
              <w:numPr>
                <w:ilvl w:val="0"/>
                <w:numId w:val="0"/>
              </w:numPr>
              <w:tabs>
                <w:tab w:val="left" w:pos="884"/>
              </w:tabs>
              <w:spacing w:before="40" w:after="40" w:line="240" w:lineRule="auto"/>
              <w:ind w:left="-108"/>
              <w:rPr>
                <w:rStyle w:val="FootnoteReference"/>
              </w:rPr>
            </w:pPr>
          </w:p>
        </w:tc>
        <w:tc>
          <w:tcPr>
            <w:tcW w:w="851" w:type="dxa"/>
            <w:tcBorders>
              <w:left w:val="single" w:sz="4" w:space="0" w:color="auto"/>
              <w:bottom w:val="nil"/>
              <w:right w:val="nil"/>
            </w:tcBorders>
            <w:shd w:val="clear" w:color="auto" w:fill="DBE5F1" w:themeFill="accent1" w:themeFillTint="33"/>
          </w:tcPr>
          <w:p w:rsidR="00812FFE" w:rsidRDefault="00812FFE" w:rsidP="005F2471">
            <w:pPr>
              <w:pStyle w:val="Bodytext"/>
              <w:numPr>
                <w:ilvl w:val="0"/>
                <w:numId w:val="0"/>
              </w:numPr>
              <w:spacing w:before="40" w:after="40" w:line="240" w:lineRule="auto"/>
              <w:ind w:right="-108"/>
              <w:jc w:val="right"/>
              <w:rPr>
                <w:rFonts w:ascii="Arial Narrow" w:hAnsi="Arial Narrow"/>
                <w:sz w:val="20"/>
                <w:szCs w:val="20"/>
              </w:rPr>
            </w:pPr>
            <w:r>
              <w:rPr>
                <w:rFonts w:ascii="Arial Narrow" w:hAnsi="Arial Narrow"/>
                <w:sz w:val="20"/>
                <w:szCs w:val="20"/>
              </w:rPr>
              <w:t>40,042</w:t>
            </w:r>
          </w:p>
        </w:tc>
        <w:tc>
          <w:tcPr>
            <w:tcW w:w="283" w:type="dxa"/>
            <w:tcBorders>
              <w:top w:val="nil"/>
              <w:left w:val="nil"/>
              <w:bottom w:val="nil"/>
              <w:right w:val="single" w:sz="4" w:space="0" w:color="auto"/>
            </w:tcBorders>
            <w:shd w:val="clear" w:color="auto" w:fill="DBE5F1" w:themeFill="accent1" w:themeFillTint="33"/>
          </w:tcPr>
          <w:p w:rsidR="00812FFE" w:rsidRPr="005F2471" w:rsidRDefault="00812FFE" w:rsidP="005F2471">
            <w:pPr>
              <w:pStyle w:val="Bodytext"/>
              <w:numPr>
                <w:ilvl w:val="0"/>
                <w:numId w:val="0"/>
              </w:numPr>
              <w:tabs>
                <w:tab w:val="left" w:pos="884"/>
              </w:tabs>
              <w:spacing w:before="40" w:after="40" w:line="240" w:lineRule="auto"/>
              <w:ind w:left="-108"/>
              <w:rPr>
                <w:rStyle w:val="FootnoteReference"/>
              </w:rPr>
            </w:pPr>
          </w:p>
        </w:tc>
        <w:tc>
          <w:tcPr>
            <w:tcW w:w="3934" w:type="dxa"/>
            <w:vMerge w:val="restart"/>
            <w:tcBorders>
              <w:left w:val="single" w:sz="4" w:space="0" w:color="auto"/>
            </w:tcBorders>
            <w:shd w:val="clear" w:color="auto" w:fill="DBE5F1" w:themeFill="accent1" w:themeFillTint="33"/>
          </w:tcPr>
          <w:p w:rsidR="00812FFE" w:rsidRPr="008760FC" w:rsidRDefault="00812FFE" w:rsidP="000C21DA">
            <w:pPr>
              <w:pStyle w:val="Bodytext"/>
              <w:numPr>
                <w:ilvl w:val="0"/>
                <w:numId w:val="0"/>
              </w:numPr>
              <w:spacing w:before="40" w:after="40" w:line="240" w:lineRule="auto"/>
              <w:rPr>
                <w:rFonts w:ascii="Arial Narrow" w:hAnsi="Arial Narrow"/>
                <w:sz w:val="20"/>
                <w:szCs w:val="20"/>
              </w:rPr>
            </w:pPr>
            <w:r w:rsidRPr="008760FC">
              <w:rPr>
                <w:rFonts w:ascii="Arial Narrow" w:hAnsi="Arial Narrow"/>
                <w:i/>
                <w:iCs/>
                <w:sz w:val="20"/>
                <w:szCs w:val="20"/>
              </w:rPr>
              <w:t>Karreeta Yirramboi</w:t>
            </w:r>
            <w:r w:rsidRPr="008760FC">
              <w:rPr>
                <w:rFonts w:ascii="Arial Narrow" w:hAnsi="Arial Narrow"/>
                <w:sz w:val="20"/>
                <w:szCs w:val="20"/>
              </w:rPr>
              <w:t xml:space="preserve"> is the Victorian Public Sector Aboriginal Employment Action Plan.  Its goal is to increase Aboriginal participation in the Victorian public sector workforce to a 1.0% by 2015.</w:t>
            </w:r>
          </w:p>
        </w:tc>
      </w:tr>
      <w:tr w:rsidR="00812FFE" w:rsidTr="00DD1363">
        <w:trPr>
          <w:trHeight w:val="468"/>
        </w:trPr>
        <w:tc>
          <w:tcPr>
            <w:tcW w:w="1276" w:type="dxa"/>
            <w:vMerge/>
            <w:tcBorders>
              <w:bottom w:val="single" w:sz="4" w:space="0" w:color="auto"/>
            </w:tcBorders>
            <w:shd w:val="clear" w:color="auto" w:fill="DBE5F1" w:themeFill="accent1" w:themeFillTint="33"/>
          </w:tcPr>
          <w:p w:rsidR="00812FFE" w:rsidRPr="008760FC" w:rsidRDefault="00812FFE" w:rsidP="00262F66">
            <w:pPr>
              <w:pStyle w:val="Bodytext"/>
              <w:numPr>
                <w:ilvl w:val="0"/>
                <w:numId w:val="0"/>
              </w:numPr>
              <w:spacing w:before="40" w:after="40" w:line="240" w:lineRule="auto"/>
              <w:ind w:left="176"/>
              <w:rPr>
                <w:rFonts w:ascii="Arial Narrow" w:hAnsi="Arial Narrow"/>
                <w:sz w:val="20"/>
                <w:szCs w:val="20"/>
              </w:rPr>
            </w:pPr>
          </w:p>
        </w:tc>
        <w:tc>
          <w:tcPr>
            <w:tcW w:w="992" w:type="dxa"/>
            <w:vMerge/>
            <w:tcBorders>
              <w:top w:val="single" w:sz="4" w:space="0" w:color="auto"/>
              <w:bottom w:val="single" w:sz="4" w:space="0" w:color="auto"/>
              <w:right w:val="single" w:sz="4" w:space="0" w:color="auto"/>
            </w:tcBorders>
            <w:shd w:val="clear" w:color="auto" w:fill="DBE5F1" w:themeFill="accent1" w:themeFillTint="33"/>
          </w:tcPr>
          <w:p w:rsidR="00812FFE" w:rsidRPr="008760FC" w:rsidRDefault="00812FFE" w:rsidP="00262F66">
            <w:pPr>
              <w:pStyle w:val="Bodytext"/>
              <w:numPr>
                <w:ilvl w:val="0"/>
                <w:numId w:val="0"/>
              </w:numPr>
              <w:spacing w:before="40" w:after="40" w:line="240" w:lineRule="auto"/>
              <w:jc w:val="center"/>
              <w:rPr>
                <w:rFonts w:ascii="Arial Narrow" w:hAnsi="Arial Narrow"/>
                <w:sz w:val="20"/>
                <w:szCs w:val="20"/>
              </w:rPr>
            </w:pPr>
          </w:p>
        </w:tc>
        <w:tc>
          <w:tcPr>
            <w:tcW w:w="851" w:type="dxa"/>
            <w:tcBorders>
              <w:top w:val="nil"/>
              <w:left w:val="single" w:sz="4" w:space="0" w:color="auto"/>
              <w:bottom w:val="single" w:sz="4" w:space="0" w:color="auto"/>
              <w:right w:val="nil"/>
            </w:tcBorders>
            <w:shd w:val="clear" w:color="auto" w:fill="DBE5F1" w:themeFill="accent1" w:themeFillTint="33"/>
          </w:tcPr>
          <w:p w:rsidR="00812FFE" w:rsidRDefault="00812FFE" w:rsidP="00812FFE">
            <w:pPr>
              <w:pStyle w:val="Bodytext"/>
              <w:numPr>
                <w:ilvl w:val="0"/>
                <w:numId w:val="0"/>
              </w:numPr>
              <w:spacing w:before="40" w:after="40" w:line="240" w:lineRule="auto"/>
              <w:ind w:right="-108"/>
              <w:jc w:val="right"/>
              <w:rPr>
                <w:rFonts w:ascii="Arial Narrow" w:hAnsi="Arial Narrow"/>
                <w:sz w:val="20"/>
                <w:szCs w:val="20"/>
              </w:rPr>
            </w:pPr>
            <w:r>
              <w:rPr>
                <w:rFonts w:ascii="Arial Narrow" w:hAnsi="Arial Narrow"/>
                <w:sz w:val="20"/>
                <w:szCs w:val="20"/>
              </w:rPr>
              <w:t>0.3</w:t>
            </w:r>
          </w:p>
        </w:tc>
        <w:tc>
          <w:tcPr>
            <w:tcW w:w="425" w:type="dxa"/>
            <w:tcBorders>
              <w:top w:val="nil"/>
              <w:left w:val="nil"/>
              <w:bottom w:val="single" w:sz="4" w:space="0" w:color="auto"/>
              <w:right w:val="single" w:sz="4" w:space="0" w:color="auto"/>
            </w:tcBorders>
            <w:shd w:val="clear" w:color="auto" w:fill="DBE5F1" w:themeFill="accent1" w:themeFillTint="33"/>
          </w:tcPr>
          <w:p w:rsidR="00812FFE" w:rsidRPr="00812FFE" w:rsidRDefault="00812FFE" w:rsidP="00812FFE">
            <w:pPr>
              <w:pStyle w:val="Bodytext"/>
              <w:numPr>
                <w:ilvl w:val="0"/>
                <w:numId w:val="0"/>
              </w:numPr>
              <w:tabs>
                <w:tab w:val="left" w:pos="884"/>
              </w:tabs>
              <w:spacing w:before="40" w:after="40" w:line="240" w:lineRule="auto"/>
              <w:ind w:left="-108"/>
              <w:rPr>
                <w:rStyle w:val="FootnoteReference"/>
                <w:rFonts w:ascii="Arial Narrow" w:hAnsi="Arial Narrow"/>
                <w:sz w:val="20"/>
                <w:szCs w:val="20"/>
              </w:rPr>
            </w:pPr>
            <w:r w:rsidRPr="008760FC">
              <w:rPr>
                <w:rStyle w:val="FootnoteReference"/>
                <w:rFonts w:ascii="Arial Narrow" w:hAnsi="Arial Narrow"/>
                <w:sz w:val="20"/>
                <w:szCs w:val="20"/>
              </w:rPr>
              <w:footnoteReference w:id="146"/>
            </w:r>
          </w:p>
          <w:p w:rsidR="00812FFE" w:rsidRPr="00812FFE" w:rsidRDefault="00812FFE" w:rsidP="00812FFE">
            <w:pPr>
              <w:pStyle w:val="Bodytext"/>
              <w:numPr>
                <w:ilvl w:val="0"/>
                <w:numId w:val="0"/>
              </w:numPr>
              <w:tabs>
                <w:tab w:val="left" w:pos="884"/>
              </w:tabs>
              <w:spacing w:before="40" w:after="40" w:line="240" w:lineRule="auto"/>
              <w:ind w:left="-108"/>
              <w:rPr>
                <w:rStyle w:val="FootnoteReference"/>
                <w:rFonts w:ascii="Arial Narrow" w:hAnsi="Arial Narrow"/>
                <w:sz w:val="20"/>
                <w:szCs w:val="20"/>
              </w:rPr>
            </w:pPr>
          </w:p>
        </w:tc>
        <w:tc>
          <w:tcPr>
            <w:tcW w:w="851" w:type="dxa"/>
            <w:tcBorders>
              <w:top w:val="nil"/>
              <w:left w:val="single" w:sz="4" w:space="0" w:color="auto"/>
              <w:bottom w:val="single" w:sz="4" w:space="0" w:color="auto"/>
              <w:right w:val="nil"/>
            </w:tcBorders>
            <w:shd w:val="clear" w:color="auto" w:fill="DBE5F1" w:themeFill="accent1" w:themeFillTint="33"/>
          </w:tcPr>
          <w:p w:rsidR="00812FFE" w:rsidRPr="008760FC" w:rsidRDefault="00812FFE" w:rsidP="005F2471">
            <w:pPr>
              <w:pStyle w:val="Bodytext"/>
              <w:numPr>
                <w:ilvl w:val="0"/>
                <w:numId w:val="0"/>
              </w:numPr>
              <w:spacing w:before="40" w:after="40" w:line="240" w:lineRule="auto"/>
              <w:ind w:right="-108"/>
              <w:jc w:val="right"/>
              <w:rPr>
                <w:rFonts w:ascii="Arial Narrow" w:hAnsi="Arial Narrow"/>
                <w:sz w:val="20"/>
                <w:szCs w:val="20"/>
              </w:rPr>
            </w:pPr>
            <w:r w:rsidRPr="008760FC">
              <w:rPr>
                <w:rFonts w:ascii="Arial Narrow" w:hAnsi="Arial Narrow"/>
                <w:sz w:val="20"/>
                <w:szCs w:val="20"/>
              </w:rPr>
              <w:t>255,844</w:t>
            </w:r>
            <w:r>
              <w:rPr>
                <w:rFonts w:ascii="Arial Narrow" w:hAnsi="Arial Narrow"/>
                <w:sz w:val="20"/>
                <w:szCs w:val="20"/>
              </w:rPr>
              <w:t xml:space="preserve"> </w:t>
            </w:r>
          </w:p>
        </w:tc>
        <w:tc>
          <w:tcPr>
            <w:tcW w:w="283" w:type="dxa"/>
            <w:tcBorders>
              <w:top w:val="nil"/>
              <w:left w:val="nil"/>
              <w:bottom w:val="single" w:sz="4" w:space="0" w:color="auto"/>
              <w:right w:val="single" w:sz="4" w:space="0" w:color="auto"/>
            </w:tcBorders>
            <w:shd w:val="clear" w:color="auto" w:fill="DBE5F1" w:themeFill="accent1" w:themeFillTint="33"/>
          </w:tcPr>
          <w:p w:rsidR="00812FFE" w:rsidRPr="005F2471" w:rsidRDefault="00812FFE" w:rsidP="005F2471">
            <w:pPr>
              <w:pStyle w:val="Bodytext"/>
              <w:numPr>
                <w:ilvl w:val="0"/>
                <w:numId w:val="0"/>
              </w:numPr>
              <w:tabs>
                <w:tab w:val="left" w:pos="884"/>
              </w:tabs>
              <w:spacing w:before="40" w:after="40" w:line="240" w:lineRule="auto"/>
              <w:ind w:left="-108"/>
              <w:rPr>
                <w:rStyle w:val="FootnoteReference"/>
                <w:rFonts w:ascii="Arial Narrow" w:hAnsi="Arial Narrow"/>
                <w:sz w:val="20"/>
                <w:szCs w:val="20"/>
              </w:rPr>
            </w:pPr>
            <w:r w:rsidRPr="008760FC">
              <w:rPr>
                <w:rStyle w:val="FootnoteReference"/>
                <w:rFonts w:ascii="Arial Narrow" w:hAnsi="Arial Narrow"/>
                <w:sz w:val="20"/>
                <w:szCs w:val="20"/>
              </w:rPr>
              <w:footnoteReference w:id="147"/>
            </w:r>
          </w:p>
        </w:tc>
        <w:tc>
          <w:tcPr>
            <w:tcW w:w="3934" w:type="dxa"/>
            <w:vMerge/>
            <w:tcBorders>
              <w:left w:val="single" w:sz="4" w:space="0" w:color="auto"/>
              <w:bottom w:val="single" w:sz="4" w:space="0" w:color="auto"/>
            </w:tcBorders>
            <w:shd w:val="clear" w:color="auto" w:fill="DBE5F1" w:themeFill="accent1" w:themeFillTint="33"/>
          </w:tcPr>
          <w:p w:rsidR="00812FFE" w:rsidRPr="008760FC" w:rsidRDefault="00812FFE" w:rsidP="000C21DA">
            <w:pPr>
              <w:pStyle w:val="Bodytext"/>
              <w:numPr>
                <w:ilvl w:val="0"/>
                <w:numId w:val="0"/>
              </w:numPr>
              <w:spacing w:before="40" w:after="40" w:line="240" w:lineRule="auto"/>
              <w:rPr>
                <w:rFonts w:ascii="Arial Narrow" w:hAnsi="Arial Narrow"/>
                <w:i/>
                <w:iCs/>
                <w:sz w:val="20"/>
                <w:szCs w:val="20"/>
              </w:rPr>
            </w:pPr>
          </w:p>
        </w:tc>
      </w:tr>
      <w:tr w:rsidR="00812FFE" w:rsidTr="00DD1363">
        <w:tc>
          <w:tcPr>
            <w:tcW w:w="1276" w:type="dxa"/>
            <w:shd w:val="clear" w:color="auto" w:fill="C6D9F1" w:themeFill="text2" w:themeFillTint="33"/>
          </w:tcPr>
          <w:p w:rsidR="00812FFE" w:rsidRPr="008760FC" w:rsidRDefault="00812FFE" w:rsidP="008760FC">
            <w:pPr>
              <w:pStyle w:val="Bodytext"/>
              <w:numPr>
                <w:ilvl w:val="0"/>
                <w:numId w:val="0"/>
              </w:numPr>
              <w:spacing w:before="40" w:after="40" w:line="240" w:lineRule="auto"/>
              <w:ind w:left="176"/>
              <w:rPr>
                <w:rFonts w:ascii="Arial Narrow" w:hAnsi="Arial Narrow"/>
                <w:sz w:val="20"/>
                <w:szCs w:val="20"/>
              </w:rPr>
            </w:pPr>
            <w:r w:rsidRPr="008760FC">
              <w:rPr>
                <w:rFonts w:ascii="Arial Narrow" w:hAnsi="Arial Narrow"/>
                <w:sz w:val="20"/>
                <w:szCs w:val="20"/>
              </w:rPr>
              <w:t>QLD</w:t>
            </w:r>
          </w:p>
        </w:tc>
        <w:tc>
          <w:tcPr>
            <w:tcW w:w="992" w:type="dxa"/>
            <w:tcBorders>
              <w:top w:val="single" w:sz="4" w:space="0" w:color="auto"/>
            </w:tcBorders>
            <w:shd w:val="clear" w:color="auto" w:fill="C6D9F1" w:themeFill="text2" w:themeFillTint="33"/>
          </w:tcPr>
          <w:p w:rsidR="00812FFE" w:rsidRPr="008760FC" w:rsidRDefault="00812FFE" w:rsidP="008760FC">
            <w:pPr>
              <w:pStyle w:val="Bodytext"/>
              <w:numPr>
                <w:ilvl w:val="0"/>
                <w:numId w:val="0"/>
              </w:numPr>
              <w:spacing w:before="40" w:after="40" w:line="240" w:lineRule="auto"/>
              <w:jc w:val="center"/>
              <w:rPr>
                <w:rFonts w:ascii="Arial Narrow" w:hAnsi="Arial Narrow"/>
                <w:sz w:val="20"/>
                <w:szCs w:val="20"/>
              </w:rPr>
            </w:pPr>
            <w:r w:rsidRPr="008760FC">
              <w:rPr>
                <w:rFonts w:ascii="Arial Narrow" w:hAnsi="Arial Narrow"/>
                <w:sz w:val="20"/>
                <w:szCs w:val="20"/>
              </w:rPr>
              <w:t>No</w:t>
            </w:r>
          </w:p>
        </w:tc>
        <w:tc>
          <w:tcPr>
            <w:tcW w:w="851" w:type="dxa"/>
            <w:tcBorders>
              <w:top w:val="single" w:sz="4" w:space="0" w:color="auto"/>
              <w:bottom w:val="single" w:sz="4" w:space="0" w:color="auto"/>
              <w:right w:val="nil"/>
            </w:tcBorders>
            <w:shd w:val="clear" w:color="auto" w:fill="C6D9F1" w:themeFill="text2" w:themeFillTint="33"/>
          </w:tcPr>
          <w:p w:rsidR="00812FFE" w:rsidRDefault="00812FFE" w:rsidP="00812FFE">
            <w:pPr>
              <w:pStyle w:val="Bodytext"/>
              <w:numPr>
                <w:ilvl w:val="0"/>
                <w:numId w:val="0"/>
              </w:numPr>
              <w:spacing w:before="40" w:after="40" w:line="240" w:lineRule="auto"/>
              <w:ind w:right="-108"/>
              <w:jc w:val="right"/>
              <w:rPr>
                <w:rFonts w:ascii="Arial Narrow" w:hAnsi="Arial Narrow"/>
                <w:sz w:val="20"/>
                <w:szCs w:val="20"/>
              </w:rPr>
            </w:pPr>
            <w:r w:rsidRPr="008760FC">
              <w:rPr>
                <w:rFonts w:ascii="Arial Narrow" w:hAnsi="Arial Narrow"/>
                <w:sz w:val="20"/>
                <w:szCs w:val="20"/>
              </w:rPr>
              <w:t>2.1</w:t>
            </w:r>
            <w:r>
              <w:rPr>
                <w:rFonts w:ascii="Arial Narrow" w:hAnsi="Arial Narrow"/>
                <w:sz w:val="20"/>
                <w:szCs w:val="20"/>
              </w:rPr>
              <w:t xml:space="preserve"> </w:t>
            </w:r>
          </w:p>
        </w:tc>
        <w:tc>
          <w:tcPr>
            <w:tcW w:w="425" w:type="dxa"/>
            <w:tcBorders>
              <w:top w:val="single" w:sz="4" w:space="0" w:color="auto"/>
              <w:left w:val="nil"/>
              <w:bottom w:val="single" w:sz="4" w:space="0" w:color="auto"/>
              <w:right w:val="single" w:sz="4" w:space="0" w:color="auto"/>
            </w:tcBorders>
            <w:shd w:val="clear" w:color="auto" w:fill="C6D9F1" w:themeFill="text2" w:themeFillTint="33"/>
          </w:tcPr>
          <w:p w:rsidR="00812FFE" w:rsidRPr="00812FFE" w:rsidRDefault="00812FFE" w:rsidP="00812FFE">
            <w:pPr>
              <w:pStyle w:val="Bodytext"/>
              <w:numPr>
                <w:ilvl w:val="0"/>
                <w:numId w:val="0"/>
              </w:numPr>
              <w:tabs>
                <w:tab w:val="left" w:pos="884"/>
              </w:tabs>
              <w:spacing w:before="40" w:after="40" w:line="240" w:lineRule="auto"/>
              <w:ind w:left="-108"/>
              <w:rPr>
                <w:rStyle w:val="FootnoteReference"/>
                <w:rFonts w:ascii="Arial Narrow" w:hAnsi="Arial Narrow"/>
                <w:sz w:val="20"/>
                <w:szCs w:val="20"/>
              </w:rPr>
            </w:pPr>
            <w:r w:rsidRPr="008760FC">
              <w:rPr>
                <w:rStyle w:val="FootnoteReference"/>
                <w:rFonts w:ascii="Arial Narrow" w:hAnsi="Arial Narrow"/>
                <w:sz w:val="20"/>
                <w:szCs w:val="20"/>
              </w:rPr>
              <w:footnoteReference w:id="148"/>
            </w:r>
          </w:p>
        </w:tc>
        <w:tc>
          <w:tcPr>
            <w:tcW w:w="851" w:type="dxa"/>
            <w:tcBorders>
              <w:left w:val="single" w:sz="4" w:space="0" w:color="auto"/>
              <w:bottom w:val="single" w:sz="4" w:space="0" w:color="auto"/>
              <w:right w:val="nil"/>
            </w:tcBorders>
            <w:shd w:val="clear" w:color="auto" w:fill="C6D9F1" w:themeFill="text2" w:themeFillTint="33"/>
          </w:tcPr>
          <w:p w:rsidR="00812FFE" w:rsidRPr="008760FC" w:rsidRDefault="00812FFE" w:rsidP="005F2471">
            <w:pPr>
              <w:pStyle w:val="Bodytext"/>
              <w:numPr>
                <w:ilvl w:val="0"/>
                <w:numId w:val="0"/>
              </w:numPr>
              <w:spacing w:before="40" w:after="40" w:line="240" w:lineRule="auto"/>
              <w:ind w:right="-108"/>
              <w:jc w:val="right"/>
              <w:rPr>
                <w:rFonts w:ascii="Arial Narrow" w:hAnsi="Arial Narrow"/>
                <w:sz w:val="20"/>
                <w:szCs w:val="20"/>
              </w:rPr>
            </w:pPr>
            <w:r w:rsidRPr="008760FC">
              <w:rPr>
                <w:rFonts w:ascii="Arial Narrow" w:hAnsi="Arial Narrow"/>
                <w:sz w:val="20"/>
                <w:szCs w:val="20"/>
              </w:rPr>
              <w:t xml:space="preserve"> 228,865</w:t>
            </w:r>
          </w:p>
        </w:tc>
        <w:tc>
          <w:tcPr>
            <w:tcW w:w="283" w:type="dxa"/>
            <w:tcBorders>
              <w:top w:val="single" w:sz="4" w:space="0" w:color="auto"/>
              <w:left w:val="nil"/>
              <w:bottom w:val="single" w:sz="4" w:space="0" w:color="auto"/>
              <w:right w:val="single" w:sz="4" w:space="0" w:color="auto"/>
            </w:tcBorders>
            <w:shd w:val="clear" w:color="auto" w:fill="C6D9F1" w:themeFill="text2" w:themeFillTint="33"/>
          </w:tcPr>
          <w:p w:rsidR="00812FFE" w:rsidRPr="005F2471" w:rsidRDefault="00812FFE" w:rsidP="005F2471">
            <w:pPr>
              <w:pStyle w:val="Bodytext"/>
              <w:numPr>
                <w:ilvl w:val="0"/>
                <w:numId w:val="0"/>
              </w:numPr>
              <w:tabs>
                <w:tab w:val="left" w:pos="884"/>
              </w:tabs>
              <w:spacing w:before="40" w:after="40" w:line="240" w:lineRule="auto"/>
              <w:ind w:left="-108"/>
              <w:rPr>
                <w:rStyle w:val="FootnoteReference"/>
              </w:rPr>
            </w:pPr>
          </w:p>
        </w:tc>
        <w:tc>
          <w:tcPr>
            <w:tcW w:w="3934" w:type="dxa"/>
            <w:tcBorders>
              <w:left w:val="single" w:sz="4" w:space="0" w:color="auto"/>
            </w:tcBorders>
            <w:shd w:val="clear" w:color="auto" w:fill="C6D9F1" w:themeFill="text2" w:themeFillTint="33"/>
          </w:tcPr>
          <w:p w:rsidR="00812FFE" w:rsidRPr="008760FC" w:rsidRDefault="00812FFE" w:rsidP="008760FC">
            <w:pPr>
              <w:pStyle w:val="Bodytext"/>
              <w:numPr>
                <w:ilvl w:val="0"/>
                <w:numId w:val="0"/>
              </w:numPr>
              <w:spacing w:before="40" w:after="40" w:line="240" w:lineRule="auto"/>
              <w:rPr>
                <w:rFonts w:ascii="Arial Narrow" w:hAnsi="Arial Narrow"/>
                <w:sz w:val="20"/>
                <w:szCs w:val="20"/>
              </w:rPr>
            </w:pPr>
            <w:r w:rsidRPr="008760FC">
              <w:rPr>
                <w:rFonts w:ascii="Arial Narrow" w:hAnsi="Arial Narrow"/>
                <w:sz w:val="20"/>
                <w:szCs w:val="20"/>
              </w:rPr>
              <w:t xml:space="preserve">While no equivalent to the ACT Employment Strategy, individual agencies responsible for ensuring diversity in the public sector workforce. </w:t>
            </w:r>
          </w:p>
        </w:tc>
      </w:tr>
      <w:tr w:rsidR="00812FFE" w:rsidTr="00DD1363">
        <w:trPr>
          <w:trHeight w:val="387"/>
        </w:trPr>
        <w:tc>
          <w:tcPr>
            <w:tcW w:w="1276" w:type="dxa"/>
            <w:vMerge w:val="restart"/>
            <w:shd w:val="clear" w:color="auto" w:fill="DBE5F1" w:themeFill="accent1" w:themeFillTint="33"/>
          </w:tcPr>
          <w:p w:rsidR="00812FFE" w:rsidRPr="008760FC" w:rsidRDefault="00812FFE" w:rsidP="008760FC">
            <w:pPr>
              <w:pStyle w:val="Bodytext"/>
              <w:numPr>
                <w:ilvl w:val="0"/>
                <w:numId w:val="0"/>
              </w:numPr>
              <w:spacing w:before="40" w:after="40" w:line="240" w:lineRule="auto"/>
              <w:ind w:left="176"/>
              <w:rPr>
                <w:rFonts w:ascii="Arial Narrow" w:hAnsi="Arial Narrow"/>
                <w:sz w:val="20"/>
                <w:szCs w:val="20"/>
              </w:rPr>
            </w:pPr>
            <w:r w:rsidRPr="008760FC">
              <w:rPr>
                <w:rFonts w:ascii="Arial Narrow" w:hAnsi="Arial Narrow"/>
                <w:sz w:val="20"/>
                <w:szCs w:val="20"/>
              </w:rPr>
              <w:t>SA</w:t>
            </w:r>
          </w:p>
        </w:tc>
        <w:tc>
          <w:tcPr>
            <w:tcW w:w="992" w:type="dxa"/>
            <w:vMerge w:val="restart"/>
            <w:shd w:val="clear" w:color="auto" w:fill="DBE5F1" w:themeFill="accent1" w:themeFillTint="33"/>
          </w:tcPr>
          <w:p w:rsidR="00812FFE" w:rsidRPr="008760FC" w:rsidRDefault="00812FFE" w:rsidP="008760FC">
            <w:pPr>
              <w:pStyle w:val="Bodytext"/>
              <w:numPr>
                <w:ilvl w:val="0"/>
                <w:numId w:val="0"/>
              </w:numPr>
              <w:spacing w:before="40" w:after="40" w:line="240" w:lineRule="auto"/>
              <w:jc w:val="center"/>
              <w:rPr>
                <w:rFonts w:ascii="Arial Narrow" w:hAnsi="Arial Narrow"/>
                <w:sz w:val="20"/>
                <w:szCs w:val="20"/>
              </w:rPr>
            </w:pPr>
            <w:r w:rsidRPr="008760FC">
              <w:rPr>
                <w:rFonts w:ascii="Arial Narrow" w:hAnsi="Arial Narrow"/>
                <w:sz w:val="20"/>
                <w:szCs w:val="20"/>
              </w:rPr>
              <w:t>Yes</w:t>
            </w:r>
          </w:p>
        </w:tc>
        <w:tc>
          <w:tcPr>
            <w:tcW w:w="851" w:type="dxa"/>
            <w:tcBorders>
              <w:bottom w:val="nil"/>
              <w:right w:val="nil"/>
            </w:tcBorders>
            <w:shd w:val="clear" w:color="auto" w:fill="DBE5F1" w:themeFill="accent1" w:themeFillTint="33"/>
          </w:tcPr>
          <w:p w:rsidR="00812FFE" w:rsidRDefault="00812FFE" w:rsidP="00812FFE">
            <w:pPr>
              <w:pStyle w:val="Bodytext"/>
              <w:numPr>
                <w:ilvl w:val="0"/>
                <w:numId w:val="0"/>
              </w:numPr>
              <w:spacing w:before="40" w:after="40" w:line="240" w:lineRule="auto"/>
              <w:ind w:right="-108"/>
              <w:jc w:val="right"/>
              <w:rPr>
                <w:rFonts w:ascii="Arial Narrow" w:hAnsi="Arial Narrow"/>
                <w:sz w:val="20"/>
                <w:szCs w:val="20"/>
              </w:rPr>
            </w:pPr>
            <w:r>
              <w:rPr>
                <w:rFonts w:ascii="Arial Narrow" w:hAnsi="Arial Narrow"/>
                <w:sz w:val="20"/>
                <w:szCs w:val="20"/>
              </w:rPr>
              <w:t xml:space="preserve">2.18 </w:t>
            </w:r>
          </w:p>
          <w:p w:rsidR="00812FFE" w:rsidRDefault="00812FFE" w:rsidP="00812FFE">
            <w:pPr>
              <w:pStyle w:val="Bodytext"/>
              <w:numPr>
                <w:ilvl w:val="0"/>
                <w:numId w:val="0"/>
              </w:numPr>
              <w:spacing w:before="40" w:after="40" w:line="240" w:lineRule="auto"/>
              <w:ind w:right="-108"/>
              <w:jc w:val="right"/>
              <w:rPr>
                <w:rFonts w:ascii="Arial Narrow" w:hAnsi="Arial Narrow"/>
                <w:sz w:val="20"/>
                <w:szCs w:val="20"/>
              </w:rPr>
            </w:pPr>
          </w:p>
        </w:tc>
        <w:tc>
          <w:tcPr>
            <w:tcW w:w="425" w:type="dxa"/>
            <w:tcBorders>
              <w:top w:val="single" w:sz="4" w:space="0" w:color="auto"/>
              <w:left w:val="nil"/>
              <w:bottom w:val="nil"/>
              <w:right w:val="single" w:sz="4" w:space="0" w:color="auto"/>
            </w:tcBorders>
            <w:shd w:val="clear" w:color="auto" w:fill="DBE5F1" w:themeFill="accent1" w:themeFillTint="33"/>
          </w:tcPr>
          <w:p w:rsidR="00812FFE" w:rsidRPr="00812FFE" w:rsidRDefault="00812FFE" w:rsidP="00812FFE">
            <w:pPr>
              <w:pStyle w:val="Bodytext"/>
              <w:numPr>
                <w:ilvl w:val="0"/>
                <w:numId w:val="0"/>
              </w:numPr>
              <w:tabs>
                <w:tab w:val="left" w:pos="884"/>
              </w:tabs>
              <w:spacing w:before="40" w:after="40" w:line="240" w:lineRule="auto"/>
              <w:ind w:left="-108"/>
              <w:rPr>
                <w:rStyle w:val="FootnoteReference"/>
              </w:rPr>
            </w:pPr>
            <w:r>
              <w:rPr>
                <w:rStyle w:val="FootnoteReference"/>
                <w:rFonts w:ascii="Arial Narrow" w:hAnsi="Arial Narrow"/>
                <w:sz w:val="20"/>
                <w:szCs w:val="20"/>
              </w:rPr>
              <w:footnoteReference w:id="149"/>
            </w:r>
          </w:p>
        </w:tc>
        <w:tc>
          <w:tcPr>
            <w:tcW w:w="851" w:type="dxa"/>
            <w:tcBorders>
              <w:left w:val="single" w:sz="4" w:space="0" w:color="auto"/>
              <w:bottom w:val="nil"/>
              <w:right w:val="nil"/>
            </w:tcBorders>
            <w:shd w:val="clear" w:color="auto" w:fill="DBE5F1" w:themeFill="accent1" w:themeFillTint="33"/>
          </w:tcPr>
          <w:p w:rsidR="00812FFE" w:rsidRDefault="00812FFE" w:rsidP="005F2471">
            <w:pPr>
              <w:pStyle w:val="Bodytext"/>
              <w:numPr>
                <w:ilvl w:val="0"/>
                <w:numId w:val="0"/>
              </w:numPr>
              <w:spacing w:before="40" w:after="40" w:line="240" w:lineRule="auto"/>
              <w:ind w:right="-108"/>
              <w:jc w:val="right"/>
              <w:rPr>
                <w:rFonts w:ascii="Arial Narrow" w:hAnsi="Arial Narrow"/>
                <w:sz w:val="20"/>
                <w:szCs w:val="20"/>
              </w:rPr>
            </w:pPr>
            <w:r>
              <w:rPr>
                <w:rFonts w:ascii="Arial Narrow" w:hAnsi="Arial Narrow"/>
                <w:sz w:val="20"/>
                <w:szCs w:val="20"/>
              </w:rPr>
              <w:t>56,301</w:t>
            </w:r>
          </w:p>
          <w:p w:rsidR="00812FFE" w:rsidRDefault="00812FFE" w:rsidP="005F2471">
            <w:pPr>
              <w:pStyle w:val="Bodytext"/>
              <w:numPr>
                <w:ilvl w:val="0"/>
                <w:numId w:val="0"/>
              </w:numPr>
              <w:spacing w:before="40" w:after="40" w:line="240" w:lineRule="auto"/>
              <w:ind w:right="-108"/>
              <w:jc w:val="right"/>
              <w:rPr>
                <w:rFonts w:ascii="Arial Narrow" w:hAnsi="Arial Narrow"/>
                <w:sz w:val="20"/>
                <w:szCs w:val="20"/>
              </w:rPr>
            </w:pPr>
          </w:p>
        </w:tc>
        <w:tc>
          <w:tcPr>
            <w:tcW w:w="283" w:type="dxa"/>
            <w:tcBorders>
              <w:top w:val="single" w:sz="4" w:space="0" w:color="auto"/>
              <w:left w:val="nil"/>
              <w:bottom w:val="nil"/>
              <w:right w:val="single" w:sz="4" w:space="0" w:color="auto"/>
            </w:tcBorders>
            <w:shd w:val="clear" w:color="auto" w:fill="DBE5F1" w:themeFill="accent1" w:themeFillTint="33"/>
          </w:tcPr>
          <w:p w:rsidR="00812FFE" w:rsidRPr="005F2471" w:rsidRDefault="00812FFE" w:rsidP="005F2471">
            <w:pPr>
              <w:pStyle w:val="Bodytext"/>
              <w:numPr>
                <w:ilvl w:val="0"/>
                <w:numId w:val="0"/>
              </w:numPr>
              <w:tabs>
                <w:tab w:val="left" w:pos="884"/>
              </w:tabs>
              <w:spacing w:before="40" w:after="40" w:line="240" w:lineRule="auto"/>
              <w:ind w:left="-108"/>
              <w:rPr>
                <w:rStyle w:val="FootnoteReference"/>
              </w:rPr>
            </w:pPr>
          </w:p>
        </w:tc>
        <w:tc>
          <w:tcPr>
            <w:tcW w:w="3934" w:type="dxa"/>
            <w:vMerge w:val="restart"/>
            <w:tcBorders>
              <w:left w:val="single" w:sz="4" w:space="0" w:color="auto"/>
            </w:tcBorders>
            <w:shd w:val="clear" w:color="auto" w:fill="DBE5F1" w:themeFill="accent1" w:themeFillTint="33"/>
          </w:tcPr>
          <w:p w:rsidR="00812FFE" w:rsidRPr="008760FC" w:rsidRDefault="00812FFE" w:rsidP="008760FC">
            <w:pPr>
              <w:pStyle w:val="Bodytext"/>
              <w:numPr>
                <w:ilvl w:val="0"/>
                <w:numId w:val="0"/>
              </w:numPr>
              <w:spacing w:before="40" w:after="40" w:line="240" w:lineRule="auto"/>
              <w:rPr>
                <w:rFonts w:ascii="Arial Narrow" w:hAnsi="Arial Narrow"/>
                <w:sz w:val="20"/>
                <w:szCs w:val="20"/>
              </w:rPr>
            </w:pPr>
            <w:r w:rsidRPr="008760FC">
              <w:rPr>
                <w:rFonts w:ascii="Arial Narrow" w:hAnsi="Arial Narrow"/>
                <w:sz w:val="20"/>
                <w:szCs w:val="20"/>
              </w:rPr>
              <w:t xml:space="preserve">Previous strategy was reviewed by WISeR.  The Public Service Commission was disbanded in 2011. </w:t>
            </w:r>
            <w:r w:rsidR="00550609">
              <w:rPr>
                <w:rFonts w:ascii="Arial Narrow" w:hAnsi="Arial Narrow"/>
                <w:sz w:val="20"/>
                <w:szCs w:val="20"/>
              </w:rPr>
              <w:t xml:space="preserve"> Smaller figure is for the Public Service and larger figure is for the public sector</w:t>
            </w:r>
          </w:p>
        </w:tc>
      </w:tr>
      <w:tr w:rsidR="00812FFE" w:rsidTr="00DD1363">
        <w:trPr>
          <w:trHeight w:val="387"/>
        </w:trPr>
        <w:tc>
          <w:tcPr>
            <w:tcW w:w="1276" w:type="dxa"/>
            <w:vMerge/>
            <w:tcBorders>
              <w:bottom w:val="single" w:sz="4" w:space="0" w:color="auto"/>
            </w:tcBorders>
            <w:shd w:val="clear" w:color="auto" w:fill="DBE5F1" w:themeFill="accent1" w:themeFillTint="33"/>
          </w:tcPr>
          <w:p w:rsidR="00812FFE" w:rsidRPr="008760FC" w:rsidRDefault="00812FFE" w:rsidP="008760FC">
            <w:pPr>
              <w:pStyle w:val="Bodytext"/>
              <w:numPr>
                <w:ilvl w:val="0"/>
                <w:numId w:val="0"/>
              </w:numPr>
              <w:spacing w:before="40" w:after="40" w:line="240" w:lineRule="auto"/>
              <w:ind w:left="176"/>
              <w:rPr>
                <w:rFonts w:ascii="Arial Narrow" w:hAnsi="Arial Narrow"/>
                <w:sz w:val="20"/>
                <w:szCs w:val="20"/>
              </w:rPr>
            </w:pPr>
          </w:p>
        </w:tc>
        <w:tc>
          <w:tcPr>
            <w:tcW w:w="992" w:type="dxa"/>
            <w:vMerge/>
            <w:tcBorders>
              <w:bottom w:val="single" w:sz="4" w:space="0" w:color="auto"/>
            </w:tcBorders>
            <w:shd w:val="clear" w:color="auto" w:fill="DBE5F1" w:themeFill="accent1" w:themeFillTint="33"/>
          </w:tcPr>
          <w:p w:rsidR="00812FFE" w:rsidRPr="008760FC" w:rsidRDefault="00812FFE" w:rsidP="008760FC">
            <w:pPr>
              <w:pStyle w:val="Bodytext"/>
              <w:numPr>
                <w:ilvl w:val="0"/>
                <w:numId w:val="0"/>
              </w:numPr>
              <w:spacing w:before="40" w:after="40" w:line="240" w:lineRule="auto"/>
              <w:jc w:val="center"/>
              <w:rPr>
                <w:rFonts w:ascii="Arial Narrow" w:hAnsi="Arial Narrow"/>
                <w:sz w:val="20"/>
                <w:szCs w:val="20"/>
              </w:rPr>
            </w:pPr>
          </w:p>
        </w:tc>
        <w:tc>
          <w:tcPr>
            <w:tcW w:w="851" w:type="dxa"/>
            <w:tcBorders>
              <w:top w:val="nil"/>
              <w:bottom w:val="single" w:sz="4" w:space="0" w:color="auto"/>
              <w:right w:val="nil"/>
            </w:tcBorders>
            <w:shd w:val="clear" w:color="auto" w:fill="DBE5F1" w:themeFill="accent1" w:themeFillTint="33"/>
          </w:tcPr>
          <w:p w:rsidR="00812FFE" w:rsidRDefault="00812FFE" w:rsidP="00812FFE">
            <w:pPr>
              <w:pStyle w:val="Bodytext"/>
              <w:numPr>
                <w:ilvl w:val="0"/>
                <w:numId w:val="0"/>
              </w:numPr>
              <w:spacing w:before="40" w:after="40" w:line="240" w:lineRule="auto"/>
              <w:ind w:right="-108"/>
              <w:jc w:val="right"/>
              <w:rPr>
                <w:rFonts w:ascii="Arial Narrow" w:hAnsi="Arial Narrow"/>
                <w:sz w:val="20"/>
                <w:szCs w:val="20"/>
              </w:rPr>
            </w:pPr>
            <w:r>
              <w:rPr>
                <w:rFonts w:ascii="Arial Narrow" w:hAnsi="Arial Narrow"/>
                <w:sz w:val="20"/>
                <w:szCs w:val="20"/>
              </w:rPr>
              <w:t>1.66</w:t>
            </w:r>
          </w:p>
        </w:tc>
        <w:tc>
          <w:tcPr>
            <w:tcW w:w="425" w:type="dxa"/>
            <w:tcBorders>
              <w:top w:val="nil"/>
              <w:left w:val="nil"/>
              <w:bottom w:val="single" w:sz="4" w:space="0" w:color="auto"/>
              <w:right w:val="single" w:sz="4" w:space="0" w:color="auto"/>
            </w:tcBorders>
            <w:shd w:val="clear" w:color="auto" w:fill="DBE5F1" w:themeFill="accent1" w:themeFillTint="33"/>
          </w:tcPr>
          <w:p w:rsidR="00812FFE" w:rsidRPr="00812FFE" w:rsidRDefault="00812FFE" w:rsidP="00812FFE">
            <w:pPr>
              <w:pStyle w:val="Bodytext"/>
              <w:numPr>
                <w:ilvl w:val="0"/>
                <w:numId w:val="0"/>
              </w:numPr>
              <w:tabs>
                <w:tab w:val="left" w:pos="884"/>
              </w:tabs>
              <w:spacing w:before="40" w:after="40" w:line="240" w:lineRule="auto"/>
              <w:ind w:left="-108"/>
              <w:rPr>
                <w:rStyle w:val="FootnoteReference"/>
              </w:rPr>
            </w:pPr>
          </w:p>
        </w:tc>
        <w:tc>
          <w:tcPr>
            <w:tcW w:w="851" w:type="dxa"/>
            <w:tcBorders>
              <w:top w:val="nil"/>
              <w:left w:val="single" w:sz="4" w:space="0" w:color="auto"/>
              <w:bottom w:val="single" w:sz="4" w:space="0" w:color="auto"/>
              <w:right w:val="nil"/>
            </w:tcBorders>
            <w:shd w:val="clear" w:color="auto" w:fill="DBE5F1" w:themeFill="accent1" w:themeFillTint="33"/>
          </w:tcPr>
          <w:p w:rsidR="00812FFE" w:rsidRDefault="00812FFE" w:rsidP="005F2471">
            <w:pPr>
              <w:pStyle w:val="Bodytext"/>
              <w:numPr>
                <w:ilvl w:val="0"/>
                <w:numId w:val="0"/>
              </w:numPr>
              <w:spacing w:before="40" w:after="40" w:line="240" w:lineRule="auto"/>
              <w:ind w:right="-108"/>
              <w:jc w:val="right"/>
              <w:rPr>
                <w:rFonts w:ascii="Arial Narrow" w:hAnsi="Arial Narrow"/>
                <w:sz w:val="20"/>
                <w:szCs w:val="20"/>
              </w:rPr>
            </w:pPr>
            <w:r>
              <w:rPr>
                <w:rFonts w:ascii="Arial Narrow" w:hAnsi="Arial Narrow"/>
                <w:sz w:val="20"/>
                <w:szCs w:val="20"/>
              </w:rPr>
              <w:t>104,262</w:t>
            </w:r>
          </w:p>
        </w:tc>
        <w:tc>
          <w:tcPr>
            <w:tcW w:w="283" w:type="dxa"/>
            <w:tcBorders>
              <w:top w:val="nil"/>
              <w:left w:val="nil"/>
              <w:bottom w:val="single" w:sz="4" w:space="0" w:color="auto"/>
              <w:right w:val="single" w:sz="4" w:space="0" w:color="auto"/>
            </w:tcBorders>
            <w:shd w:val="clear" w:color="auto" w:fill="DBE5F1" w:themeFill="accent1" w:themeFillTint="33"/>
          </w:tcPr>
          <w:p w:rsidR="00812FFE" w:rsidRPr="005F2471" w:rsidRDefault="00812FFE" w:rsidP="005F2471">
            <w:pPr>
              <w:pStyle w:val="Bodytext"/>
              <w:numPr>
                <w:ilvl w:val="0"/>
                <w:numId w:val="0"/>
              </w:numPr>
              <w:tabs>
                <w:tab w:val="left" w:pos="884"/>
              </w:tabs>
              <w:spacing w:before="40" w:after="40" w:line="240" w:lineRule="auto"/>
              <w:ind w:left="-108"/>
              <w:rPr>
                <w:rStyle w:val="FootnoteReference"/>
              </w:rPr>
            </w:pPr>
          </w:p>
        </w:tc>
        <w:tc>
          <w:tcPr>
            <w:tcW w:w="3934" w:type="dxa"/>
            <w:vMerge/>
            <w:tcBorders>
              <w:left w:val="single" w:sz="4" w:space="0" w:color="auto"/>
              <w:bottom w:val="single" w:sz="4" w:space="0" w:color="auto"/>
            </w:tcBorders>
            <w:shd w:val="clear" w:color="auto" w:fill="DBE5F1" w:themeFill="accent1" w:themeFillTint="33"/>
          </w:tcPr>
          <w:p w:rsidR="00812FFE" w:rsidRPr="008760FC" w:rsidRDefault="00812FFE" w:rsidP="008760FC">
            <w:pPr>
              <w:pStyle w:val="Bodytext"/>
              <w:numPr>
                <w:ilvl w:val="0"/>
                <w:numId w:val="0"/>
              </w:numPr>
              <w:spacing w:before="40" w:after="40" w:line="240" w:lineRule="auto"/>
              <w:rPr>
                <w:rFonts w:ascii="Arial Narrow" w:hAnsi="Arial Narrow"/>
                <w:sz w:val="20"/>
                <w:szCs w:val="20"/>
              </w:rPr>
            </w:pPr>
          </w:p>
        </w:tc>
      </w:tr>
      <w:tr w:rsidR="00812FFE" w:rsidTr="00DD1363">
        <w:tc>
          <w:tcPr>
            <w:tcW w:w="1276" w:type="dxa"/>
            <w:tcBorders>
              <w:bottom w:val="single" w:sz="4" w:space="0" w:color="auto"/>
            </w:tcBorders>
            <w:shd w:val="clear" w:color="auto" w:fill="C6D9F1" w:themeFill="text2" w:themeFillTint="33"/>
          </w:tcPr>
          <w:p w:rsidR="00812FFE" w:rsidRPr="008760FC" w:rsidRDefault="00812FFE" w:rsidP="00262F66">
            <w:pPr>
              <w:pStyle w:val="Bodytext"/>
              <w:numPr>
                <w:ilvl w:val="0"/>
                <w:numId w:val="0"/>
              </w:numPr>
              <w:spacing w:before="40" w:after="40" w:line="240" w:lineRule="auto"/>
              <w:ind w:left="176"/>
              <w:rPr>
                <w:rFonts w:ascii="Arial Narrow" w:hAnsi="Arial Narrow"/>
                <w:sz w:val="20"/>
                <w:szCs w:val="20"/>
              </w:rPr>
            </w:pPr>
            <w:r w:rsidRPr="008760FC">
              <w:rPr>
                <w:rFonts w:ascii="Arial Narrow" w:hAnsi="Arial Narrow"/>
                <w:sz w:val="20"/>
                <w:szCs w:val="20"/>
              </w:rPr>
              <w:t>WA</w:t>
            </w:r>
          </w:p>
        </w:tc>
        <w:tc>
          <w:tcPr>
            <w:tcW w:w="992" w:type="dxa"/>
            <w:tcBorders>
              <w:bottom w:val="single" w:sz="4" w:space="0" w:color="auto"/>
            </w:tcBorders>
            <w:shd w:val="clear" w:color="auto" w:fill="C6D9F1" w:themeFill="text2" w:themeFillTint="33"/>
          </w:tcPr>
          <w:p w:rsidR="00812FFE" w:rsidRPr="008760FC" w:rsidRDefault="00812FFE" w:rsidP="00262F66">
            <w:pPr>
              <w:pStyle w:val="Bodytext"/>
              <w:numPr>
                <w:ilvl w:val="0"/>
                <w:numId w:val="0"/>
              </w:numPr>
              <w:spacing w:before="40" w:after="40" w:line="240" w:lineRule="auto"/>
              <w:jc w:val="center"/>
              <w:rPr>
                <w:rFonts w:ascii="Arial Narrow" w:hAnsi="Arial Narrow"/>
                <w:sz w:val="20"/>
                <w:szCs w:val="20"/>
              </w:rPr>
            </w:pPr>
            <w:r w:rsidRPr="008760FC">
              <w:rPr>
                <w:rFonts w:ascii="Arial Narrow" w:hAnsi="Arial Narrow"/>
                <w:sz w:val="20"/>
                <w:szCs w:val="20"/>
              </w:rPr>
              <w:t>Yes</w:t>
            </w:r>
          </w:p>
        </w:tc>
        <w:tc>
          <w:tcPr>
            <w:tcW w:w="851" w:type="dxa"/>
            <w:tcBorders>
              <w:bottom w:val="single" w:sz="4" w:space="0" w:color="auto"/>
              <w:right w:val="nil"/>
            </w:tcBorders>
            <w:shd w:val="clear" w:color="auto" w:fill="C6D9F1" w:themeFill="text2" w:themeFillTint="33"/>
          </w:tcPr>
          <w:p w:rsidR="00812FFE" w:rsidRDefault="00812FFE" w:rsidP="00812FFE">
            <w:pPr>
              <w:pStyle w:val="Bodytext"/>
              <w:numPr>
                <w:ilvl w:val="0"/>
                <w:numId w:val="0"/>
              </w:numPr>
              <w:spacing w:before="40" w:after="40" w:line="240" w:lineRule="auto"/>
              <w:ind w:right="-108"/>
              <w:jc w:val="right"/>
              <w:rPr>
                <w:rFonts w:ascii="Arial Narrow" w:hAnsi="Arial Narrow"/>
                <w:sz w:val="20"/>
                <w:szCs w:val="20"/>
              </w:rPr>
            </w:pPr>
            <w:r w:rsidRPr="008760FC">
              <w:rPr>
                <w:rFonts w:ascii="Arial Narrow" w:hAnsi="Arial Narrow"/>
                <w:sz w:val="20"/>
                <w:szCs w:val="20"/>
              </w:rPr>
              <w:t>2.6</w:t>
            </w:r>
            <w:r>
              <w:rPr>
                <w:rFonts w:ascii="Arial Narrow" w:hAnsi="Arial Narrow"/>
                <w:sz w:val="20"/>
                <w:szCs w:val="20"/>
              </w:rPr>
              <w:t xml:space="preserve"> </w:t>
            </w:r>
          </w:p>
        </w:tc>
        <w:tc>
          <w:tcPr>
            <w:tcW w:w="425" w:type="dxa"/>
            <w:tcBorders>
              <w:top w:val="single" w:sz="4" w:space="0" w:color="auto"/>
              <w:left w:val="nil"/>
              <w:bottom w:val="single" w:sz="4" w:space="0" w:color="auto"/>
              <w:right w:val="single" w:sz="4" w:space="0" w:color="auto"/>
            </w:tcBorders>
            <w:shd w:val="clear" w:color="auto" w:fill="C6D9F1" w:themeFill="text2" w:themeFillTint="33"/>
          </w:tcPr>
          <w:p w:rsidR="00812FFE" w:rsidRPr="00812FFE" w:rsidRDefault="00812FFE" w:rsidP="00812FFE">
            <w:pPr>
              <w:pStyle w:val="Bodytext"/>
              <w:numPr>
                <w:ilvl w:val="0"/>
                <w:numId w:val="0"/>
              </w:numPr>
              <w:tabs>
                <w:tab w:val="left" w:pos="884"/>
              </w:tabs>
              <w:spacing w:before="40" w:after="40" w:line="240" w:lineRule="auto"/>
              <w:ind w:left="-108"/>
              <w:rPr>
                <w:rStyle w:val="FootnoteReference"/>
                <w:rFonts w:ascii="Arial Narrow" w:hAnsi="Arial Narrow"/>
                <w:sz w:val="20"/>
                <w:szCs w:val="20"/>
              </w:rPr>
            </w:pPr>
            <w:r w:rsidRPr="008760FC">
              <w:rPr>
                <w:rStyle w:val="FootnoteReference"/>
                <w:rFonts w:ascii="Arial Narrow" w:hAnsi="Arial Narrow"/>
                <w:sz w:val="20"/>
                <w:szCs w:val="20"/>
              </w:rPr>
              <w:footnoteReference w:id="150"/>
            </w:r>
          </w:p>
        </w:tc>
        <w:tc>
          <w:tcPr>
            <w:tcW w:w="851" w:type="dxa"/>
            <w:tcBorders>
              <w:left w:val="single" w:sz="4" w:space="0" w:color="auto"/>
              <w:bottom w:val="single" w:sz="4" w:space="0" w:color="auto"/>
              <w:right w:val="nil"/>
            </w:tcBorders>
            <w:shd w:val="clear" w:color="auto" w:fill="C6D9F1" w:themeFill="text2" w:themeFillTint="33"/>
          </w:tcPr>
          <w:p w:rsidR="00812FFE" w:rsidRDefault="00812FFE" w:rsidP="005F2471">
            <w:pPr>
              <w:pStyle w:val="Bodytext"/>
              <w:numPr>
                <w:ilvl w:val="0"/>
                <w:numId w:val="0"/>
              </w:numPr>
              <w:spacing w:before="40" w:after="40" w:line="240" w:lineRule="auto"/>
              <w:ind w:right="-108"/>
              <w:jc w:val="right"/>
              <w:rPr>
                <w:rFonts w:ascii="Arial Narrow" w:hAnsi="Arial Narrow"/>
                <w:sz w:val="20"/>
                <w:szCs w:val="20"/>
              </w:rPr>
            </w:pPr>
            <w:r w:rsidRPr="008760FC">
              <w:rPr>
                <w:rFonts w:ascii="Arial Narrow" w:hAnsi="Arial Narrow"/>
                <w:sz w:val="20"/>
                <w:szCs w:val="20"/>
              </w:rPr>
              <w:t>139,642</w:t>
            </w:r>
            <w:r>
              <w:rPr>
                <w:rFonts w:ascii="Arial Narrow" w:hAnsi="Arial Narrow"/>
                <w:sz w:val="20"/>
                <w:szCs w:val="20"/>
              </w:rPr>
              <w:t xml:space="preserve"> </w:t>
            </w:r>
          </w:p>
        </w:tc>
        <w:tc>
          <w:tcPr>
            <w:tcW w:w="283" w:type="dxa"/>
            <w:tcBorders>
              <w:top w:val="single" w:sz="4" w:space="0" w:color="auto"/>
              <w:left w:val="nil"/>
              <w:bottom w:val="single" w:sz="4" w:space="0" w:color="auto"/>
              <w:right w:val="single" w:sz="4" w:space="0" w:color="auto"/>
            </w:tcBorders>
            <w:shd w:val="clear" w:color="auto" w:fill="C6D9F1" w:themeFill="text2" w:themeFillTint="33"/>
          </w:tcPr>
          <w:p w:rsidR="00812FFE" w:rsidRPr="005F2471" w:rsidRDefault="00812FFE" w:rsidP="005F2471">
            <w:pPr>
              <w:pStyle w:val="Bodytext"/>
              <w:numPr>
                <w:ilvl w:val="0"/>
                <w:numId w:val="0"/>
              </w:numPr>
              <w:tabs>
                <w:tab w:val="left" w:pos="884"/>
              </w:tabs>
              <w:spacing w:before="40" w:after="40" w:line="240" w:lineRule="auto"/>
              <w:ind w:left="-108"/>
              <w:rPr>
                <w:rStyle w:val="FootnoteReference"/>
              </w:rPr>
            </w:pPr>
            <w:r w:rsidRPr="008760FC">
              <w:rPr>
                <w:rStyle w:val="FootnoteReference"/>
                <w:rFonts w:ascii="Arial Narrow" w:hAnsi="Arial Narrow"/>
                <w:sz w:val="20"/>
                <w:szCs w:val="20"/>
              </w:rPr>
              <w:footnoteReference w:id="151"/>
            </w:r>
          </w:p>
        </w:tc>
        <w:tc>
          <w:tcPr>
            <w:tcW w:w="3934" w:type="dxa"/>
            <w:tcBorders>
              <w:left w:val="single" w:sz="4" w:space="0" w:color="auto"/>
              <w:bottom w:val="single" w:sz="4" w:space="0" w:color="auto"/>
            </w:tcBorders>
            <w:shd w:val="clear" w:color="auto" w:fill="C6D9F1" w:themeFill="text2" w:themeFillTint="33"/>
          </w:tcPr>
          <w:p w:rsidR="00812FFE" w:rsidRPr="008760FC" w:rsidRDefault="00812FFE" w:rsidP="00262F66">
            <w:pPr>
              <w:pStyle w:val="Bodytext"/>
              <w:numPr>
                <w:ilvl w:val="0"/>
                <w:numId w:val="0"/>
              </w:numPr>
              <w:spacing w:before="40" w:after="40" w:line="240" w:lineRule="auto"/>
              <w:rPr>
                <w:rFonts w:ascii="Arial Narrow" w:hAnsi="Arial Narrow"/>
                <w:sz w:val="20"/>
                <w:szCs w:val="20"/>
              </w:rPr>
            </w:pPr>
            <w:r w:rsidRPr="008760FC">
              <w:rPr>
                <w:rFonts w:ascii="Arial Narrow" w:hAnsi="Arial Narrow"/>
                <w:sz w:val="20"/>
                <w:szCs w:val="20"/>
              </w:rPr>
              <w:t>Target is 3.2% by 2015</w:t>
            </w:r>
          </w:p>
        </w:tc>
      </w:tr>
      <w:tr w:rsidR="005F2471" w:rsidTr="00DD1363">
        <w:tc>
          <w:tcPr>
            <w:tcW w:w="1276" w:type="dxa"/>
            <w:tcBorders>
              <w:bottom w:val="single" w:sz="4" w:space="0" w:color="auto"/>
            </w:tcBorders>
            <w:shd w:val="clear" w:color="auto" w:fill="DBE5F1" w:themeFill="accent1" w:themeFillTint="33"/>
          </w:tcPr>
          <w:p w:rsidR="005F2471" w:rsidRPr="008760FC" w:rsidRDefault="005F2471" w:rsidP="008760FC">
            <w:pPr>
              <w:pStyle w:val="Bodytext"/>
              <w:numPr>
                <w:ilvl w:val="0"/>
                <w:numId w:val="0"/>
              </w:numPr>
              <w:spacing w:before="40" w:after="40" w:line="240" w:lineRule="auto"/>
              <w:ind w:left="176"/>
              <w:rPr>
                <w:rFonts w:ascii="Arial Narrow" w:hAnsi="Arial Narrow"/>
                <w:sz w:val="20"/>
                <w:szCs w:val="20"/>
              </w:rPr>
            </w:pPr>
            <w:r w:rsidRPr="008760FC">
              <w:rPr>
                <w:rFonts w:ascii="Arial Narrow" w:hAnsi="Arial Narrow"/>
                <w:sz w:val="20"/>
                <w:szCs w:val="20"/>
              </w:rPr>
              <w:t xml:space="preserve">TAS </w:t>
            </w:r>
          </w:p>
        </w:tc>
        <w:tc>
          <w:tcPr>
            <w:tcW w:w="992" w:type="dxa"/>
            <w:tcBorders>
              <w:bottom w:val="single" w:sz="4" w:space="0" w:color="auto"/>
            </w:tcBorders>
            <w:shd w:val="clear" w:color="auto" w:fill="DBE5F1" w:themeFill="accent1" w:themeFillTint="33"/>
          </w:tcPr>
          <w:p w:rsidR="005F2471" w:rsidRPr="008760FC" w:rsidRDefault="005F2471" w:rsidP="008760FC">
            <w:pPr>
              <w:pStyle w:val="Bodytext"/>
              <w:numPr>
                <w:ilvl w:val="0"/>
                <w:numId w:val="0"/>
              </w:numPr>
              <w:spacing w:before="40" w:after="40" w:line="240" w:lineRule="auto"/>
              <w:jc w:val="center"/>
              <w:rPr>
                <w:rFonts w:ascii="Arial Narrow" w:hAnsi="Arial Narrow"/>
                <w:sz w:val="20"/>
                <w:szCs w:val="20"/>
              </w:rPr>
            </w:pPr>
            <w:r w:rsidRPr="008760FC">
              <w:rPr>
                <w:rFonts w:ascii="Arial Narrow" w:hAnsi="Arial Narrow"/>
                <w:sz w:val="20"/>
                <w:szCs w:val="20"/>
              </w:rPr>
              <w:t>No</w:t>
            </w:r>
          </w:p>
        </w:tc>
        <w:tc>
          <w:tcPr>
            <w:tcW w:w="851" w:type="dxa"/>
            <w:tcBorders>
              <w:bottom w:val="single" w:sz="4" w:space="0" w:color="auto"/>
              <w:right w:val="nil"/>
            </w:tcBorders>
            <w:shd w:val="clear" w:color="auto" w:fill="DBE5F1" w:themeFill="accent1" w:themeFillTint="33"/>
          </w:tcPr>
          <w:p w:rsidR="005F2471" w:rsidRDefault="005F2471" w:rsidP="00812FFE">
            <w:pPr>
              <w:pStyle w:val="Bodytext"/>
              <w:numPr>
                <w:ilvl w:val="0"/>
                <w:numId w:val="0"/>
              </w:numPr>
              <w:spacing w:before="40" w:after="40" w:line="240" w:lineRule="auto"/>
              <w:ind w:right="-108"/>
              <w:jc w:val="right"/>
              <w:rPr>
                <w:rFonts w:ascii="Arial Narrow" w:hAnsi="Arial Narrow"/>
                <w:sz w:val="20"/>
                <w:szCs w:val="20"/>
              </w:rPr>
            </w:pPr>
            <w:r w:rsidRPr="008760FC">
              <w:rPr>
                <w:rFonts w:ascii="Arial Narrow" w:hAnsi="Arial Narrow"/>
                <w:sz w:val="20"/>
                <w:szCs w:val="20"/>
              </w:rPr>
              <w:t>0.38</w:t>
            </w:r>
            <w:r>
              <w:rPr>
                <w:rFonts w:ascii="Arial Narrow" w:hAnsi="Arial Narrow"/>
                <w:sz w:val="20"/>
                <w:szCs w:val="20"/>
              </w:rPr>
              <w:t xml:space="preserve"> </w:t>
            </w:r>
          </w:p>
        </w:tc>
        <w:tc>
          <w:tcPr>
            <w:tcW w:w="425" w:type="dxa"/>
            <w:tcBorders>
              <w:top w:val="single" w:sz="4" w:space="0" w:color="auto"/>
              <w:left w:val="nil"/>
              <w:bottom w:val="single" w:sz="4" w:space="0" w:color="auto"/>
              <w:right w:val="single" w:sz="4" w:space="0" w:color="auto"/>
            </w:tcBorders>
            <w:shd w:val="clear" w:color="auto" w:fill="DBE5F1" w:themeFill="accent1" w:themeFillTint="33"/>
          </w:tcPr>
          <w:p w:rsidR="005F2471" w:rsidRPr="00812FFE" w:rsidRDefault="005F2471" w:rsidP="00812FFE">
            <w:pPr>
              <w:pStyle w:val="Bodytext"/>
              <w:numPr>
                <w:ilvl w:val="0"/>
                <w:numId w:val="0"/>
              </w:numPr>
              <w:tabs>
                <w:tab w:val="left" w:pos="884"/>
              </w:tabs>
              <w:spacing w:before="40" w:after="40" w:line="240" w:lineRule="auto"/>
              <w:ind w:left="-108"/>
              <w:rPr>
                <w:rStyle w:val="FootnoteReference"/>
                <w:rFonts w:ascii="Arial Narrow" w:hAnsi="Arial Narrow"/>
                <w:sz w:val="20"/>
                <w:szCs w:val="20"/>
              </w:rPr>
            </w:pPr>
            <w:r w:rsidRPr="008760FC">
              <w:rPr>
                <w:rStyle w:val="FootnoteReference"/>
                <w:rFonts w:ascii="Arial Narrow" w:hAnsi="Arial Narrow"/>
                <w:sz w:val="20"/>
                <w:szCs w:val="20"/>
              </w:rPr>
              <w:footnoteReference w:id="152"/>
            </w:r>
          </w:p>
        </w:tc>
        <w:tc>
          <w:tcPr>
            <w:tcW w:w="851" w:type="dxa"/>
            <w:tcBorders>
              <w:left w:val="single" w:sz="4" w:space="0" w:color="auto"/>
              <w:bottom w:val="single" w:sz="4" w:space="0" w:color="auto"/>
              <w:right w:val="nil"/>
            </w:tcBorders>
            <w:shd w:val="clear" w:color="auto" w:fill="DBE5F1" w:themeFill="accent1" w:themeFillTint="33"/>
          </w:tcPr>
          <w:p w:rsidR="005F2471" w:rsidRDefault="005F2471" w:rsidP="005F2471">
            <w:pPr>
              <w:pStyle w:val="Bodytext"/>
              <w:numPr>
                <w:ilvl w:val="0"/>
                <w:numId w:val="0"/>
              </w:numPr>
              <w:spacing w:before="40" w:after="40" w:line="240" w:lineRule="auto"/>
              <w:ind w:right="-108"/>
              <w:jc w:val="right"/>
              <w:rPr>
                <w:rFonts w:ascii="Arial Narrow" w:hAnsi="Arial Narrow"/>
                <w:sz w:val="20"/>
                <w:szCs w:val="20"/>
              </w:rPr>
            </w:pPr>
            <w:r w:rsidRPr="008760FC">
              <w:rPr>
                <w:rFonts w:ascii="Arial Narrow" w:hAnsi="Arial Narrow"/>
                <w:sz w:val="20"/>
                <w:szCs w:val="20"/>
              </w:rPr>
              <w:t>27,938</w:t>
            </w:r>
          </w:p>
        </w:tc>
        <w:tc>
          <w:tcPr>
            <w:tcW w:w="283" w:type="dxa"/>
            <w:tcBorders>
              <w:top w:val="single" w:sz="4" w:space="0" w:color="auto"/>
              <w:left w:val="nil"/>
              <w:bottom w:val="single" w:sz="4" w:space="0" w:color="auto"/>
              <w:right w:val="single" w:sz="4" w:space="0" w:color="auto"/>
            </w:tcBorders>
            <w:shd w:val="clear" w:color="auto" w:fill="DBE5F1" w:themeFill="accent1" w:themeFillTint="33"/>
          </w:tcPr>
          <w:p w:rsidR="005F2471" w:rsidRPr="005F2471" w:rsidRDefault="005F2471" w:rsidP="005F2471">
            <w:pPr>
              <w:pStyle w:val="Bodytext"/>
              <w:numPr>
                <w:ilvl w:val="0"/>
                <w:numId w:val="0"/>
              </w:numPr>
              <w:tabs>
                <w:tab w:val="left" w:pos="884"/>
              </w:tabs>
              <w:spacing w:before="40" w:after="40" w:line="240" w:lineRule="auto"/>
              <w:ind w:left="-108"/>
              <w:rPr>
                <w:rStyle w:val="FootnoteReference"/>
              </w:rPr>
            </w:pPr>
          </w:p>
        </w:tc>
        <w:tc>
          <w:tcPr>
            <w:tcW w:w="3934" w:type="dxa"/>
            <w:tcBorders>
              <w:left w:val="single" w:sz="4" w:space="0" w:color="auto"/>
              <w:bottom w:val="single" w:sz="4" w:space="0" w:color="auto"/>
            </w:tcBorders>
            <w:shd w:val="clear" w:color="auto" w:fill="DBE5F1" w:themeFill="accent1" w:themeFillTint="33"/>
          </w:tcPr>
          <w:p w:rsidR="005F2471" w:rsidRPr="008760FC" w:rsidRDefault="005F2471" w:rsidP="008760FC">
            <w:pPr>
              <w:pStyle w:val="Bodytext"/>
              <w:numPr>
                <w:ilvl w:val="0"/>
                <w:numId w:val="0"/>
              </w:numPr>
              <w:spacing w:before="40" w:after="40" w:line="240" w:lineRule="auto"/>
              <w:rPr>
                <w:rFonts w:ascii="Arial Narrow" w:hAnsi="Arial Narrow"/>
                <w:sz w:val="20"/>
                <w:szCs w:val="20"/>
              </w:rPr>
            </w:pPr>
          </w:p>
        </w:tc>
      </w:tr>
      <w:tr w:rsidR="005F2471" w:rsidTr="00DD1363">
        <w:tc>
          <w:tcPr>
            <w:tcW w:w="1276" w:type="dxa"/>
            <w:tcBorders>
              <w:bottom w:val="single" w:sz="4" w:space="0" w:color="auto"/>
            </w:tcBorders>
            <w:shd w:val="clear" w:color="auto" w:fill="C6D9F1" w:themeFill="text2" w:themeFillTint="33"/>
          </w:tcPr>
          <w:p w:rsidR="005F2471" w:rsidRPr="008760FC" w:rsidRDefault="005F2471" w:rsidP="00262F66">
            <w:pPr>
              <w:pStyle w:val="Bodytext"/>
              <w:numPr>
                <w:ilvl w:val="0"/>
                <w:numId w:val="0"/>
              </w:numPr>
              <w:spacing w:before="40" w:after="40" w:line="240" w:lineRule="auto"/>
              <w:ind w:left="176"/>
              <w:rPr>
                <w:rFonts w:ascii="Arial Narrow" w:hAnsi="Arial Narrow"/>
                <w:sz w:val="20"/>
                <w:szCs w:val="20"/>
              </w:rPr>
            </w:pPr>
            <w:r w:rsidRPr="008760FC">
              <w:rPr>
                <w:rFonts w:ascii="Arial Narrow" w:hAnsi="Arial Narrow"/>
                <w:sz w:val="20"/>
                <w:szCs w:val="20"/>
              </w:rPr>
              <w:t>NT</w:t>
            </w:r>
          </w:p>
        </w:tc>
        <w:tc>
          <w:tcPr>
            <w:tcW w:w="992" w:type="dxa"/>
            <w:tcBorders>
              <w:bottom w:val="single" w:sz="4" w:space="0" w:color="auto"/>
            </w:tcBorders>
            <w:shd w:val="clear" w:color="auto" w:fill="C6D9F1" w:themeFill="text2" w:themeFillTint="33"/>
          </w:tcPr>
          <w:p w:rsidR="005F2471" w:rsidRPr="008760FC" w:rsidRDefault="005F2471" w:rsidP="00262F66">
            <w:pPr>
              <w:pStyle w:val="Bodytext"/>
              <w:numPr>
                <w:ilvl w:val="0"/>
                <w:numId w:val="0"/>
              </w:numPr>
              <w:spacing w:before="40" w:after="40" w:line="240" w:lineRule="auto"/>
              <w:jc w:val="center"/>
              <w:rPr>
                <w:rFonts w:ascii="Arial Narrow" w:hAnsi="Arial Narrow"/>
                <w:sz w:val="20"/>
                <w:szCs w:val="20"/>
              </w:rPr>
            </w:pPr>
            <w:r>
              <w:rPr>
                <w:rFonts w:ascii="Arial Narrow" w:hAnsi="Arial Narrow"/>
                <w:sz w:val="20"/>
                <w:szCs w:val="20"/>
              </w:rPr>
              <w:t>Yes</w:t>
            </w:r>
          </w:p>
        </w:tc>
        <w:tc>
          <w:tcPr>
            <w:tcW w:w="851" w:type="dxa"/>
            <w:tcBorders>
              <w:bottom w:val="single" w:sz="4" w:space="0" w:color="auto"/>
              <w:right w:val="nil"/>
            </w:tcBorders>
            <w:shd w:val="clear" w:color="auto" w:fill="C6D9F1" w:themeFill="text2" w:themeFillTint="33"/>
          </w:tcPr>
          <w:p w:rsidR="005F2471" w:rsidRDefault="005F2471" w:rsidP="00812FFE">
            <w:pPr>
              <w:pStyle w:val="Bodytext"/>
              <w:numPr>
                <w:ilvl w:val="0"/>
                <w:numId w:val="0"/>
              </w:numPr>
              <w:spacing w:before="40" w:after="40" w:line="240" w:lineRule="auto"/>
              <w:ind w:right="-108"/>
              <w:jc w:val="right"/>
              <w:rPr>
                <w:rFonts w:ascii="Arial Narrow" w:hAnsi="Arial Narrow"/>
                <w:sz w:val="20"/>
                <w:szCs w:val="20"/>
              </w:rPr>
            </w:pPr>
            <w:r w:rsidRPr="008760FC">
              <w:rPr>
                <w:rFonts w:ascii="Arial Narrow" w:hAnsi="Arial Narrow"/>
                <w:sz w:val="20"/>
                <w:szCs w:val="20"/>
              </w:rPr>
              <w:t>8.</w:t>
            </w:r>
            <w:r>
              <w:rPr>
                <w:rFonts w:ascii="Arial Narrow" w:hAnsi="Arial Narrow"/>
                <w:sz w:val="20"/>
                <w:szCs w:val="20"/>
              </w:rPr>
              <w:t>4</w:t>
            </w:r>
          </w:p>
        </w:tc>
        <w:tc>
          <w:tcPr>
            <w:tcW w:w="425" w:type="dxa"/>
            <w:tcBorders>
              <w:top w:val="single" w:sz="4" w:space="0" w:color="auto"/>
              <w:left w:val="nil"/>
              <w:bottom w:val="single" w:sz="4" w:space="0" w:color="auto"/>
              <w:right w:val="single" w:sz="4" w:space="0" w:color="auto"/>
            </w:tcBorders>
            <w:shd w:val="clear" w:color="auto" w:fill="C6D9F1" w:themeFill="text2" w:themeFillTint="33"/>
          </w:tcPr>
          <w:p w:rsidR="005F2471" w:rsidRPr="00812FFE" w:rsidRDefault="005F2471" w:rsidP="00812FFE">
            <w:pPr>
              <w:pStyle w:val="Bodytext"/>
              <w:numPr>
                <w:ilvl w:val="0"/>
                <w:numId w:val="0"/>
              </w:numPr>
              <w:tabs>
                <w:tab w:val="left" w:pos="884"/>
              </w:tabs>
              <w:spacing w:before="40" w:after="40" w:line="240" w:lineRule="auto"/>
              <w:ind w:left="-108"/>
              <w:rPr>
                <w:rStyle w:val="FootnoteReference"/>
                <w:rFonts w:ascii="Arial Narrow" w:hAnsi="Arial Narrow"/>
                <w:sz w:val="20"/>
                <w:szCs w:val="20"/>
              </w:rPr>
            </w:pPr>
          </w:p>
        </w:tc>
        <w:tc>
          <w:tcPr>
            <w:tcW w:w="851" w:type="dxa"/>
            <w:tcBorders>
              <w:left w:val="single" w:sz="4" w:space="0" w:color="auto"/>
              <w:bottom w:val="single" w:sz="4" w:space="0" w:color="auto"/>
              <w:right w:val="nil"/>
            </w:tcBorders>
            <w:shd w:val="clear" w:color="auto" w:fill="C6D9F1" w:themeFill="text2" w:themeFillTint="33"/>
          </w:tcPr>
          <w:p w:rsidR="005F2471" w:rsidRDefault="005F2471" w:rsidP="005F2471">
            <w:pPr>
              <w:pStyle w:val="Bodytext"/>
              <w:numPr>
                <w:ilvl w:val="0"/>
                <w:numId w:val="0"/>
              </w:numPr>
              <w:spacing w:before="40" w:after="40" w:line="240" w:lineRule="auto"/>
              <w:ind w:right="-108"/>
              <w:jc w:val="right"/>
              <w:rPr>
                <w:rFonts w:ascii="Arial Narrow" w:hAnsi="Arial Narrow"/>
                <w:sz w:val="20"/>
                <w:szCs w:val="20"/>
              </w:rPr>
            </w:pPr>
            <w:r>
              <w:rPr>
                <w:rFonts w:ascii="Arial Narrow" w:hAnsi="Arial Narrow"/>
                <w:sz w:val="20"/>
                <w:szCs w:val="20"/>
              </w:rPr>
              <w:t xml:space="preserve">19,695 </w:t>
            </w:r>
          </w:p>
        </w:tc>
        <w:tc>
          <w:tcPr>
            <w:tcW w:w="283" w:type="dxa"/>
            <w:tcBorders>
              <w:top w:val="single" w:sz="4" w:space="0" w:color="auto"/>
              <w:left w:val="nil"/>
              <w:bottom w:val="single" w:sz="4" w:space="0" w:color="auto"/>
              <w:right w:val="single" w:sz="4" w:space="0" w:color="auto"/>
            </w:tcBorders>
            <w:shd w:val="clear" w:color="auto" w:fill="C6D9F1" w:themeFill="text2" w:themeFillTint="33"/>
          </w:tcPr>
          <w:p w:rsidR="005F2471" w:rsidRPr="005F2471" w:rsidRDefault="005F2471" w:rsidP="005F2471">
            <w:pPr>
              <w:pStyle w:val="Bodytext"/>
              <w:numPr>
                <w:ilvl w:val="0"/>
                <w:numId w:val="0"/>
              </w:numPr>
              <w:tabs>
                <w:tab w:val="left" w:pos="884"/>
              </w:tabs>
              <w:spacing w:before="40" w:after="40" w:line="240" w:lineRule="auto"/>
              <w:ind w:left="-108"/>
              <w:rPr>
                <w:rStyle w:val="FootnoteReference"/>
              </w:rPr>
            </w:pPr>
            <w:r>
              <w:rPr>
                <w:rStyle w:val="FootnoteReference"/>
                <w:rFonts w:ascii="Arial Narrow" w:hAnsi="Arial Narrow"/>
                <w:sz w:val="20"/>
                <w:szCs w:val="20"/>
              </w:rPr>
              <w:footnoteReference w:id="153"/>
            </w:r>
          </w:p>
        </w:tc>
        <w:tc>
          <w:tcPr>
            <w:tcW w:w="3934" w:type="dxa"/>
            <w:tcBorders>
              <w:left w:val="single" w:sz="4" w:space="0" w:color="auto"/>
              <w:bottom w:val="single" w:sz="4" w:space="0" w:color="auto"/>
            </w:tcBorders>
            <w:shd w:val="clear" w:color="auto" w:fill="C6D9F1" w:themeFill="text2" w:themeFillTint="33"/>
          </w:tcPr>
          <w:p w:rsidR="005F2471" w:rsidRPr="008760FC" w:rsidRDefault="005F2471" w:rsidP="005F02DE">
            <w:pPr>
              <w:pStyle w:val="Bodytext"/>
              <w:numPr>
                <w:ilvl w:val="0"/>
                <w:numId w:val="0"/>
              </w:numPr>
              <w:spacing w:before="40" w:after="40" w:line="240" w:lineRule="auto"/>
              <w:rPr>
                <w:rFonts w:ascii="Arial Narrow" w:hAnsi="Arial Narrow"/>
                <w:sz w:val="20"/>
                <w:szCs w:val="20"/>
              </w:rPr>
            </w:pPr>
            <w:r w:rsidRPr="008760FC">
              <w:rPr>
                <w:rFonts w:ascii="Arial Narrow" w:hAnsi="Arial Narrow"/>
                <w:sz w:val="20"/>
                <w:szCs w:val="20"/>
              </w:rPr>
              <w:t>Target is 8.9% by 2017</w:t>
            </w:r>
          </w:p>
        </w:tc>
      </w:tr>
      <w:tr w:rsidR="005F2471" w:rsidTr="00DD1363">
        <w:tc>
          <w:tcPr>
            <w:tcW w:w="1276" w:type="dxa"/>
            <w:tcBorders>
              <w:bottom w:val="single" w:sz="4" w:space="0" w:color="auto"/>
            </w:tcBorders>
            <w:shd w:val="clear" w:color="auto" w:fill="DBE5F1" w:themeFill="accent1" w:themeFillTint="33"/>
          </w:tcPr>
          <w:p w:rsidR="005F2471" w:rsidRPr="008760FC" w:rsidRDefault="005F2471" w:rsidP="00262F66">
            <w:pPr>
              <w:pStyle w:val="Bodytext"/>
              <w:numPr>
                <w:ilvl w:val="0"/>
                <w:numId w:val="0"/>
              </w:numPr>
              <w:spacing w:before="40" w:after="40" w:line="240" w:lineRule="auto"/>
              <w:ind w:left="176"/>
              <w:rPr>
                <w:rFonts w:ascii="Arial Narrow" w:hAnsi="Arial Narrow"/>
                <w:sz w:val="20"/>
                <w:szCs w:val="20"/>
              </w:rPr>
            </w:pPr>
            <w:r w:rsidRPr="008760FC">
              <w:rPr>
                <w:rFonts w:ascii="Arial Narrow" w:hAnsi="Arial Narrow"/>
                <w:sz w:val="20"/>
                <w:szCs w:val="20"/>
              </w:rPr>
              <w:t xml:space="preserve">ACT </w:t>
            </w:r>
          </w:p>
        </w:tc>
        <w:tc>
          <w:tcPr>
            <w:tcW w:w="992" w:type="dxa"/>
            <w:tcBorders>
              <w:bottom w:val="single" w:sz="4" w:space="0" w:color="auto"/>
            </w:tcBorders>
            <w:shd w:val="clear" w:color="auto" w:fill="DBE5F1" w:themeFill="accent1" w:themeFillTint="33"/>
          </w:tcPr>
          <w:p w:rsidR="005F2471" w:rsidRPr="008760FC" w:rsidRDefault="005F2471" w:rsidP="00262F66">
            <w:pPr>
              <w:pStyle w:val="Bodytext"/>
              <w:numPr>
                <w:ilvl w:val="0"/>
                <w:numId w:val="0"/>
              </w:numPr>
              <w:spacing w:before="40" w:after="40" w:line="240" w:lineRule="auto"/>
              <w:jc w:val="center"/>
              <w:rPr>
                <w:rFonts w:ascii="Arial Narrow" w:hAnsi="Arial Narrow"/>
                <w:sz w:val="20"/>
                <w:szCs w:val="20"/>
              </w:rPr>
            </w:pPr>
            <w:r w:rsidRPr="008760FC">
              <w:rPr>
                <w:rFonts w:ascii="Arial Narrow" w:hAnsi="Arial Narrow"/>
                <w:sz w:val="20"/>
                <w:szCs w:val="20"/>
              </w:rPr>
              <w:t>Yes.</w:t>
            </w:r>
          </w:p>
          <w:p w:rsidR="005F2471" w:rsidRPr="008760FC" w:rsidRDefault="005F2471" w:rsidP="00262F66">
            <w:pPr>
              <w:pStyle w:val="Bodytext"/>
              <w:numPr>
                <w:ilvl w:val="0"/>
                <w:numId w:val="0"/>
              </w:numPr>
              <w:spacing w:before="40" w:after="40" w:line="240" w:lineRule="auto"/>
              <w:jc w:val="center"/>
              <w:rPr>
                <w:rFonts w:ascii="Arial Narrow" w:hAnsi="Arial Narrow"/>
                <w:sz w:val="20"/>
                <w:szCs w:val="20"/>
              </w:rPr>
            </w:pPr>
            <w:r w:rsidRPr="008760FC">
              <w:rPr>
                <w:rFonts w:ascii="Arial Narrow" w:hAnsi="Arial Narrow"/>
                <w:sz w:val="20"/>
                <w:szCs w:val="20"/>
              </w:rPr>
              <w:t>2011-15</w:t>
            </w:r>
          </w:p>
        </w:tc>
        <w:tc>
          <w:tcPr>
            <w:tcW w:w="851" w:type="dxa"/>
            <w:tcBorders>
              <w:top w:val="single" w:sz="4" w:space="0" w:color="auto"/>
              <w:bottom w:val="single" w:sz="4" w:space="0" w:color="auto"/>
              <w:right w:val="nil"/>
            </w:tcBorders>
            <w:shd w:val="clear" w:color="auto" w:fill="DBE5F1" w:themeFill="accent1" w:themeFillTint="33"/>
          </w:tcPr>
          <w:p w:rsidR="005F2471" w:rsidRDefault="005F2471" w:rsidP="00812FFE">
            <w:pPr>
              <w:pStyle w:val="Bodytext"/>
              <w:numPr>
                <w:ilvl w:val="0"/>
                <w:numId w:val="0"/>
              </w:numPr>
              <w:spacing w:before="40" w:after="40" w:line="240" w:lineRule="auto"/>
              <w:ind w:right="-108"/>
              <w:jc w:val="right"/>
              <w:rPr>
                <w:rFonts w:ascii="Arial Narrow" w:hAnsi="Arial Narrow"/>
                <w:sz w:val="20"/>
                <w:szCs w:val="20"/>
              </w:rPr>
            </w:pPr>
            <w:r w:rsidRPr="008760FC">
              <w:rPr>
                <w:rFonts w:ascii="Arial Narrow" w:hAnsi="Arial Narrow"/>
                <w:sz w:val="20"/>
                <w:szCs w:val="20"/>
              </w:rPr>
              <w:t>1.2</w:t>
            </w:r>
            <w:r>
              <w:rPr>
                <w:rFonts w:ascii="Arial Narrow" w:hAnsi="Arial Narrow"/>
                <w:sz w:val="20"/>
                <w:szCs w:val="20"/>
              </w:rPr>
              <w:t xml:space="preserve"> </w:t>
            </w:r>
          </w:p>
        </w:tc>
        <w:tc>
          <w:tcPr>
            <w:tcW w:w="425" w:type="dxa"/>
            <w:tcBorders>
              <w:top w:val="single" w:sz="4" w:space="0" w:color="auto"/>
              <w:left w:val="nil"/>
              <w:bottom w:val="single" w:sz="4" w:space="0" w:color="auto"/>
              <w:right w:val="single" w:sz="4" w:space="0" w:color="auto"/>
            </w:tcBorders>
            <w:shd w:val="clear" w:color="auto" w:fill="DBE5F1" w:themeFill="accent1" w:themeFillTint="33"/>
          </w:tcPr>
          <w:p w:rsidR="005F2471" w:rsidRPr="00812FFE" w:rsidRDefault="005F2471" w:rsidP="00812FFE">
            <w:pPr>
              <w:pStyle w:val="Bodytext"/>
              <w:numPr>
                <w:ilvl w:val="0"/>
                <w:numId w:val="0"/>
              </w:numPr>
              <w:tabs>
                <w:tab w:val="left" w:pos="884"/>
              </w:tabs>
              <w:spacing w:before="40" w:after="40" w:line="240" w:lineRule="auto"/>
              <w:ind w:left="-108"/>
              <w:rPr>
                <w:rStyle w:val="FootnoteReference"/>
                <w:rFonts w:ascii="Arial Narrow" w:hAnsi="Arial Narrow"/>
                <w:sz w:val="20"/>
                <w:szCs w:val="20"/>
              </w:rPr>
            </w:pPr>
            <w:r w:rsidRPr="008760FC">
              <w:rPr>
                <w:rStyle w:val="FootnoteReference"/>
                <w:rFonts w:ascii="Arial Narrow" w:hAnsi="Arial Narrow"/>
                <w:sz w:val="20"/>
                <w:szCs w:val="20"/>
              </w:rPr>
              <w:footnoteReference w:id="154"/>
            </w:r>
          </w:p>
        </w:tc>
        <w:tc>
          <w:tcPr>
            <w:tcW w:w="851" w:type="dxa"/>
            <w:tcBorders>
              <w:left w:val="single" w:sz="4" w:space="0" w:color="auto"/>
              <w:bottom w:val="single" w:sz="4" w:space="0" w:color="auto"/>
              <w:right w:val="nil"/>
            </w:tcBorders>
            <w:shd w:val="clear" w:color="auto" w:fill="DBE5F1" w:themeFill="accent1" w:themeFillTint="33"/>
          </w:tcPr>
          <w:p w:rsidR="005F2471" w:rsidRDefault="005F2471" w:rsidP="005F2471">
            <w:pPr>
              <w:pStyle w:val="Bodytext"/>
              <w:numPr>
                <w:ilvl w:val="0"/>
                <w:numId w:val="0"/>
              </w:numPr>
              <w:spacing w:before="40" w:after="40" w:line="240" w:lineRule="auto"/>
              <w:ind w:right="-108"/>
              <w:jc w:val="right"/>
              <w:rPr>
                <w:rFonts w:ascii="Arial Narrow" w:hAnsi="Arial Narrow"/>
                <w:sz w:val="20"/>
                <w:szCs w:val="20"/>
              </w:rPr>
            </w:pPr>
            <w:r w:rsidRPr="008760FC">
              <w:rPr>
                <w:rFonts w:ascii="Arial Narrow" w:hAnsi="Arial Narrow"/>
                <w:sz w:val="20"/>
                <w:szCs w:val="20"/>
              </w:rPr>
              <w:t>20,017</w:t>
            </w:r>
            <w:r>
              <w:rPr>
                <w:rFonts w:ascii="Arial Narrow" w:hAnsi="Arial Narrow"/>
                <w:sz w:val="20"/>
                <w:szCs w:val="20"/>
              </w:rPr>
              <w:t xml:space="preserve"> </w:t>
            </w:r>
          </w:p>
        </w:tc>
        <w:tc>
          <w:tcPr>
            <w:tcW w:w="283" w:type="dxa"/>
            <w:tcBorders>
              <w:top w:val="single" w:sz="4" w:space="0" w:color="auto"/>
              <w:left w:val="nil"/>
              <w:bottom w:val="single" w:sz="4" w:space="0" w:color="auto"/>
              <w:right w:val="single" w:sz="4" w:space="0" w:color="auto"/>
            </w:tcBorders>
            <w:shd w:val="clear" w:color="auto" w:fill="DBE5F1" w:themeFill="accent1" w:themeFillTint="33"/>
          </w:tcPr>
          <w:p w:rsidR="005F2471" w:rsidRPr="005F2471" w:rsidRDefault="005F2471" w:rsidP="005F2471">
            <w:pPr>
              <w:pStyle w:val="Bodytext"/>
              <w:numPr>
                <w:ilvl w:val="0"/>
                <w:numId w:val="0"/>
              </w:numPr>
              <w:tabs>
                <w:tab w:val="left" w:pos="884"/>
              </w:tabs>
              <w:spacing w:before="40" w:after="40" w:line="240" w:lineRule="auto"/>
              <w:ind w:left="-108"/>
              <w:rPr>
                <w:rStyle w:val="FootnoteReference"/>
              </w:rPr>
            </w:pPr>
            <w:r w:rsidRPr="008760FC">
              <w:rPr>
                <w:rStyle w:val="FootnoteReference"/>
                <w:rFonts w:ascii="Arial Narrow" w:hAnsi="Arial Narrow"/>
                <w:sz w:val="20"/>
                <w:szCs w:val="20"/>
              </w:rPr>
              <w:footnoteReference w:id="155"/>
            </w:r>
          </w:p>
        </w:tc>
        <w:tc>
          <w:tcPr>
            <w:tcW w:w="3934" w:type="dxa"/>
            <w:tcBorders>
              <w:left w:val="single" w:sz="4" w:space="0" w:color="auto"/>
              <w:bottom w:val="single" w:sz="4" w:space="0" w:color="auto"/>
            </w:tcBorders>
            <w:shd w:val="clear" w:color="auto" w:fill="DBE5F1" w:themeFill="accent1" w:themeFillTint="33"/>
          </w:tcPr>
          <w:p w:rsidR="005F2471" w:rsidRPr="008760FC" w:rsidRDefault="005F2471" w:rsidP="005F02DE">
            <w:pPr>
              <w:pStyle w:val="Bodytext"/>
              <w:numPr>
                <w:ilvl w:val="0"/>
                <w:numId w:val="0"/>
              </w:numPr>
              <w:spacing w:before="40" w:after="40" w:line="240" w:lineRule="auto"/>
              <w:rPr>
                <w:rFonts w:ascii="Arial Narrow" w:hAnsi="Arial Narrow"/>
                <w:sz w:val="20"/>
                <w:szCs w:val="20"/>
              </w:rPr>
            </w:pPr>
            <w:r w:rsidRPr="008760FC">
              <w:rPr>
                <w:rFonts w:ascii="Arial Narrow" w:hAnsi="Arial Narrow"/>
                <w:sz w:val="20"/>
                <w:szCs w:val="20"/>
              </w:rPr>
              <w:t xml:space="preserve">Target is 2.0% by 2015 </w:t>
            </w:r>
          </w:p>
        </w:tc>
      </w:tr>
      <w:tr w:rsidR="005F2471" w:rsidTr="00DD1363">
        <w:tc>
          <w:tcPr>
            <w:tcW w:w="1276" w:type="dxa"/>
            <w:tcBorders>
              <w:bottom w:val="single" w:sz="4" w:space="0" w:color="auto"/>
            </w:tcBorders>
            <w:shd w:val="clear" w:color="auto" w:fill="C6D9F1" w:themeFill="text2" w:themeFillTint="33"/>
          </w:tcPr>
          <w:p w:rsidR="005F2471" w:rsidRPr="008760FC" w:rsidRDefault="005F2471" w:rsidP="008760FC">
            <w:pPr>
              <w:pStyle w:val="Bodytext"/>
              <w:numPr>
                <w:ilvl w:val="0"/>
                <w:numId w:val="0"/>
              </w:numPr>
              <w:spacing w:before="40" w:after="40" w:line="240" w:lineRule="auto"/>
              <w:ind w:left="176"/>
              <w:rPr>
                <w:rFonts w:ascii="Arial Narrow" w:hAnsi="Arial Narrow"/>
                <w:sz w:val="20"/>
                <w:szCs w:val="20"/>
              </w:rPr>
            </w:pPr>
            <w:r w:rsidRPr="008760FC">
              <w:rPr>
                <w:rFonts w:ascii="Arial Narrow" w:hAnsi="Arial Narrow"/>
                <w:sz w:val="20"/>
                <w:szCs w:val="20"/>
              </w:rPr>
              <w:t>AUS</w:t>
            </w:r>
          </w:p>
        </w:tc>
        <w:tc>
          <w:tcPr>
            <w:tcW w:w="992" w:type="dxa"/>
            <w:tcBorders>
              <w:bottom w:val="single" w:sz="4" w:space="0" w:color="auto"/>
            </w:tcBorders>
            <w:shd w:val="clear" w:color="auto" w:fill="C6D9F1" w:themeFill="text2" w:themeFillTint="33"/>
          </w:tcPr>
          <w:p w:rsidR="005F2471" w:rsidRPr="008760FC" w:rsidRDefault="005F2471" w:rsidP="008760FC">
            <w:pPr>
              <w:pStyle w:val="Bodytext"/>
              <w:numPr>
                <w:ilvl w:val="0"/>
                <w:numId w:val="0"/>
              </w:numPr>
              <w:spacing w:before="40" w:after="40" w:line="240" w:lineRule="auto"/>
              <w:jc w:val="center"/>
              <w:rPr>
                <w:rFonts w:ascii="Arial Narrow" w:hAnsi="Arial Narrow"/>
                <w:sz w:val="20"/>
                <w:szCs w:val="20"/>
              </w:rPr>
            </w:pPr>
            <w:r w:rsidRPr="008760FC">
              <w:rPr>
                <w:rFonts w:ascii="Arial Narrow" w:hAnsi="Arial Narrow"/>
                <w:sz w:val="20"/>
                <w:szCs w:val="20"/>
              </w:rPr>
              <w:t>Yes</w:t>
            </w:r>
          </w:p>
        </w:tc>
        <w:tc>
          <w:tcPr>
            <w:tcW w:w="851" w:type="dxa"/>
            <w:tcBorders>
              <w:bottom w:val="single" w:sz="4" w:space="0" w:color="auto"/>
              <w:right w:val="nil"/>
            </w:tcBorders>
            <w:shd w:val="clear" w:color="auto" w:fill="C6D9F1" w:themeFill="text2" w:themeFillTint="33"/>
          </w:tcPr>
          <w:p w:rsidR="005F2471" w:rsidRPr="008760FC" w:rsidRDefault="005F2471" w:rsidP="00812FFE">
            <w:pPr>
              <w:pStyle w:val="Bodytext"/>
              <w:numPr>
                <w:ilvl w:val="0"/>
                <w:numId w:val="0"/>
              </w:numPr>
              <w:spacing w:before="40" w:after="40" w:line="240" w:lineRule="auto"/>
              <w:ind w:right="-108"/>
              <w:jc w:val="right"/>
              <w:rPr>
                <w:rFonts w:ascii="Arial Narrow" w:hAnsi="Arial Narrow"/>
                <w:sz w:val="20"/>
                <w:szCs w:val="20"/>
              </w:rPr>
            </w:pPr>
            <w:r w:rsidRPr="008760FC">
              <w:rPr>
                <w:rFonts w:ascii="Arial Narrow" w:hAnsi="Arial Narrow"/>
                <w:sz w:val="20"/>
                <w:szCs w:val="20"/>
              </w:rPr>
              <w:t xml:space="preserve">2.3 </w:t>
            </w:r>
          </w:p>
        </w:tc>
        <w:tc>
          <w:tcPr>
            <w:tcW w:w="425" w:type="dxa"/>
            <w:tcBorders>
              <w:top w:val="single" w:sz="4" w:space="0" w:color="auto"/>
              <w:left w:val="nil"/>
              <w:bottom w:val="single" w:sz="4" w:space="0" w:color="auto"/>
              <w:right w:val="single" w:sz="4" w:space="0" w:color="auto"/>
            </w:tcBorders>
            <w:shd w:val="clear" w:color="auto" w:fill="C6D9F1" w:themeFill="text2" w:themeFillTint="33"/>
          </w:tcPr>
          <w:p w:rsidR="005F2471" w:rsidRPr="00812FFE" w:rsidRDefault="005F2471" w:rsidP="00812FFE">
            <w:pPr>
              <w:pStyle w:val="Bodytext"/>
              <w:numPr>
                <w:ilvl w:val="0"/>
                <w:numId w:val="0"/>
              </w:numPr>
              <w:tabs>
                <w:tab w:val="left" w:pos="884"/>
              </w:tabs>
              <w:spacing w:before="40" w:after="40" w:line="240" w:lineRule="auto"/>
              <w:ind w:left="-108"/>
              <w:rPr>
                <w:rStyle w:val="FootnoteReference"/>
                <w:rFonts w:ascii="Arial Narrow" w:hAnsi="Arial Narrow"/>
                <w:sz w:val="20"/>
                <w:szCs w:val="20"/>
              </w:rPr>
            </w:pPr>
            <w:r w:rsidRPr="008760FC">
              <w:rPr>
                <w:rStyle w:val="FootnoteReference"/>
                <w:rFonts w:ascii="Arial Narrow" w:hAnsi="Arial Narrow"/>
                <w:sz w:val="20"/>
                <w:szCs w:val="20"/>
              </w:rPr>
              <w:footnoteReference w:id="156"/>
            </w:r>
          </w:p>
        </w:tc>
        <w:tc>
          <w:tcPr>
            <w:tcW w:w="851" w:type="dxa"/>
            <w:tcBorders>
              <w:left w:val="single" w:sz="4" w:space="0" w:color="auto"/>
              <w:bottom w:val="single" w:sz="4" w:space="0" w:color="auto"/>
              <w:right w:val="nil"/>
            </w:tcBorders>
            <w:shd w:val="clear" w:color="auto" w:fill="C6D9F1" w:themeFill="text2" w:themeFillTint="33"/>
          </w:tcPr>
          <w:p w:rsidR="005F2471" w:rsidRPr="008760FC" w:rsidRDefault="005F2471" w:rsidP="005F2471">
            <w:pPr>
              <w:pStyle w:val="Bodytext"/>
              <w:numPr>
                <w:ilvl w:val="0"/>
                <w:numId w:val="0"/>
              </w:numPr>
              <w:spacing w:before="40" w:after="40" w:line="240" w:lineRule="auto"/>
              <w:ind w:right="-108"/>
              <w:jc w:val="right"/>
              <w:rPr>
                <w:rFonts w:ascii="Arial Narrow" w:hAnsi="Arial Narrow"/>
                <w:sz w:val="20"/>
                <w:szCs w:val="20"/>
              </w:rPr>
            </w:pPr>
            <w:r>
              <w:rPr>
                <w:rFonts w:ascii="Arial Narrow" w:hAnsi="Arial Narrow"/>
                <w:sz w:val="20"/>
                <w:szCs w:val="20"/>
              </w:rPr>
              <w:t>159,917</w:t>
            </w:r>
          </w:p>
        </w:tc>
        <w:tc>
          <w:tcPr>
            <w:tcW w:w="283" w:type="dxa"/>
            <w:tcBorders>
              <w:top w:val="single" w:sz="4" w:space="0" w:color="auto"/>
              <w:left w:val="nil"/>
              <w:bottom w:val="single" w:sz="4" w:space="0" w:color="auto"/>
              <w:right w:val="single" w:sz="4" w:space="0" w:color="auto"/>
            </w:tcBorders>
            <w:shd w:val="clear" w:color="auto" w:fill="C6D9F1" w:themeFill="text2" w:themeFillTint="33"/>
          </w:tcPr>
          <w:p w:rsidR="005F2471" w:rsidRPr="008760FC" w:rsidRDefault="005F2471" w:rsidP="00F061CF">
            <w:pPr>
              <w:pStyle w:val="Bodytext"/>
              <w:numPr>
                <w:ilvl w:val="0"/>
                <w:numId w:val="0"/>
              </w:numPr>
              <w:tabs>
                <w:tab w:val="left" w:pos="884"/>
              </w:tabs>
              <w:spacing w:before="40" w:after="40" w:line="240" w:lineRule="auto"/>
              <w:jc w:val="right"/>
              <w:rPr>
                <w:rFonts w:ascii="Arial Narrow" w:hAnsi="Arial Narrow"/>
                <w:sz w:val="20"/>
                <w:szCs w:val="20"/>
              </w:rPr>
            </w:pPr>
          </w:p>
        </w:tc>
        <w:tc>
          <w:tcPr>
            <w:tcW w:w="3934" w:type="dxa"/>
            <w:tcBorders>
              <w:left w:val="single" w:sz="4" w:space="0" w:color="auto"/>
              <w:bottom w:val="single" w:sz="4" w:space="0" w:color="auto"/>
            </w:tcBorders>
            <w:shd w:val="clear" w:color="auto" w:fill="C6D9F1" w:themeFill="text2" w:themeFillTint="33"/>
          </w:tcPr>
          <w:p w:rsidR="005F2471" w:rsidRPr="008760FC" w:rsidRDefault="005F2471" w:rsidP="000C21DA">
            <w:pPr>
              <w:pStyle w:val="Bodytext"/>
              <w:numPr>
                <w:ilvl w:val="0"/>
                <w:numId w:val="0"/>
              </w:numPr>
              <w:spacing w:before="40" w:after="40" w:line="240" w:lineRule="auto"/>
              <w:rPr>
                <w:rFonts w:ascii="Arial Narrow" w:hAnsi="Arial Narrow"/>
                <w:sz w:val="20"/>
                <w:szCs w:val="20"/>
              </w:rPr>
            </w:pPr>
            <w:r>
              <w:rPr>
                <w:rFonts w:ascii="Arial Narrow" w:hAnsi="Arial Narrow"/>
                <w:sz w:val="20"/>
                <w:szCs w:val="20"/>
              </w:rPr>
              <w:t xml:space="preserve"> The Federal Government has increased the target to 2.7% (from the original COAG target of 2.6%). </w:t>
            </w:r>
          </w:p>
        </w:tc>
      </w:tr>
      <w:tr w:rsidR="00550609" w:rsidTr="00550609">
        <w:tc>
          <w:tcPr>
            <w:tcW w:w="8612" w:type="dxa"/>
            <w:gridSpan w:val="7"/>
            <w:tcBorders>
              <w:top w:val="single" w:sz="4" w:space="0" w:color="auto"/>
              <w:left w:val="nil"/>
              <w:bottom w:val="nil"/>
              <w:right w:val="nil"/>
            </w:tcBorders>
            <w:shd w:val="clear" w:color="auto" w:fill="FFFFFF" w:themeFill="background1"/>
          </w:tcPr>
          <w:p w:rsidR="00550609" w:rsidRDefault="00550609" w:rsidP="00550609">
            <w:pPr>
              <w:pStyle w:val="Bodytext"/>
              <w:numPr>
                <w:ilvl w:val="0"/>
                <w:numId w:val="0"/>
              </w:numPr>
              <w:spacing w:before="120" w:after="40" w:line="240" w:lineRule="auto"/>
              <w:rPr>
                <w:rFonts w:ascii="Arial Narrow" w:hAnsi="Arial Narrow"/>
                <w:sz w:val="20"/>
                <w:szCs w:val="20"/>
              </w:rPr>
            </w:pPr>
            <w:r>
              <w:rPr>
                <w:rFonts w:ascii="Arial Narrow" w:hAnsi="Arial Narrow"/>
                <w:sz w:val="20"/>
                <w:szCs w:val="20"/>
              </w:rPr>
              <w:t xml:space="preserve">Note.    Source documents for Table 6.3 appear in footnotes below. </w:t>
            </w:r>
          </w:p>
        </w:tc>
      </w:tr>
    </w:tbl>
    <w:p w:rsidR="00DF28D8" w:rsidRDefault="00DF28D8" w:rsidP="00DF28D8">
      <w:pPr>
        <w:pStyle w:val="Bodytext"/>
        <w:numPr>
          <w:ilvl w:val="0"/>
          <w:numId w:val="0"/>
        </w:numPr>
        <w:ind w:left="425"/>
      </w:pPr>
    </w:p>
    <w:p w:rsidR="00327594" w:rsidRDefault="0028583C" w:rsidP="005F02DE">
      <w:pPr>
        <w:pStyle w:val="Bodytext"/>
      </w:pPr>
      <w:r>
        <w:t xml:space="preserve">Theme 5 states: </w:t>
      </w:r>
    </w:p>
    <w:p w:rsidR="0028583C" w:rsidRPr="0028583C" w:rsidRDefault="0028583C" w:rsidP="0028583C">
      <w:pPr>
        <w:pStyle w:val="Quote"/>
        <w:rPr>
          <w:lang w:val="en-US"/>
        </w:rPr>
      </w:pPr>
      <w:r w:rsidRPr="0028583C">
        <w:rPr>
          <w:lang w:val="en-US"/>
        </w:rPr>
        <w:t>Ongoing commitment and leadership is essential, if we are to make a long term commitment to closing the gap in Aboriginal disadvantage and reaching our goal of increasing and achieving sustainable Aboriginal employment in the WA Public Sector.</w:t>
      </w:r>
    </w:p>
    <w:p w:rsidR="0028583C" w:rsidRPr="0028583C" w:rsidRDefault="0028583C" w:rsidP="0028583C">
      <w:pPr>
        <w:pStyle w:val="Quote"/>
        <w:rPr>
          <w:lang w:val="en-US"/>
        </w:rPr>
      </w:pPr>
      <w:r w:rsidRPr="0028583C">
        <w:rPr>
          <w:lang w:val="en-US"/>
        </w:rPr>
        <w:t>It is also important that this strategy be pursued in an integrated, collaborative fashion, to prevent fragmentation of effort and an inconsistent approach. A range of accountability measures will help drive commitment and collaboration.</w:t>
      </w:r>
    </w:p>
    <w:p w:rsidR="0028583C" w:rsidRPr="0028583C" w:rsidRDefault="0028583C" w:rsidP="0028583C">
      <w:pPr>
        <w:pStyle w:val="Quote"/>
        <w:rPr>
          <w:lang w:val="en-US"/>
        </w:rPr>
      </w:pPr>
      <w:r w:rsidRPr="0028583C">
        <w:rPr>
          <w:lang w:val="en-US"/>
        </w:rPr>
        <w:t>The Public Sector Commission, in collaboration with relevant agencies will:</w:t>
      </w:r>
    </w:p>
    <w:p w:rsidR="0028583C" w:rsidRPr="0028583C" w:rsidRDefault="0028583C" w:rsidP="00924579">
      <w:pPr>
        <w:pStyle w:val="Quote"/>
        <w:numPr>
          <w:ilvl w:val="1"/>
          <w:numId w:val="23"/>
        </w:numPr>
        <w:ind w:left="1701"/>
        <w:rPr>
          <w:lang w:val="en-US"/>
        </w:rPr>
      </w:pPr>
      <w:r w:rsidRPr="0028583C">
        <w:rPr>
          <w:lang w:val="en-US"/>
        </w:rPr>
        <w:t>Establish five positions within the Public Sector Commission to implement the initiatives contained within the strategy and provide consultancy and support to agencies</w:t>
      </w:r>
    </w:p>
    <w:p w:rsidR="0028583C" w:rsidRPr="0028583C" w:rsidRDefault="0028583C" w:rsidP="00924579">
      <w:pPr>
        <w:pStyle w:val="Quote"/>
        <w:numPr>
          <w:ilvl w:val="1"/>
          <w:numId w:val="23"/>
        </w:numPr>
        <w:ind w:left="1701"/>
        <w:rPr>
          <w:lang w:val="en-US"/>
        </w:rPr>
      </w:pPr>
      <w:r w:rsidRPr="0028583C">
        <w:rPr>
          <w:lang w:val="en-US"/>
        </w:rPr>
        <w:t>Establish a regular CEO Forum to maintain commitment and momentum</w:t>
      </w:r>
    </w:p>
    <w:p w:rsidR="0028583C" w:rsidRPr="0028583C" w:rsidRDefault="0028583C" w:rsidP="00924579">
      <w:pPr>
        <w:pStyle w:val="Quote"/>
        <w:numPr>
          <w:ilvl w:val="1"/>
          <w:numId w:val="23"/>
        </w:numPr>
        <w:ind w:left="1701"/>
        <w:rPr>
          <w:lang w:val="en-US"/>
        </w:rPr>
      </w:pPr>
      <w:r w:rsidRPr="0028583C">
        <w:rPr>
          <w:lang w:val="en-US"/>
        </w:rPr>
        <w:t>Establish an Aboriginal Reference Group to monitor and advise on employment issues</w:t>
      </w:r>
    </w:p>
    <w:p w:rsidR="0028583C" w:rsidRPr="0028583C" w:rsidRDefault="0028583C" w:rsidP="00924579">
      <w:pPr>
        <w:pStyle w:val="Quote"/>
        <w:numPr>
          <w:ilvl w:val="1"/>
          <w:numId w:val="23"/>
        </w:numPr>
        <w:ind w:left="1701"/>
        <w:rPr>
          <w:lang w:val="en-US"/>
        </w:rPr>
      </w:pPr>
      <w:r w:rsidRPr="0028583C">
        <w:rPr>
          <w:lang w:val="en-US"/>
        </w:rPr>
        <w:t>Develop an evaluation process to determine the success of the strategy</w:t>
      </w:r>
    </w:p>
    <w:p w:rsidR="0028583C" w:rsidRPr="0028583C" w:rsidRDefault="0028583C" w:rsidP="00924579">
      <w:pPr>
        <w:pStyle w:val="Quote"/>
        <w:numPr>
          <w:ilvl w:val="1"/>
          <w:numId w:val="23"/>
        </w:numPr>
        <w:ind w:left="1701"/>
        <w:rPr>
          <w:lang w:val="en-US"/>
        </w:rPr>
      </w:pPr>
      <w:r w:rsidRPr="0028583C">
        <w:rPr>
          <w:lang w:val="en-US"/>
        </w:rPr>
        <w:t>Report bi-annually on progress towards the 2015 target Line Agencies should:</w:t>
      </w:r>
    </w:p>
    <w:p w:rsidR="0028583C" w:rsidRPr="0028583C" w:rsidRDefault="0028583C" w:rsidP="00924579">
      <w:pPr>
        <w:pStyle w:val="Quote"/>
        <w:numPr>
          <w:ilvl w:val="1"/>
          <w:numId w:val="23"/>
        </w:numPr>
        <w:ind w:left="1701"/>
        <w:rPr>
          <w:lang w:val="en-US"/>
        </w:rPr>
      </w:pPr>
      <w:r w:rsidRPr="0028583C">
        <w:rPr>
          <w:lang w:val="en-US"/>
        </w:rPr>
        <w:t>Align outcomes in CEO Performance Agreements with attraction and retention strategies and workforce diversity objectives in Equal Employment Opportunity Management Plans</w:t>
      </w:r>
    </w:p>
    <w:p w:rsidR="0028583C" w:rsidRPr="0028583C" w:rsidRDefault="0028583C" w:rsidP="00924579">
      <w:pPr>
        <w:pStyle w:val="Quote"/>
        <w:numPr>
          <w:ilvl w:val="1"/>
          <w:numId w:val="23"/>
        </w:numPr>
        <w:ind w:left="1701"/>
        <w:rPr>
          <w:lang w:val="en-US"/>
        </w:rPr>
      </w:pPr>
      <w:r w:rsidRPr="0028583C">
        <w:rPr>
          <w:lang w:val="en-US"/>
        </w:rPr>
        <w:t>Determine and implement initiatives that will contribute to meeting targets identified in EEO Management plans, and to improving outcomes for Aboriginal Public Sector employment</w:t>
      </w:r>
    </w:p>
    <w:p w:rsidR="0028583C" w:rsidRPr="0028583C" w:rsidRDefault="0028583C" w:rsidP="00924579">
      <w:pPr>
        <w:pStyle w:val="Quote"/>
        <w:numPr>
          <w:ilvl w:val="1"/>
          <w:numId w:val="23"/>
        </w:numPr>
        <w:ind w:left="1701"/>
        <w:rPr>
          <w:lang w:val="en-US"/>
        </w:rPr>
      </w:pPr>
      <w:r w:rsidRPr="0028583C">
        <w:rPr>
          <w:lang w:val="en-US"/>
        </w:rPr>
        <w:t>Set targets that reflect the Aboriginal client base, and/or set local level or business unit specific targets</w:t>
      </w:r>
    </w:p>
    <w:p w:rsidR="00872213" w:rsidRDefault="0028583C" w:rsidP="00924579">
      <w:pPr>
        <w:pStyle w:val="Quote"/>
        <w:numPr>
          <w:ilvl w:val="1"/>
          <w:numId w:val="23"/>
        </w:numPr>
        <w:ind w:left="1701"/>
        <w:rPr>
          <w:lang w:val="en-US"/>
        </w:rPr>
      </w:pPr>
      <w:r w:rsidRPr="00872213">
        <w:rPr>
          <w:lang w:val="en-US"/>
        </w:rPr>
        <w:t>Ensure data collection methods accurately capture information related to Aboriginal employment</w:t>
      </w:r>
    </w:p>
    <w:p w:rsidR="0028583C" w:rsidRDefault="0028583C" w:rsidP="00924579">
      <w:pPr>
        <w:pStyle w:val="Quote"/>
        <w:numPr>
          <w:ilvl w:val="1"/>
          <w:numId w:val="23"/>
        </w:numPr>
        <w:ind w:left="1701"/>
        <w:rPr>
          <w:lang w:val="en-US"/>
        </w:rPr>
      </w:pPr>
      <w:r w:rsidRPr="00872213">
        <w:rPr>
          <w:lang w:val="en-US"/>
        </w:rPr>
        <w:t>Report on initiatives and progress towards determined targets to support the Aboriginal Economic Participation National Partnership in CEO Performance Agreements.</w:t>
      </w:r>
      <w:r>
        <w:rPr>
          <w:rStyle w:val="FootnoteReference"/>
          <w:lang w:val="en-US"/>
        </w:rPr>
        <w:footnoteReference w:id="157"/>
      </w:r>
    </w:p>
    <w:p w:rsidR="000F695C" w:rsidRDefault="000F695C" w:rsidP="000F695C">
      <w:pPr>
        <w:pStyle w:val="Quote"/>
        <w:rPr>
          <w:lang w:val="en-US"/>
        </w:rPr>
      </w:pPr>
    </w:p>
    <w:p w:rsidR="000F695C" w:rsidRPr="00872213" w:rsidRDefault="000F695C" w:rsidP="000F695C">
      <w:pPr>
        <w:pStyle w:val="Quote"/>
        <w:rPr>
          <w:lang w:val="en-US"/>
        </w:rPr>
      </w:pPr>
    </w:p>
    <w:p w:rsidR="009A69A4" w:rsidRDefault="005F02DE" w:rsidP="005F02DE">
      <w:pPr>
        <w:pStyle w:val="Bodytext"/>
      </w:pPr>
      <w:r>
        <w:t xml:space="preserve">As is the case with private sector organisations that excel in the area of Indigenous employment, those public services that recognise the importance of leadership appear to achieve desired outcomes.  </w:t>
      </w:r>
      <w:r w:rsidR="009A69A4">
        <w:t xml:space="preserve">The Committee </w:t>
      </w:r>
      <w:r w:rsidR="0028583C">
        <w:t xml:space="preserve">concurs with </w:t>
      </w:r>
      <w:r w:rsidR="009A69A4">
        <w:t>Theme 4 in Western Australia</w:t>
      </w:r>
      <w:r w:rsidR="0028583C">
        <w:t>’s</w:t>
      </w:r>
      <w:r w:rsidR="009A69A4">
        <w:t xml:space="preserve"> </w:t>
      </w:r>
      <w:r w:rsidR="009A69A4" w:rsidRPr="009A69A4">
        <w:rPr>
          <w:i/>
        </w:rPr>
        <w:t>Aboriginal Employment Strategy 2011-2015</w:t>
      </w:r>
      <w:r w:rsidR="0028583C">
        <w:t xml:space="preserve">.  It </w:t>
      </w:r>
      <w:r w:rsidR="009A69A4">
        <w:t xml:space="preserve">states: </w:t>
      </w:r>
    </w:p>
    <w:p w:rsidR="0028583C" w:rsidRDefault="0028583C" w:rsidP="0028583C">
      <w:pPr>
        <w:pStyle w:val="Quote"/>
      </w:pPr>
      <w:r>
        <w:t>Recognising, developing and supporting current and potential</w:t>
      </w:r>
      <w:r>
        <w:rPr>
          <w:spacing w:val="-12"/>
        </w:rPr>
        <w:t xml:space="preserve"> </w:t>
      </w:r>
      <w:r>
        <w:t>Aboriginal leaders is essential to</w:t>
      </w:r>
      <w:r>
        <w:rPr>
          <w:spacing w:val="29"/>
          <w:w w:val="99"/>
        </w:rPr>
        <w:t xml:space="preserve"> </w:t>
      </w:r>
      <w:r>
        <w:t>building sustainable, equitable public sector employment for</w:t>
      </w:r>
      <w:r>
        <w:rPr>
          <w:spacing w:val="-13"/>
        </w:rPr>
        <w:t xml:space="preserve"> </w:t>
      </w:r>
      <w:r>
        <w:t>Aboriginal</w:t>
      </w:r>
      <w:r>
        <w:rPr>
          <w:spacing w:val="-2"/>
        </w:rPr>
        <w:t xml:space="preserve"> </w:t>
      </w:r>
      <w:r>
        <w:t>people. For new entrants</w:t>
      </w:r>
      <w:r>
        <w:rPr>
          <w:spacing w:val="26"/>
        </w:rPr>
        <w:t xml:space="preserve"> </w:t>
      </w:r>
      <w:r>
        <w:t>to</w:t>
      </w:r>
      <w:r>
        <w:rPr>
          <w:spacing w:val="-2"/>
        </w:rPr>
        <w:t xml:space="preserve"> </w:t>
      </w:r>
      <w:r>
        <w:t xml:space="preserve">the public </w:t>
      </w:r>
      <w:r>
        <w:rPr>
          <w:spacing w:val="-2"/>
        </w:rPr>
        <w:t>sector,</w:t>
      </w:r>
      <w:r>
        <w:t xml:space="preserve"> the</w:t>
      </w:r>
      <w:r>
        <w:rPr>
          <w:spacing w:val="-2"/>
        </w:rPr>
        <w:t xml:space="preserve"> </w:t>
      </w:r>
      <w:r>
        <w:t>presence of strong and successful</w:t>
      </w:r>
      <w:r>
        <w:rPr>
          <w:spacing w:val="-14"/>
        </w:rPr>
        <w:t xml:space="preserve"> </w:t>
      </w:r>
      <w:r>
        <w:t>Aboriginal</w:t>
      </w:r>
      <w:r>
        <w:rPr>
          <w:spacing w:val="-2"/>
        </w:rPr>
        <w:t xml:space="preserve"> </w:t>
      </w:r>
      <w:r>
        <w:t>leaders is important to</w:t>
      </w:r>
      <w:r>
        <w:rPr>
          <w:spacing w:val="28"/>
          <w:w w:val="99"/>
        </w:rPr>
        <w:t xml:space="preserve"> </w:t>
      </w:r>
      <w:r>
        <w:t>demonstrate the opportunities offered</w:t>
      </w:r>
      <w:r>
        <w:rPr>
          <w:spacing w:val="-2"/>
        </w:rPr>
        <w:t xml:space="preserve"> </w:t>
      </w:r>
      <w:r>
        <w:t xml:space="preserve">by the public </w:t>
      </w:r>
      <w:r>
        <w:rPr>
          <w:spacing w:val="-2"/>
        </w:rPr>
        <w:t>sector,</w:t>
      </w:r>
      <w:r>
        <w:t xml:space="preserve"> and to</w:t>
      </w:r>
      <w:r>
        <w:rPr>
          <w:spacing w:val="-2"/>
        </w:rPr>
        <w:t xml:space="preserve"> </w:t>
      </w:r>
      <w:r>
        <w:t>show them what can be</w:t>
      </w:r>
      <w:r>
        <w:rPr>
          <w:spacing w:val="28"/>
        </w:rPr>
        <w:t xml:space="preserve"> </w:t>
      </w:r>
      <w:r>
        <w:t>achieved.</w:t>
      </w:r>
    </w:p>
    <w:p w:rsidR="0028583C" w:rsidRDefault="0028583C" w:rsidP="0028583C">
      <w:pPr>
        <w:pStyle w:val="Quote"/>
      </w:pPr>
      <w:r w:rsidRPr="0028583C">
        <w:t>While Aboriginal leaders act as role models and mentors to others, they also benefit from support and</w:t>
      </w:r>
      <w:r>
        <w:t xml:space="preserve"> </w:t>
      </w:r>
      <w:r w:rsidRPr="0028583C">
        <w:t>guidance</w:t>
      </w:r>
      <w:r>
        <w:t xml:space="preserve"> themselves.</w:t>
      </w:r>
      <w:r w:rsidRPr="0028583C">
        <w:t xml:space="preserve"> Networking,</w:t>
      </w:r>
      <w:r>
        <w:t xml:space="preserve"> mentoring</w:t>
      </w:r>
      <w:r w:rsidRPr="0028583C">
        <w:t xml:space="preserve"> and</w:t>
      </w:r>
      <w:r>
        <w:t xml:space="preserve"> </w:t>
      </w:r>
      <w:r w:rsidRPr="0028583C">
        <w:t>development</w:t>
      </w:r>
      <w:r>
        <w:t xml:space="preserve"> </w:t>
      </w:r>
      <w:r w:rsidRPr="0028583C">
        <w:t>opportunities</w:t>
      </w:r>
      <w:r>
        <w:t xml:space="preserve"> </w:t>
      </w:r>
      <w:r w:rsidRPr="0028583C">
        <w:t>are</w:t>
      </w:r>
      <w:r>
        <w:t xml:space="preserve"> </w:t>
      </w:r>
      <w:r w:rsidRPr="0028583C">
        <w:t xml:space="preserve">important </w:t>
      </w:r>
      <w:r>
        <w:t>tools</w:t>
      </w:r>
      <w:r w:rsidRPr="0028583C">
        <w:t xml:space="preserve"> </w:t>
      </w:r>
      <w:r>
        <w:t>for</w:t>
      </w:r>
      <w:r w:rsidRPr="0028583C">
        <w:t xml:space="preserve"> developing</w:t>
      </w:r>
      <w:r>
        <w:t xml:space="preserve"> </w:t>
      </w:r>
      <w:r w:rsidRPr="0028583C">
        <w:t xml:space="preserve">our </w:t>
      </w:r>
      <w:r>
        <w:t>Aboriginal</w:t>
      </w:r>
      <w:r w:rsidRPr="0028583C">
        <w:t xml:space="preserve"> leaders.</w:t>
      </w:r>
      <w:r w:rsidRPr="0028583C">
        <w:rPr>
          <w:rStyle w:val="FootnoteReference"/>
        </w:rPr>
        <w:t xml:space="preserve"> </w:t>
      </w:r>
      <w:r>
        <w:rPr>
          <w:rStyle w:val="FootnoteReference"/>
        </w:rPr>
        <w:footnoteReference w:id="158"/>
      </w:r>
    </w:p>
    <w:p w:rsidR="00327594" w:rsidRDefault="005F02DE" w:rsidP="005F02DE">
      <w:pPr>
        <w:pStyle w:val="Bodytext"/>
      </w:pPr>
      <w:r>
        <w:t xml:space="preserve">The Committee notes </w:t>
      </w:r>
      <w:r w:rsidR="00327594">
        <w:t xml:space="preserve">the </w:t>
      </w:r>
      <w:r>
        <w:t>NSW Public Service Commission has indicated that, recognising the importan</w:t>
      </w:r>
      <w:r w:rsidR="00550609">
        <w:t>ce</w:t>
      </w:r>
      <w:r>
        <w:t xml:space="preserve"> of leadership, it will develop </w:t>
      </w:r>
      <w:r w:rsidR="00550609">
        <w:t xml:space="preserve">a </w:t>
      </w:r>
      <w:r>
        <w:t xml:space="preserve">public sector-wide </w:t>
      </w:r>
      <w:r w:rsidR="00327594">
        <w:t>leadership development program for Aboriginal employees.</w:t>
      </w:r>
      <w:r w:rsidR="00327594">
        <w:rPr>
          <w:rStyle w:val="FootnoteReference"/>
        </w:rPr>
        <w:footnoteReference w:id="159"/>
      </w:r>
      <w:r w:rsidR="00327594">
        <w:t xml:space="preserve">  </w:t>
      </w:r>
    </w:p>
    <w:p w:rsidR="00327594" w:rsidRDefault="00327594" w:rsidP="00327594">
      <w:pPr>
        <w:pStyle w:val="Recommendation"/>
      </w:pPr>
      <w:bookmarkStart w:id="155" w:name="_Toc384024422"/>
      <w:bookmarkEnd w:id="155"/>
    </w:p>
    <w:p w:rsidR="005F02DE" w:rsidRPr="00550609" w:rsidRDefault="00327594" w:rsidP="00327594">
      <w:pPr>
        <w:pStyle w:val="RecommendationText"/>
      </w:pPr>
      <w:bookmarkStart w:id="156" w:name="_Toc384024423"/>
      <w:r w:rsidRPr="00550609">
        <w:t xml:space="preserve">The Committee recommends that the </w:t>
      </w:r>
      <w:r w:rsidR="00362151" w:rsidRPr="00550609">
        <w:t xml:space="preserve">Australian Capital Territory </w:t>
      </w:r>
      <w:r w:rsidRPr="00550609">
        <w:t xml:space="preserve"> Public Service </w:t>
      </w:r>
      <w:r w:rsidR="009A69A4" w:rsidRPr="00550609">
        <w:t xml:space="preserve">review the merit of implementing an Indigenous leadership program similar to that proposed by the New South Wales Public Service Commission and report its findings to the Australian Capital Territory Aboriginal and Torres Strait Islander </w:t>
      </w:r>
      <w:r w:rsidR="00323080" w:rsidRPr="00550609">
        <w:t xml:space="preserve">Elected Body </w:t>
      </w:r>
      <w:r w:rsidR="00550609" w:rsidRPr="00550609">
        <w:t xml:space="preserve">and the Legislative Assembly </w:t>
      </w:r>
      <w:r w:rsidR="009A69A4" w:rsidRPr="00550609">
        <w:t>.</w:t>
      </w:r>
      <w:bookmarkEnd w:id="156"/>
      <w:r w:rsidR="009A69A4" w:rsidRPr="00550609">
        <w:t xml:space="preserve"> </w:t>
      </w:r>
    </w:p>
    <w:p w:rsidR="009651B2" w:rsidRDefault="009651B2" w:rsidP="009651B2">
      <w:pPr>
        <w:pStyle w:val="Headinglevel2"/>
      </w:pPr>
      <w:bookmarkStart w:id="157" w:name="_Toc383615058"/>
      <w:r>
        <w:t>International</w:t>
      </w:r>
      <w:bookmarkEnd w:id="157"/>
      <w:r>
        <w:t xml:space="preserve"> </w:t>
      </w:r>
    </w:p>
    <w:p w:rsidR="0063100B" w:rsidRDefault="0028583C" w:rsidP="0063100B">
      <w:pPr>
        <w:pStyle w:val="Bodytext"/>
      </w:pPr>
      <w:r>
        <w:t xml:space="preserve">The Committee has been assisted in its inquiry by research undertaken by the Legislative Assembly Library.  </w:t>
      </w:r>
      <w:r w:rsidR="001846F8">
        <w:t xml:space="preserve">The research resulted in </w:t>
      </w:r>
      <w:r w:rsidR="00AF58E2">
        <w:t xml:space="preserve">some material on </w:t>
      </w:r>
      <w:r w:rsidR="004D17DD">
        <w:t xml:space="preserve">several </w:t>
      </w:r>
      <w:r w:rsidR="00AF58E2">
        <w:t>j</w:t>
      </w:r>
      <w:r>
        <w:t>urisdictions</w:t>
      </w:r>
      <w:r w:rsidR="0063100B">
        <w:t xml:space="preserve">.  </w:t>
      </w:r>
      <w:r w:rsidR="004D17DD">
        <w:t>The m</w:t>
      </w:r>
      <w:r w:rsidR="0063100B">
        <w:t>ost relevant were N</w:t>
      </w:r>
      <w:r>
        <w:t>ew Zealand</w:t>
      </w:r>
      <w:r w:rsidR="0063100B">
        <w:t xml:space="preserve"> and Canada because of broad similarities to Australia with a small Indigenous population and a large Non-Indigenous population.</w:t>
      </w:r>
      <w:r w:rsidR="009B3321">
        <w:t xml:space="preserve">  </w:t>
      </w:r>
      <w:r w:rsidR="001051F6">
        <w:t xml:space="preserve">Also of interest was </w:t>
      </w:r>
      <w:r w:rsidR="004D17DD">
        <w:t xml:space="preserve">the </w:t>
      </w:r>
      <w:r w:rsidR="009B3321">
        <w:t>United</w:t>
      </w:r>
      <w:r w:rsidR="001051F6">
        <w:t> </w:t>
      </w:r>
      <w:r w:rsidR="009B3321">
        <w:t>States</w:t>
      </w:r>
      <w:r w:rsidR="001051F6">
        <w:t>.</w:t>
      </w:r>
      <w:r w:rsidR="009B3321">
        <w:t xml:space="preserve"> </w:t>
      </w:r>
    </w:p>
    <w:p w:rsidR="000F695C" w:rsidRPr="000F695C" w:rsidRDefault="000F695C" w:rsidP="000F695C">
      <w:pPr>
        <w:pStyle w:val="Bodytext"/>
        <w:numPr>
          <w:ilvl w:val="0"/>
          <w:numId w:val="0"/>
        </w:numPr>
        <w:ind w:left="425"/>
      </w:pPr>
    </w:p>
    <w:p w:rsidR="00AF58E2" w:rsidRDefault="00AF58E2" w:rsidP="00DF28D8">
      <w:pPr>
        <w:pStyle w:val="Headinglevel3"/>
      </w:pPr>
      <w:r>
        <w:t>New Zealand</w:t>
      </w:r>
    </w:p>
    <w:p w:rsidR="00455AC2" w:rsidRDefault="002E5E20" w:rsidP="00455AC2">
      <w:pPr>
        <w:pStyle w:val="Bodytext"/>
        <w:rPr>
          <w:lang w:val="en-US"/>
        </w:rPr>
      </w:pPr>
      <w:r>
        <w:t xml:space="preserve">The </w:t>
      </w:r>
      <w:r w:rsidR="00455AC2">
        <w:t xml:space="preserve">New Zealand public sector is referred to as the State Services.  </w:t>
      </w:r>
      <w:r w:rsidR="00455AC2" w:rsidRPr="00455AC2">
        <w:rPr>
          <w:lang w:val="en-US"/>
        </w:rPr>
        <w:t>The State Services</w:t>
      </w:r>
      <w:r w:rsidR="00455AC2">
        <w:rPr>
          <w:lang w:val="en-US"/>
        </w:rPr>
        <w:t xml:space="preserve"> comprise: </w:t>
      </w:r>
    </w:p>
    <w:p w:rsidR="00455AC2" w:rsidRDefault="00455AC2" w:rsidP="00455AC2">
      <w:pPr>
        <w:pStyle w:val="ListBullet"/>
        <w:rPr>
          <w:lang w:val="en-US"/>
        </w:rPr>
      </w:pPr>
      <w:r w:rsidRPr="00455AC2">
        <w:rPr>
          <w:lang w:val="en-US"/>
        </w:rPr>
        <w:t>the core Public Service departments</w:t>
      </w:r>
      <w:r>
        <w:rPr>
          <w:lang w:val="en-US"/>
        </w:rPr>
        <w:t xml:space="preserve"> (46,546 employees); </w:t>
      </w:r>
    </w:p>
    <w:p w:rsidR="00455AC2" w:rsidRDefault="00455AC2" w:rsidP="00455AC2">
      <w:pPr>
        <w:pStyle w:val="ListBullet"/>
        <w:rPr>
          <w:lang w:val="en-US"/>
        </w:rPr>
      </w:pPr>
      <w:r w:rsidRPr="00455AC2">
        <w:rPr>
          <w:lang w:val="en-US"/>
        </w:rPr>
        <w:t>District Health Boards</w:t>
      </w:r>
      <w:r>
        <w:rPr>
          <w:lang w:val="en-US"/>
        </w:rPr>
        <w:t xml:space="preserve"> (66, 177 employees);</w:t>
      </w:r>
    </w:p>
    <w:p w:rsidR="00455AC2" w:rsidRDefault="00455AC2" w:rsidP="00455AC2">
      <w:pPr>
        <w:pStyle w:val="ListBullet"/>
        <w:rPr>
          <w:lang w:val="en-US"/>
        </w:rPr>
      </w:pPr>
      <w:r w:rsidRPr="00455AC2">
        <w:rPr>
          <w:lang w:val="en-US"/>
        </w:rPr>
        <w:t>education agencies</w:t>
      </w:r>
      <w:r>
        <w:rPr>
          <w:lang w:val="en-US"/>
        </w:rPr>
        <w:t xml:space="preserve"> (69,500 employees); and</w:t>
      </w:r>
    </w:p>
    <w:p w:rsidR="00455AC2" w:rsidRDefault="00455AC2" w:rsidP="00455AC2">
      <w:pPr>
        <w:pStyle w:val="ListBullet"/>
        <w:rPr>
          <w:lang w:val="en-US"/>
        </w:rPr>
      </w:pPr>
      <w:r w:rsidRPr="00455AC2">
        <w:rPr>
          <w:lang w:val="en-US"/>
        </w:rPr>
        <w:t>the Police, the Defence Force and other Crown entities</w:t>
      </w:r>
      <w:r>
        <w:rPr>
          <w:lang w:val="en-US"/>
        </w:rPr>
        <w:t xml:space="preserve"> (45,002 employees).</w:t>
      </w:r>
      <w:r w:rsidR="0037465D">
        <w:rPr>
          <w:rStyle w:val="FootnoteReference"/>
          <w:lang w:val="en-US"/>
        </w:rPr>
        <w:footnoteReference w:id="160"/>
      </w:r>
      <w:r>
        <w:rPr>
          <w:lang w:val="en-US"/>
        </w:rPr>
        <w:t xml:space="preserve"> </w:t>
      </w:r>
    </w:p>
    <w:p w:rsidR="005F2964" w:rsidRPr="000D6412" w:rsidRDefault="005F2964" w:rsidP="005F2964">
      <w:pPr>
        <w:pStyle w:val="Bodytext"/>
        <w:rPr>
          <w:lang w:val="en-US"/>
        </w:rPr>
      </w:pPr>
      <w:r w:rsidRPr="000D6412">
        <w:rPr>
          <w:lang w:val="en-US"/>
        </w:rPr>
        <w:t>The ethnic composition of the Public Service broadly resembles that of the New Zealand working‐age population, based on the Household Labour Force Survey</w:t>
      </w:r>
      <w:r>
        <w:rPr>
          <w:lang w:val="en-US"/>
        </w:rPr>
        <w:t xml:space="preserve"> (HLFS)</w:t>
      </w:r>
      <w:r w:rsidRPr="000D6412">
        <w:rPr>
          <w:lang w:val="en-US"/>
        </w:rPr>
        <w:t xml:space="preserve"> information from Statistics NZ.</w:t>
      </w:r>
      <w:r>
        <w:rPr>
          <w:rStyle w:val="FootnoteReference"/>
          <w:lang w:val="en-US"/>
        </w:rPr>
        <w:footnoteReference w:id="161"/>
      </w:r>
    </w:p>
    <w:p w:rsidR="000D6412" w:rsidRPr="000D6412" w:rsidRDefault="00455AC2" w:rsidP="000D6412">
      <w:pPr>
        <w:pStyle w:val="Bodytext"/>
      </w:pPr>
      <w:r>
        <w:rPr>
          <w:lang w:val="en-US"/>
        </w:rPr>
        <w:t xml:space="preserve">In 2013 </w:t>
      </w:r>
      <w:r w:rsidRPr="00455AC2">
        <w:rPr>
          <w:lang w:val="en-US"/>
        </w:rPr>
        <w:t>the State Services has increased in size by 1.0</w:t>
      </w:r>
      <w:r w:rsidR="00324512">
        <w:rPr>
          <w:lang w:val="en-US"/>
        </w:rPr>
        <w:t xml:space="preserve"> percent</w:t>
      </w:r>
      <w:r w:rsidR="000D6412">
        <w:rPr>
          <w:lang w:val="en-US"/>
        </w:rPr>
        <w:t xml:space="preserve"> </w:t>
      </w:r>
      <w:r w:rsidRPr="00455AC2">
        <w:rPr>
          <w:lang w:val="en-US"/>
        </w:rPr>
        <w:t>which compare</w:t>
      </w:r>
      <w:r w:rsidR="0037465D">
        <w:rPr>
          <w:lang w:val="en-US"/>
        </w:rPr>
        <w:t>d</w:t>
      </w:r>
      <w:r w:rsidRPr="00455AC2">
        <w:rPr>
          <w:lang w:val="en-US"/>
        </w:rPr>
        <w:t xml:space="preserve"> to an increase in the private sector of 2.1</w:t>
      </w:r>
      <w:r w:rsidR="00324512">
        <w:rPr>
          <w:lang w:val="en-US"/>
        </w:rPr>
        <w:t xml:space="preserve"> percent.</w:t>
      </w:r>
      <w:r w:rsidR="000D6412">
        <w:rPr>
          <w:lang w:val="en-US"/>
        </w:rPr>
        <w:t xml:space="preserve"> The Indigenous Maori people make up 16.5 percent of the New Zealand Public Service.</w:t>
      </w:r>
      <w:r w:rsidR="000D6412">
        <w:rPr>
          <w:rStyle w:val="FootnoteReference"/>
          <w:lang w:val="en-US"/>
        </w:rPr>
        <w:footnoteReference w:id="162"/>
      </w:r>
      <w:r w:rsidR="000D6412">
        <w:rPr>
          <w:lang w:val="en-US"/>
        </w:rPr>
        <w:t xml:space="preserve">  </w:t>
      </w:r>
      <w:r w:rsidR="000D6412" w:rsidRPr="000D6412">
        <w:t>In 2013, the European group remained the largest group in the Public Service at 72.0%. This is lower than the 74.2% representation seen in the working‐age population (HLFS aged 15 years and over). M</w:t>
      </w:r>
      <w:r w:rsidR="001051F6">
        <w:t>a</w:t>
      </w:r>
      <w:r w:rsidR="000D6412" w:rsidRPr="000D6412">
        <w:t xml:space="preserve">ori </w:t>
      </w:r>
      <w:r w:rsidR="00F23CA4">
        <w:t xml:space="preserve">people </w:t>
      </w:r>
      <w:r w:rsidR="000D6412" w:rsidRPr="000D6412">
        <w:t xml:space="preserve">had relatively higher representation at 16.5%, compared with 12.7% in the working‐age population. </w:t>
      </w:r>
    </w:p>
    <w:p w:rsidR="00455AC2" w:rsidRPr="00455AC2" w:rsidRDefault="000D6412" w:rsidP="00455AC2">
      <w:pPr>
        <w:pStyle w:val="Bodytext"/>
        <w:rPr>
          <w:lang w:val="en-US"/>
        </w:rPr>
      </w:pPr>
      <w:r>
        <w:rPr>
          <w:lang w:val="en-US"/>
        </w:rPr>
        <w:t>The percentage of M</w:t>
      </w:r>
      <w:r w:rsidR="001051F6">
        <w:rPr>
          <w:lang w:val="en-US"/>
        </w:rPr>
        <w:t>a</w:t>
      </w:r>
      <w:r>
        <w:rPr>
          <w:lang w:val="en-US"/>
        </w:rPr>
        <w:t xml:space="preserve">ori people in senior leadership positions has grown from 7.7 percent in 2009 to 11.2 percent in 2013. </w:t>
      </w:r>
    </w:p>
    <w:p w:rsidR="00AF58E2" w:rsidRDefault="00AF58E2" w:rsidP="00AF58E2">
      <w:pPr>
        <w:pStyle w:val="Headinglevel3"/>
      </w:pPr>
      <w:r>
        <w:t>Canada</w:t>
      </w:r>
    </w:p>
    <w:p w:rsidR="008C52D5" w:rsidRPr="008C52D5" w:rsidRDefault="008C52D5" w:rsidP="008C52D5">
      <w:pPr>
        <w:pStyle w:val="Bodytext"/>
      </w:pPr>
      <w:r w:rsidRPr="008C52D5">
        <w:rPr>
          <w:w w:val="105"/>
          <w:lang w:val="en-US"/>
        </w:rPr>
        <w:t xml:space="preserve">The Preamble to the </w:t>
      </w:r>
      <w:r w:rsidRPr="008C52D5">
        <w:rPr>
          <w:i/>
          <w:w w:val="105"/>
          <w:lang w:val="en-US"/>
        </w:rPr>
        <w:t xml:space="preserve">Public Service Employment Act </w:t>
      </w:r>
      <w:r w:rsidRPr="008C52D5">
        <w:rPr>
          <w:w w:val="105"/>
          <w:lang w:val="en-US"/>
        </w:rPr>
        <w:t xml:space="preserve">(PSEA) sets out a vision for a </w:t>
      </w:r>
      <w:r w:rsidR="00634DDA" w:rsidRPr="008C52D5">
        <w:rPr>
          <w:w w:val="105"/>
          <w:lang w:val="en-US"/>
        </w:rPr>
        <w:t>delegated</w:t>
      </w:r>
      <w:r w:rsidR="00634DDA">
        <w:rPr>
          <w:w w:val="105"/>
          <w:lang w:val="en-US"/>
        </w:rPr>
        <w:t xml:space="preserve"> </w:t>
      </w:r>
      <w:r w:rsidR="00634DDA" w:rsidRPr="008C52D5">
        <w:rPr>
          <w:w w:val="105"/>
          <w:lang w:val="en-US"/>
        </w:rPr>
        <w:t>staffing</w:t>
      </w:r>
      <w:r w:rsidRPr="008C52D5">
        <w:rPr>
          <w:w w:val="105"/>
          <w:lang w:val="en-US"/>
        </w:rPr>
        <w:t xml:space="preserve"> system that provides public service managers with the authority</w:t>
      </w:r>
      <w:r>
        <w:rPr>
          <w:w w:val="105"/>
          <w:lang w:val="en-US"/>
        </w:rPr>
        <w:t xml:space="preserve">, ‘… </w:t>
      </w:r>
      <w:r w:rsidRPr="008C52D5">
        <w:rPr>
          <w:w w:val="105"/>
          <w:lang w:val="en-US"/>
        </w:rPr>
        <w:t>to staff, to manage and to lead their personnel to achieve results for Canadians</w:t>
      </w:r>
      <w:r w:rsidR="00F23CA4">
        <w:rPr>
          <w:w w:val="105"/>
          <w:lang w:val="en-US"/>
        </w:rPr>
        <w:t>’</w:t>
      </w:r>
      <w:r w:rsidRPr="008C52D5">
        <w:rPr>
          <w:w w:val="105"/>
          <w:lang w:val="en-US"/>
        </w:rPr>
        <w:t>.</w:t>
      </w:r>
      <w:r>
        <w:rPr>
          <w:rStyle w:val="FootnoteReference"/>
          <w:w w:val="105"/>
          <w:lang w:val="en-US"/>
        </w:rPr>
        <w:footnoteReference w:id="163"/>
      </w:r>
      <w:r w:rsidRPr="008C52D5">
        <w:rPr>
          <w:w w:val="105"/>
          <w:lang w:val="en-US"/>
        </w:rPr>
        <w:t xml:space="preserve"> With this in mind, the Public Service Commission (PSC) provides guidance, tools and support services while enhancing the framework that supports hiring managers to achieve a modern, effective staffing system.</w:t>
      </w:r>
    </w:p>
    <w:p w:rsidR="002F4F02" w:rsidRPr="002F4F02" w:rsidRDefault="008C52D5" w:rsidP="00F23CA4">
      <w:pPr>
        <w:pStyle w:val="Bodytext"/>
      </w:pPr>
      <w:r>
        <w:rPr>
          <w:spacing w:val="-1"/>
          <w:w w:val="105"/>
        </w:rPr>
        <w:t>The PSEA Pr</w:t>
      </w:r>
      <w:r>
        <w:rPr>
          <w:spacing w:val="-2"/>
          <w:w w:val="105"/>
        </w:rPr>
        <w:t>e</w:t>
      </w:r>
      <w:r>
        <w:rPr>
          <w:spacing w:val="-1"/>
          <w:w w:val="105"/>
        </w:rPr>
        <w:t>ambl</w:t>
      </w:r>
      <w:r>
        <w:rPr>
          <w:spacing w:val="-2"/>
          <w:w w:val="105"/>
        </w:rPr>
        <w:t>e states that</w:t>
      </w:r>
      <w:r>
        <w:rPr>
          <w:spacing w:val="-11"/>
          <w:w w:val="105"/>
        </w:rPr>
        <w:t xml:space="preserve"> </w:t>
      </w:r>
      <w:r>
        <w:rPr>
          <w:spacing w:val="1"/>
          <w:w w:val="105"/>
        </w:rPr>
        <w:t>t</w:t>
      </w:r>
      <w:r>
        <w:rPr>
          <w:w w:val="105"/>
        </w:rPr>
        <w:t>h</w:t>
      </w:r>
      <w:r>
        <w:rPr>
          <w:spacing w:val="1"/>
          <w:w w:val="105"/>
        </w:rPr>
        <w:t>e</w:t>
      </w:r>
      <w:r>
        <w:rPr>
          <w:spacing w:val="-10"/>
          <w:w w:val="105"/>
        </w:rPr>
        <w:t xml:space="preserve"> Canadian Public Service </w:t>
      </w:r>
      <w:r>
        <w:rPr>
          <w:spacing w:val="-1"/>
          <w:w w:val="105"/>
        </w:rPr>
        <w:t>mus</w:t>
      </w:r>
      <w:r>
        <w:rPr>
          <w:spacing w:val="-2"/>
          <w:w w:val="105"/>
        </w:rPr>
        <w:t>t</w:t>
      </w:r>
      <w:r>
        <w:rPr>
          <w:spacing w:val="-10"/>
          <w:w w:val="105"/>
        </w:rPr>
        <w:t xml:space="preserve"> </w:t>
      </w:r>
      <w:r>
        <w:rPr>
          <w:spacing w:val="-1"/>
          <w:w w:val="105"/>
        </w:rPr>
        <w:t>b</w:t>
      </w:r>
      <w:r>
        <w:rPr>
          <w:spacing w:val="-2"/>
          <w:w w:val="105"/>
        </w:rPr>
        <w:t>e</w:t>
      </w:r>
      <w:r>
        <w:rPr>
          <w:spacing w:val="-10"/>
          <w:w w:val="105"/>
        </w:rPr>
        <w:t xml:space="preserve"> </w:t>
      </w:r>
      <w:r>
        <w:rPr>
          <w:spacing w:val="-1"/>
          <w:w w:val="105"/>
        </w:rPr>
        <w:t>r</w:t>
      </w:r>
      <w:r>
        <w:rPr>
          <w:spacing w:val="-2"/>
          <w:w w:val="105"/>
        </w:rPr>
        <w:t>e</w:t>
      </w:r>
      <w:r>
        <w:rPr>
          <w:spacing w:val="-1"/>
          <w:w w:val="105"/>
        </w:rPr>
        <w:t>pr</w:t>
      </w:r>
      <w:r>
        <w:rPr>
          <w:spacing w:val="-2"/>
          <w:w w:val="105"/>
        </w:rPr>
        <w:t>e</w:t>
      </w:r>
      <w:r>
        <w:rPr>
          <w:spacing w:val="-1"/>
          <w:w w:val="105"/>
        </w:rPr>
        <w:t>s</w:t>
      </w:r>
      <w:r>
        <w:rPr>
          <w:spacing w:val="-2"/>
          <w:w w:val="105"/>
        </w:rPr>
        <w:t>e</w:t>
      </w:r>
      <w:r>
        <w:rPr>
          <w:spacing w:val="-1"/>
          <w:w w:val="105"/>
        </w:rPr>
        <w:t>n</w:t>
      </w:r>
      <w:r>
        <w:rPr>
          <w:spacing w:val="-2"/>
          <w:w w:val="105"/>
        </w:rPr>
        <w:t>t</w:t>
      </w:r>
      <w:r>
        <w:rPr>
          <w:spacing w:val="-1"/>
          <w:w w:val="105"/>
        </w:rPr>
        <w:t>a</w:t>
      </w:r>
      <w:r>
        <w:rPr>
          <w:spacing w:val="-2"/>
          <w:w w:val="105"/>
        </w:rPr>
        <w:t>t</w:t>
      </w:r>
      <w:r>
        <w:rPr>
          <w:spacing w:val="-1"/>
          <w:w w:val="105"/>
        </w:rPr>
        <w:t>iv</w:t>
      </w:r>
      <w:r>
        <w:rPr>
          <w:spacing w:val="-2"/>
          <w:w w:val="105"/>
        </w:rPr>
        <w:t>e</w:t>
      </w:r>
      <w:r>
        <w:rPr>
          <w:spacing w:val="-11"/>
          <w:w w:val="105"/>
        </w:rPr>
        <w:t xml:space="preserve"> </w:t>
      </w:r>
      <w:r>
        <w:rPr>
          <w:spacing w:val="-3"/>
          <w:w w:val="105"/>
        </w:rPr>
        <w:t>of</w:t>
      </w:r>
      <w:r>
        <w:rPr>
          <w:spacing w:val="-10"/>
          <w:w w:val="105"/>
        </w:rPr>
        <w:t xml:space="preserve"> </w:t>
      </w:r>
      <w:r>
        <w:rPr>
          <w:spacing w:val="-4"/>
          <w:w w:val="105"/>
        </w:rPr>
        <w:t>C</w:t>
      </w:r>
      <w:r>
        <w:rPr>
          <w:spacing w:val="-5"/>
          <w:w w:val="105"/>
        </w:rPr>
        <w:t>a</w:t>
      </w:r>
      <w:r>
        <w:rPr>
          <w:spacing w:val="-4"/>
          <w:w w:val="105"/>
        </w:rPr>
        <w:t>n</w:t>
      </w:r>
      <w:r>
        <w:rPr>
          <w:spacing w:val="-5"/>
          <w:w w:val="105"/>
        </w:rPr>
        <w:t>a</w:t>
      </w:r>
      <w:r>
        <w:rPr>
          <w:spacing w:val="-4"/>
          <w:w w:val="105"/>
        </w:rPr>
        <w:t>d</w:t>
      </w:r>
      <w:r>
        <w:rPr>
          <w:spacing w:val="-5"/>
          <w:w w:val="105"/>
        </w:rPr>
        <w:t>a’</w:t>
      </w:r>
      <w:r>
        <w:rPr>
          <w:spacing w:val="-4"/>
          <w:w w:val="105"/>
        </w:rPr>
        <w:t>s</w:t>
      </w:r>
      <w:r>
        <w:rPr>
          <w:spacing w:val="67"/>
          <w:w w:val="105"/>
        </w:rPr>
        <w:t xml:space="preserve"> </w:t>
      </w:r>
      <w:r>
        <w:rPr>
          <w:w w:val="105"/>
        </w:rPr>
        <w:t>diversity</w:t>
      </w:r>
      <w:r>
        <w:rPr>
          <w:spacing w:val="-8"/>
          <w:w w:val="105"/>
        </w:rPr>
        <w:t xml:space="preserve"> </w:t>
      </w:r>
      <w:r>
        <w:rPr>
          <w:w w:val="105"/>
        </w:rPr>
        <w:t>and</w:t>
      </w:r>
      <w:r>
        <w:rPr>
          <w:spacing w:val="-7"/>
          <w:w w:val="105"/>
        </w:rPr>
        <w:t xml:space="preserve"> </w:t>
      </w:r>
      <w:r>
        <w:rPr>
          <w:spacing w:val="-1"/>
          <w:w w:val="105"/>
        </w:rPr>
        <w:t>b</w:t>
      </w:r>
      <w:r>
        <w:rPr>
          <w:spacing w:val="-2"/>
          <w:w w:val="105"/>
        </w:rPr>
        <w:t>e</w:t>
      </w:r>
      <w:r>
        <w:rPr>
          <w:spacing w:val="-7"/>
          <w:w w:val="105"/>
        </w:rPr>
        <w:t xml:space="preserve"> </w:t>
      </w:r>
      <w:r>
        <w:rPr>
          <w:spacing w:val="-4"/>
          <w:w w:val="105"/>
        </w:rPr>
        <w:t>a</w:t>
      </w:r>
      <w:r>
        <w:rPr>
          <w:spacing w:val="-3"/>
          <w:w w:val="105"/>
        </w:rPr>
        <w:t>bl</w:t>
      </w:r>
      <w:r>
        <w:rPr>
          <w:spacing w:val="-4"/>
          <w:w w:val="105"/>
        </w:rPr>
        <w:t>e</w:t>
      </w:r>
      <w:r>
        <w:rPr>
          <w:spacing w:val="-7"/>
          <w:w w:val="105"/>
        </w:rPr>
        <w:t xml:space="preserve"> </w:t>
      </w:r>
      <w:r>
        <w:rPr>
          <w:spacing w:val="-2"/>
          <w:w w:val="105"/>
        </w:rPr>
        <w:t>to</w:t>
      </w:r>
      <w:r>
        <w:rPr>
          <w:spacing w:val="-7"/>
          <w:w w:val="105"/>
        </w:rPr>
        <w:t xml:space="preserve"> </w:t>
      </w:r>
      <w:r>
        <w:rPr>
          <w:spacing w:val="1"/>
          <w:w w:val="105"/>
        </w:rPr>
        <w:t>serve</w:t>
      </w:r>
      <w:r>
        <w:rPr>
          <w:spacing w:val="-7"/>
          <w:w w:val="105"/>
        </w:rPr>
        <w:t xml:space="preserve"> </w:t>
      </w:r>
      <w:r>
        <w:rPr>
          <w:w w:val="105"/>
        </w:rPr>
        <w:t>C</w:t>
      </w:r>
      <w:r>
        <w:rPr>
          <w:spacing w:val="1"/>
          <w:w w:val="105"/>
        </w:rPr>
        <w:t>a</w:t>
      </w:r>
      <w:r>
        <w:rPr>
          <w:w w:val="105"/>
        </w:rPr>
        <w:t>n</w:t>
      </w:r>
      <w:r>
        <w:rPr>
          <w:spacing w:val="1"/>
          <w:w w:val="105"/>
        </w:rPr>
        <w:t>a</w:t>
      </w:r>
      <w:r>
        <w:rPr>
          <w:w w:val="105"/>
        </w:rPr>
        <w:t>di</w:t>
      </w:r>
      <w:r>
        <w:rPr>
          <w:spacing w:val="1"/>
          <w:w w:val="105"/>
        </w:rPr>
        <w:t>a</w:t>
      </w:r>
      <w:r>
        <w:rPr>
          <w:w w:val="105"/>
        </w:rPr>
        <w:t>n</w:t>
      </w:r>
      <w:r>
        <w:rPr>
          <w:spacing w:val="1"/>
          <w:w w:val="105"/>
        </w:rPr>
        <w:t>s</w:t>
      </w:r>
      <w:r>
        <w:rPr>
          <w:spacing w:val="-7"/>
          <w:w w:val="105"/>
        </w:rPr>
        <w:t xml:space="preserve"> </w:t>
      </w:r>
      <w:r>
        <w:rPr>
          <w:spacing w:val="1"/>
          <w:w w:val="105"/>
        </w:rPr>
        <w:t>in</w:t>
      </w:r>
      <w:r>
        <w:rPr>
          <w:spacing w:val="-7"/>
          <w:w w:val="105"/>
        </w:rPr>
        <w:t xml:space="preserve"> </w:t>
      </w:r>
      <w:r>
        <w:rPr>
          <w:spacing w:val="1"/>
          <w:w w:val="105"/>
        </w:rPr>
        <w:t>t</w:t>
      </w:r>
      <w:r>
        <w:rPr>
          <w:w w:val="105"/>
        </w:rPr>
        <w:t>h</w:t>
      </w:r>
      <w:r>
        <w:rPr>
          <w:spacing w:val="1"/>
          <w:w w:val="105"/>
        </w:rPr>
        <w:t>e</w:t>
      </w:r>
      <w:r>
        <w:rPr>
          <w:w w:val="105"/>
        </w:rPr>
        <w:t>i</w:t>
      </w:r>
      <w:r>
        <w:rPr>
          <w:spacing w:val="1"/>
          <w:w w:val="105"/>
        </w:rPr>
        <w:t>r</w:t>
      </w:r>
      <w:r>
        <w:rPr>
          <w:spacing w:val="-7"/>
          <w:w w:val="105"/>
        </w:rPr>
        <w:t xml:space="preserve"> </w:t>
      </w:r>
      <w:r>
        <w:rPr>
          <w:w w:val="105"/>
        </w:rPr>
        <w:t>official</w:t>
      </w:r>
      <w:r>
        <w:rPr>
          <w:spacing w:val="-7"/>
          <w:w w:val="105"/>
        </w:rPr>
        <w:t xml:space="preserve"> </w:t>
      </w:r>
      <w:r>
        <w:rPr>
          <w:w w:val="105"/>
        </w:rPr>
        <w:t>l</w:t>
      </w:r>
      <w:r>
        <w:rPr>
          <w:spacing w:val="1"/>
          <w:w w:val="105"/>
        </w:rPr>
        <w:t>a</w:t>
      </w:r>
      <w:r>
        <w:rPr>
          <w:w w:val="105"/>
        </w:rPr>
        <w:t>n</w:t>
      </w:r>
      <w:r>
        <w:rPr>
          <w:spacing w:val="1"/>
          <w:w w:val="105"/>
        </w:rPr>
        <w:t>g</w:t>
      </w:r>
      <w:r>
        <w:rPr>
          <w:w w:val="105"/>
        </w:rPr>
        <w:t>u</w:t>
      </w:r>
      <w:r>
        <w:rPr>
          <w:spacing w:val="1"/>
          <w:w w:val="105"/>
        </w:rPr>
        <w:t>age</w:t>
      </w:r>
      <w:r>
        <w:rPr>
          <w:spacing w:val="-7"/>
          <w:w w:val="105"/>
        </w:rPr>
        <w:t xml:space="preserve"> </w:t>
      </w:r>
      <w:r>
        <w:rPr>
          <w:spacing w:val="-3"/>
          <w:w w:val="105"/>
        </w:rPr>
        <w:t>of</w:t>
      </w:r>
      <w:r>
        <w:rPr>
          <w:spacing w:val="-7"/>
          <w:w w:val="105"/>
        </w:rPr>
        <w:t xml:space="preserve"> </w:t>
      </w:r>
      <w:r>
        <w:rPr>
          <w:spacing w:val="-2"/>
          <w:w w:val="105"/>
        </w:rPr>
        <w:t>ch</w:t>
      </w:r>
      <w:r>
        <w:rPr>
          <w:spacing w:val="-3"/>
          <w:w w:val="105"/>
        </w:rPr>
        <w:t>o</w:t>
      </w:r>
      <w:r>
        <w:rPr>
          <w:spacing w:val="-2"/>
          <w:w w:val="105"/>
        </w:rPr>
        <w:t>ic</w:t>
      </w:r>
      <w:r>
        <w:rPr>
          <w:spacing w:val="-3"/>
          <w:w w:val="105"/>
        </w:rPr>
        <w:t>e.</w:t>
      </w:r>
      <w:r>
        <w:rPr>
          <w:spacing w:val="-7"/>
          <w:w w:val="105"/>
        </w:rPr>
        <w:t xml:space="preserve"> </w:t>
      </w:r>
      <w:r>
        <w:rPr>
          <w:spacing w:val="-3"/>
          <w:w w:val="105"/>
        </w:rPr>
        <w:t>Und</w:t>
      </w:r>
      <w:r>
        <w:rPr>
          <w:spacing w:val="-4"/>
          <w:w w:val="105"/>
        </w:rPr>
        <w:t>e</w:t>
      </w:r>
      <w:r>
        <w:rPr>
          <w:spacing w:val="-3"/>
          <w:w w:val="105"/>
        </w:rPr>
        <w:t>r</w:t>
      </w:r>
      <w:r>
        <w:rPr>
          <w:spacing w:val="-7"/>
          <w:w w:val="105"/>
        </w:rPr>
        <w:t xml:space="preserve"> </w:t>
      </w:r>
      <w:r>
        <w:rPr>
          <w:spacing w:val="1"/>
          <w:w w:val="105"/>
        </w:rPr>
        <w:t>t</w:t>
      </w:r>
      <w:r>
        <w:rPr>
          <w:w w:val="105"/>
        </w:rPr>
        <w:t>h</w:t>
      </w:r>
      <w:r>
        <w:rPr>
          <w:spacing w:val="1"/>
          <w:w w:val="105"/>
        </w:rPr>
        <w:t>e</w:t>
      </w:r>
      <w:r>
        <w:rPr>
          <w:spacing w:val="37"/>
          <w:w w:val="98"/>
        </w:rPr>
        <w:t xml:space="preserve"> </w:t>
      </w:r>
      <w:r w:rsidRPr="00F23CA4">
        <w:rPr>
          <w:i/>
          <w:w w:val="105"/>
          <w:lang w:val="en-US"/>
        </w:rPr>
        <w:t>Employment Equity Act, the PSC</w:t>
      </w:r>
      <w:r>
        <w:rPr>
          <w:w w:val="105"/>
        </w:rPr>
        <w:t>,</w:t>
      </w:r>
      <w:r>
        <w:rPr>
          <w:spacing w:val="-14"/>
          <w:w w:val="105"/>
        </w:rPr>
        <w:t xml:space="preserve"> </w:t>
      </w:r>
      <w:r>
        <w:rPr>
          <w:w w:val="105"/>
        </w:rPr>
        <w:t>as</w:t>
      </w:r>
      <w:r>
        <w:rPr>
          <w:spacing w:val="-15"/>
          <w:w w:val="105"/>
        </w:rPr>
        <w:t xml:space="preserve"> </w:t>
      </w:r>
      <w:r>
        <w:rPr>
          <w:w w:val="105"/>
        </w:rPr>
        <w:t>a</w:t>
      </w:r>
      <w:r>
        <w:rPr>
          <w:spacing w:val="-14"/>
          <w:w w:val="105"/>
        </w:rPr>
        <w:t xml:space="preserve"> </w:t>
      </w:r>
      <w:r>
        <w:rPr>
          <w:spacing w:val="-2"/>
          <w:w w:val="105"/>
        </w:rPr>
        <w:t>c</w:t>
      </w:r>
      <w:r>
        <w:rPr>
          <w:spacing w:val="-3"/>
          <w:w w:val="105"/>
        </w:rPr>
        <w:t>o</w:t>
      </w:r>
      <w:r>
        <w:rPr>
          <w:spacing w:val="-2"/>
          <w:w w:val="105"/>
        </w:rPr>
        <w:t>-</w:t>
      </w:r>
      <w:r>
        <w:rPr>
          <w:spacing w:val="-3"/>
          <w:w w:val="105"/>
        </w:rPr>
        <w:t>e</w:t>
      </w:r>
      <w:r>
        <w:rPr>
          <w:spacing w:val="-2"/>
          <w:w w:val="105"/>
        </w:rPr>
        <w:t>mpl</w:t>
      </w:r>
      <w:r>
        <w:rPr>
          <w:spacing w:val="-3"/>
          <w:w w:val="105"/>
        </w:rPr>
        <w:t>oye</w:t>
      </w:r>
      <w:r>
        <w:rPr>
          <w:spacing w:val="-2"/>
          <w:w w:val="105"/>
        </w:rPr>
        <w:t>r</w:t>
      </w:r>
      <w:r>
        <w:rPr>
          <w:spacing w:val="-15"/>
          <w:w w:val="105"/>
        </w:rPr>
        <w:t xml:space="preserve"> </w:t>
      </w:r>
      <w:r>
        <w:rPr>
          <w:spacing w:val="-3"/>
          <w:w w:val="105"/>
        </w:rPr>
        <w:t>fo</w:t>
      </w:r>
      <w:r>
        <w:rPr>
          <w:spacing w:val="-2"/>
          <w:w w:val="105"/>
        </w:rPr>
        <w:t>r</w:t>
      </w:r>
      <w:r>
        <w:rPr>
          <w:spacing w:val="-14"/>
          <w:w w:val="105"/>
        </w:rPr>
        <w:t xml:space="preserve"> </w:t>
      </w:r>
      <w:r>
        <w:rPr>
          <w:spacing w:val="1"/>
          <w:w w:val="105"/>
        </w:rPr>
        <w:t>t</w:t>
      </w:r>
      <w:r>
        <w:rPr>
          <w:w w:val="105"/>
        </w:rPr>
        <w:t>h</w:t>
      </w:r>
      <w:r>
        <w:rPr>
          <w:spacing w:val="1"/>
          <w:w w:val="105"/>
        </w:rPr>
        <w:t>e</w:t>
      </w:r>
      <w:r>
        <w:rPr>
          <w:spacing w:val="-14"/>
          <w:w w:val="105"/>
        </w:rPr>
        <w:t xml:space="preserve"> </w:t>
      </w:r>
      <w:r>
        <w:rPr>
          <w:spacing w:val="-2"/>
          <w:w w:val="105"/>
        </w:rPr>
        <w:t>public</w:t>
      </w:r>
      <w:r>
        <w:rPr>
          <w:spacing w:val="-15"/>
          <w:w w:val="105"/>
        </w:rPr>
        <w:t xml:space="preserve"> </w:t>
      </w:r>
      <w:r>
        <w:rPr>
          <w:spacing w:val="1"/>
          <w:w w:val="105"/>
        </w:rPr>
        <w:t>serv</w:t>
      </w:r>
      <w:r>
        <w:rPr>
          <w:w w:val="105"/>
        </w:rPr>
        <w:t>ic</w:t>
      </w:r>
      <w:r>
        <w:rPr>
          <w:spacing w:val="1"/>
          <w:w w:val="105"/>
        </w:rPr>
        <w:t>e,</w:t>
      </w:r>
      <w:r>
        <w:rPr>
          <w:spacing w:val="-14"/>
          <w:w w:val="105"/>
        </w:rPr>
        <w:t xml:space="preserve"> </w:t>
      </w:r>
      <w:r>
        <w:rPr>
          <w:w w:val="105"/>
        </w:rPr>
        <w:t>is</w:t>
      </w:r>
      <w:r>
        <w:rPr>
          <w:spacing w:val="-15"/>
          <w:w w:val="105"/>
        </w:rPr>
        <w:t xml:space="preserve"> </w:t>
      </w:r>
      <w:r>
        <w:rPr>
          <w:w w:val="105"/>
        </w:rPr>
        <w:t>required</w:t>
      </w:r>
      <w:r>
        <w:rPr>
          <w:spacing w:val="-14"/>
          <w:w w:val="105"/>
        </w:rPr>
        <w:t xml:space="preserve"> </w:t>
      </w:r>
      <w:r>
        <w:rPr>
          <w:spacing w:val="-2"/>
          <w:w w:val="105"/>
        </w:rPr>
        <w:t>t</w:t>
      </w:r>
      <w:r>
        <w:rPr>
          <w:spacing w:val="-1"/>
          <w:w w:val="105"/>
        </w:rPr>
        <w:t>o</w:t>
      </w:r>
      <w:r>
        <w:rPr>
          <w:spacing w:val="-14"/>
          <w:w w:val="105"/>
        </w:rPr>
        <w:t xml:space="preserve"> </w:t>
      </w:r>
      <w:r>
        <w:rPr>
          <w:w w:val="105"/>
        </w:rPr>
        <w:t>id</w:t>
      </w:r>
      <w:r>
        <w:rPr>
          <w:spacing w:val="1"/>
          <w:w w:val="105"/>
        </w:rPr>
        <w:t>e</w:t>
      </w:r>
      <w:r>
        <w:rPr>
          <w:w w:val="105"/>
        </w:rPr>
        <w:t>n</w:t>
      </w:r>
      <w:r>
        <w:rPr>
          <w:spacing w:val="1"/>
          <w:w w:val="105"/>
        </w:rPr>
        <w:t>t</w:t>
      </w:r>
      <w:r>
        <w:rPr>
          <w:w w:val="105"/>
        </w:rPr>
        <w:t>i</w:t>
      </w:r>
      <w:r>
        <w:rPr>
          <w:spacing w:val="1"/>
          <w:w w:val="105"/>
        </w:rPr>
        <w:t>fy</w:t>
      </w:r>
      <w:r>
        <w:rPr>
          <w:spacing w:val="55"/>
          <w:w w:val="103"/>
        </w:rPr>
        <w:t xml:space="preserve"> </w:t>
      </w:r>
      <w:r>
        <w:rPr>
          <w:w w:val="105"/>
        </w:rPr>
        <w:t>and</w:t>
      </w:r>
      <w:r>
        <w:rPr>
          <w:spacing w:val="-11"/>
          <w:w w:val="105"/>
        </w:rPr>
        <w:t xml:space="preserve"> </w:t>
      </w:r>
      <w:r>
        <w:rPr>
          <w:spacing w:val="1"/>
          <w:w w:val="105"/>
        </w:rPr>
        <w:t>el</w:t>
      </w:r>
      <w:r>
        <w:rPr>
          <w:w w:val="105"/>
        </w:rPr>
        <w:t>imin</w:t>
      </w:r>
      <w:r>
        <w:rPr>
          <w:spacing w:val="1"/>
          <w:w w:val="105"/>
        </w:rPr>
        <w:t>ate</w:t>
      </w:r>
      <w:r>
        <w:rPr>
          <w:spacing w:val="-11"/>
          <w:w w:val="105"/>
        </w:rPr>
        <w:t xml:space="preserve"> </w:t>
      </w:r>
      <w:r>
        <w:rPr>
          <w:spacing w:val="-3"/>
          <w:w w:val="105"/>
        </w:rPr>
        <w:t>e</w:t>
      </w:r>
      <w:r>
        <w:rPr>
          <w:spacing w:val="-2"/>
          <w:w w:val="105"/>
        </w:rPr>
        <w:t>mpl</w:t>
      </w:r>
      <w:r>
        <w:rPr>
          <w:spacing w:val="-3"/>
          <w:w w:val="105"/>
        </w:rPr>
        <w:t>oy</w:t>
      </w:r>
      <w:r>
        <w:rPr>
          <w:spacing w:val="-2"/>
          <w:w w:val="105"/>
        </w:rPr>
        <w:t>m</w:t>
      </w:r>
      <w:r>
        <w:rPr>
          <w:spacing w:val="-3"/>
          <w:w w:val="105"/>
        </w:rPr>
        <w:t>e</w:t>
      </w:r>
      <w:r>
        <w:rPr>
          <w:spacing w:val="-2"/>
          <w:w w:val="105"/>
        </w:rPr>
        <w:t>n</w:t>
      </w:r>
      <w:r>
        <w:rPr>
          <w:spacing w:val="-3"/>
          <w:w w:val="105"/>
        </w:rPr>
        <w:t>t</w:t>
      </w:r>
      <w:r>
        <w:rPr>
          <w:spacing w:val="-11"/>
          <w:w w:val="105"/>
        </w:rPr>
        <w:t xml:space="preserve"> </w:t>
      </w:r>
      <w:r>
        <w:rPr>
          <w:spacing w:val="1"/>
          <w:w w:val="105"/>
        </w:rPr>
        <w:t>barr</w:t>
      </w:r>
      <w:r>
        <w:rPr>
          <w:w w:val="105"/>
        </w:rPr>
        <w:t>i</w:t>
      </w:r>
      <w:r>
        <w:rPr>
          <w:spacing w:val="1"/>
          <w:w w:val="105"/>
        </w:rPr>
        <w:t>ers</w:t>
      </w:r>
      <w:r>
        <w:rPr>
          <w:spacing w:val="-10"/>
          <w:w w:val="105"/>
        </w:rPr>
        <w:t xml:space="preserve"> </w:t>
      </w:r>
      <w:r>
        <w:rPr>
          <w:spacing w:val="1"/>
          <w:w w:val="105"/>
        </w:rPr>
        <w:t>in</w:t>
      </w:r>
      <w:r>
        <w:rPr>
          <w:spacing w:val="-11"/>
          <w:w w:val="105"/>
        </w:rPr>
        <w:t xml:space="preserve"> </w:t>
      </w:r>
      <w:r>
        <w:rPr>
          <w:spacing w:val="1"/>
          <w:w w:val="105"/>
        </w:rPr>
        <w:t>t</w:t>
      </w:r>
      <w:r>
        <w:rPr>
          <w:w w:val="105"/>
        </w:rPr>
        <w:t>h</w:t>
      </w:r>
      <w:r>
        <w:rPr>
          <w:spacing w:val="1"/>
          <w:w w:val="105"/>
        </w:rPr>
        <w:t>e</w:t>
      </w:r>
      <w:r>
        <w:rPr>
          <w:spacing w:val="-11"/>
          <w:w w:val="105"/>
        </w:rPr>
        <w:t xml:space="preserve"> </w:t>
      </w:r>
      <w:r>
        <w:rPr>
          <w:spacing w:val="-3"/>
          <w:w w:val="105"/>
        </w:rPr>
        <w:t>a</w:t>
      </w:r>
      <w:r>
        <w:rPr>
          <w:spacing w:val="-2"/>
          <w:w w:val="105"/>
        </w:rPr>
        <w:t>pp</w:t>
      </w:r>
      <w:r>
        <w:rPr>
          <w:spacing w:val="-3"/>
          <w:w w:val="105"/>
        </w:rPr>
        <w:t>o</w:t>
      </w:r>
      <w:r>
        <w:rPr>
          <w:spacing w:val="-2"/>
          <w:w w:val="105"/>
        </w:rPr>
        <w:t>in</w:t>
      </w:r>
      <w:r>
        <w:rPr>
          <w:spacing w:val="-3"/>
          <w:w w:val="105"/>
        </w:rPr>
        <w:t>t</w:t>
      </w:r>
      <w:r>
        <w:rPr>
          <w:spacing w:val="-2"/>
          <w:w w:val="105"/>
        </w:rPr>
        <w:t>m</w:t>
      </w:r>
      <w:r>
        <w:rPr>
          <w:spacing w:val="-3"/>
          <w:w w:val="105"/>
        </w:rPr>
        <w:t>e</w:t>
      </w:r>
      <w:r>
        <w:rPr>
          <w:spacing w:val="-2"/>
          <w:w w:val="105"/>
        </w:rPr>
        <w:t>n</w:t>
      </w:r>
      <w:r>
        <w:rPr>
          <w:spacing w:val="-3"/>
          <w:w w:val="105"/>
        </w:rPr>
        <w:t>t</w:t>
      </w:r>
      <w:r>
        <w:rPr>
          <w:spacing w:val="-10"/>
          <w:w w:val="105"/>
        </w:rPr>
        <w:t xml:space="preserve"> </w:t>
      </w:r>
      <w:r>
        <w:rPr>
          <w:w w:val="105"/>
        </w:rPr>
        <w:t>system</w:t>
      </w:r>
      <w:r>
        <w:rPr>
          <w:spacing w:val="-11"/>
          <w:w w:val="105"/>
        </w:rPr>
        <w:t xml:space="preserve"> </w:t>
      </w:r>
      <w:r>
        <w:rPr>
          <w:spacing w:val="-3"/>
          <w:w w:val="105"/>
        </w:rPr>
        <w:t>fo</w:t>
      </w:r>
      <w:r>
        <w:rPr>
          <w:spacing w:val="-2"/>
          <w:w w:val="105"/>
        </w:rPr>
        <w:t>r</w:t>
      </w:r>
      <w:r>
        <w:rPr>
          <w:spacing w:val="-11"/>
          <w:w w:val="105"/>
        </w:rPr>
        <w:t xml:space="preserve"> </w:t>
      </w:r>
      <w:r>
        <w:rPr>
          <w:spacing w:val="1"/>
          <w:w w:val="105"/>
        </w:rPr>
        <w:t>t</w:t>
      </w:r>
      <w:r>
        <w:rPr>
          <w:w w:val="105"/>
        </w:rPr>
        <w:t>h</w:t>
      </w:r>
      <w:r>
        <w:rPr>
          <w:spacing w:val="1"/>
          <w:w w:val="105"/>
        </w:rPr>
        <w:t>e</w:t>
      </w:r>
      <w:r>
        <w:rPr>
          <w:spacing w:val="-11"/>
          <w:w w:val="105"/>
        </w:rPr>
        <w:t xml:space="preserve"> </w:t>
      </w:r>
      <w:r>
        <w:rPr>
          <w:spacing w:val="-2"/>
          <w:w w:val="105"/>
        </w:rPr>
        <w:t>f</w:t>
      </w:r>
      <w:r>
        <w:rPr>
          <w:spacing w:val="-1"/>
          <w:w w:val="105"/>
        </w:rPr>
        <w:t>our</w:t>
      </w:r>
      <w:r>
        <w:rPr>
          <w:spacing w:val="-10"/>
          <w:w w:val="105"/>
        </w:rPr>
        <w:t xml:space="preserve"> </w:t>
      </w:r>
      <w:r>
        <w:rPr>
          <w:spacing w:val="-1"/>
          <w:w w:val="105"/>
        </w:rPr>
        <w:t>d</w:t>
      </w:r>
      <w:r>
        <w:rPr>
          <w:spacing w:val="-2"/>
          <w:w w:val="105"/>
        </w:rPr>
        <w:t>e</w:t>
      </w:r>
      <w:r>
        <w:rPr>
          <w:spacing w:val="-1"/>
          <w:w w:val="105"/>
        </w:rPr>
        <w:t>signa</w:t>
      </w:r>
      <w:r>
        <w:rPr>
          <w:spacing w:val="-2"/>
          <w:w w:val="105"/>
        </w:rPr>
        <w:t>te</w:t>
      </w:r>
      <w:r>
        <w:rPr>
          <w:spacing w:val="-1"/>
          <w:w w:val="105"/>
        </w:rPr>
        <w:t>d</w:t>
      </w:r>
      <w:r>
        <w:rPr>
          <w:spacing w:val="-11"/>
          <w:w w:val="105"/>
        </w:rPr>
        <w:t xml:space="preserve"> </w:t>
      </w:r>
      <w:r>
        <w:rPr>
          <w:spacing w:val="-1"/>
          <w:w w:val="105"/>
        </w:rPr>
        <w:t>groups</w:t>
      </w:r>
      <w:r w:rsidR="002F4F02">
        <w:rPr>
          <w:spacing w:val="-1"/>
          <w:w w:val="105"/>
        </w:rPr>
        <w:t xml:space="preserve">: </w:t>
      </w:r>
    </w:p>
    <w:p w:rsidR="002F4F02" w:rsidRPr="002F4F02" w:rsidRDefault="008C52D5" w:rsidP="002F4F02">
      <w:pPr>
        <w:pStyle w:val="ListBullet"/>
      </w:pPr>
      <w:r>
        <w:rPr>
          <w:w w:val="105"/>
        </w:rPr>
        <w:t>A</w:t>
      </w:r>
      <w:r>
        <w:rPr>
          <w:spacing w:val="1"/>
          <w:w w:val="105"/>
        </w:rPr>
        <w:t>bor</w:t>
      </w:r>
      <w:r>
        <w:rPr>
          <w:w w:val="105"/>
        </w:rPr>
        <w:t>i</w:t>
      </w:r>
      <w:r>
        <w:rPr>
          <w:spacing w:val="1"/>
          <w:w w:val="105"/>
        </w:rPr>
        <w:t>g</w:t>
      </w:r>
      <w:r>
        <w:rPr>
          <w:w w:val="105"/>
        </w:rPr>
        <w:t>in</w:t>
      </w:r>
      <w:r>
        <w:rPr>
          <w:spacing w:val="1"/>
          <w:w w:val="105"/>
        </w:rPr>
        <w:t>a</w:t>
      </w:r>
      <w:r>
        <w:rPr>
          <w:w w:val="105"/>
        </w:rPr>
        <w:t>l</w:t>
      </w:r>
      <w:r>
        <w:rPr>
          <w:spacing w:val="-3"/>
          <w:w w:val="105"/>
        </w:rPr>
        <w:t xml:space="preserve"> </w:t>
      </w:r>
      <w:r w:rsidR="00F23CA4">
        <w:rPr>
          <w:spacing w:val="-3"/>
          <w:w w:val="105"/>
        </w:rPr>
        <w:t>p</w:t>
      </w:r>
      <w:r>
        <w:rPr>
          <w:spacing w:val="-4"/>
          <w:w w:val="105"/>
        </w:rPr>
        <w:t>eo</w:t>
      </w:r>
      <w:r>
        <w:rPr>
          <w:spacing w:val="-3"/>
          <w:w w:val="105"/>
        </w:rPr>
        <w:t>pl</w:t>
      </w:r>
      <w:r>
        <w:rPr>
          <w:spacing w:val="-4"/>
          <w:w w:val="105"/>
        </w:rPr>
        <w:t>e</w:t>
      </w:r>
      <w:r>
        <w:rPr>
          <w:spacing w:val="-3"/>
          <w:w w:val="105"/>
        </w:rPr>
        <w:t>s</w:t>
      </w:r>
      <w:r w:rsidR="002F4F02">
        <w:rPr>
          <w:spacing w:val="-3"/>
          <w:w w:val="105"/>
        </w:rPr>
        <w:t>;</w:t>
      </w:r>
    </w:p>
    <w:p w:rsidR="002F4F02" w:rsidRPr="002F4F02" w:rsidRDefault="00F23CA4" w:rsidP="002F4F02">
      <w:pPr>
        <w:pStyle w:val="ListBullet"/>
      </w:pPr>
      <w:r>
        <w:rPr>
          <w:spacing w:val="-1"/>
          <w:w w:val="105"/>
        </w:rPr>
        <w:t>p</w:t>
      </w:r>
      <w:r w:rsidR="008C52D5">
        <w:rPr>
          <w:spacing w:val="-2"/>
          <w:w w:val="105"/>
        </w:rPr>
        <w:t>e</w:t>
      </w:r>
      <w:r w:rsidR="008C52D5">
        <w:rPr>
          <w:spacing w:val="-1"/>
          <w:w w:val="105"/>
        </w:rPr>
        <w:t>rsons</w:t>
      </w:r>
      <w:r w:rsidR="00DA669F">
        <w:rPr>
          <w:spacing w:val="-1"/>
          <w:w w:val="105"/>
        </w:rPr>
        <w:t xml:space="preserve"> </w:t>
      </w:r>
      <w:r w:rsidR="008C52D5">
        <w:rPr>
          <w:spacing w:val="3"/>
          <w:w w:val="105"/>
        </w:rPr>
        <w:t>w</w:t>
      </w:r>
      <w:r w:rsidR="008C52D5">
        <w:rPr>
          <w:spacing w:val="2"/>
          <w:w w:val="105"/>
        </w:rPr>
        <w:t>i</w:t>
      </w:r>
      <w:r w:rsidR="008C52D5">
        <w:rPr>
          <w:spacing w:val="3"/>
          <w:w w:val="105"/>
        </w:rPr>
        <w:t>t</w:t>
      </w:r>
      <w:r w:rsidR="008C52D5">
        <w:rPr>
          <w:spacing w:val="2"/>
          <w:w w:val="105"/>
        </w:rPr>
        <w:t>h</w:t>
      </w:r>
      <w:r w:rsidR="00DA669F">
        <w:rPr>
          <w:spacing w:val="2"/>
          <w:w w:val="105"/>
        </w:rPr>
        <w:t xml:space="preserve"> </w:t>
      </w:r>
      <w:r w:rsidR="008C52D5">
        <w:rPr>
          <w:w w:val="105"/>
        </w:rPr>
        <w:t>disabilities</w:t>
      </w:r>
      <w:r w:rsidR="002F4F02">
        <w:rPr>
          <w:w w:val="105"/>
        </w:rPr>
        <w:t>;</w:t>
      </w:r>
    </w:p>
    <w:p w:rsidR="002F4F02" w:rsidRPr="002F4F02" w:rsidRDefault="008C52D5" w:rsidP="002F4F02">
      <w:pPr>
        <w:pStyle w:val="ListBullet"/>
      </w:pPr>
      <w:r>
        <w:rPr>
          <w:spacing w:val="-2"/>
          <w:w w:val="105"/>
        </w:rPr>
        <w:t>m</w:t>
      </w:r>
      <w:r>
        <w:rPr>
          <w:spacing w:val="-3"/>
          <w:w w:val="105"/>
        </w:rPr>
        <w:t>e</w:t>
      </w:r>
      <w:r>
        <w:rPr>
          <w:spacing w:val="-2"/>
          <w:w w:val="105"/>
        </w:rPr>
        <w:t>mb</w:t>
      </w:r>
      <w:r>
        <w:rPr>
          <w:spacing w:val="-3"/>
          <w:w w:val="105"/>
        </w:rPr>
        <w:t>e</w:t>
      </w:r>
      <w:r>
        <w:rPr>
          <w:spacing w:val="-2"/>
          <w:w w:val="105"/>
        </w:rPr>
        <w:t>rs</w:t>
      </w:r>
      <w:r>
        <w:rPr>
          <w:spacing w:val="-3"/>
          <w:w w:val="105"/>
        </w:rPr>
        <w:t xml:space="preserve"> of </w:t>
      </w:r>
      <w:r>
        <w:rPr>
          <w:w w:val="105"/>
        </w:rPr>
        <w:t>visible</w:t>
      </w:r>
      <w:r>
        <w:rPr>
          <w:spacing w:val="-3"/>
          <w:w w:val="105"/>
        </w:rPr>
        <w:t xml:space="preserve"> </w:t>
      </w:r>
      <w:r>
        <w:rPr>
          <w:w w:val="105"/>
        </w:rPr>
        <w:t>minorities</w:t>
      </w:r>
      <w:r w:rsidR="002F4F02">
        <w:rPr>
          <w:w w:val="105"/>
        </w:rPr>
        <w:t>:</w:t>
      </w:r>
      <w:r>
        <w:rPr>
          <w:spacing w:val="-3"/>
          <w:w w:val="105"/>
        </w:rPr>
        <w:t xml:space="preserve"> </w:t>
      </w:r>
      <w:r>
        <w:rPr>
          <w:w w:val="105"/>
        </w:rPr>
        <w:t>and</w:t>
      </w:r>
      <w:r>
        <w:rPr>
          <w:spacing w:val="-2"/>
          <w:w w:val="105"/>
        </w:rPr>
        <w:t xml:space="preserve"> </w:t>
      </w:r>
    </w:p>
    <w:p w:rsidR="002F4F02" w:rsidRPr="002F4F02" w:rsidRDefault="008C52D5" w:rsidP="00AF58E2">
      <w:pPr>
        <w:pStyle w:val="ListBullet"/>
      </w:pPr>
      <w:r w:rsidRPr="002F4F02">
        <w:rPr>
          <w:spacing w:val="-5"/>
          <w:w w:val="105"/>
        </w:rPr>
        <w:t>wo</w:t>
      </w:r>
      <w:r w:rsidRPr="002F4F02">
        <w:rPr>
          <w:spacing w:val="-4"/>
          <w:w w:val="105"/>
        </w:rPr>
        <w:t>m</w:t>
      </w:r>
      <w:r w:rsidRPr="002F4F02">
        <w:rPr>
          <w:spacing w:val="-5"/>
          <w:w w:val="105"/>
        </w:rPr>
        <w:t>e</w:t>
      </w:r>
      <w:r w:rsidRPr="002F4F02">
        <w:rPr>
          <w:spacing w:val="-4"/>
          <w:w w:val="105"/>
        </w:rPr>
        <w:t>n</w:t>
      </w:r>
      <w:r w:rsidR="002F4F02" w:rsidRPr="002F4F02">
        <w:rPr>
          <w:spacing w:val="-4"/>
          <w:w w:val="105"/>
        </w:rPr>
        <w:t>.</w:t>
      </w:r>
    </w:p>
    <w:p w:rsidR="0032201D" w:rsidRDefault="002F4F02" w:rsidP="000B5D7C">
      <w:pPr>
        <w:pStyle w:val="Bodytext"/>
        <w:rPr>
          <w:lang w:val="en-US"/>
        </w:rPr>
      </w:pPr>
      <w:r w:rsidRPr="002F4F02">
        <w:rPr>
          <w:lang w:val="en-US"/>
        </w:rPr>
        <w:t>In 2012-2013, the PSC undertook two studies that looked more closely at how being a member of an employment equity group affects both chance of promotion and perceptions of the staffing process.. The study found that the chances for promotion of Aboriginal Peoples (both men and women) were not significantly different from their comparison groups.</w:t>
      </w:r>
    </w:p>
    <w:p w:rsidR="000B5D7C" w:rsidRPr="000B5D7C" w:rsidRDefault="000B5D7C" w:rsidP="000B5D7C">
      <w:pPr>
        <w:pStyle w:val="Bodytext"/>
        <w:rPr>
          <w:lang w:val="en-US"/>
        </w:rPr>
      </w:pPr>
      <w:r w:rsidRPr="000B5D7C">
        <w:rPr>
          <w:lang w:val="en-US"/>
        </w:rPr>
        <w:t xml:space="preserve">Since 2004, the </w:t>
      </w:r>
      <w:r w:rsidR="000F695C">
        <w:rPr>
          <w:lang w:val="en-US"/>
        </w:rPr>
        <w:t xml:space="preserve">Canadian </w:t>
      </w:r>
      <w:r w:rsidRPr="000B5D7C">
        <w:rPr>
          <w:lang w:val="en-US"/>
        </w:rPr>
        <w:t>Standing Senate Committee on Human Rights has retained an on-going reference to monitor issues of discrimination in the hiring and promotion practices of the federal public service and to study the extent to which targets to achieve employment equity are being met. The Committee has produced two previous reports in the course of this study:</w:t>
      </w:r>
    </w:p>
    <w:p w:rsidR="000B5D7C" w:rsidRPr="000B5D7C" w:rsidRDefault="000B5D7C" w:rsidP="000B5D7C">
      <w:pPr>
        <w:pStyle w:val="ListBullet"/>
        <w:rPr>
          <w:lang w:val="en-US"/>
        </w:rPr>
      </w:pPr>
      <w:r w:rsidRPr="000B5D7C">
        <w:rPr>
          <w:i/>
          <w:lang w:val="en-US"/>
        </w:rPr>
        <w:t>Employment Equity in the Federal Public Service – Not There Yet, February 2007</w:t>
      </w:r>
      <w:r w:rsidRPr="000B5D7C">
        <w:rPr>
          <w:lang w:val="en-US"/>
        </w:rPr>
        <w:t>; and</w:t>
      </w:r>
    </w:p>
    <w:p w:rsidR="000B5D7C" w:rsidRPr="000B5D7C" w:rsidRDefault="000B5D7C" w:rsidP="000B5D7C">
      <w:pPr>
        <w:pStyle w:val="ListBullet"/>
        <w:rPr>
          <w:lang w:val="en-US"/>
        </w:rPr>
      </w:pPr>
      <w:r w:rsidRPr="000B5D7C">
        <w:rPr>
          <w:i/>
          <w:lang w:val="en-US"/>
        </w:rPr>
        <w:t>Reflecting the Changing Face of Canada: Employment Equity in the Federal Public Service</w:t>
      </w:r>
      <w:r w:rsidRPr="000B5D7C">
        <w:rPr>
          <w:lang w:val="en-US"/>
        </w:rPr>
        <w:t>, June 2010.</w:t>
      </w:r>
    </w:p>
    <w:p w:rsidR="000B5D7C" w:rsidRPr="000B5D7C" w:rsidRDefault="000B5D7C" w:rsidP="000B5D7C">
      <w:pPr>
        <w:pStyle w:val="Bodytext"/>
      </w:pPr>
      <w:r w:rsidRPr="000B5D7C">
        <w:rPr>
          <w:lang w:val="en-US"/>
        </w:rPr>
        <w:t xml:space="preserve">On 26 October 2011, the </w:t>
      </w:r>
      <w:r w:rsidR="000F695C">
        <w:rPr>
          <w:lang w:val="en-US"/>
        </w:rPr>
        <w:t xml:space="preserve">Canadian </w:t>
      </w:r>
      <w:r w:rsidRPr="000B5D7C">
        <w:rPr>
          <w:lang w:val="en-US"/>
        </w:rPr>
        <w:t xml:space="preserve">Senate adopted a motion for the Committee to undertake a follow-up study on employment equity. </w:t>
      </w:r>
      <w:r>
        <w:rPr>
          <w:lang w:val="en-US"/>
        </w:rPr>
        <w:t xml:space="preserve"> The Senate Committee reported on it</w:t>
      </w:r>
      <w:r w:rsidR="004D17DD">
        <w:rPr>
          <w:lang w:val="en-US"/>
        </w:rPr>
        <w:t>s</w:t>
      </w:r>
      <w:r>
        <w:rPr>
          <w:lang w:val="en-US"/>
        </w:rPr>
        <w:t xml:space="preserve"> study in December 2013, tabling a report titled </w:t>
      </w:r>
      <w:r>
        <w:rPr>
          <w:i/>
          <w:lang w:val="en-US"/>
        </w:rPr>
        <w:t xml:space="preserve">Employment equity in the Federal Public Service: Staying vigilant for equality.  </w:t>
      </w:r>
      <w:r w:rsidRPr="000B5D7C">
        <w:rPr>
          <w:lang w:val="en-US"/>
        </w:rPr>
        <w:t xml:space="preserve">In the </w:t>
      </w:r>
      <w:r>
        <w:rPr>
          <w:lang w:val="en-US"/>
        </w:rPr>
        <w:t>R</w:t>
      </w:r>
      <w:r w:rsidRPr="000B5D7C">
        <w:rPr>
          <w:lang w:val="en-US"/>
        </w:rPr>
        <w:t xml:space="preserve">eport the </w:t>
      </w:r>
      <w:r w:rsidR="004D17DD">
        <w:rPr>
          <w:lang w:val="en-US"/>
        </w:rPr>
        <w:t xml:space="preserve">Senate </w:t>
      </w:r>
      <w:r w:rsidRPr="000B5D7C">
        <w:rPr>
          <w:lang w:val="en-US"/>
        </w:rPr>
        <w:t xml:space="preserve">Committee examines the progress that has been made and the challenges that remain in reaching employment equity goals. </w:t>
      </w:r>
      <w:r>
        <w:rPr>
          <w:lang w:val="en-US"/>
        </w:rPr>
        <w:t xml:space="preserve"> The Report states: </w:t>
      </w:r>
    </w:p>
    <w:p w:rsidR="000B5D7C" w:rsidRDefault="000B5D7C" w:rsidP="000B5D7C">
      <w:pPr>
        <w:pStyle w:val="Quote"/>
      </w:pPr>
      <w:r w:rsidRPr="000B5D7C">
        <w:rPr>
          <w:lang w:val="en-US"/>
        </w:rPr>
        <w:t>One indicator of</w:t>
      </w:r>
      <w:r>
        <w:rPr>
          <w:spacing w:val="27"/>
        </w:rPr>
        <w:t xml:space="preserve"> </w:t>
      </w:r>
      <w:r>
        <w:rPr>
          <w:spacing w:val="-1"/>
        </w:rPr>
        <w:t>progress</w:t>
      </w:r>
      <w:r>
        <w:rPr>
          <w:spacing w:val="29"/>
        </w:rPr>
        <w:t xml:space="preserve"> </w:t>
      </w:r>
      <w:r>
        <w:t>is</w:t>
      </w:r>
      <w:r>
        <w:rPr>
          <w:spacing w:val="29"/>
        </w:rPr>
        <w:t xml:space="preserve"> </w:t>
      </w:r>
      <w:r>
        <w:t>that</w:t>
      </w:r>
      <w:r>
        <w:rPr>
          <w:spacing w:val="45"/>
        </w:rPr>
        <w:t xml:space="preserve"> </w:t>
      </w:r>
      <w:r>
        <w:rPr>
          <w:spacing w:val="-1"/>
        </w:rPr>
        <w:t>women,</w:t>
      </w:r>
      <w:r>
        <w:rPr>
          <w:spacing w:val="6"/>
        </w:rPr>
        <w:t xml:space="preserve"> </w:t>
      </w:r>
      <w:r>
        <w:rPr>
          <w:spacing w:val="-1"/>
        </w:rPr>
        <w:t>Aboriginal</w:t>
      </w:r>
      <w:r>
        <w:rPr>
          <w:spacing w:val="7"/>
        </w:rPr>
        <w:t xml:space="preserve"> </w:t>
      </w:r>
      <w:r>
        <w:rPr>
          <w:spacing w:val="-1"/>
        </w:rPr>
        <w:t>people</w:t>
      </w:r>
      <w:r>
        <w:rPr>
          <w:spacing w:val="6"/>
        </w:rPr>
        <w:t xml:space="preserve"> </w:t>
      </w:r>
      <w:r>
        <w:rPr>
          <w:spacing w:val="-1"/>
        </w:rPr>
        <w:t>and</w:t>
      </w:r>
      <w:r>
        <w:rPr>
          <w:spacing w:val="6"/>
        </w:rPr>
        <w:t xml:space="preserve"> </w:t>
      </w:r>
      <w:r>
        <w:rPr>
          <w:spacing w:val="-1"/>
        </w:rPr>
        <w:t>persons</w:t>
      </w:r>
      <w:r>
        <w:rPr>
          <w:spacing w:val="6"/>
        </w:rPr>
        <w:t xml:space="preserve"> </w:t>
      </w:r>
      <w:r>
        <w:t>with</w:t>
      </w:r>
      <w:r>
        <w:rPr>
          <w:spacing w:val="7"/>
        </w:rPr>
        <w:t xml:space="preserve"> </w:t>
      </w:r>
      <w:r>
        <w:t>disabilities</w:t>
      </w:r>
      <w:r>
        <w:rPr>
          <w:spacing w:val="6"/>
        </w:rPr>
        <w:t xml:space="preserve"> </w:t>
      </w:r>
      <w:r>
        <w:rPr>
          <w:spacing w:val="-1"/>
        </w:rPr>
        <w:t>are</w:t>
      </w:r>
      <w:r>
        <w:rPr>
          <w:spacing w:val="5"/>
        </w:rPr>
        <w:t xml:space="preserve"> </w:t>
      </w:r>
      <w:r>
        <w:t>now</w:t>
      </w:r>
      <w:r>
        <w:rPr>
          <w:spacing w:val="6"/>
        </w:rPr>
        <w:t xml:space="preserve"> </w:t>
      </w:r>
      <w:r>
        <w:rPr>
          <w:spacing w:val="-1"/>
        </w:rPr>
        <w:t>better</w:t>
      </w:r>
      <w:r>
        <w:rPr>
          <w:spacing w:val="6"/>
        </w:rPr>
        <w:t xml:space="preserve"> </w:t>
      </w:r>
      <w:r>
        <w:rPr>
          <w:spacing w:val="-1"/>
        </w:rPr>
        <w:t>represented</w:t>
      </w:r>
      <w:r>
        <w:rPr>
          <w:spacing w:val="6"/>
        </w:rPr>
        <w:t xml:space="preserve"> </w:t>
      </w:r>
      <w:r>
        <w:t>in</w:t>
      </w:r>
      <w:r>
        <w:rPr>
          <w:spacing w:val="7"/>
        </w:rPr>
        <w:t xml:space="preserve"> </w:t>
      </w:r>
      <w:r>
        <w:t>the</w:t>
      </w:r>
      <w:r>
        <w:rPr>
          <w:spacing w:val="6"/>
        </w:rPr>
        <w:t xml:space="preserve"> </w:t>
      </w:r>
      <w:r>
        <w:rPr>
          <w:spacing w:val="-1"/>
        </w:rPr>
        <w:t>federal</w:t>
      </w:r>
      <w:r>
        <w:rPr>
          <w:spacing w:val="87"/>
        </w:rPr>
        <w:t xml:space="preserve"> </w:t>
      </w:r>
      <w:r>
        <w:t>public</w:t>
      </w:r>
      <w:r>
        <w:rPr>
          <w:spacing w:val="51"/>
        </w:rPr>
        <w:t xml:space="preserve"> </w:t>
      </w:r>
      <w:r>
        <w:rPr>
          <w:spacing w:val="-1"/>
        </w:rPr>
        <w:t>service</w:t>
      </w:r>
      <w:r>
        <w:rPr>
          <w:spacing w:val="51"/>
        </w:rPr>
        <w:t xml:space="preserve"> </w:t>
      </w:r>
      <w:r>
        <w:t>than</w:t>
      </w:r>
      <w:r>
        <w:rPr>
          <w:spacing w:val="52"/>
        </w:rPr>
        <w:t xml:space="preserve"> </w:t>
      </w:r>
      <w:r>
        <w:t>their</w:t>
      </w:r>
      <w:r>
        <w:rPr>
          <w:spacing w:val="51"/>
        </w:rPr>
        <w:t xml:space="preserve"> </w:t>
      </w:r>
      <w:r>
        <w:rPr>
          <w:spacing w:val="-1"/>
        </w:rPr>
        <w:t>workforce</w:t>
      </w:r>
      <w:r>
        <w:rPr>
          <w:spacing w:val="51"/>
        </w:rPr>
        <w:t xml:space="preserve"> </w:t>
      </w:r>
      <w:r>
        <w:t>availability</w:t>
      </w:r>
      <w:r>
        <w:rPr>
          <w:spacing w:val="50"/>
        </w:rPr>
        <w:t xml:space="preserve"> </w:t>
      </w:r>
      <w:r>
        <w:rPr>
          <w:spacing w:val="-1"/>
        </w:rPr>
        <w:t>and</w:t>
      </w:r>
      <w:r>
        <w:rPr>
          <w:spacing w:val="52"/>
        </w:rPr>
        <w:t xml:space="preserve"> </w:t>
      </w:r>
      <w:r>
        <w:t>visible</w:t>
      </w:r>
      <w:r>
        <w:rPr>
          <w:spacing w:val="52"/>
        </w:rPr>
        <w:t xml:space="preserve"> </w:t>
      </w:r>
      <w:r>
        <w:rPr>
          <w:spacing w:val="-1"/>
        </w:rPr>
        <w:t>minorities</w:t>
      </w:r>
      <w:r>
        <w:rPr>
          <w:spacing w:val="50"/>
        </w:rPr>
        <w:t xml:space="preserve"> </w:t>
      </w:r>
      <w:r>
        <w:rPr>
          <w:spacing w:val="-1"/>
        </w:rPr>
        <w:t>are</w:t>
      </w:r>
      <w:r>
        <w:rPr>
          <w:spacing w:val="50"/>
        </w:rPr>
        <w:t xml:space="preserve"> </w:t>
      </w:r>
      <w:r>
        <w:t>now</w:t>
      </w:r>
      <w:r>
        <w:rPr>
          <w:spacing w:val="52"/>
        </w:rPr>
        <w:t xml:space="preserve"> </w:t>
      </w:r>
      <w:r>
        <w:rPr>
          <w:spacing w:val="1"/>
        </w:rPr>
        <w:t>only</w:t>
      </w:r>
      <w:r>
        <w:rPr>
          <w:spacing w:val="47"/>
        </w:rPr>
        <w:t xml:space="preserve"> </w:t>
      </w:r>
      <w:r>
        <w:t>slightly</w:t>
      </w:r>
      <w:r>
        <w:rPr>
          <w:spacing w:val="61"/>
        </w:rPr>
        <w:t xml:space="preserve"> </w:t>
      </w:r>
      <w:r>
        <w:rPr>
          <w:spacing w:val="-1"/>
        </w:rPr>
        <w:t>under-represented.</w:t>
      </w:r>
      <w:r>
        <w:rPr>
          <w:spacing w:val="47"/>
        </w:rPr>
        <w:t xml:space="preserve"> </w:t>
      </w:r>
      <w:r>
        <w:rPr>
          <w:spacing w:val="-1"/>
        </w:rPr>
        <w:t>However,</w:t>
      </w:r>
      <w:r>
        <w:rPr>
          <w:spacing w:val="49"/>
        </w:rPr>
        <w:t xml:space="preserve"> </w:t>
      </w:r>
      <w:r>
        <w:t>a</w:t>
      </w:r>
      <w:r>
        <w:rPr>
          <w:spacing w:val="46"/>
        </w:rPr>
        <w:t xml:space="preserve"> </w:t>
      </w:r>
      <w:r>
        <w:t>number</w:t>
      </w:r>
      <w:r>
        <w:rPr>
          <w:spacing w:val="46"/>
        </w:rPr>
        <w:t xml:space="preserve"> </w:t>
      </w:r>
      <w:r>
        <w:t>of</w:t>
      </w:r>
      <w:r>
        <w:rPr>
          <w:spacing w:val="47"/>
        </w:rPr>
        <w:t xml:space="preserve"> </w:t>
      </w:r>
      <w:r>
        <w:t>indicators,</w:t>
      </w:r>
      <w:r>
        <w:rPr>
          <w:spacing w:val="47"/>
        </w:rPr>
        <w:t xml:space="preserve"> </w:t>
      </w:r>
      <w:r>
        <w:t>particularly</w:t>
      </w:r>
      <w:r>
        <w:rPr>
          <w:spacing w:val="45"/>
        </w:rPr>
        <w:t xml:space="preserve"> </w:t>
      </w:r>
      <w:r>
        <w:rPr>
          <w:spacing w:val="-1"/>
        </w:rPr>
        <w:t>at</w:t>
      </w:r>
      <w:r>
        <w:rPr>
          <w:spacing w:val="48"/>
        </w:rPr>
        <w:t xml:space="preserve"> </w:t>
      </w:r>
      <w:r>
        <w:t>senior</w:t>
      </w:r>
      <w:r>
        <w:rPr>
          <w:spacing w:val="47"/>
        </w:rPr>
        <w:t xml:space="preserve"> </w:t>
      </w:r>
      <w:r>
        <w:rPr>
          <w:spacing w:val="-1"/>
        </w:rPr>
        <w:t>levels,</w:t>
      </w:r>
      <w:r>
        <w:rPr>
          <w:spacing w:val="48"/>
        </w:rPr>
        <w:t xml:space="preserve"> </w:t>
      </w:r>
      <w:r>
        <w:t>are</w:t>
      </w:r>
      <w:r>
        <w:rPr>
          <w:spacing w:val="46"/>
        </w:rPr>
        <w:t xml:space="preserve"> </w:t>
      </w:r>
      <w:r w:rsidRPr="004D17DD">
        <w:rPr>
          <w:spacing w:val="-1"/>
        </w:rPr>
        <w:t xml:space="preserve">not </w:t>
      </w:r>
      <w:r>
        <w:rPr>
          <w:spacing w:val="-1"/>
        </w:rPr>
        <w:t>as</w:t>
      </w:r>
      <w:r w:rsidRPr="004D17DD">
        <w:rPr>
          <w:spacing w:val="-1"/>
        </w:rPr>
        <w:t xml:space="preserve"> positive</w:t>
      </w:r>
      <w:r w:rsidR="00653107" w:rsidRPr="004D17DD">
        <w:rPr>
          <w:spacing w:val="-1"/>
        </w:rPr>
        <w:t xml:space="preserve"> ...</w:t>
      </w:r>
    </w:p>
    <w:p w:rsidR="000B5D7C" w:rsidRDefault="00653107" w:rsidP="00653107">
      <w:pPr>
        <w:pStyle w:val="Quote"/>
      </w:pPr>
      <w:r>
        <w:t xml:space="preserve">[The Report] ... </w:t>
      </w:r>
      <w:r w:rsidR="000B5D7C">
        <w:t>examines</w:t>
      </w:r>
      <w:r w:rsidR="000B5D7C">
        <w:rPr>
          <w:spacing w:val="31"/>
        </w:rPr>
        <w:t xml:space="preserve"> </w:t>
      </w:r>
      <w:r w:rsidR="000B5D7C">
        <w:t>the</w:t>
      </w:r>
      <w:r w:rsidR="000B5D7C">
        <w:rPr>
          <w:spacing w:val="39"/>
        </w:rPr>
        <w:t xml:space="preserve"> </w:t>
      </w:r>
      <w:r w:rsidR="000B5D7C">
        <w:t>changes</w:t>
      </w:r>
      <w:r w:rsidR="000B5D7C">
        <w:rPr>
          <w:spacing w:val="12"/>
        </w:rPr>
        <w:t xml:space="preserve"> </w:t>
      </w:r>
      <w:r w:rsidR="000B5D7C">
        <w:t>resulting</w:t>
      </w:r>
      <w:r w:rsidR="000B5D7C">
        <w:rPr>
          <w:spacing w:val="9"/>
        </w:rPr>
        <w:t xml:space="preserve"> </w:t>
      </w:r>
      <w:r w:rsidR="000B5D7C">
        <w:t>from</w:t>
      </w:r>
      <w:r w:rsidR="000B5D7C">
        <w:rPr>
          <w:spacing w:val="12"/>
        </w:rPr>
        <w:t xml:space="preserve"> </w:t>
      </w:r>
      <w:r w:rsidR="000B5D7C">
        <w:t>the</w:t>
      </w:r>
      <w:r w:rsidR="000B5D7C">
        <w:rPr>
          <w:spacing w:val="8"/>
        </w:rPr>
        <w:t xml:space="preserve"> </w:t>
      </w:r>
      <w:r w:rsidR="000B5D7C">
        <w:t>creation</w:t>
      </w:r>
      <w:r w:rsidR="000B5D7C">
        <w:rPr>
          <w:spacing w:val="9"/>
        </w:rPr>
        <w:t xml:space="preserve"> </w:t>
      </w:r>
      <w:r w:rsidR="000B5D7C">
        <w:rPr>
          <w:spacing w:val="1"/>
        </w:rPr>
        <w:t>of</w:t>
      </w:r>
      <w:r w:rsidR="000B5D7C">
        <w:rPr>
          <w:spacing w:val="8"/>
        </w:rPr>
        <w:t xml:space="preserve"> </w:t>
      </w:r>
      <w:r w:rsidR="000B5D7C">
        <w:t>the</w:t>
      </w:r>
      <w:r w:rsidR="000B5D7C">
        <w:rPr>
          <w:spacing w:val="11"/>
        </w:rPr>
        <w:t xml:space="preserve"> </w:t>
      </w:r>
      <w:r w:rsidR="000B5D7C">
        <w:t>Office</w:t>
      </w:r>
      <w:r w:rsidR="000B5D7C">
        <w:rPr>
          <w:spacing w:val="10"/>
        </w:rPr>
        <w:t xml:space="preserve"> </w:t>
      </w:r>
      <w:r w:rsidR="000B5D7C">
        <w:t>of</w:t>
      </w:r>
      <w:r w:rsidR="000B5D7C">
        <w:rPr>
          <w:spacing w:val="8"/>
        </w:rPr>
        <w:t xml:space="preserve"> </w:t>
      </w:r>
      <w:r w:rsidR="000B5D7C">
        <w:t>the</w:t>
      </w:r>
      <w:r w:rsidR="000B5D7C">
        <w:rPr>
          <w:spacing w:val="11"/>
        </w:rPr>
        <w:t xml:space="preserve"> </w:t>
      </w:r>
      <w:r w:rsidR="000B5D7C">
        <w:t>Chief</w:t>
      </w:r>
      <w:r w:rsidR="000B5D7C">
        <w:rPr>
          <w:spacing w:val="10"/>
        </w:rPr>
        <w:t xml:space="preserve"> </w:t>
      </w:r>
      <w:r w:rsidR="000B5D7C">
        <w:t>Human</w:t>
      </w:r>
      <w:r w:rsidR="000B5D7C">
        <w:rPr>
          <w:spacing w:val="8"/>
        </w:rPr>
        <w:t xml:space="preserve"> </w:t>
      </w:r>
      <w:r w:rsidR="000B5D7C">
        <w:t>Resources</w:t>
      </w:r>
      <w:r w:rsidR="000B5D7C">
        <w:rPr>
          <w:spacing w:val="9"/>
        </w:rPr>
        <w:t xml:space="preserve"> </w:t>
      </w:r>
      <w:r w:rsidR="000B5D7C">
        <w:t>Officer</w:t>
      </w:r>
      <w:r w:rsidR="000B5D7C">
        <w:rPr>
          <w:spacing w:val="75"/>
        </w:rPr>
        <w:t xml:space="preserve"> </w:t>
      </w:r>
      <w:r w:rsidR="000B5D7C">
        <w:t>(OCHRO)</w:t>
      </w:r>
      <w:r w:rsidR="000B5D7C">
        <w:rPr>
          <w:spacing w:val="15"/>
        </w:rPr>
        <w:t xml:space="preserve"> </w:t>
      </w:r>
      <w:r w:rsidR="000B5D7C">
        <w:t>in</w:t>
      </w:r>
      <w:r w:rsidR="000B5D7C">
        <w:rPr>
          <w:spacing w:val="17"/>
        </w:rPr>
        <w:t xml:space="preserve"> </w:t>
      </w:r>
      <w:r w:rsidR="000B5D7C">
        <w:t>2009</w:t>
      </w:r>
      <w:r w:rsidR="000B5D7C">
        <w:rPr>
          <w:spacing w:val="16"/>
        </w:rPr>
        <w:t xml:space="preserve"> </w:t>
      </w:r>
      <w:r w:rsidR="000B5D7C">
        <w:t>and</w:t>
      </w:r>
      <w:r w:rsidR="000B5D7C">
        <w:rPr>
          <w:spacing w:val="16"/>
        </w:rPr>
        <w:t xml:space="preserve"> </w:t>
      </w:r>
      <w:r w:rsidR="000B5D7C">
        <w:t>recent</w:t>
      </w:r>
      <w:r w:rsidR="000B5D7C">
        <w:rPr>
          <w:spacing w:val="17"/>
        </w:rPr>
        <w:t xml:space="preserve"> </w:t>
      </w:r>
      <w:r w:rsidR="000B5D7C">
        <w:t>workforce</w:t>
      </w:r>
      <w:r w:rsidR="000B5D7C">
        <w:rPr>
          <w:spacing w:val="15"/>
        </w:rPr>
        <w:t xml:space="preserve"> </w:t>
      </w:r>
      <w:r w:rsidR="000B5D7C">
        <w:t>adjustment</w:t>
      </w:r>
      <w:r w:rsidR="000B5D7C">
        <w:rPr>
          <w:spacing w:val="17"/>
        </w:rPr>
        <w:t xml:space="preserve"> </w:t>
      </w:r>
      <w:r w:rsidR="000B5D7C">
        <w:t>processes</w:t>
      </w:r>
      <w:r w:rsidR="000B5D7C">
        <w:rPr>
          <w:spacing w:val="16"/>
        </w:rPr>
        <w:t xml:space="preserve"> </w:t>
      </w:r>
      <w:r w:rsidR="000B5D7C">
        <w:t>and</w:t>
      </w:r>
      <w:r w:rsidR="000B5D7C">
        <w:rPr>
          <w:spacing w:val="16"/>
        </w:rPr>
        <w:t xml:space="preserve"> </w:t>
      </w:r>
      <w:r w:rsidR="000B5D7C">
        <w:t>their</w:t>
      </w:r>
      <w:r w:rsidR="000B5D7C">
        <w:rPr>
          <w:spacing w:val="15"/>
        </w:rPr>
        <w:t xml:space="preserve"> </w:t>
      </w:r>
      <w:r w:rsidR="000B5D7C">
        <w:t>impact</w:t>
      </w:r>
      <w:r w:rsidR="000B5D7C">
        <w:rPr>
          <w:spacing w:val="17"/>
        </w:rPr>
        <w:t xml:space="preserve"> </w:t>
      </w:r>
      <w:r w:rsidR="000B5D7C">
        <w:t>on</w:t>
      </w:r>
      <w:r w:rsidR="000B5D7C">
        <w:rPr>
          <w:spacing w:val="16"/>
        </w:rPr>
        <w:t xml:space="preserve"> </w:t>
      </w:r>
      <w:r w:rsidR="000B5D7C">
        <w:t>employment</w:t>
      </w:r>
      <w:r w:rsidR="000B5D7C">
        <w:rPr>
          <w:spacing w:val="59"/>
        </w:rPr>
        <w:t xml:space="preserve"> </w:t>
      </w:r>
      <w:r w:rsidR="000B5D7C">
        <w:t>equity,</w:t>
      </w:r>
      <w:r w:rsidR="000B5D7C">
        <w:rPr>
          <w:spacing w:val="28"/>
        </w:rPr>
        <w:t xml:space="preserve"> </w:t>
      </w:r>
      <w:r w:rsidR="000B5D7C">
        <w:t>as</w:t>
      </w:r>
      <w:r w:rsidR="000B5D7C">
        <w:rPr>
          <w:spacing w:val="28"/>
        </w:rPr>
        <w:t xml:space="preserve"> </w:t>
      </w:r>
      <w:r w:rsidR="000B5D7C">
        <w:t>well</w:t>
      </w:r>
      <w:r w:rsidR="000B5D7C">
        <w:rPr>
          <w:spacing w:val="29"/>
        </w:rPr>
        <w:t xml:space="preserve"> </w:t>
      </w:r>
      <w:r w:rsidR="000B5D7C">
        <w:t>as</w:t>
      </w:r>
      <w:r w:rsidR="000B5D7C">
        <w:rPr>
          <w:spacing w:val="28"/>
        </w:rPr>
        <w:t xml:space="preserve"> </w:t>
      </w:r>
      <w:r w:rsidR="000B5D7C">
        <w:t>data</w:t>
      </w:r>
      <w:r w:rsidR="000B5D7C">
        <w:rPr>
          <w:spacing w:val="28"/>
        </w:rPr>
        <w:t xml:space="preserve"> </w:t>
      </w:r>
      <w:r w:rsidR="000B5D7C">
        <w:t>collection</w:t>
      </w:r>
      <w:r w:rsidR="000B5D7C">
        <w:rPr>
          <w:spacing w:val="28"/>
        </w:rPr>
        <w:t xml:space="preserve"> </w:t>
      </w:r>
      <w:r w:rsidR="000B5D7C">
        <w:t>and</w:t>
      </w:r>
      <w:r w:rsidR="000B5D7C">
        <w:rPr>
          <w:spacing w:val="28"/>
        </w:rPr>
        <w:t xml:space="preserve"> </w:t>
      </w:r>
      <w:r w:rsidR="000B5D7C">
        <w:t>analysis</w:t>
      </w:r>
      <w:r w:rsidR="000B5D7C">
        <w:rPr>
          <w:spacing w:val="29"/>
        </w:rPr>
        <w:t xml:space="preserve"> </w:t>
      </w:r>
      <w:r w:rsidR="000B5D7C">
        <w:t>challenges</w:t>
      </w:r>
      <w:r w:rsidR="000B5D7C">
        <w:rPr>
          <w:spacing w:val="28"/>
        </w:rPr>
        <w:t xml:space="preserve"> </w:t>
      </w:r>
      <w:r w:rsidR="000B5D7C">
        <w:t>and</w:t>
      </w:r>
      <w:r w:rsidR="000B5D7C">
        <w:rPr>
          <w:spacing w:val="28"/>
        </w:rPr>
        <w:t xml:space="preserve"> </w:t>
      </w:r>
      <w:r w:rsidR="000B5D7C">
        <w:t>the</w:t>
      </w:r>
      <w:r w:rsidR="000B5D7C">
        <w:rPr>
          <w:spacing w:val="28"/>
        </w:rPr>
        <w:t xml:space="preserve"> </w:t>
      </w:r>
      <w:r w:rsidR="000B5D7C">
        <w:t>advocacy</w:t>
      </w:r>
      <w:r w:rsidR="000B5D7C">
        <w:rPr>
          <w:spacing w:val="23"/>
        </w:rPr>
        <w:t xml:space="preserve"> </w:t>
      </w:r>
      <w:r w:rsidR="000B5D7C">
        <w:t>being</w:t>
      </w:r>
      <w:r w:rsidR="000B5D7C">
        <w:rPr>
          <w:spacing w:val="26"/>
        </w:rPr>
        <w:t xml:space="preserve"> </w:t>
      </w:r>
      <w:r w:rsidR="000B5D7C">
        <w:t>done</w:t>
      </w:r>
      <w:r w:rsidR="000B5D7C">
        <w:rPr>
          <w:spacing w:val="27"/>
        </w:rPr>
        <w:t xml:space="preserve"> </w:t>
      </w:r>
      <w:r w:rsidR="000B5D7C">
        <w:t>on</w:t>
      </w:r>
      <w:r w:rsidR="000B5D7C">
        <w:rPr>
          <w:spacing w:val="28"/>
        </w:rPr>
        <w:t xml:space="preserve"> </w:t>
      </w:r>
      <w:r w:rsidR="000B5D7C">
        <w:t>the</w:t>
      </w:r>
      <w:r w:rsidR="000B5D7C">
        <w:rPr>
          <w:spacing w:val="83"/>
        </w:rPr>
        <w:t xml:space="preserve"> </w:t>
      </w:r>
      <w:r w:rsidR="000B5D7C">
        <w:t>topic of employment</w:t>
      </w:r>
      <w:r w:rsidR="000B5D7C">
        <w:rPr>
          <w:spacing w:val="2"/>
        </w:rPr>
        <w:t xml:space="preserve"> </w:t>
      </w:r>
      <w:r w:rsidR="000B5D7C">
        <w:t>equity.</w:t>
      </w:r>
    </w:p>
    <w:p w:rsidR="000B5D7C" w:rsidRPr="000B5D7C" w:rsidRDefault="000B5D7C" w:rsidP="000B5D7C">
      <w:pPr>
        <w:pStyle w:val="Quote"/>
        <w:rPr>
          <w:lang w:val="en-US"/>
        </w:rPr>
      </w:pPr>
      <w:r w:rsidRPr="000B5D7C">
        <w:rPr>
          <w:lang w:val="en-US"/>
        </w:rPr>
        <w:t>Current statistics reveal that Aboriginal peoples are applying to, being appointed to and are represented in the federal public service at a rate that is higher than their workforce availability.  However, they are</w:t>
      </w:r>
      <w:r>
        <w:rPr>
          <w:lang w:val="en-US"/>
        </w:rPr>
        <w:t xml:space="preserve"> </w:t>
      </w:r>
      <w:r w:rsidRPr="000B5D7C">
        <w:rPr>
          <w:lang w:val="en-US"/>
        </w:rPr>
        <w:t xml:space="preserve">also overrepresented in the lowest salary ranges and underrepresented in senior management. </w:t>
      </w:r>
      <w:r w:rsidR="00653107">
        <w:rPr>
          <w:lang w:val="en-US"/>
        </w:rPr>
        <w:t xml:space="preserve"> </w:t>
      </w:r>
      <w:r w:rsidRPr="000B5D7C">
        <w:rPr>
          <w:lang w:val="en-US"/>
        </w:rPr>
        <w:t>Aboriginal peoples are also concentrated in departments serving Aboriginal peoples. The report further notes that Aboriginal employees are leaving the federal public service at a greater rate than they are being hired.</w:t>
      </w:r>
      <w:r w:rsidR="00653107">
        <w:rPr>
          <w:rStyle w:val="FootnoteReference"/>
          <w:lang w:val="en-US"/>
        </w:rPr>
        <w:footnoteReference w:id="164"/>
      </w:r>
    </w:p>
    <w:p w:rsidR="00D24CF4" w:rsidRDefault="00D24CF4" w:rsidP="00D24CF4">
      <w:pPr>
        <w:pStyle w:val="Bodytext"/>
      </w:pPr>
      <w:r>
        <w:t xml:space="preserve">The Committee notes that the </w:t>
      </w:r>
      <w:r w:rsidR="000F695C">
        <w:t xml:space="preserve">Canadian </w:t>
      </w:r>
      <w:r>
        <w:t xml:space="preserve">Standing Senate Committee reiterated recommendations from </w:t>
      </w:r>
      <w:r w:rsidR="00FC3A55">
        <w:t xml:space="preserve">its 2010 </w:t>
      </w:r>
      <w:r>
        <w:t>report</w:t>
      </w:r>
      <w:r w:rsidR="00FC3A55">
        <w:t xml:space="preserve"> titled</w:t>
      </w:r>
      <w:r>
        <w:t xml:space="preserve">, </w:t>
      </w:r>
      <w:r w:rsidRPr="00FC3A55">
        <w:rPr>
          <w:i/>
        </w:rPr>
        <w:t>Reflecting the changing face of Canada: employment equity in the Federal Public Service</w:t>
      </w:r>
      <w:r>
        <w:t>.</w:t>
      </w:r>
      <w:r>
        <w:rPr>
          <w:rStyle w:val="FootnoteReference"/>
        </w:rPr>
        <w:footnoteReference w:id="165"/>
      </w:r>
      <w:r w:rsidR="00FC3A55">
        <w:t xml:space="preserve"> These recommendations focus on: </w:t>
      </w:r>
    </w:p>
    <w:p w:rsidR="00903C87" w:rsidRDefault="00FC3A55" w:rsidP="00903C87">
      <w:pPr>
        <w:pStyle w:val="ListBullet"/>
      </w:pPr>
      <w:r>
        <w:t xml:space="preserve">Managers being held accountable for the achievement of equity goals.  This includes the use of performance bonuses; </w:t>
      </w:r>
    </w:p>
    <w:p w:rsidR="00903C87" w:rsidRDefault="00903C87" w:rsidP="00903C87">
      <w:pPr>
        <w:pStyle w:val="ListBullet"/>
      </w:pPr>
      <w:r>
        <w:t>Data</w:t>
      </w:r>
      <w:r w:rsidR="00FC3A55">
        <w:t xml:space="preserve"> collection, management and regular reporting </w:t>
      </w:r>
    </w:p>
    <w:p w:rsidR="00FC3A55" w:rsidRDefault="00FC3A55" w:rsidP="00903C87">
      <w:pPr>
        <w:pStyle w:val="ListBullet"/>
      </w:pPr>
      <w:r>
        <w:t>Effective communication</w:t>
      </w:r>
      <w:r w:rsidR="005F2964">
        <w:t xml:space="preserve"> with all stakeholders</w:t>
      </w:r>
      <w:r>
        <w:t>.  This should include an honest appraisal of the challenges in implementing an equity strategy; and</w:t>
      </w:r>
    </w:p>
    <w:p w:rsidR="00903C87" w:rsidRDefault="00FC3A55" w:rsidP="00903C87">
      <w:pPr>
        <w:pStyle w:val="ListBullet"/>
      </w:pPr>
      <w:r>
        <w:t xml:space="preserve">Emphasis on the need for strong leadership. </w:t>
      </w:r>
    </w:p>
    <w:p w:rsidR="00D24CF4" w:rsidRDefault="00FC3A55" w:rsidP="000B5D7C">
      <w:pPr>
        <w:pStyle w:val="Bodytext"/>
      </w:pPr>
      <w:r>
        <w:t>Recommendation 11 in the 2010 Report states:</w:t>
      </w:r>
    </w:p>
    <w:p w:rsidR="00D24CF4" w:rsidRDefault="00D24CF4" w:rsidP="00D24CF4">
      <w:pPr>
        <w:pStyle w:val="BodyText0"/>
        <w:spacing w:line="288" w:lineRule="auto"/>
        <w:ind w:left="987" w:right="986"/>
        <w:jc w:val="both"/>
      </w:pPr>
      <w:r>
        <w:rPr>
          <w:spacing w:val="-4"/>
        </w:rPr>
        <w:t>The</w:t>
      </w:r>
      <w:r>
        <w:rPr>
          <w:spacing w:val="25"/>
        </w:rPr>
        <w:t xml:space="preserve"> </w:t>
      </w:r>
      <w:r>
        <w:rPr>
          <w:spacing w:val="-4"/>
        </w:rPr>
        <w:t>committee</w:t>
      </w:r>
      <w:r>
        <w:rPr>
          <w:spacing w:val="22"/>
        </w:rPr>
        <w:t xml:space="preserve"> </w:t>
      </w:r>
      <w:r>
        <w:rPr>
          <w:spacing w:val="-4"/>
        </w:rPr>
        <w:t>urges</w:t>
      </w:r>
      <w:r>
        <w:rPr>
          <w:spacing w:val="24"/>
        </w:rPr>
        <w:t xml:space="preserve"> </w:t>
      </w:r>
      <w:r>
        <w:rPr>
          <w:spacing w:val="-3"/>
        </w:rPr>
        <w:t>the</w:t>
      </w:r>
      <w:r>
        <w:rPr>
          <w:spacing w:val="25"/>
        </w:rPr>
        <w:t xml:space="preserve"> </w:t>
      </w:r>
      <w:r>
        <w:rPr>
          <w:spacing w:val="-5"/>
        </w:rPr>
        <w:t>federal</w:t>
      </w:r>
      <w:r>
        <w:rPr>
          <w:spacing w:val="26"/>
        </w:rPr>
        <w:t xml:space="preserve"> </w:t>
      </w:r>
      <w:r>
        <w:rPr>
          <w:spacing w:val="-5"/>
        </w:rPr>
        <w:t>government</w:t>
      </w:r>
      <w:r>
        <w:rPr>
          <w:spacing w:val="24"/>
        </w:rPr>
        <w:t xml:space="preserve"> </w:t>
      </w:r>
      <w:r>
        <w:rPr>
          <w:spacing w:val="-3"/>
        </w:rPr>
        <w:t>to</w:t>
      </w:r>
      <w:r>
        <w:rPr>
          <w:spacing w:val="23"/>
        </w:rPr>
        <w:t xml:space="preserve"> </w:t>
      </w:r>
      <w:r>
        <w:rPr>
          <w:spacing w:val="-4"/>
        </w:rPr>
        <w:t>place</w:t>
      </w:r>
      <w:r>
        <w:rPr>
          <w:spacing w:val="22"/>
        </w:rPr>
        <w:t xml:space="preserve"> </w:t>
      </w:r>
      <w:r>
        <w:rPr>
          <w:spacing w:val="-4"/>
        </w:rPr>
        <w:t>special</w:t>
      </w:r>
      <w:r>
        <w:rPr>
          <w:spacing w:val="26"/>
        </w:rPr>
        <w:t xml:space="preserve"> </w:t>
      </w:r>
      <w:r>
        <w:rPr>
          <w:spacing w:val="-5"/>
        </w:rPr>
        <w:t>emphasis</w:t>
      </w:r>
      <w:r>
        <w:rPr>
          <w:spacing w:val="61"/>
        </w:rPr>
        <w:t xml:space="preserve"> </w:t>
      </w:r>
      <w:r>
        <w:t>on the</w:t>
      </w:r>
      <w:r>
        <w:rPr>
          <w:spacing w:val="59"/>
        </w:rPr>
        <w:t xml:space="preserve"> </w:t>
      </w:r>
      <w:r>
        <w:rPr>
          <w:spacing w:val="-1"/>
        </w:rPr>
        <w:t>need</w:t>
      </w:r>
      <w:r>
        <w:rPr>
          <w:spacing w:val="59"/>
        </w:rPr>
        <w:t xml:space="preserve"> </w:t>
      </w:r>
      <w:r>
        <w:t>for</w:t>
      </w:r>
      <w:r>
        <w:rPr>
          <w:spacing w:val="58"/>
        </w:rPr>
        <w:t xml:space="preserve"> </w:t>
      </w:r>
      <w:r>
        <w:t xml:space="preserve">leadership </w:t>
      </w:r>
      <w:r>
        <w:rPr>
          <w:spacing w:val="-1"/>
        </w:rPr>
        <w:t>and</w:t>
      </w:r>
      <w:r>
        <w:rPr>
          <w:spacing w:val="59"/>
        </w:rPr>
        <w:t xml:space="preserve"> </w:t>
      </w:r>
      <w:r>
        <w:t>a</w:t>
      </w:r>
      <w:r>
        <w:rPr>
          <w:spacing w:val="58"/>
        </w:rPr>
        <w:t xml:space="preserve"> </w:t>
      </w:r>
      <w:r>
        <w:t>strong</w:t>
      </w:r>
      <w:r>
        <w:rPr>
          <w:spacing w:val="57"/>
        </w:rPr>
        <w:t xml:space="preserve"> </w:t>
      </w:r>
      <w:r>
        <w:rPr>
          <w:spacing w:val="-1"/>
        </w:rPr>
        <w:t>organization</w:t>
      </w:r>
      <w:r>
        <w:rPr>
          <w:spacing w:val="59"/>
        </w:rPr>
        <w:t xml:space="preserve"> </w:t>
      </w:r>
      <w:r>
        <w:rPr>
          <w:spacing w:val="-1"/>
        </w:rPr>
        <w:t>culture</w:t>
      </w:r>
      <w:r>
        <w:rPr>
          <w:spacing w:val="58"/>
        </w:rPr>
        <w:t xml:space="preserve"> </w:t>
      </w:r>
      <w:r>
        <w:rPr>
          <w:spacing w:val="-1"/>
        </w:rPr>
        <w:t>when</w:t>
      </w:r>
      <w:r>
        <w:rPr>
          <w:spacing w:val="45"/>
        </w:rPr>
        <w:t xml:space="preserve"> </w:t>
      </w:r>
      <w:r>
        <w:rPr>
          <w:spacing w:val="-1"/>
        </w:rPr>
        <w:t>seeking</w:t>
      </w:r>
      <w:r>
        <w:rPr>
          <w:spacing w:val="21"/>
        </w:rPr>
        <w:t xml:space="preserve"> </w:t>
      </w:r>
      <w:r>
        <w:t>to</w:t>
      </w:r>
      <w:r>
        <w:rPr>
          <w:spacing w:val="21"/>
        </w:rPr>
        <w:t xml:space="preserve"> </w:t>
      </w:r>
      <w:r>
        <w:t>achieve</w:t>
      </w:r>
      <w:r>
        <w:rPr>
          <w:spacing w:val="20"/>
        </w:rPr>
        <w:t xml:space="preserve"> </w:t>
      </w:r>
      <w:r>
        <w:t>its</w:t>
      </w:r>
      <w:r>
        <w:rPr>
          <w:spacing w:val="21"/>
        </w:rPr>
        <w:t xml:space="preserve"> </w:t>
      </w:r>
      <w:r>
        <w:rPr>
          <w:spacing w:val="-1"/>
        </w:rPr>
        <w:t>employment</w:t>
      </w:r>
      <w:r>
        <w:rPr>
          <w:spacing w:val="21"/>
        </w:rPr>
        <w:t xml:space="preserve"> </w:t>
      </w:r>
      <w:r>
        <w:t>equity</w:t>
      </w:r>
      <w:r>
        <w:rPr>
          <w:spacing w:val="18"/>
        </w:rPr>
        <w:t xml:space="preserve"> </w:t>
      </w:r>
      <w:r>
        <w:rPr>
          <w:spacing w:val="-1"/>
        </w:rPr>
        <w:t>goals.</w:t>
      </w:r>
      <w:r>
        <w:rPr>
          <w:spacing w:val="24"/>
        </w:rPr>
        <w:t xml:space="preserve"> </w:t>
      </w:r>
      <w:r>
        <w:t>This</w:t>
      </w:r>
      <w:r>
        <w:rPr>
          <w:spacing w:val="21"/>
        </w:rPr>
        <w:t xml:space="preserve"> </w:t>
      </w:r>
      <w:r>
        <w:t>should</w:t>
      </w:r>
      <w:r>
        <w:rPr>
          <w:spacing w:val="21"/>
        </w:rPr>
        <w:t xml:space="preserve"> </w:t>
      </w:r>
      <w:r>
        <w:t>be</w:t>
      </w:r>
      <w:r>
        <w:rPr>
          <w:spacing w:val="20"/>
        </w:rPr>
        <w:t xml:space="preserve"> </w:t>
      </w:r>
      <w:r>
        <w:t>done</w:t>
      </w:r>
      <w:r>
        <w:rPr>
          <w:spacing w:val="35"/>
        </w:rPr>
        <w:t xml:space="preserve"> </w:t>
      </w:r>
      <w:r>
        <w:t>for</w:t>
      </w:r>
      <w:r>
        <w:rPr>
          <w:spacing w:val="5"/>
        </w:rPr>
        <w:t xml:space="preserve"> </w:t>
      </w:r>
      <w:r>
        <w:rPr>
          <w:spacing w:val="-1"/>
        </w:rPr>
        <w:t>all</w:t>
      </w:r>
      <w:r>
        <w:rPr>
          <w:spacing w:val="7"/>
        </w:rPr>
        <w:t xml:space="preserve"> </w:t>
      </w:r>
      <w:r>
        <w:t>four</w:t>
      </w:r>
      <w:r>
        <w:rPr>
          <w:spacing w:val="7"/>
        </w:rPr>
        <w:t xml:space="preserve"> </w:t>
      </w:r>
      <w:r>
        <w:rPr>
          <w:spacing w:val="-1"/>
        </w:rPr>
        <w:t>employment</w:t>
      </w:r>
      <w:r>
        <w:rPr>
          <w:spacing w:val="7"/>
        </w:rPr>
        <w:t xml:space="preserve"> </w:t>
      </w:r>
      <w:r>
        <w:t>equity</w:t>
      </w:r>
      <w:r>
        <w:rPr>
          <w:spacing w:val="4"/>
        </w:rPr>
        <w:t xml:space="preserve"> </w:t>
      </w:r>
      <w:r>
        <w:rPr>
          <w:spacing w:val="-1"/>
        </w:rPr>
        <w:t>groups</w:t>
      </w:r>
      <w:r>
        <w:rPr>
          <w:spacing w:val="8"/>
        </w:rPr>
        <w:t xml:space="preserve"> </w:t>
      </w:r>
      <w:r>
        <w:rPr>
          <w:spacing w:val="-1"/>
        </w:rPr>
        <w:t>collectively,</w:t>
      </w:r>
      <w:r>
        <w:rPr>
          <w:spacing w:val="9"/>
        </w:rPr>
        <w:t xml:space="preserve"> </w:t>
      </w:r>
      <w:r>
        <w:rPr>
          <w:spacing w:val="-1"/>
        </w:rPr>
        <w:t>as</w:t>
      </w:r>
      <w:r>
        <w:rPr>
          <w:spacing w:val="9"/>
        </w:rPr>
        <w:t xml:space="preserve"> </w:t>
      </w:r>
      <w:r>
        <w:rPr>
          <w:spacing w:val="-1"/>
        </w:rPr>
        <w:t>well</w:t>
      </w:r>
      <w:r>
        <w:rPr>
          <w:spacing w:val="7"/>
        </w:rPr>
        <w:t xml:space="preserve"> </w:t>
      </w:r>
      <w:r>
        <w:rPr>
          <w:spacing w:val="-1"/>
        </w:rPr>
        <w:t>as</w:t>
      </w:r>
      <w:r>
        <w:rPr>
          <w:spacing w:val="7"/>
        </w:rPr>
        <w:t xml:space="preserve"> </w:t>
      </w:r>
      <w:r>
        <w:t>for</w:t>
      </w:r>
      <w:r>
        <w:rPr>
          <w:spacing w:val="6"/>
        </w:rPr>
        <w:t xml:space="preserve"> </w:t>
      </w:r>
      <w:r>
        <w:rPr>
          <w:spacing w:val="-1"/>
        </w:rPr>
        <w:t>each</w:t>
      </w:r>
      <w:r>
        <w:rPr>
          <w:spacing w:val="57"/>
        </w:rPr>
        <w:t xml:space="preserve"> </w:t>
      </w:r>
      <w:r>
        <w:rPr>
          <w:spacing w:val="-1"/>
        </w:rPr>
        <w:t>employment</w:t>
      </w:r>
      <w:r>
        <w:rPr>
          <w:spacing w:val="14"/>
        </w:rPr>
        <w:t xml:space="preserve"> </w:t>
      </w:r>
      <w:r>
        <w:t>equity</w:t>
      </w:r>
      <w:r>
        <w:rPr>
          <w:spacing w:val="11"/>
        </w:rPr>
        <w:t xml:space="preserve"> </w:t>
      </w:r>
      <w:r>
        <w:rPr>
          <w:spacing w:val="-1"/>
        </w:rPr>
        <w:t>group</w:t>
      </w:r>
      <w:r>
        <w:rPr>
          <w:spacing w:val="14"/>
        </w:rPr>
        <w:t xml:space="preserve"> </w:t>
      </w:r>
      <w:r>
        <w:rPr>
          <w:spacing w:val="-1"/>
        </w:rPr>
        <w:t>individually.</w:t>
      </w:r>
      <w:r>
        <w:rPr>
          <w:spacing w:val="14"/>
        </w:rPr>
        <w:t xml:space="preserve"> </w:t>
      </w:r>
      <w:r>
        <w:t>The</w:t>
      </w:r>
      <w:r>
        <w:rPr>
          <w:spacing w:val="13"/>
        </w:rPr>
        <w:t xml:space="preserve"> </w:t>
      </w:r>
      <w:r>
        <w:t>push</w:t>
      </w:r>
      <w:r>
        <w:rPr>
          <w:spacing w:val="14"/>
        </w:rPr>
        <w:t xml:space="preserve"> </w:t>
      </w:r>
      <w:r>
        <w:t>for</w:t>
      </w:r>
      <w:r>
        <w:rPr>
          <w:spacing w:val="12"/>
        </w:rPr>
        <w:t xml:space="preserve"> </w:t>
      </w:r>
      <w:r>
        <w:rPr>
          <w:spacing w:val="-1"/>
        </w:rPr>
        <w:t>employment</w:t>
      </w:r>
      <w:r>
        <w:rPr>
          <w:spacing w:val="60"/>
        </w:rPr>
        <w:t xml:space="preserve"> </w:t>
      </w:r>
      <w:r>
        <w:t>equity</w:t>
      </w:r>
      <w:r>
        <w:rPr>
          <w:spacing w:val="5"/>
        </w:rPr>
        <w:t xml:space="preserve"> </w:t>
      </w:r>
      <w:r>
        <w:rPr>
          <w:spacing w:val="-2"/>
        </w:rPr>
        <w:t>must</w:t>
      </w:r>
      <w:r>
        <w:rPr>
          <w:spacing w:val="5"/>
        </w:rPr>
        <w:t xml:space="preserve"> </w:t>
      </w:r>
      <w:r>
        <w:rPr>
          <w:spacing w:val="-2"/>
        </w:rPr>
        <w:t>begin</w:t>
      </w:r>
      <w:r>
        <w:rPr>
          <w:spacing w:val="4"/>
        </w:rPr>
        <w:t xml:space="preserve"> </w:t>
      </w:r>
      <w:r>
        <w:rPr>
          <w:spacing w:val="-2"/>
        </w:rPr>
        <w:t>at</w:t>
      </w:r>
      <w:r>
        <w:rPr>
          <w:spacing w:val="5"/>
        </w:rPr>
        <w:t xml:space="preserve"> </w:t>
      </w:r>
      <w:r>
        <w:rPr>
          <w:spacing w:val="-1"/>
        </w:rPr>
        <w:t>the</w:t>
      </w:r>
      <w:r>
        <w:rPr>
          <w:spacing w:val="3"/>
        </w:rPr>
        <w:t xml:space="preserve"> </w:t>
      </w:r>
      <w:r>
        <w:rPr>
          <w:spacing w:val="-3"/>
        </w:rPr>
        <w:t>highest</w:t>
      </w:r>
      <w:r>
        <w:rPr>
          <w:spacing w:val="5"/>
        </w:rPr>
        <w:t xml:space="preserve"> </w:t>
      </w:r>
      <w:r>
        <w:rPr>
          <w:spacing w:val="-2"/>
        </w:rPr>
        <w:t>levels</w:t>
      </w:r>
      <w:r>
        <w:rPr>
          <w:spacing w:val="6"/>
        </w:rPr>
        <w:t xml:space="preserve"> </w:t>
      </w:r>
      <w:r>
        <w:rPr>
          <w:rFonts w:ascii="Times New Roman" w:eastAsia="Times New Roman" w:hAnsi="Times New Roman"/>
        </w:rPr>
        <w:t>–</w:t>
      </w:r>
      <w:r>
        <w:rPr>
          <w:rFonts w:ascii="Times New Roman" w:eastAsia="Times New Roman" w:hAnsi="Times New Roman"/>
          <w:spacing w:val="4"/>
        </w:rPr>
        <w:t xml:space="preserve"> </w:t>
      </w:r>
      <w:r>
        <w:rPr>
          <w:spacing w:val="-2"/>
        </w:rPr>
        <w:t>including</w:t>
      </w:r>
      <w:r>
        <w:rPr>
          <w:spacing w:val="4"/>
        </w:rPr>
        <w:t xml:space="preserve"> </w:t>
      </w:r>
      <w:r>
        <w:rPr>
          <w:spacing w:val="-2"/>
        </w:rPr>
        <w:t>the</w:t>
      </w:r>
      <w:r>
        <w:rPr>
          <w:spacing w:val="3"/>
        </w:rPr>
        <w:t xml:space="preserve"> </w:t>
      </w:r>
      <w:r>
        <w:rPr>
          <w:spacing w:val="-2"/>
        </w:rPr>
        <w:t>Prime</w:t>
      </w:r>
      <w:r>
        <w:rPr>
          <w:spacing w:val="3"/>
        </w:rPr>
        <w:t xml:space="preserve"> </w:t>
      </w:r>
      <w:r>
        <w:rPr>
          <w:spacing w:val="-2"/>
        </w:rPr>
        <w:t>Minister</w:t>
      </w:r>
      <w:r>
        <w:rPr>
          <w:rFonts w:ascii="Times New Roman" w:eastAsia="Times New Roman" w:hAnsi="Times New Roman"/>
          <w:spacing w:val="-2"/>
        </w:rPr>
        <w:t>’s</w:t>
      </w:r>
      <w:r>
        <w:rPr>
          <w:rFonts w:ascii="Times New Roman" w:eastAsia="Times New Roman" w:hAnsi="Times New Roman"/>
          <w:spacing w:val="23"/>
        </w:rPr>
        <w:t xml:space="preserve"> </w:t>
      </w:r>
      <w:r>
        <w:rPr>
          <w:spacing w:val="-3"/>
        </w:rPr>
        <w:t>Office</w:t>
      </w:r>
      <w:r>
        <w:rPr>
          <w:spacing w:val="-4"/>
        </w:rPr>
        <w:t xml:space="preserve"> </w:t>
      </w:r>
      <w:r>
        <w:rPr>
          <w:rFonts w:ascii="Times New Roman" w:eastAsia="Times New Roman" w:hAnsi="Times New Roman"/>
        </w:rPr>
        <w:t>–</w:t>
      </w:r>
      <w:r>
        <w:rPr>
          <w:rFonts w:ascii="Times New Roman" w:eastAsia="Times New Roman" w:hAnsi="Times New Roman"/>
          <w:spacing w:val="-3"/>
        </w:rPr>
        <w:t xml:space="preserve"> </w:t>
      </w:r>
      <w:r>
        <w:rPr>
          <w:spacing w:val="-2"/>
        </w:rPr>
        <w:t>and</w:t>
      </w:r>
      <w:r>
        <w:rPr>
          <w:spacing w:val="-5"/>
        </w:rPr>
        <w:t xml:space="preserve"> </w:t>
      </w:r>
      <w:r>
        <w:rPr>
          <w:spacing w:val="-2"/>
        </w:rPr>
        <w:t>should</w:t>
      </w:r>
      <w:r>
        <w:rPr>
          <w:spacing w:val="-3"/>
        </w:rPr>
        <w:t xml:space="preserve"> encourage</w:t>
      </w:r>
      <w:r>
        <w:rPr>
          <w:spacing w:val="-4"/>
        </w:rPr>
        <w:t xml:space="preserve"> </w:t>
      </w:r>
      <w:r>
        <w:t>a</w:t>
      </w:r>
      <w:r>
        <w:rPr>
          <w:spacing w:val="-6"/>
        </w:rPr>
        <w:t xml:space="preserve"> </w:t>
      </w:r>
      <w:r>
        <w:rPr>
          <w:spacing w:val="-2"/>
        </w:rPr>
        <w:t>policy</w:t>
      </w:r>
      <w:r>
        <w:rPr>
          <w:spacing w:val="-10"/>
        </w:rPr>
        <w:t xml:space="preserve"> </w:t>
      </w:r>
      <w:r>
        <w:t>of</w:t>
      </w:r>
      <w:r>
        <w:rPr>
          <w:spacing w:val="-6"/>
        </w:rPr>
        <w:t xml:space="preserve"> </w:t>
      </w:r>
      <w:r>
        <w:rPr>
          <w:spacing w:val="-2"/>
        </w:rPr>
        <w:t>speaking</w:t>
      </w:r>
      <w:r>
        <w:rPr>
          <w:spacing w:val="-5"/>
        </w:rPr>
        <w:t xml:space="preserve"> </w:t>
      </w:r>
      <w:r>
        <w:rPr>
          <w:spacing w:val="-2"/>
        </w:rPr>
        <w:t>directly</w:t>
      </w:r>
      <w:r>
        <w:rPr>
          <w:spacing w:val="-10"/>
        </w:rPr>
        <w:t xml:space="preserve"> </w:t>
      </w:r>
      <w:r>
        <w:t>to</w:t>
      </w:r>
      <w:r>
        <w:rPr>
          <w:spacing w:val="-5"/>
        </w:rPr>
        <w:t xml:space="preserve"> </w:t>
      </w:r>
      <w:r>
        <w:rPr>
          <w:spacing w:val="-3"/>
        </w:rPr>
        <w:t>managers</w:t>
      </w:r>
      <w:r>
        <w:rPr>
          <w:spacing w:val="57"/>
        </w:rPr>
        <w:t xml:space="preserve"> </w:t>
      </w:r>
      <w:r>
        <w:rPr>
          <w:spacing w:val="-1"/>
        </w:rPr>
        <w:t>to</w:t>
      </w:r>
      <w:r>
        <w:rPr>
          <w:spacing w:val="-3"/>
        </w:rPr>
        <w:t xml:space="preserve"> teach</w:t>
      </w:r>
      <w:r>
        <w:t xml:space="preserve"> them</w:t>
      </w:r>
      <w:r>
        <w:rPr>
          <w:spacing w:val="2"/>
        </w:rPr>
        <w:t xml:space="preserve"> </w:t>
      </w:r>
      <w:r>
        <w:t>the</w:t>
      </w:r>
      <w:r>
        <w:rPr>
          <w:spacing w:val="3"/>
        </w:rPr>
        <w:t xml:space="preserve"> </w:t>
      </w:r>
      <w:r>
        <w:rPr>
          <w:spacing w:val="-1"/>
        </w:rPr>
        <w:t>importance</w:t>
      </w:r>
      <w:r>
        <w:rPr>
          <w:spacing w:val="1"/>
        </w:rPr>
        <w:t xml:space="preserve"> </w:t>
      </w:r>
      <w:r>
        <w:t>of</w:t>
      </w:r>
      <w:r>
        <w:rPr>
          <w:spacing w:val="3"/>
        </w:rPr>
        <w:t xml:space="preserve"> </w:t>
      </w:r>
      <w:r>
        <w:rPr>
          <w:spacing w:val="-1"/>
        </w:rPr>
        <w:t>employment</w:t>
      </w:r>
      <w:r>
        <w:rPr>
          <w:spacing w:val="4"/>
        </w:rPr>
        <w:t xml:space="preserve"> </w:t>
      </w:r>
      <w:r>
        <w:rPr>
          <w:spacing w:val="-1"/>
        </w:rPr>
        <w:t xml:space="preserve">equity </w:t>
      </w:r>
      <w:r>
        <w:t>to</w:t>
      </w:r>
      <w:r>
        <w:rPr>
          <w:spacing w:val="2"/>
        </w:rPr>
        <w:t xml:space="preserve"> </w:t>
      </w:r>
      <w:r>
        <w:t>the</w:t>
      </w:r>
      <w:r>
        <w:rPr>
          <w:spacing w:val="1"/>
        </w:rPr>
        <w:t xml:space="preserve"> </w:t>
      </w:r>
      <w:r>
        <w:t>future of</w:t>
      </w:r>
      <w:r>
        <w:rPr>
          <w:spacing w:val="1"/>
        </w:rPr>
        <w:t xml:space="preserve"> </w:t>
      </w:r>
      <w:r>
        <w:t>the</w:t>
      </w:r>
      <w:r>
        <w:rPr>
          <w:spacing w:val="55"/>
        </w:rPr>
        <w:t xml:space="preserve"> </w:t>
      </w:r>
      <w:r>
        <w:rPr>
          <w:spacing w:val="-1"/>
        </w:rPr>
        <w:t>federal</w:t>
      </w:r>
      <w:r>
        <w:t xml:space="preserve"> public </w:t>
      </w:r>
      <w:r>
        <w:rPr>
          <w:spacing w:val="-1"/>
        </w:rPr>
        <w:t>service.</w:t>
      </w:r>
      <w:r w:rsidR="00FC3A55">
        <w:rPr>
          <w:rStyle w:val="FootnoteReference"/>
          <w:spacing w:val="-1"/>
        </w:rPr>
        <w:footnoteReference w:id="166"/>
      </w:r>
    </w:p>
    <w:p w:rsidR="00D24CF4" w:rsidRDefault="00FC3A55" w:rsidP="00FC3A55">
      <w:pPr>
        <w:pStyle w:val="Bodytext"/>
      </w:pPr>
      <w:r>
        <w:t xml:space="preserve">The Committee notes themes in </w:t>
      </w:r>
      <w:r w:rsidR="004D17DD">
        <w:t xml:space="preserve">the </w:t>
      </w:r>
      <w:r w:rsidR="000F695C">
        <w:t xml:space="preserve">Canadian </w:t>
      </w:r>
      <w:r>
        <w:t xml:space="preserve">Standing Senate Committee’s reports are reflected in Indigenous employment strategies in various jurisdictions in Australia. </w:t>
      </w:r>
    </w:p>
    <w:p w:rsidR="00AF58E2" w:rsidRDefault="00AF58E2" w:rsidP="00495D93">
      <w:pPr>
        <w:pStyle w:val="Headinglevel3"/>
      </w:pPr>
      <w:r>
        <w:t>United States</w:t>
      </w:r>
    </w:p>
    <w:p w:rsidR="00F7331C" w:rsidRDefault="00F7331C" w:rsidP="00AF58E2">
      <w:pPr>
        <w:pStyle w:val="Bodytext"/>
      </w:pPr>
      <w:r>
        <w:t xml:space="preserve">The population of the United States is more than 317.3 million people. Native Americans or Alaskan Natives represent approximately 0.9 percent of the population and Native </w:t>
      </w:r>
      <w:r w:rsidR="00634DDA">
        <w:t>Hawaiian</w:t>
      </w:r>
      <w:r>
        <w:t xml:space="preserve"> or other Pacific Islanders represent 0.2 percent of the population. </w:t>
      </w:r>
    </w:p>
    <w:p w:rsidR="00B72783" w:rsidRDefault="00872213" w:rsidP="00AF58E2">
      <w:pPr>
        <w:pStyle w:val="Bodytext"/>
      </w:pPr>
      <w:r>
        <w:t xml:space="preserve">The Committee notes </w:t>
      </w:r>
      <w:r w:rsidR="00B72783">
        <w:t xml:space="preserve">comments in the </w:t>
      </w:r>
      <w:r>
        <w:t>United States Bureau of Labor Statistic</w:t>
      </w:r>
      <w:r w:rsidR="00B72783">
        <w:t>’s October</w:t>
      </w:r>
      <w:r w:rsidR="00550609">
        <w:t> </w:t>
      </w:r>
      <w:r w:rsidR="00B72783">
        <w:t xml:space="preserve">2013 edition of </w:t>
      </w:r>
      <w:r w:rsidR="00B72783" w:rsidRPr="00B72783">
        <w:rPr>
          <w:i/>
        </w:rPr>
        <w:t>BLS Reports</w:t>
      </w:r>
      <w:r w:rsidR="00B72783">
        <w:rPr>
          <w:i/>
        </w:rPr>
        <w:t xml:space="preserve"> </w:t>
      </w:r>
      <w:r w:rsidR="00B72783" w:rsidRPr="00B72783">
        <w:t>titled,</w:t>
      </w:r>
      <w:r w:rsidR="00B72783">
        <w:t xml:space="preserve"> </w:t>
      </w:r>
      <w:r w:rsidR="00B72783" w:rsidRPr="00B72783">
        <w:rPr>
          <w:i/>
        </w:rPr>
        <w:t xml:space="preserve">Labor </w:t>
      </w:r>
      <w:r w:rsidR="00B72783">
        <w:rPr>
          <w:i/>
        </w:rPr>
        <w:t>f</w:t>
      </w:r>
      <w:r w:rsidR="00B72783" w:rsidRPr="00B72783">
        <w:rPr>
          <w:i/>
        </w:rPr>
        <w:t xml:space="preserve">orce </w:t>
      </w:r>
      <w:r w:rsidR="00B72783">
        <w:rPr>
          <w:i/>
        </w:rPr>
        <w:t>c</w:t>
      </w:r>
      <w:r w:rsidR="00B72783" w:rsidRPr="00B72783">
        <w:rPr>
          <w:i/>
        </w:rPr>
        <w:t xml:space="preserve">haracteristics by </w:t>
      </w:r>
      <w:r w:rsidR="00B72783">
        <w:rPr>
          <w:i/>
        </w:rPr>
        <w:t>r</w:t>
      </w:r>
      <w:r w:rsidR="00B72783" w:rsidRPr="00B72783">
        <w:rPr>
          <w:i/>
        </w:rPr>
        <w:t xml:space="preserve">ace and </w:t>
      </w:r>
      <w:r w:rsidR="00B72783">
        <w:rPr>
          <w:i/>
        </w:rPr>
        <w:t>e</w:t>
      </w:r>
      <w:r w:rsidR="00B72783" w:rsidRPr="00B72783">
        <w:rPr>
          <w:i/>
        </w:rPr>
        <w:t>thnicity</w:t>
      </w:r>
      <w:r w:rsidR="00B72783">
        <w:t xml:space="preserve">: </w:t>
      </w:r>
      <w:r w:rsidR="00B72783">
        <w:rPr>
          <w:i/>
        </w:rPr>
        <w:t xml:space="preserve"> </w:t>
      </w:r>
      <w:r w:rsidR="00B72783">
        <w:t xml:space="preserve"> </w:t>
      </w:r>
      <w:r>
        <w:t xml:space="preserve"> </w:t>
      </w:r>
    </w:p>
    <w:p w:rsidR="00AF58E2" w:rsidRPr="003C297B" w:rsidRDefault="00872213" w:rsidP="00B72783">
      <w:pPr>
        <w:pStyle w:val="Quote"/>
      </w:pPr>
      <w:r w:rsidRPr="00872213">
        <w:rPr>
          <w:lang w:val="en-US"/>
        </w:rPr>
        <w:t>In 2012, Native Hawaiians and Other Pacific Islanders had the highest labor force participation rates (71.4 percent) among the race and ethnicity groups, while American Indians and Alaska Natives and Blacks had the lowest participation rates (59.3 percent and 61.5 percent, respectively).</w:t>
      </w:r>
      <w:r w:rsidR="001C64D2">
        <w:rPr>
          <w:rStyle w:val="FootnoteReference"/>
          <w:lang w:val="en-US"/>
        </w:rPr>
        <w:footnoteReference w:id="167"/>
      </w:r>
    </w:p>
    <w:p w:rsidR="003C297B" w:rsidRPr="00872213" w:rsidRDefault="003C297B" w:rsidP="00AF58E2">
      <w:pPr>
        <w:pStyle w:val="Bodytext"/>
      </w:pPr>
      <w:r>
        <w:rPr>
          <w:lang w:val="en-US"/>
        </w:rPr>
        <w:t xml:space="preserve">The Committee notes the following statement issued by the United States Department of the Interior in relation to Native American Nations: </w:t>
      </w:r>
    </w:p>
    <w:p w:rsidR="003C297B" w:rsidRPr="003C297B" w:rsidRDefault="003C297B" w:rsidP="003C297B">
      <w:pPr>
        <w:pStyle w:val="Quote"/>
        <w:rPr>
          <w:lang w:eastAsia="en-AU"/>
        </w:rPr>
      </w:pPr>
      <w:r w:rsidRPr="003C297B">
        <w:rPr>
          <w:lang w:eastAsia="en-AU"/>
        </w:rPr>
        <w:t>We recognize that a legacy of injustice and broken promises shapes the history of the federal government’s relationship with the American Indian and Alaska Native people. We are therefore working to turn the page on the federal government’s pattern of neglect of this community and, instead, build a strategy for empowerment that helps the tribal nations forge futures of their own choosing.</w:t>
      </w:r>
    </w:p>
    <w:p w:rsidR="003C297B" w:rsidRPr="003C297B" w:rsidRDefault="003C297B" w:rsidP="003C297B">
      <w:pPr>
        <w:pStyle w:val="Quote"/>
        <w:rPr>
          <w:lang w:eastAsia="en-AU"/>
        </w:rPr>
      </w:pPr>
      <w:r w:rsidRPr="003C297B">
        <w:rPr>
          <w:lang w:eastAsia="en-AU"/>
        </w:rPr>
        <w:t xml:space="preserve">To chart this new path, we are restoring the government-to-government relationship between the federal government and these tribal nations because </w:t>
      </w:r>
      <w:r>
        <w:rPr>
          <w:lang w:eastAsia="en-AU"/>
        </w:rPr>
        <w:t>‘</w:t>
      </w:r>
      <w:r w:rsidRPr="003C297B">
        <w:rPr>
          <w:lang w:eastAsia="en-AU"/>
        </w:rPr>
        <w:t>self</w:t>
      </w:r>
      <w:r>
        <w:rPr>
          <w:lang w:eastAsia="en-AU"/>
        </w:rPr>
        <w:noBreakHyphen/>
      </w:r>
      <w:r w:rsidRPr="003C297B">
        <w:rPr>
          <w:lang w:eastAsia="en-AU"/>
        </w:rPr>
        <w:t>determination,</w:t>
      </w:r>
      <w:r>
        <w:rPr>
          <w:lang w:eastAsia="en-AU"/>
        </w:rPr>
        <w:t>’</w:t>
      </w:r>
      <w:r w:rsidRPr="003C297B">
        <w:rPr>
          <w:lang w:eastAsia="en-AU"/>
        </w:rPr>
        <w:t xml:space="preserve"> </w:t>
      </w:r>
      <w:r>
        <w:rPr>
          <w:lang w:eastAsia="en-AU"/>
        </w:rPr>
        <w:t>‘</w:t>
      </w:r>
      <w:r w:rsidRPr="003C297B">
        <w:rPr>
          <w:lang w:eastAsia="en-AU"/>
        </w:rPr>
        <w:t>sovereignty,</w:t>
      </w:r>
      <w:r>
        <w:rPr>
          <w:lang w:eastAsia="en-AU"/>
        </w:rPr>
        <w:t>’</w:t>
      </w:r>
      <w:r w:rsidRPr="003C297B">
        <w:rPr>
          <w:lang w:eastAsia="en-AU"/>
        </w:rPr>
        <w:t xml:space="preserve"> </w:t>
      </w:r>
      <w:r>
        <w:rPr>
          <w:lang w:eastAsia="en-AU"/>
        </w:rPr>
        <w:t>‘</w:t>
      </w:r>
      <w:r w:rsidRPr="003C297B">
        <w:rPr>
          <w:lang w:eastAsia="en-AU"/>
        </w:rPr>
        <w:t>self-government,</w:t>
      </w:r>
      <w:r>
        <w:rPr>
          <w:lang w:eastAsia="en-AU"/>
        </w:rPr>
        <w:t>’</w:t>
      </w:r>
      <w:r w:rsidRPr="003C297B">
        <w:rPr>
          <w:lang w:eastAsia="en-AU"/>
        </w:rPr>
        <w:t xml:space="preserve"> </w:t>
      </w:r>
      <w:r>
        <w:rPr>
          <w:lang w:eastAsia="en-AU"/>
        </w:rPr>
        <w:t>‘</w:t>
      </w:r>
      <w:r w:rsidRPr="003C297B">
        <w:rPr>
          <w:lang w:eastAsia="en-AU"/>
        </w:rPr>
        <w:t>empowerment,</w:t>
      </w:r>
      <w:r>
        <w:rPr>
          <w:lang w:eastAsia="en-AU"/>
        </w:rPr>
        <w:t>’</w:t>
      </w:r>
      <w:r w:rsidRPr="003C297B">
        <w:rPr>
          <w:lang w:eastAsia="en-AU"/>
        </w:rPr>
        <w:t xml:space="preserve"> and </w:t>
      </w:r>
      <w:r>
        <w:rPr>
          <w:lang w:eastAsia="en-AU"/>
        </w:rPr>
        <w:t>‘</w:t>
      </w:r>
      <w:r w:rsidRPr="003C297B">
        <w:rPr>
          <w:lang w:eastAsia="en-AU"/>
        </w:rPr>
        <w:t>self-reliance</w:t>
      </w:r>
      <w:r>
        <w:rPr>
          <w:lang w:eastAsia="en-AU"/>
        </w:rPr>
        <w:t>’</w:t>
      </w:r>
      <w:r w:rsidRPr="003C297B">
        <w:rPr>
          <w:lang w:eastAsia="en-AU"/>
        </w:rPr>
        <w:t xml:space="preserve"> are not abstract concepts. </w:t>
      </w:r>
      <w:r>
        <w:rPr>
          <w:lang w:eastAsia="en-AU"/>
        </w:rPr>
        <w:t xml:space="preserve"> </w:t>
      </w:r>
      <w:r w:rsidRPr="003C297B">
        <w:rPr>
          <w:lang w:eastAsia="en-AU"/>
        </w:rPr>
        <w:t>Rather, they are the tools that will enable tribal nations to shape their collective destiny. This is why Interior is committed to partnering with American Indian and Alaska Native communities to help them prosper by expanding education and employment opportunities for youth and adults, protecting lives and property by strengthening law enforcement, and building strong, sustainable tribal economies</w:t>
      </w:r>
      <w:r>
        <w:rPr>
          <w:lang w:eastAsia="en-AU"/>
        </w:rPr>
        <w:t>.</w:t>
      </w:r>
      <w:r>
        <w:rPr>
          <w:rStyle w:val="FootnoteReference"/>
          <w:lang w:eastAsia="en-AU"/>
        </w:rPr>
        <w:footnoteReference w:id="168"/>
      </w:r>
    </w:p>
    <w:p w:rsidR="000953B5" w:rsidRDefault="001C64D2" w:rsidP="00AF58E2">
      <w:pPr>
        <w:pStyle w:val="Bodytext"/>
      </w:pPr>
      <w:r>
        <w:t xml:space="preserve">The </w:t>
      </w:r>
      <w:r w:rsidR="000953B5">
        <w:t xml:space="preserve">Office of Personnel Management (OPM) is the body that oversights US Federal Government departments and agencies.  The OPM seeks to ensure the US public sector is diverse and inclusive. </w:t>
      </w:r>
    </w:p>
    <w:p w:rsidR="000953B5" w:rsidRDefault="000953B5" w:rsidP="000953B5">
      <w:pPr>
        <w:pStyle w:val="Bodytext"/>
        <w:rPr>
          <w:lang w:eastAsia="en-AU"/>
        </w:rPr>
      </w:pPr>
      <w:r w:rsidRPr="000953B5">
        <w:rPr>
          <w:lang w:eastAsia="en-AU"/>
        </w:rPr>
        <w:t>OPM</w:t>
      </w:r>
      <w:r>
        <w:rPr>
          <w:lang w:eastAsia="en-AU"/>
        </w:rPr>
        <w:t>’s</w:t>
      </w:r>
      <w:r w:rsidRPr="000953B5">
        <w:rPr>
          <w:lang w:eastAsia="en-AU"/>
        </w:rPr>
        <w:t xml:space="preserve"> Office of Diversity and Inclusion (ODI) </w:t>
      </w:r>
      <w:r>
        <w:rPr>
          <w:lang w:eastAsia="en-AU"/>
        </w:rPr>
        <w:t xml:space="preserve">has </w:t>
      </w:r>
      <w:r w:rsidRPr="000953B5">
        <w:rPr>
          <w:lang w:eastAsia="en-AU"/>
        </w:rPr>
        <w:t xml:space="preserve">developed a </w:t>
      </w:r>
      <w:r>
        <w:rPr>
          <w:lang w:eastAsia="en-AU"/>
        </w:rPr>
        <w:t xml:space="preserve">Diversity and Inclusion (D&amp;I) </w:t>
      </w:r>
      <w:r w:rsidRPr="000953B5">
        <w:rPr>
          <w:lang w:eastAsia="en-AU"/>
        </w:rPr>
        <w:t xml:space="preserve">Dashboard for agency use in workforce planning and reporting, with information </w:t>
      </w:r>
      <w:r w:rsidR="00550609">
        <w:rPr>
          <w:lang w:eastAsia="en-AU"/>
        </w:rPr>
        <w:t xml:space="preserve">from </w:t>
      </w:r>
      <w:r w:rsidRPr="000953B5">
        <w:rPr>
          <w:lang w:eastAsia="en-AU"/>
        </w:rPr>
        <w:t xml:space="preserve">Federal Employee Viewpoint </w:t>
      </w:r>
      <w:r>
        <w:rPr>
          <w:lang w:eastAsia="en-AU"/>
        </w:rPr>
        <w:t>s</w:t>
      </w:r>
      <w:r w:rsidRPr="000953B5">
        <w:rPr>
          <w:lang w:eastAsia="en-AU"/>
        </w:rPr>
        <w:t>urvey</w:t>
      </w:r>
      <w:r>
        <w:rPr>
          <w:lang w:eastAsia="en-AU"/>
        </w:rPr>
        <w:t>s</w:t>
      </w:r>
      <w:r w:rsidRPr="000953B5">
        <w:rPr>
          <w:lang w:eastAsia="en-AU"/>
        </w:rPr>
        <w:t xml:space="preserve"> and </w:t>
      </w:r>
      <w:r>
        <w:rPr>
          <w:lang w:eastAsia="en-AU"/>
        </w:rPr>
        <w:t xml:space="preserve">agencies supplied data the </w:t>
      </w:r>
      <w:r w:rsidRPr="000953B5">
        <w:rPr>
          <w:lang w:eastAsia="en-AU"/>
        </w:rPr>
        <w:t>Dashboard is a government specific tool created to provide agencies with demographic data about hiring, group attrition, employee inclusion perceptions, and overall accountability in regard to D&amp;I efforts. One of the goals of the D&amp;I Dashboard is to provide data that is formatted in such a way that anyone can view it, explore it and readily understand it.</w:t>
      </w:r>
      <w:r w:rsidR="001051F6">
        <w:rPr>
          <w:lang w:eastAsia="en-AU"/>
        </w:rPr>
        <w:t xml:space="preserve">  The Dashboards </w:t>
      </w:r>
      <w:r w:rsidR="005F2964">
        <w:rPr>
          <w:lang w:eastAsia="en-AU"/>
        </w:rPr>
        <w:t xml:space="preserve">provide </w:t>
      </w:r>
      <w:r w:rsidR="001051F6">
        <w:rPr>
          <w:lang w:eastAsia="en-AU"/>
        </w:rPr>
        <w:t xml:space="preserve">the following breakdown of public sector employees: </w:t>
      </w:r>
    </w:p>
    <w:p w:rsidR="001051F6" w:rsidRDefault="001051F6" w:rsidP="001051F6">
      <w:pPr>
        <w:pStyle w:val="ListBullet"/>
        <w:rPr>
          <w:lang w:eastAsia="en-AU"/>
        </w:rPr>
      </w:pPr>
      <w:r>
        <w:rPr>
          <w:lang w:eastAsia="en-AU"/>
        </w:rPr>
        <w:t>American Indian / Alaskan Native (2.24%)</w:t>
      </w:r>
    </w:p>
    <w:p w:rsidR="001051F6" w:rsidRDefault="001051F6" w:rsidP="001051F6">
      <w:pPr>
        <w:pStyle w:val="ListBullet"/>
        <w:rPr>
          <w:lang w:eastAsia="en-AU"/>
        </w:rPr>
      </w:pPr>
      <w:r>
        <w:rPr>
          <w:lang w:eastAsia="en-AU"/>
        </w:rPr>
        <w:t>Asian / Pacific Islander (4.97%)</w:t>
      </w:r>
    </w:p>
    <w:p w:rsidR="001051F6" w:rsidRDefault="001051F6" w:rsidP="001051F6">
      <w:pPr>
        <w:pStyle w:val="ListBullet"/>
        <w:rPr>
          <w:lang w:eastAsia="en-AU"/>
        </w:rPr>
      </w:pPr>
      <w:r>
        <w:rPr>
          <w:lang w:eastAsia="en-AU"/>
        </w:rPr>
        <w:t>White (69.51%)</w:t>
      </w:r>
    </w:p>
    <w:p w:rsidR="001051F6" w:rsidRDefault="001051F6" w:rsidP="001051F6">
      <w:pPr>
        <w:pStyle w:val="ListBullet"/>
        <w:rPr>
          <w:lang w:eastAsia="en-AU"/>
        </w:rPr>
      </w:pPr>
      <w:r>
        <w:rPr>
          <w:lang w:eastAsia="en-AU"/>
        </w:rPr>
        <w:t>Hispanic (6.05%)</w:t>
      </w:r>
    </w:p>
    <w:p w:rsidR="001051F6" w:rsidRPr="000953B5" w:rsidRDefault="001051F6" w:rsidP="001051F6">
      <w:pPr>
        <w:pStyle w:val="ListBullet"/>
        <w:rPr>
          <w:lang w:eastAsia="en-AU"/>
        </w:rPr>
      </w:pPr>
      <w:r>
        <w:rPr>
          <w:lang w:eastAsia="en-AU"/>
        </w:rPr>
        <w:t>Black (18.0%).</w:t>
      </w:r>
      <w:r>
        <w:rPr>
          <w:rStyle w:val="FootnoteReference"/>
          <w:lang w:eastAsia="en-AU"/>
        </w:rPr>
        <w:footnoteReference w:id="169"/>
      </w:r>
    </w:p>
    <w:p w:rsidR="001051F6" w:rsidRDefault="001051F6" w:rsidP="001051F6">
      <w:pPr>
        <w:pStyle w:val="Bodytext"/>
      </w:pPr>
      <w:r>
        <w:t>The Committee notes that</w:t>
      </w:r>
      <w:r w:rsidRPr="001051F6">
        <w:t xml:space="preserve"> </w:t>
      </w:r>
      <w:r>
        <w:t xml:space="preserve">OPM’s </w:t>
      </w:r>
      <w:r w:rsidRPr="001051F6">
        <w:t>Office of Diversity and Inclusion has developed a set of change management tools to supplement the inclusion index</w:t>
      </w:r>
      <w:r>
        <w:t xml:space="preserve">: </w:t>
      </w:r>
    </w:p>
    <w:p w:rsidR="001051F6" w:rsidRPr="001051F6" w:rsidRDefault="001051F6" w:rsidP="001051F6">
      <w:pPr>
        <w:pStyle w:val="Quote"/>
      </w:pPr>
      <w:r w:rsidRPr="001051F6">
        <w:t xml:space="preserve">The index and tools, referred to jointly as the New Inclusion Quotient (The New IQ) will arm agencies with instruments and practices necessary to support diversity and inclusion more fully. In addition, OPM will continue to promote proven practices in using all workforce data to inform everyday support diversity and inclusion in the workplace. </w:t>
      </w:r>
    </w:p>
    <w:p w:rsidR="001051F6" w:rsidRPr="001051F6" w:rsidRDefault="001051F6" w:rsidP="001051F6">
      <w:pPr>
        <w:pStyle w:val="Quote"/>
        <w:rPr>
          <w:lang w:eastAsia="en-AU"/>
        </w:rPr>
      </w:pPr>
      <w:r w:rsidRPr="001051F6">
        <w:rPr>
          <w:lang w:eastAsia="en-AU"/>
        </w:rPr>
        <w:t>The New IQ scores are calculated using a subset of 20 questions from the Employment Viewpoint Survey (EVS). This metric is separated into several factors or 5 Inclusive habits: Fair, Open, Cooperative, Supportive, Empowering. Research confirms that workplace inclusion is a contributing factor to employee engagement and organizational performance. One of the major issues facing organizations and the federal government in regard to inclusion is how to properly measure it and improve an inherently intangible aspect of group interaction, which the New IQ scores help accomplish.</w:t>
      </w:r>
    </w:p>
    <w:p w:rsidR="001051F6" w:rsidRDefault="001051F6" w:rsidP="001051F6">
      <w:pPr>
        <w:pStyle w:val="Bodytext"/>
      </w:pPr>
      <w:r>
        <w:t xml:space="preserve">Inclusion categories are: </w:t>
      </w:r>
    </w:p>
    <w:p w:rsidR="001051F6" w:rsidRDefault="001051F6" w:rsidP="001051F6">
      <w:pPr>
        <w:pStyle w:val="ListBullet"/>
      </w:pPr>
      <w:r>
        <w:t>Fair environment</w:t>
      </w:r>
    </w:p>
    <w:p w:rsidR="001051F6" w:rsidRDefault="001051F6" w:rsidP="001051F6">
      <w:pPr>
        <w:pStyle w:val="ListBullet"/>
      </w:pPr>
      <w:r>
        <w:t>Open environment</w:t>
      </w:r>
    </w:p>
    <w:p w:rsidR="001051F6" w:rsidRDefault="001051F6" w:rsidP="001051F6">
      <w:pPr>
        <w:pStyle w:val="ListBullet"/>
      </w:pPr>
      <w:r>
        <w:t>Cooperative environment</w:t>
      </w:r>
    </w:p>
    <w:p w:rsidR="001051F6" w:rsidRDefault="001051F6" w:rsidP="001051F6">
      <w:pPr>
        <w:pStyle w:val="ListBullet"/>
      </w:pPr>
      <w:r>
        <w:t>Supportive environment</w:t>
      </w:r>
    </w:p>
    <w:p w:rsidR="001051F6" w:rsidRDefault="001051F6" w:rsidP="001051F6">
      <w:pPr>
        <w:pStyle w:val="ListBullet"/>
      </w:pPr>
      <w:r>
        <w:t xml:space="preserve">Empowering environment. </w:t>
      </w:r>
    </w:p>
    <w:p w:rsidR="00AF58E2" w:rsidRDefault="001051F6" w:rsidP="00AF58E2">
      <w:pPr>
        <w:pStyle w:val="Bodytext"/>
      </w:pPr>
      <w:r>
        <w:t xml:space="preserve">The Committee notes that such innovations </w:t>
      </w:r>
      <w:r w:rsidR="00A86185">
        <w:t>sh</w:t>
      </w:r>
      <w:r>
        <w:t xml:space="preserve">ould be of interest to the ACTPS. </w:t>
      </w:r>
    </w:p>
    <w:p w:rsidR="00B72783" w:rsidRPr="00AF58E2" w:rsidRDefault="00B72783" w:rsidP="00B72783">
      <w:pPr>
        <w:pStyle w:val="Headinglevel5"/>
      </w:pPr>
      <w:r>
        <w:br w:type="page"/>
      </w:r>
    </w:p>
    <w:p w:rsidR="009F5545" w:rsidRDefault="005F2964" w:rsidP="009F5545">
      <w:pPr>
        <w:pStyle w:val="Heading1"/>
      </w:pPr>
      <w:bookmarkStart w:id="158" w:name="_Toc383615059"/>
      <w:r>
        <w:t>Cultural Safety</w:t>
      </w:r>
      <w:r w:rsidR="00495D93">
        <w:t xml:space="preserve">: A story of a man with </w:t>
      </w:r>
      <w:r w:rsidR="009F5545">
        <w:t>seven mothers</w:t>
      </w:r>
      <w:bookmarkEnd w:id="158"/>
    </w:p>
    <w:p w:rsidR="009F5545" w:rsidRDefault="00DF28D8" w:rsidP="009F5545">
      <w:pPr>
        <w:pStyle w:val="Bodytext"/>
      </w:pPr>
      <w:r>
        <w:tab/>
      </w:r>
      <w:r w:rsidR="009F5545">
        <w:t xml:space="preserve">When giving evidence at the public hearing held on 12 December 2013, Ms Rachelle Towart, the CEO of the Australian Indigenous Leadership Centre (AILC) talked about how she had come to appreciate the need for </w:t>
      </w:r>
      <w:r w:rsidR="00F23CA4">
        <w:t xml:space="preserve">a </w:t>
      </w:r>
      <w:r w:rsidR="00634DDA">
        <w:t>diversity</w:t>
      </w:r>
      <w:r w:rsidR="009F5545">
        <w:t xml:space="preserve"> and mentoring program.  She said: </w:t>
      </w:r>
    </w:p>
    <w:p w:rsidR="009F5545" w:rsidRDefault="009F5545" w:rsidP="009F5545">
      <w:pPr>
        <w:pStyle w:val="Quote"/>
      </w:pPr>
      <w:r>
        <w:t xml:space="preserve">One of the main reasons that we came up with the idea of the diversity and mentoring program was that I had a guy come to me and say, “Rachelle, I’m thinking about letting one of my staff go. He has been to seven of his mothers’ funerals. How many more mothers does he have?” And he was really quite arrogant in the way he was asking the question. </w:t>
      </w:r>
    </w:p>
    <w:p w:rsidR="009F5545" w:rsidRDefault="009F5545" w:rsidP="009F5545">
      <w:pPr>
        <w:pStyle w:val="Quote"/>
      </w:pPr>
      <w:r>
        <w:t xml:space="preserve">But I sat and thought about it for a while and I went, “There are two things that you can do here. One, you can say yes.” People take sorry business to the nth degree. They want to take it for as long as they can. They are not going to come up to me and say, “I want leave for sorry business,” because they know the manager will say, “I can’t say anything because that might be racist and they might take it a different way.” He could have taken it the other way, which I am very glad that he did. </w:t>
      </w:r>
    </w:p>
    <w:p w:rsidR="009F5545" w:rsidRDefault="009F5545" w:rsidP="009F5545">
      <w:pPr>
        <w:pStyle w:val="Quote"/>
      </w:pPr>
      <w:r>
        <w:t xml:space="preserve">My suggestion to him was that he go and give the guy a hug and say, “Mate, you’ve had seven people die who were close to you and that you considered to be your mother. How are you? Are you okay? Is there anything that you need that I can do for you?” Have a conversation with somebody and ask them directly. We all know about performance management and conversations we read in the AD20 manager books and things like that. But to have a conversation with somebody over a cup of tea is much better than anything else that you can do. </w:t>
      </w:r>
    </w:p>
    <w:p w:rsidR="009F5545" w:rsidRDefault="009F5545" w:rsidP="009F5545">
      <w:pPr>
        <w:pStyle w:val="Quote"/>
      </w:pPr>
      <w:r>
        <w:t>By having those types of conversations, you will only get to know your employee better and you will learn some of that culture by a thing as simple as having a conversation. Having a conversation with those employees today is going to be a really great start when you have your roundtable discussion over lunch. Ask them what do they want. I think that is the question. What barriers do they see as they are being moved onwards and upwards? They are the only ones that are going to be able to answer.</w:t>
      </w:r>
      <w:r w:rsidR="004B19AE" w:rsidRPr="004B19AE">
        <w:rPr>
          <w:rStyle w:val="FootnoteReference"/>
        </w:rPr>
        <w:t xml:space="preserve"> </w:t>
      </w:r>
      <w:r w:rsidR="004B19AE">
        <w:rPr>
          <w:rStyle w:val="FootnoteReference"/>
        </w:rPr>
        <w:footnoteReference w:id="170"/>
      </w:r>
      <w:r>
        <w:t xml:space="preserve"> </w:t>
      </w:r>
    </w:p>
    <w:p w:rsidR="009F5545" w:rsidRDefault="00DF28D8" w:rsidP="009F5545">
      <w:pPr>
        <w:pStyle w:val="Bodytext"/>
      </w:pPr>
      <w:r>
        <w:tab/>
      </w:r>
      <w:r w:rsidR="009F5545">
        <w:t xml:space="preserve">The Committee recognises there is a profound meaning in the story of the man with seven mothers because it goes to the heart of what it means to be </w:t>
      </w:r>
      <w:r w:rsidR="00634DDA">
        <w:t>a</w:t>
      </w:r>
      <w:r w:rsidR="00CB214F">
        <w:t>n</w:t>
      </w:r>
      <w:r w:rsidR="009F5545">
        <w:t xml:space="preserve"> Aboriginal and Torres Strait Islander.  If anyone reads or hears the story and does not understand what it conveys about kinship and wider family relationships in Aboriginal and Torres Strait Islander culture, they must ask themselves, ‘Do I have cultural competence? </w:t>
      </w:r>
    </w:p>
    <w:p w:rsidR="009F5545" w:rsidRDefault="009F5545" w:rsidP="009F5545">
      <w:pPr>
        <w:pStyle w:val="Bodytext"/>
      </w:pPr>
      <w:r>
        <w:t xml:space="preserve"> </w:t>
      </w:r>
      <w:r w:rsidR="00DF28D8">
        <w:tab/>
      </w:r>
      <w:r>
        <w:t xml:space="preserve">At another level, the story points to the fact that some of what is required by the Employment Strategy is as simple as having the time and inclination to start a conversation with Aboriginal and Torres Strait Islander people. </w:t>
      </w:r>
    </w:p>
    <w:p w:rsidR="00A00180" w:rsidRDefault="00DF28D8" w:rsidP="00355BBF">
      <w:pPr>
        <w:pStyle w:val="Bodytext"/>
      </w:pPr>
      <w:r>
        <w:tab/>
      </w:r>
      <w:r w:rsidR="00A00180">
        <w:t xml:space="preserve">The Committee believes the ACTPS should aim to achieve a situation where all ACTPS employees have a high degree of cultural competence. In the short-term this must be a high priority for </w:t>
      </w:r>
      <w:r w:rsidR="00F2189E">
        <w:t xml:space="preserve">all </w:t>
      </w:r>
      <w:r w:rsidR="00A00180">
        <w:t>senior managers in the ACTPS</w:t>
      </w:r>
      <w:r w:rsidR="00F2189E">
        <w:t xml:space="preserve"> of which </w:t>
      </w:r>
      <w:r w:rsidR="00F2189E" w:rsidRPr="00F23CA4">
        <w:rPr>
          <w:i/>
        </w:rPr>
        <w:t>State of the Service Report 2013</w:t>
      </w:r>
      <w:r w:rsidR="00F2189E">
        <w:t xml:space="preserve"> says there are 197</w:t>
      </w:r>
      <w:r w:rsidR="00A00180">
        <w:t>.</w:t>
      </w:r>
      <w:r w:rsidR="00A00180">
        <w:rPr>
          <w:rStyle w:val="FootnoteReference"/>
        </w:rPr>
        <w:footnoteReference w:id="171"/>
      </w:r>
      <w:r w:rsidR="00A00180">
        <w:t xml:space="preserve"> </w:t>
      </w:r>
    </w:p>
    <w:p w:rsidR="00D31755" w:rsidRDefault="00DF28D8" w:rsidP="00355BBF">
      <w:pPr>
        <w:pStyle w:val="Bodytext"/>
      </w:pPr>
      <w:r>
        <w:tab/>
      </w:r>
      <w:r w:rsidR="00D31755">
        <w:t xml:space="preserve">The Committee </w:t>
      </w:r>
      <w:r w:rsidR="007F695B">
        <w:t xml:space="preserve">observes </w:t>
      </w:r>
      <w:r w:rsidR="00D31755">
        <w:t xml:space="preserve">that in other jurisdictions in Australia there is a mood to make progress in a number of areas of Aboriginal and Torres Strait Islander affairs.  The Committee is of the view that the ACTPS is uniquely positioned to play a significant role in bringing about understanding and reconciliation in the wider community and that the good implementation of the Employment Strategy can be fundamental to this. </w:t>
      </w:r>
      <w:r w:rsidR="007C375B">
        <w:t xml:space="preserve"> The reality for many non-Indigenous Australians is that on</w:t>
      </w:r>
      <w:r w:rsidR="00495D93">
        <w:t>ly</w:t>
      </w:r>
      <w:r w:rsidR="007C375B">
        <w:t xml:space="preserve"> through their employers and/or </w:t>
      </w:r>
      <w:r w:rsidR="00495D93">
        <w:t xml:space="preserve">their </w:t>
      </w:r>
      <w:r w:rsidR="007C375B">
        <w:t xml:space="preserve">community organisations participating in the RAP program or similar activities will they be exposed a satisfactory understanding of Aboriginal and Torres Strait Islander culture. </w:t>
      </w:r>
    </w:p>
    <w:p w:rsidR="007C375B" w:rsidRDefault="00DF28D8" w:rsidP="00355BBF">
      <w:pPr>
        <w:pStyle w:val="Bodytext"/>
      </w:pPr>
      <w:r>
        <w:tab/>
      </w:r>
      <w:r w:rsidR="007C375B">
        <w:t xml:space="preserve">The Committee is mindful that Australia is a multi-cultural society and therefore there is a widespread need for all citizens to have cultural competence.  Programs and activities that </w:t>
      </w:r>
      <w:r w:rsidR="004B0C47">
        <w:t>enable non-Indigenous and Indigenous Australians understand their respective cultures mean that they acquire skills and culture competence interacting with all</w:t>
      </w:r>
      <w:r w:rsidR="005F2964">
        <w:t> </w:t>
      </w:r>
      <w:r w:rsidR="004B0C47">
        <w:t xml:space="preserve">cultures. </w:t>
      </w:r>
    </w:p>
    <w:p w:rsidR="007F695B" w:rsidRDefault="00DF28D8" w:rsidP="00355BBF">
      <w:pPr>
        <w:pStyle w:val="Bodytext"/>
      </w:pPr>
      <w:r>
        <w:tab/>
      </w:r>
      <w:r w:rsidR="00D31755">
        <w:t xml:space="preserve">The Committee notes that the public sector is not alone in facing challenges to redress imbalance in relation to Aboriginal and Torres Strait Islander </w:t>
      </w:r>
      <w:r w:rsidR="007F695B">
        <w:t>people.  During the Inquiry the Committee heard evidence about how the private sector, albeit for commercial reasons, is making significant progress</w:t>
      </w:r>
      <w:r w:rsidR="004B0C47">
        <w:t xml:space="preserve"> in the area of Indigenous employment and reconciliation</w:t>
      </w:r>
      <w:r w:rsidR="007F695B">
        <w:t xml:space="preserve">.  </w:t>
      </w:r>
    </w:p>
    <w:p w:rsidR="00086691" w:rsidRDefault="00DF28D8" w:rsidP="00355BBF">
      <w:pPr>
        <w:pStyle w:val="Bodytext"/>
      </w:pPr>
      <w:r>
        <w:tab/>
      </w:r>
      <w:r w:rsidR="00086691">
        <w:t xml:space="preserve">The </w:t>
      </w:r>
      <w:r w:rsidR="004B0C47">
        <w:t xml:space="preserve">evidence received during the </w:t>
      </w:r>
      <w:r w:rsidR="00086691">
        <w:t xml:space="preserve">Inquiry leads </w:t>
      </w:r>
      <w:r w:rsidR="004B0C47">
        <w:t xml:space="preserve">the Committee </w:t>
      </w:r>
      <w:r w:rsidR="00086691">
        <w:t xml:space="preserve">to conclude that the development and publication of the Employment Strategy was timely.  Moreover, it contains desired outputs with which the Committee </w:t>
      </w:r>
      <w:r w:rsidR="004B0C47">
        <w:t xml:space="preserve">fully </w:t>
      </w:r>
      <w:r w:rsidR="00086691">
        <w:t>agrees</w:t>
      </w:r>
      <w:r w:rsidR="004B0C47">
        <w:t xml:space="preserve"> and supports</w:t>
      </w:r>
      <w:r w:rsidR="00086691">
        <w:t xml:space="preserve">.  The Committee found </w:t>
      </w:r>
      <w:r w:rsidR="004B0C47">
        <w:t xml:space="preserve">numerous points of </w:t>
      </w:r>
      <w:r w:rsidR="00086691">
        <w:t xml:space="preserve">resonance in </w:t>
      </w:r>
      <w:r w:rsidR="004B0C47">
        <w:t xml:space="preserve">the </w:t>
      </w:r>
      <w:r w:rsidR="00086691">
        <w:t xml:space="preserve">evidence </w:t>
      </w:r>
      <w:r w:rsidR="004B0C47">
        <w:t xml:space="preserve">it received </w:t>
      </w:r>
      <w:r w:rsidR="00086691">
        <w:t xml:space="preserve">from </w:t>
      </w:r>
      <w:r w:rsidR="004B0C47">
        <w:t xml:space="preserve">several </w:t>
      </w:r>
      <w:r w:rsidR="00086691">
        <w:t>witnesses.  In general there was agreement about what had to be done</w:t>
      </w:r>
      <w:r w:rsidR="004B0C47">
        <w:t xml:space="preserve"> to make any Indigenous employment strategy work</w:t>
      </w:r>
      <w:r w:rsidR="00086691">
        <w:t xml:space="preserve">.  The problem </w:t>
      </w:r>
      <w:r w:rsidR="004B0C47">
        <w:t xml:space="preserve">in the ACTPS </w:t>
      </w:r>
      <w:r w:rsidR="00086691">
        <w:t xml:space="preserve">is that in 2014, Year 4 of the </w:t>
      </w:r>
      <w:r w:rsidR="004B0C47">
        <w:t xml:space="preserve">Employment </w:t>
      </w:r>
      <w:r w:rsidR="00086691">
        <w:t xml:space="preserve">Strategy’s implementation, the evidence points to a disappointing lack of progress in a number of areas, </w:t>
      </w:r>
      <w:r w:rsidR="004B0C47">
        <w:t xml:space="preserve">enough </w:t>
      </w:r>
      <w:r w:rsidR="00086691">
        <w:t>of which are readily enough acknowledge</w:t>
      </w:r>
      <w:r w:rsidR="004A6718">
        <w:t>d</w:t>
      </w:r>
      <w:r w:rsidR="00086691">
        <w:t xml:space="preserve"> by the ACTPS. </w:t>
      </w:r>
    </w:p>
    <w:p w:rsidR="004A6718" w:rsidRDefault="00DF28D8" w:rsidP="00355BBF">
      <w:pPr>
        <w:pStyle w:val="Bodytext"/>
      </w:pPr>
      <w:r>
        <w:tab/>
      </w:r>
      <w:r w:rsidR="00086691">
        <w:t xml:space="preserve">The Committee </w:t>
      </w:r>
      <w:r w:rsidR="004A6718">
        <w:t xml:space="preserve">notes that the </w:t>
      </w:r>
      <w:r w:rsidR="00323080">
        <w:t>Elected Body</w:t>
      </w:r>
      <w:r w:rsidR="004A6718">
        <w:t xml:space="preserve">’s submission lists areas of concern identified through its </w:t>
      </w:r>
      <w:r w:rsidR="004B0C47">
        <w:t xml:space="preserve">Estimates-style </w:t>
      </w:r>
      <w:r w:rsidR="004A6718">
        <w:t xml:space="preserve">scrutiny and </w:t>
      </w:r>
      <w:r w:rsidR="004B0C47">
        <w:t>follow-up analysis.  The areas of concern are:</w:t>
      </w:r>
    </w:p>
    <w:p w:rsidR="004A6718" w:rsidRPr="004A6718" w:rsidRDefault="004A6718" w:rsidP="00185285">
      <w:pPr>
        <w:pStyle w:val="Quote"/>
        <w:numPr>
          <w:ilvl w:val="0"/>
          <w:numId w:val="15"/>
        </w:numPr>
      </w:pPr>
      <w:r>
        <w:tab/>
      </w:r>
      <w:r w:rsidRPr="004A6718">
        <w:t>33% of all Aboriginal or Torres Strait Islander peoples employed by the ACTPS were temporary;</w:t>
      </w:r>
    </w:p>
    <w:p w:rsidR="004A6718" w:rsidRPr="004A6718" w:rsidRDefault="004A6718" w:rsidP="00185285">
      <w:pPr>
        <w:pStyle w:val="Quote"/>
        <w:numPr>
          <w:ilvl w:val="0"/>
          <w:numId w:val="15"/>
        </w:numPr>
      </w:pPr>
      <w:r>
        <w:tab/>
      </w:r>
      <w:r w:rsidRPr="004A6718">
        <w:t>82% of all Aboriginal or Torres Strait Islander peoples in the ACT PS were employed at the ASO6 equivalent level or below as opposed to 74% for non-Indigenous people;</w:t>
      </w:r>
    </w:p>
    <w:p w:rsidR="004A6718" w:rsidRPr="004A6718" w:rsidRDefault="004A6718" w:rsidP="00185285">
      <w:pPr>
        <w:pStyle w:val="Quote"/>
        <w:numPr>
          <w:ilvl w:val="0"/>
          <w:numId w:val="15"/>
        </w:numPr>
      </w:pPr>
      <w:r>
        <w:tab/>
      </w:r>
      <w:r w:rsidRPr="004A6718">
        <w:t>That until recently with the establishment of the new Office for Aboriginal and Torres Strait Islander Affairs there were no Aboriginal or Torres Strait Islander Senior Executive Officers;</w:t>
      </w:r>
    </w:p>
    <w:p w:rsidR="004A6718" w:rsidRPr="004A6718" w:rsidRDefault="004A6718" w:rsidP="00185285">
      <w:pPr>
        <w:pStyle w:val="Quote"/>
        <w:numPr>
          <w:ilvl w:val="0"/>
          <w:numId w:val="15"/>
        </w:numPr>
      </w:pPr>
      <w:r>
        <w:tab/>
      </w:r>
      <w:r w:rsidRPr="004A6718">
        <w:t xml:space="preserve">Only 0.4% of all the Senior Officer level or equivalent positions were filled </w:t>
      </w:r>
      <w:r w:rsidR="00550609">
        <w:t xml:space="preserve">by </w:t>
      </w:r>
      <w:r w:rsidRPr="004A6718">
        <w:t>Aboriginal or Torres Strait Islanders;</w:t>
      </w:r>
    </w:p>
    <w:p w:rsidR="004A6718" w:rsidRPr="004A6718" w:rsidRDefault="004A6718" w:rsidP="00185285">
      <w:pPr>
        <w:pStyle w:val="Quote"/>
        <w:numPr>
          <w:ilvl w:val="0"/>
          <w:numId w:val="15"/>
        </w:numPr>
      </w:pPr>
      <w:r>
        <w:tab/>
      </w:r>
      <w:r w:rsidRPr="004A6718">
        <w:t>That there are very few Aboriginal or Torres Strait Islander graduates entering into the ACTPS since the Strategy has been in effect; and</w:t>
      </w:r>
    </w:p>
    <w:p w:rsidR="004A6718" w:rsidRPr="004A6718" w:rsidRDefault="004A6718" w:rsidP="00185285">
      <w:pPr>
        <w:pStyle w:val="Quote"/>
        <w:numPr>
          <w:ilvl w:val="0"/>
          <w:numId w:val="15"/>
        </w:numPr>
      </w:pPr>
      <w:r>
        <w:tab/>
      </w:r>
      <w:r w:rsidRPr="004A6718">
        <w:t>That there is a lack of strategic direction on the retention and advancement rates, career and development strategies for Aboriginal and Torres Strait Islanders.</w:t>
      </w:r>
    </w:p>
    <w:p w:rsidR="004A6718" w:rsidRDefault="004A6718" w:rsidP="004A6718">
      <w:pPr>
        <w:pStyle w:val="Bodytext"/>
      </w:pPr>
      <w:r>
        <w:t xml:space="preserve">In Chapter 1 the Committee has identified the benefit that could have resulted </w:t>
      </w:r>
      <w:r w:rsidR="00F23CA4">
        <w:t xml:space="preserve">had </w:t>
      </w:r>
      <w:r>
        <w:t xml:space="preserve">the ACTPS adopted a project management approach to the Strategy’s implementation.  The Committee reiterates this view and sees it as </w:t>
      </w:r>
      <w:r w:rsidR="004B0C47">
        <w:t xml:space="preserve">one sure </w:t>
      </w:r>
      <w:r>
        <w:t xml:space="preserve">way to give the Strategy </w:t>
      </w:r>
      <w:r w:rsidR="004B0C47">
        <w:t>new impetus</w:t>
      </w:r>
      <w:r>
        <w:t xml:space="preserve">. </w:t>
      </w:r>
      <w:r w:rsidR="00A00180">
        <w:t xml:space="preserve"> The Committee also see</w:t>
      </w:r>
      <w:r w:rsidR="004B0C47">
        <w:t>s</w:t>
      </w:r>
      <w:r w:rsidR="00A00180">
        <w:t xml:space="preserve"> that </w:t>
      </w:r>
      <w:r w:rsidR="004B0C47">
        <w:t xml:space="preserve">the result of a project management approach would be to ensure delivery of outcomes </w:t>
      </w:r>
      <w:r w:rsidR="00EE47B0">
        <w:t>contained in Recommendation 1 of the WISeR Report to improve Indigenous employment in the South Australian public sector.  The</w:t>
      </w:r>
      <w:r w:rsidR="004B0C47">
        <w:t xml:space="preserve"> WISeR </w:t>
      </w:r>
      <w:r w:rsidR="00EE47B0">
        <w:t xml:space="preserve">recommendation states: </w:t>
      </w:r>
    </w:p>
    <w:p w:rsidR="00EE47B0" w:rsidRPr="007338E2" w:rsidRDefault="00EE47B0" w:rsidP="00EE47B0">
      <w:pPr>
        <w:pStyle w:val="Quote"/>
        <w:rPr>
          <w:b/>
          <w:lang w:val="en-US"/>
        </w:rPr>
      </w:pPr>
      <w:r w:rsidRPr="007338E2">
        <w:rPr>
          <w:b/>
          <w:lang w:val="en-US"/>
        </w:rPr>
        <w:t>Recommendation 1</w:t>
      </w:r>
    </w:p>
    <w:p w:rsidR="00EE47B0" w:rsidRPr="00EE47B0" w:rsidRDefault="00EE47B0" w:rsidP="00EE47B0">
      <w:pPr>
        <w:pStyle w:val="Quote"/>
        <w:rPr>
          <w:lang w:val="en-US"/>
        </w:rPr>
      </w:pPr>
      <w:r w:rsidRPr="00EE47B0">
        <w:rPr>
          <w:lang w:val="en-US"/>
        </w:rPr>
        <w:t>It is recommended that the Target of 2% Aboriginal employment in the South Australian public sector be accompanied by sub-targets that measure quality as well as quantity of employment outcomes. These would apply to –</w:t>
      </w:r>
    </w:p>
    <w:p w:rsidR="00EE47B0" w:rsidRPr="00EE47B0" w:rsidRDefault="00EE47B0" w:rsidP="00185285">
      <w:pPr>
        <w:pStyle w:val="Quote"/>
        <w:numPr>
          <w:ilvl w:val="0"/>
          <w:numId w:val="17"/>
        </w:numPr>
        <w:rPr>
          <w:lang w:val="en-US"/>
        </w:rPr>
      </w:pPr>
      <w:r w:rsidRPr="00EE47B0">
        <w:rPr>
          <w:lang w:val="en-US"/>
        </w:rPr>
        <w:t>retention as well as recruitment rates;</w:t>
      </w:r>
    </w:p>
    <w:p w:rsidR="00EE47B0" w:rsidRPr="00EE47B0" w:rsidRDefault="00EE47B0" w:rsidP="00185285">
      <w:pPr>
        <w:pStyle w:val="Quote"/>
        <w:numPr>
          <w:ilvl w:val="0"/>
          <w:numId w:val="17"/>
        </w:numPr>
        <w:rPr>
          <w:lang w:val="en-US"/>
        </w:rPr>
      </w:pPr>
      <w:r w:rsidRPr="00EE47B0">
        <w:rPr>
          <w:lang w:val="en-US"/>
        </w:rPr>
        <w:t>all levels of appointment;</w:t>
      </w:r>
    </w:p>
    <w:p w:rsidR="00EE47B0" w:rsidRPr="00EE47B0" w:rsidRDefault="00EE47B0" w:rsidP="00185285">
      <w:pPr>
        <w:pStyle w:val="Quote"/>
        <w:numPr>
          <w:ilvl w:val="0"/>
          <w:numId w:val="17"/>
        </w:numPr>
        <w:rPr>
          <w:lang w:val="en-US"/>
        </w:rPr>
      </w:pPr>
      <w:r w:rsidRPr="00EE47B0">
        <w:rPr>
          <w:lang w:val="en-US"/>
        </w:rPr>
        <w:t>short term as distinct from ongoing employment;</w:t>
      </w:r>
    </w:p>
    <w:p w:rsidR="00EE47B0" w:rsidRPr="00EE47B0" w:rsidRDefault="00EE47B0" w:rsidP="00185285">
      <w:pPr>
        <w:pStyle w:val="Quote"/>
        <w:numPr>
          <w:ilvl w:val="0"/>
          <w:numId w:val="17"/>
        </w:numPr>
        <w:rPr>
          <w:lang w:val="en-US"/>
        </w:rPr>
      </w:pPr>
      <w:r w:rsidRPr="00EE47B0">
        <w:rPr>
          <w:lang w:val="en-US"/>
        </w:rPr>
        <w:t>contracts of training as distinct from other employment;</w:t>
      </w:r>
    </w:p>
    <w:p w:rsidR="00EE47B0" w:rsidRPr="00EE47B0" w:rsidRDefault="00EE47B0" w:rsidP="00185285">
      <w:pPr>
        <w:pStyle w:val="Quote"/>
        <w:numPr>
          <w:ilvl w:val="0"/>
          <w:numId w:val="17"/>
        </w:numPr>
        <w:rPr>
          <w:lang w:val="en-US"/>
        </w:rPr>
      </w:pPr>
      <w:r w:rsidRPr="00EE47B0">
        <w:rPr>
          <w:lang w:val="en-US"/>
        </w:rPr>
        <w:t>employment in Aboriginal-specific units as distinct from employment in broader agency roles.</w:t>
      </w:r>
    </w:p>
    <w:p w:rsidR="00B72783" w:rsidRDefault="00B72783" w:rsidP="00B72783">
      <w:pPr>
        <w:pStyle w:val="Bodytext"/>
        <w:numPr>
          <w:ilvl w:val="0"/>
          <w:numId w:val="0"/>
        </w:numPr>
        <w:ind w:left="425"/>
      </w:pPr>
    </w:p>
    <w:p w:rsidR="007338E2" w:rsidRDefault="004A6718" w:rsidP="004A6718">
      <w:pPr>
        <w:pStyle w:val="Bodytext"/>
      </w:pPr>
      <w:r>
        <w:t xml:space="preserve">The Committee </w:t>
      </w:r>
      <w:r w:rsidR="007338E2">
        <w:t xml:space="preserve">endorses the list of things the </w:t>
      </w:r>
      <w:r w:rsidR="00323080">
        <w:t xml:space="preserve">Elected Body </w:t>
      </w:r>
      <w:r w:rsidR="007338E2">
        <w:t xml:space="preserve"> would like to see: </w:t>
      </w:r>
    </w:p>
    <w:p w:rsidR="007338E2" w:rsidRPr="007338E2" w:rsidRDefault="007338E2" w:rsidP="00185285">
      <w:pPr>
        <w:pStyle w:val="Quote"/>
        <w:numPr>
          <w:ilvl w:val="0"/>
          <w:numId w:val="18"/>
        </w:numPr>
        <w:tabs>
          <w:tab w:val="left" w:pos="1701"/>
        </w:tabs>
      </w:pPr>
      <w:r w:rsidRPr="007338E2">
        <w:t>All ACT</w:t>
      </w:r>
      <w:r w:rsidR="003904B2">
        <w:t>[PS]</w:t>
      </w:r>
      <w:r w:rsidRPr="007338E2">
        <w:t xml:space="preserve"> Directorates with their own strategies on Aboriginal and Torres Strait Islander Employment</w:t>
      </w:r>
      <w:r w:rsidR="003904B2">
        <w:t xml:space="preserve">, </w:t>
      </w:r>
      <w:r w:rsidRPr="007338E2">
        <w:t xml:space="preserve">articulating how they will attract Aboriginal and Torres Strait Islander staff through targeted and general recruitment; </w:t>
      </w:r>
    </w:p>
    <w:p w:rsidR="007338E2" w:rsidRPr="007338E2" w:rsidRDefault="007338E2" w:rsidP="00185285">
      <w:pPr>
        <w:pStyle w:val="Quote"/>
        <w:numPr>
          <w:ilvl w:val="0"/>
          <w:numId w:val="18"/>
        </w:numPr>
        <w:tabs>
          <w:tab w:val="left" w:pos="1560"/>
        </w:tabs>
      </w:pPr>
      <w:r w:rsidRPr="007338E2">
        <w:t xml:space="preserve">Attracting Indigenous candidates for the graduate and cadetship program; </w:t>
      </w:r>
    </w:p>
    <w:p w:rsidR="007338E2" w:rsidRPr="007338E2" w:rsidRDefault="007338E2" w:rsidP="00185285">
      <w:pPr>
        <w:pStyle w:val="Quote"/>
        <w:numPr>
          <w:ilvl w:val="0"/>
          <w:numId w:val="18"/>
        </w:numPr>
        <w:tabs>
          <w:tab w:val="left" w:pos="1560"/>
        </w:tabs>
      </w:pPr>
      <w:r w:rsidRPr="007338E2">
        <w:t xml:space="preserve">Development of career pathways and clearly articulated development opportunities for Aboriginal and Torres Strait Islander staff; </w:t>
      </w:r>
    </w:p>
    <w:p w:rsidR="007338E2" w:rsidRPr="007338E2" w:rsidRDefault="007338E2" w:rsidP="00185285">
      <w:pPr>
        <w:pStyle w:val="Quote"/>
        <w:numPr>
          <w:ilvl w:val="0"/>
          <w:numId w:val="18"/>
        </w:numPr>
        <w:tabs>
          <w:tab w:val="left" w:pos="1560"/>
        </w:tabs>
      </w:pPr>
      <w:r w:rsidRPr="007338E2">
        <w:t>Suggestion of secondment opportunities, for staff to move into other directorates, and for community in</w:t>
      </w:r>
      <w:r w:rsidR="003904B2">
        <w:t>[put]</w:t>
      </w:r>
      <w:r w:rsidRPr="007338E2">
        <w:t xml:space="preserve"> to ACT Government directorates;</w:t>
      </w:r>
    </w:p>
    <w:p w:rsidR="007338E2" w:rsidRPr="007338E2" w:rsidRDefault="007338E2" w:rsidP="00185285">
      <w:pPr>
        <w:pStyle w:val="Quote"/>
        <w:numPr>
          <w:ilvl w:val="0"/>
          <w:numId w:val="18"/>
        </w:numPr>
        <w:tabs>
          <w:tab w:val="left" w:pos="1560"/>
        </w:tabs>
      </w:pPr>
      <w:r w:rsidRPr="007338E2">
        <w:t>Targeted promotion of the ACT Government as a career choice, utilising current staff and real stories of success;</w:t>
      </w:r>
    </w:p>
    <w:p w:rsidR="007338E2" w:rsidRPr="007338E2" w:rsidRDefault="007338E2" w:rsidP="00185285">
      <w:pPr>
        <w:pStyle w:val="Quote"/>
        <w:numPr>
          <w:ilvl w:val="0"/>
          <w:numId w:val="18"/>
        </w:numPr>
        <w:tabs>
          <w:tab w:val="left" w:pos="1560"/>
        </w:tabs>
      </w:pPr>
      <w:r w:rsidRPr="007338E2">
        <w:t>The development and implementation of ‘Cross Cultural’ training, uniformly across all ACT Government agencies;</w:t>
      </w:r>
    </w:p>
    <w:p w:rsidR="007338E2" w:rsidRPr="007338E2" w:rsidRDefault="007338E2" w:rsidP="00185285">
      <w:pPr>
        <w:pStyle w:val="Quote"/>
        <w:numPr>
          <w:ilvl w:val="0"/>
          <w:numId w:val="18"/>
        </w:numPr>
        <w:tabs>
          <w:tab w:val="left" w:pos="1701"/>
        </w:tabs>
      </w:pPr>
      <w:r w:rsidRPr="007338E2">
        <w:t xml:space="preserve">Reportable targets including salary levels and permanency of Aboriginal and Torres Strait Islander officers reported not only in the </w:t>
      </w:r>
      <w:r w:rsidRPr="003904B2">
        <w:rPr>
          <w:i/>
        </w:rPr>
        <w:t>State of the Service Report</w:t>
      </w:r>
      <w:r w:rsidRPr="007338E2">
        <w:t xml:space="preserve"> but accurately by ACT Government agencies in their annual reports;</w:t>
      </w:r>
    </w:p>
    <w:p w:rsidR="007338E2" w:rsidRPr="007338E2" w:rsidRDefault="007338E2" w:rsidP="00185285">
      <w:pPr>
        <w:pStyle w:val="Quote"/>
        <w:numPr>
          <w:ilvl w:val="0"/>
          <w:numId w:val="18"/>
        </w:numPr>
        <w:tabs>
          <w:tab w:val="left" w:pos="1701"/>
        </w:tabs>
      </w:pPr>
      <w:r w:rsidRPr="007338E2">
        <w:t>Conducting staff surveys to gauge interest and concerns for  Aboriginal and Torres Strait Islander staff;</w:t>
      </w:r>
    </w:p>
    <w:p w:rsidR="007338E2" w:rsidRPr="007338E2" w:rsidRDefault="007338E2" w:rsidP="00185285">
      <w:pPr>
        <w:pStyle w:val="Quote"/>
        <w:numPr>
          <w:ilvl w:val="0"/>
          <w:numId w:val="18"/>
        </w:numPr>
        <w:tabs>
          <w:tab w:val="left" w:pos="1701"/>
        </w:tabs>
      </w:pPr>
      <w:r w:rsidRPr="007338E2">
        <w:t>Analysis of staff working in ACT Government, progression/promotion, development opportunities, retention and separations;</w:t>
      </w:r>
    </w:p>
    <w:p w:rsidR="007338E2" w:rsidRPr="007338E2" w:rsidRDefault="007338E2" w:rsidP="00185285">
      <w:pPr>
        <w:pStyle w:val="Quote"/>
        <w:numPr>
          <w:ilvl w:val="0"/>
          <w:numId w:val="18"/>
        </w:numPr>
        <w:tabs>
          <w:tab w:val="left" w:pos="1701"/>
        </w:tabs>
      </w:pPr>
      <w:r w:rsidRPr="007338E2">
        <w:t>Ensuring exit surveys are conducted to gain valuable feedback that will inform practices and targeted efforts for attraction and retention;</w:t>
      </w:r>
    </w:p>
    <w:p w:rsidR="007338E2" w:rsidRPr="007338E2" w:rsidRDefault="007338E2" w:rsidP="00185285">
      <w:pPr>
        <w:pStyle w:val="Quote"/>
        <w:numPr>
          <w:ilvl w:val="0"/>
          <w:numId w:val="18"/>
        </w:numPr>
        <w:tabs>
          <w:tab w:val="left" w:pos="1701"/>
        </w:tabs>
      </w:pPr>
      <w:r w:rsidRPr="007338E2">
        <w:t>Evaluations of employment programs used to attract Aboriginal and Torres Strait Islander staff including the components of career pathways, mentoring, supervisor/manager responsibilities and effectiveness as well as tracking separations; and</w:t>
      </w:r>
    </w:p>
    <w:p w:rsidR="004A6718" w:rsidRDefault="007338E2" w:rsidP="00185285">
      <w:pPr>
        <w:pStyle w:val="Quote"/>
        <w:numPr>
          <w:ilvl w:val="0"/>
          <w:numId w:val="18"/>
        </w:numPr>
        <w:tabs>
          <w:tab w:val="left" w:pos="1701"/>
        </w:tabs>
      </w:pPr>
      <w:r w:rsidRPr="007338E2">
        <w:t>A recommitment to the employment of Aboriginal and Torres Strait Islander peoples and a commitment from government on the economic participation of all Aboriginal and Torres Strait Islander Canberrans.</w:t>
      </w:r>
      <w:r w:rsidR="003904B2">
        <w:rPr>
          <w:rStyle w:val="FootnoteReference"/>
        </w:rPr>
        <w:footnoteReference w:id="172"/>
      </w:r>
      <w:r w:rsidR="004A6718">
        <w:t xml:space="preserve"> </w:t>
      </w:r>
    </w:p>
    <w:p w:rsidR="003904B2" w:rsidRDefault="003904B2" w:rsidP="003904B2">
      <w:pPr>
        <w:pStyle w:val="Quote"/>
        <w:tabs>
          <w:tab w:val="left" w:pos="1701"/>
        </w:tabs>
      </w:pPr>
    </w:p>
    <w:p w:rsidR="003904B2" w:rsidRDefault="003904B2" w:rsidP="003904B2">
      <w:pPr>
        <w:pStyle w:val="Quote"/>
        <w:tabs>
          <w:tab w:val="left" w:pos="1701"/>
        </w:tabs>
      </w:pPr>
    </w:p>
    <w:p w:rsidR="003904B2" w:rsidRDefault="003904B2" w:rsidP="003904B2">
      <w:pPr>
        <w:pStyle w:val="Quote"/>
        <w:tabs>
          <w:tab w:val="left" w:pos="1701"/>
        </w:tabs>
      </w:pPr>
    </w:p>
    <w:p w:rsidR="003904B2" w:rsidRDefault="003904B2" w:rsidP="003904B2">
      <w:pPr>
        <w:pStyle w:val="Quote"/>
        <w:tabs>
          <w:tab w:val="left" w:pos="1701"/>
        </w:tabs>
      </w:pPr>
    </w:p>
    <w:p w:rsidR="00B33430" w:rsidRDefault="007338E2" w:rsidP="00B72783">
      <w:pPr>
        <w:pStyle w:val="Bodytext"/>
      </w:pPr>
      <w:r>
        <w:t xml:space="preserve">The Committee commends the ACTPS for its endeavours to implement the Employment Strategy.  </w:t>
      </w:r>
      <w:r w:rsidR="005A0977">
        <w:t xml:space="preserve"> </w:t>
      </w:r>
      <w:r>
        <w:t xml:space="preserve">The </w:t>
      </w:r>
      <w:r w:rsidR="005A0977">
        <w:t xml:space="preserve">Employment </w:t>
      </w:r>
      <w:r>
        <w:t xml:space="preserve">Strategy is focussed in the right direction but much more needs to be done.  The Committee’s assessment </w:t>
      </w:r>
      <w:r w:rsidR="005A0977">
        <w:t xml:space="preserve">of the Strategy’s performance to date </w:t>
      </w:r>
      <w:r>
        <w:t xml:space="preserve">is summarised in </w:t>
      </w:r>
      <w:r w:rsidR="000F695C">
        <w:t>Appendix E</w:t>
      </w:r>
      <w:r>
        <w:t xml:space="preserve">.  </w:t>
      </w:r>
      <w:r>
        <w:tab/>
      </w:r>
    </w:p>
    <w:p w:rsidR="005C570A" w:rsidRDefault="005C570A">
      <w:pPr>
        <w:pStyle w:val="Bodytext"/>
        <w:numPr>
          <w:ilvl w:val="0"/>
          <w:numId w:val="0"/>
        </w:numPr>
        <w:ind w:left="680" w:hanging="680"/>
      </w:pPr>
    </w:p>
    <w:p w:rsidR="003904B2" w:rsidRDefault="003904B2">
      <w:pPr>
        <w:pStyle w:val="Bodytext"/>
        <w:numPr>
          <w:ilvl w:val="0"/>
          <w:numId w:val="0"/>
        </w:numPr>
        <w:ind w:left="680" w:hanging="680"/>
      </w:pPr>
    </w:p>
    <w:p w:rsidR="003904B2" w:rsidRDefault="003904B2">
      <w:pPr>
        <w:pStyle w:val="Bodytext"/>
        <w:numPr>
          <w:ilvl w:val="0"/>
          <w:numId w:val="0"/>
        </w:numPr>
        <w:ind w:left="680" w:hanging="680"/>
      </w:pPr>
    </w:p>
    <w:p w:rsidR="00B72783" w:rsidRDefault="00B72783" w:rsidP="00B72783">
      <w:pPr>
        <w:pStyle w:val="Bodytext"/>
        <w:numPr>
          <w:ilvl w:val="0"/>
          <w:numId w:val="0"/>
        </w:numPr>
        <w:spacing w:before="0" w:after="0" w:line="240" w:lineRule="auto"/>
        <w:ind w:left="680" w:hanging="680"/>
        <w:rPr>
          <w:b/>
        </w:rPr>
      </w:pPr>
    </w:p>
    <w:p w:rsidR="00D561BC" w:rsidRPr="00B33430" w:rsidRDefault="00AC64FB" w:rsidP="00B72783">
      <w:pPr>
        <w:pStyle w:val="Bodytext"/>
        <w:numPr>
          <w:ilvl w:val="0"/>
          <w:numId w:val="0"/>
        </w:numPr>
        <w:spacing w:before="0" w:after="0" w:line="240" w:lineRule="auto"/>
        <w:ind w:left="680" w:hanging="680"/>
        <w:rPr>
          <w:b/>
        </w:rPr>
      </w:pPr>
      <w:r w:rsidRPr="00B33430">
        <w:rPr>
          <w:b/>
        </w:rPr>
        <w:t>Dr Chris Bourke MLA</w:t>
      </w:r>
    </w:p>
    <w:p w:rsidR="00B72783" w:rsidRDefault="00D561BC" w:rsidP="00B72783">
      <w:pPr>
        <w:pStyle w:val="Bodytext"/>
        <w:numPr>
          <w:ilvl w:val="0"/>
          <w:numId w:val="0"/>
        </w:numPr>
        <w:spacing w:before="0" w:after="0" w:line="240" w:lineRule="auto"/>
        <w:ind w:left="680" w:hanging="680"/>
      </w:pPr>
      <w:r>
        <w:t>Chair</w:t>
      </w:r>
    </w:p>
    <w:p w:rsidR="007F5E40" w:rsidRDefault="00CB214F" w:rsidP="00B72783">
      <w:pPr>
        <w:pStyle w:val="Bodytext"/>
        <w:numPr>
          <w:ilvl w:val="0"/>
          <w:numId w:val="0"/>
        </w:numPr>
        <w:spacing w:before="0" w:after="0" w:line="240" w:lineRule="auto"/>
        <w:ind w:left="680" w:hanging="680"/>
      </w:pPr>
      <w:r>
        <w:t xml:space="preserve">        </w:t>
      </w:r>
      <w:r w:rsidR="00AC64FB">
        <w:t>March 2014</w:t>
      </w:r>
    </w:p>
    <w:p w:rsidR="00E629E2" w:rsidRDefault="00E629E2" w:rsidP="00E629E2">
      <w:pPr>
        <w:pStyle w:val="Bodytext"/>
        <w:numPr>
          <w:ilvl w:val="0"/>
          <w:numId w:val="0"/>
        </w:numPr>
        <w:ind w:left="680" w:hanging="680"/>
        <w:sectPr w:rsidR="00E629E2" w:rsidSect="005B60C2">
          <w:type w:val="oddPage"/>
          <w:pgSz w:w="11907" w:h="16840" w:code="9"/>
          <w:pgMar w:top="1588" w:right="1418" w:bottom="1418" w:left="1418" w:header="720" w:footer="851" w:gutter="0"/>
          <w:cols w:space="720"/>
          <w:docGrid w:linePitch="360"/>
        </w:sectPr>
      </w:pPr>
    </w:p>
    <w:p w:rsidR="00D561BC" w:rsidRPr="00A36E0A" w:rsidRDefault="005D2ACF">
      <w:pPr>
        <w:pStyle w:val="AppendixHeading1"/>
        <w:rPr>
          <w:b w:val="0"/>
          <w:smallCaps w:val="0"/>
        </w:rPr>
      </w:pPr>
      <w:bookmarkStart w:id="159" w:name="_Toc383615060"/>
      <w:r>
        <w:rPr>
          <w:b w:val="0"/>
          <w:smallCaps w:val="0"/>
        </w:rPr>
        <w:t>List of submissions</w:t>
      </w:r>
      <w:bookmarkEnd w:id="159"/>
    </w:p>
    <w:p w:rsidR="00D561BC" w:rsidRPr="00123676" w:rsidRDefault="00D561BC" w:rsidP="00123676">
      <w:pPr>
        <w:pStyle w:val="AppendixHeading2"/>
      </w:pPr>
    </w:p>
    <w:tbl>
      <w:tblPr>
        <w:tblStyle w:val="TableGrid"/>
        <w:tblW w:w="9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8753"/>
      </w:tblGrid>
      <w:tr w:rsidR="00226AA9" w:rsidTr="00226AA9">
        <w:tc>
          <w:tcPr>
            <w:tcW w:w="675" w:type="dxa"/>
          </w:tcPr>
          <w:p w:rsidR="00226AA9" w:rsidRDefault="00226AA9" w:rsidP="00924579">
            <w:pPr>
              <w:pStyle w:val="Bodytextnonumbering"/>
              <w:keepNext w:val="0"/>
              <w:numPr>
                <w:ilvl w:val="0"/>
                <w:numId w:val="24"/>
              </w:numPr>
              <w:spacing w:before="0" w:after="0" w:line="240" w:lineRule="auto"/>
            </w:pPr>
            <w:bookmarkStart w:id="160" w:name="_Toc341433431"/>
            <w:bookmarkStart w:id="161" w:name="_Toc341687876"/>
          </w:p>
        </w:tc>
        <w:tc>
          <w:tcPr>
            <w:tcW w:w="8753" w:type="dxa"/>
          </w:tcPr>
          <w:p w:rsidR="00226AA9" w:rsidRDefault="00226AA9" w:rsidP="00226AA9">
            <w:pPr>
              <w:pStyle w:val="Bodytextnonumbering"/>
              <w:keepNext w:val="0"/>
              <w:spacing w:before="0" w:after="0" w:line="240" w:lineRule="auto"/>
            </w:pPr>
            <w:r>
              <w:t xml:space="preserve">Mr Andrew Cappie-Wood, Head of Service and </w:t>
            </w:r>
          </w:p>
          <w:p w:rsidR="00226AA9" w:rsidRDefault="00226AA9" w:rsidP="00226AA9">
            <w:pPr>
              <w:pStyle w:val="Bodytextnonumbering"/>
              <w:keepNext w:val="0"/>
              <w:spacing w:before="0" w:after="0" w:line="240" w:lineRule="auto"/>
            </w:pPr>
            <w:r>
              <w:t>Mr Andrew Kefford, Commission for Public Administration</w:t>
            </w:r>
          </w:p>
          <w:p w:rsidR="00226AA9" w:rsidRDefault="00323080" w:rsidP="00226AA9">
            <w:pPr>
              <w:pStyle w:val="Bodytextnonumbering"/>
              <w:keepNext w:val="0"/>
              <w:spacing w:before="0" w:after="0" w:line="240" w:lineRule="auto"/>
            </w:pPr>
            <w:r>
              <w:t xml:space="preserve">ACT Public Service </w:t>
            </w:r>
          </w:p>
          <w:p w:rsidR="00226AA9" w:rsidRDefault="00226AA9" w:rsidP="00226AA9">
            <w:pPr>
              <w:pStyle w:val="Bodytextnonumbering"/>
              <w:keepNext w:val="0"/>
              <w:spacing w:before="0" w:after="0" w:line="240" w:lineRule="auto"/>
            </w:pPr>
          </w:p>
        </w:tc>
      </w:tr>
      <w:tr w:rsidR="00226AA9" w:rsidTr="00226AA9">
        <w:tc>
          <w:tcPr>
            <w:tcW w:w="675" w:type="dxa"/>
          </w:tcPr>
          <w:p w:rsidR="00226AA9" w:rsidRDefault="00226AA9" w:rsidP="00924579">
            <w:pPr>
              <w:pStyle w:val="Bodytextnonumbering"/>
              <w:keepNext w:val="0"/>
              <w:numPr>
                <w:ilvl w:val="0"/>
                <w:numId w:val="24"/>
              </w:numPr>
              <w:spacing w:before="0" w:after="0" w:line="240" w:lineRule="auto"/>
            </w:pPr>
          </w:p>
        </w:tc>
        <w:tc>
          <w:tcPr>
            <w:tcW w:w="8753" w:type="dxa"/>
          </w:tcPr>
          <w:p w:rsidR="00226AA9" w:rsidRPr="00226AA9" w:rsidRDefault="00226AA9" w:rsidP="00226AA9">
            <w:pPr>
              <w:rPr>
                <w:rFonts w:cs="Calibri"/>
                <w:lang w:val="en-US"/>
              </w:rPr>
            </w:pPr>
            <w:r w:rsidRPr="00226AA9">
              <w:rPr>
                <w:rFonts w:cs="Calibri"/>
                <w:lang w:val="en-US"/>
              </w:rPr>
              <w:t>Vince McDevitt</w:t>
            </w:r>
          </w:p>
          <w:p w:rsidR="00226AA9" w:rsidRPr="00226AA9" w:rsidRDefault="00226AA9" w:rsidP="00226AA9">
            <w:pPr>
              <w:rPr>
                <w:rFonts w:cs="Calibri"/>
                <w:lang w:val="en-US"/>
              </w:rPr>
            </w:pPr>
            <w:r>
              <w:rPr>
                <w:rFonts w:cs="Calibri"/>
                <w:lang w:val="en-US"/>
              </w:rPr>
              <w:t xml:space="preserve">Regional </w:t>
            </w:r>
            <w:r w:rsidRPr="00226AA9">
              <w:rPr>
                <w:rFonts w:cs="Calibri"/>
                <w:lang w:val="en-US"/>
              </w:rPr>
              <w:t xml:space="preserve">Secretary  </w:t>
            </w:r>
          </w:p>
          <w:p w:rsidR="00226AA9" w:rsidRDefault="00226AA9" w:rsidP="00226AA9">
            <w:pPr>
              <w:pStyle w:val="Bodytextnonumbering"/>
              <w:keepNext w:val="0"/>
              <w:spacing w:before="0" w:after="0" w:line="240" w:lineRule="auto"/>
            </w:pPr>
            <w:r>
              <w:t>Commonwealth and Public Sector Union</w:t>
            </w:r>
          </w:p>
          <w:p w:rsidR="00226AA9" w:rsidRDefault="00226AA9" w:rsidP="00226AA9">
            <w:pPr>
              <w:pStyle w:val="Bodytextnonumbering"/>
              <w:keepNext w:val="0"/>
              <w:spacing w:before="0" w:after="0" w:line="240" w:lineRule="auto"/>
            </w:pPr>
          </w:p>
        </w:tc>
      </w:tr>
      <w:tr w:rsidR="00226AA9" w:rsidTr="00226AA9">
        <w:trPr>
          <w:trHeight w:val="370"/>
        </w:trPr>
        <w:tc>
          <w:tcPr>
            <w:tcW w:w="675" w:type="dxa"/>
          </w:tcPr>
          <w:p w:rsidR="00226AA9" w:rsidRDefault="00226AA9" w:rsidP="00924579">
            <w:pPr>
              <w:pStyle w:val="Bodytextnonumbering"/>
              <w:keepNext w:val="0"/>
              <w:numPr>
                <w:ilvl w:val="0"/>
                <w:numId w:val="24"/>
              </w:numPr>
              <w:spacing w:before="0" w:after="0" w:line="240" w:lineRule="auto"/>
            </w:pPr>
          </w:p>
        </w:tc>
        <w:tc>
          <w:tcPr>
            <w:tcW w:w="8753" w:type="dxa"/>
          </w:tcPr>
          <w:p w:rsidR="00226AA9" w:rsidRPr="00226AA9" w:rsidRDefault="00226AA9" w:rsidP="00226AA9">
            <w:pPr>
              <w:rPr>
                <w:rFonts w:cs="Calibri"/>
                <w:lang w:val="en-US"/>
              </w:rPr>
            </w:pPr>
            <w:r w:rsidRPr="00226AA9">
              <w:rPr>
                <w:rFonts w:cs="Arial"/>
                <w:iCs/>
                <w:lang w:bidi="en-US"/>
              </w:rPr>
              <w:t xml:space="preserve">Rod </w:t>
            </w:r>
            <w:r w:rsidRPr="00226AA9">
              <w:rPr>
                <w:rFonts w:cs="Calibri"/>
                <w:lang w:val="en-US"/>
              </w:rPr>
              <w:t>Little</w:t>
            </w:r>
          </w:p>
          <w:p w:rsidR="00226AA9" w:rsidRPr="00226AA9" w:rsidRDefault="00226AA9" w:rsidP="00226AA9">
            <w:pPr>
              <w:rPr>
                <w:rFonts w:cs="Calibri"/>
                <w:lang w:val="en-US"/>
              </w:rPr>
            </w:pPr>
            <w:r w:rsidRPr="00226AA9">
              <w:rPr>
                <w:rFonts w:cs="Calibri"/>
                <w:lang w:val="en-US"/>
              </w:rPr>
              <w:t xml:space="preserve">Chairperson </w:t>
            </w:r>
          </w:p>
          <w:p w:rsidR="00226AA9" w:rsidRDefault="00226AA9" w:rsidP="00226AA9">
            <w:r w:rsidRPr="00226AA9">
              <w:rPr>
                <w:rFonts w:cs="Calibri"/>
                <w:lang w:val="en-US"/>
              </w:rPr>
              <w:t>Australian Capital</w:t>
            </w:r>
            <w:r>
              <w:t xml:space="preserve"> Territory Aboriginal and Torres Strait Islander </w:t>
            </w:r>
            <w:r w:rsidR="00323080">
              <w:t xml:space="preserve">Elected Body </w:t>
            </w:r>
          </w:p>
          <w:p w:rsidR="00226AA9" w:rsidRDefault="00226AA9" w:rsidP="00226AA9"/>
        </w:tc>
      </w:tr>
      <w:tr w:rsidR="00226AA9" w:rsidTr="00226AA9">
        <w:tc>
          <w:tcPr>
            <w:tcW w:w="675" w:type="dxa"/>
          </w:tcPr>
          <w:p w:rsidR="00226AA9" w:rsidRDefault="00226AA9" w:rsidP="00924579">
            <w:pPr>
              <w:pStyle w:val="Bodytextnonumbering"/>
              <w:keepNext w:val="0"/>
              <w:numPr>
                <w:ilvl w:val="0"/>
                <w:numId w:val="24"/>
              </w:numPr>
              <w:spacing w:before="0" w:after="0" w:line="240" w:lineRule="auto"/>
            </w:pPr>
          </w:p>
        </w:tc>
        <w:tc>
          <w:tcPr>
            <w:tcW w:w="8753" w:type="dxa"/>
          </w:tcPr>
          <w:p w:rsidR="00226AA9" w:rsidRDefault="00226AA9" w:rsidP="00226AA9">
            <w:pPr>
              <w:pStyle w:val="Bodytextnonumbering"/>
              <w:keepNext w:val="0"/>
              <w:spacing w:before="0" w:after="0" w:line="240" w:lineRule="auto"/>
            </w:pPr>
            <w:r>
              <w:t>Mr Stephen Sedgwick AO</w:t>
            </w:r>
          </w:p>
          <w:p w:rsidR="00226AA9" w:rsidRDefault="00226AA9" w:rsidP="00226AA9">
            <w:pPr>
              <w:pStyle w:val="Bodytextnonumbering"/>
              <w:keepNext w:val="0"/>
              <w:spacing w:before="0" w:after="0" w:line="240" w:lineRule="auto"/>
            </w:pPr>
            <w:r>
              <w:t>Australian Public Service Commissioner</w:t>
            </w:r>
          </w:p>
          <w:p w:rsidR="00226AA9" w:rsidRDefault="00226AA9" w:rsidP="00226AA9">
            <w:pPr>
              <w:pStyle w:val="Bodytextnonumbering"/>
              <w:keepNext w:val="0"/>
              <w:spacing w:before="0" w:after="0" w:line="240" w:lineRule="auto"/>
            </w:pPr>
            <w:r>
              <w:t>Australian Public Service Commission</w:t>
            </w:r>
          </w:p>
          <w:p w:rsidR="00226AA9" w:rsidRDefault="00226AA9" w:rsidP="00226AA9">
            <w:pPr>
              <w:pStyle w:val="Bodytextnonumbering"/>
              <w:keepNext w:val="0"/>
              <w:spacing w:before="0" w:after="0" w:line="240" w:lineRule="auto"/>
            </w:pPr>
          </w:p>
        </w:tc>
      </w:tr>
      <w:tr w:rsidR="00226AA9" w:rsidTr="00226AA9">
        <w:tc>
          <w:tcPr>
            <w:tcW w:w="675" w:type="dxa"/>
          </w:tcPr>
          <w:p w:rsidR="00226AA9" w:rsidRDefault="00226AA9" w:rsidP="00924579">
            <w:pPr>
              <w:pStyle w:val="Bodytextnonumbering"/>
              <w:keepNext w:val="0"/>
              <w:numPr>
                <w:ilvl w:val="0"/>
                <w:numId w:val="24"/>
              </w:numPr>
              <w:spacing w:before="0" w:after="0" w:line="240" w:lineRule="auto"/>
            </w:pPr>
          </w:p>
        </w:tc>
        <w:tc>
          <w:tcPr>
            <w:tcW w:w="8753" w:type="dxa"/>
          </w:tcPr>
          <w:p w:rsidR="00226AA9" w:rsidRDefault="00226AA9" w:rsidP="00226AA9">
            <w:pPr>
              <w:pStyle w:val="Bodytextnonumbering"/>
              <w:keepNext w:val="0"/>
              <w:spacing w:before="0" w:after="0" w:line="240" w:lineRule="auto"/>
            </w:pPr>
            <w:r>
              <w:t>Professor Matthew Gray</w:t>
            </w:r>
          </w:p>
          <w:p w:rsidR="00226AA9" w:rsidRDefault="00226AA9" w:rsidP="00226AA9">
            <w:pPr>
              <w:pStyle w:val="Bodytextnonumbering"/>
              <w:keepNext w:val="0"/>
              <w:spacing w:before="0" w:after="0" w:line="240" w:lineRule="auto"/>
            </w:pPr>
            <w:r>
              <w:t>Director</w:t>
            </w:r>
          </w:p>
          <w:p w:rsidR="00226AA9" w:rsidRDefault="00226AA9" w:rsidP="00226AA9">
            <w:pPr>
              <w:pStyle w:val="Bodytextnonumbering"/>
              <w:keepNext w:val="0"/>
              <w:spacing w:before="0" w:after="0" w:line="240" w:lineRule="auto"/>
            </w:pPr>
            <w:r>
              <w:t>Centre for Aboriginal Economic Policy Research, Australian National University</w:t>
            </w:r>
          </w:p>
          <w:p w:rsidR="00226AA9" w:rsidRDefault="00226AA9" w:rsidP="00226AA9">
            <w:pPr>
              <w:pStyle w:val="Bodytextnonumbering"/>
              <w:keepNext w:val="0"/>
              <w:spacing w:before="0" w:after="0" w:line="240" w:lineRule="auto"/>
            </w:pPr>
          </w:p>
        </w:tc>
      </w:tr>
      <w:tr w:rsidR="00226AA9" w:rsidTr="00226AA9">
        <w:tc>
          <w:tcPr>
            <w:tcW w:w="675" w:type="dxa"/>
          </w:tcPr>
          <w:p w:rsidR="00226AA9" w:rsidRDefault="00226AA9" w:rsidP="00924579">
            <w:pPr>
              <w:pStyle w:val="Bodytextnonumbering"/>
              <w:keepNext w:val="0"/>
              <w:numPr>
                <w:ilvl w:val="0"/>
                <w:numId w:val="24"/>
              </w:numPr>
              <w:spacing w:before="0" w:after="0" w:line="240" w:lineRule="auto"/>
            </w:pPr>
          </w:p>
        </w:tc>
        <w:tc>
          <w:tcPr>
            <w:tcW w:w="8753" w:type="dxa"/>
          </w:tcPr>
          <w:p w:rsidR="00226AA9" w:rsidRDefault="006F4183" w:rsidP="00226AA9">
            <w:pPr>
              <w:pStyle w:val="Bodytextnonumbering"/>
              <w:keepNext w:val="0"/>
              <w:spacing w:before="0" w:after="0" w:line="240" w:lineRule="auto"/>
            </w:pPr>
            <w:r>
              <w:t>Dr Kate Barnett</w:t>
            </w:r>
          </w:p>
          <w:p w:rsidR="006F4183" w:rsidRDefault="006F4183" w:rsidP="00226AA9">
            <w:pPr>
              <w:pStyle w:val="Bodytextnonumbering"/>
              <w:keepNext w:val="0"/>
              <w:spacing w:before="0" w:after="0" w:line="240" w:lineRule="auto"/>
            </w:pPr>
            <w:r>
              <w:t>Deputy Director</w:t>
            </w:r>
          </w:p>
          <w:p w:rsidR="006F4183" w:rsidRDefault="006F4183" w:rsidP="00226AA9">
            <w:pPr>
              <w:pStyle w:val="Bodytextnonumbering"/>
              <w:keepNext w:val="0"/>
              <w:spacing w:before="0" w:after="0" w:line="240" w:lineRule="auto"/>
            </w:pPr>
            <w:r>
              <w:t>Australian Workplace Innovation and Social Research Centre (WISeR)</w:t>
            </w:r>
          </w:p>
          <w:p w:rsidR="006F4183" w:rsidRDefault="006F4183" w:rsidP="00226AA9">
            <w:pPr>
              <w:pStyle w:val="Bodytextnonumbering"/>
              <w:keepNext w:val="0"/>
              <w:spacing w:before="0" w:after="0" w:line="240" w:lineRule="auto"/>
            </w:pPr>
            <w:r>
              <w:t>University of Adelaide</w:t>
            </w:r>
          </w:p>
          <w:p w:rsidR="006F4183" w:rsidRDefault="006F4183" w:rsidP="00226AA9">
            <w:pPr>
              <w:pStyle w:val="Bodytextnonumbering"/>
              <w:keepNext w:val="0"/>
              <w:spacing w:before="0" w:after="0" w:line="240" w:lineRule="auto"/>
            </w:pPr>
          </w:p>
        </w:tc>
      </w:tr>
    </w:tbl>
    <w:p w:rsidR="00D561BC" w:rsidRDefault="006F4183">
      <w:pPr>
        <w:pStyle w:val="Bodytextnonumbering"/>
        <w:keepNext w:val="0"/>
      </w:pPr>
      <w:r w:rsidRPr="00DD1363">
        <w:rPr>
          <w:b/>
          <w:i/>
        </w:rPr>
        <w:tab/>
        <w:t>Note</w:t>
      </w:r>
      <w:r w:rsidRPr="00DD1363">
        <w:rPr>
          <w:b/>
        </w:rPr>
        <w:t>:</w:t>
      </w:r>
      <w:r>
        <w:t xml:space="preserve">  Copies of submission are available on the Legislative Assembly website</w:t>
      </w:r>
      <w:r w:rsidR="00D561BC">
        <w:t>.</w:t>
      </w:r>
      <w:bookmarkEnd w:id="160"/>
      <w:bookmarkEnd w:id="161"/>
    </w:p>
    <w:p w:rsidR="00597C27" w:rsidRDefault="00597C27">
      <w:pPr>
        <w:pStyle w:val="Bodytextnonumbering"/>
        <w:keepNext w:val="0"/>
      </w:pPr>
      <w:r>
        <w:br w:type="page"/>
      </w:r>
    </w:p>
    <w:p w:rsidR="00D561BC" w:rsidRDefault="00D561BC">
      <w:pPr>
        <w:pStyle w:val="Bodytextnonumbering"/>
        <w:keepNext w:val="0"/>
      </w:pPr>
    </w:p>
    <w:p w:rsidR="005B60C2" w:rsidRDefault="005B60C2">
      <w:pPr>
        <w:pStyle w:val="Bodytextnonumbering"/>
        <w:keepNext w:val="0"/>
        <w:sectPr w:rsidR="005B60C2" w:rsidSect="00E629E2">
          <w:headerReference w:type="default" r:id="rId30"/>
          <w:type w:val="oddPage"/>
          <w:pgSz w:w="11907" w:h="16840" w:code="9"/>
          <w:pgMar w:top="1588" w:right="1418" w:bottom="1418" w:left="1418" w:header="720" w:footer="851" w:gutter="0"/>
          <w:cols w:space="720"/>
          <w:docGrid w:linePitch="360"/>
        </w:sectPr>
      </w:pPr>
    </w:p>
    <w:p w:rsidR="005B60C2" w:rsidRPr="00123676" w:rsidRDefault="005D2ACF" w:rsidP="005B60C2">
      <w:pPr>
        <w:pStyle w:val="AppendixHeading1"/>
        <w:rPr>
          <w:b w:val="0"/>
          <w:smallCaps w:val="0"/>
        </w:rPr>
      </w:pPr>
      <w:bookmarkStart w:id="162" w:name="_Toc383615061"/>
      <w:r>
        <w:rPr>
          <w:b w:val="0"/>
          <w:smallCaps w:val="0"/>
        </w:rPr>
        <w:t>List of witnesses and public hearings</w:t>
      </w:r>
      <w:bookmarkEnd w:id="162"/>
    </w:p>
    <w:p w:rsidR="00580AA4" w:rsidRDefault="00580AA4">
      <w:pPr>
        <w:pStyle w:val="Bodytextnonumbering"/>
        <w:keepNext w:val="0"/>
      </w:pPr>
    </w:p>
    <w:tbl>
      <w:tblPr>
        <w:tblStyle w:val="TableGrid"/>
        <w:tblW w:w="0" w:type="auto"/>
        <w:tblLook w:val="04A0"/>
      </w:tblPr>
      <w:tblGrid>
        <w:gridCol w:w="1668"/>
        <w:gridCol w:w="7619"/>
      </w:tblGrid>
      <w:tr w:rsidR="006F4183" w:rsidTr="00A86185">
        <w:tc>
          <w:tcPr>
            <w:tcW w:w="9287" w:type="dxa"/>
            <w:gridSpan w:val="2"/>
            <w:tcBorders>
              <w:top w:val="nil"/>
              <w:left w:val="nil"/>
              <w:bottom w:val="nil"/>
              <w:right w:val="nil"/>
            </w:tcBorders>
          </w:tcPr>
          <w:p w:rsidR="006F4183" w:rsidRPr="006F4183" w:rsidRDefault="006F4183" w:rsidP="006F4183">
            <w:pPr>
              <w:pStyle w:val="Bodytextnonumbering"/>
              <w:keepNext w:val="0"/>
              <w:spacing w:before="0" w:after="0" w:line="240" w:lineRule="auto"/>
              <w:rPr>
                <w:b/>
              </w:rPr>
            </w:pPr>
            <w:r w:rsidRPr="006F4183">
              <w:rPr>
                <w:b/>
              </w:rPr>
              <w:t>Wednesday, 11 December 2013</w:t>
            </w:r>
            <w:r>
              <w:rPr>
                <w:b/>
              </w:rPr>
              <w:t xml:space="preserve"> – Public hearing </w:t>
            </w:r>
          </w:p>
          <w:p w:rsidR="006F4183" w:rsidRDefault="006F4183" w:rsidP="006F4183">
            <w:pPr>
              <w:pStyle w:val="Bodytextnonumbering"/>
              <w:keepNext w:val="0"/>
              <w:spacing w:before="0" w:after="0" w:line="240" w:lineRule="auto"/>
            </w:pPr>
          </w:p>
        </w:tc>
      </w:tr>
      <w:tr w:rsidR="006F4183" w:rsidTr="00A86185">
        <w:tc>
          <w:tcPr>
            <w:tcW w:w="1668" w:type="dxa"/>
            <w:tcBorders>
              <w:top w:val="nil"/>
              <w:left w:val="nil"/>
              <w:bottom w:val="nil"/>
              <w:right w:val="nil"/>
            </w:tcBorders>
          </w:tcPr>
          <w:p w:rsidR="006F4183" w:rsidRDefault="006F4183">
            <w:pPr>
              <w:pStyle w:val="Bodytextnonumbering"/>
              <w:keepNext w:val="0"/>
            </w:pPr>
          </w:p>
        </w:tc>
        <w:tc>
          <w:tcPr>
            <w:tcW w:w="7619" w:type="dxa"/>
            <w:tcBorders>
              <w:top w:val="nil"/>
              <w:left w:val="nil"/>
              <w:bottom w:val="nil"/>
              <w:right w:val="nil"/>
            </w:tcBorders>
          </w:tcPr>
          <w:p w:rsidR="006F4183" w:rsidRDefault="006F4183" w:rsidP="006F4183">
            <w:pPr>
              <w:pStyle w:val="Bodytextnonumbering"/>
              <w:keepNext w:val="0"/>
              <w:spacing w:before="0" w:after="0" w:line="240" w:lineRule="auto"/>
            </w:pPr>
            <w:r>
              <w:t>Mr Gary Byles</w:t>
            </w:r>
          </w:p>
          <w:p w:rsidR="006F4183" w:rsidRDefault="006F4183" w:rsidP="006F4183">
            <w:pPr>
              <w:pStyle w:val="Bodytextnonumbering"/>
              <w:keepNext w:val="0"/>
              <w:spacing w:before="0" w:after="0" w:line="240" w:lineRule="auto"/>
            </w:pPr>
            <w:r>
              <w:t>Acting Head of Service</w:t>
            </w:r>
          </w:p>
          <w:p w:rsidR="006F4183" w:rsidRDefault="006F4183" w:rsidP="006F4183">
            <w:pPr>
              <w:pStyle w:val="Bodytextnonumbering"/>
              <w:keepNext w:val="0"/>
              <w:spacing w:before="0" w:after="0" w:line="240" w:lineRule="auto"/>
            </w:pPr>
            <w:r>
              <w:t xml:space="preserve">ACT Public Service </w:t>
            </w:r>
          </w:p>
          <w:p w:rsidR="006F4183" w:rsidRDefault="006F4183" w:rsidP="006F4183">
            <w:pPr>
              <w:pStyle w:val="Bodytextnonumbering"/>
              <w:keepNext w:val="0"/>
              <w:spacing w:before="0" w:after="0" w:line="240" w:lineRule="auto"/>
            </w:pPr>
          </w:p>
          <w:p w:rsidR="006F4183" w:rsidRDefault="006F4183" w:rsidP="006F4183">
            <w:pPr>
              <w:pStyle w:val="Bodytextnonumbering"/>
              <w:keepNext w:val="0"/>
              <w:spacing w:before="0" w:after="0" w:line="240" w:lineRule="auto"/>
            </w:pPr>
            <w:r>
              <w:t>Mr Andrew Kefford</w:t>
            </w:r>
          </w:p>
          <w:p w:rsidR="006F4183" w:rsidRDefault="006F4183" w:rsidP="006F4183">
            <w:pPr>
              <w:pStyle w:val="Bodytextnonumbering"/>
              <w:keepNext w:val="0"/>
              <w:spacing w:before="0" w:after="0" w:line="240" w:lineRule="auto"/>
            </w:pPr>
            <w:r>
              <w:t>Commissioner for Public Administration</w:t>
            </w:r>
          </w:p>
          <w:p w:rsidR="006F4183" w:rsidRDefault="006F4183" w:rsidP="006F4183">
            <w:pPr>
              <w:pStyle w:val="Bodytextnonumbering"/>
              <w:keepNext w:val="0"/>
              <w:spacing w:before="0" w:after="0" w:line="240" w:lineRule="auto"/>
            </w:pPr>
            <w:r>
              <w:t xml:space="preserve">ACT Public Service </w:t>
            </w:r>
          </w:p>
          <w:p w:rsidR="006F4183" w:rsidRDefault="006F4183" w:rsidP="006F4183">
            <w:pPr>
              <w:pStyle w:val="Bodytextnonumbering"/>
              <w:keepNext w:val="0"/>
              <w:spacing w:before="0" w:after="0" w:line="240" w:lineRule="auto"/>
            </w:pPr>
          </w:p>
          <w:p w:rsidR="006F4183" w:rsidRDefault="006F4183" w:rsidP="006F4183">
            <w:pPr>
              <w:pStyle w:val="Bodytextnonumbering"/>
              <w:keepNext w:val="0"/>
              <w:spacing w:before="0" w:after="0" w:line="240" w:lineRule="auto"/>
            </w:pPr>
            <w:r>
              <w:t>Ms Robyn Forester</w:t>
            </w:r>
          </w:p>
          <w:p w:rsidR="006F4183" w:rsidRDefault="006F4183" w:rsidP="006F4183">
            <w:pPr>
              <w:pStyle w:val="Bodytextnonumbering"/>
              <w:keepNext w:val="0"/>
              <w:spacing w:before="0" w:after="0" w:line="240" w:lineRule="auto"/>
            </w:pPr>
            <w:r>
              <w:t>Director</w:t>
            </w:r>
          </w:p>
          <w:p w:rsidR="006F4183" w:rsidRDefault="006F4183" w:rsidP="006F4183">
            <w:pPr>
              <w:pStyle w:val="Bodytextnonumbering"/>
              <w:keepNext w:val="0"/>
              <w:spacing w:before="0" w:after="0" w:line="240" w:lineRule="auto"/>
            </w:pPr>
            <w:r>
              <w:t>Office for Aboriginal and Torres Strait Islander Affairs</w:t>
            </w:r>
          </w:p>
          <w:p w:rsidR="006F4183" w:rsidRDefault="006F4183" w:rsidP="006F4183">
            <w:pPr>
              <w:pStyle w:val="Bodytextnonumbering"/>
              <w:keepNext w:val="0"/>
              <w:spacing w:before="0" w:after="0" w:line="240" w:lineRule="auto"/>
            </w:pPr>
            <w:r>
              <w:t>Community Services Directorate</w:t>
            </w:r>
          </w:p>
          <w:p w:rsidR="006F4183" w:rsidRDefault="006F4183" w:rsidP="006F4183">
            <w:pPr>
              <w:pStyle w:val="Bodytextnonumbering"/>
              <w:keepNext w:val="0"/>
              <w:spacing w:before="0" w:after="0" w:line="240" w:lineRule="auto"/>
            </w:pPr>
          </w:p>
        </w:tc>
      </w:tr>
      <w:tr w:rsidR="006F4183" w:rsidTr="00A86185">
        <w:tc>
          <w:tcPr>
            <w:tcW w:w="1668" w:type="dxa"/>
            <w:tcBorders>
              <w:top w:val="nil"/>
              <w:left w:val="nil"/>
              <w:bottom w:val="nil"/>
              <w:right w:val="nil"/>
            </w:tcBorders>
          </w:tcPr>
          <w:p w:rsidR="006F4183" w:rsidRDefault="006F4183">
            <w:pPr>
              <w:pStyle w:val="Bodytextnonumbering"/>
              <w:keepNext w:val="0"/>
            </w:pPr>
          </w:p>
        </w:tc>
        <w:tc>
          <w:tcPr>
            <w:tcW w:w="7619" w:type="dxa"/>
            <w:tcBorders>
              <w:top w:val="nil"/>
              <w:left w:val="nil"/>
              <w:bottom w:val="nil"/>
              <w:right w:val="nil"/>
            </w:tcBorders>
          </w:tcPr>
          <w:p w:rsidR="006F4183" w:rsidRDefault="006F4183" w:rsidP="006F4183">
            <w:pPr>
              <w:pStyle w:val="Bodytextnonumbering"/>
              <w:keepNext w:val="0"/>
              <w:spacing w:before="0" w:after="0" w:line="240" w:lineRule="auto"/>
            </w:pPr>
            <w:r>
              <w:t>Mr Brendan Church</w:t>
            </w:r>
          </w:p>
          <w:p w:rsidR="006F4183" w:rsidRDefault="006F4183" w:rsidP="006F4183">
            <w:pPr>
              <w:pStyle w:val="Bodytextnonumbering"/>
              <w:keepNext w:val="0"/>
              <w:spacing w:before="0" w:after="0" w:line="240" w:lineRule="auto"/>
            </w:pPr>
            <w:r>
              <w:t>Member</w:t>
            </w:r>
          </w:p>
          <w:p w:rsidR="006F4183" w:rsidRDefault="006F4183" w:rsidP="006F4183">
            <w:pPr>
              <w:pStyle w:val="Bodytextnonumbering"/>
              <w:keepNext w:val="0"/>
              <w:spacing w:before="0" w:after="0" w:line="240" w:lineRule="auto"/>
            </w:pPr>
            <w:r>
              <w:t xml:space="preserve">ACT Aboriginal and Torres Strait Islander </w:t>
            </w:r>
            <w:r w:rsidR="00323080">
              <w:t xml:space="preserve">Elected Body </w:t>
            </w:r>
          </w:p>
          <w:p w:rsidR="006F4183" w:rsidRDefault="006F4183" w:rsidP="006F4183">
            <w:pPr>
              <w:pStyle w:val="Bodytextnonumbering"/>
              <w:keepNext w:val="0"/>
              <w:spacing w:before="0" w:after="0" w:line="240" w:lineRule="auto"/>
            </w:pPr>
          </w:p>
          <w:p w:rsidR="006F4183" w:rsidRDefault="006F4183" w:rsidP="006F4183">
            <w:pPr>
              <w:pStyle w:val="Bodytextnonumbering"/>
              <w:keepNext w:val="0"/>
              <w:spacing w:before="0" w:after="0" w:line="240" w:lineRule="auto"/>
            </w:pPr>
            <w:r>
              <w:t xml:space="preserve">Ms Roslyn Brown </w:t>
            </w:r>
          </w:p>
          <w:p w:rsidR="006F4183" w:rsidRDefault="006F4183" w:rsidP="006F4183">
            <w:pPr>
              <w:pStyle w:val="Bodytextnonumbering"/>
              <w:keepNext w:val="0"/>
              <w:spacing w:before="0" w:after="0" w:line="240" w:lineRule="auto"/>
            </w:pPr>
            <w:r>
              <w:t>Member</w:t>
            </w:r>
          </w:p>
          <w:p w:rsidR="006F4183" w:rsidRDefault="006F4183" w:rsidP="006F4183">
            <w:pPr>
              <w:pStyle w:val="Bodytextnonumbering"/>
              <w:keepNext w:val="0"/>
              <w:spacing w:before="0" w:after="0" w:line="240" w:lineRule="auto"/>
            </w:pPr>
            <w:r>
              <w:t xml:space="preserve">ACT Aboriginal and Torres Strait Islander </w:t>
            </w:r>
            <w:r w:rsidR="00323080">
              <w:t xml:space="preserve">Elected Body </w:t>
            </w:r>
          </w:p>
          <w:p w:rsidR="006F4183" w:rsidRDefault="006F4183" w:rsidP="006F4183">
            <w:pPr>
              <w:pStyle w:val="Bodytextnonumbering"/>
              <w:keepNext w:val="0"/>
              <w:spacing w:before="0" w:after="0" w:line="240" w:lineRule="auto"/>
            </w:pPr>
          </w:p>
        </w:tc>
      </w:tr>
      <w:tr w:rsidR="006F4183" w:rsidTr="00A86185">
        <w:tc>
          <w:tcPr>
            <w:tcW w:w="1668" w:type="dxa"/>
            <w:tcBorders>
              <w:top w:val="nil"/>
              <w:left w:val="nil"/>
              <w:bottom w:val="nil"/>
              <w:right w:val="nil"/>
            </w:tcBorders>
          </w:tcPr>
          <w:p w:rsidR="006F4183" w:rsidRDefault="006F4183">
            <w:pPr>
              <w:pStyle w:val="Bodytextnonumbering"/>
              <w:keepNext w:val="0"/>
            </w:pPr>
          </w:p>
        </w:tc>
        <w:tc>
          <w:tcPr>
            <w:tcW w:w="7619" w:type="dxa"/>
            <w:tcBorders>
              <w:top w:val="nil"/>
              <w:left w:val="nil"/>
              <w:bottom w:val="nil"/>
              <w:right w:val="nil"/>
            </w:tcBorders>
          </w:tcPr>
          <w:p w:rsidR="006F4183" w:rsidRDefault="006F4183" w:rsidP="006F4183">
            <w:pPr>
              <w:pStyle w:val="Bodytextnonumbering"/>
              <w:keepNext w:val="0"/>
              <w:spacing w:before="0" w:after="0" w:line="240" w:lineRule="auto"/>
            </w:pPr>
            <w:r>
              <w:t>Dr Kate Barnett</w:t>
            </w:r>
          </w:p>
          <w:p w:rsidR="006F4183" w:rsidRDefault="006F4183" w:rsidP="006F4183">
            <w:pPr>
              <w:pStyle w:val="Bodytextnonumbering"/>
              <w:keepNext w:val="0"/>
              <w:spacing w:before="0" w:after="0" w:line="240" w:lineRule="auto"/>
            </w:pPr>
            <w:r>
              <w:t>Deputy Director</w:t>
            </w:r>
          </w:p>
          <w:p w:rsidR="006F4183" w:rsidRDefault="006F4183" w:rsidP="006F4183">
            <w:pPr>
              <w:pStyle w:val="Bodytextnonumbering"/>
              <w:keepNext w:val="0"/>
              <w:spacing w:before="0" w:after="0" w:line="240" w:lineRule="auto"/>
            </w:pPr>
            <w:r>
              <w:t>Australian Workplace Innovation and Social Research Centre (WISeR)</w:t>
            </w:r>
          </w:p>
          <w:p w:rsidR="006F4183" w:rsidRDefault="006F4183" w:rsidP="006F4183">
            <w:pPr>
              <w:pStyle w:val="Bodytextnonumbering"/>
              <w:keepNext w:val="0"/>
              <w:spacing w:before="0" w:after="0" w:line="240" w:lineRule="auto"/>
            </w:pPr>
            <w:r>
              <w:t>University of Adelaide</w:t>
            </w:r>
          </w:p>
          <w:p w:rsidR="006F4183" w:rsidRDefault="006F4183" w:rsidP="006F4183">
            <w:pPr>
              <w:pStyle w:val="Bodytextnonumbering"/>
              <w:keepNext w:val="0"/>
              <w:spacing w:before="0" w:after="0" w:line="240" w:lineRule="auto"/>
            </w:pPr>
          </w:p>
        </w:tc>
      </w:tr>
      <w:tr w:rsidR="006F4183" w:rsidTr="00A86185">
        <w:tc>
          <w:tcPr>
            <w:tcW w:w="9287" w:type="dxa"/>
            <w:gridSpan w:val="2"/>
            <w:tcBorders>
              <w:top w:val="nil"/>
              <w:left w:val="nil"/>
              <w:bottom w:val="nil"/>
              <w:right w:val="nil"/>
            </w:tcBorders>
          </w:tcPr>
          <w:p w:rsidR="006F4183" w:rsidRPr="006F4183" w:rsidRDefault="006F4183" w:rsidP="006F4183">
            <w:pPr>
              <w:pStyle w:val="Bodytextnonumbering"/>
              <w:keepNext w:val="0"/>
              <w:spacing w:before="0" w:after="0" w:line="240" w:lineRule="auto"/>
              <w:rPr>
                <w:b/>
              </w:rPr>
            </w:pPr>
            <w:r>
              <w:rPr>
                <w:b/>
              </w:rPr>
              <w:t>Thursday, 12</w:t>
            </w:r>
            <w:r w:rsidRPr="006F4183">
              <w:rPr>
                <w:b/>
              </w:rPr>
              <w:t xml:space="preserve"> December 2013</w:t>
            </w:r>
            <w:r>
              <w:rPr>
                <w:b/>
              </w:rPr>
              <w:t xml:space="preserve"> – Public hearing </w:t>
            </w:r>
          </w:p>
          <w:p w:rsidR="006F4183" w:rsidRDefault="006F4183" w:rsidP="006F4183">
            <w:pPr>
              <w:pStyle w:val="Bodytextnonumbering"/>
              <w:keepNext w:val="0"/>
              <w:spacing w:before="0" w:after="0" w:line="240" w:lineRule="auto"/>
            </w:pPr>
          </w:p>
        </w:tc>
      </w:tr>
      <w:tr w:rsidR="006F4183" w:rsidTr="00A86185">
        <w:tc>
          <w:tcPr>
            <w:tcW w:w="1668" w:type="dxa"/>
            <w:tcBorders>
              <w:top w:val="nil"/>
              <w:left w:val="nil"/>
              <w:bottom w:val="nil"/>
              <w:right w:val="nil"/>
            </w:tcBorders>
          </w:tcPr>
          <w:p w:rsidR="006F4183" w:rsidRDefault="006F4183">
            <w:pPr>
              <w:pStyle w:val="Bodytextnonumbering"/>
              <w:keepNext w:val="0"/>
            </w:pPr>
          </w:p>
        </w:tc>
        <w:tc>
          <w:tcPr>
            <w:tcW w:w="7619" w:type="dxa"/>
            <w:tcBorders>
              <w:top w:val="nil"/>
              <w:left w:val="nil"/>
              <w:bottom w:val="nil"/>
              <w:right w:val="nil"/>
            </w:tcBorders>
          </w:tcPr>
          <w:p w:rsidR="006F4183" w:rsidRDefault="006F4183" w:rsidP="006F4183">
            <w:pPr>
              <w:pStyle w:val="Bodytextnonumbering"/>
              <w:keepNext w:val="0"/>
              <w:spacing w:before="0" w:after="0" w:line="240" w:lineRule="auto"/>
            </w:pPr>
            <w:r>
              <w:t>Professor Matthew Gray</w:t>
            </w:r>
          </w:p>
          <w:p w:rsidR="006F4183" w:rsidRDefault="006F4183" w:rsidP="006F4183">
            <w:pPr>
              <w:pStyle w:val="Bodytextnonumbering"/>
              <w:keepNext w:val="0"/>
              <w:spacing w:before="0" w:after="0" w:line="240" w:lineRule="auto"/>
            </w:pPr>
            <w:r>
              <w:t>Director</w:t>
            </w:r>
          </w:p>
          <w:p w:rsidR="00A37CE8" w:rsidRDefault="006F4183" w:rsidP="006F4183">
            <w:pPr>
              <w:pStyle w:val="Bodytextnonumbering"/>
              <w:keepNext w:val="0"/>
              <w:spacing w:before="0" w:after="0" w:line="240" w:lineRule="auto"/>
            </w:pPr>
            <w:r>
              <w:t>Centre for Aboriginal Economic Policy Research</w:t>
            </w:r>
          </w:p>
          <w:p w:rsidR="00A37CE8" w:rsidRPr="006F4183" w:rsidRDefault="00A37CE8" w:rsidP="00A37CE8">
            <w:r w:rsidRPr="006F4183">
              <w:t xml:space="preserve">College </w:t>
            </w:r>
            <w:r>
              <w:t xml:space="preserve">of the </w:t>
            </w:r>
            <w:r w:rsidRPr="006F4183">
              <w:t>Arts And Social Sciences</w:t>
            </w:r>
          </w:p>
          <w:p w:rsidR="006F4183" w:rsidRDefault="006F4183" w:rsidP="006F4183">
            <w:pPr>
              <w:pStyle w:val="Bodytextnonumbering"/>
              <w:keepNext w:val="0"/>
              <w:spacing w:before="0" w:after="0" w:line="240" w:lineRule="auto"/>
            </w:pPr>
            <w:r>
              <w:t>Australian National University</w:t>
            </w:r>
          </w:p>
          <w:p w:rsidR="006F4183" w:rsidRDefault="006F4183" w:rsidP="006F4183">
            <w:pPr>
              <w:pStyle w:val="Bodytextnonumbering"/>
              <w:keepNext w:val="0"/>
              <w:spacing w:before="0" w:after="0" w:line="240" w:lineRule="auto"/>
            </w:pPr>
          </w:p>
        </w:tc>
      </w:tr>
      <w:tr w:rsidR="006F4183" w:rsidTr="00A86185">
        <w:tc>
          <w:tcPr>
            <w:tcW w:w="1668" w:type="dxa"/>
            <w:tcBorders>
              <w:top w:val="nil"/>
              <w:left w:val="nil"/>
              <w:bottom w:val="nil"/>
              <w:right w:val="nil"/>
            </w:tcBorders>
          </w:tcPr>
          <w:p w:rsidR="006F4183" w:rsidRDefault="006F4183">
            <w:pPr>
              <w:pStyle w:val="Bodytextnonumbering"/>
              <w:keepNext w:val="0"/>
            </w:pPr>
          </w:p>
        </w:tc>
        <w:tc>
          <w:tcPr>
            <w:tcW w:w="7619" w:type="dxa"/>
            <w:tcBorders>
              <w:top w:val="nil"/>
              <w:left w:val="nil"/>
              <w:bottom w:val="nil"/>
              <w:right w:val="nil"/>
            </w:tcBorders>
          </w:tcPr>
          <w:p w:rsidR="006F4183" w:rsidRDefault="006F4183" w:rsidP="006F4183">
            <w:pPr>
              <w:pStyle w:val="Bodytextnonumbering"/>
              <w:keepNext w:val="0"/>
              <w:spacing w:before="0" w:after="0" w:line="240" w:lineRule="auto"/>
            </w:pPr>
            <w:r>
              <w:t>Ms Rachelle Towart</w:t>
            </w:r>
          </w:p>
          <w:p w:rsidR="006F4183" w:rsidRDefault="006F4183" w:rsidP="006F4183">
            <w:pPr>
              <w:pStyle w:val="Bodytextnonumbering"/>
              <w:keepNext w:val="0"/>
              <w:spacing w:before="0" w:after="0" w:line="240" w:lineRule="auto"/>
            </w:pPr>
            <w:r>
              <w:t xml:space="preserve">Chief Executive Officer </w:t>
            </w:r>
          </w:p>
          <w:p w:rsidR="006F4183" w:rsidRDefault="006F4183" w:rsidP="006F4183">
            <w:pPr>
              <w:pStyle w:val="Bodytextnonumbering"/>
              <w:keepNext w:val="0"/>
              <w:spacing w:before="0" w:after="0" w:line="240" w:lineRule="auto"/>
            </w:pPr>
            <w:r>
              <w:t>Australian Indigenous Leadership Centre</w:t>
            </w:r>
          </w:p>
          <w:p w:rsidR="006F4183" w:rsidRDefault="006F4183" w:rsidP="006F4183">
            <w:pPr>
              <w:pStyle w:val="Bodytextnonumbering"/>
              <w:keepNext w:val="0"/>
              <w:spacing w:before="0" w:after="0" w:line="240" w:lineRule="auto"/>
            </w:pPr>
          </w:p>
        </w:tc>
      </w:tr>
    </w:tbl>
    <w:p w:rsidR="00A37CE8" w:rsidRDefault="00A37CE8"/>
    <w:p w:rsidR="00A37CE8" w:rsidRDefault="00A37CE8"/>
    <w:p w:rsidR="00A37CE8" w:rsidRDefault="00A37CE8"/>
    <w:p w:rsidR="00A37CE8" w:rsidRDefault="00A37CE8"/>
    <w:p w:rsidR="00A37CE8" w:rsidRDefault="00A37CE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7619"/>
      </w:tblGrid>
      <w:tr w:rsidR="006F4183" w:rsidTr="00A86185">
        <w:tc>
          <w:tcPr>
            <w:tcW w:w="9287" w:type="dxa"/>
            <w:gridSpan w:val="2"/>
          </w:tcPr>
          <w:p w:rsidR="006F4183" w:rsidRDefault="006F4183" w:rsidP="006F4183">
            <w:pPr>
              <w:pStyle w:val="Bodytextnonumbering"/>
              <w:keepNext w:val="0"/>
              <w:spacing w:before="0" w:after="0" w:line="240" w:lineRule="auto"/>
              <w:rPr>
                <w:b/>
              </w:rPr>
            </w:pPr>
            <w:r w:rsidRPr="006F4183">
              <w:rPr>
                <w:b/>
              </w:rPr>
              <w:t xml:space="preserve">Thursday, 12 December 2013 – </w:t>
            </w:r>
            <w:r>
              <w:rPr>
                <w:b/>
              </w:rPr>
              <w:t>Roundtable discussion</w:t>
            </w:r>
          </w:p>
          <w:p w:rsidR="00A37CE8" w:rsidRDefault="00A37CE8" w:rsidP="006F4183">
            <w:pPr>
              <w:pStyle w:val="Bodytextnonumbering"/>
              <w:keepNext w:val="0"/>
              <w:spacing w:before="0" w:after="0" w:line="240" w:lineRule="auto"/>
            </w:pPr>
          </w:p>
        </w:tc>
      </w:tr>
      <w:tr w:rsidR="006F4183" w:rsidTr="00A86185">
        <w:tc>
          <w:tcPr>
            <w:tcW w:w="1668" w:type="dxa"/>
          </w:tcPr>
          <w:p w:rsidR="006F4183" w:rsidRDefault="006F4183">
            <w:pPr>
              <w:pStyle w:val="Bodytextnonumbering"/>
              <w:keepNext w:val="0"/>
            </w:pPr>
          </w:p>
        </w:tc>
        <w:tc>
          <w:tcPr>
            <w:tcW w:w="7619" w:type="dxa"/>
          </w:tcPr>
          <w:p w:rsidR="00A37CE8" w:rsidRDefault="00A37CE8" w:rsidP="006F4183">
            <w:r>
              <w:t xml:space="preserve">Mr Darren </w:t>
            </w:r>
            <w:r w:rsidRPr="006F4183">
              <w:t>Chong</w:t>
            </w:r>
          </w:p>
          <w:p w:rsidR="00A37CE8" w:rsidRDefault="00A37CE8" w:rsidP="006F4183">
            <w:r w:rsidRPr="006F4183">
              <w:t>Aboriginal Natural Resource Management Facilitator</w:t>
            </w:r>
          </w:p>
          <w:p w:rsidR="00A37CE8" w:rsidRDefault="00A37CE8" w:rsidP="006F4183">
            <w:r w:rsidRPr="006F4183">
              <w:t>Environment And Sustainable Development Directorate</w:t>
            </w:r>
            <w:r w:rsidRPr="006F4183">
              <w:tab/>
            </w:r>
          </w:p>
          <w:p w:rsidR="00A37CE8" w:rsidRDefault="00A37CE8" w:rsidP="006F4183"/>
          <w:p w:rsidR="00A37CE8" w:rsidRDefault="00A37CE8" w:rsidP="006F4183">
            <w:r w:rsidRPr="006F4183">
              <w:t>Ms Zuzette</w:t>
            </w:r>
            <w:r>
              <w:t xml:space="preserve"> Fahey</w:t>
            </w:r>
          </w:p>
          <w:p w:rsidR="00A37CE8" w:rsidRDefault="00A37CE8" w:rsidP="006F4183">
            <w:r w:rsidRPr="006F4183">
              <w:t>Indigenous Education Officer</w:t>
            </w:r>
          </w:p>
          <w:p w:rsidR="006F4183" w:rsidRPr="006F4183" w:rsidRDefault="00A37CE8" w:rsidP="006F4183">
            <w:r>
              <w:t>Melba High School</w:t>
            </w:r>
            <w:r>
              <w:tab/>
            </w:r>
          </w:p>
          <w:p w:rsidR="00A37CE8" w:rsidRDefault="00A37CE8" w:rsidP="006F4183"/>
          <w:p w:rsidR="00A37CE8" w:rsidRDefault="00A37CE8" w:rsidP="006F4183">
            <w:r>
              <w:t xml:space="preserve">Ms Anna </w:t>
            </w:r>
            <w:r w:rsidRPr="006F4183">
              <w:t>Fraser</w:t>
            </w:r>
          </w:p>
          <w:p w:rsidR="00A37CE8" w:rsidRDefault="00A37CE8" w:rsidP="006F4183">
            <w:r w:rsidRPr="006F4183">
              <w:t>Administration Support Officer</w:t>
            </w:r>
          </w:p>
          <w:p w:rsidR="006F4183" w:rsidRDefault="00A37CE8" w:rsidP="006F4183">
            <w:r>
              <w:t>ACT Human Rights Commission</w:t>
            </w:r>
            <w:r>
              <w:tab/>
            </w:r>
          </w:p>
          <w:p w:rsidR="00A37CE8" w:rsidRPr="006F4183" w:rsidRDefault="00A37CE8" w:rsidP="006F4183"/>
          <w:p w:rsidR="00A37CE8" w:rsidRDefault="00A37CE8" w:rsidP="006F4183">
            <w:r w:rsidRPr="006F4183">
              <w:t>Mrs Lynette</w:t>
            </w:r>
            <w:r>
              <w:t xml:space="preserve"> Graham</w:t>
            </w:r>
          </w:p>
          <w:p w:rsidR="00A37CE8" w:rsidRDefault="00A37CE8" w:rsidP="006F4183">
            <w:r w:rsidRPr="006F4183">
              <w:t>Case Worker</w:t>
            </w:r>
          </w:p>
          <w:p w:rsidR="00A37CE8" w:rsidRDefault="00A37CE8" w:rsidP="006F4183">
            <w:r w:rsidRPr="006F4183">
              <w:t>Care And Protection Services</w:t>
            </w:r>
          </w:p>
          <w:p w:rsidR="00A37CE8" w:rsidRDefault="00A37CE8" w:rsidP="006F4183">
            <w:r w:rsidRPr="006F4183">
              <w:t>Community Services Directorate</w:t>
            </w:r>
          </w:p>
          <w:p w:rsidR="00A37CE8" w:rsidRDefault="00A37CE8" w:rsidP="006F4183"/>
          <w:p w:rsidR="00A37CE8" w:rsidRDefault="00A37CE8" w:rsidP="006F4183">
            <w:r w:rsidRPr="006F4183">
              <w:t>Ms Veronica</w:t>
            </w:r>
            <w:r>
              <w:t xml:space="preserve"> Jordan</w:t>
            </w:r>
          </w:p>
          <w:p w:rsidR="00A37CE8" w:rsidRDefault="00A37CE8" w:rsidP="006F4183">
            <w:r w:rsidRPr="006F4183">
              <w:t>Community And Visitor Programs</w:t>
            </w:r>
          </w:p>
          <w:p w:rsidR="006F4183" w:rsidRDefault="00A37CE8" w:rsidP="006F4183">
            <w:r w:rsidRPr="006F4183">
              <w:t>Territory</w:t>
            </w:r>
            <w:r>
              <w:t xml:space="preserve"> and</w:t>
            </w:r>
            <w:r w:rsidRPr="006F4183">
              <w:t xml:space="preserve"> Municipal Services</w:t>
            </w:r>
            <w:r>
              <w:t xml:space="preserve"> Directorate</w:t>
            </w:r>
          </w:p>
          <w:p w:rsidR="00A37CE8" w:rsidRPr="006F4183" w:rsidRDefault="00A37CE8" w:rsidP="006F4183"/>
          <w:p w:rsidR="00A37CE8" w:rsidRDefault="00A37CE8" w:rsidP="006F4183">
            <w:r w:rsidRPr="006F4183">
              <w:t>Ms Deanne</w:t>
            </w:r>
            <w:r>
              <w:t xml:space="preserve"> Keed</w:t>
            </w:r>
          </w:p>
          <w:p w:rsidR="00A37CE8" w:rsidRDefault="00A37CE8" w:rsidP="006F4183">
            <w:r w:rsidRPr="006F4183">
              <w:t xml:space="preserve">Justice </w:t>
            </w:r>
            <w:r>
              <w:t>a</w:t>
            </w:r>
            <w:r w:rsidRPr="006F4183">
              <w:t>nd Community Safety</w:t>
            </w:r>
            <w:r>
              <w:t xml:space="preserve"> Directorate</w:t>
            </w:r>
          </w:p>
          <w:p w:rsidR="006F4183" w:rsidRPr="006F4183" w:rsidRDefault="006F4183" w:rsidP="006F4183"/>
          <w:p w:rsidR="00A37CE8" w:rsidRDefault="00A37CE8" w:rsidP="006F4183">
            <w:r>
              <w:t>Ms Tanya Keed</w:t>
            </w:r>
          </w:p>
          <w:p w:rsidR="00A37CE8" w:rsidRDefault="00A37CE8" w:rsidP="006F4183">
            <w:r w:rsidRPr="006F4183">
              <w:t>Indigenous Probation And Parole Officer</w:t>
            </w:r>
          </w:p>
          <w:p w:rsidR="00A37CE8" w:rsidRDefault="00A37CE8" w:rsidP="006F4183">
            <w:r>
              <w:t xml:space="preserve">ACT </w:t>
            </w:r>
            <w:r w:rsidRPr="006F4183">
              <w:t>Corrective Services</w:t>
            </w:r>
          </w:p>
          <w:p w:rsidR="00A37CE8" w:rsidRDefault="00A37CE8" w:rsidP="006F4183">
            <w:r>
              <w:t xml:space="preserve">Justice and Community Service Directorate </w:t>
            </w:r>
          </w:p>
          <w:p w:rsidR="006F4183" w:rsidRPr="006F4183" w:rsidRDefault="006F4183" w:rsidP="006F4183"/>
          <w:p w:rsidR="00A37CE8" w:rsidRDefault="00A37CE8" w:rsidP="006F4183">
            <w:r w:rsidRPr="006F4183">
              <w:t>Ms Rae</w:t>
            </w:r>
            <w:r>
              <w:t xml:space="preserve"> Lacey</w:t>
            </w:r>
          </w:p>
          <w:p w:rsidR="00A37CE8" w:rsidRDefault="00A37CE8" w:rsidP="006F4183">
            <w:r w:rsidRPr="006F4183">
              <w:t>Indigenous Liaison Officer</w:t>
            </w:r>
          </w:p>
          <w:p w:rsidR="00A37CE8" w:rsidRDefault="00A37CE8" w:rsidP="006F4183">
            <w:r>
              <w:t>ACT</w:t>
            </w:r>
            <w:r w:rsidRPr="006F4183">
              <w:t xml:space="preserve"> Corrective Services</w:t>
            </w:r>
          </w:p>
          <w:p w:rsidR="00A37CE8" w:rsidRDefault="00A37CE8" w:rsidP="00A37CE8">
            <w:r>
              <w:t xml:space="preserve">Justice and Community Service Directorate </w:t>
            </w:r>
          </w:p>
          <w:p w:rsidR="006F4183" w:rsidRPr="006F4183" w:rsidRDefault="006F4183" w:rsidP="006F4183"/>
          <w:p w:rsidR="00A37CE8" w:rsidRDefault="00A37CE8" w:rsidP="006F4183">
            <w:r>
              <w:t xml:space="preserve">Mr Phill </w:t>
            </w:r>
            <w:r w:rsidRPr="006F4183">
              <w:t>Nean</w:t>
            </w:r>
          </w:p>
          <w:p w:rsidR="00A37CE8" w:rsidRDefault="00A37CE8" w:rsidP="006F4183">
            <w:r w:rsidRPr="006F4183">
              <w:t>Senior Manager</w:t>
            </w:r>
          </w:p>
          <w:p w:rsidR="00A37CE8" w:rsidRDefault="00A37CE8" w:rsidP="006F4183">
            <w:r w:rsidRPr="006F4183">
              <w:t xml:space="preserve">Aboriginal And Torres Strait Islander </w:t>
            </w:r>
            <w:r>
              <w:t>a</w:t>
            </w:r>
            <w:r w:rsidRPr="006F4183">
              <w:t>nd Student Education</w:t>
            </w:r>
          </w:p>
          <w:p w:rsidR="00A37CE8" w:rsidRDefault="00A37CE8" w:rsidP="006F4183">
            <w:r w:rsidRPr="006F4183">
              <w:t>Education And Training Directorate</w:t>
            </w:r>
          </w:p>
          <w:p w:rsidR="006F4183" w:rsidRPr="006F4183" w:rsidRDefault="006F4183" w:rsidP="006F4183"/>
          <w:p w:rsidR="00A37CE8" w:rsidRDefault="00A37CE8" w:rsidP="006F4183">
            <w:r>
              <w:t xml:space="preserve">Ms Ginibi </w:t>
            </w:r>
            <w:r w:rsidRPr="006F4183">
              <w:t>Robinson</w:t>
            </w:r>
          </w:p>
          <w:p w:rsidR="00A37CE8" w:rsidRDefault="00A37CE8" w:rsidP="006F4183">
            <w:r w:rsidRPr="006F4183">
              <w:t>Project Officer</w:t>
            </w:r>
          </w:p>
          <w:p w:rsidR="00A37CE8" w:rsidRDefault="00A37CE8" w:rsidP="006F4183">
            <w:r w:rsidRPr="006F4183">
              <w:t>Employee Relations</w:t>
            </w:r>
          </w:p>
          <w:p w:rsidR="006F4183" w:rsidRPr="006F4183" w:rsidRDefault="00A37CE8" w:rsidP="006F4183">
            <w:r w:rsidRPr="006F4183">
              <w:t>Education</w:t>
            </w:r>
            <w:r>
              <w:t xml:space="preserve"> And Training Directorate</w:t>
            </w:r>
          </w:p>
          <w:p w:rsidR="00A37CE8" w:rsidRDefault="00A37CE8" w:rsidP="006F4183"/>
          <w:p w:rsidR="00A37CE8" w:rsidRDefault="00A37CE8" w:rsidP="006F4183">
            <w:r w:rsidRPr="006F4183">
              <w:t>Mr Lyle</w:t>
            </w:r>
            <w:r>
              <w:t xml:space="preserve"> Swan</w:t>
            </w:r>
          </w:p>
          <w:p w:rsidR="00A37CE8" w:rsidRDefault="00A37CE8" w:rsidP="006F4183">
            <w:r w:rsidRPr="006F4183">
              <w:t>Indigenous Education Officer</w:t>
            </w:r>
          </w:p>
          <w:p w:rsidR="006F4183" w:rsidRPr="006F4183" w:rsidRDefault="00A37CE8" w:rsidP="006F4183">
            <w:r w:rsidRPr="006F4183">
              <w:t>Belconnen High School</w:t>
            </w:r>
          </w:p>
          <w:p w:rsidR="006F4183" w:rsidRDefault="006F4183" w:rsidP="006F4183">
            <w:pPr>
              <w:pStyle w:val="Bodytextnonumbering"/>
              <w:keepNext w:val="0"/>
              <w:spacing w:before="0" w:after="0" w:line="240" w:lineRule="auto"/>
            </w:pPr>
          </w:p>
        </w:tc>
      </w:tr>
    </w:tbl>
    <w:p w:rsidR="00234973" w:rsidRPr="00123676" w:rsidRDefault="005D2ACF" w:rsidP="00234973">
      <w:pPr>
        <w:pStyle w:val="AppendixHeading1"/>
        <w:rPr>
          <w:b w:val="0"/>
          <w:smallCaps w:val="0"/>
        </w:rPr>
      </w:pPr>
      <w:bookmarkStart w:id="163" w:name="_Toc383615062"/>
      <w:r>
        <w:rPr>
          <w:b w:val="0"/>
          <w:smallCaps w:val="0"/>
        </w:rPr>
        <w:t>ACTPS Employment Strategy</w:t>
      </w:r>
      <w:bookmarkEnd w:id="163"/>
    </w:p>
    <w:p w:rsidR="00A86185" w:rsidRDefault="00234973" w:rsidP="00234973">
      <w:pPr>
        <w:pStyle w:val="AppendixHeading2"/>
      </w:pPr>
      <w:r>
        <w:t xml:space="preserve">ACT Public Service Employment Strategy for Aboriginal and Torres Strait Islander people </w:t>
      </w:r>
    </w:p>
    <w:p w:rsidR="00B72783" w:rsidRPr="00B72783" w:rsidRDefault="00B72783" w:rsidP="00B72783">
      <w:pPr>
        <w:pStyle w:val="Bodytextnonumbering"/>
      </w:pPr>
      <w:r>
        <w:br w:type="page"/>
      </w:r>
    </w:p>
    <w:p w:rsidR="003F06EE" w:rsidRDefault="003F06EE" w:rsidP="00234973">
      <w:pPr>
        <w:pStyle w:val="AppendixHeading2"/>
      </w:pPr>
    </w:p>
    <w:p w:rsidR="003F06EE" w:rsidRPr="003F06EE" w:rsidRDefault="003F06EE" w:rsidP="003F06EE">
      <w:pPr>
        <w:pStyle w:val="Bodytextnonumbering"/>
        <w:sectPr w:rsidR="003F06EE" w:rsidRPr="003F06EE" w:rsidSect="003F06EE">
          <w:headerReference w:type="default" r:id="rId31"/>
          <w:footerReference w:type="default" r:id="rId32"/>
          <w:type w:val="continuous"/>
          <w:pgSz w:w="11907" w:h="16840" w:code="9"/>
          <w:pgMar w:top="1588" w:right="1418" w:bottom="1418" w:left="1418" w:header="720" w:footer="851" w:gutter="0"/>
          <w:cols w:space="720"/>
          <w:docGrid w:linePitch="360"/>
        </w:sectPr>
      </w:pPr>
    </w:p>
    <w:p w:rsidR="00234973" w:rsidRDefault="003F06EE">
      <w:pPr>
        <w:pStyle w:val="Bodytextnonumbering"/>
        <w:keepNext w:val="0"/>
      </w:pPr>
      <w: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46pt;height:631.35pt" o:ole="">
            <v:imagedata r:id="rId33" o:title=""/>
          </v:shape>
          <o:OLEObject Type="Embed" ProgID="Acrobat.Document.11" ShapeID="_x0000_i1037" DrawAspect="Content" ObjectID="_1492500345" r:id="rId34"/>
        </w:object>
      </w:r>
    </w:p>
    <w:p w:rsidR="003F06EE" w:rsidRDefault="003F06EE">
      <w:pPr>
        <w:pStyle w:val="Bodytextnonumbering"/>
        <w:keepNext w:val="0"/>
      </w:pPr>
      <w:r>
        <w:br w:type="page"/>
      </w:r>
      <w:r>
        <w:object w:dxaOrig="8925" w:dyaOrig="12630">
          <v:shape id="_x0000_i1038" type="#_x0000_t75" style="width:446pt;height:631.35pt" o:ole="">
            <v:imagedata r:id="rId35" o:title=""/>
          </v:shape>
          <o:OLEObject Type="Embed" ProgID="Acrobat.Document.11" ShapeID="_x0000_i1038" DrawAspect="Content" ObjectID="_1492500346" r:id="rId36"/>
        </w:object>
      </w:r>
    </w:p>
    <w:p w:rsidR="003F06EE" w:rsidRDefault="003F06EE">
      <w:pPr>
        <w:pStyle w:val="Bodytextnonumbering"/>
        <w:keepNext w:val="0"/>
      </w:pPr>
      <w:r>
        <w:br w:type="page"/>
      </w:r>
      <w:r>
        <w:object w:dxaOrig="8925" w:dyaOrig="12630">
          <v:shape id="_x0000_i1039" type="#_x0000_t75" style="width:446pt;height:631.35pt" o:ole="">
            <v:imagedata r:id="rId37" o:title=""/>
          </v:shape>
          <o:OLEObject Type="Embed" ProgID="Acrobat.Document.11" ShapeID="_x0000_i1039" DrawAspect="Content" ObjectID="_1492500347" r:id="rId38"/>
        </w:object>
      </w:r>
    </w:p>
    <w:p w:rsidR="00E34881" w:rsidRDefault="00E34881">
      <w:pPr>
        <w:pStyle w:val="Bodytextnonumbering"/>
        <w:keepNext w:val="0"/>
      </w:pPr>
      <w:r>
        <w:br w:type="page"/>
      </w:r>
      <w:r w:rsidR="003560DC">
        <w:object w:dxaOrig="8925" w:dyaOrig="12630">
          <v:shape id="_x0000_i1040" type="#_x0000_t75" style="width:446pt;height:631.35pt" o:ole="">
            <v:imagedata r:id="rId39" o:title=""/>
          </v:shape>
          <o:OLEObject Type="Embed" ProgID="Acrobat.Document.11" ShapeID="_x0000_i1040" DrawAspect="Content" ObjectID="_1492500348" r:id="rId40"/>
        </w:object>
      </w:r>
    </w:p>
    <w:p w:rsidR="00A30AB3" w:rsidRDefault="00A30AB3">
      <w:pPr>
        <w:pStyle w:val="Bodytextnonumbering"/>
        <w:keepNext w:val="0"/>
      </w:pPr>
      <w:r>
        <w:br w:type="page"/>
      </w:r>
      <w:r w:rsidR="003560DC">
        <w:object w:dxaOrig="8925" w:dyaOrig="12630">
          <v:shape id="_x0000_i1041" type="#_x0000_t75" style="width:446pt;height:631.35pt" o:ole="">
            <v:imagedata r:id="rId41" o:title=""/>
          </v:shape>
          <o:OLEObject Type="Embed" ProgID="Acrobat.Document.11" ShapeID="_x0000_i1041" DrawAspect="Content" ObjectID="_1492500349" r:id="rId42"/>
        </w:object>
      </w:r>
    </w:p>
    <w:p w:rsidR="00A30AB3" w:rsidRDefault="00A30AB3">
      <w:pPr>
        <w:pStyle w:val="Bodytextnonumbering"/>
        <w:keepNext w:val="0"/>
      </w:pPr>
      <w:r>
        <w:br w:type="page"/>
      </w:r>
      <w:r w:rsidR="003560DC">
        <w:object w:dxaOrig="8925" w:dyaOrig="12630">
          <v:shape id="_x0000_i1042" type="#_x0000_t75" style="width:446pt;height:631.35pt" o:ole="">
            <v:imagedata r:id="rId43" o:title=""/>
          </v:shape>
          <o:OLEObject Type="Embed" ProgID="Acrobat.Document.11" ShapeID="_x0000_i1042" DrawAspect="Content" ObjectID="_1492500350" r:id="rId44"/>
        </w:object>
      </w:r>
    </w:p>
    <w:p w:rsidR="00A30AB3" w:rsidRDefault="00A30AB3">
      <w:pPr>
        <w:pStyle w:val="Bodytextnonumbering"/>
        <w:keepNext w:val="0"/>
      </w:pPr>
      <w:r>
        <w:br w:type="page"/>
      </w:r>
      <w:r w:rsidR="003560DC">
        <w:object w:dxaOrig="8925" w:dyaOrig="12630">
          <v:shape id="_x0000_i1043" type="#_x0000_t75" style="width:446pt;height:631.35pt" o:ole="">
            <v:imagedata r:id="rId45" o:title=""/>
          </v:shape>
          <o:OLEObject Type="Embed" ProgID="Acrobat.Document.11" ShapeID="_x0000_i1043" DrawAspect="Content" ObjectID="_1492500351" r:id="rId46"/>
        </w:object>
      </w:r>
    </w:p>
    <w:p w:rsidR="00A30AB3" w:rsidRDefault="00A30AB3">
      <w:pPr>
        <w:pStyle w:val="Bodytextnonumbering"/>
        <w:keepNext w:val="0"/>
      </w:pPr>
      <w:r>
        <w:br w:type="page"/>
      </w:r>
      <w:r w:rsidR="003560DC">
        <w:object w:dxaOrig="8925" w:dyaOrig="12630">
          <v:shape id="_x0000_i1044" type="#_x0000_t75" style="width:446pt;height:631.35pt" o:ole="">
            <v:imagedata r:id="rId47" o:title=""/>
          </v:shape>
          <o:OLEObject Type="Embed" ProgID="Acrobat.Document.11" ShapeID="_x0000_i1044" DrawAspect="Content" ObjectID="_1492500352" r:id="rId48"/>
        </w:object>
      </w:r>
    </w:p>
    <w:p w:rsidR="00A30AB3" w:rsidRDefault="00A30AB3">
      <w:pPr>
        <w:pStyle w:val="Bodytextnonumbering"/>
        <w:keepNext w:val="0"/>
      </w:pPr>
      <w:r>
        <w:br w:type="page"/>
      </w:r>
      <w:r w:rsidR="003560DC">
        <w:object w:dxaOrig="8925" w:dyaOrig="12630">
          <v:shape id="_x0000_i1045" type="#_x0000_t75" style="width:446pt;height:631.35pt" o:ole="">
            <v:imagedata r:id="rId49" o:title=""/>
          </v:shape>
          <o:OLEObject Type="Embed" ProgID="Acrobat.Document.11" ShapeID="_x0000_i1045" DrawAspect="Content" ObjectID="_1492500353" r:id="rId50"/>
        </w:object>
      </w:r>
    </w:p>
    <w:p w:rsidR="00A30AB3" w:rsidRDefault="00A30AB3">
      <w:pPr>
        <w:pStyle w:val="Bodytextnonumbering"/>
        <w:keepNext w:val="0"/>
      </w:pPr>
      <w:r>
        <w:br w:type="page"/>
      </w:r>
      <w:r w:rsidR="003560DC">
        <w:object w:dxaOrig="8925" w:dyaOrig="12630">
          <v:shape id="_x0000_i1046" type="#_x0000_t75" style="width:446pt;height:631.35pt" o:ole="">
            <v:imagedata r:id="rId51" o:title=""/>
          </v:shape>
          <o:OLEObject Type="Embed" ProgID="Acrobat.Document.11" ShapeID="_x0000_i1046" DrawAspect="Content" ObjectID="_1492500354" r:id="rId52"/>
        </w:object>
      </w:r>
    </w:p>
    <w:p w:rsidR="00A30AB3" w:rsidRDefault="00A30AB3">
      <w:pPr>
        <w:pStyle w:val="Bodytextnonumbering"/>
        <w:keepNext w:val="0"/>
      </w:pPr>
      <w:r>
        <w:br w:type="page"/>
      </w:r>
      <w:r w:rsidR="003560DC">
        <w:object w:dxaOrig="8925" w:dyaOrig="12630">
          <v:shape id="_x0000_i1047" type="#_x0000_t75" style="width:446pt;height:631.35pt" o:ole="">
            <v:imagedata r:id="rId53" o:title=""/>
          </v:shape>
          <o:OLEObject Type="Embed" ProgID="Acrobat.Document.11" ShapeID="_x0000_i1047" DrawAspect="Content" ObjectID="_1492500355" r:id="rId54"/>
        </w:object>
      </w:r>
    </w:p>
    <w:p w:rsidR="00A30AB3" w:rsidRDefault="00A30AB3">
      <w:pPr>
        <w:pStyle w:val="Bodytextnonumbering"/>
        <w:keepNext w:val="0"/>
      </w:pPr>
      <w:r>
        <w:br w:type="page"/>
      </w:r>
      <w:r w:rsidR="003560DC">
        <w:object w:dxaOrig="8925" w:dyaOrig="12630">
          <v:shape id="_x0000_i1048" type="#_x0000_t75" style="width:446pt;height:631.35pt" o:ole="">
            <v:imagedata r:id="rId55" o:title=""/>
          </v:shape>
          <o:OLEObject Type="Embed" ProgID="Acrobat.Document.11" ShapeID="_x0000_i1048" DrawAspect="Content" ObjectID="_1492500356" r:id="rId56"/>
        </w:object>
      </w:r>
    </w:p>
    <w:p w:rsidR="00A30AB3" w:rsidRDefault="00A30AB3">
      <w:pPr>
        <w:pStyle w:val="Bodytextnonumbering"/>
        <w:keepNext w:val="0"/>
      </w:pPr>
      <w:r>
        <w:br w:type="page"/>
      </w:r>
      <w:r w:rsidR="003560DC">
        <w:object w:dxaOrig="8925" w:dyaOrig="12630">
          <v:shape id="_x0000_i1049" type="#_x0000_t75" style="width:446pt;height:631.35pt" o:ole="">
            <v:imagedata r:id="rId57" o:title=""/>
          </v:shape>
          <o:OLEObject Type="Embed" ProgID="Acrobat.Document.11" ShapeID="_x0000_i1049" DrawAspect="Content" ObjectID="_1492500357" r:id="rId58"/>
        </w:object>
      </w:r>
    </w:p>
    <w:p w:rsidR="00A30AB3" w:rsidRDefault="00A30AB3">
      <w:pPr>
        <w:pStyle w:val="Bodytextnonumbering"/>
        <w:keepNext w:val="0"/>
      </w:pPr>
      <w:r>
        <w:br w:type="page"/>
      </w:r>
      <w:r w:rsidR="003560DC">
        <w:object w:dxaOrig="8925" w:dyaOrig="12630">
          <v:shape id="_x0000_i1050" type="#_x0000_t75" style="width:446pt;height:631.35pt" o:ole="">
            <v:imagedata r:id="rId59" o:title=""/>
          </v:shape>
          <o:OLEObject Type="Embed" ProgID="Acrobat.Document.11" ShapeID="_x0000_i1050" DrawAspect="Content" ObjectID="_1492500358" r:id="rId60"/>
        </w:object>
      </w:r>
    </w:p>
    <w:p w:rsidR="00A30AB3" w:rsidRDefault="00A30AB3">
      <w:pPr>
        <w:pStyle w:val="Bodytextnonumbering"/>
        <w:keepNext w:val="0"/>
      </w:pPr>
      <w:r>
        <w:br w:type="page"/>
      </w:r>
      <w:r w:rsidR="003560DC">
        <w:object w:dxaOrig="8925" w:dyaOrig="12630">
          <v:shape id="_x0000_i1051" type="#_x0000_t75" style="width:446pt;height:631.35pt" o:ole="">
            <v:imagedata r:id="rId61" o:title=""/>
          </v:shape>
          <o:OLEObject Type="Embed" ProgID="Acrobat.Document.11" ShapeID="_x0000_i1051" DrawAspect="Content" ObjectID="_1492500359" r:id="rId62"/>
        </w:object>
      </w:r>
    </w:p>
    <w:p w:rsidR="00A30AB3" w:rsidRDefault="00A30AB3">
      <w:pPr>
        <w:pStyle w:val="Bodytextnonumbering"/>
        <w:keepNext w:val="0"/>
      </w:pPr>
      <w:r>
        <w:br w:type="page"/>
      </w:r>
      <w:r w:rsidR="003560DC">
        <w:object w:dxaOrig="8925" w:dyaOrig="12630">
          <v:shape id="_x0000_i1052" type="#_x0000_t75" style="width:446pt;height:631.35pt" o:ole="">
            <v:imagedata r:id="rId63" o:title=""/>
          </v:shape>
          <o:OLEObject Type="Embed" ProgID="Acrobat.Document.11" ShapeID="_x0000_i1052" DrawAspect="Content" ObjectID="_1492500360" r:id="rId64"/>
        </w:object>
      </w:r>
    </w:p>
    <w:p w:rsidR="00A30AB3" w:rsidRDefault="00A30AB3">
      <w:pPr>
        <w:pStyle w:val="Bodytextnonumbering"/>
        <w:keepNext w:val="0"/>
      </w:pPr>
      <w:r>
        <w:br w:type="page"/>
      </w:r>
      <w:r w:rsidR="003560DC">
        <w:object w:dxaOrig="8925" w:dyaOrig="12630">
          <v:shape id="_x0000_i1053" type="#_x0000_t75" style="width:446pt;height:631.35pt" o:ole="">
            <v:imagedata r:id="rId65" o:title=""/>
          </v:shape>
          <o:OLEObject Type="Embed" ProgID="Acrobat.Document.11" ShapeID="_x0000_i1053" DrawAspect="Content" ObjectID="_1492500361" r:id="rId66"/>
        </w:object>
      </w:r>
    </w:p>
    <w:p w:rsidR="00A30AB3" w:rsidRDefault="00A30AB3">
      <w:pPr>
        <w:pStyle w:val="Bodytextnonumbering"/>
        <w:keepNext w:val="0"/>
      </w:pPr>
      <w:r>
        <w:br w:type="page"/>
      </w:r>
      <w:r w:rsidR="003560DC">
        <w:object w:dxaOrig="8925" w:dyaOrig="12630">
          <v:shape id="_x0000_i1054" type="#_x0000_t75" style="width:446pt;height:631.35pt" o:ole="">
            <v:imagedata r:id="rId67" o:title=""/>
          </v:shape>
          <o:OLEObject Type="Embed" ProgID="Acrobat.Document.11" ShapeID="_x0000_i1054" DrawAspect="Content" ObjectID="_1492500362" r:id="rId68"/>
        </w:object>
      </w:r>
    </w:p>
    <w:p w:rsidR="00A30AB3" w:rsidRDefault="00A30AB3">
      <w:pPr>
        <w:pStyle w:val="Bodytextnonumbering"/>
        <w:keepNext w:val="0"/>
      </w:pPr>
      <w:r>
        <w:br w:type="page"/>
      </w:r>
      <w:r w:rsidR="003560DC">
        <w:object w:dxaOrig="8925" w:dyaOrig="12630">
          <v:shape id="_x0000_i1055" type="#_x0000_t75" style="width:446pt;height:631.35pt" o:ole="">
            <v:imagedata r:id="rId69" o:title=""/>
          </v:shape>
          <o:OLEObject Type="Embed" ProgID="Acrobat.Document.11" ShapeID="_x0000_i1055" DrawAspect="Content" ObjectID="_1492500363" r:id="rId70"/>
        </w:object>
      </w:r>
    </w:p>
    <w:p w:rsidR="00A30AB3" w:rsidRDefault="00A30AB3">
      <w:pPr>
        <w:pStyle w:val="Bodytextnonumbering"/>
        <w:keepNext w:val="0"/>
      </w:pPr>
      <w:r>
        <w:br w:type="page"/>
      </w:r>
      <w:r w:rsidR="003560DC">
        <w:object w:dxaOrig="8925" w:dyaOrig="12630">
          <v:shape id="_x0000_i1056" type="#_x0000_t75" style="width:446pt;height:631.35pt" o:ole="">
            <v:imagedata r:id="rId71" o:title=""/>
          </v:shape>
          <o:OLEObject Type="Embed" ProgID="Acrobat.Document.11" ShapeID="_x0000_i1056" DrawAspect="Content" ObjectID="_1492500364" r:id="rId72"/>
        </w:object>
      </w:r>
    </w:p>
    <w:p w:rsidR="00A30AB3" w:rsidRDefault="00A30AB3">
      <w:pPr>
        <w:pStyle w:val="Bodytextnonumbering"/>
        <w:keepNext w:val="0"/>
      </w:pPr>
      <w:r>
        <w:br w:type="page"/>
      </w:r>
      <w:r w:rsidR="003560DC">
        <w:object w:dxaOrig="8925" w:dyaOrig="12630">
          <v:shape id="_x0000_i1057" type="#_x0000_t75" style="width:446pt;height:631.35pt" o:ole="">
            <v:imagedata r:id="rId73" o:title=""/>
          </v:shape>
          <o:OLEObject Type="Embed" ProgID="Acrobat.Document.11" ShapeID="_x0000_i1057" DrawAspect="Content" ObjectID="_1492500365" r:id="rId74"/>
        </w:object>
      </w:r>
    </w:p>
    <w:p w:rsidR="00A30AB3" w:rsidRDefault="00A30AB3">
      <w:pPr>
        <w:pStyle w:val="Bodytextnonumbering"/>
        <w:keepNext w:val="0"/>
      </w:pPr>
      <w:r>
        <w:br w:type="page"/>
      </w:r>
      <w:r w:rsidR="003560DC">
        <w:object w:dxaOrig="8925" w:dyaOrig="12630">
          <v:shape id="_x0000_i1058" type="#_x0000_t75" style="width:446pt;height:631.35pt" o:ole="">
            <v:imagedata r:id="rId75" o:title=""/>
          </v:shape>
          <o:OLEObject Type="Embed" ProgID="Acrobat.Document.11" ShapeID="_x0000_i1058" DrawAspect="Content" ObjectID="_1492500366" r:id="rId76"/>
        </w:object>
      </w:r>
    </w:p>
    <w:p w:rsidR="00A30AB3" w:rsidRDefault="00A30AB3">
      <w:pPr>
        <w:pStyle w:val="Bodytextnonumbering"/>
        <w:keepNext w:val="0"/>
      </w:pPr>
      <w:r>
        <w:br w:type="page"/>
      </w:r>
      <w:r w:rsidR="003560DC">
        <w:object w:dxaOrig="8925" w:dyaOrig="12630">
          <v:shape id="_x0000_i1059" type="#_x0000_t75" style="width:446pt;height:631.35pt" o:ole="">
            <v:imagedata r:id="rId77" o:title=""/>
          </v:shape>
          <o:OLEObject Type="Embed" ProgID="Acrobat.Document.11" ShapeID="_x0000_i1059" DrawAspect="Content" ObjectID="_1492500367" r:id="rId78"/>
        </w:object>
      </w:r>
    </w:p>
    <w:p w:rsidR="00A30AB3" w:rsidRDefault="00A30AB3">
      <w:pPr>
        <w:pStyle w:val="Bodytextnonumbering"/>
        <w:keepNext w:val="0"/>
      </w:pPr>
      <w:r>
        <w:br w:type="page"/>
      </w:r>
      <w:r w:rsidR="003560DC">
        <w:object w:dxaOrig="8925" w:dyaOrig="12630">
          <v:shape id="_x0000_i1060" type="#_x0000_t75" style="width:446pt;height:631.35pt" o:ole="">
            <v:imagedata r:id="rId79" o:title=""/>
          </v:shape>
          <o:OLEObject Type="Embed" ProgID="Acrobat.Document.11" ShapeID="_x0000_i1060" DrawAspect="Content" ObjectID="_1492500368" r:id="rId80"/>
        </w:object>
      </w:r>
    </w:p>
    <w:p w:rsidR="00600762" w:rsidRDefault="00600762">
      <w:pPr>
        <w:pStyle w:val="Bodytextnonumbering"/>
        <w:keepNext w:val="0"/>
      </w:pPr>
      <w:r>
        <w:br w:type="page"/>
      </w:r>
      <w:r w:rsidR="003560DC">
        <w:object w:dxaOrig="8925" w:dyaOrig="12630">
          <v:shape id="_x0000_i1061" type="#_x0000_t75" style="width:446pt;height:631.35pt" o:ole="">
            <v:imagedata r:id="rId81" o:title=""/>
          </v:shape>
          <o:OLEObject Type="Embed" ProgID="Acrobat.Document.11" ShapeID="_x0000_i1061" DrawAspect="Content" ObjectID="_1492500369" r:id="rId82"/>
        </w:object>
      </w:r>
    </w:p>
    <w:p w:rsidR="00600762" w:rsidRDefault="00600762">
      <w:pPr>
        <w:pStyle w:val="Bodytextnonumbering"/>
        <w:keepNext w:val="0"/>
      </w:pPr>
      <w:r>
        <w:br w:type="page"/>
      </w:r>
      <w:r w:rsidR="003560DC">
        <w:object w:dxaOrig="8925" w:dyaOrig="12630">
          <v:shape id="_x0000_i1062" type="#_x0000_t75" style="width:446pt;height:631.35pt" o:ole="">
            <v:imagedata r:id="rId83" o:title=""/>
          </v:shape>
          <o:OLEObject Type="Embed" ProgID="Acrobat.Document.11" ShapeID="_x0000_i1062" DrawAspect="Content" ObjectID="_1492500370" r:id="rId84"/>
        </w:object>
      </w:r>
    </w:p>
    <w:p w:rsidR="00234973" w:rsidRPr="00123676" w:rsidRDefault="00A37CE8" w:rsidP="00234973">
      <w:pPr>
        <w:pStyle w:val="AppendixHeading1"/>
        <w:rPr>
          <w:b w:val="0"/>
          <w:smallCaps w:val="0"/>
        </w:rPr>
      </w:pPr>
      <w:bookmarkStart w:id="164" w:name="_Toc383615063"/>
      <w:r>
        <w:rPr>
          <w:b w:val="0"/>
          <w:smallCaps w:val="0"/>
        </w:rPr>
        <w:t>Organisational Maturity Chart</w:t>
      </w:r>
      <w:bookmarkEnd w:id="164"/>
    </w:p>
    <w:p w:rsidR="00234973" w:rsidRPr="00CB277F" w:rsidRDefault="00CB277F" w:rsidP="00C0288D">
      <w:pPr>
        <w:pStyle w:val="AppendixHeading2"/>
        <w:rPr>
          <w:sz w:val="22"/>
          <w:szCs w:val="22"/>
        </w:rPr>
      </w:pPr>
      <w:r w:rsidRPr="00CB277F">
        <w:rPr>
          <w:sz w:val="22"/>
          <w:szCs w:val="22"/>
        </w:rPr>
        <w:t xml:space="preserve">The Organisation Maturity Chart on the following pages is from a report by the University of Queensland’s Centre for Social Responsibility in Mining.  The report is titled, </w:t>
      </w:r>
      <w:r w:rsidRPr="00CB277F">
        <w:rPr>
          <w:i/>
          <w:sz w:val="22"/>
          <w:szCs w:val="22"/>
        </w:rPr>
        <w:t>Indigenous Employment in the Minerals Industry</w:t>
      </w:r>
    </w:p>
    <w:p w:rsidR="00033478" w:rsidRDefault="00D34815" w:rsidP="00033478">
      <w:pPr>
        <w:pStyle w:val="Bodytextnonumbering"/>
      </w:pPr>
      <w:r>
        <w:br w:type="page"/>
      </w:r>
      <w:r w:rsidR="002E22CA">
        <w:object w:dxaOrig="8925" w:dyaOrig="12630">
          <v:shape id="_x0000_i1063" type="#_x0000_t75" style="width:446pt;height:631.35pt" o:ole="">
            <v:imagedata r:id="rId85" o:title=""/>
          </v:shape>
          <o:OLEObject Type="Embed" ProgID="Acrobat.Document.11" ShapeID="_x0000_i1063" DrawAspect="Content" ObjectID="_1492500371" r:id="rId86"/>
        </w:object>
      </w:r>
    </w:p>
    <w:p w:rsidR="003A4448" w:rsidRDefault="003A4448" w:rsidP="00033478">
      <w:pPr>
        <w:pStyle w:val="Bodytextnonumbering"/>
      </w:pPr>
      <w:r>
        <w:br w:type="page"/>
      </w:r>
      <w:r w:rsidR="002E22CA">
        <w:object w:dxaOrig="8925" w:dyaOrig="12630">
          <v:shape id="_x0000_i1064" type="#_x0000_t75" style="width:446pt;height:631.35pt" o:ole="">
            <v:imagedata r:id="rId87" o:title=""/>
          </v:shape>
          <o:OLEObject Type="Embed" ProgID="Acrobat.Document.11" ShapeID="_x0000_i1064" DrawAspect="Content" ObjectID="_1492500372" r:id="rId88"/>
        </w:object>
      </w:r>
    </w:p>
    <w:p w:rsidR="00581F10" w:rsidRPr="00123676" w:rsidRDefault="000F695C" w:rsidP="00CB214F">
      <w:pPr>
        <w:pStyle w:val="AppendixHeading1"/>
        <w:tabs>
          <w:tab w:val="clear" w:pos="1440"/>
        </w:tabs>
        <w:ind w:left="2127" w:hanging="2127"/>
        <w:rPr>
          <w:b w:val="0"/>
          <w:smallCaps w:val="0"/>
        </w:rPr>
      </w:pPr>
      <w:bookmarkStart w:id="165" w:name="_Toc383615064"/>
      <w:r>
        <w:rPr>
          <w:b w:val="0"/>
          <w:smallCaps w:val="0"/>
        </w:rPr>
        <w:t>Summary of c</w:t>
      </w:r>
      <w:r w:rsidR="00581F10">
        <w:rPr>
          <w:b w:val="0"/>
          <w:smallCaps w:val="0"/>
        </w:rPr>
        <w:t xml:space="preserve">urrent state </w:t>
      </w:r>
      <w:r>
        <w:rPr>
          <w:b w:val="0"/>
          <w:smallCaps w:val="0"/>
        </w:rPr>
        <w:t>of implementation</w:t>
      </w:r>
      <w:bookmarkEnd w:id="165"/>
      <w:r w:rsidR="00CB214F">
        <w:rPr>
          <w:b w:val="0"/>
          <w:smallCaps w:val="0"/>
        </w:rPr>
        <w:t xml:space="preserve"> of the Employment Strategy </w:t>
      </w:r>
    </w:p>
    <w:p w:rsidR="00581F10" w:rsidRDefault="00581F10" w:rsidP="00581F10">
      <w:pPr>
        <w:pStyle w:val="Bodytextnonumbering"/>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
        <w:gridCol w:w="745"/>
        <w:gridCol w:w="1803"/>
        <w:gridCol w:w="298"/>
        <w:gridCol w:w="3818"/>
        <w:gridCol w:w="1417"/>
        <w:gridCol w:w="389"/>
      </w:tblGrid>
      <w:tr w:rsidR="000F695C" w:rsidRPr="00B33430" w:rsidTr="000F695C">
        <w:tc>
          <w:tcPr>
            <w:tcW w:w="8612" w:type="dxa"/>
            <w:gridSpan w:val="7"/>
            <w:tcBorders>
              <w:top w:val="nil"/>
              <w:left w:val="nil"/>
              <w:bottom w:val="single" w:sz="4" w:space="0" w:color="auto"/>
              <w:right w:val="nil"/>
            </w:tcBorders>
          </w:tcPr>
          <w:p w:rsidR="000F695C" w:rsidRPr="000F695C" w:rsidRDefault="000F695C" w:rsidP="000F695C">
            <w:pPr>
              <w:pStyle w:val="Bodytext"/>
              <w:ind w:left="0"/>
              <w:rPr>
                <w:lang w:val="en-US"/>
              </w:rPr>
            </w:pPr>
          </w:p>
        </w:tc>
      </w:tr>
      <w:tr w:rsidR="000F695C" w:rsidRPr="00B33430" w:rsidTr="000F695C">
        <w:trPr>
          <w:gridBefore w:val="1"/>
          <w:gridAfter w:val="1"/>
          <w:wBefore w:w="142" w:type="dxa"/>
          <w:wAfter w:w="390" w:type="dxa"/>
        </w:trPr>
        <w:tc>
          <w:tcPr>
            <w:tcW w:w="6662" w:type="dxa"/>
            <w:gridSpan w:val="4"/>
            <w:tcBorders>
              <w:bottom w:val="single" w:sz="4" w:space="0" w:color="auto"/>
            </w:tcBorders>
            <w:shd w:val="clear" w:color="auto" w:fill="244061"/>
          </w:tcPr>
          <w:p w:rsidR="000F695C" w:rsidRPr="00C4202A" w:rsidRDefault="000F695C" w:rsidP="002E1C54">
            <w:pPr>
              <w:spacing w:before="120" w:after="120"/>
              <w:rPr>
                <w:rFonts w:ascii="Arial Narrow" w:eastAsia="Calibri" w:hAnsi="Arial Narrow"/>
                <w:b/>
                <w:color w:val="FFFFFF"/>
                <w:sz w:val="20"/>
                <w:szCs w:val="20"/>
              </w:rPr>
            </w:pPr>
            <w:r w:rsidRPr="00C4202A">
              <w:rPr>
                <w:rFonts w:ascii="Arial Narrow" w:eastAsia="Calibri" w:hAnsi="Arial Narrow"/>
                <w:b/>
                <w:color w:val="FFFFFF"/>
                <w:sz w:val="20"/>
                <w:szCs w:val="20"/>
              </w:rPr>
              <w:t>Performance measure</w:t>
            </w:r>
          </w:p>
        </w:tc>
        <w:tc>
          <w:tcPr>
            <w:tcW w:w="1418" w:type="dxa"/>
            <w:tcBorders>
              <w:bottom w:val="single" w:sz="4" w:space="0" w:color="auto"/>
            </w:tcBorders>
            <w:shd w:val="clear" w:color="auto" w:fill="244061"/>
          </w:tcPr>
          <w:p w:rsidR="000F695C" w:rsidRPr="00C4202A" w:rsidRDefault="000F695C" w:rsidP="002E1C54">
            <w:pPr>
              <w:spacing w:before="120" w:after="120"/>
              <w:rPr>
                <w:rFonts w:ascii="Arial Narrow" w:eastAsia="Calibri" w:hAnsi="Arial Narrow"/>
                <w:b/>
                <w:color w:val="FFFFFF"/>
                <w:sz w:val="20"/>
                <w:szCs w:val="20"/>
              </w:rPr>
            </w:pPr>
            <w:r w:rsidRPr="00C4202A">
              <w:rPr>
                <w:rFonts w:ascii="Arial Narrow" w:eastAsia="Calibri" w:hAnsi="Arial Narrow"/>
                <w:b/>
                <w:color w:val="FFFFFF"/>
                <w:sz w:val="20"/>
                <w:szCs w:val="20"/>
              </w:rPr>
              <w:t xml:space="preserve">Assessment </w:t>
            </w:r>
          </w:p>
        </w:tc>
      </w:tr>
      <w:tr w:rsidR="000F695C" w:rsidRPr="00B33430" w:rsidTr="000F695C">
        <w:trPr>
          <w:gridBefore w:val="1"/>
          <w:gridAfter w:val="1"/>
          <w:wBefore w:w="142" w:type="dxa"/>
          <w:wAfter w:w="390" w:type="dxa"/>
        </w:trPr>
        <w:tc>
          <w:tcPr>
            <w:tcW w:w="8080" w:type="dxa"/>
            <w:gridSpan w:val="5"/>
            <w:tcBorders>
              <w:top w:val="single" w:sz="4" w:space="0" w:color="auto"/>
              <w:left w:val="single" w:sz="4" w:space="0" w:color="auto"/>
              <w:bottom w:val="single" w:sz="4" w:space="0" w:color="auto"/>
              <w:right w:val="single" w:sz="4" w:space="0" w:color="auto"/>
            </w:tcBorders>
            <w:shd w:val="clear" w:color="auto" w:fill="FDE9D9"/>
          </w:tcPr>
          <w:p w:rsidR="000F695C" w:rsidRPr="00C4202A" w:rsidRDefault="000F695C" w:rsidP="002E1C54">
            <w:pPr>
              <w:spacing w:before="120" w:after="120"/>
              <w:rPr>
                <w:rFonts w:ascii="Arial Narrow" w:eastAsia="Calibri" w:hAnsi="Arial Narrow"/>
                <w:b/>
                <w:sz w:val="20"/>
                <w:szCs w:val="20"/>
              </w:rPr>
            </w:pPr>
            <w:r w:rsidRPr="00C4202A">
              <w:rPr>
                <w:rFonts w:ascii="Arial Narrow" w:eastAsia="Calibri" w:hAnsi="Arial Narrow"/>
                <w:b/>
                <w:sz w:val="20"/>
                <w:szCs w:val="20"/>
              </w:rPr>
              <w:t xml:space="preserve">Improving our capability </w:t>
            </w:r>
          </w:p>
        </w:tc>
      </w:tr>
      <w:tr w:rsidR="000F695C" w:rsidRPr="00B33430" w:rsidTr="000F695C">
        <w:trPr>
          <w:gridBefore w:val="1"/>
          <w:gridAfter w:val="1"/>
          <w:wBefore w:w="142" w:type="dxa"/>
          <w:wAfter w:w="390" w:type="dxa"/>
          <w:trHeight w:val="809"/>
        </w:trPr>
        <w:tc>
          <w:tcPr>
            <w:tcW w:w="6662" w:type="dxa"/>
            <w:gridSpan w:val="4"/>
            <w:tcBorders>
              <w:top w:val="single" w:sz="4" w:space="0" w:color="auto"/>
              <w:left w:val="single" w:sz="4" w:space="0" w:color="auto"/>
              <w:right w:val="single" w:sz="4" w:space="0" w:color="auto"/>
            </w:tcBorders>
          </w:tcPr>
          <w:p w:rsidR="000F695C" w:rsidRPr="00C4202A" w:rsidRDefault="000F695C" w:rsidP="00DD1363">
            <w:pPr>
              <w:spacing w:before="120" w:after="120"/>
              <w:ind w:left="176" w:hanging="176"/>
              <w:rPr>
                <w:rFonts w:ascii="Arial Narrow" w:eastAsia="Calibri" w:hAnsi="Arial Narrow"/>
                <w:sz w:val="20"/>
                <w:szCs w:val="20"/>
              </w:rPr>
            </w:pPr>
            <w:r w:rsidRPr="00C4202A">
              <w:rPr>
                <w:rFonts w:ascii="Arial Narrow" w:eastAsia="Calibri" w:hAnsi="Arial Narrow"/>
                <w:sz w:val="20"/>
                <w:szCs w:val="20"/>
              </w:rPr>
              <w:t xml:space="preserve">1. </w:t>
            </w:r>
            <w:r w:rsidRPr="000F695C">
              <w:rPr>
                <w:rFonts w:ascii="Arial Narrow" w:eastAsia="Calibri" w:hAnsi="Arial Narrow"/>
                <w:sz w:val="20"/>
                <w:szCs w:val="20"/>
                <w:lang w:val="en-US"/>
              </w:rPr>
              <w:t xml:space="preserve">Reports on the achievements of this Employment Strategy (as outlined in the Action Plan and Directorate Action Plans) are provided to the Chief Minister in accordance with the annual progress report requirements under the ACTPS RED Framework.  These reports will also be provided to the ACT Aboriginal and Torres Strait Islander </w:t>
            </w:r>
            <w:r w:rsidR="00323080">
              <w:rPr>
                <w:rFonts w:ascii="Arial Narrow" w:eastAsia="Calibri" w:hAnsi="Arial Narrow"/>
                <w:sz w:val="20"/>
                <w:szCs w:val="20"/>
                <w:lang w:val="en-US"/>
              </w:rPr>
              <w:t>Elected Body</w:t>
            </w:r>
            <w:r w:rsidRPr="000F695C">
              <w:rPr>
                <w:rFonts w:ascii="Arial Narrow" w:eastAsia="Calibri" w:hAnsi="Arial Narrow"/>
                <w:sz w:val="20"/>
                <w:szCs w:val="20"/>
                <w:lang w:val="en-US"/>
              </w:rPr>
              <w:t>.</w:t>
            </w:r>
          </w:p>
        </w:tc>
        <w:tc>
          <w:tcPr>
            <w:tcW w:w="1418" w:type="dxa"/>
            <w:tcBorders>
              <w:top w:val="single" w:sz="4" w:space="0" w:color="auto"/>
              <w:left w:val="single" w:sz="4" w:space="0" w:color="auto"/>
              <w:right w:val="single" w:sz="4" w:space="0" w:color="auto"/>
            </w:tcBorders>
            <w:shd w:val="clear" w:color="auto" w:fill="auto"/>
            <w:vAlign w:val="center"/>
          </w:tcPr>
          <w:p w:rsidR="000F695C" w:rsidRPr="00C4202A" w:rsidRDefault="00DC4D6C" w:rsidP="002E1C54">
            <w:pPr>
              <w:spacing w:before="120" w:after="120"/>
              <w:jc w:val="center"/>
              <w:rPr>
                <w:rFonts w:ascii="Arial Narrow" w:eastAsia="Calibri" w:hAnsi="Arial Narrow"/>
                <w:b/>
                <w:sz w:val="20"/>
                <w:szCs w:val="20"/>
              </w:rPr>
            </w:pPr>
            <w:r>
              <w:rPr>
                <w:rFonts w:ascii="Arial Narrow" w:eastAsia="Calibri" w:hAnsi="Arial Narrow"/>
                <w:b/>
                <w:noProof/>
                <w:sz w:val="20"/>
                <w:szCs w:val="20"/>
                <w:lang w:eastAsia="en-AU"/>
              </w:rPr>
              <w:pict>
                <v:oval id="_x0000_s1044" style="position:absolute;left:0;text-align:left;margin-left:20.35pt;margin-top:13pt;width:14.3pt;height:14.95pt;z-index:251660288;mso-position-horizontal-relative:text;mso-position-vertical-relative:text" fillcolor="red" strokecolor="black [3213]"/>
              </w:pict>
            </w:r>
          </w:p>
        </w:tc>
      </w:tr>
      <w:tr w:rsidR="000F695C" w:rsidRPr="00B33430" w:rsidTr="000F695C">
        <w:trPr>
          <w:gridBefore w:val="1"/>
          <w:gridAfter w:val="1"/>
          <w:wBefore w:w="142" w:type="dxa"/>
          <w:wAfter w:w="390" w:type="dxa"/>
        </w:trPr>
        <w:tc>
          <w:tcPr>
            <w:tcW w:w="8080" w:type="dxa"/>
            <w:gridSpan w:val="5"/>
            <w:tcBorders>
              <w:top w:val="single" w:sz="4" w:space="0" w:color="auto"/>
              <w:left w:val="single" w:sz="4" w:space="0" w:color="auto"/>
              <w:bottom w:val="single" w:sz="4" w:space="0" w:color="auto"/>
              <w:right w:val="single" w:sz="4" w:space="0" w:color="auto"/>
            </w:tcBorders>
            <w:shd w:val="clear" w:color="auto" w:fill="FBD4B4"/>
          </w:tcPr>
          <w:p w:rsidR="000F695C" w:rsidRPr="00C4202A" w:rsidRDefault="000F695C" w:rsidP="002E1C54">
            <w:pPr>
              <w:spacing w:before="120" w:after="120"/>
              <w:rPr>
                <w:rFonts w:ascii="Arial Narrow" w:eastAsia="Calibri" w:hAnsi="Arial Narrow"/>
                <w:b/>
                <w:sz w:val="20"/>
                <w:szCs w:val="20"/>
              </w:rPr>
            </w:pPr>
            <w:r w:rsidRPr="00C4202A">
              <w:rPr>
                <w:rFonts w:ascii="Arial Narrow" w:eastAsia="Calibri" w:hAnsi="Arial Narrow"/>
                <w:b/>
                <w:sz w:val="20"/>
                <w:szCs w:val="20"/>
              </w:rPr>
              <w:t>Retention of Aboriginal and Torres Strait Islander employees in the ACTPs</w:t>
            </w:r>
          </w:p>
        </w:tc>
      </w:tr>
      <w:tr w:rsidR="000F695C" w:rsidRPr="00B33430" w:rsidTr="000F695C">
        <w:trPr>
          <w:gridBefore w:val="1"/>
          <w:gridAfter w:val="1"/>
          <w:wBefore w:w="142" w:type="dxa"/>
          <w:wAfter w:w="390" w:type="dxa"/>
          <w:trHeight w:val="809"/>
        </w:trPr>
        <w:tc>
          <w:tcPr>
            <w:tcW w:w="6662" w:type="dxa"/>
            <w:gridSpan w:val="4"/>
            <w:tcBorders>
              <w:top w:val="single" w:sz="4" w:space="0" w:color="auto"/>
              <w:left w:val="single" w:sz="4" w:space="0" w:color="auto"/>
              <w:right w:val="single" w:sz="4" w:space="0" w:color="auto"/>
            </w:tcBorders>
          </w:tcPr>
          <w:p w:rsidR="000F695C" w:rsidRPr="00C4202A" w:rsidRDefault="000F695C" w:rsidP="00D34815">
            <w:pPr>
              <w:spacing w:before="120" w:after="120"/>
              <w:ind w:left="176" w:hanging="176"/>
              <w:rPr>
                <w:rFonts w:ascii="Arial Narrow" w:eastAsia="Calibri" w:hAnsi="Arial Narrow"/>
                <w:sz w:val="20"/>
                <w:szCs w:val="20"/>
              </w:rPr>
            </w:pPr>
            <w:r w:rsidRPr="00C4202A">
              <w:rPr>
                <w:rFonts w:ascii="Arial Narrow" w:eastAsia="Calibri" w:hAnsi="Arial Narrow"/>
                <w:sz w:val="20"/>
                <w:szCs w:val="20"/>
              </w:rPr>
              <w:t xml:space="preserve">2. </w:t>
            </w:r>
            <w:r w:rsidRPr="000F695C">
              <w:rPr>
                <w:rFonts w:ascii="Arial Narrow" w:eastAsia="Calibri" w:hAnsi="Arial Narrow"/>
                <w:sz w:val="20"/>
                <w:szCs w:val="20"/>
                <w:lang w:val="en-US"/>
              </w:rPr>
              <w:t>The difference in representation of Aboriginal and Torres Strait Islander employees across ACTPS classifications and levels, as measured by average remuneration is progressively reduced.</w:t>
            </w:r>
          </w:p>
        </w:tc>
        <w:tc>
          <w:tcPr>
            <w:tcW w:w="1418" w:type="dxa"/>
            <w:tcBorders>
              <w:top w:val="single" w:sz="4" w:space="0" w:color="auto"/>
              <w:left w:val="single" w:sz="4" w:space="0" w:color="auto"/>
              <w:right w:val="single" w:sz="4" w:space="0" w:color="auto"/>
            </w:tcBorders>
            <w:shd w:val="clear" w:color="auto" w:fill="auto"/>
            <w:vAlign w:val="center"/>
          </w:tcPr>
          <w:p w:rsidR="000F695C" w:rsidRPr="00C4202A" w:rsidRDefault="00DC4D6C" w:rsidP="002E1C54">
            <w:pPr>
              <w:spacing w:before="120" w:after="120"/>
              <w:jc w:val="center"/>
              <w:rPr>
                <w:rFonts w:ascii="Arial Narrow" w:eastAsia="Calibri" w:hAnsi="Arial Narrow"/>
                <w:b/>
                <w:sz w:val="20"/>
                <w:szCs w:val="20"/>
              </w:rPr>
            </w:pPr>
            <w:r w:rsidRPr="00DC4D6C">
              <w:rPr>
                <w:rFonts w:ascii="Arial Narrow" w:eastAsia="Calibri" w:hAnsi="Arial Narrow"/>
                <w:noProof/>
                <w:sz w:val="20"/>
                <w:szCs w:val="20"/>
                <w:lang w:eastAsia="en-AU"/>
              </w:rPr>
              <w:pict>
                <v:oval id="_x0000_s1045" style="position:absolute;left:0;text-align:left;margin-left:20.8pt;margin-top:11.1pt;width:14.3pt;height:14.95pt;z-index:251661312;mso-position-horizontal-relative:text;mso-position-vertical-relative:text" fillcolor="red" strokecolor="black [3213]"/>
              </w:pict>
            </w:r>
          </w:p>
        </w:tc>
      </w:tr>
      <w:tr w:rsidR="000F695C" w:rsidRPr="00B33430" w:rsidTr="000F695C">
        <w:trPr>
          <w:gridBefore w:val="1"/>
          <w:gridAfter w:val="1"/>
          <w:wBefore w:w="142" w:type="dxa"/>
          <w:wAfter w:w="390" w:type="dxa"/>
          <w:trHeight w:val="809"/>
        </w:trPr>
        <w:tc>
          <w:tcPr>
            <w:tcW w:w="6662" w:type="dxa"/>
            <w:gridSpan w:val="4"/>
            <w:tcBorders>
              <w:top w:val="single" w:sz="4" w:space="0" w:color="auto"/>
              <w:left w:val="single" w:sz="4" w:space="0" w:color="auto"/>
              <w:right w:val="single" w:sz="4" w:space="0" w:color="auto"/>
            </w:tcBorders>
          </w:tcPr>
          <w:p w:rsidR="000F695C" w:rsidRPr="00C4202A" w:rsidRDefault="000F695C" w:rsidP="002E1C54">
            <w:pPr>
              <w:spacing w:before="120" w:after="120"/>
              <w:ind w:left="175" w:hanging="175"/>
              <w:rPr>
                <w:rFonts w:ascii="Arial Narrow" w:eastAsia="Calibri" w:hAnsi="Arial Narrow"/>
                <w:sz w:val="20"/>
                <w:szCs w:val="20"/>
              </w:rPr>
            </w:pPr>
            <w:r w:rsidRPr="00C4202A">
              <w:rPr>
                <w:rFonts w:ascii="Arial Narrow" w:eastAsia="Calibri" w:hAnsi="Arial Narrow"/>
                <w:sz w:val="20"/>
                <w:szCs w:val="20"/>
              </w:rPr>
              <w:t xml:space="preserve">3. </w:t>
            </w:r>
            <w:r w:rsidRPr="000F695C">
              <w:rPr>
                <w:rFonts w:ascii="Arial Narrow" w:eastAsia="Calibri" w:hAnsi="Arial Narrow"/>
                <w:sz w:val="20"/>
                <w:szCs w:val="20"/>
                <w:lang w:val="en-US"/>
              </w:rPr>
              <w:t>The number and percentage share of ACTPS permanent Aboriginal and Torres Strait Islander employees that leave the service is progressively reduced</w:t>
            </w:r>
          </w:p>
        </w:tc>
        <w:tc>
          <w:tcPr>
            <w:tcW w:w="1418" w:type="dxa"/>
            <w:tcBorders>
              <w:top w:val="single" w:sz="4" w:space="0" w:color="auto"/>
              <w:left w:val="single" w:sz="4" w:space="0" w:color="auto"/>
              <w:right w:val="single" w:sz="4" w:space="0" w:color="auto"/>
            </w:tcBorders>
            <w:shd w:val="clear" w:color="auto" w:fill="auto"/>
            <w:vAlign w:val="center"/>
          </w:tcPr>
          <w:p w:rsidR="000F695C" w:rsidRPr="00C4202A" w:rsidRDefault="00DC4D6C" w:rsidP="002E1C54">
            <w:pPr>
              <w:spacing w:before="120" w:after="120"/>
              <w:jc w:val="center"/>
              <w:rPr>
                <w:rFonts w:ascii="Arial Narrow" w:eastAsia="Calibri" w:hAnsi="Arial Narrow"/>
                <w:b/>
                <w:sz w:val="20"/>
                <w:szCs w:val="20"/>
              </w:rPr>
            </w:pPr>
            <w:r>
              <w:rPr>
                <w:rFonts w:ascii="Arial Narrow" w:eastAsia="Calibri" w:hAnsi="Arial Narrow"/>
                <w:b/>
                <w:noProof/>
                <w:sz w:val="20"/>
                <w:szCs w:val="20"/>
                <w:lang w:eastAsia="en-AU"/>
              </w:rPr>
              <w:pict>
                <v:oval id="_x0000_s1046" style="position:absolute;left:0;text-align:left;margin-left:20.8pt;margin-top:12.65pt;width:14.3pt;height:14.95pt;z-index:251662336;mso-position-horizontal-relative:text;mso-position-vertical-relative:text" fillcolor="red" strokecolor="black [3213]"/>
              </w:pict>
            </w:r>
          </w:p>
        </w:tc>
      </w:tr>
      <w:tr w:rsidR="000F695C" w:rsidRPr="00B33430" w:rsidTr="000F695C">
        <w:trPr>
          <w:gridBefore w:val="1"/>
          <w:gridAfter w:val="1"/>
          <w:wBefore w:w="142" w:type="dxa"/>
          <w:wAfter w:w="390" w:type="dxa"/>
          <w:trHeight w:val="809"/>
        </w:trPr>
        <w:tc>
          <w:tcPr>
            <w:tcW w:w="6662" w:type="dxa"/>
            <w:gridSpan w:val="4"/>
            <w:tcBorders>
              <w:top w:val="single" w:sz="4" w:space="0" w:color="auto"/>
              <w:left w:val="single" w:sz="4" w:space="0" w:color="auto"/>
              <w:right w:val="single" w:sz="4" w:space="0" w:color="auto"/>
            </w:tcBorders>
          </w:tcPr>
          <w:p w:rsidR="000F695C" w:rsidRPr="00C4202A" w:rsidRDefault="000F695C" w:rsidP="002E1C54">
            <w:pPr>
              <w:spacing w:before="120" w:after="120"/>
              <w:ind w:left="175" w:hanging="175"/>
              <w:rPr>
                <w:rFonts w:ascii="Arial Narrow" w:eastAsia="Calibri" w:hAnsi="Arial Narrow"/>
                <w:sz w:val="20"/>
                <w:szCs w:val="20"/>
              </w:rPr>
            </w:pPr>
            <w:r w:rsidRPr="00C4202A">
              <w:rPr>
                <w:rFonts w:ascii="Arial Narrow" w:eastAsia="Calibri" w:hAnsi="Arial Narrow"/>
                <w:sz w:val="20"/>
                <w:szCs w:val="20"/>
              </w:rPr>
              <w:t xml:space="preserve">4. </w:t>
            </w:r>
            <w:r w:rsidRPr="000F695C">
              <w:rPr>
                <w:rFonts w:ascii="Arial Narrow" w:eastAsia="Calibri" w:hAnsi="Arial Narrow"/>
                <w:sz w:val="20"/>
                <w:szCs w:val="20"/>
                <w:lang w:val="en-US"/>
              </w:rPr>
              <w:t>All Aboriginal and Torres Strait Islander employees in the ACTPS have learning and development / career plans.</w:t>
            </w:r>
          </w:p>
        </w:tc>
        <w:tc>
          <w:tcPr>
            <w:tcW w:w="1418" w:type="dxa"/>
            <w:tcBorders>
              <w:top w:val="single" w:sz="4" w:space="0" w:color="auto"/>
              <w:left w:val="single" w:sz="4" w:space="0" w:color="auto"/>
              <w:right w:val="single" w:sz="4" w:space="0" w:color="auto"/>
            </w:tcBorders>
            <w:shd w:val="clear" w:color="auto" w:fill="auto"/>
            <w:vAlign w:val="center"/>
          </w:tcPr>
          <w:p w:rsidR="000F695C" w:rsidRPr="00C4202A" w:rsidRDefault="00DC4D6C" w:rsidP="002E1C54">
            <w:pPr>
              <w:spacing w:before="120" w:after="120"/>
              <w:jc w:val="center"/>
              <w:rPr>
                <w:rFonts w:ascii="Arial Narrow" w:eastAsia="Calibri" w:hAnsi="Arial Narrow"/>
                <w:sz w:val="20"/>
                <w:szCs w:val="20"/>
              </w:rPr>
            </w:pPr>
            <w:r>
              <w:rPr>
                <w:rFonts w:ascii="Arial Narrow" w:eastAsia="Calibri" w:hAnsi="Arial Narrow"/>
                <w:noProof/>
                <w:sz w:val="20"/>
                <w:szCs w:val="20"/>
                <w:lang w:eastAsia="en-AU"/>
              </w:rPr>
              <w:pict>
                <v:oval id="_x0000_s1047" style="position:absolute;left:0;text-align:left;margin-left:20.8pt;margin-top:14.2pt;width:14.3pt;height:14.95pt;z-index:251663360;mso-position-horizontal-relative:text;mso-position-vertical-relative:text" fillcolor="red" strokecolor="black [3213]"/>
              </w:pict>
            </w:r>
          </w:p>
        </w:tc>
      </w:tr>
      <w:tr w:rsidR="000F695C" w:rsidRPr="00B33430" w:rsidTr="000F695C">
        <w:trPr>
          <w:gridBefore w:val="1"/>
          <w:gridAfter w:val="1"/>
          <w:wBefore w:w="142" w:type="dxa"/>
          <w:wAfter w:w="390" w:type="dxa"/>
        </w:trPr>
        <w:tc>
          <w:tcPr>
            <w:tcW w:w="8080" w:type="dxa"/>
            <w:gridSpan w:val="5"/>
            <w:tcBorders>
              <w:top w:val="single" w:sz="4" w:space="0" w:color="auto"/>
              <w:left w:val="single" w:sz="4" w:space="0" w:color="auto"/>
              <w:bottom w:val="single" w:sz="4" w:space="0" w:color="auto"/>
              <w:right w:val="single" w:sz="4" w:space="0" w:color="auto"/>
            </w:tcBorders>
            <w:shd w:val="clear" w:color="auto" w:fill="FABF8F"/>
          </w:tcPr>
          <w:p w:rsidR="000F695C" w:rsidRPr="00C4202A" w:rsidRDefault="000F695C" w:rsidP="002E1C54">
            <w:pPr>
              <w:spacing w:before="120" w:after="120"/>
              <w:rPr>
                <w:rFonts w:ascii="Arial Narrow" w:eastAsia="Calibri" w:hAnsi="Arial Narrow"/>
                <w:b/>
                <w:sz w:val="20"/>
                <w:szCs w:val="20"/>
              </w:rPr>
            </w:pPr>
            <w:r w:rsidRPr="00C4202A">
              <w:rPr>
                <w:rFonts w:ascii="Arial Narrow" w:eastAsia="Calibri" w:hAnsi="Arial Narrow"/>
                <w:b/>
                <w:sz w:val="20"/>
                <w:szCs w:val="20"/>
              </w:rPr>
              <w:t xml:space="preserve">Attracting Aboriginal and Torres Strait Islander people </w:t>
            </w:r>
          </w:p>
        </w:tc>
      </w:tr>
      <w:tr w:rsidR="000F695C" w:rsidRPr="00B33430" w:rsidTr="000F695C">
        <w:trPr>
          <w:gridBefore w:val="1"/>
          <w:gridAfter w:val="1"/>
          <w:wBefore w:w="142" w:type="dxa"/>
          <w:wAfter w:w="390" w:type="dxa"/>
          <w:trHeight w:val="809"/>
        </w:trPr>
        <w:tc>
          <w:tcPr>
            <w:tcW w:w="6662" w:type="dxa"/>
            <w:gridSpan w:val="4"/>
            <w:tcBorders>
              <w:top w:val="single" w:sz="4" w:space="0" w:color="auto"/>
              <w:left w:val="single" w:sz="4" w:space="0" w:color="auto"/>
              <w:right w:val="single" w:sz="4" w:space="0" w:color="auto"/>
            </w:tcBorders>
          </w:tcPr>
          <w:p w:rsidR="000F695C" w:rsidRPr="00C4202A" w:rsidRDefault="000F695C" w:rsidP="00D34815">
            <w:pPr>
              <w:spacing w:before="120" w:after="120"/>
              <w:ind w:left="176" w:hanging="176"/>
              <w:rPr>
                <w:rFonts w:ascii="Arial Narrow" w:eastAsia="Calibri" w:hAnsi="Arial Narrow"/>
                <w:sz w:val="20"/>
                <w:szCs w:val="20"/>
              </w:rPr>
            </w:pPr>
            <w:r w:rsidRPr="00C4202A">
              <w:rPr>
                <w:rFonts w:ascii="Arial Narrow" w:eastAsia="Calibri" w:hAnsi="Arial Narrow"/>
                <w:sz w:val="20"/>
                <w:szCs w:val="20"/>
              </w:rPr>
              <w:t xml:space="preserve">5. </w:t>
            </w:r>
            <w:r w:rsidRPr="000F695C">
              <w:rPr>
                <w:rFonts w:ascii="Arial Narrow" w:eastAsia="Calibri" w:hAnsi="Arial Narrow"/>
                <w:sz w:val="20"/>
                <w:szCs w:val="20"/>
                <w:lang w:val="en-US"/>
              </w:rPr>
              <w:t>The percentage share of the ACTPS composed of Aboriginal and Torres Strait Islander people progressively increases from 176 (or 0.9 per cent) to 407 employees (or 2 per cent) by 2015.</w:t>
            </w:r>
          </w:p>
        </w:tc>
        <w:tc>
          <w:tcPr>
            <w:tcW w:w="1418" w:type="dxa"/>
            <w:tcBorders>
              <w:top w:val="single" w:sz="4" w:space="0" w:color="auto"/>
              <w:left w:val="single" w:sz="4" w:space="0" w:color="auto"/>
              <w:right w:val="single" w:sz="4" w:space="0" w:color="auto"/>
            </w:tcBorders>
            <w:shd w:val="clear" w:color="auto" w:fill="auto"/>
          </w:tcPr>
          <w:p w:rsidR="000F695C" w:rsidRPr="00C4202A" w:rsidRDefault="00DC4D6C" w:rsidP="002E1C54">
            <w:pPr>
              <w:spacing w:before="120" w:after="120"/>
              <w:jc w:val="center"/>
              <w:rPr>
                <w:rFonts w:ascii="Arial Narrow" w:eastAsia="Calibri" w:hAnsi="Arial Narrow"/>
                <w:b/>
                <w:sz w:val="20"/>
                <w:szCs w:val="20"/>
              </w:rPr>
            </w:pPr>
            <w:r>
              <w:rPr>
                <w:rFonts w:ascii="Arial Narrow" w:eastAsia="Calibri" w:hAnsi="Arial Narrow"/>
                <w:b/>
                <w:noProof/>
                <w:sz w:val="20"/>
                <w:szCs w:val="20"/>
                <w:lang w:eastAsia="en-AU"/>
              </w:rPr>
              <w:pict>
                <v:oval id="_x0000_s1048" style="position:absolute;left:0;text-align:left;margin-left:20.8pt;margin-top:11.95pt;width:14.3pt;height:14.95pt;z-index:251664384;mso-position-horizontal-relative:text;mso-position-vertical-relative:text" fillcolor="#e36c0a" strokecolor="black [3213]"/>
              </w:pict>
            </w:r>
          </w:p>
        </w:tc>
      </w:tr>
      <w:tr w:rsidR="000F695C" w:rsidRPr="00B33430" w:rsidTr="000F695C">
        <w:trPr>
          <w:gridBefore w:val="1"/>
          <w:gridAfter w:val="1"/>
          <w:wBefore w:w="142" w:type="dxa"/>
          <w:wAfter w:w="390" w:type="dxa"/>
          <w:trHeight w:val="809"/>
        </w:trPr>
        <w:tc>
          <w:tcPr>
            <w:tcW w:w="6662" w:type="dxa"/>
            <w:gridSpan w:val="4"/>
            <w:tcBorders>
              <w:top w:val="single" w:sz="4" w:space="0" w:color="auto"/>
              <w:left w:val="single" w:sz="4" w:space="0" w:color="auto"/>
              <w:right w:val="single" w:sz="4" w:space="0" w:color="auto"/>
            </w:tcBorders>
          </w:tcPr>
          <w:p w:rsidR="000F695C" w:rsidRPr="00C4202A" w:rsidRDefault="000F695C" w:rsidP="002E1C54">
            <w:pPr>
              <w:spacing w:before="120" w:after="120"/>
              <w:ind w:left="175" w:hanging="175"/>
              <w:rPr>
                <w:rFonts w:ascii="Arial Narrow" w:eastAsia="Calibri" w:hAnsi="Arial Narrow"/>
                <w:sz w:val="20"/>
                <w:szCs w:val="20"/>
              </w:rPr>
            </w:pPr>
            <w:r w:rsidRPr="00C4202A">
              <w:rPr>
                <w:rFonts w:ascii="Arial Narrow" w:eastAsia="Calibri" w:hAnsi="Arial Narrow"/>
                <w:sz w:val="20"/>
                <w:szCs w:val="20"/>
              </w:rPr>
              <w:t xml:space="preserve">6. </w:t>
            </w:r>
            <w:r w:rsidRPr="000F695C">
              <w:rPr>
                <w:rFonts w:ascii="Arial Narrow" w:eastAsia="Calibri" w:hAnsi="Arial Narrow"/>
                <w:sz w:val="20"/>
                <w:szCs w:val="20"/>
                <w:lang w:val="en-US"/>
              </w:rPr>
              <w:t>The number and percentage share of new ACTPS permanent employees recruited who tell us they are an Aboriginal or Torres Strait Islander person is progressively increased.</w:t>
            </w:r>
          </w:p>
        </w:tc>
        <w:tc>
          <w:tcPr>
            <w:tcW w:w="1418" w:type="dxa"/>
            <w:tcBorders>
              <w:top w:val="single" w:sz="4" w:space="0" w:color="auto"/>
              <w:left w:val="single" w:sz="4" w:space="0" w:color="auto"/>
              <w:right w:val="single" w:sz="4" w:space="0" w:color="auto"/>
            </w:tcBorders>
            <w:shd w:val="clear" w:color="auto" w:fill="auto"/>
            <w:vAlign w:val="center"/>
          </w:tcPr>
          <w:p w:rsidR="000F695C" w:rsidRPr="00C4202A" w:rsidRDefault="00DC4D6C" w:rsidP="002E1C54">
            <w:pPr>
              <w:spacing w:before="120" w:after="120"/>
              <w:jc w:val="center"/>
              <w:rPr>
                <w:rFonts w:ascii="Arial Narrow" w:eastAsia="Calibri" w:hAnsi="Arial Narrow"/>
                <w:b/>
                <w:sz w:val="20"/>
                <w:szCs w:val="20"/>
              </w:rPr>
            </w:pPr>
            <w:r>
              <w:rPr>
                <w:rFonts w:ascii="Arial Narrow" w:eastAsia="Calibri" w:hAnsi="Arial Narrow"/>
                <w:b/>
                <w:noProof/>
                <w:sz w:val="20"/>
                <w:szCs w:val="20"/>
                <w:lang w:eastAsia="en-AU"/>
              </w:rPr>
              <w:pict>
                <v:oval id="_x0000_s1049" style="position:absolute;left:0;text-align:left;margin-left:21.25pt;margin-top:14.3pt;width:14.3pt;height:14.95pt;z-index:251665408;mso-position-horizontal-relative:text;mso-position-vertical-relative:text" fillcolor="#e36c0a" strokecolor="black [3213]"/>
              </w:pict>
            </w:r>
          </w:p>
        </w:tc>
      </w:tr>
      <w:tr w:rsidR="00581F10" w:rsidRPr="006C0055" w:rsidTr="000F695C">
        <w:tc>
          <w:tcPr>
            <w:tcW w:w="887" w:type="dxa"/>
            <w:gridSpan w:val="2"/>
            <w:tcBorders>
              <w:top w:val="single" w:sz="4" w:space="0" w:color="auto"/>
              <w:left w:val="nil"/>
              <w:bottom w:val="nil"/>
              <w:right w:val="nil"/>
            </w:tcBorders>
          </w:tcPr>
          <w:p w:rsidR="00581F10" w:rsidRPr="006C0055" w:rsidRDefault="00581F10" w:rsidP="00581F10">
            <w:pPr>
              <w:pStyle w:val="Bodytext"/>
              <w:numPr>
                <w:ilvl w:val="0"/>
                <w:numId w:val="0"/>
              </w:numPr>
              <w:spacing w:before="120" w:after="0" w:line="240" w:lineRule="auto"/>
              <w:rPr>
                <w:b/>
                <w:sz w:val="20"/>
                <w:szCs w:val="20"/>
                <w:lang w:val="en-US"/>
              </w:rPr>
            </w:pPr>
            <w:r w:rsidRPr="006C0055">
              <w:rPr>
                <w:b/>
                <w:sz w:val="20"/>
                <w:szCs w:val="20"/>
                <w:lang w:val="en-US"/>
              </w:rPr>
              <w:t>Source:</w:t>
            </w:r>
          </w:p>
        </w:tc>
        <w:tc>
          <w:tcPr>
            <w:tcW w:w="7725" w:type="dxa"/>
            <w:gridSpan w:val="5"/>
            <w:tcBorders>
              <w:top w:val="single" w:sz="4" w:space="0" w:color="auto"/>
              <w:left w:val="nil"/>
              <w:bottom w:val="nil"/>
              <w:right w:val="nil"/>
            </w:tcBorders>
          </w:tcPr>
          <w:p w:rsidR="00581F10" w:rsidRDefault="00581F10" w:rsidP="00581F10">
            <w:pPr>
              <w:pStyle w:val="Bodytext"/>
              <w:numPr>
                <w:ilvl w:val="0"/>
                <w:numId w:val="0"/>
              </w:numPr>
              <w:spacing w:before="120" w:after="0" w:line="240" w:lineRule="auto"/>
              <w:rPr>
                <w:sz w:val="20"/>
                <w:szCs w:val="20"/>
              </w:rPr>
            </w:pPr>
            <w:r w:rsidRPr="006C0055">
              <w:rPr>
                <w:sz w:val="20"/>
                <w:szCs w:val="20"/>
              </w:rPr>
              <w:t xml:space="preserve">ACT Public Service, </w:t>
            </w:r>
            <w:r w:rsidRPr="006C0055">
              <w:rPr>
                <w:i/>
                <w:sz w:val="20"/>
                <w:szCs w:val="20"/>
              </w:rPr>
              <w:t xml:space="preserve">Employment Strategy for Aboriginal and Torres Strait Islander People </w:t>
            </w:r>
            <w:r w:rsidRPr="006C0055">
              <w:rPr>
                <w:sz w:val="20"/>
                <w:szCs w:val="20"/>
              </w:rPr>
              <w:t>[2011-2015], p. 11.</w:t>
            </w:r>
          </w:p>
          <w:p w:rsidR="000F695C" w:rsidRDefault="000F695C" w:rsidP="00581F10">
            <w:pPr>
              <w:pStyle w:val="Bodytext"/>
              <w:numPr>
                <w:ilvl w:val="0"/>
                <w:numId w:val="0"/>
              </w:numPr>
              <w:spacing w:before="120" w:after="0" w:line="240" w:lineRule="auto"/>
              <w:rPr>
                <w:sz w:val="20"/>
                <w:szCs w:val="20"/>
              </w:rPr>
            </w:pPr>
          </w:p>
          <w:p w:rsidR="000F695C" w:rsidRPr="006C0055" w:rsidRDefault="000F695C" w:rsidP="00581F10">
            <w:pPr>
              <w:pStyle w:val="Bodytext"/>
              <w:numPr>
                <w:ilvl w:val="0"/>
                <w:numId w:val="0"/>
              </w:numPr>
              <w:spacing w:before="120" w:after="0" w:line="240" w:lineRule="auto"/>
              <w:rPr>
                <w:sz w:val="20"/>
                <w:szCs w:val="20"/>
                <w:lang w:val="en-US"/>
              </w:rPr>
            </w:pPr>
          </w:p>
        </w:tc>
      </w:tr>
      <w:tr w:rsidR="000F695C" w:rsidRPr="00B33430" w:rsidTr="000F695C">
        <w:trPr>
          <w:gridBefore w:val="1"/>
          <w:gridAfter w:val="3"/>
          <w:wBefore w:w="142" w:type="dxa"/>
          <w:wAfter w:w="5635" w:type="dxa"/>
        </w:trPr>
        <w:tc>
          <w:tcPr>
            <w:tcW w:w="2835" w:type="dxa"/>
            <w:gridSpan w:val="3"/>
            <w:tcBorders>
              <w:top w:val="nil"/>
              <w:left w:val="nil"/>
              <w:bottom w:val="nil"/>
              <w:right w:val="nil"/>
            </w:tcBorders>
          </w:tcPr>
          <w:p w:rsidR="000F695C" w:rsidRPr="00182D01" w:rsidRDefault="000F695C" w:rsidP="002E1C54">
            <w:pPr>
              <w:rPr>
                <w:rFonts w:eastAsia="Calibri"/>
                <w:b/>
                <w:sz w:val="16"/>
                <w:szCs w:val="16"/>
              </w:rPr>
            </w:pPr>
            <w:r w:rsidRPr="00182D01">
              <w:rPr>
                <w:rFonts w:eastAsia="Calibri"/>
                <w:b/>
                <w:sz w:val="16"/>
                <w:szCs w:val="16"/>
              </w:rPr>
              <w:t>Key:</w:t>
            </w:r>
          </w:p>
        </w:tc>
      </w:tr>
      <w:tr w:rsidR="000F695C" w:rsidRPr="00B33430" w:rsidTr="000F695C">
        <w:trPr>
          <w:gridBefore w:val="1"/>
          <w:gridAfter w:val="3"/>
          <w:wBefore w:w="142" w:type="dxa"/>
          <w:wAfter w:w="5635" w:type="dxa"/>
        </w:trPr>
        <w:tc>
          <w:tcPr>
            <w:tcW w:w="2552" w:type="dxa"/>
            <w:gridSpan w:val="2"/>
            <w:tcBorders>
              <w:top w:val="nil"/>
              <w:left w:val="nil"/>
              <w:bottom w:val="nil"/>
              <w:right w:val="single" w:sz="4" w:space="0" w:color="auto"/>
            </w:tcBorders>
          </w:tcPr>
          <w:p w:rsidR="000F695C" w:rsidRPr="00182D01" w:rsidRDefault="000F695C" w:rsidP="002E1C54">
            <w:pPr>
              <w:ind w:left="175" w:hanging="175"/>
              <w:rPr>
                <w:rFonts w:eastAsia="Calibri"/>
                <w:sz w:val="16"/>
                <w:szCs w:val="16"/>
              </w:rPr>
            </w:pPr>
            <w:r w:rsidRPr="00182D01">
              <w:rPr>
                <w:rFonts w:eastAsia="Calibri"/>
                <w:sz w:val="16"/>
                <w:szCs w:val="16"/>
              </w:rPr>
              <w:t>Target will be met by 2015</w:t>
            </w:r>
          </w:p>
        </w:tc>
        <w:tc>
          <w:tcPr>
            <w:tcW w:w="283" w:type="dxa"/>
            <w:tcBorders>
              <w:top w:val="single" w:sz="4" w:space="0" w:color="auto"/>
              <w:left w:val="single" w:sz="4" w:space="0" w:color="auto"/>
              <w:bottom w:val="single" w:sz="4" w:space="0" w:color="auto"/>
              <w:right w:val="single" w:sz="4" w:space="0" w:color="auto"/>
            </w:tcBorders>
            <w:shd w:val="clear" w:color="auto" w:fill="00B050"/>
            <w:vAlign w:val="center"/>
          </w:tcPr>
          <w:p w:rsidR="000F695C" w:rsidRPr="00182D01" w:rsidRDefault="000F695C" w:rsidP="002E1C54">
            <w:pPr>
              <w:jc w:val="center"/>
              <w:rPr>
                <w:rFonts w:eastAsia="Calibri"/>
                <w:b/>
                <w:color w:val="00B050"/>
                <w:sz w:val="16"/>
                <w:szCs w:val="16"/>
              </w:rPr>
            </w:pPr>
            <w:r w:rsidRPr="00182D01">
              <w:rPr>
                <w:rFonts w:eastAsia="Calibri"/>
                <w:b/>
                <w:color w:val="00B050"/>
                <w:sz w:val="16"/>
                <w:szCs w:val="16"/>
              </w:rPr>
              <w:t>1</w:t>
            </w:r>
          </w:p>
        </w:tc>
      </w:tr>
      <w:tr w:rsidR="000F695C" w:rsidRPr="00B33430" w:rsidTr="000F695C">
        <w:trPr>
          <w:gridBefore w:val="1"/>
          <w:gridAfter w:val="3"/>
          <w:wBefore w:w="142" w:type="dxa"/>
          <w:wAfter w:w="5635" w:type="dxa"/>
        </w:trPr>
        <w:tc>
          <w:tcPr>
            <w:tcW w:w="2552" w:type="dxa"/>
            <w:gridSpan w:val="2"/>
            <w:tcBorders>
              <w:top w:val="nil"/>
              <w:left w:val="nil"/>
              <w:bottom w:val="nil"/>
              <w:right w:val="single" w:sz="4" w:space="0" w:color="auto"/>
            </w:tcBorders>
          </w:tcPr>
          <w:p w:rsidR="000F695C" w:rsidRPr="00182D01" w:rsidRDefault="000F695C" w:rsidP="002E1C54">
            <w:pPr>
              <w:ind w:left="175" w:hanging="175"/>
              <w:rPr>
                <w:rFonts w:eastAsia="Calibri"/>
                <w:sz w:val="16"/>
                <w:szCs w:val="16"/>
              </w:rPr>
            </w:pPr>
            <w:r w:rsidRPr="00182D01">
              <w:rPr>
                <w:rFonts w:eastAsia="Calibri"/>
                <w:sz w:val="16"/>
                <w:szCs w:val="16"/>
              </w:rPr>
              <w:t>Target may be met by 2015</w:t>
            </w:r>
          </w:p>
        </w:tc>
        <w:tc>
          <w:tcPr>
            <w:tcW w:w="283" w:type="dxa"/>
            <w:tcBorders>
              <w:top w:val="single" w:sz="4" w:space="0" w:color="auto"/>
              <w:left w:val="single" w:sz="4" w:space="0" w:color="auto"/>
              <w:bottom w:val="single" w:sz="4" w:space="0" w:color="auto"/>
              <w:right w:val="single" w:sz="4" w:space="0" w:color="auto"/>
            </w:tcBorders>
            <w:shd w:val="clear" w:color="auto" w:fill="E36C0A"/>
            <w:vAlign w:val="center"/>
          </w:tcPr>
          <w:p w:rsidR="000F695C" w:rsidRPr="00182D01" w:rsidRDefault="000F695C" w:rsidP="002E1C54">
            <w:pPr>
              <w:jc w:val="center"/>
              <w:rPr>
                <w:rFonts w:eastAsia="Calibri"/>
                <w:b/>
                <w:color w:val="E36C0A" w:themeColor="accent6" w:themeShade="BF"/>
                <w:sz w:val="16"/>
                <w:szCs w:val="16"/>
              </w:rPr>
            </w:pPr>
            <w:r w:rsidRPr="00182D01">
              <w:rPr>
                <w:rFonts w:eastAsia="Calibri"/>
                <w:b/>
                <w:color w:val="E36C0A" w:themeColor="accent6" w:themeShade="BF"/>
                <w:sz w:val="16"/>
                <w:szCs w:val="16"/>
              </w:rPr>
              <w:t>2</w:t>
            </w:r>
          </w:p>
        </w:tc>
      </w:tr>
      <w:tr w:rsidR="000F695C" w:rsidRPr="00B33430" w:rsidTr="000F695C">
        <w:trPr>
          <w:gridBefore w:val="1"/>
          <w:gridAfter w:val="3"/>
          <w:wBefore w:w="142" w:type="dxa"/>
          <w:wAfter w:w="5635" w:type="dxa"/>
        </w:trPr>
        <w:tc>
          <w:tcPr>
            <w:tcW w:w="2552" w:type="dxa"/>
            <w:gridSpan w:val="2"/>
            <w:tcBorders>
              <w:top w:val="nil"/>
              <w:left w:val="nil"/>
              <w:bottom w:val="nil"/>
              <w:right w:val="single" w:sz="4" w:space="0" w:color="auto"/>
            </w:tcBorders>
          </w:tcPr>
          <w:p w:rsidR="000F695C" w:rsidRPr="00182D01" w:rsidRDefault="000F695C" w:rsidP="002E1C54">
            <w:pPr>
              <w:ind w:left="175" w:hanging="175"/>
              <w:rPr>
                <w:rFonts w:eastAsia="Calibri"/>
                <w:sz w:val="16"/>
                <w:szCs w:val="16"/>
              </w:rPr>
            </w:pPr>
            <w:r w:rsidRPr="00182D01">
              <w:rPr>
                <w:rFonts w:eastAsia="Calibri"/>
                <w:sz w:val="16"/>
                <w:szCs w:val="16"/>
              </w:rPr>
              <w:t>Target will not be met by 2015</w:t>
            </w:r>
          </w:p>
        </w:tc>
        <w:tc>
          <w:tcPr>
            <w:tcW w:w="283" w:type="dxa"/>
            <w:tcBorders>
              <w:top w:val="single" w:sz="4" w:space="0" w:color="auto"/>
              <w:left w:val="single" w:sz="4" w:space="0" w:color="auto"/>
              <w:bottom w:val="single" w:sz="4" w:space="0" w:color="auto"/>
              <w:right w:val="single" w:sz="4" w:space="0" w:color="auto"/>
            </w:tcBorders>
            <w:shd w:val="clear" w:color="auto" w:fill="FF0000"/>
            <w:vAlign w:val="center"/>
          </w:tcPr>
          <w:p w:rsidR="000F695C" w:rsidRPr="00182D01" w:rsidRDefault="000F695C" w:rsidP="002E1C54">
            <w:pPr>
              <w:jc w:val="center"/>
              <w:rPr>
                <w:rFonts w:eastAsia="Calibri"/>
                <w:b/>
                <w:color w:val="FF0000"/>
                <w:sz w:val="16"/>
                <w:szCs w:val="16"/>
              </w:rPr>
            </w:pPr>
            <w:r w:rsidRPr="00182D01">
              <w:rPr>
                <w:rFonts w:eastAsia="Calibri"/>
                <w:b/>
                <w:color w:val="FF0000"/>
                <w:sz w:val="16"/>
                <w:szCs w:val="16"/>
              </w:rPr>
              <w:t>3</w:t>
            </w:r>
          </w:p>
        </w:tc>
      </w:tr>
    </w:tbl>
    <w:p w:rsidR="00581F10" w:rsidRPr="00033478" w:rsidRDefault="00581F10" w:rsidP="00033478">
      <w:pPr>
        <w:pStyle w:val="Bodytextnonumbering"/>
      </w:pPr>
    </w:p>
    <w:sectPr w:rsidR="00581F10" w:rsidRPr="00033478" w:rsidSect="003F06EE">
      <w:pgSz w:w="11907" w:h="16840" w:code="9"/>
      <w:pgMar w:top="1588" w:right="1418" w:bottom="1418" w:left="1418" w:header="720" w:footer="85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368F" w:rsidRDefault="0010368F">
      <w:r>
        <w:separator/>
      </w:r>
    </w:p>
    <w:p w:rsidR="0010368F" w:rsidRDefault="0010368F"/>
    <w:p w:rsidR="0010368F" w:rsidRDefault="0010368F"/>
    <w:p w:rsidR="0010368F" w:rsidRDefault="0010368F"/>
  </w:endnote>
  <w:endnote w:type="continuationSeparator" w:id="0">
    <w:p w:rsidR="0010368F" w:rsidRDefault="0010368F">
      <w:r>
        <w:continuationSeparator/>
      </w:r>
    </w:p>
    <w:p w:rsidR="0010368F" w:rsidRDefault="0010368F"/>
    <w:p w:rsidR="0010368F" w:rsidRDefault="0010368F"/>
    <w:p w:rsidR="0010368F" w:rsidRDefault="0010368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LT Std 45 Light">
    <w:panose1 w:val="00000000000000000000"/>
    <w:charset w:val="00"/>
    <w:family w:val="swiss"/>
    <w:notTrueType/>
    <w:pitch w:val="variable"/>
    <w:sig w:usb0="800000AF" w:usb1="4000204A" w:usb2="00000000" w:usb3="00000000" w:csb0="00000001" w:csb1="00000000"/>
  </w:font>
  <w:font w:name="Univers LT Std 55">
    <w:panose1 w:val="020B0603020202020204"/>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68F" w:rsidRDefault="00DC4D6C">
    <w:pPr>
      <w:pStyle w:val="Footer"/>
    </w:pPr>
    <w:fldSimple w:instr=" PAGE   \* MERGEFORMAT ">
      <w:r w:rsidR="007B7864">
        <w:rPr>
          <w:noProof/>
        </w:rPr>
        <w:t>viii</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68F" w:rsidRDefault="00DC4D6C" w:rsidP="007F2DDA">
    <w:pPr>
      <w:pStyle w:val="Footer"/>
      <w:framePr w:wrap="around" w:vAnchor="text" w:hAnchor="margin" w:xAlign="outside" w:y="1"/>
      <w:rPr>
        <w:rStyle w:val="PageNumber"/>
      </w:rPr>
    </w:pPr>
    <w:r>
      <w:rPr>
        <w:rStyle w:val="PageNumber"/>
      </w:rPr>
      <w:fldChar w:fldCharType="begin"/>
    </w:r>
    <w:r w:rsidR="0010368F">
      <w:rPr>
        <w:rStyle w:val="PageNumber"/>
      </w:rPr>
      <w:instrText xml:space="preserve">PAGE  </w:instrText>
    </w:r>
    <w:r>
      <w:rPr>
        <w:rStyle w:val="PageNumber"/>
      </w:rPr>
      <w:fldChar w:fldCharType="separate"/>
    </w:r>
    <w:r w:rsidR="007B7864">
      <w:rPr>
        <w:rStyle w:val="PageNumber"/>
        <w:noProof/>
      </w:rPr>
      <w:t>i</w:t>
    </w:r>
    <w:r>
      <w:rPr>
        <w:rStyle w:val="PageNumber"/>
      </w:rPr>
      <w:fldChar w:fldCharType="end"/>
    </w:r>
  </w:p>
  <w:p w:rsidR="0010368F" w:rsidRDefault="0010368F" w:rsidP="005E670D">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68F" w:rsidRDefault="0010368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68F" w:rsidRDefault="0010368F" w:rsidP="005E670D">
    <w:pPr>
      <w:pStyle w:val="Footer"/>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68F" w:rsidRDefault="00DC4D6C" w:rsidP="0038734F">
    <w:pPr>
      <w:pStyle w:val="Footer"/>
      <w:jc w:val="right"/>
    </w:pPr>
    <w:fldSimple w:instr=" PAGE   \* MERGEFORMAT ">
      <w:r w:rsidR="007B7864">
        <w:rPr>
          <w:noProof/>
        </w:rPr>
        <w:t>35</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68F" w:rsidRDefault="00DC4D6C">
    <w:pPr>
      <w:pStyle w:val="Footer"/>
      <w:jc w:val="right"/>
    </w:pPr>
    <w:fldSimple w:instr=" PAGE   \* MERGEFORMAT ">
      <w:r w:rsidR="007B7864">
        <w:rPr>
          <w:noProof/>
        </w:rPr>
        <w:t>119</w:t>
      </w:r>
    </w:fldSimple>
  </w:p>
  <w:p w:rsidR="0010368F" w:rsidRDefault="0010368F">
    <w:pPr>
      <w:spacing w:line="14" w:lineRule="auto"/>
      <w:rPr>
        <w:sz w:val="20"/>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68F" w:rsidRDefault="0010368F" w:rsidP="005E670D">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368F" w:rsidRDefault="0010368F">
      <w:r>
        <w:separator/>
      </w:r>
    </w:p>
    <w:p w:rsidR="0010368F" w:rsidRDefault="0010368F"/>
    <w:p w:rsidR="0010368F" w:rsidRDefault="0010368F"/>
    <w:p w:rsidR="0010368F" w:rsidRDefault="0010368F"/>
  </w:footnote>
  <w:footnote w:type="continuationSeparator" w:id="0">
    <w:p w:rsidR="0010368F" w:rsidRDefault="0010368F">
      <w:r>
        <w:continuationSeparator/>
      </w:r>
    </w:p>
    <w:p w:rsidR="0010368F" w:rsidRDefault="0010368F"/>
    <w:p w:rsidR="0010368F" w:rsidRDefault="0010368F"/>
    <w:p w:rsidR="0010368F" w:rsidRDefault="0010368F"/>
  </w:footnote>
  <w:footnote w:id="1">
    <w:p w:rsidR="0010368F" w:rsidRPr="00074078" w:rsidRDefault="0010368F" w:rsidP="001E7D00">
      <w:pPr>
        <w:pStyle w:val="FootnoteText"/>
        <w:ind w:left="284" w:hanging="284"/>
      </w:pPr>
      <w:r w:rsidRPr="00074078">
        <w:rPr>
          <w:rStyle w:val="FootnoteReference"/>
        </w:rPr>
        <w:footnoteRef/>
      </w:r>
      <w:r w:rsidRPr="00074078">
        <w:t xml:space="preserve"> </w:t>
      </w:r>
      <w:r>
        <w:t xml:space="preserve">    </w:t>
      </w:r>
      <w:r w:rsidRPr="00074078">
        <w:t xml:space="preserve">Legislative Assembly for the ACT, Minutes of Proceedings No. 2, 27 November 2012, pp. 24-27, accessible at </w:t>
      </w:r>
      <w:hyperlink r:id="rId1" w:history="1">
        <w:r w:rsidRPr="00074078">
          <w:rPr>
            <w:rStyle w:val="Hyperlink"/>
            <w:color w:val="auto"/>
          </w:rPr>
          <w:t>http://www.parliament.act.gov.au/__data/assets/pdf_file/0005/393899/MoP_2.pdf</w:t>
        </w:r>
      </w:hyperlink>
    </w:p>
  </w:footnote>
  <w:footnote w:id="2">
    <w:p w:rsidR="0010368F" w:rsidRDefault="0010368F">
      <w:pPr>
        <w:pStyle w:val="FootnoteText"/>
      </w:pPr>
      <w:r>
        <w:rPr>
          <w:rStyle w:val="FootnoteReference"/>
        </w:rPr>
        <w:footnoteRef/>
      </w:r>
      <w:r>
        <w:t xml:space="preserve">   McRae, M (Ed)., Companion to the Standing Orders of the Legislative Assembly of the Australian Capital Territory, Canberra, 2009, p. 1. </w:t>
      </w:r>
    </w:p>
  </w:footnote>
  <w:footnote w:id="3">
    <w:p w:rsidR="0010368F" w:rsidRDefault="0010368F">
      <w:pPr>
        <w:pStyle w:val="FootnoteText"/>
      </w:pPr>
      <w:r>
        <w:rPr>
          <w:rStyle w:val="FootnoteReference"/>
        </w:rPr>
        <w:footnoteRef/>
      </w:r>
      <w:r>
        <w:t xml:space="preserve">   </w:t>
      </w:r>
      <w:hyperlink r:id="rId2" w:history="1">
        <w:r w:rsidRPr="009B52C6">
          <w:rPr>
            <w:rStyle w:val="Hyperlink"/>
          </w:rPr>
          <w:t>http://www.legislation.act.gov.au/a/1994-37/default.asp</w:t>
        </w:r>
      </w:hyperlink>
    </w:p>
  </w:footnote>
  <w:footnote w:id="4">
    <w:p w:rsidR="0010368F" w:rsidRPr="00183A5F" w:rsidRDefault="0010368F">
      <w:pPr>
        <w:pStyle w:val="FootnoteText"/>
        <w:rPr>
          <w:i/>
        </w:rPr>
      </w:pPr>
      <w:r>
        <w:rPr>
          <w:rStyle w:val="FootnoteReference"/>
        </w:rPr>
        <w:footnoteRef/>
      </w:r>
      <w:r>
        <w:t xml:space="preserve">   Hawke, A., </w:t>
      </w:r>
      <w:r>
        <w:rPr>
          <w:i/>
        </w:rPr>
        <w:t xml:space="preserve">Governing the City State: ACTPS Review final report, Canberra, February 2011, p. 42.  </w:t>
      </w:r>
    </w:p>
  </w:footnote>
  <w:footnote w:id="5">
    <w:p w:rsidR="0010368F" w:rsidRDefault="0010368F">
      <w:pPr>
        <w:pStyle w:val="FootnoteText"/>
      </w:pPr>
      <w:r>
        <w:rPr>
          <w:rStyle w:val="FootnoteReference"/>
        </w:rPr>
        <w:footnoteRef/>
      </w:r>
      <w:r>
        <w:t xml:space="preserve">   Hawke, A., </w:t>
      </w:r>
      <w:r>
        <w:rPr>
          <w:i/>
        </w:rPr>
        <w:t xml:space="preserve">Governing the City State: ACTPS Review final report, Canberra, February 2011, p. 42.  </w:t>
      </w:r>
    </w:p>
  </w:footnote>
  <w:footnote w:id="6">
    <w:p w:rsidR="0010368F" w:rsidRDefault="0010368F">
      <w:pPr>
        <w:pStyle w:val="FootnoteText"/>
      </w:pPr>
      <w:r>
        <w:rPr>
          <w:rStyle w:val="FootnoteReference"/>
        </w:rPr>
        <w:footnoteRef/>
      </w:r>
      <w:r>
        <w:t xml:space="preserve">   </w:t>
      </w:r>
      <w:r w:rsidRPr="008E19F4">
        <w:rPr>
          <w:noProof/>
          <w:szCs w:val="18"/>
          <w:lang w:eastAsia="en-AU"/>
        </w:rPr>
        <w:t xml:space="preserve">ACT Public </w:t>
      </w:r>
      <w:r w:rsidRPr="008E19F4">
        <w:rPr>
          <w:rFonts w:ascii="Arial Narrow" w:hAnsi="Arial Narrow"/>
          <w:bCs/>
          <w:kern w:val="26"/>
          <w:szCs w:val="18"/>
        </w:rPr>
        <w:t>Service</w:t>
      </w:r>
      <w:r w:rsidRPr="008E19F4">
        <w:rPr>
          <w:noProof/>
          <w:szCs w:val="18"/>
          <w:lang w:eastAsia="en-AU"/>
        </w:rPr>
        <w:t xml:space="preserve">, </w:t>
      </w:r>
      <w:r w:rsidRPr="008E19F4">
        <w:rPr>
          <w:i/>
          <w:noProof/>
          <w:szCs w:val="18"/>
          <w:lang w:eastAsia="en-AU"/>
        </w:rPr>
        <w:t>Submission to the Standing Committee on Health, Ageing, Community and Social Services – Inquiry into ACT Public Service Aboriginal and Torres Strait Islander Employment</w:t>
      </w:r>
      <w:r w:rsidRPr="008E19F4">
        <w:rPr>
          <w:noProof/>
          <w:szCs w:val="18"/>
          <w:lang w:eastAsia="en-AU"/>
        </w:rPr>
        <w:t>, August</w:t>
      </w:r>
      <w:r>
        <w:rPr>
          <w:noProof/>
          <w:szCs w:val="18"/>
          <w:lang w:eastAsia="en-AU"/>
        </w:rPr>
        <w:t> </w:t>
      </w:r>
      <w:r w:rsidRPr="008E19F4">
        <w:rPr>
          <w:noProof/>
          <w:szCs w:val="18"/>
          <w:lang w:eastAsia="en-AU"/>
        </w:rPr>
        <w:t xml:space="preserve">2013, p. </w:t>
      </w:r>
      <w:r>
        <w:rPr>
          <w:noProof/>
          <w:szCs w:val="18"/>
          <w:lang w:eastAsia="en-AU"/>
        </w:rPr>
        <w:t>17</w:t>
      </w:r>
      <w:r w:rsidRPr="008E19F4">
        <w:rPr>
          <w:noProof/>
          <w:szCs w:val="18"/>
          <w:lang w:eastAsia="en-AU"/>
        </w:rPr>
        <w:t>.</w:t>
      </w:r>
    </w:p>
  </w:footnote>
  <w:footnote w:id="7">
    <w:p w:rsidR="0010368F" w:rsidRDefault="0010368F">
      <w:pPr>
        <w:pStyle w:val="FootnoteText"/>
      </w:pPr>
      <w:r>
        <w:rPr>
          <w:rStyle w:val="FootnoteReference"/>
        </w:rPr>
        <w:footnoteRef/>
      </w:r>
      <w:r>
        <w:t xml:space="preserve">   A transcript of the roundtable is available on the Legislative Assembly website:  </w:t>
      </w:r>
      <w:hyperlink r:id="rId3" w:history="1">
        <w:r w:rsidRPr="009222B8">
          <w:rPr>
            <w:rStyle w:val="Hyperlink"/>
          </w:rPr>
          <w:t>http://www.hansard.act.gov.au/hansard/2013/comms/health09.pdf</w:t>
        </w:r>
      </w:hyperlink>
    </w:p>
    <w:p w:rsidR="0010368F" w:rsidRDefault="0010368F">
      <w:pPr>
        <w:pStyle w:val="FootnoteText"/>
      </w:pPr>
    </w:p>
  </w:footnote>
  <w:footnote w:id="8">
    <w:p w:rsidR="0010368F" w:rsidRDefault="0010368F" w:rsidP="002863BB">
      <w:pPr>
        <w:pStyle w:val="FootnoteText"/>
      </w:pPr>
      <w:r>
        <w:rPr>
          <w:rStyle w:val="FootnoteReference"/>
        </w:rPr>
        <w:footnoteRef/>
      </w:r>
      <w:r>
        <w:t xml:space="preserve"> </w:t>
      </w:r>
      <w:r>
        <w:tab/>
        <w:t xml:space="preserve">The six targets were: </w:t>
      </w:r>
    </w:p>
    <w:p w:rsidR="0010368F" w:rsidRDefault="0010368F" w:rsidP="006C0055">
      <w:pPr>
        <w:pStyle w:val="FootnoteText"/>
        <w:numPr>
          <w:ilvl w:val="0"/>
          <w:numId w:val="7"/>
        </w:numPr>
      </w:pPr>
      <w:r>
        <w:t>to close the gap in life expectancy within a generation (by 2031);</w:t>
      </w:r>
    </w:p>
    <w:p w:rsidR="0010368F" w:rsidRDefault="0010368F" w:rsidP="006C0055">
      <w:pPr>
        <w:pStyle w:val="FootnoteText"/>
        <w:numPr>
          <w:ilvl w:val="0"/>
          <w:numId w:val="7"/>
        </w:numPr>
      </w:pPr>
      <w:r>
        <w:t>to halve the gap in mortality rates for Indigenous children under five by 2018;</w:t>
      </w:r>
    </w:p>
    <w:p w:rsidR="0010368F" w:rsidRDefault="0010368F" w:rsidP="006C0055">
      <w:pPr>
        <w:pStyle w:val="FootnoteText"/>
        <w:numPr>
          <w:ilvl w:val="0"/>
          <w:numId w:val="7"/>
        </w:numPr>
      </w:pPr>
      <w:r>
        <w:t>to ensure access to early childhood education for all Indigenous four year olds in remote communities by 2013;</w:t>
      </w:r>
    </w:p>
    <w:p w:rsidR="0010368F" w:rsidRDefault="0010368F" w:rsidP="006C0055">
      <w:pPr>
        <w:pStyle w:val="FootnoteText"/>
        <w:numPr>
          <w:ilvl w:val="0"/>
          <w:numId w:val="7"/>
        </w:numPr>
      </w:pPr>
      <w:r>
        <w:t>to halve the gap in reading, writing and numeracy achievements for children by 2018;</w:t>
      </w:r>
    </w:p>
    <w:p w:rsidR="0010368F" w:rsidRDefault="0010368F" w:rsidP="006C0055">
      <w:pPr>
        <w:pStyle w:val="FootnoteText"/>
        <w:numPr>
          <w:ilvl w:val="0"/>
          <w:numId w:val="7"/>
        </w:numPr>
      </w:pPr>
      <w:r>
        <w:t>to halve the gap for Indigenous students in Year 12 (or equivalent) attainment rates by 2020; and</w:t>
      </w:r>
    </w:p>
    <w:p w:rsidR="0010368F" w:rsidRDefault="0010368F" w:rsidP="006C0055">
      <w:pPr>
        <w:pStyle w:val="FootnoteText"/>
        <w:numPr>
          <w:ilvl w:val="0"/>
          <w:numId w:val="7"/>
        </w:numPr>
      </w:pPr>
      <w:r>
        <w:t>to halve the gap in employment outcomes between Indigenous and other Australians by 2018.</w:t>
      </w:r>
    </w:p>
  </w:footnote>
  <w:footnote w:id="9">
    <w:p w:rsidR="0010368F" w:rsidRDefault="0010368F" w:rsidP="002863BB">
      <w:pPr>
        <w:pStyle w:val="FootnoteText"/>
      </w:pPr>
      <w:r>
        <w:rPr>
          <w:rStyle w:val="FootnoteReference"/>
        </w:rPr>
        <w:footnoteRef/>
      </w:r>
      <w:r>
        <w:t xml:space="preserve">   ACT Public Service, </w:t>
      </w:r>
      <w:r w:rsidRPr="00D92448">
        <w:rPr>
          <w:i/>
        </w:rPr>
        <w:t>Submission to the Standing Committee on Health, Ageing, Community and Social Services – Inquiry into ACT Public Service Aboriginal and Torres Strait Islander Employment</w:t>
      </w:r>
      <w:r>
        <w:t>, August 2013, p. 5.</w:t>
      </w:r>
    </w:p>
  </w:footnote>
  <w:footnote w:id="10">
    <w:p w:rsidR="0010368F" w:rsidRPr="00C120A7" w:rsidRDefault="0010368F" w:rsidP="002863BB">
      <w:pPr>
        <w:pStyle w:val="FootnoteText"/>
        <w:rPr>
          <w:i/>
        </w:rPr>
      </w:pPr>
      <w:r>
        <w:rPr>
          <w:rStyle w:val="FootnoteReference"/>
        </w:rPr>
        <w:footnoteRef/>
      </w:r>
      <w:r>
        <w:t xml:space="preserve">      ACT Public Service, </w:t>
      </w:r>
      <w:r>
        <w:rPr>
          <w:i/>
        </w:rPr>
        <w:t>Employment Strategy for Aboriginal and Torres Strait Islander People</w:t>
      </w:r>
      <w:r w:rsidRPr="00C120A7">
        <w:t xml:space="preserve"> [2011-2015]</w:t>
      </w:r>
      <w:r>
        <w:t xml:space="preserve">, p. 7. </w:t>
      </w:r>
    </w:p>
  </w:footnote>
  <w:footnote w:id="11">
    <w:p w:rsidR="0010368F" w:rsidRDefault="0010368F" w:rsidP="00003859">
      <w:pPr>
        <w:pStyle w:val="FootnoteText"/>
        <w:ind w:left="284" w:hanging="284"/>
      </w:pPr>
      <w:r>
        <w:rPr>
          <w:rStyle w:val="FootnoteReference"/>
        </w:rPr>
        <w:footnoteRef/>
      </w:r>
      <w:r>
        <w:t xml:space="preserve">    ACT Government, </w:t>
      </w:r>
      <w:r w:rsidRPr="00CC4D83">
        <w:rPr>
          <w:i/>
        </w:rPr>
        <w:t xml:space="preserve">ACT Government response to the Aboriginal and Torres Strait Islander </w:t>
      </w:r>
      <w:r>
        <w:rPr>
          <w:i/>
        </w:rPr>
        <w:t xml:space="preserve">Elected Body </w:t>
      </w:r>
      <w:r w:rsidRPr="00CC4D83">
        <w:rPr>
          <w:i/>
        </w:rPr>
        <w:t>:  Recommendations from 2008-09 Estimates Hearings</w:t>
      </w:r>
      <w:r>
        <w:t xml:space="preserve">. </w:t>
      </w:r>
    </w:p>
  </w:footnote>
  <w:footnote w:id="12">
    <w:p w:rsidR="0010368F" w:rsidRDefault="0010368F" w:rsidP="002863BB">
      <w:pPr>
        <w:pStyle w:val="FootnoteText"/>
      </w:pPr>
      <w:r>
        <w:rPr>
          <w:rStyle w:val="FootnoteReference"/>
        </w:rPr>
        <w:footnoteRef/>
      </w:r>
      <w:r>
        <w:t xml:space="preserve">    Elected Body , Estimates Report, 2010, p.27. </w:t>
      </w:r>
    </w:p>
  </w:footnote>
  <w:footnote w:id="13">
    <w:p w:rsidR="0010368F" w:rsidRDefault="0010368F" w:rsidP="002863BB">
      <w:pPr>
        <w:pStyle w:val="FootnoteText"/>
      </w:pPr>
      <w:r>
        <w:rPr>
          <w:rStyle w:val="FootnoteReference"/>
        </w:rPr>
        <w:footnoteRef/>
      </w:r>
      <w:r>
        <w:t xml:space="preserve">    ACT Public Service, </w:t>
      </w:r>
      <w:r>
        <w:rPr>
          <w:i/>
        </w:rPr>
        <w:t>Employment Strategy for Aboriginal and Torres Strait Islander People</w:t>
      </w:r>
      <w:r w:rsidRPr="00C120A7">
        <w:t xml:space="preserve"> [2011-2015]</w:t>
      </w:r>
      <w:r>
        <w:t>, p. 7.</w:t>
      </w:r>
    </w:p>
  </w:footnote>
  <w:footnote w:id="14">
    <w:p w:rsidR="0010368F" w:rsidRDefault="0010368F">
      <w:pPr>
        <w:pStyle w:val="FootnoteText"/>
      </w:pPr>
      <w:r>
        <w:rPr>
          <w:rStyle w:val="FootnoteReference"/>
        </w:rPr>
        <w:footnoteRef/>
      </w:r>
      <w:r>
        <w:t xml:space="preserve">   ACT Public Service, </w:t>
      </w:r>
      <w:r>
        <w:rPr>
          <w:i/>
        </w:rPr>
        <w:t>Employment Strategy for Aboriginal and Torres Strait Islander People</w:t>
      </w:r>
      <w:r w:rsidRPr="00C120A7">
        <w:t xml:space="preserve"> [2011-2015]</w:t>
      </w:r>
      <w:r>
        <w:t>, p. [8].</w:t>
      </w:r>
    </w:p>
  </w:footnote>
  <w:footnote w:id="15">
    <w:p w:rsidR="0010368F" w:rsidRDefault="0010368F">
      <w:pPr>
        <w:pStyle w:val="FootnoteText"/>
      </w:pPr>
      <w:r>
        <w:rPr>
          <w:rStyle w:val="FootnoteReference"/>
        </w:rPr>
        <w:footnoteRef/>
      </w:r>
      <w:r>
        <w:t xml:space="preserve">   ACT Public Service, </w:t>
      </w:r>
      <w:r>
        <w:rPr>
          <w:i/>
        </w:rPr>
        <w:t>Employment Strategy for Aboriginal and Torres Strait Islander People</w:t>
      </w:r>
      <w:r w:rsidRPr="00C120A7">
        <w:t>[2011-2015]</w:t>
      </w:r>
      <w:r>
        <w:t>, p. [8]</w:t>
      </w:r>
    </w:p>
  </w:footnote>
  <w:footnote w:id="16">
    <w:p w:rsidR="0010368F" w:rsidRDefault="0010368F">
      <w:pPr>
        <w:pStyle w:val="FootnoteText"/>
      </w:pPr>
      <w:r>
        <w:rPr>
          <w:rStyle w:val="FootnoteReference"/>
        </w:rPr>
        <w:footnoteRef/>
      </w:r>
      <w:r>
        <w:t xml:space="preserve">    ACT Public Service, </w:t>
      </w:r>
      <w:r>
        <w:rPr>
          <w:i/>
        </w:rPr>
        <w:t>Employment Strategy for Aboriginal and Torres Strait Islander People</w:t>
      </w:r>
      <w:r w:rsidRPr="00C120A7">
        <w:t xml:space="preserve"> [2011-2015]</w:t>
      </w:r>
      <w:r>
        <w:t>, p [...]</w:t>
      </w:r>
    </w:p>
  </w:footnote>
  <w:footnote w:id="17">
    <w:p w:rsidR="0010368F" w:rsidRDefault="0010368F" w:rsidP="002747A1">
      <w:pPr>
        <w:pStyle w:val="FootnoteText"/>
      </w:pPr>
      <w:r>
        <w:rPr>
          <w:rStyle w:val="FootnoteReference"/>
        </w:rPr>
        <w:footnoteRef/>
      </w:r>
      <w:r>
        <w:t xml:space="preserve">    ACT Public Service, </w:t>
      </w:r>
      <w:r>
        <w:rPr>
          <w:i/>
        </w:rPr>
        <w:t>Employment Strategy for Aboriginal and Torres Strait Islander People</w:t>
      </w:r>
      <w:r w:rsidRPr="00C120A7">
        <w:t xml:space="preserve"> [2011-2015]</w:t>
      </w:r>
      <w:r>
        <w:t>, pp. 9-[10].</w:t>
      </w:r>
    </w:p>
  </w:footnote>
  <w:footnote w:id="18">
    <w:p w:rsidR="0010368F" w:rsidRDefault="0010368F">
      <w:pPr>
        <w:pStyle w:val="FootnoteText"/>
      </w:pPr>
      <w:r>
        <w:rPr>
          <w:rStyle w:val="FootnoteReference"/>
        </w:rPr>
        <w:footnoteRef/>
      </w:r>
      <w:r>
        <w:t xml:space="preserve">    ACT Public Service, </w:t>
      </w:r>
      <w:r>
        <w:rPr>
          <w:i/>
        </w:rPr>
        <w:t>Employment Strategy for Aboriginal and Torres Strait Islander People</w:t>
      </w:r>
      <w:r w:rsidRPr="00C120A7">
        <w:t xml:space="preserve"> [2011-2015]</w:t>
      </w:r>
      <w:r>
        <w:t>, p. [10].</w:t>
      </w:r>
    </w:p>
  </w:footnote>
  <w:footnote w:id="19">
    <w:p w:rsidR="0010368F" w:rsidRDefault="0010368F">
      <w:pPr>
        <w:pStyle w:val="FootnoteText"/>
      </w:pPr>
      <w:r>
        <w:rPr>
          <w:rStyle w:val="FootnoteReference"/>
        </w:rPr>
        <w:footnoteRef/>
      </w:r>
      <w:r>
        <w:t xml:space="preserve">    The Employment Strategy and its Action Plan are provided as Appendix C. </w:t>
      </w:r>
    </w:p>
  </w:footnote>
  <w:footnote w:id="20">
    <w:p w:rsidR="0010368F" w:rsidRDefault="0010368F" w:rsidP="005C75EE">
      <w:pPr>
        <w:pStyle w:val="FootnoteText"/>
        <w:ind w:left="284" w:hanging="284"/>
      </w:pPr>
      <w:r>
        <w:rPr>
          <w:rStyle w:val="FootnoteReference"/>
        </w:rPr>
        <w:footnoteRef/>
      </w:r>
      <w:r>
        <w:t xml:space="preserve">    ACT Public Service, </w:t>
      </w:r>
      <w:r w:rsidRPr="00D92448">
        <w:rPr>
          <w:i/>
        </w:rPr>
        <w:t>Submission to the Standing Committee on Health, Ageing, Community and Social Services – Inquiry into ACT Public Service Aboriginal and Torres Strait Islander Employment</w:t>
      </w:r>
      <w:r>
        <w:t>, August 2013, p. 3.</w:t>
      </w:r>
    </w:p>
  </w:footnote>
  <w:footnote w:id="21">
    <w:p w:rsidR="0010368F" w:rsidRDefault="0010368F" w:rsidP="008D519E">
      <w:pPr>
        <w:pStyle w:val="FootnoteText"/>
        <w:ind w:left="284" w:hanging="284"/>
      </w:pPr>
      <w:r>
        <w:rPr>
          <w:rStyle w:val="FootnoteReference"/>
        </w:rPr>
        <w:footnoteRef/>
      </w:r>
      <w:r>
        <w:t xml:space="preserve">    ACT Public Service, </w:t>
      </w:r>
      <w:r w:rsidRPr="00D92448">
        <w:rPr>
          <w:i/>
        </w:rPr>
        <w:t>Submission to the Standing Committee on Health, Ageing, Community and Social Services – Inquiry into ACT Public Service Aboriginal and Torres Strait Islander Employment</w:t>
      </w:r>
      <w:r>
        <w:t xml:space="preserve">, August 2013, p. 8. </w:t>
      </w:r>
    </w:p>
  </w:footnote>
  <w:footnote w:id="22">
    <w:p w:rsidR="0010368F" w:rsidRDefault="0010368F">
      <w:pPr>
        <w:pStyle w:val="FootnoteText"/>
      </w:pPr>
      <w:r>
        <w:rPr>
          <w:rStyle w:val="FootnoteReference"/>
        </w:rPr>
        <w:footnoteRef/>
      </w:r>
      <w:r>
        <w:t xml:space="preserve">    ACT Aboriginal and Torres Strait Islander Elected Body , Report to Government 2013, Canberra, 2014, p. 9. </w:t>
      </w:r>
    </w:p>
  </w:footnote>
  <w:footnote w:id="23">
    <w:p w:rsidR="0010368F" w:rsidRDefault="0010368F" w:rsidP="003F5ADA">
      <w:pPr>
        <w:pStyle w:val="FootnoteText"/>
        <w:ind w:left="284" w:hanging="284"/>
      </w:pPr>
      <w:r>
        <w:rPr>
          <w:rStyle w:val="FootnoteReference"/>
        </w:rPr>
        <w:footnoteRef/>
      </w:r>
      <w:r>
        <w:t xml:space="preserve">    </w:t>
      </w:r>
      <w:hyperlink r:id="rId4" w:history="1">
        <w:r w:rsidRPr="00E81B75">
          <w:rPr>
            <w:rStyle w:val="Hyperlink"/>
          </w:rPr>
          <w:t>http://www.cmd.act.gov.au/open_government/inform/act_government_media_releases/rattenbury/2014/consultation-to-develop-new-aboriginal-and-torres-strait-islander-agreement</w:t>
        </w:r>
      </w:hyperlink>
      <w:r>
        <w:t xml:space="preserve"> </w:t>
      </w:r>
    </w:p>
  </w:footnote>
  <w:footnote w:id="24">
    <w:p w:rsidR="0010368F" w:rsidRDefault="0010368F" w:rsidP="005A060B">
      <w:pPr>
        <w:pStyle w:val="FootnoteText"/>
        <w:ind w:left="284" w:hanging="284"/>
      </w:pPr>
      <w:r>
        <w:rPr>
          <w:rStyle w:val="FootnoteReference"/>
        </w:rPr>
        <w:footnoteRef/>
      </w:r>
      <w:r>
        <w:t xml:space="preserve">    ACT Public Service, </w:t>
      </w:r>
      <w:r w:rsidRPr="00D92448">
        <w:rPr>
          <w:i/>
        </w:rPr>
        <w:t>Submission to the Standing Committee on Health, Ageing, Community and Social Services – Inquiry into ACT Public Service Aboriginal and Torres Strait Islander Employment</w:t>
      </w:r>
      <w:r>
        <w:t xml:space="preserve">, August 2013, p. 3.   </w:t>
      </w:r>
    </w:p>
  </w:footnote>
  <w:footnote w:id="25">
    <w:p w:rsidR="0010368F" w:rsidRDefault="0010368F" w:rsidP="00D92448">
      <w:pPr>
        <w:pStyle w:val="FootnoteText"/>
        <w:ind w:left="284" w:hanging="284"/>
      </w:pPr>
      <w:r>
        <w:rPr>
          <w:rStyle w:val="FootnoteReference"/>
        </w:rPr>
        <w:footnoteRef/>
      </w:r>
      <w:r>
        <w:t xml:space="preserve">    ACT Public Service, </w:t>
      </w:r>
      <w:r w:rsidRPr="00D92448">
        <w:rPr>
          <w:i/>
        </w:rPr>
        <w:t>Submission to the Standing Committee on Health, Ageing, Community and Social Services – Inquiry into ACT Public Service Aboriginal and Torres Strait Islander Employment</w:t>
      </w:r>
      <w:r>
        <w:t>, August 2013, p. 17.</w:t>
      </w:r>
    </w:p>
  </w:footnote>
  <w:footnote w:id="26">
    <w:p w:rsidR="0010368F" w:rsidRDefault="0010368F" w:rsidP="00F87386">
      <w:pPr>
        <w:pStyle w:val="FootnoteText"/>
        <w:ind w:left="284" w:hanging="284"/>
      </w:pPr>
      <w:r>
        <w:rPr>
          <w:rStyle w:val="FootnoteReference"/>
        </w:rPr>
        <w:footnoteRef/>
      </w:r>
      <w:r>
        <w:t xml:space="preserve">    ACT Public Service, </w:t>
      </w:r>
      <w:r w:rsidRPr="00D92448">
        <w:rPr>
          <w:i/>
        </w:rPr>
        <w:t>Submission to the Standing Committee on Health, Ageing, Community and Social Services – Inquiry into ACT Public Service Aboriginal and Torres Strait Islander Employment</w:t>
      </w:r>
      <w:r>
        <w:t>, August 2013, p. 3</w:t>
      </w:r>
    </w:p>
  </w:footnote>
  <w:footnote w:id="27">
    <w:p w:rsidR="0010368F" w:rsidRDefault="0010368F">
      <w:pPr>
        <w:pStyle w:val="FootnoteText"/>
      </w:pPr>
      <w:r>
        <w:rPr>
          <w:rStyle w:val="FootnoteReference"/>
        </w:rPr>
        <w:footnoteRef/>
      </w:r>
      <w:r>
        <w:t xml:space="preserve">    ACT Aboriginal and Torres Strait Islander Elected Body , [Submission], p. [1]. </w:t>
      </w:r>
    </w:p>
  </w:footnote>
  <w:footnote w:id="28">
    <w:p w:rsidR="0010368F" w:rsidRDefault="0010368F">
      <w:pPr>
        <w:pStyle w:val="FootnoteText"/>
      </w:pPr>
      <w:r>
        <w:rPr>
          <w:rStyle w:val="FootnoteReference"/>
        </w:rPr>
        <w:footnoteRef/>
      </w:r>
      <w:r>
        <w:t xml:space="preserve">    Transcript of Evidence, 11 December 2013, p. 35. </w:t>
      </w:r>
    </w:p>
  </w:footnote>
  <w:footnote w:id="29">
    <w:p w:rsidR="0010368F" w:rsidRDefault="0010368F">
      <w:pPr>
        <w:pStyle w:val="FootnoteText"/>
      </w:pPr>
      <w:r>
        <w:rPr>
          <w:rStyle w:val="FootnoteReference"/>
        </w:rPr>
        <w:footnoteRef/>
      </w:r>
      <w:r>
        <w:t xml:space="preserve">    The Committee understands the meeting took place in early December 2013. </w:t>
      </w:r>
    </w:p>
  </w:footnote>
  <w:footnote w:id="30">
    <w:p w:rsidR="0010368F" w:rsidRDefault="0010368F">
      <w:pPr>
        <w:pStyle w:val="FootnoteText"/>
      </w:pPr>
      <w:r>
        <w:rPr>
          <w:rStyle w:val="FootnoteReference"/>
        </w:rPr>
        <w:footnoteRef/>
      </w:r>
      <w:r>
        <w:t xml:space="preserve">    Transcript of Evidence, 11 December 2013, p. 27.</w:t>
      </w:r>
    </w:p>
  </w:footnote>
  <w:footnote w:id="31">
    <w:p w:rsidR="0010368F" w:rsidRDefault="0010368F" w:rsidP="002824EC">
      <w:pPr>
        <w:pStyle w:val="FootnoteText"/>
        <w:ind w:left="284" w:hanging="284"/>
      </w:pPr>
      <w:r>
        <w:rPr>
          <w:rStyle w:val="FootnoteReference"/>
        </w:rPr>
        <w:footnoteRef/>
      </w:r>
      <w:r>
        <w:t xml:space="preserve">    ACT Aboriginal and Torres Strait Islander Elected Body , </w:t>
      </w:r>
      <w:r w:rsidRPr="002824EC">
        <w:rPr>
          <w:i/>
        </w:rPr>
        <w:t>Submission to the Standing Committee on Health, Ageing, Community and Social Services  for the Inquiry into ACT Public Service Aboriginal and Torres Strait Islander Employment</w:t>
      </w:r>
      <w:r>
        <w:rPr>
          <w:i/>
        </w:rPr>
        <w:t xml:space="preserve">, </w:t>
      </w:r>
      <w:r>
        <w:t xml:space="preserve">Canberra, 2013, p. [4] </w:t>
      </w:r>
    </w:p>
  </w:footnote>
  <w:footnote w:id="32">
    <w:p w:rsidR="0010368F" w:rsidRPr="0060511C" w:rsidRDefault="0010368F" w:rsidP="0060511C">
      <w:pPr>
        <w:pStyle w:val="FootnoteText"/>
        <w:ind w:left="284" w:hanging="284"/>
        <w:rPr>
          <w:i/>
          <w:lang w:val="en-GB"/>
        </w:rPr>
      </w:pPr>
      <w:r>
        <w:rPr>
          <w:rStyle w:val="FootnoteReference"/>
        </w:rPr>
        <w:footnoteRef/>
      </w:r>
      <w:r>
        <w:t xml:space="preserve">    Commonwealth Public Sector Union, </w:t>
      </w:r>
      <w:r w:rsidRPr="0060511C">
        <w:rPr>
          <w:i/>
          <w:lang w:val="en-GB"/>
        </w:rPr>
        <w:t xml:space="preserve">CPSU Submission to the Inquiry into ACT Public Service Aboriginal and Torres Strait Islander </w:t>
      </w:r>
      <w:r w:rsidRPr="0060511C">
        <w:rPr>
          <w:lang w:val="en-GB"/>
        </w:rPr>
        <w:t>Employmen</w:t>
      </w:r>
      <w:r>
        <w:rPr>
          <w:lang w:val="en-GB"/>
        </w:rPr>
        <w:t>t, Canberra, 2013, p. [1].</w:t>
      </w:r>
    </w:p>
    <w:p w:rsidR="0010368F" w:rsidRDefault="0010368F">
      <w:pPr>
        <w:pStyle w:val="FootnoteText"/>
      </w:pPr>
    </w:p>
  </w:footnote>
  <w:footnote w:id="33">
    <w:p w:rsidR="0010368F" w:rsidRDefault="0010368F">
      <w:pPr>
        <w:pStyle w:val="FootnoteText"/>
      </w:pPr>
      <w:r>
        <w:rPr>
          <w:rStyle w:val="FootnoteReference"/>
        </w:rPr>
        <w:footnoteRef/>
      </w:r>
      <w:r>
        <w:t xml:space="preserve">    Transcript of evidence, 11 December 2013, p. 27.</w:t>
      </w:r>
    </w:p>
  </w:footnote>
  <w:footnote w:id="34">
    <w:p w:rsidR="0010368F" w:rsidRDefault="0010368F" w:rsidP="0083578C">
      <w:pPr>
        <w:pStyle w:val="FootnoteText"/>
        <w:ind w:left="284" w:hanging="284"/>
      </w:pPr>
      <w:r>
        <w:rPr>
          <w:rStyle w:val="FootnoteReference"/>
        </w:rPr>
        <w:footnoteRef/>
      </w:r>
      <w:r>
        <w:t xml:space="preserve">    Australian Capital Territory. Commissioner for Public Administration, </w:t>
      </w:r>
      <w:r w:rsidRPr="006106D2">
        <w:rPr>
          <w:i/>
        </w:rPr>
        <w:t>ACT Public Service - State of the Service Report 2013. Canberra, 2013</w:t>
      </w:r>
      <w:r>
        <w:t xml:space="preserve">, p. 71.  </w:t>
      </w:r>
    </w:p>
  </w:footnote>
  <w:footnote w:id="35">
    <w:p w:rsidR="0010368F" w:rsidRDefault="0010368F" w:rsidP="000F6D23">
      <w:pPr>
        <w:pStyle w:val="FootnoteText"/>
        <w:ind w:left="284" w:hanging="284"/>
      </w:pPr>
      <w:r>
        <w:rPr>
          <w:rStyle w:val="FootnoteReference"/>
        </w:rPr>
        <w:footnoteRef/>
      </w:r>
      <w:r>
        <w:t xml:space="preserve">    Commonwealth Public Sector Union, </w:t>
      </w:r>
      <w:r w:rsidRPr="006266EB">
        <w:rPr>
          <w:i/>
          <w:lang w:val="en-GB"/>
        </w:rPr>
        <w:t>CPSU Submission to the Inquiry into ACT Public Service Aboriginal and Torres Strait Islander Employment</w:t>
      </w:r>
      <w:r w:rsidRPr="006266EB">
        <w:rPr>
          <w:lang w:val="en-GB"/>
        </w:rPr>
        <w:t>, Canberra, 16 August 2013, p. [2].</w:t>
      </w:r>
    </w:p>
  </w:footnote>
  <w:footnote w:id="36">
    <w:p w:rsidR="0010368F" w:rsidRDefault="0010368F" w:rsidP="001C5B17">
      <w:pPr>
        <w:pStyle w:val="FootnoteText"/>
      </w:pPr>
      <w:r>
        <w:rPr>
          <w:rStyle w:val="FootnoteReference"/>
        </w:rPr>
        <w:footnoteRef/>
      </w:r>
      <w:r>
        <w:t xml:space="preserve">    Australia.  Department of the Prime Minister and Cabinet.  Cabinet Implementation Unit, Management strategy, p.  4.</w:t>
      </w:r>
    </w:p>
  </w:footnote>
  <w:footnote w:id="37">
    <w:p w:rsidR="0010368F" w:rsidRDefault="0010368F" w:rsidP="00314922">
      <w:pPr>
        <w:pStyle w:val="FootnoteText"/>
        <w:ind w:left="284" w:hanging="284"/>
      </w:pPr>
      <w:r>
        <w:rPr>
          <w:rStyle w:val="FootnoteReference"/>
        </w:rPr>
        <w:footnoteRef/>
      </w:r>
      <w:r>
        <w:t xml:space="preserve">    Project management methodologies such as PRINCE2 which is </w:t>
      </w:r>
      <w:r w:rsidRPr="00314922">
        <w:rPr>
          <w:lang w:val="en-GB"/>
        </w:rPr>
        <w:t xml:space="preserve">a </w:t>
      </w:r>
      <w:r w:rsidRPr="00314922">
        <w:rPr>
          <w:i/>
          <w:iCs/>
          <w:lang w:val="en-GB"/>
        </w:rPr>
        <w:t>de facto</w:t>
      </w:r>
      <w:r w:rsidRPr="00314922">
        <w:rPr>
          <w:lang w:val="en-GB"/>
        </w:rPr>
        <w:t xml:space="preserve"> standard developed and used extensively by the UK government and is widely recognized and used in the private sector, both in the UK and internationally. It embodies established and proven best practice in project management.</w:t>
      </w:r>
    </w:p>
  </w:footnote>
  <w:footnote w:id="38">
    <w:p w:rsidR="0010368F" w:rsidRDefault="0010368F" w:rsidP="000F26BC">
      <w:pPr>
        <w:pStyle w:val="FootnoteText"/>
        <w:ind w:left="284" w:hanging="284"/>
      </w:pPr>
      <w:r>
        <w:rPr>
          <w:rStyle w:val="FootnoteReference"/>
        </w:rPr>
        <w:footnoteRef/>
      </w:r>
      <w:r>
        <w:t xml:space="preserve">    University of Queensland, Centre for Social Responsibility in Mining, </w:t>
      </w:r>
      <w:r w:rsidRPr="00A016FB">
        <w:rPr>
          <w:i/>
        </w:rPr>
        <w:t>Indigenous Employment in the Minerals Industry</w:t>
      </w:r>
      <w:r>
        <w:rPr>
          <w:i/>
        </w:rPr>
        <w:t xml:space="preserve">, </w:t>
      </w:r>
      <w:r w:rsidRPr="00024210">
        <w:t>Brisbane, QLD</w:t>
      </w:r>
      <w:r>
        <w:t xml:space="preserve">, [2013]. </w:t>
      </w:r>
    </w:p>
  </w:footnote>
  <w:footnote w:id="39">
    <w:p w:rsidR="0010368F" w:rsidRPr="00024210" w:rsidRDefault="0010368F" w:rsidP="002556A5">
      <w:pPr>
        <w:pStyle w:val="FootnoteText"/>
        <w:tabs>
          <w:tab w:val="left" w:pos="284"/>
        </w:tabs>
        <w:ind w:left="284" w:hanging="284"/>
      </w:pPr>
      <w:r>
        <w:rPr>
          <w:rStyle w:val="FootnoteReference"/>
        </w:rPr>
        <w:footnoteRef/>
      </w:r>
      <w:r>
        <w:t xml:space="preserve">    University of Queensland, Centre for Social Responsibility in Mining, </w:t>
      </w:r>
      <w:r w:rsidRPr="00A016FB">
        <w:rPr>
          <w:i/>
        </w:rPr>
        <w:t>Indigenous Employment in the Minerals Industry</w:t>
      </w:r>
      <w:r>
        <w:rPr>
          <w:i/>
        </w:rPr>
        <w:t xml:space="preserve">, </w:t>
      </w:r>
      <w:r w:rsidRPr="00024210">
        <w:t>Brisbane, QLD</w:t>
      </w:r>
      <w:r>
        <w:t>, [2013]. Executive Summary. p. 3.</w:t>
      </w:r>
    </w:p>
  </w:footnote>
  <w:footnote w:id="40">
    <w:p w:rsidR="0010368F" w:rsidRDefault="0010368F">
      <w:pPr>
        <w:pStyle w:val="FootnoteText"/>
      </w:pPr>
      <w:r>
        <w:rPr>
          <w:rStyle w:val="FootnoteReference"/>
        </w:rPr>
        <w:footnoteRef/>
      </w:r>
      <w:r>
        <w:t xml:space="preserve">    Transcript of Evidence, 11 December 2013, p. 4.</w:t>
      </w:r>
    </w:p>
  </w:footnote>
  <w:footnote w:id="41">
    <w:p w:rsidR="0010368F" w:rsidRDefault="0010368F">
      <w:pPr>
        <w:pStyle w:val="FootnoteText"/>
      </w:pPr>
      <w:r>
        <w:rPr>
          <w:rStyle w:val="FootnoteReference"/>
        </w:rPr>
        <w:footnoteRef/>
      </w:r>
      <w:r>
        <w:t xml:space="preserve">  </w:t>
      </w:r>
      <w:r w:rsidRPr="000F6D23">
        <w:rPr>
          <w:color w:val="FF0000"/>
        </w:rPr>
        <w:t xml:space="preserve"> </w:t>
      </w:r>
      <w:r>
        <w:rPr>
          <w:color w:val="FF0000"/>
        </w:rPr>
        <w:t xml:space="preserve"> </w:t>
      </w:r>
      <w:r w:rsidRPr="00AE2ECE">
        <w:t>Transcript of Evidence, 11 December 2013, p. 10.</w:t>
      </w:r>
    </w:p>
  </w:footnote>
  <w:footnote w:id="42">
    <w:p w:rsidR="0010368F" w:rsidRDefault="0010368F" w:rsidP="002B6018">
      <w:pPr>
        <w:pStyle w:val="FootnoteText"/>
      </w:pPr>
      <w:r>
        <w:rPr>
          <w:rStyle w:val="FootnoteReference"/>
        </w:rPr>
        <w:footnoteRef/>
      </w:r>
      <w:r>
        <w:t xml:space="preserve">    ACT Public Service, </w:t>
      </w:r>
      <w:r>
        <w:rPr>
          <w:i/>
        </w:rPr>
        <w:t>Employment Strategy for Aboriginal and Torres Strait Islander People</w:t>
      </w:r>
      <w:r w:rsidRPr="00C120A7">
        <w:t xml:space="preserve"> [2011-2015]</w:t>
      </w:r>
      <w:r>
        <w:t>, p. [10].</w:t>
      </w:r>
    </w:p>
  </w:footnote>
  <w:footnote w:id="43">
    <w:p w:rsidR="0010368F" w:rsidRDefault="0010368F" w:rsidP="002B6018">
      <w:pPr>
        <w:pStyle w:val="FootnoteText"/>
      </w:pPr>
      <w:r>
        <w:rPr>
          <w:rStyle w:val="FootnoteReference"/>
        </w:rPr>
        <w:footnoteRef/>
      </w:r>
      <w:r>
        <w:t xml:space="preserve">    The rate of growth for same period using data in </w:t>
      </w:r>
      <w:r w:rsidRPr="00370641">
        <w:rPr>
          <w:i/>
        </w:rPr>
        <w:t>State of the Service Report 2013</w:t>
      </w:r>
      <w:r>
        <w:t xml:space="preserve"> is 3.43 percent. </w:t>
      </w:r>
    </w:p>
  </w:footnote>
  <w:footnote w:id="44">
    <w:p w:rsidR="0010368F" w:rsidRPr="00831A09" w:rsidRDefault="0010368F" w:rsidP="002B6018">
      <w:pPr>
        <w:pStyle w:val="FootnoteText"/>
        <w:ind w:left="284" w:hanging="284"/>
      </w:pPr>
      <w:r>
        <w:rPr>
          <w:rStyle w:val="FootnoteReference"/>
        </w:rPr>
        <w:footnoteRef/>
      </w:r>
      <w:r>
        <w:t xml:space="preserve">    ACT Aboriginal and Torres Strait Islander Elected Body , </w:t>
      </w:r>
      <w:r>
        <w:rPr>
          <w:i/>
        </w:rPr>
        <w:t xml:space="preserve">Report to Government, [Fourth Report on outcomes of the Aboriginal and Torres Strait Islander Elected Body  hearings 2013], </w:t>
      </w:r>
      <w:r>
        <w:t>Canberra, February 2014, p. 2.</w:t>
      </w:r>
    </w:p>
  </w:footnote>
  <w:footnote w:id="45">
    <w:p w:rsidR="0010368F" w:rsidRDefault="0010368F" w:rsidP="002B6018">
      <w:pPr>
        <w:pStyle w:val="FootnoteText"/>
        <w:ind w:left="284" w:hanging="284"/>
      </w:pPr>
      <w:r>
        <w:rPr>
          <w:rStyle w:val="FootnoteReference"/>
        </w:rPr>
        <w:footnoteRef/>
      </w:r>
      <w:r>
        <w:t xml:space="preserve">    ACT Public Service, </w:t>
      </w:r>
      <w:r w:rsidRPr="00D92448">
        <w:rPr>
          <w:i/>
        </w:rPr>
        <w:t>Submission to the Standing Committee on Health, Ageing, Community and Social Services – Inquiry into ACT Public Service Aboriginal and Torres Strait Islander Employment</w:t>
      </w:r>
      <w:r>
        <w:t xml:space="preserve">, August 2013, p. 17. </w:t>
      </w:r>
    </w:p>
  </w:footnote>
  <w:footnote w:id="46">
    <w:p w:rsidR="0010368F" w:rsidRDefault="0010368F" w:rsidP="002B6018">
      <w:pPr>
        <w:pStyle w:val="FootnoteText"/>
      </w:pPr>
      <w:r>
        <w:rPr>
          <w:rStyle w:val="FootnoteReference"/>
        </w:rPr>
        <w:footnoteRef/>
      </w:r>
      <w:r>
        <w:t xml:space="preserve">    Transcript of Evidence, 11 December 2013, p. &lt;insert page&gt;. </w:t>
      </w:r>
    </w:p>
  </w:footnote>
  <w:footnote w:id="47">
    <w:p w:rsidR="0010368F" w:rsidRDefault="0010368F" w:rsidP="006315B6">
      <w:pPr>
        <w:pStyle w:val="FootnoteText"/>
      </w:pPr>
      <w:r>
        <w:rPr>
          <w:rStyle w:val="FootnoteReference"/>
        </w:rPr>
        <w:footnoteRef/>
      </w:r>
      <w:r>
        <w:t xml:space="preserve">    WISeR was previously known as the Australian Institute for Social Research (AISR).</w:t>
      </w:r>
    </w:p>
  </w:footnote>
  <w:footnote w:id="48">
    <w:p w:rsidR="0010368F" w:rsidRPr="003E37D2" w:rsidRDefault="0010368F" w:rsidP="006315B6">
      <w:pPr>
        <w:pStyle w:val="FootnoteText"/>
        <w:ind w:left="284" w:hanging="284"/>
      </w:pPr>
      <w:r>
        <w:rPr>
          <w:rStyle w:val="FootnoteReference"/>
        </w:rPr>
        <w:footnoteRef/>
      </w:r>
      <w:r>
        <w:t xml:space="preserve">    The Final Report, </w:t>
      </w:r>
      <w:r>
        <w:rPr>
          <w:i/>
        </w:rPr>
        <w:t xml:space="preserve">Equity works: achieving the target of @% Aboriginal employment in the SA Public Sector </w:t>
      </w:r>
      <w:r>
        <w:t xml:space="preserve">can be accessed at </w:t>
      </w:r>
      <w:hyperlink r:id="rId5" w:history="1">
        <w:r w:rsidRPr="00F074A8">
          <w:rPr>
            <w:rStyle w:val="Hyperlink"/>
          </w:rPr>
          <w:t>www.dunstan.org.au/resources/dunstanpapers</w:t>
        </w:r>
      </w:hyperlink>
    </w:p>
  </w:footnote>
  <w:footnote w:id="49">
    <w:p w:rsidR="0010368F" w:rsidRPr="00E419EF" w:rsidRDefault="0010368F" w:rsidP="00A574D4">
      <w:pPr>
        <w:pStyle w:val="FootnoteText"/>
        <w:ind w:left="284" w:hanging="284"/>
      </w:pPr>
      <w:r>
        <w:rPr>
          <w:rStyle w:val="FootnoteReference"/>
        </w:rPr>
        <w:footnoteRef/>
      </w:r>
      <w:r>
        <w:t xml:space="preserve">    Barnet, Dr Kate, </w:t>
      </w:r>
      <w:r w:rsidRPr="00A574D4">
        <w:rPr>
          <w:i/>
        </w:rPr>
        <w:t>Submission to the ACT Legislative Assembly, Standing Committee on Health, Ageing, Community and Social Services  for the Inquiry into ACT Public Service Aboriginal and Torres Strait Islander Employment</w:t>
      </w:r>
      <w:r>
        <w:rPr>
          <w:i/>
        </w:rPr>
        <w:t xml:space="preserve">, </w:t>
      </w:r>
      <w:r w:rsidRPr="00E419EF">
        <w:t>Adelaide, 2013,</w:t>
      </w:r>
      <w:r>
        <w:t> </w:t>
      </w:r>
      <w:r w:rsidRPr="00E419EF">
        <w:t xml:space="preserve">p. 1.  </w:t>
      </w:r>
    </w:p>
  </w:footnote>
  <w:footnote w:id="50">
    <w:p w:rsidR="0010368F" w:rsidRDefault="0010368F">
      <w:pPr>
        <w:pStyle w:val="FootnoteText"/>
      </w:pPr>
      <w:r>
        <w:rPr>
          <w:rStyle w:val="FootnoteReference"/>
        </w:rPr>
        <w:footnoteRef/>
      </w:r>
      <w:r>
        <w:t xml:space="preserve">    Transcript of Evidence, 11 December 2013, p. 44. </w:t>
      </w:r>
    </w:p>
  </w:footnote>
  <w:footnote w:id="51">
    <w:p w:rsidR="0010368F" w:rsidRDefault="0010368F" w:rsidP="00E96CAB">
      <w:pPr>
        <w:pStyle w:val="FootnoteText"/>
        <w:ind w:left="284" w:hanging="284"/>
      </w:pPr>
      <w:r>
        <w:rPr>
          <w:rStyle w:val="FootnoteReference"/>
        </w:rPr>
        <w:footnoteRef/>
      </w:r>
      <w:r>
        <w:t xml:space="preserve">    ACT Public Service, </w:t>
      </w:r>
      <w:r w:rsidRPr="00D92448">
        <w:rPr>
          <w:i/>
        </w:rPr>
        <w:t>Submission to the Standing Committee on Health, Ageing, Community and Social Services – Inquiry into ACT Public Service Aboriginal and Torres Strait Islander Employment</w:t>
      </w:r>
      <w:r>
        <w:t>, August 2013, p. 9.</w:t>
      </w:r>
    </w:p>
  </w:footnote>
  <w:footnote w:id="52">
    <w:p w:rsidR="0010368F" w:rsidRDefault="0010368F" w:rsidP="00C95E47">
      <w:pPr>
        <w:pStyle w:val="FootnoteText"/>
        <w:ind w:left="284" w:hanging="284"/>
      </w:pPr>
      <w:r>
        <w:rPr>
          <w:rStyle w:val="FootnoteReference"/>
        </w:rPr>
        <w:footnoteRef/>
      </w:r>
      <w:r>
        <w:t xml:space="preserve">    ACT Public Service, </w:t>
      </w:r>
      <w:r w:rsidRPr="00D92448">
        <w:rPr>
          <w:i/>
        </w:rPr>
        <w:t>Submission to the Standing Committee on Health, Ageing, Community and Social Services – Inquiry into ACT Public Service Aboriginal and Torres Strait Islander Employment</w:t>
      </w:r>
      <w:r>
        <w:t>, August 2013, p. 9.</w:t>
      </w:r>
    </w:p>
  </w:footnote>
  <w:footnote w:id="53">
    <w:p w:rsidR="0010368F" w:rsidRDefault="0010368F" w:rsidP="00743520">
      <w:pPr>
        <w:pStyle w:val="FootnoteText"/>
        <w:ind w:left="284" w:hanging="284"/>
      </w:pPr>
      <w:r>
        <w:rPr>
          <w:rStyle w:val="FootnoteReference"/>
        </w:rPr>
        <w:footnoteRef/>
      </w:r>
      <w:r>
        <w:t xml:space="preserve">    ACT Public Service, </w:t>
      </w:r>
      <w:r w:rsidRPr="00D92448">
        <w:rPr>
          <w:i/>
        </w:rPr>
        <w:t>Submission to the Standing Committee on Health, Ageing, Community and Social Services – Inquiry into ACT Public Service Aboriginal and Torres Strait Islander Employment</w:t>
      </w:r>
      <w:r>
        <w:t>, August 2013, p. 9.</w:t>
      </w:r>
    </w:p>
  </w:footnote>
  <w:footnote w:id="54">
    <w:p w:rsidR="0010368F" w:rsidRDefault="0010368F">
      <w:pPr>
        <w:pStyle w:val="FootnoteText"/>
      </w:pPr>
      <w:r>
        <w:rPr>
          <w:rStyle w:val="FootnoteReference"/>
        </w:rPr>
        <w:footnoteRef/>
      </w:r>
      <w:r>
        <w:t xml:space="preserve">    The source for the circulation figure is Koori Mail website: </w:t>
      </w:r>
      <w:hyperlink r:id="rId6" w:history="1">
        <w:r w:rsidRPr="00D66A9A">
          <w:rPr>
            <w:rStyle w:val="Hyperlink"/>
          </w:rPr>
          <w:t>http://www.koorimail.com/advertise-with-us</w:t>
        </w:r>
      </w:hyperlink>
      <w:r>
        <w:t xml:space="preserve">  </w:t>
      </w:r>
    </w:p>
  </w:footnote>
  <w:footnote w:id="55">
    <w:p w:rsidR="0010368F" w:rsidRDefault="0010368F">
      <w:pPr>
        <w:pStyle w:val="FootnoteText"/>
      </w:pPr>
      <w:r>
        <w:rPr>
          <w:rStyle w:val="FootnoteReference"/>
        </w:rPr>
        <w:footnoteRef/>
      </w:r>
      <w:r>
        <w:t xml:space="preserve">    Transcript of evidence, 11 December 2013, p. 14. </w:t>
      </w:r>
    </w:p>
  </w:footnote>
  <w:footnote w:id="56">
    <w:p w:rsidR="0010368F" w:rsidRDefault="0010368F" w:rsidP="00271B86">
      <w:pPr>
        <w:pStyle w:val="FootnoteText"/>
        <w:ind w:left="284" w:hanging="284"/>
      </w:pPr>
      <w:r>
        <w:rPr>
          <w:rStyle w:val="FootnoteReference"/>
        </w:rPr>
        <w:footnoteRef/>
      </w:r>
      <w:r>
        <w:t xml:space="preserve">    ACT Public Service, </w:t>
      </w:r>
      <w:r w:rsidRPr="00D92448">
        <w:rPr>
          <w:i/>
        </w:rPr>
        <w:t>Submission to the Standing Committee on Health, Ageing, Community and Social Services – Inquiry into ACT Public Service Aboriginal and Torres Strait Islander Employment</w:t>
      </w:r>
      <w:r>
        <w:t>, August 2013, p. 23.</w:t>
      </w:r>
    </w:p>
  </w:footnote>
  <w:footnote w:id="57">
    <w:p w:rsidR="0010368F" w:rsidRDefault="0010368F">
      <w:pPr>
        <w:pStyle w:val="FootnoteText"/>
      </w:pPr>
      <w:r>
        <w:rPr>
          <w:rStyle w:val="FootnoteReference"/>
        </w:rPr>
        <w:footnoteRef/>
      </w:r>
      <w:r>
        <w:t xml:space="preserve">   Transcript of evidence, 12 December 2013, p.[...]  </w:t>
      </w:r>
    </w:p>
  </w:footnote>
  <w:footnote w:id="58">
    <w:p w:rsidR="0010368F" w:rsidRDefault="0010368F" w:rsidP="00CC3985">
      <w:pPr>
        <w:pStyle w:val="FootnoteText"/>
        <w:ind w:left="284" w:hanging="284"/>
      </w:pPr>
      <w:r>
        <w:rPr>
          <w:rStyle w:val="FootnoteReference"/>
        </w:rPr>
        <w:footnoteRef/>
      </w:r>
      <w:r>
        <w:t xml:space="preserve">    See:  </w:t>
      </w:r>
      <w:r w:rsidRPr="00CC3985">
        <w:t>http://careers.virginaustralia.com/cw/en/#/job/492537/aboriginal-and-torres-strait-islander-careers-information-session</w:t>
      </w:r>
    </w:p>
  </w:footnote>
  <w:footnote w:id="59">
    <w:p w:rsidR="0010368F" w:rsidRDefault="0010368F" w:rsidP="00743520">
      <w:pPr>
        <w:pStyle w:val="FootnoteText"/>
        <w:ind w:left="284" w:hanging="284"/>
      </w:pPr>
      <w:r>
        <w:rPr>
          <w:rStyle w:val="FootnoteReference"/>
        </w:rPr>
        <w:footnoteRef/>
      </w:r>
      <w:r>
        <w:t xml:space="preserve">    ACT Public Service, </w:t>
      </w:r>
      <w:r w:rsidRPr="00D92448">
        <w:rPr>
          <w:i/>
        </w:rPr>
        <w:t>Submission to the Standing Committee on Health, Ageing, Community and Social Services – Inquiry into ACT Public Service Aboriginal and Torres Strait Islander Employment</w:t>
      </w:r>
      <w:r>
        <w:t>, August 2013, p. 9.</w:t>
      </w:r>
    </w:p>
  </w:footnote>
  <w:footnote w:id="60">
    <w:p w:rsidR="0010368F" w:rsidRDefault="0010368F">
      <w:pPr>
        <w:pStyle w:val="FootnoteText"/>
      </w:pPr>
      <w:r>
        <w:rPr>
          <w:rStyle w:val="FootnoteReference"/>
        </w:rPr>
        <w:footnoteRef/>
      </w:r>
      <w:r>
        <w:t xml:space="preserve">    Transcript of Evidence, 11 December 2013, p. 22. </w:t>
      </w:r>
    </w:p>
  </w:footnote>
  <w:footnote w:id="61">
    <w:p w:rsidR="0010368F" w:rsidRDefault="0010368F">
      <w:pPr>
        <w:pStyle w:val="FootnoteText"/>
      </w:pPr>
      <w:r>
        <w:rPr>
          <w:rStyle w:val="FootnoteReference"/>
        </w:rPr>
        <w:footnoteRef/>
      </w:r>
      <w:r>
        <w:t xml:space="preserve">    Transcript of evidence, 11 December 2013, p. 28.</w:t>
      </w:r>
    </w:p>
  </w:footnote>
  <w:footnote w:id="62">
    <w:p w:rsidR="0010368F" w:rsidRDefault="0010368F" w:rsidP="00A84EEB">
      <w:pPr>
        <w:pStyle w:val="FootnoteText"/>
        <w:ind w:left="284" w:hanging="284"/>
      </w:pPr>
      <w:r>
        <w:rPr>
          <w:rStyle w:val="FootnoteReference"/>
        </w:rPr>
        <w:footnoteRef/>
      </w:r>
      <w:r>
        <w:t xml:space="preserve">    ACT Public Service, </w:t>
      </w:r>
      <w:r w:rsidRPr="00D92448">
        <w:rPr>
          <w:i/>
        </w:rPr>
        <w:t>Submission to the Standing Committee on Health, Ageing, Community and Social Services – Inquiry into ACT Public Service Aboriginal and Torres Strait Islander Employment</w:t>
      </w:r>
      <w:r>
        <w:t>, August 2013, p. 10.</w:t>
      </w:r>
    </w:p>
  </w:footnote>
  <w:footnote w:id="63">
    <w:p w:rsidR="0010368F" w:rsidRDefault="0010368F" w:rsidP="00F1484D">
      <w:pPr>
        <w:pStyle w:val="FootnoteText"/>
        <w:ind w:left="284" w:hanging="284"/>
      </w:pPr>
      <w:r>
        <w:rPr>
          <w:rStyle w:val="FootnoteReference"/>
        </w:rPr>
        <w:footnoteRef/>
      </w:r>
      <w:r>
        <w:t xml:space="preserve">    ACT Public Service, </w:t>
      </w:r>
      <w:r w:rsidRPr="00D92448">
        <w:rPr>
          <w:i/>
        </w:rPr>
        <w:t>Submission to the Standing Committee on Health, Ageing, Community and Social Services – Inquiry into ACT Public Service Aboriginal and Torres Strait Islander Employment</w:t>
      </w:r>
      <w:r>
        <w:t>, August 2013, pp. 22-3.</w:t>
      </w:r>
    </w:p>
  </w:footnote>
  <w:footnote w:id="64">
    <w:p w:rsidR="0010368F" w:rsidRDefault="0010368F" w:rsidP="00A833EB">
      <w:pPr>
        <w:pStyle w:val="FootnoteText"/>
        <w:ind w:left="284" w:hanging="284"/>
      </w:pPr>
      <w:r>
        <w:rPr>
          <w:rStyle w:val="FootnoteReference"/>
        </w:rPr>
        <w:footnoteRef/>
      </w:r>
      <w:r>
        <w:t xml:space="preserve">   ACT Public Service, </w:t>
      </w:r>
      <w:r w:rsidRPr="00D92448">
        <w:rPr>
          <w:i/>
        </w:rPr>
        <w:t>Submission to the Standing Committee on Health, Ageing, Community and Social Services – Inquiry into ACT Public Service Aboriginal and Torres Strait Islander Employment</w:t>
      </w:r>
      <w:r>
        <w:t>, August 2013, p 11.</w:t>
      </w:r>
    </w:p>
  </w:footnote>
  <w:footnote w:id="65">
    <w:p w:rsidR="0010368F" w:rsidRDefault="0010368F">
      <w:pPr>
        <w:pStyle w:val="FootnoteText"/>
      </w:pPr>
      <w:r>
        <w:rPr>
          <w:rStyle w:val="FootnoteReference"/>
        </w:rPr>
        <w:footnoteRef/>
      </w:r>
      <w:r>
        <w:t xml:space="preserve">   </w:t>
      </w:r>
      <w:hyperlink r:id="rId7" w:history="1">
        <w:r w:rsidRPr="004D0E3D">
          <w:rPr>
            <w:rStyle w:val="Hyperlink"/>
          </w:rPr>
          <w:t>http://employment.gov.au/indigenous-cadetship-support-ics</w:t>
        </w:r>
      </w:hyperlink>
    </w:p>
    <w:p w:rsidR="0010368F" w:rsidRDefault="0010368F">
      <w:pPr>
        <w:pStyle w:val="FootnoteText"/>
      </w:pPr>
    </w:p>
  </w:footnote>
  <w:footnote w:id="66">
    <w:p w:rsidR="0010368F" w:rsidRDefault="0010368F" w:rsidP="003E018E">
      <w:pPr>
        <w:pStyle w:val="FootnoteText"/>
        <w:ind w:left="284" w:hanging="284"/>
      </w:pPr>
      <w:r>
        <w:rPr>
          <w:rStyle w:val="FootnoteReference"/>
        </w:rPr>
        <w:footnoteRef/>
      </w:r>
      <w:r>
        <w:t xml:space="preserve">     ACT Public Service, </w:t>
      </w:r>
      <w:r w:rsidRPr="00D92448">
        <w:rPr>
          <w:i/>
        </w:rPr>
        <w:t>Submission to the Standing Committee on Health, Ageing, Community and Social Services – Inquiry into ACT Public Service Aboriginal and Torres Strait Islander Employment</w:t>
      </w:r>
      <w:r>
        <w:t>, August 2013, p 19.</w:t>
      </w:r>
    </w:p>
  </w:footnote>
  <w:footnote w:id="67">
    <w:p w:rsidR="0010368F" w:rsidRDefault="0010368F" w:rsidP="003E018E">
      <w:pPr>
        <w:pStyle w:val="FootnoteText"/>
        <w:ind w:left="284" w:hanging="284"/>
      </w:pPr>
      <w:r>
        <w:rPr>
          <w:rStyle w:val="FootnoteReference"/>
        </w:rPr>
        <w:footnoteRef/>
      </w:r>
      <w:r>
        <w:t xml:space="preserve">    ACT Public Service, </w:t>
      </w:r>
      <w:r w:rsidRPr="00D92448">
        <w:rPr>
          <w:i/>
        </w:rPr>
        <w:t>Submission to the Standing Committee on Health, Ageing, Community and Social Services – Inquiry into ACT Public Service Aboriginal and Torres Strait Islander Employment</w:t>
      </w:r>
      <w:r>
        <w:t>, August 2013, p. 21.</w:t>
      </w:r>
    </w:p>
  </w:footnote>
  <w:footnote w:id="68">
    <w:p w:rsidR="0010368F" w:rsidRDefault="0010368F">
      <w:pPr>
        <w:pStyle w:val="FootnoteText"/>
      </w:pPr>
      <w:r>
        <w:rPr>
          <w:rStyle w:val="FootnoteReference"/>
        </w:rPr>
        <w:footnoteRef/>
      </w:r>
      <w:r>
        <w:t xml:space="preserve">   Transcript of evidence, 11 December 2013, pp. 27-8.</w:t>
      </w:r>
    </w:p>
  </w:footnote>
  <w:footnote w:id="69">
    <w:p w:rsidR="0010368F" w:rsidRDefault="0010368F">
      <w:pPr>
        <w:pStyle w:val="FootnoteText"/>
      </w:pPr>
      <w:r>
        <w:rPr>
          <w:rStyle w:val="FootnoteReference"/>
        </w:rPr>
        <w:footnoteRef/>
      </w:r>
      <w:r>
        <w:t xml:space="preserve">    Transcript of evidence, 11 December 2013, p. 50.</w:t>
      </w:r>
    </w:p>
  </w:footnote>
  <w:footnote w:id="70">
    <w:p w:rsidR="0010368F" w:rsidRDefault="0010368F" w:rsidP="007235EF">
      <w:pPr>
        <w:pStyle w:val="FootnoteText"/>
        <w:ind w:left="284" w:hanging="284"/>
      </w:pPr>
      <w:r>
        <w:rPr>
          <w:rStyle w:val="FootnoteReference"/>
        </w:rPr>
        <w:footnoteRef/>
      </w:r>
      <w:r>
        <w:t xml:space="preserve">   ACT Public Service, </w:t>
      </w:r>
      <w:r w:rsidRPr="00D92448">
        <w:rPr>
          <w:i/>
        </w:rPr>
        <w:t>Submission to the Standing Committee on Health, Ageing, Community and Social Services – Inquiry into ACT Public Service Aboriginal and Torres Strait Islander Employment</w:t>
      </w:r>
      <w:r>
        <w:t>, August 2013, p 11.</w:t>
      </w:r>
    </w:p>
  </w:footnote>
  <w:footnote w:id="71">
    <w:p w:rsidR="0010368F" w:rsidRDefault="0010368F" w:rsidP="007235EF">
      <w:pPr>
        <w:pStyle w:val="FootnoteText"/>
        <w:ind w:left="284" w:hanging="284"/>
      </w:pPr>
      <w:r>
        <w:rPr>
          <w:rStyle w:val="FootnoteReference"/>
        </w:rPr>
        <w:footnoteRef/>
      </w:r>
      <w:r>
        <w:t xml:space="preserve">    ACT Public Service, </w:t>
      </w:r>
      <w:r w:rsidRPr="00D92448">
        <w:rPr>
          <w:i/>
        </w:rPr>
        <w:t>Submission to the Standing Committee on Health, Ageing, Community and Social Services – Inquiry into ACT Public Service Aboriginal and Torres Strait Islander Employment</w:t>
      </w:r>
      <w:r>
        <w:t>, August 2013, pp. 11-13.</w:t>
      </w:r>
    </w:p>
  </w:footnote>
  <w:footnote w:id="72">
    <w:p w:rsidR="0010368F" w:rsidRDefault="0010368F" w:rsidP="007235EF">
      <w:pPr>
        <w:pStyle w:val="FootnoteText"/>
        <w:ind w:left="284" w:hanging="284"/>
      </w:pPr>
      <w:r>
        <w:rPr>
          <w:rStyle w:val="FootnoteReference"/>
        </w:rPr>
        <w:footnoteRef/>
      </w:r>
      <w:r>
        <w:t xml:space="preserve">    ACT Public Service, </w:t>
      </w:r>
      <w:r w:rsidRPr="00D92448">
        <w:rPr>
          <w:i/>
        </w:rPr>
        <w:t>Submission to the Standing Committee on Health, Ageing, Community and Social Services – Inquiry into ACT Public Service Aboriginal and Torres Strait Islander Employment</w:t>
      </w:r>
      <w:r>
        <w:t xml:space="preserve">, August 2013, p 15. </w:t>
      </w:r>
    </w:p>
  </w:footnote>
  <w:footnote w:id="73">
    <w:p w:rsidR="0010368F" w:rsidRDefault="0010368F" w:rsidP="007235EF">
      <w:pPr>
        <w:pStyle w:val="FootnoteText"/>
        <w:ind w:left="284" w:hanging="284"/>
      </w:pPr>
      <w:r>
        <w:rPr>
          <w:rStyle w:val="FootnoteReference"/>
        </w:rPr>
        <w:footnoteRef/>
      </w:r>
      <w:r>
        <w:t xml:space="preserve">    ACT Public Service, </w:t>
      </w:r>
      <w:r w:rsidRPr="00D92448">
        <w:rPr>
          <w:i/>
        </w:rPr>
        <w:t>Submission to the Standing Committee on Health, Ageing, Community and Social Services – Inquiry into ACT Public Service Aboriginal and Torres Strait Islander Employment</w:t>
      </w:r>
      <w:r>
        <w:t xml:space="preserve">, August 2013, p 16. </w:t>
      </w:r>
    </w:p>
  </w:footnote>
  <w:footnote w:id="74">
    <w:p w:rsidR="0010368F" w:rsidRDefault="0010368F" w:rsidP="007235EF">
      <w:pPr>
        <w:pStyle w:val="FootnoteText"/>
      </w:pPr>
      <w:r>
        <w:rPr>
          <w:rStyle w:val="FootnoteReference"/>
        </w:rPr>
        <w:footnoteRef/>
      </w:r>
      <w:r>
        <w:t xml:space="preserve">    Transcript of evidence, 12 December 2013, p. 65.</w:t>
      </w:r>
    </w:p>
  </w:footnote>
  <w:footnote w:id="75">
    <w:p w:rsidR="0010368F" w:rsidRDefault="0010368F" w:rsidP="007235EF">
      <w:pPr>
        <w:pStyle w:val="FootnoteText"/>
        <w:ind w:left="284" w:hanging="284"/>
      </w:pPr>
      <w:r>
        <w:rPr>
          <w:rStyle w:val="FootnoteReference"/>
        </w:rPr>
        <w:footnoteRef/>
      </w:r>
      <w:r>
        <w:t xml:space="preserve">    </w:t>
      </w:r>
      <w:r w:rsidRPr="00DA5726">
        <w:t xml:space="preserve">ACT Public Service, </w:t>
      </w:r>
      <w:r w:rsidRPr="00DA5726">
        <w:rPr>
          <w:i/>
        </w:rPr>
        <w:t>Submission to the Standing Committee on Health, Ageing, Community and Social Services – Inquiry into ACT Public Service Aboriginal and Torres Strait Islander Employment</w:t>
      </w:r>
      <w:r w:rsidRPr="00DA5726">
        <w:t xml:space="preserve">, August 2013, p 16. </w:t>
      </w:r>
    </w:p>
  </w:footnote>
  <w:footnote w:id="76">
    <w:p w:rsidR="0010368F" w:rsidRDefault="0010368F" w:rsidP="007235EF">
      <w:pPr>
        <w:pStyle w:val="FootnoteText"/>
      </w:pPr>
      <w:r>
        <w:rPr>
          <w:rStyle w:val="FootnoteReference"/>
        </w:rPr>
        <w:footnoteRef/>
      </w:r>
      <w:r>
        <w:t xml:space="preserve">    Transcript of evidence, 11 December 2013, pp. 15-16</w:t>
      </w:r>
    </w:p>
  </w:footnote>
  <w:footnote w:id="77">
    <w:p w:rsidR="0010368F" w:rsidRDefault="0010368F" w:rsidP="007235EF">
      <w:pPr>
        <w:pStyle w:val="FootnoteText"/>
      </w:pPr>
      <w:r>
        <w:rPr>
          <w:rStyle w:val="FootnoteReference"/>
        </w:rPr>
        <w:footnoteRef/>
      </w:r>
      <w:r>
        <w:t xml:space="preserve">    ACT Aboriginal and Torres Strait Islander Elected Body , [Submission], p. [3].</w:t>
      </w:r>
    </w:p>
  </w:footnote>
  <w:footnote w:id="78">
    <w:p w:rsidR="0010368F" w:rsidRDefault="0010368F" w:rsidP="007235EF">
      <w:pPr>
        <w:pStyle w:val="FootnoteText"/>
        <w:ind w:left="284" w:hanging="284"/>
      </w:pPr>
      <w:r>
        <w:rPr>
          <w:rStyle w:val="FootnoteReference"/>
        </w:rPr>
        <w:footnoteRef/>
      </w:r>
      <w:r>
        <w:t xml:space="preserve">    </w:t>
      </w:r>
      <w:r w:rsidRPr="00DA5726">
        <w:t xml:space="preserve">ACT Public Service, </w:t>
      </w:r>
      <w:r w:rsidRPr="00DA5726">
        <w:rPr>
          <w:i/>
        </w:rPr>
        <w:t>Submission to the Standing Committee on Health, Ageing, Community and Social Services – Inquiry into ACT Public Service Aboriginal and Torres Strait Islander Employment</w:t>
      </w:r>
      <w:r w:rsidRPr="00DA5726">
        <w:t>, August 2013, p 1</w:t>
      </w:r>
      <w:r>
        <w:t>7</w:t>
      </w:r>
      <w:r w:rsidRPr="00DA5726">
        <w:t>.</w:t>
      </w:r>
    </w:p>
  </w:footnote>
  <w:footnote w:id="79">
    <w:p w:rsidR="0010368F" w:rsidRDefault="0010368F" w:rsidP="006A0605">
      <w:pPr>
        <w:pStyle w:val="FootnoteText"/>
        <w:ind w:left="284" w:hanging="284"/>
      </w:pPr>
      <w:r>
        <w:rPr>
          <w:rStyle w:val="FootnoteReference"/>
        </w:rPr>
        <w:footnoteRef/>
      </w:r>
      <w:r>
        <w:t xml:space="preserve">    </w:t>
      </w:r>
      <w:r w:rsidRPr="00DA5726">
        <w:t xml:space="preserve">ACT Public Service, </w:t>
      </w:r>
      <w:r w:rsidRPr="00DA5726">
        <w:rPr>
          <w:i/>
        </w:rPr>
        <w:t>Submission to the Standing Committee on Health, Ageing, Community and Social Services – Inquiry into ACT Public Service Aboriginal and Torres Strait Islander Employment</w:t>
      </w:r>
      <w:r w:rsidRPr="00DA5726">
        <w:t>, August 2013, p 1</w:t>
      </w:r>
      <w:r>
        <w:t>1</w:t>
      </w:r>
      <w:r w:rsidRPr="00DA5726">
        <w:t>.</w:t>
      </w:r>
    </w:p>
  </w:footnote>
  <w:footnote w:id="80">
    <w:p w:rsidR="0010368F" w:rsidRDefault="0010368F" w:rsidP="007235EF">
      <w:pPr>
        <w:pStyle w:val="FootnoteText"/>
      </w:pPr>
      <w:r>
        <w:rPr>
          <w:rStyle w:val="FootnoteReference"/>
        </w:rPr>
        <w:footnoteRef/>
      </w:r>
      <w:r>
        <w:t xml:space="preserve">    Transcript of evidence, 11 December 2013, p. 11.</w:t>
      </w:r>
    </w:p>
  </w:footnote>
  <w:footnote w:id="81">
    <w:p w:rsidR="0010368F" w:rsidRDefault="0010368F" w:rsidP="007235EF">
      <w:pPr>
        <w:pStyle w:val="FootnoteText"/>
      </w:pPr>
      <w:r>
        <w:rPr>
          <w:rStyle w:val="FootnoteReference"/>
        </w:rPr>
        <w:footnoteRef/>
      </w:r>
      <w:r>
        <w:t xml:space="preserve">   Transcript of evidence, 11 December 2013, p.  47. </w:t>
      </w:r>
    </w:p>
  </w:footnote>
  <w:footnote w:id="82">
    <w:p w:rsidR="0010368F" w:rsidRDefault="0010368F" w:rsidP="007235EF">
      <w:pPr>
        <w:pStyle w:val="FootnoteText"/>
      </w:pPr>
      <w:r>
        <w:rPr>
          <w:rStyle w:val="FootnoteReference"/>
        </w:rPr>
        <w:footnoteRef/>
      </w:r>
      <w:r>
        <w:t xml:space="preserve">    </w:t>
      </w:r>
      <w:hyperlink r:id="rId8" w:history="1">
        <w:r w:rsidRPr="00E82B32">
          <w:rPr>
            <w:rStyle w:val="Hyperlink"/>
          </w:rPr>
          <w:t>http://rw-3.com/our-approach/what-is-cultural-training/</w:t>
        </w:r>
      </w:hyperlink>
      <w:r>
        <w:t xml:space="preserve"> </w:t>
      </w:r>
    </w:p>
  </w:footnote>
  <w:footnote w:id="83">
    <w:p w:rsidR="0010368F" w:rsidRDefault="0010368F" w:rsidP="007235EF">
      <w:pPr>
        <w:pStyle w:val="FootnoteText"/>
        <w:ind w:left="284" w:hanging="284"/>
      </w:pPr>
      <w:r>
        <w:rPr>
          <w:rStyle w:val="FootnoteReference"/>
        </w:rPr>
        <w:footnoteRef/>
      </w:r>
      <w:r>
        <w:t xml:space="preserve">    </w:t>
      </w:r>
      <w:r w:rsidRPr="00DA5726">
        <w:t xml:space="preserve">ACT Public Service, </w:t>
      </w:r>
      <w:r w:rsidRPr="00DA5726">
        <w:rPr>
          <w:i/>
        </w:rPr>
        <w:t>Submission to the Standing Committee on Health, Ageing, Community and Social Services – Inquiry into ACT Public Service Aboriginal and Torres Strait Islander Employment</w:t>
      </w:r>
      <w:r w:rsidRPr="00DA5726">
        <w:t>, August 2013, p 1</w:t>
      </w:r>
      <w:r>
        <w:t>2</w:t>
      </w:r>
      <w:r w:rsidRPr="00DA5726">
        <w:t>.</w:t>
      </w:r>
    </w:p>
  </w:footnote>
  <w:footnote w:id="84">
    <w:p w:rsidR="0010368F" w:rsidRDefault="0010368F" w:rsidP="007235EF">
      <w:pPr>
        <w:pStyle w:val="FootnoteText"/>
        <w:ind w:left="284" w:hanging="284"/>
      </w:pPr>
      <w:r>
        <w:rPr>
          <w:rStyle w:val="FootnoteReference"/>
        </w:rPr>
        <w:footnoteRef/>
      </w:r>
      <w:r>
        <w:t xml:space="preserve">    </w:t>
      </w:r>
      <w:r w:rsidRPr="00DA5726">
        <w:t xml:space="preserve">ACT Public Service, </w:t>
      </w:r>
      <w:r w:rsidRPr="00DA5726">
        <w:rPr>
          <w:i/>
        </w:rPr>
        <w:t>Submission to the Standing Committee on Health, Ageing, Community and Social Services – Inquiry into ACT Public Service Aboriginal and Torres Strait Islander Employment</w:t>
      </w:r>
      <w:r w:rsidRPr="00DA5726">
        <w:t>, August 2013, p 1</w:t>
      </w:r>
      <w:r>
        <w:t>2</w:t>
      </w:r>
      <w:r w:rsidRPr="00DA5726">
        <w:t>.</w:t>
      </w:r>
    </w:p>
  </w:footnote>
  <w:footnote w:id="85">
    <w:p w:rsidR="0010368F" w:rsidRDefault="0010368F">
      <w:pPr>
        <w:pStyle w:val="FootnoteText"/>
      </w:pPr>
      <w:r>
        <w:rPr>
          <w:rStyle w:val="FootnoteReference"/>
        </w:rPr>
        <w:footnoteRef/>
      </w:r>
      <w:r>
        <w:t xml:space="preserve">    Transcript of Evidence, 11 December 2013, pp. 10-11. </w:t>
      </w:r>
    </w:p>
  </w:footnote>
  <w:footnote w:id="86">
    <w:p w:rsidR="0010368F" w:rsidRDefault="0010368F">
      <w:pPr>
        <w:pStyle w:val="FootnoteText"/>
      </w:pPr>
      <w:r>
        <w:rPr>
          <w:rStyle w:val="FootnoteReference"/>
        </w:rPr>
        <w:footnoteRef/>
      </w:r>
      <w:r>
        <w:t xml:space="preserve">    Transcript of Evidence, 11 December 2013, pp. 10-11.</w:t>
      </w:r>
    </w:p>
  </w:footnote>
  <w:footnote w:id="87">
    <w:p w:rsidR="0010368F" w:rsidRDefault="0010368F">
      <w:pPr>
        <w:pStyle w:val="FootnoteText"/>
      </w:pPr>
      <w:r>
        <w:rPr>
          <w:rStyle w:val="FootnoteReference"/>
        </w:rPr>
        <w:footnoteRef/>
      </w:r>
      <w:r>
        <w:t xml:space="preserve">    See the Reconciliation Australia website:  </w:t>
      </w:r>
      <w:hyperlink r:id="rId9" w:history="1">
        <w:r w:rsidRPr="00AA2630">
          <w:rPr>
            <w:rStyle w:val="Hyperlink"/>
          </w:rPr>
          <w:t>www.reconciliationaustralia.org.au</w:t>
        </w:r>
      </w:hyperlink>
      <w:r>
        <w:t xml:space="preserve"> </w:t>
      </w:r>
    </w:p>
  </w:footnote>
  <w:footnote w:id="88">
    <w:p w:rsidR="0010368F" w:rsidRDefault="0010368F" w:rsidP="007235EF">
      <w:pPr>
        <w:pStyle w:val="FootnoteText"/>
      </w:pPr>
      <w:r>
        <w:rPr>
          <w:rStyle w:val="FootnoteReference"/>
        </w:rPr>
        <w:footnoteRef/>
      </w:r>
      <w:r>
        <w:t xml:space="preserve">    </w:t>
      </w:r>
      <w:hyperlink r:id="rId10" w:history="1">
        <w:r w:rsidRPr="00E82B32">
          <w:rPr>
            <w:rStyle w:val="Hyperlink"/>
          </w:rPr>
          <w:t>http://seekingliberty.wordpress.com/2009/09/07/racism-vs-prejudice-there-is-a-difference/</w:t>
        </w:r>
      </w:hyperlink>
    </w:p>
  </w:footnote>
  <w:footnote w:id="89">
    <w:p w:rsidR="0010368F" w:rsidRDefault="0010368F" w:rsidP="00CB277F">
      <w:pPr>
        <w:pStyle w:val="FootnoteText"/>
        <w:ind w:left="284" w:hanging="284"/>
      </w:pPr>
      <w:r>
        <w:rPr>
          <w:rStyle w:val="FootnoteReference"/>
        </w:rPr>
        <w:footnoteRef/>
      </w:r>
      <w:r>
        <w:t xml:space="preserve">    Australian Capital Territory Public Service, Commissioner for Public Administration, </w:t>
      </w:r>
      <w:r w:rsidRPr="00E37683">
        <w:rPr>
          <w:i/>
        </w:rPr>
        <w:t>Preventing Work Bullying Guidelines</w:t>
      </w:r>
      <w:r>
        <w:rPr>
          <w:i/>
        </w:rPr>
        <w:t xml:space="preserve"> - </w:t>
      </w:r>
      <w:r w:rsidRPr="00E37683">
        <w:rPr>
          <w:i/>
        </w:rPr>
        <w:t>Guide to prevention and management of work bullying</w:t>
      </w:r>
      <w:r>
        <w:t xml:space="preserve">, Canberra, 2010, p. 9. </w:t>
      </w:r>
    </w:p>
  </w:footnote>
  <w:footnote w:id="90">
    <w:p w:rsidR="0010368F" w:rsidRDefault="0010368F" w:rsidP="007235EF">
      <w:pPr>
        <w:pStyle w:val="FootnoteText"/>
      </w:pPr>
      <w:r>
        <w:rPr>
          <w:rStyle w:val="FootnoteReference"/>
        </w:rPr>
        <w:footnoteRef/>
      </w:r>
      <w:r>
        <w:t xml:space="preserve">    Transcript of evidence, 11 December 2013, p. 2</w:t>
      </w:r>
    </w:p>
  </w:footnote>
  <w:footnote w:id="91">
    <w:p w:rsidR="0010368F" w:rsidRDefault="0010368F" w:rsidP="007235EF">
      <w:pPr>
        <w:pStyle w:val="FootnoteText"/>
      </w:pPr>
      <w:r>
        <w:rPr>
          <w:rStyle w:val="FootnoteReference"/>
        </w:rPr>
        <w:footnoteRef/>
      </w:r>
      <w:r>
        <w:t xml:space="preserve">    Transcript of evidence, 11 December 2013, pp. 2-3</w:t>
      </w:r>
    </w:p>
  </w:footnote>
  <w:footnote w:id="92">
    <w:p w:rsidR="0010368F" w:rsidRDefault="0010368F" w:rsidP="007235EF">
      <w:pPr>
        <w:pStyle w:val="FootnoteText"/>
      </w:pPr>
      <w:r>
        <w:rPr>
          <w:rStyle w:val="FootnoteReference"/>
        </w:rPr>
        <w:footnoteRef/>
      </w:r>
      <w:r>
        <w:t xml:space="preserve">    Transcript of evidence, 11 December 2013, p.  3. </w:t>
      </w:r>
    </w:p>
  </w:footnote>
  <w:footnote w:id="93">
    <w:p w:rsidR="0010368F" w:rsidRDefault="0010368F" w:rsidP="007235EF">
      <w:pPr>
        <w:pStyle w:val="FootnoteText"/>
      </w:pPr>
      <w:r>
        <w:rPr>
          <w:rStyle w:val="FootnoteReference"/>
        </w:rPr>
        <w:footnoteRef/>
      </w:r>
      <w:r>
        <w:t xml:space="preserve">    Transcript of evidence, 11 December 2013, p.  4. </w:t>
      </w:r>
    </w:p>
  </w:footnote>
  <w:footnote w:id="94">
    <w:p w:rsidR="0010368F" w:rsidRDefault="0010368F">
      <w:pPr>
        <w:pStyle w:val="FootnoteText"/>
      </w:pPr>
      <w:r>
        <w:rPr>
          <w:rStyle w:val="FootnoteReference"/>
        </w:rPr>
        <w:footnoteRef/>
      </w:r>
      <w:r>
        <w:t xml:space="preserve">    Transcript of evidence, 11 December 2013, p. 30. </w:t>
      </w:r>
    </w:p>
  </w:footnote>
  <w:footnote w:id="95">
    <w:p w:rsidR="0010368F" w:rsidRDefault="0010368F" w:rsidP="007235EF">
      <w:pPr>
        <w:pStyle w:val="FootnoteText"/>
      </w:pPr>
      <w:r>
        <w:rPr>
          <w:rStyle w:val="FootnoteReference"/>
        </w:rPr>
        <w:footnoteRef/>
      </w:r>
      <w:r>
        <w:t xml:space="preserve">    Transcript of evidence, 11 December 2013, p.  31.</w:t>
      </w:r>
    </w:p>
  </w:footnote>
  <w:footnote w:id="96">
    <w:p w:rsidR="0010368F" w:rsidRDefault="0010368F" w:rsidP="007235EF">
      <w:pPr>
        <w:pStyle w:val="FootnoteText"/>
      </w:pPr>
      <w:r>
        <w:rPr>
          <w:rStyle w:val="FootnoteReference"/>
        </w:rPr>
        <w:footnoteRef/>
      </w:r>
      <w:r>
        <w:t xml:space="preserve">    Transcript of evidence, 11 December 2013, p.  55.</w:t>
      </w:r>
    </w:p>
  </w:footnote>
  <w:footnote w:id="97">
    <w:p w:rsidR="0010368F" w:rsidRDefault="0010368F">
      <w:pPr>
        <w:pStyle w:val="FootnoteText"/>
      </w:pPr>
      <w:r>
        <w:rPr>
          <w:rStyle w:val="FootnoteReference"/>
        </w:rPr>
        <w:footnoteRef/>
      </w:r>
      <w:r>
        <w:t xml:space="preserve">    Transcript of evidence, 12 December 2013, p. 97.</w:t>
      </w:r>
    </w:p>
  </w:footnote>
  <w:footnote w:id="98">
    <w:p w:rsidR="0010368F" w:rsidRDefault="0010368F" w:rsidP="007235EF">
      <w:pPr>
        <w:pStyle w:val="FootnoteText"/>
        <w:ind w:left="284" w:hanging="284"/>
      </w:pPr>
      <w:r>
        <w:rPr>
          <w:rStyle w:val="FootnoteReference"/>
        </w:rPr>
        <w:footnoteRef/>
      </w:r>
      <w:r>
        <w:t xml:space="preserve">    </w:t>
      </w:r>
      <w:r w:rsidRPr="00DA5726">
        <w:t xml:space="preserve">ACT Public Service, </w:t>
      </w:r>
      <w:r w:rsidRPr="00DA5726">
        <w:rPr>
          <w:i/>
        </w:rPr>
        <w:t>Submission to the Standing Committee on Health, Ageing, Community and Social Services – Inquiry into ACT Public Service Aboriginal and Torres Strait Islander Employment</w:t>
      </w:r>
      <w:r w:rsidRPr="00DA5726">
        <w:t>, August 2013, p 1</w:t>
      </w:r>
      <w:r>
        <w:t>2</w:t>
      </w:r>
      <w:r w:rsidRPr="00DA5726">
        <w:t>.</w:t>
      </w:r>
    </w:p>
  </w:footnote>
  <w:footnote w:id="99">
    <w:p w:rsidR="0010368F" w:rsidRDefault="0010368F">
      <w:pPr>
        <w:pStyle w:val="FootnoteText"/>
      </w:pPr>
      <w:r>
        <w:rPr>
          <w:rStyle w:val="FootnoteReference"/>
        </w:rPr>
        <w:footnoteRef/>
      </w:r>
      <w:r>
        <w:t xml:space="preserve">    Transcript of evidence, 11 December 2013, p. 19.</w:t>
      </w:r>
    </w:p>
  </w:footnote>
  <w:footnote w:id="100">
    <w:p w:rsidR="0010368F" w:rsidRDefault="0010368F" w:rsidP="007235EF">
      <w:pPr>
        <w:pStyle w:val="FootnoteText"/>
      </w:pPr>
      <w:r>
        <w:rPr>
          <w:rStyle w:val="FootnoteReference"/>
        </w:rPr>
        <w:footnoteRef/>
      </w:r>
      <w:r>
        <w:t xml:space="preserve">    ACTPS, </w:t>
      </w:r>
      <w:r w:rsidRPr="00823055">
        <w:rPr>
          <w:i/>
        </w:rPr>
        <w:t>State of the Service Report 2013</w:t>
      </w:r>
      <w:r>
        <w:t>, Canberra, September 2013, p. 56.</w:t>
      </w:r>
    </w:p>
  </w:footnote>
  <w:footnote w:id="101">
    <w:p w:rsidR="0010368F" w:rsidRDefault="0010368F">
      <w:pPr>
        <w:pStyle w:val="FootnoteText"/>
      </w:pPr>
      <w:r>
        <w:rPr>
          <w:rStyle w:val="FootnoteReference"/>
        </w:rPr>
        <w:footnoteRef/>
      </w:r>
      <w:r>
        <w:t xml:space="preserve">      Transcript of evidence, 12 December 2013, p. 62.</w:t>
      </w:r>
    </w:p>
  </w:footnote>
  <w:footnote w:id="102">
    <w:p w:rsidR="0010368F" w:rsidRDefault="0010368F">
      <w:pPr>
        <w:pStyle w:val="FootnoteText"/>
      </w:pPr>
      <w:r>
        <w:rPr>
          <w:rStyle w:val="FootnoteReference"/>
        </w:rPr>
        <w:footnoteRef/>
      </w:r>
      <w:r>
        <w:t xml:space="preserve">    Transcript of evidence, 12 December 2013, p. 62.</w:t>
      </w:r>
    </w:p>
  </w:footnote>
  <w:footnote w:id="103">
    <w:p w:rsidR="0010368F" w:rsidRDefault="0010368F" w:rsidP="007235EF">
      <w:pPr>
        <w:pStyle w:val="FootnoteText"/>
      </w:pPr>
      <w:r>
        <w:rPr>
          <w:rStyle w:val="FootnoteReference"/>
        </w:rPr>
        <w:footnoteRef/>
      </w:r>
      <w:r>
        <w:t xml:space="preserve">    Transcript of evidence, 11 December 2013, p. 54.</w:t>
      </w:r>
    </w:p>
  </w:footnote>
  <w:footnote w:id="104">
    <w:p w:rsidR="0010368F" w:rsidRDefault="0010368F">
      <w:pPr>
        <w:pStyle w:val="FootnoteText"/>
      </w:pPr>
      <w:r>
        <w:rPr>
          <w:rStyle w:val="FootnoteReference"/>
        </w:rPr>
        <w:footnoteRef/>
      </w:r>
      <w:r>
        <w:t xml:space="preserve">      Transcript of evidence, 12 December 2013, p. 57. </w:t>
      </w:r>
    </w:p>
  </w:footnote>
  <w:footnote w:id="105">
    <w:p w:rsidR="0010368F" w:rsidRDefault="0010368F" w:rsidP="0062447B">
      <w:pPr>
        <w:pStyle w:val="FootnoteText"/>
        <w:ind w:left="426" w:hanging="426"/>
      </w:pPr>
      <w:r>
        <w:rPr>
          <w:rStyle w:val="FootnoteReference"/>
        </w:rPr>
        <w:footnoteRef/>
      </w:r>
      <w:r>
        <w:t xml:space="preserve">      </w:t>
      </w:r>
      <w:r w:rsidRPr="00DA5726">
        <w:t xml:space="preserve">ACT Public Service, </w:t>
      </w:r>
      <w:r w:rsidRPr="00DA5726">
        <w:rPr>
          <w:i/>
        </w:rPr>
        <w:t>Submission to the Standing Committee on Health, Ageing, Community and Social Services – Inquiry into ACT Public Service Aboriginal and Torres Strait Islander Employment</w:t>
      </w:r>
      <w:r w:rsidRPr="00DA5726">
        <w:t>, August 2013, p 1</w:t>
      </w:r>
      <w:r>
        <w:t>2</w:t>
      </w:r>
      <w:r w:rsidRPr="00DA5726">
        <w:t>.</w:t>
      </w:r>
    </w:p>
  </w:footnote>
  <w:footnote w:id="106">
    <w:p w:rsidR="0010368F" w:rsidRDefault="0010368F" w:rsidP="0062447B">
      <w:pPr>
        <w:pStyle w:val="FootnoteText"/>
        <w:ind w:left="426" w:hanging="426"/>
      </w:pPr>
      <w:r>
        <w:rPr>
          <w:rStyle w:val="FootnoteReference"/>
        </w:rPr>
        <w:footnoteRef/>
      </w:r>
      <w:r>
        <w:t xml:space="preserve">      </w:t>
      </w:r>
      <w:r w:rsidRPr="00ED626A">
        <w:t>NAIDOC stands for National Aborigines and Islanders Day Observance Committee. Its origins can be traced to the emergence of Aboriginal groups in the 1920′s which sought to increase awareness in the wider community of the status and treatment of Indigenous Australians.</w:t>
      </w:r>
      <w:r>
        <w:t xml:space="preserve"> </w:t>
      </w:r>
      <w:r w:rsidRPr="00ED626A">
        <w:t xml:space="preserve"> NAIDOC Week is held in the first full week of July. It is a time to celebrate Aboriginal and Torres Strait Islander cultures and an opportunity to recognise the contributions that Indigenous Australians make to Australian and Australian society.</w:t>
      </w:r>
      <w:r>
        <w:t xml:space="preserve"> See: </w:t>
      </w:r>
      <w:hyperlink r:id="rId11" w:history="1">
        <w:r w:rsidRPr="00E82B32">
          <w:rPr>
            <w:rStyle w:val="Hyperlink"/>
          </w:rPr>
          <w:t>http://www.naidoc.org.au/</w:t>
        </w:r>
      </w:hyperlink>
      <w:r>
        <w:t xml:space="preserve"> </w:t>
      </w:r>
    </w:p>
  </w:footnote>
  <w:footnote w:id="107">
    <w:p w:rsidR="0010368F" w:rsidRDefault="0010368F">
      <w:pPr>
        <w:pStyle w:val="FootnoteText"/>
      </w:pPr>
      <w:r>
        <w:rPr>
          <w:rStyle w:val="FootnoteReference"/>
        </w:rPr>
        <w:footnoteRef/>
      </w:r>
      <w:r>
        <w:t xml:space="preserve">     Transcript of evidence, 11 December 2013, p. 24. </w:t>
      </w:r>
    </w:p>
  </w:footnote>
  <w:footnote w:id="108">
    <w:p w:rsidR="0010368F" w:rsidRDefault="0010368F">
      <w:pPr>
        <w:pStyle w:val="FootnoteText"/>
      </w:pPr>
      <w:r>
        <w:rPr>
          <w:rStyle w:val="FootnoteReference"/>
        </w:rPr>
        <w:footnoteRef/>
      </w:r>
      <w:r>
        <w:t xml:space="preserve">     Transcript of evidence, 11 December 2013, p. 24.</w:t>
      </w:r>
    </w:p>
  </w:footnote>
  <w:footnote w:id="109">
    <w:p w:rsidR="0010368F" w:rsidRDefault="0010368F">
      <w:pPr>
        <w:pStyle w:val="FootnoteText"/>
      </w:pPr>
      <w:r>
        <w:rPr>
          <w:rStyle w:val="FootnoteReference"/>
        </w:rPr>
        <w:footnoteRef/>
      </w:r>
      <w:r>
        <w:t xml:space="preserve">      Transcript of evidence, 11 December 2013, p. 25. </w:t>
      </w:r>
    </w:p>
  </w:footnote>
  <w:footnote w:id="110">
    <w:p w:rsidR="0010368F" w:rsidRDefault="0010368F" w:rsidP="0062447B">
      <w:pPr>
        <w:pStyle w:val="FootnoteText"/>
        <w:ind w:left="426" w:hanging="426"/>
      </w:pPr>
      <w:r>
        <w:rPr>
          <w:rStyle w:val="FootnoteReference"/>
        </w:rPr>
        <w:footnoteRef/>
      </w:r>
      <w:r>
        <w:t xml:space="preserve">      </w:t>
      </w:r>
      <w:r w:rsidRPr="00DA5726">
        <w:t xml:space="preserve">ACT Public Service, </w:t>
      </w:r>
      <w:r w:rsidRPr="00DA5726">
        <w:rPr>
          <w:i/>
        </w:rPr>
        <w:t>Submission to the Standing Committee on Health, Ageing, Community and Social Services – Inquiry into ACT Public Service Aboriginal and Torres Strait Islander Employment</w:t>
      </w:r>
      <w:r>
        <w:t>, August 2013, p 27</w:t>
      </w:r>
    </w:p>
  </w:footnote>
  <w:footnote w:id="111">
    <w:p w:rsidR="0010368F" w:rsidRPr="00520124" w:rsidRDefault="0010368F">
      <w:pPr>
        <w:pStyle w:val="FootnoteText"/>
      </w:pPr>
      <w:r>
        <w:rPr>
          <w:rStyle w:val="FootnoteReference"/>
        </w:rPr>
        <w:footnoteRef/>
      </w:r>
      <w:r>
        <w:t xml:space="preserve">      For more information on </w:t>
      </w:r>
      <w:r>
        <w:rPr>
          <w:i/>
        </w:rPr>
        <w:t>The Deadlys</w:t>
      </w:r>
      <w:r>
        <w:t xml:space="preserve"> see:  </w:t>
      </w:r>
      <w:hyperlink r:id="rId12" w:history="1">
        <w:r w:rsidRPr="00C14581">
          <w:rPr>
            <w:rStyle w:val="Hyperlink"/>
          </w:rPr>
          <w:t>http://www.deadlyvibe.com.au/event/deadly-awards-2014/</w:t>
        </w:r>
      </w:hyperlink>
      <w:r>
        <w:t xml:space="preserve"> </w:t>
      </w:r>
    </w:p>
  </w:footnote>
  <w:footnote w:id="112">
    <w:p w:rsidR="0010368F" w:rsidRDefault="0010368F" w:rsidP="0062447B">
      <w:pPr>
        <w:pStyle w:val="FootnoteText"/>
        <w:ind w:left="426" w:hanging="426"/>
      </w:pPr>
      <w:r>
        <w:rPr>
          <w:rStyle w:val="FootnoteReference"/>
        </w:rPr>
        <w:footnoteRef/>
      </w:r>
      <w:r>
        <w:t xml:space="preserve">     </w:t>
      </w:r>
      <w:r w:rsidRPr="00DA5726">
        <w:t xml:space="preserve">ACT Public Service, </w:t>
      </w:r>
      <w:r w:rsidRPr="00DA5726">
        <w:rPr>
          <w:i/>
        </w:rPr>
        <w:t>Submission to the Standing Committee on Health, Ageing, Community and Social Services – Inquiry into ACT Public Service Aboriginal and Torres Strait Islander Employment</w:t>
      </w:r>
      <w:r>
        <w:t>, August 2013, p 27.</w:t>
      </w:r>
    </w:p>
  </w:footnote>
  <w:footnote w:id="113">
    <w:p w:rsidR="0010368F" w:rsidRDefault="0010368F" w:rsidP="0062447B">
      <w:pPr>
        <w:pStyle w:val="FootnoteText"/>
        <w:ind w:left="426" w:hanging="426"/>
      </w:pPr>
      <w:r>
        <w:rPr>
          <w:rStyle w:val="FootnoteReference"/>
        </w:rPr>
        <w:footnoteRef/>
      </w:r>
      <w:r>
        <w:t xml:space="preserve">     </w:t>
      </w:r>
      <w:r w:rsidRPr="00DA5726">
        <w:t xml:space="preserve">ACT Public Service, </w:t>
      </w:r>
      <w:r w:rsidRPr="00DA5726">
        <w:rPr>
          <w:i/>
        </w:rPr>
        <w:t>Submission to the Standing Committee on Health, Ageing, Community and Social Services – Inquiry into ACT Public Service Aboriginal and Torres Strait Islander Employment</w:t>
      </w:r>
      <w:r>
        <w:t>, August 2013, p 13.</w:t>
      </w:r>
    </w:p>
  </w:footnote>
  <w:footnote w:id="114">
    <w:p w:rsidR="0010368F" w:rsidRDefault="0010368F">
      <w:pPr>
        <w:pStyle w:val="FootnoteText"/>
      </w:pPr>
      <w:r>
        <w:rPr>
          <w:rStyle w:val="FootnoteReference"/>
        </w:rPr>
        <w:footnoteRef/>
      </w:r>
      <w:r>
        <w:t xml:space="preserve">     Transcript of evidence, 11 December 2013, p. 31. </w:t>
      </w:r>
    </w:p>
  </w:footnote>
  <w:footnote w:id="115">
    <w:p w:rsidR="0010368F" w:rsidRDefault="0010368F">
      <w:pPr>
        <w:pStyle w:val="FootnoteText"/>
      </w:pPr>
      <w:r>
        <w:rPr>
          <w:rStyle w:val="FootnoteReference"/>
        </w:rPr>
        <w:footnoteRef/>
      </w:r>
      <w:r>
        <w:t xml:space="preserve">    Transcript of evidence, 11 December 2013, pp. 31-32.</w:t>
      </w:r>
    </w:p>
  </w:footnote>
  <w:footnote w:id="116">
    <w:p w:rsidR="0010368F" w:rsidRDefault="0010368F">
      <w:pPr>
        <w:pStyle w:val="FootnoteText"/>
      </w:pPr>
      <w:r>
        <w:rPr>
          <w:rStyle w:val="FootnoteReference"/>
        </w:rPr>
        <w:footnoteRef/>
      </w:r>
      <w:r>
        <w:t xml:space="preserve">    Transcript of evidence, 11 December 2013, p.  49.</w:t>
      </w:r>
    </w:p>
  </w:footnote>
  <w:footnote w:id="117">
    <w:p w:rsidR="0010368F" w:rsidRDefault="0010368F">
      <w:pPr>
        <w:pStyle w:val="FootnoteText"/>
      </w:pPr>
      <w:r>
        <w:rPr>
          <w:rStyle w:val="FootnoteReference"/>
        </w:rPr>
        <w:footnoteRef/>
      </w:r>
      <w:r>
        <w:t xml:space="preserve">    Transcript of evidence, 12 December 2013, p 74..  </w:t>
      </w:r>
    </w:p>
  </w:footnote>
  <w:footnote w:id="118">
    <w:p w:rsidR="0010368F" w:rsidRDefault="0010368F">
      <w:pPr>
        <w:pStyle w:val="FootnoteText"/>
      </w:pPr>
      <w:r>
        <w:rPr>
          <w:rStyle w:val="FootnoteReference"/>
        </w:rPr>
        <w:footnoteRef/>
      </w:r>
      <w:r>
        <w:t xml:space="preserve">    </w:t>
      </w:r>
      <w:hyperlink r:id="rId13" w:history="1">
        <w:r w:rsidRPr="00E82B32">
          <w:rPr>
            <w:rStyle w:val="Hyperlink"/>
          </w:rPr>
          <w:t>http://www.cica.org.au/practitioners/career-practitioner-information</w:t>
        </w:r>
      </w:hyperlink>
      <w:r>
        <w:t xml:space="preserve"> </w:t>
      </w:r>
    </w:p>
  </w:footnote>
  <w:footnote w:id="119">
    <w:p w:rsidR="0010368F" w:rsidRDefault="0010368F">
      <w:pPr>
        <w:pStyle w:val="FootnoteText"/>
      </w:pPr>
      <w:r>
        <w:rPr>
          <w:rStyle w:val="FootnoteReference"/>
        </w:rPr>
        <w:footnoteRef/>
      </w:r>
      <w:r>
        <w:t xml:space="preserve">    ACT Aboriginal and Torres Strait Islander Elected Body , [Submission], p. [3].</w:t>
      </w:r>
    </w:p>
  </w:footnote>
  <w:footnote w:id="120">
    <w:p w:rsidR="0010368F" w:rsidRDefault="0010368F">
      <w:pPr>
        <w:pStyle w:val="FootnoteText"/>
      </w:pPr>
      <w:r>
        <w:rPr>
          <w:rStyle w:val="FootnoteReference"/>
        </w:rPr>
        <w:footnoteRef/>
      </w:r>
      <w:r>
        <w:t xml:space="preserve">    Transcript of evidence, 11 December 2013, p. 18. </w:t>
      </w:r>
    </w:p>
  </w:footnote>
  <w:footnote w:id="121">
    <w:p w:rsidR="0010368F" w:rsidRDefault="0010368F">
      <w:pPr>
        <w:pStyle w:val="FootnoteText"/>
      </w:pPr>
      <w:r>
        <w:rPr>
          <w:rStyle w:val="FootnoteReference"/>
        </w:rPr>
        <w:footnoteRef/>
      </w:r>
      <w:r>
        <w:t xml:space="preserve">    Transcript of evidence, 11 December 2013, p. 18. </w:t>
      </w:r>
    </w:p>
  </w:footnote>
  <w:footnote w:id="122">
    <w:p w:rsidR="0010368F" w:rsidRDefault="0010368F">
      <w:pPr>
        <w:pStyle w:val="FootnoteText"/>
      </w:pPr>
      <w:r>
        <w:rPr>
          <w:rStyle w:val="FootnoteReference"/>
        </w:rPr>
        <w:footnoteRef/>
      </w:r>
      <w:r>
        <w:t xml:space="preserve">     Transcript of evidence, 11 December 2013, p. 19.</w:t>
      </w:r>
    </w:p>
  </w:footnote>
  <w:footnote w:id="123">
    <w:p w:rsidR="0010368F" w:rsidRDefault="0010368F" w:rsidP="004E6B3A">
      <w:pPr>
        <w:pStyle w:val="FootnoteText"/>
        <w:ind w:left="426" w:hanging="426"/>
      </w:pPr>
      <w:r>
        <w:rPr>
          <w:rStyle w:val="FootnoteReference"/>
        </w:rPr>
        <w:footnoteRef/>
      </w:r>
      <w:r>
        <w:t xml:space="preserve">     </w:t>
      </w:r>
      <w:r w:rsidRPr="00DA5726">
        <w:t xml:space="preserve">ACT Public Service, </w:t>
      </w:r>
      <w:r w:rsidRPr="00DA5726">
        <w:rPr>
          <w:i/>
        </w:rPr>
        <w:t>Submission to the Standing Committee on Health, Ageing, Community and Social Services – Inquiry into ACT Public Service Aboriginal and Torres Strait Islander Employment</w:t>
      </w:r>
      <w:r>
        <w:t>, August 2013, p 13.</w:t>
      </w:r>
    </w:p>
  </w:footnote>
  <w:footnote w:id="124">
    <w:p w:rsidR="0010368F" w:rsidRDefault="0010368F">
      <w:pPr>
        <w:pStyle w:val="FootnoteText"/>
      </w:pPr>
      <w:r>
        <w:rPr>
          <w:rStyle w:val="FootnoteReference"/>
        </w:rPr>
        <w:footnoteRef/>
      </w:r>
      <w:r>
        <w:t xml:space="preserve">      Transcript of evidence, 11 December 2013, p.28.</w:t>
      </w:r>
    </w:p>
  </w:footnote>
  <w:footnote w:id="125">
    <w:p w:rsidR="0010368F" w:rsidRDefault="0010368F">
      <w:pPr>
        <w:pStyle w:val="FootnoteText"/>
      </w:pPr>
      <w:r>
        <w:rPr>
          <w:rStyle w:val="FootnoteReference"/>
        </w:rPr>
        <w:footnoteRef/>
      </w:r>
      <w:r>
        <w:t xml:space="preserve">    Transcript of evidence, 12 December 2013, pp. 91-92. </w:t>
      </w:r>
    </w:p>
  </w:footnote>
  <w:footnote w:id="126">
    <w:p w:rsidR="0010368F" w:rsidRDefault="0010368F" w:rsidP="007D2B38">
      <w:pPr>
        <w:pStyle w:val="FootnoteText"/>
        <w:ind w:left="284" w:hanging="284"/>
      </w:pPr>
      <w:r>
        <w:rPr>
          <w:rStyle w:val="FootnoteReference"/>
        </w:rPr>
        <w:footnoteRef/>
      </w:r>
      <w:r>
        <w:t xml:space="preserve">    An explanation of APS secondments can be found at:   </w:t>
      </w:r>
      <w:hyperlink r:id="rId14" w:history="1">
        <w:r w:rsidRPr="00C97E74">
          <w:rPr>
            <w:rStyle w:val="Hyperlink"/>
          </w:rPr>
          <w:t>http://www.apsc.gov.au/aps-employment-policy-and-advice/movements/secondments</w:t>
        </w:r>
      </w:hyperlink>
      <w:r>
        <w:t xml:space="preserve"> </w:t>
      </w:r>
    </w:p>
  </w:footnote>
  <w:footnote w:id="127">
    <w:p w:rsidR="0010368F" w:rsidRDefault="0010368F" w:rsidP="007D2B38">
      <w:pPr>
        <w:pStyle w:val="FootnoteText"/>
        <w:ind w:left="284" w:hanging="284"/>
      </w:pPr>
      <w:r>
        <w:rPr>
          <w:rStyle w:val="FootnoteReference"/>
        </w:rPr>
        <w:footnoteRef/>
      </w:r>
      <w:r>
        <w:t xml:space="preserve">    </w:t>
      </w:r>
      <w:r w:rsidRPr="00DA5726">
        <w:t xml:space="preserve">ACT Public Service, </w:t>
      </w:r>
      <w:r w:rsidRPr="00DA5726">
        <w:rPr>
          <w:i/>
        </w:rPr>
        <w:t>Submission to the Standing Committee on Health, Ageing, Community and Social Services – Inquiry into ACT Public Service Aboriginal and Torres Strait Islander Employment</w:t>
      </w:r>
      <w:r>
        <w:t>, August 2013, p 13</w:t>
      </w:r>
    </w:p>
  </w:footnote>
  <w:footnote w:id="128">
    <w:p w:rsidR="0010368F" w:rsidRPr="00024210" w:rsidRDefault="0010368F" w:rsidP="003840D5">
      <w:pPr>
        <w:pStyle w:val="FootnoteText"/>
        <w:ind w:left="426" w:hanging="426"/>
      </w:pPr>
      <w:r>
        <w:rPr>
          <w:rStyle w:val="FootnoteReference"/>
        </w:rPr>
        <w:footnoteRef/>
      </w:r>
      <w:r>
        <w:t xml:space="preserve">     University of Queensland, Centre for Social Responsibility in Mining, </w:t>
      </w:r>
      <w:r w:rsidRPr="00A016FB">
        <w:rPr>
          <w:i/>
        </w:rPr>
        <w:t>Indigenous Employment in the Minerals Industry</w:t>
      </w:r>
      <w:r>
        <w:rPr>
          <w:i/>
        </w:rPr>
        <w:t xml:space="preserve">, </w:t>
      </w:r>
      <w:r w:rsidRPr="00024210">
        <w:t>Brisbane, QLD</w:t>
      </w:r>
      <w:r>
        <w:t>, [2013].</w:t>
      </w:r>
    </w:p>
  </w:footnote>
  <w:footnote w:id="129">
    <w:p w:rsidR="0010368F" w:rsidRDefault="0010368F" w:rsidP="00045993">
      <w:pPr>
        <w:pStyle w:val="FootnoteText"/>
        <w:ind w:left="284" w:hanging="284"/>
      </w:pPr>
      <w:r>
        <w:rPr>
          <w:rStyle w:val="FootnoteReference"/>
        </w:rPr>
        <w:footnoteRef/>
      </w:r>
      <w:r>
        <w:t xml:space="preserve">    Australian Public Service Employment Database internet.  For more information, see;  </w:t>
      </w:r>
      <w:hyperlink r:id="rId15" w:history="1">
        <w:r w:rsidRPr="00C97E74">
          <w:rPr>
            <w:rStyle w:val="Hyperlink"/>
          </w:rPr>
          <w:t>https://apsc.gov.au/APSEDii/APSEDIIFirstPage_index.shtm</w:t>
        </w:r>
      </w:hyperlink>
    </w:p>
  </w:footnote>
  <w:footnote w:id="130">
    <w:p w:rsidR="0010368F" w:rsidRDefault="0010368F" w:rsidP="00045993">
      <w:pPr>
        <w:pStyle w:val="FootnoteText"/>
      </w:pPr>
      <w:r>
        <w:rPr>
          <w:rStyle w:val="FootnoteReference"/>
        </w:rPr>
        <w:footnoteRef/>
      </w:r>
      <w:r>
        <w:t xml:space="preserve">    CPSU, Submission, p. 3</w:t>
      </w:r>
    </w:p>
  </w:footnote>
  <w:footnote w:id="131">
    <w:p w:rsidR="0010368F" w:rsidRDefault="0010368F">
      <w:pPr>
        <w:pStyle w:val="FootnoteText"/>
      </w:pPr>
      <w:r>
        <w:rPr>
          <w:rStyle w:val="FootnoteReference"/>
        </w:rPr>
        <w:footnoteRef/>
      </w:r>
      <w:r>
        <w:t xml:space="preserve">    Transcript of evidence, 11 December 2013, pp.15-16.  </w:t>
      </w:r>
    </w:p>
  </w:footnote>
  <w:footnote w:id="132">
    <w:p w:rsidR="0010368F" w:rsidRDefault="0010368F">
      <w:pPr>
        <w:pStyle w:val="FootnoteText"/>
      </w:pPr>
      <w:r>
        <w:rPr>
          <w:rStyle w:val="FootnoteReference"/>
        </w:rPr>
        <w:footnoteRef/>
      </w:r>
      <w:r>
        <w:t xml:space="preserve">    Transcript of evidence, 11 December 2013, p. 16.  </w:t>
      </w:r>
    </w:p>
  </w:footnote>
  <w:footnote w:id="133">
    <w:p w:rsidR="0010368F" w:rsidRPr="00024210" w:rsidRDefault="0010368F" w:rsidP="00CB277F">
      <w:pPr>
        <w:pStyle w:val="FootnoteText"/>
        <w:ind w:left="426" w:hanging="426"/>
      </w:pPr>
      <w:r>
        <w:rPr>
          <w:rStyle w:val="FootnoteReference"/>
        </w:rPr>
        <w:footnoteRef/>
      </w:r>
      <w:r>
        <w:t xml:space="preserve">     University of Queensland, Centre for Social Responsibility in Mining, </w:t>
      </w:r>
      <w:r w:rsidRPr="00A016FB">
        <w:rPr>
          <w:i/>
        </w:rPr>
        <w:t>Indigenous Employment in the Minerals Industry</w:t>
      </w:r>
      <w:r>
        <w:rPr>
          <w:i/>
        </w:rPr>
        <w:t xml:space="preserve">, </w:t>
      </w:r>
      <w:r w:rsidRPr="00024210">
        <w:t>Brisbane, QLD</w:t>
      </w:r>
      <w:r>
        <w:t>, [2013].</w:t>
      </w:r>
    </w:p>
  </w:footnote>
  <w:footnote w:id="134">
    <w:p w:rsidR="0010368F" w:rsidRDefault="0010368F" w:rsidP="00CB277F">
      <w:pPr>
        <w:pStyle w:val="FootnoteText"/>
        <w:ind w:left="426" w:hanging="426"/>
      </w:pPr>
      <w:r>
        <w:rPr>
          <w:rStyle w:val="FootnoteReference"/>
        </w:rPr>
        <w:footnoteRef/>
      </w:r>
      <w:r>
        <w:t xml:space="preserve">     University of Queensland, Centre for Social Responsibility in Mining, </w:t>
      </w:r>
      <w:r w:rsidRPr="00A016FB">
        <w:rPr>
          <w:i/>
        </w:rPr>
        <w:t>Indigenous Employment in the Minerals Industry</w:t>
      </w:r>
      <w:r>
        <w:rPr>
          <w:i/>
        </w:rPr>
        <w:t xml:space="preserve">, </w:t>
      </w:r>
      <w:r w:rsidRPr="00024210">
        <w:t>Brisbane, QLD, [2013], p. 55.</w:t>
      </w:r>
    </w:p>
  </w:footnote>
  <w:footnote w:id="135">
    <w:p w:rsidR="0010368F" w:rsidRDefault="0010368F" w:rsidP="0089288C">
      <w:pPr>
        <w:pStyle w:val="FootnoteText"/>
        <w:ind w:left="284" w:hanging="284"/>
      </w:pPr>
      <w:r>
        <w:rPr>
          <w:rStyle w:val="FootnoteReference"/>
        </w:rPr>
        <w:footnoteRef/>
      </w:r>
      <w:r>
        <w:t xml:space="preserve">  University of Queensland, Centre for Social Responsibility in Mining, </w:t>
      </w:r>
      <w:r w:rsidRPr="00A016FB">
        <w:rPr>
          <w:i/>
        </w:rPr>
        <w:t>Indigenous Employment in the Minerals Industry</w:t>
      </w:r>
      <w:r>
        <w:rPr>
          <w:i/>
        </w:rPr>
        <w:t xml:space="preserve">, </w:t>
      </w:r>
      <w:r>
        <w:t>Brisbane, QLD, [2013], pp. 55-6.</w:t>
      </w:r>
    </w:p>
  </w:footnote>
  <w:footnote w:id="136">
    <w:p w:rsidR="0010368F" w:rsidRPr="00FE7EF3" w:rsidRDefault="0010368F" w:rsidP="00FE7EF3">
      <w:pPr>
        <w:pStyle w:val="FootnoteText"/>
        <w:ind w:left="426" w:hanging="426"/>
        <w:rPr>
          <w:lang w:val="en-US"/>
        </w:rPr>
      </w:pPr>
      <w:r>
        <w:rPr>
          <w:rStyle w:val="FootnoteReference"/>
        </w:rPr>
        <w:footnoteRef/>
      </w:r>
      <w:r>
        <w:t xml:space="preserve">     Australia. Australian Public Service Commission. </w:t>
      </w:r>
      <w:r w:rsidRPr="00FE7EF3">
        <w:rPr>
          <w:i/>
        </w:rPr>
        <w:t xml:space="preserve">Submission to the </w:t>
      </w:r>
      <w:r w:rsidRPr="00FE7EF3">
        <w:rPr>
          <w:i/>
          <w:lang w:val="en-US"/>
        </w:rPr>
        <w:t>Submission to the Inquiry into ACT Public Service Aboriginal and Torres Strait Islander Employment</w:t>
      </w:r>
      <w:r>
        <w:rPr>
          <w:i/>
          <w:lang w:val="en-US"/>
        </w:rPr>
        <w:t>.</w:t>
      </w:r>
      <w:r>
        <w:rPr>
          <w:lang w:val="en-US"/>
        </w:rPr>
        <w:t xml:space="preserve"> Canberra, August 2013, p. 1.</w:t>
      </w:r>
    </w:p>
    <w:p w:rsidR="0010368F" w:rsidRDefault="0010368F">
      <w:pPr>
        <w:pStyle w:val="FootnoteText"/>
      </w:pPr>
    </w:p>
  </w:footnote>
  <w:footnote w:id="137">
    <w:p w:rsidR="0010368F" w:rsidRDefault="0010368F" w:rsidP="007F0A2A">
      <w:pPr>
        <w:pStyle w:val="FootnoteText"/>
        <w:ind w:left="426" w:hanging="426"/>
      </w:pPr>
      <w:r>
        <w:rPr>
          <w:rStyle w:val="FootnoteReference"/>
        </w:rPr>
        <w:footnoteRef/>
      </w:r>
      <w:r>
        <w:t xml:space="preserve">     Australia. Australian Public Service Commission. </w:t>
      </w:r>
      <w:r w:rsidRPr="00FE7EF3">
        <w:rPr>
          <w:i/>
        </w:rPr>
        <w:t xml:space="preserve">Submission to the </w:t>
      </w:r>
      <w:r w:rsidRPr="00FE7EF3">
        <w:rPr>
          <w:i/>
          <w:lang w:val="en-US"/>
        </w:rPr>
        <w:t>Submission to the Inquiry into ACT Public Service Aboriginal and Torres Strait Islander Employment</w:t>
      </w:r>
      <w:r>
        <w:rPr>
          <w:i/>
          <w:lang w:val="en-US"/>
        </w:rPr>
        <w:t>.</w:t>
      </w:r>
      <w:r>
        <w:rPr>
          <w:lang w:val="en-US"/>
        </w:rPr>
        <w:t xml:space="preserve"> Canberra, August 2013, p. 2.</w:t>
      </w:r>
    </w:p>
  </w:footnote>
  <w:footnote w:id="138">
    <w:p w:rsidR="0010368F" w:rsidRDefault="0010368F" w:rsidP="007F0A2A">
      <w:pPr>
        <w:pStyle w:val="FootnoteText"/>
        <w:ind w:left="426" w:hanging="426"/>
      </w:pPr>
      <w:r>
        <w:rPr>
          <w:rStyle w:val="FootnoteReference"/>
        </w:rPr>
        <w:footnoteRef/>
      </w:r>
      <w:r>
        <w:t xml:space="preserve">     Australia. Australian Public Service Commission. </w:t>
      </w:r>
      <w:r w:rsidRPr="00FE7EF3">
        <w:rPr>
          <w:i/>
        </w:rPr>
        <w:t xml:space="preserve">Submission to the </w:t>
      </w:r>
      <w:r w:rsidRPr="00FE7EF3">
        <w:rPr>
          <w:i/>
          <w:lang w:val="en-US"/>
        </w:rPr>
        <w:t>Submission to the Inquiry into ACT Public Service Aboriginal and Torres Strait Islander Employment</w:t>
      </w:r>
      <w:r>
        <w:rPr>
          <w:i/>
          <w:lang w:val="en-US"/>
        </w:rPr>
        <w:t>.</w:t>
      </w:r>
      <w:r>
        <w:rPr>
          <w:lang w:val="en-US"/>
        </w:rPr>
        <w:t xml:space="preserve"> Canberra, August 2013, p. 2.</w:t>
      </w:r>
    </w:p>
  </w:footnote>
  <w:footnote w:id="139">
    <w:p w:rsidR="0010368F" w:rsidRDefault="0010368F" w:rsidP="00591138">
      <w:pPr>
        <w:pStyle w:val="FootnoteText"/>
        <w:ind w:left="426" w:hanging="426"/>
      </w:pPr>
      <w:r>
        <w:rPr>
          <w:rStyle w:val="FootnoteReference"/>
        </w:rPr>
        <w:footnoteRef/>
      </w:r>
      <w:r>
        <w:t xml:space="preserve">     Australia. Australian Public Service Commission. </w:t>
      </w:r>
      <w:r w:rsidRPr="00FE7EF3">
        <w:rPr>
          <w:i/>
        </w:rPr>
        <w:t xml:space="preserve">Submission to the </w:t>
      </w:r>
      <w:r w:rsidRPr="00FE7EF3">
        <w:rPr>
          <w:i/>
          <w:lang w:val="en-US"/>
        </w:rPr>
        <w:t>Submission to the Inquiry into ACT Public Service Aboriginal and Torres Strait Islander Employment</w:t>
      </w:r>
      <w:r>
        <w:rPr>
          <w:i/>
          <w:lang w:val="en-US"/>
        </w:rPr>
        <w:t>.</w:t>
      </w:r>
      <w:r>
        <w:rPr>
          <w:lang w:val="en-US"/>
        </w:rPr>
        <w:t xml:space="preserve"> Canberra, August 2013, p. 3.</w:t>
      </w:r>
    </w:p>
  </w:footnote>
  <w:footnote w:id="140">
    <w:p w:rsidR="0010368F" w:rsidRDefault="0010368F" w:rsidP="00872213">
      <w:pPr>
        <w:pStyle w:val="FootnoteText"/>
        <w:ind w:left="426" w:hanging="426"/>
      </w:pPr>
      <w:r>
        <w:rPr>
          <w:rStyle w:val="FootnoteReference"/>
        </w:rPr>
        <w:footnoteRef/>
      </w:r>
      <w:r>
        <w:t xml:space="preserve">     Australia. Australian Public Service Commission. </w:t>
      </w:r>
      <w:r w:rsidRPr="00FE7EF3">
        <w:rPr>
          <w:i/>
        </w:rPr>
        <w:t xml:space="preserve">Submission to the </w:t>
      </w:r>
      <w:r w:rsidRPr="00FE7EF3">
        <w:rPr>
          <w:i/>
          <w:lang w:val="en-US"/>
        </w:rPr>
        <w:t xml:space="preserve">Submission to the Inquiry into ACT Public Service </w:t>
      </w:r>
      <w:r>
        <w:rPr>
          <w:i/>
          <w:lang w:val="en-US"/>
        </w:rPr>
        <w:t xml:space="preserve"> </w:t>
      </w:r>
      <w:r w:rsidRPr="00FE7EF3">
        <w:rPr>
          <w:i/>
          <w:lang w:val="en-US"/>
        </w:rPr>
        <w:t>Aboriginal and Torres Strait Islander Employment</w:t>
      </w:r>
      <w:r>
        <w:rPr>
          <w:i/>
          <w:lang w:val="en-US"/>
        </w:rPr>
        <w:t>.</w:t>
      </w:r>
      <w:r>
        <w:rPr>
          <w:lang w:val="en-US"/>
        </w:rPr>
        <w:t xml:space="preserve"> Canberra, August 2013, p. 3.</w:t>
      </w:r>
    </w:p>
  </w:footnote>
  <w:footnote w:id="141">
    <w:p w:rsidR="0010368F" w:rsidRDefault="0010368F" w:rsidP="00872213">
      <w:pPr>
        <w:pStyle w:val="FootnoteText"/>
        <w:ind w:left="284" w:hanging="284"/>
      </w:pPr>
      <w:r>
        <w:rPr>
          <w:rStyle w:val="FootnoteReference"/>
        </w:rPr>
        <w:footnoteRef/>
      </w:r>
      <w:r>
        <w:t xml:space="preserve">     Australia. Australian Public Service Commission. </w:t>
      </w:r>
      <w:r w:rsidRPr="00EB4A07">
        <w:rPr>
          <w:i/>
        </w:rPr>
        <w:t>State of the Service Report 2012-13</w:t>
      </w:r>
      <w:r>
        <w:t>,  Canberra, 2013, p. 98.</w:t>
      </w:r>
    </w:p>
  </w:footnote>
  <w:footnote w:id="142">
    <w:p w:rsidR="0010368F" w:rsidRDefault="0010368F" w:rsidP="00872213">
      <w:pPr>
        <w:pStyle w:val="FootnoteText"/>
        <w:ind w:left="426" w:hanging="426"/>
      </w:pPr>
      <w:r>
        <w:rPr>
          <w:rStyle w:val="FootnoteReference"/>
        </w:rPr>
        <w:footnoteRef/>
      </w:r>
      <w:r>
        <w:t xml:space="preserve">     Australia. Australian Public Service Commission. State </w:t>
      </w:r>
      <w:r w:rsidRPr="00872213">
        <w:rPr>
          <w:i/>
        </w:rPr>
        <w:t>of the Service Series Report – 2012 Indigenous Census</w:t>
      </w:r>
      <w:r>
        <w:t xml:space="preserve">, Canberra, 2014, p. 1. </w:t>
      </w:r>
    </w:p>
  </w:footnote>
  <w:footnote w:id="143">
    <w:p w:rsidR="0010368F" w:rsidRPr="00932368" w:rsidRDefault="0010368F" w:rsidP="00932368">
      <w:pPr>
        <w:pStyle w:val="FootnoteText"/>
        <w:ind w:left="426" w:hanging="426"/>
      </w:pPr>
      <w:r>
        <w:rPr>
          <w:rStyle w:val="FootnoteReference"/>
        </w:rPr>
        <w:footnoteRef/>
      </w:r>
      <w:r>
        <w:t xml:space="preserve">      Australian Bureau of Statistics. Media release - </w:t>
      </w:r>
      <w:r w:rsidRPr="00932368">
        <w:rPr>
          <w:i/>
        </w:rPr>
        <w:t>Aboriginal and Torres Strait Islander population nearing 700,000</w:t>
      </w:r>
      <w:r>
        <w:rPr>
          <w:i/>
        </w:rPr>
        <w:t xml:space="preserve">, </w:t>
      </w:r>
      <w:r>
        <w:t xml:space="preserve">Canberra, 30 August 2013. </w:t>
      </w:r>
    </w:p>
  </w:footnote>
  <w:footnote w:id="144">
    <w:p w:rsidR="0010368F" w:rsidRDefault="0010368F" w:rsidP="00591138">
      <w:pPr>
        <w:pStyle w:val="FootnoteText"/>
      </w:pPr>
      <w:r>
        <w:rPr>
          <w:rStyle w:val="FootnoteReference"/>
        </w:rPr>
        <w:footnoteRef/>
      </w:r>
      <w:r>
        <w:t xml:space="preserve">     New South Wales. Public Service Commission, </w:t>
      </w:r>
      <w:r w:rsidRPr="00F37697">
        <w:rPr>
          <w:i/>
        </w:rPr>
        <w:t>Getting into shape - State of the NSW Public Sector Report 2013</w:t>
      </w:r>
      <w:r>
        <w:t>, p. 23.</w:t>
      </w:r>
    </w:p>
  </w:footnote>
  <w:footnote w:id="145">
    <w:p w:rsidR="0010368F" w:rsidRDefault="0010368F">
      <w:pPr>
        <w:pStyle w:val="FootnoteText"/>
      </w:pPr>
      <w:r>
        <w:rPr>
          <w:rStyle w:val="FootnoteReference"/>
        </w:rPr>
        <w:footnoteRef/>
      </w:r>
      <w:r>
        <w:t xml:space="preserve">     New South Wales. Public Service Commission, </w:t>
      </w:r>
      <w:r w:rsidRPr="00F37697">
        <w:rPr>
          <w:i/>
        </w:rPr>
        <w:t>Getting into shape - State of the NSW Public Sector Report 2013</w:t>
      </w:r>
      <w:r>
        <w:t>, p. 7.</w:t>
      </w:r>
    </w:p>
  </w:footnote>
  <w:footnote w:id="146">
    <w:p w:rsidR="0010368F" w:rsidRDefault="0010368F" w:rsidP="00591138">
      <w:pPr>
        <w:pStyle w:val="FootnoteText"/>
      </w:pPr>
      <w:r>
        <w:rPr>
          <w:rStyle w:val="FootnoteReference"/>
        </w:rPr>
        <w:footnoteRef/>
      </w:r>
      <w:r>
        <w:t xml:space="preserve">     Victoria. StateServices Authority. </w:t>
      </w:r>
      <w:r w:rsidRPr="00CC1755">
        <w:rPr>
          <w:i/>
        </w:rPr>
        <w:t>Indigenous employment: Victoria public sector</w:t>
      </w:r>
      <w:r>
        <w:t>, 2011, p. 2.</w:t>
      </w:r>
    </w:p>
  </w:footnote>
  <w:footnote w:id="147">
    <w:p w:rsidR="0010368F" w:rsidRDefault="0010368F" w:rsidP="005F2471">
      <w:pPr>
        <w:pStyle w:val="FootnoteText"/>
        <w:ind w:left="426" w:hanging="426"/>
      </w:pPr>
      <w:r>
        <w:rPr>
          <w:rStyle w:val="FootnoteReference"/>
        </w:rPr>
        <w:footnoteRef/>
      </w:r>
      <w:r>
        <w:t xml:space="preserve">     Victoria. StateServices Authority. </w:t>
      </w:r>
      <w:r w:rsidRPr="00CC1755">
        <w:rPr>
          <w:i/>
        </w:rPr>
        <w:t>Indigenous employment: Victoria public sector</w:t>
      </w:r>
      <w:r>
        <w:t>, 2011, p. 2. The larger figure is for the public sector and the smaller figure is the size of the Victorian Public Service</w:t>
      </w:r>
    </w:p>
  </w:footnote>
  <w:footnote w:id="148">
    <w:p w:rsidR="0010368F" w:rsidRDefault="0010368F" w:rsidP="00591138">
      <w:pPr>
        <w:pStyle w:val="FootnoteText"/>
      </w:pPr>
      <w:r>
        <w:rPr>
          <w:rStyle w:val="FootnoteReference"/>
        </w:rPr>
        <w:footnoteRef/>
      </w:r>
      <w:r>
        <w:t xml:space="preserve">     See Queensland Public Commission website: </w:t>
      </w:r>
    </w:p>
    <w:p w:rsidR="0010368F" w:rsidRDefault="0010368F" w:rsidP="00591138">
      <w:pPr>
        <w:pStyle w:val="FootnoteText"/>
        <w:ind w:left="426" w:hanging="312"/>
      </w:pPr>
      <w:r>
        <w:t xml:space="preserve">       </w:t>
      </w:r>
      <w:hyperlink r:id="rId16" w:history="1">
        <w:r w:rsidRPr="00284B33">
          <w:rPr>
            <w:rStyle w:val="Hyperlink"/>
          </w:rPr>
          <w:t>http://www.psc.qld.gov.au/publications/workforce-statistics/statistics-quick-facts.aspx</w:t>
        </w:r>
      </w:hyperlink>
      <w:r>
        <w:t xml:space="preserve"> </w:t>
      </w:r>
    </w:p>
  </w:footnote>
  <w:footnote w:id="149">
    <w:p w:rsidR="0010368F" w:rsidRDefault="0010368F" w:rsidP="00591138">
      <w:pPr>
        <w:pStyle w:val="FootnoteText"/>
        <w:ind w:left="426" w:hanging="426"/>
      </w:pPr>
      <w:r>
        <w:rPr>
          <w:rStyle w:val="FootnoteReference"/>
        </w:rPr>
        <w:footnoteRef/>
      </w:r>
      <w:r>
        <w:t xml:space="preserve">     South Australia. Office of Public Employment and Review. Workforce Information Collection – Data report. [for DFEEST], 23 January 2014. </w:t>
      </w:r>
    </w:p>
  </w:footnote>
  <w:footnote w:id="150">
    <w:p w:rsidR="0010368F" w:rsidRDefault="0010368F" w:rsidP="00591138">
      <w:pPr>
        <w:pStyle w:val="FootnoteText"/>
      </w:pPr>
      <w:r>
        <w:rPr>
          <w:rStyle w:val="FootnoteReference"/>
        </w:rPr>
        <w:footnoteRef/>
      </w:r>
      <w:r>
        <w:t xml:space="preserve">     Western Australia, Aboriginal Employment Strategy 2011-2015:  Building a diverse public sector workforce, p. 3. </w:t>
      </w:r>
    </w:p>
  </w:footnote>
  <w:footnote w:id="151">
    <w:p w:rsidR="0010368F" w:rsidRDefault="0010368F" w:rsidP="00812FFE">
      <w:pPr>
        <w:pStyle w:val="FootnoteText"/>
        <w:ind w:left="426" w:hanging="426"/>
      </w:pPr>
      <w:r>
        <w:rPr>
          <w:rStyle w:val="FootnoteReference"/>
        </w:rPr>
        <w:footnoteRef/>
      </w:r>
      <w:r>
        <w:t xml:space="preserve">     Western Australia. Public Service Commission, </w:t>
      </w:r>
      <w:r w:rsidRPr="00C93B5F">
        <w:rPr>
          <w:i/>
        </w:rPr>
        <w:t>Western Australian Public Sector Quarterly Workforce Repo</w:t>
      </w:r>
      <w:r>
        <w:rPr>
          <w:i/>
        </w:rPr>
        <w:t xml:space="preserve">rt,          </w:t>
      </w:r>
      <w:r w:rsidRPr="00C93B5F">
        <w:rPr>
          <w:i/>
        </w:rPr>
        <w:t>September 2013</w:t>
      </w:r>
      <w:r>
        <w:t xml:space="preserve">, p. </w:t>
      </w:r>
    </w:p>
  </w:footnote>
  <w:footnote w:id="152">
    <w:p w:rsidR="0010368F" w:rsidRDefault="0010368F" w:rsidP="00591138">
      <w:pPr>
        <w:pStyle w:val="FootnoteText"/>
      </w:pPr>
      <w:r>
        <w:rPr>
          <w:rStyle w:val="FootnoteReference"/>
        </w:rPr>
        <w:footnoteRef/>
      </w:r>
      <w:r>
        <w:t xml:space="preserve">     Tasmania. Tasmania State Service Annual Report, 2012-13, p. 136. </w:t>
      </w:r>
    </w:p>
  </w:footnote>
  <w:footnote w:id="153">
    <w:p w:rsidR="0010368F" w:rsidRDefault="0010368F" w:rsidP="005F2471">
      <w:pPr>
        <w:pStyle w:val="FootnoteText"/>
        <w:ind w:left="426" w:hanging="426"/>
      </w:pPr>
      <w:r>
        <w:rPr>
          <w:rStyle w:val="FootnoteReference"/>
        </w:rPr>
        <w:footnoteRef/>
      </w:r>
      <w:r>
        <w:t xml:space="preserve">     Northern Territory.  Office of the Commissioner for Public Employment. State of the Service Report 2012-13,  Darwin, 2013, pp. 59-60</w:t>
      </w:r>
    </w:p>
  </w:footnote>
  <w:footnote w:id="154">
    <w:p w:rsidR="0010368F" w:rsidRDefault="0010368F" w:rsidP="00591138">
      <w:pPr>
        <w:pStyle w:val="FootnoteText"/>
      </w:pPr>
      <w:r>
        <w:rPr>
          <w:rStyle w:val="FootnoteReference"/>
        </w:rPr>
        <w:footnoteRef/>
      </w:r>
      <w:r>
        <w:t xml:space="preserve">     Australian Capital Territory.  Commissioner for Public Administration.  </w:t>
      </w:r>
      <w:r w:rsidRPr="008C54B9">
        <w:rPr>
          <w:i/>
        </w:rPr>
        <w:t>State of the Service Report 2013</w:t>
      </w:r>
      <w:r>
        <w:t>, p. 71.</w:t>
      </w:r>
    </w:p>
  </w:footnote>
  <w:footnote w:id="155">
    <w:p w:rsidR="0010368F" w:rsidRDefault="0010368F" w:rsidP="005F2471">
      <w:pPr>
        <w:pStyle w:val="FootnoteText"/>
      </w:pPr>
      <w:r>
        <w:rPr>
          <w:rStyle w:val="FootnoteReference"/>
        </w:rPr>
        <w:footnoteRef/>
      </w:r>
      <w:r>
        <w:t xml:space="preserve">     Australian Capital Territory.  Commissioner for Public Administration.  </w:t>
      </w:r>
      <w:r w:rsidRPr="008C54B9">
        <w:rPr>
          <w:i/>
        </w:rPr>
        <w:t>State of the Service Report 2013</w:t>
      </w:r>
      <w:r>
        <w:t>, p. 69.</w:t>
      </w:r>
    </w:p>
  </w:footnote>
  <w:footnote w:id="156">
    <w:p w:rsidR="0010368F" w:rsidRDefault="0010368F" w:rsidP="00591138">
      <w:pPr>
        <w:pStyle w:val="FootnoteText"/>
      </w:pPr>
      <w:r>
        <w:rPr>
          <w:rStyle w:val="FootnoteReference"/>
        </w:rPr>
        <w:footnoteRef/>
      </w:r>
      <w:r>
        <w:t xml:space="preserve">     Australia. Australian Public Service Commission. </w:t>
      </w:r>
      <w:r w:rsidRPr="00EB4A07">
        <w:rPr>
          <w:i/>
        </w:rPr>
        <w:t>State of the Service Report 2012-13</w:t>
      </w:r>
      <w:r>
        <w:t>,  Canberra, 2013, p. 99,</w:t>
      </w:r>
    </w:p>
  </w:footnote>
  <w:footnote w:id="157">
    <w:p w:rsidR="0010368F" w:rsidRDefault="0010368F" w:rsidP="0028583C">
      <w:pPr>
        <w:pStyle w:val="FootnoteText"/>
        <w:ind w:left="426" w:hanging="426"/>
      </w:pPr>
      <w:r>
        <w:rPr>
          <w:rStyle w:val="FootnoteReference"/>
        </w:rPr>
        <w:footnoteRef/>
      </w:r>
      <w:r>
        <w:t xml:space="preserve">     Western Australia. Public Service Commission. Aboriginal Employment Strategy 2011-2015:  Building a diverse public   sector workforce, Perth, 2011, p. 14.</w:t>
      </w:r>
    </w:p>
  </w:footnote>
  <w:footnote w:id="158">
    <w:p w:rsidR="0010368F" w:rsidRDefault="0010368F" w:rsidP="0028583C">
      <w:pPr>
        <w:pStyle w:val="FootnoteText"/>
        <w:ind w:left="426" w:hanging="426"/>
      </w:pPr>
      <w:r>
        <w:rPr>
          <w:rStyle w:val="FootnoteReference"/>
        </w:rPr>
        <w:footnoteRef/>
      </w:r>
      <w:r>
        <w:t xml:space="preserve">     Western Australia. Public Service Commission. Aboriginal Employment Strategy 2011-2015:  Building a diverse public sector workforce, Perth, 2011, p. 13. </w:t>
      </w:r>
    </w:p>
  </w:footnote>
  <w:footnote w:id="159">
    <w:p w:rsidR="0010368F" w:rsidRDefault="0010368F" w:rsidP="00327594">
      <w:pPr>
        <w:pStyle w:val="FootnoteText"/>
        <w:ind w:left="426" w:hanging="426"/>
      </w:pPr>
      <w:r>
        <w:rPr>
          <w:rStyle w:val="FootnoteReference"/>
        </w:rPr>
        <w:footnoteRef/>
      </w:r>
      <w:r>
        <w:t xml:space="preserve">     New South Wales. Public Service Commission. </w:t>
      </w:r>
      <w:r w:rsidRPr="00327594">
        <w:rPr>
          <w:i/>
        </w:rPr>
        <w:t>Getting into shape: State of the NSW Public Sector Report 2013</w:t>
      </w:r>
      <w:r>
        <w:t xml:space="preserve">. Sydney, 2013. P. 24. </w:t>
      </w:r>
    </w:p>
  </w:footnote>
  <w:footnote w:id="160">
    <w:p w:rsidR="0010368F" w:rsidRDefault="0010368F" w:rsidP="000D6412">
      <w:pPr>
        <w:pStyle w:val="FootnoteText"/>
        <w:ind w:left="284" w:hanging="284"/>
      </w:pPr>
      <w:r>
        <w:rPr>
          <w:rStyle w:val="FootnoteReference"/>
        </w:rPr>
        <w:footnoteRef/>
      </w:r>
      <w:r>
        <w:t xml:space="preserve">   New Zealand. State Services Commission, </w:t>
      </w:r>
      <w:r w:rsidRPr="000D6412">
        <w:rPr>
          <w:i/>
        </w:rPr>
        <w:t>Human Resource Capacity in the New Zealand State Services –  2013</w:t>
      </w:r>
      <w:r>
        <w:t xml:space="preserve">, Wellington, 2013, p. 11. </w:t>
      </w:r>
    </w:p>
  </w:footnote>
  <w:footnote w:id="161">
    <w:p w:rsidR="0010368F" w:rsidRDefault="0010368F" w:rsidP="005F2964">
      <w:pPr>
        <w:pStyle w:val="FootnoteText"/>
      </w:pPr>
      <w:r>
        <w:rPr>
          <w:rStyle w:val="FootnoteReference"/>
        </w:rPr>
        <w:footnoteRef/>
      </w:r>
      <w:r>
        <w:t xml:space="preserve">   </w:t>
      </w:r>
      <w:r w:rsidRPr="000D6412">
        <w:rPr>
          <w:lang w:val="en-US"/>
        </w:rPr>
        <w:t xml:space="preserve">Household Labour Force Survey, Statistics New Zealand ‐ </w:t>
      </w:r>
      <w:hyperlink r:id="rId17">
        <w:r w:rsidRPr="000D6412">
          <w:rPr>
            <w:rStyle w:val="Hyperlink"/>
            <w:lang w:val="en-US"/>
          </w:rPr>
          <w:t>http://www.stats.govt.nz/HLFS</w:t>
        </w:r>
      </w:hyperlink>
    </w:p>
  </w:footnote>
  <w:footnote w:id="162">
    <w:p w:rsidR="0010368F" w:rsidRDefault="0010368F" w:rsidP="000D6412">
      <w:pPr>
        <w:pStyle w:val="FootnoteText"/>
        <w:ind w:left="284" w:hanging="284"/>
      </w:pPr>
      <w:r>
        <w:rPr>
          <w:rStyle w:val="FootnoteReference"/>
        </w:rPr>
        <w:footnoteRef/>
      </w:r>
      <w:r>
        <w:t xml:space="preserve">   New Zealand. State Services Commission, </w:t>
      </w:r>
      <w:r w:rsidRPr="000D6412">
        <w:rPr>
          <w:i/>
        </w:rPr>
        <w:t>Human Resource Capacity in the New Zealand State Services – 2013</w:t>
      </w:r>
      <w:r>
        <w:t>, Wellington, 2013, p. 34.</w:t>
      </w:r>
    </w:p>
  </w:footnote>
  <w:footnote w:id="163">
    <w:p w:rsidR="0010368F" w:rsidRDefault="0010368F">
      <w:pPr>
        <w:pStyle w:val="FootnoteText"/>
      </w:pPr>
      <w:r>
        <w:rPr>
          <w:rStyle w:val="FootnoteReference"/>
        </w:rPr>
        <w:footnoteRef/>
      </w:r>
      <w:r>
        <w:t xml:space="preserve">    Canada.  Public Service Staffing Act, Preamble. </w:t>
      </w:r>
    </w:p>
  </w:footnote>
  <w:footnote w:id="164">
    <w:p w:rsidR="0010368F" w:rsidRDefault="0010368F" w:rsidP="00653107">
      <w:pPr>
        <w:pStyle w:val="FootnoteText"/>
        <w:ind w:left="426" w:hanging="426"/>
      </w:pPr>
      <w:r>
        <w:rPr>
          <w:rStyle w:val="FootnoteReference"/>
        </w:rPr>
        <w:footnoteRef/>
      </w:r>
      <w:r>
        <w:t xml:space="preserve">     Canada. Senate. Standing Select Committee on Human Rights, [Ottawa], </w:t>
      </w:r>
      <w:r w:rsidRPr="00653107">
        <w:rPr>
          <w:i/>
        </w:rPr>
        <w:t>Employment equity in the Federal Public Service:  Staying vigilant for equality</w:t>
      </w:r>
      <w:r>
        <w:t xml:space="preserve">, December 2013, Executive Summary. pp. 1-2. </w:t>
      </w:r>
    </w:p>
  </w:footnote>
  <w:footnote w:id="165">
    <w:p w:rsidR="0010368F" w:rsidRDefault="0010368F" w:rsidP="00903C87">
      <w:pPr>
        <w:pStyle w:val="FootnoteText"/>
        <w:ind w:left="426" w:hanging="426"/>
      </w:pPr>
      <w:r>
        <w:rPr>
          <w:rStyle w:val="FootnoteReference"/>
        </w:rPr>
        <w:footnoteRef/>
      </w:r>
      <w:r>
        <w:t xml:space="preserve">     Canada. Senate. Standing Select Committee on Human Rights, [Ottawa], </w:t>
      </w:r>
      <w:r>
        <w:rPr>
          <w:i/>
        </w:rPr>
        <w:t>Reflecting the changing face of Canada: E</w:t>
      </w:r>
      <w:r w:rsidRPr="00653107">
        <w:rPr>
          <w:i/>
        </w:rPr>
        <w:t>mployment equity in the Federal Public Service</w:t>
      </w:r>
      <w:r>
        <w:t xml:space="preserve">, June 2010. </w:t>
      </w:r>
    </w:p>
  </w:footnote>
  <w:footnote w:id="166">
    <w:p w:rsidR="0010368F" w:rsidRDefault="0010368F" w:rsidP="001C64D2">
      <w:pPr>
        <w:pStyle w:val="FootnoteText"/>
        <w:ind w:left="426" w:hanging="426"/>
      </w:pPr>
      <w:r>
        <w:rPr>
          <w:rStyle w:val="FootnoteReference"/>
        </w:rPr>
        <w:footnoteRef/>
      </w:r>
      <w:r>
        <w:t xml:space="preserve">      Canada. Senate. Standing Select Committee on Human Rights, [Ottawa], </w:t>
      </w:r>
      <w:r>
        <w:rPr>
          <w:i/>
        </w:rPr>
        <w:t>Reflecting the changing face of Canada: E</w:t>
      </w:r>
      <w:r w:rsidRPr="00653107">
        <w:rPr>
          <w:i/>
        </w:rPr>
        <w:t>mployment equity in the Federal Public Service</w:t>
      </w:r>
      <w:r>
        <w:t xml:space="preserve">, June 2010, p. 69. </w:t>
      </w:r>
    </w:p>
  </w:footnote>
  <w:footnote w:id="167">
    <w:p w:rsidR="0010368F" w:rsidRDefault="0010368F" w:rsidP="00B72783">
      <w:pPr>
        <w:pStyle w:val="FootnoteText"/>
        <w:ind w:left="567" w:hanging="567"/>
      </w:pPr>
      <w:r>
        <w:rPr>
          <w:rStyle w:val="FootnoteReference"/>
        </w:rPr>
        <w:footnoteRef/>
      </w:r>
      <w:r>
        <w:t xml:space="preserve">         United States.  Bureau of Labor Statistics.  </w:t>
      </w:r>
      <w:r w:rsidRPr="001C64D2">
        <w:rPr>
          <w:i/>
        </w:rPr>
        <w:t>BLS Reports,</w:t>
      </w:r>
      <w:r>
        <w:t xml:space="preserve"> October 2013:  </w:t>
      </w:r>
      <w:r w:rsidRPr="00B72783">
        <w:rPr>
          <w:i/>
        </w:rPr>
        <w:t xml:space="preserve">Labor </w:t>
      </w:r>
      <w:r>
        <w:rPr>
          <w:i/>
        </w:rPr>
        <w:t>f</w:t>
      </w:r>
      <w:r w:rsidRPr="00B72783">
        <w:rPr>
          <w:i/>
        </w:rPr>
        <w:t xml:space="preserve">orce </w:t>
      </w:r>
      <w:r>
        <w:rPr>
          <w:i/>
        </w:rPr>
        <w:t>c</w:t>
      </w:r>
      <w:r w:rsidRPr="00B72783">
        <w:rPr>
          <w:i/>
        </w:rPr>
        <w:t xml:space="preserve">haracteristics by </w:t>
      </w:r>
      <w:r>
        <w:rPr>
          <w:i/>
        </w:rPr>
        <w:t>r</w:t>
      </w:r>
      <w:r w:rsidRPr="00B72783">
        <w:rPr>
          <w:i/>
        </w:rPr>
        <w:t xml:space="preserve">ace and </w:t>
      </w:r>
      <w:r>
        <w:rPr>
          <w:i/>
        </w:rPr>
        <w:t>e</w:t>
      </w:r>
      <w:r w:rsidRPr="00B72783">
        <w:rPr>
          <w:i/>
        </w:rPr>
        <w:t>thnicity</w:t>
      </w:r>
      <w:r>
        <w:t xml:space="preserve">, p. 2. </w:t>
      </w:r>
    </w:p>
  </w:footnote>
  <w:footnote w:id="168">
    <w:p w:rsidR="0010368F" w:rsidRDefault="0010368F">
      <w:pPr>
        <w:pStyle w:val="FootnoteText"/>
      </w:pPr>
      <w:r>
        <w:rPr>
          <w:rStyle w:val="FootnoteReference"/>
        </w:rPr>
        <w:footnoteRef/>
      </w:r>
      <w:r>
        <w:t xml:space="preserve">         United States.  Department of the Interior.  Website </w:t>
      </w:r>
    </w:p>
  </w:footnote>
  <w:footnote w:id="169">
    <w:p w:rsidR="0010368F" w:rsidRDefault="0010368F" w:rsidP="003904B2">
      <w:pPr>
        <w:pStyle w:val="FootnoteText"/>
        <w:ind w:left="567" w:hanging="567"/>
      </w:pPr>
      <w:r>
        <w:rPr>
          <w:rStyle w:val="FootnoteReference"/>
        </w:rPr>
        <w:footnoteRef/>
      </w:r>
      <w:r>
        <w:t xml:space="preserve">     </w:t>
      </w:r>
      <w:r>
        <w:tab/>
        <w:t xml:space="preserve">Data from Office of Personnel Management website:  </w:t>
      </w:r>
      <w:hyperlink r:id="rId18" w:history="1">
        <w:r w:rsidRPr="00663981">
          <w:rPr>
            <w:rStyle w:val="Hyperlink"/>
          </w:rPr>
          <w:t>http://www.opm.gov/policy-data-oversight/diversity-and-inclusion/federal-workforce-at-a-glance/</w:t>
        </w:r>
      </w:hyperlink>
    </w:p>
    <w:p w:rsidR="0010368F" w:rsidRDefault="0010368F">
      <w:pPr>
        <w:pStyle w:val="FootnoteText"/>
      </w:pPr>
    </w:p>
  </w:footnote>
  <w:footnote w:id="170">
    <w:p w:rsidR="0010368F" w:rsidRDefault="0010368F" w:rsidP="004B19AE">
      <w:pPr>
        <w:pStyle w:val="FootnoteText"/>
      </w:pPr>
      <w:r>
        <w:rPr>
          <w:rStyle w:val="FootnoteReference"/>
        </w:rPr>
        <w:footnoteRef/>
      </w:r>
      <w:r>
        <w:t xml:space="preserve">    Transcript of evidence, 12 December 2013, p. 78.  </w:t>
      </w:r>
    </w:p>
  </w:footnote>
  <w:footnote w:id="171">
    <w:p w:rsidR="0010368F" w:rsidRDefault="0010368F" w:rsidP="003904B2">
      <w:pPr>
        <w:pStyle w:val="FootnoteText"/>
        <w:ind w:left="426" w:hanging="426"/>
      </w:pPr>
      <w:r>
        <w:rPr>
          <w:rStyle w:val="FootnoteReference"/>
        </w:rPr>
        <w:footnoteRef/>
      </w:r>
      <w:r>
        <w:t xml:space="preserve">   </w:t>
      </w:r>
      <w:r>
        <w:tab/>
      </w:r>
      <w:r w:rsidRPr="00A00180">
        <w:rPr>
          <w:b/>
          <w:bCs/>
        </w:rPr>
        <w:t>Cultural competence</w:t>
      </w:r>
      <w:r w:rsidRPr="00A00180">
        <w:t xml:space="preserve"> refers to an ability to interact effectively with people of different cultures and socio-economic backgrounds, particularly in the context of </w:t>
      </w:r>
      <w:hyperlink r:id="rId19" w:tooltip="Human resources" w:history="1">
        <w:r w:rsidRPr="00A00180">
          <w:rPr>
            <w:rStyle w:val="Hyperlink"/>
          </w:rPr>
          <w:t>human resources</w:t>
        </w:r>
      </w:hyperlink>
      <w:r w:rsidRPr="00A00180">
        <w:t xml:space="preserve">, </w:t>
      </w:r>
      <w:hyperlink r:id="rId20" w:tooltip="Non-profit organization" w:history="1">
        <w:r w:rsidRPr="00A00180">
          <w:rPr>
            <w:rStyle w:val="Hyperlink"/>
          </w:rPr>
          <w:t>non-profit organizations</w:t>
        </w:r>
      </w:hyperlink>
      <w:r w:rsidRPr="00A00180">
        <w:t>, and government agencies whose employees work with persons from different cultural/ethnic backgrounds</w:t>
      </w:r>
    </w:p>
  </w:footnote>
  <w:footnote w:id="172">
    <w:p w:rsidR="0010368F" w:rsidRDefault="0010368F" w:rsidP="003904B2">
      <w:pPr>
        <w:pStyle w:val="FootnoteText"/>
        <w:ind w:left="426" w:hanging="426"/>
      </w:pPr>
      <w:r>
        <w:rPr>
          <w:rStyle w:val="FootnoteReference"/>
        </w:rPr>
        <w:footnoteRef/>
      </w:r>
      <w:r>
        <w:t xml:space="preserve">    </w:t>
      </w:r>
      <w:r>
        <w:tab/>
        <w:t xml:space="preserve">ACT Aboriginal and Torres Strait Islander Elected Body, </w:t>
      </w:r>
      <w:r w:rsidRPr="003904B2">
        <w:rPr>
          <w:i/>
        </w:rPr>
        <w:t>[Submission to the Standing Committee on Health, Ageing, Community and Social Services for the Inquiry into ACT Public Service Aboriginal and Torres Strait Islander Employment ],</w:t>
      </w:r>
      <w:r>
        <w:t xml:space="preserve"> Canberra, 2013, p.[ 3].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68F" w:rsidRDefault="0010368F" w:rsidP="00A8688C">
    <w:pPr>
      <w:pStyle w:val="Header"/>
      <w:ind w:left="0" w:right="357" w:firstLine="6"/>
    </w:pPr>
    <w:r>
      <w:t xml:space="preserve"> </w:t>
    </w:r>
    <w:fldSimple w:instr=" STYLEREF &quot;Committee name&quot;">
      <w:r w:rsidR="007B7864">
        <w:rPr>
          <w:noProof/>
        </w:rPr>
        <w:t>Standing Committee on Health, Ageing, Community and Social Services</w:t>
      </w:r>
    </w:fldSimple>
  </w:p>
  <w:p w:rsidR="0010368F" w:rsidRDefault="00DC4D6C" w:rsidP="00A54473">
    <w:r>
      <w:pict>
        <v:rect id="_x0000_i1025" style="width:0;height:1.5pt" o:hralign="center" o:hrstd="t" o:hr="t" fillcolor="gray" stroked="f"/>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68F" w:rsidRDefault="00DC4D6C" w:rsidP="00F0612C">
    <w:pPr>
      <w:pStyle w:val="Header"/>
      <w:framePr w:wrap="around" w:vAnchor="text" w:hAnchor="margin" w:xAlign="outside" w:y="1"/>
      <w:rPr>
        <w:rStyle w:val="PageNumber"/>
      </w:rPr>
    </w:pPr>
    <w:r>
      <w:rPr>
        <w:rStyle w:val="PageNumber"/>
      </w:rPr>
      <w:fldChar w:fldCharType="begin"/>
    </w:r>
    <w:r w:rsidR="0010368F">
      <w:rPr>
        <w:rStyle w:val="PageNumber"/>
      </w:rPr>
      <w:instrText xml:space="preserve">PAGE  </w:instrText>
    </w:r>
    <w:r>
      <w:rPr>
        <w:rStyle w:val="PageNumber"/>
      </w:rPr>
      <w:fldChar w:fldCharType="separate"/>
    </w:r>
    <w:r w:rsidR="007B7864">
      <w:rPr>
        <w:rStyle w:val="PageNumber"/>
        <w:noProof/>
      </w:rPr>
      <w:t>139</w:t>
    </w:r>
    <w:r>
      <w:rPr>
        <w:rStyle w:val="PageNumber"/>
      </w:rPr>
      <w:fldChar w:fldCharType="end"/>
    </w:r>
  </w:p>
  <w:p w:rsidR="0010368F" w:rsidRDefault="00DC4D6C" w:rsidP="00F0612C">
    <w:pPr>
      <w:pStyle w:val="Header"/>
      <w:ind w:right="360" w:firstLine="360"/>
      <w:jc w:val="right"/>
      <w:rPr>
        <w:rStyle w:val="PageNumber"/>
      </w:rPr>
    </w:pPr>
    <w:fldSimple w:instr=" STYLEREF  &quot;Report title&quot; ">
      <w:r w:rsidR="007B7864">
        <w:rPr>
          <w:noProof/>
        </w:rPr>
        <w:t>Inquiry into ACT Public Service Aboriginal and Torres Strait Islander Employment</w:t>
      </w:r>
    </w:fldSimple>
    <w:r w:rsidR="0010368F">
      <w:rPr>
        <w:rStyle w:val="PageNumber"/>
      </w:rPr>
      <w:t xml:space="preserve">  </w:t>
    </w:r>
  </w:p>
  <w:p w:rsidR="0010368F" w:rsidRDefault="00DC4D6C" w:rsidP="00AC22A0">
    <w:pPr>
      <w:pStyle w:val="Header"/>
      <w:ind w:left="0" w:firstLine="0"/>
      <w:jc w:val="right"/>
    </w:pPr>
    <w:r>
      <w:pict>
        <v:rect id="_x0000_i1036" style="width:0;height:1.5pt" o:hralign="center" o:hrstd="t" o:hr="t" fillcolor="gray" stroked="f"/>
      </w:pict>
    </w:r>
  </w:p>
  <w:p w:rsidR="0010368F" w:rsidRDefault="0010368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68F" w:rsidRDefault="00DC4D6C" w:rsidP="00A8688C">
    <w:pPr>
      <w:pStyle w:val="Header"/>
      <w:ind w:left="0" w:right="567" w:firstLine="0"/>
      <w:jc w:val="right"/>
      <w:rPr>
        <w:rStyle w:val="PageNumber"/>
      </w:rPr>
    </w:pPr>
    <w:r>
      <w:fldChar w:fldCharType="begin"/>
    </w:r>
    <w:r>
      <w:instrText xml:space="preserve"> STYLEREF  "Report title" </w:instrText>
    </w:r>
    <w:r>
      <w:fldChar w:fldCharType="end"/>
    </w:r>
    <w:r w:rsidR="0010368F">
      <w:rPr>
        <w:rStyle w:val="PageNumber"/>
      </w:rPr>
      <w:t xml:space="preserve">  </w:t>
    </w:r>
  </w:p>
  <w:p w:rsidR="0010368F" w:rsidRDefault="00DC4D6C" w:rsidP="00AC22A0">
    <w:pPr>
      <w:pStyle w:val="Header"/>
      <w:ind w:left="0" w:firstLine="0"/>
      <w:jc w:val="right"/>
    </w:pPr>
    <w:r>
      <w:pict>
        <v:rect id="_x0000_i1026" style="width:0;height:1.5pt" o:hralign="center" o:hrstd="t" o:hr="t" fillcolor="gray"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68F" w:rsidRDefault="0010368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68F" w:rsidRDefault="00DC4D6C" w:rsidP="00183FBF">
    <w:pPr>
      <w:pStyle w:val="Header"/>
      <w:framePr w:wrap="around" w:vAnchor="text" w:hAnchor="margin" w:xAlign="outside" w:y="1"/>
      <w:rPr>
        <w:rStyle w:val="PageNumber"/>
      </w:rPr>
    </w:pPr>
    <w:r>
      <w:rPr>
        <w:rStyle w:val="PageNumber"/>
      </w:rPr>
      <w:fldChar w:fldCharType="begin"/>
    </w:r>
    <w:r w:rsidR="0010368F">
      <w:rPr>
        <w:rStyle w:val="PageNumber"/>
      </w:rPr>
      <w:instrText xml:space="preserve">PAGE  </w:instrText>
    </w:r>
    <w:r>
      <w:rPr>
        <w:rStyle w:val="PageNumber"/>
      </w:rPr>
      <w:fldChar w:fldCharType="separate"/>
    </w:r>
    <w:r w:rsidR="007B7864">
      <w:rPr>
        <w:rStyle w:val="PageNumber"/>
        <w:noProof/>
      </w:rPr>
      <w:t>xiv</w:t>
    </w:r>
    <w:r>
      <w:rPr>
        <w:rStyle w:val="PageNumber"/>
      </w:rPr>
      <w:fldChar w:fldCharType="end"/>
    </w:r>
  </w:p>
  <w:p w:rsidR="0010368F" w:rsidRDefault="00DC4D6C" w:rsidP="00110FA4">
    <w:pPr>
      <w:pStyle w:val="Header"/>
      <w:ind w:right="360" w:firstLine="4"/>
    </w:pPr>
    <w:fldSimple w:instr=" STYLEREF  &quot;Committee name&quot;  \* MERGEFORMAT ">
      <w:r w:rsidR="007B7864" w:rsidRPr="007B7864">
        <w:rPr>
          <w:b/>
          <w:bCs/>
          <w:noProof/>
          <w:lang w:val="en-US"/>
        </w:rPr>
        <w:t>Standing</w:t>
      </w:r>
      <w:r w:rsidR="007B7864">
        <w:rPr>
          <w:noProof/>
        </w:rPr>
        <w:t xml:space="preserve"> Committee on Health, Ageing, Community and Social Services</w:t>
      </w:r>
    </w:fldSimple>
  </w:p>
  <w:p w:rsidR="0010368F" w:rsidRDefault="0010368F"/>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68F" w:rsidRDefault="0010368F" w:rsidP="00A8688C">
    <w:pPr>
      <w:pStyle w:val="Header"/>
      <w:ind w:firstLine="0"/>
      <w:jc w:val="right"/>
    </w:pPr>
  </w:p>
  <w:p w:rsidR="0010368F" w:rsidRDefault="00DC4D6C" w:rsidP="00A8688C">
    <w:pPr>
      <w:pStyle w:val="Header"/>
      <w:ind w:firstLine="0"/>
      <w:jc w:val="right"/>
    </w:pPr>
    <w:fldSimple w:instr=" STYLEREF  &quot;Report title&quot; ">
      <w:r w:rsidR="007B7864">
        <w:rPr>
          <w:noProof/>
        </w:rPr>
        <w:t>Inquiry into ACT Public Service Aboriginal and Torres Strait Islander Employment</w:t>
      </w:r>
    </w:fldSimple>
  </w:p>
  <w:p w:rsidR="0010368F" w:rsidRDefault="00DC4D6C" w:rsidP="00AC22A0">
    <w:pPr>
      <w:pStyle w:val="Header"/>
      <w:ind w:left="0" w:firstLine="0"/>
      <w:jc w:val="right"/>
    </w:pPr>
    <w:r>
      <w:pict>
        <v:rect id="_x0000_i1027" style="width:0;height:1.5pt" o:hralign="center" o:hrstd="t" o:hr="t" fillcolor="gray" stroked="f"/>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68F" w:rsidRDefault="00DC4D6C" w:rsidP="00183FBF">
    <w:pPr>
      <w:pStyle w:val="Header"/>
      <w:framePr w:wrap="around" w:vAnchor="text" w:hAnchor="margin" w:xAlign="outside" w:y="1"/>
      <w:rPr>
        <w:rStyle w:val="PageNumber"/>
      </w:rPr>
    </w:pPr>
    <w:r>
      <w:rPr>
        <w:rStyle w:val="PageNumber"/>
      </w:rPr>
      <w:fldChar w:fldCharType="begin"/>
    </w:r>
    <w:r w:rsidR="0010368F">
      <w:rPr>
        <w:rStyle w:val="PageNumber"/>
      </w:rPr>
      <w:instrText>PAGE</w:instrText>
    </w:r>
    <w:r>
      <w:rPr>
        <w:rStyle w:val="PageNumber"/>
      </w:rPr>
      <w:fldChar w:fldCharType="separate"/>
    </w:r>
    <w:r w:rsidR="007B7864">
      <w:rPr>
        <w:rStyle w:val="PageNumber"/>
        <w:noProof/>
      </w:rPr>
      <w:t>140</w:t>
    </w:r>
    <w:r>
      <w:rPr>
        <w:rStyle w:val="PageNumber"/>
      </w:rPr>
      <w:fldChar w:fldCharType="end"/>
    </w:r>
    <w:r w:rsidR="0010368F">
      <w:rPr>
        <w:rStyle w:val="PageNumber"/>
      </w:rPr>
      <w:t xml:space="preserve">  </w:t>
    </w:r>
    <w:r>
      <w:rPr>
        <w:rStyle w:val="PageNumber"/>
      </w:rPr>
      <w:fldChar w:fldCharType="begin"/>
    </w:r>
    <w:r w:rsidR="0010368F">
      <w:rPr>
        <w:rStyle w:val="PageNumber"/>
      </w:rPr>
      <w:instrText xml:space="preserve"> STyleref "Committee name" </w:instrText>
    </w:r>
    <w:r>
      <w:rPr>
        <w:rStyle w:val="PageNumber"/>
      </w:rPr>
      <w:fldChar w:fldCharType="separate"/>
    </w:r>
    <w:r w:rsidR="007B7864">
      <w:rPr>
        <w:rStyle w:val="PageNumber"/>
        <w:noProof/>
      </w:rPr>
      <w:t>Standing Committee on Health, Ageing, Community and Social Services</w:t>
    </w:r>
    <w:r>
      <w:rPr>
        <w:rStyle w:val="PageNumber"/>
      </w:rPr>
      <w:fldChar w:fldCharType="end"/>
    </w:r>
  </w:p>
  <w:p w:rsidR="0010368F" w:rsidRDefault="0010368F" w:rsidP="007160C4">
    <w:pPr>
      <w:tabs>
        <w:tab w:val="left" w:pos="2798"/>
      </w:tabs>
    </w:pPr>
    <w:r>
      <w:tab/>
    </w:r>
  </w:p>
  <w:p w:rsidR="0010368F" w:rsidRDefault="00DC4D6C" w:rsidP="00AC22A0">
    <w:pPr>
      <w:tabs>
        <w:tab w:val="left" w:pos="2798"/>
      </w:tabs>
    </w:pPr>
    <w:r>
      <w:pict>
        <v:rect id="_x0000_i1031" style="width:0;height:1.5pt" o:hralign="center" o:hrstd="t" o:hr="t" fillcolor="gray" stroked="f"/>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68F" w:rsidRDefault="00DC4D6C">
    <w:pPr>
      <w:pStyle w:val="Header"/>
      <w:jc w:val="right"/>
    </w:pPr>
    <w:fldSimple w:instr=" STYLEREF  &quot;Report title&quot; ">
      <w:r w:rsidR="007B7864">
        <w:rPr>
          <w:noProof/>
        </w:rPr>
        <w:t>Inquiry into ACT Public Service Aboriginal and Torres Strait Islander Employment</w:t>
      </w:r>
    </w:fldSimple>
    <w:r w:rsidR="0010368F">
      <w:t xml:space="preserve">  </w:t>
    </w:r>
    <w:fldSimple w:instr=" PAGE   \* MERGEFORMAT ">
      <w:r w:rsidR="007B7864">
        <w:rPr>
          <w:noProof/>
        </w:rPr>
        <w:t>87</w:t>
      </w:r>
    </w:fldSimple>
  </w:p>
  <w:p w:rsidR="0010368F" w:rsidRDefault="00DC4D6C" w:rsidP="00AC22A0">
    <w:pPr>
      <w:pStyle w:val="Header"/>
      <w:ind w:left="0" w:firstLine="0"/>
      <w:jc w:val="right"/>
    </w:pPr>
    <w:r>
      <w:pict>
        <v:rect id="_x0000_i1032" style="width:0;height:1.5pt" o:hralign="center" o:hrstd="t" o:hr="t" fillcolor="gray" stroked="f"/>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68F" w:rsidRDefault="00DC4D6C" w:rsidP="00F0612C">
    <w:pPr>
      <w:pStyle w:val="Header"/>
      <w:framePr w:wrap="around" w:vAnchor="text" w:hAnchor="margin" w:xAlign="outside" w:y="1"/>
      <w:rPr>
        <w:rStyle w:val="PageNumber"/>
      </w:rPr>
    </w:pPr>
    <w:r>
      <w:rPr>
        <w:rStyle w:val="PageNumber"/>
      </w:rPr>
      <w:fldChar w:fldCharType="begin"/>
    </w:r>
    <w:r w:rsidR="0010368F">
      <w:rPr>
        <w:rStyle w:val="PageNumber"/>
      </w:rPr>
      <w:instrText xml:space="preserve">PAGE  </w:instrText>
    </w:r>
    <w:r>
      <w:rPr>
        <w:rStyle w:val="PageNumber"/>
      </w:rPr>
      <w:fldChar w:fldCharType="separate"/>
    </w:r>
    <w:r w:rsidR="007B7864">
      <w:rPr>
        <w:rStyle w:val="PageNumber"/>
        <w:noProof/>
      </w:rPr>
      <w:t>117</w:t>
    </w:r>
    <w:r>
      <w:rPr>
        <w:rStyle w:val="PageNumber"/>
      </w:rPr>
      <w:fldChar w:fldCharType="end"/>
    </w:r>
  </w:p>
  <w:p w:rsidR="0010368F" w:rsidRDefault="00DC4D6C" w:rsidP="00F0612C">
    <w:pPr>
      <w:pStyle w:val="Header"/>
      <w:ind w:right="360" w:firstLine="360"/>
      <w:jc w:val="right"/>
      <w:rPr>
        <w:rStyle w:val="PageNumber"/>
      </w:rPr>
    </w:pPr>
    <w:fldSimple w:instr=" STYLEREF  &quot;Report title&quot; ">
      <w:r w:rsidR="007B7864">
        <w:rPr>
          <w:noProof/>
        </w:rPr>
        <w:t>Inquiry into ACT Public Service Aboriginal and Torres Strait Islander Employment</w:t>
      </w:r>
    </w:fldSimple>
    <w:r w:rsidR="0010368F">
      <w:rPr>
        <w:rStyle w:val="PageNumber"/>
      </w:rPr>
      <w:t xml:space="preserve">  </w:t>
    </w:r>
  </w:p>
  <w:p w:rsidR="0010368F" w:rsidRDefault="00DC4D6C" w:rsidP="00AC22A0">
    <w:pPr>
      <w:pStyle w:val="Header"/>
      <w:ind w:left="0" w:firstLine="0"/>
      <w:jc w:val="right"/>
    </w:pPr>
    <w:r>
      <w:pict>
        <v:rect id="_x0000_i1034" style="width:0;height:1.5pt" o:hralign="center" o:hrstd="t" o:hr="t" fillcolor="gray" stroked="f"/>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68F" w:rsidRDefault="00DC4D6C" w:rsidP="00F0612C">
    <w:pPr>
      <w:pStyle w:val="Header"/>
      <w:framePr w:wrap="around" w:vAnchor="text" w:hAnchor="margin" w:xAlign="outside" w:y="1"/>
      <w:rPr>
        <w:rStyle w:val="PageNumber"/>
      </w:rPr>
    </w:pPr>
    <w:r>
      <w:rPr>
        <w:rStyle w:val="PageNumber"/>
      </w:rPr>
      <w:fldChar w:fldCharType="begin"/>
    </w:r>
    <w:r w:rsidR="0010368F">
      <w:rPr>
        <w:rStyle w:val="PageNumber"/>
      </w:rPr>
      <w:instrText xml:space="preserve">PAGE  </w:instrText>
    </w:r>
    <w:r>
      <w:rPr>
        <w:rStyle w:val="PageNumber"/>
      </w:rPr>
      <w:fldChar w:fldCharType="separate"/>
    </w:r>
    <w:r w:rsidR="007B7864">
      <w:rPr>
        <w:rStyle w:val="PageNumber"/>
        <w:noProof/>
      </w:rPr>
      <w:t>119</w:t>
    </w:r>
    <w:r>
      <w:rPr>
        <w:rStyle w:val="PageNumber"/>
      </w:rPr>
      <w:fldChar w:fldCharType="end"/>
    </w:r>
  </w:p>
  <w:p w:rsidR="0010368F" w:rsidRDefault="00DC4D6C" w:rsidP="00F0612C">
    <w:pPr>
      <w:pStyle w:val="Header"/>
      <w:ind w:right="360" w:firstLine="360"/>
      <w:jc w:val="right"/>
      <w:rPr>
        <w:rStyle w:val="PageNumber"/>
      </w:rPr>
    </w:pPr>
    <w:fldSimple w:instr=" STYLEREF  &quot;Report title&quot; ">
      <w:r w:rsidR="007B7864">
        <w:rPr>
          <w:noProof/>
        </w:rPr>
        <w:t>Inquiry into ACT Public Service Aboriginal and Torres Strait Islander Employment</w:t>
      </w:r>
    </w:fldSimple>
    <w:r w:rsidR="0010368F">
      <w:rPr>
        <w:rStyle w:val="PageNumber"/>
      </w:rPr>
      <w:t xml:space="preserve">  </w:t>
    </w:r>
  </w:p>
  <w:p w:rsidR="0010368F" w:rsidRDefault="00DC4D6C" w:rsidP="00AC22A0">
    <w:pPr>
      <w:pStyle w:val="Header"/>
      <w:ind w:left="0" w:firstLine="0"/>
      <w:jc w:val="right"/>
    </w:pPr>
    <w:r>
      <w:pict>
        <v:rect id="_x0000_i1035" style="width:0;height:1.5pt" o:hralign="center" o:hrstd="t" o:hr="t" fillcolor="gray"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4352"/>
    <w:multiLevelType w:val="hybridMultilevel"/>
    <w:tmpl w:val="3F481C72"/>
    <w:lvl w:ilvl="0" w:tplc="0C090017">
      <w:start w:val="1"/>
      <w:numFmt w:val="lowerLetter"/>
      <w:lvlText w:val="%1)"/>
      <w:lvlJc w:val="left"/>
      <w:pPr>
        <w:ind w:left="1967" w:hanging="360"/>
      </w:pPr>
      <w:rPr>
        <w:rFonts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1">
    <w:nsid w:val="03D7076E"/>
    <w:multiLevelType w:val="hybridMultilevel"/>
    <w:tmpl w:val="78DAAE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6E77230"/>
    <w:multiLevelType w:val="hybridMultilevel"/>
    <w:tmpl w:val="E730B6A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07417320"/>
    <w:multiLevelType w:val="hybridMultilevel"/>
    <w:tmpl w:val="A4060F4C"/>
    <w:lvl w:ilvl="0" w:tplc="0C090001">
      <w:start w:val="1"/>
      <w:numFmt w:val="bullet"/>
      <w:lvlText w:val=""/>
      <w:lvlJc w:val="left"/>
      <w:pPr>
        <w:ind w:left="1607" w:hanging="360"/>
      </w:pPr>
      <w:rPr>
        <w:rFonts w:ascii="Symbol" w:hAnsi="Symbol" w:hint="default"/>
      </w:rPr>
    </w:lvl>
    <w:lvl w:ilvl="1" w:tplc="0C090003" w:tentative="1">
      <w:start w:val="1"/>
      <w:numFmt w:val="bullet"/>
      <w:lvlText w:val="o"/>
      <w:lvlJc w:val="left"/>
      <w:pPr>
        <w:ind w:left="2327" w:hanging="360"/>
      </w:pPr>
      <w:rPr>
        <w:rFonts w:ascii="Courier New" w:hAnsi="Courier New" w:cs="Courier New" w:hint="default"/>
      </w:rPr>
    </w:lvl>
    <w:lvl w:ilvl="2" w:tplc="0C090005" w:tentative="1">
      <w:start w:val="1"/>
      <w:numFmt w:val="bullet"/>
      <w:lvlText w:val=""/>
      <w:lvlJc w:val="left"/>
      <w:pPr>
        <w:ind w:left="3047" w:hanging="360"/>
      </w:pPr>
      <w:rPr>
        <w:rFonts w:ascii="Wingdings" w:hAnsi="Wingdings" w:hint="default"/>
      </w:rPr>
    </w:lvl>
    <w:lvl w:ilvl="3" w:tplc="0C090001" w:tentative="1">
      <w:start w:val="1"/>
      <w:numFmt w:val="bullet"/>
      <w:lvlText w:val=""/>
      <w:lvlJc w:val="left"/>
      <w:pPr>
        <w:ind w:left="3767" w:hanging="360"/>
      </w:pPr>
      <w:rPr>
        <w:rFonts w:ascii="Symbol" w:hAnsi="Symbol" w:hint="default"/>
      </w:rPr>
    </w:lvl>
    <w:lvl w:ilvl="4" w:tplc="0C090003" w:tentative="1">
      <w:start w:val="1"/>
      <w:numFmt w:val="bullet"/>
      <w:lvlText w:val="o"/>
      <w:lvlJc w:val="left"/>
      <w:pPr>
        <w:ind w:left="4487" w:hanging="360"/>
      </w:pPr>
      <w:rPr>
        <w:rFonts w:ascii="Courier New" w:hAnsi="Courier New" w:cs="Courier New" w:hint="default"/>
      </w:rPr>
    </w:lvl>
    <w:lvl w:ilvl="5" w:tplc="0C090005" w:tentative="1">
      <w:start w:val="1"/>
      <w:numFmt w:val="bullet"/>
      <w:lvlText w:val=""/>
      <w:lvlJc w:val="left"/>
      <w:pPr>
        <w:ind w:left="5207" w:hanging="360"/>
      </w:pPr>
      <w:rPr>
        <w:rFonts w:ascii="Wingdings" w:hAnsi="Wingdings" w:hint="default"/>
      </w:rPr>
    </w:lvl>
    <w:lvl w:ilvl="6" w:tplc="0C090001" w:tentative="1">
      <w:start w:val="1"/>
      <w:numFmt w:val="bullet"/>
      <w:lvlText w:val=""/>
      <w:lvlJc w:val="left"/>
      <w:pPr>
        <w:ind w:left="5927" w:hanging="360"/>
      </w:pPr>
      <w:rPr>
        <w:rFonts w:ascii="Symbol" w:hAnsi="Symbol" w:hint="default"/>
      </w:rPr>
    </w:lvl>
    <w:lvl w:ilvl="7" w:tplc="0C090003" w:tentative="1">
      <w:start w:val="1"/>
      <w:numFmt w:val="bullet"/>
      <w:lvlText w:val="o"/>
      <w:lvlJc w:val="left"/>
      <w:pPr>
        <w:ind w:left="6647" w:hanging="360"/>
      </w:pPr>
      <w:rPr>
        <w:rFonts w:ascii="Courier New" w:hAnsi="Courier New" w:cs="Courier New" w:hint="default"/>
      </w:rPr>
    </w:lvl>
    <w:lvl w:ilvl="8" w:tplc="0C090005" w:tentative="1">
      <w:start w:val="1"/>
      <w:numFmt w:val="bullet"/>
      <w:lvlText w:val=""/>
      <w:lvlJc w:val="left"/>
      <w:pPr>
        <w:ind w:left="7367" w:hanging="360"/>
      </w:pPr>
      <w:rPr>
        <w:rFonts w:ascii="Wingdings" w:hAnsi="Wingdings" w:hint="default"/>
      </w:rPr>
    </w:lvl>
  </w:abstractNum>
  <w:abstractNum w:abstractNumId="4">
    <w:nsid w:val="08177F0D"/>
    <w:multiLevelType w:val="hybridMultilevel"/>
    <w:tmpl w:val="DF041A20"/>
    <w:lvl w:ilvl="0" w:tplc="8850C5E2">
      <w:start w:val="1"/>
      <w:numFmt w:val="bullet"/>
      <w:lvlText w:val=""/>
      <w:lvlJc w:val="left"/>
      <w:pPr>
        <w:ind w:left="1146" w:hanging="223"/>
      </w:pPr>
      <w:rPr>
        <w:rFonts w:ascii="Symbol" w:eastAsia="Symbol" w:hAnsi="Symbol" w:hint="default"/>
        <w:color w:val="231F20"/>
        <w:w w:val="76"/>
        <w:sz w:val="24"/>
        <w:szCs w:val="24"/>
      </w:rPr>
    </w:lvl>
    <w:lvl w:ilvl="1" w:tplc="10ECA2EA">
      <w:start w:val="1"/>
      <w:numFmt w:val="bullet"/>
      <w:lvlText w:val=""/>
      <w:lvlJc w:val="left"/>
      <w:pPr>
        <w:ind w:left="1287" w:hanging="223"/>
      </w:pPr>
      <w:rPr>
        <w:rFonts w:ascii="Symbol" w:eastAsia="Symbol" w:hAnsi="Symbol" w:hint="default"/>
        <w:color w:val="231F20"/>
        <w:w w:val="76"/>
        <w:sz w:val="24"/>
        <w:szCs w:val="24"/>
      </w:rPr>
    </w:lvl>
    <w:lvl w:ilvl="2" w:tplc="548AACDE">
      <w:start w:val="1"/>
      <w:numFmt w:val="bullet"/>
      <w:lvlText w:val="•"/>
      <w:lvlJc w:val="left"/>
      <w:pPr>
        <w:ind w:left="2466" w:hanging="223"/>
      </w:pPr>
      <w:rPr>
        <w:rFonts w:hint="default"/>
      </w:rPr>
    </w:lvl>
    <w:lvl w:ilvl="3" w:tplc="4A807EFC">
      <w:start w:val="1"/>
      <w:numFmt w:val="bullet"/>
      <w:lvlText w:val="•"/>
      <w:lvlJc w:val="left"/>
      <w:pPr>
        <w:ind w:left="3646" w:hanging="223"/>
      </w:pPr>
      <w:rPr>
        <w:rFonts w:hint="default"/>
      </w:rPr>
    </w:lvl>
    <w:lvl w:ilvl="4" w:tplc="F3663E40">
      <w:start w:val="1"/>
      <w:numFmt w:val="bullet"/>
      <w:lvlText w:val="•"/>
      <w:lvlJc w:val="left"/>
      <w:pPr>
        <w:ind w:left="4826" w:hanging="223"/>
      </w:pPr>
      <w:rPr>
        <w:rFonts w:hint="default"/>
      </w:rPr>
    </w:lvl>
    <w:lvl w:ilvl="5" w:tplc="869ED184">
      <w:start w:val="1"/>
      <w:numFmt w:val="bullet"/>
      <w:lvlText w:val="•"/>
      <w:lvlJc w:val="left"/>
      <w:pPr>
        <w:ind w:left="6006" w:hanging="223"/>
      </w:pPr>
      <w:rPr>
        <w:rFonts w:hint="default"/>
      </w:rPr>
    </w:lvl>
    <w:lvl w:ilvl="6" w:tplc="6CD0EB64">
      <w:start w:val="1"/>
      <w:numFmt w:val="bullet"/>
      <w:lvlText w:val="•"/>
      <w:lvlJc w:val="left"/>
      <w:pPr>
        <w:ind w:left="7186" w:hanging="223"/>
      </w:pPr>
      <w:rPr>
        <w:rFonts w:hint="default"/>
      </w:rPr>
    </w:lvl>
    <w:lvl w:ilvl="7" w:tplc="E2989C62">
      <w:start w:val="1"/>
      <w:numFmt w:val="bullet"/>
      <w:lvlText w:val="•"/>
      <w:lvlJc w:val="left"/>
      <w:pPr>
        <w:ind w:left="8366" w:hanging="223"/>
      </w:pPr>
      <w:rPr>
        <w:rFonts w:hint="default"/>
      </w:rPr>
    </w:lvl>
    <w:lvl w:ilvl="8" w:tplc="F1EEF75A">
      <w:start w:val="1"/>
      <w:numFmt w:val="bullet"/>
      <w:lvlText w:val="•"/>
      <w:lvlJc w:val="left"/>
      <w:pPr>
        <w:ind w:left="9545" w:hanging="223"/>
      </w:pPr>
      <w:rPr>
        <w:rFonts w:hint="default"/>
      </w:rPr>
    </w:lvl>
  </w:abstractNum>
  <w:abstractNum w:abstractNumId="5">
    <w:nsid w:val="0C874500"/>
    <w:multiLevelType w:val="hybridMultilevel"/>
    <w:tmpl w:val="93387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4A36D4E"/>
    <w:multiLevelType w:val="multilevel"/>
    <w:tmpl w:val="29CE1D5A"/>
    <w:lvl w:ilvl="0">
      <w:start w:val="1"/>
      <w:numFmt w:val="bullet"/>
      <w:lvlText w:val=""/>
      <w:lvlJc w:val="left"/>
      <w:pPr>
        <w:tabs>
          <w:tab w:val="num" w:pos="1607"/>
        </w:tabs>
        <w:ind w:left="1607" w:hanging="360"/>
      </w:pPr>
      <w:rPr>
        <w:rFonts w:ascii="Symbol" w:hAnsi="Symbol" w:hint="default"/>
        <w:sz w:val="20"/>
      </w:rPr>
    </w:lvl>
    <w:lvl w:ilvl="1" w:tentative="1">
      <w:start w:val="1"/>
      <w:numFmt w:val="bullet"/>
      <w:lvlText w:val="o"/>
      <w:lvlJc w:val="left"/>
      <w:pPr>
        <w:tabs>
          <w:tab w:val="num" w:pos="2327"/>
        </w:tabs>
        <w:ind w:left="2327" w:hanging="360"/>
      </w:pPr>
      <w:rPr>
        <w:rFonts w:ascii="Courier New" w:hAnsi="Courier New" w:hint="default"/>
        <w:sz w:val="20"/>
      </w:rPr>
    </w:lvl>
    <w:lvl w:ilvl="2" w:tentative="1">
      <w:start w:val="1"/>
      <w:numFmt w:val="bullet"/>
      <w:lvlText w:val=""/>
      <w:lvlJc w:val="left"/>
      <w:pPr>
        <w:tabs>
          <w:tab w:val="num" w:pos="3047"/>
        </w:tabs>
        <w:ind w:left="3047" w:hanging="360"/>
      </w:pPr>
      <w:rPr>
        <w:rFonts w:ascii="Wingdings" w:hAnsi="Wingdings" w:hint="default"/>
        <w:sz w:val="20"/>
      </w:rPr>
    </w:lvl>
    <w:lvl w:ilvl="3" w:tentative="1">
      <w:start w:val="1"/>
      <w:numFmt w:val="bullet"/>
      <w:lvlText w:val=""/>
      <w:lvlJc w:val="left"/>
      <w:pPr>
        <w:tabs>
          <w:tab w:val="num" w:pos="3767"/>
        </w:tabs>
        <w:ind w:left="3767" w:hanging="360"/>
      </w:pPr>
      <w:rPr>
        <w:rFonts w:ascii="Wingdings" w:hAnsi="Wingdings" w:hint="default"/>
        <w:sz w:val="20"/>
      </w:rPr>
    </w:lvl>
    <w:lvl w:ilvl="4" w:tentative="1">
      <w:start w:val="1"/>
      <w:numFmt w:val="bullet"/>
      <w:lvlText w:val=""/>
      <w:lvlJc w:val="left"/>
      <w:pPr>
        <w:tabs>
          <w:tab w:val="num" w:pos="4487"/>
        </w:tabs>
        <w:ind w:left="4487" w:hanging="360"/>
      </w:pPr>
      <w:rPr>
        <w:rFonts w:ascii="Wingdings" w:hAnsi="Wingdings" w:hint="default"/>
        <w:sz w:val="20"/>
      </w:rPr>
    </w:lvl>
    <w:lvl w:ilvl="5" w:tentative="1">
      <w:start w:val="1"/>
      <w:numFmt w:val="bullet"/>
      <w:lvlText w:val=""/>
      <w:lvlJc w:val="left"/>
      <w:pPr>
        <w:tabs>
          <w:tab w:val="num" w:pos="5207"/>
        </w:tabs>
        <w:ind w:left="5207" w:hanging="360"/>
      </w:pPr>
      <w:rPr>
        <w:rFonts w:ascii="Wingdings" w:hAnsi="Wingdings" w:hint="default"/>
        <w:sz w:val="20"/>
      </w:rPr>
    </w:lvl>
    <w:lvl w:ilvl="6" w:tentative="1">
      <w:start w:val="1"/>
      <w:numFmt w:val="bullet"/>
      <w:lvlText w:val=""/>
      <w:lvlJc w:val="left"/>
      <w:pPr>
        <w:tabs>
          <w:tab w:val="num" w:pos="5927"/>
        </w:tabs>
        <w:ind w:left="5927" w:hanging="360"/>
      </w:pPr>
      <w:rPr>
        <w:rFonts w:ascii="Wingdings" w:hAnsi="Wingdings" w:hint="default"/>
        <w:sz w:val="20"/>
      </w:rPr>
    </w:lvl>
    <w:lvl w:ilvl="7" w:tentative="1">
      <w:start w:val="1"/>
      <w:numFmt w:val="bullet"/>
      <w:lvlText w:val=""/>
      <w:lvlJc w:val="left"/>
      <w:pPr>
        <w:tabs>
          <w:tab w:val="num" w:pos="6647"/>
        </w:tabs>
        <w:ind w:left="6647" w:hanging="360"/>
      </w:pPr>
      <w:rPr>
        <w:rFonts w:ascii="Wingdings" w:hAnsi="Wingdings" w:hint="default"/>
        <w:sz w:val="20"/>
      </w:rPr>
    </w:lvl>
    <w:lvl w:ilvl="8" w:tentative="1">
      <w:start w:val="1"/>
      <w:numFmt w:val="bullet"/>
      <w:lvlText w:val=""/>
      <w:lvlJc w:val="left"/>
      <w:pPr>
        <w:tabs>
          <w:tab w:val="num" w:pos="7367"/>
        </w:tabs>
        <w:ind w:left="7367" w:hanging="360"/>
      </w:pPr>
      <w:rPr>
        <w:rFonts w:ascii="Wingdings" w:hAnsi="Wingdings" w:hint="default"/>
        <w:sz w:val="20"/>
      </w:rPr>
    </w:lvl>
  </w:abstractNum>
  <w:abstractNum w:abstractNumId="7">
    <w:nsid w:val="17B11FB6"/>
    <w:multiLevelType w:val="multilevel"/>
    <w:tmpl w:val="D3DACC6E"/>
    <w:styleLink w:val="test1"/>
    <w:lvl w:ilvl="0">
      <w:start w:val="1"/>
      <w:numFmt w:val="decimal"/>
      <w:pStyle w:val="Heading1"/>
      <w:lvlText w:val="%1"/>
      <w:lvlJc w:val="left"/>
      <w:pPr>
        <w:tabs>
          <w:tab w:val="num" w:pos="680"/>
        </w:tabs>
        <w:ind w:left="567" w:hanging="567"/>
      </w:pPr>
      <w:rPr>
        <w:rFonts w:ascii="Arial Narrow" w:hAnsi="Arial Narrow" w:hint="default"/>
        <w:b/>
        <w:i w:val="0"/>
        <w:sz w:val="44"/>
      </w:rPr>
    </w:lvl>
    <w:lvl w:ilvl="1">
      <w:start w:val="1"/>
      <w:numFmt w:val="none"/>
      <w:lvlRestart w:val="0"/>
      <w:pStyle w:val="Headinglevel2"/>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pStyle w:val="Headinglevel3"/>
      <w:lvlText w:val=""/>
      <w:lvlJc w:val="left"/>
      <w:pPr>
        <w:tabs>
          <w:tab w:val="num" w:pos="720"/>
        </w:tabs>
        <w:ind w:left="454" w:hanging="454"/>
      </w:pPr>
      <w:rPr>
        <w:rFonts w:hint="default"/>
      </w:rPr>
    </w:lvl>
    <w:lvl w:ilvl="3">
      <w:start w:val="1"/>
      <w:numFmt w:val="none"/>
      <w:lvlRestart w:val="0"/>
      <w:pStyle w:val="Headinglevel4"/>
      <w:lvlText w:val=""/>
      <w:lvlJc w:val="left"/>
      <w:pPr>
        <w:tabs>
          <w:tab w:val="num" w:pos="864"/>
        </w:tabs>
        <w:ind w:left="340" w:hanging="340"/>
      </w:pPr>
      <w:rPr>
        <w:rFonts w:hint="default"/>
      </w:rPr>
    </w:lvl>
    <w:lvl w:ilvl="4">
      <w:start w:val="1"/>
      <w:numFmt w:val="none"/>
      <w:lvlRestart w:val="0"/>
      <w:pStyle w:val="Headinglevel5"/>
      <w:lvlText w:val=""/>
      <w:lvlJc w:val="left"/>
      <w:pPr>
        <w:tabs>
          <w:tab w:val="num" w:pos="1008"/>
        </w:tabs>
        <w:ind w:left="340" w:hanging="340"/>
      </w:pPr>
      <w:rPr>
        <w:rFonts w:hint="default"/>
      </w:rPr>
    </w:lvl>
    <w:lvl w:ilvl="5">
      <w:start w:val="1"/>
      <w:numFmt w:val="decimal"/>
      <w:lvlRestart w:val="1"/>
      <w:pStyle w:val="Bodytext"/>
      <w:lvlText w:val="%1.%6"/>
      <w:lvlJc w:val="left"/>
      <w:pPr>
        <w:ind w:left="992" w:hanging="567"/>
      </w:pPr>
      <w:rPr>
        <w:rFonts w:ascii="Calibri" w:hAnsi="Calibri" w:hint="default"/>
        <w:sz w:val="22"/>
      </w:rPr>
    </w:lvl>
    <w:lvl w:ilvl="6">
      <w:start w:val="1"/>
      <w:numFmt w:val="decimal"/>
      <w:lvlRestart w:val="0"/>
      <w:pStyle w:val="Recommendation"/>
      <w:lvlText w:val="Recommendation %7"/>
      <w:lvlJc w:val="left"/>
      <w:pPr>
        <w:ind w:left="142" w:firstLine="0"/>
      </w:pPr>
      <w:rPr>
        <w:rFonts w:ascii="Arial Narrow" w:hAnsi="Arial Narrow" w:hint="default"/>
        <w:b/>
        <w:i w:val="0"/>
        <w:sz w:val="28"/>
      </w:rPr>
    </w:lvl>
    <w:lvl w:ilvl="7">
      <w:start w:val="1"/>
      <w:numFmt w:val="upperLetter"/>
      <w:pStyle w:val="AppendixHeading1"/>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8">
    <w:nsid w:val="1B6640D2"/>
    <w:multiLevelType w:val="hybridMultilevel"/>
    <w:tmpl w:val="DAB87580"/>
    <w:lvl w:ilvl="0" w:tplc="E7AA1DB6">
      <w:start w:val="1"/>
      <w:numFmt w:val="lowerLetter"/>
      <w:lvlText w:val="(%1)"/>
      <w:lvlJc w:val="left"/>
      <w:pPr>
        <w:ind w:left="1352" w:hanging="360"/>
      </w:pPr>
      <w:rPr>
        <w:rFonts w:hint="default"/>
      </w:rPr>
    </w:lvl>
    <w:lvl w:ilvl="1" w:tplc="0C090019" w:tentative="1">
      <w:start w:val="1"/>
      <w:numFmt w:val="lowerLetter"/>
      <w:lvlText w:val="%2."/>
      <w:lvlJc w:val="left"/>
      <w:pPr>
        <w:ind w:left="1977" w:hanging="360"/>
      </w:pPr>
    </w:lvl>
    <w:lvl w:ilvl="2" w:tplc="0C09001B" w:tentative="1">
      <w:start w:val="1"/>
      <w:numFmt w:val="lowerRoman"/>
      <w:lvlText w:val="%3."/>
      <w:lvlJc w:val="right"/>
      <w:pPr>
        <w:ind w:left="2697" w:hanging="180"/>
      </w:pPr>
    </w:lvl>
    <w:lvl w:ilvl="3" w:tplc="0C09000F" w:tentative="1">
      <w:start w:val="1"/>
      <w:numFmt w:val="decimal"/>
      <w:lvlText w:val="%4."/>
      <w:lvlJc w:val="left"/>
      <w:pPr>
        <w:ind w:left="3417" w:hanging="360"/>
      </w:pPr>
    </w:lvl>
    <w:lvl w:ilvl="4" w:tplc="0C090019" w:tentative="1">
      <w:start w:val="1"/>
      <w:numFmt w:val="lowerLetter"/>
      <w:lvlText w:val="%5."/>
      <w:lvlJc w:val="left"/>
      <w:pPr>
        <w:ind w:left="4137" w:hanging="360"/>
      </w:pPr>
    </w:lvl>
    <w:lvl w:ilvl="5" w:tplc="0C09001B" w:tentative="1">
      <w:start w:val="1"/>
      <w:numFmt w:val="lowerRoman"/>
      <w:lvlText w:val="%6."/>
      <w:lvlJc w:val="right"/>
      <w:pPr>
        <w:ind w:left="4857" w:hanging="180"/>
      </w:pPr>
    </w:lvl>
    <w:lvl w:ilvl="6" w:tplc="0C09000F" w:tentative="1">
      <w:start w:val="1"/>
      <w:numFmt w:val="decimal"/>
      <w:lvlText w:val="%7."/>
      <w:lvlJc w:val="left"/>
      <w:pPr>
        <w:ind w:left="5577" w:hanging="360"/>
      </w:pPr>
    </w:lvl>
    <w:lvl w:ilvl="7" w:tplc="0C090019" w:tentative="1">
      <w:start w:val="1"/>
      <w:numFmt w:val="lowerLetter"/>
      <w:lvlText w:val="%8."/>
      <w:lvlJc w:val="left"/>
      <w:pPr>
        <w:ind w:left="6297" w:hanging="360"/>
      </w:pPr>
    </w:lvl>
    <w:lvl w:ilvl="8" w:tplc="0C09001B" w:tentative="1">
      <w:start w:val="1"/>
      <w:numFmt w:val="lowerRoman"/>
      <w:lvlText w:val="%9."/>
      <w:lvlJc w:val="right"/>
      <w:pPr>
        <w:ind w:left="7017" w:hanging="180"/>
      </w:pPr>
    </w:lvl>
  </w:abstractNum>
  <w:abstractNum w:abstractNumId="9">
    <w:nsid w:val="1CCB40A0"/>
    <w:multiLevelType w:val="hybridMultilevel"/>
    <w:tmpl w:val="257454A4"/>
    <w:lvl w:ilvl="0" w:tplc="2A0C8544">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E222A15"/>
    <w:multiLevelType w:val="hybridMultilevel"/>
    <w:tmpl w:val="620A783C"/>
    <w:lvl w:ilvl="0" w:tplc="FC3C580E">
      <w:start w:val="1"/>
      <w:numFmt w:val="bullet"/>
      <w:pStyle w:val="BulletedTextKM"/>
      <w:lvlText w:val="•"/>
      <w:lvlJc w:val="left"/>
      <w:pPr>
        <w:tabs>
          <w:tab w:val="num" w:pos="1247"/>
        </w:tabs>
        <w:ind w:left="1247" w:hanging="567"/>
      </w:pPr>
      <w:rPr>
        <w:rFonts w:ascii="Arial" w:hAnsi="Arial" w:hint="default"/>
        <w:color w:val="000000"/>
        <w:sz w:val="28"/>
        <w:szCs w:val="28"/>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11">
    <w:nsid w:val="1F0D7811"/>
    <w:multiLevelType w:val="hybridMultilevel"/>
    <w:tmpl w:val="D0DAF56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nsid w:val="204B0BE8"/>
    <w:multiLevelType w:val="hybridMultilevel"/>
    <w:tmpl w:val="E93A07F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13">
    <w:nsid w:val="2E151C0C"/>
    <w:multiLevelType w:val="hybridMultilevel"/>
    <w:tmpl w:val="4348ABBE"/>
    <w:lvl w:ilvl="0" w:tplc="43FC8DE0">
      <w:start w:val="1"/>
      <w:numFmt w:val="decimal"/>
      <w:lvlText w:val="%1."/>
      <w:lvlJc w:val="left"/>
      <w:pPr>
        <w:ind w:left="1490" w:hanging="359"/>
        <w:jc w:val="right"/>
      </w:pPr>
      <w:rPr>
        <w:rFonts w:ascii="Arial" w:eastAsia="Arial" w:hAnsi="Arial" w:hint="default"/>
        <w:b/>
        <w:bCs/>
        <w:color w:val="C3541E"/>
        <w:spacing w:val="-1"/>
        <w:sz w:val="28"/>
        <w:szCs w:val="28"/>
      </w:rPr>
    </w:lvl>
    <w:lvl w:ilvl="1" w:tplc="5FFE3016">
      <w:start w:val="1"/>
      <w:numFmt w:val="bullet"/>
      <w:lvlText w:val=""/>
      <w:lvlJc w:val="left"/>
      <w:pPr>
        <w:ind w:left="833" w:hanging="360"/>
      </w:pPr>
      <w:rPr>
        <w:rFonts w:ascii="Symbol" w:eastAsia="Symbol" w:hAnsi="Symbol" w:hint="default"/>
        <w:sz w:val="22"/>
        <w:szCs w:val="22"/>
      </w:rPr>
    </w:lvl>
    <w:lvl w:ilvl="2" w:tplc="117051F0">
      <w:start w:val="1"/>
      <w:numFmt w:val="bullet"/>
      <w:lvlText w:val="•"/>
      <w:lvlJc w:val="left"/>
      <w:pPr>
        <w:ind w:left="2421" w:hanging="360"/>
      </w:pPr>
      <w:rPr>
        <w:rFonts w:hint="default"/>
      </w:rPr>
    </w:lvl>
    <w:lvl w:ilvl="3" w:tplc="E2206580">
      <w:start w:val="1"/>
      <w:numFmt w:val="bullet"/>
      <w:lvlText w:val="•"/>
      <w:lvlJc w:val="left"/>
      <w:pPr>
        <w:ind w:left="3352" w:hanging="360"/>
      </w:pPr>
      <w:rPr>
        <w:rFonts w:hint="default"/>
      </w:rPr>
    </w:lvl>
    <w:lvl w:ilvl="4" w:tplc="66402628">
      <w:start w:val="1"/>
      <w:numFmt w:val="bullet"/>
      <w:lvlText w:val="•"/>
      <w:lvlJc w:val="left"/>
      <w:pPr>
        <w:ind w:left="4282" w:hanging="360"/>
      </w:pPr>
      <w:rPr>
        <w:rFonts w:hint="default"/>
      </w:rPr>
    </w:lvl>
    <w:lvl w:ilvl="5" w:tplc="3AAA00F0">
      <w:start w:val="1"/>
      <w:numFmt w:val="bullet"/>
      <w:lvlText w:val="•"/>
      <w:lvlJc w:val="left"/>
      <w:pPr>
        <w:ind w:left="5213" w:hanging="360"/>
      </w:pPr>
      <w:rPr>
        <w:rFonts w:hint="default"/>
      </w:rPr>
    </w:lvl>
    <w:lvl w:ilvl="6" w:tplc="488EEDAA">
      <w:start w:val="1"/>
      <w:numFmt w:val="bullet"/>
      <w:lvlText w:val="•"/>
      <w:lvlJc w:val="left"/>
      <w:pPr>
        <w:ind w:left="6143" w:hanging="360"/>
      </w:pPr>
      <w:rPr>
        <w:rFonts w:hint="default"/>
      </w:rPr>
    </w:lvl>
    <w:lvl w:ilvl="7" w:tplc="171CF740">
      <w:start w:val="1"/>
      <w:numFmt w:val="bullet"/>
      <w:lvlText w:val="•"/>
      <w:lvlJc w:val="left"/>
      <w:pPr>
        <w:ind w:left="7074" w:hanging="360"/>
      </w:pPr>
      <w:rPr>
        <w:rFonts w:hint="default"/>
      </w:rPr>
    </w:lvl>
    <w:lvl w:ilvl="8" w:tplc="09CE65BE">
      <w:start w:val="1"/>
      <w:numFmt w:val="bullet"/>
      <w:lvlText w:val="•"/>
      <w:lvlJc w:val="left"/>
      <w:pPr>
        <w:ind w:left="8005" w:hanging="360"/>
      </w:pPr>
      <w:rPr>
        <w:rFonts w:hint="default"/>
      </w:rPr>
    </w:lvl>
  </w:abstractNum>
  <w:abstractNum w:abstractNumId="14">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5">
    <w:nsid w:val="43264F27"/>
    <w:multiLevelType w:val="hybridMultilevel"/>
    <w:tmpl w:val="F526670E"/>
    <w:lvl w:ilvl="0" w:tplc="0C090001">
      <w:start w:val="1"/>
      <w:numFmt w:val="bullet"/>
      <w:pStyle w:val="Asubparabullet"/>
      <w:lvlText w:val=""/>
      <w:lvlJc w:val="left"/>
      <w:pPr>
        <w:tabs>
          <w:tab w:val="num" w:pos="400"/>
        </w:tabs>
        <w:ind w:left="400" w:hanging="400"/>
      </w:pPr>
      <w:rPr>
        <w:rFonts w:ascii="Symbol" w:hAnsi="Symbol" w:hint="default"/>
        <w:color w:val="auto"/>
        <w:sz w:val="20"/>
      </w:rPr>
    </w:lvl>
    <w:lvl w:ilvl="1" w:tplc="0C090003" w:tentative="1">
      <w:start w:val="1"/>
      <w:numFmt w:val="bullet"/>
      <w:lvlText w:val="o"/>
      <w:lvlJc w:val="left"/>
      <w:pPr>
        <w:tabs>
          <w:tab w:val="num" w:pos="1060"/>
        </w:tabs>
        <w:ind w:left="1060" w:hanging="360"/>
      </w:pPr>
      <w:rPr>
        <w:rFonts w:ascii="Courier New" w:hAnsi="Courier New" w:hint="default"/>
      </w:rPr>
    </w:lvl>
    <w:lvl w:ilvl="2" w:tplc="0C090005" w:tentative="1">
      <w:start w:val="1"/>
      <w:numFmt w:val="bullet"/>
      <w:lvlText w:val=""/>
      <w:lvlJc w:val="left"/>
      <w:pPr>
        <w:tabs>
          <w:tab w:val="num" w:pos="1780"/>
        </w:tabs>
        <w:ind w:left="1780" w:hanging="360"/>
      </w:pPr>
      <w:rPr>
        <w:rFonts w:ascii="Wingdings" w:hAnsi="Wingdings" w:hint="default"/>
      </w:rPr>
    </w:lvl>
    <w:lvl w:ilvl="3" w:tplc="0C090001" w:tentative="1">
      <w:start w:val="1"/>
      <w:numFmt w:val="bullet"/>
      <w:lvlText w:val=""/>
      <w:lvlJc w:val="left"/>
      <w:pPr>
        <w:tabs>
          <w:tab w:val="num" w:pos="2500"/>
        </w:tabs>
        <w:ind w:left="2500" w:hanging="360"/>
      </w:pPr>
      <w:rPr>
        <w:rFonts w:ascii="Symbol" w:hAnsi="Symbol" w:hint="default"/>
      </w:rPr>
    </w:lvl>
    <w:lvl w:ilvl="4" w:tplc="0C090003" w:tentative="1">
      <w:start w:val="1"/>
      <w:numFmt w:val="bullet"/>
      <w:lvlText w:val="o"/>
      <w:lvlJc w:val="left"/>
      <w:pPr>
        <w:tabs>
          <w:tab w:val="num" w:pos="3220"/>
        </w:tabs>
        <w:ind w:left="3220" w:hanging="360"/>
      </w:pPr>
      <w:rPr>
        <w:rFonts w:ascii="Courier New" w:hAnsi="Courier New" w:hint="default"/>
      </w:rPr>
    </w:lvl>
    <w:lvl w:ilvl="5" w:tplc="0C090005" w:tentative="1">
      <w:start w:val="1"/>
      <w:numFmt w:val="bullet"/>
      <w:lvlText w:val=""/>
      <w:lvlJc w:val="left"/>
      <w:pPr>
        <w:tabs>
          <w:tab w:val="num" w:pos="3940"/>
        </w:tabs>
        <w:ind w:left="3940" w:hanging="360"/>
      </w:pPr>
      <w:rPr>
        <w:rFonts w:ascii="Wingdings" w:hAnsi="Wingdings" w:hint="default"/>
      </w:rPr>
    </w:lvl>
    <w:lvl w:ilvl="6" w:tplc="0C090001" w:tentative="1">
      <w:start w:val="1"/>
      <w:numFmt w:val="bullet"/>
      <w:lvlText w:val=""/>
      <w:lvlJc w:val="left"/>
      <w:pPr>
        <w:tabs>
          <w:tab w:val="num" w:pos="4660"/>
        </w:tabs>
        <w:ind w:left="4660" w:hanging="360"/>
      </w:pPr>
      <w:rPr>
        <w:rFonts w:ascii="Symbol" w:hAnsi="Symbol" w:hint="default"/>
      </w:rPr>
    </w:lvl>
    <w:lvl w:ilvl="7" w:tplc="0C090003" w:tentative="1">
      <w:start w:val="1"/>
      <w:numFmt w:val="bullet"/>
      <w:lvlText w:val="o"/>
      <w:lvlJc w:val="left"/>
      <w:pPr>
        <w:tabs>
          <w:tab w:val="num" w:pos="5380"/>
        </w:tabs>
        <w:ind w:left="5380" w:hanging="360"/>
      </w:pPr>
      <w:rPr>
        <w:rFonts w:ascii="Courier New" w:hAnsi="Courier New" w:hint="default"/>
      </w:rPr>
    </w:lvl>
    <w:lvl w:ilvl="8" w:tplc="0C090005" w:tentative="1">
      <w:start w:val="1"/>
      <w:numFmt w:val="bullet"/>
      <w:lvlText w:val=""/>
      <w:lvlJc w:val="left"/>
      <w:pPr>
        <w:tabs>
          <w:tab w:val="num" w:pos="6100"/>
        </w:tabs>
        <w:ind w:left="6100" w:hanging="360"/>
      </w:pPr>
      <w:rPr>
        <w:rFonts w:ascii="Wingdings" w:hAnsi="Wingdings" w:hint="default"/>
      </w:rPr>
    </w:lvl>
  </w:abstractNum>
  <w:abstractNum w:abstractNumId="16">
    <w:nsid w:val="460A2BEB"/>
    <w:multiLevelType w:val="hybridMultilevel"/>
    <w:tmpl w:val="2A0A2A40"/>
    <w:lvl w:ilvl="0" w:tplc="99FA9454">
      <w:start w:val="1"/>
      <w:numFmt w:val="bullet"/>
      <w:lvlText w:val=""/>
      <w:lvlJc w:val="left"/>
      <w:pPr>
        <w:ind w:left="458" w:hanging="360"/>
      </w:pPr>
      <w:rPr>
        <w:rFonts w:ascii="Symbol" w:eastAsia="Symbol" w:hAnsi="Symbol" w:hint="default"/>
        <w:sz w:val="22"/>
        <w:szCs w:val="22"/>
      </w:rPr>
    </w:lvl>
    <w:lvl w:ilvl="1" w:tplc="C2DE75EC">
      <w:start w:val="1"/>
      <w:numFmt w:val="bullet"/>
      <w:lvlText w:val=""/>
      <w:lvlJc w:val="left"/>
      <w:pPr>
        <w:ind w:left="820" w:hanging="360"/>
      </w:pPr>
      <w:rPr>
        <w:rFonts w:ascii="Symbol" w:eastAsia="Symbol" w:hAnsi="Symbol" w:hint="default"/>
        <w:sz w:val="22"/>
        <w:szCs w:val="22"/>
      </w:rPr>
    </w:lvl>
    <w:lvl w:ilvl="2" w:tplc="0C090001">
      <w:start w:val="1"/>
      <w:numFmt w:val="bullet"/>
      <w:lvlText w:val=""/>
      <w:lvlJc w:val="left"/>
      <w:pPr>
        <w:ind w:left="1797" w:hanging="360"/>
      </w:pPr>
      <w:rPr>
        <w:rFonts w:ascii="Symbol" w:hAnsi="Symbol" w:hint="default"/>
        <w:spacing w:val="-1"/>
        <w:w w:val="99"/>
        <w:sz w:val="20"/>
        <w:szCs w:val="20"/>
      </w:rPr>
    </w:lvl>
    <w:lvl w:ilvl="3" w:tplc="6FB024B4">
      <w:start w:val="1"/>
      <w:numFmt w:val="lowerRoman"/>
      <w:lvlText w:val="(%4)"/>
      <w:lvlJc w:val="left"/>
      <w:pPr>
        <w:ind w:left="2354" w:hanging="450"/>
      </w:pPr>
      <w:rPr>
        <w:rFonts w:ascii="Calibri" w:eastAsia="Calibri" w:hAnsi="Calibri" w:hint="default"/>
        <w:spacing w:val="-1"/>
        <w:w w:val="99"/>
        <w:sz w:val="20"/>
        <w:szCs w:val="20"/>
      </w:rPr>
    </w:lvl>
    <w:lvl w:ilvl="4" w:tplc="599400F6">
      <w:start w:val="1"/>
      <w:numFmt w:val="bullet"/>
      <w:lvlText w:val="•"/>
      <w:lvlJc w:val="left"/>
      <w:pPr>
        <w:ind w:left="3339" w:hanging="450"/>
      </w:pPr>
      <w:rPr>
        <w:rFonts w:hint="default"/>
      </w:rPr>
    </w:lvl>
    <w:lvl w:ilvl="5" w:tplc="3816F170">
      <w:start w:val="1"/>
      <w:numFmt w:val="bullet"/>
      <w:lvlText w:val="•"/>
      <w:lvlJc w:val="left"/>
      <w:pPr>
        <w:ind w:left="4323" w:hanging="450"/>
      </w:pPr>
      <w:rPr>
        <w:rFonts w:hint="default"/>
      </w:rPr>
    </w:lvl>
    <w:lvl w:ilvl="6" w:tplc="D666ACCC">
      <w:start w:val="1"/>
      <w:numFmt w:val="bullet"/>
      <w:lvlText w:val="•"/>
      <w:lvlJc w:val="left"/>
      <w:pPr>
        <w:ind w:left="5308" w:hanging="450"/>
      </w:pPr>
      <w:rPr>
        <w:rFonts w:hint="default"/>
      </w:rPr>
    </w:lvl>
    <w:lvl w:ilvl="7" w:tplc="B9DE224E">
      <w:start w:val="1"/>
      <w:numFmt w:val="bullet"/>
      <w:lvlText w:val="•"/>
      <w:lvlJc w:val="left"/>
      <w:pPr>
        <w:ind w:left="6292" w:hanging="450"/>
      </w:pPr>
      <w:rPr>
        <w:rFonts w:hint="default"/>
      </w:rPr>
    </w:lvl>
    <w:lvl w:ilvl="8" w:tplc="90B6FF0E">
      <w:start w:val="1"/>
      <w:numFmt w:val="bullet"/>
      <w:lvlText w:val="•"/>
      <w:lvlJc w:val="left"/>
      <w:pPr>
        <w:ind w:left="7277" w:hanging="450"/>
      </w:pPr>
      <w:rPr>
        <w:rFonts w:hint="default"/>
      </w:rPr>
    </w:lvl>
  </w:abstractNum>
  <w:abstractNum w:abstractNumId="17">
    <w:nsid w:val="4A805768"/>
    <w:multiLevelType w:val="multilevel"/>
    <w:tmpl w:val="286AAF76"/>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Palatino Linotype" w:hAnsi="Palatino Linotype" w:hint="default"/>
        <w:b w:val="0"/>
        <w:i w:val="0"/>
        <w:caps w:val="0"/>
        <w:vanish w:val="0"/>
        <w:w w:val="95"/>
        <w:sz w:val="22"/>
        <w:szCs w:val="22"/>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5F7F4EEC"/>
    <w:multiLevelType w:val="hybridMultilevel"/>
    <w:tmpl w:val="0BA8853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9">
    <w:nsid w:val="626934BB"/>
    <w:multiLevelType w:val="hybridMultilevel"/>
    <w:tmpl w:val="1CE25974"/>
    <w:lvl w:ilvl="0" w:tplc="0C090001">
      <w:start w:val="1"/>
      <w:numFmt w:val="bullet"/>
      <w:lvlText w:val=""/>
      <w:lvlJc w:val="left"/>
      <w:pPr>
        <w:ind w:left="720" w:hanging="360"/>
      </w:pPr>
      <w:rPr>
        <w:rFonts w:ascii="Symbol" w:hAnsi="Symbol" w:hint="default"/>
      </w:rPr>
    </w:lvl>
    <w:lvl w:ilvl="1" w:tplc="51C21078">
      <w:numFmt w:val="bullet"/>
      <w:lvlText w:val=""/>
      <w:lvlJc w:val="left"/>
      <w:pPr>
        <w:ind w:left="1440" w:hanging="360"/>
      </w:pPr>
      <w:rPr>
        <w:rFonts w:ascii="Wingdings" w:eastAsia="Times New Roman" w:hAnsi="Wingdings"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53861B7"/>
    <w:multiLevelType w:val="hybridMultilevel"/>
    <w:tmpl w:val="BD528E12"/>
    <w:lvl w:ilvl="0" w:tplc="BFF25BDA">
      <w:start w:val="1"/>
      <w:numFmt w:val="bullet"/>
      <w:pStyle w:val="ListBullet"/>
      <w:lvlText w:val=""/>
      <w:lvlJc w:val="left"/>
      <w:pPr>
        <w:ind w:left="1352" w:hanging="360"/>
      </w:pPr>
      <w:rPr>
        <w:rFonts w:ascii="Symbol" w:hAnsi="Symbol" w:hint="default"/>
      </w:rPr>
    </w:lvl>
    <w:lvl w:ilvl="1" w:tplc="7B9ED2D2">
      <w:start w:val="1"/>
      <w:numFmt w:val="bullet"/>
      <w:lvlText w:val="o"/>
      <w:lvlJc w:val="left"/>
      <w:pPr>
        <w:ind w:left="2072" w:hanging="360"/>
      </w:pPr>
      <w:rPr>
        <w:rFonts w:ascii="Courier New" w:hAnsi="Courier New" w:cs="Courier New" w:hint="default"/>
      </w:rPr>
    </w:lvl>
    <w:lvl w:ilvl="2" w:tplc="3AA403E8">
      <w:start w:val="1"/>
      <w:numFmt w:val="bullet"/>
      <w:lvlText w:val=""/>
      <w:lvlJc w:val="left"/>
      <w:pPr>
        <w:ind w:left="2792" w:hanging="360"/>
      </w:pPr>
      <w:rPr>
        <w:rFonts w:ascii="Wingdings" w:hAnsi="Wingdings" w:hint="default"/>
      </w:rPr>
    </w:lvl>
    <w:lvl w:ilvl="3" w:tplc="0C090001" w:tentative="1">
      <w:start w:val="1"/>
      <w:numFmt w:val="bullet"/>
      <w:lvlText w:val=""/>
      <w:lvlJc w:val="left"/>
      <w:pPr>
        <w:ind w:left="3512" w:hanging="360"/>
      </w:pPr>
      <w:rPr>
        <w:rFonts w:ascii="Symbol" w:hAnsi="Symbol" w:hint="default"/>
      </w:rPr>
    </w:lvl>
    <w:lvl w:ilvl="4" w:tplc="0C090003" w:tentative="1">
      <w:start w:val="1"/>
      <w:numFmt w:val="bullet"/>
      <w:lvlText w:val="o"/>
      <w:lvlJc w:val="left"/>
      <w:pPr>
        <w:ind w:left="4232" w:hanging="360"/>
      </w:pPr>
      <w:rPr>
        <w:rFonts w:ascii="Courier New" w:hAnsi="Courier New" w:cs="Courier New" w:hint="default"/>
      </w:rPr>
    </w:lvl>
    <w:lvl w:ilvl="5" w:tplc="0C090005" w:tentative="1">
      <w:start w:val="1"/>
      <w:numFmt w:val="bullet"/>
      <w:lvlText w:val=""/>
      <w:lvlJc w:val="left"/>
      <w:pPr>
        <w:ind w:left="4952" w:hanging="360"/>
      </w:pPr>
      <w:rPr>
        <w:rFonts w:ascii="Wingdings" w:hAnsi="Wingdings" w:hint="default"/>
      </w:rPr>
    </w:lvl>
    <w:lvl w:ilvl="6" w:tplc="0C090001" w:tentative="1">
      <w:start w:val="1"/>
      <w:numFmt w:val="bullet"/>
      <w:lvlText w:val=""/>
      <w:lvlJc w:val="left"/>
      <w:pPr>
        <w:ind w:left="5672" w:hanging="360"/>
      </w:pPr>
      <w:rPr>
        <w:rFonts w:ascii="Symbol" w:hAnsi="Symbol" w:hint="default"/>
      </w:rPr>
    </w:lvl>
    <w:lvl w:ilvl="7" w:tplc="0C090003" w:tentative="1">
      <w:start w:val="1"/>
      <w:numFmt w:val="bullet"/>
      <w:lvlText w:val="o"/>
      <w:lvlJc w:val="left"/>
      <w:pPr>
        <w:ind w:left="6392" w:hanging="360"/>
      </w:pPr>
      <w:rPr>
        <w:rFonts w:ascii="Courier New" w:hAnsi="Courier New" w:cs="Courier New" w:hint="default"/>
      </w:rPr>
    </w:lvl>
    <w:lvl w:ilvl="8" w:tplc="0C090005" w:tentative="1">
      <w:start w:val="1"/>
      <w:numFmt w:val="bullet"/>
      <w:lvlText w:val=""/>
      <w:lvlJc w:val="left"/>
      <w:pPr>
        <w:ind w:left="7112" w:hanging="360"/>
      </w:pPr>
      <w:rPr>
        <w:rFonts w:ascii="Wingdings" w:hAnsi="Wingdings" w:hint="default"/>
      </w:rPr>
    </w:lvl>
  </w:abstractNum>
  <w:abstractNum w:abstractNumId="21">
    <w:nsid w:val="6E6B3CEE"/>
    <w:multiLevelType w:val="hybridMultilevel"/>
    <w:tmpl w:val="4FB8D00C"/>
    <w:lvl w:ilvl="0" w:tplc="DA208BC2">
      <w:start w:val="1"/>
      <w:numFmt w:val="bullet"/>
      <w:lvlText w:val=""/>
      <w:lvlJc w:val="left"/>
      <w:pPr>
        <w:ind w:left="1352" w:hanging="360"/>
      </w:pPr>
      <w:rPr>
        <w:rFonts w:ascii="Symbol" w:hAnsi="Symbol" w:hint="default"/>
      </w:rPr>
    </w:lvl>
    <w:lvl w:ilvl="1" w:tplc="0C090003">
      <w:start w:val="1"/>
      <w:numFmt w:val="bullet"/>
      <w:lvlText w:val="o"/>
      <w:lvlJc w:val="left"/>
      <w:pPr>
        <w:ind w:left="1392" w:hanging="360"/>
      </w:pPr>
      <w:rPr>
        <w:rFonts w:ascii="Courier New" w:hAnsi="Courier New" w:cs="Courier New" w:hint="default"/>
      </w:rPr>
    </w:lvl>
    <w:lvl w:ilvl="2" w:tplc="0C090005">
      <w:start w:val="1"/>
      <w:numFmt w:val="bullet"/>
      <w:lvlText w:val=""/>
      <w:lvlJc w:val="left"/>
      <w:pPr>
        <w:ind w:left="2112" w:hanging="360"/>
      </w:pPr>
      <w:rPr>
        <w:rFonts w:ascii="Wingdings" w:hAnsi="Wingdings" w:hint="default"/>
      </w:rPr>
    </w:lvl>
    <w:lvl w:ilvl="3" w:tplc="0C090001">
      <w:start w:val="1"/>
      <w:numFmt w:val="bullet"/>
      <w:lvlText w:val=""/>
      <w:lvlJc w:val="left"/>
      <w:pPr>
        <w:ind w:left="2832" w:hanging="360"/>
      </w:pPr>
      <w:rPr>
        <w:rFonts w:ascii="Symbol" w:hAnsi="Symbol" w:hint="default"/>
      </w:rPr>
    </w:lvl>
    <w:lvl w:ilvl="4" w:tplc="0C090003" w:tentative="1">
      <w:start w:val="1"/>
      <w:numFmt w:val="bullet"/>
      <w:lvlText w:val="o"/>
      <w:lvlJc w:val="left"/>
      <w:pPr>
        <w:ind w:left="3552" w:hanging="360"/>
      </w:pPr>
      <w:rPr>
        <w:rFonts w:ascii="Courier New" w:hAnsi="Courier New" w:cs="Courier New" w:hint="default"/>
      </w:rPr>
    </w:lvl>
    <w:lvl w:ilvl="5" w:tplc="0C090005" w:tentative="1">
      <w:start w:val="1"/>
      <w:numFmt w:val="bullet"/>
      <w:lvlText w:val=""/>
      <w:lvlJc w:val="left"/>
      <w:pPr>
        <w:ind w:left="4272" w:hanging="360"/>
      </w:pPr>
      <w:rPr>
        <w:rFonts w:ascii="Wingdings" w:hAnsi="Wingdings" w:hint="default"/>
      </w:rPr>
    </w:lvl>
    <w:lvl w:ilvl="6" w:tplc="0C090001" w:tentative="1">
      <w:start w:val="1"/>
      <w:numFmt w:val="bullet"/>
      <w:lvlText w:val=""/>
      <w:lvlJc w:val="left"/>
      <w:pPr>
        <w:ind w:left="4992" w:hanging="360"/>
      </w:pPr>
      <w:rPr>
        <w:rFonts w:ascii="Symbol" w:hAnsi="Symbol" w:hint="default"/>
      </w:rPr>
    </w:lvl>
    <w:lvl w:ilvl="7" w:tplc="0C090003" w:tentative="1">
      <w:start w:val="1"/>
      <w:numFmt w:val="bullet"/>
      <w:lvlText w:val="o"/>
      <w:lvlJc w:val="left"/>
      <w:pPr>
        <w:ind w:left="5712" w:hanging="360"/>
      </w:pPr>
      <w:rPr>
        <w:rFonts w:ascii="Courier New" w:hAnsi="Courier New" w:cs="Courier New" w:hint="default"/>
      </w:rPr>
    </w:lvl>
    <w:lvl w:ilvl="8" w:tplc="0C090005" w:tentative="1">
      <w:start w:val="1"/>
      <w:numFmt w:val="bullet"/>
      <w:lvlText w:val=""/>
      <w:lvlJc w:val="left"/>
      <w:pPr>
        <w:ind w:left="6432" w:hanging="360"/>
      </w:pPr>
      <w:rPr>
        <w:rFonts w:ascii="Wingdings" w:hAnsi="Wingdings" w:hint="default"/>
      </w:rPr>
    </w:lvl>
  </w:abstractNum>
  <w:abstractNum w:abstractNumId="22">
    <w:nsid w:val="702918E5"/>
    <w:multiLevelType w:val="hybridMultilevel"/>
    <w:tmpl w:val="336049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48D0C50"/>
    <w:multiLevelType w:val="hybridMultilevel"/>
    <w:tmpl w:val="F28EC850"/>
    <w:lvl w:ilvl="0" w:tplc="0C090001">
      <w:start w:val="1"/>
      <w:numFmt w:val="bullet"/>
      <w:lvlText w:val=""/>
      <w:lvlJc w:val="left"/>
      <w:pPr>
        <w:ind w:left="1607" w:hanging="360"/>
      </w:pPr>
      <w:rPr>
        <w:rFonts w:ascii="Symbol" w:hAnsi="Symbol" w:hint="default"/>
      </w:rPr>
    </w:lvl>
    <w:lvl w:ilvl="1" w:tplc="0C090003" w:tentative="1">
      <w:start w:val="1"/>
      <w:numFmt w:val="bullet"/>
      <w:lvlText w:val="o"/>
      <w:lvlJc w:val="left"/>
      <w:pPr>
        <w:ind w:left="2327" w:hanging="360"/>
      </w:pPr>
      <w:rPr>
        <w:rFonts w:ascii="Courier New" w:hAnsi="Courier New" w:cs="Courier New" w:hint="default"/>
      </w:rPr>
    </w:lvl>
    <w:lvl w:ilvl="2" w:tplc="0C090005" w:tentative="1">
      <w:start w:val="1"/>
      <w:numFmt w:val="bullet"/>
      <w:lvlText w:val=""/>
      <w:lvlJc w:val="left"/>
      <w:pPr>
        <w:ind w:left="3047" w:hanging="360"/>
      </w:pPr>
      <w:rPr>
        <w:rFonts w:ascii="Wingdings" w:hAnsi="Wingdings" w:hint="default"/>
      </w:rPr>
    </w:lvl>
    <w:lvl w:ilvl="3" w:tplc="0C090001" w:tentative="1">
      <w:start w:val="1"/>
      <w:numFmt w:val="bullet"/>
      <w:lvlText w:val=""/>
      <w:lvlJc w:val="left"/>
      <w:pPr>
        <w:ind w:left="3767" w:hanging="360"/>
      </w:pPr>
      <w:rPr>
        <w:rFonts w:ascii="Symbol" w:hAnsi="Symbol" w:hint="default"/>
      </w:rPr>
    </w:lvl>
    <w:lvl w:ilvl="4" w:tplc="0C090003" w:tentative="1">
      <w:start w:val="1"/>
      <w:numFmt w:val="bullet"/>
      <w:lvlText w:val="o"/>
      <w:lvlJc w:val="left"/>
      <w:pPr>
        <w:ind w:left="4487" w:hanging="360"/>
      </w:pPr>
      <w:rPr>
        <w:rFonts w:ascii="Courier New" w:hAnsi="Courier New" w:cs="Courier New" w:hint="default"/>
      </w:rPr>
    </w:lvl>
    <w:lvl w:ilvl="5" w:tplc="0C090005" w:tentative="1">
      <w:start w:val="1"/>
      <w:numFmt w:val="bullet"/>
      <w:lvlText w:val=""/>
      <w:lvlJc w:val="left"/>
      <w:pPr>
        <w:ind w:left="5207" w:hanging="360"/>
      </w:pPr>
      <w:rPr>
        <w:rFonts w:ascii="Wingdings" w:hAnsi="Wingdings" w:hint="default"/>
      </w:rPr>
    </w:lvl>
    <w:lvl w:ilvl="6" w:tplc="0C090001" w:tentative="1">
      <w:start w:val="1"/>
      <w:numFmt w:val="bullet"/>
      <w:lvlText w:val=""/>
      <w:lvlJc w:val="left"/>
      <w:pPr>
        <w:ind w:left="5927" w:hanging="360"/>
      </w:pPr>
      <w:rPr>
        <w:rFonts w:ascii="Symbol" w:hAnsi="Symbol" w:hint="default"/>
      </w:rPr>
    </w:lvl>
    <w:lvl w:ilvl="7" w:tplc="0C090003" w:tentative="1">
      <w:start w:val="1"/>
      <w:numFmt w:val="bullet"/>
      <w:lvlText w:val="o"/>
      <w:lvlJc w:val="left"/>
      <w:pPr>
        <w:ind w:left="6647" w:hanging="360"/>
      </w:pPr>
      <w:rPr>
        <w:rFonts w:ascii="Courier New" w:hAnsi="Courier New" w:cs="Courier New" w:hint="default"/>
      </w:rPr>
    </w:lvl>
    <w:lvl w:ilvl="8" w:tplc="0C090005" w:tentative="1">
      <w:start w:val="1"/>
      <w:numFmt w:val="bullet"/>
      <w:lvlText w:val=""/>
      <w:lvlJc w:val="left"/>
      <w:pPr>
        <w:ind w:left="7367" w:hanging="360"/>
      </w:pPr>
      <w:rPr>
        <w:rFonts w:ascii="Wingdings" w:hAnsi="Wingdings" w:hint="default"/>
      </w:rPr>
    </w:lvl>
  </w:abstractNum>
  <w:abstractNum w:abstractNumId="24">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4"/>
  </w:num>
  <w:num w:numId="2">
    <w:abstractNumId w:val="17"/>
  </w:num>
  <w:num w:numId="3">
    <w:abstractNumId w:val="10"/>
  </w:num>
  <w:num w:numId="4">
    <w:abstractNumId w:val="14"/>
  </w:num>
  <w:num w:numId="5">
    <w:abstractNumId w:val="7"/>
  </w:num>
  <w:num w:numId="6">
    <w:abstractNumId w:val="5"/>
  </w:num>
  <w:num w:numId="7">
    <w:abstractNumId w:val="1"/>
  </w:num>
  <w:num w:numId="8">
    <w:abstractNumId w:val="21"/>
  </w:num>
  <w:num w:numId="9">
    <w:abstractNumId w:val="20"/>
  </w:num>
  <w:num w:numId="10">
    <w:abstractNumId w:val="6"/>
  </w:num>
  <w:num w:numId="11">
    <w:abstractNumId w:val="15"/>
  </w:num>
  <w:num w:numId="12">
    <w:abstractNumId w:val="9"/>
  </w:num>
  <w:num w:numId="13">
    <w:abstractNumId w:val="2"/>
  </w:num>
  <w:num w:numId="14">
    <w:abstractNumId w:val="12"/>
  </w:num>
  <w:num w:numId="15">
    <w:abstractNumId w:val="3"/>
  </w:num>
  <w:num w:numId="16">
    <w:abstractNumId w:val="23"/>
  </w:num>
  <w:num w:numId="17">
    <w:abstractNumId w:val="0"/>
  </w:num>
  <w:num w:numId="18">
    <w:abstractNumId w:val="18"/>
  </w:num>
  <w:num w:numId="19">
    <w:abstractNumId w:val="19"/>
  </w:num>
  <w:num w:numId="20">
    <w:abstractNumId w:val="11"/>
  </w:num>
  <w:num w:numId="21">
    <w:abstractNumId w:val="16"/>
  </w:num>
  <w:num w:numId="22">
    <w:abstractNumId w:val="13"/>
  </w:num>
  <w:num w:numId="23">
    <w:abstractNumId w:val="4"/>
  </w:num>
  <w:num w:numId="24">
    <w:abstractNumId w:val="22"/>
  </w:num>
  <w:num w:numId="25">
    <w:abstractNumId w:val="8"/>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saveSubsetFonts/>
  <w:attachedTemplate r:id="rId1"/>
  <w:stylePaneFormatFilter w:val="3A01"/>
  <w:defaultTabStop w:val="720"/>
  <w:evenAndOddHeaders/>
  <w:drawingGridHorizontalSpacing w:val="110"/>
  <w:displayHorizontalDrawingGridEvery w:val="2"/>
  <w:noPunctuationKerning/>
  <w:characterSpacingControl w:val="doNotCompress"/>
  <w:hdrShapeDefaults>
    <o:shapedefaults v:ext="edit" spidmax="58377"/>
  </w:hdrShapeDefaults>
  <w:footnotePr>
    <w:footnote w:id="-1"/>
    <w:footnote w:id="0"/>
  </w:footnotePr>
  <w:endnotePr>
    <w:endnote w:id="-1"/>
    <w:endnote w:id="0"/>
  </w:endnotePr>
  <w:compat/>
  <w:rsids>
    <w:rsidRoot w:val="00283118"/>
    <w:rsid w:val="00002730"/>
    <w:rsid w:val="000030E7"/>
    <w:rsid w:val="00003859"/>
    <w:rsid w:val="000117E0"/>
    <w:rsid w:val="000135E9"/>
    <w:rsid w:val="00013E35"/>
    <w:rsid w:val="000161FB"/>
    <w:rsid w:val="0001704F"/>
    <w:rsid w:val="00017D52"/>
    <w:rsid w:val="00020BB5"/>
    <w:rsid w:val="00022DFF"/>
    <w:rsid w:val="00024210"/>
    <w:rsid w:val="00024877"/>
    <w:rsid w:val="000253AB"/>
    <w:rsid w:val="00025648"/>
    <w:rsid w:val="000258AC"/>
    <w:rsid w:val="00026470"/>
    <w:rsid w:val="0002797A"/>
    <w:rsid w:val="00030CFD"/>
    <w:rsid w:val="00033478"/>
    <w:rsid w:val="00033CCF"/>
    <w:rsid w:val="0003488F"/>
    <w:rsid w:val="0003674A"/>
    <w:rsid w:val="00037305"/>
    <w:rsid w:val="00042800"/>
    <w:rsid w:val="00042ACA"/>
    <w:rsid w:val="00045993"/>
    <w:rsid w:val="000471A1"/>
    <w:rsid w:val="00053EDC"/>
    <w:rsid w:val="000557F4"/>
    <w:rsid w:val="0005593B"/>
    <w:rsid w:val="00063CF2"/>
    <w:rsid w:val="00072B13"/>
    <w:rsid w:val="00075866"/>
    <w:rsid w:val="00077BC7"/>
    <w:rsid w:val="00081037"/>
    <w:rsid w:val="0008221E"/>
    <w:rsid w:val="00085C40"/>
    <w:rsid w:val="00086691"/>
    <w:rsid w:val="0008705A"/>
    <w:rsid w:val="000947F8"/>
    <w:rsid w:val="000953B5"/>
    <w:rsid w:val="00096E3A"/>
    <w:rsid w:val="000A239C"/>
    <w:rsid w:val="000B2B62"/>
    <w:rsid w:val="000B3C75"/>
    <w:rsid w:val="000B4094"/>
    <w:rsid w:val="000B5A5E"/>
    <w:rsid w:val="000B5D7C"/>
    <w:rsid w:val="000B6B97"/>
    <w:rsid w:val="000B736E"/>
    <w:rsid w:val="000C21DA"/>
    <w:rsid w:val="000C4EFA"/>
    <w:rsid w:val="000C679C"/>
    <w:rsid w:val="000C7575"/>
    <w:rsid w:val="000C7D9B"/>
    <w:rsid w:val="000D2895"/>
    <w:rsid w:val="000D2A9D"/>
    <w:rsid w:val="000D3E58"/>
    <w:rsid w:val="000D6412"/>
    <w:rsid w:val="000D6558"/>
    <w:rsid w:val="000E2EF4"/>
    <w:rsid w:val="000E60DF"/>
    <w:rsid w:val="000E7567"/>
    <w:rsid w:val="000F041A"/>
    <w:rsid w:val="000F1446"/>
    <w:rsid w:val="000F1879"/>
    <w:rsid w:val="000F26BC"/>
    <w:rsid w:val="000F2D86"/>
    <w:rsid w:val="000F501D"/>
    <w:rsid w:val="000F695C"/>
    <w:rsid w:val="000F6D23"/>
    <w:rsid w:val="00100214"/>
    <w:rsid w:val="0010368F"/>
    <w:rsid w:val="001051F6"/>
    <w:rsid w:val="001053AD"/>
    <w:rsid w:val="00110FA4"/>
    <w:rsid w:val="00111087"/>
    <w:rsid w:val="00113E77"/>
    <w:rsid w:val="0011795D"/>
    <w:rsid w:val="001209DA"/>
    <w:rsid w:val="0012342E"/>
    <w:rsid w:val="00123676"/>
    <w:rsid w:val="00123C42"/>
    <w:rsid w:val="00124F8D"/>
    <w:rsid w:val="00125E8B"/>
    <w:rsid w:val="001511D4"/>
    <w:rsid w:val="00156981"/>
    <w:rsid w:val="00156ECA"/>
    <w:rsid w:val="0015794F"/>
    <w:rsid w:val="001647BE"/>
    <w:rsid w:val="00167854"/>
    <w:rsid w:val="001716E4"/>
    <w:rsid w:val="00172E87"/>
    <w:rsid w:val="001752DC"/>
    <w:rsid w:val="00175F14"/>
    <w:rsid w:val="00181482"/>
    <w:rsid w:val="00182D01"/>
    <w:rsid w:val="00183A5F"/>
    <w:rsid w:val="00183FBF"/>
    <w:rsid w:val="001846F8"/>
    <w:rsid w:val="00184CD2"/>
    <w:rsid w:val="00185285"/>
    <w:rsid w:val="001905F5"/>
    <w:rsid w:val="001A0DBE"/>
    <w:rsid w:val="001A21FF"/>
    <w:rsid w:val="001A2E77"/>
    <w:rsid w:val="001A5DB1"/>
    <w:rsid w:val="001A6F47"/>
    <w:rsid w:val="001A735A"/>
    <w:rsid w:val="001A7EA6"/>
    <w:rsid w:val="001B2B71"/>
    <w:rsid w:val="001B5F6D"/>
    <w:rsid w:val="001B6F2C"/>
    <w:rsid w:val="001C4422"/>
    <w:rsid w:val="001C49DC"/>
    <w:rsid w:val="001C4A15"/>
    <w:rsid w:val="001C5B17"/>
    <w:rsid w:val="001C64D2"/>
    <w:rsid w:val="001C746F"/>
    <w:rsid w:val="001D009F"/>
    <w:rsid w:val="001D09B6"/>
    <w:rsid w:val="001D17CF"/>
    <w:rsid w:val="001D5B4C"/>
    <w:rsid w:val="001E2D30"/>
    <w:rsid w:val="001E356C"/>
    <w:rsid w:val="001E3A56"/>
    <w:rsid w:val="001E6EC8"/>
    <w:rsid w:val="001E7D00"/>
    <w:rsid w:val="001F1DA5"/>
    <w:rsid w:val="001F58CC"/>
    <w:rsid w:val="001F6D8E"/>
    <w:rsid w:val="001F7E3B"/>
    <w:rsid w:val="00202EDA"/>
    <w:rsid w:val="0020680D"/>
    <w:rsid w:val="00211DBE"/>
    <w:rsid w:val="002252B8"/>
    <w:rsid w:val="00226AA9"/>
    <w:rsid w:val="0023103F"/>
    <w:rsid w:val="00234973"/>
    <w:rsid w:val="002435B1"/>
    <w:rsid w:val="00243BBE"/>
    <w:rsid w:val="00244E8A"/>
    <w:rsid w:val="002456EB"/>
    <w:rsid w:val="002471F5"/>
    <w:rsid w:val="0025094D"/>
    <w:rsid w:val="0025339C"/>
    <w:rsid w:val="0025404A"/>
    <w:rsid w:val="00255108"/>
    <w:rsid w:val="002556A5"/>
    <w:rsid w:val="00260F29"/>
    <w:rsid w:val="00262F66"/>
    <w:rsid w:val="002634A3"/>
    <w:rsid w:val="00263564"/>
    <w:rsid w:val="00265F91"/>
    <w:rsid w:val="00271889"/>
    <w:rsid w:val="00271B86"/>
    <w:rsid w:val="00271B8C"/>
    <w:rsid w:val="002743DC"/>
    <w:rsid w:val="002747A1"/>
    <w:rsid w:val="00280172"/>
    <w:rsid w:val="002824EC"/>
    <w:rsid w:val="00283118"/>
    <w:rsid w:val="002846C2"/>
    <w:rsid w:val="0028583C"/>
    <w:rsid w:val="002863BB"/>
    <w:rsid w:val="002868FF"/>
    <w:rsid w:val="00287237"/>
    <w:rsid w:val="00287308"/>
    <w:rsid w:val="00292CB6"/>
    <w:rsid w:val="00294487"/>
    <w:rsid w:val="00296D1C"/>
    <w:rsid w:val="002A3594"/>
    <w:rsid w:val="002A64FA"/>
    <w:rsid w:val="002A6E1F"/>
    <w:rsid w:val="002A6F20"/>
    <w:rsid w:val="002B1F09"/>
    <w:rsid w:val="002B354E"/>
    <w:rsid w:val="002B4893"/>
    <w:rsid w:val="002B5C68"/>
    <w:rsid w:val="002B5D24"/>
    <w:rsid w:val="002B6018"/>
    <w:rsid w:val="002B66A2"/>
    <w:rsid w:val="002B7A0D"/>
    <w:rsid w:val="002C181C"/>
    <w:rsid w:val="002C445E"/>
    <w:rsid w:val="002C4E6E"/>
    <w:rsid w:val="002D0BC9"/>
    <w:rsid w:val="002D1F26"/>
    <w:rsid w:val="002D2276"/>
    <w:rsid w:val="002D5959"/>
    <w:rsid w:val="002D5FCE"/>
    <w:rsid w:val="002D7352"/>
    <w:rsid w:val="002E195A"/>
    <w:rsid w:val="002E1A91"/>
    <w:rsid w:val="002E1C54"/>
    <w:rsid w:val="002E22CA"/>
    <w:rsid w:val="002E5E20"/>
    <w:rsid w:val="002E676A"/>
    <w:rsid w:val="002F4F02"/>
    <w:rsid w:val="002F68B7"/>
    <w:rsid w:val="002F6A1C"/>
    <w:rsid w:val="002F707A"/>
    <w:rsid w:val="0030084E"/>
    <w:rsid w:val="00300A7C"/>
    <w:rsid w:val="00301919"/>
    <w:rsid w:val="00314922"/>
    <w:rsid w:val="003161A0"/>
    <w:rsid w:val="00317B31"/>
    <w:rsid w:val="0032201D"/>
    <w:rsid w:val="00323080"/>
    <w:rsid w:val="0032374F"/>
    <w:rsid w:val="00324512"/>
    <w:rsid w:val="00327594"/>
    <w:rsid w:val="00327F83"/>
    <w:rsid w:val="00330736"/>
    <w:rsid w:val="00331191"/>
    <w:rsid w:val="003326EF"/>
    <w:rsid w:val="00333832"/>
    <w:rsid w:val="0033446E"/>
    <w:rsid w:val="003374BA"/>
    <w:rsid w:val="00340C33"/>
    <w:rsid w:val="003420A5"/>
    <w:rsid w:val="00343570"/>
    <w:rsid w:val="0034498B"/>
    <w:rsid w:val="00345365"/>
    <w:rsid w:val="003477EA"/>
    <w:rsid w:val="00347AF5"/>
    <w:rsid w:val="00352146"/>
    <w:rsid w:val="003536AD"/>
    <w:rsid w:val="003557A9"/>
    <w:rsid w:val="00355BBF"/>
    <w:rsid w:val="00355CF2"/>
    <w:rsid w:val="003560DC"/>
    <w:rsid w:val="003606E5"/>
    <w:rsid w:val="00362151"/>
    <w:rsid w:val="003661F3"/>
    <w:rsid w:val="00366BF5"/>
    <w:rsid w:val="00370641"/>
    <w:rsid w:val="00370C68"/>
    <w:rsid w:val="003729B9"/>
    <w:rsid w:val="0037358A"/>
    <w:rsid w:val="003739FB"/>
    <w:rsid w:val="0037465D"/>
    <w:rsid w:val="00380BCF"/>
    <w:rsid w:val="0038248A"/>
    <w:rsid w:val="003840D5"/>
    <w:rsid w:val="00384ACC"/>
    <w:rsid w:val="0038734F"/>
    <w:rsid w:val="003904B2"/>
    <w:rsid w:val="0039175B"/>
    <w:rsid w:val="00391F9D"/>
    <w:rsid w:val="00392FBF"/>
    <w:rsid w:val="003A1175"/>
    <w:rsid w:val="003A3852"/>
    <w:rsid w:val="003A4417"/>
    <w:rsid w:val="003A4448"/>
    <w:rsid w:val="003A597C"/>
    <w:rsid w:val="003B13F7"/>
    <w:rsid w:val="003B4D90"/>
    <w:rsid w:val="003B5A9F"/>
    <w:rsid w:val="003B7E52"/>
    <w:rsid w:val="003B7E6A"/>
    <w:rsid w:val="003C297B"/>
    <w:rsid w:val="003C4774"/>
    <w:rsid w:val="003C4E99"/>
    <w:rsid w:val="003D071B"/>
    <w:rsid w:val="003D36CE"/>
    <w:rsid w:val="003D4F37"/>
    <w:rsid w:val="003E018E"/>
    <w:rsid w:val="003E0CF7"/>
    <w:rsid w:val="003E3165"/>
    <w:rsid w:val="003E346B"/>
    <w:rsid w:val="003E37D2"/>
    <w:rsid w:val="003E694F"/>
    <w:rsid w:val="003E7878"/>
    <w:rsid w:val="003E7EED"/>
    <w:rsid w:val="003F06EE"/>
    <w:rsid w:val="003F1F92"/>
    <w:rsid w:val="003F4C63"/>
    <w:rsid w:val="003F5ADA"/>
    <w:rsid w:val="003F679A"/>
    <w:rsid w:val="00401CEE"/>
    <w:rsid w:val="00405209"/>
    <w:rsid w:val="004079AE"/>
    <w:rsid w:val="00414B05"/>
    <w:rsid w:val="00415731"/>
    <w:rsid w:val="00415749"/>
    <w:rsid w:val="004158EE"/>
    <w:rsid w:val="00415CDF"/>
    <w:rsid w:val="00415EF1"/>
    <w:rsid w:val="00416520"/>
    <w:rsid w:val="0041783D"/>
    <w:rsid w:val="00417CA9"/>
    <w:rsid w:val="00420DA6"/>
    <w:rsid w:val="00424B6E"/>
    <w:rsid w:val="00427433"/>
    <w:rsid w:val="00427598"/>
    <w:rsid w:val="00430123"/>
    <w:rsid w:val="0043262C"/>
    <w:rsid w:val="00440232"/>
    <w:rsid w:val="00441E2F"/>
    <w:rsid w:val="004423AD"/>
    <w:rsid w:val="00447B42"/>
    <w:rsid w:val="00450878"/>
    <w:rsid w:val="00455AC2"/>
    <w:rsid w:val="00457DDA"/>
    <w:rsid w:val="00460891"/>
    <w:rsid w:val="00460A20"/>
    <w:rsid w:val="00462F49"/>
    <w:rsid w:val="004669D4"/>
    <w:rsid w:val="00467352"/>
    <w:rsid w:val="00467835"/>
    <w:rsid w:val="00470CE9"/>
    <w:rsid w:val="00472519"/>
    <w:rsid w:val="00475450"/>
    <w:rsid w:val="0047671F"/>
    <w:rsid w:val="00476BC9"/>
    <w:rsid w:val="00476D97"/>
    <w:rsid w:val="004810EF"/>
    <w:rsid w:val="00481E7E"/>
    <w:rsid w:val="0049027B"/>
    <w:rsid w:val="00490776"/>
    <w:rsid w:val="00492192"/>
    <w:rsid w:val="00495D93"/>
    <w:rsid w:val="004A31E4"/>
    <w:rsid w:val="004A6718"/>
    <w:rsid w:val="004B0C47"/>
    <w:rsid w:val="004B19AE"/>
    <w:rsid w:val="004B5368"/>
    <w:rsid w:val="004B59E8"/>
    <w:rsid w:val="004C001F"/>
    <w:rsid w:val="004C1863"/>
    <w:rsid w:val="004C62B8"/>
    <w:rsid w:val="004C71BD"/>
    <w:rsid w:val="004D17DD"/>
    <w:rsid w:val="004D1845"/>
    <w:rsid w:val="004D2CD2"/>
    <w:rsid w:val="004D3265"/>
    <w:rsid w:val="004D3786"/>
    <w:rsid w:val="004D5217"/>
    <w:rsid w:val="004D5416"/>
    <w:rsid w:val="004D5746"/>
    <w:rsid w:val="004D6A7C"/>
    <w:rsid w:val="004E6B3A"/>
    <w:rsid w:val="004E78B4"/>
    <w:rsid w:val="004F17DA"/>
    <w:rsid w:val="004F473F"/>
    <w:rsid w:val="00500D4E"/>
    <w:rsid w:val="00505904"/>
    <w:rsid w:val="005072C5"/>
    <w:rsid w:val="0051057D"/>
    <w:rsid w:val="00520124"/>
    <w:rsid w:val="00526A4B"/>
    <w:rsid w:val="0052749C"/>
    <w:rsid w:val="00532719"/>
    <w:rsid w:val="00534241"/>
    <w:rsid w:val="00536C70"/>
    <w:rsid w:val="00540D7C"/>
    <w:rsid w:val="00542FA6"/>
    <w:rsid w:val="00543393"/>
    <w:rsid w:val="00546589"/>
    <w:rsid w:val="00550609"/>
    <w:rsid w:val="005563BB"/>
    <w:rsid w:val="00557F20"/>
    <w:rsid w:val="00561CAD"/>
    <w:rsid w:val="00562B00"/>
    <w:rsid w:val="00565B8C"/>
    <w:rsid w:val="00566897"/>
    <w:rsid w:val="005731A8"/>
    <w:rsid w:val="00573D97"/>
    <w:rsid w:val="00580AA4"/>
    <w:rsid w:val="00581F10"/>
    <w:rsid w:val="005829E8"/>
    <w:rsid w:val="005834B1"/>
    <w:rsid w:val="00584492"/>
    <w:rsid w:val="00584BEB"/>
    <w:rsid w:val="00585337"/>
    <w:rsid w:val="0058677A"/>
    <w:rsid w:val="005876D5"/>
    <w:rsid w:val="00591138"/>
    <w:rsid w:val="00597C27"/>
    <w:rsid w:val="005A060B"/>
    <w:rsid w:val="005A0977"/>
    <w:rsid w:val="005A50D4"/>
    <w:rsid w:val="005A6980"/>
    <w:rsid w:val="005A74F5"/>
    <w:rsid w:val="005B17C1"/>
    <w:rsid w:val="005B1F74"/>
    <w:rsid w:val="005B424B"/>
    <w:rsid w:val="005B60C2"/>
    <w:rsid w:val="005C0362"/>
    <w:rsid w:val="005C0997"/>
    <w:rsid w:val="005C1855"/>
    <w:rsid w:val="005C1AF5"/>
    <w:rsid w:val="005C2A58"/>
    <w:rsid w:val="005C570A"/>
    <w:rsid w:val="005C6A2D"/>
    <w:rsid w:val="005C75EE"/>
    <w:rsid w:val="005D087B"/>
    <w:rsid w:val="005D0D04"/>
    <w:rsid w:val="005D2ACF"/>
    <w:rsid w:val="005D5AB2"/>
    <w:rsid w:val="005E043F"/>
    <w:rsid w:val="005E2127"/>
    <w:rsid w:val="005E2747"/>
    <w:rsid w:val="005E670D"/>
    <w:rsid w:val="005F02DE"/>
    <w:rsid w:val="005F2471"/>
    <w:rsid w:val="005F2760"/>
    <w:rsid w:val="005F2964"/>
    <w:rsid w:val="005F2C11"/>
    <w:rsid w:val="005F7422"/>
    <w:rsid w:val="00600762"/>
    <w:rsid w:val="00600F54"/>
    <w:rsid w:val="0060125F"/>
    <w:rsid w:val="00601ABF"/>
    <w:rsid w:val="0060511C"/>
    <w:rsid w:val="00605300"/>
    <w:rsid w:val="006106D2"/>
    <w:rsid w:val="00610B5E"/>
    <w:rsid w:val="00611074"/>
    <w:rsid w:val="00613761"/>
    <w:rsid w:val="0061656E"/>
    <w:rsid w:val="00616EB9"/>
    <w:rsid w:val="00617C19"/>
    <w:rsid w:val="00621267"/>
    <w:rsid w:val="00622CCD"/>
    <w:rsid w:val="0062447B"/>
    <w:rsid w:val="006257F6"/>
    <w:rsid w:val="006266EB"/>
    <w:rsid w:val="0063100B"/>
    <w:rsid w:val="006315B6"/>
    <w:rsid w:val="00631F14"/>
    <w:rsid w:val="00634DDA"/>
    <w:rsid w:val="00635F9E"/>
    <w:rsid w:val="00635FB2"/>
    <w:rsid w:val="0064020A"/>
    <w:rsid w:val="006414FB"/>
    <w:rsid w:val="00642EE7"/>
    <w:rsid w:val="006462EB"/>
    <w:rsid w:val="006464A3"/>
    <w:rsid w:val="00650EBA"/>
    <w:rsid w:val="006510E2"/>
    <w:rsid w:val="00653107"/>
    <w:rsid w:val="006534B0"/>
    <w:rsid w:val="00667519"/>
    <w:rsid w:val="00672013"/>
    <w:rsid w:val="00672199"/>
    <w:rsid w:val="0067469A"/>
    <w:rsid w:val="00693538"/>
    <w:rsid w:val="00697906"/>
    <w:rsid w:val="006A0605"/>
    <w:rsid w:val="006A4ECB"/>
    <w:rsid w:val="006A5D41"/>
    <w:rsid w:val="006A63E6"/>
    <w:rsid w:val="006A69A8"/>
    <w:rsid w:val="006A6AC0"/>
    <w:rsid w:val="006B444A"/>
    <w:rsid w:val="006B485B"/>
    <w:rsid w:val="006B66F4"/>
    <w:rsid w:val="006B793D"/>
    <w:rsid w:val="006C0055"/>
    <w:rsid w:val="006C0C83"/>
    <w:rsid w:val="006D4189"/>
    <w:rsid w:val="006D4D1D"/>
    <w:rsid w:val="006D6117"/>
    <w:rsid w:val="006D733F"/>
    <w:rsid w:val="006E0135"/>
    <w:rsid w:val="006E2B0F"/>
    <w:rsid w:val="006E4396"/>
    <w:rsid w:val="006E50CD"/>
    <w:rsid w:val="006E5FF2"/>
    <w:rsid w:val="006F01F3"/>
    <w:rsid w:val="006F4183"/>
    <w:rsid w:val="006F4495"/>
    <w:rsid w:val="006F44E7"/>
    <w:rsid w:val="006F454C"/>
    <w:rsid w:val="006F6DC3"/>
    <w:rsid w:val="006F7292"/>
    <w:rsid w:val="006F7DE4"/>
    <w:rsid w:val="007043A7"/>
    <w:rsid w:val="007066E1"/>
    <w:rsid w:val="00714D07"/>
    <w:rsid w:val="00715A96"/>
    <w:rsid w:val="00715E42"/>
    <w:rsid w:val="007160C4"/>
    <w:rsid w:val="007161A7"/>
    <w:rsid w:val="0071763B"/>
    <w:rsid w:val="00720BBB"/>
    <w:rsid w:val="00720BD1"/>
    <w:rsid w:val="00720CE9"/>
    <w:rsid w:val="007235EF"/>
    <w:rsid w:val="00725836"/>
    <w:rsid w:val="007338E2"/>
    <w:rsid w:val="00735B32"/>
    <w:rsid w:val="007415C3"/>
    <w:rsid w:val="00743520"/>
    <w:rsid w:val="00744725"/>
    <w:rsid w:val="007453EC"/>
    <w:rsid w:val="00746A72"/>
    <w:rsid w:val="0075774E"/>
    <w:rsid w:val="00760BE7"/>
    <w:rsid w:val="00761FFD"/>
    <w:rsid w:val="0076272E"/>
    <w:rsid w:val="00764425"/>
    <w:rsid w:val="0076515C"/>
    <w:rsid w:val="007723FA"/>
    <w:rsid w:val="00775065"/>
    <w:rsid w:val="007775F0"/>
    <w:rsid w:val="00780B47"/>
    <w:rsid w:val="00786492"/>
    <w:rsid w:val="00790965"/>
    <w:rsid w:val="007920F0"/>
    <w:rsid w:val="007A0061"/>
    <w:rsid w:val="007A0441"/>
    <w:rsid w:val="007A3BDC"/>
    <w:rsid w:val="007A55A3"/>
    <w:rsid w:val="007A598F"/>
    <w:rsid w:val="007A5CB5"/>
    <w:rsid w:val="007B0E50"/>
    <w:rsid w:val="007B31F6"/>
    <w:rsid w:val="007B394F"/>
    <w:rsid w:val="007B5AD9"/>
    <w:rsid w:val="007B69A0"/>
    <w:rsid w:val="007B7771"/>
    <w:rsid w:val="007B7864"/>
    <w:rsid w:val="007C222A"/>
    <w:rsid w:val="007C375B"/>
    <w:rsid w:val="007D13B2"/>
    <w:rsid w:val="007D2B38"/>
    <w:rsid w:val="007D661C"/>
    <w:rsid w:val="007E0F3A"/>
    <w:rsid w:val="007E6B58"/>
    <w:rsid w:val="007E7BAE"/>
    <w:rsid w:val="007F0A2A"/>
    <w:rsid w:val="007F2475"/>
    <w:rsid w:val="007F2DDA"/>
    <w:rsid w:val="007F5E40"/>
    <w:rsid w:val="007F695B"/>
    <w:rsid w:val="007F7B09"/>
    <w:rsid w:val="008000D9"/>
    <w:rsid w:val="00801BCE"/>
    <w:rsid w:val="00810AB6"/>
    <w:rsid w:val="00811114"/>
    <w:rsid w:val="00812FFE"/>
    <w:rsid w:val="008134A6"/>
    <w:rsid w:val="00815058"/>
    <w:rsid w:val="00817D23"/>
    <w:rsid w:val="0082177F"/>
    <w:rsid w:val="00823055"/>
    <w:rsid w:val="0082547B"/>
    <w:rsid w:val="0083184F"/>
    <w:rsid w:val="00831A09"/>
    <w:rsid w:val="00832B0F"/>
    <w:rsid w:val="00833FB2"/>
    <w:rsid w:val="0083578C"/>
    <w:rsid w:val="00845A2A"/>
    <w:rsid w:val="008463F0"/>
    <w:rsid w:val="00853964"/>
    <w:rsid w:val="00855E1A"/>
    <w:rsid w:val="00860758"/>
    <w:rsid w:val="00860F7C"/>
    <w:rsid w:val="00861171"/>
    <w:rsid w:val="008617CD"/>
    <w:rsid w:val="00864654"/>
    <w:rsid w:val="00872213"/>
    <w:rsid w:val="00872B07"/>
    <w:rsid w:val="008760FC"/>
    <w:rsid w:val="00876181"/>
    <w:rsid w:val="0088573C"/>
    <w:rsid w:val="00887D19"/>
    <w:rsid w:val="008909CB"/>
    <w:rsid w:val="0089288C"/>
    <w:rsid w:val="008A3298"/>
    <w:rsid w:val="008A4E4D"/>
    <w:rsid w:val="008A5A4D"/>
    <w:rsid w:val="008A5A4F"/>
    <w:rsid w:val="008A67E5"/>
    <w:rsid w:val="008B2BE5"/>
    <w:rsid w:val="008B35C5"/>
    <w:rsid w:val="008B713C"/>
    <w:rsid w:val="008B74E1"/>
    <w:rsid w:val="008C52D5"/>
    <w:rsid w:val="008C54B9"/>
    <w:rsid w:val="008C5E13"/>
    <w:rsid w:val="008D03BF"/>
    <w:rsid w:val="008D08E1"/>
    <w:rsid w:val="008D0BC6"/>
    <w:rsid w:val="008D2A57"/>
    <w:rsid w:val="008D337E"/>
    <w:rsid w:val="008D519E"/>
    <w:rsid w:val="008D68BE"/>
    <w:rsid w:val="008D79E5"/>
    <w:rsid w:val="008E19F4"/>
    <w:rsid w:val="008E2CB8"/>
    <w:rsid w:val="008F0E1A"/>
    <w:rsid w:val="008F41FC"/>
    <w:rsid w:val="008F4806"/>
    <w:rsid w:val="00902F99"/>
    <w:rsid w:val="00903C87"/>
    <w:rsid w:val="009065C3"/>
    <w:rsid w:val="00910431"/>
    <w:rsid w:val="0091681A"/>
    <w:rsid w:val="00917394"/>
    <w:rsid w:val="00917543"/>
    <w:rsid w:val="009200D5"/>
    <w:rsid w:val="009216BA"/>
    <w:rsid w:val="00923EA4"/>
    <w:rsid w:val="00923FFF"/>
    <w:rsid w:val="00924579"/>
    <w:rsid w:val="00924F37"/>
    <w:rsid w:val="009276BF"/>
    <w:rsid w:val="00931041"/>
    <w:rsid w:val="00932368"/>
    <w:rsid w:val="009325F5"/>
    <w:rsid w:val="009344B6"/>
    <w:rsid w:val="00934D40"/>
    <w:rsid w:val="00936992"/>
    <w:rsid w:val="0094017E"/>
    <w:rsid w:val="0094486C"/>
    <w:rsid w:val="00945888"/>
    <w:rsid w:val="009458A5"/>
    <w:rsid w:val="00946CE1"/>
    <w:rsid w:val="00951FBB"/>
    <w:rsid w:val="00952B49"/>
    <w:rsid w:val="00954592"/>
    <w:rsid w:val="00955B14"/>
    <w:rsid w:val="00957111"/>
    <w:rsid w:val="00960086"/>
    <w:rsid w:val="0096349C"/>
    <w:rsid w:val="00963CEF"/>
    <w:rsid w:val="009651AC"/>
    <w:rsid w:val="009651B2"/>
    <w:rsid w:val="00966E93"/>
    <w:rsid w:val="00967112"/>
    <w:rsid w:val="009709E6"/>
    <w:rsid w:val="00975AF9"/>
    <w:rsid w:val="0097621D"/>
    <w:rsid w:val="00976651"/>
    <w:rsid w:val="00977D6C"/>
    <w:rsid w:val="009808AD"/>
    <w:rsid w:val="00981335"/>
    <w:rsid w:val="00981CB7"/>
    <w:rsid w:val="009821CF"/>
    <w:rsid w:val="009852F7"/>
    <w:rsid w:val="00985703"/>
    <w:rsid w:val="009921C5"/>
    <w:rsid w:val="00993F9F"/>
    <w:rsid w:val="00994F64"/>
    <w:rsid w:val="00997027"/>
    <w:rsid w:val="009A1D59"/>
    <w:rsid w:val="009A2091"/>
    <w:rsid w:val="009A2191"/>
    <w:rsid w:val="009A3401"/>
    <w:rsid w:val="009A34FC"/>
    <w:rsid w:val="009A42A5"/>
    <w:rsid w:val="009A58FC"/>
    <w:rsid w:val="009A69A4"/>
    <w:rsid w:val="009B237D"/>
    <w:rsid w:val="009B3321"/>
    <w:rsid w:val="009B3F14"/>
    <w:rsid w:val="009C0EB0"/>
    <w:rsid w:val="009C20F3"/>
    <w:rsid w:val="009C45C0"/>
    <w:rsid w:val="009D1879"/>
    <w:rsid w:val="009D1FD5"/>
    <w:rsid w:val="009D3475"/>
    <w:rsid w:val="009D46B6"/>
    <w:rsid w:val="009D5442"/>
    <w:rsid w:val="009D7C30"/>
    <w:rsid w:val="009E088C"/>
    <w:rsid w:val="009F1035"/>
    <w:rsid w:val="009F1964"/>
    <w:rsid w:val="009F5545"/>
    <w:rsid w:val="009F5DA9"/>
    <w:rsid w:val="009F73F4"/>
    <w:rsid w:val="00A00180"/>
    <w:rsid w:val="00A01019"/>
    <w:rsid w:val="00A016FB"/>
    <w:rsid w:val="00A07637"/>
    <w:rsid w:val="00A128C0"/>
    <w:rsid w:val="00A146E9"/>
    <w:rsid w:val="00A173A1"/>
    <w:rsid w:val="00A20F27"/>
    <w:rsid w:val="00A24EC8"/>
    <w:rsid w:val="00A26364"/>
    <w:rsid w:val="00A27ECA"/>
    <w:rsid w:val="00A30AB3"/>
    <w:rsid w:val="00A36E0A"/>
    <w:rsid w:val="00A373C6"/>
    <w:rsid w:val="00A376EE"/>
    <w:rsid w:val="00A37CE8"/>
    <w:rsid w:val="00A510CE"/>
    <w:rsid w:val="00A530AC"/>
    <w:rsid w:val="00A54473"/>
    <w:rsid w:val="00A55C73"/>
    <w:rsid w:val="00A574D4"/>
    <w:rsid w:val="00A6095F"/>
    <w:rsid w:val="00A6186D"/>
    <w:rsid w:val="00A7080D"/>
    <w:rsid w:val="00A70A3D"/>
    <w:rsid w:val="00A70D25"/>
    <w:rsid w:val="00A8072F"/>
    <w:rsid w:val="00A80D24"/>
    <w:rsid w:val="00A833EB"/>
    <w:rsid w:val="00A83720"/>
    <w:rsid w:val="00A83F43"/>
    <w:rsid w:val="00A84EEB"/>
    <w:rsid w:val="00A86185"/>
    <w:rsid w:val="00A8688C"/>
    <w:rsid w:val="00A92229"/>
    <w:rsid w:val="00A93F8C"/>
    <w:rsid w:val="00AA21A0"/>
    <w:rsid w:val="00AA3A15"/>
    <w:rsid w:val="00AA4524"/>
    <w:rsid w:val="00AB0310"/>
    <w:rsid w:val="00AB4D2D"/>
    <w:rsid w:val="00AB5BF9"/>
    <w:rsid w:val="00AC038D"/>
    <w:rsid w:val="00AC22A0"/>
    <w:rsid w:val="00AC2B4B"/>
    <w:rsid w:val="00AC64FB"/>
    <w:rsid w:val="00AC7E01"/>
    <w:rsid w:val="00AD2420"/>
    <w:rsid w:val="00AD2B06"/>
    <w:rsid w:val="00AD4279"/>
    <w:rsid w:val="00AD6F11"/>
    <w:rsid w:val="00AE2ECE"/>
    <w:rsid w:val="00AE4148"/>
    <w:rsid w:val="00AE53B4"/>
    <w:rsid w:val="00AE7A30"/>
    <w:rsid w:val="00AF1445"/>
    <w:rsid w:val="00AF401B"/>
    <w:rsid w:val="00AF497E"/>
    <w:rsid w:val="00AF56CA"/>
    <w:rsid w:val="00AF58E2"/>
    <w:rsid w:val="00AF784F"/>
    <w:rsid w:val="00AF7D15"/>
    <w:rsid w:val="00B0157C"/>
    <w:rsid w:val="00B02BE8"/>
    <w:rsid w:val="00B0632B"/>
    <w:rsid w:val="00B0689B"/>
    <w:rsid w:val="00B10EFC"/>
    <w:rsid w:val="00B20486"/>
    <w:rsid w:val="00B214A7"/>
    <w:rsid w:val="00B27424"/>
    <w:rsid w:val="00B275AE"/>
    <w:rsid w:val="00B27F9C"/>
    <w:rsid w:val="00B3065F"/>
    <w:rsid w:val="00B33430"/>
    <w:rsid w:val="00B33576"/>
    <w:rsid w:val="00B4193C"/>
    <w:rsid w:val="00B41971"/>
    <w:rsid w:val="00B441C4"/>
    <w:rsid w:val="00B4442F"/>
    <w:rsid w:val="00B44508"/>
    <w:rsid w:val="00B470DF"/>
    <w:rsid w:val="00B472F6"/>
    <w:rsid w:val="00B53A33"/>
    <w:rsid w:val="00B57A95"/>
    <w:rsid w:val="00B6001D"/>
    <w:rsid w:val="00B604DE"/>
    <w:rsid w:val="00B6057D"/>
    <w:rsid w:val="00B614DA"/>
    <w:rsid w:val="00B66964"/>
    <w:rsid w:val="00B66ECA"/>
    <w:rsid w:val="00B72783"/>
    <w:rsid w:val="00B73196"/>
    <w:rsid w:val="00B77D37"/>
    <w:rsid w:val="00B8439D"/>
    <w:rsid w:val="00B85019"/>
    <w:rsid w:val="00B85C8B"/>
    <w:rsid w:val="00B9078F"/>
    <w:rsid w:val="00B93103"/>
    <w:rsid w:val="00B94284"/>
    <w:rsid w:val="00B94F34"/>
    <w:rsid w:val="00B957C4"/>
    <w:rsid w:val="00B9717D"/>
    <w:rsid w:val="00BA405E"/>
    <w:rsid w:val="00BA5175"/>
    <w:rsid w:val="00BA5EFD"/>
    <w:rsid w:val="00BA60B1"/>
    <w:rsid w:val="00BA65AD"/>
    <w:rsid w:val="00BB27B9"/>
    <w:rsid w:val="00BB6351"/>
    <w:rsid w:val="00BB6A15"/>
    <w:rsid w:val="00BB6B98"/>
    <w:rsid w:val="00BB7B70"/>
    <w:rsid w:val="00BC0293"/>
    <w:rsid w:val="00BC122A"/>
    <w:rsid w:val="00BC1C4E"/>
    <w:rsid w:val="00BC61A5"/>
    <w:rsid w:val="00BC7303"/>
    <w:rsid w:val="00BC77F4"/>
    <w:rsid w:val="00BD4205"/>
    <w:rsid w:val="00BD6446"/>
    <w:rsid w:val="00BE0654"/>
    <w:rsid w:val="00BE0EF8"/>
    <w:rsid w:val="00BE2245"/>
    <w:rsid w:val="00BE2A56"/>
    <w:rsid w:val="00BE4BFD"/>
    <w:rsid w:val="00BE50B9"/>
    <w:rsid w:val="00BE59F2"/>
    <w:rsid w:val="00BE6460"/>
    <w:rsid w:val="00BE6713"/>
    <w:rsid w:val="00BF146D"/>
    <w:rsid w:val="00BF4832"/>
    <w:rsid w:val="00C0117F"/>
    <w:rsid w:val="00C01738"/>
    <w:rsid w:val="00C0182E"/>
    <w:rsid w:val="00C0288D"/>
    <w:rsid w:val="00C03A5A"/>
    <w:rsid w:val="00C03C1C"/>
    <w:rsid w:val="00C045C6"/>
    <w:rsid w:val="00C04AFC"/>
    <w:rsid w:val="00C10F49"/>
    <w:rsid w:val="00C120A7"/>
    <w:rsid w:val="00C148DF"/>
    <w:rsid w:val="00C2013A"/>
    <w:rsid w:val="00C23420"/>
    <w:rsid w:val="00C2492A"/>
    <w:rsid w:val="00C25516"/>
    <w:rsid w:val="00C305A7"/>
    <w:rsid w:val="00C33B5E"/>
    <w:rsid w:val="00C35997"/>
    <w:rsid w:val="00C36F21"/>
    <w:rsid w:val="00C4202A"/>
    <w:rsid w:val="00C4202D"/>
    <w:rsid w:val="00C47818"/>
    <w:rsid w:val="00C524E2"/>
    <w:rsid w:val="00C55D23"/>
    <w:rsid w:val="00C57FE3"/>
    <w:rsid w:val="00C61091"/>
    <w:rsid w:val="00C618E9"/>
    <w:rsid w:val="00C64CDD"/>
    <w:rsid w:val="00C65652"/>
    <w:rsid w:val="00C7276D"/>
    <w:rsid w:val="00C84364"/>
    <w:rsid w:val="00C86109"/>
    <w:rsid w:val="00C87F2A"/>
    <w:rsid w:val="00C93B5F"/>
    <w:rsid w:val="00C95E47"/>
    <w:rsid w:val="00C96176"/>
    <w:rsid w:val="00CA155F"/>
    <w:rsid w:val="00CA4B9F"/>
    <w:rsid w:val="00CA771C"/>
    <w:rsid w:val="00CB0B13"/>
    <w:rsid w:val="00CB0CF0"/>
    <w:rsid w:val="00CB0EAE"/>
    <w:rsid w:val="00CB1DFE"/>
    <w:rsid w:val="00CB1E60"/>
    <w:rsid w:val="00CB1E9B"/>
    <w:rsid w:val="00CB214F"/>
    <w:rsid w:val="00CB277F"/>
    <w:rsid w:val="00CB38D7"/>
    <w:rsid w:val="00CB44B0"/>
    <w:rsid w:val="00CB5484"/>
    <w:rsid w:val="00CC03D8"/>
    <w:rsid w:val="00CC1755"/>
    <w:rsid w:val="00CC1A31"/>
    <w:rsid w:val="00CC3349"/>
    <w:rsid w:val="00CC3985"/>
    <w:rsid w:val="00CC44A4"/>
    <w:rsid w:val="00CC4D83"/>
    <w:rsid w:val="00CC59DE"/>
    <w:rsid w:val="00CC5C64"/>
    <w:rsid w:val="00CC60C0"/>
    <w:rsid w:val="00CC72EC"/>
    <w:rsid w:val="00CC77FD"/>
    <w:rsid w:val="00CD30D3"/>
    <w:rsid w:val="00CD3B4E"/>
    <w:rsid w:val="00CD575C"/>
    <w:rsid w:val="00CE1F0D"/>
    <w:rsid w:val="00CE4A48"/>
    <w:rsid w:val="00CF0C82"/>
    <w:rsid w:val="00CF20CD"/>
    <w:rsid w:val="00CF5CEB"/>
    <w:rsid w:val="00CF6AF8"/>
    <w:rsid w:val="00D000AD"/>
    <w:rsid w:val="00D0012A"/>
    <w:rsid w:val="00D06C46"/>
    <w:rsid w:val="00D10F61"/>
    <w:rsid w:val="00D11D9D"/>
    <w:rsid w:val="00D14C9F"/>
    <w:rsid w:val="00D23930"/>
    <w:rsid w:val="00D24CF4"/>
    <w:rsid w:val="00D25850"/>
    <w:rsid w:val="00D26FE7"/>
    <w:rsid w:val="00D275E7"/>
    <w:rsid w:val="00D31755"/>
    <w:rsid w:val="00D31B32"/>
    <w:rsid w:val="00D3357C"/>
    <w:rsid w:val="00D33827"/>
    <w:rsid w:val="00D33F96"/>
    <w:rsid w:val="00D34815"/>
    <w:rsid w:val="00D35FCB"/>
    <w:rsid w:val="00D42485"/>
    <w:rsid w:val="00D430A9"/>
    <w:rsid w:val="00D4706C"/>
    <w:rsid w:val="00D47416"/>
    <w:rsid w:val="00D47E43"/>
    <w:rsid w:val="00D50ADD"/>
    <w:rsid w:val="00D51E90"/>
    <w:rsid w:val="00D5213A"/>
    <w:rsid w:val="00D5245F"/>
    <w:rsid w:val="00D54AFE"/>
    <w:rsid w:val="00D56007"/>
    <w:rsid w:val="00D561BC"/>
    <w:rsid w:val="00D577A4"/>
    <w:rsid w:val="00D60D1B"/>
    <w:rsid w:val="00D731EE"/>
    <w:rsid w:val="00D73442"/>
    <w:rsid w:val="00D8261B"/>
    <w:rsid w:val="00D847E5"/>
    <w:rsid w:val="00D84B34"/>
    <w:rsid w:val="00D8576F"/>
    <w:rsid w:val="00D86534"/>
    <w:rsid w:val="00D870CD"/>
    <w:rsid w:val="00D87101"/>
    <w:rsid w:val="00D91EE1"/>
    <w:rsid w:val="00D92448"/>
    <w:rsid w:val="00D93EF3"/>
    <w:rsid w:val="00DA4B1A"/>
    <w:rsid w:val="00DA5726"/>
    <w:rsid w:val="00DA669F"/>
    <w:rsid w:val="00DA7832"/>
    <w:rsid w:val="00DB0F06"/>
    <w:rsid w:val="00DB31A9"/>
    <w:rsid w:val="00DB6926"/>
    <w:rsid w:val="00DB762F"/>
    <w:rsid w:val="00DC4D6C"/>
    <w:rsid w:val="00DC6155"/>
    <w:rsid w:val="00DD1163"/>
    <w:rsid w:val="00DD1363"/>
    <w:rsid w:val="00DD1AFC"/>
    <w:rsid w:val="00DD25CE"/>
    <w:rsid w:val="00DD4ED7"/>
    <w:rsid w:val="00DD76D8"/>
    <w:rsid w:val="00DE55E6"/>
    <w:rsid w:val="00DE6A52"/>
    <w:rsid w:val="00DF23BC"/>
    <w:rsid w:val="00DF28D8"/>
    <w:rsid w:val="00DF33D1"/>
    <w:rsid w:val="00DF38D5"/>
    <w:rsid w:val="00DF734F"/>
    <w:rsid w:val="00E00EE0"/>
    <w:rsid w:val="00E0363F"/>
    <w:rsid w:val="00E03AD2"/>
    <w:rsid w:val="00E04470"/>
    <w:rsid w:val="00E04A78"/>
    <w:rsid w:val="00E05F97"/>
    <w:rsid w:val="00E13F34"/>
    <w:rsid w:val="00E156A6"/>
    <w:rsid w:val="00E16973"/>
    <w:rsid w:val="00E24EF8"/>
    <w:rsid w:val="00E30A20"/>
    <w:rsid w:val="00E333E7"/>
    <w:rsid w:val="00E34881"/>
    <w:rsid w:val="00E3640D"/>
    <w:rsid w:val="00E37683"/>
    <w:rsid w:val="00E4027E"/>
    <w:rsid w:val="00E419EF"/>
    <w:rsid w:val="00E47CFB"/>
    <w:rsid w:val="00E53BF3"/>
    <w:rsid w:val="00E5413F"/>
    <w:rsid w:val="00E550E5"/>
    <w:rsid w:val="00E55AFF"/>
    <w:rsid w:val="00E6005A"/>
    <w:rsid w:val="00E629E2"/>
    <w:rsid w:val="00E6590A"/>
    <w:rsid w:val="00E7218C"/>
    <w:rsid w:val="00E74B0A"/>
    <w:rsid w:val="00E75BEF"/>
    <w:rsid w:val="00E7712E"/>
    <w:rsid w:val="00E77FCE"/>
    <w:rsid w:val="00E82402"/>
    <w:rsid w:val="00E8651F"/>
    <w:rsid w:val="00E86BE0"/>
    <w:rsid w:val="00E87794"/>
    <w:rsid w:val="00E96CAB"/>
    <w:rsid w:val="00E97F38"/>
    <w:rsid w:val="00EA204A"/>
    <w:rsid w:val="00EA3423"/>
    <w:rsid w:val="00EA4A0D"/>
    <w:rsid w:val="00EA4D2A"/>
    <w:rsid w:val="00EA7C66"/>
    <w:rsid w:val="00EB1C33"/>
    <w:rsid w:val="00EB30CC"/>
    <w:rsid w:val="00EB4A07"/>
    <w:rsid w:val="00EB4D32"/>
    <w:rsid w:val="00EB78AB"/>
    <w:rsid w:val="00EC3D05"/>
    <w:rsid w:val="00EC3D09"/>
    <w:rsid w:val="00EC5178"/>
    <w:rsid w:val="00EC7BB6"/>
    <w:rsid w:val="00ED338E"/>
    <w:rsid w:val="00ED4FC7"/>
    <w:rsid w:val="00ED523B"/>
    <w:rsid w:val="00ED5249"/>
    <w:rsid w:val="00ED626A"/>
    <w:rsid w:val="00ED6FC7"/>
    <w:rsid w:val="00ED70BD"/>
    <w:rsid w:val="00EE2363"/>
    <w:rsid w:val="00EE42B7"/>
    <w:rsid w:val="00EE47B0"/>
    <w:rsid w:val="00EE7D94"/>
    <w:rsid w:val="00EF5449"/>
    <w:rsid w:val="00EF744C"/>
    <w:rsid w:val="00F01864"/>
    <w:rsid w:val="00F0612C"/>
    <w:rsid w:val="00F061CF"/>
    <w:rsid w:val="00F07777"/>
    <w:rsid w:val="00F07B03"/>
    <w:rsid w:val="00F118F1"/>
    <w:rsid w:val="00F128C9"/>
    <w:rsid w:val="00F13ADD"/>
    <w:rsid w:val="00F13D37"/>
    <w:rsid w:val="00F13F06"/>
    <w:rsid w:val="00F14364"/>
    <w:rsid w:val="00F1484D"/>
    <w:rsid w:val="00F167CC"/>
    <w:rsid w:val="00F20460"/>
    <w:rsid w:val="00F2189E"/>
    <w:rsid w:val="00F22201"/>
    <w:rsid w:val="00F23CA4"/>
    <w:rsid w:val="00F33726"/>
    <w:rsid w:val="00F33739"/>
    <w:rsid w:val="00F357E3"/>
    <w:rsid w:val="00F37697"/>
    <w:rsid w:val="00F43B6C"/>
    <w:rsid w:val="00F46C52"/>
    <w:rsid w:val="00F50F97"/>
    <w:rsid w:val="00F51728"/>
    <w:rsid w:val="00F56F03"/>
    <w:rsid w:val="00F638A6"/>
    <w:rsid w:val="00F724E5"/>
    <w:rsid w:val="00F7331C"/>
    <w:rsid w:val="00F73E25"/>
    <w:rsid w:val="00F74C60"/>
    <w:rsid w:val="00F74FFB"/>
    <w:rsid w:val="00F802D0"/>
    <w:rsid w:val="00F83F2F"/>
    <w:rsid w:val="00F84BFC"/>
    <w:rsid w:val="00F87386"/>
    <w:rsid w:val="00F9021F"/>
    <w:rsid w:val="00F90ABD"/>
    <w:rsid w:val="00F91CE4"/>
    <w:rsid w:val="00F94713"/>
    <w:rsid w:val="00F94B7D"/>
    <w:rsid w:val="00FA0464"/>
    <w:rsid w:val="00FA12F3"/>
    <w:rsid w:val="00FA18A1"/>
    <w:rsid w:val="00FA19A0"/>
    <w:rsid w:val="00FB2672"/>
    <w:rsid w:val="00FB4C03"/>
    <w:rsid w:val="00FB668B"/>
    <w:rsid w:val="00FC0946"/>
    <w:rsid w:val="00FC2F05"/>
    <w:rsid w:val="00FC3A55"/>
    <w:rsid w:val="00FD1862"/>
    <w:rsid w:val="00FE1E8D"/>
    <w:rsid w:val="00FE2E26"/>
    <w:rsid w:val="00FE30FB"/>
    <w:rsid w:val="00FE3985"/>
    <w:rsid w:val="00FE591C"/>
    <w:rsid w:val="00FE7EF3"/>
    <w:rsid w:val="00FF2E29"/>
  </w:rsids>
  <m:mathPr>
    <m:mathFont m:val="Cambria Math"/>
    <m:brkBin m:val="before"/>
    <m:brkBinSub m:val="--"/>
    <m:smallFrac m:val="off"/>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footnote reference" w:uiPriority="99"/>
    <w:lsdException w:name="Title"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2F49"/>
    <w:rPr>
      <w:rFonts w:ascii="Calibri" w:hAnsi="Calibri"/>
      <w:sz w:val="22"/>
      <w:szCs w:val="24"/>
      <w:lang w:eastAsia="en-US"/>
    </w:rPr>
  </w:style>
  <w:style w:type="paragraph" w:styleId="Heading1">
    <w:name w:val="heading 1"/>
    <w:next w:val="Bodytext"/>
    <w:link w:val="Heading1Char"/>
    <w:qFormat/>
    <w:rsid w:val="00FA18A1"/>
    <w:pPr>
      <w:keepNext/>
      <w:pageBreakBefore/>
      <w:widowControl w:val="0"/>
      <w:numPr>
        <w:numId w:val="5"/>
      </w:numPr>
      <w:tabs>
        <w:tab w:val="left" w:pos="567"/>
      </w:tabs>
      <w:spacing w:before="360" w:line="312" w:lineRule="auto"/>
      <w:outlineLvl w:val="0"/>
    </w:pPr>
    <w:rPr>
      <w:rFonts w:ascii="Arial Narrow" w:hAnsi="Arial Narrow" w:cs="Arial"/>
      <w:bCs/>
      <w:smallCaps/>
      <w:spacing w:val="40"/>
      <w:kern w:val="32"/>
      <w:sz w:val="44"/>
      <w:szCs w:val="36"/>
      <w:lang w:eastAsia="en-US"/>
    </w:rPr>
  </w:style>
  <w:style w:type="paragraph" w:styleId="Heading2">
    <w:name w:val="heading 2"/>
    <w:basedOn w:val="Heading1"/>
    <w:next w:val="Normal"/>
    <w:link w:val="Heading2Char"/>
    <w:qFormat/>
    <w:rsid w:val="003B5A9F"/>
    <w:pPr>
      <w:pageBreakBefore w:val="0"/>
      <w:numPr>
        <w:ilvl w:val="1"/>
        <w:numId w:val="4"/>
      </w:numPr>
      <w:spacing w:before="480" w:after="60"/>
      <w:ind w:left="0" w:firstLine="0"/>
      <w:outlineLvl w:val="1"/>
    </w:pPr>
    <w:rPr>
      <w:bCs w:val="0"/>
      <w:iCs/>
      <w:caps/>
      <w:spacing w:val="0"/>
      <w:kern w:val="0"/>
      <w:sz w:val="34"/>
      <w:szCs w:val="34"/>
    </w:rPr>
  </w:style>
  <w:style w:type="paragraph" w:styleId="Heading3">
    <w:name w:val="heading 3"/>
    <w:basedOn w:val="Heading2"/>
    <w:next w:val="Normal"/>
    <w:link w:val="Heading3Char"/>
    <w:qFormat/>
    <w:rsid w:val="003B5A9F"/>
    <w:pPr>
      <w:numPr>
        <w:ilvl w:val="2"/>
        <w:numId w:val="2"/>
      </w:numPr>
      <w:spacing w:before="320" w:after="100"/>
      <w:outlineLvl w:val="2"/>
    </w:pPr>
    <w:rPr>
      <w:bCs/>
      <w:sz w:val="28"/>
      <w:szCs w:val="28"/>
    </w:rPr>
  </w:style>
  <w:style w:type="paragraph" w:styleId="Heading4">
    <w:name w:val="heading 4"/>
    <w:basedOn w:val="Heading3"/>
    <w:next w:val="Normal"/>
    <w:qFormat/>
    <w:rsid w:val="003B5A9F"/>
    <w:pPr>
      <w:numPr>
        <w:ilvl w:val="3"/>
      </w:numPr>
      <w:spacing w:before="280" w:after="80"/>
      <w:outlineLvl w:val="3"/>
    </w:pPr>
    <w:rPr>
      <w:bCs w:val="0"/>
      <w:sz w:val="24"/>
      <w:szCs w:val="24"/>
    </w:rPr>
  </w:style>
  <w:style w:type="paragraph" w:styleId="Heading5">
    <w:name w:val="heading 5"/>
    <w:basedOn w:val="Normal"/>
    <w:next w:val="Normal"/>
    <w:link w:val="Heading5Char"/>
    <w:semiHidden/>
    <w:unhideWhenUsed/>
    <w:qFormat/>
    <w:rsid w:val="008A5A4F"/>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rsid w:val="008909CB"/>
    <w:pPr>
      <w:spacing w:before="600" w:after="600" w:line="480" w:lineRule="exact"/>
      <w:jc w:val="right"/>
    </w:pPr>
    <w:rPr>
      <w:rFonts w:ascii="Arial Narrow" w:hAnsi="Arial Narrow"/>
      <w:smallCaps/>
      <w:spacing w:val="40"/>
      <w:sz w:val="28"/>
      <w:szCs w:val="28"/>
      <w:lang w:eastAsia="en-US"/>
    </w:rPr>
  </w:style>
  <w:style w:type="paragraph" w:customStyle="1" w:styleId="Reporttitle">
    <w:name w:val="Report title"/>
    <w:basedOn w:val="Normal"/>
    <w:next w:val="Committeename"/>
    <w:rsid w:val="003F679A"/>
    <w:pPr>
      <w:spacing w:before="320" w:after="600" w:line="500" w:lineRule="exact"/>
      <w:jc w:val="right"/>
    </w:pPr>
    <w:rPr>
      <w:rFonts w:ascii="Arial Narrow" w:hAnsi="Arial Narrow"/>
      <w:smallCaps/>
      <w:spacing w:val="4"/>
      <w:kern w:val="42"/>
      <w:sz w:val="42"/>
      <w:szCs w:val="36"/>
    </w:rPr>
  </w:style>
  <w:style w:type="paragraph" w:customStyle="1" w:styleId="Reportnumber">
    <w:name w:val="Report number"/>
    <w:basedOn w:val="Reporttitle"/>
    <w:rsid w:val="001511D4"/>
    <w:pPr>
      <w:spacing w:before="1100" w:after="0"/>
    </w:pPr>
    <w:rPr>
      <w:spacing w:val="20"/>
      <w:sz w:val="24"/>
      <w:szCs w:val="20"/>
    </w:rPr>
  </w:style>
  <w:style w:type="paragraph" w:styleId="ListNumber3">
    <w:name w:val="List Number 3"/>
    <w:basedOn w:val="Normal"/>
    <w:rsid w:val="00BC7303"/>
    <w:pPr>
      <w:numPr>
        <w:numId w:val="1"/>
      </w:numPr>
      <w:spacing w:before="40" w:after="60" w:line="288" w:lineRule="auto"/>
    </w:pPr>
  </w:style>
  <w:style w:type="paragraph" w:customStyle="1" w:styleId="Headinglevel3">
    <w:name w:val="Heading level 3"/>
    <w:basedOn w:val="Headinglevel2"/>
    <w:next w:val="Bodytext"/>
    <w:link w:val="Headinglevel3Char"/>
    <w:rsid w:val="00B85C8B"/>
    <w:pPr>
      <w:numPr>
        <w:ilvl w:val="2"/>
      </w:numPr>
      <w:spacing w:before="320" w:after="100"/>
    </w:pPr>
    <w:rPr>
      <w:iCs w:val="0"/>
      <w:sz w:val="30"/>
      <w:szCs w:val="28"/>
    </w:rPr>
  </w:style>
  <w:style w:type="paragraph" w:styleId="ListBullet">
    <w:name w:val="List Bullet"/>
    <w:link w:val="ListBulletChar"/>
    <w:autoRedefine/>
    <w:rsid w:val="00A146E9"/>
    <w:pPr>
      <w:numPr>
        <w:numId w:val="9"/>
      </w:numPr>
      <w:spacing w:before="40" w:after="60" w:line="288" w:lineRule="auto"/>
    </w:pPr>
    <w:rPr>
      <w:rFonts w:ascii="Calibri" w:hAnsi="Calibri"/>
      <w:sz w:val="22"/>
      <w:szCs w:val="22"/>
      <w:lang w:eastAsia="en-US"/>
    </w:rPr>
  </w:style>
  <w:style w:type="paragraph" w:styleId="ListBullet2">
    <w:name w:val="List Bullet 2"/>
    <w:autoRedefine/>
    <w:rsid w:val="0058677A"/>
    <w:pPr>
      <w:spacing w:after="60" w:line="288" w:lineRule="auto"/>
      <w:ind w:left="360"/>
    </w:pPr>
    <w:rPr>
      <w:rFonts w:ascii="Calibri" w:hAnsi="Calibri"/>
      <w:sz w:val="22"/>
      <w:szCs w:val="24"/>
      <w:lang w:eastAsia="en-US"/>
    </w:rPr>
  </w:style>
  <w:style w:type="paragraph" w:styleId="Caption">
    <w:name w:val="caption"/>
    <w:next w:val="Normal"/>
    <w:qFormat/>
    <w:rsid w:val="00024877"/>
    <w:pPr>
      <w:keepNext/>
      <w:spacing w:before="400" w:after="60" w:line="312" w:lineRule="auto"/>
      <w:ind w:left="680"/>
    </w:pPr>
    <w:rPr>
      <w:rFonts w:ascii="Arial Narrow" w:hAnsi="Arial Narrow"/>
      <w:bCs/>
      <w:kern w:val="26"/>
      <w:sz w:val="26"/>
      <w:lang w:eastAsia="en-US"/>
    </w:rPr>
  </w:style>
  <w:style w:type="paragraph" w:styleId="TOC4">
    <w:name w:val="toc 4"/>
    <w:basedOn w:val="Normal"/>
    <w:next w:val="Normal"/>
    <w:autoRedefine/>
    <w:semiHidden/>
    <w:rsid w:val="00D8576F"/>
    <w:pPr>
      <w:ind w:left="720"/>
    </w:pPr>
    <w:rPr>
      <w:rFonts w:ascii="Arial Narrow" w:hAnsi="Arial Narrow"/>
    </w:rPr>
  </w:style>
  <w:style w:type="paragraph" w:customStyle="1" w:styleId="Prelimminorheading">
    <w:name w:val="Prelim minor heading"/>
    <w:basedOn w:val="Heading3"/>
    <w:link w:val="PrelimminorheadingChar"/>
    <w:rsid w:val="00BD6446"/>
    <w:rPr>
      <w:caps w:val="0"/>
      <w:spacing w:val="2"/>
    </w:rPr>
  </w:style>
  <w:style w:type="paragraph" w:customStyle="1" w:styleId="Bodytextnonumbering">
    <w:name w:val="Body text no numbering"/>
    <w:basedOn w:val="Normal"/>
    <w:rsid w:val="00D50ADD"/>
    <w:pPr>
      <w:keepNext/>
      <w:spacing w:before="160" w:after="80" w:line="288" w:lineRule="auto"/>
      <w:outlineLvl w:val="1"/>
    </w:pPr>
    <w:rPr>
      <w:rFonts w:cs="Arial"/>
      <w:iCs/>
    </w:rPr>
  </w:style>
  <w:style w:type="paragraph" w:customStyle="1" w:styleId="Prelimmajorheading">
    <w:name w:val="Prelim major heading"/>
    <w:basedOn w:val="Heading1"/>
    <w:rsid w:val="00024877"/>
    <w:pPr>
      <w:numPr>
        <w:numId w:val="0"/>
      </w:numPr>
      <w:spacing w:after="720"/>
      <w:ind w:left="680"/>
    </w:pPr>
    <w:rPr>
      <w:b/>
      <w:spacing w:val="20"/>
      <w:sz w:val="34"/>
      <w:szCs w:val="46"/>
    </w:rPr>
  </w:style>
  <w:style w:type="character" w:styleId="Hyperlink">
    <w:name w:val="Hyperlink"/>
    <w:basedOn w:val="DefaultParagraphFont"/>
    <w:uiPriority w:val="99"/>
    <w:rsid w:val="003B5A9F"/>
    <w:rPr>
      <w:color w:val="0000FF"/>
      <w:u w:val="single"/>
    </w:rPr>
  </w:style>
  <w:style w:type="paragraph" w:styleId="TOC1">
    <w:name w:val="toc 1"/>
    <w:next w:val="Normal"/>
    <w:autoRedefine/>
    <w:uiPriority w:val="39"/>
    <w:rsid w:val="00EC3D05"/>
    <w:pPr>
      <w:tabs>
        <w:tab w:val="right" w:leader="dot" w:pos="9061"/>
      </w:tabs>
      <w:spacing w:before="180" w:after="40" w:line="312" w:lineRule="auto"/>
      <w:ind w:left="1020" w:hanging="340"/>
    </w:pPr>
    <w:rPr>
      <w:rFonts w:ascii="Calibri" w:hAnsi="Calibri" w:cs="Calibri"/>
      <w:b/>
      <w:smallCaps/>
      <w:noProof/>
      <w:spacing w:val="40"/>
      <w:sz w:val="24"/>
      <w:szCs w:val="22"/>
      <w:lang w:eastAsia="en-US"/>
    </w:rPr>
  </w:style>
  <w:style w:type="paragraph" w:styleId="TOC2">
    <w:name w:val="toc 2"/>
    <w:autoRedefine/>
    <w:uiPriority w:val="39"/>
    <w:rsid w:val="00D47E43"/>
    <w:pPr>
      <w:tabs>
        <w:tab w:val="left" w:pos="1680"/>
        <w:tab w:val="right" w:leader="dot" w:pos="9061"/>
      </w:tabs>
      <w:spacing w:before="40" w:line="312" w:lineRule="auto"/>
      <w:ind w:left="1587" w:hanging="567"/>
    </w:pPr>
    <w:rPr>
      <w:rFonts w:ascii="Arial Narrow" w:hAnsi="Arial Narrow" w:cs="Calibri"/>
      <w:b/>
      <w:noProof/>
      <w:sz w:val="22"/>
      <w:szCs w:val="24"/>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basedOn w:val="DefaultParagraphFont"/>
    <w:rsid w:val="008B35C5"/>
    <w:rPr>
      <w:rFonts w:ascii="Calibri" w:hAnsi="Calibri"/>
      <w:sz w:val="20"/>
      <w:szCs w:val="18"/>
    </w:rPr>
  </w:style>
  <w:style w:type="paragraph" w:styleId="TOC5">
    <w:name w:val="toc 5"/>
    <w:basedOn w:val="Normal"/>
    <w:next w:val="Normal"/>
    <w:autoRedefine/>
    <w:semiHidden/>
    <w:rsid w:val="00D8576F"/>
    <w:pPr>
      <w:ind w:left="960"/>
    </w:pPr>
    <w:rPr>
      <w:rFonts w:ascii="Arial Narrow" w:hAnsi="Arial Narrow"/>
    </w:rPr>
  </w:style>
  <w:style w:type="paragraph" w:customStyle="1" w:styleId="AppendixHeading1">
    <w:name w:val="Appendix Heading 1"/>
    <w:next w:val="Bodytextnonumbering"/>
    <w:rsid w:val="00FA18A1"/>
    <w:pPr>
      <w:keepNext/>
      <w:pageBreakBefore/>
      <w:numPr>
        <w:ilvl w:val="7"/>
        <w:numId w:val="5"/>
      </w:numPr>
      <w:spacing w:before="720" w:after="180" w:line="312" w:lineRule="auto"/>
    </w:pPr>
    <w:rPr>
      <w:rFonts w:ascii="Arial Narrow" w:hAnsi="Arial Narrow"/>
      <w:b/>
      <w:smallCaps/>
      <w:sz w:val="36"/>
      <w:szCs w:val="24"/>
      <w:lang w:eastAsia="en-US"/>
    </w:rPr>
  </w:style>
  <w:style w:type="paragraph" w:customStyle="1" w:styleId="AppendixHeading2">
    <w:name w:val="Appendix Heading 2"/>
    <w:next w:val="Bodytextnonumbering"/>
    <w:rsid w:val="00F128C9"/>
    <w:pPr>
      <w:spacing w:before="480" w:after="60" w:line="312" w:lineRule="auto"/>
    </w:pPr>
    <w:rPr>
      <w:rFonts w:ascii="Arial Narrow" w:hAnsi="Arial Narrow" w:cs="Arial"/>
      <w:iCs/>
      <w:spacing w:val="2"/>
      <w:sz w:val="34"/>
      <w:szCs w:val="34"/>
      <w:lang w:eastAsia="en-US"/>
    </w:rPr>
  </w:style>
  <w:style w:type="paragraph" w:customStyle="1" w:styleId="TableHeading">
    <w:name w:val="Table Heading"/>
    <w:next w:val="Tabletext"/>
    <w:rsid w:val="00024877"/>
    <w:pPr>
      <w:spacing w:before="40" w:after="40"/>
    </w:pPr>
    <w:rPr>
      <w:rFonts w:ascii="Arial Narrow" w:hAnsi="Arial Narrow"/>
      <w:color w:val="000000"/>
      <w:sz w:val="24"/>
      <w:lang w:eastAsia="en-US"/>
    </w:rPr>
  </w:style>
  <w:style w:type="paragraph" w:customStyle="1" w:styleId="Para">
    <w:name w:val="Para"/>
    <w:basedOn w:val="Normal"/>
    <w:rsid w:val="003B5A9F"/>
    <w:pPr>
      <w:keepNext/>
      <w:spacing w:before="160" w:after="80" w:line="288" w:lineRule="auto"/>
      <w:ind w:left="709"/>
      <w:outlineLvl w:val="1"/>
    </w:pPr>
    <w:rPr>
      <w:rFonts w:ascii="Palatino Linotype" w:hAnsi="Palatino Linotype" w:cs="Arial"/>
      <w:iCs/>
    </w:rPr>
  </w:style>
  <w:style w:type="paragraph" w:customStyle="1" w:styleId="Tabletext">
    <w:name w:val="Table text"/>
    <w:basedOn w:val="Normal"/>
    <w:rsid w:val="003B5A9F"/>
    <w:pPr>
      <w:keepNext/>
      <w:spacing w:before="160" w:after="80" w:line="288" w:lineRule="auto"/>
      <w:outlineLvl w:val="1"/>
    </w:pPr>
    <w:rPr>
      <w:rFonts w:ascii="Arial Narrow" w:hAnsi="Arial Narrow" w:cs="Arial"/>
      <w:iCs/>
      <w:color w:val="000000"/>
      <w:sz w:val="20"/>
      <w:szCs w:val="20"/>
    </w:rPr>
  </w:style>
  <w:style w:type="paragraph" w:customStyle="1" w:styleId="BulletedTextKM">
    <w:name w:val="Bulleted Text KM"/>
    <w:basedOn w:val="Normal"/>
    <w:semiHidden/>
    <w:rsid w:val="003B5A9F"/>
    <w:pPr>
      <w:numPr>
        <w:numId w:val="3"/>
      </w:numPr>
    </w:pPr>
  </w:style>
  <w:style w:type="paragraph" w:customStyle="1" w:styleId="Reportdate">
    <w:name w:val="Report date"/>
    <w:basedOn w:val="Reporttitle"/>
    <w:rsid w:val="003B5A9F"/>
    <w:pPr>
      <w:spacing w:before="0"/>
    </w:pPr>
    <w:rPr>
      <w:caps/>
      <w:spacing w:val="60"/>
      <w:sz w:val="22"/>
      <w:szCs w:val="22"/>
    </w:rPr>
  </w:style>
  <w:style w:type="paragraph" w:styleId="Quote">
    <w:name w:val="Quote"/>
    <w:basedOn w:val="Normal"/>
    <w:qFormat/>
    <w:rsid w:val="00B214A7"/>
    <w:pPr>
      <w:spacing w:before="60" w:after="80" w:line="288" w:lineRule="auto"/>
      <w:ind w:left="1247"/>
      <w:outlineLvl w:val="1"/>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semiHidden/>
    <w:rsid w:val="00113E77"/>
    <w:pPr>
      <w:spacing w:before="80" w:after="80" w:line="160" w:lineRule="exact"/>
      <w:ind w:left="170" w:hanging="170"/>
    </w:pPr>
    <w:rPr>
      <w:sz w:val="18"/>
      <w:szCs w:val="20"/>
    </w:rPr>
  </w:style>
  <w:style w:type="character" w:styleId="FootnoteReference">
    <w:name w:val="footnote reference"/>
    <w:basedOn w:val="DefaultParagraphFont"/>
    <w:uiPriority w:val="99"/>
    <w:semiHidden/>
    <w:rsid w:val="003B5A9F"/>
    <w:rPr>
      <w:vertAlign w:val="superscript"/>
    </w:rPr>
  </w:style>
  <w:style w:type="paragraph" w:customStyle="1" w:styleId="TOCheading">
    <w:name w:val="TOC heading"/>
    <w:basedOn w:val="Prelimmajorheading"/>
    <w:rsid w:val="00024877"/>
    <w:rPr>
      <w:b w:val="0"/>
    </w:rPr>
  </w:style>
  <w:style w:type="paragraph" w:styleId="TOC3">
    <w:name w:val="toc 3"/>
    <w:basedOn w:val="TOC2"/>
    <w:next w:val="Normal"/>
    <w:autoRedefine/>
    <w:uiPriority w:val="39"/>
    <w:rsid w:val="00D8576F"/>
  </w:style>
  <w:style w:type="paragraph" w:customStyle="1" w:styleId="StyleCommitteenameBlack">
    <w:name w:val="Style Committee name + Black"/>
    <w:semiHidden/>
    <w:rsid w:val="003B5A9F"/>
    <w:rPr>
      <w:rFonts w:ascii="Univers LT Std 45 Light" w:hAnsi="Univers LT Std 45 Light"/>
      <w:caps/>
      <w:color w:val="000000"/>
      <w:spacing w:val="40"/>
      <w:sz w:val="28"/>
      <w:szCs w:val="28"/>
      <w:lang w:eastAsia="en-US"/>
    </w:rPr>
  </w:style>
  <w:style w:type="paragraph" w:customStyle="1" w:styleId="Recommendation">
    <w:name w:val="Recommendation"/>
    <w:basedOn w:val="Caption"/>
    <w:next w:val="RecommendationText"/>
    <w:rsid w:val="002A64FA"/>
    <w:pPr>
      <w:numPr>
        <w:ilvl w:val="6"/>
        <w:numId w:val="5"/>
      </w:numPr>
      <w:ind w:left="567"/>
    </w:pPr>
    <w:rPr>
      <w:b/>
      <w:smallCaps/>
      <w:spacing w:val="20"/>
      <w:sz w:val="44"/>
    </w:rPr>
  </w:style>
  <w:style w:type="character" w:styleId="FollowedHyperlink">
    <w:name w:val="FollowedHyperlink"/>
    <w:basedOn w:val="DefaultParagraphFont"/>
    <w:rsid w:val="003B5A9F"/>
    <w:rPr>
      <w:color w:val="800080"/>
      <w:u w:val="single"/>
    </w:rPr>
  </w:style>
  <w:style w:type="paragraph" w:customStyle="1" w:styleId="StyleBodyTextArialNarrowBoldBlackLeft0cmFirstlin">
    <w:name w:val="Style Body Text + Arial Narrow Bold Black Left:  0 cm First lin..."/>
    <w:basedOn w:val="Normal"/>
    <w:semiHidden/>
    <w:rsid w:val="003B5A9F"/>
    <w:pPr>
      <w:keepNext/>
      <w:tabs>
        <w:tab w:val="num" w:pos="680"/>
      </w:tabs>
      <w:spacing w:before="160" w:after="80" w:line="288" w:lineRule="auto"/>
      <w:outlineLvl w:val="1"/>
    </w:pPr>
    <w:rPr>
      <w:rFonts w:ascii="Univers LT Std 55" w:hAnsi="Univers LT Std 55" w:cs="Arial"/>
      <w:b/>
      <w:bCs/>
      <w:iCs/>
      <w:color w:val="000000"/>
      <w:szCs w:val="20"/>
    </w:rPr>
  </w:style>
  <w:style w:type="paragraph" w:customStyle="1" w:styleId="Secretariat">
    <w:name w:val="Secretariat"/>
    <w:basedOn w:val="Prelimminorheading"/>
    <w:link w:val="SecretariatChar"/>
    <w:qFormat/>
    <w:rsid w:val="00EB4D32"/>
    <w:pPr>
      <w:numPr>
        <w:ilvl w:val="0"/>
        <w:numId w:val="0"/>
      </w:numPr>
    </w:pPr>
    <w:rPr>
      <w:spacing w:val="4"/>
      <w:sz w:val="30"/>
      <w:szCs w:val="30"/>
    </w:rPr>
  </w:style>
  <w:style w:type="paragraph" w:customStyle="1" w:styleId="Headinglevel2">
    <w:name w:val="Heading level 2"/>
    <w:next w:val="Bodytext"/>
    <w:link w:val="Headinglevel2Char"/>
    <w:rsid w:val="00EA3423"/>
    <w:pPr>
      <w:keepNext/>
      <w:widowControl w:val="0"/>
      <w:numPr>
        <w:ilvl w:val="1"/>
        <w:numId w:val="5"/>
      </w:numPr>
      <w:tabs>
        <w:tab w:val="left" w:pos="567"/>
      </w:tabs>
      <w:spacing w:before="480" w:after="60" w:line="312" w:lineRule="auto"/>
      <w:ind w:left="567" w:hanging="567"/>
    </w:pPr>
    <w:rPr>
      <w:rFonts w:ascii="Arial Narrow" w:hAnsi="Arial Narrow" w:cs="Arial"/>
      <w:iCs/>
      <w:smallCaps/>
      <w:spacing w:val="20"/>
      <w:sz w:val="36"/>
      <w:szCs w:val="34"/>
      <w:lang w:eastAsia="en-US"/>
    </w:rPr>
  </w:style>
  <w:style w:type="paragraph" w:customStyle="1" w:styleId="Bodytext">
    <w:name w:val="Body text"/>
    <w:basedOn w:val="Normal"/>
    <w:link w:val="BodytextChar"/>
    <w:rsid w:val="00FA18A1"/>
    <w:pPr>
      <w:numPr>
        <w:ilvl w:val="5"/>
        <w:numId w:val="5"/>
      </w:numPr>
      <w:spacing w:before="240" w:after="100" w:line="288" w:lineRule="auto"/>
    </w:pPr>
  </w:style>
  <w:style w:type="paragraph" w:styleId="TOC6">
    <w:name w:val="toc 6"/>
    <w:basedOn w:val="Normal"/>
    <w:next w:val="Normal"/>
    <w:autoRedefine/>
    <w:semiHidden/>
    <w:rsid w:val="00D8576F"/>
    <w:pPr>
      <w:ind w:left="1200"/>
    </w:pPr>
    <w:rPr>
      <w:rFonts w:ascii="Arial Narrow" w:hAnsi="Arial Narrow"/>
    </w:rPr>
  </w:style>
  <w:style w:type="paragraph" w:customStyle="1" w:styleId="Headinglevel4">
    <w:name w:val="Heading level 4"/>
    <w:basedOn w:val="Headinglevel3"/>
    <w:next w:val="Bodytext"/>
    <w:rsid w:val="00EA3423"/>
    <w:pPr>
      <w:numPr>
        <w:ilvl w:val="3"/>
      </w:numPr>
      <w:spacing w:before="280" w:after="80"/>
      <w:ind w:left="567" w:hanging="567"/>
    </w:pPr>
    <w:rPr>
      <w:sz w:val="26"/>
      <w:szCs w:val="24"/>
    </w:rPr>
  </w:style>
  <w:style w:type="paragraph" w:styleId="TOC7">
    <w:name w:val="toc 7"/>
    <w:basedOn w:val="Normal"/>
    <w:next w:val="Normal"/>
    <w:autoRedefine/>
    <w:semiHidden/>
    <w:rsid w:val="00D8576F"/>
    <w:pPr>
      <w:ind w:left="1440"/>
    </w:pPr>
    <w:rPr>
      <w:rFonts w:ascii="Arial Narrow" w:hAnsi="Arial Narrow"/>
    </w:rPr>
  </w:style>
  <w:style w:type="paragraph" w:styleId="TOC8">
    <w:name w:val="toc 8"/>
    <w:basedOn w:val="Normal"/>
    <w:next w:val="Normal"/>
    <w:autoRedefine/>
    <w:semiHidden/>
    <w:rsid w:val="00D8576F"/>
    <w:pPr>
      <w:ind w:left="1680"/>
    </w:pPr>
    <w:rPr>
      <w:rFonts w:ascii="Arial Narrow" w:hAnsi="Arial Narrow"/>
    </w:rPr>
  </w:style>
  <w:style w:type="paragraph" w:styleId="TOC9">
    <w:name w:val="toc 9"/>
    <w:basedOn w:val="Normal"/>
    <w:next w:val="Normal"/>
    <w:autoRedefine/>
    <w:semiHidden/>
    <w:rsid w:val="00D8576F"/>
    <w:pPr>
      <w:ind w:left="1920"/>
    </w:pPr>
    <w:rPr>
      <w:rFonts w:ascii="Arial Narrow" w:hAnsi="Arial Narrow"/>
    </w:rPr>
  </w:style>
  <w:style w:type="paragraph" w:customStyle="1" w:styleId="Headinglevel5">
    <w:name w:val="Heading level 5"/>
    <w:basedOn w:val="Headinglevel4"/>
    <w:next w:val="Bodytext"/>
    <w:qFormat/>
    <w:rsid w:val="00EA3423"/>
    <w:pPr>
      <w:numPr>
        <w:ilvl w:val="4"/>
      </w:numPr>
    </w:pPr>
    <w:rPr>
      <w:sz w:val="22"/>
    </w:rPr>
  </w:style>
  <w:style w:type="paragraph" w:customStyle="1" w:styleId="StyleBodytextnonumberingBefore0ptAfter0ptLinesp">
    <w:name w:val="Style Body text no numbering + Before:  0 pt After:  0 pt Line sp..."/>
    <w:basedOn w:val="Bodytextnonumbering"/>
    <w:rsid w:val="00D50ADD"/>
    <w:pPr>
      <w:spacing w:before="0" w:after="0" w:line="240" w:lineRule="auto"/>
    </w:pPr>
    <w:rPr>
      <w:rFonts w:cs="Times New Roman"/>
      <w:iCs w:val="0"/>
      <w:szCs w:val="20"/>
    </w:rPr>
  </w:style>
  <w:style w:type="paragraph" w:customStyle="1" w:styleId="StyleReportnumberBefore78pt">
    <w:name w:val="Style Report number + Before:  78 pt"/>
    <w:basedOn w:val="Reportnumber"/>
    <w:rsid w:val="001C746F"/>
    <w:pPr>
      <w:spacing w:before="1560"/>
    </w:pPr>
    <w:rPr>
      <w:bCs/>
      <w:smallCaps w:val="0"/>
    </w:rPr>
  </w:style>
  <w:style w:type="paragraph" w:customStyle="1" w:styleId="StylePrelimminorheadingLeft0cmFirstline0cm">
    <w:name w:val="Style Prelim minor heading + Left:  0 cm First line:  0 cm"/>
    <w:basedOn w:val="Prelimminorheading"/>
    <w:rsid w:val="00F14364"/>
    <w:pPr>
      <w:ind w:left="0" w:firstLine="0"/>
    </w:pPr>
    <w:rPr>
      <w:rFonts w:cs="Times New Roman"/>
      <w:iCs w:val="0"/>
      <w:szCs w:val="20"/>
    </w:rPr>
  </w:style>
  <w:style w:type="paragraph" w:customStyle="1" w:styleId="StylePrelimminorheadingLeft0cmFirstline0cm1">
    <w:name w:val="Style Prelim minor heading + Left:  0 cm First line:  0 cm1"/>
    <w:basedOn w:val="Prelimminorheading"/>
    <w:rsid w:val="00F14364"/>
    <w:pPr>
      <w:ind w:left="0" w:firstLine="0"/>
    </w:pPr>
    <w:rPr>
      <w:rFonts w:cs="Times New Roman"/>
      <w:iCs w:val="0"/>
      <w:szCs w:val="20"/>
    </w:rPr>
  </w:style>
  <w:style w:type="character" w:customStyle="1" w:styleId="FooterChar">
    <w:name w:val="Footer Char"/>
    <w:basedOn w:val="DefaultParagraphFont"/>
    <w:link w:val="Footer"/>
    <w:uiPriority w:val="99"/>
    <w:rsid w:val="000E7567"/>
    <w:rPr>
      <w:rFonts w:ascii="Calibri" w:hAnsi="Calibri"/>
      <w:szCs w:val="24"/>
      <w:lang w:eastAsia="en-US"/>
    </w:rPr>
  </w:style>
  <w:style w:type="character" w:customStyle="1" w:styleId="HeaderChar">
    <w:name w:val="Header Char"/>
    <w:basedOn w:val="DefaultParagraphFont"/>
    <w:link w:val="Header"/>
    <w:uiPriority w:val="99"/>
    <w:rsid w:val="001C746F"/>
    <w:rPr>
      <w:rFonts w:ascii="Calibri" w:hAnsi="Calibri"/>
      <w:caps/>
      <w:spacing w:val="40"/>
      <w:szCs w:val="14"/>
      <w:lang w:val="en-AU" w:eastAsia="en-US" w:bidi="ar-SA"/>
    </w:rPr>
  </w:style>
  <w:style w:type="paragraph" w:customStyle="1" w:styleId="StyleReportdateLinespacingAtleast12pt">
    <w:name w:val="Style Report date + Line spacing:  At least 12 pt"/>
    <w:basedOn w:val="Reportdate"/>
    <w:rsid w:val="001C746F"/>
    <w:pPr>
      <w:spacing w:line="240" w:lineRule="atLeast"/>
    </w:pPr>
    <w:rPr>
      <w:caps w:val="0"/>
      <w:spacing w:val="20"/>
      <w:szCs w:val="20"/>
    </w:rPr>
  </w:style>
  <w:style w:type="paragraph" w:customStyle="1" w:styleId="StyleReporttitleBefore0ptLinespacingAtleast12pt">
    <w:name w:val="Style Report title + Before:  0 pt Line spacing:  At least 12 pt"/>
    <w:basedOn w:val="Reporttitle"/>
    <w:rsid w:val="001C746F"/>
    <w:pPr>
      <w:spacing w:before="0" w:line="240" w:lineRule="atLeast"/>
    </w:pPr>
    <w:rPr>
      <w:spacing w:val="20"/>
      <w:szCs w:val="20"/>
    </w:rPr>
  </w:style>
  <w:style w:type="paragraph" w:customStyle="1" w:styleId="StylePrelimminorheadingLeft0cmFirstline0cm2">
    <w:name w:val="Style Prelim minor heading + Left:  0 cm First line:  0 cm2"/>
    <w:basedOn w:val="Prelimminorheading"/>
    <w:rsid w:val="00024877"/>
    <w:pPr>
      <w:ind w:left="0" w:firstLine="0"/>
    </w:pPr>
    <w:rPr>
      <w:rFonts w:cs="Times New Roman"/>
      <w:b/>
      <w:iCs w:val="0"/>
      <w:szCs w:val="20"/>
    </w:rPr>
  </w:style>
  <w:style w:type="paragraph" w:customStyle="1" w:styleId="StylePrelimminorheadingLeft0cmFirstline0cm3">
    <w:name w:val="Style Prelim minor heading + Left:  0 cm First line:  0 cm3"/>
    <w:basedOn w:val="Prelimminorheading"/>
    <w:rsid w:val="00024877"/>
    <w:pPr>
      <w:ind w:left="0" w:firstLine="0"/>
    </w:pPr>
    <w:rPr>
      <w:rFonts w:cs="Times New Roman"/>
      <w:b/>
      <w:iCs w:val="0"/>
      <w:szCs w:val="20"/>
    </w:rPr>
  </w:style>
  <w:style w:type="numbering" w:customStyle="1" w:styleId="test1">
    <w:name w:val="test1"/>
    <w:uiPriority w:val="99"/>
    <w:rsid w:val="00FA18A1"/>
    <w:pPr>
      <w:numPr>
        <w:numId w:val="5"/>
      </w:numPr>
    </w:pPr>
  </w:style>
  <w:style w:type="paragraph" w:customStyle="1" w:styleId="RecommendationText">
    <w:name w:val="Recommendation Text"/>
    <w:basedOn w:val="Bodytext"/>
    <w:next w:val="Bodytext"/>
    <w:link w:val="RecommendationTextChar"/>
    <w:qFormat/>
    <w:rsid w:val="00EC3D05"/>
    <w:pPr>
      <w:spacing w:before="120" w:after="240"/>
    </w:pPr>
    <w:rPr>
      <w:b/>
    </w:rPr>
  </w:style>
  <w:style w:type="paragraph" w:customStyle="1" w:styleId="Contactinformation">
    <w:name w:val="Contact information"/>
    <w:basedOn w:val="Prelimminorheading"/>
    <w:link w:val="ContactinformationChar"/>
    <w:qFormat/>
    <w:rsid w:val="00EB4D32"/>
    <w:pPr>
      <w:numPr>
        <w:ilvl w:val="0"/>
        <w:numId w:val="0"/>
      </w:numPr>
    </w:pPr>
  </w:style>
  <w:style w:type="character" w:customStyle="1" w:styleId="BodytextChar">
    <w:name w:val="Body text Char"/>
    <w:basedOn w:val="DefaultParagraphFont"/>
    <w:link w:val="Bodytext"/>
    <w:rsid w:val="00FA18A1"/>
    <w:rPr>
      <w:rFonts w:ascii="Calibri" w:hAnsi="Calibri"/>
      <w:sz w:val="22"/>
      <w:szCs w:val="24"/>
      <w:lang w:eastAsia="en-US"/>
    </w:rPr>
  </w:style>
  <w:style w:type="character" w:customStyle="1" w:styleId="RecommendationTextChar">
    <w:name w:val="Recommendation Text Char"/>
    <w:basedOn w:val="BodytextChar"/>
    <w:link w:val="RecommendationText"/>
    <w:rsid w:val="00EC3D05"/>
    <w:rPr>
      <w:b/>
    </w:rPr>
  </w:style>
  <w:style w:type="character" w:customStyle="1" w:styleId="Headinglevel2Char">
    <w:name w:val="Heading level 2 Char"/>
    <w:basedOn w:val="DefaultParagraphFont"/>
    <w:link w:val="Headinglevel2"/>
    <w:rsid w:val="00EA3423"/>
    <w:rPr>
      <w:rFonts w:ascii="Arial Narrow" w:hAnsi="Arial Narrow" w:cs="Arial"/>
      <w:iCs/>
      <w:smallCaps/>
      <w:spacing w:val="20"/>
      <w:sz w:val="36"/>
      <w:szCs w:val="34"/>
      <w:lang w:eastAsia="en-US"/>
    </w:rPr>
  </w:style>
  <w:style w:type="character" w:customStyle="1" w:styleId="Headinglevel3Char">
    <w:name w:val="Heading level 3 Char"/>
    <w:basedOn w:val="Headinglevel2Char"/>
    <w:link w:val="Headinglevel3"/>
    <w:rsid w:val="00B85C8B"/>
    <w:rPr>
      <w:smallCaps/>
      <w:sz w:val="30"/>
      <w:szCs w:val="28"/>
    </w:rPr>
  </w:style>
  <w:style w:type="character" w:customStyle="1" w:styleId="Heading1Char">
    <w:name w:val="Heading 1 Char"/>
    <w:basedOn w:val="DefaultParagraphFont"/>
    <w:link w:val="Heading1"/>
    <w:rsid w:val="00FA18A1"/>
    <w:rPr>
      <w:rFonts w:ascii="Arial Narrow" w:hAnsi="Arial Narrow" w:cs="Arial"/>
      <w:bCs/>
      <w:smallCaps/>
      <w:spacing w:val="40"/>
      <w:kern w:val="32"/>
      <w:sz w:val="44"/>
      <w:szCs w:val="36"/>
      <w:lang w:eastAsia="en-US"/>
    </w:rPr>
  </w:style>
  <w:style w:type="paragraph" w:customStyle="1" w:styleId="StylePrelimminorheadingLeft0cmFirstline0cm4">
    <w:name w:val="Style Prelim minor heading + Left:  0 cm First line:  0 cm4"/>
    <w:basedOn w:val="Prelimminorheading"/>
    <w:rsid w:val="00BD6446"/>
    <w:pPr>
      <w:ind w:left="0" w:firstLine="0"/>
    </w:pPr>
    <w:rPr>
      <w:rFonts w:cs="Times New Roman"/>
      <w:bCs w:val="0"/>
      <w:iCs w:val="0"/>
      <w:szCs w:val="20"/>
    </w:rPr>
  </w:style>
  <w:style w:type="character" w:customStyle="1" w:styleId="Heading2Char">
    <w:name w:val="Heading 2 Char"/>
    <w:basedOn w:val="Heading1Char"/>
    <w:link w:val="Heading2"/>
    <w:rsid w:val="00EB4D32"/>
    <w:rPr>
      <w:iCs/>
      <w:caps/>
      <w:sz w:val="34"/>
      <w:szCs w:val="34"/>
    </w:rPr>
  </w:style>
  <w:style w:type="paragraph" w:customStyle="1" w:styleId="StylePrelimminorheadingLeft0cmFirstline0cm5">
    <w:name w:val="Style Prelim minor heading + Left:  0 cm First line:  0 cm5"/>
    <w:basedOn w:val="Prelimminorheading"/>
    <w:rsid w:val="00BD6446"/>
    <w:pPr>
      <w:ind w:left="0" w:firstLine="0"/>
    </w:pPr>
    <w:rPr>
      <w:rFonts w:cs="Times New Roman"/>
      <w:bCs w:val="0"/>
      <w:iCs w:val="0"/>
      <w:szCs w:val="20"/>
    </w:rPr>
  </w:style>
  <w:style w:type="paragraph" w:customStyle="1" w:styleId="StylePrelimminorheadingLeft0cmFirstline0cmExpand">
    <w:name w:val="Style Prelim minor heading + Left:  0 cm First line:  0 cm Expand..."/>
    <w:basedOn w:val="Prelimminorheading"/>
    <w:rsid w:val="00BD6446"/>
    <w:pPr>
      <w:ind w:left="0" w:firstLine="0"/>
    </w:pPr>
    <w:rPr>
      <w:rFonts w:cs="Times New Roman"/>
      <w:bCs w:val="0"/>
      <w:iCs w:val="0"/>
      <w:spacing w:val="4"/>
      <w:sz w:val="30"/>
      <w:szCs w:val="20"/>
    </w:rPr>
  </w:style>
  <w:style w:type="character" w:customStyle="1" w:styleId="Heading3Char">
    <w:name w:val="Heading 3 Char"/>
    <w:basedOn w:val="Heading2Char"/>
    <w:link w:val="Heading3"/>
    <w:rsid w:val="00EB4D32"/>
    <w:rPr>
      <w:bCs/>
      <w:sz w:val="28"/>
      <w:szCs w:val="28"/>
    </w:rPr>
  </w:style>
  <w:style w:type="character" w:customStyle="1" w:styleId="PrelimminorheadingChar">
    <w:name w:val="Prelim minor heading Char"/>
    <w:basedOn w:val="Heading3Char"/>
    <w:link w:val="Prelimminorheading"/>
    <w:rsid w:val="00EB4D32"/>
    <w:rPr>
      <w:spacing w:val="2"/>
    </w:rPr>
  </w:style>
  <w:style w:type="character" w:customStyle="1" w:styleId="SecretariatChar">
    <w:name w:val="Secretariat Char"/>
    <w:basedOn w:val="PrelimminorheadingChar"/>
    <w:link w:val="Secretariat"/>
    <w:rsid w:val="00EB4D32"/>
  </w:style>
  <w:style w:type="paragraph" w:customStyle="1" w:styleId="RecommendationBullet">
    <w:name w:val="Recommendation Bullet"/>
    <w:basedOn w:val="ListBullet"/>
    <w:link w:val="RecommendationBulletChar"/>
    <w:qFormat/>
    <w:rsid w:val="00BB6351"/>
    <w:rPr>
      <w:b/>
    </w:rPr>
  </w:style>
  <w:style w:type="character" w:customStyle="1" w:styleId="ContactinformationChar">
    <w:name w:val="Contact information Char"/>
    <w:basedOn w:val="PrelimminorheadingChar"/>
    <w:link w:val="Contactinformation"/>
    <w:rsid w:val="00EB4D32"/>
  </w:style>
  <w:style w:type="character" w:customStyle="1" w:styleId="ListBulletChar">
    <w:name w:val="List Bullet Char"/>
    <w:basedOn w:val="DefaultParagraphFont"/>
    <w:link w:val="ListBullet"/>
    <w:rsid w:val="00A146E9"/>
    <w:rPr>
      <w:rFonts w:ascii="Calibri" w:hAnsi="Calibri"/>
      <w:sz w:val="22"/>
      <w:szCs w:val="22"/>
      <w:lang w:eastAsia="en-US"/>
    </w:rPr>
  </w:style>
  <w:style w:type="character" w:customStyle="1" w:styleId="RecommendationBulletChar">
    <w:name w:val="Recommendation Bullet Char"/>
    <w:basedOn w:val="ListBulletChar"/>
    <w:link w:val="RecommendationBullet"/>
    <w:rsid w:val="00462F49"/>
    <w:rPr>
      <w:b/>
    </w:rPr>
  </w:style>
  <w:style w:type="paragraph" w:customStyle="1" w:styleId="Bodycopy">
    <w:name w:val="Body copy"/>
    <w:qFormat/>
    <w:rsid w:val="00283118"/>
    <w:pPr>
      <w:keepNext/>
      <w:widowControl w:val="0"/>
      <w:spacing w:before="200" w:after="200" w:line="300" w:lineRule="exact"/>
    </w:pPr>
    <w:rPr>
      <w:rFonts w:ascii="Calibri" w:eastAsia="Calibri" w:hAnsi="Calibri" w:cs="Calibri"/>
      <w:color w:val="000000"/>
      <w:spacing w:val="-3"/>
      <w:sz w:val="22"/>
    </w:rPr>
  </w:style>
  <w:style w:type="paragraph" w:styleId="NormalWeb">
    <w:name w:val="Normal (Web)"/>
    <w:basedOn w:val="Normal"/>
    <w:uiPriority w:val="99"/>
    <w:unhideWhenUsed/>
    <w:rsid w:val="002435B1"/>
    <w:pPr>
      <w:spacing w:before="150" w:after="150"/>
    </w:pPr>
    <w:rPr>
      <w:rFonts w:ascii="Times New Roman" w:hAnsi="Times New Roman"/>
      <w:sz w:val="24"/>
      <w:lang w:eastAsia="en-AU"/>
    </w:rPr>
  </w:style>
  <w:style w:type="character" w:styleId="Strong">
    <w:name w:val="Strong"/>
    <w:basedOn w:val="DefaultParagraphFont"/>
    <w:uiPriority w:val="22"/>
    <w:qFormat/>
    <w:rsid w:val="002435B1"/>
    <w:rPr>
      <w:b/>
      <w:bCs/>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semiHidden/>
    <w:rsid w:val="00E82402"/>
    <w:rPr>
      <w:rFonts w:ascii="Calibri" w:hAnsi="Calibri"/>
      <w:sz w:val="18"/>
      <w:lang w:eastAsia="en-US"/>
    </w:rPr>
  </w:style>
  <w:style w:type="table" w:styleId="TableGrid">
    <w:name w:val="Table Grid"/>
    <w:basedOn w:val="TableNormal"/>
    <w:uiPriority w:val="59"/>
    <w:rsid w:val="00977D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0">
    <w:name w:val="Body Text"/>
    <w:basedOn w:val="Normal"/>
    <w:link w:val="BodyTextChar0"/>
    <w:uiPriority w:val="1"/>
    <w:qFormat/>
    <w:rsid w:val="0005593B"/>
    <w:pPr>
      <w:widowControl w:val="0"/>
      <w:ind w:left="360"/>
    </w:pPr>
    <w:rPr>
      <w:rFonts w:eastAsia="Calibri"/>
      <w:szCs w:val="22"/>
      <w:lang w:val="en-US"/>
    </w:rPr>
  </w:style>
  <w:style w:type="character" w:customStyle="1" w:styleId="BodyTextChar0">
    <w:name w:val="Body Text Char"/>
    <w:basedOn w:val="DefaultParagraphFont"/>
    <w:link w:val="BodyText0"/>
    <w:uiPriority w:val="1"/>
    <w:rsid w:val="0005593B"/>
    <w:rPr>
      <w:rFonts w:ascii="Calibri" w:eastAsia="Calibri" w:hAnsi="Calibri" w:cs="Times New Roman"/>
      <w:sz w:val="22"/>
      <w:szCs w:val="22"/>
      <w:lang w:val="en-US" w:eastAsia="en-US"/>
    </w:rPr>
  </w:style>
  <w:style w:type="paragraph" w:customStyle="1" w:styleId="TableParagraph">
    <w:name w:val="Table Paragraph"/>
    <w:basedOn w:val="Normal"/>
    <w:uiPriority w:val="1"/>
    <w:qFormat/>
    <w:rsid w:val="00F56F03"/>
    <w:pPr>
      <w:widowControl w:val="0"/>
    </w:pPr>
    <w:rPr>
      <w:rFonts w:eastAsia="Calibri"/>
      <w:szCs w:val="22"/>
      <w:lang w:val="en-US"/>
    </w:rPr>
  </w:style>
  <w:style w:type="paragraph" w:customStyle="1" w:styleId="Asubparabullet">
    <w:name w:val="A subpara bullet"/>
    <w:basedOn w:val="Normal"/>
    <w:uiPriority w:val="99"/>
    <w:rsid w:val="00F94713"/>
    <w:pPr>
      <w:numPr>
        <w:numId w:val="11"/>
      </w:numPr>
      <w:tabs>
        <w:tab w:val="left" w:pos="567"/>
      </w:tabs>
      <w:autoSpaceDE w:val="0"/>
      <w:autoSpaceDN w:val="0"/>
      <w:adjustRightInd w:val="0"/>
      <w:spacing w:after="120"/>
    </w:pPr>
    <w:rPr>
      <w:rFonts w:cs="Verdana"/>
      <w:color w:val="000000"/>
      <w:sz w:val="24"/>
      <w:lang w:eastAsia="en-AU"/>
    </w:rPr>
  </w:style>
  <w:style w:type="paragraph" w:customStyle="1" w:styleId="DotPoints">
    <w:name w:val="Dot Points"/>
    <w:basedOn w:val="Headinglevel4"/>
    <w:next w:val="StylePrelimminorheadingLeft0cmFirstline0cm5"/>
    <w:link w:val="DotPointsChar"/>
    <w:uiPriority w:val="99"/>
    <w:rsid w:val="00F94713"/>
    <w:pPr>
      <w:keepNext w:val="0"/>
      <w:widowControl/>
      <w:numPr>
        <w:ilvl w:val="0"/>
        <w:numId w:val="12"/>
      </w:numPr>
      <w:tabs>
        <w:tab w:val="clear" w:pos="567"/>
        <w:tab w:val="left" w:pos="1134"/>
      </w:tabs>
      <w:autoSpaceDE w:val="0"/>
      <w:autoSpaceDN w:val="0"/>
      <w:adjustRightInd w:val="0"/>
      <w:spacing w:before="0" w:after="120" w:line="240" w:lineRule="auto"/>
      <w:contextualSpacing/>
    </w:pPr>
    <w:rPr>
      <w:rFonts w:ascii="Calibri" w:hAnsi="Calibri" w:cs="Times New Roman"/>
      <w:smallCaps w:val="0"/>
      <w:color w:val="000000"/>
      <w:spacing w:val="0"/>
      <w:sz w:val="24"/>
    </w:rPr>
  </w:style>
  <w:style w:type="character" w:customStyle="1" w:styleId="DotPointsChar">
    <w:name w:val="Dot Points Char"/>
    <w:link w:val="DotPoints"/>
    <w:uiPriority w:val="99"/>
    <w:locked/>
    <w:rsid w:val="00F94713"/>
    <w:rPr>
      <w:rFonts w:ascii="Calibri" w:hAnsi="Calibri"/>
      <w:color w:val="000000"/>
      <w:sz w:val="24"/>
      <w:szCs w:val="24"/>
      <w:lang w:eastAsia="en-US"/>
    </w:rPr>
  </w:style>
  <w:style w:type="table" w:styleId="ColorfulList-Accent1">
    <w:name w:val="Colorful List Accent 1"/>
    <w:basedOn w:val="TableNormal"/>
    <w:uiPriority w:val="72"/>
    <w:rsid w:val="00F94713"/>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Emphasis">
    <w:name w:val="Emphasis"/>
    <w:basedOn w:val="DefaultParagraphFont"/>
    <w:uiPriority w:val="20"/>
    <w:qFormat/>
    <w:rsid w:val="002B4893"/>
    <w:rPr>
      <w:i/>
      <w:iCs/>
    </w:rPr>
  </w:style>
  <w:style w:type="paragraph" w:styleId="BalloonText">
    <w:name w:val="Balloon Text"/>
    <w:basedOn w:val="Normal"/>
    <w:link w:val="BalloonTextChar"/>
    <w:rsid w:val="00BC77F4"/>
    <w:rPr>
      <w:rFonts w:ascii="Tahoma" w:hAnsi="Tahoma" w:cs="Tahoma"/>
      <w:sz w:val="16"/>
      <w:szCs w:val="16"/>
    </w:rPr>
  </w:style>
  <w:style w:type="character" w:customStyle="1" w:styleId="BalloonTextChar">
    <w:name w:val="Balloon Text Char"/>
    <w:basedOn w:val="DefaultParagraphFont"/>
    <w:link w:val="BalloonText"/>
    <w:rsid w:val="00BC77F4"/>
    <w:rPr>
      <w:rFonts w:ascii="Tahoma" w:hAnsi="Tahoma" w:cs="Tahoma"/>
      <w:sz w:val="16"/>
      <w:szCs w:val="16"/>
      <w:lang w:eastAsia="en-US"/>
    </w:rPr>
  </w:style>
  <w:style w:type="paragraph" w:styleId="TOCHeading0">
    <w:name w:val="TOC Heading"/>
    <w:basedOn w:val="Heading1"/>
    <w:next w:val="Normal"/>
    <w:uiPriority w:val="39"/>
    <w:semiHidden/>
    <w:unhideWhenUsed/>
    <w:qFormat/>
    <w:rsid w:val="007338E2"/>
    <w:pPr>
      <w:pageBreakBefore w:val="0"/>
      <w:widowControl/>
      <w:numPr>
        <w:numId w:val="0"/>
      </w:numPr>
      <w:tabs>
        <w:tab w:val="clear" w:pos="567"/>
      </w:tabs>
      <w:spacing w:before="240" w:after="60" w:line="240" w:lineRule="auto"/>
      <w:outlineLvl w:val="9"/>
    </w:pPr>
    <w:rPr>
      <w:rFonts w:ascii="Cambria" w:hAnsi="Cambria" w:cs="Times New Roman"/>
      <w:b/>
      <w:smallCaps w:val="0"/>
      <w:spacing w:val="0"/>
      <w:sz w:val="32"/>
      <w:szCs w:val="32"/>
    </w:rPr>
  </w:style>
  <w:style w:type="paragraph" w:styleId="ListParagraph">
    <w:name w:val="List Paragraph"/>
    <w:basedOn w:val="Normal"/>
    <w:uiPriority w:val="34"/>
    <w:qFormat/>
    <w:rsid w:val="007338E2"/>
    <w:pPr>
      <w:spacing w:after="200" w:line="276" w:lineRule="auto"/>
      <w:ind w:left="720"/>
      <w:contextualSpacing/>
    </w:pPr>
    <w:rPr>
      <w:szCs w:val="22"/>
      <w:lang w:val="en-US" w:bidi="en-US"/>
    </w:rPr>
  </w:style>
  <w:style w:type="table" w:customStyle="1" w:styleId="TableGrid1">
    <w:name w:val="Table Grid1"/>
    <w:basedOn w:val="TableNormal"/>
    <w:next w:val="TableGrid"/>
    <w:uiPriority w:val="59"/>
    <w:rsid w:val="00B3343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semiHidden/>
    <w:rsid w:val="008A5A4F"/>
    <w:rPr>
      <w:rFonts w:ascii="Calibri" w:eastAsia="Times New Roman" w:hAnsi="Calibri" w:cs="Times New Roman"/>
      <w:b/>
      <w:bCs/>
      <w:i/>
      <w:iCs/>
      <w:sz w:val="26"/>
      <w:szCs w:val="26"/>
      <w:lang w:eastAsia="en-US"/>
    </w:rPr>
  </w:style>
</w:styles>
</file>

<file path=word/webSettings.xml><?xml version="1.0" encoding="utf-8"?>
<w:webSettings xmlns:r="http://schemas.openxmlformats.org/officeDocument/2006/relationships" xmlns:w="http://schemas.openxmlformats.org/wordprocessingml/2006/main">
  <w:divs>
    <w:div w:id="23135118">
      <w:bodyDiv w:val="1"/>
      <w:marLeft w:val="0"/>
      <w:marRight w:val="0"/>
      <w:marTop w:val="0"/>
      <w:marBottom w:val="0"/>
      <w:divBdr>
        <w:top w:val="none" w:sz="0" w:space="0" w:color="auto"/>
        <w:left w:val="none" w:sz="0" w:space="0" w:color="auto"/>
        <w:bottom w:val="none" w:sz="0" w:space="0" w:color="auto"/>
        <w:right w:val="none" w:sz="0" w:space="0" w:color="auto"/>
      </w:divBdr>
      <w:divsChild>
        <w:div w:id="807085522">
          <w:marLeft w:val="0"/>
          <w:marRight w:val="0"/>
          <w:marTop w:val="0"/>
          <w:marBottom w:val="0"/>
          <w:divBdr>
            <w:top w:val="none" w:sz="0" w:space="0" w:color="auto"/>
            <w:left w:val="none" w:sz="0" w:space="0" w:color="auto"/>
            <w:bottom w:val="none" w:sz="0" w:space="0" w:color="auto"/>
            <w:right w:val="none" w:sz="0" w:space="0" w:color="auto"/>
          </w:divBdr>
          <w:divsChild>
            <w:div w:id="387144488">
              <w:marLeft w:val="0"/>
              <w:marRight w:val="0"/>
              <w:marTop w:val="0"/>
              <w:marBottom w:val="0"/>
              <w:divBdr>
                <w:top w:val="none" w:sz="0" w:space="0" w:color="auto"/>
                <w:left w:val="none" w:sz="0" w:space="0" w:color="auto"/>
                <w:bottom w:val="none" w:sz="0" w:space="0" w:color="auto"/>
                <w:right w:val="none" w:sz="0" w:space="0" w:color="auto"/>
              </w:divBdr>
              <w:divsChild>
                <w:div w:id="2060587423">
                  <w:marLeft w:val="0"/>
                  <w:marRight w:val="0"/>
                  <w:marTop w:val="0"/>
                  <w:marBottom w:val="0"/>
                  <w:divBdr>
                    <w:top w:val="none" w:sz="0" w:space="0" w:color="auto"/>
                    <w:left w:val="none" w:sz="0" w:space="0" w:color="auto"/>
                    <w:bottom w:val="none" w:sz="0" w:space="0" w:color="auto"/>
                    <w:right w:val="none" w:sz="0" w:space="0" w:color="auto"/>
                  </w:divBdr>
                  <w:divsChild>
                    <w:div w:id="23874762">
                      <w:marLeft w:val="0"/>
                      <w:marRight w:val="0"/>
                      <w:marTop w:val="0"/>
                      <w:marBottom w:val="0"/>
                      <w:divBdr>
                        <w:top w:val="none" w:sz="0" w:space="0" w:color="auto"/>
                        <w:left w:val="none" w:sz="0" w:space="0" w:color="auto"/>
                        <w:bottom w:val="none" w:sz="0" w:space="0" w:color="auto"/>
                        <w:right w:val="none" w:sz="0" w:space="0" w:color="auto"/>
                      </w:divBdr>
                      <w:divsChild>
                        <w:div w:id="749083063">
                          <w:marLeft w:val="0"/>
                          <w:marRight w:val="0"/>
                          <w:marTop w:val="0"/>
                          <w:marBottom w:val="0"/>
                          <w:divBdr>
                            <w:top w:val="none" w:sz="0" w:space="0" w:color="auto"/>
                            <w:left w:val="none" w:sz="0" w:space="0" w:color="auto"/>
                            <w:bottom w:val="none" w:sz="0" w:space="0" w:color="auto"/>
                            <w:right w:val="none" w:sz="0" w:space="0" w:color="auto"/>
                          </w:divBdr>
                          <w:divsChild>
                            <w:div w:id="225606322">
                              <w:marLeft w:val="0"/>
                              <w:marRight w:val="0"/>
                              <w:marTop w:val="0"/>
                              <w:marBottom w:val="0"/>
                              <w:divBdr>
                                <w:top w:val="none" w:sz="0" w:space="0" w:color="auto"/>
                                <w:left w:val="none" w:sz="0" w:space="0" w:color="auto"/>
                                <w:bottom w:val="none" w:sz="0" w:space="0" w:color="auto"/>
                                <w:right w:val="none" w:sz="0" w:space="0" w:color="auto"/>
                              </w:divBdr>
                              <w:divsChild>
                                <w:div w:id="17480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53271">
      <w:bodyDiv w:val="1"/>
      <w:marLeft w:val="0"/>
      <w:marRight w:val="0"/>
      <w:marTop w:val="0"/>
      <w:marBottom w:val="0"/>
      <w:divBdr>
        <w:top w:val="none" w:sz="0" w:space="0" w:color="auto"/>
        <w:left w:val="none" w:sz="0" w:space="0" w:color="auto"/>
        <w:bottom w:val="none" w:sz="0" w:space="0" w:color="auto"/>
        <w:right w:val="none" w:sz="0" w:space="0" w:color="auto"/>
      </w:divBdr>
      <w:divsChild>
        <w:div w:id="174534596">
          <w:marLeft w:val="0"/>
          <w:marRight w:val="0"/>
          <w:marTop w:val="0"/>
          <w:marBottom w:val="0"/>
          <w:divBdr>
            <w:top w:val="none" w:sz="0" w:space="0" w:color="auto"/>
            <w:left w:val="single" w:sz="6" w:space="0" w:color="FFFFFF"/>
            <w:bottom w:val="none" w:sz="0" w:space="0" w:color="auto"/>
            <w:right w:val="single" w:sz="6" w:space="0" w:color="FFFFFF"/>
          </w:divBdr>
          <w:divsChild>
            <w:div w:id="2096707034">
              <w:marLeft w:val="0"/>
              <w:marRight w:val="0"/>
              <w:marTop w:val="0"/>
              <w:marBottom w:val="0"/>
              <w:divBdr>
                <w:top w:val="none" w:sz="0" w:space="0" w:color="auto"/>
                <w:left w:val="none" w:sz="0" w:space="0" w:color="auto"/>
                <w:bottom w:val="none" w:sz="0" w:space="0" w:color="auto"/>
                <w:right w:val="none" w:sz="0" w:space="0" w:color="auto"/>
              </w:divBdr>
              <w:divsChild>
                <w:div w:id="1868791460">
                  <w:marLeft w:val="0"/>
                  <w:marRight w:val="0"/>
                  <w:marTop w:val="0"/>
                  <w:marBottom w:val="0"/>
                  <w:divBdr>
                    <w:top w:val="none" w:sz="0" w:space="0" w:color="auto"/>
                    <w:left w:val="none" w:sz="0" w:space="0" w:color="auto"/>
                    <w:bottom w:val="none" w:sz="0" w:space="0" w:color="auto"/>
                    <w:right w:val="none" w:sz="0" w:space="0" w:color="auto"/>
                  </w:divBdr>
                  <w:divsChild>
                    <w:div w:id="18808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54276">
      <w:bodyDiv w:val="1"/>
      <w:marLeft w:val="0"/>
      <w:marRight w:val="0"/>
      <w:marTop w:val="0"/>
      <w:marBottom w:val="0"/>
      <w:divBdr>
        <w:top w:val="none" w:sz="0" w:space="0" w:color="auto"/>
        <w:left w:val="none" w:sz="0" w:space="0" w:color="auto"/>
        <w:bottom w:val="none" w:sz="0" w:space="0" w:color="auto"/>
        <w:right w:val="none" w:sz="0" w:space="0" w:color="auto"/>
      </w:divBdr>
      <w:divsChild>
        <w:div w:id="337389097">
          <w:marLeft w:val="0"/>
          <w:marRight w:val="0"/>
          <w:marTop w:val="0"/>
          <w:marBottom w:val="0"/>
          <w:divBdr>
            <w:top w:val="none" w:sz="0" w:space="0" w:color="auto"/>
            <w:left w:val="none" w:sz="0" w:space="0" w:color="auto"/>
            <w:bottom w:val="none" w:sz="0" w:space="0" w:color="auto"/>
            <w:right w:val="none" w:sz="0" w:space="0" w:color="auto"/>
          </w:divBdr>
          <w:divsChild>
            <w:div w:id="1636836088">
              <w:marLeft w:val="0"/>
              <w:marRight w:val="0"/>
              <w:marTop w:val="0"/>
              <w:marBottom w:val="0"/>
              <w:divBdr>
                <w:top w:val="none" w:sz="0" w:space="0" w:color="auto"/>
                <w:left w:val="none" w:sz="0" w:space="0" w:color="auto"/>
                <w:bottom w:val="none" w:sz="0" w:space="0" w:color="auto"/>
                <w:right w:val="none" w:sz="0" w:space="0" w:color="auto"/>
              </w:divBdr>
              <w:divsChild>
                <w:div w:id="161556859">
                  <w:marLeft w:val="0"/>
                  <w:marRight w:val="0"/>
                  <w:marTop w:val="0"/>
                  <w:marBottom w:val="150"/>
                  <w:divBdr>
                    <w:top w:val="single" w:sz="6" w:space="5" w:color="143351"/>
                    <w:left w:val="single" w:sz="6" w:space="11" w:color="143351"/>
                    <w:bottom w:val="single" w:sz="6" w:space="5" w:color="143351"/>
                    <w:right w:val="single" w:sz="6" w:space="11" w:color="143351"/>
                  </w:divBdr>
                </w:div>
              </w:divsChild>
            </w:div>
          </w:divsChild>
        </w:div>
      </w:divsChild>
    </w:div>
    <w:div w:id="563217193">
      <w:bodyDiv w:val="1"/>
      <w:marLeft w:val="0"/>
      <w:marRight w:val="0"/>
      <w:marTop w:val="0"/>
      <w:marBottom w:val="0"/>
      <w:divBdr>
        <w:top w:val="none" w:sz="0" w:space="0" w:color="auto"/>
        <w:left w:val="none" w:sz="0" w:space="0" w:color="auto"/>
        <w:bottom w:val="none" w:sz="0" w:space="0" w:color="auto"/>
        <w:right w:val="none" w:sz="0" w:space="0" w:color="auto"/>
      </w:divBdr>
      <w:divsChild>
        <w:div w:id="633219986">
          <w:marLeft w:val="0"/>
          <w:marRight w:val="0"/>
          <w:marTop w:val="0"/>
          <w:marBottom w:val="0"/>
          <w:divBdr>
            <w:top w:val="none" w:sz="0" w:space="0" w:color="auto"/>
            <w:left w:val="none" w:sz="0" w:space="0" w:color="auto"/>
            <w:bottom w:val="none" w:sz="0" w:space="0" w:color="auto"/>
            <w:right w:val="none" w:sz="0" w:space="0" w:color="auto"/>
          </w:divBdr>
          <w:divsChild>
            <w:div w:id="2123188190">
              <w:marLeft w:val="0"/>
              <w:marRight w:val="0"/>
              <w:marTop w:val="0"/>
              <w:marBottom w:val="0"/>
              <w:divBdr>
                <w:top w:val="none" w:sz="0" w:space="0" w:color="auto"/>
                <w:left w:val="none" w:sz="0" w:space="0" w:color="auto"/>
                <w:bottom w:val="none" w:sz="0" w:space="0" w:color="auto"/>
                <w:right w:val="none" w:sz="0" w:space="0" w:color="auto"/>
              </w:divBdr>
              <w:divsChild>
                <w:div w:id="336426182">
                  <w:marLeft w:val="0"/>
                  <w:marRight w:val="0"/>
                  <w:marTop w:val="0"/>
                  <w:marBottom w:val="0"/>
                  <w:divBdr>
                    <w:top w:val="none" w:sz="0" w:space="0" w:color="auto"/>
                    <w:left w:val="none" w:sz="0" w:space="0" w:color="auto"/>
                    <w:bottom w:val="none" w:sz="0" w:space="0" w:color="auto"/>
                    <w:right w:val="none" w:sz="0" w:space="0" w:color="auto"/>
                  </w:divBdr>
                  <w:divsChild>
                    <w:div w:id="190538196">
                      <w:marLeft w:val="0"/>
                      <w:marRight w:val="0"/>
                      <w:marTop w:val="0"/>
                      <w:marBottom w:val="0"/>
                      <w:divBdr>
                        <w:top w:val="none" w:sz="0" w:space="0" w:color="auto"/>
                        <w:left w:val="none" w:sz="0" w:space="0" w:color="auto"/>
                        <w:bottom w:val="none" w:sz="0" w:space="0" w:color="auto"/>
                        <w:right w:val="none" w:sz="0" w:space="0" w:color="auto"/>
                      </w:divBdr>
                      <w:divsChild>
                        <w:div w:id="569120913">
                          <w:marLeft w:val="0"/>
                          <w:marRight w:val="0"/>
                          <w:marTop w:val="0"/>
                          <w:marBottom w:val="0"/>
                          <w:divBdr>
                            <w:top w:val="none" w:sz="0" w:space="0" w:color="auto"/>
                            <w:left w:val="none" w:sz="0" w:space="0" w:color="auto"/>
                            <w:bottom w:val="none" w:sz="0" w:space="0" w:color="auto"/>
                            <w:right w:val="none" w:sz="0" w:space="0" w:color="auto"/>
                          </w:divBdr>
                          <w:divsChild>
                            <w:div w:id="838888710">
                              <w:marLeft w:val="0"/>
                              <w:marRight w:val="0"/>
                              <w:marTop w:val="0"/>
                              <w:marBottom w:val="0"/>
                              <w:divBdr>
                                <w:top w:val="none" w:sz="0" w:space="0" w:color="auto"/>
                                <w:left w:val="none" w:sz="0" w:space="0" w:color="auto"/>
                                <w:bottom w:val="none" w:sz="0" w:space="0" w:color="auto"/>
                                <w:right w:val="none" w:sz="0" w:space="0" w:color="auto"/>
                              </w:divBdr>
                              <w:divsChild>
                                <w:div w:id="674573680">
                                  <w:marLeft w:val="0"/>
                                  <w:marRight w:val="0"/>
                                  <w:marTop w:val="0"/>
                                  <w:marBottom w:val="0"/>
                                  <w:divBdr>
                                    <w:top w:val="none" w:sz="0" w:space="0" w:color="auto"/>
                                    <w:left w:val="none" w:sz="0" w:space="0" w:color="auto"/>
                                    <w:bottom w:val="none" w:sz="0" w:space="0" w:color="auto"/>
                                    <w:right w:val="none" w:sz="0" w:space="0" w:color="auto"/>
                                  </w:divBdr>
                                  <w:divsChild>
                                    <w:div w:id="741636095">
                                      <w:marLeft w:val="0"/>
                                      <w:marRight w:val="0"/>
                                      <w:marTop w:val="0"/>
                                      <w:marBottom w:val="0"/>
                                      <w:divBdr>
                                        <w:top w:val="none" w:sz="0" w:space="0" w:color="auto"/>
                                        <w:left w:val="none" w:sz="0" w:space="0" w:color="auto"/>
                                        <w:bottom w:val="none" w:sz="0" w:space="0" w:color="auto"/>
                                        <w:right w:val="none" w:sz="0" w:space="0" w:color="auto"/>
                                      </w:divBdr>
                                      <w:divsChild>
                                        <w:div w:id="290553766">
                                          <w:marLeft w:val="0"/>
                                          <w:marRight w:val="-12021"/>
                                          <w:marTop w:val="0"/>
                                          <w:marBottom w:val="0"/>
                                          <w:divBdr>
                                            <w:top w:val="none" w:sz="0" w:space="0" w:color="auto"/>
                                            <w:left w:val="none" w:sz="0" w:space="0" w:color="auto"/>
                                            <w:bottom w:val="none" w:sz="0" w:space="0" w:color="auto"/>
                                            <w:right w:val="none" w:sz="0" w:space="0" w:color="auto"/>
                                          </w:divBdr>
                                          <w:divsChild>
                                            <w:div w:id="835533288">
                                              <w:marLeft w:val="0"/>
                                              <w:marRight w:val="0"/>
                                              <w:marTop w:val="0"/>
                                              <w:marBottom w:val="0"/>
                                              <w:divBdr>
                                                <w:top w:val="none" w:sz="0" w:space="0" w:color="auto"/>
                                                <w:left w:val="none" w:sz="0" w:space="0" w:color="auto"/>
                                                <w:bottom w:val="none" w:sz="0" w:space="0" w:color="auto"/>
                                                <w:right w:val="none" w:sz="0" w:space="0" w:color="auto"/>
                                              </w:divBdr>
                                              <w:divsChild>
                                                <w:div w:id="424083751">
                                                  <w:marLeft w:val="0"/>
                                                  <w:marRight w:val="0"/>
                                                  <w:marTop w:val="0"/>
                                                  <w:marBottom w:val="0"/>
                                                  <w:divBdr>
                                                    <w:top w:val="none" w:sz="0" w:space="0" w:color="auto"/>
                                                    <w:left w:val="none" w:sz="0" w:space="0" w:color="auto"/>
                                                    <w:bottom w:val="none" w:sz="0" w:space="0" w:color="auto"/>
                                                    <w:right w:val="none" w:sz="0" w:space="0" w:color="auto"/>
                                                  </w:divBdr>
                                                  <w:divsChild>
                                                    <w:div w:id="1274900025">
                                                      <w:marLeft w:val="0"/>
                                                      <w:marRight w:val="0"/>
                                                      <w:marTop w:val="0"/>
                                                      <w:marBottom w:val="360"/>
                                                      <w:divBdr>
                                                        <w:top w:val="none" w:sz="0" w:space="0" w:color="auto"/>
                                                        <w:left w:val="none" w:sz="0" w:space="0" w:color="auto"/>
                                                        <w:bottom w:val="none" w:sz="0" w:space="0" w:color="auto"/>
                                                        <w:right w:val="none" w:sz="0" w:space="0" w:color="auto"/>
                                                      </w:divBdr>
                                                      <w:divsChild>
                                                        <w:div w:id="848445690">
                                                          <w:marLeft w:val="0"/>
                                                          <w:marRight w:val="0"/>
                                                          <w:marTop w:val="0"/>
                                                          <w:marBottom w:val="0"/>
                                                          <w:divBdr>
                                                            <w:top w:val="none" w:sz="0" w:space="0" w:color="auto"/>
                                                            <w:left w:val="none" w:sz="0" w:space="0" w:color="auto"/>
                                                            <w:bottom w:val="none" w:sz="0" w:space="0" w:color="auto"/>
                                                            <w:right w:val="none" w:sz="0" w:space="0" w:color="auto"/>
                                                          </w:divBdr>
                                                          <w:divsChild>
                                                            <w:div w:id="1424569559">
                                                              <w:marLeft w:val="0"/>
                                                              <w:marRight w:val="0"/>
                                                              <w:marTop w:val="0"/>
                                                              <w:marBottom w:val="0"/>
                                                              <w:divBdr>
                                                                <w:top w:val="none" w:sz="0" w:space="0" w:color="auto"/>
                                                                <w:left w:val="none" w:sz="0" w:space="0" w:color="auto"/>
                                                                <w:bottom w:val="none" w:sz="0" w:space="0" w:color="auto"/>
                                                                <w:right w:val="none" w:sz="0" w:space="0" w:color="auto"/>
                                                              </w:divBdr>
                                                              <w:divsChild>
                                                                <w:div w:id="1096942518">
                                                                  <w:marLeft w:val="0"/>
                                                                  <w:marRight w:val="0"/>
                                                                  <w:marTop w:val="0"/>
                                                                  <w:marBottom w:val="0"/>
                                                                  <w:divBdr>
                                                                    <w:top w:val="none" w:sz="0" w:space="0" w:color="auto"/>
                                                                    <w:left w:val="none" w:sz="0" w:space="0" w:color="auto"/>
                                                                    <w:bottom w:val="none" w:sz="0" w:space="0" w:color="auto"/>
                                                                    <w:right w:val="none" w:sz="0" w:space="0" w:color="auto"/>
                                                                  </w:divBdr>
                                                                  <w:divsChild>
                                                                    <w:div w:id="586771275">
                                                                      <w:marLeft w:val="0"/>
                                                                      <w:marRight w:val="0"/>
                                                                      <w:marTop w:val="0"/>
                                                                      <w:marBottom w:val="150"/>
                                                                      <w:divBdr>
                                                                        <w:top w:val="none" w:sz="0" w:space="0" w:color="auto"/>
                                                                        <w:left w:val="none" w:sz="0" w:space="0" w:color="auto"/>
                                                                        <w:bottom w:val="none" w:sz="0" w:space="0" w:color="auto"/>
                                                                        <w:right w:val="none" w:sz="0" w:space="0" w:color="auto"/>
                                                                      </w:divBdr>
                                                                      <w:divsChild>
                                                                        <w:div w:id="2136874591">
                                                                          <w:marLeft w:val="0"/>
                                                                          <w:marRight w:val="0"/>
                                                                          <w:marTop w:val="0"/>
                                                                          <w:marBottom w:val="0"/>
                                                                          <w:divBdr>
                                                                            <w:top w:val="none" w:sz="0" w:space="0" w:color="auto"/>
                                                                            <w:left w:val="none" w:sz="0" w:space="0" w:color="auto"/>
                                                                            <w:bottom w:val="none" w:sz="0" w:space="0" w:color="auto"/>
                                                                            <w:right w:val="none" w:sz="0" w:space="0" w:color="auto"/>
                                                                          </w:divBdr>
                                                                          <w:divsChild>
                                                                            <w:div w:id="178600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279086">
      <w:bodyDiv w:val="1"/>
      <w:marLeft w:val="0"/>
      <w:marRight w:val="0"/>
      <w:marTop w:val="0"/>
      <w:marBottom w:val="0"/>
      <w:divBdr>
        <w:top w:val="none" w:sz="0" w:space="0" w:color="auto"/>
        <w:left w:val="none" w:sz="0" w:space="0" w:color="auto"/>
        <w:bottom w:val="none" w:sz="0" w:space="0" w:color="auto"/>
        <w:right w:val="none" w:sz="0" w:space="0" w:color="auto"/>
      </w:divBdr>
      <w:divsChild>
        <w:div w:id="21397264">
          <w:marLeft w:val="0"/>
          <w:marRight w:val="0"/>
          <w:marTop w:val="0"/>
          <w:marBottom w:val="0"/>
          <w:divBdr>
            <w:top w:val="none" w:sz="0" w:space="0" w:color="auto"/>
            <w:left w:val="none" w:sz="0" w:space="0" w:color="auto"/>
            <w:bottom w:val="none" w:sz="0" w:space="0" w:color="auto"/>
            <w:right w:val="none" w:sz="0" w:space="0" w:color="auto"/>
          </w:divBdr>
          <w:divsChild>
            <w:div w:id="942766806">
              <w:marLeft w:val="0"/>
              <w:marRight w:val="0"/>
              <w:marTop w:val="0"/>
              <w:marBottom w:val="0"/>
              <w:divBdr>
                <w:top w:val="none" w:sz="0" w:space="0" w:color="auto"/>
                <w:left w:val="none" w:sz="0" w:space="0" w:color="auto"/>
                <w:bottom w:val="none" w:sz="0" w:space="0" w:color="auto"/>
                <w:right w:val="none" w:sz="0" w:space="0" w:color="auto"/>
              </w:divBdr>
              <w:divsChild>
                <w:div w:id="1642537114">
                  <w:marLeft w:val="0"/>
                  <w:marRight w:val="0"/>
                  <w:marTop w:val="0"/>
                  <w:marBottom w:val="0"/>
                  <w:divBdr>
                    <w:top w:val="none" w:sz="0" w:space="0" w:color="auto"/>
                    <w:left w:val="none" w:sz="0" w:space="0" w:color="auto"/>
                    <w:bottom w:val="none" w:sz="0" w:space="0" w:color="auto"/>
                    <w:right w:val="none" w:sz="0" w:space="0" w:color="auto"/>
                  </w:divBdr>
                  <w:divsChild>
                    <w:div w:id="2062358702">
                      <w:marLeft w:val="0"/>
                      <w:marRight w:val="0"/>
                      <w:marTop w:val="0"/>
                      <w:marBottom w:val="0"/>
                      <w:divBdr>
                        <w:top w:val="none" w:sz="0" w:space="0" w:color="auto"/>
                        <w:left w:val="none" w:sz="0" w:space="0" w:color="auto"/>
                        <w:bottom w:val="none" w:sz="0" w:space="0" w:color="auto"/>
                        <w:right w:val="none" w:sz="0" w:space="0" w:color="auto"/>
                      </w:divBdr>
                      <w:divsChild>
                        <w:div w:id="18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913508">
      <w:bodyDiv w:val="1"/>
      <w:marLeft w:val="0"/>
      <w:marRight w:val="0"/>
      <w:marTop w:val="0"/>
      <w:marBottom w:val="0"/>
      <w:divBdr>
        <w:top w:val="none" w:sz="0" w:space="0" w:color="auto"/>
        <w:left w:val="none" w:sz="0" w:space="0" w:color="auto"/>
        <w:bottom w:val="none" w:sz="0" w:space="0" w:color="auto"/>
        <w:right w:val="none" w:sz="0" w:space="0" w:color="auto"/>
      </w:divBdr>
      <w:divsChild>
        <w:div w:id="829368097">
          <w:marLeft w:val="0"/>
          <w:marRight w:val="0"/>
          <w:marTop w:val="0"/>
          <w:marBottom w:val="0"/>
          <w:divBdr>
            <w:top w:val="none" w:sz="0" w:space="0" w:color="auto"/>
            <w:left w:val="none" w:sz="0" w:space="0" w:color="auto"/>
            <w:bottom w:val="none" w:sz="0" w:space="0" w:color="auto"/>
            <w:right w:val="none" w:sz="0" w:space="0" w:color="auto"/>
          </w:divBdr>
          <w:divsChild>
            <w:div w:id="1203975857">
              <w:marLeft w:val="0"/>
              <w:marRight w:val="0"/>
              <w:marTop w:val="0"/>
              <w:marBottom w:val="0"/>
              <w:divBdr>
                <w:top w:val="none" w:sz="0" w:space="0" w:color="auto"/>
                <w:left w:val="none" w:sz="0" w:space="0" w:color="auto"/>
                <w:bottom w:val="none" w:sz="0" w:space="0" w:color="auto"/>
                <w:right w:val="none" w:sz="0" w:space="0" w:color="auto"/>
              </w:divBdr>
              <w:divsChild>
                <w:div w:id="1182865295">
                  <w:marLeft w:val="0"/>
                  <w:marRight w:val="0"/>
                  <w:marTop w:val="0"/>
                  <w:marBottom w:val="0"/>
                  <w:divBdr>
                    <w:top w:val="none" w:sz="0" w:space="0" w:color="auto"/>
                    <w:left w:val="none" w:sz="0" w:space="0" w:color="auto"/>
                    <w:bottom w:val="none" w:sz="0" w:space="0" w:color="auto"/>
                    <w:right w:val="none" w:sz="0" w:space="0" w:color="auto"/>
                  </w:divBdr>
                  <w:divsChild>
                    <w:div w:id="273950985">
                      <w:marLeft w:val="0"/>
                      <w:marRight w:val="0"/>
                      <w:marTop w:val="0"/>
                      <w:marBottom w:val="0"/>
                      <w:divBdr>
                        <w:top w:val="none" w:sz="0" w:space="0" w:color="auto"/>
                        <w:left w:val="none" w:sz="0" w:space="0" w:color="auto"/>
                        <w:bottom w:val="none" w:sz="0" w:space="0" w:color="auto"/>
                        <w:right w:val="none" w:sz="0" w:space="0" w:color="auto"/>
                      </w:divBdr>
                      <w:divsChild>
                        <w:div w:id="1167788870">
                          <w:marLeft w:val="0"/>
                          <w:marRight w:val="0"/>
                          <w:marTop w:val="0"/>
                          <w:marBottom w:val="0"/>
                          <w:divBdr>
                            <w:top w:val="none" w:sz="0" w:space="0" w:color="auto"/>
                            <w:left w:val="none" w:sz="0" w:space="0" w:color="auto"/>
                            <w:bottom w:val="none" w:sz="0" w:space="0" w:color="auto"/>
                            <w:right w:val="none" w:sz="0" w:space="0" w:color="auto"/>
                          </w:divBdr>
                          <w:divsChild>
                            <w:div w:id="1252156041">
                              <w:marLeft w:val="0"/>
                              <w:marRight w:val="0"/>
                              <w:marTop w:val="0"/>
                              <w:marBottom w:val="0"/>
                              <w:divBdr>
                                <w:top w:val="none" w:sz="0" w:space="0" w:color="auto"/>
                                <w:left w:val="none" w:sz="0" w:space="0" w:color="auto"/>
                                <w:bottom w:val="none" w:sz="0" w:space="0" w:color="auto"/>
                                <w:right w:val="none" w:sz="0" w:space="0" w:color="auto"/>
                              </w:divBdr>
                              <w:divsChild>
                                <w:div w:id="1418594540">
                                  <w:marLeft w:val="0"/>
                                  <w:marRight w:val="0"/>
                                  <w:marTop w:val="0"/>
                                  <w:marBottom w:val="0"/>
                                  <w:divBdr>
                                    <w:top w:val="none" w:sz="0" w:space="0" w:color="auto"/>
                                    <w:left w:val="none" w:sz="0" w:space="0" w:color="auto"/>
                                    <w:bottom w:val="none" w:sz="0" w:space="0" w:color="auto"/>
                                    <w:right w:val="none" w:sz="0" w:space="0" w:color="auto"/>
                                  </w:divBdr>
                                  <w:divsChild>
                                    <w:div w:id="442968349">
                                      <w:marLeft w:val="0"/>
                                      <w:marRight w:val="0"/>
                                      <w:marTop w:val="0"/>
                                      <w:marBottom w:val="0"/>
                                      <w:divBdr>
                                        <w:top w:val="none" w:sz="0" w:space="0" w:color="auto"/>
                                        <w:left w:val="none" w:sz="0" w:space="0" w:color="auto"/>
                                        <w:bottom w:val="none" w:sz="0" w:space="0" w:color="auto"/>
                                        <w:right w:val="none" w:sz="0" w:space="0" w:color="auto"/>
                                      </w:divBdr>
                                      <w:divsChild>
                                        <w:div w:id="1501459782">
                                          <w:marLeft w:val="0"/>
                                          <w:marRight w:val="0"/>
                                          <w:marTop w:val="0"/>
                                          <w:marBottom w:val="0"/>
                                          <w:divBdr>
                                            <w:top w:val="none" w:sz="0" w:space="0" w:color="auto"/>
                                            <w:left w:val="none" w:sz="0" w:space="0" w:color="auto"/>
                                            <w:bottom w:val="none" w:sz="0" w:space="0" w:color="auto"/>
                                            <w:right w:val="none" w:sz="0" w:space="0" w:color="auto"/>
                                          </w:divBdr>
                                          <w:divsChild>
                                            <w:div w:id="745763026">
                                              <w:marLeft w:val="0"/>
                                              <w:marRight w:val="0"/>
                                              <w:marTop w:val="0"/>
                                              <w:marBottom w:val="0"/>
                                              <w:divBdr>
                                                <w:top w:val="none" w:sz="0" w:space="0" w:color="auto"/>
                                                <w:left w:val="none" w:sz="0" w:space="0" w:color="auto"/>
                                                <w:bottom w:val="none" w:sz="0" w:space="0" w:color="auto"/>
                                                <w:right w:val="none" w:sz="0" w:space="0" w:color="auto"/>
                                              </w:divBdr>
                                              <w:divsChild>
                                                <w:div w:id="54083479">
                                                  <w:marLeft w:val="0"/>
                                                  <w:marRight w:val="0"/>
                                                  <w:marTop w:val="0"/>
                                                  <w:marBottom w:val="0"/>
                                                  <w:divBdr>
                                                    <w:top w:val="none" w:sz="0" w:space="0" w:color="auto"/>
                                                    <w:left w:val="none" w:sz="0" w:space="0" w:color="auto"/>
                                                    <w:bottom w:val="none" w:sz="0" w:space="0" w:color="auto"/>
                                                    <w:right w:val="none" w:sz="0" w:space="0" w:color="auto"/>
                                                  </w:divBdr>
                                                  <w:divsChild>
                                                    <w:div w:id="6391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7965565">
      <w:bodyDiv w:val="1"/>
      <w:marLeft w:val="0"/>
      <w:marRight w:val="0"/>
      <w:marTop w:val="0"/>
      <w:marBottom w:val="0"/>
      <w:divBdr>
        <w:top w:val="none" w:sz="0" w:space="0" w:color="auto"/>
        <w:left w:val="none" w:sz="0" w:space="0" w:color="auto"/>
        <w:bottom w:val="none" w:sz="0" w:space="0" w:color="auto"/>
        <w:right w:val="none" w:sz="0" w:space="0" w:color="auto"/>
      </w:divBdr>
      <w:divsChild>
        <w:div w:id="1126966429">
          <w:marLeft w:val="0"/>
          <w:marRight w:val="0"/>
          <w:marTop w:val="0"/>
          <w:marBottom w:val="0"/>
          <w:divBdr>
            <w:top w:val="none" w:sz="0" w:space="0" w:color="auto"/>
            <w:left w:val="none" w:sz="0" w:space="0" w:color="auto"/>
            <w:bottom w:val="none" w:sz="0" w:space="0" w:color="auto"/>
            <w:right w:val="none" w:sz="0" w:space="0" w:color="auto"/>
          </w:divBdr>
        </w:div>
      </w:divsChild>
    </w:div>
    <w:div w:id="761879242">
      <w:bodyDiv w:val="1"/>
      <w:marLeft w:val="0"/>
      <w:marRight w:val="0"/>
      <w:marTop w:val="0"/>
      <w:marBottom w:val="0"/>
      <w:divBdr>
        <w:top w:val="none" w:sz="0" w:space="0" w:color="auto"/>
        <w:left w:val="none" w:sz="0" w:space="0" w:color="auto"/>
        <w:bottom w:val="none" w:sz="0" w:space="0" w:color="auto"/>
        <w:right w:val="none" w:sz="0" w:space="0" w:color="auto"/>
      </w:divBdr>
    </w:div>
    <w:div w:id="792360594">
      <w:bodyDiv w:val="1"/>
      <w:marLeft w:val="0"/>
      <w:marRight w:val="0"/>
      <w:marTop w:val="0"/>
      <w:marBottom w:val="0"/>
      <w:divBdr>
        <w:top w:val="none" w:sz="0" w:space="0" w:color="auto"/>
        <w:left w:val="none" w:sz="0" w:space="0" w:color="auto"/>
        <w:bottom w:val="none" w:sz="0" w:space="0" w:color="auto"/>
        <w:right w:val="none" w:sz="0" w:space="0" w:color="auto"/>
      </w:divBdr>
      <w:divsChild>
        <w:div w:id="940604059">
          <w:marLeft w:val="0"/>
          <w:marRight w:val="0"/>
          <w:marTop w:val="0"/>
          <w:marBottom w:val="0"/>
          <w:divBdr>
            <w:top w:val="none" w:sz="0" w:space="0" w:color="auto"/>
            <w:left w:val="single" w:sz="6" w:space="0" w:color="FFFFFF"/>
            <w:bottom w:val="none" w:sz="0" w:space="0" w:color="auto"/>
            <w:right w:val="single" w:sz="6" w:space="0" w:color="FFFFFF"/>
          </w:divBdr>
          <w:divsChild>
            <w:div w:id="835070260">
              <w:marLeft w:val="0"/>
              <w:marRight w:val="0"/>
              <w:marTop w:val="0"/>
              <w:marBottom w:val="0"/>
              <w:divBdr>
                <w:top w:val="none" w:sz="0" w:space="0" w:color="auto"/>
                <w:left w:val="none" w:sz="0" w:space="0" w:color="auto"/>
                <w:bottom w:val="none" w:sz="0" w:space="0" w:color="auto"/>
                <w:right w:val="none" w:sz="0" w:space="0" w:color="auto"/>
              </w:divBdr>
              <w:divsChild>
                <w:div w:id="81726900">
                  <w:marLeft w:val="0"/>
                  <w:marRight w:val="0"/>
                  <w:marTop w:val="0"/>
                  <w:marBottom w:val="0"/>
                  <w:divBdr>
                    <w:top w:val="none" w:sz="0" w:space="0" w:color="auto"/>
                    <w:left w:val="none" w:sz="0" w:space="0" w:color="auto"/>
                    <w:bottom w:val="none" w:sz="0" w:space="0" w:color="auto"/>
                    <w:right w:val="none" w:sz="0" w:space="0" w:color="auto"/>
                  </w:divBdr>
                  <w:divsChild>
                    <w:div w:id="115344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537616">
      <w:bodyDiv w:val="1"/>
      <w:marLeft w:val="0"/>
      <w:marRight w:val="0"/>
      <w:marTop w:val="0"/>
      <w:marBottom w:val="0"/>
      <w:divBdr>
        <w:top w:val="none" w:sz="0" w:space="0" w:color="auto"/>
        <w:left w:val="none" w:sz="0" w:space="0" w:color="auto"/>
        <w:bottom w:val="none" w:sz="0" w:space="0" w:color="auto"/>
        <w:right w:val="none" w:sz="0" w:space="0" w:color="auto"/>
      </w:divBdr>
      <w:divsChild>
        <w:div w:id="96339349">
          <w:marLeft w:val="0"/>
          <w:marRight w:val="0"/>
          <w:marTop w:val="0"/>
          <w:marBottom w:val="0"/>
          <w:divBdr>
            <w:top w:val="none" w:sz="0" w:space="0" w:color="auto"/>
            <w:left w:val="none" w:sz="0" w:space="0" w:color="auto"/>
            <w:bottom w:val="none" w:sz="0" w:space="0" w:color="auto"/>
            <w:right w:val="none" w:sz="0" w:space="0" w:color="auto"/>
          </w:divBdr>
        </w:div>
      </w:divsChild>
    </w:div>
    <w:div w:id="894851110">
      <w:bodyDiv w:val="1"/>
      <w:marLeft w:val="0"/>
      <w:marRight w:val="0"/>
      <w:marTop w:val="0"/>
      <w:marBottom w:val="0"/>
      <w:divBdr>
        <w:top w:val="none" w:sz="0" w:space="0" w:color="auto"/>
        <w:left w:val="none" w:sz="0" w:space="0" w:color="auto"/>
        <w:bottom w:val="none" w:sz="0" w:space="0" w:color="auto"/>
        <w:right w:val="none" w:sz="0" w:space="0" w:color="auto"/>
      </w:divBdr>
      <w:divsChild>
        <w:div w:id="1296059008">
          <w:marLeft w:val="0"/>
          <w:marRight w:val="0"/>
          <w:marTop w:val="0"/>
          <w:marBottom w:val="0"/>
          <w:divBdr>
            <w:top w:val="none" w:sz="0" w:space="0" w:color="auto"/>
            <w:left w:val="none" w:sz="0" w:space="0" w:color="auto"/>
            <w:bottom w:val="none" w:sz="0" w:space="0" w:color="auto"/>
            <w:right w:val="none" w:sz="0" w:space="0" w:color="auto"/>
          </w:divBdr>
          <w:divsChild>
            <w:div w:id="268271453">
              <w:marLeft w:val="0"/>
              <w:marRight w:val="0"/>
              <w:marTop w:val="0"/>
              <w:marBottom w:val="0"/>
              <w:divBdr>
                <w:top w:val="none" w:sz="0" w:space="0" w:color="auto"/>
                <w:left w:val="none" w:sz="0" w:space="0" w:color="auto"/>
                <w:bottom w:val="none" w:sz="0" w:space="0" w:color="auto"/>
                <w:right w:val="none" w:sz="0" w:space="0" w:color="auto"/>
              </w:divBdr>
              <w:divsChild>
                <w:div w:id="611519686">
                  <w:marLeft w:val="0"/>
                  <w:marRight w:val="0"/>
                  <w:marTop w:val="0"/>
                  <w:marBottom w:val="0"/>
                  <w:divBdr>
                    <w:top w:val="none" w:sz="0" w:space="0" w:color="auto"/>
                    <w:left w:val="none" w:sz="0" w:space="0" w:color="auto"/>
                    <w:bottom w:val="none" w:sz="0" w:space="0" w:color="auto"/>
                    <w:right w:val="none" w:sz="0" w:space="0" w:color="auto"/>
                  </w:divBdr>
                  <w:divsChild>
                    <w:div w:id="393894669">
                      <w:marLeft w:val="0"/>
                      <w:marRight w:val="0"/>
                      <w:marTop w:val="0"/>
                      <w:marBottom w:val="0"/>
                      <w:divBdr>
                        <w:top w:val="none" w:sz="0" w:space="0" w:color="auto"/>
                        <w:left w:val="none" w:sz="0" w:space="0" w:color="auto"/>
                        <w:bottom w:val="none" w:sz="0" w:space="0" w:color="auto"/>
                        <w:right w:val="none" w:sz="0" w:space="0" w:color="auto"/>
                      </w:divBdr>
                      <w:divsChild>
                        <w:div w:id="957680431">
                          <w:marLeft w:val="0"/>
                          <w:marRight w:val="0"/>
                          <w:marTop w:val="0"/>
                          <w:marBottom w:val="0"/>
                          <w:divBdr>
                            <w:top w:val="none" w:sz="0" w:space="0" w:color="auto"/>
                            <w:left w:val="none" w:sz="0" w:space="0" w:color="auto"/>
                            <w:bottom w:val="none" w:sz="0" w:space="0" w:color="auto"/>
                            <w:right w:val="none" w:sz="0" w:space="0" w:color="auto"/>
                          </w:divBdr>
                          <w:divsChild>
                            <w:div w:id="1749766311">
                              <w:marLeft w:val="0"/>
                              <w:marRight w:val="0"/>
                              <w:marTop w:val="0"/>
                              <w:marBottom w:val="0"/>
                              <w:divBdr>
                                <w:top w:val="none" w:sz="0" w:space="0" w:color="auto"/>
                                <w:left w:val="none" w:sz="0" w:space="0" w:color="auto"/>
                                <w:bottom w:val="none" w:sz="0" w:space="0" w:color="auto"/>
                                <w:right w:val="none" w:sz="0" w:space="0" w:color="auto"/>
                              </w:divBdr>
                              <w:divsChild>
                                <w:div w:id="7378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837427">
      <w:bodyDiv w:val="1"/>
      <w:marLeft w:val="0"/>
      <w:marRight w:val="0"/>
      <w:marTop w:val="0"/>
      <w:marBottom w:val="0"/>
      <w:divBdr>
        <w:top w:val="none" w:sz="0" w:space="0" w:color="auto"/>
        <w:left w:val="none" w:sz="0" w:space="0" w:color="auto"/>
        <w:bottom w:val="none" w:sz="0" w:space="0" w:color="auto"/>
        <w:right w:val="none" w:sz="0" w:space="0" w:color="auto"/>
      </w:divBdr>
      <w:divsChild>
        <w:div w:id="243418869">
          <w:marLeft w:val="0"/>
          <w:marRight w:val="0"/>
          <w:marTop w:val="0"/>
          <w:marBottom w:val="0"/>
          <w:divBdr>
            <w:top w:val="none" w:sz="0" w:space="0" w:color="auto"/>
            <w:left w:val="none" w:sz="0" w:space="0" w:color="auto"/>
            <w:bottom w:val="none" w:sz="0" w:space="0" w:color="auto"/>
            <w:right w:val="none" w:sz="0" w:space="0" w:color="auto"/>
          </w:divBdr>
          <w:divsChild>
            <w:div w:id="1506359941">
              <w:marLeft w:val="0"/>
              <w:marRight w:val="0"/>
              <w:marTop w:val="0"/>
              <w:marBottom w:val="0"/>
              <w:divBdr>
                <w:top w:val="none" w:sz="0" w:space="0" w:color="auto"/>
                <w:left w:val="none" w:sz="0" w:space="0" w:color="auto"/>
                <w:bottom w:val="none" w:sz="0" w:space="0" w:color="auto"/>
                <w:right w:val="none" w:sz="0" w:space="0" w:color="auto"/>
              </w:divBdr>
              <w:divsChild>
                <w:div w:id="310524904">
                  <w:marLeft w:val="0"/>
                  <w:marRight w:val="0"/>
                  <w:marTop w:val="0"/>
                  <w:marBottom w:val="0"/>
                  <w:divBdr>
                    <w:top w:val="none" w:sz="0" w:space="0" w:color="auto"/>
                    <w:left w:val="none" w:sz="0" w:space="0" w:color="auto"/>
                    <w:bottom w:val="none" w:sz="0" w:space="0" w:color="auto"/>
                    <w:right w:val="none" w:sz="0" w:space="0" w:color="auto"/>
                  </w:divBdr>
                  <w:divsChild>
                    <w:div w:id="507411135">
                      <w:marLeft w:val="0"/>
                      <w:marRight w:val="0"/>
                      <w:marTop w:val="0"/>
                      <w:marBottom w:val="0"/>
                      <w:divBdr>
                        <w:top w:val="none" w:sz="0" w:space="0" w:color="auto"/>
                        <w:left w:val="none" w:sz="0" w:space="0" w:color="auto"/>
                        <w:bottom w:val="none" w:sz="0" w:space="0" w:color="auto"/>
                        <w:right w:val="none" w:sz="0" w:space="0" w:color="auto"/>
                      </w:divBdr>
                      <w:divsChild>
                        <w:div w:id="2062971436">
                          <w:marLeft w:val="0"/>
                          <w:marRight w:val="0"/>
                          <w:marTop w:val="0"/>
                          <w:marBottom w:val="0"/>
                          <w:divBdr>
                            <w:top w:val="none" w:sz="0" w:space="0" w:color="auto"/>
                            <w:left w:val="none" w:sz="0" w:space="0" w:color="auto"/>
                            <w:bottom w:val="none" w:sz="0" w:space="0" w:color="auto"/>
                            <w:right w:val="none" w:sz="0" w:space="0" w:color="auto"/>
                          </w:divBdr>
                          <w:divsChild>
                            <w:div w:id="209782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082887">
      <w:bodyDiv w:val="1"/>
      <w:marLeft w:val="0"/>
      <w:marRight w:val="0"/>
      <w:marTop w:val="0"/>
      <w:marBottom w:val="0"/>
      <w:divBdr>
        <w:top w:val="none" w:sz="0" w:space="0" w:color="auto"/>
        <w:left w:val="none" w:sz="0" w:space="0" w:color="auto"/>
        <w:bottom w:val="none" w:sz="0" w:space="0" w:color="auto"/>
        <w:right w:val="none" w:sz="0" w:space="0" w:color="auto"/>
      </w:divBdr>
      <w:divsChild>
        <w:div w:id="932085250">
          <w:marLeft w:val="0"/>
          <w:marRight w:val="0"/>
          <w:marTop w:val="0"/>
          <w:marBottom w:val="0"/>
          <w:divBdr>
            <w:top w:val="none" w:sz="0" w:space="0" w:color="auto"/>
            <w:left w:val="none" w:sz="0" w:space="0" w:color="auto"/>
            <w:bottom w:val="none" w:sz="0" w:space="0" w:color="auto"/>
            <w:right w:val="none" w:sz="0" w:space="0" w:color="auto"/>
          </w:divBdr>
          <w:divsChild>
            <w:div w:id="1420713935">
              <w:marLeft w:val="0"/>
              <w:marRight w:val="0"/>
              <w:marTop w:val="0"/>
              <w:marBottom w:val="0"/>
              <w:divBdr>
                <w:top w:val="none" w:sz="0" w:space="0" w:color="auto"/>
                <w:left w:val="none" w:sz="0" w:space="0" w:color="auto"/>
                <w:bottom w:val="none" w:sz="0" w:space="0" w:color="auto"/>
                <w:right w:val="none" w:sz="0" w:space="0" w:color="auto"/>
              </w:divBdr>
              <w:divsChild>
                <w:div w:id="672613376">
                  <w:marLeft w:val="5"/>
                  <w:marRight w:val="5"/>
                  <w:marTop w:val="0"/>
                  <w:marBottom w:val="0"/>
                  <w:divBdr>
                    <w:top w:val="none" w:sz="0" w:space="0" w:color="auto"/>
                    <w:left w:val="none" w:sz="0" w:space="0" w:color="auto"/>
                    <w:bottom w:val="none" w:sz="0" w:space="0" w:color="auto"/>
                    <w:right w:val="none" w:sz="0" w:space="0" w:color="auto"/>
                  </w:divBdr>
                  <w:divsChild>
                    <w:div w:id="1194029659">
                      <w:marLeft w:val="0"/>
                      <w:marRight w:val="0"/>
                      <w:marTop w:val="0"/>
                      <w:marBottom w:val="0"/>
                      <w:divBdr>
                        <w:top w:val="none" w:sz="0" w:space="0" w:color="auto"/>
                        <w:left w:val="none" w:sz="0" w:space="0" w:color="auto"/>
                        <w:bottom w:val="none" w:sz="0" w:space="0" w:color="auto"/>
                        <w:right w:val="none" w:sz="0" w:space="0" w:color="auto"/>
                      </w:divBdr>
                      <w:divsChild>
                        <w:div w:id="253633483">
                          <w:marLeft w:val="0"/>
                          <w:marRight w:val="0"/>
                          <w:marTop w:val="0"/>
                          <w:marBottom w:val="0"/>
                          <w:divBdr>
                            <w:top w:val="none" w:sz="0" w:space="0" w:color="auto"/>
                            <w:left w:val="none" w:sz="0" w:space="0" w:color="auto"/>
                            <w:bottom w:val="none" w:sz="0" w:space="0" w:color="auto"/>
                            <w:right w:val="none" w:sz="0" w:space="0" w:color="auto"/>
                          </w:divBdr>
                          <w:divsChild>
                            <w:div w:id="172309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778945">
      <w:bodyDiv w:val="1"/>
      <w:marLeft w:val="0"/>
      <w:marRight w:val="0"/>
      <w:marTop w:val="0"/>
      <w:marBottom w:val="0"/>
      <w:divBdr>
        <w:top w:val="none" w:sz="0" w:space="0" w:color="auto"/>
        <w:left w:val="none" w:sz="0" w:space="0" w:color="auto"/>
        <w:bottom w:val="none" w:sz="0" w:space="0" w:color="auto"/>
        <w:right w:val="none" w:sz="0" w:space="0" w:color="auto"/>
      </w:divBdr>
      <w:divsChild>
        <w:div w:id="209730686">
          <w:marLeft w:val="0"/>
          <w:marRight w:val="0"/>
          <w:marTop w:val="0"/>
          <w:marBottom w:val="0"/>
          <w:divBdr>
            <w:top w:val="none" w:sz="0" w:space="0" w:color="auto"/>
            <w:left w:val="none" w:sz="0" w:space="0" w:color="auto"/>
            <w:bottom w:val="none" w:sz="0" w:space="0" w:color="auto"/>
            <w:right w:val="none" w:sz="0" w:space="0" w:color="auto"/>
          </w:divBdr>
          <w:divsChild>
            <w:div w:id="1896815481">
              <w:marLeft w:val="0"/>
              <w:marRight w:val="0"/>
              <w:marTop w:val="0"/>
              <w:marBottom w:val="0"/>
              <w:divBdr>
                <w:top w:val="none" w:sz="0" w:space="0" w:color="auto"/>
                <w:left w:val="none" w:sz="0" w:space="0" w:color="auto"/>
                <w:bottom w:val="none" w:sz="0" w:space="0" w:color="auto"/>
                <w:right w:val="none" w:sz="0" w:space="0" w:color="auto"/>
              </w:divBdr>
              <w:divsChild>
                <w:div w:id="1102187357">
                  <w:marLeft w:val="0"/>
                  <w:marRight w:val="0"/>
                  <w:marTop w:val="0"/>
                  <w:marBottom w:val="0"/>
                  <w:divBdr>
                    <w:top w:val="none" w:sz="0" w:space="0" w:color="auto"/>
                    <w:left w:val="none" w:sz="0" w:space="0" w:color="auto"/>
                    <w:bottom w:val="none" w:sz="0" w:space="0" w:color="auto"/>
                    <w:right w:val="none" w:sz="0" w:space="0" w:color="auto"/>
                  </w:divBdr>
                  <w:divsChild>
                    <w:div w:id="1988627108">
                      <w:marLeft w:val="0"/>
                      <w:marRight w:val="0"/>
                      <w:marTop w:val="0"/>
                      <w:marBottom w:val="0"/>
                      <w:divBdr>
                        <w:top w:val="none" w:sz="0" w:space="0" w:color="auto"/>
                        <w:left w:val="none" w:sz="0" w:space="0" w:color="auto"/>
                        <w:bottom w:val="none" w:sz="0" w:space="0" w:color="auto"/>
                        <w:right w:val="none" w:sz="0" w:space="0" w:color="auto"/>
                      </w:divBdr>
                      <w:divsChild>
                        <w:div w:id="580137497">
                          <w:marLeft w:val="0"/>
                          <w:marRight w:val="0"/>
                          <w:marTop w:val="0"/>
                          <w:marBottom w:val="0"/>
                          <w:divBdr>
                            <w:top w:val="none" w:sz="0" w:space="0" w:color="auto"/>
                            <w:left w:val="none" w:sz="0" w:space="0" w:color="auto"/>
                            <w:bottom w:val="none" w:sz="0" w:space="0" w:color="auto"/>
                            <w:right w:val="none" w:sz="0" w:space="0" w:color="auto"/>
                          </w:divBdr>
                          <w:divsChild>
                            <w:div w:id="8430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059857">
      <w:bodyDiv w:val="1"/>
      <w:marLeft w:val="0"/>
      <w:marRight w:val="0"/>
      <w:marTop w:val="0"/>
      <w:marBottom w:val="0"/>
      <w:divBdr>
        <w:top w:val="none" w:sz="0" w:space="0" w:color="auto"/>
        <w:left w:val="none" w:sz="0" w:space="0" w:color="auto"/>
        <w:bottom w:val="none" w:sz="0" w:space="0" w:color="auto"/>
        <w:right w:val="none" w:sz="0" w:space="0" w:color="auto"/>
      </w:divBdr>
      <w:divsChild>
        <w:div w:id="2025208254">
          <w:marLeft w:val="0"/>
          <w:marRight w:val="0"/>
          <w:marTop w:val="0"/>
          <w:marBottom w:val="0"/>
          <w:divBdr>
            <w:top w:val="none" w:sz="0" w:space="0" w:color="auto"/>
            <w:left w:val="none" w:sz="0" w:space="0" w:color="auto"/>
            <w:bottom w:val="none" w:sz="0" w:space="0" w:color="auto"/>
            <w:right w:val="none" w:sz="0" w:space="0" w:color="auto"/>
          </w:divBdr>
          <w:divsChild>
            <w:div w:id="1934824916">
              <w:marLeft w:val="0"/>
              <w:marRight w:val="0"/>
              <w:marTop w:val="0"/>
              <w:marBottom w:val="0"/>
              <w:divBdr>
                <w:top w:val="none" w:sz="0" w:space="0" w:color="auto"/>
                <w:left w:val="none" w:sz="0" w:space="0" w:color="auto"/>
                <w:bottom w:val="none" w:sz="0" w:space="0" w:color="auto"/>
                <w:right w:val="none" w:sz="0" w:space="0" w:color="auto"/>
              </w:divBdr>
              <w:divsChild>
                <w:div w:id="1811169224">
                  <w:marLeft w:val="0"/>
                  <w:marRight w:val="0"/>
                  <w:marTop w:val="0"/>
                  <w:marBottom w:val="0"/>
                  <w:divBdr>
                    <w:top w:val="none" w:sz="0" w:space="0" w:color="auto"/>
                    <w:left w:val="none" w:sz="0" w:space="0" w:color="auto"/>
                    <w:bottom w:val="none" w:sz="0" w:space="0" w:color="auto"/>
                    <w:right w:val="none" w:sz="0" w:space="0" w:color="auto"/>
                  </w:divBdr>
                  <w:divsChild>
                    <w:div w:id="208618163">
                      <w:marLeft w:val="0"/>
                      <w:marRight w:val="0"/>
                      <w:marTop w:val="0"/>
                      <w:marBottom w:val="0"/>
                      <w:divBdr>
                        <w:top w:val="none" w:sz="0" w:space="0" w:color="auto"/>
                        <w:left w:val="none" w:sz="0" w:space="0" w:color="auto"/>
                        <w:bottom w:val="none" w:sz="0" w:space="0" w:color="auto"/>
                        <w:right w:val="none" w:sz="0" w:space="0" w:color="auto"/>
                      </w:divBdr>
                      <w:divsChild>
                        <w:div w:id="325591730">
                          <w:marLeft w:val="0"/>
                          <w:marRight w:val="0"/>
                          <w:marTop w:val="0"/>
                          <w:marBottom w:val="0"/>
                          <w:divBdr>
                            <w:top w:val="none" w:sz="0" w:space="0" w:color="auto"/>
                            <w:left w:val="none" w:sz="0" w:space="0" w:color="auto"/>
                            <w:bottom w:val="none" w:sz="0" w:space="0" w:color="auto"/>
                            <w:right w:val="none" w:sz="0" w:space="0" w:color="auto"/>
                          </w:divBdr>
                          <w:divsChild>
                            <w:div w:id="1372223991">
                              <w:marLeft w:val="0"/>
                              <w:marRight w:val="0"/>
                              <w:marTop w:val="0"/>
                              <w:marBottom w:val="0"/>
                              <w:divBdr>
                                <w:top w:val="none" w:sz="0" w:space="0" w:color="auto"/>
                                <w:left w:val="none" w:sz="0" w:space="0" w:color="auto"/>
                                <w:bottom w:val="none" w:sz="0" w:space="0" w:color="auto"/>
                                <w:right w:val="none" w:sz="0" w:space="0" w:color="auto"/>
                              </w:divBdr>
                              <w:divsChild>
                                <w:div w:id="404305125">
                                  <w:marLeft w:val="0"/>
                                  <w:marRight w:val="0"/>
                                  <w:marTop w:val="0"/>
                                  <w:marBottom w:val="0"/>
                                  <w:divBdr>
                                    <w:top w:val="none" w:sz="0" w:space="0" w:color="auto"/>
                                    <w:left w:val="none" w:sz="0" w:space="0" w:color="auto"/>
                                    <w:bottom w:val="none" w:sz="0" w:space="0" w:color="auto"/>
                                    <w:right w:val="none" w:sz="0" w:space="0" w:color="auto"/>
                                  </w:divBdr>
                                  <w:divsChild>
                                    <w:div w:id="1305235332">
                                      <w:marLeft w:val="0"/>
                                      <w:marRight w:val="0"/>
                                      <w:marTop w:val="0"/>
                                      <w:marBottom w:val="0"/>
                                      <w:divBdr>
                                        <w:top w:val="none" w:sz="0" w:space="0" w:color="auto"/>
                                        <w:left w:val="none" w:sz="0" w:space="0" w:color="auto"/>
                                        <w:bottom w:val="none" w:sz="0" w:space="0" w:color="auto"/>
                                        <w:right w:val="none" w:sz="0" w:space="0" w:color="auto"/>
                                      </w:divBdr>
                                      <w:divsChild>
                                        <w:div w:id="1934781573">
                                          <w:marLeft w:val="0"/>
                                          <w:marRight w:val="-14400"/>
                                          <w:marTop w:val="0"/>
                                          <w:marBottom w:val="0"/>
                                          <w:divBdr>
                                            <w:top w:val="none" w:sz="0" w:space="0" w:color="auto"/>
                                            <w:left w:val="none" w:sz="0" w:space="0" w:color="auto"/>
                                            <w:bottom w:val="none" w:sz="0" w:space="0" w:color="auto"/>
                                            <w:right w:val="none" w:sz="0" w:space="0" w:color="auto"/>
                                          </w:divBdr>
                                          <w:divsChild>
                                            <w:div w:id="1453398221">
                                              <w:marLeft w:val="0"/>
                                              <w:marRight w:val="0"/>
                                              <w:marTop w:val="0"/>
                                              <w:marBottom w:val="0"/>
                                              <w:divBdr>
                                                <w:top w:val="none" w:sz="0" w:space="0" w:color="auto"/>
                                                <w:left w:val="none" w:sz="0" w:space="0" w:color="auto"/>
                                                <w:bottom w:val="none" w:sz="0" w:space="0" w:color="auto"/>
                                                <w:right w:val="none" w:sz="0" w:space="0" w:color="auto"/>
                                              </w:divBdr>
                                              <w:divsChild>
                                                <w:div w:id="2034920067">
                                                  <w:marLeft w:val="0"/>
                                                  <w:marRight w:val="0"/>
                                                  <w:marTop w:val="0"/>
                                                  <w:marBottom w:val="0"/>
                                                  <w:divBdr>
                                                    <w:top w:val="none" w:sz="0" w:space="0" w:color="auto"/>
                                                    <w:left w:val="none" w:sz="0" w:space="0" w:color="auto"/>
                                                    <w:bottom w:val="none" w:sz="0" w:space="0" w:color="auto"/>
                                                    <w:right w:val="none" w:sz="0" w:space="0" w:color="auto"/>
                                                  </w:divBdr>
                                                  <w:divsChild>
                                                    <w:div w:id="1417244596">
                                                      <w:marLeft w:val="0"/>
                                                      <w:marRight w:val="0"/>
                                                      <w:marTop w:val="0"/>
                                                      <w:marBottom w:val="360"/>
                                                      <w:divBdr>
                                                        <w:top w:val="none" w:sz="0" w:space="0" w:color="auto"/>
                                                        <w:left w:val="none" w:sz="0" w:space="0" w:color="auto"/>
                                                        <w:bottom w:val="none" w:sz="0" w:space="0" w:color="auto"/>
                                                        <w:right w:val="none" w:sz="0" w:space="0" w:color="auto"/>
                                                      </w:divBdr>
                                                      <w:divsChild>
                                                        <w:div w:id="1236890914">
                                                          <w:marLeft w:val="0"/>
                                                          <w:marRight w:val="0"/>
                                                          <w:marTop w:val="0"/>
                                                          <w:marBottom w:val="0"/>
                                                          <w:divBdr>
                                                            <w:top w:val="none" w:sz="0" w:space="0" w:color="auto"/>
                                                            <w:left w:val="none" w:sz="0" w:space="0" w:color="auto"/>
                                                            <w:bottom w:val="none" w:sz="0" w:space="0" w:color="auto"/>
                                                            <w:right w:val="none" w:sz="0" w:space="0" w:color="auto"/>
                                                          </w:divBdr>
                                                          <w:divsChild>
                                                            <w:div w:id="1313287890">
                                                              <w:marLeft w:val="0"/>
                                                              <w:marRight w:val="0"/>
                                                              <w:marTop w:val="0"/>
                                                              <w:marBottom w:val="0"/>
                                                              <w:divBdr>
                                                                <w:top w:val="none" w:sz="0" w:space="0" w:color="auto"/>
                                                                <w:left w:val="none" w:sz="0" w:space="0" w:color="auto"/>
                                                                <w:bottom w:val="none" w:sz="0" w:space="0" w:color="auto"/>
                                                                <w:right w:val="none" w:sz="0" w:space="0" w:color="auto"/>
                                                              </w:divBdr>
                                                              <w:divsChild>
                                                                <w:div w:id="1303461270">
                                                                  <w:marLeft w:val="0"/>
                                                                  <w:marRight w:val="0"/>
                                                                  <w:marTop w:val="0"/>
                                                                  <w:marBottom w:val="0"/>
                                                                  <w:divBdr>
                                                                    <w:top w:val="none" w:sz="0" w:space="0" w:color="auto"/>
                                                                    <w:left w:val="none" w:sz="0" w:space="0" w:color="auto"/>
                                                                    <w:bottom w:val="none" w:sz="0" w:space="0" w:color="auto"/>
                                                                    <w:right w:val="none" w:sz="0" w:space="0" w:color="auto"/>
                                                                  </w:divBdr>
                                                                  <w:divsChild>
                                                                    <w:div w:id="315064221">
                                                                      <w:marLeft w:val="0"/>
                                                                      <w:marRight w:val="0"/>
                                                                      <w:marTop w:val="0"/>
                                                                      <w:marBottom w:val="180"/>
                                                                      <w:divBdr>
                                                                        <w:top w:val="none" w:sz="0" w:space="0" w:color="auto"/>
                                                                        <w:left w:val="none" w:sz="0" w:space="0" w:color="auto"/>
                                                                        <w:bottom w:val="none" w:sz="0" w:space="0" w:color="auto"/>
                                                                        <w:right w:val="none" w:sz="0" w:space="0" w:color="auto"/>
                                                                      </w:divBdr>
                                                                      <w:divsChild>
                                                                        <w:div w:id="1437870060">
                                                                          <w:marLeft w:val="0"/>
                                                                          <w:marRight w:val="0"/>
                                                                          <w:marTop w:val="0"/>
                                                                          <w:marBottom w:val="0"/>
                                                                          <w:divBdr>
                                                                            <w:top w:val="none" w:sz="0" w:space="0" w:color="auto"/>
                                                                            <w:left w:val="none" w:sz="0" w:space="0" w:color="auto"/>
                                                                            <w:bottom w:val="none" w:sz="0" w:space="0" w:color="auto"/>
                                                                            <w:right w:val="none" w:sz="0" w:space="0" w:color="auto"/>
                                                                          </w:divBdr>
                                                                          <w:divsChild>
                                                                            <w:div w:id="157254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9573834">
      <w:bodyDiv w:val="1"/>
      <w:marLeft w:val="0"/>
      <w:marRight w:val="0"/>
      <w:marTop w:val="0"/>
      <w:marBottom w:val="0"/>
      <w:divBdr>
        <w:top w:val="none" w:sz="0" w:space="0" w:color="auto"/>
        <w:left w:val="none" w:sz="0" w:space="0" w:color="auto"/>
        <w:bottom w:val="none" w:sz="0" w:space="0" w:color="auto"/>
        <w:right w:val="none" w:sz="0" w:space="0" w:color="auto"/>
      </w:divBdr>
      <w:divsChild>
        <w:div w:id="975716361">
          <w:marLeft w:val="0"/>
          <w:marRight w:val="0"/>
          <w:marTop w:val="0"/>
          <w:marBottom w:val="0"/>
          <w:divBdr>
            <w:top w:val="none" w:sz="0" w:space="0" w:color="auto"/>
            <w:left w:val="none" w:sz="0" w:space="0" w:color="auto"/>
            <w:bottom w:val="none" w:sz="0" w:space="0" w:color="auto"/>
            <w:right w:val="none" w:sz="0" w:space="0" w:color="auto"/>
          </w:divBdr>
          <w:divsChild>
            <w:div w:id="924999645">
              <w:marLeft w:val="0"/>
              <w:marRight w:val="0"/>
              <w:marTop w:val="0"/>
              <w:marBottom w:val="0"/>
              <w:divBdr>
                <w:top w:val="none" w:sz="0" w:space="0" w:color="auto"/>
                <w:left w:val="none" w:sz="0" w:space="0" w:color="auto"/>
                <w:bottom w:val="none" w:sz="0" w:space="0" w:color="auto"/>
                <w:right w:val="none" w:sz="0" w:space="0" w:color="auto"/>
              </w:divBdr>
              <w:divsChild>
                <w:div w:id="498664440">
                  <w:marLeft w:val="0"/>
                  <w:marRight w:val="0"/>
                  <w:marTop w:val="0"/>
                  <w:marBottom w:val="0"/>
                  <w:divBdr>
                    <w:top w:val="none" w:sz="0" w:space="0" w:color="auto"/>
                    <w:left w:val="none" w:sz="0" w:space="0" w:color="auto"/>
                    <w:bottom w:val="none" w:sz="0" w:space="0" w:color="auto"/>
                    <w:right w:val="none" w:sz="0" w:space="0" w:color="auto"/>
                  </w:divBdr>
                  <w:divsChild>
                    <w:div w:id="206916053">
                      <w:marLeft w:val="0"/>
                      <w:marRight w:val="0"/>
                      <w:marTop w:val="0"/>
                      <w:marBottom w:val="0"/>
                      <w:divBdr>
                        <w:top w:val="none" w:sz="0" w:space="0" w:color="auto"/>
                        <w:left w:val="none" w:sz="0" w:space="0" w:color="auto"/>
                        <w:bottom w:val="none" w:sz="0" w:space="0" w:color="auto"/>
                        <w:right w:val="none" w:sz="0" w:space="0" w:color="auto"/>
                      </w:divBdr>
                      <w:divsChild>
                        <w:div w:id="169299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479340">
      <w:bodyDiv w:val="1"/>
      <w:marLeft w:val="0"/>
      <w:marRight w:val="0"/>
      <w:marTop w:val="0"/>
      <w:marBottom w:val="0"/>
      <w:divBdr>
        <w:top w:val="none" w:sz="0" w:space="0" w:color="auto"/>
        <w:left w:val="none" w:sz="0" w:space="0" w:color="auto"/>
        <w:bottom w:val="none" w:sz="0" w:space="0" w:color="auto"/>
        <w:right w:val="none" w:sz="0" w:space="0" w:color="auto"/>
      </w:divBdr>
      <w:divsChild>
        <w:div w:id="665863425">
          <w:marLeft w:val="0"/>
          <w:marRight w:val="0"/>
          <w:marTop w:val="0"/>
          <w:marBottom w:val="0"/>
          <w:divBdr>
            <w:top w:val="none" w:sz="0" w:space="0" w:color="auto"/>
            <w:left w:val="none" w:sz="0" w:space="0" w:color="auto"/>
            <w:bottom w:val="none" w:sz="0" w:space="0" w:color="auto"/>
            <w:right w:val="none" w:sz="0" w:space="0" w:color="auto"/>
          </w:divBdr>
          <w:divsChild>
            <w:div w:id="1627003944">
              <w:marLeft w:val="0"/>
              <w:marRight w:val="0"/>
              <w:marTop w:val="100"/>
              <w:marBottom w:val="100"/>
              <w:divBdr>
                <w:top w:val="none" w:sz="0" w:space="0" w:color="auto"/>
                <w:left w:val="none" w:sz="0" w:space="0" w:color="auto"/>
                <w:bottom w:val="none" w:sz="0" w:space="0" w:color="auto"/>
                <w:right w:val="none" w:sz="0" w:space="0" w:color="auto"/>
              </w:divBdr>
              <w:divsChild>
                <w:div w:id="947858584">
                  <w:marLeft w:val="0"/>
                  <w:marRight w:val="0"/>
                  <w:marTop w:val="0"/>
                  <w:marBottom w:val="0"/>
                  <w:divBdr>
                    <w:top w:val="single" w:sz="6" w:space="31" w:color="C9C8C8"/>
                    <w:left w:val="single" w:sz="6" w:space="11" w:color="C9C8C8"/>
                    <w:bottom w:val="single" w:sz="6" w:space="11" w:color="C9C8C8"/>
                    <w:right w:val="single" w:sz="6" w:space="0" w:color="C9C8C8"/>
                  </w:divBdr>
                  <w:divsChild>
                    <w:div w:id="1447653495">
                      <w:marLeft w:val="0"/>
                      <w:marRight w:val="0"/>
                      <w:marTop w:val="0"/>
                      <w:marBottom w:val="0"/>
                      <w:divBdr>
                        <w:top w:val="none" w:sz="0" w:space="0" w:color="auto"/>
                        <w:left w:val="none" w:sz="0" w:space="0" w:color="auto"/>
                        <w:bottom w:val="none" w:sz="0" w:space="0" w:color="auto"/>
                        <w:right w:val="none" w:sz="0" w:space="0" w:color="auto"/>
                      </w:divBdr>
                      <w:divsChild>
                        <w:div w:id="1457213508">
                          <w:marLeft w:val="0"/>
                          <w:marRight w:val="0"/>
                          <w:marTop w:val="0"/>
                          <w:marBottom w:val="0"/>
                          <w:divBdr>
                            <w:top w:val="single" w:sz="6" w:space="2" w:color="868487"/>
                            <w:left w:val="single" w:sz="6" w:space="2" w:color="868487"/>
                            <w:bottom w:val="single" w:sz="6" w:space="2" w:color="868487"/>
                            <w:right w:val="single" w:sz="6" w:space="2" w:color="868487"/>
                          </w:divBdr>
                          <w:divsChild>
                            <w:div w:id="916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270609">
      <w:bodyDiv w:val="1"/>
      <w:marLeft w:val="0"/>
      <w:marRight w:val="0"/>
      <w:marTop w:val="0"/>
      <w:marBottom w:val="0"/>
      <w:divBdr>
        <w:top w:val="none" w:sz="0" w:space="0" w:color="auto"/>
        <w:left w:val="none" w:sz="0" w:space="0" w:color="auto"/>
        <w:bottom w:val="none" w:sz="0" w:space="0" w:color="auto"/>
        <w:right w:val="none" w:sz="0" w:space="0" w:color="auto"/>
      </w:divBdr>
      <w:divsChild>
        <w:div w:id="1715079831">
          <w:marLeft w:val="0"/>
          <w:marRight w:val="0"/>
          <w:marTop w:val="0"/>
          <w:marBottom w:val="0"/>
          <w:divBdr>
            <w:top w:val="none" w:sz="0" w:space="0" w:color="auto"/>
            <w:left w:val="none" w:sz="0" w:space="0" w:color="auto"/>
            <w:bottom w:val="none" w:sz="0" w:space="0" w:color="auto"/>
            <w:right w:val="none" w:sz="0" w:space="0" w:color="auto"/>
          </w:divBdr>
          <w:divsChild>
            <w:div w:id="25062584">
              <w:marLeft w:val="0"/>
              <w:marRight w:val="0"/>
              <w:marTop w:val="0"/>
              <w:marBottom w:val="0"/>
              <w:divBdr>
                <w:top w:val="none" w:sz="0" w:space="0" w:color="auto"/>
                <w:left w:val="none" w:sz="0" w:space="0" w:color="auto"/>
                <w:bottom w:val="none" w:sz="0" w:space="0" w:color="auto"/>
                <w:right w:val="none" w:sz="0" w:space="0" w:color="auto"/>
              </w:divBdr>
              <w:divsChild>
                <w:div w:id="2048791153">
                  <w:marLeft w:val="0"/>
                  <w:marRight w:val="0"/>
                  <w:marTop w:val="0"/>
                  <w:marBottom w:val="0"/>
                  <w:divBdr>
                    <w:top w:val="none" w:sz="0" w:space="0" w:color="auto"/>
                    <w:left w:val="none" w:sz="0" w:space="0" w:color="auto"/>
                    <w:bottom w:val="none" w:sz="0" w:space="0" w:color="auto"/>
                    <w:right w:val="none" w:sz="0" w:space="0" w:color="auto"/>
                  </w:divBdr>
                  <w:divsChild>
                    <w:div w:id="629944557">
                      <w:marLeft w:val="0"/>
                      <w:marRight w:val="0"/>
                      <w:marTop w:val="0"/>
                      <w:marBottom w:val="0"/>
                      <w:divBdr>
                        <w:top w:val="none" w:sz="0" w:space="0" w:color="auto"/>
                        <w:left w:val="none" w:sz="0" w:space="0" w:color="auto"/>
                        <w:bottom w:val="none" w:sz="0" w:space="0" w:color="auto"/>
                        <w:right w:val="none" w:sz="0" w:space="0" w:color="auto"/>
                      </w:divBdr>
                      <w:divsChild>
                        <w:div w:id="812913886">
                          <w:marLeft w:val="0"/>
                          <w:marRight w:val="0"/>
                          <w:marTop w:val="0"/>
                          <w:marBottom w:val="0"/>
                          <w:divBdr>
                            <w:top w:val="none" w:sz="0" w:space="0" w:color="auto"/>
                            <w:left w:val="none" w:sz="0" w:space="0" w:color="auto"/>
                            <w:bottom w:val="none" w:sz="0" w:space="0" w:color="auto"/>
                            <w:right w:val="none" w:sz="0" w:space="0" w:color="auto"/>
                          </w:divBdr>
                          <w:divsChild>
                            <w:div w:id="3047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648229">
      <w:bodyDiv w:val="1"/>
      <w:marLeft w:val="0"/>
      <w:marRight w:val="0"/>
      <w:marTop w:val="0"/>
      <w:marBottom w:val="0"/>
      <w:divBdr>
        <w:top w:val="none" w:sz="0" w:space="0" w:color="auto"/>
        <w:left w:val="none" w:sz="0" w:space="0" w:color="auto"/>
        <w:bottom w:val="none" w:sz="0" w:space="0" w:color="auto"/>
        <w:right w:val="none" w:sz="0" w:space="0" w:color="auto"/>
      </w:divBdr>
      <w:divsChild>
        <w:div w:id="817839227">
          <w:marLeft w:val="0"/>
          <w:marRight w:val="0"/>
          <w:marTop w:val="0"/>
          <w:marBottom w:val="0"/>
          <w:divBdr>
            <w:top w:val="none" w:sz="0" w:space="0" w:color="auto"/>
            <w:left w:val="none" w:sz="0" w:space="0" w:color="auto"/>
            <w:bottom w:val="none" w:sz="0" w:space="0" w:color="auto"/>
            <w:right w:val="none" w:sz="0" w:space="0" w:color="auto"/>
          </w:divBdr>
          <w:divsChild>
            <w:div w:id="939335346">
              <w:marLeft w:val="0"/>
              <w:marRight w:val="0"/>
              <w:marTop w:val="0"/>
              <w:marBottom w:val="0"/>
              <w:divBdr>
                <w:top w:val="none" w:sz="0" w:space="0" w:color="auto"/>
                <w:left w:val="none" w:sz="0" w:space="0" w:color="auto"/>
                <w:bottom w:val="none" w:sz="0" w:space="0" w:color="auto"/>
                <w:right w:val="none" w:sz="0" w:space="0" w:color="auto"/>
              </w:divBdr>
              <w:divsChild>
                <w:div w:id="2043749003">
                  <w:marLeft w:val="0"/>
                  <w:marRight w:val="0"/>
                  <w:marTop w:val="0"/>
                  <w:marBottom w:val="0"/>
                  <w:divBdr>
                    <w:top w:val="none" w:sz="0" w:space="0" w:color="auto"/>
                    <w:left w:val="none" w:sz="0" w:space="0" w:color="auto"/>
                    <w:bottom w:val="none" w:sz="0" w:space="0" w:color="auto"/>
                    <w:right w:val="none" w:sz="0" w:space="0" w:color="auto"/>
                  </w:divBdr>
                  <w:divsChild>
                    <w:div w:id="1927566175">
                      <w:marLeft w:val="0"/>
                      <w:marRight w:val="0"/>
                      <w:marTop w:val="0"/>
                      <w:marBottom w:val="0"/>
                      <w:divBdr>
                        <w:top w:val="none" w:sz="0" w:space="0" w:color="auto"/>
                        <w:left w:val="none" w:sz="0" w:space="0" w:color="auto"/>
                        <w:bottom w:val="none" w:sz="0" w:space="0" w:color="auto"/>
                        <w:right w:val="none" w:sz="0" w:space="0" w:color="auto"/>
                      </w:divBdr>
                      <w:divsChild>
                        <w:div w:id="1228607579">
                          <w:marLeft w:val="0"/>
                          <w:marRight w:val="0"/>
                          <w:marTop w:val="0"/>
                          <w:marBottom w:val="0"/>
                          <w:divBdr>
                            <w:top w:val="none" w:sz="0" w:space="0" w:color="auto"/>
                            <w:left w:val="none" w:sz="0" w:space="0" w:color="auto"/>
                            <w:bottom w:val="none" w:sz="0" w:space="0" w:color="auto"/>
                            <w:right w:val="none" w:sz="0" w:space="0" w:color="auto"/>
                          </w:divBdr>
                          <w:divsChild>
                            <w:div w:id="981273853">
                              <w:marLeft w:val="0"/>
                              <w:marRight w:val="0"/>
                              <w:marTop w:val="0"/>
                              <w:marBottom w:val="0"/>
                              <w:divBdr>
                                <w:top w:val="none" w:sz="0" w:space="0" w:color="auto"/>
                                <w:left w:val="none" w:sz="0" w:space="0" w:color="auto"/>
                                <w:bottom w:val="none" w:sz="0" w:space="0" w:color="auto"/>
                                <w:right w:val="none" w:sz="0" w:space="0" w:color="auto"/>
                              </w:divBdr>
                              <w:divsChild>
                                <w:div w:id="336615325">
                                  <w:marLeft w:val="0"/>
                                  <w:marRight w:val="0"/>
                                  <w:marTop w:val="0"/>
                                  <w:marBottom w:val="0"/>
                                  <w:divBdr>
                                    <w:top w:val="none" w:sz="0" w:space="0" w:color="auto"/>
                                    <w:left w:val="none" w:sz="0" w:space="0" w:color="auto"/>
                                    <w:bottom w:val="none" w:sz="0" w:space="0" w:color="auto"/>
                                    <w:right w:val="none" w:sz="0" w:space="0" w:color="auto"/>
                                  </w:divBdr>
                                  <w:divsChild>
                                    <w:div w:id="83383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087850">
      <w:bodyDiv w:val="1"/>
      <w:marLeft w:val="0"/>
      <w:marRight w:val="0"/>
      <w:marTop w:val="0"/>
      <w:marBottom w:val="0"/>
      <w:divBdr>
        <w:top w:val="none" w:sz="0" w:space="0" w:color="auto"/>
        <w:left w:val="none" w:sz="0" w:space="0" w:color="auto"/>
        <w:bottom w:val="none" w:sz="0" w:space="0" w:color="auto"/>
        <w:right w:val="none" w:sz="0" w:space="0" w:color="auto"/>
      </w:divBdr>
      <w:divsChild>
        <w:div w:id="447311621">
          <w:marLeft w:val="0"/>
          <w:marRight w:val="0"/>
          <w:marTop w:val="0"/>
          <w:marBottom w:val="0"/>
          <w:divBdr>
            <w:top w:val="none" w:sz="0" w:space="0" w:color="auto"/>
            <w:left w:val="none" w:sz="0" w:space="0" w:color="auto"/>
            <w:bottom w:val="none" w:sz="0" w:space="0" w:color="auto"/>
            <w:right w:val="none" w:sz="0" w:space="0" w:color="auto"/>
          </w:divBdr>
          <w:divsChild>
            <w:div w:id="1844971334">
              <w:marLeft w:val="0"/>
              <w:marRight w:val="0"/>
              <w:marTop w:val="0"/>
              <w:marBottom w:val="0"/>
              <w:divBdr>
                <w:top w:val="none" w:sz="0" w:space="0" w:color="auto"/>
                <w:left w:val="none" w:sz="0" w:space="0" w:color="auto"/>
                <w:bottom w:val="none" w:sz="0" w:space="0" w:color="auto"/>
                <w:right w:val="none" w:sz="0" w:space="0" w:color="auto"/>
              </w:divBdr>
              <w:divsChild>
                <w:div w:id="1768843261">
                  <w:marLeft w:val="0"/>
                  <w:marRight w:val="0"/>
                  <w:marTop w:val="0"/>
                  <w:marBottom w:val="0"/>
                  <w:divBdr>
                    <w:top w:val="none" w:sz="0" w:space="0" w:color="auto"/>
                    <w:left w:val="none" w:sz="0" w:space="0" w:color="auto"/>
                    <w:bottom w:val="none" w:sz="0" w:space="0" w:color="auto"/>
                    <w:right w:val="none" w:sz="0" w:space="0" w:color="auto"/>
                  </w:divBdr>
                  <w:divsChild>
                    <w:div w:id="1242830265">
                      <w:marLeft w:val="0"/>
                      <w:marRight w:val="0"/>
                      <w:marTop w:val="0"/>
                      <w:marBottom w:val="0"/>
                      <w:divBdr>
                        <w:top w:val="none" w:sz="0" w:space="0" w:color="auto"/>
                        <w:left w:val="none" w:sz="0" w:space="0" w:color="auto"/>
                        <w:bottom w:val="none" w:sz="0" w:space="0" w:color="auto"/>
                        <w:right w:val="none" w:sz="0" w:space="0" w:color="auto"/>
                      </w:divBdr>
                      <w:divsChild>
                        <w:div w:id="1099763471">
                          <w:marLeft w:val="0"/>
                          <w:marRight w:val="0"/>
                          <w:marTop w:val="0"/>
                          <w:marBottom w:val="0"/>
                          <w:divBdr>
                            <w:top w:val="none" w:sz="0" w:space="0" w:color="auto"/>
                            <w:left w:val="none" w:sz="0" w:space="0" w:color="auto"/>
                            <w:bottom w:val="none" w:sz="0" w:space="0" w:color="auto"/>
                            <w:right w:val="none" w:sz="0" w:space="0" w:color="auto"/>
                          </w:divBdr>
                          <w:divsChild>
                            <w:div w:id="98376471">
                              <w:marLeft w:val="0"/>
                              <w:marRight w:val="0"/>
                              <w:marTop w:val="0"/>
                              <w:marBottom w:val="0"/>
                              <w:divBdr>
                                <w:top w:val="none" w:sz="0" w:space="0" w:color="auto"/>
                                <w:left w:val="none" w:sz="0" w:space="0" w:color="auto"/>
                                <w:bottom w:val="none" w:sz="0" w:space="0" w:color="auto"/>
                                <w:right w:val="none" w:sz="0" w:space="0" w:color="auto"/>
                              </w:divBdr>
                              <w:divsChild>
                                <w:div w:id="291523776">
                                  <w:marLeft w:val="0"/>
                                  <w:marRight w:val="0"/>
                                  <w:marTop w:val="0"/>
                                  <w:marBottom w:val="0"/>
                                  <w:divBdr>
                                    <w:top w:val="none" w:sz="0" w:space="0" w:color="auto"/>
                                    <w:left w:val="none" w:sz="0" w:space="0" w:color="auto"/>
                                    <w:bottom w:val="none" w:sz="0" w:space="0" w:color="auto"/>
                                    <w:right w:val="none" w:sz="0" w:space="0" w:color="auto"/>
                                  </w:divBdr>
                                  <w:divsChild>
                                    <w:div w:id="189635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115407">
      <w:bodyDiv w:val="1"/>
      <w:marLeft w:val="0"/>
      <w:marRight w:val="0"/>
      <w:marTop w:val="0"/>
      <w:marBottom w:val="0"/>
      <w:divBdr>
        <w:top w:val="none" w:sz="0" w:space="0" w:color="auto"/>
        <w:left w:val="none" w:sz="0" w:space="0" w:color="auto"/>
        <w:bottom w:val="none" w:sz="0" w:space="0" w:color="auto"/>
        <w:right w:val="none" w:sz="0" w:space="0" w:color="auto"/>
      </w:divBdr>
      <w:divsChild>
        <w:div w:id="1987123804">
          <w:marLeft w:val="0"/>
          <w:marRight w:val="0"/>
          <w:marTop w:val="0"/>
          <w:marBottom w:val="0"/>
          <w:divBdr>
            <w:top w:val="none" w:sz="0" w:space="0" w:color="auto"/>
            <w:left w:val="none" w:sz="0" w:space="0" w:color="auto"/>
            <w:bottom w:val="none" w:sz="0" w:space="0" w:color="auto"/>
            <w:right w:val="none" w:sz="0" w:space="0" w:color="auto"/>
          </w:divBdr>
        </w:div>
      </w:divsChild>
    </w:div>
    <w:div w:id="1447506834">
      <w:bodyDiv w:val="1"/>
      <w:marLeft w:val="0"/>
      <w:marRight w:val="0"/>
      <w:marTop w:val="0"/>
      <w:marBottom w:val="0"/>
      <w:divBdr>
        <w:top w:val="none" w:sz="0" w:space="0" w:color="auto"/>
        <w:left w:val="none" w:sz="0" w:space="0" w:color="auto"/>
        <w:bottom w:val="none" w:sz="0" w:space="0" w:color="auto"/>
        <w:right w:val="none" w:sz="0" w:space="0" w:color="auto"/>
      </w:divBdr>
      <w:divsChild>
        <w:div w:id="349331855">
          <w:marLeft w:val="0"/>
          <w:marRight w:val="0"/>
          <w:marTop w:val="0"/>
          <w:marBottom w:val="0"/>
          <w:divBdr>
            <w:top w:val="none" w:sz="0" w:space="0" w:color="auto"/>
            <w:left w:val="none" w:sz="0" w:space="0" w:color="auto"/>
            <w:bottom w:val="none" w:sz="0" w:space="0" w:color="auto"/>
            <w:right w:val="none" w:sz="0" w:space="0" w:color="auto"/>
          </w:divBdr>
          <w:divsChild>
            <w:div w:id="415791300">
              <w:marLeft w:val="0"/>
              <w:marRight w:val="0"/>
              <w:marTop w:val="0"/>
              <w:marBottom w:val="0"/>
              <w:divBdr>
                <w:top w:val="none" w:sz="0" w:space="0" w:color="auto"/>
                <w:left w:val="none" w:sz="0" w:space="0" w:color="auto"/>
                <w:bottom w:val="none" w:sz="0" w:space="0" w:color="auto"/>
                <w:right w:val="none" w:sz="0" w:space="0" w:color="auto"/>
              </w:divBdr>
              <w:divsChild>
                <w:div w:id="2077975096">
                  <w:marLeft w:val="0"/>
                  <w:marRight w:val="0"/>
                  <w:marTop w:val="0"/>
                  <w:marBottom w:val="0"/>
                  <w:divBdr>
                    <w:top w:val="none" w:sz="0" w:space="0" w:color="auto"/>
                    <w:left w:val="none" w:sz="0" w:space="0" w:color="auto"/>
                    <w:bottom w:val="none" w:sz="0" w:space="0" w:color="auto"/>
                    <w:right w:val="none" w:sz="0" w:space="0" w:color="auto"/>
                  </w:divBdr>
                  <w:divsChild>
                    <w:div w:id="1260066887">
                      <w:marLeft w:val="0"/>
                      <w:marRight w:val="0"/>
                      <w:marTop w:val="0"/>
                      <w:marBottom w:val="0"/>
                      <w:divBdr>
                        <w:top w:val="none" w:sz="0" w:space="0" w:color="auto"/>
                        <w:left w:val="none" w:sz="0" w:space="0" w:color="auto"/>
                        <w:bottom w:val="none" w:sz="0" w:space="0" w:color="auto"/>
                        <w:right w:val="none" w:sz="0" w:space="0" w:color="auto"/>
                      </w:divBdr>
                      <w:divsChild>
                        <w:div w:id="107420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275835">
      <w:bodyDiv w:val="1"/>
      <w:marLeft w:val="0"/>
      <w:marRight w:val="0"/>
      <w:marTop w:val="0"/>
      <w:marBottom w:val="0"/>
      <w:divBdr>
        <w:top w:val="none" w:sz="0" w:space="0" w:color="auto"/>
        <w:left w:val="none" w:sz="0" w:space="0" w:color="auto"/>
        <w:bottom w:val="none" w:sz="0" w:space="0" w:color="auto"/>
        <w:right w:val="none" w:sz="0" w:space="0" w:color="auto"/>
      </w:divBdr>
      <w:divsChild>
        <w:div w:id="351149564">
          <w:marLeft w:val="0"/>
          <w:marRight w:val="0"/>
          <w:marTop w:val="0"/>
          <w:marBottom w:val="0"/>
          <w:divBdr>
            <w:top w:val="none" w:sz="0" w:space="0" w:color="auto"/>
            <w:left w:val="none" w:sz="0" w:space="0" w:color="auto"/>
            <w:bottom w:val="none" w:sz="0" w:space="0" w:color="auto"/>
            <w:right w:val="none" w:sz="0" w:space="0" w:color="auto"/>
          </w:divBdr>
          <w:divsChild>
            <w:div w:id="1991788076">
              <w:marLeft w:val="0"/>
              <w:marRight w:val="0"/>
              <w:marTop w:val="0"/>
              <w:marBottom w:val="0"/>
              <w:divBdr>
                <w:top w:val="none" w:sz="0" w:space="0" w:color="auto"/>
                <w:left w:val="none" w:sz="0" w:space="0" w:color="auto"/>
                <w:bottom w:val="none" w:sz="0" w:space="0" w:color="auto"/>
                <w:right w:val="none" w:sz="0" w:space="0" w:color="auto"/>
              </w:divBdr>
              <w:divsChild>
                <w:div w:id="1416705444">
                  <w:marLeft w:val="0"/>
                  <w:marRight w:val="0"/>
                  <w:marTop w:val="0"/>
                  <w:marBottom w:val="0"/>
                  <w:divBdr>
                    <w:top w:val="none" w:sz="0" w:space="0" w:color="auto"/>
                    <w:left w:val="none" w:sz="0" w:space="0" w:color="auto"/>
                    <w:bottom w:val="none" w:sz="0" w:space="0" w:color="auto"/>
                    <w:right w:val="none" w:sz="0" w:space="0" w:color="auto"/>
                  </w:divBdr>
                  <w:divsChild>
                    <w:div w:id="743796829">
                      <w:marLeft w:val="0"/>
                      <w:marRight w:val="0"/>
                      <w:marTop w:val="0"/>
                      <w:marBottom w:val="0"/>
                      <w:divBdr>
                        <w:top w:val="none" w:sz="0" w:space="0" w:color="auto"/>
                        <w:left w:val="none" w:sz="0" w:space="0" w:color="auto"/>
                        <w:bottom w:val="none" w:sz="0" w:space="0" w:color="auto"/>
                        <w:right w:val="none" w:sz="0" w:space="0" w:color="auto"/>
                      </w:divBdr>
                      <w:divsChild>
                        <w:div w:id="136367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62822">
      <w:bodyDiv w:val="1"/>
      <w:marLeft w:val="0"/>
      <w:marRight w:val="0"/>
      <w:marTop w:val="0"/>
      <w:marBottom w:val="0"/>
      <w:divBdr>
        <w:top w:val="none" w:sz="0" w:space="0" w:color="auto"/>
        <w:left w:val="none" w:sz="0" w:space="0" w:color="auto"/>
        <w:bottom w:val="none" w:sz="0" w:space="0" w:color="auto"/>
        <w:right w:val="none" w:sz="0" w:space="0" w:color="auto"/>
      </w:divBdr>
      <w:divsChild>
        <w:div w:id="136076550">
          <w:marLeft w:val="0"/>
          <w:marRight w:val="0"/>
          <w:marTop w:val="0"/>
          <w:marBottom w:val="0"/>
          <w:divBdr>
            <w:top w:val="none" w:sz="0" w:space="0" w:color="auto"/>
            <w:left w:val="none" w:sz="0" w:space="0" w:color="auto"/>
            <w:bottom w:val="none" w:sz="0" w:space="0" w:color="auto"/>
            <w:right w:val="none" w:sz="0" w:space="0" w:color="auto"/>
          </w:divBdr>
          <w:divsChild>
            <w:div w:id="1597399547">
              <w:marLeft w:val="0"/>
              <w:marRight w:val="0"/>
              <w:marTop w:val="0"/>
              <w:marBottom w:val="0"/>
              <w:divBdr>
                <w:top w:val="none" w:sz="0" w:space="0" w:color="auto"/>
                <w:left w:val="none" w:sz="0" w:space="0" w:color="auto"/>
                <w:bottom w:val="none" w:sz="0" w:space="0" w:color="auto"/>
                <w:right w:val="none" w:sz="0" w:space="0" w:color="auto"/>
              </w:divBdr>
              <w:divsChild>
                <w:div w:id="254673699">
                  <w:marLeft w:val="0"/>
                  <w:marRight w:val="0"/>
                  <w:marTop w:val="0"/>
                  <w:marBottom w:val="0"/>
                  <w:divBdr>
                    <w:top w:val="none" w:sz="0" w:space="0" w:color="auto"/>
                    <w:left w:val="none" w:sz="0" w:space="0" w:color="auto"/>
                    <w:bottom w:val="none" w:sz="0" w:space="0" w:color="auto"/>
                    <w:right w:val="none" w:sz="0" w:space="0" w:color="auto"/>
                  </w:divBdr>
                  <w:divsChild>
                    <w:div w:id="1758745129">
                      <w:marLeft w:val="0"/>
                      <w:marRight w:val="0"/>
                      <w:marTop w:val="0"/>
                      <w:marBottom w:val="0"/>
                      <w:divBdr>
                        <w:top w:val="none" w:sz="0" w:space="0" w:color="auto"/>
                        <w:left w:val="none" w:sz="0" w:space="0" w:color="auto"/>
                        <w:bottom w:val="none" w:sz="0" w:space="0" w:color="auto"/>
                        <w:right w:val="none" w:sz="0" w:space="0" w:color="auto"/>
                      </w:divBdr>
                      <w:divsChild>
                        <w:div w:id="534079485">
                          <w:marLeft w:val="0"/>
                          <w:marRight w:val="0"/>
                          <w:marTop w:val="0"/>
                          <w:marBottom w:val="0"/>
                          <w:divBdr>
                            <w:top w:val="none" w:sz="0" w:space="0" w:color="auto"/>
                            <w:left w:val="none" w:sz="0" w:space="0" w:color="auto"/>
                            <w:bottom w:val="none" w:sz="0" w:space="0" w:color="auto"/>
                            <w:right w:val="none" w:sz="0" w:space="0" w:color="auto"/>
                          </w:divBdr>
                          <w:divsChild>
                            <w:div w:id="57482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830997">
      <w:bodyDiv w:val="1"/>
      <w:marLeft w:val="0"/>
      <w:marRight w:val="0"/>
      <w:marTop w:val="0"/>
      <w:marBottom w:val="0"/>
      <w:divBdr>
        <w:top w:val="none" w:sz="0" w:space="0" w:color="auto"/>
        <w:left w:val="none" w:sz="0" w:space="0" w:color="auto"/>
        <w:bottom w:val="none" w:sz="0" w:space="0" w:color="auto"/>
        <w:right w:val="none" w:sz="0" w:space="0" w:color="auto"/>
      </w:divBdr>
      <w:divsChild>
        <w:div w:id="371001741">
          <w:marLeft w:val="0"/>
          <w:marRight w:val="0"/>
          <w:marTop w:val="0"/>
          <w:marBottom w:val="0"/>
          <w:divBdr>
            <w:top w:val="none" w:sz="0" w:space="0" w:color="auto"/>
            <w:left w:val="none" w:sz="0" w:space="0" w:color="auto"/>
            <w:bottom w:val="none" w:sz="0" w:space="0" w:color="auto"/>
            <w:right w:val="none" w:sz="0" w:space="0" w:color="auto"/>
          </w:divBdr>
          <w:divsChild>
            <w:div w:id="1512986277">
              <w:marLeft w:val="0"/>
              <w:marRight w:val="0"/>
              <w:marTop w:val="0"/>
              <w:marBottom w:val="0"/>
              <w:divBdr>
                <w:top w:val="none" w:sz="0" w:space="0" w:color="auto"/>
                <w:left w:val="none" w:sz="0" w:space="0" w:color="auto"/>
                <w:bottom w:val="none" w:sz="0" w:space="0" w:color="auto"/>
                <w:right w:val="none" w:sz="0" w:space="0" w:color="auto"/>
              </w:divBdr>
              <w:divsChild>
                <w:div w:id="918633495">
                  <w:marLeft w:val="0"/>
                  <w:marRight w:val="0"/>
                  <w:marTop w:val="0"/>
                  <w:marBottom w:val="0"/>
                  <w:divBdr>
                    <w:top w:val="none" w:sz="0" w:space="0" w:color="auto"/>
                    <w:left w:val="none" w:sz="0" w:space="0" w:color="auto"/>
                    <w:bottom w:val="none" w:sz="0" w:space="0" w:color="auto"/>
                    <w:right w:val="none" w:sz="0" w:space="0" w:color="auto"/>
                  </w:divBdr>
                  <w:divsChild>
                    <w:div w:id="1651255013">
                      <w:marLeft w:val="0"/>
                      <w:marRight w:val="0"/>
                      <w:marTop w:val="0"/>
                      <w:marBottom w:val="0"/>
                      <w:divBdr>
                        <w:top w:val="none" w:sz="0" w:space="0" w:color="auto"/>
                        <w:left w:val="none" w:sz="0" w:space="0" w:color="auto"/>
                        <w:bottom w:val="none" w:sz="0" w:space="0" w:color="auto"/>
                        <w:right w:val="none" w:sz="0" w:space="0" w:color="auto"/>
                      </w:divBdr>
                      <w:divsChild>
                        <w:div w:id="1483157126">
                          <w:marLeft w:val="0"/>
                          <w:marRight w:val="0"/>
                          <w:marTop w:val="0"/>
                          <w:marBottom w:val="0"/>
                          <w:divBdr>
                            <w:top w:val="none" w:sz="0" w:space="0" w:color="auto"/>
                            <w:left w:val="none" w:sz="0" w:space="0" w:color="auto"/>
                            <w:bottom w:val="none" w:sz="0" w:space="0" w:color="auto"/>
                            <w:right w:val="none" w:sz="0" w:space="0" w:color="auto"/>
                          </w:divBdr>
                          <w:divsChild>
                            <w:div w:id="28581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441880">
      <w:bodyDiv w:val="1"/>
      <w:marLeft w:val="0"/>
      <w:marRight w:val="0"/>
      <w:marTop w:val="0"/>
      <w:marBottom w:val="0"/>
      <w:divBdr>
        <w:top w:val="none" w:sz="0" w:space="0" w:color="auto"/>
        <w:left w:val="none" w:sz="0" w:space="0" w:color="auto"/>
        <w:bottom w:val="none" w:sz="0" w:space="0" w:color="auto"/>
        <w:right w:val="none" w:sz="0" w:space="0" w:color="auto"/>
      </w:divBdr>
      <w:divsChild>
        <w:div w:id="1103308855">
          <w:marLeft w:val="0"/>
          <w:marRight w:val="0"/>
          <w:marTop w:val="0"/>
          <w:marBottom w:val="0"/>
          <w:divBdr>
            <w:top w:val="none" w:sz="0" w:space="0" w:color="auto"/>
            <w:left w:val="none" w:sz="0" w:space="0" w:color="auto"/>
            <w:bottom w:val="none" w:sz="0" w:space="0" w:color="auto"/>
            <w:right w:val="none" w:sz="0" w:space="0" w:color="auto"/>
          </w:divBdr>
          <w:divsChild>
            <w:div w:id="1253247545">
              <w:marLeft w:val="0"/>
              <w:marRight w:val="0"/>
              <w:marTop w:val="0"/>
              <w:marBottom w:val="0"/>
              <w:divBdr>
                <w:top w:val="none" w:sz="0" w:space="0" w:color="auto"/>
                <w:left w:val="none" w:sz="0" w:space="0" w:color="auto"/>
                <w:bottom w:val="none" w:sz="0" w:space="0" w:color="auto"/>
                <w:right w:val="none" w:sz="0" w:space="0" w:color="auto"/>
              </w:divBdr>
              <w:divsChild>
                <w:div w:id="1746295176">
                  <w:marLeft w:val="0"/>
                  <w:marRight w:val="0"/>
                  <w:marTop w:val="0"/>
                  <w:marBottom w:val="0"/>
                  <w:divBdr>
                    <w:top w:val="none" w:sz="0" w:space="0" w:color="auto"/>
                    <w:left w:val="none" w:sz="0" w:space="0" w:color="auto"/>
                    <w:bottom w:val="none" w:sz="0" w:space="0" w:color="auto"/>
                    <w:right w:val="none" w:sz="0" w:space="0" w:color="auto"/>
                  </w:divBdr>
                  <w:divsChild>
                    <w:div w:id="122769163">
                      <w:marLeft w:val="0"/>
                      <w:marRight w:val="0"/>
                      <w:marTop w:val="0"/>
                      <w:marBottom w:val="0"/>
                      <w:divBdr>
                        <w:top w:val="none" w:sz="0" w:space="0" w:color="auto"/>
                        <w:left w:val="none" w:sz="0" w:space="0" w:color="auto"/>
                        <w:bottom w:val="none" w:sz="0" w:space="0" w:color="auto"/>
                        <w:right w:val="none" w:sz="0" w:space="0" w:color="auto"/>
                      </w:divBdr>
                      <w:divsChild>
                        <w:div w:id="188639933">
                          <w:marLeft w:val="0"/>
                          <w:marRight w:val="0"/>
                          <w:marTop w:val="0"/>
                          <w:marBottom w:val="0"/>
                          <w:divBdr>
                            <w:top w:val="none" w:sz="0" w:space="0" w:color="auto"/>
                            <w:left w:val="none" w:sz="0" w:space="0" w:color="auto"/>
                            <w:bottom w:val="none" w:sz="0" w:space="0" w:color="auto"/>
                            <w:right w:val="none" w:sz="0" w:space="0" w:color="auto"/>
                          </w:divBdr>
                          <w:divsChild>
                            <w:div w:id="192892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582860">
      <w:bodyDiv w:val="1"/>
      <w:marLeft w:val="0"/>
      <w:marRight w:val="0"/>
      <w:marTop w:val="0"/>
      <w:marBottom w:val="0"/>
      <w:divBdr>
        <w:top w:val="none" w:sz="0" w:space="0" w:color="auto"/>
        <w:left w:val="none" w:sz="0" w:space="0" w:color="auto"/>
        <w:bottom w:val="none" w:sz="0" w:space="0" w:color="auto"/>
        <w:right w:val="none" w:sz="0" w:space="0" w:color="auto"/>
      </w:divBdr>
      <w:divsChild>
        <w:div w:id="1094403566">
          <w:marLeft w:val="0"/>
          <w:marRight w:val="0"/>
          <w:marTop w:val="0"/>
          <w:marBottom w:val="0"/>
          <w:divBdr>
            <w:top w:val="none" w:sz="0" w:space="0" w:color="auto"/>
            <w:left w:val="single" w:sz="6" w:space="0" w:color="FFFFFF"/>
            <w:bottom w:val="none" w:sz="0" w:space="0" w:color="auto"/>
            <w:right w:val="single" w:sz="6" w:space="0" w:color="FFFFFF"/>
          </w:divBdr>
          <w:divsChild>
            <w:div w:id="1302033608">
              <w:marLeft w:val="0"/>
              <w:marRight w:val="0"/>
              <w:marTop w:val="0"/>
              <w:marBottom w:val="0"/>
              <w:divBdr>
                <w:top w:val="none" w:sz="0" w:space="0" w:color="auto"/>
                <w:left w:val="none" w:sz="0" w:space="0" w:color="auto"/>
                <w:bottom w:val="none" w:sz="0" w:space="0" w:color="auto"/>
                <w:right w:val="none" w:sz="0" w:space="0" w:color="auto"/>
              </w:divBdr>
              <w:divsChild>
                <w:div w:id="580406419">
                  <w:marLeft w:val="0"/>
                  <w:marRight w:val="0"/>
                  <w:marTop w:val="0"/>
                  <w:marBottom w:val="0"/>
                  <w:divBdr>
                    <w:top w:val="none" w:sz="0" w:space="0" w:color="auto"/>
                    <w:left w:val="none" w:sz="0" w:space="0" w:color="auto"/>
                    <w:bottom w:val="none" w:sz="0" w:space="0" w:color="auto"/>
                    <w:right w:val="none" w:sz="0" w:space="0" w:color="auto"/>
                  </w:divBdr>
                  <w:divsChild>
                    <w:div w:id="159659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828528">
      <w:bodyDiv w:val="1"/>
      <w:marLeft w:val="0"/>
      <w:marRight w:val="0"/>
      <w:marTop w:val="0"/>
      <w:marBottom w:val="0"/>
      <w:divBdr>
        <w:top w:val="none" w:sz="0" w:space="0" w:color="auto"/>
        <w:left w:val="none" w:sz="0" w:space="0" w:color="auto"/>
        <w:bottom w:val="none" w:sz="0" w:space="0" w:color="auto"/>
        <w:right w:val="none" w:sz="0" w:space="0" w:color="auto"/>
      </w:divBdr>
      <w:divsChild>
        <w:div w:id="735973156">
          <w:marLeft w:val="0"/>
          <w:marRight w:val="0"/>
          <w:marTop w:val="0"/>
          <w:marBottom w:val="0"/>
          <w:divBdr>
            <w:top w:val="none" w:sz="0" w:space="0" w:color="auto"/>
            <w:left w:val="none" w:sz="0" w:space="0" w:color="auto"/>
            <w:bottom w:val="none" w:sz="0" w:space="0" w:color="auto"/>
            <w:right w:val="none" w:sz="0" w:space="0" w:color="auto"/>
          </w:divBdr>
          <w:divsChild>
            <w:div w:id="297341067">
              <w:marLeft w:val="0"/>
              <w:marRight w:val="0"/>
              <w:marTop w:val="0"/>
              <w:marBottom w:val="0"/>
              <w:divBdr>
                <w:top w:val="none" w:sz="0" w:space="0" w:color="auto"/>
                <w:left w:val="none" w:sz="0" w:space="0" w:color="auto"/>
                <w:bottom w:val="none" w:sz="0" w:space="0" w:color="auto"/>
                <w:right w:val="none" w:sz="0" w:space="0" w:color="auto"/>
              </w:divBdr>
              <w:divsChild>
                <w:div w:id="1019350975">
                  <w:marLeft w:val="0"/>
                  <w:marRight w:val="0"/>
                  <w:marTop w:val="0"/>
                  <w:marBottom w:val="0"/>
                  <w:divBdr>
                    <w:top w:val="none" w:sz="0" w:space="0" w:color="auto"/>
                    <w:left w:val="none" w:sz="0" w:space="0" w:color="auto"/>
                    <w:bottom w:val="none" w:sz="0" w:space="0" w:color="auto"/>
                    <w:right w:val="none" w:sz="0" w:space="0" w:color="auto"/>
                  </w:divBdr>
                  <w:divsChild>
                    <w:div w:id="380204622">
                      <w:marLeft w:val="0"/>
                      <w:marRight w:val="0"/>
                      <w:marTop w:val="0"/>
                      <w:marBottom w:val="0"/>
                      <w:divBdr>
                        <w:top w:val="none" w:sz="0" w:space="0" w:color="auto"/>
                        <w:left w:val="none" w:sz="0" w:space="0" w:color="auto"/>
                        <w:bottom w:val="none" w:sz="0" w:space="0" w:color="auto"/>
                        <w:right w:val="none" w:sz="0" w:space="0" w:color="auto"/>
                      </w:divBdr>
                      <w:divsChild>
                        <w:div w:id="1411002812">
                          <w:marLeft w:val="0"/>
                          <w:marRight w:val="0"/>
                          <w:marTop w:val="0"/>
                          <w:marBottom w:val="0"/>
                          <w:divBdr>
                            <w:top w:val="none" w:sz="0" w:space="0" w:color="auto"/>
                            <w:left w:val="none" w:sz="0" w:space="0" w:color="auto"/>
                            <w:bottom w:val="none" w:sz="0" w:space="0" w:color="auto"/>
                            <w:right w:val="none" w:sz="0" w:space="0" w:color="auto"/>
                          </w:divBdr>
                          <w:divsChild>
                            <w:div w:id="277029252">
                              <w:marLeft w:val="0"/>
                              <w:marRight w:val="0"/>
                              <w:marTop w:val="0"/>
                              <w:marBottom w:val="0"/>
                              <w:divBdr>
                                <w:top w:val="none" w:sz="0" w:space="0" w:color="auto"/>
                                <w:left w:val="none" w:sz="0" w:space="0" w:color="auto"/>
                                <w:bottom w:val="none" w:sz="0" w:space="0" w:color="auto"/>
                                <w:right w:val="none" w:sz="0" w:space="0" w:color="auto"/>
                              </w:divBdr>
                              <w:divsChild>
                                <w:div w:id="286199192">
                                  <w:marLeft w:val="0"/>
                                  <w:marRight w:val="0"/>
                                  <w:marTop w:val="0"/>
                                  <w:marBottom w:val="0"/>
                                  <w:divBdr>
                                    <w:top w:val="none" w:sz="0" w:space="0" w:color="auto"/>
                                    <w:left w:val="none" w:sz="0" w:space="0" w:color="auto"/>
                                    <w:bottom w:val="none" w:sz="0" w:space="0" w:color="auto"/>
                                    <w:right w:val="none" w:sz="0" w:space="0" w:color="auto"/>
                                  </w:divBdr>
                                  <w:divsChild>
                                    <w:div w:id="730808892">
                                      <w:marLeft w:val="0"/>
                                      <w:marRight w:val="0"/>
                                      <w:marTop w:val="0"/>
                                      <w:marBottom w:val="0"/>
                                      <w:divBdr>
                                        <w:top w:val="none" w:sz="0" w:space="0" w:color="auto"/>
                                        <w:left w:val="none" w:sz="0" w:space="0" w:color="auto"/>
                                        <w:bottom w:val="none" w:sz="0" w:space="0" w:color="auto"/>
                                        <w:right w:val="none" w:sz="0" w:space="0" w:color="auto"/>
                                      </w:divBdr>
                                      <w:divsChild>
                                        <w:div w:id="328097102">
                                          <w:marLeft w:val="0"/>
                                          <w:marRight w:val="0"/>
                                          <w:marTop w:val="0"/>
                                          <w:marBottom w:val="0"/>
                                          <w:divBdr>
                                            <w:top w:val="none" w:sz="0" w:space="0" w:color="auto"/>
                                            <w:left w:val="none" w:sz="0" w:space="0" w:color="auto"/>
                                            <w:bottom w:val="none" w:sz="0" w:space="0" w:color="auto"/>
                                            <w:right w:val="none" w:sz="0" w:space="0" w:color="auto"/>
                                          </w:divBdr>
                                          <w:divsChild>
                                            <w:div w:id="1588615408">
                                              <w:marLeft w:val="0"/>
                                              <w:marRight w:val="0"/>
                                              <w:marTop w:val="0"/>
                                              <w:marBottom w:val="0"/>
                                              <w:divBdr>
                                                <w:top w:val="none" w:sz="0" w:space="0" w:color="auto"/>
                                                <w:left w:val="none" w:sz="0" w:space="0" w:color="auto"/>
                                                <w:bottom w:val="none" w:sz="0" w:space="0" w:color="auto"/>
                                                <w:right w:val="none" w:sz="0" w:space="0" w:color="auto"/>
                                              </w:divBdr>
                                              <w:divsChild>
                                                <w:div w:id="304555323">
                                                  <w:marLeft w:val="0"/>
                                                  <w:marRight w:val="0"/>
                                                  <w:marTop w:val="0"/>
                                                  <w:marBottom w:val="0"/>
                                                  <w:divBdr>
                                                    <w:top w:val="none" w:sz="0" w:space="0" w:color="auto"/>
                                                    <w:left w:val="none" w:sz="0" w:space="0" w:color="auto"/>
                                                    <w:bottom w:val="none" w:sz="0" w:space="0" w:color="auto"/>
                                                    <w:right w:val="none" w:sz="0" w:space="0" w:color="auto"/>
                                                  </w:divBdr>
                                                  <w:divsChild>
                                                    <w:div w:id="34544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1163615">
      <w:bodyDiv w:val="1"/>
      <w:marLeft w:val="0"/>
      <w:marRight w:val="0"/>
      <w:marTop w:val="0"/>
      <w:marBottom w:val="0"/>
      <w:divBdr>
        <w:top w:val="none" w:sz="0" w:space="0" w:color="auto"/>
        <w:left w:val="none" w:sz="0" w:space="0" w:color="auto"/>
        <w:bottom w:val="none" w:sz="0" w:space="0" w:color="auto"/>
        <w:right w:val="none" w:sz="0" w:space="0" w:color="auto"/>
      </w:divBdr>
      <w:divsChild>
        <w:div w:id="1598825017">
          <w:marLeft w:val="0"/>
          <w:marRight w:val="0"/>
          <w:marTop w:val="0"/>
          <w:marBottom w:val="0"/>
          <w:divBdr>
            <w:top w:val="none" w:sz="0" w:space="0" w:color="auto"/>
            <w:left w:val="none" w:sz="0" w:space="0" w:color="auto"/>
            <w:bottom w:val="none" w:sz="0" w:space="0" w:color="auto"/>
            <w:right w:val="none" w:sz="0" w:space="0" w:color="auto"/>
          </w:divBdr>
        </w:div>
      </w:divsChild>
    </w:div>
    <w:div w:id="1918901152">
      <w:bodyDiv w:val="1"/>
      <w:marLeft w:val="0"/>
      <w:marRight w:val="0"/>
      <w:marTop w:val="96"/>
      <w:marBottom w:val="0"/>
      <w:divBdr>
        <w:top w:val="none" w:sz="0" w:space="0" w:color="auto"/>
        <w:left w:val="none" w:sz="0" w:space="0" w:color="auto"/>
        <w:bottom w:val="none" w:sz="0" w:space="0" w:color="auto"/>
        <w:right w:val="none" w:sz="0" w:space="0" w:color="auto"/>
      </w:divBdr>
      <w:divsChild>
        <w:div w:id="599919963">
          <w:marLeft w:val="0"/>
          <w:marRight w:val="0"/>
          <w:marTop w:val="0"/>
          <w:marBottom w:val="0"/>
          <w:divBdr>
            <w:top w:val="none" w:sz="0" w:space="0" w:color="auto"/>
            <w:left w:val="none" w:sz="0" w:space="0" w:color="auto"/>
            <w:bottom w:val="none" w:sz="0" w:space="0" w:color="auto"/>
            <w:right w:val="none" w:sz="0" w:space="0" w:color="auto"/>
          </w:divBdr>
          <w:divsChild>
            <w:div w:id="174535985">
              <w:marLeft w:val="0"/>
              <w:marRight w:val="0"/>
              <w:marTop w:val="871"/>
              <w:marBottom w:val="0"/>
              <w:divBdr>
                <w:top w:val="none" w:sz="0" w:space="0" w:color="auto"/>
                <w:left w:val="none" w:sz="0" w:space="0" w:color="auto"/>
                <w:bottom w:val="none" w:sz="0" w:space="0" w:color="auto"/>
                <w:right w:val="none" w:sz="0" w:space="0" w:color="auto"/>
              </w:divBdr>
              <w:divsChild>
                <w:div w:id="263079113">
                  <w:marLeft w:val="0"/>
                  <w:marRight w:val="0"/>
                  <w:marTop w:val="0"/>
                  <w:marBottom w:val="192"/>
                  <w:divBdr>
                    <w:top w:val="none" w:sz="0" w:space="0" w:color="auto"/>
                    <w:left w:val="none" w:sz="0" w:space="0" w:color="auto"/>
                    <w:bottom w:val="none" w:sz="0" w:space="0" w:color="auto"/>
                    <w:right w:val="none" w:sz="0" w:space="0" w:color="auto"/>
                  </w:divBdr>
                  <w:divsChild>
                    <w:div w:id="171458758">
                      <w:marLeft w:val="0"/>
                      <w:marRight w:val="0"/>
                      <w:marTop w:val="0"/>
                      <w:marBottom w:val="0"/>
                      <w:divBdr>
                        <w:top w:val="none" w:sz="0" w:space="0" w:color="auto"/>
                        <w:left w:val="none" w:sz="0" w:space="0" w:color="auto"/>
                        <w:bottom w:val="none" w:sz="0" w:space="0" w:color="auto"/>
                        <w:right w:val="none" w:sz="0" w:space="0" w:color="auto"/>
                      </w:divBdr>
                      <w:divsChild>
                        <w:div w:id="962730386">
                          <w:marLeft w:val="0"/>
                          <w:marRight w:val="0"/>
                          <w:marTop w:val="0"/>
                          <w:marBottom w:val="0"/>
                          <w:divBdr>
                            <w:top w:val="none" w:sz="0" w:space="0" w:color="auto"/>
                            <w:left w:val="none" w:sz="0" w:space="0" w:color="auto"/>
                            <w:bottom w:val="none" w:sz="0" w:space="0" w:color="auto"/>
                            <w:right w:val="none" w:sz="0" w:space="0" w:color="auto"/>
                          </w:divBdr>
                          <w:divsChild>
                            <w:div w:id="14204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7980">
                  <w:marLeft w:val="0"/>
                  <w:marRight w:val="0"/>
                  <w:marTop w:val="0"/>
                  <w:marBottom w:val="0"/>
                  <w:divBdr>
                    <w:top w:val="none" w:sz="0" w:space="0" w:color="auto"/>
                    <w:left w:val="none" w:sz="0" w:space="0" w:color="auto"/>
                    <w:bottom w:val="none" w:sz="0" w:space="0" w:color="auto"/>
                    <w:right w:val="none" w:sz="0" w:space="0" w:color="auto"/>
                  </w:divBdr>
                  <w:divsChild>
                    <w:div w:id="505175836">
                      <w:marLeft w:val="0"/>
                      <w:marRight w:val="0"/>
                      <w:marTop w:val="0"/>
                      <w:marBottom w:val="0"/>
                      <w:divBdr>
                        <w:top w:val="none" w:sz="0" w:space="0" w:color="auto"/>
                        <w:left w:val="none" w:sz="0" w:space="0" w:color="auto"/>
                        <w:bottom w:val="none" w:sz="0" w:space="0" w:color="auto"/>
                        <w:right w:val="none" w:sz="0" w:space="0" w:color="auto"/>
                      </w:divBdr>
                      <w:divsChild>
                        <w:div w:id="943071415">
                          <w:marLeft w:val="0"/>
                          <w:marRight w:val="0"/>
                          <w:marTop w:val="0"/>
                          <w:marBottom w:val="0"/>
                          <w:divBdr>
                            <w:top w:val="none" w:sz="0" w:space="0" w:color="auto"/>
                            <w:left w:val="none" w:sz="0" w:space="0" w:color="auto"/>
                            <w:bottom w:val="none" w:sz="0" w:space="0" w:color="auto"/>
                            <w:right w:val="none" w:sz="0" w:space="0" w:color="auto"/>
                          </w:divBdr>
                          <w:divsChild>
                            <w:div w:id="1175150400">
                              <w:marLeft w:val="0"/>
                              <w:marRight w:val="0"/>
                              <w:marTop w:val="0"/>
                              <w:marBottom w:val="0"/>
                              <w:divBdr>
                                <w:top w:val="none" w:sz="0" w:space="0" w:color="auto"/>
                                <w:left w:val="none" w:sz="0" w:space="0" w:color="auto"/>
                                <w:bottom w:val="none" w:sz="0" w:space="0" w:color="auto"/>
                                <w:right w:val="none" w:sz="0" w:space="0" w:color="auto"/>
                              </w:divBdr>
                              <w:divsChild>
                                <w:div w:id="14866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635488">
      <w:bodyDiv w:val="1"/>
      <w:marLeft w:val="0"/>
      <w:marRight w:val="0"/>
      <w:marTop w:val="0"/>
      <w:marBottom w:val="0"/>
      <w:divBdr>
        <w:top w:val="none" w:sz="0" w:space="0" w:color="auto"/>
        <w:left w:val="none" w:sz="0" w:space="0" w:color="auto"/>
        <w:bottom w:val="none" w:sz="0" w:space="0" w:color="auto"/>
        <w:right w:val="none" w:sz="0" w:space="0" w:color="auto"/>
      </w:divBdr>
      <w:divsChild>
        <w:div w:id="692538089">
          <w:marLeft w:val="0"/>
          <w:marRight w:val="0"/>
          <w:marTop w:val="0"/>
          <w:marBottom w:val="0"/>
          <w:divBdr>
            <w:top w:val="none" w:sz="0" w:space="0" w:color="auto"/>
            <w:left w:val="none" w:sz="0" w:space="0" w:color="auto"/>
            <w:bottom w:val="none" w:sz="0" w:space="0" w:color="auto"/>
            <w:right w:val="none" w:sz="0" w:space="0" w:color="auto"/>
          </w:divBdr>
          <w:divsChild>
            <w:div w:id="1823423977">
              <w:marLeft w:val="0"/>
              <w:marRight w:val="0"/>
              <w:marTop w:val="0"/>
              <w:marBottom w:val="0"/>
              <w:divBdr>
                <w:top w:val="none" w:sz="0" w:space="0" w:color="auto"/>
                <w:left w:val="none" w:sz="0" w:space="0" w:color="auto"/>
                <w:bottom w:val="none" w:sz="0" w:space="0" w:color="auto"/>
                <w:right w:val="none" w:sz="0" w:space="0" w:color="auto"/>
              </w:divBdr>
              <w:divsChild>
                <w:div w:id="1861704286">
                  <w:marLeft w:val="0"/>
                  <w:marRight w:val="0"/>
                  <w:marTop w:val="0"/>
                  <w:marBottom w:val="0"/>
                  <w:divBdr>
                    <w:top w:val="none" w:sz="0" w:space="0" w:color="auto"/>
                    <w:left w:val="none" w:sz="0" w:space="0" w:color="auto"/>
                    <w:bottom w:val="none" w:sz="0" w:space="0" w:color="auto"/>
                    <w:right w:val="none" w:sz="0" w:space="0" w:color="auto"/>
                  </w:divBdr>
                  <w:divsChild>
                    <w:div w:id="701785285">
                      <w:marLeft w:val="0"/>
                      <w:marRight w:val="0"/>
                      <w:marTop w:val="0"/>
                      <w:marBottom w:val="0"/>
                      <w:divBdr>
                        <w:top w:val="none" w:sz="0" w:space="0" w:color="auto"/>
                        <w:left w:val="none" w:sz="0" w:space="0" w:color="auto"/>
                        <w:bottom w:val="none" w:sz="0" w:space="0" w:color="auto"/>
                        <w:right w:val="none" w:sz="0" w:space="0" w:color="auto"/>
                      </w:divBdr>
                      <w:divsChild>
                        <w:div w:id="1848402895">
                          <w:marLeft w:val="0"/>
                          <w:marRight w:val="0"/>
                          <w:marTop w:val="0"/>
                          <w:marBottom w:val="0"/>
                          <w:divBdr>
                            <w:top w:val="none" w:sz="0" w:space="0" w:color="auto"/>
                            <w:left w:val="none" w:sz="0" w:space="0" w:color="auto"/>
                            <w:bottom w:val="none" w:sz="0" w:space="0" w:color="auto"/>
                            <w:right w:val="none" w:sz="0" w:space="0" w:color="auto"/>
                          </w:divBdr>
                          <w:divsChild>
                            <w:div w:id="19943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033175">
      <w:bodyDiv w:val="1"/>
      <w:marLeft w:val="0"/>
      <w:marRight w:val="0"/>
      <w:marTop w:val="0"/>
      <w:marBottom w:val="0"/>
      <w:divBdr>
        <w:top w:val="none" w:sz="0" w:space="0" w:color="auto"/>
        <w:left w:val="none" w:sz="0" w:space="0" w:color="auto"/>
        <w:bottom w:val="none" w:sz="0" w:space="0" w:color="auto"/>
        <w:right w:val="none" w:sz="0" w:space="0" w:color="auto"/>
      </w:divBdr>
      <w:divsChild>
        <w:div w:id="1194731816">
          <w:marLeft w:val="0"/>
          <w:marRight w:val="0"/>
          <w:marTop w:val="0"/>
          <w:marBottom w:val="0"/>
          <w:divBdr>
            <w:top w:val="none" w:sz="0" w:space="0" w:color="auto"/>
            <w:left w:val="none" w:sz="0" w:space="0" w:color="auto"/>
            <w:bottom w:val="none" w:sz="0" w:space="0" w:color="auto"/>
            <w:right w:val="none" w:sz="0" w:space="0" w:color="auto"/>
          </w:divBdr>
          <w:divsChild>
            <w:div w:id="98137378">
              <w:marLeft w:val="0"/>
              <w:marRight w:val="0"/>
              <w:marTop w:val="0"/>
              <w:marBottom w:val="0"/>
              <w:divBdr>
                <w:top w:val="none" w:sz="0" w:space="0" w:color="auto"/>
                <w:left w:val="none" w:sz="0" w:space="0" w:color="auto"/>
                <w:bottom w:val="none" w:sz="0" w:space="0" w:color="auto"/>
                <w:right w:val="none" w:sz="0" w:space="0" w:color="auto"/>
              </w:divBdr>
              <w:divsChild>
                <w:div w:id="561018258">
                  <w:marLeft w:val="5"/>
                  <w:marRight w:val="5"/>
                  <w:marTop w:val="0"/>
                  <w:marBottom w:val="0"/>
                  <w:divBdr>
                    <w:top w:val="none" w:sz="0" w:space="0" w:color="auto"/>
                    <w:left w:val="none" w:sz="0" w:space="0" w:color="auto"/>
                    <w:bottom w:val="none" w:sz="0" w:space="0" w:color="auto"/>
                    <w:right w:val="none" w:sz="0" w:space="0" w:color="auto"/>
                  </w:divBdr>
                  <w:divsChild>
                    <w:div w:id="774061194">
                      <w:marLeft w:val="0"/>
                      <w:marRight w:val="0"/>
                      <w:marTop w:val="0"/>
                      <w:marBottom w:val="0"/>
                      <w:divBdr>
                        <w:top w:val="none" w:sz="0" w:space="0" w:color="auto"/>
                        <w:left w:val="none" w:sz="0" w:space="0" w:color="auto"/>
                        <w:bottom w:val="none" w:sz="0" w:space="0" w:color="auto"/>
                        <w:right w:val="none" w:sz="0" w:space="0" w:color="auto"/>
                      </w:divBdr>
                      <w:divsChild>
                        <w:div w:id="925041121">
                          <w:marLeft w:val="0"/>
                          <w:marRight w:val="0"/>
                          <w:marTop w:val="0"/>
                          <w:marBottom w:val="0"/>
                          <w:divBdr>
                            <w:top w:val="none" w:sz="0" w:space="0" w:color="auto"/>
                            <w:left w:val="none" w:sz="0" w:space="0" w:color="auto"/>
                            <w:bottom w:val="none" w:sz="0" w:space="0" w:color="auto"/>
                            <w:right w:val="none" w:sz="0" w:space="0" w:color="auto"/>
                          </w:divBdr>
                          <w:divsChild>
                            <w:div w:id="7742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135007">
      <w:bodyDiv w:val="1"/>
      <w:marLeft w:val="0"/>
      <w:marRight w:val="0"/>
      <w:marTop w:val="96"/>
      <w:marBottom w:val="0"/>
      <w:divBdr>
        <w:top w:val="none" w:sz="0" w:space="0" w:color="auto"/>
        <w:left w:val="none" w:sz="0" w:space="0" w:color="auto"/>
        <w:bottom w:val="none" w:sz="0" w:space="0" w:color="auto"/>
        <w:right w:val="none" w:sz="0" w:space="0" w:color="auto"/>
      </w:divBdr>
      <w:divsChild>
        <w:div w:id="1856724515">
          <w:marLeft w:val="0"/>
          <w:marRight w:val="0"/>
          <w:marTop w:val="0"/>
          <w:marBottom w:val="0"/>
          <w:divBdr>
            <w:top w:val="none" w:sz="0" w:space="0" w:color="auto"/>
            <w:left w:val="none" w:sz="0" w:space="0" w:color="auto"/>
            <w:bottom w:val="none" w:sz="0" w:space="0" w:color="auto"/>
            <w:right w:val="none" w:sz="0" w:space="0" w:color="auto"/>
          </w:divBdr>
          <w:divsChild>
            <w:div w:id="860241787">
              <w:marLeft w:val="0"/>
              <w:marRight w:val="0"/>
              <w:marTop w:val="871"/>
              <w:marBottom w:val="0"/>
              <w:divBdr>
                <w:top w:val="none" w:sz="0" w:space="0" w:color="auto"/>
                <w:left w:val="none" w:sz="0" w:space="0" w:color="auto"/>
                <w:bottom w:val="none" w:sz="0" w:space="0" w:color="auto"/>
                <w:right w:val="none" w:sz="0" w:space="0" w:color="auto"/>
              </w:divBdr>
              <w:divsChild>
                <w:div w:id="69234399">
                  <w:marLeft w:val="0"/>
                  <w:marRight w:val="0"/>
                  <w:marTop w:val="0"/>
                  <w:marBottom w:val="192"/>
                  <w:divBdr>
                    <w:top w:val="none" w:sz="0" w:space="0" w:color="auto"/>
                    <w:left w:val="none" w:sz="0" w:space="0" w:color="auto"/>
                    <w:bottom w:val="none" w:sz="0" w:space="0" w:color="auto"/>
                    <w:right w:val="none" w:sz="0" w:space="0" w:color="auto"/>
                  </w:divBdr>
                  <w:divsChild>
                    <w:div w:id="309674869">
                      <w:marLeft w:val="0"/>
                      <w:marRight w:val="0"/>
                      <w:marTop w:val="0"/>
                      <w:marBottom w:val="0"/>
                      <w:divBdr>
                        <w:top w:val="none" w:sz="0" w:space="0" w:color="auto"/>
                        <w:left w:val="none" w:sz="0" w:space="0" w:color="auto"/>
                        <w:bottom w:val="none" w:sz="0" w:space="0" w:color="auto"/>
                        <w:right w:val="none" w:sz="0" w:space="0" w:color="auto"/>
                      </w:divBdr>
                      <w:divsChild>
                        <w:div w:id="1138841049">
                          <w:marLeft w:val="0"/>
                          <w:marRight w:val="0"/>
                          <w:marTop w:val="0"/>
                          <w:marBottom w:val="0"/>
                          <w:divBdr>
                            <w:top w:val="none" w:sz="0" w:space="0" w:color="auto"/>
                            <w:left w:val="none" w:sz="0" w:space="0" w:color="auto"/>
                            <w:bottom w:val="none" w:sz="0" w:space="0" w:color="auto"/>
                            <w:right w:val="none" w:sz="0" w:space="0" w:color="auto"/>
                          </w:divBdr>
                          <w:divsChild>
                            <w:div w:id="162781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0729">
                  <w:marLeft w:val="0"/>
                  <w:marRight w:val="0"/>
                  <w:marTop w:val="0"/>
                  <w:marBottom w:val="0"/>
                  <w:divBdr>
                    <w:top w:val="none" w:sz="0" w:space="0" w:color="auto"/>
                    <w:left w:val="none" w:sz="0" w:space="0" w:color="auto"/>
                    <w:bottom w:val="none" w:sz="0" w:space="0" w:color="auto"/>
                    <w:right w:val="none" w:sz="0" w:space="0" w:color="auto"/>
                  </w:divBdr>
                  <w:divsChild>
                    <w:div w:id="577443498">
                      <w:marLeft w:val="0"/>
                      <w:marRight w:val="0"/>
                      <w:marTop w:val="0"/>
                      <w:marBottom w:val="0"/>
                      <w:divBdr>
                        <w:top w:val="none" w:sz="0" w:space="0" w:color="auto"/>
                        <w:left w:val="none" w:sz="0" w:space="0" w:color="auto"/>
                        <w:bottom w:val="none" w:sz="0" w:space="0" w:color="auto"/>
                        <w:right w:val="none" w:sz="0" w:space="0" w:color="auto"/>
                      </w:divBdr>
                      <w:divsChild>
                        <w:div w:id="654646508">
                          <w:marLeft w:val="0"/>
                          <w:marRight w:val="0"/>
                          <w:marTop w:val="0"/>
                          <w:marBottom w:val="0"/>
                          <w:divBdr>
                            <w:top w:val="none" w:sz="0" w:space="0" w:color="auto"/>
                            <w:left w:val="none" w:sz="0" w:space="0" w:color="auto"/>
                            <w:bottom w:val="none" w:sz="0" w:space="0" w:color="auto"/>
                            <w:right w:val="none" w:sz="0" w:space="0" w:color="auto"/>
                          </w:divBdr>
                          <w:divsChild>
                            <w:div w:id="51082096">
                              <w:marLeft w:val="0"/>
                              <w:marRight w:val="0"/>
                              <w:marTop w:val="0"/>
                              <w:marBottom w:val="0"/>
                              <w:divBdr>
                                <w:top w:val="none" w:sz="0" w:space="0" w:color="auto"/>
                                <w:left w:val="none" w:sz="0" w:space="0" w:color="auto"/>
                                <w:bottom w:val="none" w:sz="0" w:space="0" w:color="auto"/>
                                <w:right w:val="none" w:sz="0" w:space="0" w:color="auto"/>
                              </w:divBdr>
                              <w:divsChild>
                                <w:div w:id="11965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460241">
      <w:bodyDiv w:val="1"/>
      <w:marLeft w:val="0"/>
      <w:marRight w:val="0"/>
      <w:marTop w:val="0"/>
      <w:marBottom w:val="0"/>
      <w:divBdr>
        <w:top w:val="none" w:sz="0" w:space="0" w:color="auto"/>
        <w:left w:val="none" w:sz="0" w:space="0" w:color="auto"/>
        <w:bottom w:val="none" w:sz="0" w:space="0" w:color="auto"/>
        <w:right w:val="none" w:sz="0" w:space="0" w:color="auto"/>
      </w:divBdr>
      <w:divsChild>
        <w:div w:id="1830289721">
          <w:marLeft w:val="0"/>
          <w:marRight w:val="0"/>
          <w:marTop w:val="0"/>
          <w:marBottom w:val="0"/>
          <w:divBdr>
            <w:top w:val="none" w:sz="0" w:space="0" w:color="auto"/>
            <w:left w:val="single" w:sz="6" w:space="0" w:color="FFFFFF"/>
            <w:bottom w:val="none" w:sz="0" w:space="0" w:color="auto"/>
            <w:right w:val="single" w:sz="6" w:space="0" w:color="FFFFFF"/>
          </w:divBdr>
          <w:divsChild>
            <w:div w:id="143939486">
              <w:marLeft w:val="0"/>
              <w:marRight w:val="0"/>
              <w:marTop w:val="0"/>
              <w:marBottom w:val="0"/>
              <w:divBdr>
                <w:top w:val="none" w:sz="0" w:space="0" w:color="auto"/>
                <w:left w:val="none" w:sz="0" w:space="0" w:color="auto"/>
                <w:bottom w:val="none" w:sz="0" w:space="0" w:color="auto"/>
                <w:right w:val="none" w:sz="0" w:space="0" w:color="auto"/>
              </w:divBdr>
              <w:divsChild>
                <w:div w:id="945963633">
                  <w:marLeft w:val="0"/>
                  <w:marRight w:val="0"/>
                  <w:marTop w:val="0"/>
                  <w:marBottom w:val="0"/>
                  <w:divBdr>
                    <w:top w:val="none" w:sz="0" w:space="0" w:color="auto"/>
                    <w:left w:val="none" w:sz="0" w:space="0" w:color="auto"/>
                    <w:bottom w:val="none" w:sz="0" w:space="0" w:color="auto"/>
                    <w:right w:val="none" w:sz="0" w:space="0" w:color="auto"/>
                  </w:divBdr>
                  <w:divsChild>
                    <w:div w:id="20167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ics.deewr.gov.au/" TargetMode="External"/><Relationship Id="rId39" Type="http://schemas.openxmlformats.org/officeDocument/2006/relationships/image" Target="media/image8.emf"/><Relationship Id="rId21" Type="http://schemas.openxmlformats.org/officeDocument/2006/relationships/image" Target="media/image1.png"/><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image" Target="media/image12.emf"/><Relationship Id="rId50" Type="http://schemas.openxmlformats.org/officeDocument/2006/relationships/oleObject" Target="embeddings/oleObject9.bin"/><Relationship Id="rId55" Type="http://schemas.openxmlformats.org/officeDocument/2006/relationships/image" Target="media/image16.emf"/><Relationship Id="rId63" Type="http://schemas.openxmlformats.org/officeDocument/2006/relationships/image" Target="media/image20.emf"/><Relationship Id="rId68" Type="http://schemas.openxmlformats.org/officeDocument/2006/relationships/oleObject" Target="embeddings/oleObject18.bin"/><Relationship Id="rId76" Type="http://schemas.openxmlformats.org/officeDocument/2006/relationships/oleObject" Target="embeddings/oleObject22.bin"/><Relationship Id="rId84" Type="http://schemas.openxmlformats.org/officeDocument/2006/relationships/oleObject" Target="embeddings/oleObject26.bin"/><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8.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footer" Target="footer7.xml"/><Relationship Id="rId37" Type="http://schemas.openxmlformats.org/officeDocument/2006/relationships/image" Target="media/image7.emf"/><Relationship Id="rId40" Type="http://schemas.openxmlformats.org/officeDocument/2006/relationships/oleObject" Target="embeddings/oleObject4.bin"/><Relationship Id="rId45" Type="http://schemas.openxmlformats.org/officeDocument/2006/relationships/image" Target="media/image11.emf"/><Relationship Id="rId53" Type="http://schemas.openxmlformats.org/officeDocument/2006/relationships/image" Target="media/image15.emf"/><Relationship Id="rId58" Type="http://schemas.openxmlformats.org/officeDocument/2006/relationships/oleObject" Target="embeddings/oleObject13.bin"/><Relationship Id="rId66" Type="http://schemas.openxmlformats.org/officeDocument/2006/relationships/oleObject" Target="embeddings/oleObject17.bin"/><Relationship Id="rId74" Type="http://schemas.openxmlformats.org/officeDocument/2006/relationships/oleObject" Target="embeddings/oleObject21.bin"/><Relationship Id="rId79" Type="http://schemas.openxmlformats.org/officeDocument/2006/relationships/image" Target="media/image28.emf"/><Relationship Id="rId87" Type="http://schemas.openxmlformats.org/officeDocument/2006/relationships/image" Target="media/image32.emf"/><Relationship Id="rId5" Type="http://schemas.openxmlformats.org/officeDocument/2006/relationships/webSettings" Target="webSettings.xml"/><Relationship Id="rId61" Type="http://schemas.openxmlformats.org/officeDocument/2006/relationships/image" Target="media/image19.emf"/><Relationship Id="rId82" Type="http://schemas.openxmlformats.org/officeDocument/2006/relationships/oleObject" Target="embeddings/oleObject25.bin"/><Relationship Id="rId90" Type="http://schemas.openxmlformats.org/officeDocument/2006/relationships/theme" Target="theme/theme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parliament.act.gov.au" TargetMode="External"/><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footer" Target="footer6.xml"/><Relationship Id="rId30" Type="http://schemas.openxmlformats.org/officeDocument/2006/relationships/header" Target="header9.xml"/><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oleObject" Target="embeddings/oleObject16.bin"/><Relationship Id="rId69" Type="http://schemas.openxmlformats.org/officeDocument/2006/relationships/image" Target="media/image23.emf"/><Relationship Id="rId77" Type="http://schemas.openxmlformats.org/officeDocument/2006/relationships/image" Target="media/image27.emf"/><Relationship Id="rId8" Type="http://schemas.openxmlformats.org/officeDocument/2006/relationships/hyperlink" Target="mailto:committees@parliament.act.gov.au" TargetMode="External"/><Relationship Id="rId51" Type="http://schemas.openxmlformats.org/officeDocument/2006/relationships/image" Target="media/image14.emf"/><Relationship Id="rId72" Type="http://schemas.openxmlformats.org/officeDocument/2006/relationships/oleObject" Target="embeddings/oleObject20.bin"/><Relationship Id="rId80" Type="http://schemas.openxmlformats.org/officeDocument/2006/relationships/oleObject" Target="embeddings/oleObject24.bin"/><Relationship Id="rId85"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image" Target="media/image5.e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18.emf"/><Relationship Id="rId67" Type="http://schemas.openxmlformats.org/officeDocument/2006/relationships/image" Target="media/image22.emf"/><Relationship Id="rId20" Type="http://schemas.openxmlformats.org/officeDocument/2006/relationships/footer" Target="footer5.xml"/><Relationship Id="rId41" Type="http://schemas.openxmlformats.org/officeDocument/2006/relationships/image" Target="media/image9.emf"/><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oleObject" Target="embeddings/oleObject19.bin"/><Relationship Id="rId75" Type="http://schemas.openxmlformats.org/officeDocument/2006/relationships/image" Target="media/image26.emf"/><Relationship Id="rId83" Type="http://schemas.openxmlformats.org/officeDocument/2006/relationships/image" Target="media/image30.emf"/><Relationship Id="rId88" Type="http://schemas.openxmlformats.org/officeDocument/2006/relationships/oleObject" Target="embeddings/oleObject2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4.png"/><Relationship Id="rId36" Type="http://schemas.openxmlformats.org/officeDocument/2006/relationships/oleObject" Target="embeddings/oleObject2.bin"/><Relationship Id="rId49" Type="http://schemas.openxmlformats.org/officeDocument/2006/relationships/image" Target="media/image13.emf"/><Relationship Id="rId57" Type="http://schemas.openxmlformats.org/officeDocument/2006/relationships/image" Target="media/image17.emf"/><Relationship Id="rId10" Type="http://schemas.openxmlformats.org/officeDocument/2006/relationships/hyperlink" Target="http://www.naidoc.org.au" TargetMode="External"/><Relationship Id="rId31" Type="http://schemas.openxmlformats.org/officeDocument/2006/relationships/header" Target="header10.xm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21.emf"/><Relationship Id="rId73" Type="http://schemas.openxmlformats.org/officeDocument/2006/relationships/image" Target="media/image25.emf"/><Relationship Id="rId78" Type="http://schemas.openxmlformats.org/officeDocument/2006/relationships/oleObject" Target="embeddings/oleObject23.bin"/><Relationship Id="rId81" Type="http://schemas.openxmlformats.org/officeDocument/2006/relationships/image" Target="media/image29.emf"/><Relationship Id="rId86" Type="http://schemas.openxmlformats.org/officeDocument/2006/relationships/oleObject" Target="embeddings/oleObject27.bin"/></Relationships>
</file>

<file path=word/_rels/footnotes.xml.rels><?xml version="1.0" encoding="UTF-8" standalone="yes"?>
<Relationships xmlns="http://schemas.openxmlformats.org/package/2006/relationships"><Relationship Id="rId8" Type="http://schemas.openxmlformats.org/officeDocument/2006/relationships/hyperlink" Target="http://rw-3.com/our-approach/what-is-cultural-training/" TargetMode="External"/><Relationship Id="rId13" Type="http://schemas.openxmlformats.org/officeDocument/2006/relationships/hyperlink" Target="http://www.cica.org.au/practitioners/career-practitioner-information" TargetMode="External"/><Relationship Id="rId18" Type="http://schemas.openxmlformats.org/officeDocument/2006/relationships/hyperlink" Target="http://www.opm.gov/policy-data-oversight/diversity-and-inclusion/federal-workforce-at-a-glance/" TargetMode="External"/><Relationship Id="rId3" Type="http://schemas.openxmlformats.org/officeDocument/2006/relationships/hyperlink" Target="http://www.hansard.act.gov.au/hansard/2013/comms/health09.pdf" TargetMode="External"/><Relationship Id="rId7" Type="http://schemas.openxmlformats.org/officeDocument/2006/relationships/hyperlink" Target="http://employment.gov.au/indigenous-cadetship-support-ics" TargetMode="External"/><Relationship Id="rId12" Type="http://schemas.openxmlformats.org/officeDocument/2006/relationships/hyperlink" Target="http://www.deadlyvibe.com.au/event/deadly-awards-2014/" TargetMode="External"/><Relationship Id="rId17" Type="http://schemas.openxmlformats.org/officeDocument/2006/relationships/hyperlink" Target="http://www.stats.govt.nz/HLFS" TargetMode="External"/><Relationship Id="rId2" Type="http://schemas.openxmlformats.org/officeDocument/2006/relationships/hyperlink" Target="http://www.legislation.act.gov.au/a/1994-37/default.asp" TargetMode="External"/><Relationship Id="rId16" Type="http://schemas.openxmlformats.org/officeDocument/2006/relationships/hyperlink" Target="http://www.psc.qld.gov.au/publications/workforce-statistics/statistics-quick-facts.aspx" TargetMode="External"/><Relationship Id="rId20" Type="http://schemas.openxmlformats.org/officeDocument/2006/relationships/hyperlink" Target="http://en.wikipedia.org/wiki/Non-profit_organization" TargetMode="External"/><Relationship Id="rId1" Type="http://schemas.openxmlformats.org/officeDocument/2006/relationships/hyperlink" Target="http://www.parliament.act.gov.au/__data/assets/pdf_file/0005/393899/MoP_2.pdf" TargetMode="External"/><Relationship Id="rId6" Type="http://schemas.openxmlformats.org/officeDocument/2006/relationships/hyperlink" Target="http://www.koorimail.com/advertise-with-us" TargetMode="External"/><Relationship Id="rId11" Type="http://schemas.openxmlformats.org/officeDocument/2006/relationships/hyperlink" Target="http://www.naidoc.org.au/" TargetMode="External"/><Relationship Id="rId5" Type="http://schemas.openxmlformats.org/officeDocument/2006/relationships/hyperlink" Target="http://www.dunstan.org.au/resources/dunstanpapers" TargetMode="External"/><Relationship Id="rId15" Type="http://schemas.openxmlformats.org/officeDocument/2006/relationships/hyperlink" Target="https://apsc.gov.au/APSEDii/APSEDIIFirstPage_index.shtm" TargetMode="External"/><Relationship Id="rId10" Type="http://schemas.openxmlformats.org/officeDocument/2006/relationships/hyperlink" Target="http://seekingliberty.wordpress.com/2009/09/07/racism-vs-prejudice-there-is-a-difference/" TargetMode="External"/><Relationship Id="rId19" Type="http://schemas.openxmlformats.org/officeDocument/2006/relationships/hyperlink" Target="http://en.wikipedia.org/wiki/Human_resources" TargetMode="External"/><Relationship Id="rId4" Type="http://schemas.openxmlformats.org/officeDocument/2006/relationships/hyperlink" Target="http://www.cmd.act.gov.au/open_government/inform/act_government_media_releases/rattenbury/2014/consultation-to-develop-new-aboriginal-and-torres-strait-islander-agreement" TargetMode="External"/><Relationship Id="rId9" Type="http://schemas.openxmlformats.org/officeDocument/2006/relationships/hyperlink" Target="http://www.reconciliationaustralia.org.au" TargetMode="External"/><Relationship Id="rId14" Type="http://schemas.openxmlformats.org/officeDocument/2006/relationships/hyperlink" Target="http://www.apsc.gov.au/aps-employment-policy-and-advice/movements/secondmen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ommittee\01%20Eighth%20Assembly\Template%20-%20report\Template%20revision%20January%202013%20-%20v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D40FCB-E56D-4B8C-8373-029A5F441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revision January 2013 - v14.dotx</Template>
  <TotalTime>0</TotalTime>
  <Pages>141</Pages>
  <Words>32987</Words>
  <Characters>188028</Characters>
  <Application>Microsoft Office Word</Application>
  <DocSecurity>0</DocSecurity>
  <Lines>1566</Lines>
  <Paragraphs>441</Paragraphs>
  <ScaleCrop>false</ScaleCrop>
  <HeadingPairs>
    <vt:vector size="2" baseType="variant">
      <vt:variant>
        <vt:lpstr>Title</vt:lpstr>
      </vt:variant>
      <vt:variant>
        <vt:i4>1</vt:i4>
      </vt:variant>
    </vt:vector>
  </HeadingPairs>
  <TitlesOfParts>
    <vt:vector size="1" baseType="lpstr">
      <vt:lpstr>Committees Report Template</vt:lpstr>
    </vt:vector>
  </TitlesOfParts>
  <Company>OCTAVO</Company>
  <LinksUpToDate>false</LinksUpToDate>
  <CharactersWithSpaces>220574</CharactersWithSpaces>
  <SharedDoc>false</SharedDoc>
  <HLinks>
    <vt:vector size="744" baseType="variant">
      <vt:variant>
        <vt:i4>852057</vt:i4>
      </vt:variant>
      <vt:variant>
        <vt:i4>483</vt:i4>
      </vt:variant>
      <vt:variant>
        <vt:i4>0</vt:i4>
      </vt:variant>
      <vt:variant>
        <vt:i4>5</vt:i4>
      </vt:variant>
      <vt:variant>
        <vt:lpwstr>https://www.ics.deewr.gov.au/</vt:lpwstr>
      </vt:variant>
      <vt:variant>
        <vt:lpwstr/>
      </vt:variant>
      <vt:variant>
        <vt:i4>1572913</vt:i4>
      </vt:variant>
      <vt:variant>
        <vt:i4>473</vt:i4>
      </vt:variant>
      <vt:variant>
        <vt:i4>0</vt:i4>
      </vt:variant>
      <vt:variant>
        <vt:i4>5</vt:i4>
      </vt:variant>
      <vt:variant>
        <vt:lpwstr/>
      </vt:variant>
      <vt:variant>
        <vt:lpwstr>_Toc382433301</vt:lpwstr>
      </vt:variant>
      <vt:variant>
        <vt:i4>1572913</vt:i4>
      </vt:variant>
      <vt:variant>
        <vt:i4>470</vt:i4>
      </vt:variant>
      <vt:variant>
        <vt:i4>0</vt:i4>
      </vt:variant>
      <vt:variant>
        <vt:i4>5</vt:i4>
      </vt:variant>
      <vt:variant>
        <vt:lpwstr/>
      </vt:variant>
      <vt:variant>
        <vt:lpwstr>_Toc382433300</vt:lpwstr>
      </vt:variant>
      <vt:variant>
        <vt:i4>1114160</vt:i4>
      </vt:variant>
      <vt:variant>
        <vt:i4>467</vt:i4>
      </vt:variant>
      <vt:variant>
        <vt:i4>0</vt:i4>
      </vt:variant>
      <vt:variant>
        <vt:i4>5</vt:i4>
      </vt:variant>
      <vt:variant>
        <vt:lpwstr/>
      </vt:variant>
      <vt:variant>
        <vt:lpwstr>_Toc382433299</vt:lpwstr>
      </vt:variant>
      <vt:variant>
        <vt:i4>1114160</vt:i4>
      </vt:variant>
      <vt:variant>
        <vt:i4>464</vt:i4>
      </vt:variant>
      <vt:variant>
        <vt:i4>0</vt:i4>
      </vt:variant>
      <vt:variant>
        <vt:i4>5</vt:i4>
      </vt:variant>
      <vt:variant>
        <vt:lpwstr/>
      </vt:variant>
      <vt:variant>
        <vt:lpwstr>_Toc382433298</vt:lpwstr>
      </vt:variant>
      <vt:variant>
        <vt:i4>1114160</vt:i4>
      </vt:variant>
      <vt:variant>
        <vt:i4>461</vt:i4>
      </vt:variant>
      <vt:variant>
        <vt:i4>0</vt:i4>
      </vt:variant>
      <vt:variant>
        <vt:i4>5</vt:i4>
      </vt:variant>
      <vt:variant>
        <vt:lpwstr/>
      </vt:variant>
      <vt:variant>
        <vt:lpwstr>_Toc382433297</vt:lpwstr>
      </vt:variant>
      <vt:variant>
        <vt:i4>1114160</vt:i4>
      </vt:variant>
      <vt:variant>
        <vt:i4>458</vt:i4>
      </vt:variant>
      <vt:variant>
        <vt:i4>0</vt:i4>
      </vt:variant>
      <vt:variant>
        <vt:i4>5</vt:i4>
      </vt:variant>
      <vt:variant>
        <vt:lpwstr/>
      </vt:variant>
      <vt:variant>
        <vt:lpwstr>_Toc382433296</vt:lpwstr>
      </vt:variant>
      <vt:variant>
        <vt:i4>1114160</vt:i4>
      </vt:variant>
      <vt:variant>
        <vt:i4>455</vt:i4>
      </vt:variant>
      <vt:variant>
        <vt:i4>0</vt:i4>
      </vt:variant>
      <vt:variant>
        <vt:i4>5</vt:i4>
      </vt:variant>
      <vt:variant>
        <vt:lpwstr/>
      </vt:variant>
      <vt:variant>
        <vt:lpwstr>_Toc382433295</vt:lpwstr>
      </vt:variant>
      <vt:variant>
        <vt:i4>1114160</vt:i4>
      </vt:variant>
      <vt:variant>
        <vt:i4>452</vt:i4>
      </vt:variant>
      <vt:variant>
        <vt:i4>0</vt:i4>
      </vt:variant>
      <vt:variant>
        <vt:i4>5</vt:i4>
      </vt:variant>
      <vt:variant>
        <vt:lpwstr/>
      </vt:variant>
      <vt:variant>
        <vt:lpwstr>_Toc382433294</vt:lpwstr>
      </vt:variant>
      <vt:variant>
        <vt:i4>1114160</vt:i4>
      </vt:variant>
      <vt:variant>
        <vt:i4>449</vt:i4>
      </vt:variant>
      <vt:variant>
        <vt:i4>0</vt:i4>
      </vt:variant>
      <vt:variant>
        <vt:i4>5</vt:i4>
      </vt:variant>
      <vt:variant>
        <vt:lpwstr/>
      </vt:variant>
      <vt:variant>
        <vt:lpwstr>_Toc382433293</vt:lpwstr>
      </vt:variant>
      <vt:variant>
        <vt:i4>1114160</vt:i4>
      </vt:variant>
      <vt:variant>
        <vt:i4>446</vt:i4>
      </vt:variant>
      <vt:variant>
        <vt:i4>0</vt:i4>
      </vt:variant>
      <vt:variant>
        <vt:i4>5</vt:i4>
      </vt:variant>
      <vt:variant>
        <vt:lpwstr/>
      </vt:variant>
      <vt:variant>
        <vt:lpwstr>_Toc382433292</vt:lpwstr>
      </vt:variant>
      <vt:variant>
        <vt:i4>1114160</vt:i4>
      </vt:variant>
      <vt:variant>
        <vt:i4>443</vt:i4>
      </vt:variant>
      <vt:variant>
        <vt:i4>0</vt:i4>
      </vt:variant>
      <vt:variant>
        <vt:i4>5</vt:i4>
      </vt:variant>
      <vt:variant>
        <vt:lpwstr/>
      </vt:variant>
      <vt:variant>
        <vt:lpwstr>_Toc382433291</vt:lpwstr>
      </vt:variant>
      <vt:variant>
        <vt:i4>1114160</vt:i4>
      </vt:variant>
      <vt:variant>
        <vt:i4>440</vt:i4>
      </vt:variant>
      <vt:variant>
        <vt:i4>0</vt:i4>
      </vt:variant>
      <vt:variant>
        <vt:i4>5</vt:i4>
      </vt:variant>
      <vt:variant>
        <vt:lpwstr/>
      </vt:variant>
      <vt:variant>
        <vt:lpwstr>_Toc382433290</vt:lpwstr>
      </vt:variant>
      <vt:variant>
        <vt:i4>1048624</vt:i4>
      </vt:variant>
      <vt:variant>
        <vt:i4>437</vt:i4>
      </vt:variant>
      <vt:variant>
        <vt:i4>0</vt:i4>
      </vt:variant>
      <vt:variant>
        <vt:i4>5</vt:i4>
      </vt:variant>
      <vt:variant>
        <vt:lpwstr/>
      </vt:variant>
      <vt:variant>
        <vt:lpwstr>_Toc382433289</vt:lpwstr>
      </vt:variant>
      <vt:variant>
        <vt:i4>1048624</vt:i4>
      </vt:variant>
      <vt:variant>
        <vt:i4>434</vt:i4>
      </vt:variant>
      <vt:variant>
        <vt:i4>0</vt:i4>
      </vt:variant>
      <vt:variant>
        <vt:i4>5</vt:i4>
      </vt:variant>
      <vt:variant>
        <vt:lpwstr/>
      </vt:variant>
      <vt:variant>
        <vt:lpwstr>_Toc382433288</vt:lpwstr>
      </vt:variant>
      <vt:variant>
        <vt:i4>1048624</vt:i4>
      </vt:variant>
      <vt:variant>
        <vt:i4>431</vt:i4>
      </vt:variant>
      <vt:variant>
        <vt:i4>0</vt:i4>
      </vt:variant>
      <vt:variant>
        <vt:i4>5</vt:i4>
      </vt:variant>
      <vt:variant>
        <vt:lpwstr/>
      </vt:variant>
      <vt:variant>
        <vt:lpwstr>_Toc382433287</vt:lpwstr>
      </vt:variant>
      <vt:variant>
        <vt:i4>1048624</vt:i4>
      </vt:variant>
      <vt:variant>
        <vt:i4>428</vt:i4>
      </vt:variant>
      <vt:variant>
        <vt:i4>0</vt:i4>
      </vt:variant>
      <vt:variant>
        <vt:i4>5</vt:i4>
      </vt:variant>
      <vt:variant>
        <vt:lpwstr/>
      </vt:variant>
      <vt:variant>
        <vt:lpwstr>_Toc382433286</vt:lpwstr>
      </vt:variant>
      <vt:variant>
        <vt:i4>1048624</vt:i4>
      </vt:variant>
      <vt:variant>
        <vt:i4>425</vt:i4>
      </vt:variant>
      <vt:variant>
        <vt:i4>0</vt:i4>
      </vt:variant>
      <vt:variant>
        <vt:i4>5</vt:i4>
      </vt:variant>
      <vt:variant>
        <vt:lpwstr/>
      </vt:variant>
      <vt:variant>
        <vt:lpwstr>_Toc382433285</vt:lpwstr>
      </vt:variant>
      <vt:variant>
        <vt:i4>1048624</vt:i4>
      </vt:variant>
      <vt:variant>
        <vt:i4>422</vt:i4>
      </vt:variant>
      <vt:variant>
        <vt:i4>0</vt:i4>
      </vt:variant>
      <vt:variant>
        <vt:i4>5</vt:i4>
      </vt:variant>
      <vt:variant>
        <vt:lpwstr/>
      </vt:variant>
      <vt:variant>
        <vt:lpwstr>_Toc382433284</vt:lpwstr>
      </vt:variant>
      <vt:variant>
        <vt:i4>1048624</vt:i4>
      </vt:variant>
      <vt:variant>
        <vt:i4>419</vt:i4>
      </vt:variant>
      <vt:variant>
        <vt:i4>0</vt:i4>
      </vt:variant>
      <vt:variant>
        <vt:i4>5</vt:i4>
      </vt:variant>
      <vt:variant>
        <vt:lpwstr/>
      </vt:variant>
      <vt:variant>
        <vt:lpwstr>_Toc382433283</vt:lpwstr>
      </vt:variant>
      <vt:variant>
        <vt:i4>1048624</vt:i4>
      </vt:variant>
      <vt:variant>
        <vt:i4>416</vt:i4>
      </vt:variant>
      <vt:variant>
        <vt:i4>0</vt:i4>
      </vt:variant>
      <vt:variant>
        <vt:i4>5</vt:i4>
      </vt:variant>
      <vt:variant>
        <vt:lpwstr/>
      </vt:variant>
      <vt:variant>
        <vt:lpwstr>_Toc382433282</vt:lpwstr>
      </vt:variant>
      <vt:variant>
        <vt:i4>1048624</vt:i4>
      </vt:variant>
      <vt:variant>
        <vt:i4>413</vt:i4>
      </vt:variant>
      <vt:variant>
        <vt:i4>0</vt:i4>
      </vt:variant>
      <vt:variant>
        <vt:i4>5</vt:i4>
      </vt:variant>
      <vt:variant>
        <vt:lpwstr/>
      </vt:variant>
      <vt:variant>
        <vt:lpwstr>_Toc382433281</vt:lpwstr>
      </vt:variant>
      <vt:variant>
        <vt:i4>1048624</vt:i4>
      </vt:variant>
      <vt:variant>
        <vt:i4>410</vt:i4>
      </vt:variant>
      <vt:variant>
        <vt:i4>0</vt:i4>
      </vt:variant>
      <vt:variant>
        <vt:i4>5</vt:i4>
      </vt:variant>
      <vt:variant>
        <vt:lpwstr/>
      </vt:variant>
      <vt:variant>
        <vt:lpwstr>_Toc382433280</vt:lpwstr>
      </vt:variant>
      <vt:variant>
        <vt:i4>2031664</vt:i4>
      </vt:variant>
      <vt:variant>
        <vt:i4>407</vt:i4>
      </vt:variant>
      <vt:variant>
        <vt:i4>0</vt:i4>
      </vt:variant>
      <vt:variant>
        <vt:i4>5</vt:i4>
      </vt:variant>
      <vt:variant>
        <vt:lpwstr/>
      </vt:variant>
      <vt:variant>
        <vt:lpwstr>_Toc382433279</vt:lpwstr>
      </vt:variant>
      <vt:variant>
        <vt:i4>2031664</vt:i4>
      </vt:variant>
      <vt:variant>
        <vt:i4>404</vt:i4>
      </vt:variant>
      <vt:variant>
        <vt:i4>0</vt:i4>
      </vt:variant>
      <vt:variant>
        <vt:i4>5</vt:i4>
      </vt:variant>
      <vt:variant>
        <vt:lpwstr/>
      </vt:variant>
      <vt:variant>
        <vt:lpwstr>_Toc382433278</vt:lpwstr>
      </vt:variant>
      <vt:variant>
        <vt:i4>2031664</vt:i4>
      </vt:variant>
      <vt:variant>
        <vt:i4>401</vt:i4>
      </vt:variant>
      <vt:variant>
        <vt:i4>0</vt:i4>
      </vt:variant>
      <vt:variant>
        <vt:i4>5</vt:i4>
      </vt:variant>
      <vt:variant>
        <vt:lpwstr/>
      </vt:variant>
      <vt:variant>
        <vt:lpwstr>_Toc382433277</vt:lpwstr>
      </vt:variant>
      <vt:variant>
        <vt:i4>2031664</vt:i4>
      </vt:variant>
      <vt:variant>
        <vt:i4>398</vt:i4>
      </vt:variant>
      <vt:variant>
        <vt:i4>0</vt:i4>
      </vt:variant>
      <vt:variant>
        <vt:i4>5</vt:i4>
      </vt:variant>
      <vt:variant>
        <vt:lpwstr/>
      </vt:variant>
      <vt:variant>
        <vt:lpwstr>_Toc382433276</vt:lpwstr>
      </vt:variant>
      <vt:variant>
        <vt:i4>2031664</vt:i4>
      </vt:variant>
      <vt:variant>
        <vt:i4>395</vt:i4>
      </vt:variant>
      <vt:variant>
        <vt:i4>0</vt:i4>
      </vt:variant>
      <vt:variant>
        <vt:i4>5</vt:i4>
      </vt:variant>
      <vt:variant>
        <vt:lpwstr/>
      </vt:variant>
      <vt:variant>
        <vt:lpwstr>_Toc382433275</vt:lpwstr>
      </vt:variant>
      <vt:variant>
        <vt:i4>2031664</vt:i4>
      </vt:variant>
      <vt:variant>
        <vt:i4>392</vt:i4>
      </vt:variant>
      <vt:variant>
        <vt:i4>0</vt:i4>
      </vt:variant>
      <vt:variant>
        <vt:i4>5</vt:i4>
      </vt:variant>
      <vt:variant>
        <vt:lpwstr/>
      </vt:variant>
      <vt:variant>
        <vt:lpwstr>_Toc382433274</vt:lpwstr>
      </vt:variant>
      <vt:variant>
        <vt:i4>2031664</vt:i4>
      </vt:variant>
      <vt:variant>
        <vt:i4>389</vt:i4>
      </vt:variant>
      <vt:variant>
        <vt:i4>0</vt:i4>
      </vt:variant>
      <vt:variant>
        <vt:i4>5</vt:i4>
      </vt:variant>
      <vt:variant>
        <vt:lpwstr/>
      </vt:variant>
      <vt:variant>
        <vt:lpwstr>_Toc382433273</vt:lpwstr>
      </vt:variant>
      <vt:variant>
        <vt:i4>2031664</vt:i4>
      </vt:variant>
      <vt:variant>
        <vt:i4>386</vt:i4>
      </vt:variant>
      <vt:variant>
        <vt:i4>0</vt:i4>
      </vt:variant>
      <vt:variant>
        <vt:i4>5</vt:i4>
      </vt:variant>
      <vt:variant>
        <vt:lpwstr/>
      </vt:variant>
      <vt:variant>
        <vt:lpwstr>_Toc382433272</vt:lpwstr>
      </vt:variant>
      <vt:variant>
        <vt:i4>2031664</vt:i4>
      </vt:variant>
      <vt:variant>
        <vt:i4>383</vt:i4>
      </vt:variant>
      <vt:variant>
        <vt:i4>0</vt:i4>
      </vt:variant>
      <vt:variant>
        <vt:i4>5</vt:i4>
      </vt:variant>
      <vt:variant>
        <vt:lpwstr/>
      </vt:variant>
      <vt:variant>
        <vt:lpwstr>_Toc382433271</vt:lpwstr>
      </vt:variant>
      <vt:variant>
        <vt:i4>2031664</vt:i4>
      </vt:variant>
      <vt:variant>
        <vt:i4>380</vt:i4>
      </vt:variant>
      <vt:variant>
        <vt:i4>0</vt:i4>
      </vt:variant>
      <vt:variant>
        <vt:i4>5</vt:i4>
      </vt:variant>
      <vt:variant>
        <vt:lpwstr/>
      </vt:variant>
      <vt:variant>
        <vt:lpwstr>_Toc382433270</vt:lpwstr>
      </vt:variant>
      <vt:variant>
        <vt:i4>1966128</vt:i4>
      </vt:variant>
      <vt:variant>
        <vt:i4>377</vt:i4>
      </vt:variant>
      <vt:variant>
        <vt:i4>0</vt:i4>
      </vt:variant>
      <vt:variant>
        <vt:i4>5</vt:i4>
      </vt:variant>
      <vt:variant>
        <vt:lpwstr/>
      </vt:variant>
      <vt:variant>
        <vt:lpwstr>_Toc382433269</vt:lpwstr>
      </vt:variant>
      <vt:variant>
        <vt:i4>1966128</vt:i4>
      </vt:variant>
      <vt:variant>
        <vt:i4>374</vt:i4>
      </vt:variant>
      <vt:variant>
        <vt:i4>0</vt:i4>
      </vt:variant>
      <vt:variant>
        <vt:i4>5</vt:i4>
      </vt:variant>
      <vt:variant>
        <vt:lpwstr/>
      </vt:variant>
      <vt:variant>
        <vt:lpwstr>_Toc382433268</vt:lpwstr>
      </vt:variant>
      <vt:variant>
        <vt:i4>1966128</vt:i4>
      </vt:variant>
      <vt:variant>
        <vt:i4>371</vt:i4>
      </vt:variant>
      <vt:variant>
        <vt:i4>0</vt:i4>
      </vt:variant>
      <vt:variant>
        <vt:i4>5</vt:i4>
      </vt:variant>
      <vt:variant>
        <vt:lpwstr/>
      </vt:variant>
      <vt:variant>
        <vt:lpwstr>_Toc382433267</vt:lpwstr>
      </vt:variant>
      <vt:variant>
        <vt:i4>1966128</vt:i4>
      </vt:variant>
      <vt:variant>
        <vt:i4>368</vt:i4>
      </vt:variant>
      <vt:variant>
        <vt:i4>0</vt:i4>
      </vt:variant>
      <vt:variant>
        <vt:i4>5</vt:i4>
      </vt:variant>
      <vt:variant>
        <vt:lpwstr/>
      </vt:variant>
      <vt:variant>
        <vt:lpwstr>_Toc382433266</vt:lpwstr>
      </vt:variant>
      <vt:variant>
        <vt:i4>1966128</vt:i4>
      </vt:variant>
      <vt:variant>
        <vt:i4>365</vt:i4>
      </vt:variant>
      <vt:variant>
        <vt:i4>0</vt:i4>
      </vt:variant>
      <vt:variant>
        <vt:i4>5</vt:i4>
      </vt:variant>
      <vt:variant>
        <vt:lpwstr/>
      </vt:variant>
      <vt:variant>
        <vt:lpwstr>_Toc382433265</vt:lpwstr>
      </vt:variant>
      <vt:variant>
        <vt:i4>1966128</vt:i4>
      </vt:variant>
      <vt:variant>
        <vt:i4>362</vt:i4>
      </vt:variant>
      <vt:variant>
        <vt:i4>0</vt:i4>
      </vt:variant>
      <vt:variant>
        <vt:i4>5</vt:i4>
      </vt:variant>
      <vt:variant>
        <vt:lpwstr/>
      </vt:variant>
      <vt:variant>
        <vt:lpwstr>_Toc382433264</vt:lpwstr>
      </vt:variant>
      <vt:variant>
        <vt:i4>1966128</vt:i4>
      </vt:variant>
      <vt:variant>
        <vt:i4>359</vt:i4>
      </vt:variant>
      <vt:variant>
        <vt:i4>0</vt:i4>
      </vt:variant>
      <vt:variant>
        <vt:i4>5</vt:i4>
      </vt:variant>
      <vt:variant>
        <vt:lpwstr/>
      </vt:variant>
      <vt:variant>
        <vt:lpwstr>_Toc382433263</vt:lpwstr>
      </vt:variant>
      <vt:variant>
        <vt:i4>1966128</vt:i4>
      </vt:variant>
      <vt:variant>
        <vt:i4>356</vt:i4>
      </vt:variant>
      <vt:variant>
        <vt:i4>0</vt:i4>
      </vt:variant>
      <vt:variant>
        <vt:i4>5</vt:i4>
      </vt:variant>
      <vt:variant>
        <vt:lpwstr/>
      </vt:variant>
      <vt:variant>
        <vt:lpwstr>_Toc382433262</vt:lpwstr>
      </vt:variant>
      <vt:variant>
        <vt:i4>1966128</vt:i4>
      </vt:variant>
      <vt:variant>
        <vt:i4>353</vt:i4>
      </vt:variant>
      <vt:variant>
        <vt:i4>0</vt:i4>
      </vt:variant>
      <vt:variant>
        <vt:i4>5</vt:i4>
      </vt:variant>
      <vt:variant>
        <vt:lpwstr/>
      </vt:variant>
      <vt:variant>
        <vt:lpwstr>_Toc382433261</vt:lpwstr>
      </vt:variant>
      <vt:variant>
        <vt:i4>1966128</vt:i4>
      </vt:variant>
      <vt:variant>
        <vt:i4>350</vt:i4>
      </vt:variant>
      <vt:variant>
        <vt:i4>0</vt:i4>
      </vt:variant>
      <vt:variant>
        <vt:i4>5</vt:i4>
      </vt:variant>
      <vt:variant>
        <vt:lpwstr/>
      </vt:variant>
      <vt:variant>
        <vt:lpwstr>_Toc382433260</vt:lpwstr>
      </vt:variant>
      <vt:variant>
        <vt:i4>1900592</vt:i4>
      </vt:variant>
      <vt:variant>
        <vt:i4>347</vt:i4>
      </vt:variant>
      <vt:variant>
        <vt:i4>0</vt:i4>
      </vt:variant>
      <vt:variant>
        <vt:i4>5</vt:i4>
      </vt:variant>
      <vt:variant>
        <vt:lpwstr/>
      </vt:variant>
      <vt:variant>
        <vt:lpwstr>_Toc382433259</vt:lpwstr>
      </vt:variant>
      <vt:variant>
        <vt:i4>1900592</vt:i4>
      </vt:variant>
      <vt:variant>
        <vt:i4>344</vt:i4>
      </vt:variant>
      <vt:variant>
        <vt:i4>0</vt:i4>
      </vt:variant>
      <vt:variant>
        <vt:i4>5</vt:i4>
      </vt:variant>
      <vt:variant>
        <vt:lpwstr/>
      </vt:variant>
      <vt:variant>
        <vt:lpwstr>_Toc382433258</vt:lpwstr>
      </vt:variant>
      <vt:variant>
        <vt:i4>1900592</vt:i4>
      </vt:variant>
      <vt:variant>
        <vt:i4>341</vt:i4>
      </vt:variant>
      <vt:variant>
        <vt:i4>0</vt:i4>
      </vt:variant>
      <vt:variant>
        <vt:i4>5</vt:i4>
      </vt:variant>
      <vt:variant>
        <vt:lpwstr/>
      </vt:variant>
      <vt:variant>
        <vt:lpwstr>_Toc382433257</vt:lpwstr>
      </vt:variant>
      <vt:variant>
        <vt:i4>1900592</vt:i4>
      </vt:variant>
      <vt:variant>
        <vt:i4>338</vt:i4>
      </vt:variant>
      <vt:variant>
        <vt:i4>0</vt:i4>
      </vt:variant>
      <vt:variant>
        <vt:i4>5</vt:i4>
      </vt:variant>
      <vt:variant>
        <vt:lpwstr/>
      </vt:variant>
      <vt:variant>
        <vt:lpwstr>_Toc382433256</vt:lpwstr>
      </vt:variant>
      <vt:variant>
        <vt:i4>1900592</vt:i4>
      </vt:variant>
      <vt:variant>
        <vt:i4>335</vt:i4>
      </vt:variant>
      <vt:variant>
        <vt:i4>0</vt:i4>
      </vt:variant>
      <vt:variant>
        <vt:i4>5</vt:i4>
      </vt:variant>
      <vt:variant>
        <vt:lpwstr/>
      </vt:variant>
      <vt:variant>
        <vt:lpwstr>_Toc382433255</vt:lpwstr>
      </vt:variant>
      <vt:variant>
        <vt:i4>1900592</vt:i4>
      </vt:variant>
      <vt:variant>
        <vt:i4>332</vt:i4>
      </vt:variant>
      <vt:variant>
        <vt:i4>0</vt:i4>
      </vt:variant>
      <vt:variant>
        <vt:i4>5</vt:i4>
      </vt:variant>
      <vt:variant>
        <vt:lpwstr/>
      </vt:variant>
      <vt:variant>
        <vt:lpwstr>_Toc382433254</vt:lpwstr>
      </vt:variant>
      <vt:variant>
        <vt:i4>1900592</vt:i4>
      </vt:variant>
      <vt:variant>
        <vt:i4>329</vt:i4>
      </vt:variant>
      <vt:variant>
        <vt:i4>0</vt:i4>
      </vt:variant>
      <vt:variant>
        <vt:i4>5</vt:i4>
      </vt:variant>
      <vt:variant>
        <vt:lpwstr/>
      </vt:variant>
      <vt:variant>
        <vt:lpwstr>_Toc382433253</vt:lpwstr>
      </vt:variant>
      <vt:variant>
        <vt:i4>1900592</vt:i4>
      </vt:variant>
      <vt:variant>
        <vt:i4>326</vt:i4>
      </vt:variant>
      <vt:variant>
        <vt:i4>0</vt:i4>
      </vt:variant>
      <vt:variant>
        <vt:i4>5</vt:i4>
      </vt:variant>
      <vt:variant>
        <vt:lpwstr/>
      </vt:variant>
      <vt:variant>
        <vt:lpwstr>_Toc382433252</vt:lpwstr>
      </vt:variant>
      <vt:variant>
        <vt:i4>1900592</vt:i4>
      </vt:variant>
      <vt:variant>
        <vt:i4>323</vt:i4>
      </vt:variant>
      <vt:variant>
        <vt:i4>0</vt:i4>
      </vt:variant>
      <vt:variant>
        <vt:i4>5</vt:i4>
      </vt:variant>
      <vt:variant>
        <vt:lpwstr/>
      </vt:variant>
      <vt:variant>
        <vt:lpwstr>_Toc382433251</vt:lpwstr>
      </vt:variant>
      <vt:variant>
        <vt:i4>1900592</vt:i4>
      </vt:variant>
      <vt:variant>
        <vt:i4>320</vt:i4>
      </vt:variant>
      <vt:variant>
        <vt:i4>0</vt:i4>
      </vt:variant>
      <vt:variant>
        <vt:i4>5</vt:i4>
      </vt:variant>
      <vt:variant>
        <vt:lpwstr/>
      </vt:variant>
      <vt:variant>
        <vt:lpwstr>_Toc382433250</vt:lpwstr>
      </vt:variant>
      <vt:variant>
        <vt:i4>1835056</vt:i4>
      </vt:variant>
      <vt:variant>
        <vt:i4>317</vt:i4>
      </vt:variant>
      <vt:variant>
        <vt:i4>0</vt:i4>
      </vt:variant>
      <vt:variant>
        <vt:i4>5</vt:i4>
      </vt:variant>
      <vt:variant>
        <vt:lpwstr/>
      </vt:variant>
      <vt:variant>
        <vt:lpwstr>_Toc382433249</vt:lpwstr>
      </vt:variant>
      <vt:variant>
        <vt:i4>1835056</vt:i4>
      </vt:variant>
      <vt:variant>
        <vt:i4>314</vt:i4>
      </vt:variant>
      <vt:variant>
        <vt:i4>0</vt:i4>
      </vt:variant>
      <vt:variant>
        <vt:i4>5</vt:i4>
      </vt:variant>
      <vt:variant>
        <vt:lpwstr/>
      </vt:variant>
      <vt:variant>
        <vt:lpwstr>_Toc382433248</vt:lpwstr>
      </vt:variant>
      <vt:variant>
        <vt:i4>1835056</vt:i4>
      </vt:variant>
      <vt:variant>
        <vt:i4>311</vt:i4>
      </vt:variant>
      <vt:variant>
        <vt:i4>0</vt:i4>
      </vt:variant>
      <vt:variant>
        <vt:i4>5</vt:i4>
      </vt:variant>
      <vt:variant>
        <vt:lpwstr/>
      </vt:variant>
      <vt:variant>
        <vt:lpwstr>_Toc382433247</vt:lpwstr>
      </vt:variant>
      <vt:variant>
        <vt:i4>1835056</vt:i4>
      </vt:variant>
      <vt:variant>
        <vt:i4>308</vt:i4>
      </vt:variant>
      <vt:variant>
        <vt:i4>0</vt:i4>
      </vt:variant>
      <vt:variant>
        <vt:i4>5</vt:i4>
      </vt:variant>
      <vt:variant>
        <vt:lpwstr/>
      </vt:variant>
      <vt:variant>
        <vt:lpwstr>_Toc382433246</vt:lpwstr>
      </vt:variant>
      <vt:variant>
        <vt:i4>1900593</vt:i4>
      </vt:variant>
      <vt:variant>
        <vt:i4>299</vt:i4>
      </vt:variant>
      <vt:variant>
        <vt:i4>0</vt:i4>
      </vt:variant>
      <vt:variant>
        <vt:i4>5</vt:i4>
      </vt:variant>
      <vt:variant>
        <vt:lpwstr/>
      </vt:variant>
      <vt:variant>
        <vt:lpwstr>_Toc382433350</vt:lpwstr>
      </vt:variant>
      <vt:variant>
        <vt:i4>1835057</vt:i4>
      </vt:variant>
      <vt:variant>
        <vt:i4>293</vt:i4>
      </vt:variant>
      <vt:variant>
        <vt:i4>0</vt:i4>
      </vt:variant>
      <vt:variant>
        <vt:i4>5</vt:i4>
      </vt:variant>
      <vt:variant>
        <vt:lpwstr/>
      </vt:variant>
      <vt:variant>
        <vt:lpwstr>_Toc382433349</vt:lpwstr>
      </vt:variant>
      <vt:variant>
        <vt:i4>1835057</vt:i4>
      </vt:variant>
      <vt:variant>
        <vt:i4>287</vt:i4>
      </vt:variant>
      <vt:variant>
        <vt:i4>0</vt:i4>
      </vt:variant>
      <vt:variant>
        <vt:i4>5</vt:i4>
      </vt:variant>
      <vt:variant>
        <vt:lpwstr/>
      </vt:variant>
      <vt:variant>
        <vt:lpwstr>_Toc382433348</vt:lpwstr>
      </vt:variant>
      <vt:variant>
        <vt:i4>1835057</vt:i4>
      </vt:variant>
      <vt:variant>
        <vt:i4>281</vt:i4>
      </vt:variant>
      <vt:variant>
        <vt:i4>0</vt:i4>
      </vt:variant>
      <vt:variant>
        <vt:i4>5</vt:i4>
      </vt:variant>
      <vt:variant>
        <vt:lpwstr/>
      </vt:variant>
      <vt:variant>
        <vt:lpwstr>_Toc382433347</vt:lpwstr>
      </vt:variant>
      <vt:variant>
        <vt:i4>1835057</vt:i4>
      </vt:variant>
      <vt:variant>
        <vt:i4>275</vt:i4>
      </vt:variant>
      <vt:variant>
        <vt:i4>0</vt:i4>
      </vt:variant>
      <vt:variant>
        <vt:i4>5</vt:i4>
      </vt:variant>
      <vt:variant>
        <vt:lpwstr/>
      </vt:variant>
      <vt:variant>
        <vt:lpwstr>_Toc382433346</vt:lpwstr>
      </vt:variant>
      <vt:variant>
        <vt:i4>1835057</vt:i4>
      </vt:variant>
      <vt:variant>
        <vt:i4>269</vt:i4>
      </vt:variant>
      <vt:variant>
        <vt:i4>0</vt:i4>
      </vt:variant>
      <vt:variant>
        <vt:i4>5</vt:i4>
      </vt:variant>
      <vt:variant>
        <vt:lpwstr/>
      </vt:variant>
      <vt:variant>
        <vt:lpwstr>_Toc382433345</vt:lpwstr>
      </vt:variant>
      <vt:variant>
        <vt:i4>1835057</vt:i4>
      </vt:variant>
      <vt:variant>
        <vt:i4>263</vt:i4>
      </vt:variant>
      <vt:variant>
        <vt:i4>0</vt:i4>
      </vt:variant>
      <vt:variant>
        <vt:i4>5</vt:i4>
      </vt:variant>
      <vt:variant>
        <vt:lpwstr/>
      </vt:variant>
      <vt:variant>
        <vt:lpwstr>_Toc382433344</vt:lpwstr>
      </vt:variant>
      <vt:variant>
        <vt:i4>1835057</vt:i4>
      </vt:variant>
      <vt:variant>
        <vt:i4>257</vt:i4>
      </vt:variant>
      <vt:variant>
        <vt:i4>0</vt:i4>
      </vt:variant>
      <vt:variant>
        <vt:i4>5</vt:i4>
      </vt:variant>
      <vt:variant>
        <vt:lpwstr/>
      </vt:variant>
      <vt:variant>
        <vt:lpwstr>_Toc382433343</vt:lpwstr>
      </vt:variant>
      <vt:variant>
        <vt:i4>1835057</vt:i4>
      </vt:variant>
      <vt:variant>
        <vt:i4>251</vt:i4>
      </vt:variant>
      <vt:variant>
        <vt:i4>0</vt:i4>
      </vt:variant>
      <vt:variant>
        <vt:i4>5</vt:i4>
      </vt:variant>
      <vt:variant>
        <vt:lpwstr/>
      </vt:variant>
      <vt:variant>
        <vt:lpwstr>_Toc382433342</vt:lpwstr>
      </vt:variant>
      <vt:variant>
        <vt:i4>1835057</vt:i4>
      </vt:variant>
      <vt:variant>
        <vt:i4>245</vt:i4>
      </vt:variant>
      <vt:variant>
        <vt:i4>0</vt:i4>
      </vt:variant>
      <vt:variant>
        <vt:i4>5</vt:i4>
      </vt:variant>
      <vt:variant>
        <vt:lpwstr/>
      </vt:variant>
      <vt:variant>
        <vt:lpwstr>_Toc382433341</vt:lpwstr>
      </vt:variant>
      <vt:variant>
        <vt:i4>1835057</vt:i4>
      </vt:variant>
      <vt:variant>
        <vt:i4>239</vt:i4>
      </vt:variant>
      <vt:variant>
        <vt:i4>0</vt:i4>
      </vt:variant>
      <vt:variant>
        <vt:i4>5</vt:i4>
      </vt:variant>
      <vt:variant>
        <vt:lpwstr/>
      </vt:variant>
      <vt:variant>
        <vt:lpwstr>_Toc382433340</vt:lpwstr>
      </vt:variant>
      <vt:variant>
        <vt:i4>1769521</vt:i4>
      </vt:variant>
      <vt:variant>
        <vt:i4>233</vt:i4>
      </vt:variant>
      <vt:variant>
        <vt:i4>0</vt:i4>
      </vt:variant>
      <vt:variant>
        <vt:i4>5</vt:i4>
      </vt:variant>
      <vt:variant>
        <vt:lpwstr/>
      </vt:variant>
      <vt:variant>
        <vt:lpwstr>_Toc382433339</vt:lpwstr>
      </vt:variant>
      <vt:variant>
        <vt:i4>1769521</vt:i4>
      </vt:variant>
      <vt:variant>
        <vt:i4>227</vt:i4>
      </vt:variant>
      <vt:variant>
        <vt:i4>0</vt:i4>
      </vt:variant>
      <vt:variant>
        <vt:i4>5</vt:i4>
      </vt:variant>
      <vt:variant>
        <vt:lpwstr/>
      </vt:variant>
      <vt:variant>
        <vt:lpwstr>_Toc382433338</vt:lpwstr>
      </vt:variant>
      <vt:variant>
        <vt:i4>1769521</vt:i4>
      </vt:variant>
      <vt:variant>
        <vt:i4>221</vt:i4>
      </vt:variant>
      <vt:variant>
        <vt:i4>0</vt:i4>
      </vt:variant>
      <vt:variant>
        <vt:i4>5</vt:i4>
      </vt:variant>
      <vt:variant>
        <vt:lpwstr/>
      </vt:variant>
      <vt:variant>
        <vt:lpwstr>_Toc382433337</vt:lpwstr>
      </vt:variant>
      <vt:variant>
        <vt:i4>1769521</vt:i4>
      </vt:variant>
      <vt:variant>
        <vt:i4>215</vt:i4>
      </vt:variant>
      <vt:variant>
        <vt:i4>0</vt:i4>
      </vt:variant>
      <vt:variant>
        <vt:i4>5</vt:i4>
      </vt:variant>
      <vt:variant>
        <vt:lpwstr/>
      </vt:variant>
      <vt:variant>
        <vt:lpwstr>_Toc382433336</vt:lpwstr>
      </vt:variant>
      <vt:variant>
        <vt:i4>1769521</vt:i4>
      </vt:variant>
      <vt:variant>
        <vt:i4>209</vt:i4>
      </vt:variant>
      <vt:variant>
        <vt:i4>0</vt:i4>
      </vt:variant>
      <vt:variant>
        <vt:i4>5</vt:i4>
      </vt:variant>
      <vt:variant>
        <vt:lpwstr/>
      </vt:variant>
      <vt:variant>
        <vt:lpwstr>_Toc382433335</vt:lpwstr>
      </vt:variant>
      <vt:variant>
        <vt:i4>1769521</vt:i4>
      </vt:variant>
      <vt:variant>
        <vt:i4>203</vt:i4>
      </vt:variant>
      <vt:variant>
        <vt:i4>0</vt:i4>
      </vt:variant>
      <vt:variant>
        <vt:i4>5</vt:i4>
      </vt:variant>
      <vt:variant>
        <vt:lpwstr/>
      </vt:variant>
      <vt:variant>
        <vt:lpwstr>_Toc382433334</vt:lpwstr>
      </vt:variant>
      <vt:variant>
        <vt:i4>1769521</vt:i4>
      </vt:variant>
      <vt:variant>
        <vt:i4>197</vt:i4>
      </vt:variant>
      <vt:variant>
        <vt:i4>0</vt:i4>
      </vt:variant>
      <vt:variant>
        <vt:i4>5</vt:i4>
      </vt:variant>
      <vt:variant>
        <vt:lpwstr/>
      </vt:variant>
      <vt:variant>
        <vt:lpwstr>_Toc382433333</vt:lpwstr>
      </vt:variant>
      <vt:variant>
        <vt:i4>1769521</vt:i4>
      </vt:variant>
      <vt:variant>
        <vt:i4>191</vt:i4>
      </vt:variant>
      <vt:variant>
        <vt:i4>0</vt:i4>
      </vt:variant>
      <vt:variant>
        <vt:i4>5</vt:i4>
      </vt:variant>
      <vt:variant>
        <vt:lpwstr/>
      </vt:variant>
      <vt:variant>
        <vt:lpwstr>_Toc382433332</vt:lpwstr>
      </vt:variant>
      <vt:variant>
        <vt:i4>1769521</vt:i4>
      </vt:variant>
      <vt:variant>
        <vt:i4>185</vt:i4>
      </vt:variant>
      <vt:variant>
        <vt:i4>0</vt:i4>
      </vt:variant>
      <vt:variant>
        <vt:i4>5</vt:i4>
      </vt:variant>
      <vt:variant>
        <vt:lpwstr/>
      </vt:variant>
      <vt:variant>
        <vt:lpwstr>_Toc382433331</vt:lpwstr>
      </vt:variant>
      <vt:variant>
        <vt:i4>1769521</vt:i4>
      </vt:variant>
      <vt:variant>
        <vt:i4>179</vt:i4>
      </vt:variant>
      <vt:variant>
        <vt:i4>0</vt:i4>
      </vt:variant>
      <vt:variant>
        <vt:i4>5</vt:i4>
      </vt:variant>
      <vt:variant>
        <vt:lpwstr/>
      </vt:variant>
      <vt:variant>
        <vt:lpwstr>_Toc382433330</vt:lpwstr>
      </vt:variant>
      <vt:variant>
        <vt:i4>1703985</vt:i4>
      </vt:variant>
      <vt:variant>
        <vt:i4>173</vt:i4>
      </vt:variant>
      <vt:variant>
        <vt:i4>0</vt:i4>
      </vt:variant>
      <vt:variant>
        <vt:i4>5</vt:i4>
      </vt:variant>
      <vt:variant>
        <vt:lpwstr/>
      </vt:variant>
      <vt:variant>
        <vt:lpwstr>_Toc382433329</vt:lpwstr>
      </vt:variant>
      <vt:variant>
        <vt:i4>1703985</vt:i4>
      </vt:variant>
      <vt:variant>
        <vt:i4>167</vt:i4>
      </vt:variant>
      <vt:variant>
        <vt:i4>0</vt:i4>
      </vt:variant>
      <vt:variant>
        <vt:i4>5</vt:i4>
      </vt:variant>
      <vt:variant>
        <vt:lpwstr/>
      </vt:variant>
      <vt:variant>
        <vt:lpwstr>_Toc382433328</vt:lpwstr>
      </vt:variant>
      <vt:variant>
        <vt:i4>1703985</vt:i4>
      </vt:variant>
      <vt:variant>
        <vt:i4>161</vt:i4>
      </vt:variant>
      <vt:variant>
        <vt:i4>0</vt:i4>
      </vt:variant>
      <vt:variant>
        <vt:i4>5</vt:i4>
      </vt:variant>
      <vt:variant>
        <vt:lpwstr/>
      </vt:variant>
      <vt:variant>
        <vt:lpwstr>_Toc382433327</vt:lpwstr>
      </vt:variant>
      <vt:variant>
        <vt:i4>1703985</vt:i4>
      </vt:variant>
      <vt:variant>
        <vt:i4>155</vt:i4>
      </vt:variant>
      <vt:variant>
        <vt:i4>0</vt:i4>
      </vt:variant>
      <vt:variant>
        <vt:i4>5</vt:i4>
      </vt:variant>
      <vt:variant>
        <vt:lpwstr/>
      </vt:variant>
      <vt:variant>
        <vt:lpwstr>_Toc382433326</vt:lpwstr>
      </vt:variant>
      <vt:variant>
        <vt:i4>1703985</vt:i4>
      </vt:variant>
      <vt:variant>
        <vt:i4>149</vt:i4>
      </vt:variant>
      <vt:variant>
        <vt:i4>0</vt:i4>
      </vt:variant>
      <vt:variant>
        <vt:i4>5</vt:i4>
      </vt:variant>
      <vt:variant>
        <vt:lpwstr/>
      </vt:variant>
      <vt:variant>
        <vt:lpwstr>_Toc382433325</vt:lpwstr>
      </vt:variant>
      <vt:variant>
        <vt:i4>1703985</vt:i4>
      </vt:variant>
      <vt:variant>
        <vt:i4>143</vt:i4>
      </vt:variant>
      <vt:variant>
        <vt:i4>0</vt:i4>
      </vt:variant>
      <vt:variant>
        <vt:i4>5</vt:i4>
      </vt:variant>
      <vt:variant>
        <vt:lpwstr/>
      </vt:variant>
      <vt:variant>
        <vt:lpwstr>_Toc382433324</vt:lpwstr>
      </vt:variant>
      <vt:variant>
        <vt:i4>1703985</vt:i4>
      </vt:variant>
      <vt:variant>
        <vt:i4>137</vt:i4>
      </vt:variant>
      <vt:variant>
        <vt:i4>0</vt:i4>
      </vt:variant>
      <vt:variant>
        <vt:i4>5</vt:i4>
      </vt:variant>
      <vt:variant>
        <vt:lpwstr/>
      </vt:variant>
      <vt:variant>
        <vt:lpwstr>_Toc382433323</vt:lpwstr>
      </vt:variant>
      <vt:variant>
        <vt:i4>1703985</vt:i4>
      </vt:variant>
      <vt:variant>
        <vt:i4>131</vt:i4>
      </vt:variant>
      <vt:variant>
        <vt:i4>0</vt:i4>
      </vt:variant>
      <vt:variant>
        <vt:i4>5</vt:i4>
      </vt:variant>
      <vt:variant>
        <vt:lpwstr/>
      </vt:variant>
      <vt:variant>
        <vt:lpwstr>_Toc382433322</vt:lpwstr>
      </vt:variant>
      <vt:variant>
        <vt:i4>1703985</vt:i4>
      </vt:variant>
      <vt:variant>
        <vt:i4>125</vt:i4>
      </vt:variant>
      <vt:variant>
        <vt:i4>0</vt:i4>
      </vt:variant>
      <vt:variant>
        <vt:i4>5</vt:i4>
      </vt:variant>
      <vt:variant>
        <vt:lpwstr/>
      </vt:variant>
      <vt:variant>
        <vt:lpwstr>_Toc382433321</vt:lpwstr>
      </vt:variant>
      <vt:variant>
        <vt:i4>1703985</vt:i4>
      </vt:variant>
      <vt:variant>
        <vt:i4>119</vt:i4>
      </vt:variant>
      <vt:variant>
        <vt:i4>0</vt:i4>
      </vt:variant>
      <vt:variant>
        <vt:i4>5</vt:i4>
      </vt:variant>
      <vt:variant>
        <vt:lpwstr/>
      </vt:variant>
      <vt:variant>
        <vt:lpwstr>_Toc382433320</vt:lpwstr>
      </vt:variant>
      <vt:variant>
        <vt:i4>1638449</vt:i4>
      </vt:variant>
      <vt:variant>
        <vt:i4>113</vt:i4>
      </vt:variant>
      <vt:variant>
        <vt:i4>0</vt:i4>
      </vt:variant>
      <vt:variant>
        <vt:i4>5</vt:i4>
      </vt:variant>
      <vt:variant>
        <vt:lpwstr/>
      </vt:variant>
      <vt:variant>
        <vt:lpwstr>_Toc382433319</vt:lpwstr>
      </vt:variant>
      <vt:variant>
        <vt:i4>1638449</vt:i4>
      </vt:variant>
      <vt:variant>
        <vt:i4>107</vt:i4>
      </vt:variant>
      <vt:variant>
        <vt:i4>0</vt:i4>
      </vt:variant>
      <vt:variant>
        <vt:i4>5</vt:i4>
      </vt:variant>
      <vt:variant>
        <vt:lpwstr/>
      </vt:variant>
      <vt:variant>
        <vt:lpwstr>_Toc382433318</vt:lpwstr>
      </vt:variant>
      <vt:variant>
        <vt:i4>1638449</vt:i4>
      </vt:variant>
      <vt:variant>
        <vt:i4>101</vt:i4>
      </vt:variant>
      <vt:variant>
        <vt:i4>0</vt:i4>
      </vt:variant>
      <vt:variant>
        <vt:i4>5</vt:i4>
      </vt:variant>
      <vt:variant>
        <vt:lpwstr/>
      </vt:variant>
      <vt:variant>
        <vt:lpwstr>_Toc382433317</vt:lpwstr>
      </vt:variant>
      <vt:variant>
        <vt:i4>1638449</vt:i4>
      </vt:variant>
      <vt:variant>
        <vt:i4>95</vt:i4>
      </vt:variant>
      <vt:variant>
        <vt:i4>0</vt:i4>
      </vt:variant>
      <vt:variant>
        <vt:i4>5</vt:i4>
      </vt:variant>
      <vt:variant>
        <vt:lpwstr/>
      </vt:variant>
      <vt:variant>
        <vt:lpwstr>_Toc382433316</vt:lpwstr>
      </vt:variant>
      <vt:variant>
        <vt:i4>1638449</vt:i4>
      </vt:variant>
      <vt:variant>
        <vt:i4>89</vt:i4>
      </vt:variant>
      <vt:variant>
        <vt:i4>0</vt:i4>
      </vt:variant>
      <vt:variant>
        <vt:i4>5</vt:i4>
      </vt:variant>
      <vt:variant>
        <vt:lpwstr/>
      </vt:variant>
      <vt:variant>
        <vt:lpwstr>_Toc382433315</vt:lpwstr>
      </vt:variant>
      <vt:variant>
        <vt:i4>1638449</vt:i4>
      </vt:variant>
      <vt:variant>
        <vt:i4>83</vt:i4>
      </vt:variant>
      <vt:variant>
        <vt:i4>0</vt:i4>
      </vt:variant>
      <vt:variant>
        <vt:i4>5</vt:i4>
      </vt:variant>
      <vt:variant>
        <vt:lpwstr/>
      </vt:variant>
      <vt:variant>
        <vt:lpwstr>_Toc382433314</vt:lpwstr>
      </vt:variant>
      <vt:variant>
        <vt:i4>1638449</vt:i4>
      </vt:variant>
      <vt:variant>
        <vt:i4>77</vt:i4>
      </vt:variant>
      <vt:variant>
        <vt:i4>0</vt:i4>
      </vt:variant>
      <vt:variant>
        <vt:i4>5</vt:i4>
      </vt:variant>
      <vt:variant>
        <vt:lpwstr/>
      </vt:variant>
      <vt:variant>
        <vt:lpwstr>_Toc382433313</vt:lpwstr>
      </vt:variant>
      <vt:variant>
        <vt:i4>1638449</vt:i4>
      </vt:variant>
      <vt:variant>
        <vt:i4>71</vt:i4>
      </vt:variant>
      <vt:variant>
        <vt:i4>0</vt:i4>
      </vt:variant>
      <vt:variant>
        <vt:i4>5</vt:i4>
      </vt:variant>
      <vt:variant>
        <vt:lpwstr/>
      </vt:variant>
      <vt:variant>
        <vt:lpwstr>_Toc382433312</vt:lpwstr>
      </vt:variant>
      <vt:variant>
        <vt:i4>1638449</vt:i4>
      </vt:variant>
      <vt:variant>
        <vt:i4>65</vt:i4>
      </vt:variant>
      <vt:variant>
        <vt:i4>0</vt:i4>
      </vt:variant>
      <vt:variant>
        <vt:i4>5</vt:i4>
      </vt:variant>
      <vt:variant>
        <vt:lpwstr/>
      </vt:variant>
      <vt:variant>
        <vt:lpwstr>_Toc382433311</vt:lpwstr>
      </vt:variant>
      <vt:variant>
        <vt:i4>1638449</vt:i4>
      </vt:variant>
      <vt:variant>
        <vt:i4>59</vt:i4>
      </vt:variant>
      <vt:variant>
        <vt:i4>0</vt:i4>
      </vt:variant>
      <vt:variant>
        <vt:i4>5</vt:i4>
      </vt:variant>
      <vt:variant>
        <vt:lpwstr/>
      </vt:variant>
      <vt:variant>
        <vt:lpwstr>_Toc382433310</vt:lpwstr>
      </vt:variant>
      <vt:variant>
        <vt:i4>1572913</vt:i4>
      </vt:variant>
      <vt:variant>
        <vt:i4>53</vt:i4>
      </vt:variant>
      <vt:variant>
        <vt:i4>0</vt:i4>
      </vt:variant>
      <vt:variant>
        <vt:i4>5</vt:i4>
      </vt:variant>
      <vt:variant>
        <vt:lpwstr/>
      </vt:variant>
      <vt:variant>
        <vt:lpwstr>_Toc382433309</vt:lpwstr>
      </vt:variant>
      <vt:variant>
        <vt:i4>1572913</vt:i4>
      </vt:variant>
      <vt:variant>
        <vt:i4>47</vt:i4>
      </vt:variant>
      <vt:variant>
        <vt:i4>0</vt:i4>
      </vt:variant>
      <vt:variant>
        <vt:i4>5</vt:i4>
      </vt:variant>
      <vt:variant>
        <vt:lpwstr/>
      </vt:variant>
      <vt:variant>
        <vt:lpwstr>_Toc382433308</vt:lpwstr>
      </vt:variant>
      <vt:variant>
        <vt:i4>1572913</vt:i4>
      </vt:variant>
      <vt:variant>
        <vt:i4>41</vt:i4>
      </vt:variant>
      <vt:variant>
        <vt:i4>0</vt:i4>
      </vt:variant>
      <vt:variant>
        <vt:i4>5</vt:i4>
      </vt:variant>
      <vt:variant>
        <vt:lpwstr/>
      </vt:variant>
      <vt:variant>
        <vt:lpwstr>_Toc382433307</vt:lpwstr>
      </vt:variant>
      <vt:variant>
        <vt:i4>1572913</vt:i4>
      </vt:variant>
      <vt:variant>
        <vt:i4>35</vt:i4>
      </vt:variant>
      <vt:variant>
        <vt:i4>0</vt:i4>
      </vt:variant>
      <vt:variant>
        <vt:i4>5</vt:i4>
      </vt:variant>
      <vt:variant>
        <vt:lpwstr/>
      </vt:variant>
      <vt:variant>
        <vt:lpwstr>_Toc382433306</vt:lpwstr>
      </vt:variant>
      <vt:variant>
        <vt:i4>1572913</vt:i4>
      </vt:variant>
      <vt:variant>
        <vt:i4>29</vt:i4>
      </vt:variant>
      <vt:variant>
        <vt:i4>0</vt:i4>
      </vt:variant>
      <vt:variant>
        <vt:i4>5</vt:i4>
      </vt:variant>
      <vt:variant>
        <vt:lpwstr/>
      </vt:variant>
      <vt:variant>
        <vt:lpwstr>_Toc382433305</vt:lpwstr>
      </vt:variant>
      <vt:variant>
        <vt:i4>1572913</vt:i4>
      </vt:variant>
      <vt:variant>
        <vt:i4>23</vt:i4>
      </vt:variant>
      <vt:variant>
        <vt:i4>0</vt:i4>
      </vt:variant>
      <vt:variant>
        <vt:i4>5</vt:i4>
      </vt:variant>
      <vt:variant>
        <vt:lpwstr/>
      </vt:variant>
      <vt:variant>
        <vt:lpwstr>_Toc382433304</vt:lpwstr>
      </vt:variant>
      <vt:variant>
        <vt:i4>1572913</vt:i4>
      </vt:variant>
      <vt:variant>
        <vt:i4>17</vt:i4>
      </vt:variant>
      <vt:variant>
        <vt:i4>0</vt:i4>
      </vt:variant>
      <vt:variant>
        <vt:i4>5</vt:i4>
      </vt:variant>
      <vt:variant>
        <vt:lpwstr/>
      </vt:variant>
      <vt:variant>
        <vt:lpwstr>_Toc382433303</vt:lpwstr>
      </vt:variant>
      <vt:variant>
        <vt:i4>1572913</vt:i4>
      </vt:variant>
      <vt:variant>
        <vt:i4>11</vt:i4>
      </vt:variant>
      <vt:variant>
        <vt:i4>0</vt:i4>
      </vt:variant>
      <vt:variant>
        <vt:i4>5</vt:i4>
      </vt:variant>
      <vt:variant>
        <vt:lpwstr/>
      </vt:variant>
      <vt:variant>
        <vt:lpwstr>_Toc382433302</vt:lpwstr>
      </vt:variant>
      <vt:variant>
        <vt:i4>1310792</vt:i4>
      </vt:variant>
      <vt:variant>
        <vt:i4>6</vt:i4>
      </vt:variant>
      <vt:variant>
        <vt:i4>0</vt:i4>
      </vt:variant>
      <vt:variant>
        <vt:i4>5</vt:i4>
      </vt:variant>
      <vt:variant>
        <vt:lpwstr>http://www.parliament.act.gov.au/</vt:lpwstr>
      </vt:variant>
      <vt:variant>
        <vt:lpwstr/>
      </vt:variant>
      <vt:variant>
        <vt:i4>4980832</vt:i4>
      </vt:variant>
      <vt:variant>
        <vt:i4>3</vt:i4>
      </vt:variant>
      <vt:variant>
        <vt:i4>0</vt:i4>
      </vt:variant>
      <vt:variant>
        <vt:i4>5</vt:i4>
      </vt:variant>
      <vt:variant>
        <vt:lpwstr>mailto:committees@parliament.act.gov.au</vt:lpwstr>
      </vt:variant>
      <vt:variant>
        <vt:lpwstr/>
      </vt:variant>
      <vt:variant>
        <vt:i4>2752528</vt:i4>
      </vt:variant>
      <vt:variant>
        <vt:i4>45</vt:i4>
      </vt:variant>
      <vt:variant>
        <vt:i4>0</vt:i4>
      </vt:variant>
      <vt:variant>
        <vt:i4>5</vt:i4>
      </vt:variant>
      <vt:variant>
        <vt:lpwstr>http://en.wikipedia.org/wiki/Non-profit_organization</vt:lpwstr>
      </vt:variant>
      <vt:variant>
        <vt:lpwstr/>
      </vt:variant>
      <vt:variant>
        <vt:i4>1048675</vt:i4>
      </vt:variant>
      <vt:variant>
        <vt:i4>42</vt:i4>
      </vt:variant>
      <vt:variant>
        <vt:i4>0</vt:i4>
      </vt:variant>
      <vt:variant>
        <vt:i4>5</vt:i4>
      </vt:variant>
      <vt:variant>
        <vt:lpwstr>http://en.wikipedia.org/wiki/Human_resources</vt:lpwstr>
      </vt:variant>
      <vt:variant>
        <vt:lpwstr/>
      </vt:variant>
      <vt:variant>
        <vt:i4>2752567</vt:i4>
      </vt:variant>
      <vt:variant>
        <vt:i4>39</vt:i4>
      </vt:variant>
      <vt:variant>
        <vt:i4>0</vt:i4>
      </vt:variant>
      <vt:variant>
        <vt:i4>5</vt:i4>
      </vt:variant>
      <vt:variant>
        <vt:lpwstr>http://www.psc.qld.gov.au/publications/workforce-statistics/statistics-quick-facts.aspx</vt:lpwstr>
      </vt:variant>
      <vt:variant>
        <vt:lpwstr/>
      </vt:variant>
      <vt:variant>
        <vt:i4>6553687</vt:i4>
      </vt:variant>
      <vt:variant>
        <vt:i4>36</vt:i4>
      </vt:variant>
      <vt:variant>
        <vt:i4>0</vt:i4>
      </vt:variant>
      <vt:variant>
        <vt:i4>5</vt:i4>
      </vt:variant>
      <vt:variant>
        <vt:lpwstr>https://apsc.gov.au/APSEDii/APSEDIIFirstPage_index.shtm</vt:lpwstr>
      </vt:variant>
      <vt:variant>
        <vt:lpwstr/>
      </vt:variant>
      <vt:variant>
        <vt:i4>983111</vt:i4>
      </vt:variant>
      <vt:variant>
        <vt:i4>33</vt:i4>
      </vt:variant>
      <vt:variant>
        <vt:i4>0</vt:i4>
      </vt:variant>
      <vt:variant>
        <vt:i4>5</vt:i4>
      </vt:variant>
      <vt:variant>
        <vt:lpwstr>http://www.apsc.gov.au/aps-employment-policy-and-advice/movements/secondments</vt:lpwstr>
      </vt:variant>
      <vt:variant>
        <vt:lpwstr/>
      </vt:variant>
      <vt:variant>
        <vt:i4>720907</vt:i4>
      </vt:variant>
      <vt:variant>
        <vt:i4>30</vt:i4>
      </vt:variant>
      <vt:variant>
        <vt:i4>0</vt:i4>
      </vt:variant>
      <vt:variant>
        <vt:i4>5</vt:i4>
      </vt:variant>
      <vt:variant>
        <vt:lpwstr>http://www.cica.org.au/practitioners/career-practitioner-information</vt:lpwstr>
      </vt:variant>
      <vt:variant>
        <vt:lpwstr/>
      </vt:variant>
      <vt:variant>
        <vt:i4>2490470</vt:i4>
      </vt:variant>
      <vt:variant>
        <vt:i4>27</vt:i4>
      </vt:variant>
      <vt:variant>
        <vt:i4>0</vt:i4>
      </vt:variant>
      <vt:variant>
        <vt:i4>5</vt:i4>
      </vt:variant>
      <vt:variant>
        <vt:lpwstr>http://www.deadlyvibe.com.au/event/deadly-awards-2014/</vt:lpwstr>
      </vt:variant>
      <vt:variant>
        <vt:lpwstr/>
      </vt:variant>
      <vt:variant>
        <vt:i4>4456543</vt:i4>
      </vt:variant>
      <vt:variant>
        <vt:i4>24</vt:i4>
      </vt:variant>
      <vt:variant>
        <vt:i4>0</vt:i4>
      </vt:variant>
      <vt:variant>
        <vt:i4>5</vt:i4>
      </vt:variant>
      <vt:variant>
        <vt:lpwstr>http://www.naidoc.org.au/</vt:lpwstr>
      </vt:variant>
      <vt:variant>
        <vt:lpwstr/>
      </vt:variant>
      <vt:variant>
        <vt:i4>1769538</vt:i4>
      </vt:variant>
      <vt:variant>
        <vt:i4>21</vt:i4>
      </vt:variant>
      <vt:variant>
        <vt:i4>0</vt:i4>
      </vt:variant>
      <vt:variant>
        <vt:i4>5</vt:i4>
      </vt:variant>
      <vt:variant>
        <vt:lpwstr>http://seekingliberty.wordpress.com/2009/09/07/racism-vs-prejudice-there-is-a-difference/</vt:lpwstr>
      </vt:variant>
      <vt:variant>
        <vt:lpwstr/>
      </vt:variant>
      <vt:variant>
        <vt:i4>6553661</vt:i4>
      </vt:variant>
      <vt:variant>
        <vt:i4>18</vt:i4>
      </vt:variant>
      <vt:variant>
        <vt:i4>0</vt:i4>
      </vt:variant>
      <vt:variant>
        <vt:i4>5</vt:i4>
      </vt:variant>
      <vt:variant>
        <vt:lpwstr>http://www.reconciliationaustralia.org.au/</vt:lpwstr>
      </vt:variant>
      <vt:variant>
        <vt:lpwstr/>
      </vt:variant>
      <vt:variant>
        <vt:i4>2228286</vt:i4>
      </vt:variant>
      <vt:variant>
        <vt:i4>15</vt:i4>
      </vt:variant>
      <vt:variant>
        <vt:i4>0</vt:i4>
      </vt:variant>
      <vt:variant>
        <vt:i4>5</vt:i4>
      </vt:variant>
      <vt:variant>
        <vt:lpwstr>http://rw-3.com/our-approach/what-is-cultural-training/</vt:lpwstr>
      </vt:variant>
      <vt:variant>
        <vt:lpwstr/>
      </vt:variant>
      <vt:variant>
        <vt:i4>1966171</vt:i4>
      </vt:variant>
      <vt:variant>
        <vt:i4>12</vt:i4>
      </vt:variant>
      <vt:variant>
        <vt:i4>0</vt:i4>
      </vt:variant>
      <vt:variant>
        <vt:i4>5</vt:i4>
      </vt:variant>
      <vt:variant>
        <vt:lpwstr>http://employment.gov.au/indigenous-cadetship-support-ics</vt:lpwstr>
      </vt:variant>
      <vt:variant>
        <vt:lpwstr/>
      </vt:variant>
      <vt:variant>
        <vt:i4>5898304</vt:i4>
      </vt:variant>
      <vt:variant>
        <vt:i4>9</vt:i4>
      </vt:variant>
      <vt:variant>
        <vt:i4>0</vt:i4>
      </vt:variant>
      <vt:variant>
        <vt:i4>5</vt:i4>
      </vt:variant>
      <vt:variant>
        <vt:lpwstr>http://www.dunstan.org.au/resources/dunstanpapers</vt:lpwstr>
      </vt:variant>
      <vt:variant>
        <vt:lpwstr/>
      </vt:variant>
      <vt:variant>
        <vt:i4>7405679</vt:i4>
      </vt:variant>
      <vt:variant>
        <vt:i4>6</vt:i4>
      </vt:variant>
      <vt:variant>
        <vt:i4>0</vt:i4>
      </vt:variant>
      <vt:variant>
        <vt:i4>5</vt:i4>
      </vt:variant>
      <vt:variant>
        <vt:lpwstr>http://www.cmd.act.gov.au/open_government/inform/act_government_media_releases/rattenbury/2014/consultation-to-develop-new-aboriginal-and-torres-strait-islander-agreement</vt:lpwstr>
      </vt:variant>
      <vt:variant>
        <vt:lpwstr/>
      </vt:variant>
      <vt:variant>
        <vt:i4>5505101</vt:i4>
      </vt:variant>
      <vt:variant>
        <vt:i4>3</vt:i4>
      </vt:variant>
      <vt:variant>
        <vt:i4>0</vt:i4>
      </vt:variant>
      <vt:variant>
        <vt:i4>5</vt:i4>
      </vt:variant>
      <vt:variant>
        <vt:lpwstr>http://www.hansard.act.gov.au/hansard/2013/comms/health09.pdf</vt:lpwstr>
      </vt:variant>
      <vt:variant>
        <vt:lpwstr/>
      </vt:variant>
      <vt:variant>
        <vt:i4>7602285</vt:i4>
      </vt:variant>
      <vt:variant>
        <vt:i4>0</vt:i4>
      </vt:variant>
      <vt:variant>
        <vt:i4>0</vt:i4>
      </vt:variant>
      <vt:variant>
        <vt:i4>5</vt:i4>
      </vt:variant>
      <vt:variant>
        <vt:lpwstr>http://www.legislation.act.gov.au/a/1994-37/default.asp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Committees Report Template</dc:title>
  <dc:creator>Trevor Rowe</dc:creator>
  <dc:description>Template version 11 - 7 February  2013</dc:description>
  <cp:lastModifiedBy>Lydia Chung</cp:lastModifiedBy>
  <cp:revision>2</cp:revision>
  <cp:lastPrinted>2014-03-31T00:15:00Z</cp:lastPrinted>
  <dcterms:created xsi:type="dcterms:W3CDTF">2015-05-07T00:39:00Z</dcterms:created>
  <dcterms:modified xsi:type="dcterms:W3CDTF">2015-05-07T00:39:00Z</dcterms:modified>
</cp:coreProperties>
</file>