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74BA" w14:textId="2BCBAF5E" w:rsidR="005B5DE9" w:rsidRPr="00C8358A" w:rsidRDefault="005B5DE9" w:rsidP="005B5DE9">
      <w:pPr>
        <w:pStyle w:val="Cover-Committeename"/>
        <w:ind w:left="1701"/>
      </w:pPr>
      <w:bookmarkStart w:id="0" w:name="_Toc79133346"/>
      <w:r w:rsidRPr="00C8358A">
        <w:t xml:space="preserve">Standing Committee on </w:t>
      </w:r>
      <w:r w:rsidR="0053078A">
        <w:t>Environment</w:t>
      </w:r>
      <w:r>
        <w:t xml:space="preserve">, </w:t>
      </w:r>
      <w:r w:rsidR="0053078A">
        <w:t>Climate Change and Biodiversity</w:t>
      </w:r>
    </w:p>
    <w:p w14:paraId="59EDFDDA" w14:textId="033F2084" w:rsidR="005B5DE9" w:rsidRDefault="005B5DE9" w:rsidP="005B5DE9">
      <w:pPr>
        <w:pStyle w:val="Title"/>
        <w:ind w:right="-46"/>
      </w:pPr>
      <w:r w:rsidRPr="00C8358A">
        <w:t xml:space="preserve">Inquiry into </w:t>
      </w:r>
      <w:r w:rsidR="00A93B60">
        <w:t>Annual and Financial Reports 2021-22</w:t>
      </w:r>
    </w:p>
    <w:p w14:paraId="1A307ED2" w14:textId="77777777" w:rsidR="005B5DE9" w:rsidRDefault="005B5DE9" w:rsidP="005B5DE9">
      <w:pPr>
        <w:spacing w:line="259" w:lineRule="auto"/>
        <w:rPr>
          <w:rFonts w:ascii="Montserrat" w:eastAsiaTheme="majorEastAsia" w:hAnsi="Montserrat" w:cstheme="majorBidi"/>
          <w:b/>
          <w:spacing w:val="-10"/>
          <w:w w:val="90"/>
          <w:kern w:val="28"/>
          <w:sz w:val="58"/>
          <w:szCs w:val="58"/>
        </w:rPr>
      </w:pPr>
      <w:r>
        <w:br w:type="page"/>
      </w:r>
    </w:p>
    <w:p w14:paraId="517E03F9" w14:textId="77777777" w:rsidR="005B5DE9" w:rsidRPr="0075417C" w:rsidRDefault="005B5DE9" w:rsidP="005B5DE9">
      <w:pPr>
        <w:tabs>
          <w:tab w:val="left" w:pos="3165"/>
        </w:tabs>
        <w:rPr>
          <w:rFonts w:ascii="Montserrat" w:eastAsiaTheme="majorEastAsia" w:hAnsi="Montserrat" w:cstheme="majorBidi"/>
          <w:spacing w:val="-10"/>
          <w:w w:val="90"/>
          <w:kern w:val="28"/>
          <w:sz w:val="58"/>
          <w:szCs w:val="58"/>
        </w:rPr>
        <w:sectPr w:rsidR="005B5DE9" w:rsidRPr="0075417C" w:rsidSect="00D376C4">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A6B3E72" w14:textId="77777777" w:rsidR="005B5DE9" w:rsidRDefault="005B5DE9" w:rsidP="005B5DE9">
      <w:pPr>
        <w:pStyle w:val="Heading1nonumber"/>
      </w:pPr>
      <w:bookmarkStart w:id="1" w:name="_Toc129350699"/>
      <w:r>
        <w:lastRenderedPageBreak/>
        <w:t>About the committee</w:t>
      </w:r>
      <w:bookmarkEnd w:id="1"/>
    </w:p>
    <w:p w14:paraId="2F479732" w14:textId="77777777" w:rsidR="005B5DE9" w:rsidRDefault="005B5DE9" w:rsidP="005B5DE9">
      <w:pPr>
        <w:pStyle w:val="Heading2"/>
      </w:pPr>
      <w:bookmarkStart w:id="2" w:name="_Toc129350700"/>
      <w:r>
        <w:t>Establishing resolution</w:t>
      </w:r>
      <w:bookmarkEnd w:id="2"/>
    </w:p>
    <w:p w14:paraId="688035B3" w14:textId="7EAB62EA" w:rsidR="005B5DE9" w:rsidRDefault="005B5DE9" w:rsidP="005B5DE9">
      <w:r>
        <w:t xml:space="preserve">The Assembly established the </w:t>
      </w:r>
      <w:fldSimple w:instr=" STYLEREF  &quot;Cover - Committee name&quot;  \* MERGEFORMAT ">
        <w:r w:rsidR="0053078A">
          <w:rPr>
            <w:noProof/>
          </w:rPr>
          <w:t>Standing Committee on Environment, Climate Change and Biodiversity</w:t>
        </w:r>
      </w:fldSimple>
      <w:r>
        <w:t xml:space="preserve"> on 2 December 2020.</w:t>
      </w:r>
    </w:p>
    <w:p w14:paraId="1998FA62" w14:textId="77777777" w:rsidR="005B5DE9" w:rsidRDefault="005B5DE9" w:rsidP="005B5DE9">
      <w:pPr>
        <w:spacing w:after="120"/>
      </w:pPr>
      <w:r>
        <w:t>The Committee’s areas of responsibility are:</w:t>
      </w:r>
    </w:p>
    <w:p w14:paraId="1CCA39BA" w14:textId="77777777" w:rsidR="005B5DE9" w:rsidRDefault="005B5DE9" w:rsidP="005B5DE9">
      <w:pPr>
        <w:pStyle w:val="ListParagraph"/>
        <w:numPr>
          <w:ilvl w:val="0"/>
          <w:numId w:val="14"/>
        </w:numPr>
        <w:sectPr w:rsidR="005B5DE9" w:rsidSect="009F5A83">
          <w:footerReference w:type="even" r:id="rId12"/>
          <w:footerReference w:type="default" r:id="rId13"/>
          <w:pgSz w:w="11906" w:h="16838"/>
          <w:pgMar w:top="1440" w:right="1440" w:bottom="1440" w:left="1440" w:header="708" w:footer="708" w:gutter="0"/>
          <w:pgNumType w:fmt="lowerRoman" w:start="1"/>
          <w:cols w:space="708"/>
          <w:docGrid w:linePitch="360"/>
        </w:sectPr>
      </w:pPr>
    </w:p>
    <w:p w14:paraId="151549EC" w14:textId="3BB19FAA" w:rsidR="005B5DE9" w:rsidRDefault="0053078A" w:rsidP="005B5DE9">
      <w:pPr>
        <w:pStyle w:val="ListParagraph"/>
        <w:numPr>
          <w:ilvl w:val="0"/>
          <w:numId w:val="14"/>
        </w:numPr>
      </w:pPr>
      <w:r>
        <w:t>climate change</w:t>
      </w:r>
      <w:r w:rsidR="00630A92">
        <w:tab/>
      </w:r>
      <w:r w:rsidR="00630A92">
        <w:tab/>
      </w:r>
    </w:p>
    <w:p w14:paraId="6CC1A2CC" w14:textId="33C25C71" w:rsidR="005B5DE9" w:rsidRDefault="0053078A" w:rsidP="005B5DE9">
      <w:pPr>
        <w:pStyle w:val="ListParagraph"/>
        <w:numPr>
          <w:ilvl w:val="0"/>
          <w:numId w:val="14"/>
        </w:numPr>
      </w:pPr>
      <w:r>
        <w:t>climate action</w:t>
      </w:r>
    </w:p>
    <w:p w14:paraId="5B8F5190" w14:textId="2EBEB736" w:rsidR="005B5DE9" w:rsidRDefault="0053078A" w:rsidP="005B5DE9">
      <w:pPr>
        <w:pStyle w:val="ListParagraph"/>
        <w:numPr>
          <w:ilvl w:val="0"/>
          <w:numId w:val="14"/>
        </w:numPr>
      </w:pPr>
      <w:r>
        <w:t>environment</w:t>
      </w:r>
    </w:p>
    <w:p w14:paraId="2438D90E" w14:textId="75AA4F89" w:rsidR="005B5DE9" w:rsidRDefault="0053078A" w:rsidP="005B5DE9">
      <w:pPr>
        <w:pStyle w:val="ListParagraph"/>
        <w:numPr>
          <w:ilvl w:val="0"/>
          <w:numId w:val="14"/>
        </w:numPr>
      </w:pPr>
      <w:r>
        <w:t>heritage</w:t>
      </w:r>
    </w:p>
    <w:p w14:paraId="21BA367A" w14:textId="56F4D64A" w:rsidR="0053078A" w:rsidRDefault="0053078A" w:rsidP="005B5DE9">
      <w:pPr>
        <w:pStyle w:val="ListParagraph"/>
        <w:numPr>
          <w:ilvl w:val="0"/>
          <w:numId w:val="14"/>
        </w:numPr>
      </w:pPr>
      <w:r>
        <w:t xml:space="preserve">Commissioner for </w:t>
      </w:r>
      <w:r w:rsidR="00C2226A">
        <w:t xml:space="preserve">Sustainability and </w:t>
      </w:r>
      <w:r>
        <w:t>the Environment</w:t>
      </w:r>
    </w:p>
    <w:p w14:paraId="1B7A103E" w14:textId="24C1C33D" w:rsidR="0053078A" w:rsidRDefault="0053078A" w:rsidP="005B5DE9">
      <w:pPr>
        <w:pStyle w:val="ListParagraph"/>
        <w:numPr>
          <w:ilvl w:val="0"/>
          <w:numId w:val="14"/>
        </w:numPr>
      </w:pPr>
      <w:r>
        <w:t>Environment Protection Agency</w:t>
      </w:r>
    </w:p>
    <w:p w14:paraId="386BB348" w14:textId="30694FFE" w:rsidR="0053078A" w:rsidRDefault="0053078A" w:rsidP="005B5DE9">
      <w:pPr>
        <w:pStyle w:val="ListParagraph"/>
        <w:numPr>
          <w:ilvl w:val="0"/>
          <w:numId w:val="14"/>
        </w:numPr>
      </w:pPr>
      <w:r>
        <w:t>parks and conservation</w:t>
      </w:r>
    </w:p>
    <w:p w14:paraId="75A9D48E" w14:textId="5FDCA653" w:rsidR="005B5DE9" w:rsidRDefault="0053078A" w:rsidP="005B5DE9">
      <w:pPr>
        <w:pStyle w:val="ListParagraph"/>
        <w:numPr>
          <w:ilvl w:val="0"/>
          <w:numId w:val="14"/>
        </w:numPr>
      </w:pPr>
      <w:r>
        <w:t>water and energy policy and programs</w:t>
      </w:r>
    </w:p>
    <w:p w14:paraId="0F4C35B0" w14:textId="117C13BA" w:rsidR="005B5DE9" w:rsidRDefault="0053078A" w:rsidP="005B5DE9">
      <w:pPr>
        <w:pStyle w:val="ListParagraph"/>
        <w:numPr>
          <w:ilvl w:val="0"/>
          <w:numId w:val="14"/>
        </w:numPr>
      </w:pPr>
      <w:r>
        <w:t>emissions reductions</w:t>
      </w:r>
    </w:p>
    <w:p w14:paraId="09FD6173" w14:textId="77777777" w:rsidR="0053078A" w:rsidRDefault="0053078A" w:rsidP="0053078A">
      <w:pPr>
        <w:pStyle w:val="ListParagraph"/>
        <w:numPr>
          <w:ilvl w:val="0"/>
          <w:numId w:val="14"/>
        </w:numPr>
      </w:pPr>
      <w:r>
        <w:t>environment and ecological sustainability</w:t>
      </w:r>
    </w:p>
    <w:p w14:paraId="606E1AE1" w14:textId="6BB49678" w:rsidR="0053078A" w:rsidRDefault="0053078A" w:rsidP="0053078A">
      <w:pPr>
        <w:sectPr w:rsidR="0053078A" w:rsidSect="004D5396">
          <w:type w:val="continuous"/>
          <w:pgSz w:w="11906" w:h="16838"/>
          <w:pgMar w:top="1440" w:right="1440" w:bottom="1440" w:left="1440" w:header="708" w:footer="708" w:gutter="0"/>
          <w:pgNumType w:fmt="lowerRoman" w:start="1"/>
          <w:cols w:num="2" w:space="708"/>
          <w:docGrid w:linePitch="360"/>
        </w:sectPr>
      </w:pPr>
    </w:p>
    <w:p w14:paraId="7B0A067F" w14:textId="77777777" w:rsidR="005B5DE9" w:rsidRDefault="005B5DE9" w:rsidP="005B5DE9">
      <w:pPr>
        <w:spacing w:before="120"/>
      </w:pPr>
      <w:r>
        <w:br/>
        <w:t xml:space="preserve">You can read the full establishing resolution </w:t>
      </w:r>
      <w:hyperlink r:id="rId14" w:history="1">
        <w:r w:rsidRPr="00033949">
          <w:rPr>
            <w:rStyle w:val="Hyperlink"/>
          </w:rPr>
          <w:t>here</w:t>
        </w:r>
      </w:hyperlink>
      <w:r>
        <w:t>.</w:t>
      </w:r>
    </w:p>
    <w:p w14:paraId="4AA83165" w14:textId="77777777" w:rsidR="005B5DE9" w:rsidRDefault="005B5DE9" w:rsidP="005B5DE9">
      <w:pPr>
        <w:pStyle w:val="Heading2"/>
      </w:pPr>
      <w:bookmarkStart w:id="3" w:name="_Toc129350701"/>
      <w:r>
        <w:t>Committee members</w:t>
      </w:r>
      <w:bookmarkEnd w:id="3"/>
    </w:p>
    <w:p w14:paraId="317BC1E4" w14:textId="6FB344AE" w:rsidR="005B5DE9" w:rsidRDefault="0053078A" w:rsidP="005B5DE9">
      <w:pPr>
        <w:pStyle w:val="List"/>
      </w:pPr>
      <w:r>
        <w:t>Dr Marisa Paterson</w:t>
      </w:r>
      <w:r w:rsidR="005B5DE9">
        <w:t xml:space="preserve"> MLA, Chair</w:t>
      </w:r>
    </w:p>
    <w:p w14:paraId="73CA0544" w14:textId="6F96D050" w:rsidR="005B5DE9" w:rsidRDefault="005B5DE9" w:rsidP="005B5DE9">
      <w:pPr>
        <w:pStyle w:val="List"/>
      </w:pPr>
      <w:r>
        <w:t xml:space="preserve">Ms </w:t>
      </w:r>
      <w:r w:rsidR="0053078A">
        <w:t>Jo Clay</w:t>
      </w:r>
      <w:r>
        <w:t xml:space="preserve"> MLA, Deputy Chair</w:t>
      </w:r>
    </w:p>
    <w:p w14:paraId="2838FFCF" w14:textId="2A4423B4" w:rsidR="005B5DE9" w:rsidRDefault="005B5DE9" w:rsidP="005B5DE9">
      <w:pPr>
        <w:pStyle w:val="List"/>
      </w:pPr>
      <w:r>
        <w:t xml:space="preserve">Mr </w:t>
      </w:r>
      <w:r w:rsidR="0053078A">
        <w:t>Ed Cocks</w:t>
      </w:r>
      <w:r>
        <w:t xml:space="preserve"> MLA</w:t>
      </w:r>
    </w:p>
    <w:p w14:paraId="2DBA76A7" w14:textId="77777777" w:rsidR="005B5DE9" w:rsidRDefault="005B5DE9" w:rsidP="005B5DE9">
      <w:pPr>
        <w:pStyle w:val="Heading2"/>
      </w:pPr>
      <w:bookmarkStart w:id="4" w:name="_Toc129350702"/>
      <w:r>
        <w:t>Secretariat</w:t>
      </w:r>
      <w:bookmarkEnd w:id="4"/>
    </w:p>
    <w:p w14:paraId="65669EF6" w14:textId="778E5286" w:rsidR="005B5DE9" w:rsidRPr="00A23A3E" w:rsidRDefault="005B5DE9" w:rsidP="005B5DE9">
      <w:pPr>
        <w:pStyle w:val="List"/>
      </w:pPr>
      <w:r>
        <w:t xml:space="preserve">Ms </w:t>
      </w:r>
      <w:r w:rsidR="00630A92">
        <w:t>Miona Ikeda</w:t>
      </w:r>
      <w:r>
        <w:t>, Acting Committee Secretary</w:t>
      </w:r>
    </w:p>
    <w:p w14:paraId="2CED2959" w14:textId="66010955" w:rsidR="005B5DE9" w:rsidRDefault="005B5DE9" w:rsidP="005B5DE9">
      <w:pPr>
        <w:pStyle w:val="List"/>
      </w:pPr>
      <w:r>
        <w:t xml:space="preserve">Ms </w:t>
      </w:r>
      <w:r w:rsidR="00630A92">
        <w:t>Kate Mickelson</w:t>
      </w:r>
      <w:r>
        <w:t>, Assistant Secretary</w:t>
      </w:r>
      <w:r w:rsidR="00630A92">
        <w:t xml:space="preserve"> (Acting Committee Secretary until 21 November 2022)</w:t>
      </w:r>
    </w:p>
    <w:p w14:paraId="2157F6FA" w14:textId="20741DAF" w:rsidR="005B5DE9" w:rsidRDefault="005B5DE9" w:rsidP="005B5DE9">
      <w:pPr>
        <w:pStyle w:val="List"/>
      </w:pPr>
      <w:r>
        <w:t>Mr Adam Walker, Assistant Secretary</w:t>
      </w:r>
    </w:p>
    <w:p w14:paraId="46AA9EC6" w14:textId="77777777" w:rsidR="005B5DE9" w:rsidRDefault="005B5DE9" w:rsidP="005B5DE9">
      <w:pPr>
        <w:pStyle w:val="List"/>
      </w:pPr>
      <w:r>
        <w:t>Ms Lydia Chung</w:t>
      </w:r>
      <w:r w:rsidRPr="00A23A3E">
        <w:t>, Administrative Assistant</w:t>
      </w:r>
    </w:p>
    <w:p w14:paraId="1A99F67C" w14:textId="77777777" w:rsidR="005B5DE9" w:rsidRDefault="005B5DE9" w:rsidP="005B5DE9">
      <w:pPr>
        <w:pStyle w:val="Heading2"/>
      </w:pPr>
      <w:bookmarkStart w:id="5" w:name="_Toc129350703"/>
      <w:r>
        <w:t>Contact us</w:t>
      </w:r>
      <w:bookmarkEnd w:id="5"/>
    </w:p>
    <w:p w14:paraId="1F91C3BF" w14:textId="5144ED4C" w:rsidR="005B5DE9" w:rsidRDefault="005B5DE9" w:rsidP="005B5DE9">
      <w:pPr>
        <w:ind w:left="1134" w:hanging="1134"/>
      </w:pPr>
      <w:r>
        <w:rPr>
          <w:b/>
          <w:bCs/>
        </w:rPr>
        <w:t>Mail</w:t>
      </w:r>
      <w:r>
        <w:tab/>
      </w:r>
      <w:fldSimple w:instr=" STYLEREF  &quot;Cover - Committee name&quot;  \* MERGEFORMAT ">
        <w:r w:rsidR="0053078A">
          <w:rPr>
            <w:noProof/>
          </w:rPr>
          <w:t>Standing Committee on Environment, Climate Change and Biodiversity</w:t>
        </w:r>
      </w:fldSimple>
      <w:r>
        <w:br/>
        <w:t>Legislative Assembly for the Australian Capital Territory</w:t>
      </w:r>
      <w:r>
        <w:br/>
        <w:t>GPO Box 1020</w:t>
      </w:r>
      <w:r>
        <w:br/>
        <w:t>CANBERRA ACT 2601</w:t>
      </w:r>
    </w:p>
    <w:p w14:paraId="360F41EA" w14:textId="77777777" w:rsidR="005B5DE9" w:rsidRDefault="005B5DE9" w:rsidP="005B5DE9">
      <w:pPr>
        <w:ind w:left="1134" w:hanging="1134"/>
      </w:pPr>
      <w:r>
        <w:rPr>
          <w:b/>
          <w:bCs/>
        </w:rPr>
        <w:t>Phone</w:t>
      </w:r>
      <w:r>
        <w:rPr>
          <w:b/>
          <w:bCs/>
        </w:rPr>
        <w:tab/>
      </w:r>
      <w:r>
        <w:t xml:space="preserve">(02) </w:t>
      </w:r>
      <w:r w:rsidRPr="008E750D">
        <w:t>620</w:t>
      </w:r>
      <w:r>
        <w:t>5 0199</w:t>
      </w:r>
    </w:p>
    <w:p w14:paraId="02608B73" w14:textId="27AEC2E3" w:rsidR="005B5DE9" w:rsidRDefault="005B5DE9" w:rsidP="005B5DE9">
      <w:pPr>
        <w:ind w:left="1134" w:hanging="1134"/>
      </w:pPr>
      <w:r>
        <w:rPr>
          <w:b/>
          <w:bCs/>
        </w:rPr>
        <w:t>Email</w:t>
      </w:r>
      <w:r>
        <w:tab/>
      </w:r>
      <w:hyperlink r:id="rId15" w:history="1">
        <w:r w:rsidR="0053078A" w:rsidRPr="003A450F">
          <w:rPr>
            <w:rStyle w:val="Hyperlink"/>
          </w:rPr>
          <w:t>LACommitteeECCB@parliament.act.gov.au</w:t>
        </w:r>
      </w:hyperlink>
      <w:r>
        <w:t xml:space="preserve"> </w:t>
      </w:r>
    </w:p>
    <w:p w14:paraId="4CD25B4C" w14:textId="77777777" w:rsidR="005B5DE9" w:rsidRDefault="005B5DE9" w:rsidP="005B5DE9">
      <w:pPr>
        <w:spacing w:line="259" w:lineRule="auto"/>
        <w:ind w:left="1134" w:hanging="1134"/>
      </w:pPr>
      <w:r>
        <w:rPr>
          <w:b/>
          <w:bCs/>
        </w:rPr>
        <w:t>Website</w:t>
      </w:r>
      <w:r>
        <w:rPr>
          <w:b/>
          <w:bCs/>
        </w:rPr>
        <w:tab/>
      </w:r>
      <w:hyperlink r:id="rId16" w:history="1">
        <w:r w:rsidRPr="001D22FC">
          <w:rPr>
            <w:rStyle w:val="Hyperlink"/>
          </w:rPr>
          <w:t>parliament.act.gov.au/parliamentary-business/in-committees</w:t>
        </w:r>
      </w:hyperlink>
    </w:p>
    <w:p w14:paraId="3D054602" w14:textId="77777777" w:rsidR="005B5DE9" w:rsidRDefault="005B5DE9" w:rsidP="005B5DE9">
      <w:pPr>
        <w:spacing w:line="259" w:lineRule="auto"/>
      </w:pPr>
      <w:r>
        <w:br w:type="page"/>
      </w:r>
    </w:p>
    <w:p w14:paraId="0E5B8B94" w14:textId="77777777" w:rsidR="005B5DE9" w:rsidRDefault="005B5DE9" w:rsidP="005B5DE9">
      <w:pPr>
        <w:pStyle w:val="Heading1nonumber"/>
      </w:pPr>
      <w:bookmarkStart w:id="6" w:name="_Toc129350704"/>
      <w:r>
        <w:lastRenderedPageBreak/>
        <w:t>About this inquiry</w:t>
      </w:r>
      <w:bookmarkEnd w:id="6"/>
    </w:p>
    <w:p w14:paraId="5DC5D219" w14:textId="2D1F975F" w:rsidR="005B5DE9" w:rsidRDefault="00630A92" w:rsidP="005B5DE9">
      <w:r>
        <w:t>Clause 3A of the establishing resolution refers all</w:t>
      </w:r>
      <w:r w:rsidRPr="002F1CBF">
        <w:t xml:space="preserve"> calendar and financial year annual and financial reports for 202</w:t>
      </w:r>
      <w:r>
        <w:t>1</w:t>
      </w:r>
      <w:r w:rsidRPr="002F1CBF">
        <w:t>-202</w:t>
      </w:r>
      <w:r>
        <w:t>2</w:t>
      </w:r>
      <w:r w:rsidRPr="002F1CBF">
        <w:t xml:space="preserve"> to the relevant standing committee for inquiry and report by </w:t>
      </w:r>
      <w:r>
        <w:t>9 April</w:t>
      </w:r>
      <w:r w:rsidRPr="002F1CBF">
        <w:t xml:space="preserve"> 202</w:t>
      </w:r>
      <w:r>
        <w:t>3</w:t>
      </w:r>
      <w:r w:rsidRPr="002F1CBF">
        <w:t xml:space="preserve"> of the year after the presentation of the report to the Assembly pursuant to the </w:t>
      </w:r>
      <w:r w:rsidRPr="002F1CBF">
        <w:rPr>
          <w:i/>
          <w:iCs/>
        </w:rPr>
        <w:t>Annual Reports (Government Agencies) Act 2004</w:t>
      </w:r>
      <w:r>
        <w:t>.</w:t>
      </w:r>
    </w:p>
    <w:p w14:paraId="0919FBCD" w14:textId="77777777" w:rsidR="005B5DE9" w:rsidRDefault="005B5DE9" w:rsidP="005B5DE9">
      <w:pPr>
        <w:pStyle w:val="ListBullet"/>
        <w:numPr>
          <w:ilvl w:val="0"/>
          <w:numId w:val="0"/>
        </w:numPr>
      </w:pPr>
      <w:r>
        <w:br w:type="page"/>
      </w:r>
    </w:p>
    <w:bookmarkEnd w:id="0" w:displacedByCustomXml="next"/>
    <w:sdt>
      <w:sdtPr>
        <w:rPr>
          <w:rFonts w:asciiTheme="minorHAnsi" w:eastAsiaTheme="minorHAnsi" w:hAnsiTheme="minorHAnsi" w:cstheme="minorBidi"/>
          <w:b w:val="0"/>
          <w:color w:val="auto"/>
          <w:w w:val="100"/>
          <w:kern w:val="0"/>
          <w:sz w:val="22"/>
          <w:szCs w:val="22"/>
          <w:lang w:val="en-AU"/>
        </w:rPr>
        <w:id w:val="-1748188642"/>
        <w:docPartObj>
          <w:docPartGallery w:val="Table of Contents"/>
          <w:docPartUnique/>
        </w:docPartObj>
      </w:sdtPr>
      <w:sdtEndPr>
        <w:rPr>
          <w:bCs/>
          <w:noProof/>
        </w:rPr>
      </w:sdtEndPr>
      <w:sdtContent>
        <w:p w14:paraId="44DD9E78" w14:textId="77777777" w:rsidR="005B5DE9" w:rsidRDefault="005B5DE9" w:rsidP="005B5DE9">
          <w:pPr>
            <w:pStyle w:val="TOCHeading"/>
          </w:pPr>
          <w:r>
            <w:t>Contents</w:t>
          </w:r>
        </w:p>
        <w:p w14:paraId="21EED807" w14:textId="07E7046B" w:rsidR="00C2226A" w:rsidRDefault="005B5DE9">
          <w:pPr>
            <w:pStyle w:val="TOC1"/>
            <w:rPr>
              <w:rFonts w:asciiTheme="minorHAnsi" w:eastAsiaTheme="minorEastAsia" w:hAnsiTheme="minorHAnsi"/>
              <w:b w:val="0"/>
              <w:bCs w:val="0"/>
              <w:color w:val="auto"/>
              <w:w w:val="100"/>
              <w:sz w:val="22"/>
              <w:lang w:eastAsia="en-AU"/>
            </w:rPr>
          </w:pPr>
          <w:r>
            <w:fldChar w:fldCharType="begin"/>
          </w:r>
          <w:r>
            <w:instrText xml:space="preserve"> TOC \o "1-3" \h \z \u </w:instrText>
          </w:r>
          <w:r>
            <w:fldChar w:fldCharType="separate"/>
          </w:r>
          <w:hyperlink w:anchor="_Toc129350699" w:history="1">
            <w:r w:rsidR="00C2226A" w:rsidRPr="00F160E1">
              <w:rPr>
                <w:rStyle w:val="Hyperlink"/>
              </w:rPr>
              <w:t>About the committee</w:t>
            </w:r>
            <w:r w:rsidR="00C2226A">
              <w:rPr>
                <w:webHidden/>
              </w:rPr>
              <w:tab/>
            </w:r>
            <w:r w:rsidR="00C2226A">
              <w:rPr>
                <w:webHidden/>
              </w:rPr>
              <w:fldChar w:fldCharType="begin"/>
            </w:r>
            <w:r w:rsidR="00C2226A">
              <w:rPr>
                <w:webHidden/>
              </w:rPr>
              <w:instrText xml:space="preserve"> PAGEREF _Toc129350699 \h </w:instrText>
            </w:r>
            <w:r w:rsidR="00C2226A">
              <w:rPr>
                <w:webHidden/>
              </w:rPr>
            </w:r>
            <w:r w:rsidR="00C2226A">
              <w:rPr>
                <w:webHidden/>
              </w:rPr>
              <w:fldChar w:fldCharType="separate"/>
            </w:r>
            <w:r w:rsidR="00C2226A">
              <w:rPr>
                <w:webHidden/>
              </w:rPr>
              <w:t>i</w:t>
            </w:r>
            <w:r w:rsidR="00C2226A">
              <w:rPr>
                <w:webHidden/>
              </w:rPr>
              <w:fldChar w:fldCharType="end"/>
            </w:r>
          </w:hyperlink>
        </w:p>
        <w:p w14:paraId="62E25A8F" w14:textId="1A6A5B14" w:rsidR="00C2226A" w:rsidRDefault="00C2226A">
          <w:pPr>
            <w:pStyle w:val="TOC2"/>
            <w:rPr>
              <w:rFonts w:eastAsiaTheme="minorEastAsia"/>
              <w:lang w:eastAsia="en-AU"/>
            </w:rPr>
          </w:pPr>
          <w:hyperlink w:anchor="_Toc129350700" w:history="1">
            <w:r w:rsidRPr="00F160E1">
              <w:rPr>
                <w:rStyle w:val="Hyperlink"/>
              </w:rPr>
              <w:t>Establishing resolution</w:t>
            </w:r>
            <w:r>
              <w:rPr>
                <w:webHidden/>
              </w:rPr>
              <w:tab/>
            </w:r>
            <w:r>
              <w:rPr>
                <w:webHidden/>
              </w:rPr>
              <w:fldChar w:fldCharType="begin"/>
            </w:r>
            <w:r>
              <w:rPr>
                <w:webHidden/>
              </w:rPr>
              <w:instrText xml:space="preserve"> PAGEREF _Toc129350700 \h </w:instrText>
            </w:r>
            <w:r>
              <w:rPr>
                <w:webHidden/>
              </w:rPr>
            </w:r>
            <w:r>
              <w:rPr>
                <w:webHidden/>
              </w:rPr>
              <w:fldChar w:fldCharType="separate"/>
            </w:r>
            <w:r>
              <w:rPr>
                <w:webHidden/>
              </w:rPr>
              <w:t>i</w:t>
            </w:r>
            <w:r>
              <w:rPr>
                <w:webHidden/>
              </w:rPr>
              <w:fldChar w:fldCharType="end"/>
            </w:r>
          </w:hyperlink>
        </w:p>
        <w:p w14:paraId="20B90DDF" w14:textId="26544316" w:rsidR="00C2226A" w:rsidRDefault="00C2226A">
          <w:pPr>
            <w:pStyle w:val="TOC2"/>
            <w:rPr>
              <w:rFonts w:eastAsiaTheme="minorEastAsia"/>
              <w:lang w:eastAsia="en-AU"/>
            </w:rPr>
          </w:pPr>
          <w:hyperlink w:anchor="_Toc129350701" w:history="1">
            <w:r w:rsidRPr="00F160E1">
              <w:rPr>
                <w:rStyle w:val="Hyperlink"/>
              </w:rPr>
              <w:t>Committee members</w:t>
            </w:r>
            <w:r>
              <w:rPr>
                <w:webHidden/>
              </w:rPr>
              <w:tab/>
            </w:r>
            <w:r>
              <w:rPr>
                <w:webHidden/>
              </w:rPr>
              <w:fldChar w:fldCharType="begin"/>
            </w:r>
            <w:r>
              <w:rPr>
                <w:webHidden/>
              </w:rPr>
              <w:instrText xml:space="preserve"> PAGEREF _Toc129350701 \h </w:instrText>
            </w:r>
            <w:r>
              <w:rPr>
                <w:webHidden/>
              </w:rPr>
            </w:r>
            <w:r>
              <w:rPr>
                <w:webHidden/>
              </w:rPr>
              <w:fldChar w:fldCharType="separate"/>
            </w:r>
            <w:r>
              <w:rPr>
                <w:webHidden/>
              </w:rPr>
              <w:t>i</w:t>
            </w:r>
            <w:r>
              <w:rPr>
                <w:webHidden/>
              </w:rPr>
              <w:fldChar w:fldCharType="end"/>
            </w:r>
          </w:hyperlink>
        </w:p>
        <w:p w14:paraId="7655E964" w14:textId="7FD598D9" w:rsidR="00C2226A" w:rsidRDefault="00C2226A">
          <w:pPr>
            <w:pStyle w:val="TOC2"/>
            <w:rPr>
              <w:rFonts w:eastAsiaTheme="minorEastAsia"/>
              <w:lang w:eastAsia="en-AU"/>
            </w:rPr>
          </w:pPr>
          <w:hyperlink w:anchor="_Toc129350702" w:history="1">
            <w:r w:rsidRPr="00F160E1">
              <w:rPr>
                <w:rStyle w:val="Hyperlink"/>
              </w:rPr>
              <w:t>Secretariat</w:t>
            </w:r>
            <w:r>
              <w:rPr>
                <w:webHidden/>
              </w:rPr>
              <w:tab/>
            </w:r>
            <w:r>
              <w:rPr>
                <w:webHidden/>
              </w:rPr>
              <w:fldChar w:fldCharType="begin"/>
            </w:r>
            <w:r>
              <w:rPr>
                <w:webHidden/>
              </w:rPr>
              <w:instrText xml:space="preserve"> PAGEREF _Toc129350702 \h </w:instrText>
            </w:r>
            <w:r>
              <w:rPr>
                <w:webHidden/>
              </w:rPr>
            </w:r>
            <w:r>
              <w:rPr>
                <w:webHidden/>
              </w:rPr>
              <w:fldChar w:fldCharType="separate"/>
            </w:r>
            <w:r>
              <w:rPr>
                <w:webHidden/>
              </w:rPr>
              <w:t>i</w:t>
            </w:r>
            <w:r>
              <w:rPr>
                <w:webHidden/>
              </w:rPr>
              <w:fldChar w:fldCharType="end"/>
            </w:r>
          </w:hyperlink>
        </w:p>
        <w:p w14:paraId="58E7A92C" w14:textId="404B0E55" w:rsidR="00C2226A" w:rsidRDefault="00C2226A">
          <w:pPr>
            <w:pStyle w:val="TOC2"/>
            <w:rPr>
              <w:rFonts w:eastAsiaTheme="minorEastAsia"/>
              <w:lang w:eastAsia="en-AU"/>
            </w:rPr>
          </w:pPr>
          <w:hyperlink w:anchor="_Toc129350703" w:history="1">
            <w:r w:rsidRPr="00F160E1">
              <w:rPr>
                <w:rStyle w:val="Hyperlink"/>
              </w:rPr>
              <w:t>Contact us</w:t>
            </w:r>
            <w:r>
              <w:rPr>
                <w:webHidden/>
              </w:rPr>
              <w:tab/>
            </w:r>
            <w:r>
              <w:rPr>
                <w:webHidden/>
              </w:rPr>
              <w:fldChar w:fldCharType="begin"/>
            </w:r>
            <w:r>
              <w:rPr>
                <w:webHidden/>
              </w:rPr>
              <w:instrText xml:space="preserve"> PAGEREF _Toc129350703 \h </w:instrText>
            </w:r>
            <w:r>
              <w:rPr>
                <w:webHidden/>
              </w:rPr>
            </w:r>
            <w:r>
              <w:rPr>
                <w:webHidden/>
              </w:rPr>
              <w:fldChar w:fldCharType="separate"/>
            </w:r>
            <w:r>
              <w:rPr>
                <w:webHidden/>
              </w:rPr>
              <w:t>i</w:t>
            </w:r>
            <w:r>
              <w:rPr>
                <w:webHidden/>
              </w:rPr>
              <w:fldChar w:fldCharType="end"/>
            </w:r>
          </w:hyperlink>
        </w:p>
        <w:p w14:paraId="4A51E2F6" w14:textId="51A3D64E" w:rsidR="00C2226A" w:rsidRDefault="00C2226A">
          <w:pPr>
            <w:pStyle w:val="TOC1"/>
            <w:rPr>
              <w:rFonts w:asciiTheme="minorHAnsi" w:eastAsiaTheme="minorEastAsia" w:hAnsiTheme="minorHAnsi"/>
              <w:b w:val="0"/>
              <w:bCs w:val="0"/>
              <w:color w:val="auto"/>
              <w:w w:val="100"/>
              <w:sz w:val="22"/>
              <w:lang w:eastAsia="en-AU"/>
            </w:rPr>
          </w:pPr>
          <w:hyperlink w:anchor="_Toc129350704" w:history="1">
            <w:r w:rsidRPr="00F160E1">
              <w:rPr>
                <w:rStyle w:val="Hyperlink"/>
              </w:rPr>
              <w:t>About this inquiry</w:t>
            </w:r>
            <w:r>
              <w:rPr>
                <w:webHidden/>
              </w:rPr>
              <w:tab/>
            </w:r>
            <w:r>
              <w:rPr>
                <w:webHidden/>
              </w:rPr>
              <w:fldChar w:fldCharType="begin"/>
            </w:r>
            <w:r>
              <w:rPr>
                <w:webHidden/>
              </w:rPr>
              <w:instrText xml:space="preserve"> PAGEREF _Toc129350704 \h </w:instrText>
            </w:r>
            <w:r>
              <w:rPr>
                <w:webHidden/>
              </w:rPr>
            </w:r>
            <w:r>
              <w:rPr>
                <w:webHidden/>
              </w:rPr>
              <w:fldChar w:fldCharType="separate"/>
            </w:r>
            <w:r>
              <w:rPr>
                <w:webHidden/>
              </w:rPr>
              <w:t>ii</w:t>
            </w:r>
            <w:r>
              <w:rPr>
                <w:webHidden/>
              </w:rPr>
              <w:fldChar w:fldCharType="end"/>
            </w:r>
          </w:hyperlink>
        </w:p>
        <w:p w14:paraId="427CD960" w14:textId="4902B429" w:rsidR="00C2226A" w:rsidRDefault="00C2226A">
          <w:pPr>
            <w:pStyle w:val="TOC1"/>
            <w:rPr>
              <w:rFonts w:asciiTheme="minorHAnsi" w:eastAsiaTheme="minorEastAsia" w:hAnsiTheme="minorHAnsi"/>
              <w:b w:val="0"/>
              <w:bCs w:val="0"/>
              <w:color w:val="auto"/>
              <w:w w:val="100"/>
              <w:sz w:val="22"/>
              <w:lang w:eastAsia="en-AU"/>
            </w:rPr>
          </w:pPr>
          <w:hyperlink w:anchor="_Toc129350705" w:history="1">
            <w:r w:rsidRPr="00F160E1">
              <w:rPr>
                <w:rStyle w:val="Hyperlink"/>
              </w:rPr>
              <w:t>Acronyms and abbreviations</w:t>
            </w:r>
            <w:r>
              <w:rPr>
                <w:webHidden/>
              </w:rPr>
              <w:tab/>
            </w:r>
            <w:r>
              <w:rPr>
                <w:webHidden/>
              </w:rPr>
              <w:fldChar w:fldCharType="begin"/>
            </w:r>
            <w:r>
              <w:rPr>
                <w:webHidden/>
              </w:rPr>
              <w:instrText xml:space="preserve"> PAGEREF _Toc129350705 \h </w:instrText>
            </w:r>
            <w:r>
              <w:rPr>
                <w:webHidden/>
              </w:rPr>
            </w:r>
            <w:r>
              <w:rPr>
                <w:webHidden/>
              </w:rPr>
              <w:fldChar w:fldCharType="separate"/>
            </w:r>
            <w:r>
              <w:rPr>
                <w:webHidden/>
              </w:rPr>
              <w:t>v</w:t>
            </w:r>
            <w:r>
              <w:rPr>
                <w:webHidden/>
              </w:rPr>
              <w:fldChar w:fldCharType="end"/>
            </w:r>
          </w:hyperlink>
        </w:p>
        <w:p w14:paraId="4AAC01D4" w14:textId="04AECE81" w:rsidR="00C2226A" w:rsidRDefault="00C2226A">
          <w:pPr>
            <w:pStyle w:val="TOC1"/>
            <w:rPr>
              <w:rFonts w:asciiTheme="minorHAnsi" w:eastAsiaTheme="minorEastAsia" w:hAnsiTheme="minorHAnsi"/>
              <w:b w:val="0"/>
              <w:bCs w:val="0"/>
              <w:color w:val="auto"/>
              <w:w w:val="100"/>
              <w:sz w:val="22"/>
              <w:lang w:eastAsia="en-AU"/>
            </w:rPr>
          </w:pPr>
          <w:hyperlink w:anchor="_Toc129350706" w:history="1">
            <w:r w:rsidRPr="00F160E1">
              <w:rPr>
                <w:rStyle w:val="Hyperlink"/>
              </w:rPr>
              <w:t>Recommendations</w:t>
            </w:r>
            <w:r>
              <w:rPr>
                <w:webHidden/>
              </w:rPr>
              <w:tab/>
            </w:r>
            <w:r>
              <w:rPr>
                <w:webHidden/>
              </w:rPr>
              <w:fldChar w:fldCharType="begin"/>
            </w:r>
            <w:r>
              <w:rPr>
                <w:webHidden/>
              </w:rPr>
              <w:instrText xml:space="preserve"> PAGEREF _Toc129350706 \h </w:instrText>
            </w:r>
            <w:r>
              <w:rPr>
                <w:webHidden/>
              </w:rPr>
            </w:r>
            <w:r>
              <w:rPr>
                <w:webHidden/>
              </w:rPr>
              <w:fldChar w:fldCharType="separate"/>
            </w:r>
            <w:r>
              <w:rPr>
                <w:webHidden/>
              </w:rPr>
              <w:t>vi</w:t>
            </w:r>
            <w:r>
              <w:rPr>
                <w:webHidden/>
              </w:rPr>
              <w:fldChar w:fldCharType="end"/>
            </w:r>
          </w:hyperlink>
        </w:p>
        <w:p w14:paraId="43CF0692" w14:textId="7CDBFDEC" w:rsidR="00C2226A" w:rsidRDefault="00C2226A">
          <w:pPr>
            <w:pStyle w:val="TOC1"/>
            <w:rPr>
              <w:rFonts w:asciiTheme="minorHAnsi" w:eastAsiaTheme="minorEastAsia" w:hAnsiTheme="minorHAnsi"/>
              <w:b w:val="0"/>
              <w:bCs w:val="0"/>
              <w:color w:val="auto"/>
              <w:w w:val="100"/>
              <w:sz w:val="22"/>
              <w:lang w:eastAsia="en-AU"/>
            </w:rPr>
          </w:pPr>
          <w:hyperlink w:anchor="_Toc129350707" w:history="1">
            <w:r w:rsidRPr="00F160E1">
              <w:rPr>
                <w:rStyle w:val="Hyperlink"/>
              </w:rPr>
              <w:t>1.</w:t>
            </w:r>
            <w:r>
              <w:rPr>
                <w:rFonts w:asciiTheme="minorHAnsi" w:eastAsiaTheme="minorEastAsia" w:hAnsiTheme="minorHAnsi"/>
                <w:b w:val="0"/>
                <w:bCs w:val="0"/>
                <w:color w:val="auto"/>
                <w:w w:val="100"/>
                <w:sz w:val="22"/>
                <w:lang w:eastAsia="en-AU"/>
              </w:rPr>
              <w:tab/>
            </w:r>
            <w:r w:rsidRPr="00F160E1">
              <w:rPr>
                <w:rStyle w:val="Hyperlink"/>
              </w:rPr>
              <w:t>Introduction</w:t>
            </w:r>
            <w:r>
              <w:rPr>
                <w:webHidden/>
              </w:rPr>
              <w:tab/>
            </w:r>
            <w:r>
              <w:rPr>
                <w:webHidden/>
              </w:rPr>
              <w:fldChar w:fldCharType="begin"/>
            </w:r>
            <w:r>
              <w:rPr>
                <w:webHidden/>
              </w:rPr>
              <w:instrText xml:space="preserve"> PAGEREF _Toc129350707 \h </w:instrText>
            </w:r>
            <w:r>
              <w:rPr>
                <w:webHidden/>
              </w:rPr>
            </w:r>
            <w:r>
              <w:rPr>
                <w:webHidden/>
              </w:rPr>
              <w:fldChar w:fldCharType="separate"/>
            </w:r>
            <w:r>
              <w:rPr>
                <w:webHidden/>
              </w:rPr>
              <w:t>1</w:t>
            </w:r>
            <w:r>
              <w:rPr>
                <w:webHidden/>
              </w:rPr>
              <w:fldChar w:fldCharType="end"/>
            </w:r>
          </w:hyperlink>
        </w:p>
        <w:p w14:paraId="783BDFBC" w14:textId="61A8A77D" w:rsidR="00C2226A" w:rsidRDefault="00C2226A">
          <w:pPr>
            <w:pStyle w:val="TOC2"/>
            <w:rPr>
              <w:rFonts w:eastAsiaTheme="minorEastAsia"/>
              <w:lang w:eastAsia="en-AU"/>
            </w:rPr>
          </w:pPr>
          <w:hyperlink w:anchor="_Toc129350708" w:history="1">
            <w:r w:rsidRPr="00F160E1">
              <w:rPr>
                <w:rStyle w:val="Hyperlink"/>
              </w:rPr>
              <w:t>Presentation of 2021-22 annual and financial reports</w:t>
            </w:r>
            <w:r>
              <w:rPr>
                <w:webHidden/>
              </w:rPr>
              <w:tab/>
            </w:r>
            <w:r>
              <w:rPr>
                <w:webHidden/>
              </w:rPr>
              <w:fldChar w:fldCharType="begin"/>
            </w:r>
            <w:r>
              <w:rPr>
                <w:webHidden/>
              </w:rPr>
              <w:instrText xml:space="preserve"> PAGEREF _Toc129350708 \h </w:instrText>
            </w:r>
            <w:r>
              <w:rPr>
                <w:webHidden/>
              </w:rPr>
            </w:r>
            <w:r>
              <w:rPr>
                <w:webHidden/>
              </w:rPr>
              <w:fldChar w:fldCharType="separate"/>
            </w:r>
            <w:r>
              <w:rPr>
                <w:webHidden/>
              </w:rPr>
              <w:t>1</w:t>
            </w:r>
            <w:r>
              <w:rPr>
                <w:webHidden/>
              </w:rPr>
              <w:fldChar w:fldCharType="end"/>
            </w:r>
          </w:hyperlink>
        </w:p>
        <w:p w14:paraId="2C032130" w14:textId="0444263F" w:rsidR="00C2226A" w:rsidRDefault="00C2226A">
          <w:pPr>
            <w:pStyle w:val="TOC2"/>
            <w:rPr>
              <w:rFonts w:eastAsiaTheme="minorEastAsia"/>
              <w:lang w:eastAsia="en-AU"/>
            </w:rPr>
          </w:pPr>
          <w:hyperlink w:anchor="_Toc129350709" w:history="1">
            <w:r w:rsidRPr="00F160E1">
              <w:rPr>
                <w:rStyle w:val="Hyperlink"/>
              </w:rPr>
              <w:t>Public hearings</w:t>
            </w:r>
            <w:r>
              <w:rPr>
                <w:webHidden/>
              </w:rPr>
              <w:tab/>
            </w:r>
            <w:r>
              <w:rPr>
                <w:webHidden/>
              </w:rPr>
              <w:fldChar w:fldCharType="begin"/>
            </w:r>
            <w:r>
              <w:rPr>
                <w:webHidden/>
              </w:rPr>
              <w:instrText xml:space="preserve"> PAGEREF _Toc129350709 \h </w:instrText>
            </w:r>
            <w:r>
              <w:rPr>
                <w:webHidden/>
              </w:rPr>
            </w:r>
            <w:r>
              <w:rPr>
                <w:webHidden/>
              </w:rPr>
              <w:fldChar w:fldCharType="separate"/>
            </w:r>
            <w:r>
              <w:rPr>
                <w:webHidden/>
              </w:rPr>
              <w:t>1</w:t>
            </w:r>
            <w:r>
              <w:rPr>
                <w:webHidden/>
              </w:rPr>
              <w:fldChar w:fldCharType="end"/>
            </w:r>
          </w:hyperlink>
        </w:p>
        <w:p w14:paraId="0F1D0BE0" w14:textId="011B21B9" w:rsidR="00C2226A" w:rsidRDefault="00C2226A">
          <w:pPr>
            <w:pStyle w:val="TOC2"/>
            <w:rPr>
              <w:rFonts w:eastAsiaTheme="minorEastAsia"/>
              <w:lang w:eastAsia="en-AU"/>
            </w:rPr>
          </w:pPr>
          <w:hyperlink w:anchor="_Toc129350710" w:history="1">
            <w:r w:rsidRPr="00F160E1">
              <w:rPr>
                <w:rStyle w:val="Hyperlink"/>
              </w:rPr>
              <w:t>Questions on Notice and Questions Taken on Notice</w:t>
            </w:r>
            <w:r>
              <w:rPr>
                <w:webHidden/>
              </w:rPr>
              <w:tab/>
            </w:r>
            <w:r>
              <w:rPr>
                <w:webHidden/>
              </w:rPr>
              <w:fldChar w:fldCharType="begin"/>
            </w:r>
            <w:r>
              <w:rPr>
                <w:webHidden/>
              </w:rPr>
              <w:instrText xml:space="preserve"> PAGEREF _Toc129350710 \h </w:instrText>
            </w:r>
            <w:r>
              <w:rPr>
                <w:webHidden/>
              </w:rPr>
            </w:r>
            <w:r>
              <w:rPr>
                <w:webHidden/>
              </w:rPr>
              <w:fldChar w:fldCharType="separate"/>
            </w:r>
            <w:r>
              <w:rPr>
                <w:webHidden/>
              </w:rPr>
              <w:t>1</w:t>
            </w:r>
            <w:r>
              <w:rPr>
                <w:webHidden/>
              </w:rPr>
              <w:fldChar w:fldCharType="end"/>
            </w:r>
          </w:hyperlink>
        </w:p>
        <w:p w14:paraId="685D5741" w14:textId="006AC1E0" w:rsidR="00C2226A" w:rsidRDefault="00C2226A">
          <w:pPr>
            <w:pStyle w:val="TOC1"/>
            <w:rPr>
              <w:rFonts w:asciiTheme="minorHAnsi" w:eastAsiaTheme="minorEastAsia" w:hAnsiTheme="minorHAnsi"/>
              <w:b w:val="0"/>
              <w:bCs w:val="0"/>
              <w:color w:val="auto"/>
              <w:w w:val="100"/>
              <w:sz w:val="22"/>
              <w:lang w:eastAsia="en-AU"/>
            </w:rPr>
          </w:pPr>
          <w:hyperlink w:anchor="_Toc129350711" w:history="1">
            <w:r w:rsidRPr="00F160E1">
              <w:rPr>
                <w:rStyle w:val="Hyperlink"/>
              </w:rPr>
              <w:t>2.</w:t>
            </w:r>
            <w:r>
              <w:rPr>
                <w:rFonts w:asciiTheme="minorHAnsi" w:eastAsiaTheme="minorEastAsia" w:hAnsiTheme="minorHAnsi"/>
                <w:b w:val="0"/>
                <w:bCs w:val="0"/>
                <w:color w:val="auto"/>
                <w:w w:val="100"/>
                <w:sz w:val="22"/>
                <w:lang w:eastAsia="en-AU"/>
              </w:rPr>
              <w:tab/>
            </w:r>
            <w:r w:rsidRPr="00F160E1">
              <w:rPr>
                <w:rStyle w:val="Hyperlink"/>
              </w:rPr>
              <w:t>Environment, Planning and Sustainable Development Directorate</w:t>
            </w:r>
            <w:r>
              <w:rPr>
                <w:webHidden/>
              </w:rPr>
              <w:tab/>
            </w:r>
            <w:r>
              <w:rPr>
                <w:webHidden/>
              </w:rPr>
              <w:fldChar w:fldCharType="begin"/>
            </w:r>
            <w:r>
              <w:rPr>
                <w:webHidden/>
              </w:rPr>
              <w:instrText xml:space="preserve"> PAGEREF _Toc129350711 \h </w:instrText>
            </w:r>
            <w:r>
              <w:rPr>
                <w:webHidden/>
              </w:rPr>
            </w:r>
            <w:r>
              <w:rPr>
                <w:webHidden/>
              </w:rPr>
              <w:fldChar w:fldCharType="separate"/>
            </w:r>
            <w:r>
              <w:rPr>
                <w:webHidden/>
              </w:rPr>
              <w:t>2</w:t>
            </w:r>
            <w:r>
              <w:rPr>
                <w:webHidden/>
              </w:rPr>
              <w:fldChar w:fldCharType="end"/>
            </w:r>
          </w:hyperlink>
        </w:p>
        <w:p w14:paraId="5FE9525F" w14:textId="4C65CE20" w:rsidR="00C2226A" w:rsidRDefault="00C2226A">
          <w:pPr>
            <w:pStyle w:val="TOC2"/>
            <w:rPr>
              <w:rFonts w:eastAsiaTheme="minorEastAsia"/>
              <w:lang w:eastAsia="en-AU"/>
            </w:rPr>
          </w:pPr>
          <w:hyperlink w:anchor="_Toc129350712" w:history="1">
            <w:r w:rsidRPr="00F160E1">
              <w:rPr>
                <w:rStyle w:val="Hyperlink"/>
              </w:rPr>
              <w:t>Minister for Planning and Land Management—Administrative arrangements</w:t>
            </w:r>
            <w:r>
              <w:rPr>
                <w:webHidden/>
              </w:rPr>
              <w:tab/>
            </w:r>
            <w:r>
              <w:rPr>
                <w:webHidden/>
              </w:rPr>
              <w:fldChar w:fldCharType="begin"/>
            </w:r>
            <w:r>
              <w:rPr>
                <w:webHidden/>
              </w:rPr>
              <w:instrText xml:space="preserve"> PAGEREF _Toc129350712 \h </w:instrText>
            </w:r>
            <w:r>
              <w:rPr>
                <w:webHidden/>
              </w:rPr>
            </w:r>
            <w:r>
              <w:rPr>
                <w:webHidden/>
              </w:rPr>
              <w:fldChar w:fldCharType="separate"/>
            </w:r>
            <w:r>
              <w:rPr>
                <w:webHidden/>
              </w:rPr>
              <w:t>2</w:t>
            </w:r>
            <w:r>
              <w:rPr>
                <w:webHidden/>
              </w:rPr>
              <w:fldChar w:fldCharType="end"/>
            </w:r>
          </w:hyperlink>
        </w:p>
        <w:p w14:paraId="1509E6B9" w14:textId="2DD14589" w:rsidR="00C2226A" w:rsidRDefault="00C2226A">
          <w:pPr>
            <w:pStyle w:val="TOC3"/>
            <w:rPr>
              <w:rFonts w:eastAsiaTheme="minorEastAsia"/>
              <w:lang w:eastAsia="en-AU"/>
            </w:rPr>
          </w:pPr>
          <w:hyperlink w:anchor="_Toc129350713" w:history="1">
            <w:r w:rsidRPr="00F160E1">
              <w:rPr>
                <w:rStyle w:val="Hyperlink"/>
              </w:rPr>
              <w:t>Matters considered</w:t>
            </w:r>
            <w:r>
              <w:rPr>
                <w:webHidden/>
              </w:rPr>
              <w:tab/>
            </w:r>
            <w:r>
              <w:rPr>
                <w:webHidden/>
              </w:rPr>
              <w:fldChar w:fldCharType="begin"/>
            </w:r>
            <w:r>
              <w:rPr>
                <w:webHidden/>
              </w:rPr>
              <w:instrText xml:space="preserve"> PAGEREF _Toc129350713 \h </w:instrText>
            </w:r>
            <w:r>
              <w:rPr>
                <w:webHidden/>
              </w:rPr>
            </w:r>
            <w:r>
              <w:rPr>
                <w:webHidden/>
              </w:rPr>
              <w:fldChar w:fldCharType="separate"/>
            </w:r>
            <w:r>
              <w:rPr>
                <w:webHidden/>
              </w:rPr>
              <w:t>2</w:t>
            </w:r>
            <w:r>
              <w:rPr>
                <w:webHidden/>
              </w:rPr>
              <w:fldChar w:fldCharType="end"/>
            </w:r>
          </w:hyperlink>
        </w:p>
        <w:p w14:paraId="37E50360" w14:textId="307F673C" w:rsidR="00C2226A" w:rsidRDefault="00C2226A">
          <w:pPr>
            <w:pStyle w:val="TOC3"/>
            <w:rPr>
              <w:rFonts w:eastAsiaTheme="minorEastAsia"/>
              <w:lang w:eastAsia="en-AU"/>
            </w:rPr>
          </w:pPr>
          <w:hyperlink w:anchor="_Toc129350714" w:history="1">
            <w:r w:rsidRPr="00F160E1">
              <w:rPr>
                <w:rStyle w:val="Hyperlink"/>
              </w:rPr>
              <w:t>Key Issues</w:t>
            </w:r>
            <w:r>
              <w:rPr>
                <w:webHidden/>
              </w:rPr>
              <w:tab/>
            </w:r>
            <w:r>
              <w:rPr>
                <w:webHidden/>
              </w:rPr>
              <w:fldChar w:fldCharType="begin"/>
            </w:r>
            <w:r>
              <w:rPr>
                <w:webHidden/>
              </w:rPr>
              <w:instrText xml:space="preserve"> PAGEREF _Toc129350714 \h </w:instrText>
            </w:r>
            <w:r>
              <w:rPr>
                <w:webHidden/>
              </w:rPr>
            </w:r>
            <w:r>
              <w:rPr>
                <w:webHidden/>
              </w:rPr>
              <w:fldChar w:fldCharType="separate"/>
            </w:r>
            <w:r>
              <w:rPr>
                <w:webHidden/>
              </w:rPr>
              <w:t>3</w:t>
            </w:r>
            <w:r>
              <w:rPr>
                <w:webHidden/>
              </w:rPr>
              <w:fldChar w:fldCharType="end"/>
            </w:r>
          </w:hyperlink>
        </w:p>
        <w:p w14:paraId="67BF4E3E" w14:textId="68BD4689" w:rsidR="00C2226A" w:rsidRDefault="00C2226A">
          <w:pPr>
            <w:pStyle w:val="TOC2"/>
            <w:rPr>
              <w:rFonts w:eastAsiaTheme="minorEastAsia"/>
              <w:lang w:eastAsia="en-AU"/>
            </w:rPr>
          </w:pPr>
          <w:hyperlink w:anchor="_Toc129350715" w:history="1">
            <w:r w:rsidRPr="00F160E1">
              <w:rPr>
                <w:rStyle w:val="Hyperlink"/>
              </w:rPr>
              <w:t>Minister for the Environment—Administrative arrangements</w:t>
            </w:r>
            <w:r>
              <w:rPr>
                <w:webHidden/>
              </w:rPr>
              <w:tab/>
            </w:r>
            <w:r>
              <w:rPr>
                <w:webHidden/>
              </w:rPr>
              <w:fldChar w:fldCharType="begin"/>
            </w:r>
            <w:r>
              <w:rPr>
                <w:webHidden/>
              </w:rPr>
              <w:instrText xml:space="preserve"> PAGEREF _Toc129350715 \h </w:instrText>
            </w:r>
            <w:r>
              <w:rPr>
                <w:webHidden/>
              </w:rPr>
            </w:r>
            <w:r>
              <w:rPr>
                <w:webHidden/>
              </w:rPr>
              <w:fldChar w:fldCharType="separate"/>
            </w:r>
            <w:r>
              <w:rPr>
                <w:webHidden/>
              </w:rPr>
              <w:t>7</w:t>
            </w:r>
            <w:r>
              <w:rPr>
                <w:webHidden/>
              </w:rPr>
              <w:fldChar w:fldCharType="end"/>
            </w:r>
          </w:hyperlink>
        </w:p>
        <w:p w14:paraId="31298E98" w14:textId="00F258B9" w:rsidR="00C2226A" w:rsidRDefault="00C2226A">
          <w:pPr>
            <w:pStyle w:val="TOC2"/>
            <w:rPr>
              <w:rFonts w:eastAsiaTheme="minorEastAsia"/>
              <w:lang w:eastAsia="en-AU"/>
            </w:rPr>
          </w:pPr>
          <w:hyperlink w:anchor="_Toc129350716" w:history="1">
            <w:r w:rsidRPr="00F160E1">
              <w:rPr>
                <w:rStyle w:val="Hyperlink"/>
              </w:rPr>
              <w:t>Minister for Heritage—Administrative arrangements</w:t>
            </w:r>
            <w:r>
              <w:rPr>
                <w:webHidden/>
              </w:rPr>
              <w:tab/>
            </w:r>
            <w:r>
              <w:rPr>
                <w:webHidden/>
              </w:rPr>
              <w:fldChar w:fldCharType="begin"/>
            </w:r>
            <w:r>
              <w:rPr>
                <w:webHidden/>
              </w:rPr>
              <w:instrText xml:space="preserve"> PAGEREF _Toc129350716 \h </w:instrText>
            </w:r>
            <w:r>
              <w:rPr>
                <w:webHidden/>
              </w:rPr>
            </w:r>
            <w:r>
              <w:rPr>
                <w:webHidden/>
              </w:rPr>
              <w:fldChar w:fldCharType="separate"/>
            </w:r>
            <w:r>
              <w:rPr>
                <w:webHidden/>
              </w:rPr>
              <w:t>7</w:t>
            </w:r>
            <w:r>
              <w:rPr>
                <w:webHidden/>
              </w:rPr>
              <w:fldChar w:fldCharType="end"/>
            </w:r>
          </w:hyperlink>
        </w:p>
        <w:p w14:paraId="2250308B" w14:textId="0A57B0F1" w:rsidR="00C2226A" w:rsidRDefault="00C2226A">
          <w:pPr>
            <w:pStyle w:val="TOC3"/>
            <w:rPr>
              <w:rFonts w:eastAsiaTheme="minorEastAsia"/>
              <w:lang w:eastAsia="en-AU"/>
            </w:rPr>
          </w:pPr>
          <w:hyperlink w:anchor="_Toc129350717" w:history="1">
            <w:r w:rsidRPr="00F160E1">
              <w:rPr>
                <w:rStyle w:val="Hyperlink"/>
              </w:rPr>
              <w:t>Matters considered</w:t>
            </w:r>
            <w:r>
              <w:rPr>
                <w:webHidden/>
              </w:rPr>
              <w:tab/>
            </w:r>
            <w:r>
              <w:rPr>
                <w:webHidden/>
              </w:rPr>
              <w:fldChar w:fldCharType="begin"/>
            </w:r>
            <w:r>
              <w:rPr>
                <w:webHidden/>
              </w:rPr>
              <w:instrText xml:space="preserve"> PAGEREF _Toc129350717 \h </w:instrText>
            </w:r>
            <w:r>
              <w:rPr>
                <w:webHidden/>
              </w:rPr>
            </w:r>
            <w:r>
              <w:rPr>
                <w:webHidden/>
              </w:rPr>
              <w:fldChar w:fldCharType="separate"/>
            </w:r>
            <w:r>
              <w:rPr>
                <w:webHidden/>
              </w:rPr>
              <w:t>7</w:t>
            </w:r>
            <w:r>
              <w:rPr>
                <w:webHidden/>
              </w:rPr>
              <w:fldChar w:fldCharType="end"/>
            </w:r>
          </w:hyperlink>
        </w:p>
        <w:p w14:paraId="7962F75F" w14:textId="23AD9545" w:rsidR="00C2226A" w:rsidRDefault="00C2226A">
          <w:pPr>
            <w:pStyle w:val="TOC3"/>
            <w:rPr>
              <w:rFonts w:eastAsiaTheme="minorEastAsia"/>
              <w:lang w:eastAsia="en-AU"/>
            </w:rPr>
          </w:pPr>
          <w:hyperlink w:anchor="_Toc129350718" w:history="1">
            <w:r w:rsidRPr="00F160E1">
              <w:rPr>
                <w:rStyle w:val="Hyperlink"/>
              </w:rPr>
              <w:t>Key Issues</w:t>
            </w:r>
            <w:r>
              <w:rPr>
                <w:webHidden/>
              </w:rPr>
              <w:tab/>
            </w:r>
            <w:r>
              <w:rPr>
                <w:webHidden/>
              </w:rPr>
              <w:fldChar w:fldCharType="begin"/>
            </w:r>
            <w:r>
              <w:rPr>
                <w:webHidden/>
              </w:rPr>
              <w:instrText xml:space="preserve"> PAGEREF _Toc129350718 \h </w:instrText>
            </w:r>
            <w:r>
              <w:rPr>
                <w:webHidden/>
              </w:rPr>
            </w:r>
            <w:r>
              <w:rPr>
                <w:webHidden/>
              </w:rPr>
              <w:fldChar w:fldCharType="separate"/>
            </w:r>
            <w:r>
              <w:rPr>
                <w:webHidden/>
              </w:rPr>
              <w:t>8</w:t>
            </w:r>
            <w:r>
              <w:rPr>
                <w:webHidden/>
              </w:rPr>
              <w:fldChar w:fldCharType="end"/>
            </w:r>
          </w:hyperlink>
        </w:p>
        <w:p w14:paraId="64B8DE29" w14:textId="65B18B9A" w:rsidR="00C2226A" w:rsidRDefault="00C2226A">
          <w:pPr>
            <w:pStyle w:val="TOC2"/>
            <w:rPr>
              <w:rFonts w:eastAsiaTheme="minorEastAsia"/>
              <w:lang w:eastAsia="en-AU"/>
            </w:rPr>
          </w:pPr>
          <w:hyperlink w:anchor="_Toc129350719" w:history="1">
            <w:r w:rsidRPr="00F160E1">
              <w:rPr>
                <w:rStyle w:val="Hyperlink"/>
              </w:rPr>
              <w:t>Minister for Water, Energy and Emissions Reduction—Administrative arrangements</w:t>
            </w:r>
            <w:r>
              <w:rPr>
                <w:webHidden/>
              </w:rPr>
              <w:tab/>
            </w:r>
            <w:r>
              <w:rPr>
                <w:webHidden/>
              </w:rPr>
              <w:fldChar w:fldCharType="begin"/>
            </w:r>
            <w:r>
              <w:rPr>
                <w:webHidden/>
              </w:rPr>
              <w:instrText xml:space="preserve"> PAGEREF _Toc129350719 \h </w:instrText>
            </w:r>
            <w:r>
              <w:rPr>
                <w:webHidden/>
              </w:rPr>
            </w:r>
            <w:r>
              <w:rPr>
                <w:webHidden/>
              </w:rPr>
              <w:fldChar w:fldCharType="separate"/>
            </w:r>
            <w:r>
              <w:rPr>
                <w:webHidden/>
              </w:rPr>
              <w:t>13</w:t>
            </w:r>
            <w:r>
              <w:rPr>
                <w:webHidden/>
              </w:rPr>
              <w:fldChar w:fldCharType="end"/>
            </w:r>
          </w:hyperlink>
        </w:p>
        <w:p w14:paraId="232FC568" w14:textId="36E7CD30" w:rsidR="00C2226A" w:rsidRDefault="00C2226A">
          <w:pPr>
            <w:pStyle w:val="TOC2"/>
            <w:rPr>
              <w:rFonts w:eastAsiaTheme="minorEastAsia"/>
              <w:lang w:eastAsia="en-AU"/>
            </w:rPr>
          </w:pPr>
          <w:hyperlink w:anchor="_Toc129350720" w:history="1">
            <w:r w:rsidRPr="00F160E1">
              <w:rPr>
                <w:rStyle w:val="Hyperlink"/>
              </w:rPr>
              <w:t>Minister for Gaming—Administrative arrangements</w:t>
            </w:r>
            <w:r>
              <w:rPr>
                <w:webHidden/>
              </w:rPr>
              <w:tab/>
            </w:r>
            <w:r>
              <w:rPr>
                <w:webHidden/>
              </w:rPr>
              <w:fldChar w:fldCharType="begin"/>
            </w:r>
            <w:r>
              <w:rPr>
                <w:webHidden/>
              </w:rPr>
              <w:instrText xml:space="preserve"> PAGEREF _Toc129350720 \h </w:instrText>
            </w:r>
            <w:r>
              <w:rPr>
                <w:webHidden/>
              </w:rPr>
            </w:r>
            <w:r>
              <w:rPr>
                <w:webHidden/>
              </w:rPr>
              <w:fldChar w:fldCharType="separate"/>
            </w:r>
            <w:r>
              <w:rPr>
                <w:webHidden/>
              </w:rPr>
              <w:t>13</w:t>
            </w:r>
            <w:r>
              <w:rPr>
                <w:webHidden/>
              </w:rPr>
              <w:fldChar w:fldCharType="end"/>
            </w:r>
          </w:hyperlink>
        </w:p>
        <w:p w14:paraId="7AB4D994" w14:textId="4E7AF15C" w:rsidR="00C2226A" w:rsidRDefault="00C2226A">
          <w:pPr>
            <w:pStyle w:val="TOC3"/>
            <w:rPr>
              <w:rFonts w:eastAsiaTheme="minorEastAsia"/>
              <w:lang w:eastAsia="en-AU"/>
            </w:rPr>
          </w:pPr>
          <w:hyperlink w:anchor="_Toc129350721" w:history="1">
            <w:r w:rsidRPr="00F160E1">
              <w:rPr>
                <w:rStyle w:val="Hyperlink"/>
              </w:rPr>
              <w:t>Matters considered</w:t>
            </w:r>
            <w:r>
              <w:rPr>
                <w:webHidden/>
              </w:rPr>
              <w:tab/>
            </w:r>
            <w:r>
              <w:rPr>
                <w:webHidden/>
              </w:rPr>
              <w:fldChar w:fldCharType="begin"/>
            </w:r>
            <w:r>
              <w:rPr>
                <w:webHidden/>
              </w:rPr>
              <w:instrText xml:space="preserve"> PAGEREF _Toc129350721 \h </w:instrText>
            </w:r>
            <w:r>
              <w:rPr>
                <w:webHidden/>
              </w:rPr>
            </w:r>
            <w:r>
              <w:rPr>
                <w:webHidden/>
              </w:rPr>
              <w:fldChar w:fldCharType="separate"/>
            </w:r>
            <w:r>
              <w:rPr>
                <w:webHidden/>
              </w:rPr>
              <w:t>14</w:t>
            </w:r>
            <w:r>
              <w:rPr>
                <w:webHidden/>
              </w:rPr>
              <w:fldChar w:fldCharType="end"/>
            </w:r>
          </w:hyperlink>
        </w:p>
        <w:p w14:paraId="070C08D1" w14:textId="30E8E03B" w:rsidR="00C2226A" w:rsidRDefault="00C2226A">
          <w:pPr>
            <w:pStyle w:val="TOC1"/>
            <w:rPr>
              <w:rFonts w:asciiTheme="minorHAnsi" w:eastAsiaTheme="minorEastAsia" w:hAnsiTheme="minorHAnsi"/>
              <w:b w:val="0"/>
              <w:bCs w:val="0"/>
              <w:color w:val="auto"/>
              <w:w w:val="100"/>
              <w:sz w:val="22"/>
              <w:lang w:eastAsia="en-AU"/>
            </w:rPr>
          </w:pPr>
          <w:hyperlink w:anchor="_Toc129350722" w:history="1">
            <w:r w:rsidRPr="00F160E1">
              <w:rPr>
                <w:rStyle w:val="Hyperlink"/>
              </w:rPr>
              <w:t>3.</w:t>
            </w:r>
            <w:r>
              <w:rPr>
                <w:rFonts w:asciiTheme="minorHAnsi" w:eastAsiaTheme="minorEastAsia" w:hAnsiTheme="minorHAnsi"/>
                <w:b w:val="0"/>
                <w:bCs w:val="0"/>
                <w:color w:val="auto"/>
                <w:w w:val="100"/>
                <w:sz w:val="22"/>
                <w:lang w:eastAsia="en-AU"/>
              </w:rPr>
              <w:tab/>
            </w:r>
            <w:r w:rsidRPr="00F160E1">
              <w:rPr>
                <w:rStyle w:val="Hyperlink"/>
              </w:rPr>
              <w:t>Office of the Commissioner for Sustainability and the Environment</w:t>
            </w:r>
            <w:r>
              <w:rPr>
                <w:webHidden/>
              </w:rPr>
              <w:tab/>
            </w:r>
            <w:r>
              <w:rPr>
                <w:webHidden/>
              </w:rPr>
              <w:fldChar w:fldCharType="begin"/>
            </w:r>
            <w:r>
              <w:rPr>
                <w:webHidden/>
              </w:rPr>
              <w:instrText xml:space="preserve"> PAGEREF _Toc129350722 \h </w:instrText>
            </w:r>
            <w:r>
              <w:rPr>
                <w:webHidden/>
              </w:rPr>
            </w:r>
            <w:r>
              <w:rPr>
                <w:webHidden/>
              </w:rPr>
              <w:fldChar w:fldCharType="separate"/>
            </w:r>
            <w:r>
              <w:rPr>
                <w:webHidden/>
              </w:rPr>
              <w:t>16</w:t>
            </w:r>
            <w:r>
              <w:rPr>
                <w:webHidden/>
              </w:rPr>
              <w:fldChar w:fldCharType="end"/>
            </w:r>
          </w:hyperlink>
        </w:p>
        <w:p w14:paraId="73BAEBC0" w14:textId="7395C75A" w:rsidR="00C2226A" w:rsidRDefault="00C2226A">
          <w:pPr>
            <w:pStyle w:val="TOC3"/>
            <w:rPr>
              <w:rFonts w:eastAsiaTheme="minorEastAsia"/>
              <w:lang w:eastAsia="en-AU"/>
            </w:rPr>
          </w:pPr>
          <w:hyperlink w:anchor="_Toc129350723" w:history="1">
            <w:r w:rsidRPr="00F160E1">
              <w:rPr>
                <w:rStyle w:val="Hyperlink"/>
              </w:rPr>
              <w:t>Matters considered</w:t>
            </w:r>
            <w:r>
              <w:rPr>
                <w:webHidden/>
              </w:rPr>
              <w:tab/>
            </w:r>
            <w:r>
              <w:rPr>
                <w:webHidden/>
              </w:rPr>
              <w:fldChar w:fldCharType="begin"/>
            </w:r>
            <w:r>
              <w:rPr>
                <w:webHidden/>
              </w:rPr>
              <w:instrText xml:space="preserve"> PAGEREF _Toc129350723 \h </w:instrText>
            </w:r>
            <w:r>
              <w:rPr>
                <w:webHidden/>
              </w:rPr>
            </w:r>
            <w:r>
              <w:rPr>
                <w:webHidden/>
              </w:rPr>
              <w:fldChar w:fldCharType="separate"/>
            </w:r>
            <w:r>
              <w:rPr>
                <w:webHidden/>
              </w:rPr>
              <w:t>16</w:t>
            </w:r>
            <w:r>
              <w:rPr>
                <w:webHidden/>
              </w:rPr>
              <w:fldChar w:fldCharType="end"/>
            </w:r>
          </w:hyperlink>
        </w:p>
        <w:p w14:paraId="64F31CEF" w14:textId="1095BCCC" w:rsidR="00C2226A" w:rsidRDefault="00C2226A">
          <w:pPr>
            <w:pStyle w:val="TOC3"/>
            <w:rPr>
              <w:rFonts w:eastAsiaTheme="minorEastAsia"/>
              <w:lang w:eastAsia="en-AU"/>
            </w:rPr>
          </w:pPr>
          <w:hyperlink w:anchor="_Toc129350724" w:history="1">
            <w:r w:rsidRPr="00F160E1">
              <w:rPr>
                <w:rStyle w:val="Hyperlink"/>
              </w:rPr>
              <w:t>Key Issues</w:t>
            </w:r>
            <w:r>
              <w:rPr>
                <w:webHidden/>
              </w:rPr>
              <w:tab/>
            </w:r>
            <w:r>
              <w:rPr>
                <w:webHidden/>
              </w:rPr>
              <w:fldChar w:fldCharType="begin"/>
            </w:r>
            <w:r>
              <w:rPr>
                <w:webHidden/>
              </w:rPr>
              <w:instrText xml:space="preserve"> PAGEREF _Toc129350724 \h </w:instrText>
            </w:r>
            <w:r>
              <w:rPr>
                <w:webHidden/>
              </w:rPr>
            </w:r>
            <w:r>
              <w:rPr>
                <w:webHidden/>
              </w:rPr>
              <w:fldChar w:fldCharType="separate"/>
            </w:r>
            <w:r>
              <w:rPr>
                <w:webHidden/>
              </w:rPr>
              <w:t>16</w:t>
            </w:r>
            <w:r>
              <w:rPr>
                <w:webHidden/>
              </w:rPr>
              <w:fldChar w:fldCharType="end"/>
            </w:r>
          </w:hyperlink>
        </w:p>
        <w:p w14:paraId="5DA9E426" w14:textId="152D432D" w:rsidR="00C2226A" w:rsidRDefault="00C2226A">
          <w:pPr>
            <w:pStyle w:val="TOC1"/>
            <w:rPr>
              <w:rFonts w:asciiTheme="minorHAnsi" w:eastAsiaTheme="minorEastAsia" w:hAnsiTheme="minorHAnsi"/>
              <w:b w:val="0"/>
              <w:bCs w:val="0"/>
              <w:color w:val="auto"/>
              <w:w w:val="100"/>
              <w:sz w:val="22"/>
              <w:lang w:eastAsia="en-AU"/>
            </w:rPr>
          </w:pPr>
          <w:hyperlink w:anchor="_Toc129350725" w:history="1">
            <w:r w:rsidRPr="00F160E1">
              <w:rPr>
                <w:rStyle w:val="Hyperlink"/>
              </w:rPr>
              <w:t>4.</w:t>
            </w:r>
            <w:r>
              <w:rPr>
                <w:rFonts w:asciiTheme="minorHAnsi" w:eastAsiaTheme="minorEastAsia" w:hAnsiTheme="minorHAnsi"/>
                <w:b w:val="0"/>
                <w:bCs w:val="0"/>
                <w:color w:val="auto"/>
                <w:w w:val="100"/>
                <w:sz w:val="22"/>
                <w:lang w:eastAsia="en-AU"/>
              </w:rPr>
              <w:tab/>
            </w:r>
            <w:r w:rsidRPr="00F160E1">
              <w:rPr>
                <w:rStyle w:val="Hyperlink"/>
              </w:rPr>
              <w:t>Chief Minister, Treasury and Economic Development Directorate</w:t>
            </w:r>
            <w:r>
              <w:rPr>
                <w:webHidden/>
              </w:rPr>
              <w:tab/>
            </w:r>
            <w:r>
              <w:rPr>
                <w:webHidden/>
              </w:rPr>
              <w:fldChar w:fldCharType="begin"/>
            </w:r>
            <w:r>
              <w:rPr>
                <w:webHidden/>
              </w:rPr>
              <w:instrText xml:space="preserve"> PAGEREF _Toc129350725 \h </w:instrText>
            </w:r>
            <w:r>
              <w:rPr>
                <w:webHidden/>
              </w:rPr>
            </w:r>
            <w:r>
              <w:rPr>
                <w:webHidden/>
              </w:rPr>
              <w:fldChar w:fldCharType="separate"/>
            </w:r>
            <w:r>
              <w:rPr>
                <w:webHidden/>
              </w:rPr>
              <w:t>18</w:t>
            </w:r>
            <w:r>
              <w:rPr>
                <w:webHidden/>
              </w:rPr>
              <w:fldChar w:fldCharType="end"/>
            </w:r>
          </w:hyperlink>
        </w:p>
        <w:p w14:paraId="59A27226" w14:textId="0454F499" w:rsidR="00C2226A" w:rsidRDefault="00C2226A">
          <w:pPr>
            <w:pStyle w:val="TOC2"/>
            <w:rPr>
              <w:rFonts w:eastAsiaTheme="minorEastAsia"/>
              <w:lang w:eastAsia="en-AU"/>
            </w:rPr>
          </w:pPr>
          <w:hyperlink w:anchor="_Toc129350726" w:history="1">
            <w:r w:rsidRPr="00F160E1">
              <w:rPr>
                <w:rStyle w:val="Hyperlink"/>
              </w:rPr>
              <w:t>Minister for Climate Action—Administrative arrangements</w:t>
            </w:r>
            <w:r>
              <w:rPr>
                <w:webHidden/>
              </w:rPr>
              <w:tab/>
            </w:r>
            <w:r>
              <w:rPr>
                <w:webHidden/>
              </w:rPr>
              <w:fldChar w:fldCharType="begin"/>
            </w:r>
            <w:r>
              <w:rPr>
                <w:webHidden/>
              </w:rPr>
              <w:instrText xml:space="preserve"> PAGEREF _Toc129350726 \h </w:instrText>
            </w:r>
            <w:r>
              <w:rPr>
                <w:webHidden/>
              </w:rPr>
            </w:r>
            <w:r>
              <w:rPr>
                <w:webHidden/>
              </w:rPr>
              <w:fldChar w:fldCharType="separate"/>
            </w:r>
            <w:r>
              <w:rPr>
                <w:webHidden/>
              </w:rPr>
              <w:t>18</w:t>
            </w:r>
            <w:r>
              <w:rPr>
                <w:webHidden/>
              </w:rPr>
              <w:fldChar w:fldCharType="end"/>
            </w:r>
          </w:hyperlink>
        </w:p>
        <w:p w14:paraId="48020EAB" w14:textId="5CF078FA" w:rsidR="00C2226A" w:rsidRDefault="00C2226A">
          <w:pPr>
            <w:pStyle w:val="TOC3"/>
            <w:rPr>
              <w:rFonts w:eastAsiaTheme="minorEastAsia"/>
              <w:lang w:eastAsia="en-AU"/>
            </w:rPr>
          </w:pPr>
          <w:hyperlink w:anchor="_Toc129350727" w:history="1">
            <w:r w:rsidRPr="00F160E1">
              <w:rPr>
                <w:rStyle w:val="Hyperlink"/>
              </w:rPr>
              <w:t>Matters considered</w:t>
            </w:r>
            <w:r>
              <w:rPr>
                <w:webHidden/>
              </w:rPr>
              <w:tab/>
            </w:r>
            <w:r>
              <w:rPr>
                <w:webHidden/>
              </w:rPr>
              <w:fldChar w:fldCharType="begin"/>
            </w:r>
            <w:r>
              <w:rPr>
                <w:webHidden/>
              </w:rPr>
              <w:instrText xml:space="preserve"> PAGEREF _Toc129350727 \h </w:instrText>
            </w:r>
            <w:r>
              <w:rPr>
                <w:webHidden/>
              </w:rPr>
            </w:r>
            <w:r>
              <w:rPr>
                <w:webHidden/>
              </w:rPr>
              <w:fldChar w:fldCharType="separate"/>
            </w:r>
            <w:r>
              <w:rPr>
                <w:webHidden/>
              </w:rPr>
              <w:t>18</w:t>
            </w:r>
            <w:r>
              <w:rPr>
                <w:webHidden/>
              </w:rPr>
              <w:fldChar w:fldCharType="end"/>
            </w:r>
          </w:hyperlink>
        </w:p>
        <w:p w14:paraId="11F9A16C" w14:textId="7C802010" w:rsidR="00C2226A" w:rsidRDefault="00C2226A">
          <w:pPr>
            <w:pStyle w:val="TOC3"/>
            <w:rPr>
              <w:rFonts w:eastAsiaTheme="minorEastAsia"/>
              <w:lang w:eastAsia="en-AU"/>
            </w:rPr>
          </w:pPr>
          <w:hyperlink w:anchor="_Toc129350728" w:history="1">
            <w:r w:rsidRPr="00F160E1">
              <w:rPr>
                <w:rStyle w:val="Hyperlink"/>
              </w:rPr>
              <w:t>Key Issues</w:t>
            </w:r>
            <w:r>
              <w:rPr>
                <w:webHidden/>
              </w:rPr>
              <w:tab/>
            </w:r>
            <w:r>
              <w:rPr>
                <w:webHidden/>
              </w:rPr>
              <w:fldChar w:fldCharType="begin"/>
            </w:r>
            <w:r>
              <w:rPr>
                <w:webHidden/>
              </w:rPr>
              <w:instrText xml:space="preserve"> PAGEREF _Toc129350728 \h </w:instrText>
            </w:r>
            <w:r>
              <w:rPr>
                <w:webHidden/>
              </w:rPr>
            </w:r>
            <w:r>
              <w:rPr>
                <w:webHidden/>
              </w:rPr>
              <w:fldChar w:fldCharType="separate"/>
            </w:r>
            <w:r>
              <w:rPr>
                <w:webHidden/>
              </w:rPr>
              <w:t>18</w:t>
            </w:r>
            <w:r>
              <w:rPr>
                <w:webHidden/>
              </w:rPr>
              <w:fldChar w:fldCharType="end"/>
            </w:r>
          </w:hyperlink>
        </w:p>
        <w:p w14:paraId="30B263E8" w14:textId="355AA560" w:rsidR="00C2226A" w:rsidRDefault="00C2226A">
          <w:pPr>
            <w:pStyle w:val="TOC2"/>
            <w:rPr>
              <w:rFonts w:eastAsiaTheme="minorEastAsia"/>
              <w:lang w:eastAsia="en-AU"/>
            </w:rPr>
          </w:pPr>
          <w:hyperlink w:anchor="_Toc129350729" w:history="1">
            <w:r w:rsidRPr="00F160E1">
              <w:rPr>
                <w:rStyle w:val="Hyperlink"/>
              </w:rPr>
              <w:t>Minister for Business and Better Regulation—Administrative arrangements</w:t>
            </w:r>
            <w:r>
              <w:rPr>
                <w:webHidden/>
              </w:rPr>
              <w:tab/>
            </w:r>
            <w:r>
              <w:rPr>
                <w:webHidden/>
              </w:rPr>
              <w:fldChar w:fldCharType="begin"/>
            </w:r>
            <w:r>
              <w:rPr>
                <w:webHidden/>
              </w:rPr>
              <w:instrText xml:space="preserve"> PAGEREF _Toc129350729 \h </w:instrText>
            </w:r>
            <w:r>
              <w:rPr>
                <w:webHidden/>
              </w:rPr>
            </w:r>
            <w:r>
              <w:rPr>
                <w:webHidden/>
              </w:rPr>
              <w:fldChar w:fldCharType="separate"/>
            </w:r>
            <w:r>
              <w:rPr>
                <w:webHidden/>
              </w:rPr>
              <w:t>19</w:t>
            </w:r>
            <w:r>
              <w:rPr>
                <w:webHidden/>
              </w:rPr>
              <w:fldChar w:fldCharType="end"/>
            </w:r>
          </w:hyperlink>
        </w:p>
        <w:p w14:paraId="46AF938C" w14:textId="18DE81E2" w:rsidR="00C2226A" w:rsidRDefault="00C2226A">
          <w:pPr>
            <w:pStyle w:val="TOC3"/>
            <w:rPr>
              <w:rFonts w:eastAsiaTheme="minorEastAsia"/>
              <w:lang w:eastAsia="en-AU"/>
            </w:rPr>
          </w:pPr>
          <w:hyperlink w:anchor="_Toc129350730" w:history="1">
            <w:r w:rsidRPr="00F160E1">
              <w:rPr>
                <w:rStyle w:val="Hyperlink"/>
              </w:rPr>
              <w:t>Matters considered</w:t>
            </w:r>
            <w:r>
              <w:rPr>
                <w:webHidden/>
              </w:rPr>
              <w:tab/>
            </w:r>
            <w:r>
              <w:rPr>
                <w:webHidden/>
              </w:rPr>
              <w:fldChar w:fldCharType="begin"/>
            </w:r>
            <w:r>
              <w:rPr>
                <w:webHidden/>
              </w:rPr>
              <w:instrText xml:space="preserve"> PAGEREF _Toc129350730 \h </w:instrText>
            </w:r>
            <w:r>
              <w:rPr>
                <w:webHidden/>
              </w:rPr>
            </w:r>
            <w:r>
              <w:rPr>
                <w:webHidden/>
              </w:rPr>
              <w:fldChar w:fldCharType="separate"/>
            </w:r>
            <w:r>
              <w:rPr>
                <w:webHidden/>
              </w:rPr>
              <w:t>19</w:t>
            </w:r>
            <w:r>
              <w:rPr>
                <w:webHidden/>
              </w:rPr>
              <w:fldChar w:fldCharType="end"/>
            </w:r>
          </w:hyperlink>
        </w:p>
        <w:p w14:paraId="58BC3AA6" w14:textId="5BC0DCB9" w:rsidR="00C2226A" w:rsidRDefault="00C2226A">
          <w:pPr>
            <w:pStyle w:val="TOC1"/>
            <w:rPr>
              <w:rFonts w:asciiTheme="minorHAnsi" w:eastAsiaTheme="minorEastAsia" w:hAnsiTheme="minorHAnsi"/>
              <w:b w:val="0"/>
              <w:bCs w:val="0"/>
              <w:color w:val="auto"/>
              <w:w w:val="100"/>
              <w:sz w:val="22"/>
              <w:lang w:eastAsia="en-AU"/>
            </w:rPr>
          </w:pPr>
          <w:hyperlink w:anchor="_Toc129350731" w:history="1">
            <w:r w:rsidRPr="00F160E1">
              <w:rPr>
                <w:rStyle w:val="Hyperlink"/>
              </w:rPr>
              <w:t>5.</w:t>
            </w:r>
            <w:r>
              <w:rPr>
                <w:rFonts w:asciiTheme="minorHAnsi" w:eastAsiaTheme="minorEastAsia" w:hAnsiTheme="minorHAnsi"/>
                <w:b w:val="0"/>
                <w:bCs w:val="0"/>
                <w:color w:val="auto"/>
                <w:w w:val="100"/>
                <w:sz w:val="22"/>
                <w:lang w:eastAsia="en-AU"/>
              </w:rPr>
              <w:tab/>
            </w:r>
            <w:r w:rsidRPr="00F160E1">
              <w:rPr>
                <w:rStyle w:val="Hyperlink"/>
              </w:rPr>
              <w:t>Conclusion</w:t>
            </w:r>
            <w:r>
              <w:rPr>
                <w:webHidden/>
              </w:rPr>
              <w:tab/>
            </w:r>
            <w:r>
              <w:rPr>
                <w:webHidden/>
              </w:rPr>
              <w:fldChar w:fldCharType="begin"/>
            </w:r>
            <w:r>
              <w:rPr>
                <w:webHidden/>
              </w:rPr>
              <w:instrText xml:space="preserve"> PAGEREF _Toc129350731 \h </w:instrText>
            </w:r>
            <w:r>
              <w:rPr>
                <w:webHidden/>
              </w:rPr>
            </w:r>
            <w:r>
              <w:rPr>
                <w:webHidden/>
              </w:rPr>
              <w:fldChar w:fldCharType="separate"/>
            </w:r>
            <w:r>
              <w:rPr>
                <w:webHidden/>
              </w:rPr>
              <w:t>21</w:t>
            </w:r>
            <w:r>
              <w:rPr>
                <w:webHidden/>
              </w:rPr>
              <w:fldChar w:fldCharType="end"/>
            </w:r>
          </w:hyperlink>
        </w:p>
        <w:p w14:paraId="4822D582" w14:textId="7052E8D8" w:rsidR="00C2226A" w:rsidRDefault="00C2226A">
          <w:pPr>
            <w:pStyle w:val="TOC1"/>
            <w:rPr>
              <w:rFonts w:asciiTheme="minorHAnsi" w:eastAsiaTheme="minorEastAsia" w:hAnsiTheme="minorHAnsi"/>
              <w:b w:val="0"/>
              <w:bCs w:val="0"/>
              <w:color w:val="auto"/>
              <w:w w:val="100"/>
              <w:sz w:val="22"/>
              <w:lang w:eastAsia="en-AU"/>
            </w:rPr>
          </w:pPr>
          <w:hyperlink w:anchor="_Toc129350732" w:history="1">
            <w:r w:rsidRPr="00F160E1">
              <w:rPr>
                <w:rStyle w:val="Hyperlink"/>
              </w:rPr>
              <w:t>Appendix A: Witnesses</w:t>
            </w:r>
            <w:r>
              <w:rPr>
                <w:webHidden/>
              </w:rPr>
              <w:tab/>
            </w:r>
            <w:r>
              <w:rPr>
                <w:webHidden/>
              </w:rPr>
              <w:fldChar w:fldCharType="begin"/>
            </w:r>
            <w:r>
              <w:rPr>
                <w:webHidden/>
              </w:rPr>
              <w:instrText xml:space="preserve"> PAGEREF _Toc129350732 \h </w:instrText>
            </w:r>
            <w:r>
              <w:rPr>
                <w:webHidden/>
              </w:rPr>
            </w:r>
            <w:r>
              <w:rPr>
                <w:webHidden/>
              </w:rPr>
              <w:fldChar w:fldCharType="separate"/>
            </w:r>
            <w:r>
              <w:rPr>
                <w:webHidden/>
              </w:rPr>
              <w:t>22</w:t>
            </w:r>
            <w:r>
              <w:rPr>
                <w:webHidden/>
              </w:rPr>
              <w:fldChar w:fldCharType="end"/>
            </w:r>
          </w:hyperlink>
        </w:p>
        <w:p w14:paraId="7B65C8F2" w14:textId="5C98B668" w:rsidR="00C2226A" w:rsidRDefault="00C2226A">
          <w:pPr>
            <w:pStyle w:val="TOC3"/>
            <w:rPr>
              <w:rFonts w:eastAsiaTheme="minorEastAsia"/>
              <w:lang w:eastAsia="en-AU"/>
            </w:rPr>
          </w:pPr>
          <w:hyperlink w:anchor="_Toc129350733" w:history="1">
            <w:r w:rsidRPr="00F160E1">
              <w:rPr>
                <w:rStyle w:val="Hyperlink"/>
              </w:rPr>
              <w:t>Monday, 31 October 2022</w:t>
            </w:r>
            <w:r>
              <w:rPr>
                <w:webHidden/>
              </w:rPr>
              <w:tab/>
            </w:r>
            <w:r>
              <w:rPr>
                <w:webHidden/>
              </w:rPr>
              <w:fldChar w:fldCharType="begin"/>
            </w:r>
            <w:r>
              <w:rPr>
                <w:webHidden/>
              </w:rPr>
              <w:instrText xml:space="preserve"> PAGEREF _Toc129350733 \h </w:instrText>
            </w:r>
            <w:r>
              <w:rPr>
                <w:webHidden/>
              </w:rPr>
            </w:r>
            <w:r>
              <w:rPr>
                <w:webHidden/>
              </w:rPr>
              <w:fldChar w:fldCharType="separate"/>
            </w:r>
            <w:r>
              <w:rPr>
                <w:webHidden/>
              </w:rPr>
              <w:t>22</w:t>
            </w:r>
            <w:r>
              <w:rPr>
                <w:webHidden/>
              </w:rPr>
              <w:fldChar w:fldCharType="end"/>
            </w:r>
          </w:hyperlink>
        </w:p>
        <w:p w14:paraId="0ADADB43" w14:textId="6C447AD4" w:rsidR="00C2226A" w:rsidRDefault="00C2226A">
          <w:pPr>
            <w:pStyle w:val="TOC3"/>
            <w:rPr>
              <w:rFonts w:eastAsiaTheme="minorEastAsia"/>
              <w:lang w:eastAsia="en-AU"/>
            </w:rPr>
          </w:pPr>
          <w:hyperlink w:anchor="_Toc129350734" w:history="1">
            <w:r w:rsidRPr="00F160E1">
              <w:rPr>
                <w:rStyle w:val="Hyperlink"/>
              </w:rPr>
              <w:t>Tuesday, 1 November 2022</w:t>
            </w:r>
            <w:r>
              <w:rPr>
                <w:webHidden/>
              </w:rPr>
              <w:tab/>
            </w:r>
            <w:r>
              <w:rPr>
                <w:webHidden/>
              </w:rPr>
              <w:fldChar w:fldCharType="begin"/>
            </w:r>
            <w:r>
              <w:rPr>
                <w:webHidden/>
              </w:rPr>
              <w:instrText xml:space="preserve"> PAGEREF _Toc129350734 \h </w:instrText>
            </w:r>
            <w:r>
              <w:rPr>
                <w:webHidden/>
              </w:rPr>
            </w:r>
            <w:r>
              <w:rPr>
                <w:webHidden/>
              </w:rPr>
              <w:fldChar w:fldCharType="separate"/>
            </w:r>
            <w:r>
              <w:rPr>
                <w:webHidden/>
              </w:rPr>
              <w:t>22</w:t>
            </w:r>
            <w:r>
              <w:rPr>
                <w:webHidden/>
              </w:rPr>
              <w:fldChar w:fldCharType="end"/>
            </w:r>
          </w:hyperlink>
        </w:p>
        <w:p w14:paraId="091A49D2" w14:textId="192C9D3F" w:rsidR="00C2226A" w:rsidRDefault="00C2226A">
          <w:pPr>
            <w:pStyle w:val="TOC3"/>
            <w:rPr>
              <w:rFonts w:eastAsiaTheme="minorEastAsia"/>
              <w:lang w:eastAsia="en-AU"/>
            </w:rPr>
          </w:pPr>
          <w:hyperlink w:anchor="_Toc129350735" w:history="1">
            <w:r w:rsidRPr="00F160E1">
              <w:rPr>
                <w:rStyle w:val="Hyperlink"/>
              </w:rPr>
              <w:t>Monday, 7 November 2022</w:t>
            </w:r>
            <w:r>
              <w:rPr>
                <w:webHidden/>
              </w:rPr>
              <w:tab/>
            </w:r>
            <w:r>
              <w:rPr>
                <w:webHidden/>
              </w:rPr>
              <w:fldChar w:fldCharType="begin"/>
            </w:r>
            <w:r>
              <w:rPr>
                <w:webHidden/>
              </w:rPr>
              <w:instrText xml:space="preserve"> PAGEREF _Toc129350735 \h </w:instrText>
            </w:r>
            <w:r>
              <w:rPr>
                <w:webHidden/>
              </w:rPr>
            </w:r>
            <w:r>
              <w:rPr>
                <w:webHidden/>
              </w:rPr>
              <w:fldChar w:fldCharType="separate"/>
            </w:r>
            <w:r>
              <w:rPr>
                <w:webHidden/>
              </w:rPr>
              <w:t>22</w:t>
            </w:r>
            <w:r>
              <w:rPr>
                <w:webHidden/>
              </w:rPr>
              <w:fldChar w:fldCharType="end"/>
            </w:r>
          </w:hyperlink>
        </w:p>
        <w:p w14:paraId="508EC4C5" w14:textId="4271BF60" w:rsidR="00C2226A" w:rsidRDefault="00C2226A">
          <w:pPr>
            <w:pStyle w:val="TOC3"/>
            <w:rPr>
              <w:rFonts w:eastAsiaTheme="minorEastAsia"/>
              <w:lang w:eastAsia="en-AU"/>
            </w:rPr>
          </w:pPr>
          <w:hyperlink w:anchor="_Toc129350736" w:history="1">
            <w:r w:rsidRPr="00F160E1">
              <w:rPr>
                <w:rStyle w:val="Hyperlink"/>
              </w:rPr>
              <w:t>Thursday, 10 November 2022</w:t>
            </w:r>
            <w:r>
              <w:rPr>
                <w:webHidden/>
              </w:rPr>
              <w:tab/>
            </w:r>
            <w:r>
              <w:rPr>
                <w:webHidden/>
              </w:rPr>
              <w:fldChar w:fldCharType="begin"/>
            </w:r>
            <w:r>
              <w:rPr>
                <w:webHidden/>
              </w:rPr>
              <w:instrText xml:space="preserve"> PAGEREF _Toc129350736 \h </w:instrText>
            </w:r>
            <w:r>
              <w:rPr>
                <w:webHidden/>
              </w:rPr>
            </w:r>
            <w:r>
              <w:rPr>
                <w:webHidden/>
              </w:rPr>
              <w:fldChar w:fldCharType="separate"/>
            </w:r>
            <w:r>
              <w:rPr>
                <w:webHidden/>
              </w:rPr>
              <w:t>23</w:t>
            </w:r>
            <w:r>
              <w:rPr>
                <w:webHidden/>
              </w:rPr>
              <w:fldChar w:fldCharType="end"/>
            </w:r>
          </w:hyperlink>
        </w:p>
        <w:p w14:paraId="101F9E59" w14:textId="1F2DD5F9" w:rsidR="00C2226A" w:rsidRDefault="00C2226A">
          <w:pPr>
            <w:pStyle w:val="TOC1"/>
            <w:rPr>
              <w:rFonts w:asciiTheme="minorHAnsi" w:eastAsiaTheme="minorEastAsia" w:hAnsiTheme="minorHAnsi"/>
              <w:b w:val="0"/>
              <w:bCs w:val="0"/>
              <w:color w:val="auto"/>
              <w:w w:val="100"/>
              <w:sz w:val="22"/>
              <w:lang w:eastAsia="en-AU"/>
            </w:rPr>
          </w:pPr>
          <w:hyperlink w:anchor="_Toc129350737" w:history="1">
            <w:r w:rsidRPr="00F160E1">
              <w:rPr>
                <w:rStyle w:val="Hyperlink"/>
              </w:rPr>
              <w:t>Appendix B: Questions On Notice / Questions Taken on Notice</w:t>
            </w:r>
            <w:r>
              <w:rPr>
                <w:webHidden/>
              </w:rPr>
              <w:tab/>
            </w:r>
            <w:r>
              <w:rPr>
                <w:webHidden/>
              </w:rPr>
              <w:fldChar w:fldCharType="begin"/>
            </w:r>
            <w:r>
              <w:rPr>
                <w:webHidden/>
              </w:rPr>
              <w:instrText xml:space="preserve"> PAGEREF _Toc129350737 \h </w:instrText>
            </w:r>
            <w:r>
              <w:rPr>
                <w:webHidden/>
              </w:rPr>
            </w:r>
            <w:r>
              <w:rPr>
                <w:webHidden/>
              </w:rPr>
              <w:fldChar w:fldCharType="separate"/>
            </w:r>
            <w:r>
              <w:rPr>
                <w:webHidden/>
              </w:rPr>
              <w:t>24</w:t>
            </w:r>
            <w:r>
              <w:rPr>
                <w:webHidden/>
              </w:rPr>
              <w:fldChar w:fldCharType="end"/>
            </w:r>
          </w:hyperlink>
        </w:p>
        <w:p w14:paraId="280A7B93" w14:textId="5D55398A" w:rsidR="00C2226A" w:rsidRDefault="00C2226A">
          <w:pPr>
            <w:pStyle w:val="TOC2"/>
            <w:rPr>
              <w:rFonts w:eastAsiaTheme="minorEastAsia"/>
              <w:lang w:eastAsia="en-AU"/>
            </w:rPr>
          </w:pPr>
          <w:hyperlink w:anchor="_Toc129350738" w:history="1">
            <w:r w:rsidRPr="00F160E1">
              <w:rPr>
                <w:rStyle w:val="Hyperlink"/>
              </w:rPr>
              <w:t>Questions on Notice</w:t>
            </w:r>
            <w:r>
              <w:rPr>
                <w:webHidden/>
              </w:rPr>
              <w:tab/>
            </w:r>
            <w:r>
              <w:rPr>
                <w:webHidden/>
              </w:rPr>
              <w:fldChar w:fldCharType="begin"/>
            </w:r>
            <w:r>
              <w:rPr>
                <w:webHidden/>
              </w:rPr>
              <w:instrText xml:space="preserve"> PAGEREF _Toc129350738 \h </w:instrText>
            </w:r>
            <w:r>
              <w:rPr>
                <w:webHidden/>
              </w:rPr>
            </w:r>
            <w:r>
              <w:rPr>
                <w:webHidden/>
              </w:rPr>
              <w:fldChar w:fldCharType="separate"/>
            </w:r>
            <w:r>
              <w:rPr>
                <w:webHidden/>
              </w:rPr>
              <w:t>24</w:t>
            </w:r>
            <w:r>
              <w:rPr>
                <w:webHidden/>
              </w:rPr>
              <w:fldChar w:fldCharType="end"/>
            </w:r>
          </w:hyperlink>
        </w:p>
        <w:p w14:paraId="35337591" w14:textId="18947E11" w:rsidR="00C2226A" w:rsidRDefault="00C2226A">
          <w:pPr>
            <w:pStyle w:val="TOC2"/>
            <w:rPr>
              <w:rFonts w:eastAsiaTheme="minorEastAsia"/>
              <w:lang w:eastAsia="en-AU"/>
            </w:rPr>
          </w:pPr>
          <w:hyperlink w:anchor="_Toc129350739" w:history="1">
            <w:r w:rsidRPr="00F160E1">
              <w:rPr>
                <w:rStyle w:val="Hyperlink"/>
              </w:rPr>
              <w:t>Questions Taken on Notice</w:t>
            </w:r>
            <w:r>
              <w:rPr>
                <w:webHidden/>
              </w:rPr>
              <w:tab/>
            </w:r>
            <w:r>
              <w:rPr>
                <w:webHidden/>
              </w:rPr>
              <w:fldChar w:fldCharType="begin"/>
            </w:r>
            <w:r>
              <w:rPr>
                <w:webHidden/>
              </w:rPr>
              <w:instrText xml:space="preserve"> PAGEREF _Toc129350739 \h </w:instrText>
            </w:r>
            <w:r>
              <w:rPr>
                <w:webHidden/>
              </w:rPr>
            </w:r>
            <w:r>
              <w:rPr>
                <w:webHidden/>
              </w:rPr>
              <w:fldChar w:fldCharType="separate"/>
            </w:r>
            <w:r>
              <w:rPr>
                <w:webHidden/>
              </w:rPr>
              <w:t>24</w:t>
            </w:r>
            <w:r>
              <w:rPr>
                <w:webHidden/>
              </w:rPr>
              <w:fldChar w:fldCharType="end"/>
            </w:r>
          </w:hyperlink>
        </w:p>
        <w:p w14:paraId="7D593451" w14:textId="12321A3D" w:rsidR="005B5DE9" w:rsidRDefault="005B5DE9" w:rsidP="005B5DE9">
          <w:r>
            <w:rPr>
              <w:b/>
              <w:bCs/>
              <w:noProof/>
            </w:rPr>
            <w:fldChar w:fldCharType="end"/>
          </w:r>
        </w:p>
      </w:sdtContent>
    </w:sdt>
    <w:p w14:paraId="6239011C" w14:textId="77777777" w:rsidR="005B5DE9" w:rsidRDefault="005B5DE9" w:rsidP="005B5DE9">
      <w:pPr>
        <w:spacing w:line="259" w:lineRule="auto"/>
        <w:rPr>
          <w:rFonts w:ascii="Montserrat" w:eastAsiaTheme="majorEastAsia" w:hAnsi="Montserrat" w:cstheme="majorBidi"/>
          <w:b/>
          <w:color w:val="1A234C"/>
          <w:w w:val="90"/>
          <w:kern w:val="2"/>
          <w:sz w:val="36"/>
          <w:szCs w:val="32"/>
        </w:rPr>
      </w:pPr>
      <w:bookmarkStart w:id="7" w:name="_Toc79133347"/>
      <w:bookmarkStart w:id="8" w:name="_Hlk79475490"/>
      <w:r>
        <w:br w:type="page"/>
      </w:r>
    </w:p>
    <w:p w14:paraId="3FEC6869" w14:textId="77777777" w:rsidR="005B5DE9" w:rsidRDefault="005B5DE9" w:rsidP="005B5DE9">
      <w:pPr>
        <w:pStyle w:val="Heading1nonumber"/>
      </w:pPr>
      <w:bookmarkStart w:id="9" w:name="_Toc129350705"/>
      <w:r>
        <w:lastRenderedPageBreak/>
        <w:t>Acronyms and abbreviations</w:t>
      </w:r>
      <w:bookmarkEnd w:id="9"/>
    </w:p>
    <w:tbl>
      <w:tblPr>
        <w:tblStyle w:val="Assemblystyletable"/>
        <w:tblW w:w="0" w:type="auto"/>
        <w:tblLook w:val="04A0" w:firstRow="1" w:lastRow="0" w:firstColumn="1" w:lastColumn="0" w:noHBand="0" w:noVBand="1"/>
      </w:tblPr>
      <w:tblGrid>
        <w:gridCol w:w="1843"/>
        <w:gridCol w:w="7183"/>
      </w:tblGrid>
      <w:tr w:rsidR="005B5DE9" w14:paraId="5EEC1F1C" w14:textId="77777777" w:rsidTr="00BE4405">
        <w:trPr>
          <w:cnfStyle w:val="100000000000" w:firstRow="1" w:lastRow="0" w:firstColumn="0" w:lastColumn="0" w:oddVBand="0" w:evenVBand="0" w:oddHBand="0" w:evenHBand="0" w:firstRowFirstColumn="0" w:firstRowLastColumn="0" w:lastRowFirstColumn="0" w:lastRowLastColumn="0"/>
        </w:trPr>
        <w:tc>
          <w:tcPr>
            <w:tcW w:w="1843" w:type="dxa"/>
          </w:tcPr>
          <w:p w14:paraId="6B6E6ACB" w14:textId="77777777" w:rsidR="005B5DE9" w:rsidRDefault="005B5DE9" w:rsidP="00BE4405">
            <w:pPr>
              <w:pStyle w:val="Tableheading"/>
            </w:pPr>
            <w:r>
              <w:t>Acronym</w:t>
            </w:r>
          </w:p>
        </w:tc>
        <w:tc>
          <w:tcPr>
            <w:tcW w:w="7183" w:type="dxa"/>
          </w:tcPr>
          <w:p w14:paraId="0603E81C" w14:textId="77777777" w:rsidR="005B5DE9" w:rsidRDefault="005B5DE9" w:rsidP="00BE4405">
            <w:pPr>
              <w:pStyle w:val="Tableheading"/>
            </w:pPr>
            <w:r>
              <w:t>Long form</w:t>
            </w:r>
          </w:p>
        </w:tc>
      </w:tr>
      <w:tr w:rsidR="005B5DE9" w14:paraId="3DB20A13"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131DBB6D" w14:textId="77777777" w:rsidR="005B5DE9" w:rsidRDefault="005B5DE9" w:rsidP="00BE4405">
            <w:pPr>
              <w:pStyle w:val="Tablebody"/>
            </w:pPr>
            <w:r>
              <w:t>ACT</w:t>
            </w:r>
          </w:p>
        </w:tc>
        <w:tc>
          <w:tcPr>
            <w:tcW w:w="7183" w:type="dxa"/>
          </w:tcPr>
          <w:p w14:paraId="76ABF3B9" w14:textId="77777777" w:rsidR="005B5DE9" w:rsidRDefault="005B5DE9" w:rsidP="00BE4405">
            <w:pPr>
              <w:pStyle w:val="Tablebody"/>
            </w:pPr>
            <w:r>
              <w:t>Australian Capital Territory</w:t>
            </w:r>
          </w:p>
        </w:tc>
      </w:tr>
      <w:tr w:rsidR="002105AC" w14:paraId="39933104"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67BF58DE" w14:textId="28C1273B" w:rsidR="002105AC" w:rsidRDefault="002105AC" w:rsidP="00BE4405">
            <w:pPr>
              <w:pStyle w:val="Tablebody"/>
            </w:pPr>
            <w:r>
              <w:t>Act</w:t>
            </w:r>
          </w:p>
        </w:tc>
        <w:tc>
          <w:tcPr>
            <w:tcW w:w="7183" w:type="dxa"/>
          </w:tcPr>
          <w:p w14:paraId="32C13822" w14:textId="0B475B7A" w:rsidR="002105AC" w:rsidRDefault="002105AC" w:rsidP="00BE4405">
            <w:pPr>
              <w:pStyle w:val="Tablebody"/>
            </w:pPr>
            <w:r>
              <w:t>Nature Conservation Act 2014</w:t>
            </w:r>
          </w:p>
        </w:tc>
      </w:tr>
      <w:tr w:rsidR="008A3125" w14:paraId="7E661CF3"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4A0A8E0C" w14:textId="10F40057" w:rsidR="008A3125" w:rsidRDefault="008A3125" w:rsidP="00BE4405">
            <w:pPr>
              <w:pStyle w:val="Tablebody"/>
            </w:pPr>
            <w:r>
              <w:t>AO</w:t>
            </w:r>
          </w:p>
        </w:tc>
        <w:tc>
          <w:tcPr>
            <w:tcW w:w="7183" w:type="dxa"/>
          </w:tcPr>
          <w:p w14:paraId="11F851C8" w14:textId="42D23DC1" w:rsidR="008A3125" w:rsidRDefault="008A3125" w:rsidP="00BE4405">
            <w:pPr>
              <w:pStyle w:val="Tablebody"/>
            </w:pPr>
            <w:r>
              <w:t>Officer of the Order of Australia</w:t>
            </w:r>
          </w:p>
        </w:tc>
      </w:tr>
      <w:tr w:rsidR="005B5DE9" w14:paraId="06F8AFF6"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72395D21" w14:textId="5C3A39DA" w:rsidR="005B5DE9" w:rsidRDefault="00DF0F6B" w:rsidP="00BE4405">
            <w:pPr>
              <w:pStyle w:val="Tablebody"/>
            </w:pPr>
            <w:r>
              <w:t>Commissioner</w:t>
            </w:r>
          </w:p>
        </w:tc>
        <w:tc>
          <w:tcPr>
            <w:tcW w:w="7183" w:type="dxa"/>
          </w:tcPr>
          <w:p w14:paraId="1DB6C037" w14:textId="0AA1D564" w:rsidR="005B5DE9" w:rsidRDefault="00DF0F6B" w:rsidP="00BE4405">
            <w:pPr>
              <w:pStyle w:val="Tablebody"/>
            </w:pPr>
            <w:r w:rsidRPr="00DF0F6B">
              <w:t>ACT Commissioner for Sustainability and the Environment</w:t>
            </w:r>
          </w:p>
        </w:tc>
      </w:tr>
      <w:tr w:rsidR="005B5DE9" w14:paraId="4124D6D5"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D8329C4" w14:textId="094FF587" w:rsidR="005B5DE9" w:rsidRDefault="005B5DE9" w:rsidP="00BE4405">
            <w:pPr>
              <w:pStyle w:val="Tablebody"/>
            </w:pPr>
            <w:r>
              <w:t>Committee</w:t>
            </w:r>
          </w:p>
        </w:tc>
        <w:tc>
          <w:tcPr>
            <w:tcW w:w="7183" w:type="dxa"/>
          </w:tcPr>
          <w:p w14:paraId="7BE5FCEC" w14:textId="6318AB71" w:rsidR="005B5DE9" w:rsidRPr="000A5F5A" w:rsidRDefault="005B5DE9" w:rsidP="00BE4405">
            <w:pPr>
              <w:pStyle w:val="Tablebody"/>
            </w:pPr>
            <w:r w:rsidRPr="000A5F5A">
              <w:t xml:space="preserve">Standing Committee on </w:t>
            </w:r>
            <w:r w:rsidR="0053078A">
              <w:t>Environment, Climate Change and Biodiversity</w:t>
            </w:r>
          </w:p>
        </w:tc>
      </w:tr>
      <w:tr w:rsidR="005B5DE9" w14:paraId="3A756995"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D526ED7" w14:textId="107222DB" w:rsidR="005B5DE9" w:rsidRDefault="004E2F4F" w:rsidP="00BE4405">
            <w:pPr>
              <w:pStyle w:val="Tablebody"/>
            </w:pPr>
            <w:r>
              <w:t>CMTEDD</w:t>
            </w:r>
          </w:p>
        </w:tc>
        <w:tc>
          <w:tcPr>
            <w:tcW w:w="7183" w:type="dxa"/>
          </w:tcPr>
          <w:p w14:paraId="1E72F032" w14:textId="5B982A7A" w:rsidR="005B5DE9" w:rsidRPr="000A5F5A" w:rsidRDefault="00F728CF" w:rsidP="00BE4405">
            <w:pPr>
              <w:pStyle w:val="Tablebody"/>
            </w:pPr>
            <w:r>
              <w:t>Chief Minister, Treasury and Economic Development Directorate</w:t>
            </w:r>
          </w:p>
        </w:tc>
      </w:tr>
      <w:tr w:rsidR="00F728CF" w14:paraId="70DB3593"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23B80C6" w14:textId="42414688" w:rsidR="00F728CF" w:rsidRDefault="00F728CF" w:rsidP="00BE4405">
            <w:pPr>
              <w:pStyle w:val="Tablebody"/>
            </w:pPr>
            <w:r>
              <w:t>CRA</w:t>
            </w:r>
          </w:p>
        </w:tc>
        <w:tc>
          <w:tcPr>
            <w:tcW w:w="7183" w:type="dxa"/>
          </w:tcPr>
          <w:p w14:paraId="3FC7D8F6" w14:textId="376E2545" w:rsidR="00F728CF" w:rsidRDefault="00F728CF" w:rsidP="00BE4405">
            <w:pPr>
              <w:pStyle w:val="Tablebody"/>
            </w:pPr>
            <w:r>
              <w:t>City Renewal Authority</w:t>
            </w:r>
          </w:p>
        </w:tc>
      </w:tr>
      <w:tr w:rsidR="005B5DE9" w14:paraId="3685794C"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4560548B" w14:textId="062B5508" w:rsidR="005B5DE9" w:rsidRDefault="00F728CF" w:rsidP="00BE4405">
            <w:pPr>
              <w:pStyle w:val="Tablebody"/>
            </w:pPr>
            <w:r>
              <w:t>EPA</w:t>
            </w:r>
          </w:p>
        </w:tc>
        <w:tc>
          <w:tcPr>
            <w:tcW w:w="7183" w:type="dxa"/>
          </w:tcPr>
          <w:p w14:paraId="1B98230D" w14:textId="5522B0CD" w:rsidR="005B5DE9" w:rsidRPr="000A5F5A" w:rsidRDefault="00F728CF" w:rsidP="00BE4405">
            <w:pPr>
              <w:pStyle w:val="Tablebody"/>
            </w:pPr>
            <w:r>
              <w:t>Environment Protection Authority</w:t>
            </w:r>
          </w:p>
        </w:tc>
      </w:tr>
      <w:tr w:rsidR="005B5DE9" w14:paraId="216A61A3"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398B2EB4" w14:textId="77777777" w:rsidR="005B5DE9" w:rsidRDefault="005B5DE9" w:rsidP="00BE4405">
            <w:pPr>
              <w:pStyle w:val="Tablebody"/>
            </w:pPr>
            <w:r>
              <w:t>EPSDD</w:t>
            </w:r>
          </w:p>
        </w:tc>
        <w:tc>
          <w:tcPr>
            <w:tcW w:w="7183" w:type="dxa"/>
          </w:tcPr>
          <w:p w14:paraId="2B8B7DEB" w14:textId="77777777" w:rsidR="005B5DE9" w:rsidRPr="000A5F5A" w:rsidRDefault="005B5DE9" w:rsidP="00BE4405">
            <w:pPr>
              <w:pStyle w:val="Tablebody"/>
            </w:pPr>
            <w:r w:rsidRPr="004D5A7E">
              <w:t>Environment, Planning and Sustainable Development Directorate</w:t>
            </w:r>
          </w:p>
        </w:tc>
      </w:tr>
      <w:tr w:rsidR="008A3125" w14:paraId="26B0E48B"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009CF535" w14:textId="543F49A5" w:rsidR="008A3125" w:rsidRDefault="008A3125" w:rsidP="00BE4405">
            <w:pPr>
              <w:pStyle w:val="Tablebody"/>
            </w:pPr>
            <w:r>
              <w:t>FTE</w:t>
            </w:r>
          </w:p>
        </w:tc>
        <w:tc>
          <w:tcPr>
            <w:tcW w:w="7183" w:type="dxa"/>
          </w:tcPr>
          <w:p w14:paraId="2077958C" w14:textId="3F25032A" w:rsidR="008A3125" w:rsidRPr="004D5A7E" w:rsidRDefault="008A3125" w:rsidP="00BE4405">
            <w:pPr>
              <w:pStyle w:val="Tablebody"/>
            </w:pPr>
            <w:r>
              <w:t>Full-time equivalent</w:t>
            </w:r>
          </w:p>
        </w:tc>
      </w:tr>
      <w:tr w:rsidR="008A3125" w14:paraId="7C8DD66A"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35FD725D" w14:textId="60994DAE" w:rsidR="008A3125" w:rsidRDefault="008A3125" w:rsidP="00BE4405">
            <w:pPr>
              <w:pStyle w:val="Tablebody"/>
            </w:pPr>
            <w:r>
              <w:t>HVAC</w:t>
            </w:r>
          </w:p>
        </w:tc>
        <w:tc>
          <w:tcPr>
            <w:tcW w:w="7183" w:type="dxa"/>
          </w:tcPr>
          <w:p w14:paraId="57193186" w14:textId="0B253A6A" w:rsidR="008A3125" w:rsidRDefault="008A3125" w:rsidP="00BE4405">
            <w:pPr>
              <w:pStyle w:val="Tablebody"/>
            </w:pPr>
            <w:r>
              <w:t>Heating, ventilation, and air conditioning</w:t>
            </w:r>
          </w:p>
        </w:tc>
      </w:tr>
      <w:tr w:rsidR="005B5DE9" w14:paraId="45FCA4DB"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3319DDC1" w14:textId="4D32AE67" w:rsidR="005B5DE9" w:rsidRDefault="004E2F4F" w:rsidP="00BE4405">
            <w:pPr>
              <w:pStyle w:val="Tablebody"/>
            </w:pPr>
            <w:r>
              <w:t>MLA</w:t>
            </w:r>
          </w:p>
        </w:tc>
        <w:tc>
          <w:tcPr>
            <w:tcW w:w="7183" w:type="dxa"/>
          </w:tcPr>
          <w:p w14:paraId="025D07B0" w14:textId="4DF9713B" w:rsidR="005B5DE9" w:rsidRDefault="00F728CF" w:rsidP="00BE4405">
            <w:pPr>
              <w:pStyle w:val="Tablebody"/>
            </w:pPr>
            <w:r>
              <w:t>Member of the Legislative Assembly</w:t>
            </w:r>
          </w:p>
        </w:tc>
      </w:tr>
      <w:tr w:rsidR="008A3125" w14:paraId="75240FEE"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027C36BB" w14:textId="041656C4" w:rsidR="008A3125" w:rsidRDefault="008A3125" w:rsidP="00BE4405">
            <w:pPr>
              <w:pStyle w:val="Tablebody"/>
            </w:pPr>
            <w:r>
              <w:t>NSW</w:t>
            </w:r>
          </w:p>
        </w:tc>
        <w:tc>
          <w:tcPr>
            <w:tcW w:w="7183" w:type="dxa"/>
          </w:tcPr>
          <w:p w14:paraId="724C5349" w14:textId="7497C30B" w:rsidR="008A3125" w:rsidRDefault="008A3125" w:rsidP="00BE4405">
            <w:pPr>
              <w:pStyle w:val="Tablebody"/>
            </w:pPr>
            <w:r>
              <w:t>New South Wales</w:t>
            </w:r>
          </w:p>
        </w:tc>
      </w:tr>
      <w:tr w:rsidR="008A3125" w14:paraId="6FDF3D85"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0E0903FE" w14:textId="5ECDE7E1" w:rsidR="008A3125" w:rsidRDefault="008A3125" w:rsidP="00BE4405">
            <w:pPr>
              <w:pStyle w:val="Tablebody"/>
            </w:pPr>
            <w:r>
              <w:t>OCSE</w:t>
            </w:r>
          </w:p>
        </w:tc>
        <w:tc>
          <w:tcPr>
            <w:tcW w:w="7183" w:type="dxa"/>
          </w:tcPr>
          <w:p w14:paraId="0AEAE1A5" w14:textId="5D509B9B" w:rsidR="008A3125" w:rsidRDefault="008A3125" w:rsidP="00BE4405">
            <w:pPr>
              <w:pStyle w:val="Tablebody"/>
            </w:pPr>
            <w:r>
              <w:t>Office of the Commissioner for Sustainability and the Environment</w:t>
            </w:r>
          </w:p>
        </w:tc>
      </w:tr>
      <w:tr w:rsidR="005B5DE9" w14:paraId="26C68F4A"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13365CC7" w14:textId="77777777" w:rsidR="005B5DE9" w:rsidRDefault="005B5DE9" w:rsidP="00BE4405">
            <w:pPr>
              <w:pStyle w:val="Tablebody"/>
            </w:pPr>
            <w:r>
              <w:t>QTON</w:t>
            </w:r>
          </w:p>
        </w:tc>
        <w:tc>
          <w:tcPr>
            <w:tcW w:w="7183" w:type="dxa"/>
          </w:tcPr>
          <w:p w14:paraId="2791FDE9" w14:textId="77777777" w:rsidR="005B5DE9" w:rsidRDefault="005B5DE9" w:rsidP="00BE4405">
            <w:pPr>
              <w:pStyle w:val="Tablebody"/>
            </w:pPr>
            <w:r>
              <w:t>Question Taken on Notice</w:t>
            </w:r>
          </w:p>
        </w:tc>
      </w:tr>
      <w:tr w:rsidR="00F728CF" w14:paraId="1A56C189" w14:textId="77777777" w:rsidTr="00BE4405">
        <w:trPr>
          <w:cnfStyle w:val="000000010000" w:firstRow="0" w:lastRow="0" w:firstColumn="0" w:lastColumn="0" w:oddVBand="0" w:evenVBand="0" w:oddHBand="0" w:evenHBand="1" w:firstRowFirstColumn="0" w:firstRowLastColumn="0" w:lastRowFirstColumn="0" w:lastRowLastColumn="0"/>
        </w:trPr>
        <w:tc>
          <w:tcPr>
            <w:tcW w:w="1843" w:type="dxa"/>
          </w:tcPr>
          <w:p w14:paraId="780A2260" w14:textId="79EFCBAB" w:rsidR="00F728CF" w:rsidRDefault="00F728CF" w:rsidP="00BE4405">
            <w:pPr>
              <w:pStyle w:val="Tablebody"/>
            </w:pPr>
            <w:r>
              <w:t>SLA</w:t>
            </w:r>
          </w:p>
        </w:tc>
        <w:tc>
          <w:tcPr>
            <w:tcW w:w="7183" w:type="dxa"/>
          </w:tcPr>
          <w:p w14:paraId="37D5A63A" w14:textId="03233B4F" w:rsidR="00F728CF" w:rsidRDefault="00F728CF" w:rsidP="00BE4405">
            <w:pPr>
              <w:pStyle w:val="Tablebody"/>
            </w:pPr>
            <w:r>
              <w:t>Suburban Land Agency</w:t>
            </w:r>
          </w:p>
        </w:tc>
      </w:tr>
      <w:tr w:rsidR="008A3125" w14:paraId="451DA109" w14:textId="77777777" w:rsidTr="00BE4405">
        <w:trPr>
          <w:cnfStyle w:val="000000100000" w:firstRow="0" w:lastRow="0" w:firstColumn="0" w:lastColumn="0" w:oddVBand="0" w:evenVBand="0" w:oddHBand="1" w:evenHBand="0" w:firstRowFirstColumn="0" w:firstRowLastColumn="0" w:lastRowFirstColumn="0" w:lastRowLastColumn="0"/>
        </w:trPr>
        <w:tc>
          <w:tcPr>
            <w:tcW w:w="1843" w:type="dxa"/>
          </w:tcPr>
          <w:p w14:paraId="46D7C99D" w14:textId="2C49B1CC" w:rsidR="008A3125" w:rsidRDefault="008A3125" w:rsidP="00BE4405">
            <w:pPr>
              <w:pStyle w:val="Tablebody"/>
            </w:pPr>
            <w:r>
              <w:t>SoE</w:t>
            </w:r>
          </w:p>
        </w:tc>
        <w:tc>
          <w:tcPr>
            <w:tcW w:w="7183" w:type="dxa"/>
          </w:tcPr>
          <w:p w14:paraId="5F5E70E3" w14:textId="0C12BD50" w:rsidR="008A3125" w:rsidRDefault="008A3125" w:rsidP="00BE4405">
            <w:pPr>
              <w:pStyle w:val="Tablebody"/>
            </w:pPr>
            <w:r>
              <w:t>State of the Environment</w:t>
            </w:r>
          </w:p>
        </w:tc>
      </w:tr>
    </w:tbl>
    <w:p w14:paraId="10BB3C6A" w14:textId="77777777" w:rsidR="005B5DE9" w:rsidRDefault="005B5DE9" w:rsidP="005B5DE9">
      <w:pPr>
        <w:rPr>
          <w:w w:val="90"/>
        </w:rPr>
      </w:pPr>
      <w:r>
        <w:br w:type="page"/>
      </w:r>
    </w:p>
    <w:p w14:paraId="7A095E75" w14:textId="77777777" w:rsidR="005B5DE9" w:rsidRDefault="005B5DE9" w:rsidP="005B5DE9">
      <w:pPr>
        <w:pStyle w:val="Heading1nonumber"/>
      </w:pPr>
      <w:bookmarkStart w:id="10" w:name="_Toc129350706"/>
      <w:r>
        <w:lastRenderedPageBreak/>
        <w:t>R</w:t>
      </w:r>
      <w:r w:rsidRPr="0006752F">
        <w:t>ecommendations</w:t>
      </w:r>
      <w:bookmarkEnd w:id="10"/>
    </w:p>
    <w:p w14:paraId="75D3C2E9" w14:textId="355E71D9" w:rsidR="00C2226A" w:rsidRDefault="005B5DE9">
      <w:pPr>
        <w:pStyle w:val="TOC1"/>
        <w:rPr>
          <w:rFonts w:asciiTheme="minorHAnsi" w:eastAsiaTheme="minorEastAsia" w:hAnsiTheme="minorHAnsi"/>
          <w:b w:val="0"/>
          <w:bCs w:val="0"/>
          <w:color w:val="auto"/>
          <w:w w:val="100"/>
          <w:sz w:val="22"/>
          <w:lang w:eastAsia="en-AU"/>
        </w:rPr>
      </w:pPr>
      <w:r>
        <w:fldChar w:fldCharType="begin"/>
      </w:r>
      <w:r>
        <w:instrText xml:space="preserve"> TOC \n \h \z \t "Recommendation heading,1,Recommendation body,2" </w:instrText>
      </w:r>
      <w:r>
        <w:fldChar w:fldCharType="separate"/>
      </w:r>
      <w:hyperlink w:anchor="_Toc129350740" w:history="1">
        <w:r w:rsidR="00C2226A" w:rsidRPr="00B57C59">
          <w:rPr>
            <w:rStyle w:val="Hyperlink"/>
          </w:rPr>
          <w:t>Recommendation 1</w:t>
        </w:r>
      </w:hyperlink>
    </w:p>
    <w:p w14:paraId="57E96A77" w14:textId="22C55E37" w:rsidR="00C2226A" w:rsidRDefault="00C2226A">
      <w:pPr>
        <w:pStyle w:val="TOC2"/>
        <w:rPr>
          <w:rFonts w:eastAsiaTheme="minorEastAsia"/>
          <w:lang w:eastAsia="en-AU"/>
        </w:rPr>
      </w:pPr>
      <w:hyperlink w:anchor="_Toc129350741" w:history="1">
        <w:r w:rsidRPr="00B57C59">
          <w:rPr>
            <w:rStyle w:val="Hyperlink"/>
            <w:rFonts w:ascii="Calibri-Bold" w:hAnsi="Calibri-Bold" w:cs="Calibri-Bold"/>
          </w:rPr>
          <w:t>The Committee recommends that the ACT Government review staff retention rates of First Nations people, and identify if there are any areas that the ACT Government could improve, to ensure First Nations people are ongoingly supported.</w:t>
        </w:r>
      </w:hyperlink>
    </w:p>
    <w:p w14:paraId="30A640F5" w14:textId="35552FBA" w:rsidR="00C2226A" w:rsidRDefault="00C2226A">
      <w:pPr>
        <w:pStyle w:val="TOC1"/>
        <w:rPr>
          <w:rFonts w:asciiTheme="minorHAnsi" w:eastAsiaTheme="minorEastAsia" w:hAnsiTheme="minorHAnsi"/>
          <w:b w:val="0"/>
          <w:bCs w:val="0"/>
          <w:color w:val="auto"/>
          <w:w w:val="100"/>
          <w:sz w:val="22"/>
          <w:lang w:eastAsia="en-AU"/>
        </w:rPr>
      </w:pPr>
      <w:hyperlink w:anchor="_Toc129350742" w:history="1">
        <w:r w:rsidRPr="00B57C59">
          <w:rPr>
            <w:rStyle w:val="Hyperlink"/>
          </w:rPr>
          <w:t>Recommendation 2</w:t>
        </w:r>
      </w:hyperlink>
    </w:p>
    <w:p w14:paraId="7516B5CA" w14:textId="59A201ED" w:rsidR="00C2226A" w:rsidRDefault="00C2226A">
      <w:pPr>
        <w:pStyle w:val="TOC2"/>
        <w:rPr>
          <w:rFonts w:eastAsiaTheme="minorEastAsia"/>
          <w:lang w:eastAsia="en-AU"/>
        </w:rPr>
      </w:pPr>
      <w:hyperlink w:anchor="_Toc129350743" w:history="1">
        <w:r w:rsidRPr="00B57C59">
          <w:rPr>
            <w:rStyle w:val="Hyperlink"/>
            <w:rFonts w:ascii="Calibri-Bold" w:hAnsi="Calibri-Bold" w:cs="Calibri-Bold"/>
          </w:rPr>
          <w:t>The Committee recommends that the ACT Government examine other jurisdiction’s policies and procedures for best-practice and innovative land management in relation to hazard reduction burns and fire abatement, and offer training for EPSDD staff to expand their knowledge base.</w:t>
        </w:r>
      </w:hyperlink>
    </w:p>
    <w:p w14:paraId="03490ED5" w14:textId="66015E05" w:rsidR="00C2226A" w:rsidRDefault="00C2226A">
      <w:pPr>
        <w:pStyle w:val="TOC1"/>
        <w:rPr>
          <w:rFonts w:asciiTheme="minorHAnsi" w:eastAsiaTheme="minorEastAsia" w:hAnsiTheme="minorHAnsi"/>
          <w:b w:val="0"/>
          <w:bCs w:val="0"/>
          <w:color w:val="auto"/>
          <w:w w:val="100"/>
          <w:sz w:val="22"/>
          <w:lang w:eastAsia="en-AU"/>
        </w:rPr>
      </w:pPr>
      <w:hyperlink w:anchor="_Toc129350744" w:history="1">
        <w:r w:rsidRPr="00B57C59">
          <w:rPr>
            <w:rStyle w:val="Hyperlink"/>
          </w:rPr>
          <w:t>Recommendation 3</w:t>
        </w:r>
      </w:hyperlink>
    </w:p>
    <w:p w14:paraId="24CAAC04" w14:textId="2F763F82" w:rsidR="00C2226A" w:rsidRDefault="00C2226A">
      <w:pPr>
        <w:pStyle w:val="TOC2"/>
        <w:rPr>
          <w:rFonts w:eastAsiaTheme="minorEastAsia"/>
          <w:lang w:eastAsia="en-AU"/>
        </w:rPr>
      </w:pPr>
      <w:hyperlink w:anchor="_Toc129350745" w:history="1">
        <w:r w:rsidRPr="00B57C59">
          <w:rPr>
            <w:rStyle w:val="Hyperlink"/>
          </w:rPr>
          <w:t>The Committee recommends that the ACT Government advise the projected date for when:</w:t>
        </w:r>
      </w:hyperlink>
    </w:p>
    <w:p w14:paraId="0E35D67F" w14:textId="4EF58D54" w:rsidR="00C2226A" w:rsidRDefault="00C2226A">
      <w:pPr>
        <w:pStyle w:val="TOC2"/>
        <w:tabs>
          <w:tab w:val="left" w:pos="880"/>
        </w:tabs>
        <w:rPr>
          <w:rFonts w:eastAsiaTheme="minorEastAsia"/>
          <w:lang w:eastAsia="en-AU"/>
        </w:rPr>
      </w:pPr>
      <w:hyperlink w:anchor="_Toc129350746" w:history="1">
        <w:r w:rsidRPr="00B57C59">
          <w:rPr>
            <w:rStyle w:val="Hyperlink"/>
            <w:rFonts w:ascii="Symbol" w:hAnsi="Symbol"/>
          </w:rPr>
          <w:t></w:t>
        </w:r>
        <w:r>
          <w:rPr>
            <w:rFonts w:eastAsiaTheme="minorEastAsia"/>
            <w:lang w:eastAsia="en-AU"/>
          </w:rPr>
          <w:tab/>
        </w:r>
        <w:r w:rsidRPr="00B57C59">
          <w:rPr>
            <w:rStyle w:val="Hyperlink"/>
          </w:rPr>
          <w:t>all roads at Namadgi National Park and repaired; and</w:t>
        </w:r>
      </w:hyperlink>
    </w:p>
    <w:p w14:paraId="427283BA" w14:textId="354734F2" w:rsidR="00C2226A" w:rsidRDefault="00C2226A">
      <w:pPr>
        <w:pStyle w:val="TOC2"/>
        <w:tabs>
          <w:tab w:val="left" w:pos="880"/>
        </w:tabs>
        <w:rPr>
          <w:rFonts w:eastAsiaTheme="minorEastAsia"/>
          <w:lang w:eastAsia="en-AU"/>
        </w:rPr>
      </w:pPr>
      <w:hyperlink w:anchor="_Toc129350747" w:history="1">
        <w:r w:rsidRPr="00B57C59">
          <w:rPr>
            <w:rStyle w:val="Hyperlink"/>
            <w:rFonts w:ascii="Symbol" w:hAnsi="Symbol"/>
          </w:rPr>
          <w:t></w:t>
        </w:r>
        <w:r>
          <w:rPr>
            <w:rFonts w:eastAsiaTheme="minorEastAsia"/>
            <w:lang w:eastAsia="en-AU"/>
          </w:rPr>
          <w:tab/>
        </w:r>
        <w:r w:rsidRPr="00B57C59">
          <w:rPr>
            <w:rStyle w:val="Hyperlink"/>
          </w:rPr>
          <w:t>full public access will be restored to Namadgi National Park.</w:t>
        </w:r>
      </w:hyperlink>
    </w:p>
    <w:p w14:paraId="3E345C40" w14:textId="78AF39E0" w:rsidR="00C2226A" w:rsidRDefault="00C2226A">
      <w:pPr>
        <w:pStyle w:val="TOC1"/>
        <w:rPr>
          <w:rFonts w:asciiTheme="minorHAnsi" w:eastAsiaTheme="minorEastAsia" w:hAnsiTheme="minorHAnsi"/>
          <w:b w:val="0"/>
          <w:bCs w:val="0"/>
          <w:color w:val="auto"/>
          <w:w w:val="100"/>
          <w:sz w:val="22"/>
          <w:lang w:eastAsia="en-AU"/>
        </w:rPr>
      </w:pPr>
      <w:hyperlink w:anchor="_Toc129350748" w:history="1">
        <w:r w:rsidRPr="00B57C59">
          <w:rPr>
            <w:rStyle w:val="Hyperlink"/>
          </w:rPr>
          <w:t>Recommendation 4</w:t>
        </w:r>
      </w:hyperlink>
    </w:p>
    <w:p w14:paraId="79C3C961" w14:textId="0B983DCB" w:rsidR="00C2226A" w:rsidRDefault="00C2226A">
      <w:pPr>
        <w:pStyle w:val="TOC2"/>
        <w:rPr>
          <w:rFonts w:eastAsiaTheme="minorEastAsia"/>
          <w:lang w:eastAsia="en-AU"/>
        </w:rPr>
      </w:pPr>
      <w:hyperlink w:anchor="_Toc129350749" w:history="1">
        <w:r w:rsidRPr="00B57C59">
          <w:rPr>
            <w:rStyle w:val="Hyperlink"/>
            <w:rFonts w:ascii="Calibri-Bold" w:hAnsi="Calibri-Bold" w:cs="Calibri-Bold"/>
          </w:rPr>
          <w:t>The Committee recommends that the ACT Government develop a conservation plan for Callam Offices as a matter of urgency, and look to invest in the modernisation and restoration of the buildings.</w:t>
        </w:r>
      </w:hyperlink>
    </w:p>
    <w:p w14:paraId="67118F0A" w14:textId="62DF04E5" w:rsidR="00C2226A" w:rsidRDefault="00C2226A">
      <w:pPr>
        <w:pStyle w:val="TOC1"/>
        <w:rPr>
          <w:rFonts w:asciiTheme="minorHAnsi" w:eastAsiaTheme="minorEastAsia" w:hAnsiTheme="minorHAnsi"/>
          <w:b w:val="0"/>
          <w:bCs w:val="0"/>
          <w:color w:val="auto"/>
          <w:w w:val="100"/>
          <w:sz w:val="22"/>
          <w:lang w:eastAsia="en-AU"/>
        </w:rPr>
      </w:pPr>
      <w:hyperlink w:anchor="_Toc129350750" w:history="1">
        <w:r w:rsidRPr="00B57C59">
          <w:rPr>
            <w:rStyle w:val="Hyperlink"/>
          </w:rPr>
          <w:t>Recommendation 5</w:t>
        </w:r>
      </w:hyperlink>
    </w:p>
    <w:p w14:paraId="27A955C4" w14:textId="4107EBE7" w:rsidR="00C2226A" w:rsidRDefault="00C2226A">
      <w:pPr>
        <w:pStyle w:val="TOC2"/>
        <w:rPr>
          <w:rFonts w:eastAsiaTheme="minorEastAsia"/>
          <w:lang w:eastAsia="en-AU"/>
        </w:rPr>
      </w:pPr>
      <w:hyperlink w:anchor="_Toc129350751" w:history="1">
        <w:r w:rsidRPr="00B57C59">
          <w:rPr>
            <w:rStyle w:val="Hyperlink"/>
            <w:rFonts w:ascii="Calibri-Bold" w:hAnsi="Calibri-Bold" w:cs="Calibri-Bold"/>
          </w:rPr>
          <w:t>The Committee recommends that the ACT Government seek to collaborate and learn from other jurisdictions on how to proactively identify biosecurity risks, and continue to support the biosecurity rapid response team.</w:t>
        </w:r>
      </w:hyperlink>
    </w:p>
    <w:p w14:paraId="264BFF98" w14:textId="43C8A226" w:rsidR="00C2226A" w:rsidRDefault="00C2226A">
      <w:pPr>
        <w:pStyle w:val="TOC1"/>
        <w:rPr>
          <w:rFonts w:asciiTheme="minorHAnsi" w:eastAsiaTheme="minorEastAsia" w:hAnsiTheme="minorHAnsi"/>
          <w:b w:val="0"/>
          <w:bCs w:val="0"/>
          <w:color w:val="auto"/>
          <w:w w:val="100"/>
          <w:sz w:val="22"/>
          <w:lang w:eastAsia="en-AU"/>
        </w:rPr>
      </w:pPr>
      <w:hyperlink w:anchor="_Toc129350752" w:history="1">
        <w:r w:rsidRPr="00B57C59">
          <w:rPr>
            <w:rStyle w:val="Hyperlink"/>
          </w:rPr>
          <w:t>Recommendation 6</w:t>
        </w:r>
      </w:hyperlink>
    </w:p>
    <w:p w14:paraId="4C993752" w14:textId="6793FD63" w:rsidR="00C2226A" w:rsidRDefault="00C2226A">
      <w:pPr>
        <w:pStyle w:val="TOC2"/>
        <w:rPr>
          <w:rFonts w:eastAsiaTheme="minorEastAsia"/>
          <w:lang w:eastAsia="en-AU"/>
        </w:rPr>
      </w:pPr>
      <w:hyperlink w:anchor="_Toc129350753" w:history="1">
        <w:r w:rsidRPr="00B57C59">
          <w:rPr>
            <w:rStyle w:val="Hyperlink"/>
            <w:rFonts w:ascii="Calibri-Bold" w:hAnsi="Calibri-Bold" w:cs="Calibri-Bold"/>
          </w:rPr>
          <w:t>The Committee recommends that the ACT Government improve its protection measures for native species, such as burrowing animals like wombats, that are not considered threatened but are at high risk due to urban development and encroachment.</w:t>
        </w:r>
      </w:hyperlink>
    </w:p>
    <w:p w14:paraId="2CEC1B1C" w14:textId="6BD2559B" w:rsidR="00C2226A" w:rsidRDefault="00C2226A">
      <w:pPr>
        <w:pStyle w:val="TOC1"/>
        <w:rPr>
          <w:rFonts w:asciiTheme="minorHAnsi" w:eastAsiaTheme="minorEastAsia" w:hAnsiTheme="minorHAnsi"/>
          <w:b w:val="0"/>
          <w:bCs w:val="0"/>
          <w:color w:val="auto"/>
          <w:w w:val="100"/>
          <w:sz w:val="22"/>
          <w:lang w:eastAsia="en-AU"/>
        </w:rPr>
      </w:pPr>
      <w:hyperlink w:anchor="_Toc129350754" w:history="1">
        <w:r w:rsidRPr="00B57C59">
          <w:rPr>
            <w:rStyle w:val="Hyperlink"/>
          </w:rPr>
          <w:t>Recommendation 7</w:t>
        </w:r>
      </w:hyperlink>
    </w:p>
    <w:p w14:paraId="78D8BE3C" w14:textId="337DA5C1" w:rsidR="00C2226A" w:rsidRDefault="00C2226A">
      <w:pPr>
        <w:pStyle w:val="TOC2"/>
        <w:rPr>
          <w:rFonts w:eastAsiaTheme="minorEastAsia"/>
          <w:lang w:eastAsia="en-AU"/>
        </w:rPr>
      </w:pPr>
      <w:hyperlink w:anchor="_Toc129350755" w:history="1">
        <w:r w:rsidRPr="00B57C59">
          <w:rPr>
            <w:rStyle w:val="Hyperlink"/>
            <w:rFonts w:ascii="Calibri-Bold" w:hAnsi="Calibri-Bold" w:cs="Calibri-Bold"/>
          </w:rPr>
          <w:t>The Committee recommends that the ACT Government provide half-yearly updates to the Assembly on the progress of environmental assessments at Bluett’s Block-Piney Ridge (specifically Stromlo Blocks 402 and 403), and ensure that the community has the opportunity to input citizen science and observations.</w:t>
        </w:r>
      </w:hyperlink>
    </w:p>
    <w:p w14:paraId="2E07056D" w14:textId="7772878D" w:rsidR="00C2226A" w:rsidRDefault="00C2226A">
      <w:pPr>
        <w:pStyle w:val="TOC1"/>
        <w:rPr>
          <w:rFonts w:asciiTheme="minorHAnsi" w:eastAsiaTheme="minorEastAsia" w:hAnsiTheme="minorHAnsi"/>
          <w:b w:val="0"/>
          <w:bCs w:val="0"/>
          <w:color w:val="auto"/>
          <w:w w:val="100"/>
          <w:sz w:val="22"/>
          <w:lang w:eastAsia="en-AU"/>
        </w:rPr>
      </w:pPr>
      <w:hyperlink w:anchor="_Toc129350756" w:history="1">
        <w:r w:rsidRPr="00B57C59">
          <w:rPr>
            <w:rStyle w:val="Hyperlink"/>
          </w:rPr>
          <w:t>Recommendation 8</w:t>
        </w:r>
      </w:hyperlink>
    </w:p>
    <w:p w14:paraId="5E67E35D" w14:textId="0F10BCDC" w:rsidR="00C2226A" w:rsidRDefault="00C2226A">
      <w:pPr>
        <w:pStyle w:val="TOC2"/>
        <w:rPr>
          <w:rStyle w:val="Hyperlink"/>
        </w:rPr>
      </w:pPr>
      <w:hyperlink w:anchor="_Toc129350757" w:history="1">
        <w:r w:rsidRPr="00B57C59">
          <w:rPr>
            <w:rStyle w:val="Hyperlink"/>
            <w:rFonts w:ascii="Calibri-Bold" w:hAnsi="Calibri-Bold" w:cs="Calibri-Bold"/>
          </w:rPr>
          <w:t xml:space="preserve">The Committee recommends that the Office of the Commissioner for Sustainability and the Environment provide more details on the impacts of urban development and encroachment on the environment in its next </w:t>
        </w:r>
        <w:r w:rsidRPr="00B57C59">
          <w:rPr>
            <w:rStyle w:val="Hyperlink"/>
            <w:rFonts w:ascii="Calibri-Bold" w:hAnsi="Calibri-Bold" w:cs="Calibri-Bold"/>
            <w:i/>
            <w:iCs/>
          </w:rPr>
          <w:t>ACT State of the Environment</w:t>
        </w:r>
        <w:r w:rsidRPr="00B57C59">
          <w:rPr>
            <w:rStyle w:val="Hyperlink"/>
            <w:rFonts w:ascii="Calibri-Bold" w:hAnsi="Calibri-Bold" w:cs="Calibri-Bold"/>
          </w:rPr>
          <w:t xml:space="preserve"> report.</w:t>
        </w:r>
      </w:hyperlink>
    </w:p>
    <w:p w14:paraId="1029F4DB" w14:textId="77777777" w:rsidR="00C2226A" w:rsidRPr="00C2226A" w:rsidRDefault="00C2226A" w:rsidP="00C2226A"/>
    <w:p w14:paraId="528A4C89" w14:textId="2517CC4E" w:rsidR="00C2226A" w:rsidRDefault="00C2226A">
      <w:pPr>
        <w:pStyle w:val="TOC1"/>
        <w:rPr>
          <w:rFonts w:asciiTheme="minorHAnsi" w:eastAsiaTheme="minorEastAsia" w:hAnsiTheme="minorHAnsi"/>
          <w:b w:val="0"/>
          <w:bCs w:val="0"/>
          <w:color w:val="auto"/>
          <w:w w:val="100"/>
          <w:sz w:val="22"/>
          <w:lang w:eastAsia="en-AU"/>
        </w:rPr>
      </w:pPr>
      <w:hyperlink w:anchor="_Toc129350758" w:history="1">
        <w:r w:rsidRPr="00B57C59">
          <w:rPr>
            <w:rStyle w:val="Hyperlink"/>
          </w:rPr>
          <w:t>Recommendation 9</w:t>
        </w:r>
      </w:hyperlink>
    </w:p>
    <w:p w14:paraId="1EA7173D" w14:textId="77FC551C" w:rsidR="00C2226A" w:rsidRDefault="00C2226A">
      <w:pPr>
        <w:pStyle w:val="TOC2"/>
        <w:rPr>
          <w:rFonts w:eastAsiaTheme="minorEastAsia"/>
          <w:lang w:eastAsia="en-AU"/>
        </w:rPr>
      </w:pPr>
      <w:hyperlink w:anchor="_Toc129350759" w:history="1">
        <w:r w:rsidRPr="00B57C59">
          <w:rPr>
            <w:rStyle w:val="Hyperlink"/>
            <w:rFonts w:ascii="Calibri-Bold" w:hAnsi="Calibri-Bold" w:cs="Calibri-Bold"/>
          </w:rPr>
          <w:t>The Committee recommends that the ACT Government implement a standard contract provision that contracts involving solar panels and large battery systems require end-of-life reuse or recycling.</w:t>
        </w:r>
      </w:hyperlink>
    </w:p>
    <w:p w14:paraId="41A70165" w14:textId="0B332F1E" w:rsidR="005B5DE9" w:rsidRDefault="005B5DE9" w:rsidP="005B5DE9">
      <w:r>
        <w:fldChar w:fldCharType="end"/>
      </w:r>
    </w:p>
    <w:p w14:paraId="3EED52A3" w14:textId="77777777" w:rsidR="005B5DE9" w:rsidRPr="00B7541C" w:rsidRDefault="005B5DE9" w:rsidP="005B5DE9">
      <w:pPr>
        <w:sectPr w:rsidR="005B5DE9" w:rsidRPr="00B7541C" w:rsidSect="004D5396">
          <w:type w:val="continuous"/>
          <w:pgSz w:w="11906" w:h="16838"/>
          <w:pgMar w:top="1440" w:right="1440" w:bottom="1440" w:left="1440" w:header="708" w:footer="708" w:gutter="0"/>
          <w:pgNumType w:fmt="lowerRoman" w:start="1"/>
          <w:cols w:space="708"/>
          <w:docGrid w:linePitch="360"/>
        </w:sectPr>
      </w:pPr>
    </w:p>
    <w:p w14:paraId="318813FA" w14:textId="77777777" w:rsidR="005B5DE9" w:rsidRDefault="005B5DE9" w:rsidP="005B5DE9">
      <w:pPr>
        <w:pStyle w:val="Heading1"/>
      </w:pPr>
      <w:bookmarkStart w:id="11" w:name="_Toc129350707"/>
      <w:bookmarkEnd w:id="7"/>
      <w:r>
        <w:lastRenderedPageBreak/>
        <w:t>Introduction</w:t>
      </w:r>
      <w:bookmarkEnd w:id="11"/>
      <w:r>
        <w:t xml:space="preserve"> </w:t>
      </w:r>
    </w:p>
    <w:p w14:paraId="7671C851" w14:textId="77777777" w:rsidR="00630A92" w:rsidRPr="00106AD2" w:rsidRDefault="00630A92" w:rsidP="00630A92">
      <w:pPr>
        <w:pStyle w:val="Heading2"/>
      </w:pPr>
      <w:bookmarkStart w:id="12" w:name="_Toc119591053"/>
      <w:bookmarkStart w:id="13" w:name="_Toc129350708"/>
      <w:bookmarkEnd w:id="8"/>
      <w:r>
        <w:t>Presentation of 2021-22 annual and financial reports</w:t>
      </w:r>
      <w:bookmarkEnd w:id="12"/>
      <w:bookmarkEnd w:id="13"/>
    </w:p>
    <w:p w14:paraId="061ECB55" w14:textId="6B848D09" w:rsidR="00630A92" w:rsidRDefault="00630A92" w:rsidP="00630A92">
      <w:pPr>
        <w:pStyle w:val="ListNumber2"/>
      </w:pPr>
      <w:r>
        <w:t>All annual and financial reports for the Territory were tabled between 12 October 2022</w:t>
      </w:r>
      <w:r>
        <w:rPr>
          <w:rStyle w:val="FootnoteReference"/>
        </w:rPr>
        <w:footnoteReference w:id="1"/>
      </w:r>
      <w:r>
        <w:t xml:space="preserve"> and 13 October 2022</w:t>
      </w:r>
      <w:r>
        <w:rPr>
          <w:rStyle w:val="FootnoteReference"/>
        </w:rPr>
        <w:footnoteReference w:id="2"/>
      </w:r>
      <w:r>
        <w:t xml:space="preserve"> in the ACT Legislative Assembly. A collated list of annual and financial reports is available </w:t>
      </w:r>
      <w:hyperlink r:id="rId17" w:history="1">
        <w:r w:rsidRPr="00630A92">
          <w:rPr>
            <w:rStyle w:val="Hyperlink"/>
          </w:rPr>
          <w:t>online</w:t>
        </w:r>
      </w:hyperlink>
      <w:r>
        <w:t>.</w:t>
      </w:r>
      <w:r>
        <w:rPr>
          <w:rStyle w:val="FootnoteReference"/>
        </w:rPr>
        <w:footnoteReference w:id="3"/>
      </w:r>
    </w:p>
    <w:p w14:paraId="768A4B0C" w14:textId="5958AD02" w:rsidR="00630A92" w:rsidRDefault="00630A92" w:rsidP="00630A92">
      <w:pPr>
        <w:pStyle w:val="ListNumber2"/>
      </w:pPr>
      <w:r>
        <w:t>During</w:t>
      </w:r>
      <w:r>
        <w:rPr>
          <w:spacing w:val="-3"/>
        </w:rPr>
        <w:t xml:space="preserve"> </w:t>
      </w:r>
      <w:r>
        <w:t>its</w:t>
      </w:r>
      <w:r>
        <w:rPr>
          <w:spacing w:val="-2"/>
        </w:rPr>
        <w:t xml:space="preserve"> </w:t>
      </w:r>
      <w:r>
        <w:t>inquiry</w:t>
      </w:r>
      <w:r>
        <w:rPr>
          <w:spacing w:val="-4"/>
        </w:rPr>
        <w:t xml:space="preserve"> </w:t>
      </w:r>
      <w:r>
        <w:t>the</w:t>
      </w:r>
      <w:r>
        <w:rPr>
          <w:spacing w:val="-3"/>
        </w:rPr>
        <w:t xml:space="preserve"> </w:t>
      </w:r>
      <w:r>
        <w:t>Standing</w:t>
      </w:r>
      <w:r>
        <w:rPr>
          <w:spacing w:val="-3"/>
        </w:rPr>
        <w:t xml:space="preserve"> </w:t>
      </w:r>
      <w:r>
        <w:t>Committee</w:t>
      </w:r>
      <w:r>
        <w:rPr>
          <w:spacing w:val="-2"/>
        </w:rPr>
        <w:t xml:space="preserve"> </w:t>
      </w:r>
      <w:r>
        <w:t>on</w:t>
      </w:r>
      <w:r>
        <w:rPr>
          <w:spacing w:val="-4"/>
        </w:rPr>
        <w:t xml:space="preserve"> </w:t>
      </w:r>
      <w:r w:rsidR="0053078A">
        <w:t>Environment, Climate Change and Biodiversity</w:t>
      </w:r>
      <w:r>
        <w:t xml:space="preserve"> </w:t>
      </w:r>
      <w:r w:rsidR="00E9152E">
        <w:t xml:space="preserve">(the Committee) </w:t>
      </w:r>
      <w:r>
        <w:t>was required</w:t>
      </w:r>
      <w:r>
        <w:rPr>
          <w:spacing w:val="-1"/>
        </w:rPr>
        <w:t xml:space="preserve"> </w:t>
      </w:r>
      <w:r>
        <w:t>to examine all or part of the following annual and financial reports for 2021-2022:</w:t>
      </w:r>
    </w:p>
    <w:p w14:paraId="11B3E06D" w14:textId="7D2A2F58" w:rsidR="00630A92" w:rsidRDefault="00A43CB3" w:rsidP="00630A92">
      <w:pPr>
        <w:pStyle w:val="ListBullet"/>
      </w:pPr>
      <w:r>
        <w:t>Environment, Planning and Sustainable Development Directorate;</w:t>
      </w:r>
    </w:p>
    <w:p w14:paraId="7D93B57F" w14:textId="44FD2366" w:rsidR="00A43CB3" w:rsidRDefault="00A43CB3" w:rsidP="00630A92">
      <w:pPr>
        <w:pStyle w:val="ListBullet"/>
      </w:pPr>
      <w:r>
        <w:t>Chief Minister, Treasury and Economic Development Directorate;</w:t>
      </w:r>
      <w:r w:rsidR="0053078A">
        <w:t xml:space="preserve"> and</w:t>
      </w:r>
    </w:p>
    <w:p w14:paraId="1AB2CB0D" w14:textId="24505284" w:rsidR="00A43CB3" w:rsidRDefault="0053078A" w:rsidP="00630A92">
      <w:pPr>
        <w:pStyle w:val="ListBullet"/>
      </w:pPr>
      <w:r>
        <w:t>Office of the Commissioner for Sustainability and the Environment.</w:t>
      </w:r>
    </w:p>
    <w:p w14:paraId="326E0C89" w14:textId="4EAC005C" w:rsidR="00630A92" w:rsidRPr="00172958" w:rsidRDefault="00630A92" w:rsidP="00630A92">
      <w:pPr>
        <w:pStyle w:val="ListNumber2"/>
        <w:rPr>
          <w:color w:val="auto"/>
        </w:rPr>
      </w:pPr>
      <w:r w:rsidRPr="007E7E39">
        <w:rPr>
          <w:color w:val="auto"/>
        </w:rPr>
        <w:t xml:space="preserve">The Committee’s inquiry was undertaken amid the continuing COVID-19 pandemic. In light of this, all annual and financial report hearings were conducted in the </w:t>
      </w:r>
      <w:r>
        <w:rPr>
          <w:color w:val="auto"/>
        </w:rPr>
        <w:t xml:space="preserve">ACT </w:t>
      </w:r>
      <w:r w:rsidRPr="007E7E39">
        <w:rPr>
          <w:color w:val="auto"/>
        </w:rPr>
        <w:t xml:space="preserve">Legislative Assembly Chamber to allow for appropriate </w:t>
      </w:r>
      <w:r>
        <w:rPr>
          <w:color w:val="auto"/>
        </w:rPr>
        <w:t xml:space="preserve">social </w:t>
      </w:r>
      <w:r w:rsidRPr="007E7E39">
        <w:rPr>
          <w:color w:val="auto"/>
        </w:rPr>
        <w:t>distancing and other control measures. Witnesses were also able to attend via Webex</w:t>
      </w:r>
      <w:r>
        <w:rPr>
          <w:color w:val="auto"/>
        </w:rPr>
        <w:t>.</w:t>
      </w:r>
    </w:p>
    <w:p w14:paraId="42E3C34E" w14:textId="77777777" w:rsidR="00630A92" w:rsidRPr="00FC6F1B" w:rsidRDefault="00630A92" w:rsidP="00630A92">
      <w:pPr>
        <w:pStyle w:val="Heading2"/>
      </w:pPr>
      <w:bookmarkStart w:id="14" w:name="_Toc119591055"/>
      <w:bookmarkStart w:id="15" w:name="_Toc129350709"/>
      <w:r w:rsidRPr="00FC6F1B">
        <w:t>Public hearings</w:t>
      </w:r>
      <w:bookmarkEnd w:id="14"/>
      <w:bookmarkEnd w:id="15"/>
    </w:p>
    <w:p w14:paraId="36C85184" w14:textId="0F4D1064" w:rsidR="00630A92" w:rsidRPr="002D5C7B" w:rsidRDefault="00630A92" w:rsidP="00630A92">
      <w:pPr>
        <w:pStyle w:val="ListNumber2"/>
        <w:keepNext/>
        <w:keepLines/>
        <w:rPr>
          <w:color w:val="auto"/>
        </w:rPr>
      </w:pPr>
      <w:r w:rsidRPr="0004476A">
        <w:rPr>
          <w:color w:val="auto"/>
        </w:rPr>
        <w:t xml:space="preserve">The Committee held public hearings on </w:t>
      </w:r>
      <w:r w:rsidR="00A43CB3">
        <w:rPr>
          <w:color w:val="auto"/>
        </w:rPr>
        <w:t xml:space="preserve">31 October 2022, 1 November 2022, 7 November 2022, </w:t>
      </w:r>
      <w:r w:rsidR="0053078A">
        <w:rPr>
          <w:color w:val="auto"/>
        </w:rPr>
        <w:t>and 10 November 2022</w:t>
      </w:r>
      <w:r w:rsidRPr="0004476A">
        <w:rPr>
          <w:color w:val="auto"/>
        </w:rPr>
        <w:t xml:space="preserve">. At the </w:t>
      </w:r>
      <w:r w:rsidR="00C2226A">
        <w:rPr>
          <w:color w:val="auto"/>
        </w:rPr>
        <w:t xml:space="preserve">public </w:t>
      </w:r>
      <w:r w:rsidRPr="0004476A">
        <w:rPr>
          <w:color w:val="auto"/>
        </w:rPr>
        <w:t>hearings</w:t>
      </w:r>
      <w:r w:rsidR="00A43CB3">
        <w:rPr>
          <w:color w:val="auto"/>
        </w:rPr>
        <w:t>,</w:t>
      </w:r>
      <w:r w:rsidRPr="0004476A">
        <w:rPr>
          <w:color w:val="auto"/>
        </w:rPr>
        <w:t xml:space="preserve"> the Committee heard from </w:t>
      </w:r>
      <w:r w:rsidRPr="002D5C7B">
        <w:rPr>
          <w:color w:val="auto"/>
        </w:rPr>
        <w:t>ACT Government Ministers</w:t>
      </w:r>
      <w:r w:rsidR="00B61BB2">
        <w:rPr>
          <w:color w:val="auto"/>
        </w:rPr>
        <w:t xml:space="preserve">, </w:t>
      </w:r>
      <w:r w:rsidRPr="002D5C7B">
        <w:rPr>
          <w:color w:val="auto"/>
        </w:rPr>
        <w:t>Directorate officials</w:t>
      </w:r>
      <w:r w:rsidR="00B61BB2">
        <w:rPr>
          <w:color w:val="auto"/>
        </w:rPr>
        <w:t>,</w:t>
      </w:r>
      <w:r w:rsidR="00A43CB3">
        <w:rPr>
          <w:color w:val="auto"/>
        </w:rPr>
        <w:t xml:space="preserve"> and</w:t>
      </w:r>
      <w:r w:rsidRPr="002D5C7B">
        <w:rPr>
          <w:color w:val="auto"/>
        </w:rPr>
        <w:t xml:space="preserve"> statutory officers</w:t>
      </w:r>
      <w:r w:rsidR="00A43CB3">
        <w:rPr>
          <w:color w:val="auto"/>
        </w:rPr>
        <w:t>.</w:t>
      </w:r>
    </w:p>
    <w:p w14:paraId="3DEC080D" w14:textId="7F50C343" w:rsidR="00630A92" w:rsidRPr="0004476A" w:rsidRDefault="00630A92" w:rsidP="00630A92">
      <w:pPr>
        <w:pStyle w:val="ListNumber2"/>
        <w:rPr>
          <w:color w:val="auto"/>
        </w:rPr>
      </w:pPr>
      <w:r w:rsidRPr="0004476A">
        <w:rPr>
          <w:color w:val="auto"/>
        </w:rPr>
        <w:t xml:space="preserve">Witnesses who appeared before the Committee are listed at </w:t>
      </w:r>
      <w:r w:rsidRPr="00A43CB3">
        <w:rPr>
          <w:b/>
          <w:bCs w:val="0"/>
          <w:color w:val="auto"/>
        </w:rPr>
        <w:t>Appendix A</w:t>
      </w:r>
      <w:r w:rsidRPr="0004476A">
        <w:rPr>
          <w:color w:val="auto"/>
        </w:rPr>
        <w:t xml:space="preserve">. Transcripts from the </w:t>
      </w:r>
      <w:r w:rsidR="00A43CB3">
        <w:rPr>
          <w:color w:val="auto"/>
        </w:rPr>
        <w:t xml:space="preserve">public </w:t>
      </w:r>
      <w:r w:rsidRPr="0004476A">
        <w:rPr>
          <w:color w:val="auto"/>
        </w:rPr>
        <w:t xml:space="preserve">hearings are available on the </w:t>
      </w:r>
      <w:r w:rsidR="00A43CB3">
        <w:rPr>
          <w:color w:val="auto"/>
        </w:rPr>
        <w:t xml:space="preserve">ACT Legislative </w:t>
      </w:r>
      <w:r w:rsidRPr="0004476A">
        <w:rPr>
          <w:color w:val="auto"/>
        </w:rPr>
        <w:t xml:space="preserve">Assembly </w:t>
      </w:r>
      <w:hyperlink r:id="rId18" w:anchor="3_eccb" w:history="1">
        <w:r w:rsidRPr="00A43CB3">
          <w:rPr>
            <w:rStyle w:val="Hyperlink"/>
          </w:rPr>
          <w:t>website</w:t>
        </w:r>
      </w:hyperlink>
      <w:r w:rsidRPr="0004476A">
        <w:rPr>
          <w:color w:val="auto"/>
        </w:rPr>
        <w:t xml:space="preserve">. Footage of the </w:t>
      </w:r>
      <w:r w:rsidR="00A43CB3">
        <w:rPr>
          <w:color w:val="auto"/>
        </w:rPr>
        <w:t xml:space="preserve">public </w:t>
      </w:r>
      <w:r w:rsidRPr="0004476A">
        <w:rPr>
          <w:color w:val="auto"/>
        </w:rPr>
        <w:t xml:space="preserve">hearings </w:t>
      </w:r>
      <w:r w:rsidR="00A43CB3">
        <w:rPr>
          <w:color w:val="auto"/>
        </w:rPr>
        <w:t>are</w:t>
      </w:r>
      <w:r w:rsidRPr="0004476A">
        <w:rPr>
          <w:color w:val="auto"/>
        </w:rPr>
        <w:t xml:space="preserve"> available </w:t>
      </w:r>
      <w:r w:rsidR="00A43CB3">
        <w:rPr>
          <w:color w:val="auto"/>
        </w:rPr>
        <w:t xml:space="preserve">on the ACT Legislative Assembly </w:t>
      </w:r>
      <w:hyperlink r:id="rId19" w:history="1">
        <w:r w:rsidR="00A43CB3" w:rsidRPr="00A43CB3">
          <w:rPr>
            <w:rStyle w:val="Hyperlink"/>
          </w:rPr>
          <w:t>V</w:t>
        </w:r>
        <w:r w:rsidRPr="00A43CB3">
          <w:rPr>
            <w:rStyle w:val="Hyperlink"/>
          </w:rPr>
          <w:t xml:space="preserve">ideo on </w:t>
        </w:r>
        <w:r w:rsidR="00A43CB3" w:rsidRPr="00A43CB3">
          <w:rPr>
            <w:rStyle w:val="Hyperlink"/>
          </w:rPr>
          <w:t>D</w:t>
        </w:r>
        <w:r w:rsidRPr="00A43CB3">
          <w:rPr>
            <w:rStyle w:val="Hyperlink"/>
          </w:rPr>
          <w:t>emand website</w:t>
        </w:r>
      </w:hyperlink>
      <w:r w:rsidRPr="0004476A">
        <w:rPr>
          <w:color w:val="auto"/>
        </w:rPr>
        <w:t>.</w:t>
      </w:r>
    </w:p>
    <w:p w14:paraId="0C40E848" w14:textId="0970466D" w:rsidR="00B61BB2" w:rsidRDefault="00630A92" w:rsidP="00630A92">
      <w:pPr>
        <w:pStyle w:val="Heading2"/>
      </w:pPr>
      <w:bookmarkStart w:id="16" w:name="_Toc119591056"/>
      <w:bookmarkStart w:id="17" w:name="_Toc129350710"/>
      <w:r>
        <w:t xml:space="preserve">Questions </w:t>
      </w:r>
      <w:r w:rsidR="00B61BB2">
        <w:t>on Notice and Questions Taken on Notice</w:t>
      </w:r>
      <w:bookmarkEnd w:id="17"/>
    </w:p>
    <w:bookmarkEnd w:id="16"/>
    <w:p w14:paraId="76CBCF19" w14:textId="5E24ECF1" w:rsidR="00630A92" w:rsidRPr="0004476A" w:rsidRDefault="00630A92" w:rsidP="00630A92">
      <w:pPr>
        <w:pStyle w:val="ListNumber2"/>
        <w:rPr>
          <w:color w:val="auto"/>
        </w:rPr>
      </w:pPr>
      <w:r w:rsidRPr="0004476A">
        <w:rPr>
          <w:color w:val="auto"/>
        </w:rPr>
        <w:t xml:space="preserve">A total of </w:t>
      </w:r>
      <w:r w:rsidR="0053078A">
        <w:rPr>
          <w:color w:val="auto"/>
        </w:rPr>
        <w:t>15</w:t>
      </w:r>
      <w:r w:rsidRPr="0004476A">
        <w:rPr>
          <w:color w:val="auto"/>
        </w:rPr>
        <w:t xml:space="preserve"> questions were lodged during the inquiry. </w:t>
      </w:r>
      <w:r w:rsidR="0053078A">
        <w:rPr>
          <w:color w:val="auto"/>
        </w:rPr>
        <w:t>Thirteen</w:t>
      </w:r>
      <w:r w:rsidRPr="0004476A">
        <w:rPr>
          <w:color w:val="auto"/>
        </w:rPr>
        <w:t xml:space="preserve"> questions were taken on notice by Ministers and statutory office holders during the hearings, and </w:t>
      </w:r>
      <w:r w:rsidR="00E9152E">
        <w:rPr>
          <w:color w:val="auto"/>
        </w:rPr>
        <w:t>two</w:t>
      </w:r>
      <w:r>
        <w:rPr>
          <w:color w:val="auto"/>
        </w:rPr>
        <w:t xml:space="preserve"> </w:t>
      </w:r>
      <w:r w:rsidR="00D67415">
        <w:rPr>
          <w:color w:val="auto"/>
        </w:rPr>
        <w:t>Q</w:t>
      </w:r>
      <w:r w:rsidRPr="0004476A">
        <w:rPr>
          <w:color w:val="auto"/>
        </w:rPr>
        <w:t xml:space="preserve">uestions on </w:t>
      </w:r>
      <w:r w:rsidR="00D67415">
        <w:rPr>
          <w:color w:val="auto"/>
        </w:rPr>
        <w:t>N</w:t>
      </w:r>
      <w:r w:rsidRPr="0004476A">
        <w:rPr>
          <w:color w:val="auto"/>
        </w:rPr>
        <w:t>otice were submitted by Committee Members and visiting M</w:t>
      </w:r>
      <w:r w:rsidR="008D2C0A">
        <w:rPr>
          <w:color w:val="auto"/>
        </w:rPr>
        <w:t>ember</w:t>
      </w:r>
      <w:r w:rsidRPr="0004476A">
        <w:rPr>
          <w:color w:val="auto"/>
        </w:rPr>
        <w:t>s following the hearings.</w:t>
      </w:r>
    </w:p>
    <w:p w14:paraId="03D4EB52" w14:textId="3967BD38" w:rsidR="00630A92" w:rsidRDefault="00630A92" w:rsidP="00630A92">
      <w:pPr>
        <w:pStyle w:val="ListNumber2"/>
        <w:rPr>
          <w:color w:val="auto"/>
        </w:rPr>
      </w:pPr>
      <w:r w:rsidRPr="0004476A">
        <w:rPr>
          <w:color w:val="auto"/>
        </w:rPr>
        <w:t xml:space="preserve">The list of </w:t>
      </w:r>
      <w:r w:rsidR="00B61BB2">
        <w:rPr>
          <w:color w:val="auto"/>
        </w:rPr>
        <w:t xml:space="preserve">questions lodged during the inquiry </w:t>
      </w:r>
      <w:r w:rsidRPr="0004476A">
        <w:rPr>
          <w:color w:val="auto"/>
        </w:rPr>
        <w:t xml:space="preserve">are available at </w:t>
      </w:r>
      <w:r w:rsidRPr="00B61BB2">
        <w:rPr>
          <w:b/>
          <w:bCs w:val="0"/>
          <w:color w:val="auto"/>
        </w:rPr>
        <w:t>Appendix B</w:t>
      </w:r>
      <w:r w:rsidRPr="0004476A">
        <w:rPr>
          <w:color w:val="auto"/>
        </w:rPr>
        <w:t>, an</w:t>
      </w:r>
      <w:r w:rsidR="00B61BB2">
        <w:rPr>
          <w:color w:val="auto"/>
        </w:rPr>
        <w:t xml:space="preserve">d all answers have been published on the inquiry </w:t>
      </w:r>
      <w:hyperlink r:id="rId20" w:anchor="tab2092167-5id" w:history="1">
        <w:r w:rsidR="00B61BB2" w:rsidRPr="00B61BB2">
          <w:rPr>
            <w:rStyle w:val="Hyperlink"/>
          </w:rPr>
          <w:t>website</w:t>
        </w:r>
      </w:hyperlink>
      <w:r w:rsidRPr="0004476A">
        <w:rPr>
          <w:color w:val="auto"/>
        </w:rPr>
        <w:t>.</w:t>
      </w:r>
    </w:p>
    <w:p w14:paraId="76C850D1" w14:textId="34224A3E" w:rsidR="005B5DE9" w:rsidRPr="00A93B60" w:rsidRDefault="005B5DE9" w:rsidP="005B5DE9">
      <w:pPr>
        <w:spacing w:line="259" w:lineRule="auto"/>
        <w:rPr>
          <w:rFonts w:cstheme="minorHAnsi"/>
          <w:bCs/>
          <w:color w:val="000000" w:themeColor="text1"/>
          <w:szCs w:val="20"/>
          <w:highlight w:val="yellow"/>
        </w:rPr>
      </w:pPr>
      <w:r>
        <w:br w:type="page"/>
      </w:r>
    </w:p>
    <w:p w14:paraId="238D549F" w14:textId="5AB0D7B6" w:rsidR="00B61BB2" w:rsidRPr="007761CF" w:rsidRDefault="00B61BB2" w:rsidP="00B61BB2">
      <w:pPr>
        <w:pStyle w:val="Heading1"/>
        <w:pageBreakBefore/>
      </w:pPr>
      <w:bookmarkStart w:id="18" w:name="_Toc119591058"/>
      <w:bookmarkStart w:id="19" w:name="_Toc129350711"/>
      <w:r>
        <w:lastRenderedPageBreak/>
        <w:t>Environment, Planning and Sustainable Development Directorate</w:t>
      </w:r>
      <w:bookmarkEnd w:id="19"/>
    </w:p>
    <w:p w14:paraId="6FFA784C" w14:textId="2D2BDDFB" w:rsidR="00FC1430" w:rsidRDefault="00FC1430" w:rsidP="00FC1430">
      <w:pPr>
        <w:pStyle w:val="ListNumber2"/>
        <w:rPr>
          <w:bdr w:val="nil"/>
        </w:rPr>
      </w:pPr>
      <w:r>
        <w:t>The Environment, Planning and Sustainable Development Directorate (EPSDD</w:t>
      </w:r>
      <w:r w:rsidRPr="004B7955">
        <w:rPr>
          <w:bdr w:val="nil"/>
        </w:rPr>
        <w:t>) delivers on the ACT Government’s key planning, land management, climate action</w:t>
      </w:r>
      <w:r w:rsidR="008D2C0A">
        <w:rPr>
          <w:bdr w:val="nil"/>
        </w:rPr>
        <w:t>,</w:t>
      </w:r>
      <w:r w:rsidRPr="004B7955">
        <w:rPr>
          <w:bdr w:val="nil"/>
        </w:rPr>
        <w:t xml:space="preserve"> and environment priorities through a range of policies and programs.</w:t>
      </w:r>
      <w:r>
        <w:rPr>
          <w:rStyle w:val="FootnoteReference"/>
          <w:bdr w:val="nil"/>
        </w:rPr>
        <w:footnoteReference w:id="4"/>
      </w:r>
    </w:p>
    <w:p w14:paraId="76E5F105" w14:textId="758951B4" w:rsidR="00FC1430" w:rsidRPr="004B7955" w:rsidRDefault="00FC1430" w:rsidP="00FC1430">
      <w:pPr>
        <w:pStyle w:val="ListNumber2"/>
        <w:rPr>
          <w:bdr w:val="nil"/>
        </w:rPr>
      </w:pPr>
      <w:r w:rsidRPr="004B7955">
        <w:rPr>
          <w:bdr w:val="nil"/>
        </w:rPr>
        <w:t>Responsibilities cover areas such as the built environment, land strategy, planning policy, urban renewal, building policy, development and leasing applications, environment, water policy, heritage, nature parks, nature conservation, climate change</w:t>
      </w:r>
      <w:r w:rsidR="008D2C0A">
        <w:rPr>
          <w:bdr w:val="nil"/>
        </w:rPr>
        <w:t>,</w:t>
      </w:r>
      <w:r w:rsidRPr="004B7955">
        <w:rPr>
          <w:bdr w:val="nil"/>
        </w:rPr>
        <w:t xml:space="preserve"> and energy.</w:t>
      </w:r>
      <w:r>
        <w:rPr>
          <w:rStyle w:val="FootnoteReference"/>
          <w:bdr w:val="nil"/>
        </w:rPr>
        <w:footnoteReference w:id="5"/>
      </w:r>
    </w:p>
    <w:p w14:paraId="6E5C3EEE" w14:textId="77777777" w:rsidR="00FC1430" w:rsidRPr="004B7955" w:rsidRDefault="00FC1430" w:rsidP="00FC1430">
      <w:pPr>
        <w:pStyle w:val="ListNumber2"/>
        <w:rPr>
          <w:bdr w:val="nil"/>
        </w:rPr>
      </w:pPr>
      <w:r w:rsidRPr="004B7955">
        <w:rPr>
          <w:bdr w:val="nil"/>
        </w:rPr>
        <w:t xml:space="preserve">The </w:t>
      </w:r>
      <w:r>
        <w:rPr>
          <w:bdr w:val="nil"/>
        </w:rPr>
        <w:t>EPSDD</w:t>
      </w:r>
      <w:r w:rsidRPr="004B7955">
        <w:rPr>
          <w:bdr w:val="nil"/>
        </w:rPr>
        <w:t xml:space="preserve"> also provides corporate and governance support for the Suburban Land Agency (SLA) and the City Renewal Authority (CRA). When considered together, the </w:t>
      </w:r>
      <w:r>
        <w:rPr>
          <w:bdr w:val="nil"/>
        </w:rPr>
        <w:t>ESPDD</w:t>
      </w:r>
      <w:r w:rsidRPr="004B7955">
        <w:rPr>
          <w:bdr w:val="nil"/>
        </w:rPr>
        <w:t>, SLA and CRA are referred to as the EPSDD Portfolio.</w:t>
      </w:r>
      <w:r>
        <w:rPr>
          <w:rStyle w:val="FootnoteReference"/>
          <w:bdr w:val="nil"/>
        </w:rPr>
        <w:footnoteReference w:id="6"/>
      </w:r>
    </w:p>
    <w:p w14:paraId="50689471" w14:textId="3AFAF48C" w:rsidR="00B61BB2" w:rsidRDefault="00B61BB2" w:rsidP="00B61BB2">
      <w:pPr>
        <w:pStyle w:val="Heading2"/>
      </w:pPr>
      <w:bookmarkStart w:id="20" w:name="_Toc129350712"/>
      <w:r>
        <w:t>Minister for Planning and Land Management</w:t>
      </w:r>
      <w:r w:rsidR="0011205B">
        <w:t>—Administrative arrangements</w:t>
      </w:r>
      <w:bookmarkEnd w:id="20"/>
    </w:p>
    <w:p w14:paraId="5713A684" w14:textId="5F34BDAD" w:rsidR="00B61BB2" w:rsidRDefault="00B61BB2" w:rsidP="00B61BB2">
      <w:pPr>
        <w:pStyle w:val="ListNumber2"/>
      </w:pPr>
      <w:r>
        <w:t xml:space="preserve">The </w:t>
      </w:r>
      <w:r w:rsidR="0011205B">
        <w:t>Committee examined the following matters allocated to the Minister for Planning and Land Management</w:t>
      </w:r>
      <w:r w:rsidR="00F728CF">
        <w:t xml:space="preserve"> and EPSDD</w:t>
      </w:r>
      <w:r>
        <w:t>:</w:t>
      </w:r>
    </w:p>
    <w:p w14:paraId="27E7EC46" w14:textId="36EF8DCD" w:rsidR="00B61BB2" w:rsidRDefault="00B61BB2" w:rsidP="00B61BB2">
      <w:pPr>
        <w:pStyle w:val="ListBullet"/>
        <w:tabs>
          <w:tab w:val="clear" w:pos="360"/>
        </w:tabs>
        <w:ind w:hanging="340"/>
      </w:pPr>
      <w:r>
        <w:t>Government Architect;</w:t>
      </w:r>
    </w:p>
    <w:p w14:paraId="1F1FC6E5" w14:textId="7EA4D9CB" w:rsidR="00B61BB2" w:rsidRDefault="00B61BB2" w:rsidP="00B61BB2">
      <w:pPr>
        <w:pStyle w:val="ListBullet"/>
        <w:tabs>
          <w:tab w:val="clear" w:pos="360"/>
        </w:tabs>
        <w:ind w:hanging="340"/>
      </w:pPr>
      <w:r>
        <w:t>Land release policy</w:t>
      </w:r>
      <w:r w:rsidR="00235E54">
        <w:t xml:space="preserve"> (including the land release program);</w:t>
      </w:r>
    </w:p>
    <w:p w14:paraId="15444E37" w14:textId="30118F12" w:rsidR="00235E54" w:rsidRDefault="00235E54" w:rsidP="00B61BB2">
      <w:pPr>
        <w:pStyle w:val="ListBullet"/>
        <w:tabs>
          <w:tab w:val="clear" w:pos="360"/>
        </w:tabs>
        <w:ind w:hanging="340"/>
      </w:pPr>
      <w:r>
        <w:t>Parks and Conservation;</w:t>
      </w:r>
    </w:p>
    <w:p w14:paraId="2CAA6BC0" w14:textId="44E8BE7D" w:rsidR="00E36C1B" w:rsidRDefault="00E36C1B" w:rsidP="00B61BB2">
      <w:pPr>
        <w:pStyle w:val="ListBullet"/>
        <w:tabs>
          <w:tab w:val="clear" w:pos="360"/>
        </w:tabs>
        <w:ind w:hanging="340"/>
      </w:pPr>
      <w:r>
        <w:t>Planning and development;</w:t>
      </w:r>
    </w:p>
    <w:p w14:paraId="2FE08B37" w14:textId="0E604B1D" w:rsidR="00E36C1B" w:rsidRDefault="00E36C1B" w:rsidP="00B61BB2">
      <w:pPr>
        <w:pStyle w:val="ListBullet"/>
        <w:tabs>
          <w:tab w:val="clear" w:pos="360"/>
        </w:tabs>
        <w:ind w:hanging="340"/>
      </w:pPr>
      <w:r>
        <w:t>Planning and development enforcement policy;</w:t>
      </w:r>
    </w:p>
    <w:p w14:paraId="1F2E429F" w14:textId="60711EC7" w:rsidR="00E36C1B" w:rsidRDefault="00E36C1B" w:rsidP="00B61BB2">
      <w:pPr>
        <w:pStyle w:val="ListBullet"/>
        <w:tabs>
          <w:tab w:val="clear" w:pos="360"/>
        </w:tabs>
        <w:ind w:hanging="340"/>
      </w:pPr>
      <w:r>
        <w:t>Site identification and facilitation for major land and property projects;</w:t>
      </w:r>
    </w:p>
    <w:p w14:paraId="6EB69294" w14:textId="379DD6D9" w:rsidR="00E36C1B" w:rsidRDefault="00E36C1B" w:rsidP="00B61BB2">
      <w:pPr>
        <w:pStyle w:val="ListBullet"/>
        <w:tabs>
          <w:tab w:val="clear" w:pos="360"/>
        </w:tabs>
        <w:ind w:hanging="340"/>
      </w:pPr>
      <w:r>
        <w:t>Strategic land use; and</w:t>
      </w:r>
    </w:p>
    <w:p w14:paraId="3D4806CB" w14:textId="510813F1" w:rsidR="00E36C1B" w:rsidRDefault="00E36C1B" w:rsidP="00B61BB2">
      <w:pPr>
        <w:pStyle w:val="ListBullet"/>
        <w:tabs>
          <w:tab w:val="clear" w:pos="360"/>
        </w:tabs>
        <w:ind w:hanging="340"/>
      </w:pPr>
      <w:r>
        <w:t>Survey and leasing.</w:t>
      </w:r>
      <w:r>
        <w:rPr>
          <w:rStyle w:val="FootnoteReference"/>
        </w:rPr>
        <w:footnoteReference w:id="7"/>
      </w:r>
    </w:p>
    <w:p w14:paraId="075FF680" w14:textId="77777777" w:rsidR="00B61BB2" w:rsidRPr="00AD5C04" w:rsidRDefault="00B61BB2" w:rsidP="00B61BB2">
      <w:pPr>
        <w:pStyle w:val="Heading3"/>
      </w:pPr>
      <w:bookmarkStart w:id="21" w:name="_Toc129350713"/>
      <w:r w:rsidRPr="00AD5C04">
        <w:t>Matters considered</w:t>
      </w:r>
      <w:bookmarkEnd w:id="21"/>
    </w:p>
    <w:p w14:paraId="166FA3DB" w14:textId="1DFB8E61" w:rsidR="000048F7" w:rsidRDefault="00B61BB2" w:rsidP="000048F7">
      <w:pPr>
        <w:pStyle w:val="ListNumber2"/>
      </w:pPr>
      <w:r w:rsidRPr="00C04DBC">
        <w:t xml:space="preserve">During the </w:t>
      </w:r>
      <w:r w:rsidR="000048F7">
        <w:t>Minister for Planning and Land Management</w:t>
      </w:r>
      <w:r w:rsidR="00F728CF">
        <w:t>’s</w:t>
      </w:r>
      <w:r w:rsidRPr="00C04DBC">
        <w:t xml:space="preserve"> appearance before the Committee on </w:t>
      </w:r>
      <w:r w:rsidR="000048F7">
        <w:t>31 October</w:t>
      </w:r>
      <w:r w:rsidRPr="00C04DBC">
        <w:t xml:space="preserve"> 2022</w:t>
      </w:r>
      <w:r w:rsidR="00E36C1B">
        <w:t>,</w:t>
      </w:r>
      <w:r w:rsidRPr="00C04DBC">
        <w:t xml:space="preserve"> the following matters were considered</w:t>
      </w:r>
      <w:r w:rsidR="000048F7">
        <w:t>:</w:t>
      </w:r>
    </w:p>
    <w:p w14:paraId="4590DCAB" w14:textId="12122741" w:rsidR="00220A90" w:rsidRDefault="00E36C1B" w:rsidP="00E36C1B">
      <w:pPr>
        <w:pStyle w:val="ListBullet2"/>
      </w:pPr>
      <w:r>
        <w:t>Ngunnawal ranger funding initiative;</w:t>
      </w:r>
      <w:r>
        <w:rPr>
          <w:rStyle w:val="FootnoteReference"/>
        </w:rPr>
        <w:footnoteReference w:id="8"/>
      </w:r>
    </w:p>
    <w:p w14:paraId="5D7893C5" w14:textId="2B91B8FC" w:rsidR="00E36C1B" w:rsidRDefault="00E36C1B" w:rsidP="00E36C1B">
      <w:pPr>
        <w:pStyle w:val="ListBullet2"/>
      </w:pPr>
      <w:r>
        <w:t>Engagement with Indigenous people;</w:t>
      </w:r>
      <w:r>
        <w:rPr>
          <w:rStyle w:val="FootnoteReference"/>
        </w:rPr>
        <w:footnoteReference w:id="9"/>
      </w:r>
    </w:p>
    <w:p w14:paraId="61B268D2" w14:textId="0EB1126C" w:rsidR="00220A90" w:rsidRDefault="00220A90" w:rsidP="000048F7">
      <w:pPr>
        <w:pStyle w:val="ListBullet2"/>
      </w:pPr>
      <w:r>
        <w:lastRenderedPageBreak/>
        <w:t>C</w:t>
      </w:r>
      <w:r w:rsidR="00F15515">
        <w:t>ultural burning and water practices;</w:t>
      </w:r>
      <w:r w:rsidR="00F15515">
        <w:rPr>
          <w:rStyle w:val="FootnoteReference"/>
        </w:rPr>
        <w:footnoteReference w:id="10"/>
      </w:r>
    </w:p>
    <w:p w14:paraId="3A1C72B4" w14:textId="3037BF44" w:rsidR="00F15515" w:rsidRDefault="00F15515" w:rsidP="000048F7">
      <w:pPr>
        <w:pStyle w:val="ListBullet2"/>
      </w:pPr>
      <w:r>
        <w:t>Consultation with the Dhawura Ngunnawal Caring for Country Committee;</w:t>
      </w:r>
      <w:r>
        <w:rPr>
          <w:rStyle w:val="FootnoteReference"/>
        </w:rPr>
        <w:footnoteReference w:id="11"/>
      </w:r>
    </w:p>
    <w:p w14:paraId="65B1550A" w14:textId="339CC871" w:rsidR="00F15515" w:rsidRDefault="00F15515" w:rsidP="000048F7">
      <w:pPr>
        <w:pStyle w:val="ListBullet2"/>
      </w:pPr>
      <w:r>
        <w:t>Turnover rate for First Nations people working at EPSDD;</w:t>
      </w:r>
      <w:r w:rsidR="00EB78AC">
        <w:rPr>
          <w:rStyle w:val="FootnoteReference"/>
        </w:rPr>
        <w:footnoteReference w:id="12"/>
      </w:r>
    </w:p>
    <w:p w14:paraId="1E465C66" w14:textId="0B3CDD8E" w:rsidR="00F15515" w:rsidRDefault="00F15515" w:rsidP="000048F7">
      <w:pPr>
        <w:pStyle w:val="ListBullet2"/>
      </w:pPr>
      <w:r>
        <w:t>Fire management;</w:t>
      </w:r>
      <w:r w:rsidR="00EB78AC">
        <w:rPr>
          <w:rStyle w:val="FootnoteReference"/>
        </w:rPr>
        <w:footnoteReference w:id="13"/>
      </w:r>
    </w:p>
    <w:p w14:paraId="2043007D" w14:textId="7484E84C" w:rsidR="00F15515" w:rsidRDefault="00F15515" w:rsidP="000048F7">
      <w:pPr>
        <w:pStyle w:val="ListBullet2"/>
      </w:pPr>
      <w:r>
        <w:t>Consultation with Parks and Conservations Service for the Planning Bill 2022;</w:t>
      </w:r>
      <w:r w:rsidR="00EB78AC">
        <w:rPr>
          <w:rStyle w:val="FootnoteReference"/>
        </w:rPr>
        <w:footnoteReference w:id="14"/>
      </w:r>
    </w:p>
    <w:p w14:paraId="3E2E1C71" w14:textId="1A32A059" w:rsidR="00F15515" w:rsidRDefault="0099518F" w:rsidP="000048F7">
      <w:pPr>
        <w:pStyle w:val="ListBullet2"/>
      </w:pPr>
      <w:r>
        <w:t>Management objectives in the Planning Bill 2022;</w:t>
      </w:r>
      <w:r w:rsidR="00EB78AC">
        <w:rPr>
          <w:rStyle w:val="FootnoteReference"/>
        </w:rPr>
        <w:footnoteReference w:id="15"/>
      </w:r>
    </w:p>
    <w:p w14:paraId="6263C6E9" w14:textId="4CB8A9C5" w:rsidR="0099518F" w:rsidRDefault="0099518F" w:rsidP="000048F7">
      <w:pPr>
        <w:pStyle w:val="ListBullet2"/>
      </w:pPr>
      <w:r>
        <w:t>Bushfire recovery efforts in Namadgi National Park;</w:t>
      </w:r>
      <w:r w:rsidR="00EB78AC">
        <w:rPr>
          <w:rStyle w:val="FootnoteReference"/>
        </w:rPr>
        <w:footnoteReference w:id="16"/>
      </w:r>
    </w:p>
    <w:p w14:paraId="6BCEE070" w14:textId="15726CCF" w:rsidR="0099518F" w:rsidRDefault="0099518F" w:rsidP="000048F7">
      <w:pPr>
        <w:pStyle w:val="ListBullet2"/>
      </w:pPr>
      <w:r>
        <w:t>ACT Bushfire Recovery and Resilience Program 2021-24;</w:t>
      </w:r>
      <w:r w:rsidR="00EB78AC">
        <w:rPr>
          <w:rStyle w:val="FootnoteReference"/>
        </w:rPr>
        <w:footnoteReference w:id="17"/>
      </w:r>
    </w:p>
    <w:p w14:paraId="72DBBA3C" w14:textId="35616A71" w:rsidR="0099518F" w:rsidRDefault="00FD42EE" w:rsidP="000048F7">
      <w:pPr>
        <w:pStyle w:val="ListBullet2"/>
      </w:pPr>
      <w:r>
        <w:t>Road management at Namadgi National Park;</w:t>
      </w:r>
      <w:r w:rsidR="00EB78AC">
        <w:rPr>
          <w:rStyle w:val="FootnoteReference"/>
        </w:rPr>
        <w:footnoteReference w:id="18"/>
      </w:r>
    </w:p>
    <w:p w14:paraId="13B8EE0D" w14:textId="49D59BE0" w:rsidR="00FD42EE" w:rsidRDefault="00FD42EE" w:rsidP="000048F7">
      <w:pPr>
        <w:pStyle w:val="ListBullet2"/>
      </w:pPr>
      <w:r>
        <w:t>ACT Parks and Conservation depots;</w:t>
      </w:r>
      <w:r w:rsidR="00EB78AC">
        <w:rPr>
          <w:rStyle w:val="FootnoteReference"/>
        </w:rPr>
        <w:footnoteReference w:id="19"/>
      </w:r>
    </w:p>
    <w:p w14:paraId="5D68E89F" w14:textId="7BEEADCC" w:rsidR="00FD42EE" w:rsidRDefault="00FD42EE" w:rsidP="000048F7">
      <w:pPr>
        <w:pStyle w:val="ListBullet2"/>
      </w:pPr>
      <w:r>
        <w:t>Invasive species;</w:t>
      </w:r>
      <w:r w:rsidR="00EB78AC">
        <w:rPr>
          <w:rStyle w:val="FootnoteReference"/>
        </w:rPr>
        <w:footnoteReference w:id="20"/>
      </w:r>
      <w:r w:rsidR="00EB78AC">
        <w:t xml:space="preserve"> and</w:t>
      </w:r>
    </w:p>
    <w:p w14:paraId="717A025C" w14:textId="388FEDA8" w:rsidR="00FD42EE" w:rsidRDefault="00FD42EE" w:rsidP="000048F7">
      <w:pPr>
        <w:pStyle w:val="ListBullet2"/>
      </w:pPr>
      <w:r>
        <w:t>Electric vehicles</w:t>
      </w:r>
      <w:r w:rsidR="00EB78AC">
        <w:t>.</w:t>
      </w:r>
      <w:r w:rsidR="00EB78AC">
        <w:rPr>
          <w:rStyle w:val="FootnoteReference"/>
        </w:rPr>
        <w:footnoteReference w:id="21"/>
      </w:r>
    </w:p>
    <w:p w14:paraId="1434C81F" w14:textId="77777777" w:rsidR="00220A90" w:rsidRDefault="00220A90" w:rsidP="00220A90">
      <w:pPr>
        <w:pStyle w:val="Heading3"/>
      </w:pPr>
      <w:bookmarkStart w:id="22" w:name="_Toc129350714"/>
      <w:r w:rsidRPr="00AD5C04">
        <w:t>Key Issues</w:t>
      </w:r>
      <w:bookmarkEnd w:id="22"/>
    </w:p>
    <w:p w14:paraId="47EE08E8" w14:textId="649F284A" w:rsidR="00220A90" w:rsidRPr="00AD5C04" w:rsidRDefault="00E473BB" w:rsidP="00220A90">
      <w:pPr>
        <w:pStyle w:val="Heading4"/>
      </w:pPr>
      <w:r>
        <w:t xml:space="preserve">Retention </w:t>
      </w:r>
      <w:r w:rsidR="00D35C98">
        <w:t>rates of</w:t>
      </w:r>
      <w:r>
        <w:t xml:space="preserve"> </w:t>
      </w:r>
      <w:r w:rsidR="00C63047">
        <w:t xml:space="preserve">First Nations </w:t>
      </w:r>
      <w:r>
        <w:t>people</w:t>
      </w:r>
    </w:p>
    <w:p w14:paraId="521A9196" w14:textId="0764013F" w:rsidR="00277CBB" w:rsidRDefault="00277CBB" w:rsidP="00277CBB">
      <w:pPr>
        <w:pStyle w:val="ListNumber2"/>
      </w:pPr>
      <w:r>
        <w:t xml:space="preserve">According to the EPSDD’s annual and financial report 2021-22, the EPSDD have </w:t>
      </w:r>
      <w:r w:rsidR="008D2C0A">
        <w:t>‘</w:t>
      </w:r>
      <w:r>
        <w:t>continued to engage in initiatives to increase First Nations representation across the organisation</w:t>
      </w:r>
      <w:r w:rsidR="008D2C0A">
        <w:t>’</w:t>
      </w:r>
      <w:r>
        <w:t>, through programs such as the Mura Yardhura–Strong Pathway Program and First Nations/Ngunnawal Ranger Program.</w:t>
      </w:r>
      <w:r>
        <w:rPr>
          <w:rStyle w:val="FootnoteReference"/>
        </w:rPr>
        <w:footnoteReference w:id="22"/>
      </w:r>
    </w:p>
    <w:p w14:paraId="401701C9" w14:textId="3C442C2D" w:rsidR="00E473BB" w:rsidRDefault="005E40E8" w:rsidP="00220A90">
      <w:pPr>
        <w:pStyle w:val="ListNumber2"/>
      </w:pPr>
      <w:r>
        <w:t>During the public hearing on 31 October 2022, t</w:t>
      </w:r>
      <w:r w:rsidR="00C63047">
        <w:t xml:space="preserve">he </w:t>
      </w:r>
      <w:r w:rsidR="00E473BB">
        <w:t xml:space="preserve">Committee asked the Minister </w:t>
      </w:r>
      <w:r w:rsidR="00D35C98">
        <w:t xml:space="preserve">for Planning and Land Management </w:t>
      </w:r>
      <w:r w:rsidR="00E473BB">
        <w:t>whether there was any data on the turnover rate for Ngunnawal rangers working in the ACT Parks and Conservation Service, along with First Nations people working at EPSDD in general.</w:t>
      </w:r>
      <w:r w:rsidR="00D35C98">
        <w:rPr>
          <w:rStyle w:val="FootnoteReference"/>
        </w:rPr>
        <w:footnoteReference w:id="23"/>
      </w:r>
    </w:p>
    <w:p w14:paraId="383CC05A" w14:textId="478BDF3E" w:rsidR="00220A90" w:rsidRDefault="00E473BB" w:rsidP="00220A90">
      <w:pPr>
        <w:pStyle w:val="ListNumber2"/>
      </w:pPr>
      <w:r>
        <w:lastRenderedPageBreak/>
        <w:t xml:space="preserve">In his response, </w:t>
      </w:r>
      <w:r w:rsidR="00C63047">
        <w:t xml:space="preserve">Mr Bren Burkevics, Executive Group Manager of the Environment, Heritage and Water Unit at EPSDD, </w:t>
      </w:r>
      <w:r>
        <w:t>stated that</w:t>
      </w:r>
      <w:r w:rsidR="00277CBB">
        <w:t xml:space="preserve"> the Directorate has ‘not probably done analysis down to that level of detail’</w:t>
      </w:r>
      <w:r w:rsidR="00220A90">
        <w:t>:</w:t>
      </w:r>
      <w:r w:rsidR="00277CBB">
        <w:rPr>
          <w:rStyle w:val="FootnoteReference"/>
        </w:rPr>
        <w:footnoteReference w:id="24"/>
      </w:r>
    </w:p>
    <w:p w14:paraId="0DAC0D65" w14:textId="2E0C76CE" w:rsidR="00220A90" w:rsidRDefault="00C63047" w:rsidP="00C63047">
      <w:pPr>
        <w:pStyle w:val="Quote"/>
      </w:pPr>
      <w:r>
        <w:t>Typically when you are looking at turnover of staff, it is done at an organisational level. So I am not sure whether we would have the detail available to look at turnover. But I think much like good staff, there are always opportunities for staff to pursue their own career destinations and we support that where we can.</w:t>
      </w:r>
      <w:r>
        <w:rPr>
          <w:rStyle w:val="FootnoteReference"/>
        </w:rPr>
        <w:footnoteReference w:id="25"/>
      </w:r>
    </w:p>
    <w:p w14:paraId="1C8AA739" w14:textId="77777777" w:rsidR="00220A90" w:rsidRDefault="00220A90" w:rsidP="00220A90">
      <w:pPr>
        <w:pStyle w:val="Heading5"/>
      </w:pPr>
      <w:r>
        <w:t>Committee comment</w:t>
      </w:r>
    </w:p>
    <w:p w14:paraId="3ED474A9" w14:textId="59D40B3D" w:rsidR="0012402C" w:rsidRPr="00DB65A8" w:rsidRDefault="00736598" w:rsidP="00736598">
      <w:pPr>
        <w:pStyle w:val="ListNumber2"/>
      </w:pPr>
      <w:r>
        <w:t xml:space="preserve">While engagement and support of First Nations people have been broadly discussed with the Committee, there is little detail on what the support entails. </w:t>
      </w:r>
      <w:r w:rsidR="0012402C" w:rsidRPr="0012402C">
        <w:t>The Committee would therefore like to see more information</w:t>
      </w:r>
      <w:r w:rsidR="00D35C98">
        <w:t xml:space="preserve"> on</w:t>
      </w:r>
      <w:r w:rsidR="0012402C" w:rsidRPr="0012402C">
        <w:t xml:space="preserve"> the support that is intended to be provided</w:t>
      </w:r>
      <w:r w:rsidR="0012402C">
        <w:t xml:space="preserve"> to First Nations people</w:t>
      </w:r>
      <w:r w:rsidR="008C4A69">
        <w:t xml:space="preserve"> who have chosen a career with the ACT Government</w:t>
      </w:r>
      <w:r>
        <w:t>, through data collection o</w:t>
      </w:r>
      <w:r w:rsidR="008C4A69">
        <w:t>f</w:t>
      </w:r>
      <w:r>
        <w:t xml:space="preserve"> </w:t>
      </w:r>
      <w:r w:rsidR="00D35C98">
        <w:t>important job satisfaction indicators</w:t>
      </w:r>
      <w:r w:rsidR="005E0734">
        <w:t xml:space="preserve"> such as staff retention rates.</w:t>
      </w:r>
    </w:p>
    <w:tbl>
      <w:tblPr>
        <w:tblStyle w:val="Recommendationbox"/>
        <w:tblW w:w="0" w:type="auto"/>
        <w:tblLook w:val="04A0" w:firstRow="1" w:lastRow="0" w:firstColumn="1" w:lastColumn="0" w:noHBand="0" w:noVBand="1"/>
      </w:tblPr>
      <w:tblGrid>
        <w:gridCol w:w="8175"/>
      </w:tblGrid>
      <w:tr w:rsidR="00220A90" w14:paraId="7F9B8B53" w14:textId="77777777" w:rsidTr="00746FE7">
        <w:tc>
          <w:tcPr>
            <w:tcW w:w="7891" w:type="dxa"/>
          </w:tcPr>
          <w:p w14:paraId="78B17B89" w14:textId="77777777" w:rsidR="00220A90" w:rsidRDefault="00220A90" w:rsidP="00746FE7">
            <w:pPr>
              <w:pStyle w:val="Recommendationheading"/>
            </w:pPr>
            <w:bookmarkStart w:id="23" w:name="_Toc129350740"/>
            <w:r>
              <w:t xml:space="preserve">Recommendation </w:t>
            </w:r>
            <w:r>
              <w:fldChar w:fldCharType="begin"/>
            </w:r>
            <w:r>
              <w:instrText xml:space="preserve"> AUTONUMLGL \* Arabic\e </w:instrText>
            </w:r>
            <w:r>
              <w:fldChar w:fldCharType="end"/>
            </w:r>
            <w:bookmarkEnd w:id="23"/>
          </w:p>
          <w:p w14:paraId="4BDD3087" w14:textId="389DD6AC" w:rsidR="00220A90" w:rsidRPr="00AD5C04" w:rsidRDefault="00220A90" w:rsidP="00746FE7">
            <w:pPr>
              <w:pStyle w:val="Recommendationbody"/>
            </w:pPr>
            <w:bookmarkStart w:id="24" w:name="_Toc129350741"/>
            <w:r>
              <w:rPr>
                <w:rFonts w:ascii="Calibri-Bold" w:hAnsi="Calibri-Bold" w:cs="Calibri-Bold"/>
              </w:rPr>
              <w:t xml:space="preserve">The Committee recommends that the ACT Government </w:t>
            </w:r>
            <w:r w:rsidR="00C63047">
              <w:rPr>
                <w:rFonts w:ascii="Calibri-Bold" w:hAnsi="Calibri-Bold" w:cs="Calibri-Bold"/>
              </w:rPr>
              <w:t>review staff retention rates of First Nations people, and identify if there are any areas that the ACT Government could improve, to ensure First Nations people are ongoingly supported</w:t>
            </w:r>
            <w:r w:rsidR="00C2226A">
              <w:rPr>
                <w:rFonts w:ascii="Calibri-Bold" w:hAnsi="Calibri-Bold" w:cs="Calibri-Bold"/>
              </w:rPr>
              <w:t>.</w:t>
            </w:r>
            <w:bookmarkEnd w:id="24"/>
          </w:p>
        </w:tc>
      </w:tr>
    </w:tbl>
    <w:p w14:paraId="48924F42" w14:textId="1C511144" w:rsidR="00B933DA" w:rsidRPr="00AD5C04" w:rsidRDefault="00B933DA" w:rsidP="00B933DA">
      <w:pPr>
        <w:pStyle w:val="Heading4"/>
      </w:pPr>
      <w:bookmarkStart w:id="25" w:name="_Toc125037212"/>
      <w:bookmarkEnd w:id="18"/>
      <w:r>
        <w:t>Fire management</w:t>
      </w:r>
    </w:p>
    <w:p w14:paraId="67393275" w14:textId="35FABFBF" w:rsidR="006E511E" w:rsidRDefault="006E511E" w:rsidP="00B933DA">
      <w:pPr>
        <w:pStyle w:val="ListNumber2"/>
      </w:pPr>
      <w:r w:rsidRPr="006E511E">
        <w:t xml:space="preserve">The </w:t>
      </w:r>
      <w:r w:rsidR="00277CBB">
        <w:t xml:space="preserve">ACT </w:t>
      </w:r>
      <w:r w:rsidRPr="006E511E">
        <w:t>Parks and Conservation Service conducts a number of prescribed</w:t>
      </w:r>
      <w:r w:rsidR="00351172">
        <w:t xml:space="preserve"> </w:t>
      </w:r>
      <w:r w:rsidRPr="006E511E">
        <w:t xml:space="preserve">burns each year in and around urban and rural areas across </w:t>
      </w:r>
      <w:r w:rsidR="00351172">
        <w:t>the Territory</w:t>
      </w:r>
      <w:r w:rsidRPr="006E511E">
        <w:t xml:space="preserve"> and Googong Foreshore (NSW) to prepare for the upcoming fire season.</w:t>
      </w:r>
      <w:r w:rsidR="00351172">
        <w:rPr>
          <w:rStyle w:val="FootnoteReference"/>
        </w:rPr>
        <w:footnoteReference w:id="26"/>
      </w:r>
    </w:p>
    <w:p w14:paraId="2FF76487" w14:textId="620B5142" w:rsidR="00B933DA" w:rsidRDefault="00B933DA" w:rsidP="00B933DA">
      <w:pPr>
        <w:pStyle w:val="ListNumber2"/>
      </w:pPr>
      <w:r>
        <w:t>The Committee</w:t>
      </w:r>
      <w:r w:rsidR="00077EC7">
        <w:t xml:space="preserve"> asked the Minister</w:t>
      </w:r>
      <w:r w:rsidR="005E0734">
        <w:t xml:space="preserve"> for Planning and Land Management</w:t>
      </w:r>
      <w:r w:rsidR="00077EC7">
        <w:t xml:space="preserve"> whether the Territory looks to other jurisdictions in relation to hazard reduction burning and carbon abatement programs.</w:t>
      </w:r>
      <w:r w:rsidR="00077EC7">
        <w:rPr>
          <w:rStyle w:val="FootnoteReference"/>
        </w:rPr>
        <w:footnoteReference w:id="27"/>
      </w:r>
    </w:p>
    <w:p w14:paraId="3A15C5B4" w14:textId="40C14ED3" w:rsidR="00131F2C" w:rsidRDefault="00131F2C" w:rsidP="00131F2C">
      <w:pPr>
        <w:pStyle w:val="ListNumber2"/>
      </w:pPr>
      <w:r>
        <w:t xml:space="preserve">In his response, Mr Bren Burkevics, Executive Group Manager of the Environment, Heritage and Water Unit at EPSDD, stated that the ACT Government has been working closely </w:t>
      </w:r>
      <w:r w:rsidR="00D66EA7">
        <w:t>with other neighbouring jurisdictions</w:t>
      </w:r>
      <w:r>
        <w:t>:</w:t>
      </w:r>
    </w:p>
    <w:p w14:paraId="4185566E" w14:textId="27D56138" w:rsidR="00B933DA" w:rsidRDefault="00131F2C" w:rsidP="00131F2C">
      <w:pPr>
        <w:pStyle w:val="Quote"/>
      </w:pPr>
      <w:r>
        <w:t xml:space="preserve">So we are very tapped into what is happening across the country, we are a member of AFAC, which is the council of emergency agencies. So we are very much tapped into the arrangements that each of the jurisdictions is putting in place. We are in constant communication. We work very closely with New South Wales in particular. So all of our planning, all of our prescribed burning and all of </w:t>
      </w:r>
      <w:r>
        <w:lastRenderedPageBreak/>
        <w:t>our fuel management, happens hand in glove with the New South Wales parks and conservation service and with forestry agencies as well. So from a policy level, we are engaged but we also work very closely with our cross-border partners.</w:t>
      </w:r>
      <w:r w:rsidR="00D66EA7">
        <w:rPr>
          <w:rStyle w:val="FootnoteReference"/>
        </w:rPr>
        <w:footnoteReference w:id="28"/>
      </w:r>
    </w:p>
    <w:p w14:paraId="335187D0" w14:textId="77777777" w:rsidR="00B933DA" w:rsidRDefault="00B933DA" w:rsidP="00B933DA">
      <w:pPr>
        <w:pStyle w:val="Heading5"/>
      </w:pPr>
      <w:r>
        <w:t>Committee comment</w:t>
      </w:r>
    </w:p>
    <w:p w14:paraId="3CA53CF2" w14:textId="296358DB" w:rsidR="00CC7548" w:rsidRPr="00DB65A8" w:rsidRDefault="00D66EA7" w:rsidP="00CC7548">
      <w:pPr>
        <w:pStyle w:val="ListNumber2"/>
      </w:pPr>
      <w:r>
        <w:t xml:space="preserve">The Committee is pleased to see that the ACT Government is working </w:t>
      </w:r>
      <w:r w:rsidR="008A3011">
        <w:t>alongside other jurisdictions and the National Council for Fire and Emergency Services to manage hazard reduction burning in the Territory. The Committee would like for</w:t>
      </w:r>
      <w:r w:rsidR="00CC7548">
        <w:t xml:space="preserve"> </w:t>
      </w:r>
      <w:r w:rsidR="008A3011">
        <w:t xml:space="preserve">continued interactions not just with neighbouring </w:t>
      </w:r>
      <w:r w:rsidR="00CC7548">
        <w:t>jurisdictions but also nationwide, to ensure the Territory’s policies and procedures are best-practice</w:t>
      </w:r>
      <w:r w:rsidR="007D428A">
        <w:t xml:space="preserve"> and well-informed</w:t>
      </w:r>
      <w:r w:rsidR="00CC7548">
        <w:t>.</w:t>
      </w:r>
    </w:p>
    <w:tbl>
      <w:tblPr>
        <w:tblStyle w:val="Recommendationbox"/>
        <w:tblW w:w="0" w:type="auto"/>
        <w:tblLook w:val="04A0" w:firstRow="1" w:lastRow="0" w:firstColumn="1" w:lastColumn="0" w:noHBand="0" w:noVBand="1"/>
      </w:tblPr>
      <w:tblGrid>
        <w:gridCol w:w="8175"/>
      </w:tblGrid>
      <w:tr w:rsidR="00B933DA" w14:paraId="4BFED905" w14:textId="77777777" w:rsidTr="00561CEB">
        <w:tc>
          <w:tcPr>
            <w:tcW w:w="7891" w:type="dxa"/>
          </w:tcPr>
          <w:p w14:paraId="35F0C353" w14:textId="77777777" w:rsidR="00B933DA" w:rsidRDefault="00B933DA" w:rsidP="00561CEB">
            <w:pPr>
              <w:pStyle w:val="Recommendationheading"/>
            </w:pPr>
            <w:bookmarkStart w:id="26" w:name="_Toc129350742"/>
            <w:r>
              <w:t xml:space="preserve">Recommendation </w:t>
            </w:r>
            <w:r>
              <w:fldChar w:fldCharType="begin"/>
            </w:r>
            <w:r>
              <w:instrText xml:space="preserve"> AUTONUMLGL \* Arabic\e </w:instrText>
            </w:r>
            <w:r>
              <w:fldChar w:fldCharType="end"/>
            </w:r>
            <w:bookmarkEnd w:id="26"/>
          </w:p>
          <w:p w14:paraId="70822629" w14:textId="54A0C84A" w:rsidR="00B933DA" w:rsidRPr="00AD5C04" w:rsidRDefault="00B933DA" w:rsidP="00561CEB">
            <w:pPr>
              <w:pStyle w:val="Recommendationbody"/>
            </w:pPr>
            <w:bookmarkStart w:id="27" w:name="_Toc129350743"/>
            <w:r>
              <w:rPr>
                <w:rFonts w:ascii="Calibri-Bold" w:hAnsi="Calibri-Bold" w:cs="Calibri-Bold"/>
              </w:rPr>
              <w:t>The Committee recommends that the ACT Government examine other jurisdiction’s p</w:t>
            </w:r>
            <w:r w:rsidR="00077EC7">
              <w:rPr>
                <w:rFonts w:ascii="Calibri-Bold" w:hAnsi="Calibri-Bold" w:cs="Calibri-Bold"/>
              </w:rPr>
              <w:t>olic</w:t>
            </w:r>
            <w:r w:rsidR="00CC7548">
              <w:rPr>
                <w:rFonts w:ascii="Calibri-Bold" w:hAnsi="Calibri-Bold" w:cs="Calibri-Bold"/>
              </w:rPr>
              <w:t>ies</w:t>
            </w:r>
            <w:r w:rsidR="00077EC7">
              <w:rPr>
                <w:rFonts w:ascii="Calibri-Bold" w:hAnsi="Calibri-Bold" w:cs="Calibri-Bold"/>
              </w:rPr>
              <w:t xml:space="preserve"> and procedures</w:t>
            </w:r>
            <w:r>
              <w:rPr>
                <w:rFonts w:ascii="Calibri-Bold" w:hAnsi="Calibri-Bold" w:cs="Calibri-Bold"/>
              </w:rPr>
              <w:t xml:space="preserve"> for best-practice and innovative land management in relation to hazard reduction burns and fire abatement</w:t>
            </w:r>
            <w:r w:rsidR="00077EC7">
              <w:rPr>
                <w:rFonts w:ascii="Calibri-Bold" w:hAnsi="Calibri-Bold" w:cs="Calibri-Bold"/>
              </w:rPr>
              <w:t>, and offer training for EPSDD staff to expand their knowledge base</w:t>
            </w:r>
            <w:r w:rsidR="00C2226A">
              <w:rPr>
                <w:rFonts w:ascii="Calibri-Bold" w:hAnsi="Calibri-Bold" w:cs="Calibri-Bold"/>
              </w:rPr>
              <w:t>.</w:t>
            </w:r>
            <w:bookmarkEnd w:id="27"/>
          </w:p>
        </w:tc>
      </w:tr>
    </w:tbl>
    <w:p w14:paraId="5CFE641E" w14:textId="6B52E714" w:rsidR="005D3470" w:rsidRPr="00AD5C04" w:rsidRDefault="005D3470" w:rsidP="005D3470">
      <w:pPr>
        <w:pStyle w:val="Heading4"/>
      </w:pPr>
      <w:r>
        <w:t>Namadgi National Park bushfire recovery efforts</w:t>
      </w:r>
    </w:p>
    <w:p w14:paraId="2653A7F2" w14:textId="0E01871C" w:rsidR="005D3470" w:rsidRDefault="005E0734" w:rsidP="005D3470">
      <w:pPr>
        <w:pStyle w:val="ListNumber2"/>
      </w:pPr>
      <w:r w:rsidRPr="005E0734">
        <w:t>On 27 January 2020, the Orroral Valley fire swept through Namadgi burning a</w:t>
      </w:r>
      <w:r>
        <w:t>pproximately</w:t>
      </w:r>
      <w:r w:rsidRPr="005E0734">
        <w:t xml:space="preserve"> 80</w:t>
      </w:r>
      <w:r>
        <w:t> percent</w:t>
      </w:r>
      <w:r w:rsidRPr="005E0734">
        <w:t xml:space="preserve"> of Namadgi National Park (82,700 hectares) and 22</w:t>
      </w:r>
      <w:r>
        <w:t xml:space="preserve"> percent</w:t>
      </w:r>
      <w:r w:rsidRPr="005E0734">
        <w:t xml:space="preserve"> of Tidbinbilla Nature Reserve (1,444 hectares) and 3350 hectares of rural lands.</w:t>
      </w:r>
      <w:r w:rsidR="00351172">
        <w:t xml:space="preserve"> </w:t>
      </w:r>
      <w:r>
        <w:t>This resulted in</w:t>
      </w:r>
      <w:r w:rsidR="00A21C4E">
        <w:t>:</w:t>
      </w:r>
    </w:p>
    <w:p w14:paraId="7AFBBF77" w14:textId="5F13502D" w:rsidR="00A21C4E" w:rsidRDefault="00A21C4E" w:rsidP="00A21C4E">
      <w:pPr>
        <w:pStyle w:val="ListBullet"/>
      </w:pPr>
      <w:r>
        <w:t>direct impacts on cultural heritage (rock art, archaeological sites, stone arrangements, heritage trees, huts);</w:t>
      </w:r>
    </w:p>
    <w:p w14:paraId="26ED21F5" w14:textId="02961623" w:rsidR="00A21C4E" w:rsidRDefault="00A21C4E" w:rsidP="00A21C4E">
      <w:pPr>
        <w:pStyle w:val="ListBullet"/>
      </w:pPr>
      <w:r>
        <w:t>risks to public safety (damage to roads, walking tracks, dangerous trees);</w:t>
      </w:r>
    </w:p>
    <w:p w14:paraId="723C72DE" w14:textId="552CAEF4" w:rsidR="00A21C4E" w:rsidRDefault="00A21C4E" w:rsidP="00A21C4E">
      <w:pPr>
        <w:pStyle w:val="ListBullet"/>
      </w:pPr>
      <w:r>
        <w:t>impacts on threatened ecological communities (alpine bogs);</w:t>
      </w:r>
    </w:p>
    <w:p w14:paraId="140F97B3" w14:textId="146CA9CC" w:rsidR="00A21C4E" w:rsidRDefault="00A21C4E" w:rsidP="00A21C4E">
      <w:pPr>
        <w:pStyle w:val="ListBullet"/>
      </w:pPr>
      <w:r>
        <w:t>threats to biodiversity (predation, feral herbivores, invasive species);</w:t>
      </w:r>
    </w:p>
    <w:p w14:paraId="353B7AFB" w14:textId="50E63A9D" w:rsidR="00A21C4E" w:rsidRDefault="00A21C4E" w:rsidP="00A21C4E">
      <w:pPr>
        <w:pStyle w:val="ListBullet"/>
      </w:pPr>
      <w:r>
        <w:t>risks to biodiversity (water quality for aquatic species, large gliders, threatened flora and fauna, fire-sensitive communities, hollow-bearing trees, aquatic and riparian habitat);</w:t>
      </w:r>
    </w:p>
    <w:p w14:paraId="45E9B790" w14:textId="483B8EAB" w:rsidR="00A21C4E" w:rsidRDefault="00A21C4E" w:rsidP="00A21C4E">
      <w:pPr>
        <w:pStyle w:val="ListBullet"/>
      </w:pPr>
      <w:r>
        <w:t>impacts on water quality (sediments and nutrients in water catchments);</w:t>
      </w:r>
    </w:p>
    <w:p w14:paraId="3233FAFC" w14:textId="603BFE2E" w:rsidR="00A21C4E" w:rsidRDefault="00A21C4E" w:rsidP="00A21C4E">
      <w:pPr>
        <w:pStyle w:val="ListBullet"/>
      </w:pPr>
      <w:r>
        <w:t>hillslope erosion; and</w:t>
      </w:r>
    </w:p>
    <w:p w14:paraId="3DABE8B1" w14:textId="107CD47F" w:rsidR="00A21C4E" w:rsidRDefault="00A21C4E" w:rsidP="00A21C4E">
      <w:pPr>
        <w:pStyle w:val="ListBullet"/>
      </w:pPr>
      <w:r>
        <w:t>damage to assets, including those owned by rural landowners (fencing and visitor infrastructure).</w:t>
      </w:r>
      <w:r w:rsidR="006E511E">
        <w:rPr>
          <w:rStyle w:val="FootnoteReference"/>
        </w:rPr>
        <w:footnoteReference w:id="29"/>
      </w:r>
    </w:p>
    <w:p w14:paraId="2DF3B84D" w14:textId="366E3CD9" w:rsidR="001531AD" w:rsidRDefault="005D3470" w:rsidP="005D3470">
      <w:pPr>
        <w:pStyle w:val="ListNumber2"/>
      </w:pPr>
      <w:r>
        <w:lastRenderedPageBreak/>
        <w:t>The</w:t>
      </w:r>
      <w:r w:rsidR="00A21C4E">
        <w:t xml:space="preserve"> Committee was keen to hear an update on the ACT Bushfire and Flood Recovery Plan, in relation to access to the Namadgi National Park</w:t>
      </w:r>
      <w:r w:rsidR="00F3354D">
        <w:t xml:space="preserve">, and was told that the </w:t>
      </w:r>
      <w:r w:rsidR="00351172">
        <w:t xml:space="preserve">ACT </w:t>
      </w:r>
      <w:r w:rsidR="00F3354D">
        <w:t>Parks and Conservation Service are progressing the recovery of infrastructure:</w:t>
      </w:r>
    </w:p>
    <w:p w14:paraId="27C9957C" w14:textId="09D0A6E1" w:rsidR="004166A9" w:rsidRDefault="00F3354D" w:rsidP="00F3354D">
      <w:pPr>
        <w:pStyle w:val="Quote"/>
      </w:pPr>
      <w:r>
        <w:t>[W]e are prioritising roading and repair to our roading network at the moment and there is quite a bit of work underway.</w:t>
      </w:r>
    </w:p>
    <w:p w14:paraId="3AD85ADC" w14:textId="25CC2B29" w:rsidR="00F3354D" w:rsidRDefault="00D60A11" w:rsidP="00F3354D">
      <w:pPr>
        <w:pStyle w:val="Quote"/>
      </w:pPr>
      <w:r>
        <w:t>[A]</w:t>
      </w:r>
      <w:r w:rsidR="00F3354D">
        <w:t>t the moment, in terms of a lot of the activity, our number one priority at the moment is actually repairing our road network. So we are really in the response stage at the moment. We have got crews ready to get out and move very quickly to make sure that we are repairing the damage. So we have a range of sedimentation issues, we have creek blow outs as a result of the high rainfall, we have saturation of the catchment and we have serious building issues as well. So we have a significant body of work that we need to do to make sure that we can get to that point of access. As I say, we have the crews ready to go, we are just waiting for the drying conditions.</w:t>
      </w:r>
      <w:r w:rsidR="006E511E">
        <w:rPr>
          <w:rStyle w:val="FootnoteReference"/>
        </w:rPr>
        <w:footnoteReference w:id="30"/>
      </w:r>
    </w:p>
    <w:p w14:paraId="4EBDB226" w14:textId="638D3980" w:rsidR="00337E62" w:rsidRDefault="006E511E" w:rsidP="00337E62">
      <w:pPr>
        <w:pStyle w:val="ListNumber2"/>
      </w:pPr>
      <w:r>
        <w:t>Further</w:t>
      </w:r>
      <w:r w:rsidR="00337E62">
        <w:t>, Mr Bren Burkevics, Executive Group Manager of the Environment, Heritage and Water Unit at EPSDD, stated that</w:t>
      </w:r>
      <w:r>
        <w:t xml:space="preserve"> in partnership with the Commonwealth Government, there has been funding awarded to EPSDD to progress a strategic roads program</w:t>
      </w:r>
      <w:r w:rsidR="00337E62">
        <w:t>:</w:t>
      </w:r>
    </w:p>
    <w:p w14:paraId="412B27F2" w14:textId="2082DC1A" w:rsidR="00337E62" w:rsidRPr="00337E62" w:rsidRDefault="00561DD0" w:rsidP="00561DD0">
      <w:pPr>
        <w:pStyle w:val="Quote"/>
      </w:pPr>
      <w:r>
        <w:t xml:space="preserve">That will look at the condition of the roads, to what standard they have to be maintained and then, obviously, the costs associated with that standard. So there has been a project officer recruited who has commenced. That body of work is over a two-year period and the outcomes of that exercise will be presented to the minister for consideration about how to further strengthen the management of Namadgi </w:t>
      </w:r>
      <w:r w:rsidR="006E511E">
        <w:t xml:space="preserve">[National Park] </w:t>
      </w:r>
      <w:r>
        <w:t>and, in particular, the network of roads that are vital for public safety, emergency services and public access as well.</w:t>
      </w:r>
      <w:r w:rsidR="006E511E">
        <w:rPr>
          <w:rStyle w:val="FootnoteReference"/>
        </w:rPr>
        <w:footnoteReference w:id="31"/>
      </w:r>
    </w:p>
    <w:p w14:paraId="5D763663" w14:textId="7E73ED8A" w:rsidR="005D3470" w:rsidRDefault="005D3470" w:rsidP="00F3354D">
      <w:pPr>
        <w:pStyle w:val="Heading5"/>
      </w:pPr>
      <w:r>
        <w:t>Committee comment</w:t>
      </w:r>
    </w:p>
    <w:p w14:paraId="1B116842" w14:textId="237A4EAA" w:rsidR="005D3470" w:rsidRDefault="005D3470" w:rsidP="005D3470">
      <w:pPr>
        <w:pStyle w:val="ListNumber2"/>
      </w:pPr>
      <w:r w:rsidRPr="00DB65A8">
        <w:t xml:space="preserve">The Committee </w:t>
      </w:r>
      <w:r w:rsidR="00D60A11">
        <w:t xml:space="preserve">is pleased to see the </w:t>
      </w:r>
      <w:r w:rsidR="00561DD0">
        <w:t xml:space="preserve">bushfire </w:t>
      </w:r>
      <w:r w:rsidR="00D60A11">
        <w:t>recovery work</w:t>
      </w:r>
      <w:r w:rsidR="00561DD0">
        <w:t xml:space="preserve"> that</w:t>
      </w:r>
      <w:r w:rsidR="00D60A11">
        <w:t xml:space="preserve"> is continuing </w:t>
      </w:r>
      <w:r w:rsidR="00561DD0">
        <w:t>in</w:t>
      </w:r>
      <w:r w:rsidR="00D60A11">
        <w:t xml:space="preserve"> Namadgi National Park</w:t>
      </w:r>
      <w:r w:rsidR="00561DD0">
        <w:t xml:space="preserve"> and</w:t>
      </w:r>
      <w:r w:rsidR="00D60A11">
        <w:t xml:space="preserve"> would </w:t>
      </w:r>
      <w:r w:rsidR="00561DD0">
        <w:t>like</w:t>
      </w:r>
      <w:r w:rsidR="00D60A11">
        <w:t xml:space="preserve"> for the ACT Government </w:t>
      </w:r>
      <w:r w:rsidR="0078374C">
        <w:t xml:space="preserve">to advise </w:t>
      </w:r>
      <w:r w:rsidR="00561DD0">
        <w:t>the projected dates for when the roads at Namadgi National Park are repaired and when there will be full public access again</w:t>
      </w:r>
      <w:r w:rsidR="006E511E">
        <w:t>.</w:t>
      </w:r>
    </w:p>
    <w:tbl>
      <w:tblPr>
        <w:tblStyle w:val="Recommendationbox"/>
        <w:tblW w:w="0" w:type="auto"/>
        <w:tblLook w:val="04A0" w:firstRow="1" w:lastRow="0" w:firstColumn="1" w:lastColumn="0" w:noHBand="0" w:noVBand="1"/>
      </w:tblPr>
      <w:tblGrid>
        <w:gridCol w:w="8175"/>
      </w:tblGrid>
      <w:tr w:rsidR="004562D4" w14:paraId="3734EB22" w14:textId="77777777" w:rsidTr="00DC4BCC">
        <w:tc>
          <w:tcPr>
            <w:tcW w:w="7891" w:type="dxa"/>
          </w:tcPr>
          <w:p w14:paraId="0D6DE952" w14:textId="77777777" w:rsidR="004562D4" w:rsidRDefault="004562D4" w:rsidP="00DC4BCC">
            <w:pPr>
              <w:pStyle w:val="Recommendationheading"/>
            </w:pPr>
            <w:bookmarkStart w:id="28" w:name="_Toc119420197"/>
            <w:bookmarkStart w:id="29" w:name="_Toc129350744"/>
            <w:r>
              <w:t xml:space="preserve">Recommendation </w:t>
            </w:r>
            <w:r>
              <w:fldChar w:fldCharType="begin"/>
            </w:r>
            <w:r>
              <w:instrText xml:space="preserve"> AUTONUMLGL \* Arabic\e </w:instrText>
            </w:r>
            <w:r>
              <w:fldChar w:fldCharType="end"/>
            </w:r>
            <w:bookmarkEnd w:id="28"/>
            <w:bookmarkEnd w:id="29"/>
          </w:p>
          <w:p w14:paraId="4C9C9E98" w14:textId="3CC9D3FA" w:rsidR="004562D4" w:rsidRDefault="004562D4" w:rsidP="00DC4BCC">
            <w:pPr>
              <w:pStyle w:val="Recommendationbody"/>
            </w:pPr>
            <w:bookmarkStart w:id="30" w:name="_Toc119420198"/>
            <w:bookmarkStart w:id="31" w:name="_Toc129350745"/>
            <w:r>
              <w:t xml:space="preserve">The Committee recommends that the ACT Government </w:t>
            </w:r>
            <w:bookmarkEnd w:id="30"/>
            <w:r>
              <w:t>advise the projected date for when:</w:t>
            </w:r>
            <w:bookmarkEnd w:id="31"/>
          </w:p>
          <w:p w14:paraId="2F7D02B7" w14:textId="1185864A" w:rsidR="004562D4" w:rsidRDefault="004562D4" w:rsidP="004562D4">
            <w:pPr>
              <w:pStyle w:val="Recommendationbody"/>
              <w:numPr>
                <w:ilvl w:val="0"/>
                <w:numId w:val="33"/>
              </w:numPr>
            </w:pPr>
            <w:bookmarkStart w:id="32" w:name="_Toc119420199"/>
            <w:bookmarkStart w:id="33" w:name="_Toc129350746"/>
            <w:r>
              <w:t>all roads at Namadgi National Park and repaired;</w:t>
            </w:r>
            <w:bookmarkEnd w:id="32"/>
            <w:r>
              <w:t xml:space="preserve"> and</w:t>
            </w:r>
            <w:bookmarkEnd w:id="33"/>
          </w:p>
          <w:p w14:paraId="00722CFF" w14:textId="79872FB1" w:rsidR="004562D4" w:rsidRPr="00467D5B" w:rsidRDefault="004562D4" w:rsidP="004562D4">
            <w:pPr>
              <w:pStyle w:val="Recommendationbody"/>
              <w:numPr>
                <w:ilvl w:val="0"/>
                <w:numId w:val="33"/>
              </w:numPr>
            </w:pPr>
            <w:bookmarkStart w:id="34" w:name="_Toc129350747"/>
            <w:r>
              <w:t>full public access will be restored to Namadgi National Park.</w:t>
            </w:r>
            <w:bookmarkEnd w:id="34"/>
          </w:p>
        </w:tc>
      </w:tr>
    </w:tbl>
    <w:p w14:paraId="0C6C6A30" w14:textId="7150C62E" w:rsidR="006060F4" w:rsidRDefault="006060F4" w:rsidP="006060F4">
      <w:pPr>
        <w:pStyle w:val="Heading2"/>
      </w:pPr>
      <w:bookmarkStart w:id="35" w:name="_Toc129350715"/>
      <w:r>
        <w:lastRenderedPageBreak/>
        <w:t>Minister for the Environment—Administrative arrangements</w:t>
      </w:r>
      <w:bookmarkEnd w:id="35"/>
    </w:p>
    <w:p w14:paraId="36327C6B" w14:textId="7B7AB3AC" w:rsidR="006060F4" w:rsidRDefault="006060F4" w:rsidP="006060F4">
      <w:pPr>
        <w:pStyle w:val="ListNumber2"/>
      </w:pPr>
      <w:r>
        <w:t>The Committee examined the following matters allocated to the Minister for the Environment</w:t>
      </w:r>
      <w:r w:rsidR="00DF0F6B">
        <w:t xml:space="preserve"> and EPSDD</w:t>
      </w:r>
      <w:r>
        <w:t>:</w:t>
      </w:r>
    </w:p>
    <w:p w14:paraId="49DBEB90" w14:textId="77777777" w:rsidR="006060F4" w:rsidRDefault="006060F4" w:rsidP="006060F4">
      <w:pPr>
        <w:pStyle w:val="ListBullet"/>
        <w:tabs>
          <w:tab w:val="clear" w:pos="360"/>
        </w:tabs>
        <w:ind w:hanging="340"/>
      </w:pPr>
      <w:r>
        <w:t>Agriculture;</w:t>
      </w:r>
    </w:p>
    <w:p w14:paraId="14E8D339" w14:textId="77777777" w:rsidR="006060F4" w:rsidRDefault="006060F4" w:rsidP="006060F4">
      <w:pPr>
        <w:pStyle w:val="ListBullet"/>
        <w:tabs>
          <w:tab w:val="clear" w:pos="360"/>
        </w:tabs>
        <w:ind w:hanging="340"/>
      </w:pPr>
      <w:r>
        <w:t>Biodiversity policy;</w:t>
      </w:r>
    </w:p>
    <w:p w14:paraId="42FBF85D" w14:textId="77777777" w:rsidR="006060F4" w:rsidRDefault="006060F4" w:rsidP="006060F4">
      <w:pPr>
        <w:pStyle w:val="ListBullet"/>
        <w:tabs>
          <w:tab w:val="clear" w:pos="360"/>
        </w:tabs>
        <w:ind w:hanging="340"/>
      </w:pPr>
      <w:r>
        <w:t>ACT Commissioner for Sustainability and the Environment;</w:t>
      </w:r>
    </w:p>
    <w:p w14:paraId="5773ECA3" w14:textId="77777777" w:rsidR="006060F4" w:rsidRDefault="006060F4" w:rsidP="006060F4">
      <w:pPr>
        <w:pStyle w:val="ListBullet"/>
        <w:tabs>
          <w:tab w:val="clear" w:pos="360"/>
        </w:tabs>
        <w:ind w:hanging="340"/>
      </w:pPr>
      <w:r>
        <w:t>Conservation and promotion of native flora and fauna;</w:t>
      </w:r>
    </w:p>
    <w:p w14:paraId="154A15CA" w14:textId="77777777" w:rsidR="006060F4" w:rsidRDefault="006060F4" w:rsidP="006060F4">
      <w:pPr>
        <w:pStyle w:val="ListBullet"/>
        <w:tabs>
          <w:tab w:val="clear" w:pos="360"/>
        </w:tabs>
        <w:ind w:hanging="340"/>
      </w:pPr>
      <w:r>
        <w:t>Environment protection policy;</w:t>
      </w:r>
    </w:p>
    <w:p w14:paraId="5632A16D" w14:textId="77777777" w:rsidR="006060F4" w:rsidRDefault="006060F4" w:rsidP="006060F4">
      <w:pPr>
        <w:pStyle w:val="ListBullet"/>
        <w:tabs>
          <w:tab w:val="clear" w:pos="360"/>
        </w:tabs>
        <w:ind w:hanging="340"/>
      </w:pPr>
      <w:r>
        <w:t>Native animal welfare;</w:t>
      </w:r>
    </w:p>
    <w:p w14:paraId="6F67B187" w14:textId="77777777" w:rsidR="006060F4" w:rsidRDefault="006060F4" w:rsidP="006060F4">
      <w:pPr>
        <w:pStyle w:val="ListBullet"/>
        <w:tabs>
          <w:tab w:val="clear" w:pos="360"/>
        </w:tabs>
        <w:ind w:hanging="340"/>
      </w:pPr>
      <w:r>
        <w:t>Pest, weed and feral animal management policy;</w:t>
      </w:r>
    </w:p>
    <w:p w14:paraId="78128D90" w14:textId="77777777" w:rsidR="006060F4" w:rsidRDefault="006060F4" w:rsidP="006060F4">
      <w:pPr>
        <w:pStyle w:val="ListBullet"/>
        <w:tabs>
          <w:tab w:val="clear" w:pos="360"/>
        </w:tabs>
        <w:ind w:hanging="340"/>
      </w:pPr>
      <w:r>
        <w:t>Support to the Conservator of Flora and Fauna; and</w:t>
      </w:r>
    </w:p>
    <w:p w14:paraId="7ACDC186" w14:textId="77777777" w:rsidR="006060F4" w:rsidRDefault="006060F4" w:rsidP="006060F4">
      <w:pPr>
        <w:pStyle w:val="ListBullet"/>
        <w:tabs>
          <w:tab w:val="clear" w:pos="360"/>
        </w:tabs>
        <w:ind w:hanging="340"/>
      </w:pPr>
      <w:r>
        <w:t>Urban agriculture policy.</w:t>
      </w:r>
      <w:r>
        <w:rPr>
          <w:rStyle w:val="FootnoteReference"/>
        </w:rPr>
        <w:footnoteReference w:id="32"/>
      </w:r>
    </w:p>
    <w:p w14:paraId="10D533FB" w14:textId="109C4EC9" w:rsidR="006060F4" w:rsidRDefault="006060F4" w:rsidP="006060F4">
      <w:pPr>
        <w:pStyle w:val="Heading2"/>
      </w:pPr>
      <w:bookmarkStart w:id="36" w:name="_Toc129350716"/>
      <w:r>
        <w:t>Minister for Heritage—Administrative arrangements</w:t>
      </w:r>
      <w:bookmarkEnd w:id="36"/>
    </w:p>
    <w:p w14:paraId="5E37D70F" w14:textId="7C942B41" w:rsidR="006060F4" w:rsidRDefault="006060F4" w:rsidP="006060F4">
      <w:pPr>
        <w:pStyle w:val="ListNumber2"/>
      </w:pPr>
      <w:r>
        <w:t>The Committee examined the following matters allocated to the Minister for Heritage</w:t>
      </w:r>
      <w:r w:rsidR="00DF0F6B">
        <w:t xml:space="preserve"> and EPSDD</w:t>
      </w:r>
      <w:r>
        <w:t>:</w:t>
      </w:r>
    </w:p>
    <w:p w14:paraId="632C36CC" w14:textId="4E38AE75" w:rsidR="006060F4" w:rsidRDefault="006060F4" w:rsidP="006060F4">
      <w:pPr>
        <w:pStyle w:val="ListBullet"/>
        <w:tabs>
          <w:tab w:val="clear" w:pos="360"/>
        </w:tabs>
        <w:ind w:hanging="340"/>
      </w:pPr>
      <w:r>
        <w:t>Heritage.</w:t>
      </w:r>
      <w:r>
        <w:rPr>
          <w:rStyle w:val="FootnoteReference"/>
        </w:rPr>
        <w:footnoteReference w:id="33"/>
      </w:r>
    </w:p>
    <w:p w14:paraId="04B2F2C0" w14:textId="77777777" w:rsidR="006060F4" w:rsidRPr="00AD5C04" w:rsidRDefault="006060F4" w:rsidP="006060F4">
      <w:pPr>
        <w:pStyle w:val="Heading3"/>
      </w:pPr>
      <w:bookmarkStart w:id="37" w:name="_Toc129350717"/>
      <w:r w:rsidRPr="00AD5C04">
        <w:t>Matters considered</w:t>
      </w:r>
      <w:bookmarkEnd w:id="37"/>
    </w:p>
    <w:p w14:paraId="60175FC7" w14:textId="0A929356" w:rsidR="006060F4" w:rsidRDefault="006060F4" w:rsidP="006060F4">
      <w:pPr>
        <w:pStyle w:val="ListNumber2"/>
      </w:pPr>
      <w:r w:rsidRPr="00C04DBC">
        <w:t xml:space="preserve">During the </w:t>
      </w:r>
      <w:r>
        <w:t>Minister for the Environment and Minister for Heritage’s</w:t>
      </w:r>
      <w:r w:rsidRPr="00C04DBC">
        <w:t xml:space="preserve"> appearance before the Committee on </w:t>
      </w:r>
      <w:r>
        <w:t>1 November</w:t>
      </w:r>
      <w:r w:rsidRPr="00C04DBC">
        <w:t xml:space="preserve"> 2022</w:t>
      </w:r>
      <w:r>
        <w:t>,</w:t>
      </w:r>
      <w:r w:rsidRPr="00C04DBC">
        <w:t xml:space="preserve"> the following matters were considered</w:t>
      </w:r>
      <w:r>
        <w:t>:</w:t>
      </w:r>
    </w:p>
    <w:p w14:paraId="7BC23FB0" w14:textId="67A33038" w:rsidR="006060F4" w:rsidRDefault="00464078" w:rsidP="006060F4">
      <w:pPr>
        <w:pStyle w:val="ListBullet2"/>
      </w:pPr>
      <w:r>
        <w:t>Heritage versus end-of-life in buildings</w:t>
      </w:r>
      <w:r w:rsidR="006060F4">
        <w:t>;</w:t>
      </w:r>
      <w:r w:rsidR="006060F4">
        <w:rPr>
          <w:rStyle w:val="FootnoteReference"/>
        </w:rPr>
        <w:footnoteReference w:id="34"/>
      </w:r>
    </w:p>
    <w:p w14:paraId="66124071" w14:textId="77F1677D" w:rsidR="006060F4" w:rsidRDefault="00464078" w:rsidP="006060F4">
      <w:pPr>
        <w:pStyle w:val="ListBullet2"/>
      </w:pPr>
      <w:r>
        <w:t>Heritage-listed buildings</w:t>
      </w:r>
      <w:r w:rsidR="006060F4">
        <w:t>;</w:t>
      </w:r>
      <w:r w:rsidR="006060F4">
        <w:rPr>
          <w:rStyle w:val="FootnoteReference"/>
        </w:rPr>
        <w:footnoteReference w:id="35"/>
      </w:r>
    </w:p>
    <w:p w14:paraId="031C3168" w14:textId="2DC4233E" w:rsidR="00464078" w:rsidRDefault="00464078" w:rsidP="006060F4">
      <w:pPr>
        <w:pStyle w:val="ListBullet2"/>
      </w:pPr>
      <w:r>
        <w:t>Conservation management plan for Callam Offices;</w:t>
      </w:r>
      <w:r w:rsidR="00312D0B">
        <w:rPr>
          <w:rStyle w:val="FootnoteReference"/>
        </w:rPr>
        <w:footnoteReference w:id="36"/>
      </w:r>
    </w:p>
    <w:p w14:paraId="20BF2BBD" w14:textId="6ACC77F2" w:rsidR="00464078" w:rsidRDefault="00464078" w:rsidP="006060F4">
      <w:pPr>
        <w:pStyle w:val="ListBullet2"/>
      </w:pPr>
      <w:r>
        <w:t>ACT Government asset ownership;</w:t>
      </w:r>
      <w:r w:rsidR="00312D0B">
        <w:rPr>
          <w:rStyle w:val="FootnoteReference"/>
        </w:rPr>
        <w:footnoteReference w:id="37"/>
      </w:r>
    </w:p>
    <w:p w14:paraId="1B71D7D4" w14:textId="6EF06ABF" w:rsidR="00464078" w:rsidRDefault="00464078" w:rsidP="006060F4">
      <w:pPr>
        <w:pStyle w:val="ListBullet2"/>
      </w:pPr>
      <w:r>
        <w:t>Private heritage properties;</w:t>
      </w:r>
      <w:r w:rsidR="00312D0B">
        <w:rPr>
          <w:rStyle w:val="FootnoteReference"/>
        </w:rPr>
        <w:footnoteReference w:id="38"/>
      </w:r>
    </w:p>
    <w:p w14:paraId="4EE49F6A" w14:textId="689848D6" w:rsidR="00464078" w:rsidRDefault="00464078" w:rsidP="006060F4">
      <w:pPr>
        <w:pStyle w:val="ListBullet2"/>
      </w:pPr>
      <w:r>
        <w:lastRenderedPageBreak/>
        <w:t>First Nations heritage;</w:t>
      </w:r>
      <w:r w:rsidR="00312D0B">
        <w:rPr>
          <w:rStyle w:val="FootnoteReference"/>
        </w:rPr>
        <w:footnoteReference w:id="39"/>
      </w:r>
    </w:p>
    <w:p w14:paraId="64BF90BB" w14:textId="78D83E8A" w:rsidR="00464078" w:rsidRDefault="00E1592A" w:rsidP="006060F4">
      <w:pPr>
        <w:pStyle w:val="ListBullet2"/>
      </w:pPr>
      <w:r>
        <w:t>Heritage g</w:t>
      </w:r>
      <w:r w:rsidR="00464078">
        <w:t>rant application</w:t>
      </w:r>
      <w:r>
        <w:t>s;</w:t>
      </w:r>
      <w:r w:rsidR="00312D0B">
        <w:rPr>
          <w:rStyle w:val="FootnoteReference"/>
        </w:rPr>
        <w:footnoteReference w:id="40"/>
      </w:r>
    </w:p>
    <w:p w14:paraId="132B39B1" w14:textId="5DA470A1" w:rsidR="00E1592A" w:rsidRDefault="00E1592A" w:rsidP="006060F4">
      <w:pPr>
        <w:pStyle w:val="ListBullet2"/>
      </w:pPr>
      <w:r>
        <w:t>Independent review into the ACT Heritage Council;</w:t>
      </w:r>
      <w:r w:rsidR="00312D0B">
        <w:rPr>
          <w:rStyle w:val="FootnoteReference"/>
        </w:rPr>
        <w:footnoteReference w:id="41"/>
      </w:r>
    </w:p>
    <w:p w14:paraId="6E3FC630" w14:textId="3C866557" w:rsidR="00E1592A" w:rsidRDefault="00E1592A" w:rsidP="006060F4">
      <w:pPr>
        <w:pStyle w:val="ListBullet2"/>
      </w:pPr>
      <w:r>
        <w:t>License arrangements;</w:t>
      </w:r>
      <w:r w:rsidR="00312D0B">
        <w:rPr>
          <w:rStyle w:val="FootnoteReference"/>
        </w:rPr>
        <w:footnoteReference w:id="42"/>
      </w:r>
    </w:p>
    <w:p w14:paraId="49E6D34A" w14:textId="08989A03" w:rsidR="00E1592A" w:rsidRDefault="00E1592A" w:rsidP="006060F4">
      <w:pPr>
        <w:pStyle w:val="ListBullet2"/>
      </w:pPr>
      <w:r>
        <w:t xml:space="preserve">Biosecurity </w:t>
      </w:r>
      <w:r w:rsidR="000759E3">
        <w:t>R</w:t>
      </w:r>
      <w:r>
        <w:t xml:space="preserve">apid </w:t>
      </w:r>
      <w:r w:rsidR="000759E3">
        <w:t>R</w:t>
      </w:r>
      <w:r>
        <w:t xml:space="preserve">esponse </w:t>
      </w:r>
      <w:r w:rsidR="000759E3">
        <w:t>T</w:t>
      </w:r>
      <w:r>
        <w:t>eam;</w:t>
      </w:r>
      <w:r w:rsidR="00312D0B">
        <w:rPr>
          <w:rStyle w:val="FootnoteReference"/>
        </w:rPr>
        <w:footnoteReference w:id="43"/>
      </w:r>
    </w:p>
    <w:p w14:paraId="66545195" w14:textId="0535880A" w:rsidR="00E1592A" w:rsidRDefault="00E1592A" w:rsidP="006060F4">
      <w:pPr>
        <w:pStyle w:val="ListBullet2"/>
      </w:pPr>
      <w:r>
        <w:t>Weeds entering the ACT;</w:t>
      </w:r>
      <w:r w:rsidR="00312D0B">
        <w:rPr>
          <w:rStyle w:val="FootnoteReference"/>
        </w:rPr>
        <w:footnoteReference w:id="44"/>
      </w:r>
    </w:p>
    <w:p w14:paraId="635EFD41" w14:textId="7470996A" w:rsidR="00E1592A" w:rsidRDefault="00E1592A" w:rsidP="006060F4">
      <w:pPr>
        <w:pStyle w:val="ListBullet2"/>
      </w:pPr>
      <w:r>
        <w:t>Weed management practices;</w:t>
      </w:r>
      <w:r w:rsidR="00312D0B">
        <w:rPr>
          <w:rStyle w:val="FootnoteReference"/>
        </w:rPr>
        <w:footnoteReference w:id="45"/>
      </w:r>
    </w:p>
    <w:p w14:paraId="58059B46" w14:textId="0A0E7799" w:rsidR="00E1592A" w:rsidRDefault="00E1592A" w:rsidP="006060F4">
      <w:pPr>
        <w:pStyle w:val="ListBullet2"/>
      </w:pPr>
      <w:r>
        <w:t>Invasive species in the ACT;</w:t>
      </w:r>
      <w:r w:rsidR="00312D0B">
        <w:rPr>
          <w:rStyle w:val="FootnoteReference"/>
        </w:rPr>
        <w:footnoteReference w:id="46"/>
      </w:r>
    </w:p>
    <w:p w14:paraId="55BDEFA4" w14:textId="380974C6" w:rsidR="00E1592A" w:rsidRDefault="00E1592A" w:rsidP="006060F4">
      <w:pPr>
        <w:pStyle w:val="ListBullet2"/>
      </w:pPr>
      <w:r>
        <w:t>Threatened species recovery;</w:t>
      </w:r>
      <w:r w:rsidR="00312D0B">
        <w:rPr>
          <w:rStyle w:val="FootnoteReference"/>
        </w:rPr>
        <w:footnoteReference w:id="47"/>
      </w:r>
    </w:p>
    <w:p w14:paraId="3A8933B1" w14:textId="31B1B88A" w:rsidR="00E1592A" w:rsidRDefault="00E1592A" w:rsidP="006060F4">
      <w:pPr>
        <w:pStyle w:val="ListBullet2"/>
      </w:pPr>
      <w:r>
        <w:t>Urban sprawl;</w:t>
      </w:r>
      <w:r w:rsidR="00312D0B">
        <w:rPr>
          <w:rStyle w:val="FootnoteReference"/>
        </w:rPr>
        <w:footnoteReference w:id="48"/>
      </w:r>
    </w:p>
    <w:p w14:paraId="2DBBD70F" w14:textId="6621C854" w:rsidR="00E1592A" w:rsidRDefault="005D29FC" w:rsidP="006060F4">
      <w:pPr>
        <w:pStyle w:val="ListBullet2"/>
      </w:pPr>
      <w:r>
        <w:t>Ecosystem condition in the ACT;</w:t>
      </w:r>
      <w:r w:rsidR="00312D0B">
        <w:rPr>
          <w:rStyle w:val="FootnoteReference"/>
        </w:rPr>
        <w:footnoteReference w:id="49"/>
      </w:r>
    </w:p>
    <w:p w14:paraId="7DA57F4A" w14:textId="7E77DAFA" w:rsidR="005D29FC" w:rsidRDefault="005D29FC" w:rsidP="006060F4">
      <w:pPr>
        <w:pStyle w:val="ListBullet2"/>
      </w:pPr>
      <w:r>
        <w:t>Wombat portal;</w:t>
      </w:r>
      <w:r w:rsidR="00312D0B">
        <w:rPr>
          <w:rStyle w:val="FootnoteReference"/>
        </w:rPr>
        <w:footnoteReference w:id="50"/>
      </w:r>
    </w:p>
    <w:p w14:paraId="4213DE9C" w14:textId="7716E3A5" w:rsidR="005D29FC" w:rsidRDefault="005D29FC" w:rsidP="006060F4">
      <w:pPr>
        <w:pStyle w:val="ListBullet2"/>
      </w:pPr>
      <w:r>
        <w:t>Wombat mange;</w:t>
      </w:r>
      <w:r w:rsidR="00312D0B">
        <w:rPr>
          <w:rStyle w:val="FootnoteReference"/>
        </w:rPr>
        <w:footnoteReference w:id="51"/>
      </w:r>
    </w:p>
    <w:p w14:paraId="0B64FF7E" w14:textId="41B9C8C5" w:rsidR="005D29FC" w:rsidRDefault="000C635C" w:rsidP="006060F4">
      <w:pPr>
        <w:pStyle w:val="ListBullet2"/>
      </w:pPr>
      <w:r w:rsidRPr="000C635C">
        <w:rPr>
          <w:i/>
          <w:iCs/>
        </w:rPr>
        <w:t>2019 State of the environment</w:t>
      </w:r>
      <w:r>
        <w:t xml:space="preserve"> report;</w:t>
      </w:r>
      <w:r w:rsidR="00312D0B">
        <w:rPr>
          <w:rStyle w:val="FootnoteReference"/>
        </w:rPr>
        <w:footnoteReference w:id="52"/>
      </w:r>
    </w:p>
    <w:p w14:paraId="3002B92E" w14:textId="59D3EB75" w:rsidR="000C635C" w:rsidRDefault="000C635C" w:rsidP="006060F4">
      <w:pPr>
        <w:pStyle w:val="ListBullet2"/>
      </w:pPr>
      <w:r>
        <w:t>Follow-ups on unsatisfactory recommendations;</w:t>
      </w:r>
      <w:r w:rsidR="00312D0B">
        <w:rPr>
          <w:rStyle w:val="FootnoteReference"/>
        </w:rPr>
        <w:footnoteReference w:id="53"/>
      </w:r>
      <w:r>
        <w:t xml:space="preserve"> and</w:t>
      </w:r>
    </w:p>
    <w:p w14:paraId="5D3BEF6D" w14:textId="5C96BA8F" w:rsidR="000C635C" w:rsidRDefault="000C635C" w:rsidP="006060F4">
      <w:pPr>
        <w:pStyle w:val="ListBullet2"/>
      </w:pPr>
      <w:r>
        <w:t>Wood heaters.</w:t>
      </w:r>
      <w:r w:rsidR="00312D0B">
        <w:rPr>
          <w:rStyle w:val="FootnoteReference"/>
        </w:rPr>
        <w:footnoteReference w:id="54"/>
      </w:r>
    </w:p>
    <w:p w14:paraId="6F3DA008" w14:textId="77777777" w:rsidR="000C635C" w:rsidRDefault="000C635C" w:rsidP="000C635C">
      <w:pPr>
        <w:pStyle w:val="Heading3"/>
      </w:pPr>
      <w:bookmarkStart w:id="38" w:name="_Toc129350718"/>
      <w:r w:rsidRPr="00AD5C04">
        <w:t>Key Issues</w:t>
      </w:r>
      <w:bookmarkEnd w:id="38"/>
    </w:p>
    <w:p w14:paraId="2A31561B" w14:textId="720E52B1" w:rsidR="000C635C" w:rsidRPr="00AD5C04" w:rsidRDefault="00CC7548" w:rsidP="000C635C">
      <w:pPr>
        <w:pStyle w:val="Heading4"/>
      </w:pPr>
      <w:r>
        <w:t>Callam Offices</w:t>
      </w:r>
    </w:p>
    <w:p w14:paraId="41C125BF" w14:textId="393F44EF" w:rsidR="000C635C" w:rsidRDefault="00A67D92" w:rsidP="000C635C">
      <w:pPr>
        <w:pStyle w:val="ListNumber2"/>
      </w:pPr>
      <w:r>
        <w:t xml:space="preserve">The Callam Offices in Woden were designed by </w:t>
      </w:r>
      <w:r w:rsidR="0099757F">
        <w:t xml:space="preserve">acclaimed Australian architect, </w:t>
      </w:r>
      <w:r w:rsidRPr="00A67D92">
        <w:t xml:space="preserve">John Andrews </w:t>
      </w:r>
      <w:r w:rsidR="0099757F">
        <w:t>AO, in</w:t>
      </w:r>
      <w:r w:rsidRPr="00A67D92">
        <w:t xml:space="preserve"> the wake of the 1971 Woden flood that killed seven</w:t>
      </w:r>
      <w:r w:rsidR="0099757F">
        <w:t xml:space="preserve"> people. A</w:t>
      </w:r>
      <w:r w:rsidR="0099757F" w:rsidRPr="0099757F">
        <w:t>fter th</w:t>
      </w:r>
      <w:r w:rsidR="0099757F">
        <w:t>e</w:t>
      </w:r>
      <w:r w:rsidR="0099757F" w:rsidRPr="0099757F">
        <w:t xml:space="preserve"> </w:t>
      </w:r>
      <w:r w:rsidR="0099757F" w:rsidRPr="0099757F">
        <w:lastRenderedPageBreak/>
        <w:t xml:space="preserve">disaster, the National Capital Development Commission </w:t>
      </w:r>
      <w:r w:rsidR="0099757F">
        <w:t>requested</w:t>
      </w:r>
      <w:r w:rsidR="0099757F" w:rsidRPr="0099757F">
        <w:t xml:space="preserve"> </w:t>
      </w:r>
      <w:r w:rsidR="0099757F">
        <w:t>‘</w:t>
      </w:r>
      <w:r w:rsidR="0099757F" w:rsidRPr="0099757F">
        <w:t>a safe solution for new offices</w:t>
      </w:r>
      <w:r w:rsidR="0099757F">
        <w:t>’</w:t>
      </w:r>
      <w:r w:rsidR="0099757F" w:rsidRPr="0099757F">
        <w:t>, which led t</w:t>
      </w:r>
      <w:r w:rsidR="0099757F">
        <w:t xml:space="preserve">o the unique design of the </w:t>
      </w:r>
      <w:r w:rsidR="0099757F" w:rsidRPr="0099757F">
        <w:t>Callam Offices.</w:t>
      </w:r>
      <w:r w:rsidR="0099757F">
        <w:rPr>
          <w:rStyle w:val="FootnoteReference"/>
        </w:rPr>
        <w:footnoteReference w:id="55"/>
      </w:r>
    </w:p>
    <w:p w14:paraId="29D1E55B" w14:textId="43ED22CA" w:rsidR="000C635C" w:rsidRDefault="008C6241" w:rsidP="008C6241">
      <w:pPr>
        <w:pStyle w:val="ListNumber2"/>
      </w:pPr>
      <w:r>
        <w:t>At the public hearing on 1 November 2022, t</w:t>
      </w:r>
      <w:r w:rsidR="0099757F">
        <w:t xml:space="preserve">he Committee asked the Minister for Heritage </w:t>
      </w:r>
      <w:r>
        <w:t>whether there is a conservation management plan for the Callam Offices, since heritage-listed assets require a plan to ensure that they are maintained, protected, and enhanced</w:t>
      </w:r>
      <w:r w:rsidR="0099757F">
        <w:t>.</w:t>
      </w:r>
      <w:r>
        <w:t xml:space="preserve"> </w:t>
      </w:r>
      <w:r w:rsidR="002D69E1">
        <w:t>Mr Ben Ponton, Director-General of EPSDD,</w:t>
      </w:r>
      <w:r w:rsidR="000C635C">
        <w:t xml:space="preserve"> </w:t>
      </w:r>
      <w:r>
        <w:t>stated that</w:t>
      </w:r>
      <w:r w:rsidR="000C635C">
        <w:t>:</w:t>
      </w:r>
    </w:p>
    <w:p w14:paraId="7458AD25" w14:textId="058937B1" w:rsidR="000C635C" w:rsidRDefault="002D69E1" w:rsidP="000C635C">
      <w:pPr>
        <w:pStyle w:val="Quote"/>
      </w:pPr>
      <w:r>
        <w:t>A conservation management plan for Callam Offices has been prepared and it is currently being reviewed by the Heritage Council. That conservation management plan will guide long-term conservation and responsible management.</w:t>
      </w:r>
      <w:r>
        <w:rPr>
          <w:rStyle w:val="FootnoteReference"/>
        </w:rPr>
        <w:footnoteReference w:id="56"/>
      </w:r>
    </w:p>
    <w:p w14:paraId="5AFCF11D" w14:textId="69F9625E" w:rsidR="0050231A" w:rsidRDefault="002D69E1" w:rsidP="0050231A">
      <w:pPr>
        <w:pStyle w:val="ListNumber2"/>
      </w:pPr>
      <w:r>
        <w:t xml:space="preserve">When asked by the Committee whether the conservation management plan </w:t>
      </w:r>
      <w:r w:rsidR="008C6241">
        <w:t>i</w:t>
      </w:r>
      <w:r>
        <w:t>s publicly available, the ACT Government said that they are not</w:t>
      </w:r>
      <w:r w:rsidR="0050231A">
        <w:t>, as they are managed by the property owner.</w:t>
      </w:r>
      <w:r w:rsidR="0050231A">
        <w:rPr>
          <w:rStyle w:val="FootnoteReference"/>
        </w:rPr>
        <w:footnoteReference w:id="57"/>
      </w:r>
    </w:p>
    <w:p w14:paraId="06A336ED" w14:textId="55205F23" w:rsidR="00F02505" w:rsidRDefault="0050231A" w:rsidP="005D48A8">
      <w:pPr>
        <w:pStyle w:val="ListNumber2"/>
      </w:pPr>
      <w:r>
        <w:t xml:space="preserve">The Committee </w:t>
      </w:r>
      <w:r w:rsidR="008C6241">
        <w:t>also</w:t>
      </w:r>
      <w:r>
        <w:t xml:space="preserve"> sought clarification on </w:t>
      </w:r>
      <w:r w:rsidR="00F02505">
        <w:t>enfo</w:t>
      </w:r>
      <w:r w:rsidR="005D48A8">
        <w:t>rcement around</w:t>
      </w:r>
      <w:r w:rsidR="008C6241">
        <w:t xml:space="preserve"> conservation management plan</w:t>
      </w:r>
      <w:r w:rsidR="005D48A8">
        <w:t>s</w:t>
      </w:r>
      <w:r w:rsidR="008C6241">
        <w:t>, since the Callam Offices are an asset of the ACT Government, managed through the ACT Property Group.</w:t>
      </w:r>
      <w:r w:rsidR="005D48A8">
        <w:t xml:space="preserve"> The Minister clarified that ‘the ACT Government is </w:t>
      </w:r>
      <w:r w:rsidR="00F02505">
        <w:t>under the same obligations as any asset owner</w:t>
      </w:r>
      <w:r w:rsidR="005D48A8">
        <w:t>, and i</w:t>
      </w:r>
      <w:r w:rsidR="00F02505">
        <w:t>t has to adhere to the same rules</w:t>
      </w:r>
      <w:r w:rsidR="005D48A8">
        <w:t>’.</w:t>
      </w:r>
      <w:r w:rsidR="005D48A8">
        <w:rPr>
          <w:rStyle w:val="FootnoteReference"/>
        </w:rPr>
        <w:footnoteReference w:id="58"/>
      </w:r>
    </w:p>
    <w:p w14:paraId="55EEAC56" w14:textId="77859385" w:rsidR="005D48A8" w:rsidRDefault="005D48A8" w:rsidP="005D48A8">
      <w:pPr>
        <w:pStyle w:val="ListNumber2"/>
      </w:pPr>
      <w:r>
        <w:t>Mr Bren Burkevics, Executive Group Manager of the Environment, Heritage and Water Unit at EPSDD, further noted:</w:t>
      </w:r>
    </w:p>
    <w:p w14:paraId="0F8A5679" w14:textId="37B1B73F" w:rsidR="002D69E1" w:rsidRPr="002D69E1" w:rsidRDefault="00F02505" w:rsidP="005D48A8">
      <w:pPr>
        <w:pStyle w:val="Quote"/>
      </w:pPr>
      <w:r>
        <w:t>In relation to Callam Offices, it would be fair to say that the asset owner manages the operations of that facility in accordance with their plans and arrangements. Whilst there may be operational challenges with that building—all of us that have been to Callam [Offices] certainly know about those; the elevators and navigating our way around the building—that may not be captured under Heritage Act arrangements.</w:t>
      </w:r>
      <w:r w:rsidR="005D48A8">
        <w:t xml:space="preserve"> It may be more about the operational aspects—for example, the state of the elevators or other access control arrangements—that are dealt with as part of the asset owner’s primary responsibilities for building maintenance, outside Heritage Act requirements.</w:t>
      </w:r>
      <w:r w:rsidR="005D48A8">
        <w:rPr>
          <w:rStyle w:val="FootnoteReference"/>
        </w:rPr>
        <w:footnoteReference w:id="59"/>
      </w:r>
    </w:p>
    <w:p w14:paraId="08F76386" w14:textId="77777777" w:rsidR="000C635C" w:rsidRDefault="000C635C" w:rsidP="000C635C">
      <w:pPr>
        <w:pStyle w:val="Heading5"/>
      </w:pPr>
      <w:r>
        <w:t>Committee comment</w:t>
      </w:r>
    </w:p>
    <w:p w14:paraId="15B1C18E" w14:textId="15AC6524" w:rsidR="000C635C" w:rsidRDefault="000C635C" w:rsidP="000C635C">
      <w:pPr>
        <w:pStyle w:val="ListNumber2"/>
      </w:pPr>
      <w:r w:rsidRPr="00DB65A8">
        <w:t xml:space="preserve">The Committee </w:t>
      </w:r>
      <w:r w:rsidR="002D69E1">
        <w:t xml:space="preserve">is concerned that the Callam Offices in Woden have been </w:t>
      </w:r>
      <w:r w:rsidR="0050231A">
        <w:t xml:space="preserve">neglected and become quite run-down. The Committee believes that </w:t>
      </w:r>
      <w:r w:rsidR="005D48A8">
        <w:t xml:space="preserve">‘the state of the elevators and other access control arrangements’ mentioned during the public hearings can be maintained without interference to the building’s heritage status, and the upkeeping of existing </w:t>
      </w:r>
      <w:r w:rsidR="005D48A8">
        <w:lastRenderedPageBreak/>
        <w:t>services such as elevators</w:t>
      </w:r>
      <w:r w:rsidR="00B433B6">
        <w:t>, heating, ventilation and air-conditioning (HVAC) systems,</w:t>
      </w:r>
      <w:r w:rsidR="005D48A8">
        <w:t xml:space="preserve"> and </w:t>
      </w:r>
      <w:r w:rsidR="00B433B6">
        <w:t>access</w:t>
      </w:r>
      <w:r w:rsidR="005D48A8">
        <w:t xml:space="preserve"> control</w:t>
      </w:r>
      <w:r w:rsidR="00B433B6">
        <w:t xml:space="preserve"> arrangement</w:t>
      </w:r>
      <w:r w:rsidR="005D48A8">
        <w:t>s can be achieved through an allocation of more funding.</w:t>
      </w:r>
    </w:p>
    <w:p w14:paraId="528D8103" w14:textId="6EEEDB24" w:rsidR="00A67D92" w:rsidRPr="00DB65A8" w:rsidRDefault="005D48A8" w:rsidP="00881E08">
      <w:pPr>
        <w:pStyle w:val="ListNumber2"/>
      </w:pPr>
      <w:r>
        <w:t xml:space="preserve">Further, the Committee believes that modernisation of buildings can be achieved without affecting its architectural significance, and strongly urges the ACT Government to take appropriate action to </w:t>
      </w:r>
      <w:r w:rsidR="00881E08">
        <w:t xml:space="preserve">preserve the </w:t>
      </w:r>
      <w:r w:rsidR="007D428A">
        <w:t>building</w:t>
      </w:r>
      <w:r w:rsidR="00881E08">
        <w:t xml:space="preserve"> </w:t>
      </w:r>
      <w:r w:rsidR="007D428A">
        <w:t xml:space="preserve">which is on the </w:t>
      </w:r>
      <w:r w:rsidR="007D428A" w:rsidRPr="00881E08">
        <w:t>Register of Significant Twentieth Century Architecture</w:t>
      </w:r>
      <w:r w:rsidR="00881E08">
        <w:t>.</w:t>
      </w:r>
    </w:p>
    <w:tbl>
      <w:tblPr>
        <w:tblStyle w:val="Recommendationbox"/>
        <w:tblW w:w="0" w:type="auto"/>
        <w:tblLook w:val="04A0" w:firstRow="1" w:lastRow="0" w:firstColumn="1" w:lastColumn="0" w:noHBand="0" w:noVBand="1"/>
      </w:tblPr>
      <w:tblGrid>
        <w:gridCol w:w="8175"/>
      </w:tblGrid>
      <w:tr w:rsidR="000C635C" w14:paraId="777F3DDE" w14:textId="77777777" w:rsidTr="00E02EB1">
        <w:tc>
          <w:tcPr>
            <w:tcW w:w="7891" w:type="dxa"/>
          </w:tcPr>
          <w:p w14:paraId="5F5B2F10" w14:textId="77777777" w:rsidR="000C635C" w:rsidRDefault="000C635C" w:rsidP="00E02EB1">
            <w:pPr>
              <w:pStyle w:val="Recommendationheading"/>
            </w:pPr>
            <w:bookmarkStart w:id="39" w:name="_Toc129350748"/>
            <w:r>
              <w:t xml:space="preserve">Recommendation </w:t>
            </w:r>
            <w:r>
              <w:fldChar w:fldCharType="begin"/>
            </w:r>
            <w:r>
              <w:instrText xml:space="preserve"> AUTONUMLGL \* Arabic\e </w:instrText>
            </w:r>
            <w:r>
              <w:fldChar w:fldCharType="end"/>
            </w:r>
            <w:bookmarkEnd w:id="39"/>
          </w:p>
          <w:p w14:paraId="482967C8" w14:textId="65BDD661" w:rsidR="000C635C" w:rsidRPr="00AD5C04" w:rsidRDefault="000C635C" w:rsidP="00E02EB1">
            <w:pPr>
              <w:pStyle w:val="Recommendationbody"/>
            </w:pPr>
            <w:bookmarkStart w:id="40" w:name="_Toc129350749"/>
            <w:r>
              <w:rPr>
                <w:rFonts w:ascii="Calibri-Bold" w:hAnsi="Calibri-Bold" w:cs="Calibri-Bold"/>
              </w:rPr>
              <w:t xml:space="preserve">The Committee recommends that the ACT Government </w:t>
            </w:r>
            <w:r w:rsidR="00CC7548">
              <w:rPr>
                <w:rFonts w:ascii="Calibri-Bold" w:hAnsi="Calibri-Bold" w:cs="Calibri-Bold"/>
              </w:rPr>
              <w:t>develop a conservation plan for Callam Offices as a matter of urgency, and look to invest in the</w:t>
            </w:r>
            <w:r w:rsidR="002D69E1">
              <w:rPr>
                <w:rFonts w:ascii="Calibri-Bold" w:hAnsi="Calibri-Bold" w:cs="Calibri-Bold"/>
              </w:rPr>
              <w:t xml:space="preserve"> </w:t>
            </w:r>
            <w:r w:rsidR="00A67D92">
              <w:rPr>
                <w:rFonts w:ascii="Calibri-Bold" w:hAnsi="Calibri-Bold" w:cs="Calibri-Bold"/>
              </w:rPr>
              <w:t xml:space="preserve">modernisation and </w:t>
            </w:r>
            <w:r w:rsidR="002D69E1">
              <w:rPr>
                <w:rFonts w:ascii="Calibri-Bold" w:hAnsi="Calibri-Bold" w:cs="Calibri-Bold"/>
              </w:rPr>
              <w:t>re</w:t>
            </w:r>
            <w:r w:rsidR="00A67D92">
              <w:rPr>
                <w:rFonts w:ascii="Calibri-Bold" w:hAnsi="Calibri-Bold" w:cs="Calibri-Bold"/>
              </w:rPr>
              <w:t>storation of the buildings</w:t>
            </w:r>
            <w:r w:rsidR="002D69E1">
              <w:rPr>
                <w:rFonts w:ascii="Calibri-Bold" w:hAnsi="Calibri-Bold" w:cs="Calibri-Bold"/>
              </w:rPr>
              <w:t>.</w:t>
            </w:r>
            <w:bookmarkEnd w:id="40"/>
          </w:p>
        </w:tc>
      </w:tr>
    </w:tbl>
    <w:p w14:paraId="08A85E1B" w14:textId="4398B92E" w:rsidR="00946F38" w:rsidRPr="00AD5C04" w:rsidRDefault="00946F38" w:rsidP="00946F38">
      <w:pPr>
        <w:pStyle w:val="Heading4"/>
      </w:pPr>
      <w:r>
        <w:t>Biosecurity rapid response team</w:t>
      </w:r>
    </w:p>
    <w:p w14:paraId="042C95F6" w14:textId="19468F5A" w:rsidR="00586EB0" w:rsidRDefault="00586EB0" w:rsidP="00586EB0">
      <w:pPr>
        <w:pStyle w:val="ListNumber2"/>
      </w:pPr>
      <w:r w:rsidRPr="00586EB0">
        <w:t xml:space="preserve">The </w:t>
      </w:r>
      <w:r>
        <w:t xml:space="preserve">Biosecurity </w:t>
      </w:r>
      <w:r w:rsidRPr="00586EB0">
        <w:t xml:space="preserve">Rapid Response Team was established </w:t>
      </w:r>
      <w:r w:rsidR="007528E8">
        <w:t xml:space="preserve">in 2022 </w:t>
      </w:r>
      <w:r w:rsidRPr="00586EB0">
        <w:t>after the 2021-22 ACT Budget provided $3 million over four years to rapidly respond to biosecurity threats accelerated by recent bushfires, extended dry periods, and current La Nina conditions.</w:t>
      </w:r>
      <w:r>
        <w:rPr>
          <w:rStyle w:val="FootnoteReference"/>
        </w:rPr>
        <w:footnoteReference w:id="60"/>
      </w:r>
    </w:p>
    <w:p w14:paraId="68705BC6" w14:textId="2B43E179" w:rsidR="00CA1BD4" w:rsidRDefault="007528E8" w:rsidP="0029192A">
      <w:pPr>
        <w:pStyle w:val="ListNumber2"/>
      </w:pPr>
      <w:r>
        <w:t xml:space="preserve">During the discussion of biosecurity risk </w:t>
      </w:r>
      <w:r w:rsidR="0029192A">
        <w:t xml:space="preserve">and biosecurity incursion </w:t>
      </w:r>
      <w:r>
        <w:t>in the</w:t>
      </w:r>
      <w:r w:rsidR="000759E3">
        <w:t xml:space="preserve"> </w:t>
      </w:r>
      <w:r>
        <w:t>T</w:t>
      </w:r>
      <w:r w:rsidR="000759E3">
        <w:t>erritory</w:t>
      </w:r>
      <w:r>
        <w:t>,</w:t>
      </w:r>
      <w:r w:rsidR="0029192A">
        <w:t xml:space="preserve"> </w:t>
      </w:r>
      <w:r w:rsidR="000759E3">
        <w:t xml:space="preserve">the Committee heard from the Minister for the Environment and officials of the work the Biosecurity Rapid Response Team have been undertaking to protect the local environment, especially in partnership with </w:t>
      </w:r>
      <w:r w:rsidR="00600FD5">
        <w:t>NSW</w:t>
      </w:r>
      <w:r w:rsidR="000759E3">
        <w:t>:</w:t>
      </w:r>
    </w:p>
    <w:p w14:paraId="0B27B754" w14:textId="20323090" w:rsidR="000759E3" w:rsidRDefault="000759E3" w:rsidP="000759E3">
      <w:pPr>
        <w:pStyle w:val="Quote"/>
      </w:pPr>
      <w:r>
        <w:t>[T]hey have provided assistance to New South Wales—10 FTE equivalents for seven days to New South Wales—to help with the Varroa mite response, which was really effective for us. Obviously, we are a small jurisdiction. When we have a biosecurity incident, we rely very heavily on New South Wales. We already do. They do a lot of our analytics for us and things like that. Where we can maintain those strong relationships by assisting other jurisdictions when there is a need, it will help us in the long run. We like to foster that relationship.</w:t>
      </w:r>
      <w:r w:rsidR="00600FD5">
        <w:rPr>
          <w:rStyle w:val="FootnoteReference"/>
        </w:rPr>
        <w:footnoteReference w:id="61"/>
      </w:r>
    </w:p>
    <w:p w14:paraId="41E979D2" w14:textId="63CD71CB" w:rsidR="0029192A" w:rsidRDefault="00600FD5" w:rsidP="0029192A">
      <w:pPr>
        <w:pStyle w:val="ListNumber2"/>
      </w:pPr>
      <w:r>
        <w:t>T</w:t>
      </w:r>
      <w:r w:rsidR="0029192A">
        <w:t xml:space="preserve">he Minister for the Environment </w:t>
      </w:r>
      <w:r w:rsidR="00CA1BD4">
        <w:t xml:space="preserve">also </w:t>
      </w:r>
      <w:r w:rsidR="0029192A">
        <w:t>noted that ‘</w:t>
      </w:r>
      <w:r w:rsidR="007528E8">
        <w:t>there has been a strong focus on biosecurity nationally</w:t>
      </w:r>
      <w:r w:rsidR="0029192A">
        <w:t>’:</w:t>
      </w:r>
      <w:r w:rsidR="0029192A">
        <w:rPr>
          <w:rStyle w:val="FootnoteReference"/>
        </w:rPr>
        <w:footnoteReference w:id="62"/>
      </w:r>
    </w:p>
    <w:p w14:paraId="1991C8BA" w14:textId="008FA288" w:rsidR="006E202A" w:rsidRDefault="007528E8" w:rsidP="0029192A">
      <w:pPr>
        <w:pStyle w:val="Quote"/>
      </w:pPr>
      <w:r>
        <w:t>We have seen some great coordinated and collaborative work. I would note that the commonwealth government has stepped up in this area, in terms of recognising their role, particularly with issues around international borders, and the role they can play in terms of coordinating work with the states and territories.</w:t>
      </w:r>
      <w:r w:rsidR="0029192A">
        <w:rPr>
          <w:rStyle w:val="FootnoteReference"/>
        </w:rPr>
        <w:footnoteReference w:id="63"/>
      </w:r>
    </w:p>
    <w:p w14:paraId="629EBAC8" w14:textId="77777777" w:rsidR="00946F38" w:rsidRDefault="00946F38" w:rsidP="00946F38">
      <w:pPr>
        <w:pStyle w:val="Heading5"/>
      </w:pPr>
      <w:r>
        <w:lastRenderedPageBreak/>
        <w:t>Committee comment</w:t>
      </w:r>
    </w:p>
    <w:p w14:paraId="3DD3519D" w14:textId="67BEA0BE" w:rsidR="00CA1BD4" w:rsidRDefault="00946F38" w:rsidP="007D428A">
      <w:pPr>
        <w:pStyle w:val="ListNumber2"/>
      </w:pPr>
      <w:r w:rsidRPr="00DB65A8">
        <w:t xml:space="preserve">The Committee </w:t>
      </w:r>
      <w:r w:rsidR="0029192A">
        <w:t xml:space="preserve">understands that </w:t>
      </w:r>
      <w:r w:rsidR="0029192A" w:rsidRPr="00586EB0">
        <w:t>reported economic costs of invasive species in Australia highlights that in the last 60 years, invasive species have cost the Australian economy $389.59 billion.</w:t>
      </w:r>
      <w:r w:rsidR="00CA1BD4">
        <w:rPr>
          <w:rStyle w:val="FootnoteReference"/>
        </w:rPr>
        <w:footnoteReference w:id="64"/>
      </w:r>
      <w:r w:rsidR="007D428A">
        <w:t xml:space="preserve"> </w:t>
      </w:r>
      <w:r w:rsidR="0029192A" w:rsidRPr="00586EB0">
        <w:t>These costs are expected to increase under the impacts of climate change</w:t>
      </w:r>
      <w:r w:rsidR="0029192A">
        <w:t xml:space="preserve"> </w:t>
      </w:r>
      <w:r w:rsidR="0029192A" w:rsidRPr="00586EB0">
        <w:t xml:space="preserve">unless </w:t>
      </w:r>
      <w:r w:rsidR="0029192A">
        <w:t xml:space="preserve">action is taken; therefore, the Committee is of the view that it is of high importance for the ACT Government to </w:t>
      </w:r>
      <w:r w:rsidR="00CA1BD4">
        <w:t>continue its support for the Biosecurity Rapid Response Team in to the future.</w:t>
      </w:r>
    </w:p>
    <w:p w14:paraId="4D7823AE" w14:textId="5091301E" w:rsidR="006A0B2E" w:rsidRPr="00DB65A8" w:rsidRDefault="00CA1BD4" w:rsidP="00CA1BD4">
      <w:pPr>
        <w:pStyle w:val="ListNumber2"/>
      </w:pPr>
      <w:r>
        <w:t xml:space="preserve">Further, the Committee would like to see the ACT Government </w:t>
      </w:r>
      <w:r w:rsidR="0029192A">
        <w:t>collaborate and learn from other jurisdictions on how to proactively identify biosecurity risk</w:t>
      </w:r>
      <w:r>
        <w:t xml:space="preserve">s, </w:t>
      </w:r>
      <w:r w:rsidR="0038484C">
        <w:t xml:space="preserve">as there </w:t>
      </w:r>
      <w:r w:rsidR="006A0B2E" w:rsidRPr="006A0B2E">
        <w:t xml:space="preserve">will continue to be </w:t>
      </w:r>
      <w:r w:rsidR="00600FD5">
        <w:t>greater</w:t>
      </w:r>
      <w:r w:rsidR="006A0B2E" w:rsidRPr="006A0B2E">
        <w:t xml:space="preserve"> occurrence</w:t>
      </w:r>
      <w:r w:rsidR="00600FD5">
        <w:t>s</w:t>
      </w:r>
      <w:r w:rsidR="006A0B2E" w:rsidRPr="006A0B2E">
        <w:t xml:space="preserve"> of invasive species</w:t>
      </w:r>
      <w:r>
        <w:t xml:space="preserve"> due to the effects of climate change, and preventative action is paramount </w:t>
      </w:r>
      <w:r w:rsidR="00600FD5">
        <w:t>to</w:t>
      </w:r>
      <w:r w:rsidR="00374762">
        <w:t xml:space="preserve"> intercep</w:t>
      </w:r>
      <w:r w:rsidR="00600FD5">
        <w:t>ting</w:t>
      </w:r>
      <w:r>
        <w:t xml:space="preserve"> </w:t>
      </w:r>
      <w:r w:rsidR="006A0B2E" w:rsidRPr="006A0B2E">
        <w:t xml:space="preserve">invasive species establishing within the </w:t>
      </w:r>
      <w:r>
        <w:t xml:space="preserve">Territory’s </w:t>
      </w:r>
      <w:r w:rsidR="006A0B2E" w:rsidRPr="006A0B2E">
        <w:t>natural landscape.</w:t>
      </w:r>
    </w:p>
    <w:tbl>
      <w:tblPr>
        <w:tblStyle w:val="Recommendationbox"/>
        <w:tblW w:w="0" w:type="auto"/>
        <w:tblLook w:val="04A0" w:firstRow="1" w:lastRow="0" w:firstColumn="1" w:lastColumn="0" w:noHBand="0" w:noVBand="1"/>
      </w:tblPr>
      <w:tblGrid>
        <w:gridCol w:w="8175"/>
      </w:tblGrid>
      <w:tr w:rsidR="00946F38" w14:paraId="1115745E" w14:textId="77777777" w:rsidTr="00561CEB">
        <w:tc>
          <w:tcPr>
            <w:tcW w:w="7891" w:type="dxa"/>
          </w:tcPr>
          <w:p w14:paraId="3961A716" w14:textId="77777777" w:rsidR="00946F38" w:rsidRDefault="00946F38" w:rsidP="00561CEB">
            <w:pPr>
              <w:pStyle w:val="Recommendationheading"/>
            </w:pPr>
            <w:bookmarkStart w:id="41" w:name="_Toc129350750"/>
            <w:r>
              <w:t xml:space="preserve">Recommendation </w:t>
            </w:r>
            <w:r>
              <w:fldChar w:fldCharType="begin"/>
            </w:r>
            <w:r>
              <w:instrText xml:space="preserve"> AUTONUMLGL \* Arabic\e </w:instrText>
            </w:r>
            <w:r>
              <w:fldChar w:fldCharType="end"/>
            </w:r>
            <w:bookmarkEnd w:id="41"/>
          </w:p>
          <w:p w14:paraId="7253BA0D" w14:textId="72338D69" w:rsidR="00946F38" w:rsidRPr="00AD5C04" w:rsidRDefault="00946F38" w:rsidP="00561CEB">
            <w:pPr>
              <w:pStyle w:val="Recommendationbody"/>
            </w:pPr>
            <w:bookmarkStart w:id="42" w:name="_Toc129350751"/>
            <w:r>
              <w:rPr>
                <w:rFonts w:ascii="Calibri-Bold" w:hAnsi="Calibri-Bold" w:cs="Calibri-Bold"/>
              </w:rPr>
              <w:t>The Committee recommends that the ACT Government seek to collaborate and learn from other jurisdictions on how to proactively identify biosecurity risks, and continue to support the biosecurity rapid response team.</w:t>
            </w:r>
            <w:bookmarkEnd w:id="42"/>
          </w:p>
        </w:tc>
      </w:tr>
    </w:tbl>
    <w:p w14:paraId="179C4924" w14:textId="387288C5" w:rsidR="00E8196D" w:rsidRPr="00AD5C04" w:rsidRDefault="00E8196D" w:rsidP="00E8196D">
      <w:pPr>
        <w:pStyle w:val="Heading4"/>
      </w:pPr>
      <w:r>
        <w:t>Threatened species</w:t>
      </w:r>
    </w:p>
    <w:p w14:paraId="0622B853" w14:textId="5FD84BB0" w:rsidR="008A7F17" w:rsidRDefault="008A7F17" w:rsidP="008A7F17">
      <w:pPr>
        <w:pStyle w:val="ListNumber2"/>
      </w:pPr>
      <w:r>
        <w:t xml:space="preserve">Under the </w:t>
      </w:r>
      <w:r w:rsidRPr="008A7F17">
        <w:rPr>
          <w:i/>
          <w:iCs/>
        </w:rPr>
        <w:t xml:space="preserve">Nature Conservation Act 2014 </w:t>
      </w:r>
      <w:r>
        <w:t>(the Act), the Conservator of Flora and Fauna is required to prepare an action plan for each species or ecological community that has been listed as threatened under the Act. Action plans contain proposals for the identification, protection and survival of the species or proposals to minimise the effect of processes that threaten the species.</w:t>
      </w:r>
      <w:r>
        <w:rPr>
          <w:rStyle w:val="FootnoteReference"/>
        </w:rPr>
        <w:footnoteReference w:id="65"/>
      </w:r>
    </w:p>
    <w:p w14:paraId="61AE9F6D" w14:textId="71BE8826" w:rsidR="00E8196D" w:rsidRDefault="0083310F" w:rsidP="00E8196D">
      <w:pPr>
        <w:pStyle w:val="ListNumber2"/>
      </w:pPr>
      <w:r>
        <w:t xml:space="preserve">The Committee heard from the Minister for the Environment and officials of the issues the </w:t>
      </w:r>
      <w:r w:rsidR="00207668">
        <w:t xml:space="preserve">Territory’s </w:t>
      </w:r>
      <w:r>
        <w:t xml:space="preserve">wombats are facing, including wombat mange, destruction of habitat, and </w:t>
      </w:r>
      <w:r w:rsidR="00CB6951">
        <w:t>fatal and near-fatal incidents with vehicles on roads</w:t>
      </w:r>
      <w:r>
        <w:t>.</w:t>
      </w:r>
      <w:r>
        <w:rPr>
          <w:rStyle w:val="FootnoteReference"/>
        </w:rPr>
        <w:footnoteReference w:id="66"/>
      </w:r>
      <w:r>
        <w:t xml:space="preserve"> </w:t>
      </w:r>
    </w:p>
    <w:p w14:paraId="0326FF07" w14:textId="560EB8E7" w:rsidR="00E8196D" w:rsidRDefault="00E8196D" w:rsidP="00E8196D">
      <w:pPr>
        <w:pStyle w:val="ListNumber2"/>
      </w:pPr>
      <w:r>
        <w:t>The</w:t>
      </w:r>
      <w:r w:rsidR="00CB6951">
        <w:t xml:space="preserve"> Committee were concerned the wombat population in the Territory are being heavily affected by these factors, and asked the Minister for the Environment what was being done, to prevent wombats from becoming a threatened species. The Minister for the Environment </w:t>
      </w:r>
      <w:r w:rsidR="00C36007">
        <w:t>said</w:t>
      </w:r>
      <w:r w:rsidR="00CB6951">
        <w:t>:</w:t>
      </w:r>
    </w:p>
    <w:p w14:paraId="23A25118" w14:textId="690926D6" w:rsidR="00CB6951" w:rsidRDefault="0083310F" w:rsidP="00CB6951">
      <w:pPr>
        <w:pStyle w:val="Quote"/>
      </w:pPr>
      <w:r>
        <w:t>It is a question, particularly in the face of climate change, that we are really starting to think about. We have obviously put our focus on threatened species, and we do not want to see the end of species, but there is an ongoing conversation about how to keep common species common.</w:t>
      </w:r>
    </w:p>
    <w:p w14:paraId="1F23DBAD" w14:textId="4DF60BAB" w:rsidR="00CB6951" w:rsidRPr="00CB6951" w:rsidRDefault="00CB6951" w:rsidP="00CB6951">
      <w:pPr>
        <w:pStyle w:val="Quote"/>
      </w:pPr>
      <w:r>
        <w:lastRenderedPageBreak/>
        <w:t>This is an ongoing piece of work. It is really difficult. As I said, there is significant science literature about how to count particular species and learn about what species need. That is a key focus of the conservation and wildlife area of the directorate.</w:t>
      </w:r>
      <w:r w:rsidR="00C36007">
        <w:rPr>
          <w:rStyle w:val="FootnoteReference"/>
        </w:rPr>
        <w:footnoteReference w:id="67"/>
      </w:r>
    </w:p>
    <w:p w14:paraId="002B1473" w14:textId="77777777" w:rsidR="00E8196D" w:rsidRDefault="00E8196D" w:rsidP="00E8196D">
      <w:pPr>
        <w:pStyle w:val="Heading5"/>
      </w:pPr>
      <w:r>
        <w:t>Committee comment</w:t>
      </w:r>
    </w:p>
    <w:p w14:paraId="24BD27B3" w14:textId="3C9C0D94" w:rsidR="0083310F" w:rsidRDefault="00E8196D" w:rsidP="00E8196D">
      <w:pPr>
        <w:pStyle w:val="ListNumber2"/>
      </w:pPr>
      <w:r w:rsidRPr="00DB65A8">
        <w:t xml:space="preserve">The Committee </w:t>
      </w:r>
      <w:r w:rsidR="00B77739">
        <w:t>acknowledges the importance of the work currently being conducted by the ACT Government to protect threatened species. However, the Committee would like to see the ACT Government improve its protection measures for high-risk native species as well.</w:t>
      </w:r>
    </w:p>
    <w:p w14:paraId="0FBC30D9" w14:textId="6071458F" w:rsidR="00E8196D" w:rsidRPr="00DB65A8" w:rsidRDefault="00B77739" w:rsidP="00E8196D">
      <w:pPr>
        <w:pStyle w:val="ListNumber2"/>
      </w:pPr>
      <w:r>
        <w:t xml:space="preserve">For example, </w:t>
      </w:r>
      <w:r w:rsidR="00F43A3E">
        <w:t xml:space="preserve">burrowing animals like </w:t>
      </w:r>
      <w:r>
        <w:t>wombats a</w:t>
      </w:r>
      <w:r w:rsidR="00C36007">
        <w:t>re not</w:t>
      </w:r>
      <w:r>
        <w:t xml:space="preserve"> considered a threatened species but are at high risk due to urban development and encroachment</w:t>
      </w:r>
      <w:r w:rsidR="0083310F">
        <w:t xml:space="preserve">. Therefore, </w:t>
      </w:r>
      <w:r>
        <w:t>the Committee is of the view that</w:t>
      </w:r>
      <w:r w:rsidR="00EB6F51">
        <w:t xml:space="preserve"> native species that are at risk of becoming near-threatened should also be given protection measures</w:t>
      </w:r>
      <w:r w:rsidR="00C36007">
        <w:t xml:space="preserve"> for biodiversity conservation.</w:t>
      </w:r>
    </w:p>
    <w:tbl>
      <w:tblPr>
        <w:tblStyle w:val="Recommendationbox"/>
        <w:tblW w:w="0" w:type="auto"/>
        <w:tblLook w:val="04A0" w:firstRow="1" w:lastRow="0" w:firstColumn="1" w:lastColumn="0" w:noHBand="0" w:noVBand="1"/>
      </w:tblPr>
      <w:tblGrid>
        <w:gridCol w:w="8175"/>
      </w:tblGrid>
      <w:tr w:rsidR="00E8196D" w14:paraId="3FABFE8F" w14:textId="77777777" w:rsidTr="00561CEB">
        <w:tc>
          <w:tcPr>
            <w:tcW w:w="7891" w:type="dxa"/>
          </w:tcPr>
          <w:p w14:paraId="41AABE71" w14:textId="77777777" w:rsidR="00E8196D" w:rsidRDefault="00E8196D" w:rsidP="00561CEB">
            <w:pPr>
              <w:pStyle w:val="Recommendationheading"/>
            </w:pPr>
            <w:bookmarkStart w:id="43" w:name="_Toc129350752"/>
            <w:r>
              <w:t xml:space="preserve">Recommendation </w:t>
            </w:r>
            <w:r>
              <w:fldChar w:fldCharType="begin"/>
            </w:r>
            <w:r>
              <w:instrText xml:space="preserve"> AUTONUMLGL \* Arabic\e </w:instrText>
            </w:r>
            <w:r>
              <w:fldChar w:fldCharType="end"/>
            </w:r>
            <w:bookmarkEnd w:id="43"/>
          </w:p>
          <w:p w14:paraId="4E58CC8C" w14:textId="6977011B" w:rsidR="00E8196D" w:rsidRPr="00AD5C04" w:rsidRDefault="00E8196D" w:rsidP="00561CEB">
            <w:pPr>
              <w:pStyle w:val="Recommendationbody"/>
            </w:pPr>
            <w:bookmarkStart w:id="44" w:name="_Toc129350753"/>
            <w:r>
              <w:rPr>
                <w:rFonts w:ascii="Calibri-Bold" w:hAnsi="Calibri-Bold" w:cs="Calibri-Bold"/>
              </w:rPr>
              <w:t xml:space="preserve">The Committee recommends that the ACT Government </w:t>
            </w:r>
            <w:r w:rsidR="001634E4">
              <w:rPr>
                <w:rFonts w:ascii="Calibri-Bold" w:hAnsi="Calibri-Bold" w:cs="Calibri-Bold"/>
              </w:rPr>
              <w:t xml:space="preserve">improve its protection measures for native species, such as </w:t>
            </w:r>
            <w:r w:rsidR="00F43A3E">
              <w:rPr>
                <w:rFonts w:ascii="Calibri-Bold" w:hAnsi="Calibri-Bold" w:cs="Calibri-Bold"/>
              </w:rPr>
              <w:t xml:space="preserve">burrowing animals like </w:t>
            </w:r>
            <w:r w:rsidR="001634E4">
              <w:rPr>
                <w:rFonts w:ascii="Calibri-Bold" w:hAnsi="Calibri-Bold" w:cs="Calibri-Bold"/>
              </w:rPr>
              <w:t>wombats, that are not considered threatened but are at high risk due to urban development and encroachment.</w:t>
            </w:r>
            <w:bookmarkEnd w:id="44"/>
          </w:p>
        </w:tc>
      </w:tr>
    </w:tbl>
    <w:p w14:paraId="5EE42D13" w14:textId="396E668C" w:rsidR="001634E4" w:rsidRPr="00AD5C04" w:rsidRDefault="001634E4" w:rsidP="001634E4">
      <w:pPr>
        <w:pStyle w:val="Heading4"/>
      </w:pPr>
      <w:r>
        <w:t>Bluett’s Block-Piney Ridge</w:t>
      </w:r>
    </w:p>
    <w:p w14:paraId="4B72A302" w14:textId="5F6DFEB0" w:rsidR="00986A53" w:rsidRDefault="00986A53" w:rsidP="001634E4">
      <w:pPr>
        <w:pStyle w:val="ListNumber2"/>
      </w:pPr>
      <w:r>
        <w:t>‘Bluett’s Block’ or ‘Piney Ridge’ (also commonly referred to jointly as Bluett’s Block-Piney Ridge) is an area of woodland and dry forest to the west of the new suburb of Denman Prospect in Molonglo Valley. It is located on Stromlo Blocks 402 and 403, and into Denman Prospect Section 1 Block 12</w:t>
      </w:r>
      <w:r w:rsidR="00FD35D6">
        <w:t xml:space="preserve">, also known as </w:t>
      </w:r>
      <w:r>
        <w:t>the ‘deferred area’</w:t>
      </w:r>
      <w:r w:rsidR="00E43B0C">
        <w:t>.</w:t>
      </w:r>
    </w:p>
    <w:p w14:paraId="60A4735C" w14:textId="188A049C" w:rsidR="00115F0F" w:rsidRDefault="00115F0F" w:rsidP="001634E4">
      <w:pPr>
        <w:pStyle w:val="ListNumber2"/>
      </w:pPr>
      <w:r>
        <w:t xml:space="preserve">The Committee </w:t>
      </w:r>
      <w:r w:rsidR="00FD35D6">
        <w:t xml:space="preserve">raised concerns at the public hearing on 1 November 2022, that in </w:t>
      </w:r>
      <w:r w:rsidR="00F149BD">
        <w:t xml:space="preserve">parts of the Territory such as </w:t>
      </w:r>
      <w:r w:rsidR="00FD35D6">
        <w:t xml:space="preserve">Molonglo Valley, where it is undergoing substantial development, the ecosystems there are in high stress </w:t>
      </w:r>
      <w:r w:rsidR="000775F9">
        <w:t>and in need of informed advice to guide developments in a way that minimises unnecessary environmental risks and damages.</w:t>
      </w:r>
      <w:r w:rsidR="00E43B0C">
        <w:rPr>
          <w:rStyle w:val="FootnoteReference"/>
        </w:rPr>
        <w:footnoteReference w:id="68"/>
      </w:r>
    </w:p>
    <w:p w14:paraId="18AFD70B" w14:textId="2F298521" w:rsidR="00FD35D6" w:rsidRDefault="000775F9" w:rsidP="001634E4">
      <w:pPr>
        <w:pStyle w:val="ListNumber2"/>
      </w:pPr>
      <w:r>
        <w:t>The Minister for the Environment assured the Committee that the ACT Government is working across Directorates to ensure</w:t>
      </w:r>
      <w:r w:rsidR="00F149BD">
        <w:t xml:space="preserve"> environmental assessments are being carried out</w:t>
      </w:r>
      <w:r>
        <w:t>:</w:t>
      </w:r>
    </w:p>
    <w:p w14:paraId="72A22DE8" w14:textId="5309B996" w:rsidR="001634E4" w:rsidRDefault="000775F9" w:rsidP="000775F9">
      <w:pPr>
        <w:pStyle w:val="Quote"/>
      </w:pPr>
      <w:r>
        <w:t xml:space="preserve">With Minister Cheyne we recently introduced some new, much stronger development guidelines, particularly around looking at the issues of reducing pollution and things such as sediment and erosion control. We were able to gain more enforcement resources as part of the last budget ensuring we are working across government in terms of environment protection and ensuring there is enforcement occurring to protect environmental values. It is a very close relationship and something we need to work closely on. As well as the work that </w:t>
      </w:r>
      <w:r>
        <w:lastRenderedPageBreak/>
        <w:t>is happening on the ground in terms of protecting threatened species, we need to make sure that the development activity is not creating additional risk.</w:t>
      </w:r>
      <w:r w:rsidR="00E43B0C">
        <w:rPr>
          <w:rStyle w:val="FootnoteReference"/>
        </w:rPr>
        <w:footnoteReference w:id="69"/>
      </w:r>
    </w:p>
    <w:p w14:paraId="22128284" w14:textId="77777777" w:rsidR="001634E4" w:rsidRDefault="001634E4" w:rsidP="001634E4">
      <w:pPr>
        <w:pStyle w:val="Heading5"/>
      </w:pPr>
      <w:r>
        <w:t>Committee comment</w:t>
      </w:r>
    </w:p>
    <w:p w14:paraId="3B25CADC" w14:textId="6CE39E6A" w:rsidR="001634E4" w:rsidRPr="00DB65A8" w:rsidRDefault="001634E4" w:rsidP="00F149BD">
      <w:pPr>
        <w:pStyle w:val="ListNumber2"/>
      </w:pPr>
      <w:r w:rsidRPr="00DB65A8">
        <w:t xml:space="preserve">The Committee </w:t>
      </w:r>
      <w:r w:rsidR="00F149BD">
        <w:t>is of the view that, g</w:t>
      </w:r>
      <w:r w:rsidR="00F149BD" w:rsidRPr="00F149BD">
        <w:t xml:space="preserve">iven the high biodiversity values </w:t>
      </w:r>
      <w:r w:rsidR="00F149BD">
        <w:t>in certain areas of Molonglo Valley, the ACT Government should undertake a full assessment of the potential impacts of urban development and encroachment around Stromlo Blocks 402 and 403 and Denman Prospect Section 1 Block 12</w:t>
      </w:r>
      <w:r w:rsidR="00B77739">
        <w:t>.</w:t>
      </w:r>
      <w:r w:rsidR="00F149BD">
        <w:t xml:space="preserve"> In doing so, the Committee would urge the ACT Government to ensure there is the opportunity for the community to input citizen science and observations</w:t>
      </w:r>
      <w:r w:rsidR="00B77739">
        <w:t xml:space="preserve"> as part of the environmental assessments.</w:t>
      </w:r>
    </w:p>
    <w:tbl>
      <w:tblPr>
        <w:tblStyle w:val="Recommendationbox"/>
        <w:tblW w:w="0" w:type="auto"/>
        <w:tblLook w:val="04A0" w:firstRow="1" w:lastRow="0" w:firstColumn="1" w:lastColumn="0" w:noHBand="0" w:noVBand="1"/>
      </w:tblPr>
      <w:tblGrid>
        <w:gridCol w:w="8175"/>
      </w:tblGrid>
      <w:tr w:rsidR="001634E4" w14:paraId="549350BD" w14:textId="77777777" w:rsidTr="00561CEB">
        <w:tc>
          <w:tcPr>
            <w:tcW w:w="7891" w:type="dxa"/>
          </w:tcPr>
          <w:p w14:paraId="33E429A6" w14:textId="77777777" w:rsidR="001634E4" w:rsidRDefault="001634E4" w:rsidP="00561CEB">
            <w:pPr>
              <w:pStyle w:val="Recommendationheading"/>
            </w:pPr>
            <w:bookmarkStart w:id="45" w:name="_Toc129350754"/>
            <w:r>
              <w:t xml:space="preserve">Recommendation </w:t>
            </w:r>
            <w:r>
              <w:fldChar w:fldCharType="begin"/>
            </w:r>
            <w:r>
              <w:instrText xml:space="preserve"> AUTONUMLGL \* Arabic\e </w:instrText>
            </w:r>
            <w:r>
              <w:fldChar w:fldCharType="end"/>
            </w:r>
            <w:bookmarkEnd w:id="45"/>
          </w:p>
          <w:p w14:paraId="531E82F8" w14:textId="2574FC64" w:rsidR="001634E4" w:rsidRPr="00AD5C04" w:rsidRDefault="001634E4" w:rsidP="00561CEB">
            <w:pPr>
              <w:pStyle w:val="Recommendationbody"/>
            </w:pPr>
            <w:bookmarkStart w:id="46" w:name="_Toc129350755"/>
            <w:r>
              <w:rPr>
                <w:rFonts w:ascii="Calibri-Bold" w:hAnsi="Calibri-Bold" w:cs="Calibri-Bold"/>
              </w:rPr>
              <w:t>The Committee recommends that the ACT Government provide half-yearly updates to the Assembly on the progress of environmental assessments at Bluett’s Block-Piney Ridge</w:t>
            </w:r>
            <w:r w:rsidR="005D3470">
              <w:rPr>
                <w:rFonts w:ascii="Calibri-Bold" w:hAnsi="Calibri-Bold" w:cs="Calibri-Bold"/>
              </w:rPr>
              <w:t xml:space="preserve"> (specifically Stromlo Block</w:t>
            </w:r>
            <w:r w:rsidR="00986A53">
              <w:rPr>
                <w:rFonts w:ascii="Calibri-Bold" w:hAnsi="Calibri-Bold" w:cs="Calibri-Bold"/>
              </w:rPr>
              <w:t>s</w:t>
            </w:r>
            <w:r w:rsidR="005D3470">
              <w:rPr>
                <w:rFonts w:ascii="Calibri-Bold" w:hAnsi="Calibri-Bold" w:cs="Calibri-Bold"/>
              </w:rPr>
              <w:t xml:space="preserve"> 402</w:t>
            </w:r>
            <w:r w:rsidR="00986A53">
              <w:rPr>
                <w:rFonts w:ascii="Calibri-Bold" w:hAnsi="Calibri-Bold" w:cs="Calibri-Bold"/>
              </w:rPr>
              <w:t xml:space="preserve"> and </w:t>
            </w:r>
            <w:r w:rsidR="005D3470">
              <w:rPr>
                <w:rFonts w:ascii="Calibri-Bold" w:hAnsi="Calibri-Bold" w:cs="Calibri-Bold"/>
              </w:rPr>
              <w:t>403), and ensure that the community has the opportunity to input citizen science and observations</w:t>
            </w:r>
            <w:r>
              <w:rPr>
                <w:rFonts w:ascii="Calibri-Bold" w:hAnsi="Calibri-Bold" w:cs="Calibri-Bold"/>
              </w:rPr>
              <w:t>.</w:t>
            </w:r>
            <w:bookmarkEnd w:id="46"/>
          </w:p>
        </w:tc>
      </w:tr>
    </w:tbl>
    <w:p w14:paraId="6C4D99ED" w14:textId="214D625C" w:rsidR="003A7291" w:rsidRDefault="003A7291" w:rsidP="003A7291">
      <w:pPr>
        <w:pStyle w:val="Heading2"/>
      </w:pPr>
      <w:bookmarkStart w:id="47" w:name="_Toc129350719"/>
      <w:r>
        <w:t>Minister for Water, Energy and Emissions Reduction—Administrative arrangements</w:t>
      </w:r>
      <w:bookmarkEnd w:id="47"/>
    </w:p>
    <w:p w14:paraId="7816FD93" w14:textId="4526CE8D" w:rsidR="003A7291" w:rsidRDefault="003A7291" w:rsidP="003A7291">
      <w:pPr>
        <w:pStyle w:val="ListNumber2"/>
      </w:pPr>
      <w:r>
        <w:t>The Committee examined the following matters allocated to the Minister for Water, Energy and Emissions Reduction</w:t>
      </w:r>
      <w:r w:rsidR="00DF0F6B">
        <w:t xml:space="preserve"> and EPSDD</w:t>
      </w:r>
      <w:r>
        <w:t>:</w:t>
      </w:r>
    </w:p>
    <w:p w14:paraId="250AE092" w14:textId="08266A0B" w:rsidR="003A7291" w:rsidRDefault="003A7291" w:rsidP="003A7291">
      <w:pPr>
        <w:pStyle w:val="ListBullet"/>
        <w:tabs>
          <w:tab w:val="clear" w:pos="360"/>
        </w:tabs>
        <w:ind w:hanging="340"/>
      </w:pPr>
      <w:r>
        <w:t>Climate change policy;</w:t>
      </w:r>
    </w:p>
    <w:p w14:paraId="44BEE703" w14:textId="3C77B110" w:rsidR="003A7291" w:rsidRDefault="003A7291" w:rsidP="003A7291">
      <w:pPr>
        <w:pStyle w:val="ListBullet"/>
        <w:tabs>
          <w:tab w:val="clear" w:pos="360"/>
        </w:tabs>
        <w:ind w:hanging="340"/>
      </w:pPr>
      <w:r>
        <w:t>Energy policy and energy efficiency programs (including zero emissions vehicle policy);</w:t>
      </w:r>
    </w:p>
    <w:p w14:paraId="56D07652" w14:textId="27C86D6C" w:rsidR="003A7291" w:rsidRDefault="003A7291" w:rsidP="003A7291">
      <w:pPr>
        <w:pStyle w:val="ListBullet"/>
        <w:tabs>
          <w:tab w:val="clear" w:pos="360"/>
        </w:tabs>
        <w:ind w:hanging="340"/>
      </w:pPr>
      <w:r>
        <w:t>Sustainability of government services and assets;</w:t>
      </w:r>
    </w:p>
    <w:p w14:paraId="4F1A8A52" w14:textId="0B752D5E" w:rsidR="003A7291" w:rsidRDefault="003A7291" w:rsidP="003A7291">
      <w:pPr>
        <w:pStyle w:val="ListBullet"/>
        <w:tabs>
          <w:tab w:val="clear" w:pos="360"/>
        </w:tabs>
        <w:ind w:hanging="340"/>
      </w:pPr>
      <w:r>
        <w:t>Water efficiency programs; and</w:t>
      </w:r>
    </w:p>
    <w:p w14:paraId="295A16DD" w14:textId="1BF13E54" w:rsidR="003A7291" w:rsidRDefault="003A7291" w:rsidP="003A7291">
      <w:pPr>
        <w:pStyle w:val="ListBullet"/>
        <w:tabs>
          <w:tab w:val="clear" w:pos="360"/>
        </w:tabs>
        <w:ind w:hanging="340"/>
      </w:pPr>
      <w:r>
        <w:t>Water policy.</w:t>
      </w:r>
      <w:r>
        <w:rPr>
          <w:rStyle w:val="FootnoteReference"/>
        </w:rPr>
        <w:footnoteReference w:id="70"/>
      </w:r>
    </w:p>
    <w:p w14:paraId="218FAFFE" w14:textId="6BA87404" w:rsidR="003A7291" w:rsidRDefault="003A7291" w:rsidP="003A7291">
      <w:pPr>
        <w:pStyle w:val="Heading2"/>
      </w:pPr>
      <w:bookmarkStart w:id="48" w:name="_Toc129350720"/>
      <w:r>
        <w:t>Minister for Gaming—Administrative arrangements</w:t>
      </w:r>
      <w:bookmarkEnd w:id="48"/>
    </w:p>
    <w:p w14:paraId="205F6E0E" w14:textId="677B6D72" w:rsidR="003A7291" w:rsidRDefault="003A7291" w:rsidP="003A7291">
      <w:pPr>
        <w:pStyle w:val="ListNumber2"/>
      </w:pPr>
      <w:r>
        <w:t>The Committee examined the following matters allocated to the Minister for Gaming</w:t>
      </w:r>
      <w:r w:rsidR="00DF0F6B">
        <w:t xml:space="preserve"> and EPSDD</w:t>
      </w:r>
      <w:r>
        <w:t>:</w:t>
      </w:r>
    </w:p>
    <w:p w14:paraId="4D8A86AD" w14:textId="3F5E35F1" w:rsidR="003A7291" w:rsidRDefault="003A7291" w:rsidP="003A7291">
      <w:pPr>
        <w:pStyle w:val="ListBullet"/>
        <w:tabs>
          <w:tab w:val="clear" w:pos="360"/>
        </w:tabs>
        <w:ind w:hanging="340"/>
      </w:pPr>
      <w:r>
        <w:t>Club buildings energy efficiency fund.</w:t>
      </w:r>
      <w:r>
        <w:rPr>
          <w:rStyle w:val="FootnoteReference"/>
        </w:rPr>
        <w:footnoteReference w:id="71"/>
      </w:r>
    </w:p>
    <w:p w14:paraId="2D5617BC" w14:textId="77777777" w:rsidR="003A7291" w:rsidRPr="00AD5C04" w:rsidRDefault="003A7291" w:rsidP="003A7291">
      <w:pPr>
        <w:pStyle w:val="Heading3"/>
      </w:pPr>
      <w:bookmarkStart w:id="49" w:name="_Toc129350721"/>
      <w:r w:rsidRPr="00AD5C04">
        <w:lastRenderedPageBreak/>
        <w:t>Matters considered</w:t>
      </w:r>
      <w:bookmarkEnd w:id="49"/>
    </w:p>
    <w:p w14:paraId="5AD940D7" w14:textId="26B7114D" w:rsidR="003A7291" w:rsidRDefault="003A7291" w:rsidP="003A7291">
      <w:pPr>
        <w:pStyle w:val="ListNumber2"/>
      </w:pPr>
      <w:r w:rsidRPr="00C04DBC">
        <w:t xml:space="preserve">During the </w:t>
      </w:r>
      <w:r>
        <w:t>Minister for Water, Energy and Emissions Reduction and Minister for Gaming’s</w:t>
      </w:r>
      <w:r w:rsidRPr="00C04DBC">
        <w:t xml:space="preserve"> appearance before the Committee on </w:t>
      </w:r>
      <w:r>
        <w:t>7 November</w:t>
      </w:r>
      <w:r w:rsidRPr="00C04DBC">
        <w:t xml:space="preserve"> 2022</w:t>
      </w:r>
      <w:r>
        <w:t>,</w:t>
      </w:r>
      <w:r w:rsidRPr="00C04DBC">
        <w:t xml:space="preserve"> the following matters were considered</w:t>
      </w:r>
      <w:r>
        <w:t>:</w:t>
      </w:r>
    </w:p>
    <w:p w14:paraId="5B996520" w14:textId="6A3EBA99" w:rsidR="003A7291" w:rsidRDefault="00B52484" w:rsidP="003A7291">
      <w:pPr>
        <w:pStyle w:val="ListBullet2"/>
      </w:pPr>
      <w:r>
        <w:t>Community clubs program and energy efficiency</w:t>
      </w:r>
      <w:r w:rsidR="003A7291">
        <w:t>;</w:t>
      </w:r>
      <w:r w:rsidR="003A7291">
        <w:rPr>
          <w:rStyle w:val="FootnoteReference"/>
        </w:rPr>
        <w:footnoteReference w:id="72"/>
      </w:r>
    </w:p>
    <w:p w14:paraId="26C9617B" w14:textId="2A81F38C" w:rsidR="003A7291" w:rsidRDefault="00B52484" w:rsidP="003A7291">
      <w:pPr>
        <w:pStyle w:val="ListBullet2"/>
      </w:pPr>
      <w:r>
        <w:t>Smoke and heat refuges</w:t>
      </w:r>
      <w:r w:rsidR="003A7291">
        <w:t>;</w:t>
      </w:r>
      <w:r w:rsidR="003A7291">
        <w:rPr>
          <w:rStyle w:val="FootnoteReference"/>
        </w:rPr>
        <w:footnoteReference w:id="73"/>
      </w:r>
    </w:p>
    <w:p w14:paraId="566908D1" w14:textId="53941239" w:rsidR="00B52484" w:rsidRDefault="00B52484" w:rsidP="003A7291">
      <w:pPr>
        <w:pStyle w:val="ListBullet2"/>
      </w:pPr>
      <w:r>
        <w:t>Alcohol and gambling products at refuge locations;</w:t>
      </w:r>
      <w:r w:rsidR="005D6510">
        <w:rPr>
          <w:rStyle w:val="FootnoteReference"/>
        </w:rPr>
        <w:footnoteReference w:id="74"/>
      </w:r>
    </w:p>
    <w:p w14:paraId="3B261BC7" w14:textId="2AFC526D" w:rsidR="00B52484" w:rsidRDefault="00B52484" w:rsidP="003A7291">
      <w:pPr>
        <w:pStyle w:val="ListBullet2"/>
      </w:pPr>
      <w:r>
        <w:t>Emissions reduction;</w:t>
      </w:r>
      <w:r w:rsidR="005D6510">
        <w:rPr>
          <w:rStyle w:val="FootnoteReference"/>
        </w:rPr>
        <w:footnoteReference w:id="75"/>
      </w:r>
    </w:p>
    <w:p w14:paraId="7CCBB75F" w14:textId="38C0A849" w:rsidR="00B52484" w:rsidRDefault="00B52484" w:rsidP="003A7291">
      <w:pPr>
        <w:pStyle w:val="ListBullet2"/>
      </w:pPr>
      <w:r>
        <w:t>Renewable electricity target;</w:t>
      </w:r>
      <w:r w:rsidR="005D6510">
        <w:rPr>
          <w:rStyle w:val="FootnoteReference"/>
        </w:rPr>
        <w:footnoteReference w:id="76"/>
      </w:r>
    </w:p>
    <w:p w14:paraId="32176320" w14:textId="07EFE1E8" w:rsidR="00B52484" w:rsidRDefault="00B52484" w:rsidP="003A7291">
      <w:pPr>
        <w:pStyle w:val="ListBullet2"/>
      </w:pPr>
      <w:r>
        <w:t>Energy reliability;</w:t>
      </w:r>
      <w:r w:rsidR="005D6510">
        <w:rPr>
          <w:rStyle w:val="FootnoteReference"/>
        </w:rPr>
        <w:footnoteReference w:id="77"/>
      </w:r>
    </w:p>
    <w:p w14:paraId="3426EC06" w14:textId="42F887D5" w:rsidR="00B52484" w:rsidRDefault="00B52484" w:rsidP="003A7291">
      <w:pPr>
        <w:pStyle w:val="ListBullet2"/>
      </w:pPr>
      <w:r>
        <w:t>Gas connections and gas appliances;</w:t>
      </w:r>
      <w:r w:rsidR="005D6510">
        <w:rPr>
          <w:rStyle w:val="FootnoteReference"/>
        </w:rPr>
        <w:footnoteReference w:id="78"/>
      </w:r>
    </w:p>
    <w:p w14:paraId="24DF219C" w14:textId="60E2AF69" w:rsidR="00B52484" w:rsidRDefault="00B52484" w:rsidP="003A7291">
      <w:pPr>
        <w:pStyle w:val="ListBullet2"/>
      </w:pPr>
      <w:r>
        <w:t>Electric vehicles;</w:t>
      </w:r>
      <w:r w:rsidR="005D6510">
        <w:rPr>
          <w:rStyle w:val="FootnoteReference"/>
        </w:rPr>
        <w:footnoteReference w:id="79"/>
      </w:r>
    </w:p>
    <w:p w14:paraId="7B322340" w14:textId="0D5877FC" w:rsidR="00B52484" w:rsidRDefault="00B52484" w:rsidP="003A7291">
      <w:pPr>
        <w:pStyle w:val="ListBullet2"/>
      </w:pPr>
      <w:r>
        <w:t>ACT Climate Change Strategy;</w:t>
      </w:r>
      <w:r w:rsidR="005D6510">
        <w:rPr>
          <w:rStyle w:val="FootnoteReference"/>
        </w:rPr>
        <w:footnoteReference w:id="80"/>
      </w:r>
    </w:p>
    <w:p w14:paraId="5B502EAD" w14:textId="5DB2470E" w:rsidR="00B52484" w:rsidRDefault="00B52484" w:rsidP="003A7291">
      <w:pPr>
        <w:pStyle w:val="ListBullet2"/>
      </w:pPr>
      <w:r>
        <w:t>ACT Climate Change Council;</w:t>
      </w:r>
      <w:r w:rsidR="005D6510">
        <w:rPr>
          <w:rStyle w:val="FootnoteReference"/>
        </w:rPr>
        <w:footnoteReference w:id="81"/>
      </w:r>
    </w:p>
    <w:p w14:paraId="495EDD23" w14:textId="7AF663D8" w:rsidR="00B52484" w:rsidRDefault="00B52484" w:rsidP="003A7291">
      <w:pPr>
        <w:pStyle w:val="ListBullet2"/>
      </w:pPr>
      <w:r>
        <w:t>Engagement with marginalised communities impacted by climate change;</w:t>
      </w:r>
      <w:r w:rsidR="005D6510">
        <w:rPr>
          <w:rStyle w:val="FootnoteReference"/>
        </w:rPr>
        <w:footnoteReference w:id="82"/>
      </w:r>
    </w:p>
    <w:p w14:paraId="6A590F96" w14:textId="069283F9" w:rsidR="00B52484" w:rsidRDefault="00B52484" w:rsidP="003A7291">
      <w:pPr>
        <w:pStyle w:val="ListBullet2"/>
      </w:pPr>
      <w:r>
        <w:t>Social cost of carbon;</w:t>
      </w:r>
      <w:r w:rsidR="005D6510">
        <w:rPr>
          <w:rStyle w:val="FootnoteReference"/>
        </w:rPr>
        <w:footnoteReference w:id="83"/>
      </w:r>
    </w:p>
    <w:p w14:paraId="73F795DD" w14:textId="0D54B076" w:rsidR="00B52484" w:rsidRDefault="00B52484" w:rsidP="003A7291">
      <w:pPr>
        <w:pStyle w:val="ListBullet2"/>
      </w:pPr>
      <w:r>
        <w:t>Office for Water;</w:t>
      </w:r>
      <w:r w:rsidR="005D6510">
        <w:rPr>
          <w:rStyle w:val="FootnoteReference"/>
        </w:rPr>
        <w:footnoteReference w:id="84"/>
      </w:r>
    </w:p>
    <w:p w14:paraId="560E4612" w14:textId="633BAA4B" w:rsidR="00B52484" w:rsidRDefault="0059408D" w:rsidP="003A7291">
      <w:pPr>
        <w:pStyle w:val="ListBullet2"/>
      </w:pPr>
      <w:r>
        <w:t>Drought management plan;</w:t>
      </w:r>
      <w:r w:rsidR="005D6510">
        <w:rPr>
          <w:rStyle w:val="FootnoteReference"/>
        </w:rPr>
        <w:footnoteReference w:id="85"/>
      </w:r>
    </w:p>
    <w:p w14:paraId="6139E73B" w14:textId="3829CEF5" w:rsidR="0059408D" w:rsidRDefault="0059408D" w:rsidP="003A7291">
      <w:pPr>
        <w:pStyle w:val="ListBullet2"/>
      </w:pPr>
      <w:r>
        <w:t>Energy concessions;</w:t>
      </w:r>
      <w:r w:rsidR="005D6510">
        <w:rPr>
          <w:rStyle w:val="FootnoteReference"/>
        </w:rPr>
        <w:footnoteReference w:id="86"/>
      </w:r>
    </w:p>
    <w:p w14:paraId="4F9F3475" w14:textId="404D96E2" w:rsidR="0059408D" w:rsidRDefault="0059408D" w:rsidP="003A7291">
      <w:pPr>
        <w:pStyle w:val="ListBullet2"/>
      </w:pPr>
      <w:r>
        <w:t>Follow-ups to unsatisfactory recommendations;</w:t>
      </w:r>
      <w:r w:rsidR="005D6510">
        <w:rPr>
          <w:rStyle w:val="FootnoteReference"/>
        </w:rPr>
        <w:footnoteReference w:id="87"/>
      </w:r>
    </w:p>
    <w:p w14:paraId="682B7798" w14:textId="3EA2DC76" w:rsidR="0059408D" w:rsidRDefault="0059408D" w:rsidP="003A7291">
      <w:pPr>
        <w:pStyle w:val="ListBullet2"/>
      </w:pPr>
      <w:r w:rsidRPr="0059408D">
        <w:rPr>
          <w:i/>
          <w:iCs/>
        </w:rPr>
        <w:t>2020-21 ACT greenhouse gas emissions inventory report</w:t>
      </w:r>
      <w:r>
        <w:t>;</w:t>
      </w:r>
      <w:r w:rsidR="005D6510">
        <w:rPr>
          <w:rStyle w:val="FootnoteReference"/>
        </w:rPr>
        <w:footnoteReference w:id="88"/>
      </w:r>
    </w:p>
    <w:p w14:paraId="1C291A23" w14:textId="577DFDAD" w:rsidR="0059408D" w:rsidRDefault="0059408D" w:rsidP="003A7291">
      <w:pPr>
        <w:pStyle w:val="ListBullet2"/>
      </w:pPr>
      <w:r>
        <w:t>Impact of transport emissions;</w:t>
      </w:r>
      <w:r w:rsidR="005D6510">
        <w:rPr>
          <w:rStyle w:val="FootnoteReference"/>
        </w:rPr>
        <w:footnoteReference w:id="89"/>
      </w:r>
    </w:p>
    <w:p w14:paraId="60CC8F03" w14:textId="2F2A5FB5" w:rsidR="0059408D" w:rsidRDefault="0059408D" w:rsidP="003A7291">
      <w:pPr>
        <w:pStyle w:val="ListBullet2"/>
      </w:pPr>
      <w:r>
        <w:lastRenderedPageBreak/>
        <w:t>Flood risk and flood modelling;</w:t>
      </w:r>
      <w:r w:rsidR="00DB7C01">
        <w:rPr>
          <w:rStyle w:val="FootnoteReference"/>
        </w:rPr>
        <w:footnoteReference w:id="90"/>
      </w:r>
    </w:p>
    <w:p w14:paraId="5C03B59C" w14:textId="3D9A5257" w:rsidR="0059408D" w:rsidRDefault="0059408D" w:rsidP="003A7291">
      <w:pPr>
        <w:pStyle w:val="ListBullet2"/>
      </w:pPr>
      <w:r w:rsidRPr="0059408D">
        <w:rPr>
          <w:i/>
          <w:iCs/>
        </w:rPr>
        <w:t>2021 Non-portable water review final report</w:t>
      </w:r>
      <w:r>
        <w:t>;</w:t>
      </w:r>
      <w:r w:rsidR="00DB7C01">
        <w:rPr>
          <w:rStyle w:val="FootnoteReference"/>
        </w:rPr>
        <w:footnoteReference w:id="91"/>
      </w:r>
    </w:p>
    <w:p w14:paraId="3302D497" w14:textId="38DCC8A3" w:rsidR="0059408D" w:rsidRDefault="0059408D" w:rsidP="003A7291">
      <w:pPr>
        <w:pStyle w:val="ListBullet2"/>
      </w:pPr>
      <w:r>
        <w:t>Risk management activities;</w:t>
      </w:r>
      <w:r w:rsidR="005D6510">
        <w:rPr>
          <w:rStyle w:val="FootnoteReference"/>
        </w:rPr>
        <w:footnoteReference w:id="92"/>
      </w:r>
    </w:p>
    <w:p w14:paraId="2426800E" w14:textId="35D5D73B" w:rsidR="0059408D" w:rsidRDefault="005D6510" w:rsidP="003A7291">
      <w:pPr>
        <w:pStyle w:val="ListBullet2"/>
      </w:pPr>
      <w:r>
        <w:t>Climate justice;</w:t>
      </w:r>
      <w:r>
        <w:rPr>
          <w:rStyle w:val="FootnoteReference"/>
        </w:rPr>
        <w:footnoteReference w:id="93"/>
      </w:r>
    </w:p>
    <w:p w14:paraId="104A14D6" w14:textId="6488D239" w:rsidR="005D6510" w:rsidRDefault="005D6510" w:rsidP="003A7291">
      <w:pPr>
        <w:pStyle w:val="ListBullet2"/>
      </w:pPr>
      <w:r>
        <w:t>New energy performance standards for rental properties;</w:t>
      </w:r>
      <w:r>
        <w:rPr>
          <w:rStyle w:val="FootnoteReference"/>
        </w:rPr>
        <w:footnoteReference w:id="94"/>
      </w:r>
    </w:p>
    <w:p w14:paraId="7F138F5F" w14:textId="1A1A4A7A" w:rsidR="005D6510" w:rsidRDefault="005D6510" w:rsidP="003A7291">
      <w:pPr>
        <w:pStyle w:val="ListBullet2"/>
      </w:pPr>
      <w:r>
        <w:t>Leaf Collective program;</w:t>
      </w:r>
      <w:r>
        <w:rPr>
          <w:rStyle w:val="FootnoteReference"/>
        </w:rPr>
        <w:footnoteReference w:id="95"/>
      </w:r>
      <w:r>
        <w:t xml:space="preserve"> and</w:t>
      </w:r>
    </w:p>
    <w:p w14:paraId="5C101505" w14:textId="6754E96C" w:rsidR="005D6510" w:rsidRDefault="005D6510" w:rsidP="003A7291">
      <w:pPr>
        <w:pStyle w:val="ListBullet2"/>
      </w:pPr>
      <w:r>
        <w:t>Pollution.</w:t>
      </w:r>
      <w:r>
        <w:rPr>
          <w:rStyle w:val="FootnoteReference"/>
        </w:rPr>
        <w:footnoteReference w:id="96"/>
      </w:r>
    </w:p>
    <w:p w14:paraId="49CF525E" w14:textId="44302079" w:rsidR="006060F4" w:rsidRDefault="006060F4" w:rsidP="0031279C">
      <w:pPr>
        <w:pStyle w:val="ListNumber2"/>
        <w:numPr>
          <w:ilvl w:val="0"/>
          <w:numId w:val="0"/>
        </w:numPr>
        <w:ind w:left="851" w:hanging="851"/>
      </w:pPr>
    </w:p>
    <w:p w14:paraId="2A580DD1" w14:textId="4E1C227D" w:rsidR="006060F4" w:rsidRPr="007761CF" w:rsidRDefault="006060F4" w:rsidP="006060F4">
      <w:pPr>
        <w:pStyle w:val="Heading1"/>
        <w:pageBreakBefore/>
      </w:pPr>
      <w:bookmarkStart w:id="50" w:name="_Toc129350722"/>
      <w:r>
        <w:lastRenderedPageBreak/>
        <w:t>Office of the Commissioner for Sustainability and the Environment</w:t>
      </w:r>
      <w:bookmarkEnd w:id="50"/>
    </w:p>
    <w:p w14:paraId="0F16E704" w14:textId="77777777" w:rsidR="006060F4" w:rsidRPr="00E31058" w:rsidRDefault="006060F4" w:rsidP="006060F4">
      <w:pPr>
        <w:pStyle w:val="ListNumber2"/>
        <w:rPr>
          <w:bdr w:val="nil"/>
        </w:rPr>
      </w:pPr>
      <w:r w:rsidRPr="00E31058">
        <w:rPr>
          <w:bdr w:val="nil"/>
        </w:rPr>
        <w:t xml:space="preserve">The ACT Commissioner for Sustainability and the Environment (the Commissioner) is appointed under the </w:t>
      </w:r>
      <w:r w:rsidRPr="00E31058">
        <w:rPr>
          <w:i/>
          <w:iCs/>
          <w:bdr w:val="nil"/>
        </w:rPr>
        <w:t>Commissioner for Sustainability and the Environment Act 1993</w:t>
      </w:r>
      <w:r w:rsidRPr="00E31058">
        <w:rPr>
          <w:bdr w:val="nil"/>
        </w:rPr>
        <w:t xml:space="preserve"> and is accountable to the </w:t>
      </w:r>
      <w:r>
        <w:rPr>
          <w:bdr w:val="nil"/>
        </w:rPr>
        <w:t xml:space="preserve">ACT </w:t>
      </w:r>
      <w:r w:rsidRPr="00E31058">
        <w:rPr>
          <w:bdr w:val="nil"/>
        </w:rPr>
        <w:t>Legislative Assembly through the Minister for the Environment.</w:t>
      </w:r>
      <w:r>
        <w:rPr>
          <w:rStyle w:val="FootnoteReference"/>
          <w:bdr w:val="nil"/>
        </w:rPr>
        <w:footnoteReference w:id="97"/>
      </w:r>
      <w:r w:rsidRPr="00E31058">
        <w:rPr>
          <w:bdr w:val="nil"/>
        </w:rPr>
        <w:t xml:space="preserve"> </w:t>
      </w:r>
    </w:p>
    <w:p w14:paraId="7CA940FE" w14:textId="77777777" w:rsidR="006060F4" w:rsidRPr="00E31058" w:rsidRDefault="006060F4" w:rsidP="006060F4">
      <w:pPr>
        <w:pStyle w:val="ListNumber2"/>
        <w:rPr>
          <w:bdr w:val="nil"/>
        </w:rPr>
      </w:pPr>
      <w:r w:rsidRPr="00E31058">
        <w:rPr>
          <w:bdr w:val="nil"/>
        </w:rPr>
        <w:t>The Commissioner for Sustainability and the Environment is an independent statutory position.</w:t>
      </w:r>
      <w:r>
        <w:rPr>
          <w:rStyle w:val="FootnoteReference"/>
          <w:bdr w:val="nil"/>
        </w:rPr>
        <w:footnoteReference w:id="98"/>
      </w:r>
    </w:p>
    <w:p w14:paraId="586E1DEB" w14:textId="77777777" w:rsidR="006060F4" w:rsidRPr="00AD5C04" w:rsidRDefault="006060F4" w:rsidP="006060F4">
      <w:pPr>
        <w:pStyle w:val="Heading3"/>
      </w:pPr>
      <w:bookmarkStart w:id="51" w:name="_Toc129350723"/>
      <w:r w:rsidRPr="00AD5C04">
        <w:t>Matters considered</w:t>
      </w:r>
      <w:bookmarkEnd w:id="51"/>
    </w:p>
    <w:p w14:paraId="137E94E5" w14:textId="77777777" w:rsidR="006060F4" w:rsidRDefault="006060F4" w:rsidP="006060F4">
      <w:pPr>
        <w:pStyle w:val="ListNumber2"/>
      </w:pPr>
      <w:r w:rsidRPr="00C04DBC">
        <w:t>During the</w:t>
      </w:r>
      <w:r>
        <w:t xml:space="preserve"> Commissioner’s</w:t>
      </w:r>
      <w:r w:rsidRPr="00C04DBC">
        <w:t xml:space="preserve"> appearance before the Committee on </w:t>
      </w:r>
      <w:r>
        <w:t>1 November</w:t>
      </w:r>
      <w:r w:rsidRPr="00C04DBC">
        <w:t xml:space="preserve"> 2022</w:t>
      </w:r>
      <w:r>
        <w:t>,</w:t>
      </w:r>
      <w:r w:rsidRPr="00C04DBC">
        <w:t xml:space="preserve"> the following matters were considered</w:t>
      </w:r>
      <w:r>
        <w:t>:</w:t>
      </w:r>
    </w:p>
    <w:p w14:paraId="7A22C478" w14:textId="77777777" w:rsidR="006060F4" w:rsidRDefault="006060F4" w:rsidP="006060F4">
      <w:pPr>
        <w:pStyle w:val="ListBullet2"/>
      </w:pPr>
      <w:r>
        <w:t>Scope 3 greenhouse gas emissions;</w:t>
      </w:r>
      <w:r>
        <w:rPr>
          <w:rStyle w:val="FootnoteReference"/>
        </w:rPr>
        <w:footnoteReference w:id="99"/>
      </w:r>
    </w:p>
    <w:p w14:paraId="22D8210A" w14:textId="77777777" w:rsidR="006060F4" w:rsidRDefault="006060F4" w:rsidP="006060F4">
      <w:pPr>
        <w:pStyle w:val="ListBullet2"/>
      </w:pPr>
      <w:r>
        <w:t xml:space="preserve">ACT Government’s draft </w:t>
      </w:r>
      <w:r w:rsidRPr="00E3506E">
        <w:rPr>
          <w:i/>
          <w:iCs/>
        </w:rPr>
        <w:t>Circular economy strategy 2022-25</w:t>
      </w:r>
      <w:r>
        <w:t>;</w:t>
      </w:r>
      <w:r>
        <w:rPr>
          <w:rStyle w:val="FootnoteReference"/>
        </w:rPr>
        <w:footnoteReference w:id="100"/>
      </w:r>
    </w:p>
    <w:p w14:paraId="58783068" w14:textId="21D2E8D5" w:rsidR="006060F4" w:rsidRDefault="000C635C" w:rsidP="006060F4">
      <w:pPr>
        <w:pStyle w:val="ListBullet2"/>
      </w:pPr>
      <w:r>
        <w:t xml:space="preserve">Follow-ups </w:t>
      </w:r>
      <w:r w:rsidR="0059408D">
        <w:t>to</w:t>
      </w:r>
      <w:r w:rsidR="006060F4">
        <w:t xml:space="preserve"> unsatisfactory recommendations;</w:t>
      </w:r>
      <w:r w:rsidR="006060F4">
        <w:rPr>
          <w:rStyle w:val="FootnoteReference"/>
        </w:rPr>
        <w:footnoteReference w:id="101"/>
      </w:r>
    </w:p>
    <w:p w14:paraId="15E5F354" w14:textId="77777777" w:rsidR="006060F4" w:rsidRDefault="006060F4" w:rsidP="006060F4">
      <w:pPr>
        <w:pStyle w:val="ListBullet2"/>
      </w:pPr>
      <w:r w:rsidRPr="00E3506E">
        <w:rPr>
          <w:i/>
          <w:iCs/>
        </w:rPr>
        <w:t>State of the environment</w:t>
      </w:r>
      <w:r>
        <w:t xml:space="preserve"> report;</w:t>
      </w:r>
      <w:r>
        <w:rPr>
          <w:rStyle w:val="FootnoteReference"/>
        </w:rPr>
        <w:footnoteReference w:id="102"/>
      </w:r>
    </w:p>
    <w:p w14:paraId="31B4A66C" w14:textId="77777777" w:rsidR="006060F4" w:rsidRDefault="006060F4" w:rsidP="006060F4">
      <w:pPr>
        <w:pStyle w:val="ListBullet2"/>
      </w:pPr>
      <w:r>
        <w:rPr>
          <w:i/>
          <w:iCs/>
        </w:rPr>
        <w:t xml:space="preserve">2018 </w:t>
      </w:r>
      <w:r w:rsidRPr="001645A8">
        <w:rPr>
          <w:i/>
          <w:iCs/>
        </w:rPr>
        <w:t>Independent audit of the Molonglo Valley strategic assessment</w:t>
      </w:r>
      <w:r>
        <w:t xml:space="preserve"> report;</w:t>
      </w:r>
      <w:r>
        <w:rPr>
          <w:rStyle w:val="FootnoteReference"/>
        </w:rPr>
        <w:footnoteReference w:id="103"/>
      </w:r>
    </w:p>
    <w:p w14:paraId="7A614CF4" w14:textId="7BB28B12" w:rsidR="006060F4" w:rsidRDefault="006060F4" w:rsidP="006060F4">
      <w:pPr>
        <w:pStyle w:val="ListBullet2"/>
      </w:pPr>
      <w:r>
        <w:rPr>
          <w:i/>
          <w:iCs/>
        </w:rPr>
        <w:t xml:space="preserve">2019 </w:t>
      </w:r>
      <w:r w:rsidRPr="001645A8">
        <w:rPr>
          <w:i/>
          <w:iCs/>
        </w:rPr>
        <w:t xml:space="preserve">ACT </w:t>
      </w:r>
      <w:r w:rsidR="006525F6">
        <w:rPr>
          <w:i/>
          <w:iCs/>
        </w:rPr>
        <w:t>S</w:t>
      </w:r>
      <w:r w:rsidRPr="001645A8">
        <w:rPr>
          <w:i/>
          <w:iCs/>
        </w:rPr>
        <w:t xml:space="preserve">tate of the </w:t>
      </w:r>
      <w:r w:rsidR="006525F6">
        <w:rPr>
          <w:i/>
          <w:iCs/>
        </w:rPr>
        <w:t>E</w:t>
      </w:r>
      <w:r w:rsidRPr="001645A8">
        <w:rPr>
          <w:i/>
          <w:iCs/>
        </w:rPr>
        <w:t>nvironment</w:t>
      </w:r>
      <w:r>
        <w:t xml:space="preserve"> report;</w:t>
      </w:r>
      <w:r>
        <w:rPr>
          <w:rStyle w:val="FootnoteReference"/>
        </w:rPr>
        <w:footnoteReference w:id="104"/>
      </w:r>
    </w:p>
    <w:p w14:paraId="01D2370A" w14:textId="77777777" w:rsidR="006060F4" w:rsidRDefault="006060F4" w:rsidP="006060F4">
      <w:pPr>
        <w:pStyle w:val="ListBullet2"/>
      </w:pPr>
      <w:r>
        <w:t>Heritage grants;</w:t>
      </w:r>
      <w:r>
        <w:rPr>
          <w:rStyle w:val="FootnoteReference"/>
        </w:rPr>
        <w:footnoteReference w:id="105"/>
      </w:r>
    </w:p>
    <w:p w14:paraId="78961AA0" w14:textId="77777777" w:rsidR="006060F4" w:rsidRDefault="006060F4" w:rsidP="006060F4">
      <w:pPr>
        <w:pStyle w:val="ListBullet2"/>
      </w:pPr>
      <w:r>
        <w:t>Urban encroachment and greenfield development;</w:t>
      </w:r>
      <w:r>
        <w:rPr>
          <w:rStyle w:val="FootnoteReference"/>
        </w:rPr>
        <w:footnoteReference w:id="106"/>
      </w:r>
      <w:r>
        <w:t xml:space="preserve"> and</w:t>
      </w:r>
    </w:p>
    <w:p w14:paraId="31885B79" w14:textId="77777777" w:rsidR="006060F4" w:rsidRDefault="006060F4" w:rsidP="006060F4">
      <w:pPr>
        <w:pStyle w:val="ListBullet2"/>
      </w:pPr>
      <w:r>
        <w:rPr>
          <w:i/>
          <w:iCs/>
        </w:rPr>
        <w:t xml:space="preserve">2022 </w:t>
      </w:r>
      <w:r w:rsidRPr="001645A8">
        <w:rPr>
          <w:i/>
          <w:iCs/>
        </w:rPr>
        <w:t>State of the lakes and waterways in the ACT</w:t>
      </w:r>
      <w:r>
        <w:t xml:space="preserve"> report.</w:t>
      </w:r>
      <w:r>
        <w:rPr>
          <w:rStyle w:val="FootnoteReference"/>
        </w:rPr>
        <w:footnoteReference w:id="107"/>
      </w:r>
    </w:p>
    <w:p w14:paraId="5729F85D" w14:textId="77777777" w:rsidR="006060F4" w:rsidRDefault="006060F4" w:rsidP="006060F4">
      <w:pPr>
        <w:pStyle w:val="Heading3"/>
      </w:pPr>
      <w:bookmarkStart w:id="52" w:name="_Toc129350724"/>
      <w:r w:rsidRPr="00AD5C04">
        <w:t>Key Issues</w:t>
      </w:r>
      <w:bookmarkEnd w:id="52"/>
    </w:p>
    <w:p w14:paraId="0029E599" w14:textId="4C2B1823" w:rsidR="006060F4" w:rsidRPr="00AD5C04" w:rsidRDefault="006060F4" w:rsidP="006060F4">
      <w:pPr>
        <w:pStyle w:val="Heading4"/>
      </w:pPr>
      <w:r>
        <w:t>I</w:t>
      </w:r>
      <w:r w:rsidR="00885383">
        <w:t>mpacts of urban development and encroachment</w:t>
      </w:r>
    </w:p>
    <w:p w14:paraId="6259E1F1" w14:textId="4EAD7736" w:rsidR="006060F4" w:rsidRDefault="006525F6" w:rsidP="006060F4">
      <w:pPr>
        <w:pStyle w:val="ListNumber2"/>
      </w:pPr>
      <w:r>
        <w:t xml:space="preserve">The Committee </w:t>
      </w:r>
      <w:r w:rsidR="003D2D46">
        <w:t>observed</w:t>
      </w:r>
      <w:r>
        <w:t xml:space="preserve"> that in the Office of the Commissioner for Sustainability and the Environment’s (OCSE) annual and financial report 2021-22, </w:t>
      </w:r>
      <w:r w:rsidR="003D2D46">
        <w:t>it stated that:</w:t>
      </w:r>
    </w:p>
    <w:p w14:paraId="65343A12" w14:textId="1FB48910" w:rsidR="003D2D46" w:rsidRDefault="003D2D46" w:rsidP="003D2D46">
      <w:pPr>
        <w:pStyle w:val="Quote"/>
      </w:pPr>
      <w:r>
        <w:lastRenderedPageBreak/>
        <w:t>It is of critical priority that we pause ever-expanding our city and instead embrace the challenge of creating liveable, efficient and sustainable future housing that sits within our current footprint.</w:t>
      </w:r>
      <w:r>
        <w:rPr>
          <w:rStyle w:val="FootnoteReference"/>
        </w:rPr>
        <w:footnoteReference w:id="108"/>
      </w:r>
    </w:p>
    <w:p w14:paraId="0E98C333" w14:textId="20958A07" w:rsidR="003D2D46" w:rsidRDefault="00DE5D52" w:rsidP="008649DE">
      <w:pPr>
        <w:pStyle w:val="ListNumber2"/>
      </w:pPr>
      <w:r>
        <w:t xml:space="preserve">In relation to the </w:t>
      </w:r>
      <w:r w:rsidR="003D2D46">
        <w:t>statement</w:t>
      </w:r>
      <w:r>
        <w:t>, Dr Sophie Lewis, the Commissioner, further noted that research on urban encroachment ‘</w:t>
      </w:r>
      <w:r w:rsidR="003D2D46">
        <w:t xml:space="preserve">will be central to </w:t>
      </w:r>
      <w:r w:rsidR="008649DE">
        <w:t>the OCSE’s</w:t>
      </w:r>
      <w:r w:rsidR="003D2D46">
        <w:t xml:space="preserve"> forthcoming </w:t>
      </w:r>
      <w:r>
        <w:rPr>
          <w:i/>
          <w:iCs/>
        </w:rPr>
        <w:t>2023 A</w:t>
      </w:r>
      <w:r w:rsidR="003D2D46" w:rsidRPr="00DE5D52">
        <w:rPr>
          <w:i/>
          <w:iCs/>
        </w:rPr>
        <w:t>CT state of the environment</w:t>
      </w:r>
      <w:r w:rsidR="003D2D46">
        <w:t xml:space="preserve"> report</w:t>
      </w:r>
      <w:r>
        <w:t>’ and</w:t>
      </w:r>
      <w:r w:rsidR="008649DE">
        <w:t xml:space="preserve"> that they ‘will look </w:t>
      </w:r>
      <w:r w:rsidR="003D2D46">
        <w:t>at the impact of expansion on those various aspects of our environment</w:t>
      </w:r>
      <w:r w:rsidR="008649DE">
        <w:t>, such as vegetation clearance, degraded land conditions, expansion of invasive species, increased resource demand, and threats to biodiversity’</w:t>
      </w:r>
      <w:r w:rsidR="003D2D46">
        <w:t>.</w:t>
      </w:r>
      <w:r w:rsidR="008649DE">
        <w:rPr>
          <w:rStyle w:val="FootnoteReference"/>
        </w:rPr>
        <w:footnoteReference w:id="109"/>
      </w:r>
    </w:p>
    <w:p w14:paraId="62DD5BB7" w14:textId="3F39A58C" w:rsidR="00851CCA" w:rsidRDefault="008649DE" w:rsidP="00A638E3">
      <w:pPr>
        <w:pStyle w:val="ListNumber2"/>
      </w:pPr>
      <w:r>
        <w:t xml:space="preserve">Additionally, </w:t>
      </w:r>
      <w:r w:rsidR="00F14569">
        <w:t xml:space="preserve">Mr Sean Grimes, Director of the Sustainability, Environmental Assessments and Reporting Unit, </w:t>
      </w:r>
      <w:r w:rsidR="00851CCA">
        <w:t>stated that ‘there were a lot of impacts’ from urban encroachment</w:t>
      </w:r>
      <w:r>
        <w:t xml:space="preserve"> and that it is an issue the OCSE are familiar with</w:t>
      </w:r>
      <w:r w:rsidR="00A638E3">
        <w:t>:</w:t>
      </w:r>
      <w:r w:rsidR="00851CCA">
        <w:rPr>
          <w:rStyle w:val="FootnoteReference"/>
        </w:rPr>
        <w:footnoteReference w:id="110"/>
      </w:r>
    </w:p>
    <w:p w14:paraId="6170892E" w14:textId="3ED6EDC3" w:rsidR="00851CCA" w:rsidRPr="00851CCA" w:rsidRDefault="00851CCA" w:rsidP="00851CCA">
      <w:pPr>
        <w:pStyle w:val="Quote"/>
      </w:pPr>
      <w:r>
        <w:t xml:space="preserve">It </w:t>
      </w:r>
      <w:r w:rsidR="00A638E3">
        <w:t xml:space="preserve">[urban encroachment] </w:t>
      </w:r>
      <w:r>
        <w:t>is something you could probably talk about for several hours but it is something that we have identified and we propose at this stage to have a separate chapter in the next SoE about urban development, its impacts and management.</w:t>
      </w:r>
      <w:r>
        <w:rPr>
          <w:rStyle w:val="FootnoteReference"/>
        </w:rPr>
        <w:footnoteReference w:id="111"/>
      </w:r>
    </w:p>
    <w:p w14:paraId="01C1600E" w14:textId="77777777" w:rsidR="006060F4" w:rsidRDefault="006060F4" w:rsidP="006060F4">
      <w:pPr>
        <w:pStyle w:val="Heading5"/>
      </w:pPr>
      <w:r>
        <w:t>Committee comment</w:t>
      </w:r>
    </w:p>
    <w:p w14:paraId="242ACCA4" w14:textId="3F70CB0C" w:rsidR="004F15D8" w:rsidRDefault="00A638E3" w:rsidP="006060F4">
      <w:pPr>
        <w:pStyle w:val="ListNumber2"/>
      </w:pPr>
      <w:r>
        <w:t xml:space="preserve">The Committee acknowledges that as Canberra </w:t>
      </w:r>
      <w:r w:rsidR="00D22C42">
        <w:t xml:space="preserve">continues to </w:t>
      </w:r>
      <w:r>
        <w:t>grow</w:t>
      </w:r>
      <w:r w:rsidR="004F15D8">
        <w:t xml:space="preserve">, </w:t>
      </w:r>
      <w:r w:rsidR="00D22C42">
        <w:t>there will be increased environmental pressures across the Territory, especially as the landscape changes through the conversion of rural and natural land into urban zones.</w:t>
      </w:r>
      <w:r w:rsidR="00A7527C">
        <w:t xml:space="preserve"> </w:t>
      </w:r>
      <w:r w:rsidR="004F15D8">
        <w:t xml:space="preserve">However, </w:t>
      </w:r>
      <w:r w:rsidR="00911266">
        <w:t xml:space="preserve">the Committee is of the view that </w:t>
      </w:r>
      <w:r w:rsidR="004F15D8">
        <w:t>expanded urban development frequently impacts areas that hold significant environmental value, and greenfield development increase</w:t>
      </w:r>
      <w:r w:rsidR="00911266">
        <w:t>s</w:t>
      </w:r>
      <w:r w:rsidR="004F15D8">
        <w:t xml:space="preserve"> demand</w:t>
      </w:r>
      <w:r w:rsidR="00911266">
        <w:t xml:space="preserve"> on resources, such as a need for additional infrastructure and greater dependence on private transport</w:t>
      </w:r>
      <w:r w:rsidR="004F15D8">
        <w:t>.</w:t>
      </w:r>
    </w:p>
    <w:p w14:paraId="40242E19" w14:textId="6D3CE3D4" w:rsidR="00885383" w:rsidRPr="00DB65A8" w:rsidRDefault="00885383" w:rsidP="006060F4">
      <w:pPr>
        <w:pStyle w:val="ListNumber2"/>
      </w:pPr>
      <w:r>
        <w:t>For th</w:t>
      </w:r>
      <w:r w:rsidR="004F15D8">
        <w:t>ese</w:t>
      </w:r>
      <w:r>
        <w:t xml:space="preserve"> reason</w:t>
      </w:r>
      <w:r w:rsidR="004F15D8">
        <w:t>s</w:t>
      </w:r>
      <w:r>
        <w:t xml:space="preserve">, the Committee would like to see more details on the impacts of </w:t>
      </w:r>
      <w:r w:rsidR="00D22C42">
        <w:t xml:space="preserve">continued </w:t>
      </w:r>
      <w:r>
        <w:t>urban development and encroachment</w:t>
      </w:r>
      <w:r w:rsidR="00D22C42">
        <w:t xml:space="preserve"> in the next </w:t>
      </w:r>
      <w:r w:rsidR="00D22C42">
        <w:rPr>
          <w:i/>
          <w:iCs/>
        </w:rPr>
        <w:t>2023 A</w:t>
      </w:r>
      <w:r w:rsidR="00D22C42" w:rsidRPr="00D22C42">
        <w:rPr>
          <w:i/>
          <w:iCs/>
        </w:rPr>
        <w:t>CT State of the Environment</w:t>
      </w:r>
      <w:r w:rsidR="00D22C42">
        <w:t xml:space="preserve"> report, to identify </w:t>
      </w:r>
      <w:r w:rsidR="00911266">
        <w:t>how these factors are affecting many different environmental measures of health</w:t>
      </w:r>
      <w:r w:rsidR="004F15D8">
        <w:t>.</w:t>
      </w:r>
    </w:p>
    <w:tbl>
      <w:tblPr>
        <w:tblStyle w:val="Recommendationbox"/>
        <w:tblW w:w="0" w:type="auto"/>
        <w:tblLook w:val="04A0" w:firstRow="1" w:lastRow="0" w:firstColumn="1" w:lastColumn="0" w:noHBand="0" w:noVBand="1"/>
      </w:tblPr>
      <w:tblGrid>
        <w:gridCol w:w="8175"/>
      </w:tblGrid>
      <w:tr w:rsidR="006060F4" w14:paraId="0AC3C38B" w14:textId="77777777" w:rsidTr="00E02EB1">
        <w:tc>
          <w:tcPr>
            <w:tcW w:w="7891" w:type="dxa"/>
          </w:tcPr>
          <w:p w14:paraId="63E3FFFD" w14:textId="77777777" w:rsidR="006060F4" w:rsidRDefault="006060F4" w:rsidP="00E02EB1">
            <w:pPr>
              <w:pStyle w:val="Recommendationheading"/>
            </w:pPr>
            <w:bookmarkStart w:id="53" w:name="_Toc129350756"/>
            <w:r>
              <w:t xml:space="preserve">Recommendation </w:t>
            </w:r>
            <w:r>
              <w:fldChar w:fldCharType="begin"/>
            </w:r>
            <w:r>
              <w:instrText xml:space="preserve"> AUTONUMLGL \* Arabic\e </w:instrText>
            </w:r>
            <w:r>
              <w:fldChar w:fldCharType="end"/>
            </w:r>
            <w:bookmarkEnd w:id="53"/>
          </w:p>
          <w:p w14:paraId="3CE07A62" w14:textId="0E5B2622" w:rsidR="006060F4" w:rsidRPr="00AD5C04" w:rsidRDefault="006060F4" w:rsidP="00E02EB1">
            <w:pPr>
              <w:pStyle w:val="Recommendationbody"/>
            </w:pPr>
            <w:bookmarkStart w:id="54" w:name="_Toc129350757"/>
            <w:r>
              <w:rPr>
                <w:rFonts w:ascii="Calibri-Bold" w:hAnsi="Calibri-Bold" w:cs="Calibri-Bold"/>
              </w:rPr>
              <w:t xml:space="preserve">The Committee recommends that the </w:t>
            </w:r>
            <w:r w:rsidR="00885383">
              <w:rPr>
                <w:rFonts w:ascii="Calibri-Bold" w:hAnsi="Calibri-Bold" w:cs="Calibri-Bold"/>
              </w:rPr>
              <w:t xml:space="preserve">Office of the Commissioner for Sustainability and the Environment provide more details on the impacts of urban development and encroachment on the environment in its next </w:t>
            </w:r>
            <w:r w:rsidR="00885383" w:rsidRPr="00D22C42">
              <w:rPr>
                <w:rFonts w:ascii="Calibri-Bold" w:hAnsi="Calibri-Bold" w:cs="Calibri-Bold"/>
                <w:i/>
                <w:iCs/>
              </w:rPr>
              <w:t>ACT State of the Environment</w:t>
            </w:r>
            <w:r w:rsidR="00885383">
              <w:rPr>
                <w:rFonts w:ascii="Calibri-Bold" w:hAnsi="Calibri-Bold" w:cs="Calibri-Bold"/>
              </w:rPr>
              <w:t xml:space="preserve"> report.</w:t>
            </w:r>
            <w:bookmarkEnd w:id="54"/>
          </w:p>
        </w:tc>
      </w:tr>
    </w:tbl>
    <w:p w14:paraId="4BDF1B9F" w14:textId="72125E86" w:rsidR="00FC1430" w:rsidRPr="005E53CB" w:rsidRDefault="00FC1430" w:rsidP="00FC1430">
      <w:pPr>
        <w:pStyle w:val="Heading1"/>
        <w:pageBreakBefore/>
      </w:pPr>
      <w:bookmarkStart w:id="55" w:name="_Toc129350725"/>
      <w:r w:rsidRPr="005E53CB">
        <w:lastRenderedPageBreak/>
        <w:t>Chief Minister, Treasury and Economic Development Directorate</w:t>
      </w:r>
      <w:bookmarkEnd w:id="25"/>
      <w:bookmarkEnd w:id="55"/>
    </w:p>
    <w:p w14:paraId="49338D9C" w14:textId="77777777" w:rsidR="00FC1430" w:rsidRPr="005E53CB" w:rsidRDefault="00FC1430" w:rsidP="00FC1430">
      <w:pPr>
        <w:pStyle w:val="ListNumber2"/>
      </w:pPr>
      <w:r w:rsidRPr="005E53CB">
        <w:t>The Chief Minister, Treasury, and Economic Development Directorate (CMTEDD) is the ACT Government’s central agency and is responsible for the provision of strategic advice and support to the Chief Minister, the Directorate’s Ministers and the Cabinet on policy, economic and financial matters, service delivery, whole of government issues and inter</w:t>
      </w:r>
      <w:r>
        <w:t>-</w:t>
      </w:r>
      <w:r w:rsidRPr="005E53CB">
        <w:t>governmental relations.</w:t>
      </w:r>
    </w:p>
    <w:p w14:paraId="59CC7442" w14:textId="6FB02E72" w:rsidR="00FC1430" w:rsidRDefault="00DF0F6B" w:rsidP="00FC1430">
      <w:pPr>
        <w:pStyle w:val="Heading2"/>
      </w:pPr>
      <w:bookmarkStart w:id="56" w:name="_Toc119591059"/>
      <w:bookmarkStart w:id="57" w:name="_Toc125037213"/>
      <w:bookmarkStart w:id="58" w:name="_Toc129350726"/>
      <w:r>
        <w:t>Minister for Climate Action</w:t>
      </w:r>
      <w:r w:rsidR="00FC1430">
        <w:t>—Administrative arrangements</w:t>
      </w:r>
      <w:bookmarkEnd w:id="56"/>
      <w:bookmarkEnd w:id="57"/>
      <w:bookmarkEnd w:id="58"/>
    </w:p>
    <w:p w14:paraId="0B746F5C" w14:textId="16681AB8" w:rsidR="00F451BF" w:rsidRDefault="00F451BF" w:rsidP="00F451BF">
      <w:pPr>
        <w:pStyle w:val="ListNumber2"/>
      </w:pPr>
      <w:r>
        <w:t>The Committee examined the following matters allocated to the Minister for Climate Action</w:t>
      </w:r>
      <w:r w:rsidR="00DF0F6B">
        <w:t xml:space="preserve"> and CMTEDD</w:t>
      </w:r>
      <w:r>
        <w:t>:</w:t>
      </w:r>
    </w:p>
    <w:p w14:paraId="120E281E" w14:textId="5B10FD41" w:rsidR="00F451BF" w:rsidRDefault="00F451BF" w:rsidP="00F451BF">
      <w:pPr>
        <w:pStyle w:val="ListBullet"/>
        <w:tabs>
          <w:tab w:val="clear" w:pos="360"/>
        </w:tabs>
        <w:ind w:hanging="340"/>
      </w:pPr>
      <w:r>
        <w:t>Big Canberra Battery;</w:t>
      </w:r>
    </w:p>
    <w:p w14:paraId="35D09E33" w14:textId="055CE261" w:rsidR="00F451BF" w:rsidRDefault="00F451BF" w:rsidP="00F451BF">
      <w:pPr>
        <w:pStyle w:val="ListBullet"/>
        <w:tabs>
          <w:tab w:val="clear" w:pos="360"/>
        </w:tabs>
        <w:ind w:hanging="340"/>
      </w:pPr>
      <w:r>
        <w:t>Climate Action (Coordinator-General)</w:t>
      </w:r>
      <w:r w:rsidR="00DF0F6B">
        <w:t>;</w:t>
      </w:r>
    </w:p>
    <w:p w14:paraId="59590C92" w14:textId="3BFFB5BE" w:rsidR="00F451BF" w:rsidRDefault="00F451BF" w:rsidP="00F451BF">
      <w:pPr>
        <w:pStyle w:val="ListBullet"/>
        <w:tabs>
          <w:tab w:val="clear" w:pos="360"/>
        </w:tabs>
        <w:ind w:hanging="340"/>
      </w:pPr>
      <w:r>
        <w:t>Climate change adaptation and resilience; and</w:t>
      </w:r>
    </w:p>
    <w:p w14:paraId="4425C40A" w14:textId="5A874CF8" w:rsidR="00F451BF" w:rsidRDefault="00F451BF" w:rsidP="00F451BF">
      <w:pPr>
        <w:pStyle w:val="ListBullet"/>
        <w:tabs>
          <w:tab w:val="clear" w:pos="360"/>
        </w:tabs>
        <w:ind w:hanging="340"/>
      </w:pPr>
      <w:r>
        <w:t>Sustainable household program.</w:t>
      </w:r>
      <w:r>
        <w:rPr>
          <w:rStyle w:val="FootnoteReference"/>
        </w:rPr>
        <w:footnoteReference w:id="112"/>
      </w:r>
    </w:p>
    <w:p w14:paraId="323321F4" w14:textId="77777777" w:rsidR="00FC1430" w:rsidRPr="00AD5C04" w:rsidRDefault="00FC1430" w:rsidP="00FC1430">
      <w:pPr>
        <w:pStyle w:val="Heading3"/>
      </w:pPr>
      <w:bookmarkStart w:id="59" w:name="_Toc119591060"/>
      <w:bookmarkStart w:id="60" w:name="_Toc125037214"/>
      <w:bookmarkStart w:id="61" w:name="_Toc129350727"/>
      <w:r w:rsidRPr="00AD5C04">
        <w:t>Matters considered</w:t>
      </w:r>
      <w:bookmarkEnd w:id="59"/>
      <w:bookmarkEnd w:id="60"/>
      <w:bookmarkEnd w:id="61"/>
    </w:p>
    <w:p w14:paraId="6EAA5C9D" w14:textId="703920D7" w:rsidR="00FC1430" w:rsidRPr="00C04DBC" w:rsidRDefault="00FC1430" w:rsidP="00FC1430">
      <w:pPr>
        <w:pStyle w:val="ListNumber2"/>
      </w:pPr>
      <w:r w:rsidRPr="00C04DBC">
        <w:t xml:space="preserve">During the </w:t>
      </w:r>
      <w:r w:rsidR="00F451BF">
        <w:t>Minister for Climate Action’s</w:t>
      </w:r>
      <w:r w:rsidRPr="00C04DBC">
        <w:t xml:space="preserve"> appearance before the Committee on </w:t>
      </w:r>
      <w:r w:rsidR="00F451BF">
        <w:t>7</w:t>
      </w:r>
      <w:r>
        <w:t xml:space="preserve"> </w:t>
      </w:r>
      <w:r w:rsidRPr="00C04DBC">
        <w:t>November 2022</w:t>
      </w:r>
      <w:r w:rsidR="00F451BF">
        <w:t>,</w:t>
      </w:r>
      <w:r w:rsidRPr="00C04DBC">
        <w:t xml:space="preserve"> the following matters were considered:</w:t>
      </w:r>
    </w:p>
    <w:p w14:paraId="18AFDE1C" w14:textId="09CC11A0" w:rsidR="00FC1430" w:rsidRDefault="00F451BF" w:rsidP="00F451BF">
      <w:pPr>
        <w:pStyle w:val="ListBullet2"/>
      </w:pPr>
      <w:r>
        <w:t>Sustainable Household Scheme;</w:t>
      </w:r>
      <w:r>
        <w:rPr>
          <w:rStyle w:val="FootnoteReference"/>
        </w:rPr>
        <w:footnoteReference w:id="113"/>
      </w:r>
    </w:p>
    <w:p w14:paraId="43A2629C" w14:textId="428F2EBC" w:rsidR="00F451BF" w:rsidRDefault="00F451BF" w:rsidP="00F451BF">
      <w:pPr>
        <w:pStyle w:val="ListBullet2"/>
      </w:pPr>
      <w:r>
        <w:t>Electric vehicles;</w:t>
      </w:r>
      <w:r>
        <w:rPr>
          <w:rStyle w:val="FootnoteReference"/>
        </w:rPr>
        <w:footnoteReference w:id="114"/>
      </w:r>
    </w:p>
    <w:p w14:paraId="5BF287DC" w14:textId="6814E86D" w:rsidR="00F451BF" w:rsidRDefault="00F451BF" w:rsidP="00F451BF">
      <w:pPr>
        <w:pStyle w:val="ListBullet2"/>
      </w:pPr>
      <w:r>
        <w:t>Big Canberra Battery;</w:t>
      </w:r>
      <w:r>
        <w:rPr>
          <w:rStyle w:val="FootnoteReference"/>
        </w:rPr>
        <w:footnoteReference w:id="115"/>
      </w:r>
    </w:p>
    <w:p w14:paraId="479D0254" w14:textId="2415B495" w:rsidR="00F451BF" w:rsidRDefault="00F451BF" w:rsidP="00F451BF">
      <w:pPr>
        <w:pStyle w:val="ListBullet2"/>
      </w:pPr>
      <w:r>
        <w:t>End-of-life recycling of solar panels and batteries;</w:t>
      </w:r>
      <w:r>
        <w:rPr>
          <w:rStyle w:val="FootnoteReference"/>
        </w:rPr>
        <w:footnoteReference w:id="116"/>
      </w:r>
      <w:r>
        <w:t xml:space="preserve"> and</w:t>
      </w:r>
    </w:p>
    <w:p w14:paraId="6BECE4A3" w14:textId="74C7D8EE" w:rsidR="00F451BF" w:rsidRDefault="00F451BF" w:rsidP="00F451BF">
      <w:pPr>
        <w:pStyle w:val="ListBullet2"/>
      </w:pPr>
      <w:r>
        <w:t>Procurement processes.</w:t>
      </w:r>
      <w:r>
        <w:rPr>
          <w:rStyle w:val="FootnoteReference"/>
        </w:rPr>
        <w:footnoteReference w:id="117"/>
      </w:r>
    </w:p>
    <w:p w14:paraId="584A45AA" w14:textId="77777777" w:rsidR="00F451BF" w:rsidRDefault="00F451BF" w:rsidP="00F451BF">
      <w:pPr>
        <w:pStyle w:val="Heading3"/>
      </w:pPr>
      <w:bookmarkStart w:id="62" w:name="_Toc129350728"/>
      <w:r w:rsidRPr="00AD5C04">
        <w:t>Key Issues</w:t>
      </w:r>
      <w:bookmarkEnd w:id="62"/>
    </w:p>
    <w:p w14:paraId="345F827F" w14:textId="58198DF3" w:rsidR="00F451BF" w:rsidRPr="00AD5C04" w:rsidRDefault="0031279C" w:rsidP="00F451BF">
      <w:pPr>
        <w:pStyle w:val="Heading4"/>
      </w:pPr>
      <w:r>
        <w:t>End-of-life recycling of solar panels and batteries</w:t>
      </w:r>
    </w:p>
    <w:p w14:paraId="39F4771E" w14:textId="00D43FEB" w:rsidR="007D428A" w:rsidRDefault="007D428A" w:rsidP="00F451BF">
      <w:pPr>
        <w:pStyle w:val="ListNumber2"/>
      </w:pPr>
      <w:r>
        <w:t>The recycling of solar panels and batteries a</w:t>
      </w:r>
      <w:r w:rsidR="001D1809">
        <w:t xml:space="preserve">ims to reduce the products from being disposed into landfill, as solar panels and batteries contain a number of heavy metals and </w:t>
      </w:r>
      <w:r w:rsidR="001D1809">
        <w:lastRenderedPageBreak/>
        <w:t>toxic chemicals which, if not disposed of correctly, can lead to soil contamination and water pollution.</w:t>
      </w:r>
    </w:p>
    <w:p w14:paraId="4F1DFFA7" w14:textId="6198B213" w:rsidR="00F451BF" w:rsidRDefault="00445A05" w:rsidP="00F451BF">
      <w:pPr>
        <w:pStyle w:val="ListNumber2"/>
      </w:pPr>
      <w:r>
        <w:t xml:space="preserve">During the public hearing on 7 November 2022, the Committee asked the Minister for Climate Action whether contracts for </w:t>
      </w:r>
      <w:r w:rsidR="0024652D">
        <w:t xml:space="preserve">solar panels and </w:t>
      </w:r>
      <w:r>
        <w:t xml:space="preserve">battery systems include end-of-life </w:t>
      </w:r>
      <w:r w:rsidR="0005284C">
        <w:t xml:space="preserve">reuse and </w:t>
      </w:r>
      <w:r>
        <w:t>recycling as part of the contracts.</w:t>
      </w:r>
      <w:r w:rsidR="0005284C">
        <w:rPr>
          <w:rStyle w:val="FootnoteReference"/>
        </w:rPr>
        <w:footnoteReference w:id="118"/>
      </w:r>
    </w:p>
    <w:p w14:paraId="1CADBB7F" w14:textId="12846892" w:rsidR="00F451BF" w:rsidRDefault="00445A05" w:rsidP="00000FEA">
      <w:pPr>
        <w:pStyle w:val="ListNumber2"/>
      </w:pPr>
      <w:r>
        <w:t xml:space="preserve">Mr Sam </w:t>
      </w:r>
      <w:r w:rsidR="00000FEA">
        <w:t xml:space="preserve">Engele, </w:t>
      </w:r>
      <w:r w:rsidR="00000FEA" w:rsidRPr="00000FEA">
        <w:t>Coordinator-General, Office for Climate Action</w:t>
      </w:r>
      <w:r w:rsidR="00000FEA">
        <w:t xml:space="preserve"> at CMTEDD, confirmed this</w:t>
      </w:r>
      <w:r w:rsidR="0024652D">
        <w:t xml:space="preserve"> is the case, and that ‘t</w:t>
      </w:r>
      <w:r w:rsidR="00000FEA">
        <w:t>here are requirements around end</w:t>
      </w:r>
      <w:r w:rsidR="0024652D">
        <w:t>-</w:t>
      </w:r>
      <w:r w:rsidR="00000FEA">
        <w:t>of</w:t>
      </w:r>
      <w:r w:rsidR="0024652D">
        <w:t>-</w:t>
      </w:r>
      <w:r w:rsidR="00000FEA">
        <w:t>life and how to remediate the site</w:t>
      </w:r>
      <w:r w:rsidR="0024652D">
        <w:t>’</w:t>
      </w:r>
      <w:r w:rsidR="0005284C">
        <w:t xml:space="preserve">, with the exception of the Big Canberra Battery contract as it is </w:t>
      </w:r>
      <w:r w:rsidR="001D1809">
        <w:t>‘</w:t>
      </w:r>
      <w:r w:rsidR="0005284C">
        <w:t>not standard due to its complexity</w:t>
      </w:r>
      <w:r w:rsidR="001D1809">
        <w:t>’</w:t>
      </w:r>
      <w:r w:rsidR="0005284C">
        <w:t>.</w:t>
      </w:r>
      <w:r w:rsidR="0024652D">
        <w:rPr>
          <w:rStyle w:val="FootnoteReference"/>
        </w:rPr>
        <w:footnoteReference w:id="119"/>
      </w:r>
    </w:p>
    <w:p w14:paraId="4FFEAAD6" w14:textId="77777777" w:rsidR="00F451BF" w:rsidRDefault="00F451BF" w:rsidP="00F451BF">
      <w:pPr>
        <w:pStyle w:val="Heading5"/>
      </w:pPr>
      <w:r>
        <w:t>Committee comment</w:t>
      </w:r>
    </w:p>
    <w:p w14:paraId="2B610035" w14:textId="560F657D" w:rsidR="009F4C3C" w:rsidRPr="00DB65A8" w:rsidRDefault="00F451BF" w:rsidP="00C14E77">
      <w:pPr>
        <w:pStyle w:val="ListNumber2"/>
      </w:pPr>
      <w:r w:rsidRPr="00DB65A8">
        <w:t xml:space="preserve">The Committee </w:t>
      </w:r>
      <w:r w:rsidR="004A1723">
        <w:t>is of the view</w:t>
      </w:r>
      <w:r w:rsidR="0024652D">
        <w:t xml:space="preserve"> that there should </w:t>
      </w:r>
      <w:r w:rsidR="004A1723">
        <w:t xml:space="preserve">be </w:t>
      </w:r>
      <w:r w:rsidR="0024652D">
        <w:t>a standard contract provision for solar panels and large battery systems</w:t>
      </w:r>
      <w:r w:rsidR="004A1723">
        <w:t xml:space="preserve"> to require end-of-life reuse or recycling as part of their contracts, </w:t>
      </w:r>
      <w:r w:rsidR="009F4C3C" w:rsidRPr="009F4C3C">
        <w:t xml:space="preserve">to reduce the number of batteries being disposed </w:t>
      </w:r>
      <w:r w:rsidR="00C14E77">
        <w:t>into landfill.</w:t>
      </w:r>
    </w:p>
    <w:tbl>
      <w:tblPr>
        <w:tblStyle w:val="Recommendationbox"/>
        <w:tblW w:w="0" w:type="auto"/>
        <w:tblLook w:val="04A0" w:firstRow="1" w:lastRow="0" w:firstColumn="1" w:lastColumn="0" w:noHBand="0" w:noVBand="1"/>
      </w:tblPr>
      <w:tblGrid>
        <w:gridCol w:w="8175"/>
      </w:tblGrid>
      <w:tr w:rsidR="00F451BF" w14:paraId="53E549FB" w14:textId="77777777" w:rsidTr="00E02EB1">
        <w:tc>
          <w:tcPr>
            <w:tcW w:w="7891" w:type="dxa"/>
          </w:tcPr>
          <w:p w14:paraId="4FB4A8D1" w14:textId="77777777" w:rsidR="00F451BF" w:rsidRDefault="00F451BF" w:rsidP="00E02EB1">
            <w:pPr>
              <w:pStyle w:val="Recommendationheading"/>
            </w:pPr>
            <w:bookmarkStart w:id="63" w:name="_Toc129350758"/>
            <w:r>
              <w:t xml:space="preserve">Recommendation </w:t>
            </w:r>
            <w:r>
              <w:fldChar w:fldCharType="begin"/>
            </w:r>
            <w:r>
              <w:instrText xml:space="preserve"> AUTONUMLGL \* Arabic\e </w:instrText>
            </w:r>
            <w:r>
              <w:fldChar w:fldCharType="end"/>
            </w:r>
            <w:bookmarkEnd w:id="63"/>
          </w:p>
          <w:p w14:paraId="60BD2946" w14:textId="511ED35B" w:rsidR="00F451BF" w:rsidRPr="00AD5C04" w:rsidRDefault="00F451BF" w:rsidP="00E02EB1">
            <w:pPr>
              <w:pStyle w:val="Recommendationbody"/>
            </w:pPr>
            <w:bookmarkStart w:id="64" w:name="_Toc129350759"/>
            <w:r>
              <w:rPr>
                <w:rFonts w:ascii="Calibri-Bold" w:hAnsi="Calibri-Bold" w:cs="Calibri-Bold"/>
              </w:rPr>
              <w:t xml:space="preserve">The Committee recommends that the ACT Government </w:t>
            </w:r>
            <w:r w:rsidR="0031279C">
              <w:rPr>
                <w:rFonts w:ascii="Calibri-Bold" w:hAnsi="Calibri-Bold" w:cs="Calibri-Bold"/>
              </w:rPr>
              <w:t>implement a standard contract provision that contracts involving solar panels and large batter</w:t>
            </w:r>
            <w:r w:rsidR="0024652D">
              <w:rPr>
                <w:rFonts w:ascii="Calibri-Bold" w:hAnsi="Calibri-Bold" w:cs="Calibri-Bold"/>
              </w:rPr>
              <w:t>y systems</w:t>
            </w:r>
            <w:r w:rsidR="0031279C">
              <w:rPr>
                <w:rFonts w:ascii="Calibri-Bold" w:hAnsi="Calibri-Bold" w:cs="Calibri-Bold"/>
              </w:rPr>
              <w:t xml:space="preserve"> require end-of-life reuse or recycling.</w:t>
            </w:r>
            <w:bookmarkEnd w:id="64"/>
          </w:p>
        </w:tc>
      </w:tr>
    </w:tbl>
    <w:p w14:paraId="20A25D77" w14:textId="57A8F00D" w:rsidR="002D2AB0" w:rsidRDefault="002D2AB0" w:rsidP="002D2AB0">
      <w:pPr>
        <w:pStyle w:val="Heading2"/>
      </w:pPr>
      <w:bookmarkStart w:id="65" w:name="_Toc129350729"/>
      <w:r>
        <w:t>Minister for Business and Better Regulation—Administrative arrangements</w:t>
      </w:r>
      <w:bookmarkEnd w:id="65"/>
    </w:p>
    <w:p w14:paraId="0FE85D8C" w14:textId="43385900" w:rsidR="002D2AB0" w:rsidRDefault="002D2AB0" w:rsidP="002D2AB0">
      <w:pPr>
        <w:pStyle w:val="ListNumber2"/>
      </w:pPr>
      <w:r>
        <w:t>The Committee examined the following matters allocated to the Minister for Business and Better Regulation</w:t>
      </w:r>
      <w:r w:rsidR="00DF0F6B">
        <w:t xml:space="preserve"> and CMTEDD</w:t>
      </w:r>
      <w:r>
        <w:t>:</w:t>
      </w:r>
    </w:p>
    <w:p w14:paraId="3643C2C5" w14:textId="28D225FF" w:rsidR="002D2AB0" w:rsidRDefault="002D2AB0" w:rsidP="002D2AB0">
      <w:pPr>
        <w:pStyle w:val="ListBullet"/>
        <w:tabs>
          <w:tab w:val="clear" w:pos="360"/>
        </w:tabs>
        <w:ind w:hanging="340"/>
      </w:pPr>
      <w:r>
        <w:t>Environmental protection, water regulation, and clinical waste controller</w:t>
      </w:r>
      <w:r w:rsidR="002B4FFE">
        <w:t xml:space="preserve"> (including Environment Protection Authority)</w:t>
      </w:r>
      <w:r>
        <w:t>.</w:t>
      </w:r>
      <w:r>
        <w:rPr>
          <w:rStyle w:val="FootnoteReference"/>
        </w:rPr>
        <w:footnoteReference w:id="120"/>
      </w:r>
    </w:p>
    <w:p w14:paraId="6093D0CA" w14:textId="77777777" w:rsidR="002D2AB0" w:rsidRPr="00AD5C04" w:rsidRDefault="002D2AB0" w:rsidP="002D2AB0">
      <w:pPr>
        <w:pStyle w:val="Heading3"/>
      </w:pPr>
      <w:bookmarkStart w:id="66" w:name="_Toc129350730"/>
      <w:r w:rsidRPr="00AD5C04">
        <w:t>Matters considered</w:t>
      </w:r>
      <w:bookmarkEnd w:id="66"/>
    </w:p>
    <w:p w14:paraId="21BDC255" w14:textId="2036BB6A" w:rsidR="002D2AB0" w:rsidRPr="00C04DBC" w:rsidRDefault="002D2AB0" w:rsidP="002D2AB0">
      <w:pPr>
        <w:pStyle w:val="ListNumber2"/>
      </w:pPr>
      <w:r w:rsidRPr="00C04DBC">
        <w:t xml:space="preserve">During the </w:t>
      </w:r>
      <w:r>
        <w:t>Minister for Business and Better Regulation’s</w:t>
      </w:r>
      <w:r w:rsidRPr="00C04DBC">
        <w:t xml:space="preserve"> appearance before the Committee on </w:t>
      </w:r>
      <w:r>
        <w:t>10 </w:t>
      </w:r>
      <w:r w:rsidRPr="00C04DBC">
        <w:t>November 2022</w:t>
      </w:r>
      <w:r>
        <w:t>,</w:t>
      </w:r>
      <w:r w:rsidRPr="00C04DBC">
        <w:t xml:space="preserve"> the following matters were considered:</w:t>
      </w:r>
    </w:p>
    <w:p w14:paraId="07D4EE68" w14:textId="6E4A3B5E" w:rsidR="002D2AB0" w:rsidRDefault="002B4FFE" w:rsidP="002D2AB0">
      <w:pPr>
        <w:pStyle w:val="ListBullet2"/>
      </w:pPr>
      <w:r>
        <w:t>Environment Protection Guidelines for construction and land management in the ACT</w:t>
      </w:r>
      <w:r w:rsidR="002D2AB0">
        <w:t>;</w:t>
      </w:r>
      <w:r w:rsidR="002D2AB0">
        <w:rPr>
          <w:rStyle w:val="FootnoteReference"/>
        </w:rPr>
        <w:footnoteReference w:id="121"/>
      </w:r>
    </w:p>
    <w:p w14:paraId="0ECAAFC0" w14:textId="334C94B7" w:rsidR="002D2AB0" w:rsidRDefault="002B4FFE" w:rsidP="002D2AB0">
      <w:pPr>
        <w:pStyle w:val="ListBullet2"/>
      </w:pPr>
      <w:r>
        <w:t>Policy enforcement by the Environment Protection Authority (EPA)</w:t>
      </w:r>
      <w:r w:rsidR="002D2AB0">
        <w:t>;</w:t>
      </w:r>
      <w:r w:rsidR="002D2AB0">
        <w:rPr>
          <w:rStyle w:val="FootnoteReference"/>
        </w:rPr>
        <w:footnoteReference w:id="122"/>
      </w:r>
    </w:p>
    <w:p w14:paraId="10C5136C" w14:textId="5A937217" w:rsidR="002D2AB0" w:rsidRDefault="002B4FFE" w:rsidP="002D2AB0">
      <w:pPr>
        <w:pStyle w:val="ListBullet2"/>
      </w:pPr>
      <w:r>
        <w:lastRenderedPageBreak/>
        <w:t>Challenges faced by the EPA</w:t>
      </w:r>
      <w:r w:rsidR="002D2AB0">
        <w:t>;</w:t>
      </w:r>
      <w:r w:rsidR="002D2AB0">
        <w:rPr>
          <w:rStyle w:val="FootnoteReference"/>
        </w:rPr>
        <w:footnoteReference w:id="123"/>
      </w:r>
    </w:p>
    <w:p w14:paraId="227A61FA" w14:textId="5AEF9168" w:rsidR="004A7D31" w:rsidRDefault="00F728CF" w:rsidP="002D2AB0">
      <w:pPr>
        <w:pStyle w:val="ListBullet2"/>
      </w:pPr>
      <w:r>
        <w:t>Staff numbers</w:t>
      </w:r>
      <w:r w:rsidR="004A7D31">
        <w:t xml:space="preserve"> at the EPA</w:t>
      </w:r>
      <w:r w:rsidR="002D2AB0">
        <w:t>;</w:t>
      </w:r>
      <w:r w:rsidR="002D2AB0">
        <w:rPr>
          <w:rStyle w:val="FootnoteReference"/>
        </w:rPr>
        <w:footnoteReference w:id="124"/>
      </w:r>
    </w:p>
    <w:p w14:paraId="2DEDE44B" w14:textId="6EA719ED" w:rsidR="004A7D31" w:rsidRDefault="004A7D31" w:rsidP="004A7D31">
      <w:pPr>
        <w:pStyle w:val="ListBullet2"/>
      </w:pPr>
      <w:r>
        <w:t>Demographic of EPA employees;</w:t>
      </w:r>
      <w:r>
        <w:rPr>
          <w:rStyle w:val="FootnoteReference"/>
        </w:rPr>
        <w:footnoteReference w:id="125"/>
      </w:r>
      <w:r>
        <w:t xml:space="preserve"> and</w:t>
      </w:r>
    </w:p>
    <w:p w14:paraId="163FADEB" w14:textId="72F7A784" w:rsidR="002D2AB0" w:rsidRDefault="004A7D31" w:rsidP="002D2AB0">
      <w:pPr>
        <w:pStyle w:val="ListBullet2"/>
      </w:pPr>
      <w:r>
        <w:t>Gender balance of EPA employees</w:t>
      </w:r>
      <w:r w:rsidR="002D2AB0">
        <w:t>.</w:t>
      </w:r>
      <w:r w:rsidR="002D2AB0">
        <w:rPr>
          <w:rStyle w:val="FootnoteReference"/>
        </w:rPr>
        <w:footnoteReference w:id="126"/>
      </w:r>
    </w:p>
    <w:p w14:paraId="3FA1E6E0" w14:textId="67FBCD9F" w:rsidR="00383ED4" w:rsidRDefault="00383ED4">
      <w:pPr>
        <w:spacing w:line="259" w:lineRule="auto"/>
      </w:pPr>
      <w:r>
        <w:br w:type="page"/>
      </w:r>
    </w:p>
    <w:p w14:paraId="138BD788" w14:textId="6D0C5045" w:rsidR="0031279C" w:rsidRDefault="0031279C" w:rsidP="0031279C">
      <w:pPr>
        <w:pStyle w:val="Heading1"/>
      </w:pPr>
      <w:bookmarkStart w:id="67" w:name="_Toc129350731"/>
      <w:r>
        <w:lastRenderedPageBreak/>
        <w:t>Conclusion</w:t>
      </w:r>
      <w:bookmarkEnd w:id="67"/>
    </w:p>
    <w:p w14:paraId="27255683" w14:textId="77777777" w:rsidR="0031279C" w:rsidRPr="00651FE0" w:rsidRDefault="0031279C" w:rsidP="0031279C">
      <w:pPr>
        <w:pStyle w:val="ListNumber2"/>
      </w:pPr>
      <w:r w:rsidRPr="000B0176">
        <w:t xml:space="preserve">The Committee thanks everyone who participated in, or otherwise assisted, this inquiry. This includes </w:t>
      </w:r>
      <w:r>
        <w:t xml:space="preserve">the </w:t>
      </w:r>
      <w:r w:rsidRPr="000B0176">
        <w:t xml:space="preserve">ACT Government Ministers, </w:t>
      </w:r>
      <w:r>
        <w:t>D</w:t>
      </w:r>
      <w:r w:rsidRPr="000B0176">
        <w:t xml:space="preserve">irectorate officials, </w:t>
      </w:r>
      <w:r>
        <w:t xml:space="preserve">and </w:t>
      </w:r>
      <w:r w:rsidRPr="000B0176">
        <w:t>statutory officers</w:t>
      </w:r>
      <w:r>
        <w:t>. The Committee wishes to extend its appreciation to the Hansard and broadcasting staff of the ACT Legislative Assembly.</w:t>
      </w:r>
    </w:p>
    <w:p w14:paraId="0C70633A" w14:textId="3C8A240F" w:rsidR="0031279C" w:rsidRPr="0031279C" w:rsidRDefault="0031279C" w:rsidP="0031279C">
      <w:pPr>
        <w:pStyle w:val="ListNumber2"/>
      </w:pPr>
      <w:r>
        <w:t xml:space="preserve">The Committee makes </w:t>
      </w:r>
      <w:r w:rsidR="00A7527C">
        <w:t>9</w:t>
      </w:r>
      <w:r>
        <w:t xml:space="preserve"> recommendations.</w:t>
      </w:r>
    </w:p>
    <w:p w14:paraId="38E8B401" w14:textId="0AC228DA" w:rsidR="00AE487B" w:rsidRDefault="0053078A" w:rsidP="00AE487B">
      <w:pPr>
        <w:spacing w:before="1560" w:after="0" w:line="259" w:lineRule="auto"/>
      </w:pPr>
      <w:r>
        <w:t>Dr Marisa Paterson</w:t>
      </w:r>
      <w:r w:rsidR="00AE487B">
        <w:t xml:space="preserve"> MLA</w:t>
      </w:r>
    </w:p>
    <w:p w14:paraId="524E55BE" w14:textId="042353FE" w:rsidR="00AE487B" w:rsidRDefault="00AE487B" w:rsidP="00AE487B">
      <w:pPr>
        <w:spacing w:after="0" w:line="259" w:lineRule="auto"/>
      </w:pPr>
      <w:r>
        <w:t>Chair</w:t>
      </w:r>
    </w:p>
    <w:p w14:paraId="223C2986" w14:textId="739BE2DE" w:rsidR="00AE487B" w:rsidRDefault="00C2226A" w:rsidP="00AE487B">
      <w:pPr>
        <w:spacing w:after="0" w:line="259" w:lineRule="auto"/>
      </w:pPr>
      <w:r w:rsidRPr="00C2226A">
        <w:t>7 March</w:t>
      </w:r>
      <w:r w:rsidR="00AE487B" w:rsidRPr="00C2226A">
        <w:t xml:space="preserve"> 2023</w:t>
      </w:r>
    </w:p>
    <w:p w14:paraId="7911C8CD" w14:textId="77777777" w:rsidR="00AE487B" w:rsidRDefault="00AE487B" w:rsidP="00AE487B">
      <w:pPr>
        <w:spacing w:line="259" w:lineRule="auto"/>
        <w:rPr>
          <w:rFonts w:cstheme="minorHAnsi"/>
          <w:bCs/>
          <w:color w:val="000000" w:themeColor="text1"/>
          <w:szCs w:val="20"/>
        </w:rPr>
      </w:pPr>
      <w:r>
        <w:br w:type="page"/>
      </w:r>
    </w:p>
    <w:p w14:paraId="3A51597C" w14:textId="77777777" w:rsidR="00AE487B" w:rsidRDefault="00AE487B" w:rsidP="00AE487B">
      <w:pPr>
        <w:pStyle w:val="Heading1nonumber"/>
      </w:pPr>
      <w:bookmarkStart w:id="68" w:name="_Toc119591087"/>
      <w:bookmarkStart w:id="69" w:name="_Toc129350732"/>
      <w:r>
        <w:lastRenderedPageBreak/>
        <w:t>Appendix A: Witnesses</w:t>
      </w:r>
      <w:bookmarkEnd w:id="68"/>
      <w:bookmarkEnd w:id="69"/>
    </w:p>
    <w:p w14:paraId="5DE2AB02" w14:textId="35FDC77A" w:rsidR="00AE487B" w:rsidRDefault="00460952" w:rsidP="00AE487B">
      <w:pPr>
        <w:pStyle w:val="Heading3"/>
      </w:pPr>
      <w:bookmarkStart w:id="70" w:name="_Toc119591088"/>
      <w:bookmarkStart w:id="71" w:name="_Toc129350733"/>
      <w:r>
        <w:t>Monday, 31 October</w:t>
      </w:r>
      <w:r w:rsidR="00AE487B">
        <w:t xml:space="preserve"> 2022</w:t>
      </w:r>
      <w:bookmarkEnd w:id="70"/>
      <w:bookmarkEnd w:id="71"/>
    </w:p>
    <w:p w14:paraId="6469CD0F" w14:textId="06C80B9C" w:rsidR="008169AA" w:rsidRDefault="008169AA" w:rsidP="008169AA">
      <w:pPr>
        <w:pStyle w:val="ListBullet"/>
        <w:ind w:left="0"/>
      </w:pPr>
      <w:r w:rsidRPr="008169AA">
        <w:rPr>
          <w:b/>
        </w:rPr>
        <w:t>Mr Mick Gentleman MLA</w:t>
      </w:r>
      <w:r w:rsidRPr="00751E66">
        <w:t xml:space="preserve">, Minister for </w:t>
      </w:r>
      <w:r>
        <w:t>Planning and Land Management</w:t>
      </w:r>
    </w:p>
    <w:p w14:paraId="2A62762A" w14:textId="17C2815F" w:rsidR="00460952" w:rsidRDefault="00751E66" w:rsidP="00751E66">
      <w:pPr>
        <w:pStyle w:val="Heading4"/>
      </w:pPr>
      <w:r>
        <w:t>Environment, Planning and Sustainable Development Directorate</w:t>
      </w:r>
    </w:p>
    <w:p w14:paraId="7FD4311F" w14:textId="2439390B" w:rsidR="00751E66" w:rsidRPr="00751E66" w:rsidRDefault="00751E66" w:rsidP="00751E66">
      <w:pPr>
        <w:pStyle w:val="ListBullet"/>
        <w:ind w:left="0"/>
      </w:pPr>
      <w:r>
        <w:rPr>
          <w:b/>
        </w:rPr>
        <w:t>Mr Ben Ponton</w:t>
      </w:r>
      <w:r>
        <w:rPr>
          <w:bCs/>
        </w:rPr>
        <w:t>, Director-General</w:t>
      </w:r>
    </w:p>
    <w:p w14:paraId="424E2866" w14:textId="07B4BF00" w:rsidR="00751E66" w:rsidRPr="00751E66" w:rsidRDefault="00740EE6" w:rsidP="00751E66">
      <w:pPr>
        <w:pStyle w:val="ListBullet"/>
        <w:ind w:left="0"/>
      </w:pPr>
      <w:r>
        <w:rPr>
          <w:b/>
        </w:rPr>
        <w:t>Mr Bren Burkevics</w:t>
      </w:r>
      <w:r w:rsidR="00751E66">
        <w:rPr>
          <w:bCs/>
        </w:rPr>
        <w:t xml:space="preserve">, </w:t>
      </w:r>
      <w:r>
        <w:rPr>
          <w:bCs/>
        </w:rPr>
        <w:t>Executive Group Manager, Environment, Heritage and Water</w:t>
      </w:r>
    </w:p>
    <w:p w14:paraId="4966B0DD" w14:textId="59922DA2" w:rsidR="00751E66" w:rsidRPr="00751E66" w:rsidRDefault="00751E66" w:rsidP="00751E66">
      <w:pPr>
        <w:pStyle w:val="ListBullet"/>
        <w:ind w:left="0"/>
      </w:pPr>
      <w:r>
        <w:rPr>
          <w:b/>
        </w:rPr>
        <w:t>M</w:t>
      </w:r>
      <w:r w:rsidR="00740EE6">
        <w:rPr>
          <w:b/>
        </w:rPr>
        <w:t>s Michaela Watts</w:t>
      </w:r>
      <w:r>
        <w:rPr>
          <w:bCs/>
        </w:rPr>
        <w:t xml:space="preserve">, </w:t>
      </w:r>
      <w:r w:rsidR="00740EE6">
        <w:rPr>
          <w:bCs/>
        </w:rPr>
        <w:t>Director, Urban Reserves, Environment, Heritage and Water</w:t>
      </w:r>
    </w:p>
    <w:p w14:paraId="27074DDB" w14:textId="01EE89D4" w:rsidR="00740EE6" w:rsidRDefault="00751E66" w:rsidP="00740EE6">
      <w:pPr>
        <w:pStyle w:val="ListBullet"/>
        <w:ind w:left="0"/>
      </w:pPr>
      <w:r>
        <w:rPr>
          <w:b/>
        </w:rPr>
        <w:t xml:space="preserve">Mr </w:t>
      </w:r>
      <w:r w:rsidR="00740EE6">
        <w:rPr>
          <w:b/>
        </w:rPr>
        <w:t>Justin Foley</w:t>
      </w:r>
      <w:r>
        <w:rPr>
          <w:bCs/>
        </w:rPr>
        <w:t xml:space="preserve">, </w:t>
      </w:r>
      <w:r w:rsidR="00740EE6">
        <w:rPr>
          <w:bCs/>
        </w:rPr>
        <w:t>Acting Senior Director, Fire Management Unit and the Parks and Conservation Service, Environment, Heritage and Water</w:t>
      </w:r>
    </w:p>
    <w:p w14:paraId="61E7510F" w14:textId="77777777" w:rsidR="00740EE6" w:rsidRDefault="00740EE6" w:rsidP="00740EE6">
      <w:pPr>
        <w:pStyle w:val="ListBullet"/>
        <w:numPr>
          <w:ilvl w:val="0"/>
          <w:numId w:val="0"/>
        </w:numPr>
      </w:pPr>
    </w:p>
    <w:p w14:paraId="260BB0DD" w14:textId="20B8C8DF" w:rsidR="008169AA" w:rsidRDefault="00740EE6" w:rsidP="008169AA">
      <w:pPr>
        <w:pStyle w:val="Heading3"/>
      </w:pPr>
      <w:bookmarkStart w:id="72" w:name="_Toc129350734"/>
      <w:r>
        <w:t>Tuesday</w:t>
      </w:r>
      <w:r w:rsidR="00390AB4">
        <w:t xml:space="preserve">, </w:t>
      </w:r>
      <w:r>
        <w:t>1</w:t>
      </w:r>
      <w:r w:rsidR="00390AB4">
        <w:t xml:space="preserve"> November 2022</w:t>
      </w:r>
      <w:bookmarkEnd w:id="72"/>
    </w:p>
    <w:p w14:paraId="49F82A85" w14:textId="18737573" w:rsidR="00390AB4" w:rsidRDefault="00740EE6" w:rsidP="00390AB4">
      <w:pPr>
        <w:pStyle w:val="Heading4"/>
      </w:pPr>
      <w:r>
        <w:t>Office of the Commissioner for Sustainability and the Environment</w:t>
      </w:r>
    </w:p>
    <w:p w14:paraId="62D8C94A" w14:textId="1AF11F0B" w:rsidR="008169AA" w:rsidRPr="00751E66" w:rsidRDefault="008169AA" w:rsidP="008169AA">
      <w:pPr>
        <w:pStyle w:val="ListBullet"/>
        <w:ind w:left="0"/>
      </w:pPr>
      <w:r>
        <w:rPr>
          <w:b/>
        </w:rPr>
        <w:t xml:space="preserve">Dr </w:t>
      </w:r>
      <w:r w:rsidR="00740EE6">
        <w:rPr>
          <w:b/>
        </w:rPr>
        <w:t>Sophie Lewis</w:t>
      </w:r>
      <w:r>
        <w:rPr>
          <w:bCs/>
        </w:rPr>
        <w:t xml:space="preserve">, </w:t>
      </w:r>
      <w:r w:rsidR="00740EE6">
        <w:rPr>
          <w:bCs/>
        </w:rPr>
        <w:t>ACT Commissioner</w:t>
      </w:r>
      <w:r w:rsidR="006060F4">
        <w:rPr>
          <w:bCs/>
        </w:rPr>
        <w:t xml:space="preserve"> for Sustainability and the Environment</w:t>
      </w:r>
    </w:p>
    <w:p w14:paraId="31AF156B" w14:textId="762106F8" w:rsidR="008169AA" w:rsidRPr="00751E66" w:rsidRDefault="008169AA" w:rsidP="008169AA">
      <w:pPr>
        <w:pStyle w:val="ListBullet"/>
        <w:ind w:left="0"/>
      </w:pPr>
      <w:r>
        <w:rPr>
          <w:b/>
        </w:rPr>
        <w:t xml:space="preserve">Mr </w:t>
      </w:r>
      <w:r w:rsidR="00740EE6">
        <w:rPr>
          <w:b/>
        </w:rPr>
        <w:t>Sean Grimes</w:t>
      </w:r>
      <w:r>
        <w:rPr>
          <w:bCs/>
        </w:rPr>
        <w:t xml:space="preserve">, </w:t>
      </w:r>
      <w:r w:rsidR="00740EE6">
        <w:rPr>
          <w:bCs/>
        </w:rPr>
        <w:t>Director, Sustainability, Environmental Assessments and Reporting</w:t>
      </w:r>
    </w:p>
    <w:p w14:paraId="5A2E5507" w14:textId="2BD460A0" w:rsidR="008169AA" w:rsidRDefault="008169AA" w:rsidP="008169AA">
      <w:pPr>
        <w:pStyle w:val="ListBullet"/>
        <w:ind w:left="0"/>
      </w:pPr>
      <w:r>
        <w:rPr>
          <w:b/>
        </w:rPr>
        <w:t>M</w:t>
      </w:r>
      <w:r w:rsidR="00740EE6">
        <w:rPr>
          <w:b/>
        </w:rPr>
        <w:t>rs Miranda Gardner</w:t>
      </w:r>
      <w:r>
        <w:rPr>
          <w:bCs/>
        </w:rPr>
        <w:t xml:space="preserve">, </w:t>
      </w:r>
      <w:r w:rsidR="00740EE6">
        <w:rPr>
          <w:bCs/>
        </w:rPr>
        <w:t>Director, Complaints and Investigations</w:t>
      </w:r>
    </w:p>
    <w:p w14:paraId="53087C25" w14:textId="77777777" w:rsidR="008169AA" w:rsidRPr="00751E66" w:rsidRDefault="008169AA" w:rsidP="008169AA">
      <w:pPr>
        <w:pStyle w:val="ListBullet"/>
        <w:numPr>
          <w:ilvl w:val="0"/>
          <w:numId w:val="0"/>
        </w:numPr>
      </w:pPr>
    </w:p>
    <w:p w14:paraId="3842BBA0" w14:textId="2C902605" w:rsidR="008169AA" w:rsidRDefault="008169AA" w:rsidP="008169AA">
      <w:pPr>
        <w:pStyle w:val="ListBullet"/>
        <w:ind w:left="0"/>
      </w:pPr>
      <w:r w:rsidRPr="00751E66">
        <w:rPr>
          <w:b/>
        </w:rPr>
        <w:t>M</w:t>
      </w:r>
      <w:r>
        <w:rPr>
          <w:b/>
        </w:rPr>
        <w:t xml:space="preserve">s </w:t>
      </w:r>
      <w:r w:rsidR="00740EE6">
        <w:rPr>
          <w:b/>
        </w:rPr>
        <w:t>Rebecca Vassarotti MLA</w:t>
      </w:r>
      <w:r w:rsidRPr="00751E66">
        <w:t xml:space="preserve">, Minister for </w:t>
      </w:r>
      <w:r w:rsidR="00740EE6">
        <w:t>the Environment</w:t>
      </w:r>
      <w:r w:rsidR="006060F4">
        <w:t>, Minister for Heritage</w:t>
      </w:r>
    </w:p>
    <w:p w14:paraId="5C1A938B" w14:textId="77777777" w:rsidR="00740EE6" w:rsidRDefault="00740EE6" w:rsidP="00740EE6">
      <w:pPr>
        <w:pStyle w:val="Heading4"/>
      </w:pPr>
      <w:r>
        <w:t>Environment, Planning and Sustainable Development Directorate</w:t>
      </w:r>
    </w:p>
    <w:p w14:paraId="029B1364" w14:textId="77777777" w:rsidR="00740EE6" w:rsidRPr="00751E66" w:rsidRDefault="00740EE6" w:rsidP="00740EE6">
      <w:pPr>
        <w:pStyle w:val="ListBullet"/>
        <w:ind w:left="0"/>
      </w:pPr>
      <w:r>
        <w:rPr>
          <w:b/>
        </w:rPr>
        <w:t>Mr Ben Ponton</w:t>
      </w:r>
      <w:r>
        <w:rPr>
          <w:bCs/>
        </w:rPr>
        <w:t>, Director-General</w:t>
      </w:r>
    </w:p>
    <w:p w14:paraId="12439948" w14:textId="3ED3353B" w:rsidR="00740EE6" w:rsidRPr="00740EE6" w:rsidRDefault="00740EE6" w:rsidP="00740EE6">
      <w:pPr>
        <w:pStyle w:val="ListBullet"/>
        <w:ind w:left="0"/>
      </w:pPr>
      <w:r>
        <w:rPr>
          <w:b/>
        </w:rPr>
        <w:t>Mr Bren Burkevics</w:t>
      </w:r>
      <w:r>
        <w:rPr>
          <w:bCs/>
        </w:rPr>
        <w:t>, Executive Group Manager, Environment, Heritage and Water</w:t>
      </w:r>
    </w:p>
    <w:p w14:paraId="47ADE516" w14:textId="62EBDC9D" w:rsidR="00740EE6" w:rsidRPr="00740EE6" w:rsidRDefault="00740EE6" w:rsidP="00740EE6">
      <w:pPr>
        <w:pStyle w:val="ListBullet"/>
        <w:ind w:left="0"/>
      </w:pPr>
      <w:r>
        <w:rPr>
          <w:b/>
        </w:rPr>
        <w:t>Mr Stuart Jeffress</w:t>
      </w:r>
      <w:r>
        <w:rPr>
          <w:bCs/>
        </w:rPr>
        <w:t>, Senior Director, Parks and Partnerships, ACT Parks and Conservation Service</w:t>
      </w:r>
    </w:p>
    <w:p w14:paraId="0D7B5DE3" w14:textId="3FAAC75F" w:rsidR="00740EE6" w:rsidRPr="00751E66" w:rsidRDefault="00740EE6" w:rsidP="00740EE6">
      <w:pPr>
        <w:pStyle w:val="ListBullet"/>
        <w:ind w:left="0"/>
      </w:pPr>
      <w:r>
        <w:rPr>
          <w:b/>
        </w:rPr>
        <w:t>Mr Chris Glennon</w:t>
      </w:r>
      <w:r>
        <w:rPr>
          <w:bCs/>
        </w:rPr>
        <w:t>, Senior Director, Resilient Landscapes, Environment, Heritage and Water</w:t>
      </w:r>
    </w:p>
    <w:p w14:paraId="465C0A3E" w14:textId="18F72258" w:rsidR="00740EE6" w:rsidRPr="00740EE6" w:rsidRDefault="00740EE6" w:rsidP="00740EE6">
      <w:pPr>
        <w:pStyle w:val="ListBullet"/>
        <w:ind w:left="0"/>
      </w:pPr>
      <w:r>
        <w:rPr>
          <w:b/>
        </w:rPr>
        <w:t>Ms Michaela Watts</w:t>
      </w:r>
      <w:r>
        <w:rPr>
          <w:bCs/>
        </w:rPr>
        <w:t>, A/g Senior Director, Parks and Partnerships, ACT Parks and Conservation Service</w:t>
      </w:r>
    </w:p>
    <w:p w14:paraId="5BED3CB2" w14:textId="3EEEEEB2" w:rsidR="00740EE6" w:rsidRPr="00751E66" w:rsidRDefault="00740EE6" w:rsidP="00740EE6">
      <w:pPr>
        <w:pStyle w:val="ListBullet"/>
        <w:ind w:left="0"/>
      </w:pPr>
      <w:r>
        <w:rPr>
          <w:b/>
        </w:rPr>
        <w:t>Ms Alexandra Magee</w:t>
      </w:r>
      <w:r>
        <w:rPr>
          <w:bCs/>
        </w:rPr>
        <w:t>, Executive Branch Manager, Communications, Engagement and Media</w:t>
      </w:r>
    </w:p>
    <w:p w14:paraId="7109820D" w14:textId="538CF01F" w:rsidR="008A2C86" w:rsidRDefault="008A2C86" w:rsidP="008A2C86">
      <w:pPr>
        <w:pStyle w:val="ListBullet"/>
        <w:numPr>
          <w:ilvl w:val="0"/>
          <w:numId w:val="0"/>
        </w:numPr>
      </w:pPr>
    </w:p>
    <w:p w14:paraId="0452CDDC" w14:textId="681A7222" w:rsidR="008169AA" w:rsidRDefault="006C6868" w:rsidP="008169AA">
      <w:pPr>
        <w:pStyle w:val="Heading3"/>
      </w:pPr>
      <w:bookmarkStart w:id="73" w:name="_Toc129350735"/>
      <w:r>
        <w:t>Monday</w:t>
      </w:r>
      <w:r w:rsidR="008169AA">
        <w:t xml:space="preserve">, </w:t>
      </w:r>
      <w:r>
        <w:t>7</w:t>
      </w:r>
      <w:r w:rsidR="008169AA">
        <w:t xml:space="preserve"> November 2022</w:t>
      </w:r>
      <w:bookmarkEnd w:id="73"/>
    </w:p>
    <w:p w14:paraId="30A79CBE" w14:textId="0FC69141" w:rsidR="002220E3" w:rsidRPr="00751E66" w:rsidRDefault="002220E3" w:rsidP="002220E3">
      <w:pPr>
        <w:pStyle w:val="ListBullet"/>
        <w:ind w:left="0"/>
      </w:pPr>
      <w:r w:rsidRPr="00751E66">
        <w:rPr>
          <w:b/>
        </w:rPr>
        <w:t>M</w:t>
      </w:r>
      <w:r w:rsidRPr="008169AA">
        <w:rPr>
          <w:b/>
          <w:bCs/>
        </w:rPr>
        <w:t xml:space="preserve">r </w:t>
      </w:r>
      <w:r w:rsidR="006C6868">
        <w:rPr>
          <w:b/>
          <w:bCs/>
        </w:rPr>
        <w:t>Shane Rattenbury</w:t>
      </w:r>
      <w:r w:rsidRPr="008169AA">
        <w:rPr>
          <w:b/>
          <w:bCs/>
        </w:rPr>
        <w:t xml:space="preserve"> MLA</w:t>
      </w:r>
      <w:r>
        <w:t xml:space="preserve">, Minister for </w:t>
      </w:r>
      <w:r w:rsidR="006C6868">
        <w:t>Water, Energy and Emissions Reduction</w:t>
      </w:r>
      <w:r w:rsidR="00B52484">
        <w:t>, Minister for Gaming</w:t>
      </w:r>
    </w:p>
    <w:p w14:paraId="049C974F" w14:textId="77777777" w:rsidR="006C6868" w:rsidRDefault="006C6868" w:rsidP="006C6868">
      <w:pPr>
        <w:pStyle w:val="Heading4"/>
      </w:pPr>
      <w:r>
        <w:lastRenderedPageBreak/>
        <w:t>Environment, Planning and Sustainable Development Directorate</w:t>
      </w:r>
    </w:p>
    <w:p w14:paraId="0665554B" w14:textId="6F5F20F9" w:rsidR="006C6868" w:rsidRPr="006C6868" w:rsidRDefault="006C6868" w:rsidP="006C6868">
      <w:pPr>
        <w:pStyle w:val="ListBullet"/>
        <w:ind w:left="0"/>
      </w:pPr>
      <w:r>
        <w:rPr>
          <w:b/>
        </w:rPr>
        <w:t>Mr Ben Ponton</w:t>
      </w:r>
      <w:r>
        <w:rPr>
          <w:bCs/>
        </w:rPr>
        <w:t>, Director-General</w:t>
      </w:r>
    </w:p>
    <w:p w14:paraId="2F80E6D8" w14:textId="5B2F49DB" w:rsidR="006C6868" w:rsidRPr="006C6868" w:rsidRDefault="006C6868" w:rsidP="006C6868">
      <w:pPr>
        <w:pStyle w:val="ListBullet"/>
        <w:ind w:left="0"/>
      </w:pPr>
      <w:r>
        <w:rPr>
          <w:b/>
        </w:rPr>
        <w:t>Dr Ralph Ogden</w:t>
      </w:r>
      <w:r>
        <w:rPr>
          <w:bCs/>
        </w:rPr>
        <w:t>, Program Manager, Healthy Waterways Project, Environment, Heritage and Water</w:t>
      </w:r>
    </w:p>
    <w:p w14:paraId="4031459A" w14:textId="77B56AE4" w:rsidR="006C6868" w:rsidRPr="006C6868" w:rsidRDefault="006C6868" w:rsidP="006C6868">
      <w:pPr>
        <w:pStyle w:val="ListBullet"/>
        <w:ind w:left="0"/>
      </w:pPr>
      <w:r>
        <w:rPr>
          <w:b/>
        </w:rPr>
        <w:t>Mr Jim Corrigan</w:t>
      </w:r>
      <w:r>
        <w:rPr>
          <w:bCs/>
        </w:rPr>
        <w:t>, Deputy Director-General, Environment, Water and Emissions Reduction</w:t>
      </w:r>
    </w:p>
    <w:p w14:paraId="05D2A47E" w14:textId="35B60CB5" w:rsidR="006C6868" w:rsidRPr="006C6868" w:rsidRDefault="006C6868" w:rsidP="006C6868">
      <w:pPr>
        <w:pStyle w:val="ListBullet"/>
        <w:ind w:left="0"/>
      </w:pPr>
      <w:r>
        <w:rPr>
          <w:b/>
        </w:rPr>
        <w:t>Ms Ros Malouf</w:t>
      </w:r>
      <w:r>
        <w:rPr>
          <w:bCs/>
        </w:rPr>
        <w:t>, Senior Director, Climate Change and Energy</w:t>
      </w:r>
    </w:p>
    <w:p w14:paraId="24125119" w14:textId="4BD8E26A" w:rsidR="006C6868" w:rsidRPr="00751E66" w:rsidRDefault="006C6868" w:rsidP="006C6868">
      <w:pPr>
        <w:pStyle w:val="ListBullet"/>
        <w:ind w:left="0"/>
      </w:pPr>
      <w:r>
        <w:rPr>
          <w:b/>
        </w:rPr>
        <w:t>Ms Fiona Wright</w:t>
      </w:r>
      <w:r>
        <w:rPr>
          <w:bCs/>
        </w:rPr>
        <w:t>, Executive Group Manager, Climate Change and Energy</w:t>
      </w:r>
    </w:p>
    <w:p w14:paraId="7885DC6F" w14:textId="6C196118" w:rsidR="006C6868" w:rsidRPr="006C6868" w:rsidRDefault="006C6868" w:rsidP="006C6868">
      <w:pPr>
        <w:pStyle w:val="ListBullet"/>
        <w:ind w:left="0"/>
      </w:pPr>
      <w:r>
        <w:rPr>
          <w:b/>
        </w:rPr>
        <w:t>Mr Bren Burkevics</w:t>
      </w:r>
      <w:r>
        <w:rPr>
          <w:bCs/>
        </w:rPr>
        <w:t>, Executive Group Manager, Environment, Heritage and Water</w:t>
      </w:r>
    </w:p>
    <w:p w14:paraId="24AEBE3F" w14:textId="561A474D" w:rsidR="006C6868" w:rsidRPr="00740EE6" w:rsidRDefault="006C6868" w:rsidP="006C6868">
      <w:pPr>
        <w:pStyle w:val="ListBullet"/>
        <w:ind w:left="0"/>
      </w:pPr>
      <w:r>
        <w:rPr>
          <w:b/>
        </w:rPr>
        <w:t>Mr Ryan Breen</w:t>
      </w:r>
      <w:r>
        <w:rPr>
          <w:bCs/>
        </w:rPr>
        <w:t>, Director, Water Policy, Environment, Heritage and Water</w:t>
      </w:r>
    </w:p>
    <w:p w14:paraId="7217F291" w14:textId="77777777" w:rsidR="006C6868" w:rsidRPr="00751E66" w:rsidRDefault="006C6868" w:rsidP="006C6868">
      <w:pPr>
        <w:pStyle w:val="ListBullet"/>
        <w:ind w:left="0"/>
      </w:pPr>
      <w:r>
        <w:rPr>
          <w:b/>
        </w:rPr>
        <w:t>Mr Chris Glennon</w:t>
      </w:r>
      <w:r>
        <w:rPr>
          <w:bCs/>
        </w:rPr>
        <w:t>, Senior Director, Resilient Landscapes, Environment, Heritage and Water</w:t>
      </w:r>
    </w:p>
    <w:p w14:paraId="6AB4AD63" w14:textId="18E9F78F" w:rsidR="006C6868" w:rsidRPr="006C6868" w:rsidRDefault="006C6868" w:rsidP="006C6868">
      <w:pPr>
        <w:pStyle w:val="ListBullet"/>
        <w:ind w:left="0"/>
      </w:pPr>
      <w:r>
        <w:rPr>
          <w:b/>
        </w:rPr>
        <w:t>Ms Alexandra Magee</w:t>
      </w:r>
      <w:r>
        <w:rPr>
          <w:bCs/>
        </w:rPr>
        <w:t>, Executive Branch Manager, Communications, Engagement and Media</w:t>
      </w:r>
    </w:p>
    <w:p w14:paraId="3A2713BE" w14:textId="23D820C4" w:rsidR="006C6868" w:rsidRDefault="006C6868" w:rsidP="006C6868">
      <w:pPr>
        <w:pStyle w:val="Heading4"/>
      </w:pPr>
      <w:r>
        <w:t>Chief Minister, Treasury and Economic Development Directorate</w:t>
      </w:r>
    </w:p>
    <w:p w14:paraId="62CAEC28" w14:textId="7ACC9DB3" w:rsidR="006C6868" w:rsidRPr="006C6868" w:rsidRDefault="006C6868" w:rsidP="006C6868">
      <w:pPr>
        <w:pStyle w:val="ListBullet"/>
        <w:ind w:left="0"/>
      </w:pPr>
      <w:r>
        <w:rPr>
          <w:b/>
        </w:rPr>
        <w:t>Dr Su Wild-River</w:t>
      </w:r>
      <w:r>
        <w:rPr>
          <w:bCs/>
        </w:rPr>
        <w:t>, Senior Director, Environment Protection Authority</w:t>
      </w:r>
      <w:r w:rsidR="002D2AB0">
        <w:rPr>
          <w:bCs/>
        </w:rPr>
        <w:t>, Construction, Utilities and Environment Protection, Access Canberra</w:t>
      </w:r>
    </w:p>
    <w:p w14:paraId="1C5099C9" w14:textId="2CDB9B49" w:rsidR="006C6868" w:rsidRDefault="006C6868" w:rsidP="006C6868">
      <w:pPr>
        <w:pStyle w:val="ListBullet"/>
        <w:numPr>
          <w:ilvl w:val="0"/>
          <w:numId w:val="0"/>
        </w:numPr>
        <w:rPr>
          <w:b/>
        </w:rPr>
      </w:pPr>
    </w:p>
    <w:p w14:paraId="572D014E" w14:textId="0B0060F1" w:rsidR="006C6868" w:rsidRPr="006C6868" w:rsidRDefault="006C6868" w:rsidP="006C6868">
      <w:pPr>
        <w:pStyle w:val="ListBullet"/>
        <w:ind w:left="0"/>
      </w:pPr>
      <w:r>
        <w:rPr>
          <w:b/>
        </w:rPr>
        <w:t>Mr Andrew Barr MLA</w:t>
      </w:r>
      <w:r>
        <w:rPr>
          <w:bCs/>
        </w:rPr>
        <w:t xml:space="preserve">, </w:t>
      </w:r>
      <w:r w:rsidR="0071641A">
        <w:rPr>
          <w:bCs/>
        </w:rPr>
        <w:t>Minister for Climate Action</w:t>
      </w:r>
    </w:p>
    <w:p w14:paraId="7497E3A7" w14:textId="77777777" w:rsidR="006C6868" w:rsidRDefault="006C6868" w:rsidP="006C6868">
      <w:pPr>
        <w:pStyle w:val="Heading4"/>
      </w:pPr>
      <w:r>
        <w:t>Chief Minister, Treasury and Economic Development Directorate</w:t>
      </w:r>
    </w:p>
    <w:p w14:paraId="0205611A" w14:textId="611A9B85" w:rsidR="006C6868" w:rsidRPr="0071641A" w:rsidRDefault="0071641A" w:rsidP="006C6868">
      <w:pPr>
        <w:pStyle w:val="ListBullet"/>
        <w:ind w:left="0"/>
      </w:pPr>
      <w:r>
        <w:rPr>
          <w:b/>
        </w:rPr>
        <w:t>Mr Sam Engele</w:t>
      </w:r>
      <w:r>
        <w:rPr>
          <w:bCs/>
        </w:rPr>
        <w:t>, Coordinator-General, Office for Climate Action</w:t>
      </w:r>
    </w:p>
    <w:p w14:paraId="54CD3520" w14:textId="293F1258" w:rsidR="0071641A" w:rsidRPr="00751E66" w:rsidRDefault="0071641A" w:rsidP="006C6868">
      <w:pPr>
        <w:pStyle w:val="ListBullet"/>
        <w:ind w:left="0"/>
      </w:pPr>
      <w:r>
        <w:rPr>
          <w:b/>
        </w:rPr>
        <w:t>Mr Kieran Lawton</w:t>
      </w:r>
      <w:r>
        <w:rPr>
          <w:bCs/>
        </w:rPr>
        <w:t>, Executive Branch Manager, Office for Climate Action</w:t>
      </w:r>
    </w:p>
    <w:p w14:paraId="2BF3FE72" w14:textId="77777777" w:rsidR="002220E3" w:rsidRDefault="002220E3" w:rsidP="008169AA">
      <w:pPr>
        <w:pStyle w:val="Heading3"/>
      </w:pPr>
    </w:p>
    <w:p w14:paraId="52C3E364" w14:textId="2961E752" w:rsidR="008169AA" w:rsidRDefault="008169AA" w:rsidP="008169AA">
      <w:pPr>
        <w:pStyle w:val="Heading3"/>
      </w:pPr>
      <w:bookmarkStart w:id="74" w:name="_Toc129350736"/>
      <w:r>
        <w:t>Thursday, 10 November 2022</w:t>
      </w:r>
      <w:bookmarkEnd w:id="74"/>
    </w:p>
    <w:p w14:paraId="45E6FD3E" w14:textId="263A6AFC" w:rsidR="002220E3" w:rsidRDefault="002220E3" w:rsidP="002220E3">
      <w:pPr>
        <w:pStyle w:val="ListBullet"/>
        <w:ind w:left="0"/>
      </w:pPr>
      <w:r w:rsidRPr="00751E66">
        <w:rPr>
          <w:b/>
        </w:rPr>
        <w:t>M</w:t>
      </w:r>
      <w:r>
        <w:rPr>
          <w:b/>
        </w:rPr>
        <w:t xml:space="preserve">s </w:t>
      </w:r>
      <w:r w:rsidR="006A021A">
        <w:rPr>
          <w:b/>
        </w:rPr>
        <w:t>Tara Cheyne</w:t>
      </w:r>
      <w:r w:rsidRPr="00751E66">
        <w:rPr>
          <w:b/>
        </w:rPr>
        <w:t xml:space="preserve"> MLA</w:t>
      </w:r>
      <w:r w:rsidRPr="00751E66">
        <w:t xml:space="preserve">, Minister </w:t>
      </w:r>
      <w:r w:rsidR="006C2FD7">
        <w:t>for Business and Better Regulation</w:t>
      </w:r>
    </w:p>
    <w:p w14:paraId="6D541663" w14:textId="77777777" w:rsidR="00097895" w:rsidRPr="002D2AB0" w:rsidRDefault="00097895" w:rsidP="00097895">
      <w:pPr>
        <w:pStyle w:val="Heading4"/>
      </w:pPr>
      <w:r w:rsidRPr="002D2AB0">
        <w:t>Chief Minister, Treasury and Economic Development Directorate</w:t>
      </w:r>
    </w:p>
    <w:p w14:paraId="61966C7F" w14:textId="7AE226E3" w:rsidR="002D2AB0" w:rsidRDefault="002D2AB0" w:rsidP="002D2AB0">
      <w:pPr>
        <w:pStyle w:val="ListBullet"/>
        <w:ind w:left="0"/>
      </w:pPr>
      <w:r>
        <w:rPr>
          <w:b/>
        </w:rPr>
        <w:t>Dr Su Wild-River</w:t>
      </w:r>
      <w:r>
        <w:rPr>
          <w:bCs/>
        </w:rPr>
        <w:t>, Senior Director, Environment Protection Authority, Construction, Utilities and Environment Protection, Access Canberra</w:t>
      </w:r>
    </w:p>
    <w:p w14:paraId="285F998F" w14:textId="24E37FB6" w:rsidR="00AE487B" w:rsidRPr="00FE3DBF" w:rsidRDefault="002D2AB0" w:rsidP="002D2AB0">
      <w:pPr>
        <w:pStyle w:val="ListBullet"/>
        <w:ind w:left="0"/>
      </w:pPr>
      <w:r>
        <w:rPr>
          <w:b/>
        </w:rPr>
        <w:t>Ms Margaret McKinnon</w:t>
      </w:r>
      <w:r>
        <w:rPr>
          <w:bCs/>
        </w:rPr>
        <w:t>, A/g Deputy Director-General, Access Canberra</w:t>
      </w:r>
      <w:r w:rsidR="00AE487B">
        <w:br w:type="page"/>
      </w:r>
    </w:p>
    <w:p w14:paraId="1474AFF9" w14:textId="6B35208B" w:rsidR="005B5DE9" w:rsidRDefault="005B5DE9" w:rsidP="005B5DE9">
      <w:pPr>
        <w:pStyle w:val="Heading1nonumber"/>
      </w:pPr>
      <w:bookmarkStart w:id="75" w:name="_Toc129350737"/>
      <w:r>
        <w:lastRenderedPageBreak/>
        <w:t xml:space="preserve">Appendix </w:t>
      </w:r>
      <w:r w:rsidR="00AE487B">
        <w:t>B</w:t>
      </w:r>
      <w:r>
        <w:t xml:space="preserve">: Questions </w:t>
      </w:r>
      <w:r w:rsidR="00AE487B">
        <w:t xml:space="preserve">On Notice / </w:t>
      </w:r>
      <w:r w:rsidR="00FE3DBF">
        <w:t xml:space="preserve">Questions </w:t>
      </w:r>
      <w:r>
        <w:t>Taken on Notice</w:t>
      </w:r>
      <w:bookmarkEnd w:id="75"/>
    </w:p>
    <w:p w14:paraId="5B8FAAA3" w14:textId="4C2BF6C8" w:rsidR="005B5DE9" w:rsidRPr="00D90ED8" w:rsidRDefault="005B5DE9" w:rsidP="005B5DE9">
      <w:pPr>
        <w:pStyle w:val="Heading2"/>
      </w:pPr>
      <w:bookmarkStart w:id="76" w:name="_Toc129350738"/>
      <w:r>
        <w:t>Questions on Notice</w:t>
      </w:r>
      <w:bookmarkEnd w:id="76"/>
    </w:p>
    <w:tbl>
      <w:tblPr>
        <w:tblStyle w:val="Assemblystyletable"/>
        <w:tblW w:w="0" w:type="auto"/>
        <w:tblLook w:val="04A0" w:firstRow="1" w:lastRow="0" w:firstColumn="1" w:lastColumn="0" w:noHBand="0" w:noVBand="1"/>
      </w:tblPr>
      <w:tblGrid>
        <w:gridCol w:w="567"/>
        <w:gridCol w:w="1276"/>
        <w:gridCol w:w="1701"/>
        <w:gridCol w:w="4111"/>
        <w:gridCol w:w="1371"/>
      </w:tblGrid>
      <w:tr w:rsidR="005B5DE9" w14:paraId="17F75E36" w14:textId="77777777" w:rsidTr="00BE4405">
        <w:trPr>
          <w:cnfStyle w:val="100000000000" w:firstRow="1" w:lastRow="0" w:firstColumn="0" w:lastColumn="0" w:oddVBand="0" w:evenVBand="0" w:oddHBand="0" w:evenHBand="0" w:firstRowFirstColumn="0" w:firstRowLastColumn="0" w:lastRowFirstColumn="0" w:lastRowLastColumn="0"/>
        </w:trPr>
        <w:tc>
          <w:tcPr>
            <w:tcW w:w="567" w:type="dxa"/>
          </w:tcPr>
          <w:p w14:paraId="31921E7C" w14:textId="77777777" w:rsidR="005B5DE9" w:rsidRDefault="005B5DE9" w:rsidP="00BE4405">
            <w:pPr>
              <w:pStyle w:val="Tableheading"/>
            </w:pPr>
            <w:r>
              <w:t>No.</w:t>
            </w:r>
          </w:p>
        </w:tc>
        <w:tc>
          <w:tcPr>
            <w:tcW w:w="1276" w:type="dxa"/>
          </w:tcPr>
          <w:p w14:paraId="4DA84AC5" w14:textId="77777777" w:rsidR="005B5DE9" w:rsidRDefault="005B5DE9" w:rsidP="00BE4405">
            <w:pPr>
              <w:pStyle w:val="Tableheading"/>
            </w:pPr>
            <w:r>
              <w:t>Date</w:t>
            </w:r>
          </w:p>
        </w:tc>
        <w:tc>
          <w:tcPr>
            <w:tcW w:w="1701" w:type="dxa"/>
          </w:tcPr>
          <w:p w14:paraId="4C494B98" w14:textId="77777777" w:rsidR="005B5DE9" w:rsidRDefault="005B5DE9" w:rsidP="00BE4405">
            <w:pPr>
              <w:pStyle w:val="Tableheading"/>
            </w:pPr>
            <w:r>
              <w:t>Asked of</w:t>
            </w:r>
          </w:p>
        </w:tc>
        <w:tc>
          <w:tcPr>
            <w:tcW w:w="4111" w:type="dxa"/>
          </w:tcPr>
          <w:p w14:paraId="32E5F2DE" w14:textId="77777777" w:rsidR="005B5DE9" w:rsidRDefault="005B5DE9" w:rsidP="00BE4405">
            <w:pPr>
              <w:pStyle w:val="Tableheading"/>
            </w:pPr>
            <w:r>
              <w:t>Subject</w:t>
            </w:r>
          </w:p>
        </w:tc>
        <w:tc>
          <w:tcPr>
            <w:tcW w:w="1371" w:type="dxa"/>
          </w:tcPr>
          <w:p w14:paraId="3AA2F0A9" w14:textId="77777777" w:rsidR="005B5DE9" w:rsidRDefault="005B5DE9" w:rsidP="00BE4405">
            <w:pPr>
              <w:pStyle w:val="Tableheading"/>
            </w:pPr>
            <w:r>
              <w:t>Response received</w:t>
            </w:r>
          </w:p>
        </w:tc>
      </w:tr>
      <w:tr w:rsidR="005B5DE9" w14:paraId="7EF5A52F" w14:textId="77777777" w:rsidTr="00BE4405">
        <w:trPr>
          <w:cnfStyle w:val="000000100000" w:firstRow="0" w:lastRow="0" w:firstColumn="0" w:lastColumn="0" w:oddVBand="0" w:evenVBand="0" w:oddHBand="1" w:evenHBand="0" w:firstRowFirstColumn="0" w:firstRowLastColumn="0" w:lastRowFirstColumn="0" w:lastRowLastColumn="0"/>
        </w:trPr>
        <w:tc>
          <w:tcPr>
            <w:tcW w:w="567" w:type="dxa"/>
          </w:tcPr>
          <w:p w14:paraId="07E5F6CB" w14:textId="77777777" w:rsidR="005B5DE9" w:rsidRDefault="005B5DE9" w:rsidP="00BE4405">
            <w:pPr>
              <w:pStyle w:val="Tablebody"/>
            </w:pPr>
            <w:r>
              <w:t>1</w:t>
            </w:r>
          </w:p>
        </w:tc>
        <w:tc>
          <w:tcPr>
            <w:tcW w:w="1276" w:type="dxa"/>
          </w:tcPr>
          <w:p w14:paraId="1C396D90" w14:textId="5AC23D00" w:rsidR="005B5DE9" w:rsidRDefault="00966B3D" w:rsidP="00BE4405">
            <w:pPr>
              <w:pStyle w:val="Tablebody"/>
            </w:pPr>
            <w:r>
              <w:t>07/11</w:t>
            </w:r>
            <w:r w:rsidR="00D66C8B">
              <w:t>/2022</w:t>
            </w:r>
          </w:p>
        </w:tc>
        <w:tc>
          <w:tcPr>
            <w:tcW w:w="1701" w:type="dxa"/>
          </w:tcPr>
          <w:p w14:paraId="622D0068" w14:textId="78811B19" w:rsidR="005B5DE9" w:rsidRDefault="00D66C8B" w:rsidP="00BE4405">
            <w:pPr>
              <w:pStyle w:val="Tablebody"/>
            </w:pPr>
            <w:r>
              <w:t>Minister</w:t>
            </w:r>
            <w:r w:rsidR="00966B3D">
              <w:t xml:space="preserve"> Rattenbury</w:t>
            </w:r>
          </w:p>
        </w:tc>
        <w:tc>
          <w:tcPr>
            <w:tcW w:w="4111" w:type="dxa"/>
          </w:tcPr>
          <w:p w14:paraId="7375807A" w14:textId="0C1CDB6F" w:rsidR="005B5DE9" w:rsidRDefault="00966B3D" w:rsidP="00BE4405">
            <w:pPr>
              <w:pStyle w:val="Tablebody"/>
            </w:pPr>
            <w:r>
              <w:t>Office of Water</w:t>
            </w:r>
          </w:p>
        </w:tc>
        <w:tc>
          <w:tcPr>
            <w:tcW w:w="1371" w:type="dxa"/>
          </w:tcPr>
          <w:p w14:paraId="7DCEBB55" w14:textId="57B5C967" w:rsidR="005B5DE9" w:rsidRDefault="00966B3D" w:rsidP="00BE4405">
            <w:pPr>
              <w:pStyle w:val="Tablebody"/>
            </w:pPr>
            <w:r>
              <w:t>24/11/2022</w:t>
            </w:r>
          </w:p>
        </w:tc>
      </w:tr>
      <w:tr w:rsidR="00D66C8B" w14:paraId="3BDC549D" w14:textId="77777777" w:rsidTr="00BE4405">
        <w:trPr>
          <w:cnfStyle w:val="000000010000" w:firstRow="0" w:lastRow="0" w:firstColumn="0" w:lastColumn="0" w:oddVBand="0" w:evenVBand="0" w:oddHBand="0" w:evenHBand="1" w:firstRowFirstColumn="0" w:firstRowLastColumn="0" w:lastRowFirstColumn="0" w:lastRowLastColumn="0"/>
        </w:trPr>
        <w:tc>
          <w:tcPr>
            <w:tcW w:w="567" w:type="dxa"/>
          </w:tcPr>
          <w:p w14:paraId="64EE8E3B" w14:textId="5916E090" w:rsidR="00D66C8B" w:rsidRDefault="00D66C8B" w:rsidP="00BE4405">
            <w:pPr>
              <w:pStyle w:val="Tablebody"/>
            </w:pPr>
            <w:r>
              <w:t>2</w:t>
            </w:r>
          </w:p>
        </w:tc>
        <w:tc>
          <w:tcPr>
            <w:tcW w:w="1276" w:type="dxa"/>
          </w:tcPr>
          <w:p w14:paraId="2ED35510" w14:textId="64680447" w:rsidR="00D66C8B" w:rsidRDefault="00966B3D" w:rsidP="00BE4405">
            <w:pPr>
              <w:pStyle w:val="Tablebody"/>
            </w:pPr>
            <w:r>
              <w:t>07/11/2022</w:t>
            </w:r>
          </w:p>
        </w:tc>
        <w:tc>
          <w:tcPr>
            <w:tcW w:w="1701" w:type="dxa"/>
          </w:tcPr>
          <w:p w14:paraId="7C73024D" w14:textId="55BB3E92" w:rsidR="00D66C8B" w:rsidRDefault="00966B3D" w:rsidP="00BE4405">
            <w:pPr>
              <w:pStyle w:val="Tablebody"/>
            </w:pPr>
            <w:r>
              <w:t>Minister Rattenbury</w:t>
            </w:r>
          </w:p>
        </w:tc>
        <w:tc>
          <w:tcPr>
            <w:tcW w:w="4111" w:type="dxa"/>
          </w:tcPr>
          <w:p w14:paraId="632C4CB7" w14:textId="5A2101DA" w:rsidR="00D66C8B" w:rsidRDefault="00966B3D" w:rsidP="00BE4405">
            <w:pPr>
              <w:pStyle w:val="Tablebody"/>
            </w:pPr>
            <w:r>
              <w:t>Healthy Waterways</w:t>
            </w:r>
          </w:p>
        </w:tc>
        <w:tc>
          <w:tcPr>
            <w:tcW w:w="1371" w:type="dxa"/>
          </w:tcPr>
          <w:p w14:paraId="3587F55A" w14:textId="1DABF045" w:rsidR="00D66C8B" w:rsidRDefault="00966B3D" w:rsidP="00BE4405">
            <w:pPr>
              <w:pStyle w:val="Tablebody"/>
            </w:pPr>
            <w:r>
              <w:t>24/11/2022</w:t>
            </w:r>
          </w:p>
        </w:tc>
      </w:tr>
    </w:tbl>
    <w:p w14:paraId="63340D0D" w14:textId="0E5DD13D" w:rsidR="007B1762" w:rsidRDefault="00B83B1F"/>
    <w:p w14:paraId="0F8E978E" w14:textId="2DFD0CDE" w:rsidR="00FE3DBF" w:rsidRPr="00D90ED8" w:rsidRDefault="00FE3DBF" w:rsidP="00FE3DBF">
      <w:pPr>
        <w:pStyle w:val="Heading2"/>
      </w:pPr>
      <w:bookmarkStart w:id="77" w:name="_Toc129350739"/>
      <w:r>
        <w:t>Questions Taken on Notice</w:t>
      </w:r>
      <w:bookmarkEnd w:id="77"/>
    </w:p>
    <w:tbl>
      <w:tblPr>
        <w:tblStyle w:val="Assemblystyletable"/>
        <w:tblW w:w="0" w:type="auto"/>
        <w:tblLook w:val="04A0" w:firstRow="1" w:lastRow="0" w:firstColumn="1" w:lastColumn="0" w:noHBand="0" w:noVBand="1"/>
      </w:tblPr>
      <w:tblGrid>
        <w:gridCol w:w="567"/>
        <w:gridCol w:w="1276"/>
        <w:gridCol w:w="1701"/>
        <w:gridCol w:w="4111"/>
        <w:gridCol w:w="1371"/>
      </w:tblGrid>
      <w:tr w:rsidR="00FE3DBF" w14:paraId="35AFD765" w14:textId="77777777" w:rsidTr="00746FE7">
        <w:trPr>
          <w:cnfStyle w:val="100000000000" w:firstRow="1" w:lastRow="0" w:firstColumn="0" w:lastColumn="0" w:oddVBand="0" w:evenVBand="0" w:oddHBand="0" w:evenHBand="0" w:firstRowFirstColumn="0" w:firstRowLastColumn="0" w:lastRowFirstColumn="0" w:lastRowLastColumn="0"/>
        </w:trPr>
        <w:tc>
          <w:tcPr>
            <w:tcW w:w="567" w:type="dxa"/>
          </w:tcPr>
          <w:p w14:paraId="6C58E293" w14:textId="77777777" w:rsidR="00FE3DBF" w:rsidRDefault="00FE3DBF" w:rsidP="00746FE7">
            <w:pPr>
              <w:pStyle w:val="Tableheading"/>
            </w:pPr>
            <w:r>
              <w:t>No.</w:t>
            </w:r>
          </w:p>
        </w:tc>
        <w:tc>
          <w:tcPr>
            <w:tcW w:w="1276" w:type="dxa"/>
          </w:tcPr>
          <w:p w14:paraId="28F8FFE3" w14:textId="77777777" w:rsidR="00FE3DBF" w:rsidRDefault="00FE3DBF" w:rsidP="00746FE7">
            <w:pPr>
              <w:pStyle w:val="Tableheading"/>
            </w:pPr>
            <w:r>
              <w:t>Date</w:t>
            </w:r>
          </w:p>
        </w:tc>
        <w:tc>
          <w:tcPr>
            <w:tcW w:w="1701" w:type="dxa"/>
          </w:tcPr>
          <w:p w14:paraId="737D8340" w14:textId="77777777" w:rsidR="00FE3DBF" w:rsidRDefault="00FE3DBF" w:rsidP="00746FE7">
            <w:pPr>
              <w:pStyle w:val="Tableheading"/>
            </w:pPr>
            <w:r>
              <w:t>Asked of</w:t>
            </w:r>
          </w:p>
        </w:tc>
        <w:tc>
          <w:tcPr>
            <w:tcW w:w="4111" w:type="dxa"/>
          </w:tcPr>
          <w:p w14:paraId="31211BA6" w14:textId="77777777" w:rsidR="00FE3DBF" w:rsidRDefault="00FE3DBF" w:rsidP="00746FE7">
            <w:pPr>
              <w:pStyle w:val="Tableheading"/>
            </w:pPr>
            <w:r>
              <w:t>Subject</w:t>
            </w:r>
          </w:p>
        </w:tc>
        <w:tc>
          <w:tcPr>
            <w:tcW w:w="1371" w:type="dxa"/>
          </w:tcPr>
          <w:p w14:paraId="5E2E6A46" w14:textId="77777777" w:rsidR="00FE3DBF" w:rsidRDefault="00FE3DBF" w:rsidP="00746FE7">
            <w:pPr>
              <w:pStyle w:val="Tableheading"/>
            </w:pPr>
            <w:r>
              <w:t>Response received</w:t>
            </w:r>
          </w:p>
        </w:tc>
      </w:tr>
      <w:tr w:rsidR="00FE3DBF" w14:paraId="109FF604"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35E720F9" w14:textId="77777777" w:rsidR="00FE3DBF" w:rsidRDefault="00FE3DBF" w:rsidP="00746FE7">
            <w:pPr>
              <w:pStyle w:val="Tablebody"/>
            </w:pPr>
            <w:r>
              <w:t>1</w:t>
            </w:r>
          </w:p>
        </w:tc>
        <w:tc>
          <w:tcPr>
            <w:tcW w:w="1276" w:type="dxa"/>
          </w:tcPr>
          <w:p w14:paraId="7EE8BDC8" w14:textId="77777777" w:rsidR="00FE3DBF" w:rsidRDefault="00FE3DBF" w:rsidP="00746FE7">
            <w:pPr>
              <w:pStyle w:val="Tablebody"/>
            </w:pPr>
            <w:r>
              <w:t>31/10/2022</w:t>
            </w:r>
          </w:p>
        </w:tc>
        <w:tc>
          <w:tcPr>
            <w:tcW w:w="1701" w:type="dxa"/>
          </w:tcPr>
          <w:p w14:paraId="41C58CE1" w14:textId="77777777" w:rsidR="00FE3DBF" w:rsidRDefault="00FE3DBF" w:rsidP="00746FE7">
            <w:pPr>
              <w:pStyle w:val="Tablebody"/>
            </w:pPr>
            <w:r>
              <w:t>Minister Gentleman</w:t>
            </w:r>
          </w:p>
        </w:tc>
        <w:tc>
          <w:tcPr>
            <w:tcW w:w="4111" w:type="dxa"/>
          </w:tcPr>
          <w:p w14:paraId="52BA6AE1" w14:textId="29957300" w:rsidR="00FE3DBF" w:rsidRDefault="00966B3D" w:rsidP="00746FE7">
            <w:pPr>
              <w:pStyle w:val="Tablebody"/>
            </w:pPr>
            <w:r>
              <w:t>Management objectives in the new Planning Bill 2022</w:t>
            </w:r>
          </w:p>
        </w:tc>
        <w:tc>
          <w:tcPr>
            <w:tcW w:w="1371" w:type="dxa"/>
          </w:tcPr>
          <w:p w14:paraId="54A31D18" w14:textId="2E43D57A" w:rsidR="00FE3DBF" w:rsidRDefault="00966B3D" w:rsidP="00746FE7">
            <w:pPr>
              <w:pStyle w:val="Tablebody"/>
            </w:pPr>
            <w:r>
              <w:t>09/11/2022</w:t>
            </w:r>
          </w:p>
        </w:tc>
      </w:tr>
      <w:tr w:rsidR="00FE3DBF" w14:paraId="59223DC8"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63ADB830" w14:textId="77777777" w:rsidR="00FE3DBF" w:rsidRDefault="00FE3DBF" w:rsidP="00746FE7">
            <w:pPr>
              <w:pStyle w:val="Tablebody"/>
            </w:pPr>
            <w:r>
              <w:t>2</w:t>
            </w:r>
          </w:p>
        </w:tc>
        <w:tc>
          <w:tcPr>
            <w:tcW w:w="1276" w:type="dxa"/>
          </w:tcPr>
          <w:p w14:paraId="1A80073F" w14:textId="77777777" w:rsidR="00FE3DBF" w:rsidRDefault="00FE3DBF" w:rsidP="00746FE7">
            <w:pPr>
              <w:pStyle w:val="Tablebody"/>
            </w:pPr>
            <w:r>
              <w:t>31/10/2022</w:t>
            </w:r>
          </w:p>
        </w:tc>
        <w:tc>
          <w:tcPr>
            <w:tcW w:w="1701" w:type="dxa"/>
          </w:tcPr>
          <w:p w14:paraId="3CA2AE64" w14:textId="77777777" w:rsidR="00FE3DBF" w:rsidRDefault="00FE3DBF" w:rsidP="00746FE7">
            <w:pPr>
              <w:pStyle w:val="Tablebody"/>
            </w:pPr>
            <w:r>
              <w:t>Minister Gentleman</w:t>
            </w:r>
          </w:p>
        </w:tc>
        <w:tc>
          <w:tcPr>
            <w:tcW w:w="4111" w:type="dxa"/>
          </w:tcPr>
          <w:p w14:paraId="4808F623" w14:textId="0CF291A2" w:rsidR="00FE3DBF" w:rsidRDefault="00B108CD" w:rsidP="00746FE7">
            <w:pPr>
              <w:pStyle w:val="Tablebody"/>
            </w:pPr>
            <w:r>
              <w:t>Invasive species management</w:t>
            </w:r>
          </w:p>
        </w:tc>
        <w:tc>
          <w:tcPr>
            <w:tcW w:w="1371" w:type="dxa"/>
          </w:tcPr>
          <w:p w14:paraId="1AD78551" w14:textId="12CDE1D9" w:rsidR="00FE3DBF" w:rsidRDefault="00D67415" w:rsidP="00746FE7">
            <w:pPr>
              <w:pStyle w:val="Tablebody"/>
            </w:pPr>
            <w:r>
              <w:t>07/11/2022</w:t>
            </w:r>
          </w:p>
        </w:tc>
      </w:tr>
      <w:tr w:rsidR="00FE3DBF" w14:paraId="5342CAE8"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11A8F4D4" w14:textId="77777777" w:rsidR="00FE3DBF" w:rsidRDefault="00FE3DBF" w:rsidP="00746FE7">
            <w:pPr>
              <w:pStyle w:val="Tablebody"/>
            </w:pPr>
            <w:r>
              <w:t>3</w:t>
            </w:r>
          </w:p>
        </w:tc>
        <w:tc>
          <w:tcPr>
            <w:tcW w:w="1276" w:type="dxa"/>
          </w:tcPr>
          <w:p w14:paraId="19C53452" w14:textId="1E4A672E" w:rsidR="00FE3DBF" w:rsidRDefault="00B108CD" w:rsidP="00746FE7">
            <w:pPr>
              <w:pStyle w:val="Tablebody"/>
            </w:pPr>
            <w:r>
              <w:t>01/11</w:t>
            </w:r>
            <w:r w:rsidR="00D67415">
              <w:t>/2022</w:t>
            </w:r>
          </w:p>
        </w:tc>
        <w:tc>
          <w:tcPr>
            <w:tcW w:w="1701" w:type="dxa"/>
          </w:tcPr>
          <w:p w14:paraId="3D74F652" w14:textId="554AEE85" w:rsidR="00FE3DBF" w:rsidRDefault="00B108CD" w:rsidP="00746FE7">
            <w:pPr>
              <w:pStyle w:val="Tablebody"/>
            </w:pPr>
            <w:r>
              <w:t>Dr Sophie Lewis</w:t>
            </w:r>
          </w:p>
        </w:tc>
        <w:tc>
          <w:tcPr>
            <w:tcW w:w="4111" w:type="dxa"/>
          </w:tcPr>
          <w:p w14:paraId="4B1A7B09" w14:textId="7EB4F563" w:rsidR="00FE3DBF" w:rsidRDefault="00B108CD" w:rsidP="00746FE7">
            <w:pPr>
              <w:pStyle w:val="Tablebody"/>
            </w:pPr>
            <w:r>
              <w:t>Government progress towards addressing recommendations</w:t>
            </w:r>
          </w:p>
        </w:tc>
        <w:tc>
          <w:tcPr>
            <w:tcW w:w="1371" w:type="dxa"/>
          </w:tcPr>
          <w:p w14:paraId="51EEDA8A" w14:textId="065252DC" w:rsidR="00FE3DBF" w:rsidRDefault="00B108CD" w:rsidP="00746FE7">
            <w:pPr>
              <w:pStyle w:val="Tablebody"/>
            </w:pPr>
            <w:r>
              <w:t>10/11/2022</w:t>
            </w:r>
          </w:p>
        </w:tc>
      </w:tr>
      <w:tr w:rsidR="00FE3DBF" w14:paraId="13AFD82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446EF9E7" w14:textId="77777777" w:rsidR="00FE3DBF" w:rsidRDefault="00FE3DBF" w:rsidP="00746FE7">
            <w:pPr>
              <w:pStyle w:val="Tablebody"/>
            </w:pPr>
            <w:r>
              <w:t>4</w:t>
            </w:r>
          </w:p>
        </w:tc>
        <w:tc>
          <w:tcPr>
            <w:tcW w:w="1276" w:type="dxa"/>
          </w:tcPr>
          <w:p w14:paraId="7075E1AA" w14:textId="6FA8647A" w:rsidR="00FE3DBF" w:rsidRDefault="00B108CD" w:rsidP="00746FE7">
            <w:pPr>
              <w:pStyle w:val="Tablebody"/>
            </w:pPr>
            <w:r>
              <w:t>01/11</w:t>
            </w:r>
            <w:r w:rsidR="00D67415">
              <w:t>/2022</w:t>
            </w:r>
          </w:p>
        </w:tc>
        <w:tc>
          <w:tcPr>
            <w:tcW w:w="1701" w:type="dxa"/>
          </w:tcPr>
          <w:p w14:paraId="755F3349" w14:textId="2C531B8B" w:rsidR="00FE3DBF" w:rsidRDefault="00B108CD" w:rsidP="00746FE7">
            <w:pPr>
              <w:pStyle w:val="Tablebody"/>
            </w:pPr>
            <w:r>
              <w:t>Dr Sophie Lewis</w:t>
            </w:r>
          </w:p>
        </w:tc>
        <w:tc>
          <w:tcPr>
            <w:tcW w:w="4111" w:type="dxa"/>
          </w:tcPr>
          <w:p w14:paraId="603F7386" w14:textId="3CA3AD08" w:rsidR="00FE3DBF" w:rsidRDefault="00B108CD" w:rsidP="00746FE7">
            <w:pPr>
              <w:pStyle w:val="Tablebody"/>
            </w:pPr>
            <w:r>
              <w:t>Follow-ups to recommendations</w:t>
            </w:r>
          </w:p>
        </w:tc>
        <w:tc>
          <w:tcPr>
            <w:tcW w:w="1371" w:type="dxa"/>
          </w:tcPr>
          <w:p w14:paraId="7D3FCD31" w14:textId="0A0CF43A" w:rsidR="00FE3DBF" w:rsidRDefault="00B108CD" w:rsidP="00746FE7">
            <w:pPr>
              <w:pStyle w:val="Tablebody"/>
            </w:pPr>
            <w:r>
              <w:t>10/11/2022</w:t>
            </w:r>
          </w:p>
        </w:tc>
      </w:tr>
      <w:tr w:rsidR="00FE3DBF" w14:paraId="7F1D5F9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5C02F8E6" w14:textId="77777777" w:rsidR="00FE3DBF" w:rsidRDefault="00FE3DBF" w:rsidP="00746FE7">
            <w:pPr>
              <w:pStyle w:val="Tablebody"/>
            </w:pPr>
            <w:r>
              <w:t>5</w:t>
            </w:r>
          </w:p>
        </w:tc>
        <w:tc>
          <w:tcPr>
            <w:tcW w:w="1276" w:type="dxa"/>
          </w:tcPr>
          <w:p w14:paraId="79136F03" w14:textId="1EC06DBD" w:rsidR="00FE3DBF" w:rsidRDefault="00B108CD" w:rsidP="00746FE7">
            <w:pPr>
              <w:pStyle w:val="Tablebody"/>
            </w:pPr>
            <w:r>
              <w:t>01/11/2022</w:t>
            </w:r>
          </w:p>
        </w:tc>
        <w:tc>
          <w:tcPr>
            <w:tcW w:w="1701" w:type="dxa"/>
          </w:tcPr>
          <w:p w14:paraId="7996AFA9" w14:textId="7F6218E1" w:rsidR="00FE3DBF" w:rsidRDefault="00B108CD" w:rsidP="00746FE7">
            <w:pPr>
              <w:pStyle w:val="Tablebody"/>
            </w:pPr>
            <w:r>
              <w:t>Minister Vassarotti</w:t>
            </w:r>
          </w:p>
        </w:tc>
        <w:tc>
          <w:tcPr>
            <w:tcW w:w="4111" w:type="dxa"/>
          </w:tcPr>
          <w:p w14:paraId="24DDE40D" w14:textId="67E87793" w:rsidR="00FE3DBF" w:rsidRDefault="00B108CD" w:rsidP="00746FE7">
            <w:pPr>
              <w:pStyle w:val="Tablebody"/>
            </w:pPr>
            <w:r>
              <w:t>Hill Station maintenance</w:t>
            </w:r>
          </w:p>
        </w:tc>
        <w:tc>
          <w:tcPr>
            <w:tcW w:w="1371" w:type="dxa"/>
          </w:tcPr>
          <w:p w14:paraId="6F8291B9" w14:textId="0A055E2C" w:rsidR="00FE3DBF" w:rsidRDefault="00B108CD" w:rsidP="00746FE7">
            <w:pPr>
              <w:pStyle w:val="Tablebody"/>
            </w:pPr>
            <w:r>
              <w:t>10/11/2022</w:t>
            </w:r>
          </w:p>
        </w:tc>
      </w:tr>
      <w:tr w:rsidR="00FE3DBF" w14:paraId="1FB7C1B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24E90796" w14:textId="77777777" w:rsidR="00FE3DBF" w:rsidRDefault="00FE3DBF" w:rsidP="00746FE7">
            <w:pPr>
              <w:pStyle w:val="Tablebody"/>
            </w:pPr>
            <w:r>
              <w:t>6</w:t>
            </w:r>
          </w:p>
        </w:tc>
        <w:tc>
          <w:tcPr>
            <w:tcW w:w="1276" w:type="dxa"/>
          </w:tcPr>
          <w:p w14:paraId="1AD4D658" w14:textId="0F29B174" w:rsidR="00FE3DBF" w:rsidRDefault="00B108CD" w:rsidP="00746FE7">
            <w:pPr>
              <w:pStyle w:val="Tablebody"/>
            </w:pPr>
            <w:r>
              <w:t>01/11/2022</w:t>
            </w:r>
          </w:p>
        </w:tc>
        <w:tc>
          <w:tcPr>
            <w:tcW w:w="1701" w:type="dxa"/>
          </w:tcPr>
          <w:p w14:paraId="722FA111" w14:textId="1E6D2DBC" w:rsidR="00FE3DBF" w:rsidRDefault="00B108CD" w:rsidP="00746FE7">
            <w:pPr>
              <w:pStyle w:val="Tablebody"/>
            </w:pPr>
            <w:r>
              <w:t>Minister Vassarotti</w:t>
            </w:r>
          </w:p>
        </w:tc>
        <w:tc>
          <w:tcPr>
            <w:tcW w:w="4111" w:type="dxa"/>
          </w:tcPr>
          <w:p w14:paraId="284304BC" w14:textId="55BC242F" w:rsidR="00FE3DBF" w:rsidRDefault="00B108CD" w:rsidP="00746FE7">
            <w:pPr>
              <w:pStyle w:val="Tablebody"/>
            </w:pPr>
            <w:r>
              <w:t>Heritage Grants – barriers for Indigenous people</w:t>
            </w:r>
          </w:p>
        </w:tc>
        <w:tc>
          <w:tcPr>
            <w:tcW w:w="1371" w:type="dxa"/>
          </w:tcPr>
          <w:p w14:paraId="2E196801" w14:textId="3CBADED3" w:rsidR="00FE3DBF" w:rsidRDefault="00B108CD" w:rsidP="00746FE7">
            <w:pPr>
              <w:pStyle w:val="Tablebody"/>
            </w:pPr>
            <w:r>
              <w:t>10/11/2022</w:t>
            </w:r>
          </w:p>
        </w:tc>
      </w:tr>
      <w:tr w:rsidR="00FE3DBF" w14:paraId="366687E3"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678E2FD0" w14:textId="77777777" w:rsidR="00FE3DBF" w:rsidRDefault="00FE3DBF" w:rsidP="00746FE7">
            <w:pPr>
              <w:pStyle w:val="Tablebody"/>
            </w:pPr>
            <w:r>
              <w:t>7</w:t>
            </w:r>
          </w:p>
        </w:tc>
        <w:tc>
          <w:tcPr>
            <w:tcW w:w="1276" w:type="dxa"/>
          </w:tcPr>
          <w:p w14:paraId="54CD2537" w14:textId="1CE55290" w:rsidR="00FE3DBF" w:rsidRDefault="00B108CD" w:rsidP="00746FE7">
            <w:pPr>
              <w:pStyle w:val="Tablebody"/>
            </w:pPr>
            <w:r>
              <w:t>01/11/2022</w:t>
            </w:r>
          </w:p>
        </w:tc>
        <w:tc>
          <w:tcPr>
            <w:tcW w:w="1701" w:type="dxa"/>
          </w:tcPr>
          <w:p w14:paraId="5D1982F9" w14:textId="53B523EC" w:rsidR="00FE3DBF" w:rsidRDefault="00B108CD" w:rsidP="00746FE7">
            <w:pPr>
              <w:pStyle w:val="Tablebody"/>
            </w:pPr>
            <w:r>
              <w:t>Minister Vassarotti</w:t>
            </w:r>
          </w:p>
        </w:tc>
        <w:tc>
          <w:tcPr>
            <w:tcW w:w="4111" w:type="dxa"/>
          </w:tcPr>
          <w:p w14:paraId="36C27C0D" w14:textId="484518CB" w:rsidR="00FE3DBF" w:rsidRDefault="00B108CD" w:rsidP="00746FE7">
            <w:pPr>
              <w:pStyle w:val="Tablebody"/>
            </w:pPr>
            <w:r>
              <w:t>Heritage Grants – First Nations groups</w:t>
            </w:r>
          </w:p>
        </w:tc>
        <w:tc>
          <w:tcPr>
            <w:tcW w:w="1371" w:type="dxa"/>
          </w:tcPr>
          <w:p w14:paraId="5E1DC049" w14:textId="32073B2A" w:rsidR="00FE3DBF" w:rsidRDefault="00B108CD" w:rsidP="00746FE7">
            <w:pPr>
              <w:pStyle w:val="Tablebody"/>
            </w:pPr>
            <w:r>
              <w:t>10/11/2022</w:t>
            </w:r>
          </w:p>
        </w:tc>
      </w:tr>
      <w:tr w:rsidR="00FE3DBF" w14:paraId="206645E0"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1677E15D" w14:textId="77777777" w:rsidR="00FE3DBF" w:rsidRDefault="00FE3DBF" w:rsidP="00746FE7">
            <w:pPr>
              <w:pStyle w:val="Tablebody"/>
            </w:pPr>
            <w:r>
              <w:t>8</w:t>
            </w:r>
          </w:p>
        </w:tc>
        <w:tc>
          <w:tcPr>
            <w:tcW w:w="1276" w:type="dxa"/>
          </w:tcPr>
          <w:p w14:paraId="100D74B8" w14:textId="5B15B2B0" w:rsidR="00FE3DBF" w:rsidRDefault="00B108CD" w:rsidP="00746FE7">
            <w:pPr>
              <w:pStyle w:val="Tablebody"/>
            </w:pPr>
            <w:r>
              <w:t>01/11/2022</w:t>
            </w:r>
          </w:p>
        </w:tc>
        <w:tc>
          <w:tcPr>
            <w:tcW w:w="1701" w:type="dxa"/>
          </w:tcPr>
          <w:p w14:paraId="6F4378B4" w14:textId="6A193DF1" w:rsidR="00FE3DBF" w:rsidRDefault="00B108CD" w:rsidP="00746FE7">
            <w:pPr>
              <w:pStyle w:val="Tablebody"/>
            </w:pPr>
            <w:r>
              <w:t>Minister Vassarotti</w:t>
            </w:r>
          </w:p>
        </w:tc>
        <w:tc>
          <w:tcPr>
            <w:tcW w:w="4111" w:type="dxa"/>
          </w:tcPr>
          <w:p w14:paraId="0A7A84A2" w14:textId="766CA90D" w:rsidR="00FE3DBF" w:rsidRDefault="00B108CD" w:rsidP="00746FE7">
            <w:pPr>
              <w:pStyle w:val="Tablebody"/>
            </w:pPr>
            <w:r>
              <w:t>Assessment of the eco-system condition</w:t>
            </w:r>
          </w:p>
        </w:tc>
        <w:tc>
          <w:tcPr>
            <w:tcW w:w="1371" w:type="dxa"/>
          </w:tcPr>
          <w:p w14:paraId="193EFC6B" w14:textId="7F776943" w:rsidR="00FE3DBF" w:rsidRDefault="00B108CD" w:rsidP="00746FE7">
            <w:pPr>
              <w:pStyle w:val="Tablebody"/>
            </w:pPr>
            <w:r>
              <w:t>10/11/2022</w:t>
            </w:r>
          </w:p>
        </w:tc>
      </w:tr>
      <w:tr w:rsidR="00D67415" w14:paraId="4CC9AB5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40B135BE" w14:textId="2D5F399F" w:rsidR="00D67415" w:rsidRDefault="00D67415" w:rsidP="00746FE7">
            <w:pPr>
              <w:pStyle w:val="Tablebody"/>
            </w:pPr>
            <w:r>
              <w:t>9</w:t>
            </w:r>
          </w:p>
        </w:tc>
        <w:tc>
          <w:tcPr>
            <w:tcW w:w="1276" w:type="dxa"/>
          </w:tcPr>
          <w:p w14:paraId="6967864C" w14:textId="1B9878E6" w:rsidR="00D67415" w:rsidRDefault="00B108CD" w:rsidP="00746FE7">
            <w:pPr>
              <w:pStyle w:val="Tablebody"/>
            </w:pPr>
            <w:r>
              <w:t>07/11/2022</w:t>
            </w:r>
          </w:p>
        </w:tc>
        <w:tc>
          <w:tcPr>
            <w:tcW w:w="1701" w:type="dxa"/>
          </w:tcPr>
          <w:p w14:paraId="43980E5D" w14:textId="61C68A9D" w:rsidR="00D67415" w:rsidRDefault="00B108CD" w:rsidP="00746FE7">
            <w:pPr>
              <w:pStyle w:val="Tablebody"/>
            </w:pPr>
            <w:r>
              <w:t>Minister Rattenbury</w:t>
            </w:r>
          </w:p>
        </w:tc>
        <w:tc>
          <w:tcPr>
            <w:tcW w:w="4111" w:type="dxa"/>
          </w:tcPr>
          <w:p w14:paraId="3B6BF02F" w14:textId="2799A862" w:rsidR="00D67415" w:rsidRDefault="00B108CD" w:rsidP="00746FE7">
            <w:pPr>
              <w:pStyle w:val="Tablebody"/>
            </w:pPr>
            <w:r>
              <w:t>Electricity Reliability</w:t>
            </w:r>
          </w:p>
        </w:tc>
        <w:tc>
          <w:tcPr>
            <w:tcW w:w="1371" w:type="dxa"/>
          </w:tcPr>
          <w:p w14:paraId="36EA1237" w14:textId="6A1C987A" w:rsidR="00D67415" w:rsidRDefault="00B108CD" w:rsidP="00746FE7">
            <w:pPr>
              <w:pStyle w:val="Tablebody"/>
            </w:pPr>
            <w:r>
              <w:t>18/11/2022</w:t>
            </w:r>
          </w:p>
        </w:tc>
      </w:tr>
      <w:tr w:rsidR="00B85E19" w14:paraId="2B102BA8"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3F1E9B12" w14:textId="3673C90F" w:rsidR="00B85E19" w:rsidRDefault="00B85E19" w:rsidP="00746FE7">
            <w:pPr>
              <w:pStyle w:val="Tablebody"/>
            </w:pPr>
            <w:r>
              <w:t>10</w:t>
            </w:r>
          </w:p>
        </w:tc>
        <w:tc>
          <w:tcPr>
            <w:tcW w:w="1276" w:type="dxa"/>
          </w:tcPr>
          <w:p w14:paraId="142FEA24" w14:textId="54F65313" w:rsidR="00B85E19" w:rsidRDefault="00B108CD" w:rsidP="00746FE7">
            <w:pPr>
              <w:pStyle w:val="Tablebody"/>
            </w:pPr>
            <w:r>
              <w:t>07/11/2022</w:t>
            </w:r>
          </w:p>
        </w:tc>
        <w:tc>
          <w:tcPr>
            <w:tcW w:w="1701" w:type="dxa"/>
          </w:tcPr>
          <w:p w14:paraId="0D363070" w14:textId="437BB738" w:rsidR="00B85E19" w:rsidRDefault="00B108CD" w:rsidP="00746FE7">
            <w:pPr>
              <w:pStyle w:val="Tablebody"/>
            </w:pPr>
            <w:r>
              <w:t>Minister Rattenbury</w:t>
            </w:r>
          </w:p>
        </w:tc>
        <w:tc>
          <w:tcPr>
            <w:tcW w:w="4111" w:type="dxa"/>
          </w:tcPr>
          <w:p w14:paraId="72ECE57E" w14:textId="45E4BE17" w:rsidR="00B85E19" w:rsidRDefault="00B108CD" w:rsidP="00746FE7">
            <w:pPr>
              <w:pStyle w:val="Tablebody"/>
            </w:pPr>
            <w:r>
              <w:t>Healthy Waterways Stage 2</w:t>
            </w:r>
          </w:p>
        </w:tc>
        <w:tc>
          <w:tcPr>
            <w:tcW w:w="1371" w:type="dxa"/>
          </w:tcPr>
          <w:p w14:paraId="052D0472" w14:textId="62184882" w:rsidR="00B85E19" w:rsidRDefault="00B108CD" w:rsidP="00746FE7">
            <w:pPr>
              <w:pStyle w:val="Tablebody"/>
            </w:pPr>
            <w:r>
              <w:t>15/11/2022</w:t>
            </w:r>
          </w:p>
        </w:tc>
      </w:tr>
      <w:tr w:rsidR="00B46840" w14:paraId="51622E36"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7445F81B" w14:textId="19AE1F71" w:rsidR="00B46840" w:rsidRDefault="00B46840" w:rsidP="00746FE7">
            <w:pPr>
              <w:pStyle w:val="Tablebody"/>
            </w:pPr>
            <w:r>
              <w:t>11</w:t>
            </w:r>
          </w:p>
        </w:tc>
        <w:tc>
          <w:tcPr>
            <w:tcW w:w="1276" w:type="dxa"/>
          </w:tcPr>
          <w:p w14:paraId="3B4C2390" w14:textId="3E2D63A8" w:rsidR="00B46840" w:rsidRDefault="001D4382" w:rsidP="00746FE7">
            <w:pPr>
              <w:pStyle w:val="Tablebody"/>
            </w:pPr>
            <w:r>
              <w:t>07/11/2022</w:t>
            </w:r>
          </w:p>
        </w:tc>
        <w:tc>
          <w:tcPr>
            <w:tcW w:w="1701" w:type="dxa"/>
          </w:tcPr>
          <w:p w14:paraId="72FD199C" w14:textId="6FE9E296" w:rsidR="00B46840" w:rsidRDefault="00B108CD" w:rsidP="00746FE7">
            <w:pPr>
              <w:pStyle w:val="Tablebody"/>
            </w:pPr>
            <w:r>
              <w:t>Minister Rattenbury</w:t>
            </w:r>
          </w:p>
        </w:tc>
        <w:tc>
          <w:tcPr>
            <w:tcW w:w="4111" w:type="dxa"/>
          </w:tcPr>
          <w:p w14:paraId="72CC6EC1" w14:textId="772C1F71" w:rsidR="00B46840" w:rsidRDefault="00B108CD" w:rsidP="00746FE7">
            <w:pPr>
              <w:pStyle w:val="Tablebody"/>
            </w:pPr>
            <w:r>
              <w:t>Water Sensitive Urban Design</w:t>
            </w:r>
          </w:p>
        </w:tc>
        <w:tc>
          <w:tcPr>
            <w:tcW w:w="1371" w:type="dxa"/>
          </w:tcPr>
          <w:p w14:paraId="27C1D056" w14:textId="3FC3875B" w:rsidR="00B46840" w:rsidRDefault="00B108CD" w:rsidP="00746FE7">
            <w:pPr>
              <w:pStyle w:val="Tablebody"/>
            </w:pPr>
            <w:r>
              <w:t>22/11/2022</w:t>
            </w:r>
          </w:p>
        </w:tc>
      </w:tr>
      <w:tr w:rsidR="007B781F" w14:paraId="18382B45" w14:textId="77777777" w:rsidTr="00746FE7">
        <w:trPr>
          <w:cnfStyle w:val="000000010000" w:firstRow="0" w:lastRow="0" w:firstColumn="0" w:lastColumn="0" w:oddVBand="0" w:evenVBand="0" w:oddHBand="0" w:evenHBand="1" w:firstRowFirstColumn="0" w:firstRowLastColumn="0" w:lastRowFirstColumn="0" w:lastRowLastColumn="0"/>
        </w:trPr>
        <w:tc>
          <w:tcPr>
            <w:tcW w:w="567" w:type="dxa"/>
          </w:tcPr>
          <w:p w14:paraId="1D2D33E5" w14:textId="20845212" w:rsidR="007B781F" w:rsidRDefault="007B781F" w:rsidP="00746FE7">
            <w:pPr>
              <w:pStyle w:val="Tablebody"/>
            </w:pPr>
            <w:r>
              <w:t>12</w:t>
            </w:r>
          </w:p>
        </w:tc>
        <w:tc>
          <w:tcPr>
            <w:tcW w:w="1276" w:type="dxa"/>
          </w:tcPr>
          <w:p w14:paraId="6A2C9BB3" w14:textId="7D2D7F74" w:rsidR="007B781F" w:rsidRDefault="001D4382" w:rsidP="00746FE7">
            <w:pPr>
              <w:pStyle w:val="Tablebody"/>
            </w:pPr>
            <w:r>
              <w:t>07/11/2022</w:t>
            </w:r>
          </w:p>
        </w:tc>
        <w:tc>
          <w:tcPr>
            <w:tcW w:w="1701" w:type="dxa"/>
          </w:tcPr>
          <w:p w14:paraId="4C5E151E" w14:textId="0F3FC3BA" w:rsidR="007B781F" w:rsidRDefault="001D4382" w:rsidP="00746FE7">
            <w:pPr>
              <w:pStyle w:val="Tablebody"/>
            </w:pPr>
            <w:r>
              <w:t xml:space="preserve">Minister </w:t>
            </w:r>
            <w:r w:rsidR="00B108CD">
              <w:t>Rattenbury</w:t>
            </w:r>
          </w:p>
        </w:tc>
        <w:tc>
          <w:tcPr>
            <w:tcW w:w="4111" w:type="dxa"/>
          </w:tcPr>
          <w:p w14:paraId="505CF9BD" w14:textId="6E7BFC8C" w:rsidR="007B781F" w:rsidRDefault="00B108CD" w:rsidP="00746FE7">
            <w:pPr>
              <w:pStyle w:val="Tablebody"/>
            </w:pPr>
            <w:r>
              <w:t>Flood and Healthy Waterways website links</w:t>
            </w:r>
          </w:p>
        </w:tc>
        <w:tc>
          <w:tcPr>
            <w:tcW w:w="1371" w:type="dxa"/>
          </w:tcPr>
          <w:p w14:paraId="19E59956" w14:textId="4F679DB5" w:rsidR="007B781F" w:rsidRDefault="00B108CD" w:rsidP="00746FE7">
            <w:pPr>
              <w:pStyle w:val="Tablebody"/>
            </w:pPr>
            <w:r>
              <w:t>18/11/2022</w:t>
            </w:r>
          </w:p>
        </w:tc>
      </w:tr>
      <w:tr w:rsidR="007B781F" w14:paraId="61D1DC39" w14:textId="77777777" w:rsidTr="00746FE7">
        <w:trPr>
          <w:cnfStyle w:val="000000100000" w:firstRow="0" w:lastRow="0" w:firstColumn="0" w:lastColumn="0" w:oddVBand="0" w:evenVBand="0" w:oddHBand="1" w:evenHBand="0" w:firstRowFirstColumn="0" w:firstRowLastColumn="0" w:lastRowFirstColumn="0" w:lastRowLastColumn="0"/>
        </w:trPr>
        <w:tc>
          <w:tcPr>
            <w:tcW w:w="567" w:type="dxa"/>
          </w:tcPr>
          <w:p w14:paraId="3DF019B6" w14:textId="0C4D9216" w:rsidR="007B781F" w:rsidRDefault="007B781F" w:rsidP="00746FE7">
            <w:pPr>
              <w:pStyle w:val="Tablebody"/>
            </w:pPr>
            <w:r>
              <w:t>13</w:t>
            </w:r>
          </w:p>
        </w:tc>
        <w:tc>
          <w:tcPr>
            <w:tcW w:w="1276" w:type="dxa"/>
          </w:tcPr>
          <w:p w14:paraId="3F171D5B" w14:textId="7DE7862E" w:rsidR="007B781F" w:rsidRDefault="001D4382" w:rsidP="00746FE7">
            <w:pPr>
              <w:pStyle w:val="Tablebody"/>
            </w:pPr>
            <w:r>
              <w:t>07/11/2022</w:t>
            </w:r>
          </w:p>
        </w:tc>
        <w:tc>
          <w:tcPr>
            <w:tcW w:w="1701" w:type="dxa"/>
          </w:tcPr>
          <w:p w14:paraId="74CDF569" w14:textId="4212297E" w:rsidR="007B781F" w:rsidRDefault="001D4382" w:rsidP="00746FE7">
            <w:pPr>
              <w:pStyle w:val="Tablebody"/>
            </w:pPr>
            <w:r>
              <w:t>Minister Barr</w:t>
            </w:r>
          </w:p>
        </w:tc>
        <w:tc>
          <w:tcPr>
            <w:tcW w:w="4111" w:type="dxa"/>
          </w:tcPr>
          <w:p w14:paraId="1C4CB6AE" w14:textId="1B465145" w:rsidR="007B781F" w:rsidRDefault="00B108CD" w:rsidP="00746FE7">
            <w:pPr>
              <w:pStyle w:val="Tablebody"/>
            </w:pPr>
            <w:r>
              <w:t>End-of-life recycling batteries</w:t>
            </w:r>
          </w:p>
        </w:tc>
        <w:tc>
          <w:tcPr>
            <w:tcW w:w="1371" w:type="dxa"/>
          </w:tcPr>
          <w:p w14:paraId="4608FCAA" w14:textId="3F00EE15" w:rsidR="007B781F" w:rsidRDefault="00B108CD" w:rsidP="00746FE7">
            <w:pPr>
              <w:pStyle w:val="Tablebody"/>
            </w:pPr>
            <w:r>
              <w:t>18/11/2022</w:t>
            </w:r>
          </w:p>
        </w:tc>
      </w:tr>
    </w:tbl>
    <w:p w14:paraId="4030CFF3" w14:textId="77777777" w:rsidR="00FE3DBF" w:rsidRDefault="00FE3DBF"/>
    <w:sectPr w:rsidR="00FE3DBF" w:rsidSect="00603367">
      <w:footerReference w:type="even" r:id="rId21"/>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34B9" w14:textId="77777777" w:rsidR="005B5DE9" w:rsidRDefault="005B5DE9" w:rsidP="005B5DE9">
      <w:pPr>
        <w:spacing w:after="0" w:line="240" w:lineRule="auto"/>
      </w:pPr>
      <w:r>
        <w:separator/>
      </w:r>
    </w:p>
  </w:endnote>
  <w:endnote w:type="continuationSeparator" w:id="0">
    <w:p w14:paraId="706788AD" w14:textId="77777777" w:rsidR="005B5DE9" w:rsidRDefault="005B5DE9" w:rsidP="005B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altName w:val="﷽﷽﷽﷽﷽﷽﷽﷽at SemiBold"/>
    <w:panose1 w:val="000007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ontserrat Light">
    <w:altName w:val="﷽﷽﷽﷽﷽﷽﷽﷽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7DF7" w14:textId="77777777" w:rsidR="005B5DE9"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7BFC" w14:textId="77777777" w:rsidR="005B5DE9" w:rsidRPr="007A6EB9" w:rsidRDefault="005B5DE9" w:rsidP="009C2830">
    <w:pPr>
      <w:pStyle w:val="Footer"/>
      <w:tabs>
        <w:tab w:val="clear" w:pos="4513"/>
        <w:tab w:val="clear" w:pos="9026"/>
        <w:tab w:val="right" w:pos="5387"/>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Inquiry into Climate Change and Greenhouse Gas Reduction (Natural Gas Transition) Amendment Bill 2022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roman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iv</w:t>
    </w:r>
    <w:r w:rsidRPr="007A6EB9">
      <w:rPr>
        <w:rFonts w:ascii="Montserrat SemiBold" w:hAnsi="Montserrat SemiBold" w:cstheme="majorHAnsi"/>
        <w:color w:val="2F5496"/>
        <w:w w:val="90"/>
        <w:sz w:val="18"/>
        <w:szCs w:val="18"/>
      </w:rPr>
      <w:fldChar w:fldCharType="end"/>
    </w:r>
  </w:p>
  <w:p w14:paraId="6FB0389A" w14:textId="77777777" w:rsidR="005B5DE9" w:rsidRPr="007A6EB9" w:rsidRDefault="005B5DE9" w:rsidP="009C2830">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53C0" w14:textId="77777777" w:rsidR="005B5DE9" w:rsidRPr="00C8358A" w:rsidRDefault="005B5DE9"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t>Legislative Assembly for the Australian Capital Territory</w:t>
    </w:r>
  </w:p>
  <w:p w14:paraId="0E619A89" w14:textId="2E7A8AE5" w:rsidR="005B5DE9" w:rsidRPr="00C8358A" w:rsidRDefault="005B5DE9" w:rsidP="00F101AB">
    <w:pPr>
      <w:pStyle w:val="Footer"/>
      <w:tabs>
        <w:tab w:val="clear" w:pos="4513"/>
        <w:tab w:val="clear" w:pos="9026"/>
      </w:tabs>
      <w:rPr>
        <w:rFonts w:cstheme="minorHAnsi"/>
        <w:color w:val="404040" w:themeColor="text1" w:themeTint="BF"/>
      </w:rPr>
    </w:pPr>
    <w:r w:rsidRPr="00C8358A">
      <w:rPr>
        <w:rFonts w:cstheme="minorHAnsi"/>
        <w:color w:val="404040" w:themeColor="text1" w:themeTint="BF"/>
      </w:rPr>
      <w:fldChar w:fldCharType="begin"/>
    </w:r>
    <w:r w:rsidRPr="00C8358A">
      <w:rPr>
        <w:rFonts w:cstheme="minorHAnsi"/>
        <w:color w:val="404040" w:themeColor="text1" w:themeTint="BF"/>
      </w:rPr>
      <w:instrText xml:space="preserve"> STYLEREF  "Default Paragraph Font"  \* MERGEFORMAT </w:instrText>
    </w:r>
    <w:r w:rsidRPr="00C8358A">
      <w:rPr>
        <w:rFonts w:cstheme="minorHAnsi"/>
        <w:color w:val="404040" w:themeColor="text1" w:themeTint="BF"/>
      </w:rPr>
      <w:fldChar w:fldCharType="separate"/>
    </w:r>
    <w:r w:rsidR="002136B2">
      <w:rPr>
        <w:rFonts w:cstheme="minorHAnsi"/>
        <w:noProof/>
        <w:color w:val="404040" w:themeColor="text1" w:themeTint="BF"/>
      </w:rPr>
      <w:t>Standing Committee on Environment, Climate Change and Biodiversity</w:t>
    </w:r>
    <w:r w:rsidR="002136B2">
      <w:rPr>
        <w:rFonts w:cstheme="minorHAnsi"/>
        <w:noProof/>
        <w:color w:val="404040" w:themeColor="text1" w:themeTint="BF"/>
      </w:rPr>
      <w:cr/>
    </w:r>
    <w:r w:rsidRPr="00C8358A">
      <w:rPr>
        <w:rFonts w:cstheme="minorHAnsi"/>
        <w:color w:val="404040" w:themeColor="text1" w:themeTint="BF"/>
      </w:rPr>
      <w:fldChar w:fldCharType="end"/>
    </w:r>
  </w:p>
  <w:sdt>
    <w:sdtPr>
      <w:rPr>
        <w:rFonts w:cstheme="minorHAnsi"/>
        <w:color w:val="404040" w:themeColor="text1" w:themeTint="BF"/>
      </w:rPr>
      <w:id w:val="442274151"/>
      <w15:color w:val="000000"/>
      <w:comboBox>
        <w:listItem w:value="Choose an item."/>
        <w:listItem w:displayText="Approved for publication" w:value="Approved for publication"/>
        <w:listItem w:displayText="Draft - Not for publication" w:value="Draft - Not for publication"/>
      </w:comboBox>
    </w:sdtPr>
    <w:sdtEndPr/>
    <w:sdtContent>
      <w:p w14:paraId="51722C92" w14:textId="03C232EA" w:rsidR="005B5DE9" w:rsidRPr="00C8358A" w:rsidRDefault="00C2226A" w:rsidP="00C8358A">
        <w:pPr>
          <w:pStyle w:val="Footer"/>
          <w:pBdr>
            <w:top w:val="single" w:sz="4" w:space="1" w:color="auto"/>
            <w:bottom w:val="single" w:sz="4" w:space="1" w:color="auto"/>
          </w:pBdr>
          <w:tabs>
            <w:tab w:val="clear" w:pos="4513"/>
            <w:tab w:val="clear" w:pos="9026"/>
          </w:tabs>
          <w:spacing w:before="40" w:after="40"/>
          <w:ind w:right="6474"/>
          <w:jc w:val="center"/>
          <w:rPr>
            <w:rFonts w:cstheme="minorHAnsi"/>
            <w:color w:val="404040" w:themeColor="text1" w:themeTint="BF"/>
          </w:rPr>
        </w:pPr>
        <w:r>
          <w:rPr>
            <w:rFonts w:cstheme="minorHAnsi"/>
            <w:color w:val="404040" w:themeColor="text1" w:themeTint="BF"/>
          </w:rPr>
          <w:t>Approved for publication</w:t>
        </w:r>
      </w:p>
    </w:sdtContent>
  </w:sdt>
  <w:p w14:paraId="2424BCB9" w14:textId="77777777" w:rsidR="005B5DE9" w:rsidRPr="00C8358A" w:rsidRDefault="005B5DE9" w:rsidP="00F101AB">
    <w:pPr>
      <w:pStyle w:val="Footer"/>
      <w:tabs>
        <w:tab w:val="clear" w:pos="4513"/>
        <w:tab w:val="clear" w:pos="9026"/>
      </w:tabs>
      <w:rPr>
        <w:rFonts w:cstheme="minorHAnsi"/>
        <w:color w:val="404040" w:themeColor="text1" w:themeTint="BF"/>
      </w:rPr>
    </w:pPr>
  </w:p>
  <w:p w14:paraId="3068DD53" w14:textId="78A90F0A" w:rsidR="005B5DE9" w:rsidRDefault="005B5DE9" w:rsidP="00F101AB">
    <w:pPr>
      <w:pStyle w:val="Footer"/>
      <w:tabs>
        <w:tab w:val="clear" w:pos="4513"/>
        <w:tab w:val="clear" w:pos="9026"/>
      </w:tabs>
      <w:rPr>
        <w:rFonts w:cstheme="minorHAnsi"/>
        <w:color w:val="404040" w:themeColor="text1" w:themeTint="BF"/>
      </w:rPr>
    </w:pPr>
    <w:r>
      <w:rPr>
        <w:rFonts w:cstheme="minorHAnsi"/>
        <w:color w:val="404040" w:themeColor="text1" w:themeTint="BF"/>
      </w:rPr>
      <w:t xml:space="preserve">Report </w:t>
    </w:r>
    <w:r w:rsidR="0053078A" w:rsidRPr="00C2226A">
      <w:rPr>
        <w:rFonts w:cstheme="minorHAnsi"/>
        <w:color w:val="404040" w:themeColor="text1" w:themeTint="BF"/>
      </w:rPr>
      <w:t>7</w:t>
    </w:r>
  </w:p>
  <w:p w14:paraId="0C110F39" w14:textId="783C1712" w:rsidR="00630A92" w:rsidRPr="00F728CF" w:rsidRDefault="005B5DE9" w:rsidP="00F101AB">
    <w:pPr>
      <w:pStyle w:val="Footer"/>
      <w:tabs>
        <w:tab w:val="clear" w:pos="4513"/>
        <w:tab w:val="clear" w:pos="9026"/>
      </w:tabs>
      <w:rPr>
        <w:rFonts w:cstheme="minorHAnsi"/>
        <w:color w:val="404040" w:themeColor="text1" w:themeTint="BF"/>
      </w:rPr>
    </w:pPr>
    <w:r w:rsidRPr="00F728CF">
      <w:rPr>
        <w:rFonts w:cstheme="minorHAnsi"/>
        <w:color w:val="404040" w:themeColor="text1" w:themeTint="BF"/>
      </w:rPr>
      <w:t>10th Assembly</w:t>
    </w:r>
  </w:p>
  <w:p w14:paraId="5183C22C" w14:textId="3EDF0C0A" w:rsidR="005B5DE9" w:rsidRPr="00F728CF" w:rsidRDefault="002350CE">
    <w:pPr>
      <w:pStyle w:val="Footer"/>
      <w:rPr>
        <w:rFonts w:cstheme="minorHAnsi"/>
      </w:rPr>
    </w:pPr>
    <w:r>
      <w:rPr>
        <w:rFonts w:cstheme="minorHAnsi"/>
      </w:rPr>
      <w:t>March</w:t>
    </w:r>
    <w:r w:rsidR="00630A92" w:rsidRPr="00F728CF">
      <w:rPr>
        <w:rFonts w:cstheme="minorHAnsi"/>
      </w:rPr>
      <w:t xml:space="preserve"> 2023</w:t>
    </w:r>
  </w:p>
  <w:p w14:paraId="46BCE203" w14:textId="77777777" w:rsidR="005B5DE9" w:rsidRPr="008B350E" w:rsidRDefault="005B5DE9">
    <w:pPr>
      <w:pStyle w:val="Footer"/>
      <w:rPr>
        <w:rFonts w:asciiTheme="majorHAnsi" w:hAnsiTheme="majorHAnsi" w:cs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C52B" w14:textId="2495C5C0" w:rsidR="005B5DE9"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PAGE  \* roman  \* MERGEFORMAT </w:instrText>
    </w:r>
    <w:r w:rsidRPr="00EE5B62">
      <w:rPr>
        <w:rFonts w:ascii="Montserrat SemiBold" w:hAnsi="Montserrat SemiBold" w:cstheme="majorHAnsi"/>
        <w:color w:val="2F5496"/>
        <w:w w:val="90"/>
        <w:sz w:val="18"/>
        <w:szCs w:val="18"/>
      </w:rPr>
      <w:fldChar w:fldCharType="separate"/>
    </w:r>
    <w:r w:rsidRPr="00EE5B62">
      <w:rPr>
        <w:rFonts w:ascii="Montserrat SemiBold" w:hAnsi="Montserrat SemiBold" w:cstheme="majorHAnsi"/>
        <w:noProof/>
        <w:color w:val="2F5496"/>
        <w:w w:val="90"/>
        <w:sz w:val="18"/>
        <w:szCs w:val="18"/>
      </w:rPr>
      <w:t>v</w:t>
    </w:r>
    <w:r w:rsidRPr="00EE5B62">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sidR="00630A92">
      <w:rPr>
        <w:rFonts w:ascii="Montserrat SemiBold" w:hAnsi="Montserrat SemiBold" w:cstheme="majorHAnsi"/>
        <w:noProof/>
        <w:color w:val="2F5496"/>
        <w:w w:val="90"/>
        <w:sz w:val="18"/>
        <w:szCs w:val="18"/>
      </w:rPr>
      <w:t>Inquiry into Annual and Financial Reports 2021-22</w:t>
    </w:r>
    <w:r w:rsidRPr="00EE5B62">
      <w:rPr>
        <w:rFonts w:ascii="Montserrat SemiBold" w:hAnsi="Montserrat SemiBold" w:cstheme="majorHAnsi"/>
        <w:color w:val="2F5496"/>
        <w:w w:val="90"/>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B3E0" w14:textId="2958BDB0" w:rsidR="005B5DE9" w:rsidRPr="007A6EB9" w:rsidRDefault="005B5DE9" w:rsidP="00E12092">
    <w:pPr>
      <w:pStyle w:val="Footer"/>
      <w:tabs>
        <w:tab w:val="clear" w:pos="4513"/>
        <w:tab w:val="clear" w:pos="9026"/>
        <w:tab w:val="right" w:pos="4536"/>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2136B2">
      <w:rPr>
        <w:rFonts w:ascii="Montserrat SemiBold" w:hAnsi="Montserrat SemiBold" w:cstheme="majorHAnsi"/>
        <w:noProof/>
        <w:color w:val="2F5496"/>
        <w:w w:val="90"/>
        <w:sz w:val="18"/>
        <w:szCs w:val="18"/>
      </w:rPr>
      <w:t>Inquiry into Annual and Financial Reports 2021-22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roman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w:t>
    </w:r>
    <w:r>
      <w:rPr>
        <w:rFonts w:ascii="Montserrat SemiBold" w:hAnsi="Montserrat SemiBold" w:cstheme="majorHAnsi"/>
        <w:color w:val="2F5496"/>
        <w:w w:val="90"/>
        <w:sz w:val="18"/>
        <w:szCs w:val="18"/>
      </w:rPr>
      <w:fldChar w:fldCharType="end"/>
    </w:r>
  </w:p>
  <w:p w14:paraId="5A695062" w14:textId="77777777" w:rsidR="005B5DE9" w:rsidRPr="007A6EB9" w:rsidRDefault="005B5DE9" w:rsidP="009C2830">
    <w:pPr>
      <w:pStyle w:val="Footer"/>
      <w:jc w:val="righ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0C84" w14:textId="77777777" w:rsidR="00877A94" w:rsidRPr="00EE5B62" w:rsidRDefault="005B5DE9" w:rsidP="009C2830">
    <w:pPr>
      <w:pStyle w:val="Footer"/>
      <w:tabs>
        <w:tab w:val="clear" w:pos="4513"/>
        <w:tab w:val="clear" w:pos="9026"/>
        <w:tab w:val="left" w:pos="851"/>
      </w:tabs>
      <w:rPr>
        <w:rFonts w:ascii="Montserrat SemiBold" w:hAnsi="Montserrat SemiBold" w:cstheme="majorHAnsi"/>
        <w:color w:val="2F5496"/>
        <w:w w:val="90"/>
        <w:sz w:val="18"/>
        <w:szCs w:val="18"/>
      </w:rPr>
    </w:pPr>
    <w:r>
      <w:rPr>
        <w:rFonts w:ascii="Montserrat SemiBold" w:hAnsi="Montserrat SemiBold" w:cstheme="majorHAnsi"/>
        <w:color w:val="2F5496"/>
        <w:w w:val="90"/>
        <w:sz w:val="18"/>
        <w:szCs w:val="18"/>
      </w:rPr>
      <w:fldChar w:fldCharType="begin"/>
    </w:r>
    <w:r>
      <w:rPr>
        <w:rFonts w:ascii="Montserrat SemiBold" w:hAnsi="Montserrat SemiBold" w:cstheme="majorHAnsi"/>
        <w:color w:val="2F5496"/>
        <w:w w:val="90"/>
        <w:sz w:val="18"/>
        <w:szCs w:val="18"/>
      </w:rPr>
      <w:instrText xml:space="preserve"> PAGE  \* MERGEFORMAT </w:instrText>
    </w:r>
    <w:r>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3</w:t>
    </w:r>
    <w:r>
      <w:rPr>
        <w:rFonts w:ascii="Montserrat SemiBold" w:hAnsi="Montserrat SemiBold" w:cstheme="majorHAnsi"/>
        <w:color w:val="2F5496"/>
        <w:w w:val="90"/>
        <w:sz w:val="18"/>
        <w:szCs w:val="18"/>
      </w:rPr>
      <w:fldChar w:fldCharType="end"/>
    </w:r>
    <w:r w:rsidRPr="00EE5B62">
      <w:rPr>
        <w:rFonts w:ascii="Montserrat SemiBold" w:hAnsi="Montserrat SemiBold" w:cstheme="majorHAnsi"/>
        <w:color w:val="2F5496"/>
        <w:w w:val="90"/>
        <w:sz w:val="18"/>
        <w:szCs w:val="18"/>
      </w:rPr>
      <w:tab/>
    </w:r>
    <w:r w:rsidRPr="00EE5B62">
      <w:rPr>
        <w:rFonts w:ascii="Montserrat SemiBold" w:hAnsi="Montserrat SemiBold" w:cstheme="majorHAnsi"/>
        <w:color w:val="2F5496"/>
        <w:w w:val="90"/>
        <w:sz w:val="18"/>
        <w:szCs w:val="18"/>
      </w:rPr>
      <w:fldChar w:fldCharType="begin"/>
    </w:r>
    <w:r w:rsidRPr="00EE5B62">
      <w:rPr>
        <w:rFonts w:ascii="Montserrat SemiBold" w:hAnsi="Montserrat SemiBold" w:cstheme="majorHAnsi"/>
        <w:color w:val="2F5496"/>
        <w:w w:val="90"/>
        <w:sz w:val="18"/>
        <w:szCs w:val="18"/>
      </w:rPr>
      <w:instrText xml:space="preserve"> STYLEREF  Title  \* MERGEFORMAT </w:instrText>
    </w:r>
    <w:r w:rsidRPr="00EE5B62">
      <w:rPr>
        <w:rFonts w:ascii="Montserrat SemiBold" w:hAnsi="Montserrat SemiBold" w:cstheme="majorHAnsi"/>
        <w:color w:val="2F5496"/>
        <w:w w:val="90"/>
        <w:sz w:val="18"/>
        <w:szCs w:val="18"/>
      </w:rPr>
      <w:fldChar w:fldCharType="separate"/>
    </w:r>
    <w:r>
      <w:rPr>
        <w:rFonts w:ascii="Montserrat SemiBold" w:hAnsi="Montserrat SemiBold" w:cstheme="majorHAnsi"/>
        <w:noProof/>
        <w:color w:val="2F5496"/>
        <w:w w:val="90"/>
        <w:sz w:val="18"/>
        <w:szCs w:val="18"/>
      </w:rPr>
      <w:t>Inquiry into Planning Bill 2022</w:t>
    </w:r>
    <w:r w:rsidRPr="00EE5B62">
      <w:rPr>
        <w:rFonts w:ascii="Montserrat SemiBold" w:hAnsi="Montserrat SemiBold" w:cstheme="majorHAnsi"/>
        <w:color w:val="2F5496"/>
        <w:w w:val="90"/>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CF75" w14:textId="3833C79D" w:rsidR="009F5A83" w:rsidRPr="007A6EB9" w:rsidRDefault="005B5DE9" w:rsidP="00150531">
    <w:pPr>
      <w:pStyle w:val="Footer"/>
      <w:tabs>
        <w:tab w:val="clear" w:pos="4513"/>
        <w:tab w:val="clear" w:pos="9026"/>
        <w:tab w:val="right" w:pos="1560"/>
      </w:tabs>
      <w:jc w:val="right"/>
      <w:rPr>
        <w:rFonts w:ascii="Montserrat SemiBold" w:hAnsi="Montserrat SemiBold" w:cstheme="majorHAnsi"/>
        <w:color w:val="2F5496"/>
        <w:w w:val="90"/>
        <w:sz w:val="18"/>
        <w:szCs w:val="18"/>
      </w:rPr>
    </w:pP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STYLEREF  Title  \* MERGEFORMAT </w:instrText>
    </w:r>
    <w:r w:rsidRPr="007A6EB9">
      <w:rPr>
        <w:rFonts w:ascii="Montserrat SemiBold" w:hAnsi="Montserrat SemiBold" w:cstheme="majorHAnsi"/>
        <w:color w:val="2F5496"/>
        <w:w w:val="90"/>
        <w:sz w:val="18"/>
        <w:szCs w:val="18"/>
      </w:rPr>
      <w:fldChar w:fldCharType="separate"/>
    </w:r>
    <w:r w:rsidR="00B83B1F">
      <w:rPr>
        <w:rFonts w:ascii="Montserrat SemiBold" w:hAnsi="Montserrat SemiBold" w:cstheme="majorHAnsi"/>
        <w:noProof/>
        <w:color w:val="2F5496"/>
        <w:w w:val="90"/>
        <w:sz w:val="18"/>
        <w:szCs w:val="18"/>
      </w:rPr>
      <w:t>Inquiry into Annual and Financial Reports 2021-22</w:t>
    </w:r>
    <w:r w:rsidRPr="007A6EB9">
      <w:rPr>
        <w:rFonts w:ascii="Montserrat SemiBold" w:hAnsi="Montserrat SemiBold" w:cstheme="majorHAnsi"/>
        <w:color w:val="2F5496"/>
        <w:w w:val="90"/>
        <w:sz w:val="18"/>
        <w:szCs w:val="18"/>
      </w:rPr>
      <w:fldChar w:fldCharType="end"/>
    </w:r>
    <w:r w:rsidRPr="007A6EB9">
      <w:rPr>
        <w:rFonts w:ascii="Montserrat SemiBold" w:hAnsi="Montserrat SemiBold" w:cstheme="majorHAnsi"/>
        <w:color w:val="2F5496"/>
        <w:w w:val="90"/>
        <w:sz w:val="18"/>
        <w:szCs w:val="18"/>
      </w:rPr>
      <w:tab/>
    </w:r>
    <w:r w:rsidRPr="007A6EB9">
      <w:rPr>
        <w:rFonts w:ascii="Montserrat SemiBold" w:hAnsi="Montserrat SemiBold" w:cstheme="majorHAnsi"/>
        <w:color w:val="2F5496"/>
        <w:w w:val="90"/>
        <w:sz w:val="18"/>
        <w:szCs w:val="18"/>
      </w:rPr>
      <w:fldChar w:fldCharType="begin"/>
    </w:r>
    <w:r w:rsidRPr="007A6EB9">
      <w:rPr>
        <w:rFonts w:ascii="Montserrat SemiBold" w:hAnsi="Montserrat SemiBold" w:cstheme="majorHAnsi"/>
        <w:color w:val="2F5496"/>
        <w:w w:val="90"/>
        <w:sz w:val="18"/>
        <w:szCs w:val="18"/>
      </w:rPr>
      <w:instrText xml:space="preserve"> PAGE  \* Arabic  \* MERGEFORMAT </w:instrText>
    </w:r>
    <w:r w:rsidRPr="007A6EB9">
      <w:rPr>
        <w:rFonts w:ascii="Montserrat SemiBold" w:hAnsi="Montserrat SemiBold" w:cstheme="majorHAnsi"/>
        <w:color w:val="2F5496"/>
        <w:w w:val="90"/>
        <w:sz w:val="18"/>
        <w:szCs w:val="18"/>
      </w:rPr>
      <w:fldChar w:fldCharType="separate"/>
    </w:r>
    <w:r w:rsidRPr="007A6EB9">
      <w:rPr>
        <w:rFonts w:ascii="Montserrat SemiBold" w:hAnsi="Montserrat SemiBold" w:cstheme="majorHAnsi"/>
        <w:noProof/>
        <w:color w:val="2F5496"/>
        <w:w w:val="90"/>
        <w:sz w:val="18"/>
        <w:szCs w:val="18"/>
      </w:rPr>
      <w:t>5</w:t>
    </w:r>
    <w:r w:rsidRPr="007A6EB9">
      <w:rPr>
        <w:rFonts w:ascii="Montserrat SemiBold" w:hAnsi="Montserrat SemiBold" w:cstheme="majorHAnsi"/>
        <w:color w:val="2F5496"/>
        <w:w w:val="90"/>
        <w:sz w:val="18"/>
        <w:szCs w:val="18"/>
      </w:rPr>
      <w:fldChar w:fldCharType="end"/>
    </w:r>
  </w:p>
  <w:p w14:paraId="3EAF7BCB" w14:textId="77777777" w:rsidR="009F5A83" w:rsidRPr="007A6EB9" w:rsidRDefault="00B83B1F" w:rsidP="009C283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DE7C" w14:textId="77777777" w:rsidR="005B5DE9" w:rsidRDefault="005B5DE9" w:rsidP="005B5DE9">
      <w:pPr>
        <w:spacing w:after="0" w:line="240" w:lineRule="auto"/>
      </w:pPr>
      <w:r>
        <w:separator/>
      </w:r>
    </w:p>
  </w:footnote>
  <w:footnote w:type="continuationSeparator" w:id="0">
    <w:p w14:paraId="58A7621E" w14:textId="77777777" w:rsidR="005B5DE9" w:rsidRDefault="005B5DE9" w:rsidP="005B5DE9">
      <w:pPr>
        <w:spacing w:after="0" w:line="240" w:lineRule="auto"/>
      </w:pPr>
      <w:r>
        <w:continuationSeparator/>
      </w:r>
    </w:p>
  </w:footnote>
  <w:footnote w:id="1">
    <w:p w14:paraId="0E9DAFF4" w14:textId="35E47E54"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w:t>
      </w:r>
      <w:r w:rsidR="004E2F4F">
        <w:rPr>
          <w:sz w:val="18"/>
          <w:szCs w:val="18"/>
        </w:rPr>
        <w:t xml:space="preserve">ACT </w:t>
      </w:r>
      <w:r w:rsidRPr="00EA41FA">
        <w:rPr>
          <w:sz w:val="18"/>
          <w:szCs w:val="18"/>
        </w:rPr>
        <w:t xml:space="preserve">Legislative Assembly, </w:t>
      </w:r>
      <w:r w:rsidRPr="00EA41FA">
        <w:rPr>
          <w:i/>
          <w:iCs/>
          <w:sz w:val="18"/>
          <w:szCs w:val="18"/>
        </w:rPr>
        <w:t>Minutes of Proceedings</w:t>
      </w:r>
      <w:r w:rsidRPr="00EA41FA">
        <w:rPr>
          <w:sz w:val="18"/>
          <w:szCs w:val="18"/>
        </w:rPr>
        <w:t>, No 61,</w:t>
      </w:r>
      <w:r w:rsidR="004E2F4F">
        <w:rPr>
          <w:sz w:val="18"/>
          <w:szCs w:val="18"/>
        </w:rPr>
        <w:t xml:space="preserve"> </w:t>
      </w:r>
      <w:r w:rsidRPr="00EA41FA">
        <w:rPr>
          <w:sz w:val="18"/>
          <w:szCs w:val="18"/>
        </w:rPr>
        <w:t>12 October 2022, p 839.</w:t>
      </w:r>
    </w:p>
  </w:footnote>
  <w:footnote w:id="2">
    <w:p w14:paraId="5273DE62" w14:textId="1E6E4C4D"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w:t>
      </w:r>
      <w:r w:rsidR="004E2F4F">
        <w:rPr>
          <w:sz w:val="18"/>
          <w:szCs w:val="18"/>
        </w:rPr>
        <w:t xml:space="preserve">ACT </w:t>
      </w:r>
      <w:r w:rsidRPr="00EA41FA">
        <w:rPr>
          <w:sz w:val="18"/>
          <w:szCs w:val="18"/>
        </w:rPr>
        <w:t xml:space="preserve">Legislative Assembly, </w:t>
      </w:r>
      <w:r w:rsidRPr="00EA41FA">
        <w:rPr>
          <w:i/>
          <w:iCs/>
          <w:sz w:val="18"/>
          <w:szCs w:val="18"/>
        </w:rPr>
        <w:t>Minutes of Proceedings</w:t>
      </w:r>
      <w:r w:rsidRPr="00EA41FA">
        <w:rPr>
          <w:sz w:val="18"/>
          <w:szCs w:val="18"/>
        </w:rPr>
        <w:t xml:space="preserve">, No </w:t>
      </w:r>
      <w:r>
        <w:rPr>
          <w:sz w:val="18"/>
          <w:szCs w:val="18"/>
        </w:rPr>
        <w:t>62</w:t>
      </w:r>
      <w:r w:rsidRPr="00EA41FA">
        <w:rPr>
          <w:sz w:val="18"/>
          <w:szCs w:val="18"/>
        </w:rPr>
        <w:t xml:space="preserve">, </w:t>
      </w:r>
      <w:r>
        <w:rPr>
          <w:sz w:val="18"/>
          <w:szCs w:val="18"/>
        </w:rPr>
        <w:t>13 October</w:t>
      </w:r>
      <w:r w:rsidRPr="00EA41FA">
        <w:rPr>
          <w:sz w:val="18"/>
          <w:szCs w:val="18"/>
        </w:rPr>
        <w:t xml:space="preserve"> 202</w:t>
      </w:r>
      <w:r>
        <w:rPr>
          <w:sz w:val="18"/>
          <w:szCs w:val="18"/>
        </w:rPr>
        <w:t>2</w:t>
      </w:r>
      <w:r w:rsidRPr="00EA41FA">
        <w:rPr>
          <w:sz w:val="18"/>
          <w:szCs w:val="18"/>
        </w:rPr>
        <w:t xml:space="preserve">, pp </w:t>
      </w:r>
      <w:r>
        <w:rPr>
          <w:sz w:val="18"/>
          <w:szCs w:val="18"/>
        </w:rPr>
        <w:t>849</w:t>
      </w:r>
      <w:r w:rsidRPr="00EA41FA">
        <w:rPr>
          <w:sz w:val="18"/>
          <w:szCs w:val="18"/>
        </w:rPr>
        <w:t>–</w:t>
      </w:r>
      <w:r>
        <w:rPr>
          <w:sz w:val="18"/>
          <w:szCs w:val="18"/>
        </w:rPr>
        <w:t>850</w:t>
      </w:r>
      <w:r w:rsidRPr="00EA41FA">
        <w:rPr>
          <w:sz w:val="18"/>
          <w:szCs w:val="18"/>
        </w:rPr>
        <w:t>.</w:t>
      </w:r>
    </w:p>
  </w:footnote>
  <w:footnote w:id="3">
    <w:p w14:paraId="42273F07" w14:textId="5966C064" w:rsidR="00630A92" w:rsidRPr="00EA41FA" w:rsidRDefault="00630A92" w:rsidP="00630A92">
      <w:pPr>
        <w:pStyle w:val="FootnoteText"/>
        <w:rPr>
          <w:sz w:val="18"/>
          <w:szCs w:val="18"/>
        </w:rPr>
      </w:pPr>
      <w:r w:rsidRPr="00EA41FA">
        <w:rPr>
          <w:rStyle w:val="FootnoteReference"/>
          <w:sz w:val="18"/>
          <w:szCs w:val="18"/>
        </w:rPr>
        <w:footnoteRef/>
      </w:r>
      <w:r w:rsidRPr="00EA41FA">
        <w:rPr>
          <w:sz w:val="18"/>
          <w:szCs w:val="18"/>
        </w:rPr>
        <w:t xml:space="preserve"> Chief Minister, Treasury and Economic Development Directorate, </w:t>
      </w:r>
      <w:r w:rsidRPr="00EA41FA">
        <w:rPr>
          <w:i/>
          <w:iCs/>
          <w:sz w:val="18"/>
          <w:szCs w:val="18"/>
        </w:rPr>
        <w:t>Annual Reports</w:t>
      </w:r>
      <w:r w:rsidRPr="00EA41FA">
        <w:rPr>
          <w:sz w:val="18"/>
          <w:szCs w:val="18"/>
        </w:rPr>
        <w:t xml:space="preserve">, </w:t>
      </w:r>
      <w:hyperlink r:id="rId1" w:history="1">
        <w:r w:rsidRPr="00EA41FA">
          <w:rPr>
            <w:rStyle w:val="Hyperlink"/>
            <w:sz w:val="18"/>
            <w:szCs w:val="18"/>
          </w:rPr>
          <w:t>https://www.cmtedd.act.gov.au/open_government/report/annual-reports</w:t>
        </w:r>
      </w:hyperlink>
      <w:r w:rsidRPr="00EA41FA">
        <w:rPr>
          <w:sz w:val="18"/>
          <w:szCs w:val="18"/>
        </w:rPr>
        <w:t xml:space="preserve"> (accessed </w:t>
      </w:r>
      <w:r w:rsidR="004E2F4F">
        <w:rPr>
          <w:sz w:val="18"/>
          <w:szCs w:val="18"/>
        </w:rPr>
        <w:t>13 January 2023</w:t>
      </w:r>
      <w:r w:rsidRPr="00EA41FA">
        <w:rPr>
          <w:sz w:val="18"/>
          <w:szCs w:val="18"/>
        </w:rPr>
        <w:t>).</w:t>
      </w:r>
    </w:p>
  </w:footnote>
  <w:footnote w:id="4">
    <w:p w14:paraId="63E722E0" w14:textId="77777777" w:rsidR="00FC1430" w:rsidRPr="004B7955" w:rsidRDefault="00FC1430" w:rsidP="00FC1430">
      <w:pPr>
        <w:pStyle w:val="FootnoteText"/>
        <w:rPr>
          <w:sz w:val="18"/>
          <w:szCs w:val="18"/>
        </w:rPr>
      </w:pPr>
      <w:r w:rsidRPr="004B7955">
        <w:rPr>
          <w:rStyle w:val="FootnoteReference"/>
          <w:sz w:val="18"/>
          <w:szCs w:val="18"/>
        </w:rPr>
        <w:footnoteRef/>
      </w:r>
      <w:r w:rsidRPr="004B7955">
        <w:rPr>
          <w:sz w:val="18"/>
          <w:szCs w:val="18"/>
        </w:rPr>
        <w:t xml:space="preserve"> EPSDD,</w:t>
      </w:r>
      <w:r>
        <w:rPr>
          <w:sz w:val="18"/>
          <w:szCs w:val="18"/>
        </w:rPr>
        <w:t xml:space="preserve"> </w:t>
      </w:r>
      <w:hyperlink r:id="rId2" w:history="1">
        <w:r w:rsidRPr="00F6105E">
          <w:rPr>
            <w:rStyle w:val="Hyperlink"/>
            <w:sz w:val="18"/>
            <w:szCs w:val="18"/>
          </w:rPr>
          <w:t>Annual Report 2021-22</w:t>
        </w:r>
      </w:hyperlink>
      <w:r>
        <w:rPr>
          <w:sz w:val="18"/>
          <w:szCs w:val="18"/>
        </w:rPr>
        <w:t>, p 16.</w:t>
      </w:r>
    </w:p>
  </w:footnote>
  <w:footnote w:id="5">
    <w:p w14:paraId="3531D34D" w14:textId="77777777" w:rsidR="00FC1430" w:rsidRPr="004B7955" w:rsidRDefault="00FC1430" w:rsidP="00FC1430">
      <w:pPr>
        <w:pStyle w:val="FootnoteText"/>
        <w:rPr>
          <w:sz w:val="18"/>
          <w:szCs w:val="18"/>
        </w:rPr>
      </w:pPr>
      <w:r w:rsidRPr="004B7955">
        <w:rPr>
          <w:rStyle w:val="FootnoteReference"/>
          <w:sz w:val="18"/>
          <w:szCs w:val="18"/>
        </w:rPr>
        <w:footnoteRef/>
      </w:r>
      <w:r w:rsidRPr="004B7955">
        <w:rPr>
          <w:sz w:val="18"/>
          <w:szCs w:val="18"/>
        </w:rPr>
        <w:t xml:space="preserve"> EPSDD,</w:t>
      </w:r>
      <w:r>
        <w:rPr>
          <w:sz w:val="18"/>
          <w:szCs w:val="18"/>
        </w:rPr>
        <w:t xml:space="preserve"> </w:t>
      </w:r>
      <w:hyperlink r:id="rId3" w:history="1">
        <w:r w:rsidRPr="00F6105E">
          <w:rPr>
            <w:rStyle w:val="Hyperlink"/>
            <w:sz w:val="18"/>
            <w:szCs w:val="18"/>
          </w:rPr>
          <w:t>Annual Report 2021-22</w:t>
        </w:r>
      </w:hyperlink>
      <w:r>
        <w:rPr>
          <w:sz w:val="18"/>
          <w:szCs w:val="18"/>
        </w:rPr>
        <w:t>, p 16.</w:t>
      </w:r>
    </w:p>
  </w:footnote>
  <w:footnote w:id="6">
    <w:p w14:paraId="53840857" w14:textId="77777777" w:rsidR="00FC1430" w:rsidRPr="00E36C1B" w:rsidRDefault="00FC1430" w:rsidP="00FC1430">
      <w:pPr>
        <w:pStyle w:val="FootnoteText"/>
        <w:rPr>
          <w:sz w:val="18"/>
          <w:szCs w:val="18"/>
        </w:rPr>
      </w:pPr>
      <w:r w:rsidRPr="00E36C1B">
        <w:rPr>
          <w:rStyle w:val="FootnoteReference"/>
          <w:sz w:val="18"/>
          <w:szCs w:val="18"/>
        </w:rPr>
        <w:footnoteRef/>
      </w:r>
      <w:r w:rsidRPr="00E36C1B">
        <w:rPr>
          <w:sz w:val="18"/>
          <w:szCs w:val="18"/>
        </w:rPr>
        <w:t xml:space="preserve"> EPSDD, </w:t>
      </w:r>
      <w:hyperlink r:id="rId4" w:history="1">
        <w:r w:rsidRPr="00E36C1B">
          <w:rPr>
            <w:rStyle w:val="Hyperlink"/>
            <w:sz w:val="18"/>
            <w:szCs w:val="18"/>
          </w:rPr>
          <w:t>Annual Report 2021-22</w:t>
        </w:r>
      </w:hyperlink>
      <w:r w:rsidRPr="00E36C1B">
        <w:rPr>
          <w:sz w:val="18"/>
          <w:szCs w:val="18"/>
        </w:rPr>
        <w:t>, p 16.</w:t>
      </w:r>
    </w:p>
  </w:footnote>
  <w:footnote w:id="7">
    <w:p w14:paraId="3DF1D2B4" w14:textId="664922A8" w:rsidR="00E36C1B" w:rsidRPr="00EB78AC" w:rsidRDefault="00E36C1B">
      <w:pPr>
        <w:pStyle w:val="FootnoteText"/>
        <w:rPr>
          <w:sz w:val="18"/>
          <w:szCs w:val="18"/>
        </w:rPr>
      </w:pPr>
      <w:r w:rsidRPr="00EB78AC">
        <w:rPr>
          <w:rStyle w:val="FootnoteReference"/>
          <w:sz w:val="18"/>
          <w:szCs w:val="18"/>
        </w:rPr>
        <w:footnoteRef/>
      </w:r>
      <w:r w:rsidRPr="00EB78AC">
        <w:rPr>
          <w:sz w:val="18"/>
          <w:szCs w:val="18"/>
        </w:rPr>
        <w:t xml:space="preserve"> ACT Government, </w:t>
      </w:r>
      <w:r w:rsidRPr="00EB78AC">
        <w:rPr>
          <w:i/>
          <w:iCs/>
          <w:sz w:val="18"/>
          <w:szCs w:val="18"/>
        </w:rPr>
        <w:t>Administrative Arrangements 2022 (No 2)</w:t>
      </w:r>
      <w:r w:rsidRPr="00EB78AC">
        <w:rPr>
          <w:sz w:val="18"/>
          <w:szCs w:val="18"/>
        </w:rPr>
        <w:t xml:space="preserve"> </w:t>
      </w:r>
      <w:hyperlink r:id="rId5" w:history="1">
        <w:r w:rsidRPr="00EB78AC">
          <w:rPr>
            <w:rStyle w:val="Hyperlink"/>
            <w:sz w:val="18"/>
            <w:szCs w:val="18"/>
          </w:rPr>
          <w:t>https://legislation.act.gov.au/View/ni/2022-697/current/html/2022-697.html</w:t>
        </w:r>
      </w:hyperlink>
      <w:r w:rsidRPr="00EB78AC">
        <w:rPr>
          <w:sz w:val="18"/>
          <w:szCs w:val="18"/>
        </w:rPr>
        <w:t xml:space="preserve"> (accessed 23 January 2023).</w:t>
      </w:r>
    </w:p>
  </w:footnote>
  <w:footnote w:id="8">
    <w:p w14:paraId="02E0A2FC" w14:textId="0DCA750E" w:rsidR="00E36C1B" w:rsidRPr="00EB78AC" w:rsidRDefault="00E36C1B">
      <w:pPr>
        <w:pStyle w:val="FootnoteText"/>
        <w:rPr>
          <w:sz w:val="18"/>
          <w:szCs w:val="18"/>
        </w:rPr>
      </w:pPr>
      <w:r w:rsidRPr="00EB78AC">
        <w:rPr>
          <w:rStyle w:val="FootnoteReference"/>
          <w:sz w:val="18"/>
          <w:szCs w:val="18"/>
        </w:rPr>
        <w:footnoteRef/>
      </w:r>
      <w:r w:rsidRPr="00EB78AC">
        <w:rPr>
          <w:sz w:val="18"/>
          <w:szCs w:val="18"/>
        </w:rPr>
        <w:t xml:space="preserve"> </w:t>
      </w:r>
      <w:r w:rsidR="00EB78AC" w:rsidRPr="00E3506E">
        <w:rPr>
          <w:i/>
          <w:iCs/>
          <w:sz w:val="18"/>
          <w:szCs w:val="18"/>
        </w:rPr>
        <w:t>Proof Committee Hansard</w:t>
      </w:r>
      <w:r w:rsidR="00EB78AC" w:rsidRPr="00E3506E">
        <w:rPr>
          <w:sz w:val="18"/>
          <w:szCs w:val="18"/>
        </w:rPr>
        <w:t xml:space="preserve">, </w:t>
      </w:r>
      <w:r w:rsidR="00CE3FB5">
        <w:rPr>
          <w:sz w:val="18"/>
          <w:szCs w:val="18"/>
        </w:rPr>
        <w:t>3</w:t>
      </w:r>
      <w:r w:rsidR="00EB78AC" w:rsidRPr="00E3506E">
        <w:rPr>
          <w:sz w:val="18"/>
          <w:szCs w:val="18"/>
        </w:rPr>
        <w:t xml:space="preserve">1 </w:t>
      </w:r>
      <w:r w:rsidR="00CE3FB5">
        <w:rPr>
          <w:sz w:val="18"/>
          <w:szCs w:val="18"/>
        </w:rPr>
        <w:t>Octo</w:t>
      </w:r>
      <w:r w:rsidR="00EB78AC" w:rsidRPr="00E3506E">
        <w:rPr>
          <w:sz w:val="18"/>
          <w:szCs w:val="18"/>
        </w:rPr>
        <w:t>ber 2022, p 1</w:t>
      </w:r>
      <w:r w:rsidR="00EB78AC">
        <w:rPr>
          <w:sz w:val="18"/>
          <w:szCs w:val="18"/>
        </w:rPr>
        <w:t>.</w:t>
      </w:r>
    </w:p>
  </w:footnote>
  <w:footnote w:id="9">
    <w:p w14:paraId="10726A00" w14:textId="74F15DA8" w:rsidR="00E36C1B" w:rsidRPr="00EB78AC" w:rsidRDefault="00E36C1B">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w:t>
      </w:r>
      <w:r w:rsidR="00CE3FB5">
        <w:rPr>
          <w:sz w:val="18"/>
          <w:szCs w:val="18"/>
        </w:rPr>
        <w:t xml:space="preserve"> 3</w:t>
      </w:r>
      <w:r w:rsidR="00CE3FB5" w:rsidRPr="00E3506E">
        <w:rPr>
          <w:sz w:val="18"/>
          <w:szCs w:val="18"/>
        </w:rPr>
        <w:t xml:space="preserve">1 </w:t>
      </w:r>
      <w:r w:rsidR="00CE3FB5">
        <w:rPr>
          <w:sz w:val="18"/>
          <w:szCs w:val="18"/>
        </w:rPr>
        <w:t>Octo</w:t>
      </w:r>
      <w:r w:rsidR="00CE3FB5" w:rsidRPr="00E3506E">
        <w:rPr>
          <w:sz w:val="18"/>
          <w:szCs w:val="18"/>
        </w:rPr>
        <w:t xml:space="preserve">ber </w:t>
      </w:r>
      <w:r w:rsidR="005A0E9A" w:rsidRPr="00E3506E">
        <w:rPr>
          <w:sz w:val="18"/>
          <w:szCs w:val="18"/>
        </w:rPr>
        <w:t xml:space="preserve">2022, p </w:t>
      </w:r>
      <w:r w:rsidR="005A0E9A">
        <w:rPr>
          <w:sz w:val="18"/>
          <w:szCs w:val="18"/>
        </w:rPr>
        <w:t>2.</w:t>
      </w:r>
    </w:p>
  </w:footnote>
  <w:footnote w:id="10">
    <w:p w14:paraId="681FDC20" w14:textId="6A548210" w:rsidR="00F15515" w:rsidRPr="00EB78AC" w:rsidRDefault="00F15515">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3.</w:t>
      </w:r>
    </w:p>
  </w:footnote>
  <w:footnote w:id="11">
    <w:p w14:paraId="137B5697" w14:textId="2EC5EE5D" w:rsidR="00F15515" w:rsidRPr="00EB78AC" w:rsidRDefault="00F15515">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4.</w:t>
      </w:r>
    </w:p>
  </w:footnote>
  <w:footnote w:id="12">
    <w:p w14:paraId="20C25D7C" w14:textId="779188CF"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4.</w:t>
      </w:r>
    </w:p>
  </w:footnote>
  <w:footnote w:id="13">
    <w:p w14:paraId="390C57B2" w14:textId="30E67358"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4.</w:t>
      </w:r>
    </w:p>
  </w:footnote>
  <w:footnote w:id="14">
    <w:p w14:paraId="29D09BB4" w14:textId="77C28884"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5.</w:t>
      </w:r>
    </w:p>
  </w:footnote>
  <w:footnote w:id="15">
    <w:p w14:paraId="233E2D1B" w14:textId="41891D1F"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5.</w:t>
      </w:r>
    </w:p>
  </w:footnote>
  <w:footnote w:id="16">
    <w:p w14:paraId="6355C3E1" w14:textId="61F97125" w:rsidR="00EB78AC" w:rsidRPr="00EB78AC" w:rsidRDefault="00EB78AC" w:rsidP="00EB78AC">
      <w:pPr>
        <w:pStyle w:val="FootnoteText"/>
        <w:ind w:left="0" w:firstLine="0"/>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6.</w:t>
      </w:r>
    </w:p>
  </w:footnote>
  <w:footnote w:id="17">
    <w:p w14:paraId="61C4F0B4" w14:textId="45DD4D51"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p</w:t>
      </w:r>
      <w:r w:rsidR="005A0E9A">
        <w:rPr>
          <w:sz w:val="18"/>
          <w:szCs w:val="18"/>
        </w:rPr>
        <w:t>p</w:t>
      </w:r>
      <w:r w:rsidR="005A0E9A" w:rsidRPr="00E3506E">
        <w:rPr>
          <w:sz w:val="18"/>
          <w:szCs w:val="18"/>
        </w:rPr>
        <w:t xml:space="preserve"> </w:t>
      </w:r>
      <w:r w:rsidR="005A0E9A">
        <w:rPr>
          <w:sz w:val="18"/>
          <w:szCs w:val="18"/>
        </w:rPr>
        <w:t>6–7.</w:t>
      </w:r>
    </w:p>
  </w:footnote>
  <w:footnote w:id="18">
    <w:p w14:paraId="753D47D1" w14:textId="1AEEAF5D"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7.</w:t>
      </w:r>
    </w:p>
  </w:footnote>
  <w:footnote w:id="19">
    <w:p w14:paraId="22C9B5F2" w14:textId="049C25EA"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p</w:t>
      </w:r>
      <w:r w:rsidR="005A0E9A">
        <w:rPr>
          <w:sz w:val="18"/>
          <w:szCs w:val="18"/>
        </w:rPr>
        <w:t>p</w:t>
      </w:r>
      <w:r w:rsidR="005A0E9A" w:rsidRPr="00E3506E">
        <w:rPr>
          <w:sz w:val="18"/>
          <w:szCs w:val="18"/>
        </w:rPr>
        <w:t xml:space="preserve"> </w:t>
      </w:r>
      <w:r w:rsidR="005A0E9A">
        <w:rPr>
          <w:sz w:val="18"/>
          <w:szCs w:val="18"/>
        </w:rPr>
        <w:t>7</w:t>
      </w:r>
      <w:r w:rsidR="00DF0F6B">
        <w:rPr>
          <w:sz w:val="18"/>
          <w:szCs w:val="18"/>
        </w:rPr>
        <w:t>–</w:t>
      </w:r>
      <w:r w:rsidR="005A0E9A">
        <w:rPr>
          <w:sz w:val="18"/>
          <w:szCs w:val="18"/>
        </w:rPr>
        <w:t>8.</w:t>
      </w:r>
    </w:p>
  </w:footnote>
  <w:footnote w:id="20">
    <w:p w14:paraId="0E8E6EB0" w14:textId="60D17058" w:rsidR="00EB78AC" w:rsidRPr="00EB78AC" w:rsidRDefault="00EB78AC">
      <w:pPr>
        <w:pStyle w:val="FootnoteText"/>
        <w:rPr>
          <w:sz w:val="18"/>
          <w:szCs w:val="18"/>
        </w:rPr>
      </w:pPr>
      <w:r w:rsidRPr="00EB78AC">
        <w:rPr>
          <w:rStyle w:val="FootnoteReference"/>
          <w:sz w:val="18"/>
          <w:szCs w:val="18"/>
        </w:rPr>
        <w:footnoteRef/>
      </w:r>
      <w:r w:rsidRPr="00EB78AC">
        <w:rPr>
          <w:sz w:val="18"/>
          <w:szCs w:val="18"/>
        </w:rPr>
        <w:t xml:space="preserve"> </w:t>
      </w:r>
      <w:r w:rsidR="005A0E9A" w:rsidRPr="00E3506E">
        <w:rPr>
          <w:i/>
          <w:iCs/>
          <w:sz w:val="18"/>
          <w:szCs w:val="18"/>
        </w:rPr>
        <w:t>Proof Committee Hansard</w:t>
      </w:r>
      <w:r w:rsidR="005A0E9A" w:rsidRPr="00E3506E">
        <w:rPr>
          <w:sz w:val="18"/>
          <w:szCs w:val="18"/>
        </w:rPr>
        <w:t xml:space="preserve">, </w:t>
      </w:r>
      <w:r w:rsidR="00CE3FB5">
        <w:rPr>
          <w:sz w:val="18"/>
          <w:szCs w:val="18"/>
        </w:rPr>
        <w:t>3</w:t>
      </w:r>
      <w:r w:rsidR="00CE3FB5" w:rsidRPr="00E3506E">
        <w:rPr>
          <w:sz w:val="18"/>
          <w:szCs w:val="18"/>
        </w:rPr>
        <w:t xml:space="preserve">1 </w:t>
      </w:r>
      <w:r w:rsidR="00CE3FB5">
        <w:rPr>
          <w:sz w:val="18"/>
          <w:szCs w:val="18"/>
        </w:rPr>
        <w:t>Octo</w:t>
      </w:r>
      <w:r w:rsidR="00CE3FB5" w:rsidRPr="00E3506E">
        <w:rPr>
          <w:sz w:val="18"/>
          <w:szCs w:val="18"/>
        </w:rPr>
        <w:t>ber</w:t>
      </w:r>
      <w:r w:rsidR="00CE3FB5">
        <w:rPr>
          <w:sz w:val="18"/>
          <w:szCs w:val="18"/>
        </w:rPr>
        <w:t xml:space="preserve"> 2022</w:t>
      </w:r>
      <w:r w:rsidR="005A0E9A" w:rsidRPr="00E3506E">
        <w:rPr>
          <w:sz w:val="18"/>
          <w:szCs w:val="18"/>
        </w:rPr>
        <w:t xml:space="preserve">, p </w:t>
      </w:r>
      <w:r w:rsidR="005A0E9A">
        <w:rPr>
          <w:sz w:val="18"/>
          <w:szCs w:val="18"/>
        </w:rPr>
        <w:t>8.</w:t>
      </w:r>
    </w:p>
  </w:footnote>
  <w:footnote w:id="21">
    <w:p w14:paraId="049D0B45" w14:textId="472AEC50" w:rsidR="00EB78AC" w:rsidRPr="00277CBB" w:rsidRDefault="00EB78AC">
      <w:pPr>
        <w:pStyle w:val="FootnoteText"/>
        <w:rPr>
          <w:sz w:val="18"/>
          <w:szCs w:val="18"/>
        </w:rPr>
      </w:pPr>
      <w:r w:rsidRPr="00277CBB">
        <w:rPr>
          <w:rStyle w:val="FootnoteReference"/>
          <w:sz w:val="18"/>
          <w:szCs w:val="18"/>
        </w:rPr>
        <w:footnoteRef/>
      </w:r>
      <w:r w:rsidRPr="00277CBB">
        <w:rPr>
          <w:sz w:val="18"/>
          <w:szCs w:val="18"/>
        </w:rPr>
        <w:t xml:space="preserve"> </w:t>
      </w:r>
      <w:r w:rsidR="005A0E9A" w:rsidRPr="00277CBB">
        <w:rPr>
          <w:i/>
          <w:iCs/>
          <w:sz w:val="18"/>
          <w:szCs w:val="18"/>
        </w:rPr>
        <w:t>Proof Committee Hansard</w:t>
      </w:r>
      <w:r w:rsidR="005A0E9A" w:rsidRPr="00277CBB">
        <w:rPr>
          <w:sz w:val="18"/>
          <w:szCs w:val="18"/>
        </w:rPr>
        <w:t xml:space="preserve">, </w:t>
      </w:r>
      <w:r w:rsidR="00CE3FB5" w:rsidRPr="00277CBB">
        <w:rPr>
          <w:sz w:val="18"/>
          <w:szCs w:val="18"/>
        </w:rPr>
        <w:t>31 October 2022</w:t>
      </w:r>
      <w:r w:rsidR="005A0E9A" w:rsidRPr="00277CBB">
        <w:rPr>
          <w:sz w:val="18"/>
          <w:szCs w:val="18"/>
        </w:rPr>
        <w:t>, p 9.</w:t>
      </w:r>
    </w:p>
  </w:footnote>
  <w:footnote w:id="22">
    <w:p w14:paraId="08F6C0A7" w14:textId="5196BC4E" w:rsidR="00277CBB" w:rsidRPr="00277CBB" w:rsidRDefault="00277CBB">
      <w:pPr>
        <w:pStyle w:val="FootnoteText"/>
        <w:rPr>
          <w:sz w:val="18"/>
          <w:szCs w:val="18"/>
        </w:rPr>
      </w:pPr>
      <w:r w:rsidRPr="00277CBB">
        <w:rPr>
          <w:rStyle w:val="FootnoteReference"/>
          <w:sz w:val="18"/>
          <w:szCs w:val="18"/>
        </w:rPr>
        <w:footnoteRef/>
      </w:r>
      <w:r w:rsidRPr="00277CBB">
        <w:rPr>
          <w:sz w:val="18"/>
          <w:szCs w:val="18"/>
        </w:rPr>
        <w:t xml:space="preserve"> </w:t>
      </w:r>
      <w:r w:rsidRPr="004B7955">
        <w:rPr>
          <w:sz w:val="18"/>
          <w:szCs w:val="18"/>
        </w:rPr>
        <w:t>EPSDD,</w:t>
      </w:r>
      <w:r>
        <w:rPr>
          <w:sz w:val="18"/>
          <w:szCs w:val="18"/>
        </w:rPr>
        <w:t xml:space="preserve"> </w:t>
      </w:r>
      <w:hyperlink r:id="rId6" w:history="1">
        <w:r w:rsidRPr="00F6105E">
          <w:rPr>
            <w:rStyle w:val="Hyperlink"/>
            <w:sz w:val="18"/>
            <w:szCs w:val="18"/>
          </w:rPr>
          <w:t>Annual Report 2021-22</w:t>
        </w:r>
      </w:hyperlink>
      <w:r>
        <w:rPr>
          <w:sz w:val="18"/>
          <w:szCs w:val="18"/>
        </w:rPr>
        <w:t>, p 135.</w:t>
      </w:r>
    </w:p>
  </w:footnote>
  <w:footnote w:id="23">
    <w:p w14:paraId="1AC7B0F4" w14:textId="6F978E88" w:rsidR="00D35C98" w:rsidRPr="00D35C98" w:rsidRDefault="00D35C98">
      <w:pPr>
        <w:pStyle w:val="FootnoteText"/>
        <w:rPr>
          <w:sz w:val="18"/>
          <w:szCs w:val="18"/>
        </w:rPr>
      </w:pPr>
      <w:r w:rsidRPr="00277CBB">
        <w:rPr>
          <w:rStyle w:val="FootnoteReference"/>
          <w:sz w:val="18"/>
          <w:szCs w:val="18"/>
        </w:rPr>
        <w:footnoteRef/>
      </w:r>
      <w:r w:rsidRPr="00D35C98">
        <w:rPr>
          <w:sz w:val="18"/>
          <w:szCs w:val="18"/>
        </w:rPr>
        <w:t xml:space="preserve"> </w:t>
      </w:r>
      <w:r w:rsidR="00277CBB" w:rsidRPr="00E3506E">
        <w:rPr>
          <w:i/>
          <w:iCs/>
          <w:sz w:val="18"/>
          <w:szCs w:val="18"/>
        </w:rPr>
        <w:t>Proof Committee Hansard</w:t>
      </w:r>
      <w:r w:rsidR="00277CBB" w:rsidRPr="00E3506E">
        <w:rPr>
          <w:sz w:val="18"/>
          <w:szCs w:val="18"/>
        </w:rPr>
        <w:t xml:space="preserve">, </w:t>
      </w:r>
      <w:r w:rsidR="00277CBB">
        <w:rPr>
          <w:sz w:val="18"/>
          <w:szCs w:val="18"/>
        </w:rPr>
        <w:t>3</w:t>
      </w:r>
      <w:r w:rsidR="00277CBB" w:rsidRPr="00E3506E">
        <w:rPr>
          <w:sz w:val="18"/>
          <w:szCs w:val="18"/>
        </w:rPr>
        <w:t xml:space="preserve">1 </w:t>
      </w:r>
      <w:r w:rsidR="00277CBB">
        <w:rPr>
          <w:sz w:val="18"/>
          <w:szCs w:val="18"/>
        </w:rPr>
        <w:t>Octo</w:t>
      </w:r>
      <w:r w:rsidR="00277CBB" w:rsidRPr="00E3506E">
        <w:rPr>
          <w:sz w:val="18"/>
          <w:szCs w:val="18"/>
        </w:rPr>
        <w:t>ber</w:t>
      </w:r>
      <w:r w:rsidR="00277CBB">
        <w:rPr>
          <w:sz w:val="18"/>
          <w:szCs w:val="18"/>
        </w:rPr>
        <w:t xml:space="preserve"> 2022</w:t>
      </w:r>
      <w:r w:rsidR="00277CBB" w:rsidRPr="00E3506E">
        <w:rPr>
          <w:sz w:val="18"/>
          <w:szCs w:val="18"/>
        </w:rPr>
        <w:t xml:space="preserve">, p </w:t>
      </w:r>
      <w:r w:rsidR="00277CBB">
        <w:rPr>
          <w:sz w:val="18"/>
          <w:szCs w:val="18"/>
        </w:rPr>
        <w:t>4.</w:t>
      </w:r>
    </w:p>
  </w:footnote>
  <w:footnote w:id="24">
    <w:p w14:paraId="5C00354C" w14:textId="67518FD0" w:rsidR="00277CBB" w:rsidRPr="00277CBB" w:rsidRDefault="00277CBB">
      <w:pPr>
        <w:pStyle w:val="FootnoteText"/>
        <w:rPr>
          <w:sz w:val="18"/>
          <w:szCs w:val="18"/>
        </w:rPr>
      </w:pPr>
      <w:r w:rsidRPr="00277CBB">
        <w:rPr>
          <w:rStyle w:val="FootnoteReference"/>
          <w:sz w:val="18"/>
          <w:szCs w:val="18"/>
        </w:rPr>
        <w:footnoteRef/>
      </w:r>
      <w:r w:rsidRPr="00277CBB">
        <w:rPr>
          <w:sz w:val="18"/>
          <w:szCs w:val="18"/>
        </w:rPr>
        <w:t xml:space="preserve"> </w:t>
      </w:r>
      <w:r w:rsidRPr="00CC7548">
        <w:rPr>
          <w:sz w:val="18"/>
          <w:szCs w:val="18"/>
        </w:rPr>
        <w:t xml:space="preserve">Mr Bren Burkevics, Executive Group Manager, Environment, Heritage and Water, EPSDD, </w:t>
      </w:r>
      <w:r w:rsidRPr="00CC7548">
        <w:rPr>
          <w:i/>
          <w:iCs/>
          <w:sz w:val="18"/>
          <w:szCs w:val="18"/>
        </w:rPr>
        <w:t>Proof Committee Hansard</w:t>
      </w:r>
      <w:r w:rsidRPr="00CC7548">
        <w:rPr>
          <w:sz w:val="18"/>
          <w:szCs w:val="18"/>
        </w:rPr>
        <w:t>, 31 October 2022, p 4.</w:t>
      </w:r>
    </w:p>
  </w:footnote>
  <w:footnote w:id="25">
    <w:p w14:paraId="42A748CA" w14:textId="1A44E5B8" w:rsidR="00C63047" w:rsidRPr="00351172" w:rsidRDefault="00C63047">
      <w:pPr>
        <w:pStyle w:val="FootnoteText"/>
        <w:rPr>
          <w:sz w:val="18"/>
          <w:szCs w:val="18"/>
        </w:rPr>
      </w:pPr>
      <w:r w:rsidRPr="00CC7548">
        <w:rPr>
          <w:rStyle w:val="FootnoteReference"/>
          <w:sz w:val="18"/>
          <w:szCs w:val="18"/>
        </w:rPr>
        <w:footnoteRef/>
      </w:r>
      <w:r w:rsidRPr="00CC7548">
        <w:rPr>
          <w:sz w:val="18"/>
          <w:szCs w:val="18"/>
        </w:rPr>
        <w:t xml:space="preserve"> </w:t>
      </w:r>
      <w:r w:rsidR="00CC7548" w:rsidRPr="00CC7548">
        <w:rPr>
          <w:sz w:val="18"/>
          <w:szCs w:val="18"/>
        </w:rPr>
        <w:t xml:space="preserve">Mr Bren Burkevics, Executive Group Manager, Environment, Heritage and Water, EPSDD, </w:t>
      </w:r>
      <w:r w:rsidR="00CC7548" w:rsidRPr="00CC7548">
        <w:rPr>
          <w:i/>
          <w:iCs/>
          <w:sz w:val="18"/>
          <w:szCs w:val="18"/>
        </w:rPr>
        <w:t>Proof Committee Hansard</w:t>
      </w:r>
      <w:r w:rsidR="00CC7548" w:rsidRPr="00CC7548">
        <w:rPr>
          <w:sz w:val="18"/>
          <w:szCs w:val="18"/>
        </w:rPr>
        <w:t xml:space="preserve">, </w:t>
      </w:r>
      <w:r w:rsidR="00CC7548" w:rsidRPr="00351172">
        <w:rPr>
          <w:sz w:val="18"/>
          <w:szCs w:val="18"/>
        </w:rPr>
        <w:t>31 October 2022, p 4.</w:t>
      </w:r>
    </w:p>
  </w:footnote>
  <w:footnote w:id="26">
    <w:p w14:paraId="6DBA2071" w14:textId="602C6281" w:rsidR="00351172" w:rsidRDefault="00351172">
      <w:pPr>
        <w:pStyle w:val="FootnoteText"/>
      </w:pPr>
      <w:r w:rsidRPr="00351172">
        <w:rPr>
          <w:rStyle w:val="FootnoteReference"/>
          <w:sz w:val="18"/>
          <w:szCs w:val="18"/>
        </w:rPr>
        <w:footnoteRef/>
      </w:r>
      <w:r w:rsidRPr="00351172">
        <w:rPr>
          <w:sz w:val="18"/>
          <w:szCs w:val="18"/>
        </w:rPr>
        <w:t xml:space="preserve"> EPSDD,</w:t>
      </w:r>
      <w:r>
        <w:rPr>
          <w:sz w:val="18"/>
          <w:szCs w:val="18"/>
        </w:rPr>
        <w:t xml:space="preserve"> </w:t>
      </w:r>
      <w:r w:rsidRPr="00806147">
        <w:rPr>
          <w:i/>
          <w:iCs/>
          <w:sz w:val="18"/>
          <w:szCs w:val="18"/>
        </w:rPr>
        <w:t>Bushfire management in the ACT–Upcoming prescribed burns</w:t>
      </w:r>
      <w:r>
        <w:rPr>
          <w:sz w:val="18"/>
          <w:szCs w:val="18"/>
        </w:rPr>
        <w:t xml:space="preserve">, </w:t>
      </w:r>
      <w:hyperlink r:id="rId7" w:history="1">
        <w:r w:rsidRPr="00C0788E">
          <w:rPr>
            <w:rStyle w:val="Hyperlink"/>
            <w:sz w:val="18"/>
            <w:szCs w:val="18"/>
          </w:rPr>
          <w:t>https://www.environment.act.gov.au/ACT-parks-conservation/bushfire_management/prescribed-burns</w:t>
        </w:r>
      </w:hyperlink>
      <w:r>
        <w:rPr>
          <w:sz w:val="18"/>
          <w:szCs w:val="18"/>
        </w:rPr>
        <w:t xml:space="preserve"> (accessed 2 March 2023).</w:t>
      </w:r>
    </w:p>
  </w:footnote>
  <w:footnote w:id="27">
    <w:p w14:paraId="105FD602" w14:textId="051E327F" w:rsidR="00077EC7" w:rsidRPr="00CC7548" w:rsidRDefault="00077EC7">
      <w:pPr>
        <w:pStyle w:val="FootnoteText"/>
        <w:rPr>
          <w:sz w:val="18"/>
          <w:szCs w:val="18"/>
        </w:rPr>
      </w:pPr>
      <w:r w:rsidRPr="00CC7548">
        <w:rPr>
          <w:rStyle w:val="FootnoteReference"/>
          <w:sz w:val="18"/>
          <w:szCs w:val="18"/>
        </w:rPr>
        <w:footnoteRef/>
      </w:r>
      <w:r w:rsidRPr="00CC7548">
        <w:rPr>
          <w:sz w:val="18"/>
          <w:szCs w:val="18"/>
        </w:rPr>
        <w:t xml:space="preserve"> </w:t>
      </w:r>
      <w:r w:rsidR="00CC7548" w:rsidRPr="00CC7548">
        <w:rPr>
          <w:i/>
          <w:iCs/>
          <w:sz w:val="18"/>
          <w:szCs w:val="18"/>
        </w:rPr>
        <w:t>Proof Committee Hansard</w:t>
      </w:r>
      <w:r w:rsidR="00CC7548" w:rsidRPr="00CC7548">
        <w:rPr>
          <w:sz w:val="18"/>
          <w:szCs w:val="18"/>
        </w:rPr>
        <w:t>, 31 October 2022, p 4.</w:t>
      </w:r>
    </w:p>
  </w:footnote>
  <w:footnote w:id="28">
    <w:p w14:paraId="3FFF64A1" w14:textId="46E6A8B9" w:rsidR="00D66EA7" w:rsidRDefault="00D66EA7">
      <w:pPr>
        <w:pStyle w:val="FootnoteText"/>
      </w:pPr>
      <w:r w:rsidRPr="00CC7548">
        <w:rPr>
          <w:rStyle w:val="FootnoteReference"/>
          <w:sz w:val="18"/>
          <w:szCs w:val="18"/>
        </w:rPr>
        <w:footnoteRef/>
      </w:r>
      <w:r w:rsidRPr="00CC7548">
        <w:rPr>
          <w:sz w:val="18"/>
          <w:szCs w:val="18"/>
        </w:rPr>
        <w:t xml:space="preserve"> </w:t>
      </w:r>
      <w:r w:rsidR="00CC7548" w:rsidRPr="00CC7548">
        <w:rPr>
          <w:sz w:val="18"/>
          <w:szCs w:val="18"/>
        </w:rPr>
        <w:t xml:space="preserve">Mr Bren Burkevics, Executive Group Manager, Environment, Heritage and Water, EPSDD, </w:t>
      </w:r>
      <w:r w:rsidR="00CC7548" w:rsidRPr="00CC7548">
        <w:rPr>
          <w:i/>
          <w:iCs/>
          <w:sz w:val="18"/>
          <w:szCs w:val="18"/>
        </w:rPr>
        <w:t>Proof Committee Hansard</w:t>
      </w:r>
      <w:r w:rsidR="00CC7548" w:rsidRPr="00CC7548">
        <w:rPr>
          <w:sz w:val="18"/>
          <w:szCs w:val="18"/>
        </w:rPr>
        <w:t>, 31 October 2022, p 4.</w:t>
      </w:r>
    </w:p>
  </w:footnote>
  <w:footnote w:id="29">
    <w:p w14:paraId="1FF0C71C" w14:textId="5BBA978E" w:rsidR="006E511E" w:rsidRPr="00351172" w:rsidRDefault="006E511E">
      <w:pPr>
        <w:pStyle w:val="FootnoteText"/>
        <w:rPr>
          <w:sz w:val="18"/>
          <w:szCs w:val="18"/>
        </w:rPr>
      </w:pPr>
      <w:r w:rsidRPr="00351172">
        <w:rPr>
          <w:rStyle w:val="FootnoteReference"/>
          <w:sz w:val="18"/>
          <w:szCs w:val="18"/>
        </w:rPr>
        <w:footnoteRef/>
      </w:r>
      <w:r w:rsidRPr="00351172">
        <w:rPr>
          <w:sz w:val="18"/>
          <w:szCs w:val="18"/>
        </w:rPr>
        <w:t xml:space="preserve"> </w:t>
      </w:r>
      <w:r w:rsidR="00351172">
        <w:rPr>
          <w:sz w:val="18"/>
          <w:szCs w:val="18"/>
        </w:rPr>
        <w:t xml:space="preserve">EPSDD, </w:t>
      </w:r>
      <w:r w:rsidR="00351172" w:rsidRPr="00806147">
        <w:rPr>
          <w:i/>
          <w:iCs/>
          <w:sz w:val="18"/>
          <w:szCs w:val="18"/>
        </w:rPr>
        <w:t>Bushfire management in the ACT–Orroral Valley bushfire impact report</w:t>
      </w:r>
      <w:r w:rsidR="00351172">
        <w:rPr>
          <w:sz w:val="18"/>
          <w:szCs w:val="18"/>
        </w:rPr>
        <w:t xml:space="preserve">, </w:t>
      </w:r>
      <w:hyperlink r:id="rId8" w:history="1">
        <w:r w:rsidR="00351172" w:rsidRPr="00C0788E">
          <w:rPr>
            <w:rStyle w:val="Hyperlink"/>
            <w:sz w:val="18"/>
            <w:szCs w:val="18"/>
          </w:rPr>
          <w:t>https://www.environment.act.gov.au/ACT-parks-conservation/bushfire_management/orroral-valley-fire-impact-report</w:t>
        </w:r>
      </w:hyperlink>
      <w:r w:rsidR="00351172">
        <w:rPr>
          <w:sz w:val="18"/>
          <w:szCs w:val="18"/>
        </w:rPr>
        <w:t xml:space="preserve"> (accessed 2 March 2023).</w:t>
      </w:r>
    </w:p>
  </w:footnote>
  <w:footnote w:id="30">
    <w:p w14:paraId="24A0786C" w14:textId="1C305CE8" w:rsidR="006E511E" w:rsidRPr="00FF5A96" w:rsidRDefault="006E511E">
      <w:pPr>
        <w:pStyle w:val="FootnoteText"/>
        <w:rPr>
          <w:sz w:val="18"/>
          <w:szCs w:val="18"/>
        </w:rPr>
      </w:pPr>
      <w:r w:rsidRPr="00FF5A96">
        <w:rPr>
          <w:rStyle w:val="FootnoteReference"/>
          <w:sz w:val="18"/>
          <w:szCs w:val="18"/>
        </w:rPr>
        <w:footnoteRef/>
      </w:r>
      <w:r w:rsidRPr="00FF5A96">
        <w:rPr>
          <w:sz w:val="18"/>
          <w:szCs w:val="18"/>
        </w:rPr>
        <w:t xml:space="preserve"> </w:t>
      </w:r>
      <w:r w:rsidR="00FF5A96" w:rsidRPr="00FF5A96">
        <w:rPr>
          <w:sz w:val="18"/>
          <w:szCs w:val="18"/>
        </w:rPr>
        <w:t xml:space="preserve">Mr </w:t>
      </w:r>
      <w:r w:rsidR="00FF5A96">
        <w:rPr>
          <w:sz w:val="18"/>
          <w:szCs w:val="18"/>
        </w:rPr>
        <w:t>Justin Foley</w:t>
      </w:r>
      <w:r w:rsidR="00FF5A96" w:rsidRPr="00CC7548">
        <w:rPr>
          <w:sz w:val="18"/>
          <w:szCs w:val="18"/>
        </w:rPr>
        <w:t xml:space="preserve">, </w:t>
      </w:r>
      <w:r w:rsidR="00FF5A96">
        <w:rPr>
          <w:sz w:val="18"/>
          <w:szCs w:val="18"/>
        </w:rPr>
        <w:t>Acting Senior Director</w:t>
      </w:r>
      <w:r w:rsidR="00FF5A96" w:rsidRPr="00CC7548">
        <w:rPr>
          <w:sz w:val="18"/>
          <w:szCs w:val="18"/>
        </w:rPr>
        <w:t xml:space="preserve">, </w:t>
      </w:r>
      <w:r w:rsidR="00FF5A96">
        <w:rPr>
          <w:sz w:val="18"/>
          <w:szCs w:val="18"/>
        </w:rPr>
        <w:t xml:space="preserve">Fire Management Unit and the Parks and Conservation Service, </w:t>
      </w:r>
      <w:r w:rsidR="00FF5A96" w:rsidRPr="00CC7548">
        <w:rPr>
          <w:sz w:val="18"/>
          <w:szCs w:val="18"/>
        </w:rPr>
        <w:t xml:space="preserve">Environment, Heritage and Water, EPSDD, </w:t>
      </w:r>
      <w:r w:rsidR="00FF5A96" w:rsidRPr="00CC7548">
        <w:rPr>
          <w:i/>
          <w:iCs/>
          <w:sz w:val="18"/>
          <w:szCs w:val="18"/>
        </w:rPr>
        <w:t>Proof Committee Hansard</w:t>
      </w:r>
      <w:r w:rsidR="00FF5A96" w:rsidRPr="00CC7548">
        <w:rPr>
          <w:sz w:val="18"/>
          <w:szCs w:val="18"/>
        </w:rPr>
        <w:t xml:space="preserve">, 31 October 2022, p </w:t>
      </w:r>
      <w:r w:rsidR="00FF5A96">
        <w:rPr>
          <w:sz w:val="18"/>
          <w:szCs w:val="18"/>
        </w:rPr>
        <w:t>6</w:t>
      </w:r>
      <w:r w:rsidR="00FF5A96" w:rsidRPr="00CC7548">
        <w:rPr>
          <w:sz w:val="18"/>
          <w:szCs w:val="18"/>
        </w:rPr>
        <w:t>.</w:t>
      </w:r>
    </w:p>
  </w:footnote>
  <w:footnote w:id="31">
    <w:p w14:paraId="57428B5D" w14:textId="17A765E4" w:rsidR="006E511E" w:rsidRDefault="006E511E">
      <w:pPr>
        <w:pStyle w:val="FootnoteText"/>
      </w:pPr>
      <w:r w:rsidRPr="00FF5A96">
        <w:rPr>
          <w:rStyle w:val="FootnoteReference"/>
          <w:sz w:val="18"/>
          <w:szCs w:val="18"/>
        </w:rPr>
        <w:footnoteRef/>
      </w:r>
      <w:r>
        <w:t xml:space="preserve"> </w:t>
      </w:r>
      <w:r w:rsidR="00FF5A96" w:rsidRPr="00CC7548">
        <w:rPr>
          <w:sz w:val="18"/>
          <w:szCs w:val="18"/>
        </w:rPr>
        <w:t xml:space="preserve">Mr Bren Burkevics, Executive Group Manager, Environment, Heritage and Water, EPSDD, </w:t>
      </w:r>
      <w:r w:rsidR="00FF5A96" w:rsidRPr="00CC7548">
        <w:rPr>
          <w:i/>
          <w:iCs/>
          <w:sz w:val="18"/>
          <w:szCs w:val="18"/>
        </w:rPr>
        <w:t>Proof Committee Hansard</w:t>
      </w:r>
      <w:r w:rsidR="00FF5A96" w:rsidRPr="00CC7548">
        <w:rPr>
          <w:sz w:val="18"/>
          <w:szCs w:val="18"/>
        </w:rPr>
        <w:t xml:space="preserve">, 31 October 2022, p </w:t>
      </w:r>
      <w:r w:rsidR="00FF5A96">
        <w:rPr>
          <w:sz w:val="18"/>
          <w:szCs w:val="18"/>
        </w:rPr>
        <w:t>7</w:t>
      </w:r>
      <w:r w:rsidR="00FF5A96" w:rsidRPr="00CC7548">
        <w:rPr>
          <w:sz w:val="18"/>
          <w:szCs w:val="18"/>
        </w:rPr>
        <w:t>.</w:t>
      </w:r>
    </w:p>
  </w:footnote>
  <w:footnote w:id="32">
    <w:p w14:paraId="42862764" w14:textId="77777777" w:rsidR="006060F4" w:rsidRPr="00E31058" w:rsidRDefault="006060F4" w:rsidP="006060F4">
      <w:pPr>
        <w:pStyle w:val="FootnoteText"/>
        <w:rPr>
          <w:sz w:val="18"/>
          <w:szCs w:val="18"/>
        </w:rPr>
      </w:pPr>
      <w:r w:rsidRPr="00E31058">
        <w:rPr>
          <w:rStyle w:val="FootnoteReference"/>
          <w:sz w:val="18"/>
          <w:szCs w:val="18"/>
        </w:rPr>
        <w:footnoteRef/>
      </w:r>
      <w:r w:rsidRPr="00E31058">
        <w:rPr>
          <w:sz w:val="18"/>
          <w:szCs w:val="18"/>
        </w:rPr>
        <w:t xml:space="preserve"> </w:t>
      </w:r>
      <w:r w:rsidRPr="00642E00">
        <w:rPr>
          <w:sz w:val="18"/>
          <w:szCs w:val="18"/>
        </w:rPr>
        <w:t xml:space="preserve">ACT Government, </w:t>
      </w:r>
      <w:r w:rsidRPr="00642E00">
        <w:rPr>
          <w:i/>
          <w:iCs/>
          <w:sz w:val="18"/>
          <w:szCs w:val="18"/>
        </w:rPr>
        <w:t>Administrative Arrangements 2022 (No 2)</w:t>
      </w:r>
      <w:r w:rsidRPr="00642E00">
        <w:rPr>
          <w:sz w:val="18"/>
          <w:szCs w:val="18"/>
        </w:rPr>
        <w:t xml:space="preserve"> </w:t>
      </w:r>
      <w:hyperlink r:id="rId9" w:history="1">
        <w:r w:rsidRPr="00642E00">
          <w:rPr>
            <w:rStyle w:val="Hyperlink"/>
            <w:sz w:val="18"/>
            <w:szCs w:val="18"/>
          </w:rPr>
          <w:t>https://legislation.act.gov.au/View/ni/2022-697/current/html/2022-697.html</w:t>
        </w:r>
      </w:hyperlink>
      <w:r w:rsidRPr="00642E00">
        <w:rPr>
          <w:sz w:val="18"/>
          <w:szCs w:val="18"/>
        </w:rPr>
        <w:t xml:space="preserve"> (accessed 23 January 2023).</w:t>
      </w:r>
    </w:p>
  </w:footnote>
  <w:footnote w:id="33">
    <w:p w14:paraId="323F10D8" w14:textId="77777777" w:rsidR="006060F4" w:rsidRPr="00E31058" w:rsidRDefault="006060F4" w:rsidP="006060F4">
      <w:pPr>
        <w:pStyle w:val="FootnoteText"/>
        <w:rPr>
          <w:sz w:val="18"/>
          <w:szCs w:val="18"/>
        </w:rPr>
      </w:pPr>
      <w:r w:rsidRPr="00E31058">
        <w:rPr>
          <w:rStyle w:val="FootnoteReference"/>
          <w:sz w:val="18"/>
          <w:szCs w:val="18"/>
        </w:rPr>
        <w:footnoteRef/>
      </w:r>
      <w:r w:rsidRPr="00E31058">
        <w:rPr>
          <w:sz w:val="18"/>
          <w:szCs w:val="18"/>
        </w:rPr>
        <w:t xml:space="preserve"> </w:t>
      </w:r>
      <w:r w:rsidRPr="00642E00">
        <w:rPr>
          <w:sz w:val="18"/>
          <w:szCs w:val="18"/>
        </w:rPr>
        <w:t xml:space="preserve">ACT Government, </w:t>
      </w:r>
      <w:r w:rsidRPr="00642E00">
        <w:rPr>
          <w:i/>
          <w:iCs/>
          <w:sz w:val="18"/>
          <w:szCs w:val="18"/>
        </w:rPr>
        <w:t>Administrative Arrangements 2022 (No 2)</w:t>
      </w:r>
      <w:r w:rsidRPr="00642E00">
        <w:rPr>
          <w:sz w:val="18"/>
          <w:szCs w:val="18"/>
        </w:rPr>
        <w:t xml:space="preserve"> </w:t>
      </w:r>
      <w:hyperlink r:id="rId10" w:history="1">
        <w:r w:rsidRPr="00642E00">
          <w:rPr>
            <w:rStyle w:val="Hyperlink"/>
            <w:sz w:val="18"/>
            <w:szCs w:val="18"/>
          </w:rPr>
          <w:t>https://legislation.act.gov.au/View/ni/2022-697/current/html/2022-697.html</w:t>
        </w:r>
      </w:hyperlink>
      <w:r w:rsidRPr="00642E00">
        <w:rPr>
          <w:sz w:val="18"/>
          <w:szCs w:val="18"/>
        </w:rPr>
        <w:t xml:space="preserve"> (accessed 23 January 2023).</w:t>
      </w:r>
    </w:p>
  </w:footnote>
  <w:footnote w:id="34">
    <w:p w14:paraId="653F127B" w14:textId="7ED554F0" w:rsidR="006060F4" w:rsidRPr="00EB78AC" w:rsidRDefault="006060F4" w:rsidP="006060F4">
      <w:pPr>
        <w:pStyle w:val="FootnoteText"/>
        <w:rPr>
          <w:sz w:val="18"/>
          <w:szCs w:val="18"/>
        </w:rPr>
      </w:pPr>
      <w:r w:rsidRPr="00EB78AC">
        <w:rPr>
          <w:rStyle w:val="FootnoteReference"/>
          <w:sz w:val="18"/>
          <w:szCs w:val="18"/>
        </w:rPr>
        <w:footnoteRef/>
      </w:r>
      <w:r w:rsidRPr="00EB78AC">
        <w:rPr>
          <w:sz w:val="18"/>
          <w:szCs w:val="18"/>
        </w:rPr>
        <w:t xml:space="preserve"> </w:t>
      </w:r>
      <w:r w:rsidRPr="00E3506E">
        <w:rPr>
          <w:i/>
          <w:iCs/>
          <w:sz w:val="18"/>
          <w:szCs w:val="18"/>
        </w:rPr>
        <w:t>Proof Committee Hansard</w:t>
      </w:r>
      <w:r w:rsidRPr="00E3506E">
        <w:rPr>
          <w:sz w:val="18"/>
          <w:szCs w:val="18"/>
        </w:rPr>
        <w:t xml:space="preserve">, </w:t>
      </w:r>
      <w:r w:rsidR="00716BD7">
        <w:rPr>
          <w:sz w:val="18"/>
          <w:szCs w:val="18"/>
        </w:rPr>
        <w:t>1 November</w:t>
      </w:r>
      <w:r w:rsidRPr="00E3506E">
        <w:rPr>
          <w:sz w:val="18"/>
          <w:szCs w:val="18"/>
        </w:rPr>
        <w:t xml:space="preserve"> 2022, p 1</w:t>
      </w:r>
      <w:r w:rsidR="00716BD7">
        <w:rPr>
          <w:sz w:val="18"/>
          <w:szCs w:val="18"/>
        </w:rPr>
        <w:t>7</w:t>
      </w:r>
      <w:r>
        <w:rPr>
          <w:sz w:val="18"/>
          <w:szCs w:val="18"/>
        </w:rPr>
        <w:t>.</w:t>
      </w:r>
    </w:p>
  </w:footnote>
  <w:footnote w:id="35">
    <w:p w14:paraId="3FB4D3F2" w14:textId="52BB5ADF" w:rsidR="006060F4" w:rsidRPr="00312D0B" w:rsidRDefault="006060F4" w:rsidP="006060F4">
      <w:pPr>
        <w:pStyle w:val="FootnoteText"/>
        <w:rPr>
          <w:sz w:val="18"/>
          <w:szCs w:val="18"/>
        </w:rPr>
      </w:pPr>
      <w:r w:rsidRPr="00312D0B">
        <w:rPr>
          <w:rStyle w:val="FootnoteReference"/>
          <w:sz w:val="18"/>
          <w:szCs w:val="18"/>
        </w:rPr>
        <w:footnoteRef/>
      </w:r>
      <w:r w:rsidRPr="00312D0B">
        <w:rPr>
          <w:sz w:val="18"/>
          <w:szCs w:val="18"/>
        </w:rPr>
        <w:t xml:space="preserve"> </w:t>
      </w:r>
      <w:r w:rsidRPr="00312D0B">
        <w:rPr>
          <w:i/>
          <w:iCs/>
          <w:sz w:val="18"/>
          <w:szCs w:val="18"/>
        </w:rPr>
        <w:t>Proof Committee Hansard</w:t>
      </w:r>
      <w:r w:rsidRPr="00312D0B">
        <w:rPr>
          <w:sz w:val="18"/>
          <w:szCs w:val="18"/>
        </w:rPr>
        <w:t xml:space="preserve">, </w:t>
      </w:r>
      <w:r w:rsidR="00716BD7">
        <w:rPr>
          <w:sz w:val="18"/>
          <w:szCs w:val="18"/>
        </w:rPr>
        <w:t>1 November</w:t>
      </w:r>
      <w:r w:rsidRPr="00312D0B">
        <w:rPr>
          <w:sz w:val="18"/>
          <w:szCs w:val="18"/>
        </w:rPr>
        <w:t xml:space="preserve"> 2022, p </w:t>
      </w:r>
      <w:r w:rsidR="00716BD7">
        <w:rPr>
          <w:sz w:val="18"/>
          <w:szCs w:val="18"/>
        </w:rPr>
        <w:t>18</w:t>
      </w:r>
      <w:r w:rsidRPr="00312D0B">
        <w:rPr>
          <w:sz w:val="18"/>
          <w:szCs w:val="18"/>
        </w:rPr>
        <w:t>.</w:t>
      </w:r>
    </w:p>
  </w:footnote>
  <w:footnote w:id="36">
    <w:p w14:paraId="5888D990" w14:textId="58164224"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716BD7">
        <w:rPr>
          <w:sz w:val="18"/>
          <w:szCs w:val="18"/>
        </w:rPr>
        <w:t>19</w:t>
      </w:r>
      <w:r w:rsidR="00716BD7" w:rsidRPr="00312D0B">
        <w:rPr>
          <w:sz w:val="18"/>
          <w:szCs w:val="18"/>
        </w:rPr>
        <w:t>.</w:t>
      </w:r>
    </w:p>
  </w:footnote>
  <w:footnote w:id="37">
    <w:p w14:paraId="41228004" w14:textId="2171C6AB"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716BD7">
        <w:rPr>
          <w:sz w:val="18"/>
          <w:szCs w:val="18"/>
        </w:rPr>
        <w:t>19</w:t>
      </w:r>
      <w:r w:rsidR="00716BD7" w:rsidRPr="00312D0B">
        <w:rPr>
          <w:sz w:val="18"/>
          <w:szCs w:val="18"/>
        </w:rPr>
        <w:t>.</w:t>
      </w:r>
    </w:p>
  </w:footnote>
  <w:footnote w:id="38">
    <w:p w14:paraId="183C0EC9" w14:textId="55081E9B" w:rsidR="00312D0B" w:rsidRDefault="00312D0B">
      <w:pPr>
        <w:pStyle w:val="FootnoteText"/>
      </w:pPr>
      <w:r w:rsidRPr="00312D0B">
        <w:rPr>
          <w:rStyle w:val="FootnoteReference"/>
          <w:sz w:val="18"/>
          <w:szCs w:val="18"/>
        </w:rPr>
        <w:footnoteRef/>
      </w:r>
      <w: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716BD7">
        <w:rPr>
          <w:sz w:val="18"/>
          <w:szCs w:val="18"/>
        </w:rPr>
        <w:t>20.</w:t>
      </w:r>
    </w:p>
  </w:footnote>
  <w:footnote w:id="39">
    <w:p w14:paraId="352F21F8" w14:textId="184D06FC"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716BD7">
        <w:rPr>
          <w:sz w:val="18"/>
          <w:szCs w:val="18"/>
        </w:rPr>
        <w:t>20</w:t>
      </w:r>
      <w:r w:rsidR="00716BD7" w:rsidRPr="00312D0B">
        <w:rPr>
          <w:sz w:val="18"/>
          <w:szCs w:val="18"/>
        </w:rPr>
        <w:t>.</w:t>
      </w:r>
    </w:p>
  </w:footnote>
  <w:footnote w:id="40">
    <w:p w14:paraId="1AE42D25" w14:textId="5E5AD960"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716BD7">
        <w:rPr>
          <w:sz w:val="18"/>
          <w:szCs w:val="18"/>
        </w:rPr>
        <w:t>21</w:t>
      </w:r>
      <w:r w:rsidR="00716BD7" w:rsidRPr="00312D0B">
        <w:rPr>
          <w:sz w:val="18"/>
          <w:szCs w:val="18"/>
        </w:rPr>
        <w:t>.</w:t>
      </w:r>
    </w:p>
  </w:footnote>
  <w:footnote w:id="41">
    <w:p w14:paraId="0881AFE0" w14:textId="1CF21867"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24</w:t>
      </w:r>
      <w:r w:rsidR="00716BD7" w:rsidRPr="00312D0B">
        <w:rPr>
          <w:sz w:val="18"/>
          <w:szCs w:val="18"/>
        </w:rPr>
        <w:t>.</w:t>
      </w:r>
    </w:p>
  </w:footnote>
  <w:footnote w:id="42">
    <w:p w14:paraId="0AEA8FD2" w14:textId="3ACA6C60"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26</w:t>
      </w:r>
      <w:r w:rsidR="00716BD7" w:rsidRPr="00312D0B">
        <w:rPr>
          <w:sz w:val="18"/>
          <w:szCs w:val="18"/>
        </w:rPr>
        <w:t>.</w:t>
      </w:r>
    </w:p>
  </w:footnote>
  <w:footnote w:id="43">
    <w:p w14:paraId="27988A50" w14:textId="1F69F807"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w:t>
      </w:r>
      <w:r w:rsidR="00C411C3">
        <w:rPr>
          <w:sz w:val="18"/>
          <w:szCs w:val="18"/>
        </w:rPr>
        <w:t>p</w:t>
      </w:r>
      <w:r w:rsidR="00716BD7" w:rsidRPr="00312D0B">
        <w:rPr>
          <w:sz w:val="18"/>
          <w:szCs w:val="18"/>
        </w:rPr>
        <w:t xml:space="preserve"> </w:t>
      </w:r>
      <w:r w:rsidR="00C411C3">
        <w:rPr>
          <w:sz w:val="18"/>
          <w:szCs w:val="18"/>
        </w:rPr>
        <w:t>26–27</w:t>
      </w:r>
      <w:r w:rsidR="00716BD7" w:rsidRPr="00312D0B">
        <w:rPr>
          <w:sz w:val="18"/>
          <w:szCs w:val="18"/>
        </w:rPr>
        <w:t>.</w:t>
      </w:r>
    </w:p>
  </w:footnote>
  <w:footnote w:id="44">
    <w:p w14:paraId="71B0ADFD" w14:textId="57217994"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28</w:t>
      </w:r>
      <w:r w:rsidR="00716BD7" w:rsidRPr="00312D0B">
        <w:rPr>
          <w:sz w:val="18"/>
          <w:szCs w:val="18"/>
        </w:rPr>
        <w:t>.</w:t>
      </w:r>
    </w:p>
  </w:footnote>
  <w:footnote w:id="45">
    <w:p w14:paraId="1EBA71A5" w14:textId="15BEAED2"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29</w:t>
      </w:r>
      <w:r w:rsidR="00716BD7" w:rsidRPr="00312D0B">
        <w:rPr>
          <w:sz w:val="18"/>
          <w:szCs w:val="18"/>
        </w:rPr>
        <w:t>.</w:t>
      </w:r>
    </w:p>
  </w:footnote>
  <w:footnote w:id="46">
    <w:p w14:paraId="680EE20D" w14:textId="3C51CC8F"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30</w:t>
      </w:r>
      <w:r w:rsidR="00716BD7" w:rsidRPr="00312D0B">
        <w:rPr>
          <w:sz w:val="18"/>
          <w:szCs w:val="18"/>
        </w:rPr>
        <w:t>.</w:t>
      </w:r>
    </w:p>
  </w:footnote>
  <w:footnote w:id="47">
    <w:p w14:paraId="5DD19D8E" w14:textId="2BA0870D"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31</w:t>
      </w:r>
      <w:r w:rsidR="00716BD7" w:rsidRPr="00312D0B">
        <w:rPr>
          <w:sz w:val="18"/>
          <w:szCs w:val="18"/>
        </w:rPr>
        <w:t>.</w:t>
      </w:r>
    </w:p>
  </w:footnote>
  <w:footnote w:id="48">
    <w:p w14:paraId="0A014D78" w14:textId="2CA46798"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C411C3">
        <w:rPr>
          <w:sz w:val="18"/>
          <w:szCs w:val="18"/>
        </w:rPr>
        <w:t>32</w:t>
      </w:r>
      <w:r w:rsidR="00716BD7" w:rsidRPr="00312D0B">
        <w:rPr>
          <w:sz w:val="18"/>
          <w:szCs w:val="18"/>
        </w:rPr>
        <w:t>.</w:t>
      </w:r>
    </w:p>
  </w:footnote>
  <w:footnote w:id="49">
    <w:p w14:paraId="390F3D4C" w14:textId="6D4AF209"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36</w:t>
      </w:r>
      <w:r w:rsidR="00716BD7" w:rsidRPr="00312D0B">
        <w:rPr>
          <w:sz w:val="18"/>
          <w:szCs w:val="18"/>
        </w:rPr>
        <w:t>.</w:t>
      </w:r>
    </w:p>
  </w:footnote>
  <w:footnote w:id="50">
    <w:p w14:paraId="5718A2F4" w14:textId="0B60DD25"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37</w:t>
      </w:r>
      <w:r w:rsidR="00716BD7" w:rsidRPr="00312D0B">
        <w:rPr>
          <w:sz w:val="18"/>
          <w:szCs w:val="18"/>
        </w:rPr>
        <w:t>.</w:t>
      </w:r>
    </w:p>
  </w:footnote>
  <w:footnote w:id="51">
    <w:p w14:paraId="44282049" w14:textId="7D6064B9"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38</w:t>
      </w:r>
      <w:r w:rsidR="00716BD7" w:rsidRPr="00312D0B">
        <w:rPr>
          <w:sz w:val="18"/>
          <w:szCs w:val="18"/>
        </w:rPr>
        <w:t>.</w:t>
      </w:r>
    </w:p>
  </w:footnote>
  <w:footnote w:id="52">
    <w:p w14:paraId="0F580948" w14:textId="0764D3A1"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41</w:t>
      </w:r>
      <w:r w:rsidR="00716BD7" w:rsidRPr="00312D0B">
        <w:rPr>
          <w:sz w:val="18"/>
          <w:szCs w:val="18"/>
        </w:rPr>
        <w:t>.</w:t>
      </w:r>
    </w:p>
  </w:footnote>
  <w:footnote w:id="53">
    <w:p w14:paraId="31FCDEA4" w14:textId="4CF3910B" w:rsidR="00312D0B" w:rsidRPr="00312D0B" w:rsidRDefault="00312D0B">
      <w:pPr>
        <w:pStyle w:val="FootnoteText"/>
        <w:rPr>
          <w:sz w:val="18"/>
          <w:szCs w:val="18"/>
        </w:rPr>
      </w:pPr>
      <w:r w:rsidRPr="00312D0B">
        <w:rPr>
          <w:rStyle w:val="FootnoteReference"/>
          <w:sz w:val="18"/>
          <w:szCs w:val="18"/>
        </w:rPr>
        <w:footnoteRef/>
      </w:r>
      <w:r w:rsidRPr="00312D0B">
        <w:rPr>
          <w:sz w:val="18"/>
          <w:szCs w:val="18"/>
        </w:rP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42</w:t>
      </w:r>
      <w:r w:rsidR="00716BD7" w:rsidRPr="00312D0B">
        <w:rPr>
          <w:sz w:val="18"/>
          <w:szCs w:val="18"/>
        </w:rPr>
        <w:t>.</w:t>
      </w:r>
    </w:p>
  </w:footnote>
  <w:footnote w:id="54">
    <w:p w14:paraId="1D7FED1F" w14:textId="06645C73" w:rsidR="00312D0B" w:rsidRDefault="00312D0B">
      <w:pPr>
        <w:pStyle w:val="FootnoteText"/>
      </w:pPr>
      <w:r w:rsidRPr="00312D0B">
        <w:rPr>
          <w:rStyle w:val="FootnoteReference"/>
          <w:sz w:val="18"/>
          <w:szCs w:val="18"/>
        </w:rPr>
        <w:footnoteRef/>
      </w:r>
      <w:r>
        <w:t xml:space="preserve"> </w:t>
      </w:r>
      <w:r w:rsidR="00716BD7" w:rsidRPr="00312D0B">
        <w:rPr>
          <w:i/>
          <w:iCs/>
          <w:sz w:val="18"/>
          <w:szCs w:val="18"/>
        </w:rPr>
        <w:t>Proof Committee Hansard</w:t>
      </w:r>
      <w:r w:rsidR="00716BD7" w:rsidRPr="00312D0B">
        <w:rPr>
          <w:sz w:val="18"/>
          <w:szCs w:val="18"/>
        </w:rPr>
        <w:t xml:space="preserve">, </w:t>
      </w:r>
      <w:r w:rsidR="00716BD7">
        <w:rPr>
          <w:sz w:val="18"/>
          <w:szCs w:val="18"/>
        </w:rPr>
        <w:t>1 November</w:t>
      </w:r>
      <w:r w:rsidR="00716BD7" w:rsidRPr="00312D0B">
        <w:rPr>
          <w:sz w:val="18"/>
          <w:szCs w:val="18"/>
        </w:rPr>
        <w:t xml:space="preserve"> 2022, p </w:t>
      </w:r>
      <w:r w:rsidR="00F37F65">
        <w:rPr>
          <w:sz w:val="18"/>
          <w:szCs w:val="18"/>
        </w:rPr>
        <w:t>44</w:t>
      </w:r>
      <w:r w:rsidR="00716BD7" w:rsidRPr="00312D0B">
        <w:rPr>
          <w:sz w:val="18"/>
          <w:szCs w:val="18"/>
        </w:rPr>
        <w:t>.</w:t>
      </w:r>
    </w:p>
  </w:footnote>
  <w:footnote w:id="55">
    <w:p w14:paraId="54050BAA" w14:textId="73079867" w:rsidR="0099757F" w:rsidRPr="005D48A8" w:rsidRDefault="0099757F">
      <w:pPr>
        <w:pStyle w:val="FootnoteText"/>
        <w:rPr>
          <w:sz w:val="18"/>
          <w:szCs w:val="18"/>
        </w:rPr>
      </w:pPr>
      <w:r w:rsidRPr="005D48A8">
        <w:rPr>
          <w:rStyle w:val="FootnoteReference"/>
          <w:sz w:val="18"/>
          <w:szCs w:val="18"/>
        </w:rPr>
        <w:footnoteRef/>
      </w:r>
      <w:r w:rsidRPr="005D48A8">
        <w:rPr>
          <w:sz w:val="18"/>
          <w:szCs w:val="18"/>
        </w:rPr>
        <w:t xml:space="preserve"> </w:t>
      </w:r>
      <w:r w:rsidR="00806147">
        <w:rPr>
          <w:sz w:val="18"/>
          <w:szCs w:val="18"/>
        </w:rPr>
        <w:t xml:space="preserve">The Canberra Times, </w:t>
      </w:r>
      <w:r w:rsidR="00806147" w:rsidRPr="00806147">
        <w:rPr>
          <w:i/>
          <w:iCs/>
          <w:sz w:val="18"/>
          <w:szCs w:val="18"/>
        </w:rPr>
        <w:t>A vision unrealised: what Woden could have looked like</w:t>
      </w:r>
      <w:r w:rsidR="00806147">
        <w:rPr>
          <w:sz w:val="18"/>
          <w:szCs w:val="18"/>
        </w:rPr>
        <w:t xml:space="preserve">, </w:t>
      </w:r>
      <w:hyperlink r:id="rId11" w:history="1">
        <w:r w:rsidR="00806147" w:rsidRPr="00C0788E">
          <w:rPr>
            <w:rStyle w:val="Hyperlink"/>
            <w:sz w:val="18"/>
            <w:szCs w:val="18"/>
          </w:rPr>
          <w:t>https://www.canberratimes.com.au/story/6163459/a-vision-unrealised-what-woden-could-have-looked-like/</w:t>
        </w:r>
      </w:hyperlink>
      <w:r w:rsidR="00806147">
        <w:rPr>
          <w:sz w:val="18"/>
          <w:szCs w:val="18"/>
        </w:rPr>
        <w:t xml:space="preserve"> (accessed 27 February 2023).</w:t>
      </w:r>
    </w:p>
  </w:footnote>
  <w:footnote w:id="56">
    <w:p w14:paraId="17B801BD" w14:textId="7812E18C" w:rsidR="002D69E1" w:rsidRPr="005D48A8" w:rsidRDefault="002D69E1">
      <w:pPr>
        <w:pStyle w:val="FootnoteText"/>
        <w:rPr>
          <w:sz w:val="18"/>
          <w:szCs w:val="18"/>
        </w:rPr>
      </w:pPr>
      <w:r w:rsidRPr="005D48A8">
        <w:rPr>
          <w:rStyle w:val="FootnoteReference"/>
          <w:sz w:val="18"/>
          <w:szCs w:val="18"/>
        </w:rPr>
        <w:footnoteRef/>
      </w:r>
      <w:r w:rsidRPr="005D48A8">
        <w:rPr>
          <w:sz w:val="18"/>
          <w:szCs w:val="18"/>
        </w:rPr>
        <w:t xml:space="preserve"> </w:t>
      </w:r>
      <w:r w:rsidR="00806147" w:rsidRPr="00CC7548">
        <w:rPr>
          <w:sz w:val="18"/>
          <w:szCs w:val="18"/>
        </w:rPr>
        <w:t xml:space="preserve">Mr </w:t>
      </w:r>
      <w:r w:rsidR="00806147">
        <w:rPr>
          <w:sz w:val="18"/>
          <w:szCs w:val="18"/>
        </w:rPr>
        <w:t>Ben Ponton</w:t>
      </w:r>
      <w:r w:rsidR="00806147" w:rsidRPr="00CC7548">
        <w:rPr>
          <w:sz w:val="18"/>
          <w:szCs w:val="18"/>
        </w:rPr>
        <w:t xml:space="preserve">, </w:t>
      </w:r>
      <w:r w:rsidR="00806147">
        <w:rPr>
          <w:sz w:val="18"/>
          <w:szCs w:val="18"/>
        </w:rPr>
        <w:t>Director-General</w:t>
      </w:r>
      <w:r w:rsidR="00806147" w:rsidRPr="00CC7548">
        <w:rPr>
          <w:sz w:val="18"/>
          <w:szCs w:val="18"/>
        </w:rPr>
        <w:t xml:space="preserve">, EPSDD, </w:t>
      </w:r>
      <w:r w:rsidR="00806147" w:rsidRPr="00CC7548">
        <w:rPr>
          <w:i/>
          <w:iCs/>
          <w:sz w:val="18"/>
          <w:szCs w:val="18"/>
        </w:rPr>
        <w:t>Proof Committee Hansard</w:t>
      </w:r>
      <w:r w:rsidR="00806147" w:rsidRPr="00CC7548">
        <w:rPr>
          <w:sz w:val="18"/>
          <w:szCs w:val="18"/>
        </w:rPr>
        <w:t xml:space="preserve">, </w:t>
      </w:r>
      <w:r w:rsidR="00806147">
        <w:rPr>
          <w:sz w:val="18"/>
          <w:szCs w:val="18"/>
        </w:rPr>
        <w:t>1 November</w:t>
      </w:r>
      <w:r w:rsidR="00806147" w:rsidRPr="00CC7548">
        <w:rPr>
          <w:sz w:val="18"/>
          <w:szCs w:val="18"/>
        </w:rPr>
        <w:t xml:space="preserve"> 2022, p </w:t>
      </w:r>
      <w:r w:rsidR="00806147">
        <w:rPr>
          <w:sz w:val="18"/>
          <w:szCs w:val="18"/>
        </w:rPr>
        <w:t>19</w:t>
      </w:r>
      <w:r w:rsidR="00806147" w:rsidRPr="00CC7548">
        <w:rPr>
          <w:sz w:val="18"/>
          <w:szCs w:val="18"/>
        </w:rPr>
        <w:t>.</w:t>
      </w:r>
    </w:p>
  </w:footnote>
  <w:footnote w:id="57">
    <w:p w14:paraId="77FDB3EB" w14:textId="2B070A4E" w:rsidR="0050231A" w:rsidRPr="005D48A8" w:rsidRDefault="0050231A">
      <w:pPr>
        <w:pStyle w:val="FootnoteText"/>
        <w:rPr>
          <w:sz w:val="18"/>
          <w:szCs w:val="18"/>
        </w:rPr>
      </w:pPr>
      <w:r w:rsidRPr="005D48A8">
        <w:rPr>
          <w:rStyle w:val="FootnoteReference"/>
          <w:sz w:val="18"/>
          <w:szCs w:val="18"/>
        </w:rPr>
        <w:footnoteRef/>
      </w:r>
      <w:r w:rsidRPr="005D48A8">
        <w:rPr>
          <w:sz w:val="18"/>
          <w:szCs w:val="18"/>
        </w:rPr>
        <w:t xml:space="preserve"> </w:t>
      </w:r>
      <w:r w:rsidR="00806147" w:rsidRPr="00CC7548">
        <w:rPr>
          <w:sz w:val="18"/>
          <w:szCs w:val="18"/>
        </w:rPr>
        <w:t xml:space="preserve">Mr Bren Burkevics, Executive Group Manager, Environment, Heritage and Water, EPSDD, </w:t>
      </w:r>
      <w:r w:rsidR="00806147" w:rsidRPr="00CC7548">
        <w:rPr>
          <w:i/>
          <w:iCs/>
          <w:sz w:val="18"/>
          <w:szCs w:val="18"/>
        </w:rPr>
        <w:t>Proof Committee Hansard</w:t>
      </w:r>
      <w:r w:rsidR="00806147" w:rsidRPr="00CC7548">
        <w:rPr>
          <w:sz w:val="18"/>
          <w:szCs w:val="18"/>
        </w:rPr>
        <w:t xml:space="preserve">, </w:t>
      </w:r>
      <w:r w:rsidR="00806147">
        <w:rPr>
          <w:sz w:val="18"/>
          <w:szCs w:val="18"/>
        </w:rPr>
        <w:t>1 November 2022</w:t>
      </w:r>
      <w:r w:rsidR="00806147" w:rsidRPr="00CC7548">
        <w:rPr>
          <w:sz w:val="18"/>
          <w:szCs w:val="18"/>
        </w:rPr>
        <w:t xml:space="preserve">, p </w:t>
      </w:r>
      <w:r w:rsidR="00806147">
        <w:rPr>
          <w:sz w:val="18"/>
          <w:szCs w:val="18"/>
        </w:rPr>
        <w:t>19</w:t>
      </w:r>
      <w:r w:rsidR="00806147" w:rsidRPr="00CC7548">
        <w:rPr>
          <w:sz w:val="18"/>
          <w:szCs w:val="18"/>
        </w:rPr>
        <w:t>.</w:t>
      </w:r>
    </w:p>
  </w:footnote>
  <w:footnote w:id="58">
    <w:p w14:paraId="6F5F4AF6" w14:textId="4F0C4990" w:rsidR="005D48A8" w:rsidRPr="00374762" w:rsidRDefault="005D48A8">
      <w:pPr>
        <w:pStyle w:val="FootnoteText"/>
        <w:rPr>
          <w:sz w:val="18"/>
          <w:szCs w:val="18"/>
        </w:rPr>
      </w:pPr>
      <w:r w:rsidRPr="00374762">
        <w:rPr>
          <w:rStyle w:val="FootnoteReference"/>
          <w:sz w:val="18"/>
          <w:szCs w:val="18"/>
        </w:rPr>
        <w:footnoteRef/>
      </w:r>
      <w:r w:rsidRPr="00374762">
        <w:rPr>
          <w:sz w:val="18"/>
          <w:szCs w:val="18"/>
        </w:rPr>
        <w:t xml:space="preserve"> </w:t>
      </w:r>
      <w:r w:rsidR="00806147" w:rsidRPr="00374762">
        <w:rPr>
          <w:sz w:val="18"/>
          <w:szCs w:val="18"/>
        </w:rPr>
        <w:t xml:space="preserve">Ms Rebecca Vassarotti MLA, Minister for Heritage, </w:t>
      </w:r>
      <w:r w:rsidR="00806147" w:rsidRPr="00374762">
        <w:rPr>
          <w:i/>
          <w:iCs/>
          <w:sz w:val="18"/>
          <w:szCs w:val="18"/>
        </w:rPr>
        <w:t>Proof Committee Hansard</w:t>
      </w:r>
      <w:r w:rsidR="00806147" w:rsidRPr="00374762">
        <w:rPr>
          <w:sz w:val="18"/>
          <w:szCs w:val="18"/>
        </w:rPr>
        <w:t xml:space="preserve">, 1 November 2022, p </w:t>
      </w:r>
      <w:r w:rsidR="00374762" w:rsidRPr="00374762">
        <w:rPr>
          <w:sz w:val="18"/>
          <w:szCs w:val="18"/>
        </w:rPr>
        <w:t>20</w:t>
      </w:r>
      <w:r w:rsidR="00806147" w:rsidRPr="00374762">
        <w:rPr>
          <w:sz w:val="18"/>
          <w:szCs w:val="18"/>
        </w:rPr>
        <w:t>.</w:t>
      </w:r>
    </w:p>
  </w:footnote>
  <w:footnote w:id="59">
    <w:p w14:paraId="37CFB5B1" w14:textId="4EC77F53" w:rsidR="005D48A8" w:rsidRPr="00374762" w:rsidRDefault="005D48A8">
      <w:pPr>
        <w:pStyle w:val="FootnoteText"/>
        <w:rPr>
          <w:sz w:val="18"/>
          <w:szCs w:val="18"/>
        </w:rPr>
      </w:pPr>
      <w:r w:rsidRPr="00374762">
        <w:rPr>
          <w:rStyle w:val="FootnoteReference"/>
          <w:sz w:val="18"/>
          <w:szCs w:val="18"/>
        </w:rPr>
        <w:footnoteRef/>
      </w:r>
      <w:r w:rsidRPr="00374762">
        <w:rPr>
          <w:sz w:val="18"/>
          <w:szCs w:val="18"/>
        </w:rPr>
        <w:t xml:space="preserve"> </w:t>
      </w:r>
      <w:r w:rsidR="00374762" w:rsidRPr="00374762">
        <w:rPr>
          <w:sz w:val="18"/>
          <w:szCs w:val="18"/>
        </w:rPr>
        <w:t xml:space="preserve">Mr Bren Burkevics, Executive Group Manager, Environment, Heritage and Water, EPSDD, </w:t>
      </w:r>
      <w:r w:rsidR="00374762" w:rsidRPr="00374762">
        <w:rPr>
          <w:i/>
          <w:iCs/>
          <w:sz w:val="18"/>
          <w:szCs w:val="18"/>
        </w:rPr>
        <w:t>Proof Committee Hansard</w:t>
      </w:r>
      <w:r w:rsidR="00374762" w:rsidRPr="00374762">
        <w:rPr>
          <w:sz w:val="18"/>
          <w:szCs w:val="18"/>
        </w:rPr>
        <w:t>, 1 November 2022, p 20.</w:t>
      </w:r>
    </w:p>
  </w:footnote>
  <w:footnote w:id="60">
    <w:p w14:paraId="6EC29858" w14:textId="195020F9" w:rsidR="00586EB0" w:rsidRPr="00374762" w:rsidRDefault="00586EB0">
      <w:pPr>
        <w:pStyle w:val="FootnoteText"/>
        <w:rPr>
          <w:sz w:val="18"/>
          <w:szCs w:val="18"/>
        </w:rPr>
      </w:pPr>
      <w:r w:rsidRPr="00374762">
        <w:rPr>
          <w:rStyle w:val="FootnoteReference"/>
          <w:sz w:val="18"/>
          <w:szCs w:val="18"/>
        </w:rPr>
        <w:footnoteRef/>
      </w:r>
      <w:r w:rsidRPr="00374762">
        <w:rPr>
          <w:sz w:val="18"/>
          <w:szCs w:val="18"/>
        </w:rPr>
        <w:t xml:space="preserve"> </w:t>
      </w:r>
      <w:r w:rsidR="00374762" w:rsidRPr="00374762">
        <w:rPr>
          <w:sz w:val="18"/>
          <w:szCs w:val="18"/>
        </w:rPr>
        <w:t>Ms Rebecca Vassarotti MLA</w:t>
      </w:r>
      <w:r w:rsidR="00374762">
        <w:rPr>
          <w:sz w:val="18"/>
          <w:szCs w:val="18"/>
        </w:rPr>
        <w:t xml:space="preserve">, Minister for the Environment, </w:t>
      </w:r>
      <w:hyperlink r:id="rId12" w:history="1">
        <w:r w:rsidR="00374762" w:rsidRPr="00374762">
          <w:rPr>
            <w:rStyle w:val="Hyperlink"/>
            <w:i/>
            <w:iCs/>
            <w:sz w:val="18"/>
            <w:szCs w:val="18"/>
          </w:rPr>
          <w:t>Rapid response team tackles invasive species</w:t>
        </w:r>
      </w:hyperlink>
      <w:r w:rsidR="00374762">
        <w:rPr>
          <w:sz w:val="18"/>
          <w:szCs w:val="18"/>
        </w:rPr>
        <w:t xml:space="preserve">, 23 February </w:t>
      </w:r>
      <w:r w:rsidR="00374762" w:rsidRPr="00374762">
        <w:rPr>
          <w:sz w:val="18"/>
          <w:szCs w:val="18"/>
        </w:rPr>
        <w:t>2022, p 1.</w:t>
      </w:r>
    </w:p>
  </w:footnote>
  <w:footnote w:id="61">
    <w:p w14:paraId="407DCECB" w14:textId="613F1AD5" w:rsidR="00600FD5" w:rsidRPr="00600FD5" w:rsidRDefault="00600FD5">
      <w:pPr>
        <w:pStyle w:val="FootnoteText"/>
        <w:rPr>
          <w:sz w:val="18"/>
          <w:szCs w:val="18"/>
        </w:rPr>
      </w:pPr>
      <w:r w:rsidRPr="00600FD5">
        <w:rPr>
          <w:rStyle w:val="FootnoteReference"/>
          <w:sz w:val="18"/>
          <w:szCs w:val="18"/>
        </w:rPr>
        <w:footnoteRef/>
      </w:r>
      <w:r w:rsidRPr="00600FD5">
        <w:rPr>
          <w:sz w:val="18"/>
          <w:szCs w:val="18"/>
        </w:rPr>
        <w:t xml:space="preserve"> </w:t>
      </w:r>
      <w:r w:rsidRPr="00374762">
        <w:rPr>
          <w:sz w:val="18"/>
          <w:szCs w:val="18"/>
        </w:rPr>
        <w:t xml:space="preserve">Mr </w:t>
      </w:r>
      <w:r>
        <w:rPr>
          <w:sz w:val="18"/>
          <w:szCs w:val="18"/>
        </w:rPr>
        <w:t>Chris Glennon</w:t>
      </w:r>
      <w:r w:rsidRPr="00374762">
        <w:rPr>
          <w:sz w:val="18"/>
          <w:szCs w:val="18"/>
        </w:rPr>
        <w:t xml:space="preserve">, </w:t>
      </w:r>
      <w:r>
        <w:rPr>
          <w:sz w:val="18"/>
          <w:szCs w:val="18"/>
        </w:rPr>
        <w:t>Senior Director</w:t>
      </w:r>
      <w:r w:rsidRPr="00374762">
        <w:rPr>
          <w:sz w:val="18"/>
          <w:szCs w:val="18"/>
        </w:rPr>
        <w:t xml:space="preserve">, </w:t>
      </w:r>
      <w:r>
        <w:rPr>
          <w:sz w:val="18"/>
          <w:szCs w:val="18"/>
        </w:rPr>
        <w:t xml:space="preserve">Resilient Landscapes, </w:t>
      </w:r>
      <w:r w:rsidRPr="00374762">
        <w:rPr>
          <w:sz w:val="18"/>
          <w:szCs w:val="18"/>
        </w:rPr>
        <w:t xml:space="preserve">Environment, Heritage and Water, EPSDD, </w:t>
      </w:r>
      <w:r w:rsidRPr="00374762">
        <w:rPr>
          <w:i/>
          <w:iCs/>
          <w:sz w:val="18"/>
          <w:szCs w:val="18"/>
        </w:rPr>
        <w:t>Proof Committee Hansard</w:t>
      </w:r>
      <w:r w:rsidRPr="00374762">
        <w:rPr>
          <w:sz w:val="18"/>
          <w:szCs w:val="18"/>
        </w:rPr>
        <w:t>, 1 November 2022, p 2</w:t>
      </w:r>
      <w:r>
        <w:rPr>
          <w:sz w:val="18"/>
          <w:szCs w:val="18"/>
        </w:rPr>
        <w:t>7</w:t>
      </w:r>
      <w:r w:rsidRPr="00374762">
        <w:rPr>
          <w:sz w:val="18"/>
          <w:szCs w:val="18"/>
        </w:rPr>
        <w:t>.</w:t>
      </w:r>
    </w:p>
  </w:footnote>
  <w:footnote w:id="62">
    <w:p w14:paraId="7854468D" w14:textId="01861845" w:rsidR="0029192A" w:rsidRPr="00600FD5" w:rsidRDefault="0029192A">
      <w:pPr>
        <w:pStyle w:val="FootnoteText"/>
        <w:rPr>
          <w:sz w:val="18"/>
          <w:szCs w:val="18"/>
        </w:rPr>
      </w:pPr>
      <w:r w:rsidRPr="00600FD5">
        <w:rPr>
          <w:rStyle w:val="FootnoteReference"/>
          <w:sz w:val="18"/>
          <w:szCs w:val="18"/>
        </w:rPr>
        <w:footnoteRef/>
      </w:r>
      <w:r w:rsidRPr="00600FD5">
        <w:rPr>
          <w:sz w:val="18"/>
          <w:szCs w:val="18"/>
        </w:rPr>
        <w:t xml:space="preserve"> </w:t>
      </w:r>
      <w:r w:rsidR="00600FD5" w:rsidRPr="00374762">
        <w:rPr>
          <w:sz w:val="18"/>
          <w:szCs w:val="18"/>
        </w:rPr>
        <w:t xml:space="preserve">Ms Rebecca Vassarotti MLA, Minister for Heritage, </w:t>
      </w:r>
      <w:r w:rsidR="00600FD5" w:rsidRPr="00374762">
        <w:rPr>
          <w:i/>
          <w:iCs/>
          <w:sz w:val="18"/>
          <w:szCs w:val="18"/>
        </w:rPr>
        <w:t>Proof Committee Hansard</w:t>
      </w:r>
      <w:r w:rsidR="00600FD5" w:rsidRPr="00374762">
        <w:rPr>
          <w:sz w:val="18"/>
          <w:szCs w:val="18"/>
        </w:rPr>
        <w:t>, 1 November 2022, p 2</w:t>
      </w:r>
      <w:r w:rsidR="00600FD5">
        <w:rPr>
          <w:sz w:val="18"/>
          <w:szCs w:val="18"/>
        </w:rPr>
        <w:t>8</w:t>
      </w:r>
      <w:r w:rsidR="00600FD5" w:rsidRPr="00374762">
        <w:rPr>
          <w:sz w:val="18"/>
          <w:szCs w:val="18"/>
        </w:rPr>
        <w:t>.</w:t>
      </w:r>
    </w:p>
  </w:footnote>
  <w:footnote w:id="63">
    <w:p w14:paraId="215AF21B" w14:textId="1AF29B59" w:rsidR="0029192A" w:rsidRPr="00374762" w:rsidRDefault="0029192A">
      <w:pPr>
        <w:pStyle w:val="FootnoteText"/>
        <w:rPr>
          <w:sz w:val="18"/>
          <w:szCs w:val="18"/>
        </w:rPr>
      </w:pPr>
      <w:r w:rsidRPr="00600FD5">
        <w:rPr>
          <w:rStyle w:val="FootnoteReference"/>
          <w:sz w:val="18"/>
          <w:szCs w:val="18"/>
        </w:rPr>
        <w:footnoteRef/>
      </w:r>
      <w:r w:rsidRPr="00374762">
        <w:rPr>
          <w:sz w:val="18"/>
          <w:szCs w:val="18"/>
        </w:rPr>
        <w:t xml:space="preserve"> </w:t>
      </w:r>
      <w:r w:rsidR="00600FD5" w:rsidRPr="00374762">
        <w:rPr>
          <w:sz w:val="18"/>
          <w:szCs w:val="18"/>
        </w:rPr>
        <w:t xml:space="preserve">Ms Rebecca Vassarotti MLA, Minister for Heritage, </w:t>
      </w:r>
      <w:r w:rsidR="00600FD5" w:rsidRPr="00374762">
        <w:rPr>
          <w:i/>
          <w:iCs/>
          <w:sz w:val="18"/>
          <w:szCs w:val="18"/>
        </w:rPr>
        <w:t>Proof Committee Hansard</w:t>
      </w:r>
      <w:r w:rsidR="00600FD5" w:rsidRPr="00374762">
        <w:rPr>
          <w:sz w:val="18"/>
          <w:szCs w:val="18"/>
        </w:rPr>
        <w:t>, 1 November 2022, p 2</w:t>
      </w:r>
      <w:r w:rsidR="00600FD5">
        <w:rPr>
          <w:sz w:val="18"/>
          <w:szCs w:val="18"/>
        </w:rPr>
        <w:t>8</w:t>
      </w:r>
      <w:r w:rsidR="00600FD5" w:rsidRPr="00374762">
        <w:rPr>
          <w:sz w:val="18"/>
          <w:szCs w:val="18"/>
        </w:rPr>
        <w:t>.</w:t>
      </w:r>
    </w:p>
  </w:footnote>
  <w:footnote w:id="64">
    <w:p w14:paraId="369E538A" w14:textId="2BCDCE55" w:rsidR="00CA1BD4" w:rsidRDefault="00CA1BD4">
      <w:pPr>
        <w:pStyle w:val="FootnoteText"/>
      </w:pPr>
      <w:r w:rsidRPr="00374762">
        <w:rPr>
          <w:rStyle w:val="FootnoteReference"/>
          <w:sz w:val="18"/>
          <w:szCs w:val="18"/>
        </w:rPr>
        <w:footnoteRef/>
      </w:r>
      <w:r>
        <w:t xml:space="preserve"> </w:t>
      </w:r>
      <w:r w:rsidR="00374762" w:rsidRPr="00374762">
        <w:rPr>
          <w:sz w:val="18"/>
          <w:szCs w:val="18"/>
        </w:rPr>
        <w:t>Ms Rebecca Vassarotti MLA</w:t>
      </w:r>
      <w:r w:rsidR="00374762">
        <w:rPr>
          <w:sz w:val="18"/>
          <w:szCs w:val="18"/>
        </w:rPr>
        <w:t xml:space="preserve">, Minister for the Environment, </w:t>
      </w:r>
      <w:hyperlink r:id="rId13" w:history="1">
        <w:r w:rsidR="00374762" w:rsidRPr="00374762">
          <w:rPr>
            <w:rStyle w:val="Hyperlink"/>
            <w:i/>
            <w:iCs/>
            <w:sz w:val="18"/>
            <w:szCs w:val="18"/>
          </w:rPr>
          <w:t>Rapid response team tackles invasive species</w:t>
        </w:r>
      </w:hyperlink>
      <w:r w:rsidR="00374762">
        <w:rPr>
          <w:sz w:val="18"/>
          <w:szCs w:val="18"/>
        </w:rPr>
        <w:t xml:space="preserve">, 23 February </w:t>
      </w:r>
      <w:r w:rsidR="00374762" w:rsidRPr="00374762">
        <w:rPr>
          <w:sz w:val="18"/>
          <w:szCs w:val="18"/>
        </w:rPr>
        <w:t>2022, p 1.</w:t>
      </w:r>
    </w:p>
  </w:footnote>
  <w:footnote w:id="65">
    <w:p w14:paraId="07DC794E" w14:textId="7766CC06" w:rsidR="008A7F17" w:rsidRPr="008A7F17" w:rsidRDefault="008A7F17">
      <w:pPr>
        <w:pStyle w:val="FootnoteText"/>
        <w:rPr>
          <w:sz w:val="18"/>
          <w:szCs w:val="18"/>
        </w:rPr>
      </w:pPr>
      <w:r w:rsidRPr="008A7F17">
        <w:rPr>
          <w:rStyle w:val="FootnoteReference"/>
          <w:sz w:val="18"/>
          <w:szCs w:val="18"/>
        </w:rPr>
        <w:footnoteRef/>
      </w:r>
      <w:r w:rsidRPr="008A7F17">
        <w:rPr>
          <w:sz w:val="18"/>
          <w:szCs w:val="18"/>
        </w:rPr>
        <w:t xml:space="preserve"> </w:t>
      </w:r>
      <w:r w:rsidRPr="004B7955">
        <w:rPr>
          <w:sz w:val="18"/>
          <w:szCs w:val="18"/>
        </w:rPr>
        <w:t>EPSDD,</w:t>
      </w:r>
      <w:r>
        <w:rPr>
          <w:sz w:val="18"/>
          <w:szCs w:val="18"/>
        </w:rPr>
        <w:t xml:space="preserve"> </w:t>
      </w:r>
      <w:hyperlink r:id="rId14" w:history="1">
        <w:r w:rsidRPr="00F6105E">
          <w:rPr>
            <w:rStyle w:val="Hyperlink"/>
            <w:sz w:val="18"/>
            <w:szCs w:val="18"/>
          </w:rPr>
          <w:t>Annual Report 2021-22</w:t>
        </w:r>
      </w:hyperlink>
      <w:r>
        <w:rPr>
          <w:sz w:val="18"/>
          <w:szCs w:val="18"/>
        </w:rPr>
        <w:t>, p 331.</w:t>
      </w:r>
    </w:p>
  </w:footnote>
  <w:footnote w:id="66">
    <w:p w14:paraId="76D4C05E" w14:textId="7AFA80D0" w:rsidR="0083310F" w:rsidRPr="00600FD5" w:rsidRDefault="0083310F" w:rsidP="00E43B0C">
      <w:pPr>
        <w:pStyle w:val="FootnoteText"/>
        <w:rPr>
          <w:sz w:val="18"/>
          <w:szCs w:val="18"/>
        </w:rPr>
      </w:pPr>
      <w:r w:rsidRPr="00600FD5">
        <w:rPr>
          <w:rStyle w:val="FootnoteReference"/>
          <w:sz w:val="18"/>
          <w:szCs w:val="18"/>
        </w:rPr>
        <w:footnoteRef/>
      </w:r>
      <w:r w:rsidRPr="00600FD5">
        <w:rPr>
          <w:sz w:val="18"/>
          <w:szCs w:val="18"/>
        </w:rPr>
        <w:t xml:space="preserve"> </w:t>
      </w:r>
      <w:r w:rsidR="00E43B0C" w:rsidRPr="00312D0B">
        <w:rPr>
          <w:i/>
          <w:iCs/>
          <w:sz w:val="18"/>
          <w:szCs w:val="18"/>
        </w:rPr>
        <w:t>Proof Committee Hansard</w:t>
      </w:r>
      <w:r w:rsidR="00E43B0C" w:rsidRPr="00312D0B">
        <w:rPr>
          <w:sz w:val="18"/>
          <w:szCs w:val="18"/>
        </w:rPr>
        <w:t xml:space="preserve">, </w:t>
      </w:r>
      <w:r w:rsidR="00E43B0C">
        <w:rPr>
          <w:sz w:val="18"/>
          <w:szCs w:val="18"/>
        </w:rPr>
        <w:t>1 November</w:t>
      </w:r>
      <w:r w:rsidR="00E43B0C" w:rsidRPr="00312D0B">
        <w:rPr>
          <w:sz w:val="18"/>
          <w:szCs w:val="18"/>
        </w:rPr>
        <w:t xml:space="preserve"> 2022, p</w:t>
      </w:r>
      <w:r w:rsidR="00E43B0C">
        <w:rPr>
          <w:sz w:val="18"/>
          <w:szCs w:val="18"/>
        </w:rPr>
        <w:t>p 37–41.</w:t>
      </w:r>
    </w:p>
  </w:footnote>
  <w:footnote w:id="67">
    <w:p w14:paraId="732A7463" w14:textId="1D5F69EF" w:rsidR="00C36007" w:rsidRDefault="00C36007">
      <w:pPr>
        <w:pStyle w:val="FootnoteText"/>
      </w:pPr>
      <w:r w:rsidRPr="00600FD5">
        <w:rPr>
          <w:rStyle w:val="FootnoteReference"/>
          <w:sz w:val="18"/>
          <w:szCs w:val="18"/>
        </w:rPr>
        <w:footnoteRef/>
      </w:r>
      <w:r>
        <w:t xml:space="preserve"> </w:t>
      </w:r>
      <w:r w:rsidR="00E43B0C" w:rsidRPr="00374762">
        <w:rPr>
          <w:sz w:val="18"/>
          <w:szCs w:val="18"/>
        </w:rPr>
        <w:t xml:space="preserve">Ms Rebecca Vassarotti MLA, Minister for Heritage, </w:t>
      </w:r>
      <w:r w:rsidR="00E43B0C" w:rsidRPr="00374762">
        <w:rPr>
          <w:i/>
          <w:iCs/>
          <w:sz w:val="18"/>
          <w:szCs w:val="18"/>
        </w:rPr>
        <w:t>Proof Committee Hansard</w:t>
      </w:r>
      <w:r w:rsidR="00E43B0C" w:rsidRPr="00374762">
        <w:rPr>
          <w:sz w:val="18"/>
          <w:szCs w:val="18"/>
        </w:rPr>
        <w:t xml:space="preserve">, 1 November 2022, p </w:t>
      </w:r>
      <w:r w:rsidR="00E43B0C">
        <w:rPr>
          <w:sz w:val="18"/>
          <w:szCs w:val="18"/>
        </w:rPr>
        <w:t>40</w:t>
      </w:r>
      <w:r w:rsidR="00E43B0C" w:rsidRPr="00374762">
        <w:rPr>
          <w:sz w:val="18"/>
          <w:szCs w:val="18"/>
        </w:rPr>
        <w:t>.</w:t>
      </w:r>
    </w:p>
  </w:footnote>
  <w:footnote w:id="68">
    <w:p w14:paraId="01DF8561" w14:textId="27935F77" w:rsidR="00E43B0C" w:rsidRPr="00E43B0C" w:rsidRDefault="00E43B0C">
      <w:pPr>
        <w:pStyle w:val="FootnoteText"/>
        <w:rPr>
          <w:sz w:val="18"/>
          <w:szCs w:val="18"/>
        </w:rPr>
      </w:pPr>
      <w:r w:rsidRPr="00E43B0C">
        <w:rPr>
          <w:rStyle w:val="FootnoteReference"/>
          <w:sz w:val="18"/>
          <w:szCs w:val="18"/>
        </w:rPr>
        <w:footnoteRef/>
      </w:r>
      <w:r w:rsidRPr="00E43B0C">
        <w:rPr>
          <w:sz w:val="18"/>
          <w:szCs w:val="18"/>
        </w:rPr>
        <w:t xml:space="preserve"> </w:t>
      </w:r>
      <w:r w:rsidRPr="00312D0B">
        <w:rPr>
          <w:i/>
          <w:iCs/>
          <w:sz w:val="18"/>
          <w:szCs w:val="18"/>
        </w:rPr>
        <w:t>Proof Committee Hansard</w:t>
      </w:r>
      <w:r w:rsidRPr="00312D0B">
        <w:rPr>
          <w:sz w:val="18"/>
          <w:szCs w:val="18"/>
        </w:rPr>
        <w:t xml:space="preserve">, </w:t>
      </w:r>
      <w:r>
        <w:rPr>
          <w:sz w:val="18"/>
          <w:szCs w:val="18"/>
        </w:rPr>
        <w:t>1 November</w:t>
      </w:r>
      <w:r w:rsidRPr="00312D0B">
        <w:rPr>
          <w:sz w:val="18"/>
          <w:szCs w:val="18"/>
        </w:rPr>
        <w:t xml:space="preserve"> 2022, p</w:t>
      </w:r>
      <w:r>
        <w:rPr>
          <w:sz w:val="18"/>
          <w:szCs w:val="18"/>
        </w:rPr>
        <w:t xml:space="preserve"> 37.</w:t>
      </w:r>
    </w:p>
  </w:footnote>
  <w:footnote w:id="69">
    <w:p w14:paraId="37218968" w14:textId="5B51C2F0" w:rsidR="00E43B0C" w:rsidRDefault="00E43B0C">
      <w:pPr>
        <w:pStyle w:val="FootnoteText"/>
      </w:pPr>
      <w:r w:rsidRPr="00E43B0C">
        <w:rPr>
          <w:rStyle w:val="FootnoteReference"/>
          <w:sz w:val="18"/>
          <w:szCs w:val="18"/>
        </w:rPr>
        <w:footnoteRef/>
      </w:r>
      <w:r>
        <w:t xml:space="preserve"> </w:t>
      </w:r>
      <w:r w:rsidRPr="00374762">
        <w:rPr>
          <w:sz w:val="18"/>
          <w:szCs w:val="18"/>
        </w:rPr>
        <w:t xml:space="preserve">Ms Rebecca Vassarotti MLA, Minister for Heritage, </w:t>
      </w:r>
      <w:r w:rsidRPr="00374762">
        <w:rPr>
          <w:i/>
          <w:iCs/>
          <w:sz w:val="18"/>
          <w:szCs w:val="18"/>
        </w:rPr>
        <w:t>Proof Committee Hansard</w:t>
      </w:r>
      <w:r w:rsidRPr="00374762">
        <w:rPr>
          <w:sz w:val="18"/>
          <w:szCs w:val="18"/>
        </w:rPr>
        <w:t xml:space="preserve">, 1 November 2022, p </w:t>
      </w:r>
      <w:r>
        <w:rPr>
          <w:sz w:val="18"/>
          <w:szCs w:val="18"/>
        </w:rPr>
        <w:t>37</w:t>
      </w:r>
      <w:r w:rsidRPr="00374762">
        <w:rPr>
          <w:sz w:val="18"/>
          <w:szCs w:val="18"/>
        </w:rPr>
        <w:t>.</w:t>
      </w:r>
    </w:p>
  </w:footnote>
  <w:footnote w:id="70">
    <w:p w14:paraId="10F0CD13" w14:textId="19301ED6" w:rsidR="003A7291" w:rsidRPr="003A7291" w:rsidRDefault="003A7291">
      <w:pPr>
        <w:pStyle w:val="FootnoteText"/>
        <w:rPr>
          <w:sz w:val="18"/>
          <w:szCs w:val="18"/>
        </w:rPr>
      </w:pPr>
      <w:r w:rsidRPr="003A7291">
        <w:rPr>
          <w:rStyle w:val="FootnoteReference"/>
          <w:sz w:val="18"/>
          <w:szCs w:val="18"/>
        </w:rPr>
        <w:footnoteRef/>
      </w:r>
      <w:r w:rsidRPr="003A7291">
        <w:rPr>
          <w:sz w:val="18"/>
          <w:szCs w:val="18"/>
        </w:rPr>
        <w:t xml:space="preserve"> ACT Government, </w:t>
      </w:r>
      <w:r w:rsidRPr="003A7291">
        <w:rPr>
          <w:i/>
          <w:iCs/>
          <w:sz w:val="18"/>
          <w:szCs w:val="18"/>
        </w:rPr>
        <w:t>Administrative Arrangements 2022 (No 2)</w:t>
      </w:r>
      <w:r w:rsidRPr="003A7291">
        <w:rPr>
          <w:sz w:val="18"/>
          <w:szCs w:val="18"/>
        </w:rPr>
        <w:t xml:space="preserve"> </w:t>
      </w:r>
      <w:hyperlink r:id="rId15" w:history="1">
        <w:r w:rsidRPr="003A7291">
          <w:rPr>
            <w:rStyle w:val="Hyperlink"/>
            <w:sz w:val="18"/>
            <w:szCs w:val="18"/>
          </w:rPr>
          <w:t>https://legislation.act.gov.au/View/ni/2022-697/current/html/2022-697.html</w:t>
        </w:r>
      </w:hyperlink>
      <w:r w:rsidRPr="003A7291">
        <w:rPr>
          <w:sz w:val="18"/>
          <w:szCs w:val="18"/>
        </w:rPr>
        <w:t xml:space="preserve"> (accessed 23 January 2023).</w:t>
      </w:r>
    </w:p>
  </w:footnote>
  <w:footnote w:id="71">
    <w:p w14:paraId="14860D9F" w14:textId="77777777" w:rsidR="003A7291" w:rsidRPr="003A7291" w:rsidRDefault="003A7291" w:rsidP="003A7291">
      <w:pPr>
        <w:pStyle w:val="FootnoteText"/>
        <w:rPr>
          <w:sz w:val="18"/>
          <w:szCs w:val="18"/>
        </w:rPr>
      </w:pPr>
      <w:r w:rsidRPr="003A7291">
        <w:rPr>
          <w:rStyle w:val="FootnoteReference"/>
          <w:sz w:val="18"/>
          <w:szCs w:val="18"/>
        </w:rPr>
        <w:footnoteRef/>
      </w:r>
      <w:r w:rsidRPr="003A7291">
        <w:rPr>
          <w:sz w:val="18"/>
          <w:szCs w:val="18"/>
        </w:rPr>
        <w:t xml:space="preserve"> ACT Government, </w:t>
      </w:r>
      <w:r w:rsidRPr="003A7291">
        <w:rPr>
          <w:i/>
          <w:iCs/>
          <w:sz w:val="18"/>
          <w:szCs w:val="18"/>
        </w:rPr>
        <w:t>Administrative Arrangements 2022 (No 2)</w:t>
      </w:r>
      <w:r w:rsidRPr="003A7291">
        <w:rPr>
          <w:sz w:val="18"/>
          <w:szCs w:val="18"/>
        </w:rPr>
        <w:t xml:space="preserve"> </w:t>
      </w:r>
      <w:hyperlink r:id="rId16" w:history="1">
        <w:r w:rsidRPr="003A7291">
          <w:rPr>
            <w:rStyle w:val="Hyperlink"/>
            <w:sz w:val="18"/>
            <w:szCs w:val="18"/>
          </w:rPr>
          <w:t>https://legislation.act.gov.au/View/ni/2022-697/current/html/2022-697.html</w:t>
        </w:r>
      </w:hyperlink>
      <w:r w:rsidRPr="003A7291">
        <w:rPr>
          <w:sz w:val="18"/>
          <w:szCs w:val="18"/>
        </w:rPr>
        <w:t xml:space="preserve"> (accessed 23 January 2023).</w:t>
      </w:r>
    </w:p>
  </w:footnote>
  <w:footnote w:id="72">
    <w:p w14:paraId="16F7193D" w14:textId="1BB8E0F5" w:rsidR="003A7291" w:rsidRPr="005D6510" w:rsidRDefault="003A7291" w:rsidP="003A7291">
      <w:pPr>
        <w:pStyle w:val="FootnoteText"/>
        <w:rPr>
          <w:sz w:val="18"/>
          <w:szCs w:val="18"/>
        </w:rPr>
      </w:pPr>
      <w:r w:rsidRPr="005D6510">
        <w:rPr>
          <w:rStyle w:val="FootnoteReference"/>
          <w:sz w:val="18"/>
          <w:szCs w:val="18"/>
        </w:rPr>
        <w:footnoteRef/>
      </w:r>
      <w:r w:rsidRPr="005D6510">
        <w:rPr>
          <w:sz w:val="18"/>
          <w:szCs w:val="18"/>
        </w:rPr>
        <w:t xml:space="preserve"> </w:t>
      </w:r>
      <w:r w:rsidRPr="005D6510">
        <w:rPr>
          <w:i/>
          <w:iCs/>
          <w:sz w:val="18"/>
          <w:szCs w:val="18"/>
        </w:rPr>
        <w:t>Proof Committee Hansard</w:t>
      </w:r>
      <w:r w:rsidRPr="005D6510">
        <w:rPr>
          <w:sz w:val="18"/>
          <w:szCs w:val="18"/>
        </w:rPr>
        <w:t xml:space="preserve">, </w:t>
      </w:r>
      <w:r w:rsidR="005D6510">
        <w:rPr>
          <w:sz w:val="18"/>
          <w:szCs w:val="18"/>
        </w:rPr>
        <w:t>7</w:t>
      </w:r>
      <w:r w:rsidRPr="005D6510">
        <w:rPr>
          <w:sz w:val="18"/>
          <w:szCs w:val="18"/>
        </w:rPr>
        <w:t xml:space="preserve"> November 2022, p </w:t>
      </w:r>
      <w:r w:rsidR="005D6510">
        <w:rPr>
          <w:sz w:val="18"/>
          <w:szCs w:val="18"/>
        </w:rPr>
        <w:t>48</w:t>
      </w:r>
      <w:r w:rsidRPr="005D6510">
        <w:rPr>
          <w:sz w:val="18"/>
          <w:szCs w:val="18"/>
        </w:rPr>
        <w:t>.</w:t>
      </w:r>
    </w:p>
  </w:footnote>
  <w:footnote w:id="73">
    <w:p w14:paraId="208FF1BC" w14:textId="70EAAEF7" w:rsidR="003A7291" w:rsidRPr="005D6510" w:rsidRDefault="003A7291" w:rsidP="003A7291">
      <w:pPr>
        <w:pStyle w:val="FootnoteText"/>
        <w:rPr>
          <w:sz w:val="18"/>
          <w:szCs w:val="18"/>
        </w:rPr>
      </w:pPr>
      <w:r w:rsidRPr="005D6510">
        <w:rPr>
          <w:rStyle w:val="FootnoteReference"/>
          <w:sz w:val="18"/>
          <w:szCs w:val="18"/>
        </w:rPr>
        <w:footnoteRef/>
      </w:r>
      <w:r w:rsidRPr="005D6510">
        <w:rPr>
          <w:sz w:val="18"/>
          <w:szCs w:val="18"/>
        </w:rPr>
        <w:t xml:space="preserve"> </w:t>
      </w:r>
      <w:r w:rsidRPr="005D6510">
        <w:rPr>
          <w:i/>
          <w:iCs/>
          <w:sz w:val="18"/>
          <w:szCs w:val="18"/>
        </w:rPr>
        <w:t>Proof Committee Hansard</w:t>
      </w:r>
      <w:r w:rsidRPr="005D6510">
        <w:rPr>
          <w:sz w:val="18"/>
          <w:szCs w:val="18"/>
        </w:rPr>
        <w:t xml:space="preserve">, </w:t>
      </w:r>
      <w:r w:rsidR="005D6510">
        <w:rPr>
          <w:sz w:val="18"/>
          <w:szCs w:val="18"/>
        </w:rPr>
        <w:t>7</w:t>
      </w:r>
      <w:r w:rsidRPr="005D6510">
        <w:rPr>
          <w:sz w:val="18"/>
          <w:szCs w:val="18"/>
        </w:rPr>
        <w:t xml:space="preserve"> November 2022, p </w:t>
      </w:r>
      <w:r w:rsidR="005D6510">
        <w:rPr>
          <w:sz w:val="18"/>
          <w:szCs w:val="18"/>
        </w:rPr>
        <w:t>49</w:t>
      </w:r>
      <w:r w:rsidRPr="005D6510">
        <w:rPr>
          <w:sz w:val="18"/>
          <w:szCs w:val="18"/>
        </w:rPr>
        <w:t>.</w:t>
      </w:r>
    </w:p>
  </w:footnote>
  <w:footnote w:id="74">
    <w:p w14:paraId="728BE567" w14:textId="03422A27"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Pr="005D6510">
        <w:rPr>
          <w:i/>
          <w:iCs/>
          <w:sz w:val="18"/>
          <w:szCs w:val="18"/>
        </w:rPr>
        <w:t>Proof Committee Hansard</w:t>
      </w:r>
      <w:r w:rsidRPr="005D6510">
        <w:rPr>
          <w:sz w:val="18"/>
          <w:szCs w:val="18"/>
        </w:rPr>
        <w:t xml:space="preserve">, </w:t>
      </w:r>
      <w:r>
        <w:rPr>
          <w:sz w:val="18"/>
          <w:szCs w:val="18"/>
        </w:rPr>
        <w:t>7</w:t>
      </w:r>
      <w:r w:rsidRPr="005D6510">
        <w:rPr>
          <w:sz w:val="18"/>
          <w:szCs w:val="18"/>
        </w:rPr>
        <w:t xml:space="preserve"> November 2022, p </w:t>
      </w:r>
      <w:r>
        <w:rPr>
          <w:sz w:val="18"/>
          <w:szCs w:val="18"/>
        </w:rPr>
        <w:t>49</w:t>
      </w:r>
      <w:r w:rsidRPr="005D6510">
        <w:rPr>
          <w:sz w:val="18"/>
          <w:szCs w:val="18"/>
        </w:rPr>
        <w:t>.</w:t>
      </w:r>
    </w:p>
  </w:footnote>
  <w:footnote w:id="75">
    <w:p w14:paraId="2CF2DD6A" w14:textId="2A2278B8" w:rsidR="005D6510" w:rsidRDefault="005D6510">
      <w:pPr>
        <w:pStyle w:val="FootnoteText"/>
      </w:pPr>
      <w:r w:rsidRPr="005D6510">
        <w:rPr>
          <w:rStyle w:val="FootnoteReference"/>
          <w:sz w:val="18"/>
          <w:szCs w:val="18"/>
        </w:rPr>
        <w:footnoteRef/>
      </w:r>
      <w:r>
        <w:t xml:space="preserve"> </w:t>
      </w:r>
      <w:r w:rsidRPr="005D6510">
        <w:rPr>
          <w:i/>
          <w:iCs/>
          <w:sz w:val="18"/>
          <w:szCs w:val="18"/>
        </w:rPr>
        <w:t>Proof Committee Hansard</w:t>
      </w:r>
      <w:r w:rsidRPr="005D6510">
        <w:rPr>
          <w:sz w:val="18"/>
          <w:szCs w:val="18"/>
        </w:rPr>
        <w:t xml:space="preserve">, </w:t>
      </w:r>
      <w:r>
        <w:rPr>
          <w:sz w:val="18"/>
          <w:szCs w:val="18"/>
        </w:rPr>
        <w:t>7</w:t>
      </w:r>
      <w:r w:rsidRPr="005D6510">
        <w:rPr>
          <w:sz w:val="18"/>
          <w:szCs w:val="18"/>
        </w:rPr>
        <w:t xml:space="preserve"> November 2022, p </w:t>
      </w:r>
      <w:r>
        <w:rPr>
          <w:sz w:val="18"/>
          <w:szCs w:val="18"/>
        </w:rPr>
        <w:t>50</w:t>
      </w:r>
      <w:r w:rsidRPr="005D6510">
        <w:rPr>
          <w:sz w:val="18"/>
          <w:szCs w:val="18"/>
        </w:rPr>
        <w:t>.</w:t>
      </w:r>
    </w:p>
  </w:footnote>
  <w:footnote w:id="76">
    <w:p w14:paraId="5204BDAD" w14:textId="31534884"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50</w:t>
      </w:r>
      <w:r w:rsidR="00DB7C01" w:rsidRPr="005D6510">
        <w:rPr>
          <w:sz w:val="18"/>
          <w:szCs w:val="18"/>
        </w:rPr>
        <w:t>.</w:t>
      </w:r>
    </w:p>
  </w:footnote>
  <w:footnote w:id="77">
    <w:p w14:paraId="18BA428C" w14:textId="4D9642F0"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51</w:t>
      </w:r>
      <w:r w:rsidR="00DB7C01" w:rsidRPr="005D6510">
        <w:rPr>
          <w:sz w:val="18"/>
          <w:szCs w:val="18"/>
        </w:rPr>
        <w:t>.</w:t>
      </w:r>
    </w:p>
  </w:footnote>
  <w:footnote w:id="78">
    <w:p w14:paraId="537FD3E3" w14:textId="4A0935E4"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51</w:t>
      </w:r>
      <w:r w:rsidR="00DB7C01" w:rsidRPr="005D6510">
        <w:rPr>
          <w:sz w:val="18"/>
          <w:szCs w:val="18"/>
        </w:rPr>
        <w:t>.</w:t>
      </w:r>
    </w:p>
  </w:footnote>
  <w:footnote w:id="79">
    <w:p w14:paraId="737044C7" w14:textId="00AE3881"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w:t>
      </w:r>
      <w:r w:rsidR="00DB7C01">
        <w:rPr>
          <w:sz w:val="18"/>
          <w:szCs w:val="18"/>
        </w:rPr>
        <w:t>p</w:t>
      </w:r>
      <w:r w:rsidR="00DB7C01" w:rsidRPr="005D6510">
        <w:rPr>
          <w:sz w:val="18"/>
          <w:szCs w:val="18"/>
        </w:rPr>
        <w:t xml:space="preserve"> </w:t>
      </w:r>
      <w:r w:rsidR="00DB7C01">
        <w:rPr>
          <w:sz w:val="18"/>
          <w:szCs w:val="18"/>
        </w:rPr>
        <w:t>51–52</w:t>
      </w:r>
      <w:r w:rsidR="00DB7C01" w:rsidRPr="005D6510">
        <w:rPr>
          <w:sz w:val="18"/>
          <w:szCs w:val="18"/>
        </w:rPr>
        <w:t>.</w:t>
      </w:r>
    </w:p>
  </w:footnote>
  <w:footnote w:id="80">
    <w:p w14:paraId="15FFB59F" w14:textId="37324991"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53</w:t>
      </w:r>
      <w:r w:rsidR="00DB7C01" w:rsidRPr="005D6510">
        <w:rPr>
          <w:sz w:val="18"/>
          <w:szCs w:val="18"/>
        </w:rPr>
        <w:t>.</w:t>
      </w:r>
    </w:p>
  </w:footnote>
  <w:footnote w:id="81">
    <w:p w14:paraId="1B5CD588" w14:textId="6FB0E116"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56</w:t>
      </w:r>
      <w:r w:rsidR="00DB7C01" w:rsidRPr="005D6510">
        <w:rPr>
          <w:sz w:val="18"/>
          <w:szCs w:val="18"/>
        </w:rPr>
        <w:t>.</w:t>
      </w:r>
    </w:p>
  </w:footnote>
  <w:footnote w:id="82">
    <w:p w14:paraId="59615A2A" w14:textId="20EA467E"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56</w:t>
      </w:r>
      <w:r w:rsidR="00DB7C01" w:rsidRPr="005D6510">
        <w:rPr>
          <w:sz w:val="18"/>
          <w:szCs w:val="18"/>
        </w:rPr>
        <w:t>.</w:t>
      </w:r>
    </w:p>
  </w:footnote>
  <w:footnote w:id="83">
    <w:p w14:paraId="3DDDA98B" w14:textId="7E3EEC0E"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57</w:t>
      </w:r>
      <w:r w:rsidR="00DB7C01" w:rsidRPr="005D6510">
        <w:rPr>
          <w:sz w:val="18"/>
          <w:szCs w:val="18"/>
        </w:rPr>
        <w:t>.</w:t>
      </w:r>
    </w:p>
  </w:footnote>
  <w:footnote w:id="84">
    <w:p w14:paraId="05024A8E" w14:textId="08F86C21"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58</w:t>
      </w:r>
      <w:r w:rsidR="00DB7C01" w:rsidRPr="005D6510">
        <w:rPr>
          <w:sz w:val="18"/>
          <w:szCs w:val="18"/>
        </w:rPr>
        <w:t>.</w:t>
      </w:r>
    </w:p>
  </w:footnote>
  <w:footnote w:id="85">
    <w:p w14:paraId="0300F111" w14:textId="544DDF80"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60</w:t>
      </w:r>
      <w:r w:rsidR="00DB7C01" w:rsidRPr="005D6510">
        <w:rPr>
          <w:sz w:val="18"/>
          <w:szCs w:val="18"/>
        </w:rPr>
        <w:t>.</w:t>
      </w:r>
    </w:p>
  </w:footnote>
  <w:footnote w:id="86">
    <w:p w14:paraId="36F5602D" w14:textId="2B349E31"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63</w:t>
      </w:r>
      <w:r w:rsidR="00DB7C01" w:rsidRPr="005D6510">
        <w:rPr>
          <w:sz w:val="18"/>
          <w:szCs w:val="18"/>
        </w:rPr>
        <w:t>.</w:t>
      </w:r>
    </w:p>
  </w:footnote>
  <w:footnote w:id="87">
    <w:p w14:paraId="7BA22F32" w14:textId="6C801176"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w:t>
      </w:r>
      <w:r w:rsidR="00DB7C01">
        <w:rPr>
          <w:sz w:val="18"/>
          <w:szCs w:val="18"/>
        </w:rPr>
        <w:t>p 65–66</w:t>
      </w:r>
      <w:r w:rsidR="00DB7C01" w:rsidRPr="005D6510">
        <w:rPr>
          <w:sz w:val="18"/>
          <w:szCs w:val="18"/>
        </w:rPr>
        <w:t xml:space="preserve"> .</w:t>
      </w:r>
    </w:p>
  </w:footnote>
  <w:footnote w:id="88">
    <w:p w14:paraId="08F082CC" w14:textId="7E2096DA"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66</w:t>
      </w:r>
      <w:r w:rsidR="00DB7C01" w:rsidRPr="005D6510">
        <w:rPr>
          <w:sz w:val="18"/>
          <w:szCs w:val="18"/>
        </w:rPr>
        <w:t>.</w:t>
      </w:r>
    </w:p>
  </w:footnote>
  <w:footnote w:id="89">
    <w:p w14:paraId="1779B682" w14:textId="43BEE080" w:rsidR="005D6510" w:rsidRPr="00DB7C01" w:rsidRDefault="005D6510">
      <w:pPr>
        <w:pStyle w:val="FootnoteText"/>
        <w:rPr>
          <w:sz w:val="18"/>
          <w:szCs w:val="18"/>
        </w:rPr>
      </w:pPr>
      <w:r w:rsidRPr="00DB7C01">
        <w:rPr>
          <w:rStyle w:val="FootnoteReference"/>
          <w:sz w:val="18"/>
          <w:szCs w:val="18"/>
        </w:rPr>
        <w:footnoteRef/>
      </w:r>
      <w:r w:rsidRPr="00DB7C01">
        <w:rPr>
          <w:sz w:val="18"/>
          <w:szCs w:val="18"/>
        </w:rPr>
        <w:t xml:space="preserve"> </w:t>
      </w:r>
      <w:r w:rsidR="00DB7C01" w:rsidRPr="00DB7C01">
        <w:rPr>
          <w:i/>
          <w:iCs/>
          <w:sz w:val="18"/>
          <w:szCs w:val="18"/>
        </w:rPr>
        <w:t>Proof Committee Hansard</w:t>
      </w:r>
      <w:r w:rsidR="00DB7C01" w:rsidRPr="00DB7C01">
        <w:rPr>
          <w:sz w:val="18"/>
          <w:szCs w:val="18"/>
        </w:rPr>
        <w:t xml:space="preserve">, 7 November 2022, p </w:t>
      </w:r>
      <w:r w:rsidR="00DB7C01">
        <w:rPr>
          <w:sz w:val="18"/>
          <w:szCs w:val="18"/>
        </w:rPr>
        <w:t>67</w:t>
      </w:r>
      <w:r w:rsidR="00DB7C01" w:rsidRPr="00DB7C01">
        <w:rPr>
          <w:sz w:val="18"/>
          <w:szCs w:val="18"/>
        </w:rPr>
        <w:t>.</w:t>
      </w:r>
    </w:p>
  </w:footnote>
  <w:footnote w:id="90">
    <w:p w14:paraId="07A67B2C" w14:textId="5811EE54" w:rsidR="00DB7C01" w:rsidRPr="00DB7C01" w:rsidRDefault="00DB7C01">
      <w:pPr>
        <w:pStyle w:val="FootnoteText"/>
        <w:rPr>
          <w:sz w:val="18"/>
          <w:szCs w:val="18"/>
        </w:rPr>
      </w:pPr>
      <w:r w:rsidRPr="00DB7C01">
        <w:rPr>
          <w:rStyle w:val="FootnoteReference"/>
          <w:sz w:val="18"/>
          <w:szCs w:val="18"/>
        </w:rPr>
        <w:footnoteRef/>
      </w:r>
      <w:r w:rsidRPr="00DB7C01">
        <w:rPr>
          <w:sz w:val="18"/>
          <w:szCs w:val="18"/>
        </w:rPr>
        <w:t xml:space="preserve"> </w:t>
      </w:r>
      <w:r w:rsidRPr="00DB7C01">
        <w:rPr>
          <w:i/>
          <w:iCs/>
          <w:sz w:val="18"/>
          <w:szCs w:val="18"/>
        </w:rPr>
        <w:t>Proof Committee Hansard</w:t>
      </w:r>
      <w:r w:rsidRPr="00DB7C01">
        <w:rPr>
          <w:sz w:val="18"/>
          <w:szCs w:val="18"/>
        </w:rPr>
        <w:t xml:space="preserve">, 7 November 2022, p </w:t>
      </w:r>
      <w:r>
        <w:rPr>
          <w:sz w:val="18"/>
          <w:szCs w:val="18"/>
        </w:rPr>
        <w:t>68</w:t>
      </w:r>
      <w:r w:rsidRPr="00DB7C01">
        <w:rPr>
          <w:sz w:val="18"/>
          <w:szCs w:val="18"/>
        </w:rPr>
        <w:t>.</w:t>
      </w:r>
    </w:p>
  </w:footnote>
  <w:footnote w:id="91">
    <w:p w14:paraId="6455959E" w14:textId="6BFECC9C" w:rsidR="00DB7C01" w:rsidRPr="00DB7C01" w:rsidRDefault="00DB7C01">
      <w:pPr>
        <w:pStyle w:val="FootnoteText"/>
        <w:rPr>
          <w:sz w:val="18"/>
          <w:szCs w:val="18"/>
        </w:rPr>
      </w:pPr>
      <w:r w:rsidRPr="00DB7C01">
        <w:rPr>
          <w:rStyle w:val="FootnoteReference"/>
          <w:sz w:val="18"/>
          <w:szCs w:val="18"/>
        </w:rPr>
        <w:footnoteRef/>
      </w:r>
      <w:r w:rsidRPr="00DB7C01">
        <w:rPr>
          <w:sz w:val="18"/>
          <w:szCs w:val="18"/>
        </w:rPr>
        <w:t xml:space="preserve"> </w:t>
      </w:r>
      <w:r w:rsidRPr="00DB7C01">
        <w:rPr>
          <w:i/>
          <w:iCs/>
          <w:sz w:val="18"/>
          <w:szCs w:val="18"/>
        </w:rPr>
        <w:t>Proof Committee Hansard</w:t>
      </w:r>
      <w:r w:rsidRPr="00DB7C01">
        <w:rPr>
          <w:sz w:val="18"/>
          <w:szCs w:val="18"/>
        </w:rPr>
        <w:t xml:space="preserve">, 7 November 2022, p </w:t>
      </w:r>
      <w:r>
        <w:rPr>
          <w:sz w:val="18"/>
          <w:szCs w:val="18"/>
        </w:rPr>
        <w:t>69</w:t>
      </w:r>
      <w:r w:rsidRPr="00DB7C01">
        <w:rPr>
          <w:sz w:val="18"/>
          <w:szCs w:val="18"/>
        </w:rPr>
        <w:t>.</w:t>
      </w:r>
    </w:p>
  </w:footnote>
  <w:footnote w:id="92">
    <w:p w14:paraId="0909F9FF" w14:textId="39E31864" w:rsidR="005D6510" w:rsidRPr="005D6510" w:rsidRDefault="005D6510">
      <w:pPr>
        <w:pStyle w:val="FootnoteText"/>
        <w:rPr>
          <w:sz w:val="18"/>
          <w:szCs w:val="18"/>
        </w:rPr>
      </w:pPr>
      <w:r w:rsidRPr="00DB7C01">
        <w:rPr>
          <w:rStyle w:val="FootnoteReference"/>
          <w:sz w:val="18"/>
          <w:szCs w:val="18"/>
        </w:rPr>
        <w:footnoteRef/>
      </w:r>
      <w:r w:rsidRPr="00DB7C01">
        <w:rPr>
          <w:sz w:val="18"/>
          <w:szCs w:val="18"/>
        </w:rPr>
        <w:t xml:space="preserve"> </w:t>
      </w:r>
      <w:r w:rsidR="00DB7C01" w:rsidRPr="00DB7C01">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71</w:t>
      </w:r>
      <w:r w:rsidR="00DB7C01" w:rsidRPr="005D6510">
        <w:rPr>
          <w:sz w:val="18"/>
          <w:szCs w:val="18"/>
        </w:rPr>
        <w:t>.</w:t>
      </w:r>
    </w:p>
  </w:footnote>
  <w:footnote w:id="93">
    <w:p w14:paraId="67AEB3FE" w14:textId="07CBB160"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73</w:t>
      </w:r>
      <w:r w:rsidR="00DB7C01" w:rsidRPr="005D6510">
        <w:rPr>
          <w:sz w:val="18"/>
          <w:szCs w:val="18"/>
        </w:rPr>
        <w:t>.</w:t>
      </w:r>
    </w:p>
  </w:footnote>
  <w:footnote w:id="94">
    <w:p w14:paraId="6FF5D282" w14:textId="7EC7D779"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74</w:t>
      </w:r>
      <w:r w:rsidR="00DB7C01" w:rsidRPr="005D6510">
        <w:rPr>
          <w:sz w:val="18"/>
          <w:szCs w:val="18"/>
        </w:rPr>
        <w:t>.</w:t>
      </w:r>
    </w:p>
  </w:footnote>
  <w:footnote w:id="95">
    <w:p w14:paraId="7DA7E463" w14:textId="41E24C27" w:rsidR="005D6510" w:rsidRPr="005D6510" w:rsidRDefault="005D6510">
      <w:pPr>
        <w:pStyle w:val="FootnoteText"/>
        <w:rPr>
          <w:sz w:val="18"/>
          <w:szCs w:val="18"/>
        </w:rPr>
      </w:pPr>
      <w:r w:rsidRPr="005D6510">
        <w:rPr>
          <w:rStyle w:val="FootnoteReference"/>
          <w:sz w:val="18"/>
          <w:szCs w:val="18"/>
        </w:rPr>
        <w:footnoteRef/>
      </w:r>
      <w:r w:rsidRPr="005D6510">
        <w:rPr>
          <w:sz w:val="18"/>
          <w:szCs w:val="18"/>
        </w:rP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75</w:t>
      </w:r>
      <w:r w:rsidR="00DB7C01" w:rsidRPr="005D6510">
        <w:rPr>
          <w:sz w:val="18"/>
          <w:szCs w:val="18"/>
        </w:rPr>
        <w:t>.</w:t>
      </w:r>
    </w:p>
  </w:footnote>
  <w:footnote w:id="96">
    <w:p w14:paraId="3F8BC00E" w14:textId="12D55509" w:rsidR="005D6510" w:rsidRDefault="005D6510">
      <w:pPr>
        <w:pStyle w:val="FootnoteText"/>
      </w:pPr>
      <w:r w:rsidRPr="005D6510">
        <w:rPr>
          <w:rStyle w:val="FootnoteReference"/>
          <w:sz w:val="18"/>
          <w:szCs w:val="18"/>
        </w:rPr>
        <w:footnoteRef/>
      </w:r>
      <w:r>
        <w:t xml:space="preserve"> </w:t>
      </w:r>
      <w:r w:rsidR="00DB7C01" w:rsidRPr="005D6510">
        <w:rPr>
          <w:i/>
          <w:iCs/>
          <w:sz w:val="18"/>
          <w:szCs w:val="18"/>
        </w:rPr>
        <w:t>Proof Committee Hansard</w:t>
      </w:r>
      <w:r w:rsidR="00DB7C01" w:rsidRPr="005D6510">
        <w:rPr>
          <w:sz w:val="18"/>
          <w:szCs w:val="18"/>
        </w:rPr>
        <w:t xml:space="preserve">, </w:t>
      </w:r>
      <w:r w:rsidR="00DB7C01">
        <w:rPr>
          <w:sz w:val="18"/>
          <w:szCs w:val="18"/>
        </w:rPr>
        <w:t>7</w:t>
      </w:r>
      <w:r w:rsidR="00DB7C01" w:rsidRPr="005D6510">
        <w:rPr>
          <w:sz w:val="18"/>
          <w:szCs w:val="18"/>
        </w:rPr>
        <w:t xml:space="preserve"> November 2022, p </w:t>
      </w:r>
      <w:r w:rsidR="00DB7C01">
        <w:rPr>
          <w:sz w:val="18"/>
          <w:szCs w:val="18"/>
        </w:rPr>
        <w:t>76</w:t>
      </w:r>
      <w:r w:rsidR="00DB7C01" w:rsidRPr="005D6510">
        <w:rPr>
          <w:sz w:val="18"/>
          <w:szCs w:val="18"/>
        </w:rPr>
        <w:t>.</w:t>
      </w:r>
    </w:p>
  </w:footnote>
  <w:footnote w:id="97">
    <w:p w14:paraId="133158FB" w14:textId="77777777" w:rsidR="006060F4" w:rsidRPr="00E31058" w:rsidRDefault="006060F4" w:rsidP="006060F4">
      <w:pPr>
        <w:pStyle w:val="FootnoteText"/>
        <w:rPr>
          <w:sz w:val="18"/>
          <w:szCs w:val="18"/>
        </w:rPr>
      </w:pPr>
      <w:r w:rsidRPr="00E31058">
        <w:rPr>
          <w:rStyle w:val="FootnoteReference"/>
          <w:sz w:val="18"/>
          <w:szCs w:val="18"/>
        </w:rPr>
        <w:footnoteRef/>
      </w:r>
      <w:r w:rsidRPr="00E31058">
        <w:rPr>
          <w:sz w:val="18"/>
          <w:szCs w:val="18"/>
        </w:rPr>
        <w:t xml:space="preserve"> Office of the Commissioner for Sustainability and the Environment</w:t>
      </w:r>
      <w:r>
        <w:rPr>
          <w:sz w:val="18"/>
          <w:szCs w:val="18"/>
        </w:rPr>
        <w:t>,</w:t>
      </w:r>
      <w:r w:rsidRPr="00E31058">
        <w:rPr>
          <w:sz w:val="18"/>
          <w:szCs w:val="18"/>
        </w:rPr>
        <w:t xml:space="preserve"> </w:t>
      </w:r>
      <w:hyperlink r:id="rId17" w:history="1">
        <w:r w:rsidRPr="00E31058">
          <w:rPr>
            <w:rStyle w:val="Hyperlink"/>
            <w:sz w:val="18"/>
            <w:szCs w:val="18"/>
          </w:rPr>
          <w:t>Annual Report 2021-22</w:t>
        </w:r>
      </w:hyperlink>
      <w:r>
        <w:rPr>
          <w:sz w:val="18"/>
          <w:szCs w:val="18"/>
        </w:rPr>
        <w:t>, p 8.</w:t>
      </w:r>
    </w:p>
  </w:footnote>
  <w:footnote w:id="98">
    <w:p w14:paraId="672F5279" w14:textId="77777777" w:rsidR="006060F4" w:rsidRDefault="006060F4" w:rsidP="006060F4">
      <w:pPr>
        <w:pStyle w:val="FootnoteText"/>
      </w:pPr>
      <w:r w:rsidRPr="00E31058">
        <w:rPr>
          <w:rStyle w:val="FootnoteReference"/>
          <w:sz w:val="18"/>
          <w:szCs w:val="18"/>
        </w:rPr>
        <w:footnoteRef/>
      </w:r>
      <w:r>
        <w:t xml:space="preserve"> </w:t>
      </w:r>
      <w:r w:rsidRPr="00E31058">
        <w:rPr>
          <w:sz w:val="18"/>
          <w:szCs w:val="18"/>
        </w:rPr>
        <w:t>Office of the Commissioner for Sustainability and the Environment</w:t>
      </w:r>
      <w:r>
        <w:rPr>
          <w:sz w:val="18"/>
          <w:szCs w:val="18"/>
        </w:rPr>
        <w:t>,</w:t>
      </w:r>
      <w:r w:rsidRPr="00E31058">
        <w:rPr>
          <w:sz w:val="18"/>
          <w:szCs w:val="18"/>
        </w:rPr>
        <w:t xml:space="preserve"> </w:t>
      </w:r>
      <w:hyperlink r:id="rId18" w:history="1">
        <w:r w:rsidRPr="00E31058">
          <w:rPr>
            <w:rStyle w:val="Hyperlink"/>
            <w:sz w:val="18"/>
            <w:szCs w:val="18"/>
          </w:rPr>
          <w:t>Annual Report 2021-22</w:t>
        </w:r>
      </w:hyperlink>
      <w:r>
        <w:rPr>
          <w:sz w:val="18"/>
          <w:szCs w:val="18"/>
        </w:rPr>
        <w:t>, p 8.</w:t>
      </w:r>
    </w:p>
  </w:footnote>
  <w:footnote w:id="99">
    <w:p w14:paraId="33B88E3E" w14:textId="77777777" w:rsidR="006060F4" w:rsidRPr="00E3506E" w:rsidRDefault="006060F4" w:rsidP="006060F4">
      <w:pPr>
        <w:pStyle w:val="FootnoteText"/>
        <w:rPr>
          <w:sz w:val="18"/>
          <w:szCs w:val="18"/>
        </w:rPr>
      </w:pPr>
      <w:r w:rsidRPr="00E3506E">
        <w:rPr>
          <w:rStyle w:val="FootnoteReference"/>
          <w:sz w:val="18"/>
          <w:szCs w:val="18"/>
        </w:rPr>
        <w:footnoteRef/>
      </w:r>
      <w:r w:rsidRPr="00E3506E">
        <w:rPr>
          <w:sz w:val="18"/>
          <w:szCs w:val="18"/>
        </w:rPr>
        <w:t xml:space="preserve"> </w:t>
      </w:r>
      <w:r w:rsidRPr="00E3506E">
        <w:rPr>
          <w:i/>
          <w:iCs/>
          <w:sz w:val="18"/>
          <w:szCs w:val="18"/>
        </w:rPr>
        <w:t>Proof Committee Hansard</w:t>
      </w:r>
      <w:r w:rsidRPr="00E3506E">
        <w:rPr>
          <w:sz w:val="18"/>
          <w:szCs w:val="18"/>
        </w:rPr>
        <w:t>, 1 November 2022, p 10.</w:t>
      </w:r>
    </w:p>
  </w:footnote>
  <w:footnote w:id="100">
    <w:p w14:paraId="4A35B977" w14:textId="77777777" w:rsidR="006060F4" w:rsidRDefault="006060F4" w:rsidP="006060F4">
      <w:pPr>
        <w:pStyle w:val="FootnoteText"/>
      </w:pPr>
      <w:r w:rsidRPr="00E3506E">
        <w:rPr>
          <w:rStyle w:val="FootnoteReference"/>
          <w:sz w:val="18"/>
          <w:szCs w:val="18"/>
        </w:rPr>
        <w:footnoteRef/>
      </w:r>
      <w:r>
        <w:t xml:space="preserve"> </w:t>
      </w:r>
      <w:r w:rsidRPr="00E3506E">
        <w:rPr>
          <w:i/>
          <w:iCs/>
          <w:sz w:val="18"/>
          <w:szCs w:val="18"/>
        </w:rPr>
        <w:t>Proof Committee Hansard</w:t>
      </w:r>
      <w:r w:rsidRPr="00E3506E">
        <w:rPr>
          <w:sz w:val="18"/>
          <w:szCs w:val="18"/>
        </w:rPr>
        <w:t>, 1 November 2022, p 1</w:t>
      </w:r>
      <w:r>
        <w:rPr>
          <w:sz w:val="18"/>
          <w:szCs w:val="18"/>
        </w:rPr>
        <w:t>1.</w:t>
      </w:r>
    </w:p>
  </w:footnote>
  <w:footnote w:id="101">
    <w:p w14:paraId="0A18D503" w14:textId="77777777" w:rsidR="006060F4" w:rsidRPr="00E3506E" w:rsidRDefault="006060F4" w:rsidP="006060F4">
      <w:pPr>
        <w:pStyle w:val="FootnoteText"/>
        <w:rPr>
          <w:sz w:val="18"/>
          <w:szCs w:val="18"/>
        </w:rPr>
      </w:pPr>
      <w:r w:rsidRPr="00E3506E">
        <w:rPr>
          <w:rStyle w:val="FootnoteReference"/>
          <w:sz w:val="18"/>
          <w:szCs w:val="18"/>
        </w:rPr>
        <w:footnoteRef/>
      </w:r>
      <w:r w:rsidRPr="00E3506E">
        <w:rPr>
          <w:sz w:val="18"/>
          <w:szCs w:val="18"/>
        </w:rPr>
        <w:t xml:space="preserve"> </w:t>
      </w:r>
      <w:r w:rsidRPr="00E3506E">
        <w:rPr>
          <w:i/>
          <w:iCs/>
          <w:sz w:val="18"/>
          <w:szCs w:val="18"/>
        </w:rPr>
        <w:t>Proof Committee Hansard</w:t>
      </w:r>
      <w:r w:rsidRPr="00E3506E">
        <w:rPr>
          <w:sz w:val="18"/>
          <w:szCs w:val="18"/>
        </w:rPr>
        <w:t>, 1 November 2022, p 1</w:t>
      </w:r>
      <w:r>
        <w:rPr>
          <w:sz w:val="18"/>
          <w:szCs w:val="18"/>
        </w:rPr>
        <w:t>2.</w:t>
      </w:r>
    </w:p>
  </w:footnote>
  <w:footnote w:id="102">
    <w:p w14:paraId="75B09234" w14:textId="3B43CD7D" w:rsidR="006060F4" w:rsidRPr="00E3506E" w:rsidRDefault="006060F4" w:rsidP="006060F4">
      <w:pPr>
        <w:pStyle w:val="FootnoteText"/>
        <w:rPr>
          <w:sz w:val="18"/>
          <w:szCs w:val="18"/>
        </w:rPr>
      </w:pPr>
      <w:r w:rsidRPr="00E3506E">
        <w:rPr>
          <w:rStyle w:val="FootnoteReference"/>
          <w:sz w:val="18"/>
          <w:szCs w:val="18"/>
        </w:rPr>
        <w:footnoteRef/>
      </w:r>
      <w:r w:rsidRPr="00E3506E">
        <w:rPr>
          <w:sz w:val="18"/>
          <w:szCs w:val="18"/>
        </w:rPr>
        <w:t xml:space="preserve"> </w:t>
      </w:r>
      <w:r w:rsidRPr="00E3506E">
        <w:rPr>
          <w:i/>
          <w:iCs/>
          <w:sz w:val="18"/>
          <w:szCs w:val="18"/>
        </w:rPr>
        <w:t>Proof Committee Hansard</w:t>
      </w:r>
      <w:r w:rsidRPr="00E3506E">
        <w:rPr>
          <w:sz w:val="18"/>
          <w:szCs w:val="18"/>
        </w:rPr>
        <w:t xml:space="preserve">, 1 November 2022, p </w:t>
      </w:r>
      <w:r w:rsidR="00DF0F6B">
        <w:rPr>
          <w:sz w:val="18"/>
          <w:szCs w:val="18"/>
        </w:rPr>
        <w:t>12</w:t>
      </w:r>
      <w:r>
        <w:rPr>
          <w:sz w:val="18"/>
          <w:szCs w:val="18"/>
        </w:rPr>
        <w:t>.</w:t>
      </w:r>
    </w:p>
  </w:footnote>
  <w:footnote w:id="103">
    <w:p w14:paraId="11E5C4FD" w14:textId="77777777" w:rsidR="006060F4" w:rsidRPr="001645A8" w:rsidRDefault="006060F4" w:rsidP="006060F4">
      <w:pPr>
        <w:pStyle w:val="FootnoteText"/>
        <w:rPr>
          <w:sz w:val="18"/>
          <w:szCs w:val="18"/>
        </w:rPr>
      </w:pPr>
      <w:r w:rsidRPr="001645A8">
        <w:rPr>
          <w:rStyle w:val="FootnoteReference"/>
          <w:sz w:val="18"/>
          <w:szCs w:val="18"/>
        </w:rPr>
        <w:footnoteRef/>
      </w:r>
      <w:r w:rsidRPr="001645A8">
        <w:rPr>
          <w:sz w:val="18"/>
          <w:szCs w:val="18"/>
        </w:rPr>
        <w:t xml:space="preserve"> </w:t>
      </w:r>
      <w:r w:rsidRPr="00E3506E">
        <w:rPr>
          <w:i/>
          <w:iCs/>
          <w:sz w:val="18"/>
          <w:szCs w:val="18"/>
        </w:rPr>
        <w:t>Proof Committee Hansard</w:t>
      </w:r>
      <w:r w:rsidRPr="00E3506E">
        <w:rPr>
          <w:sz w:val="18"/>
          <w:szCs w:val="18"/>
        </w:rPr>
        <w:t>, 1 November 2022, p 1</w:t>
      </w:r>
      <w:r>
        <w:rPr>
          <w:sz w:val="18"/>
          <w:szCs w:val="18"/>
        </w:rPr>
        <w:t>2.</w:t>
      </w:r>
    </w:p>
  </w:footnote>
  <w:footnote w:id="104">
    <w:p w14:paraId="36C2C732" w14:textId="37AEDB81" w:rsidR="006060F4" w:rsidRPr="001645A8" w:rsidRDefault="006060F4" w:rsidP="006060F4">
      <w:pPr>
        <w:pStyle w:val="FootnoteText"/>
        <w:rPr>
          <w:sz w:val="18"/>
          <w:szCs w:val="18"/>
        </w:rPr>
      </w:pPr>
      <w:r w:rsidRPr="001645A8">
        <w:rPr>
          <w:rStyle w:val="FootnoteReference"/>
          <w:sz w:val="18"/>
          <w:szCs w:val="18"/>
        </w:rPr>
        <w:footnoteRef/>
      </w:r>
      <w:r w:rsidRPr="001645A8">
        <w:rPr>
          <w:sz w:val="18"/>
          <w:szCs w:val="18"/>
        </w:rPr>
        <w:t xml:space="preserve"> </w:t>
      </w:r>
      <w:r w:rsidRPr="00E3506E">
        <w:rPr>
          <w:i/>
          <w:iCs/>
          <w:sz w:val="18"/>
          <w:szCs w:val="18"/>
        </w:rPr>
        <w:t>Proof Committee Hansard</w:t>
      </w:r>
      <w:r w:rsidRPr="00E3506E">
        <w:rPr>
          <w:sz w:val="18"/>
          <w:szCs w:val="18"/>
        </w:rPr>
        <w:t xml:space="preserve">, 1 November 2022, p </w:t>
      </w:r>
      <w:r w:rsidR="00DF0F6B">
        <w:rPr>
          <w:sz w:val="18"/>
          <w:szCs w:val="18"/>
        </w:rPr>
        <w:t>15</w:t>
      </w:r>
      <w:r>
        <w:rPr>
          <w:sz w:val="18"/>
          <w:szCs w:val="18"/>
        </w:rPr>
        <w:t>.</w:t>
      </w:r>
    </w:p>
  </w:footnote>
  <w:footnote w:id="105">
    <w:p w14:paraId="6960A639" w14:textId="251B59BD" w:rsidR="006060F4" w:rsidRPr="001645A8" w:rsidRDefault="006060F4" w:rsidP="006060F4">
      <w:pPr>
        <w:pStyle w:val="FootnoteText"/>
        <w:rPr>
          <w:sz w:val="18"/>
          <w:szCs w:val="18"/>
        </w:rPr>
      </w:pPr>
      <w:r w:rsidRPr="001645A8">
        <w:rPr>
          <w:rStyle w:val="FootnoteReference"/>
          <w:sz w:val="18"/>
          <w:szCs w:val="18"/>
        </w:rPr>
        <w:footnoteRef/>
      </w:r>
      <w:r w:rsidRPr="001645A8">
        <w:rPr>
          <w:sz w:val="18"/>
          <w:szCs w:val="18"/>
        </w:rPr>
        <w:t xml:space="preserve"> </w:t>
      </w:r>
      <w:r w:rsidRPr="00E3506E">
        <w:rPr>
          <w:i/>
          <w:iCs/>
          <w:sz w:val="18"/>
          <w:szCs w:val="18"/>
        </w:rPr>
        <w:t>Proof Committee Hansard</w:t>
      </w:r>
      <w:r w:rsidRPr="00E3506E">
        <w:rPr>
          <w:sz w:val="18"/>
          <w:szCs w:val="18"/>
        </w:rPr>
        <w:t xml:space="preserve">, 1 November 2022, p </w:t>
      </w:r>
      <w:r w:rsidR="00DF0F6B">
        <w:rPr>
          <w:sz w:val="18"/>
          <w:szCs w:val="18"/>
        </w:rPr>
        <w:t>15</w:t>
      </w:r>
      <w:r>
        <w:rPr>
          <w:sz w:val="18"/>
          <w:szCs w:val="18"/>
        </w:rPr>
        <w:t>.</w:t>
      </w:r>
    </w:p>
  </w:footnote>
  <w:footnote w:id="106">
    <w:p w14:paraId="3BD5C97A" w14:textId="2B7C7F5F" w:rsidR="006060F4" w:rsidRPr="001645A8" w:rsidRDefault="006060F4" w:rsidP="006060F4">
      <w:pPr>
        <w:pStyle w:val="FootnoteText"/>
        <w:rPr>
          <w:sz w:val="18"/>
          <w:szCs w:val="18"/>
        </w:rPr>
      </w:pPr>
      <w:r w:rsidRPr="001645A8">
        <w:rPr>
          <w:rStyle w:val="FootnoteReference"/>
          <w:sz w:val="18"/>
          <w:szCs w:val="18"/>
        </w:rPr>
        <w:footnoteRef/>
      </w:r>
      <w:r w:rsidRPr="001645A8">
        <w:rPr>
          <w:sz w:val="18"/>
          <w:szCs w:val="18"/>
        </w:rPr>
        <w:t xml:space="preserve"> </w:t>
      </w:r>
      <w:r w:rsidRPr="00E3506E">
        <w:rPr>
          <w:i/>
          <w:iCs/>
          <w:sz w:val="18"/>
          <w:szCs w:val="18"/>
        </w:rPr>
        <w:t>Proof Committee Hansard</w:t>
      </w:r>
      <w:r w:rsidRPr="00E3506E">
        <w:rPr>
          <w:sz w:val="18"/>
          <w:szCs w:val="18"/>
        </w:rPr>
        <w:t xml:space="preserve">, 1 November 2022, p </w:t>
      </w:r>
      <w:r w:rsidR="00DF0F6B">
        <w:rPr>
          <w:sz w:val="18"/>
          <w:szCs w:val="18"/>
        </w:rPr>
        <w:t>16</w:t>
      </w:r>
      <w:r>
        <w:rPr>
          <w:sz w:val="18"/>
          <w:szCs w:val="18"/>
        </w:rPr>
        <w:t>.</w:t>
      </w:r>
    </w:p>
  </w:footnote>
  <w:footnote w:id="107">
    <w:p w14:paraId="139F0EF6" w14:textId="78C6246E" w:rsidR="006060F4" w:rsidRDefault="006060F4" w:rsidP="006060F4">
      <w:pPr>
        <w:pStyle w:val="FootnoteText"/>
      </w:pPr>
      <w:r w:rsidRPr="001645A8">
        <w:rPr>
          <w:rStyle w:val="FootnoteReference"/>
          <w:sz w:val="18"/>
          <w:szCs w:val="18"/>
        </w:rPr>
        <w:footnoteRef/>
      </w:r>
      <w:r>
        <w:t xml:space="preserve"> </w:t>
      </w:r>
      <w:r w:rsidRPr="00E3506E">
        <w:rPr>
          <w:i/>
          <w:iCs/>
          <w:sz w:val="18"/>
          <w:szCs w:val="18"/>
        </w:rPr>
        <w:t>Proof Committee Hansard</w:t>
      </w:r>
      <w:r w:rsidRPr="00E3506E">
        <w:rPr>
          <w:sz w:val="18"/>
          <w:szCs w:val="18"/>
        </w:rPr>
        <w:t xml:space="preserve">, 1 November 2022, p </w:t>
      </w:r>
      <w:r w:rsidR="00DF0F6B">
        <w:rPr>
          <w:sz w:val="18"/>
          <w:szCs w:val="18"/>
        </w:rPr>
        <w:t>16</w:t>
      </w:r>
      <w:r>
        <w:rPr>
          <w:sz w:val="18"/>
          <w:szCs w:val="18"/>
        </w:rPr>
        <w:t>.</w:t>
      </w:r>
    </w:p>
  </w:footnote>
  <w:footnote w:id="108">
    <w:p w14:paraId="64952BD3" w14:textId="366E8041" w:rsidR="003D2D46" w:rsidRPr="003D2D46" w:rsidRDefault="003D2D46">
      <w:pPr>
        <w:pStyle w:val="FootnoteText"/>
        <w:rPr>
          <w:sz w:val="18"/>
          <w:szCs w:val="18"/>
        </w:rPr>
      </w:pPr>
      <w:r w:rsidRPr="003D2D46">
        <w:rPr>
          <w:rStyle w:val="FootnoteReference"/>
          <w:sz w:val="18"/>
          <w:szCs w:val="18"/>
        </w:rPr>
        <w:footnoteRef/>
      </w:r>
      <w:r w:rsidRPr="003D2D46">
        <w:rPr>
          <w:sz w:val="18"/>
          <w:szCs w:val="18"/>
        </w:rPr>
        <w:t xml:space="preserve"> </w:t>
      </w:r>
      <w:r w:rsidR="00911266" w:rsidRPr="00E31058">
        <w:rPr>
          <w:sz w:val="18"/>
          <w:szCs w:val="18"/>
        </w:rPr>
        <w:t>Office of the Commissioner for Sustainability and the Environment</w:t>
      </w:r>
      <w:r w:rsidR="00911266">
        <w:rPr>
          <w:sz w:val="18"/>
          <w:szCs w:val="18"/>
        </w:rPr>
        <w:t>,</w:t>
      </w:r>
      <w:r w:rsidR="00911266" w:rsidRPr="00E31058">
        <w:rPr>
          <w:sz w:val="18"/>
          <w:szCs w:val="18"/>
        </w:rPr>
        <w:t xml:space="preserve"> </w:t>
      </w:r>
      <w:hyperlink r:id="rId19" w:history="1">
        <w:r w:rsidR="00911266" w:rsidRPr="00E31058">
          <w:rPr>
            <w:rStyle w:val="Hyperlink"/>
            <w:sz w:val="18"/>
            <w:szCs w:val="18"/>
          </w:rPr>
          <w:t>Annual Report 2021-22</w:t>
        </w:r>
      </w:hyperlink>
      <w:r w:rsidR="00911266">
        <w:rPr>
          <w:sz w:val="18"/>
          <w:szCs w:val="18"/>
        </w:rPr>
        <w:t xml:space="preserve">, p </w:t>
      </w:r>
      <w:r w:rsidR="00FD05E9">
        <w:rPr>
          <w:sz w:val="18"/>
          <w:szCs w:val="18"/>
        </w:rPr>
        <w:t>13</w:t>
      </w:r>
      <w:r w:rsidR="00911266">
        <w:rPr>
          <w:sz w:val="18"/>
          <w:szCs w:val="18"/>
        </w:rPr>
        <w:t>.</w:t>
      </w:r>
    </w:p>
  </w:footnote>
  <w:footnote w:id="109">
    <w:p w14:paraId="282489B9" w14:textId="5CDFCFB8" w:rsidR="008649DE" w:rsidRPr="008649DE" w:rsidRDefault="008649DE">
      <w:pPr>
        <w:pStyle w:val="FootnoteText"/>
        <w:rPr>
          <w:sz w:val="18"/>
          <w:szCs w:val="18"/>
        </w:rPr>
      </w:pPr>
      <w:r w:rsidRPr="008649DE">
        <w:rPr>
          <w:rStyle w:val="FootnoteReference"/>
          <w:sz w:val="18"/>
          <w:szCs w:val="18"/>
        </w:rPr>
        <w:footnoteRef/>
      </w:r>
      <w:r w:rsidRPr="008649DE">
        <w:rPr>
          <w:sz w:val="18"/>
          <w:szCs w:val="18"/>
        </w:rPr>
        <w:t xml:space="preserve"> </w:t>
      </w:r>
      <w:r w:rsidR="00FD05E9">
        <w:rPr>
          <w:sz w:val="18"/>
          <w:szCs w:val="18"/>
        </w:rPr>
        <w:t xml:space="preserve">Dr Sophie Lewis, </w:t>
      </w:r>
      <w:r w:rsidR="00FD05E9" w:rsidRPr="00FD05E9">
        <w:rPr>
          <w:sz w:val="18"/>
          <w:szCs w:val="18"/>
        </w:rPr>
        <w:t>ACT Commissioner for Sustainability and the Environment</w:t>
      </w:r>
      <w:r w:rsidR="00FD05E9">
        <w:rPr>
          <w:sz w:val="18"/>
          <w:szCs w:val="18"/>
        </w:rPr>
        <w:t>, OCSE,</w:t>
      </w:r>
      <w:r w:rsidR="00FD05E9" w:rsidRPr="00FD05E9">
        <w:rPr>
          <w:sz w:val="18"/>
          <w:szCs w:val="18"/>
        </w:rPr>
        <w:t xml:space="preserve"> </w:t>
      </w:r>
      <w:r w:rsidR="00FD05E9" w:rsidRPr="00E3506E">
        <w:rPr>
          <w:i/>
          <w:iCs/>
          <w:sz w:val="18"/>
          <w:szCs w:val="18"/>
        </w:rPr>
        <w:t>Proof Committee Hansard</w:t>
      </w:r>
      <w:r w:rsidR="00FD05E9" w:rsidRPr="00E3506E">
        <w:rPr>
          <w:sz w:val="18"/>
          <w:szCs w:val="18"/>
        </w:rPr>
        <w:t>, 1</w:t>
      </w:r>
      <w:r w:rsidR="00FD05E9">
        <w:rPr>
          <w:sz w:val="18"/>
          <w:szCs w:val="18"/>
        </w:rPr>
        <w:t> </w:t>
      </w:r>
      <w:r w:rsidR="00FD05E9" w:rsidRPr="00E3506E">
        <w:rPr>
          <w:sz w:val="18"/>
          <w:szCs w:val="18"/>
        </w:rPr>
        <w:t>November 2022, p</w:t>
      </w:r>
      <w:r w:rsidR="00FD05E9">
        <w:rPr>
          <w:sz w:val="18"/>
          <w:szCs w:val="18"/>
        </w:rPr>
        <w:t>p</w:t>
      </w:r>
      <w:r w:rsidR="00FD05E9" w:rsidRPr="00E3506E">
        <w:rPr>
          <w:sz w:val="18"/>
          <w:szCs w:val="18"/>
        </w:rPr>
        <w:t xml:space="preserve"> </w:t>
      </w:r>
      <w:r w:rsidR="00FD05E9">
        <w:rPr>
          <w:sz w:val="18"/>
          <w:szCs w:val="18"/>
        </w:rPr>
        <w:t>15–16.</w:t>
      </w:r>
    </w:p>
  </w:footnote>
  <w:footnote w:id="110">
    <w:p w14:paraId="68390F3B" w14:textId="5B1E5091" w:rsidR="00851CCA" w:rsidRPr="003D2D46" w:rsidRDefault="00851CCA">
      <w:pPr>
        <w:pStyle w:val="FootnoteText"/>
        <w:rPr>
          <w:sz w:val="18"/>
          <w:szCs w:val="18"/>
        </w:rPr>
      </w:pPr>
      <w:r w:rsidRPr="003D2D46">
        <w:rPr>
          <w:rStyle w:val="FootnoteReference"/>
          <w:sz w:val="18"/>
          <w:szCs w:val="18"/>
        </w:rPr>
        <w:footnoteRef/>
      </w:r>
      <w:r w:rsidRPr="003D2D46">
        <w:rPr>
          <w:sz w:val="18"/>
          <w:szCs w:val="18"/>
        </w:rPr>
        <w:t xml:space="preserve"> </w:t>
      </w:r>
      <w:r w:rsidR="00FD05E9" w:rsidRPr="00FD05E9">
        <w:rPr>
          <w:sz w:val="18"/>
          <w:szCs w:val="18"/>
        </w:rPr>
        <w:t>Mr Sean Grimes, Director</w:t>
      </w:r>
      <w:r w:rsidR="00FD05E9">
        <w:rPr>
          <w:sz w:val="18"/>
          <w:szCs w:val="18"/>
        </w:rPr>
        <w:t xml:space="preserve">, </w:t>
      </w:r>
      <w:r w:rsidR="00FD05E9" w:rsidRPr="00FD05E9">
        <w:rPr>
          <w:sz w:val="18"/>
          <w:szCs w:val="18"/>
        </w:rPr>
        <w:t>Sustainability, Environmental Assessments and Reporting</w:t>
      </w:r>
      <w:r w:rsidR="00FD05E9">
        <w:rPr>
          <w:sz w:val="18"/>
          <w:szCs w:val="18"/>
        </w:rPr>
        <w:t>, OCSE,</w:t>
      </w:r>
      <w:r w:rsidR="00FD05E9" w:rsidRPr="00FD05E9">
        <w:rPr>
          <w:sz w:val="18"/>
          <w:szCs w:val="18"/>
        </w:rPr>
        <w:t xml:space="preserve"> </w:t>
      </w:r>
      <w:r w:rsidR="00FD05E9" w:rsidRPr="00E3506E">
        <w:rPr>
          <w:i/>
          <w:iCs/>
          <w:sz w:val="18"/>
          <w:szCs w:val="18"/>
        </w:rPr>
        <w:t>Proof Committee Hansard</w:t>
      </w:r>
      <w:r w:rsidR="00FD05E9" w:rsidRPr="00E3506E">
        <w:rPr>
          <w:sz w:val="18"/>
          <w:szCs w:val="18"/>
        </w:rPr>
        <w:t>, 1</w:t>
      </w:r>
      <w:r w:rsidR="00FD05E9">
        <w:rPr>
          <w:sz w:val="18"/>
          <w:szCs w:val="18"/>
        </w:rPr>
        <w:t> </w:t>
      </w:r>
      <w:r w:rsidR="00FD05E9" w:rsidRPr="00E3506E">
        <w:rPr>
          <w:sz w:val="18"/>
          <w:szCs w:val="18"/>
        </w:rPr>
        <w:t xml:space="preserve">November 2022, p </w:t>
      </w:r>
      <w:r w:rsidR="00FD05E9">
        <w:rPr>
          <w:sz w:val="18"/>
          <w:szCs w:val="18"/>
        </w:rPr>
        <w:t>16.</w:t>
      </w:r>
    </w:p>
  </w:footnote>
  <w:footnote w:id="111">
    <w:p w14:paraId="3455C20C" w14:textId="4D1BE240" w:rsidR="00851CCA" w:rsidRPr="00911266" w:rsidRDefault="00851CCA">
      <w:pPr>
        <w:pStyle w:val="FootnoteText"/>
        <w:rPr>
          <w:sz w:val="18"/>
          <w:szCs w:val="18"/>
        </w:rPr>
      </w:pPr>
      <w:r w:rsidRPr="00911266">
        <w:rPr>
          <w:rStyle w:val="FootnoteReference"/>
          <w:sz w:val="18"/>
          <w:szCs w:val="18"/>
        </w:rPr>
        <w:footnoteRef/>
      </w:r>
      <w:r w:rsidRPr="00911266">
        <w:rPr>
          <w:sz w:val="18"/>
          <w:szCs w:val="18"/>
        </w:rPr>
        <w:t xml:space="preserve"> </w:t>
      </w:r>
      <w:r w:rsidR="00FD05E9" w:rsidRPr="00FD05E9">
        <w:rPr>
          <w:sz w:val="18"/>
          <w:szCs w:val="18"/>
        </w:rPr>
        <w:t>Mr Sean Grimes, Director</w:t>
      </w:r>
      <w:r w:rsidR="00FD05E9">
        <w:rPr>
          <w:sz w:val="18"/>
          <w:szCs w:val="18"/>
        </w:rPr>
        <w:t>,</w:t>
      </w:r>
      <w:r w:rsidR="00FD05E9" w:rsidRPr="00FD05E9">
        <w:rPr>
          <w:sz w:val="18"/>
          <w:szCs w:val="18"/>
        </w:rPr>
        <w:t xml:space="preserve"> Sustainability, Environmental Assessments and Reporting</w:t>
      </w:r>
      <w:r w:rsidR="00FD05E9">
        <w:rPr>
          <w:sz w:val="18"/>
          <w:szCs w:val="18"/>
        </w:rPr>
        <w:t>, OCSE,</w:t>
      </w:r>
      <w:r w:rsidR="00FD05E9" w:rsidRPr="00FD05E9">
        <w:rPr>
          <w:sz w:val="18"/>
          <w:szCs w:val="18"/>
        </w:rPr>
        <w:t xml:space="preserve"> </w:t>
      </w:r>
      <w:r w:rsidR="00FD05E9" w:rsidRPr="00E3506E">
        <w:rPr>
          <w:i/>
          <w:iCs/>
          <w:sz w:val="18"/>
          <w:szCs w:val="18"/>
        </w:rPr>
        <w:t>Proof Committee Hansard</w:t>
      </w:r>
      <w:r w:rsidR="00FD05E9" w:rsidRPr="00E3506E">
        <w:rPr>
          <w:sz w:val="18"/>
          <w:szCs w:val="18"/>
        </w:rPr>
        <w:t>, 1</w:t>
      </w:r>
      <w:r w:rsidR="00FD05E9">
        <w:rPr>
          <w:sz w:val="18"/>
          <w:szCs w:val="18"/>
        </w:rPr>
        <w:t> </w:t>
      </w:r>
      <w:r w:rsidR="00FD05E9" w:rsidRPr="00E3506E">
        <w:rPr>
          <w:sz w:val="18"/>
          <w:szCs w:val="18"/>
        </w:rPr>
        <w:t xml:space="preserve">November 2022, p </w:t>
      </w:r>
      <w:r w:rsidR="00FD05E9">
        <w:rPr>
          <w:sz w:val="18"/>
          <w:szCs w:val="18"/>
        </w:rPr>
        <w:t>16.</w:t>
      </w:r>
    </w:p>
  </w:footnote>
  <w:footnote w:id="112">
    <w:p w14:paraId="77DE95DC" w14:textId="77777777" w:rsidR="00F451BF" w:rsidRPr="00F451BF" w:rsidRDefault="00F451BF" w:rsidP="00F451BF">
      <w:pPr>
        <w:pStyle w:val="FootnoteText"/>
        <w:rPr>
          <w:sz w:val="18"/>
          <w:szCs w:val="18"/>
        </w:rPr>
      </w:pPr>
      <w:r w:rsidRPr="00F451BF">
        <w:rPr>
          <w:rStyle w:val="FootnoteReference"/>
          <w:sz w:val="18"/>
          <w:szCs w:val="18"/>
        </w:rPr>
        <w:footnoteRef/>
      </w:r>
      <w:r w:rsidRPr="00F451BF">
        <w:rPr>
          <w:sz w:val="18"/>
          <w:szCs w:val="18"/>
        </w:rPr>
        <w:t xml:space="preserve"> ACT Government, </w:t>
      </w:r>
      <w:r w:rsidRPr="00F451BF">
        <w:rPr>
          <w:i/>
          <w:iCs/>
          <w:sz w:val="18"/>
          <w:szCs w:val="18"/>
        </w:rPr>
        <w:t>Administrative Arrangements 2022 (No 2)</w:t>
      </w:r>
      <w:r w:rsidRPr="00F451BF">
        <w:rPr>
          <w:sz w:val="18"/>
          <w:szCs w:val="18"/>
        </w:rPr>
        <w:t xml:space="preserve"> </w:t>
      </w:r>
      <w:hyperlink r:id="rId20" w:history="1">
        <w:r w:rsidRPr="00F451BF">
          <w:rPr>
            <w:rStyle w:val="Hyperlink"/>
            <w:sz w:val="18"/>
            <w:szCs w:val="18"/>
          </w:rPr>
          <w:t>https://legislation.act.gov.au/View/ni/2022-697/current/html/2022-697.html</w:t>
        </w:r>
      </w:hyperlink>
      <w:r w:rsidRPr="00F451BF">
        <w:rPr>
          <w:sz w:val="18"/>
          <w:szCs w:val="18"/>
        </w:rPr>
        <w:t xml:space="preserve"> (accessed 23 January 2023).</w:t>
      </w:r>
    </w:p>
  </w:footnote>
  <w:footnote w:id="113">
    <w:p w14:paraId="74CCD4D4" w14:textId="5DDD3366" w:rsidR="00F451BF" w:rsidRPr="00F451BF" w:rsidRDefault="00F451BF">
      <w:pPr>
        <w:pStyle w:val="FootnoteText"/>
        <w:rPr>
          <w:sz w:val="18"/>
          <w:szCs w:val="18"/>
        </w:rPr>
      </w:pPr>
      <w:r w:rsidRPr="00F451BF">
        <w:rPr>
          <w:rStyle w:val="FootnoteReference"/>
          <w:sz w:val="18"/>
          <w:szCs w:val="18"/>
        </w:rPr>
        <w:footnoteRef/>
      </w:r>
      <w:r w:rsidRPr="00F451BF">
        <w:rPr>
          <w:sz w:val="18"/>
          <w:szCs w:val="18"/>
        </w:rP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sidR="002D2AB0">
        <w:rPr>
          <w:sz w:val="18"/>
          <w:szCs w:val="18"/>
        </w:rPr>
        <w:t>77</w:t>
      </w:r>
      <w:r>
        <w:rPr>
          <w:sz w:val="18"/>
          <w:szCs w:val="18"/>
        </w:rPr>
        <w:t>.</w:t>
      </w:r>
    </w:p>
  </w:footnote>
  <w:footnote w:id="114">
    <w:p w14:paraId="0A00C222" w14:textId="11D309AD" w:rsidR="00F451BF" w:rsidRPr="00F451BF" w:rsidRDefault="00F451BF">
      <w:pPr>
        <w:pStyle w:val="FootnoteText"/>
        <w:rPr>
          <w:sz w:val="18"/>
          <w:szCs w:val="18"/>
        </w:rPr>
      </w:pPr>
      <w:r w:rsidRPr="00F451BF">
        <w:rPr>
          <w:rStyle w:val="FootnoteReference"/>
          <w:sz w:val="18"/>
          <w:szCs w:val="18"/>
        </w:rPr>
        <w:footnoteRef/>
      </w:r>
      <w:r w:rsidRPr="00F451BF">
        <w:rPr>
          <w:sz w:val="18"/>
          <w:szCs w:val="18"/>
        </w:rP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sidR="002D2AB0">
        <w:rPr>
          <w:sz w:val="18"/>
          <w:szCs w:val="18"/>
        </w:rPr>
        <w:t>78</w:t>
      </w:r>
      <w:r>
        <w:rPr>
          <w:sz w:val="18"/>
          <w:szCs w:val="18"/>
        </w:rPr>
        <w:t>.</w:t>
      </w:r>
    </w:p>
  </w:footnote>
  <w:footnote w:id="115">
    <w:p w14:paraId="05258BE5" w14:textId="464814A3" w:rsidR="00F451BF" w:rsidRPr="00F451BF" w:rsidRDefault="00F451BF">
      <w:pPr>
        <w:pStyle w:val="FootnoteText"/>
        <w:rPr>
          <w:sz w:val="18"/>
          <w:szCs w:val="18"/>
        </w:rPr>
      </w:pPr>
      <w:r w:rsidRPr="00F451BF">
        <w:rPr>
          <w:rStyle w:val="FootnoteReference"/>
          <w:sz w:val="18"/>
          <w:szCs w:val="18"/>
        </w:rPr>
        <w:footnoteRef/>
      </w:r>
      <w:r w:rsidRPr="00F451BF">
        <w:rPr>
          <w:sz w:val="18"/>
          <w:szCs w:val="18"/>
        </w:rP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sidR="002D2AB0">
        <w:rPr>
          <w:sz w:val="18"/>
          <w:szCs w:val="18"/>
        </w:rPr>
        <w:t>80</w:t>
      </w:r>
      <w:r>
        <w:rPr>
          <w:sz w:val="18"/>
          <w:szCs w:val="18"/>
        </w:rPr>
        <w:t>.</w:t>
      </w:r>
    </w:p>
  </w:footnote>
  <w:footnote w:id="116">
    <w:p w14:paraId="6FBD7A96" w14:textId="1D78FA59" w:rsidR="00F451BF" w:rsidRPr="00F451BF" w:rsidRDefault="00F451BF">
      <w:pPr>
        <w:pStyle w:val="FootnoteText"/>
        <w:rPr>
          <w:sz w:val="18"/>
          <w:szCs w:val="18"/>
        </w:rPr>
      </w:pPr>
      <w:r w:rsidRPr="00F451BF">
        <w:rPr>
          <w:rStyle w:val="FootnoteReference"/>
          <w:sz w:val="18"/>
          <w:szCs w:val="18"/>
        </w:rPr>
        <w:footnoteRef/>
      </w:r>
      <w:r w:rsidRPr="00F451BF">
        <w:rPr>
          <w:sz w:val="18"/>
          <w:szCs w:val="18"/>
        </w:rP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sidR="002D2AB0">
        <w:rPr>
          <w:sz w:val="18"/>
          <w:szCs w:val="18"/>
        </w:rPr>
        <w:t>81</w:t>
      </w:r>
      <w:r>
        <w:rPr>
          <w:sz w:val="18"/>
          <w:szCs w:val="18"/>
        </w:rPr>
        <w:t>.</w:t>
      </w:r>
    </w:p>
  </w:footnote>
  <w:footnote w:id="117">
    <w:p w14:paraId="31DA11F5" w14:textId="2C151A55" w:rsidR="00F451BF" w:rsidRDefault="00F451BF">
      <w:pPr>
        <w:pStyle w:val="FootnoteText"/>
      </w:pPr>
      <w:r w:rsidRPr="00F451BF">
        <w:rPr>
          <w:rStyle w:val="FootnoteReference"/>
          <w:sz w:val="18"/>
          <w:szCs w:val="18"/>
        </w:rPr>
        <w:footnoteRef/>
      </w:r>
      <w:r>
        <w:t xml:space="preserve"> </w:t>
      </w:r>
      <w:r w:rsidRPr="00E3506E">
        <w:rPr>
          <w:i/>
          <w:iCs/>
          <w:sz w:val="18"/>
          <w:szCs w:val="18"/>
        </w:rPr>
        <w:t>Proof Committee Hansard</w:t>
      </w:r>
      <w:r w:rsidRPr="00E3506E">
        <w:rPr>
          <w:sz w:val="18"/>
          <w:szCs w:val="18"/>
        </w:rPr>
        <w:t xml:space="preserve">, </w:t>
      </w:r>
      <w:r>
        <w:rPr>
          <w:sz w:val="18"/>
          <w:szCs w:val="18"/>
        </w:rPr>
        <w:t>7</w:t>
      </w:r>
      <w:r w:rsidRPr="00E3506E">
        <w:rPr>
          <w:sz w:val="18"/>
          <w:szCs w:val="18"/>
        </w:rPr>
        <w:t xml:space="preserve"> November 2022, p </w:t>
      </w:r>
      <w:r w:rsidR="002D2AB0">
        <w:rPr>
          <w:sz w:val="18"/>
          <w:szCs w:val="18"/>
        </w:rPr>
        <w:t>82</w:t>
      </w:r>
      <w:r>
        <w:rPr>
          <w:sz w:val="18"/>
          <w:szCs w:val="18"/>
        </w:rPr>
        <w:t>.</w:t>
      </w:r>
    </w:p>
  </w:footnote>
  <w:footnote w:id="118">
    <w:p w14:paraId="65FE5A3D" w14:textId="68579776" w:rsidR="0005284C" w:rsidRPr="0005284C" w:rsidRDefault="0005284C">
      <w:pPr>
        <w:pStyle w:val="FootnoteText"/>
        <w:rPr>
          <w:sz w:val="18"/>
          <w:szCs w:val="18"/>
        </w:rPr>
      </w:pPr>
      <w:r w:rsidRPr="0005284C">
        <w:rPr>
          <w:rStyle w:val="FootnoteReference"/>
          <w:sz w:val="18"/>
          <w:szCs w:val="18"/>
        </w:rPr>
        <w:footnoteRef/>
      </w:r>
      <w:r w:rsidRPr="0005284C">
        <w:rPr>
          <w:sz w:val="18"/>
          <w:szCs w:val="18"/>
        </w:rPr>
        <w:t xml:space="preserve"> </w:t>
      </w:r>
      <w:r w:rsidR="007D428A" w:rsidRPr="00E3506E">
        <w:rPr>
          <w:i/>
          <w:iCs/>
          <w:sz w:val="18"/>
          <w:szCs w:val="18"/>
        </w:rPr>
        <w:t>Proof Committee Hansard</w:t>
      </w:r>
      <w:r w:rsidR="007D428A" w:rsidRPr="00E3506E">
        <w:rPr>
          <w:sz w:val="18"/>
          <w:szCs w:val="18"/>
        </w:rPr>
        <w:t xml:space="preserve">, </w:t>
      </w:r>
      <w:r w:rsidR="007D428A">
        <w:rPr>
          <w:sz w:val="18"/>
          <w:szCs w:val="18"/>
        </w:rPr>
        <w:t>7</w:t>
      </w:r>
      <w:r w:rsidR="007D428A" w:rsidRPr="00E3506E">
        <w:rPr>
          <w:sz w:val="18"/>
          <w:szCs w:val="18"/>
        </w:rPr>
        <w:t xml:space="preserve"> November 2022, p </w:t>
      </w:r>
      <w:r w:rsidR="007D428A">
        <w:rPr>
          <w:sz w:val="18"/>
          <w:szCs w:val="18"/>
        </w:rPr>
        <w:t>81.</w:t>
      </w:r>
    </w:p>
  </w:footnote>
  <w:footnote w:id="119">
    <w:p w14:paraId="751B3850" w14:textId="244E64B8" w:rsidR="0024652D" w:rsidRPr="008A3125" w:rsidRDefault="0024652D">
      <w:pPr>
        <w:pStyle w:val="FootnoteText"/>
        <w:rPr>
          <w:sz w:val="18"/>
          <w:szCs w:val="18"/>
        </w:rPr>
      </w:pPr>
      <w:r w:rsidRPr="008A3125">
        <w:rPr>
          <w:rStyle w:val="FootnoteReference"/>
          <w:sz w:val="18"/>
          <w:szCs w:val="18"/>
        </w:rPr>
        <w:footnoteRef/>
      </w:r>
      <w:r w:rsidRPr="008A3125">
        <w:rPr>
          <w:sz w:val="18"/>
          <w:szCs w:val="18"/>
        </w:rPr>
        <w:t xml:space="preserve"> </w:t>
      </w:r>
      <w:r w:rsidR="001D1809" w:rsidRPr="00E3506E">
        <w:rPr>
          <w:i/>
          <w:iCs/>
          <w:sz w:val="18"/>
          <w:szCs w:val="18"/>
        </w:rPr>
        <w:t>Proof Committee Hansard</w:t>
      </w:r>
      <w:r w:rsidR="001D1809" w:rsidRPr="00E3506E">
        <w:rPr>
          <w:sz w:val="18"/>
          <w:szCs w:val="18"/>
        </w:rPr>
        <w:t xml:space="preserve">, </w:t>
      </w:r>
      <w:r w:rsidR="001D1809">
        <w:rPr>
          <w:sz w:val="18"/>
          <w:szCs w:val="18"/>
        </w:rPr>
        <w:t>7</w:t>
      </w:r>
      <w:r w:rsidR="001D1809" w:rsidRPr="00E3506E">
        <w:rPr>
          <w:sz w:val="18"/>
          <w:szCs w:val="18"/>
        </w:rPr>
        <w:t xml:space="preserve"> November 2022, p </w:t>
      </w:r>
      <w:r w:rsidR="001D1809">
        <w:rPr>
          <w:sz w:val="18"/>
          <w:szCs w:val="18"/>
        </w:rPr>
        <w:t>81.</w:t>
      </w:r>
    </w:p>
  </w:footnote>
  <w:footnote w:id="120">
    <w:p w14:paraId="3DFF01CA" w14:textId="77777777" w:rsidR="002D2AB0" w:rsidRPr="00F451BF" w:rsidRDefault="002D2AB0" w:rsidP="002D2AB0">
      <w:pPr>
        <w:pStyle w:val="FootnoteText"/>
        <w:rPr>
          <w:sz w:val="18"/>
          <w:szCs w:val="18"/>
        </w:rPr>
      </w:pPr>
      <w:r w:rsidRPr="00F451BF">
        <w:rPr>
          <w:rStyle w:val="FootnoteReference"/>
          <w:sz w:val="18"/>
          <w:szCs w:val="18"/>
        </w:rPr>
        <w:footnoteRef/>
      </w:r>
      <w:r w:rsidRPr="00F451BF">
        <w:rPr>
          <w:sz w:val="18"/>
          <w:szCs w:val="18"/>
        </w:rPr>
        <w:t xml:space="preserve"> ACT Government, </w:t>
      </w:r>
      <w:r w:rsidRPr="00F451BF">
        <w:rPr>
          <w:i/>
          <w:iCs/>
          <w:sz w:val="18"/>
          <w:szCs w:val="18"/>
        </w:rPr>
        <w:t>Administrative Arrangements 2022 (No 2)</w:t>
      </w:r>
      <w:r w:rsidRPr="00F451BF">
        <w:rPr>
          <w:sz w:val="18"/>
          <w:szCs w:val="18"/>
        </w:rPr>
        <w:t xml:space="preserve"> </w:t>
      </w:r>
      <w:hyperlink r:id="rId21" w:history="1">
        <w:r w:rsidRPr="00F451BF">
          <w:rPr>
            <w:rStyle w:val="Hyperlink"/>
            <w:sz w:val="18"/>
            <w:szCs w:val="18"/>
          </w:rPr>
          <w:t>https://legislation.act.gov.au/View/ni/2022-697/current/html/2022-697.html</w:t>
        </w:r>
      </w:hyperlink>
      <w:r w:rsidRPr="00F451BF">
        <w:rPr>
          <w:sz w:val="18"/>
          <w:szCs w:val="18"/>
        </w:rPr>
        <w:t xml:space="preserve"> (accessed 23 January 2023).</w:t>
      </w:r>
    </w:p>
  </w:footnote>
  <w:footnote w:id="121">
    <w:p w14:paraId="7AF4654A" w14:textId="124B3780" w:rsidR="002D2AB0" w:rsidRPr="004A7D31" w:rsidRDefault="002D2AB0" w:rsidP="002D2AB0">
      <w:pPr>
        <w:pStyle w:val="FootnoteText"/>
        <w:rPr>
          <w:sz w:val="18"/>
          <w:szCs w:val="18"/>
        </w:rPr>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sidR="004A7D31">
        <w:rPr>
          <w:sz w:val="18"/>
          <w:szCs w:val="18"/>
        </w:rPr>
        <w:t>10</w:t>
      </w:r>
      <w:r w:rsidRPr="004A7D31">
        <w:rPr>
          <w:sz w:val="18"/>
          <w:szCs w:val="18"/>
        </w:rPr>
        <w:t xml:space="preserve"> November 2022, p </w:t>
      </w:r>
      <w:r w:rsidR="00F728CF">
        <w:rPr>
          <w:sz w:val="18"/>
          <w:szCs w:val="18"/>
        </w:rPr>
        <w:t>86</w:t>
      </w:r>
      <w:r w:rsidRPr="004A7D31">
        <w:rPr>
          <w:sz w:val="18"/>
          <w:szCs w:val="18"/>
        </w:rPr>
        <w:t>.</w:t>
      </w:r>
    </w:p>
  </w:footnote>
  <w:footnote w:id="122">
    <w:p w14:paraId="0CDECFF5" w14:textId="498C97B5" w:rsidR="002D2AB0" w:rsidRPr="004A7D31" w:rsidRDefault="002D2AB0" w:rsidP="002D2AB0">
      <w:pPr>
        <w:pStyle w:val="FootnoteText"/>
        <w:rPr>
          <w:sz w:val="18"/>
          <w:szCs w:val="18"/>
        </w:rPr>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sidR="004A7D31">
        <w:rPr>
          <w:sz w:val="18"/>
          <w:szCs w:val="18"/>
        </w:rPr>
        <w:t xml:space="preserve">10 </w:t>
      </w:r>
      <w:r w:rsidRPr="004A7D31">
        <w:rPr>
          <w:sz w:val="18"/>
          <w:szCs w:val="18"/>
        </w:rPr>
        <w:t xml:space="preserve">November 2022, p </w:t>
      </w:r>
      <w:r w:rsidR="00F728CF">
        <w:rPr>
          <w:sz w:val="18"/>
          <w:szCs w:val="18"/>
        </w:rPr>
        <w:t>89</w:t>
      </w:r>
      <w:r w:rsidRPr="004A7D31">
        <w:rPr>
          <w:sz w:val="18"/>
          <w:szCs w:val="18"/>
        </w:rPr>
        <w:t>.</w:t>
      </w:r>
    </w:p>
  </w:footnote>
  <w:footnote w:id="123">
    <w:p w14:paraId="5ADC9815" w14:textId="085D6C48" w:rsidR="002D2AB0" w:rsidRPr="004A7D31" w:rsidRDefault="002D2AB0" w:rsidP="002D2AB0">
      <w:pPr>
        <w:pStyle w:val="FootnoteText"/>
        <w:rPr>
          <w:sz w:val="18"/>
          <w:szCs w:val="18"/>
        </w:rPr>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sidR="004A7D31">
        <w:rPr>
          <w:sz w:val="18"/>
          <w:szCs w:val="18"/>
        </w:rPr>
        <w:t>10</w:t>
      </w:r>
      <w:r w:rsidRPr="004A7D31">
        <w:rPr>
          <w:sz w:val="18"/>
          <w:szCs w:val="18"/>
        </w:rPr>
        <w:t xml:space="preserve"> November 2022, p </w:t>
      </w:r>
      <w:r w:rsidR="00F728CF">
        <w:rPr>
          <w:sz w:val="18"/>
          <w:szCs w:val="18"/>
        </w:rPr>
        <w:t>90</w:t>
      </w:r>
      <w:r w:rsidRPr="004A7D31">
        <w:rPr>
          <w:sz w:val="18"/>
          <w:szCs w:val="18"/>
        </w:rPr>
        <w:t>.</w:t>
      </w:r>
    </w:p>
  </w:footnote>
  <w:footnote w:id="124">
    <w:p w14:paraId="5BC352AA" w14:textId="653B214E" w:rsidR="002D2AB0" w:rsidRPr="004A7D31" w:rsidRDefault="002D2AB0" w:rsidP="002D2AB0">
      <w:pPr>
        <w:pStyle w:val="FootnoteText"/>
        <w:rPr>
          <w:sz w:val="18"/>
          <w:szCs w:val="18"/>
        </w:rPr>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sidR="004A7D31">
        <w:rPr>
          <w:sz w:val="18"/>
          <w:szCs w:val="18"/>
        </w:rPr>
        <w:t>10</w:t>
      </w:r>
      <w:r w:rsidRPr="004A7D31">
        <w:rPr>
          <w:sz w:val="18"/>
          <w:szCs w:val="18"/>
        </w:rPr>
        <w:t xml:space="preserve"> November 2022, p </w:t>
      </w:r>
      <w:r w:rsidR="00F728CF">
        <w:rPr>
          <w:sz w:val="18"/>
          <w:szCs w:val="18"/>
        </w:rPr>
        <w:t>91</w:t>
      </w:r>
      <w:r w:rsidRPr="004A7D31">
        <w:rPr>
          <w:sz w:val="18"/>
          <w:szCs w:val="18"/>
        </w:rPr>
        <w:t>.</w:t>
      </w:r>
    </w:p>
  </w:footnote>
  <w:footnote w:id="125">
    <w:p w14:paraId="1B9A7B7B" w14:textId="50818620" w:rsidR="004A7D31" w:rsidRPr="004A7D31" w:rsidRDefault="004A7D31">
      <w:pPr>
        <w:pStyle w:val="FootnoteText"/>
        <w:rPr>
          <w:sz w:val="18"/>
          <w:szCs w:val="18"/>
        </w:rPr>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Pr>
          <w:sz w:val="18"/>
          <w:szCs w:val="18"/>
        </w:rPr>
        <w:t>10</w:t>
      </w:r>
      <w:r w:rsidRPr="004A7D31">
        <w:rPr>
          <w:sz w:val="18"/>
          <w:szCs w:val="18"/>
        </w:rPr>
        <w:t xml:space="preserve"> November 2022, p </w:t>
      </w:r>
      <w:r w:rsidR="00F728CF">
        <w:rPr>
          <w:sz w:val="18"/>
          <w:szCs w:val="18"/>
        </w:rPr>
        <w:t>92</w:t>
      </w:r>
      <w:r w:rsidRPr="004A7D31">
        <w:rPr>
          <w:sz w:val="18"/>
          <w:szCs w:val="18"/>
        </w:rPr>
        <w:t>.</w:t>
      </w:r>
    </w:p>
  </w:footnote>
  <w:footnote w:id="126">
    <w:p w14:paraId="6F473951" w14:textId="7E0ED027" w:rsidR="002D2AB0" w:rsidRDefault="002D2AB0" w:rsidP="002D2AB0">
      <w:pPr>
        <w:pStyle w:val="FootnoteText"/>
      </w:pPr>
      <w:r w:rsidRPr="004A7D31">
        <w:rPr>
          <w:rStyle w:val="FootnoteReference"/>
          <w:sz w:val="18"/>
          <w:szCs w:val="18"/>
        </w:rPr>
        <w:footnoteRef/>
      </w:r>
      <w:r w:rsidRPr="004A7D31">
        <w:rPr>
          <w:sz w:val="18"/>
          <w:szCs w:val="18"/>
        </w:rPr>
        <w:t xml:space="preserve"> </w:t>
      </w:r>
      <w:r w:rsidRPr="004A7D31">
        <w:rPr>
          <w:i/>
          <w:iCs/>
          <w:sz w:val="18"/>
          <w:szCs w:val="18"/>
        </w:rPr>
        <w:t>Proof Committee Hansard</w:t>
      </w:r>
      <w:r w:rsidRPr="004A7D31">
        <w:rPr>
          <w:sz w:val="18"/>
          <w:szCs w:val="18"/>
        </w:rPr>
        <w:t xml:space="preserve">, </w:t>
      </w:r>
      <w:r w:rsidR="004A7D31">
        <w:rPr>
          <w:sz w:val="18"/>
          <w:szCs w:val="18"/>
        </w:rPr>
        <w:t>10</w:t>
      </w:r>
      <w:r w:rsidRPr="004A7D31">
        <w:rPr>
          <w:sz w:val="18"/>
          <w:szCs w:val="18"/>
        </w:rPr>
        <w:t xml:space="preserve"> November 2022, p </w:t>
      </w:r>
      <w:r w:rsidR="00F728CF">
        <w:rPr>
          <w:sz w:val="18"/>
          <w:szCs w:val="18"/>
        </w:rPr>
        <w:t>93</w:t>
      </w:r>
      <w:r w:rsidRPr="004A7D3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6A9E" w14:textId="77777777" w:rsidR="005B5DE9" w:rsidRPr="00C02510" w:rsidRDefault="005B5DE9" w:rsidP="008B350E">
    <w:pPr>
      <w:pStyle w:val="Header"/>
      <w:jc w:val="center"/>
      <w:rPr>
        <w:color w:val="1A234C"/>
      </w:rPr>
    </w:pPr>
  </w:p>
  <w:p w14:paraId="73381BBE" w14:textId="77777777" w:rsidR="005B5DE9" w:rsidRPr="00917B49" w:rsidRDefault="005B5DE9" w:rsidP="00917B49">
    <w:pPr>
      <w:pStyle w:val="Cover-Assemblyname"/>
    </w:pPr>
    <w:r>
      <w:rPr>
        <w:rFonts w:ascii="Arial" w:hAnsi="Arial"/>
        <w:noProof/>
        <w:color w:val="000000" w:themeColor="text1"/>
      </w:rPr>
      <w:drawing>
        <wp:anchor distT="0" distB="0" distL="114300" distR="114300" simplePos="0" relativeHeight="251659264" behindDoc="1" locked="0" layoutInCell="1" allowOverlap="1" wp14:anchorId="78CB1375" wp14:editId="21B66B10">
          <wp:simplePos x="0" y="0"/>
          <wp:positionH relativeFrom="margin">
            <wp:align>left</wp:align>
          </wp:positionH>
          <wp:positionV relativeFrom="page">
            <wp:posOffset>853441</wp:posOffset>
          </wp:positionV>
          <wp:extent cx="839349" cy="8382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839349" cy="838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00" w:themeColor="text1"/>
      </w:rPr>
      <w:br/>
    </w:r>
    <w:r w:rsidRPr="00917B49">
      <w:t>Legislative Assembly for the</w:t>
    </w:r>
  </w:p>
  <w:p w14:paraId="4A8D3AE3" w14:textId="77777777" w:rsidR="005B5DE9" w:rsidRPr="00917B49" w:rsidRDefault="005B5DE9" w:rsidP="00917B49">
    <w:pPr>
      <w:pStyle w:val="Cover-Assemblyname"/>
    </w:pPr>
    <w:r w:rsidRPr="00917B49">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21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E40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78A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48CD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E4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62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A3F9E"/>
    <w:lvl w:ilvl="0">
      <w:start w:val="1"/>
      <w:numFmt w:val="bullet"/>
      <w:lvlText w:val=""/>
      <w:lvlJc w:val="left"/>
      <w:pPr>
        <w:ind w:left="926" w:hanging="360"/>
      </w:pPr>
      <w:rPr>
        <w:rFonts w:ascii="Symbol" w:hAnsi="Symbol" w:hint="default"/>
        <w:color w:val="9DB4DC"/>
      </w:rPr>
    </w:lvl>
  </w:abstractNum>
  <w:abstractNum w:abstractNumId="7" w15:restartNumberingAfterBreak="0">
    <w:nsid w:val="FFFFFF83"/>
    <w:multiLevelType w:val="singleLevel"/>
    <w:tmpl w:val="2CAE53A8"/>
    <w:lvl w:ilvl="0">
      <w:start w:val="1"/>
      <w:numFmt w:val="bullet"/>
      <w:lvlText w:val=""/>
      <w:lvlJc w:val="left"/>
      <w:pPr>
        <w:ind w:left="643" w:hanging="360"/>
      </w:pPr>
      <w:rPr>
        <w:rFonts w:ascii="Symbol" w:hAnsi="Symbol" w:hint="default"/>
        <w:color w:val="7492CD"/>
      </w:rPr>
    </w:lvl>
  </w:abstractNum>
  <w:abstractNum w:abstractNumId="8" w15:restartNumberingAfterBreak="0">
    <w:nsid w:val="FFFFFF88"/>
    <w:multiLevelType w:val="singleLevel"/>
    <w:tmpl w:val="DDA80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6F3F0"/>
    <w:lvl w:ilvl="0">
      <w:start w:val="1"/>
      <w:numFmt w:val="bullet"/>
      <w:lvlText w:val=""/>
      <w:lvlJc w:val="left"/>
      <w:pPr>
        <w:ind w:left="360" w:hanging="360"/>
      </w:pPr>
      <w:rPr>
        <w:rFonts w:ascii="Symbol" w:hAnsi="Symbol" w:hint="default"/>
        <w:color w:val="2F5496"/>
      </w:rPr>
    </w:lvl>
  </w:abstractNum>
  <w:abstractNum w:abstractNumId="10" w15:restartNumberingAfterBreak="0">
    <w:nsid w:val="00305E81"/>
    <w:multiLevelType w:val="hybridMultilevel"/>
    <w:tmpl w:val="9404F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905FCE"/>
    <w:multiLevelType w:val="multilevel"/>
    <w:tmpl w:val="699AC34A"/>
    <w:lvl w:ilvl="0">
      <w:start w:val="1"/>
      <w:numFmt w:val="decimal"/>
      <w:pStyle w:val="Heading1"/>
      <w:lvlText w:val="%1."/>
      <w:lvlJc w:val="left"/>
      <w:pPr>
        <w:ind w:left="851" w:hanging="851"/>
      </w:pPr>
      <w:rPr>
        <w:rFonts w:hint="default"/>
      </w:rPr>
    </w:lvl>
    <w:lvl w:ilvl="1">
      <w:start w:val="1"/>
      <w:numFmt w:val="decimal"/>
      <w:pStyle w:val="ListNumber2"/>
      <w:lvlText w:val="%1.%2."/>
      <w:lvlJc w:val="left"/>
      <w:pPr>
        <w:ind w:left="851" w:hanging="851"/>
      </w:pPr>
      <w:rPr>
        <w:rFonts w:asciiTheme="minorHAnsi" w:hAnsiTheme="minorHAnsi" w:hint="default"/>
        <w:sz w:val="22"/>
      </w:rPr>
    </w:lvl>
    <w:lvl w:ilvl="2">
      <w:start w:val="1"/>
      <w:numFmt w:val="lowerLetter"/>
      <w:pStyle w:val="ListNumber3"/>
      <w:lvlText w:val="%3)"/>
      <w:lvlJc w:val="left"/>
      <w:pPr>
        <w:ind w:left="1418" w:hanging="567"/>
      </w:pPr>
      <w:rPr>
        <w:rFonts w:hint="default"/>
      </w:rPr>
    </w:lvl>
    <w:lvl w:ilvl="3">
      <w:start w:val="1"/>
      <w:numFmt w:val="lowerRoman"/>
      <w:pStyle w:val="ListNumber4"/>
      <w:lvlText w:val="%4)"/>
      <w:lvlJc w:val="left"/>
      <w:pPr>
        <w:ind w:left="1985" w:hanging="567"/>
      </w:pPr>
      <w:rPr>
        <w:rFonts w:hint="default"/>
      </w:rPr>
    </w:lvl>
    <w:lvl w:ilvl="4">
      <w:start w:val="1"/>
      <w:numFmt w:val="decimal"/>
      <w:pStyle w:val="ListNumber5"/>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12" w15:restartNumberingAfterBreak="0">
    <w:nsid w:val="083223A7"/>
    <w:multiLevelType w:val="hybridMultilevel"/>
    <w:tmpl w:val="DBC82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3261DA"/>
    <w:multiLevelType w:val="hybridMultilevel"/>
    <w:tmpl w:val="6F4EA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5F20E9"/>
    <w:multiLevelType w:val="multilevel"/>
    <w:tmpl w:val="C2BAF334"/>
    <w:lvl w:ilvl="0">
      <w:start w:val="1"/>
      <w:numFmt w:val="bullet"/>
      <w:lvlText w:val=""/>
      <w:lvlJc w:val="left"/>
      <w:pPr>
        <w:ind w:left="340" w:hanging="340"/>
      </w:pPr>
      <w:rPr>
        <w:rFonts w:ascii="Symbol" w:hAnsi="Symbol" w:hint="default"/>
        <w:b w:val="0"/>
        <w:i w:val="0"/>
        <w:color w:val="2F5496"/>
      </w:rPr>
    </w:lvl>
    <w:lvl w:ilvl="1">
      <w:start w:val="1"/>
      <w:numFmt w:val="bullet"/>
      <w:lvlText w:val=""/>
      <w:lvlJc w:val="left"/>
      <w:pPr>
        <w:ind w:left="720" w:hanging="360"/>
      </w:pPr>
      <w:rPr>
        <w:rFonts w:ascii="Symbol" w:hAnsi="Symbol" w:hint="default"/>
        <w:color w:val="7492CD"/>
      </w:rPr>
    </w:lvl>
    <w:lvl w:ilvl="2">
      <w:start w:val="1"/>
      <w:numFmt w:val="bullet"/>
      <w:lvlText w:val=""/>
      <w:lvlJc w:val="left"/>
      <w:pPr>
        <w:ind w:left="1080" w:hanging="360"/>
      </w:pPr>
      <w:rPr>
        <w:rFonts w:ascii="Symbol" w:hAnsi="Symbol" w:hint="default"/>
        <w:color w:val="9DB4DC"/>
      </w:rPr>
    </w:lvl>
    <w:lvl w:ilvl="3">
      <w:start w:val="1"/>
      <w:numFmt w:val="bullet"/>
      <w:lvlText w:val=""/>
      <w:lvlJc w:val="left"/>
      <w:pPr>
        <w:ind w:left="1440" w:hanging="360"/>
      </w:pPr>
      <w:rPr>
        <w:rFonts w:ascii="Symbol" w:hAnsi="Symbol" w:hint="default"/>
        <w:b w:val="0"/>
        <w:i w:val="0"/>
        <w:color w:val="2F5496"/>
      </w:rPr>
    </w:lvl>
    <w:lvl w:ilvl="4">
      <w:start w:val="1"/>
      <w:numFmt w:val="bullet"/>
      <w:lvlText w:val=""/>
      <w:lvlJc w:val="left"/>
      <w:pPr>
        <w:ind w:left="1800" w:hanging="360"/>
      </w:pPr>
      <w:rPr>
        <w:rFonts w:ascii="Symbol" w:hAnsi="Symbol" w:hint="default"/>
        <w:color w:val="7492CD"/>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C43791"/>
    <w:multiLevelType w:val="hybridMultilevel"/>
    <w:tmpl w:val="461E3B7E"/>
    <w:lvl w:ilvl="0" w:tplc="ED5CAC1E">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580BC9"/>
    <w:multiLevelType w:val="hybridMultilevel"/>
    <w:tmpl w:val="B912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CC3135"/>
    <w:multiLevelType w:val="hybridMultilevel"/>
    <w:tmpl w:val="F8A6C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5D3E30"/>
    <w:multiLevelType w:val="hybridMultilevel"/>
    <w:tmpl w:val="8742909E"/>
    <w:lvl w:ilvl="0" w:tplc="35AC8BA6">
      <w:start w:val="1"/>
      <w:numFmt w:val="bullet"/>
      <w:lvlText w:val=""/>
      <w:lvlJc w:val="left"/>
      <w:pPr>
        <w:ind w:left="720" w:hanging="360"/>
      </w:pPr>
      <w:rPr>
        <w:rFonts w:ascii="Symbol" w:hAnsi="Symbol" w:hint="default"/>
        <w:color w:val="2F549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8033F0"/>
    <w:multiLevelType w:val="hybridMultilevel"/>
    <w:tmpl w:val="FE5A6FE2"/>
    <w:lvl w:ilvl="0" w:tplc="A7BC48CA">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C17E3"/>
    <w:multiLevelType w:val="hybridMultilevel"/>
    <w:tmpl w:val="316AF90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1" w15:restartNumberingAfterBreak="0">
    <w:nsid w:val="3FED19D8"/>
    <w:multiLevelType w:val="hybridMultilevel"/>
    <w:tmpl w:val="4FC83E7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420F710C"/>
    <w:multiLevelType w:val="hybridMultilevel"/>
    <w:tmpl w:val="9098A7A2"/>
    <w:lvl w:ilvl="0" w:tplc="B99C332E">
      <w:start w:val="1"/>
      <w:numFmt w:val="bullet"/>
      <w:lvlText w:val=""/>
      <w:lvlJc w:val="left"/>
      <w:pPr>
        <w:ind w:left="720" w:hanging="360"/>
      </w:pPr>
      <w:rPr>
        <w:rFonts w:ascii="Symbol" w:hAnsi="Symbol" w:hint="default"/>
        <w:color w:val="2F5496"/>
      </w:rPr>
    </w:lvl>
    <w:lvl w:ilvl="1" w:tplc="F6B65186">
      <w:start w:val="1"/>
      <w:numFmt w:val="bullet"/>
      <w:lvlText w:val=""/>
      <w:lvlJc w:val="left"/>
      <w:pPr>
        <w:ind w:left="1440" w:hanging="360"/>
      </w:pPr>
      <w:rPr>
        <w:rFonts w:ascii="Symbol" w:hAnsi="Symbol" w:hint="default"/>
        <w:color w:val="7492CD"/>
      </w:rPr>
    </w:lvl>
    <w:lvl w:ilvl="2" w:tplc="C57E190E">
      <w:start w:val="1"/>
      <w:numFmt w:val="bullet"/>
      <w:lvlText w:val=""/>
      <w:lvlJc w:val="left"/>
      <w:pPr>
        <w:ind w:left="2160" w:hanging="360"/>
      </w:pPr>
      <w:rPr>
        <w:rFonts w:ascii="Symbol" w:hAnsi="Symbol" w:hint="default"/>
        <w:color w:val="9DB4DC"/>
      </w:rPr>
    </w:lvl>
    <w:lvl w:ilvl="3" w:tplc="0664A32A">
      <w:start w:val="1"/>
      <w:numFmt w:val="bullet"/>
      <w:lvlText w:val="o"/>
      <w:lvlJc w:val="left"/>
      <w:pPr>
        <w:ind w:left="1778" w:hanging="360"/>
      </w:pPr>
      <w:rPr>
        <w:rFonts w:ascii="Montserrat SemiBold" w:hAnsi="Montserrat SemiBold" w:hint="default"/>
        <w:b w:val="0"/>
        <w:bCs w:val="0"/>
        <w:color w:val="2F5496"/>
        <w:sz w:val="19"/>
        <w:szCs w:val="19"/>
      </w:rPr>
    </w:lvl>
    <w:lvl w:ilvl="4" w:tplc="F9303DBC">
      <w:start w:val="1"/>
      <w:numFmt w:val="bullet"/>
      <w:lvlText w:val="o"/>
      <w:lvlJc w:val="left"/>
      <w:pPr>
        <w:ind w:left="3600" w:hanging="360"/>
      </w:pPr>
      <w:rPr>
        <w:rFonts w:ascii="Montserrat SemiBold" w:hAnsi="Montserrat SemiBold" w:hint="default"/>
        <w:b w:val="0"/>
        <w:bCs w:val="0"/>
        <w:color w:val="7492CD"/>
        <w:sz w:val="19"/>
        <w:szCs w:val="19"/>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9794D"/>
    <w:multiLevelType w:val="hybridMultilevel"/>
    <w:tmpl w:val="BA88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AB32DE"/>
    <w:multiLevelType w:val="hybridMultilevel"/>
    <w:tmpl w:val="35EE7D4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E246C5"/>
    <w:multiLevelType w:val="hybridMultilevel"/>
    <w:tmpl w:val="8AA2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163894"/>
    <w:multiLevelType w:val="hybridMultilevel"/>
    <w:tmpl w:val="FDB49CFE"/>
    <w:lvl w:ilvl="0" w:tplc="23E0A81E">
      <w:numFmt w:val="bullet"/>
      <w:lvlText w:val=""/>
      <w:lvlJc w:val="left"/>
      <w:pPr>
        <w:ind w:left="360" w:hanging="360"/>
      </w:pPr>
      <w:rPr>
        <w:rFonts w:ascii="Symbol" w:eastAsiaTheme="minorHAnsi" w:hAnsi="Symbol" w:cstheme="minorBid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027630"/>
    <w:multiLevelType w:val="hybridMultilevel"/>
    <w:tmpl w:val="D4A2E5E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60266B5E"/>
    <w:multiLevelType w:val="multilevel"/>
    <w:tmpl w:val="65CCC7C6"/>
    <w:name w:val="OLA branded2"/>
    <w:lvl w:ilvl="0">
      <w:start w:val="1"/>
      <w:numFmt w:val="bullet"/>
      <w:pStyle w:val="ListBullet"/>
      <w:lvlText w:val=""/>
      <w:lvlJc w:val="left"/>
      <w:pPr>
        <w:ind w:left="248" w:hanging="340"/>
      </w:pPr>
      <w:rPr>
        <w:rFonts w:ascii="Symbol" w:hAnsi="Symbol" w:hint="default"/>
        <w:b w:val="0"/>
        <w:i w:val="0"/>
        <w:color w:val="2F5496"/>
      </w:rPr>
    </w:lvl>
    <w:lvl w:ilvl="1">
      <w:start w:val="1"/>
      <w:numFmt w:val="bullet"/>
      <w:pStyle w:val="ListBullet2"/>
      <w:lvlText w:val=""/>
      <w:lvlJc w:val="left"/>
      <w:pPr>
        <w:ind w:left="628" w:hanging="360"/>
      </w:pPr>
      <w:rPr>
        <w:rFonts w:ascii="Symbol" w:hAnsi="Symbol" w:hint="default"/>
        <w:color w:val="7492CD"/>
      </w:rPr>
    </w:lvl>
    <w:lvl w:ilvl="2">
      <w:start w:val="1"/>
      <w:numFmt w:val="bullet"/>
      <w:pStyle w:val="ListBullet3"/>
      <w:lvlText w:val=""/>
      <w:lvlJc w:val="left"/>
      <w:pPr>
        <w:ind w:left="988" w:hanging="360"/>
      </w:pPr>
      <w:rPr>
        <w:rFonts w:ascii="Symbol" w:hAnsi="Symbol" w:hint="default"/>
        <w:color w:val="9DB4DC"/>
      </w:rPr>
    </w:lvl>
    <w:lvl w:ilvl="3">
      <w:start w:val="1"/>
      <w:numFmt w:val="bullet"/>
      <w:pStyle w:val="ListBullet4"/>
      <w:lvlText w:val=""/>
      <w:lvlJc w:val="left"/>
      <w:pPr>
        <w:ind w:left="1348" w:hanging="360"/>
      </w:pPr>
      <w:rPr>
        <w:rFonts w:ascii="Symbol" w:hAnsi="Symbol" w:hint="default"/>
        <w:b w:val="0"/>
        <w:i w:val="0"/>
        <w:color w:val="2F5496"/>
      </w:rPr>
    </w:lvl>
    <w:lvl w:ilvl="4">
      <w:start w:val="1"/>
      <w:numFmt w:val="bullet"/>
      <w:pStyle w:val="ListBullet5"/>
      <w:lvlText w:val=""/>
      <w:lvlJc w:val="left"/>
      <w:pPr>
        <w:ind w:left="1708" w:hanging="360"/>
      </w:pPr>
      <w:rPr>
        <w:rFonts w:ascii="Symbol" w:hAnsi="Symbol" w:hint="default"/>
        <w:color w:val="7492CD"/>
      </w:rPr>
    </w:lvl>
    <w:lvl w:ilvl="5">
      <w:start w:val="1"/>
      <w:numFmt w:val="lowerRoman"/>
      <w:lvlText w:val="(%6)"/>
      <w:lvlJc w:val="left"/>
      <w:pPr>
        <w:ind w:left="2068" w:hanging="360"/>
      </w:pPr>
      <w:rPr>
        <w:rFonts w:hint="default"/>
      </w:rPr>
    </w:lvl>
    <w:lvl w:ilvl="6">
      <w:start w:val="1"/>
      <w:numFmt w:val="decimal"/>
      <w:lvlText w:val="%7."/>
      <w:lvlJc w:val="left"/>
      <w:pPr>
        <w:ind w:left="2428" w:hanging="360"/>
      </w:pPr>
      <w:rPr>
        <w:rFonts w:hint="default"/>
      </w:rPr>
    </w:lvl>
    <w:lvl w:ilvl="7">
      <w:start w:val="1"/>
      <w:numFmt w:val="lowerLetter"/>
      <w:lvlText w:val="%8."/>
      <w:lvlJc w:val="left"/>
      <w:pPr>
        <w:ind w:left="2788" w:hanging="360"/>
      </w:pPr>
      <w:rPr>
        <w:rFonts w:hint="default"/>
      </w:rPr>
    </w:lvl>
    <w:lvl w:ilvl="8">
      <w:start w:val="1"/>
      <w:numFmt w:val="lowerRoman"/>
      <w:lvlText w:val="%9."/>
      <w:lvlJc w:val="left"/>
      <w:pPr>
        <w:ind w:left="3148" w:hanging="360"/>
      </w:pPr>
      <w:rPr>
        <w:rFonts w:hint="default"/>
      </w:rPr>
    </w:lvl>
  </w:abstractNum>
  <w:abstractNum w:abstractNumId="29" w15:restartNumberingAfterBreak="0">
    <w:nsid w:val="77764E83"/>
    <w:multiLevelType w:val="multilevel"/>
    <w:tmpl w:val="2E004328"/>
    <w:lvl w:ilvl="0">
      <w:start w:val="1"/>
      <w:numFmt w:val="bullet"/>
      <w:lvlText w:val=""/>
      <w:lvlJc w:val="left"/>
      <w:pPr>
        <w:ind w:left="-92" w:hanging="340"/>
      </w:pPr>
      <w:rPr>
        <w:rFonts w:ascii="Symbol" w:hAnsi="Symbol" w:hint="default"/>
        <w:b w:val="0"/>
        <w:i w:val="0"/>
        <w:color w:val="2F5496"/>
      </w:rPr>
    </w:lvl>
    <w:lvl w:ilvl="1">
      <w:start w:val="1"/>
      <w:numFmt w:val="bullet"/>
      <w:lvlText w:val=""/>
      <w:lvlJc w:val="left"/>
      <w:pPr>
        <w:ind w:left="288" w:hanging="360"/>
      </w:pPr>
      <w:rPr>
        <w:rFonts w:ascii="Symbol" w:hAnsi="Symbol" w:hint="default"/>
        <w:color w:val="7492CD"/>
      </w:rPr>
    </w:lvl>
    <w:lvl w:ilvl="2">
      <w:start w:val="1"/>
      <w:numFmt w:val="bullet"/>
      <w:lvlText w:val=""/>
      <w:lvlJc w:val="left"/>
      <w:pPr>
        <w:ind w:left="648" w:hanging="360"/>
      </w:pPr>
      <w:rPr>
        <w:rFonts w:ascii="Symbol" w:hAnsi="Symbol" w:hint="default"/>
        <w:color w:val="9DB4DC"/>
      </w:rPr>
    </w:lvl>
    <w:lvl w:ilvl="3">
      <w:start w:val="1"/>
      <w:numFmt w:val="bullet"/>
      <w:lvlText w:val=""/>
      <w:lvlJc w:val="left"/>
      <w:pPr>
        <w:ind w:left="1008" w:hanging="360"/>
      </w:pPr>
      <w:rPr>
        <w:rFonts w:ascii="Symbol" w:hAnsi="Symbol" w:hint="default"/>
        <w:b w:val="0"/>
        <w:i w:val="0"/>
        <w:color w:val="2F5496"/>
      </w:rPr>
    </w:lvl>
    <w:lvl w:ilvl="4">
      <w:start w:val="1"/>
      <w:numFmt w:val="bullet"/>
      <w:lvlText w:val=""/>
      <w:lvlJc w:val="left"/>
      <w:pPr>
        <w:ind w:left="1368" w:hanging="360"/>
      </w:pPr>
      <w:rPr>
        <w:rFonts w:ascii="Symbol" w:hAnsi="Symbol" w:hint="default"/>
        <w:color w:val="7492CD"/>
      </w:rPr>
    </w:lvl>
    <w:lvl w:ilvl="5">
      <w:start w:val="1"/>
      <w:numFmt w:val="lowerRoman"/>
      <w:lvlText w:val="(%6)"/>
      <w:lvlJc w:val="left"/>
      <w:pPr>
        <w:ind w:left="1728" w:hanging="360"/>
      </w:pPr>
      <w:rPr>
        <w:rFonts w:hint="default"/>
      </w:rPr>
    </w:lvl>
    <w:lvl w:ilvl="6">
      <w:start w:val="1"/>
      <w:numFmt w:val="decimal"/>
      <w:lvlText w:val="%7."/>
      <w:lvlJc w:val="left"/>
      <w:pPr>
        <w:ind w:left="2088" w:hanging="360"/>
      </w:pPr>
      <w:rPr>
        <w:rFonts w:hint="default"/>
      </w:rPr>
    </w:lvl>
    <w:lvl w:ilvl="7">
      <w:start w:val="1"/>
      <w:numFmt w:val="lowerLetter"/>
      <w:lvlText w:val="%8."/>
      <w:lvlJc w:val="left"/>
      <w:pPr>
        <w:ind w:left="2448" w:hanging="360"/>
      </w:pPr>
      <w:rPr>
        <w:rFonts w:hint="default"/>
      </w:rPr>
    </w:lvl>
    <w:lvl w:ilvl="8">
      <w:start w:val="1"/>
      <w:numFmt w:val="lowerRoman"/>
      <w:lvlText w:val="%9."/>
      <w:lvlJc w:val="left"/>
      <w:pPr>
        <w:ind w:left="2808" w:hanging="360"/>
      </w:pPr>
      <w:rPr>
        <w:rFonts w:hint="default"/>
      </w:rPr>
    </w:lvl>
  </w:abstractNum>
  <w:abstractNum w:abstractNumId="30" w15:restartNumberingAfterBreak="0">
    <w:nsid w:val="77CA584C"/>
    <w:multiLevelType w:val="multilevel"/>
    <w:tmpl w:val="2CC0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A8320C"/>
    <w:multiLevelType w:val="hybridMultilevel"/>
    <w:tmpl w:val="7B643F2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16cid:durableId="1117719649">
    <w:abstractNumId w:val="9"/>
  </w:num>
  <w:num w:numId="2" w16cid:durableId="426922170">
    <w:abstractNumId w:val="7"/>
  </w:num>
  <w:num w:numId="3" w16cid:durableId="1028486616">
    <w:abstractNumId w:val="6"/>
  </w:num>
  <w:num w:numId="4" w16cid:durableId="637220631">
    <w:abstractNumId w:val="5"/>
  </w:num>
  <w:num w:numId="5" w16cid:durableId="585840765">
    <w:abstractNumId w:val="4"/>
  </w:num>
  <w:num w:numId="6" w16cid:durableId="1657686503">
    <w:abstractNumId w:val="8"/>
  </w:num>
  <w:num w:numId="7" w16cid:durableId="1825000841">
    <w:abstractNumId w:val="3"/>
  </w:num>
  <w:num w:numId="8" w16cid:durableId="1436974961">
    <w:abstractNumId w:val="2"/>
  </w:num>
  <w:num w:numId="9" w16cid:durableId="1496455410">
    <w:abstractNumId w:val="1"/>
  </w:num>
  <w:num w:numId="10" w16cid:durableId="1128859454">
    <w:abstractNumId w:val="0"/>
  </w:num>
  <w:num w:numId="11" w16cid:durableId="27612790">
    <w:abstractNumId w:val="22"/>
  </w:num>
  <w:num w:numId="12" w16cid:durableId="613905305">
    <w:abstractNumId w:val="18"/>
  </w:num>
  <w:num w:numId="13" w16cid:durableId="70935718">
    <w:abstractNumId w:val="28"/>
  </w:num>
  <w:num w:numId="14" w16cid:durableId="96945001">
    <w:abstractNumId w:val="14"/>
  </w:num>
  <w:num w:numId="15" w16cid:durableId="1542789175">
    <w:abstractNumId w:val="30"/>
  </w:num>
  <w:num w:numId="16" w16cid:durableId="427968048">
    <w:abstractNumId w:val="11"/>
  </w:num>
  <w:num w:numId="17" w16cid:durableId="1539387990">
    <w:abstractNumId w:val="20"/>
  </w:num>
  <w:num w:numId="18" w16cid:durableId="929699689">
    <w:abstractNumId w:val="26"/>
  </w:num>
  <w:num w:numId="19" w16cid:durableId="836961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960109">
    <w:abstractNumId w:val="27"/>
  </w:num>
  <w:num w:numId="21" w16cid:durableId="1287395440">
    <w:abstractNumId w:val="16"/>
  </w:num>
  <w:num w:numId="22" w16cid:durableId="974217069">
    <w:abstractNumId w:val="31"/>
  </w:num>
  <w:num w:numId="23" w16cid:durableId="849177008">
    <w:abstractNumId w:val="25"/>
  </w:num>
  <w:num w:numId="24" w16cid:durableId="1236478089">
    <w:abstractNumId w:val="10"/>
  </w:num>
  <w:num w:numId="25" w16cid:durableId="1300645793">
    <w:abstractNumId w:val="21"/>
  </w:num>
  <w:num w:numId="26" w16cid:durableId="821001166">
    <w:abstractNumId w:val="23"/>
  </w:num>
  <w:num w:numId="27" w16cid:durableId="1538010033">
    <w:abstractNumId w:val="12"/>
  </w:num>
  <w:num w:numId="28" w16cid:durableId="1344630095">
    <w:abstractNumId w:val="17"/>
  </w:num>
  <w:num w:numId="29" w16cid:durableId="1192300354">
    <w:abstractNumId w:val="13"/>
  </w:num>
  <w:num w:numId="30" w16cid:durableId="144009828">
    <w:abstractNumId w:val="24"/>
  </w:num>
  <w:num w:numId="31" w16cid:durableId="1054232293">
    <w:abstractNumId w:val="29"/>
  </w:num>
  <w:num w:numId="32" w16cid:durableId="1532457942">
    <w:abstractNumId w:val="19"/>
  </w:num>
  <w:num w:numId="33" w16cid:durableId="1306659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7"/>
    <w:rsid w:val="00000FEA"/>
    <w:rsid w:val="000048F7"/>
    <w:rsid w:val="000409DF"/>
    <w:rsid w:val="0005284C"/>
    <w:rsid w:val="00057542"/>
    <w:rsid w:val="000759E3"/>
    <w:rsid w:val="000775F9"/>
    <w:rsid w:val="00077EC7"/>
    <w:rsid w:val="0009457E"/>
    <w:rsid w:val="00097895"/>
    <w:rsid w:val="000C635C"/>
    <w:rsid w:val="000F5BC8"/>
    <w:rsid w:val="0011205B"/>
    <w:rsid w:val="00115F0F"/>
    <w:rsid w:val="001162B0"/>
    <w:rsid w:val="0012402C"/>
    <w:rsid w:val="00131F2C"/>
    <w:rsid w:val="001531AD"/>
    <w:rsid w:val="001634E4"/>
    <w:rsid w:val="001645A8"/>
    <w:rsid w:val="00197998"/>
    <w:rsid w:val="001C47D4"/>
    <w:rsid w:val="001D059E"/>
    <w:rsid w:val="001D1809"/>
    <w:rsid w:val="001D4382"/>
    <w:rsid w:val="00204F72"/>
    <w:rsid w:val="00207668"/>
    <w:rsid w:val="002105AC"/>
    <w:rsid w:val="002111DE"/>
    <w:rsid w:val="002136B2"/>
    <w:rsid w:val="00213B81"/>
    <w:rsid w:val="00220A90"/>
    <w:rsid w:val="002220E3"/>
    <w:rsid w:val="002331BA"/>
    <w:rsid w:val="002350CE"/>
    <w:rsid w:val="00235E54"/>
    <w:rsid w:val="0024652D"/>
    <w:rsid w:val="00255EA0"/>
    <w:rsid w:val="0027012F"/>
    <w:rsid w:val="00277CBB"/>
    <w:rsid w:val="00282592"/>
    <w:rsid w:val="0029192A"/>
    <w:rsid w:val="002B4FFE"/>
    <w:rsid w:val="002D2AB0"/>
    <w:rsid w:val="002D69E1"/>
    <w:rsid w:val="002F5DFB"/>
    <w:rsid w:val="0031279C"/>
    <w:rsid w:val="00312D0B"/>
    <w:rsid w:val="00337E62"/>
    <w:rsid w:val="00351172"/>
    <w:rsid w:val="00374762"/>
    <w:rsid w:val="00382482"/>
    <w:rsid w:val="00383ED4"/>
    <w:rsid w:val="0038484C"/>
    <w:rsid w:val="00390AB4"/>
    <w:rsid w:val="003A7291"/>
    <w:rsid w:val="003C4EBD"/>
    <w:rsid w:val="003D2D46"/>
    <w:rsid w:val="004078BB"/>
    <w:rsid w:val="004166A9"/>
    <w:rsid w:val="0042681F"/>
    <w:rsid w:val="004344B4"/>
    <w:rsid w:val="00445A05"/>
    <w:rsid w:val="004562D4"/>
    <w:rsid w:val="00460952"/>
    <w:rsid w:val="00464078"/>
    <w:rsid w:val="0047542F"/>
    <w:rsid w:val="00480D13"/>
    <w:rsid w:val="004824E5"/>
    <w:rsid w:val="004A1723"/>
    <w:rsid w:val="004A7D31"/>
    <w:rsid w:val="004E08E3"/>
    <w:rsid w:val="004E2F4F"/>
    <w:rsid w:val="004F15D8"/>
    <w:rsid w:val="0050231A"/>
    <w:rsid w:val="0053078A"/>
    <w:rsid w:val="00552923"/>
    <w:rsid w:val="00561DD0"/>
    <w:rsid w:val="00574609"/>
    <w:rsid w:val="00586EB0"/>
    <w:rsid w:val="0059408D"/>
    <w:rsid w:val="005A0E9A"/>
    <w:rsid w:val="005A2FC7"/>
    <w:rsid w:val="005B5DE9"/>
    <w:rsid w:val="005D29FC"/>
    <w:rsid w:val="005D3470"/>
    <w:rsid w:val="005D48A8"/>
    <w:rsid w:val="005D6510"/>
    <w:rsid w:val="005E0734"/>
    <w:rsid w:val="005E40E8"/>
    <w:rsid w:val="005F4C3D"/>
    <w:rsid w:val="00600FD5"/>
    <w:rsid w:val="006060F4"/>
    <w:rsid w:val="00630A92"/>
    <w:rsid w:val="006412DC"/>
    <w:rsid w:val="006525F6"/>
    <w:rsid w:val="006A0219"/>
    <w:rsid w:val="006A021A"/>
    <w:rsid w:val="006A0B2E"/>
    <w:rsid w:val="006A2470"/>
    <w:rsid w:val="006C2FD7"/>
    <w:rsid w:val="006C6868"/>
    <w:rsid w:val="006E202A"/>
    <w:rsid w:val="006E511E"/>
    <w:rsid w:val="006F3543"/>
    <w:rsid w:val="0071641A"/>
    <w:rsid w:val="00716BD7"/>
    <w:rsid w:val="00736598"/>
    <w:rsid w:val="00740EE6"/>
    <w:rsid w:val="00751E66"/>
    <w:rsid w:val="007528E8"/>
    <w:rsid w:val="0078374C"/>
    <w:rsid w:val="007A7365"/>
    <w:rsid w:val="007B781F"/>
    <w:rsid w:val="007C48F9"/>
    <w:rsid w:val="007D428A"/>
    <w:rsid w:val="007E4633"/>
    <w:rsid w:val="007F4AE4"/>
    <w:rsid w:val="00806147"/>
    <w:rsid w:val="0081579A"/>
    <w:rsid w:val="008169AA"/>
    <w:rsid w:val="0083310F"/>
    <w:rsid w:val="00840A7B"/>
    <w:rsid w:val="00851CCA"/>
    <w:rsid w:val="008649DE"/>
    <w:rsid w:val="00881E08"/>
    <w:rsid w:val="00885383"/>
    <w:rsid w:val="008A2C86"/>
    <w:rsid w:val="008A3011"/>
    <w:rsid w:val="008A3125"/>
    <w:rsid w:val="008A599E"/>
    <w:rsid w:val="008A7F17"/>
    <w:rsid w:val="008C4A69"/>
    <w:rsid w:val="008C6241"/>
    <w:rsid w:val="008D2C0A"/>
    <w:rsid w:val="008F0CB1"/>
    <w:rsid w:val="008F25D2"/>
    <w:rsid w:val="00911266"/>
    <w:rsid w:val="0092373D"/>
    <w:rsid w:val="00946F38"/>
    <w:rsid w:val="009503B7"/>
    <w:rsid w:val="00960592"/>
    <w:rsid w:val="00966B3D"/>
    <w:rsid w:val="00986A53"/>
    <w:rsid w:val="0099518F"/>
    <w:rsid w:val="0099757F"/>
    <w:rsid w:val="009C7A71"/>
    <w:rsid w:val="009E6989"/>
    <w:rsid w:val="009F25F0"/>
    <w:rsid w:val="009F4C3C"/>
    <w:rsid w:val="00A11003"/>
    <w:rsid w:val="00A21C4E"/>
    <w:rsid w:val="00A43CB3"/>
    <w:rsid w:val="00A638E3"/>
    <w:rsid w:val="00A667DB"/>
    <w:rsid w:val="00A67D92"/>
    <w:rsid w:val="00A74996"/>
    <w:rsid w:val="00A7527C"/>
    <w:rsid w:val="00A93B60"/>
    <w:rsid w:val="00AE2B0B"/>
    <w:rsid w:val="00AE30D4"/>
    <w:rsid w:val="00AE487B"/>
    <w:rsid w:val="00B108CD"/>
    <w:rsid w:val="00B27E42"/>
    <w:rsid w:val="00B433B6"/>
    <w:rsid w:val="00B46840"/>
    <w:rsid w:val="00B52484"/>
    <w:rsid w:val="00B61BB2"/>
    <w:rsid w:val="00B77739"/>
    <w:rsid w:val="00B83B1F"/>
    <w:rsid w:val="00B84ADC"/>
    <w:rsid w:val="00B85E19"/>
    <w:rsid w:val="00B933DA"/>
    <w:rsid w:val="00BA10A8"/>
    <w:rsid w:val="00BE512A"/>
    <w:rsid w:val="00C14E77"/>
    <w:rsid w:val="00C2226A"/>
    <w:rsid w:val="00C36007"/>
    <w:rsid w:val="00C411C3"/>
    <w:rsid w:val="00C63047"/>
    <w:rsid w:val="00CA1BD4"/>
    <w:rsid w:val="00CB682F"/>
    <w:rsid w:val="00CB6951"/>
    <w:rsid w:val="00CC0EDA"/>
    <w:rsid w:val="00CC7548"/>
    <w:rsid w:val="00CE3FB5"/>
    <w:rsid w:val="00D22C42"/>
    <w:rsid w:val="00D35C98"/>
    <w:rsid w:val="00D60A11"/>
    <w:rsid w:val="00D66C8B"/>
    <w:rsid w:val="00D66EA7"/>
    <w:rsid w:val="00D67415"/>
    <w:rsid w:val="00DB2259"/>
    <w:rsid w:val="00DB7C01"/>
    <w:rsid w:val="00DE5D52"/>
    <w:rsid w:val="00DF0F6B"/>
    <w:rsid w:val="00E0528E"/>
    <w:rsid w:val="00E1592A"/>
    <w:rsid w:val="00E31058"/>
    <w:rsid w:val="00E3506E"/>
    <w:rsid w:val="00E36C1B"/>
    <w:rsid w:val="00E426B7"/>
    <w:rsid w:val="00E43B0C"/>
    <w:rsid w:val="00E473BB"/>
    <w:rsid w:val="00E8196D"/>
    <w:rsid w:val="00E9152E"/>
    <w:rsid w:val="00E91632"/>
    <w:rsid w:val="00E96310"/>
    <w:rsid w:val="00EB6F51"/>
    <w:rsid w:val="00EB78AC"/>
    <w:rsid w:val="00EC3FD0"/>
    <w:rsid w:val="00EF517E"/>
    <w:rsid w:val="00F02505"/>
    <w:rsid w:val="00F14569"/>
    <w:rsid w:val="00F149BD"/>
    <w:rsid w:val="00F15515"/>
    <w:rsid w:val="00F22074"/>
    <w:rsid w:val="00F3354D"/>
    <w:rsid w:val="00F37F65"/>
    <w:rsid w:val="00F43A3E"/>
    <w:rsid w:val="00F451BF"/>
    <w:rsid w:val="00F728CF"/>
    <w:rsid w:val="00FC1430"/>
    <w:rsid w:val="00FD05E9"/>
    <w:rsid w:val="00FD35D6"/>
    <w:rsid w:val="00FD42EE"/>
    <w:rsid w:val="00FE02F8"/>
    <w:rsid w:val="00FE3DBF"/>
    <w:rsid w:val="00FF5A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A36AB"/>
  <w15:chartTrackingRefBased/>
  <w15:docId w15:val="{CC93061E-0BB7-4D91-AE3C-B87ED9B5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E9"/>
    <w:pPr>
      <w:spacing w:line="283" w:lineRule="auto"/>
    </w:pPr>
  </w:style>
  <w:style w:type="paragraph" w:styleId="Heading1">
    <w:name w:val="heading 1"/>
    <w:next w:val="ListNumber2"/>
    <w:link w:val="Heading1Char"/>
    <w:qFormat/>
    <w:rsid w:val="005B5DE9"/>
    <w:pPr>
      <w:keepNext/>
      <w:keepLines/>
      <w:numPr>
        <w:numId w:val="16"/>
      </w:numPr>
      <w:spacing w:before="240" w:after="240"/>
      <w:outlineLvl w:val="0"/>
    </w:pPr>
    <w:rPr>
      <w:rFonts w:ascii="Montserrat" w:eastAsiaTheme="majorEastAsia" w:hAnsi="Montserrat" w:cstheme="majorBidi"/>
      <w:b/>
      <w:color w:val="1A234C"/>
      <w:w w:val="90"/>
      <w:kern w:val="2"/>
      <w:sz w:val="36"/>
      <w:szCs w:val="32"/>
    </w:rPr>
  </w:style>
  <w:style w:type="paragraph" w:styleId="Heading2">
    <w:name w:val="heading 2"/>
    <w:basedOn w:val="Heading1"/>
    <w:next w:val="ListNumber2"/>
    <w:link w:val="Heading2Char"/>
    <w:autoRedefine/>
    <w:uiPriority w:val="9"/>
    <w:unhideWhenUsed/>
    <w:qFormat/>
    <w:rsid w:val="005B5DE9"/>
    <w:pPr>
      <w:numPr>
        <w:numId w:val="0"/>
      </w:numPr>
      <w:spacing w:after="200"/>
      <w:outlineLvl w:val="1"/>
    </w:pPr>
    <w:rPr>
      <w:color w:val="2F5496"/>
      <w:sz w:val="32"/>
      <w:szCs w:val="26"/>
    </w:rPr>
  </w:style>
  <w:style w:type="paragraph" w:styleId="Heading3">
    <w:name w:val="heading 3"/>
    <w:basedOn w:val="Heading2"/>
    <w:next w:val="ListNumber2"/>
    <w:link w:val="Heading3Char"/>
    <w:uiPriority w:val="9"/>
    <w:unhideWhenUsed/>
    <w:qFormat/>
    <w:rsid w:val="005B5DE9"/>
    <w:pPr>
      <w:spacing w:before="120"/>
      <w:outlineLvl w:val="2"/>
    </w:pPr>
    <w:rPr>
      <w:color w:val="7492CD"/>
      <w:sz w:val="28"/>
      <w:szCs w:val="24"/>
    </w:rPr>
  </w:style>
  <w:style w:type="paragraph" w:styleId="Heading4">
    <w:name w:val="heading 4"/>
    <w:basedOn w:val="Heading3"/>
    <w:next w:val="Normal"/>
    <w:link w:val="Heading4Char"/>
    <w:uiPriority w:val="9"/>
    <w:unhideWhenUsed/>
    <w:qFormat/>
    <w:rsid w:val="005B5DE9"/>
    <w:pPr>
      <w:outlineLvl w:val="3"/>
    </w:pPr>
    <w:rPr>
      <w:rFonts w:ascii="Montserrat SemiBold" w:hAnsi="Montserrat SemiBold"/>
      <w:b w:val="0"/>
      <w:iCs/>
      <w:color w:val="2F5496"/>
      <w:sz w:val="24"/>
    </w:rPr>
  </w:style>
  <w:style w:type="paragraph" w:styleId="Heading5">
    <w:name w:val="heading 5"/>
    <w:basedOn w:val="Heading4"/>
    <w:next w:val="ListNumber2"/>
    <w:link w:val="Heading5Char"/>
    <w:uiPriority w:val="9"/>
    <w:unhideWhenUsed/>
    <w:qFormat/>
    <w:rsid w:val="005B5DE9"/>
    <w:pPr>
      <w:outlineLvl w:val="4"/>
    </w:pPr>
    <w:rPr>
      <w:rFonts w:ascii="Montserrat" w:hAnsi="Montserra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E9"/>
    <w:rPr>
      <w:rFonts w:ascii="Montserrat" w:eastAsiaTheme="majorEastAsia" w:hAnsi="Montserrat" w:cstheme="majorBidi"/>
      <w:b/>
      <w:color w:val="1A234C"/>
      <w:w w:val="90"/>
      <w:kern w:val="2"/>
      <w:sz w:val="36"/>
      <w:szCs w:val="32"/>
    </w:rPr>
  </w:style>
  <w:style w:type="character" w:customStyle="1" w:styleId="Heading2Char">
    <w:name w:val="Heading 2 Char"/>
    <w:basedOn w:val="DefaultParagraphFont"/>
    <w:link w:val="Heading2"/>
    <w:uiPriority w:val="9"/>
    <w:rsid w:val="005B5DE9"/>
    <w:rPr>
      <w:rFonts w:ascii="Montserrat" w:eastAsiaTheme="majorEastAsia" w:hAnsi="Montserrat" w:cstheme="majorBidi"/>
      <w:b/>
      <w:color w:val="2F5496"/>
      <w:w w:val="90"/>
      <w:kern w:val="2"/>
      <w:sz w:val="32"/>
      <w:szCs w:val="26"/>
    </w:rPr>
  </w:style>
  <w:style w:type="character" w:customStyle="1" w:styleId="Heading3Char">
    <w:name w:val="Heading 3 Char"/>
    <w:basedOn w:val="DefaultParagraphFont"/>
    <w:link w:val="Heading3"/>
    <w:uiPriority w:val="9"/>
    <w:rsid w:val="005B5DE9"/>
    <w:rPr>
      <w:rFonts w:ascii="Montserrat" w:eastAsiaTheme="majorEastAsia" w:hAnsi="Montserrat" w:cstheme="majorBidi"/>
      <w:b/>
      <w:color w:val="7492CD"/>
      <w:w w:val="90"/>
      <w:kern w:val="2"/>
      <w:sz w:val="28"/>
      <w:szCs w:val="24"/>
    </w:rPr>
  </w:style>
  <w:style w:type="character" w:customStyle="1" w:styleId="Heading4Char">
    <w:name w:val="Heading 4 Char"/>
    <w:basedOn w:val="DefaultParagraphFont"/>
    <w:link w:val="Heading4"/>
    <w:uiPriority w:val="9"/>
    <w:rsid w:val="005B5DE9"/>
    <w:rPr>
      <w:rFonts w:ascii="Montserrat SemiBold" w:eastAsiaTheme="majorEastAsia" w:hAnsi="Montserrat SemiBold" w:cstheme="majorBidi"/>
      <w:iCs/>
      <w:color w:val="2F5496"/>
      <w:w w:val="90"/>
      <w:kern w:val="2"/>
      <w:sz w:val="24"/>
      <w:szCs w:val="24"/>
    </w:rPr>
  </w:style>
  <w:style w:type="character" w:customStyle="1" w:styleId="Heading5Char">
    <w:name w:val="Heading 5 Char"/>
    <w:basedOn w:val="DefaultParagraphFont"/>
    <w:link w:val="Heading5"/>
    <w:uiPriority w:val="9"/>
    <w:rsid w:val="005B5DE9"/>
    <w:rPr>
      <w:rFonts w:ascii="Montserrat" w:eastAsiaTheme="majorEastAsia" w:hAnsi="Montserrat" w:cstheme="majorBidi"/>
      <w:iCs/>
      <w:color w:val="2F5496"/>
      <w:w w:val="90"/>
      <w:kern w:val="2"/>
      <w:sz w:val="23"/>
      <w:szCs w:val="20"/>
    </w:rPr>
  </w:style>
  <w:style w:type="paragraph" w:styleId="Title">
    <w:name w:val="Title"/>
    <w:basedOn w:val="Normal"/>
    <w:next w:val="Normal"/>
    <w:link w:val="TitleChar"/>
    <w:uiPriority w:val="10"/>
    <w:qFormat/>
    <w:rsid w:val="005B5DE9"/>
    <w:pPr>
      <w:spacing w:before="4000" w:after="360" w:line="259" w:lineRule="auto"/>
      <w:ind w:right="2790"/>
      <w:contextualSpacing/>
    </w:pPr>
    <w:rPr>
      <w:rFonts w:ascii="Montserrat" w:eastAsiaTheme="majorEastAsia" w:hAnsi="Montserrat" w:cstheme="majorBidi"/>
      <w:b/>
      <w:spacing w:val="-10"/>
      <w:w w:val="90"/>
      <w:kern w:val="28"/>
      <w:sz w:val="58"/>
      <w:szCs w:val="58"/>
    </w:rPr>
  </w:style>
  <w:style w:type="character" w:customStyle="1" w:styleId="TitleChar">
    <w:name w:val="Title Char"/>
    <w:basedOn w:val="DefaultParagraphFont"/>
    <w:link w:val="Title"/>
    <w:uiPriority w:val="10"/>
    <w:rsid w:val="005B5DE9"/>
    <w:rPr>
      <w:rFonts w:ascii="Montserrat" w:eastAsiaTheme="majorEastAsia" w:hAnsi="Montserrat" w:cstheme="majorBidi"/>
      <w:b/>
      <w:spacing w:val="-10"/>
      <w:w w:val="90"/>
      <w:kern w:val="28"/>
      <w:sz w:val="58"/>
      <w:szCs w:val="58"/>
    </w:rPr>
  </w:style>
  <w:style w:type="paragraph" w:styleId="Subtitle">
    <w:name w:val="Subtitle"/>
    <w:basedOn w:val="Normal"/>
    <w:next w:val="Normal"/>
    <w:link w:val="SubtitleChar"/>
    <w:uiPriority w:val="11"/>
    <w:qFormat/>
    <w:rsid w:val="005B5DE9"/>
    <w:pPr>
      <w:spacing w:before="120" w:after="120"/>
      <w:ind w:left="2268"/>
    </w:pPr>
    <w:rPr>
      <w:rFonts w:ascii="Arial" w:hAnsi="Arial" w:cs="Arial"/>
      <w:kern w:val="20"/>
      <w:sz w:val="28"/>
      <w:szCs w:val="28"/>
    </w:rPr>
  </w:style>
  <w:style w:type="character" w:customStyle="1" w:styleId="SubtitleChar">
    <w:name w:val="Subtitle Char"/>
    <w:basedOn w:val="DefaultParagraphFont"/>
    <w:link w:val="Subtitle"/>
    <w:uiPriority w:val="11"/>
    <w:rsid w:val="005B5DE9"/>
    <w:rPr>
      <w:rFonts w:ascii="Arial" w:hAnsi="Arial" w:cs="Arial"/>
      <w:kern w:val="20"/>
      <w:sz w:val="28"/>
      <w:szCs w:val="28"/>
    </w:rPr>
  </w:style>
  <w:style w:type="paragraph" w:styleId="TOCHeading">
    <w:name w:val="TOC Heading"/>
    <w:basedOn w:val="Heading1"/>
    <w:next w:val="Normal"/>
    <w:uiPriority w:val="39"/>
    <w:unhideWhenUsed/>
    <w:qFormat/>
    <w:rsid w:val="005B5DE9"/>
    <w:pPr>
      <w:numPr>
        <w:numId w:val="0"/>
      </w:numPr>
      <w:outlineLvl w:val="9"/>
    </w:pPr>
    <w:rPr>
      <w:lang w:val="en-US"/>
    </w:rPr>
  </w:style>
  <w:style w:type="paragraph" w:styleId="TOC1">
    <w:name w:val="toc 1"/>
    <w:basedOn w:val="Normal"/>
    <w:next w:val="Normal"/>
    <w:autoRedefine/>
    <w:uiPriority w:val="39"/>
    <w:unhideWhenUsed/>
    <w:rsid w:val="005B5DE9"/>
    <w:pPr>
      <w:tabs>
        <w:tab w:val="left" w:pos="425"/>
        <w:tab w:val="right" w:pos="9016"/>
      </w:tabs>
      <w:spacing w:before="160" w:after="60"/>
    </w:pPr>
    <w:rPr>
      <w:rFonts w:ascii="Montserrat" w:hAnsi="Montserrat"/>
      <w:b/>
      <w:bCs/>
      <w:noProof/>
      <w:color w:val="2F5496"/>
      <w:w w:val="90"/>
      <w:sz w:val="23"/>
    </w:rPr>
  </w:style>
  <w:style w:type="paragraph" w:styleId="TOC2">
    <w:name w:val="toc 2"/>
    <w:basedOn w:val="Normal"/>
    <w:next w:val="Normal"/>
    <w:autoRedefine/>
    <w:uiPriority w:val="39"/>
    <w:unhideWhenUsed/>
    <w:rsid w:val="005B5DE9"/>
    <w:pPr>
      <w:tabs>
        <w:tab w:val="right" w:pos="9016"/>
      </w:tabs>
      <w:spacing w:before="60" w:after="60"/>
      <w:ind w:left="426"/>
    </w:pPr>
    <w:rPr>
      <w:noProof/>
    </w:rPr>
  </w:style>
  <w:style w:type="paragraph" w:styleId="TOC3">
    <w:name w:val="toc 3"/>
    <w:basedOn w:val="Normal"/>
    <w:next w:val="Normal"/>
    <w:autoRedefine/>
    <w:uiPriority w:val="39"/>
    <w:unhideWhenUsed/>
    <w:rsid w:val="005B5DE9"/>
    <w:pPr>
      <w:tabs>
        <w:tab w:val="right" w:pos="9016"/>
      </w:tabs>
      <w:spacing w:before="60" w:after="60"/>
      <w:ind w:left="709"/>
    </w:pPr>
    <w:rPr>
      <w:noProof/>
    </w:rPr>
  </w:style>
  <w:style w:type="character" w:styleId="Hyperlink">
    <w:name w:val="Hyperlink"/>
    <w:basedOn w:val="DefaultParagraphFont"/>
    <w:uiPriority w:val="99"/>
    <w:unhideWhenUsed/>
    <w:rsid w:val="005B5DE9"/>
    <w:rPr>
      <w:color w:val="0563C1" w:themeColor="hyperlink"/>
      <w:u w:val="single"/>
    </w:rPr>
  </w:style>
  <w:style w:type="paragraph" w:styleId="List">
    <w:name w:val="List"/>
    <w:basedOn w:val="Normal"/>
    <w:uiPriority w:val="99"/>
    <w:unhideWhenUsed/>
    <w:qFormat/>
    <w:rsid w:val="005B5DE9"/>
    <w:pPr>
      <w:spacing w:after="40"/>
    </w:pPr>
  </w:style>
  <w:style w:type="paragraph" w:styleId="Header">
    <w:name w:val="header"/>
    <w:basedOn w:val="Normal"/>
    <w:link w:val="HeaderChar"/>
    <w:uiPriority w:val="99"/>
    <w:unhideWhenUsed/>
    <w:rsid w:val="005B5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DE9"/>
  </w:style>
  <w:style w:type="paragraph" w:styleId="Footer">
    <w:name w:val="footer"/>
    <w:basedOn w:val="Normal"/>
    <w:link w:val="FooterChar"/>
    <w:uiPriority w:val="99"/>
    <w:unhideWhenUsed/>
    <w:rsid w:val="005B5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DE9"/>
  </w:style>
  <w:style w:type="character" w:styleId="PlaceholderText">
    <w:name w:val="Placeholder Text"/>
    <w:basedOn w:val="DefaultParagraphFont"/>
    <w:uiPriority w:val="99"/>
    <w:semiHidden/>
    <w:rsid w:val="005B5DE9"/>
    <w:rPr>
      <w:color w:val="808080"/>
    </w:rPr>
  </w:style>
  <w:style w:type="character" w:styleId="UnresolvedMention">
    <w:name w:val="Unresolved Mention"/>
    <w:basedOn w:val="DefaultParagraphFont"/>
    <w:uiPriority w:val="99"/>
    <w:semiHidden/>
    <w:unhideWhenUsed/>
    <w:rsid w:val="005B5DE9"/>
    <w:rPr>
      <w:color w:val="605E5C"/>
      <w:shd w:val="clear" w:color="auto" w:fill="E1DFDD"/>
    </w:rPr>
  </w:style>
  <w:style w:type="paragraph" w:customStyle="1" w:styleId="Cover-Committeename">
    <w:name w:val="Cover - Committee name"/>
    <w:basedOn w:val="Subtitle"/>
    <w:qFormat/>
    <w:rsid w:val="005B5DE9"/>
    <w:pPr>
      <w:spacing w:before="60" w:after="240" w:line="240" w:lineRule="auto"/>
      <w:ind w:left="1843" w:right="2648"/>
    </w:pPr>
    <w:rPr>
      <w:rFonts w:ascii="Montserrat Light" w:hAnsi="Montserrat Light"/>
      <w:color w:val="1A234C"/>
      <w:w w:val="90"/>
      <w:sz w:val="25"/>
      <w:szCs w:val="25"/>
    </w:rPr>
  </w:style>
  <w:style w:type="paragraph" w:styleId="Quote">
    <w:name w:val="Quote"/>
    <w:basedOn w:val="Normal"/>
    <w:next w:val="ListNumber2"/>
    <w:link w:val="QuoteChar"/>
    <w:uiPriority w:val="29"/>
    <w:qFormat/>
    <w:rsid w:val="005B5DE9"/>
    <w:pPr>
      <w:spacing w:before="200" w:after="200"/>
      <w:ind w:left="1134" w:right="862"/>
    </w:pPr>
    <w:rPr>
      <w:color w:val="595959" w:themeColor="text1" w:themeTint="A6"/>
      <w:sz w:val="21"/>
      <w:szCs w:val="21"/>
    </w:rPr>
  </w:style>
  <w:style w:type="character" w:customStyle="1" w:styleId="QuoteChar">
    <w:name w:val="Quote Char"/>
    <w:basedOn w:val="DefaultParagraphFont"/>
    <w:link w:val="Quote"/>
    <w:uiPriority w:val="29"/>
    <w:rsid w:val="005B5DE9"/>
    <w:rPr>
      <w:color w:val="595959" w:themeColor="text1" w:themeTint="A6"/>
      <w:sz w:val="21"/>
      <w:szCs w:val="21"/>
    </w:rPr>
  </w:style>
  <w:style w:type="table" w:styleId="TableGrid">
    <w:name w:val="Table Grid"/>
    <w:basedOn w:val="TableNormal"/>
    <w:uiPriority w:val="39"/>
    <w:rsid w:val="005B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ing">
    <w:name w:val="Recommendation heading"/>
    <w:next w:val="Normal"/>
    <w:rsid w:val="005B5DE9"/>
    <w:pPr>
      <w:adjustRightInd w:val="0"/>
      <w:spacing w:before="80" w:after="80" w:line="240" w:lineRule="auto"/>
    </w:pPr>
    <w:rPr>
      <w:rFonts w:ascii="Montserrat" w:hAnsi="Montserrat"/>
      <w:b/>
      <w:bCs/>
      <w:color w:val="2F5496"/>
      <w:w w:val="90"/>
      <w:sz w:val="24"/>
      <w:szCs w:val="24"/>
    </w:rPr>
  </w:style>
  <w:style w:type="paragraph" w:customStyle="1" w:styleId="Heading1nonumber">
    <w:name w:val="Heading 1 (no number)"/>
    <w:basedOn w:val="Heading1"/>
    <w:next w:val="Normal"/>
    <w:link w:val="Heading1nonumberChar"/>
    <w:autoRedefine/>
    <w:qFormat/>
    <w:rsid w:val="005B5DE9"/>
    <w:pPr>
      <w:numPr>
        <w:numId w:val="0"/>
      </w:numPr>
    </w:pPr>
  </w:style>
  <w:style w:type="character" w:customStyle="1" w:styleId="Heading1nonumberChar">
    <w:name w:val="Heading 1 (no number) Char"/>
    <w:basedOn w:val="Heading1Char"/>
    <w:link w:val="Heading1nonumber"/>
    <w:rsid w:val="005B5DE9"/>
    <w:rPr>
      <w:rFonts w:ascii="Montserrat" w:eastAsiaTheme="majorEastAsia" w:hAnsi="Montserrat" w:cstheme="majorBidi"/>
      <w:b/>
      <w:color w:val="1A234C"/>
      <w:w w:val="90"/>
      <w:kern w:val="2"/>
      <w:sz w:val="36"/>
      <w:szCs w:val="32"/>
    </w:rPr>
  </w:style>
  <w:style w:type="paragraph" w:styleId="ListBullet">
    <w:name w:val="List Bullet"/>
    <w:basedOn w:val="ListParagraph"/>
    <w:uiPriority w:val="99"/>
    <w:unhideWhenUsed/>
    <w:qFormat/>
    <w:rsid w:val="005B5DE9"/>
    <w:pPr>
      <w:numPr>
        <w:numId w:val="13"/>
      </w:numPr>
      <w:tabs>
        <w:tab w:val="num" w:pos="360"/>
      </w:tabs>
      <w:spacing w:before="120" w:after="120"/>
      <w:ind w:left="1276" w:firstLine="0"/>
      <w:contextualSpacing w:val="0"/>
    </w:pPr>
  </w:style>
  <w:style w:type="paragraph" w:styleId="ListBullet2">
    <w:name w:val="List Bullet 2"/>
    <w:basedOn w:val="ListParagraph"/>
    <w:uiPriority w:val="99"/>
    <w:unhideWhenUsed/>
    <w:rsid w:val="005B5DE9"/>
    <w:pPr>
      <w:numPr>
        <w:ilvl w:val="1"/>
        <w:numId w:val="13"/>
      </w:numPr>
      <w:spacing w:before="120" w:after="120"/>
      <w:ind w:left="1701"/>
      <w:contextualSpacing w:val="0"/>
    </w:pPr>
  </w:style>
  <w:style w:type="paragraph" w:styleId="ListBullet3">
    <w:name w:val="List Bullet 3"/>
    <w:basedOn w:val="ListParagraph"/>
    <w:uiPriority w:val="99"/>
    <w:unhideWhenUsed/>
    <w:rsid w:val="005B5DE9"/>
    <w:pPr>
      <w:numPr>
        <w:ilvl w:val="2"/>
        <w:numId w:val="13"/>
      </w:numPr>
      <w:spacing w:before="120" w:after="120"/>
      <w:ind w:left="2127"/>
      <w:contextualSpacing w:val="0"/>
    </w:p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5B5DE9"/>
    <w:pPr>
      <w:spacing w:after="80"/>
      <w:ind w:left="720"/>
      <w:contextualSpacing/>
    </w:pPr>
  </w:style>
  <w:style w:type="paragraph" w:styleId="ListBullet4">
    <w:name w:val="List Bullet 4"/>
    <w:basedOn w:val="ListParagraph"/>
    <w:uiPriority w:val="99"/>
    <w:unhideWhenUsed/>
    <w:rsid w:val="005B5DE9"/>
    <w:pPr>
      <w:numPr>
        <w:ilvl w:val="3"/>
        <w:numId w:val="13"/>
      </w:numPr>
      <w:spacing w:before="120" w:after="120"/>
      <w:ind w:left="2552"/>
      <w:contextualSpacing w:val="0"/>
    </w:pPr>
  </w:style>
  <w:style w:type="paragraph" w:styleId="ListBullet5">
    <w:name w:val="List Bullet 5"/>
    <w:basedOn w:val="ListParagraph"/>
    <w:uiPriority w:val="99"/>
    <w:unhideWhenUsed/>
    <w:rsid w:val="005B5DE9"/>
    <w:pPr>
      <w:numPr>
        <w:ilvl w:val="4"/>
        <w:numId w:val="13"/>
      </w:numPr>
      <w:spacing w:before="120" w:after="120"/>
      <w:ind w:left="2977"/>
      <w:contextualSpacing w:val="0"/>
    </w:pPr>
  </w:style>
  <w:style w:type="paragraph" w:styleId="ListNumber5">
    <w:name w:val="List Number 5"/>
    <w:basedOn w:val="ListNumber4"/>
    <w:uiPriority w:val="99"/>
    <w:unhideWhenUsed/>
    <w:rsid w:val="005B5DE9"/>
    <w:pPr>
      <w:numPr>
        <w:ilvl w:val="4"/>
      </w:numPr>
    </w:pPr>
  </w:style>
  <w:style w:type="paragraph" w:customStyle="1" w:styleId="Cover-Assemblyname">
    <w:name w:val="Cover - Assembly name"/>
    <w:basedOn w:val="Header"/>
    <w:qFormat/>
    <w:rsid w:val="005B5DE9"/>
    <w:pPr>
      <w:spacing w:line="340" w:lineRule="exact"/>
      <w:ind w:left="1701"/>
    </w:pPr>
    <w:rPr>
      <w:rFonts w:ascii="Montserrat" w:hAnsi="Montserrat" w:cs="Arial"/>
      <w:b/>
      <w:bCs/>
      <w:color w:val="1A234C"/>
      <w:w w:val="90"/>
      <w:kern w:val="32"/>
      <w:sz w:val="32"/>
      <w:szCs w:val="32"/>
    </w:rPr>
  </w:style>
  <w:style w:type="paragraph" w:styleId="NoSpacing">
    <w:name w:val="No Spacing"/>
    <w:uiPriority w:val="1"/>
    <w:rsid w:val="005B5DE9"/>
    <w:pPr>
      <w:spacing w:after="0" w:line="240" w:lineRule="auto"/>
    </w:pPr>
  </w:style>
  <w:style w:type="paragraph" w:styleId="ListNumber2">
    <w:name w:val="List Number 2"/>
    <w:basedOn w:val="Normal"/>
    <w:uiPriority w:val="99"/>
    <w:unhideWhenUsed/>
    <w:qFormat/>
    <w:rsid w:val="005B5DE9"/>
    <w:pPr>
      <w:numPr>
        <w:ilvl w:val="1"/>
        <w:numId w:val="16"/>
      </w:numPr>
      <w:spacing w:before="80" w:after="120"/>
    </w:pPr>
    <w:rPr>
      <w:rFonts w:cstheme="minorHAnsi"/>
      <w:bCs/>
      <w:color w:val="000000" w:themeColor="text1"/>
      <w:szCs w:val="20"/>
    </w:rPr>
  </w:style>
  <w:style w:type="paragraph" w:styleId="ListNumber">
    <w:name w:val="List Number"/>
    <w:basedOn w:val="Heading1"/>
    <w:next w:val="ListNumber2"/>
    <w:uiPriority w:val="99"/>
    <w:unhideWhenUsed/>
    <w:rsid w:val="005B5DE9"/>
  </w:style>
  <w:style w:type="paragraph" w:styleId="ListNumber3">
    <w:name w:val="List Number 3"/>
    <w:basedOn w:val="ListNumber2"/>
    <w:unhideWhenUsed/>
    <w:rsid w:val="005B5DE9"/>
    <w:pPr>
      <w:numPr>
        <w:ilvl w:val="2"/>
      </w:numPr>
    </w:pPr>
  </w:style>
  <w:style w:type="paragraph" w:styleId="ListNumber4">
    <w:name w:val="List Number 4"/>
    <w:basedOn w:val="ListNumber3"/>
    <w:uiPriority w:val="99"/>
    <w:unhideWhenUsed/>
    <w:rsid w:val="005B5DE9"/>
    <w:pPr>
      <w:numPr>
        <w:ilvl w:val="3"/>
      </w:numPr>
    </w:pPr>
  </w:style>
  <w:style w:type="character" w:styleId="CommentReference">
    <w:name w:val="annotation reference"/>
    <w:basedOn w:val="DefaultParagraphFont"/>
    <w:uiPriority w:val="99"/>
    <w:semiHidden/>
    <w:unhideWhenUsed/>
    <w:rsid w:val="005B5DE9"/>
    <w:rPr>
      <w:sz w:val="16"/>
      <w:szCs w:val="16"/>
    </w:rPr>
  </w:style>
  <w:style w:type="paragraph" w:styleId="CommentText">
    <w:name w:val="annotation text"/>
    <w:basedOn w:val="Normal"/>
    <w:link w:val="CommentTextChar"/>
    <w:uiPriority w:val="99"/>
    <w:unhideWhenUsed/>
    <w:rsid w:val="005B5DE9"/>
    <w:pPr>
      <w:spacing w:line="240" w:lineRule="auto"/>
    </w:pPr>
    <w:rPr>
      <w:sz w:val="20"/>
      <w:szCs w:val="20"/>
    </w:rPr>
  </w:style>
  <w:style w:type="character" w:customStyle="1" w:styleId="CommentTextChar">
    <w:name w:val="Comment Text Char"/>
    <w:basedOn w:val="DefaultParagraphFont"/>
    <w:link w:val="CommentText"/>
    <w:uiPriority w:val="99"/>
    <w:rsid w:val="005B5DE9"/>
    <w:rPr>
      <w:sz w:val="20"/>
      <w:szCs w:val="20"/>
    </w:rPr>
  </w:style>
  <w:style w:type="paragraph" w:styleId="CommentSubject">
    <w:name w:val="annotation subject"/>
    <w:basedOn w:val="CommentText"/>
    <w:next w:val="CommentText"/>
    <w:link w:val="CommentSubjectChar"/>
    <w:uiPriority w:val="99"/>
    <w:semiHidden/>
    <w:unhideWhenUsed/>
    <w:rsid w:val="005B5DE9"/>
    <w:rPr>
      <w:b/>
      <w:bCs/>
    </w:rPr>
  </w:style>
  <w:style w:type="character" w:customStyle="1" w:styleId="CommentSubjectChar">
    <w:name w:val="Comment Subject Char"/>
    <w:basedOn w:val="CommentTextChar"/>
    <w:link w:val="CommentSubject"/>
    <w:uiPriority w:val="99"/>
    <w:semiHidden/>
    <w:rsid w:val="005B5DE9"/>
    <w:rPr>
      <w:b/>
      <w:bCs/>
      <w:sz w:val="20"/>
      <w:szCs w:val="20"/>
    </w:rPr>
  </w:style>
  <w:style w:type="table" w:customStyle="1" w:styleId="Assemblystyletable">
    <w:name w:val="Assembly style table"/>
    <w:basedOn w:val="TableNormal"/>
    <w:uiPriority w:val="99"/>
    <w:rsid w:val="005B5DE9"/>
    <w:pPr>
      <w:adjustRightInd w:val="0"/>
      <w:spacing w:before="80" w:after="80" w:line="240" w:lineRule="auto"/>
    </w:pPr>
    <w:rPr>
      <w:color w:val="000000" w:themeColor="text1"/>
      <w:sz w:val="20"/>
    </w:rPr>
    <w:tblPr>
      <w:tblStyleRowBandSize w:val="1"/>
      <w:tblBorders>
        <w:top w:val="single" w:sz="4" w:space="0" w:color="2F5496"/>
        <w:bottom w:val="single" w:sz="12" w:space="0" w:color="2F5496"/>
      </w:tblBorders>
    </w:tblPr>
    <w:tcPr>
      <w:vAlign w:val="center"/>
    </w:tcPr>
    <w:tblStylePr w:type="firstRow">
      <w:pPr>
        <w:jc w:val="left"/>
      </w:pPr>
      <w:rPr>
        <w:rFonts w:ascii="Calibri" w:hAnsi="Calibri"/>
        <w:b w:val="0"/>
        <w:color w:val="000000" w:themeColor="text1"/>
        <w:sz w:val="20"/>
      </w:rPr>
      <w:tblPr/>
      <w:tcPr>
        <w:tcBorders>
          <w:top w:val="single" w:sz="12" w:space="0" w:color="2F5496"/>
          <w:left w:val="nil"/>
          <w:bottom w:val="single" w:sz="4" w:space="0" w:color="2F5496"/>
          <w:right w:val="nil"/>
          <w:insideH w:val="nil"/>
          <w:insideV w:val="nil"/>
        </w:tcBorders>
        <w:vAlign w:val="center"/>
      </w:tcPr>
    </w:tblStylePr>
    <w:tblStylePr w:type="lastRow">
      <w:tblPr/>
      <w:tcPr>
        <w:tcBorders>
          <w:top w:val="single" w:sz="4" w:space="0" w:color="2F5496"/>
          <w:bottom w:val="single" w:sz="12" w:space="0" w:color="2F5496"/>
        </w:tcBorders>
      </w:tcPr>
    </w:tblStylePr>
    <w:tblStylePr w:type="band1Horz">
      <w:tblPr/>
      <w:tcPr>
        <w:shd w:val="clear" w:color="auto" w:fill="F2F2F2"/>
      </w:tcPr>
    </w:tblStylePr>
    <w:tblStylePr w:type="band2Horz">
      <w:tblPr/>
      <w:tcPr>
        <w:shd w:val="clear" w:color="auto" w:fill="E7E6E6"/>
      </w:tcPr>
    </w:tblStylePr>
  </w:style>
  <w:style w:type="paragraph" w:customStyle="1" w:styleId="Tableheading">
    <w:name w:val="Table heading"/>
    <w:qFormat/>
    <w:rsid w:val="005B5DE9"/>
    <w:pPr>
      <w:adjustRightInd w:val="0"/>
      <w:spacing w:before="80" w:after="80" w:line="240" w:lineRule="auto"/>
    </w:pPr>
    <w:rPr>
      <w:rFonts w:ascii="Calibri" w:hAnsi="Calibri" w:cstheme="minorHAnsi"/>
      <w:b/>
      <w:bCs/>
      <w:color w:val="000000" w:themeColor="text1"/>
      <w:sz w:val="20"/>
      <w:szCs w:val="20"/>
    </w:rPr>
  </w:style>
  <w:style w:type="paragraph" w:customStyle="1" w:styleId="Tablebody">
    <w:name w:val="Table body"/>
    <w:basedOn w:val="ListNumber3"/>
    <w:qFormat/>
    <w:rsid w:val="005B5DE9"/>
    <w:pPr>
      <w:numPr>
        <w:ilvl w:val="0"/>
        <w:numId w:val="0"/>
      </w:numPr>
      <w:adjustRightInd w:val="0"/>
      <w:spacing w:after="80" w:line="240" w:lineRule="auto"/>
    </w:pPr>
    <w:rPr>
      <w:sz w:val="20"/>
    </w:rPr>
  </w:style>
  <w:style w:type="paragraph" w:styleId="Caption">
    <w:name w:val="caption"/>
    <w:basedOn w:val="Normal"/>
    <w:next w:val="ListNumber2"/>
    <w:uiPriority w:val="35"/>
    <w:unhideWhenUsed/>
    <w:qFormat/>
    <w:rsid w:val="005B5DE9"/>
    <w:pPr>
      <w:spacing w:after="200" w:line="240" w:lineRule="auto"/>
      <w:ind w:left="709"/>
    </w:pPr>
    <w:rPr>
      <w:iCs/>
      <w:color w:val="7F7F7F" w:themeColor="text1" w:themeTint="80"/>
      <w:sz w:val="18"/>
      <w:szCs w:val="18"/>
    </w:rPr>
  </w:style>
  <w:style w:type="paragraph" w:customStyle="1" w:styleId="FrontmatterRecommendationlistheading">
    <w:name w:val="Front matter (Recommendation list heading)"/>
    <w:basedOn w:val="Recommendationheading"/>
    <w:next w:val="Normal"/>
    <w:rsid w:val="005B5DE9"/>
  </w:style>
  <w:style w:type="paragraph" w:customStyle="1" w:styleId="FrontmatterRecommendationlistbody">
    <w:name w:val="Front matter (Recommendation list body)"/>
    <w:basedOn w:val="Normal"/>
    <w:rsid w:val="005B5DE9"/>
    <w:pPr>
      <w:spacing w:before="120" w:after="120" w:line="252" w:lineRule="auto"/>
    </w:pPr>
    <w:rPr>
      <w:color w:val="000000" w:themeColor="text1"/>
    </w:rPr>
  </w:style>
  <w:style w:type="paragraph" w:customStyle="1" w:styleId="Recommendationbody">
    <w:name w:val="Recommendation body"/>
    <w:basedOn w:val="Normal"/>
    <w:next w:val="Normal"/>
    <w:rsid w:val="005B5DE9"/>
    <w:pPr>
      <w:spacing w:before="120" w:after="120"/>
    </w:pPr>
  </w:style>
  <w:style w:type="table" w:customStyle="1" w:styleId="Recommendationbox">
    <w:name w:val="Recommendation box"/>
    <w:basedOn w:val="TableNormal"/>
    <w:uiPriority w:val="99"/>
    <w:rsid w:val="005B5DE9"/>
    <w:pPr>
      <w:spacing w:after="0" w:line="240" w:lineRule="auto"/>
    </w:pPr>
    <w:tblPr>
      <w:tblCellSpacing w:w="71" w:type="dxa"/>
      <w:tblInd w:w="851" w:type="dxa"/>
    </w:tblPr>
    <w:trPr>
      <w:tblCellSpacing w:w="71" w:type="dxa"/>
    </w:trPr>
    <w:tcPr>
      <w:shd w:val="clear" w:color="auto" w:fill="D5DEF0"/>
      <w:vAlign w:val="center"/>
    </w:tcPr>
  </w:style>
  <w:style w:type="paragraph" w:styleId="TableofFigures">
    <w:name w:val="table of figures"/>
    <w:basedOn w:val="Recommendationheading"/>
    <w:next w:val="Recommendationbody"/>
    <w:uiPriority w:val="99"/>
    <w:unhideWhenUsed/>
    <w:rsid w:val="005B5DE9"/>
    <w:pPr>
      <w:spacing w:after="0"/>
    </w:pPr>
  </w:style>
  <w:style w:type="paragraph" w:styleId="FootnoteText">
    <w:name w:val="footnote text"/>
    <w:basedOn w:val="Normal"/>
    <w:link w:val="FootnoteTextChar"/>
    <w:uiPriority w:val="99"/>
    <w:unhideWhenUsed/>
    <w:rsid w:val="005B5DE9"/>
    <w:pPr>
      <w:spacing w:after="0" w:line="240" w:lineRule="auto"/>
      <w:ind w:left="284" w:hanging="284"/>
    </w:pPr>
    <w:rPr>
      <w:sz w:val="20"/>
      <w:szCs w:val="20"/>
    </w:rPr>
  </w:style>
  <w:style w:type="character" w:customStyle="1" w:styleId="FootnoteTextChar">
    <w:name w:val="Footnote Text Char"/>
    <w:basedOn w:val="DefaultParagraphFont"/>
    <w:link w:val="FootnoteText"/>
    <w:uiPriority w:val="99"/>
    <w:rsid w:val="005B5DE9"/>
    <w:rPr>
      <w:sz w:val="20"/>
      <w:szCs w:val="20"/>
    </w:rPr>
  </w:style>
  <w:style w:type="character" w:styleId="FootnoteReference">
    <w:name w:val="footnote reference"/>
    <w:aliases w:val="Footnote number,Footnotes refss"/>
    <w:basedOn w:val="DefaultParagraphFont"/>
    <w:unhideWhenUsed/>
    <w:rsid w:val="005B5DE9"/>
    <w:rPr>
      <w:vertAlign w:val="superscript"/>
    </w:rPr>
  </w:style>
  <w:style w:type="paragraph" w:styleId="List2">
    <w:name w:val="List 2"/>
    <w:basedOn w:val="Normal"/>
    <w:uiPriority w:val="99"/>
    <w:unhideWhenUsed/>
    <w:rsid w:val="005B5DE9"/>
    <w:pPr>
      <w:ind w:left="566" w:hanging="283"/>
      <w:contextualSpacing/>
    </w:pPr>
  </w:style>
  <w:style w:type="paragraph" w:customStyle="1" w:styleId="Recommendationbullet">
    <w:name w:val="Recommendation bullet"/>
    <w:basedOn w:val="ListBullet"/>
    <w:qFormat/>
    <w:rsid w:val="00445A05"/>
    <w:pPr>
      <w:ind w:left="467"/>
    </w:pPr>
  </w:style>
  <w:style w:type="paragraph" w:styleId="BodyText">
    <w:name w:val="Body Text"/>
    <w:basedOn w:val="Normal"/>
    <w:link w:val="BodyTextChar"/>
    <w:uiPriority w:val="99"/>
    <w:unhideWhenUsed/>
    <w:rsid w:val="005B5DE9"/>
    <w:pPr>
      <w:spacing w:after="120"/>
    </w:pPr>
  </w:style>
  <w:style w:type="character" w:customStyle="1" w:styleId="BodyTextChar">
    <w:name w:val="Body Text Char"/>
    <w:basedOn w:val="DefaultParagraphFont"/>
    <w:link w:val="BodyText"/>
    <w:uiPriority w:val="99"/>
    <w:rsid w:val="005B5DE9"/>
  </w:style>
  <w:style w:type="paragraph" w:customStyle="1" w:styleId="Bodycopy">
    <w:name w:val="Body copy"/>
    <w:qFormat/>
    <w:rsid w:val="005B5DE9"/>
    <w:pPr>
      <w:keepNext/>
      <w:widowControl w:val="0"/>
      <w:spacing w:before="200" w:after="200" w:line="300" w:lineRule="exact"/>
    </w:pPr>
    <w:rPr>
      <w:rFonts w:cstheme="minorHAnsi"/>
      <w:color w:val="000000"/>
      <w:spacing w:val="-3"/>
      <w:szCs w:val="20"/>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5B5DE9"/>
  </w:style>
  <w:style w:type="character" w:styleId="FollowedHyperlink">
    <w:name w:val="FollowedHyperlink"/>
    <w:basedOn w:val="DefaultParagraphFont"/>
    <w:uiPriority w:val="99"/>
    <w:semiHidden/>
    <w:unhideWhenUsed/>
    <w:rsid w:val="005B5DE9"/>
    <w:rPr>
      <w:color w:val="954F72" w:themeColor="followedHyperlink"/>
      <w:u w:val="single"/>
    </w:rPr>
  </w:style>
  <w:style w:type="paragraph" w:styleId="Revision">
    <w:name w:val="Revision"/>
    <w:hidden/>
    <w:uiPriority w:val="99"/>
    <w:semiHidden/>
    <w:rsid w:val="005B5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s://www.hansard.act.gov.au/Hansard/10th-assembly/committee-transcripts.ht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cmtedd.act.gov.au/open_government/report/annual-reports" TargetMode="External"/><Relationship Id="rId2" Type="http://schemas.openxmlformats.org/officeDocument/2006/relationships/numbering" Target="numbering.xml"/><Relationship Id="rId16" Type="http://schemas.openxmlformats.org/officeDocument/2006/relationships/hyperlink" Target="https://www.parliament.act.gov.au/parliamentary-business/in-committees" TargetMode="External"/><Relationship Id="rId20" Type="http://schemas.openxmlformats.org/officeDocument/2006/relationships/hyperlink" Target="https://www.parliament.act.gov.au/parliamentary-business/in-committees/committees/eccb/inquiry-into-annual-and-financial-reports-202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CommitteeECCB@parliament.act.gov.a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broadcast.parliament.act.gov.au/vod/heari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arliament.act.gov.au/__data/assets/pdf_file/0009/1980873/Resolution-of-establishment-for-the-committee.pdf" TargetMode="Externa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s://www.environment.act.gov.au/ACT-parks-conservation/bushfire_management/orroral-valley-fire-impact-report" TargetMode="External"/><Relationship Id="rId13" Type="http://schemas.openxmlformats.org/officeDocument/2006/relationships/hyperlink" Target="https://www.cmtedd.act.gov.au/open_government/inform/act_government_media_releases/vassarotti/2022/rapid-response-team-tackles-invasive-species" TargetMode="External"/><Relationship Id="rId18" Type="http://schemas.openxmlformats.org/officeDocument/2006/relationships/hyperlink" Target="https://envcomm.act.gov.au/wp-content/uploads/2022/10/OCSE-2021-2022-Annual-Report.pdf" TargetMode="External"/><Relationship Id="rId3" Type="http://schemas.openxmlformats.org/officeDocument/2006/relationships/hyperlink" Target="https://www.planning.act.gov.au/__data/assets/pdf_file/0004/2083729/2021-22-EPSDD-Annual-Report.pdf" TargetMode="External"/><Relationship Id="rId21" Type="http://schemas.openxmlformats.org/officeDocument/2006/relationships/hyperlink" Target="https://legislation.act.gov.au/View/ni/2022-697/current/html/2022-697.html" TargetMode="External"/><Relationship Id="rId7" Type="http://schemas.openxmlformats.org/officeDocument/2006/relationships/hyperlink" Target="https://www.environment.act.gov.au/ACT-parks-conservation/bushfire_management/prescribed-burns" TargetMode="External"/><Relationship Id="rId12" Type="http://schemas.openxmlformats.org/officeDocument/2006/relationships/hyperlink" Target="https://www.cmtedd.act.gov.au/open_government/inform/act_government_media_releases/vassarotti/2022/rapid-response-team-tackles-invasive-species" TargetMode="External"/><Relationship Id="rId17" Type="http://schemas.openxmlformats.org/officeDocument/2006/relationships/hyperlink" Target="https://envcomm.act.gov.au/wp-content/uploads/2022/10/OCSE-2021-2022-Annual-Report.pdf" TargetMode="External"/><Relationship Id="rId2" Type="http://schemas.openxmlformats.org/officeDocument/2006/relationships/hyperlink" Target="https://www.planning.act.gov.au/__data/assets/pdf_file/0004/2083729/2021-22-EPSDD-Annual-Report.pdf" TargetMode="External"/><Relationship Id="rId16" Type="http://schemas.openxmlformats.org/officeDocument/2006/relationships/hyperlink" Target="https://legislation.act.gov.au/View/ni/2022-697/current/html/2022-697.html" TargetMode="External"/><Relationship Id="rId20" Type="http://schemas.openxmlformats.org/officeDocument/2006/relationships/hyperlink" Target="https://legislation.act.gov.au/View/ni/2022-697/current/html/2022-697.html" TargetMode="External"/><Relationship Id="rId1" Type="http://schemas.openxmlformats.org/officeDocument/2006/relationships/hyperlink" Target="https://www.cmtedd.act.gov.au/open_government/report/annual-reports" TargetMode="External"/><Relationship Id="rId6" Type="http://schemas.openxmlformats.org/officeDocument/2006/relationships/hyperlink" Target="https://www.planning.act.gov.au/__data/assets/pdf_file/0004/2083729/2021-22-EPSDD-Annual-Report.pdf" TargetMode="External"/><Relationship Id="rId11" Type="http://schemas.openxmlformats.org/officeDocument/2006/relationships/hyperlink" Target="https://www.canberratimes.com.au/story/6163459/a-vision-unrealised-what-woden-could-have-looked-like/" TargetMode="External"/><Relationship Id="rId5" Type="http://schemas.openxmlformats.org/officeDocument/2006/relationships/hyperlink" Target="https://legislation.act.gov.au/View/ni/2022-697/current/html/2022-697.html" TargetMode="External"/><Relationship Id="rId15" Type="http://schemas.openxmlformats.org/officeDocument/2006/relationships/hyperlink" Target="https://legislation.act.gov.au/View/ni/2022-697/current/html/2022-697.html" TargetMode="External"/><Relationship Id="rId10" Type="http://schemas.openxmlformats.org/officeDocument/2006/relationships/hyperlink" Target="https://legislation.act.gov.au/View/ni/2022-697/current/html/2022-697.html" TargetMode="External"/><Relationship Id="rId19" Type="http://schemas.openxmlformats.org/officeDocument/2006/relationships/hyperlink" Target="https://envcomm.act.gov.au/wp-content/uploads/2022/10/OCSE-2021-2022-Annual-Report.pdf" TargetMode="External"/><Relationship Id="rId4" Type="http://schemas.openxmlformats.org/officeDocument/2006/relationships/hyperlink" Target="https://www.planning.act.gov.au/__data/assets/pdf_file/0004/2083729/2021-22-EPSDD-Annual-Report.pdf" TargetMode="External"/><Relationship Id="rId9" Type="http://schemas.openxmlformats.org/officeDocument/2006/relationships/hyperlink" Target="https://legislation.act.gov.au/View/ni/2022-697/current/html/2022-697.html" TargetMode="External"/><Relationship Id="rId14" Type="http://schemas.openxmlformats.org/officeDocument/2006/relationships/hyperlink" Target="https://www.planning.act.gov.au/__data/assets/pdf_file/0004/2083729/2021-22-EPSDD-Annu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26F6-1F96-40ED-8D93-98048948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13748</TotalTime>
  <Pages>32</Pages>
  <Words>6978</Words>
  <Characters>39780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Ikeda, Miona</cp:lastModifiedBy>
  <cp:revision>91</cp:revision>
  <dcterms:created xsi:type="dcterms:W3CDTF">2022-10-31T02:59:00Z</dcterms:created>
  <dcterms:modified xsi:type="dcterms:W3CDTF">2023-03-10T03:57:00Z</dcterms:modified>
</cp:coreProperties>
</file>