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8525A" w14:textId="77777777" w:rsidR="009517FE" w:rsidRPr="00104A8B" w:rsidRDefault="009517FE" w:rsidP="009517FE">
      <w:pPr>
        <w:spacing w:before="7560" w:after="240" w:line="259" w:lineRule="auto"/>
        <w:jc w:val="right"/>
        <w:rPr>
          <w:rFonts w:ascii="Arial Narrow" w:hAnsi="Arial Narrow"/>
          <w:sz w:val="42"/>
          <w:szCs w:val="42"/>
        </w:rPr>
      </w:pPr>
      <w:bookmarkStart w:id="0" w:name="_Toc500938167"/>
      <w:bookmarkStart w:id="1" w:name="_Toc500947015"/>
      <w:bookmarkStart w:id="2" w:name="_Toc501547024"/>
      <w:bookmarkStart w:id="3" w:name="_Toc501547379"/>
      <w:bookmarkStart w:id="4" w:name="_Toc505005664"/>
      <w:bookmarkStart w:id="5" w:name="_Toc505153755"/>
      <w:bookmarkStart w:id="6" w:name="_Toc508283423"/>
      <w:bookmarkStart w:id="7" w:name="_Toc510081779"/>
      <w:bookmarkStart w:id="8" w:name="_Toc511812216"/>
      <w:bookmarkStart w:id="9" w:name="_Toc512240154"/>
      <w:bookmarkStart w:id="10" w:name="_Toc513192151"/>
      <w:bookmarkStart w:id="11" w:name="_Toc514832413"/>
      <w:bookmarkStart w:id="12" w:name="_Toc514837957"/>
      <w:r w:rsidRPr="00104A8B">
        <w:rPr>
          <w:rFonts w:ascii="Arial Narrow" w:hAnsi="Arial Narrow"/>
          <w:sz w:val="42"/>
          <w:szCs w:val="42"/>
        </w:rPr>
        <w:t>Standing Committee on Justice and Community Safety (Legislative Scrutiny Role)</w:t>
      </w:r>
    </w:p>
    <w:p w14:paraId="426C2747" w14:textId="00B92E1D" w:rsidR="000B0846" w:rsidRPr="00104A8B" w:rsidRDefault="000B0846" w:rsidP="003F68A7">
      <w:pPr>
        <w:pStyle w:val="Heading1"/>
        <w:spacing w:before="2200"/>
      </w:pPr>
      <w:r w:rsidRPr="00104A8B">
        <w:t>S</w:t>
      </w:r>
      <w:r w:rsidR="00907785" w:rsidRPr="00104A8B">
        <w:t xml:space="preserve">crutiny Report </w:t>
      </w:r>
      <w:bookmarkEnd w:id="0"/>
      <w:bookmarkEnd w:id="1"/>
      <w:bookmarkEnd w:id="2"/>
      <w:bookmarkEnd w:id="3"/>
      <w:bookmarkEnd w:id="4"/>
      <w:bookmarkEnd w:id="5"/>
      <w:bookmarkEnd w:id="6"/>
      <w:bookmarkEnd w:id="7"/>
      <w:bookmarkEnd w:id="8"/>
      <w:bookmarkEnd w:id="9"/>
      <w:bookmarkEnd w:id="10"/>
      <w:bookmarkEnd w:id="11"/>
      <w:bookmarkEnd w:id="12"/>
      <w:r w:rsidR="004D7C8E">
        <w:t>16</w:t>
      </w:r>
    </w:p>
    <w:p w14:paraId="4A2BADCD" w14:textId="43012F01" w:rsidR="00D4210F" w:rsidRPr="00104A8B" w:rsidRDefault="004D7C8E" w:rsidP="003F68A7">
      <w:pPr>
        <w:spacing w:before="1800" w:after="240"/>
        <w:jc w:val="right"/>
        <w:rPr>
          <w:sz w:val="24"/>
          <w:szCs w:val="24"/>
        </w:rPr>
      </w:pPr>
      <w:r>
        <w:rPr>
          <w:sz w:val="24"/>
          <w:szCs w:val="24"/>
        </w:rPr>
        <w:t xml:space="preserve">19 MAY </w:t>
      </w:r>
      <w:r w:rsidR="00714CBC">
        <w:rPr>
          <w:sz w:val="24"/>
          <w:szCs w:val="24"/>
        </w:rPr>
        <w:t>2022</w:t>
      </w:r>
    </w:p>
    <w:p w14:paraId="08B7779B" w14:textId="77777777" w:rsidR="00D4210F" w:rsidRPr="00104A8B" w:rsidRDefault="00D4210F" w:rsidP="00D4210F">
      <w:r w:rsidRPr="00104A8B">
        <w:br w:type="page"/>
      </w:r>
    </w:p>
    <w:p w14:paraId="01741887" w14:textId="77777777" w:rsidR="000B0846" w:rsidRPr="00104A8B" w:rsidRDefault="000B0846" w:rsidP="00DB2765">
      <w:pPr>
        <w:pStyle w:val="Heading5"/>
      </w:pPr>
    </w:p>
    <w:p w14:paraId="5DDDB4C1" w14:textId="77777777" w:rsidR="00AE4D51" w:rsidRPr="00104A8B" w:rsidRDefault="00AE4D51" w:rsidP="00DB2765">
      <w:pPr>
        <w:pStyle w:val="Heading5"/>
        <w:sectPr w:rsidR="00AE4D51" w:rsidRPr="00104A8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bookmarkStart w:id="13" w:name="_Toc500938168"/>
      <w:bookmarkStart w:id="14" w:name="_Toc500947016"/>
    </w:p>
    <w:p w14:paraId="1D6C356C" w14:textId="77777777" w:rsidR="002A185D" w:rsidRPr="00104A8B" w:rsidRDefault="002A185D" w:rsidP="00382F85">
      <w:pPr>
        <w:pStyle w:val="Heading2"/>
      </w:pPr>
      <w:bookmarkStart w:id="15" w:name="_Toc502671580"/>
      <w:bookmarkStart w:id="16" w:name="_Toc502671759"/>
      <w:bookmarkStart w:id="17" w:name="_Toc502671864"/>
      <w:bookmarkStart w:id="18" w:name="_Toc502672797"/>
      <w:bookmarkStart w:id="19" w:name="_Toc514768035"/>
      <w:bookmarkStart w:id="20" w:name="_Toc514837958"/>
      <w:bookmarkStart w:id="21" w:name="_Toc518297244"/>
      <w:bookmarkStart w:id="22" w:name="_Toc519069302"/>
      <w:bookmarkStart w:id="23" w:name="_Toc519069363"/>
      <w:bookmarkStart w:id="24" w:name="_Toc519520730"/>
      <w:bookmarkStart w:id="25" w:name="_Toc520188709"/>
      <w:bookmarkStart w:id="26" w:name="_Toc521054226"/>
      <w:bookmarkStart w:id="27" w:name="_Toc521054313"/>
      <w:bookmarkStart w:id="28" w:name="_Toc521054385"/>
      <w:bookmarkStart w:id="29" w:name="_Toc523753608"/>
      <w:bookmarkStart w:id="30" w:name="_Toc523814157"/>
      <w:bookmarkStart w:id="31" w:name="_Toc523900448"/>
      <w:bookmarkStart w:id="32" w:name="_Toc526855809"/>
      <w:bookmarkStart w:id="33" w:name="_Toc528155835"/>
      <w:bookmarkStart w:id="34" w:name="_Toc528157194"/>
      <w:bookmarkStart w:id="35" w:name="_Toc528310847"/>
      <w:bookmarkStart w:id="36" w:name="_Toc529974526"/>
      <w:bookmarkStart w:id="37" w:name="_Toc530039421"/>
      <w:bookmarkStart w:id="38" w:name="_Toc536527669"/>
      <w:bookmarkStart w:id="39" w:name="_Toc536527832"/>
      <w:bookmarkStart w:id="40" w:name="_Toc536615370"/>
      <w:bookmarkStart w:id="41" w:name="_Toc172148"/>
      <w:bookmarkStart w:id="42" w:name="_Toc506073"/>
      <w:bookmarkStart w:id="43" w:name="_Toc945917"/>
      <w:bookmarkStart w:id="44" w:name="_Toc965807"/>
      <w:bookmarkStart w:id="45" w:name="_Toc2839571"/>
      <w:bookmarkStart w:id="46" w:name="_Toc2850231"/>
      <w:bookmarkStart w:id="47" w:name="_Toc3271208"/>
      <w:bookmarkStart w:id="48" w:name="_Toc4588269"/>
      <w:bookmarkStart w:id="49" w:name="_Toc4652915"/>
      <w:bookmarkStart w:id="50" w:name="_Toc5003657"/>
      <w:bookmarkStart w:id="51" w:name="_Toc6211030"/>
      <w:bookmarkStart w:id="52" w:name="_Toc9499988"/>
      <w:bookmarkStart w:id="53" w:name="_Toc14266110"/>
      <w:bookmarkStart w:id="54" w:name="_Toc14334599"/>
      <w:bookmarkStart w:id="55" w:name="_Toc14775949"/>
      <w:bookmarkStart w:id="56" w:name="_Toc15285027"/>
      <w:bookmarkStart w:id="57" w:name="_Toc15630647"/>
      <w:bookmarkStart w:id="58" w:name="_Toc18415319"/>
      <w:bookmarkStart w:id="59" w:name="_Toc18487687"/>
      <w:bookmarkStart w:id="60" w:name="_Toc19708390"/>
      <w:bookmarkStart w:id="61" w:name="_Toc20131679"/>
      <w:bookmarkStart w:id="62" w:name="_Toc21595437"/>
      <w:bookmarkStart w:id="63" w:name="_Toc22025438"/>
      <w:bookmarkStart w:id="64" w:name="_Toc24463701"/>
      <w:bookmarkStart w:id="65" w:name="_Toc24617698"/>
      <w:bookmarkStart w:id="66" w:name="_Toc25050770"/>
      <w:bookmarkStart w:id="67" w:name="_Toc31202134"/>
      <w:bookmarkStart w:id="68" w:name="_Toc31202255"/>
      <w:bookmarkStart w:id="69" w:name="_Toc32390195"/>
      <w:bookmarkStart w:id="70" w:name="_Toc32566836"/>
      <w:bookmarkStart w:id="71" w:name="_Toc35437926"/>
      <w:bookmarkStart w:id="72" w:name="_Toc38270536"/>
      <w:bookmarkStart w:id="73" w:name="_Toc38362387"/>
      <w:bookmarkStart w:id="74" w:name="_Toc38441868"/>
      <w:bookmarkStart w:id="75" w:name="_Toc38442375"/>
      <w:bookmarkStart w:id="76" w:name="_Toc38976313"/>
      <w:bookmarkStart w:id="77" w:name="_Toc40693084"/>
      <w:bookmarkStart w:id="78" w:name="_Toc40693225"/>
      <w:bookmarkStart w:id="79" w:name="_Toc41570911"/>
      <w:bookmarkStart w:id="80" w:name="_Toc42874993"/>
      <w:bookmarkStart w:id="81" w:name="_Toc44074210"/>
      <w:bookmarkStart w:id="82" w:name="_Toc44317221"/>
      <w:bookmarkStart w:id="83" w:name="_Toc44323924"/>
      <w:bookmarkStart w:id="84" w:name="_Toc80105323"/>
      <w:bookmarkStart w:id="85" w:name="_Toc80347167"/>
      <w:bookmarkStart w:id="86" w:name="_Toc80613163"/>
      <w:bookmarkStart w:id="87" w:name="_Toc80613253"/>
      <w:bookmarkStart w:id="88" w:name="_Toc80701760"/>
      <w:bookmarkStart w:id="89" w:name="_Toc83302215"/>
      <w:bookmarkStart w:id="90" w:name="_Toc83639595"/>
      <w:bookmarkStart w:id="91" w:name="_Toc86229548"/>
      <w:bookmarkStart w:id="92" w:name="_Toc88029448"/>
      <w:bookmarkStart w:id="93" w:name="_Toc94002920"/>
      <w:bookmarkStart w:id="94" w:name="_Toc97722447"/>
      <w:bookmarkStart w:id="95" w:name="_Toc99010772"/>
      <w:bookmarkStart w:id="96" w:name="_Toc99029461"/>
      <w:bookmarkStart w:id="97" w:name="_Toc103682603"/>
      <w:bookmarkStart w:id="98" w:name="_Toc500938169"/>
      <w:bookmarkStart w:id="99" w:name="_Toc500947017"/>
      <w:bookmarkStart w:id="100" w:name="_Toc501547026"/>
      <w:bookmarkStart w:id="101" w:name="_Toc501547381"/>
      <w:bookmarkStart w:id="102" w:name="_Toc505005665"/>
      <w:bookmarkStart w:id="103" w:name="_Toc505153756"/>
      <w:bookmarkStart w:id="104" w:name="_Toc508283424"/>
      <w:bookmarkStart w:id="105" w:name="_Toc510081780"/>
      <w:bookmarkStart w:id="106" w:name="_Toc511812217"/>
      <w:bookmarkStart w:id="107" w:name="_Toc512240155"/>
      <w:bookmarkStart w:id="108" w:name="_Toc513192152"/>
      <w:bookmarkStart w:id="109" w:name="_Toc514832414"/>
      <w:bookmarkEnd w:id="13"/>
      <w:bookmarkEnd w:id="14"/>
      <w:r w:rsidRPr="00104A8B">
        <w:lastRenderedPageBreak/>
        <w:t>The Committee</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5B4A1EFD" w14:textId="77777777" w:rsidR="000B0846" w:rsidRPr="00104A8B" w:rsidRDefault="000B0846" w:rsidP="002A185D">
      <w:pPr>
        <w:pStyle w:val="Heading3"/>
        <w:rPr>
          <w:rFonts w:asciiTheme="minorHAnsi" w:hAnsiTheme="minorHAnsi"/>
        </w:rPr>
      </w:pPr>
      <w:bookmarkStart w:id="110" w:name="_Toc514837959"/>
      <w:bookmarkStart w:id="111" w:name="_Toc514943593"/>
      <w:bookmarkStart w:id="112" w:name="_Toc515352036"/>
      <w:bookmarkStart w:id="113" w:name="_Toc518297245"/>
      <w:bookmarkStart w:id="114" w:name="_Toc519069303"/>
      <w:bookmarkStart w:id="115" w:name="_Toc519069364"/>
      <w:bookmarkStart w:id="116" w:name="_Toc519520731"/>
      <w:bookmarkStart w:id="117" w:name="_Toc520188710"/>
      <w:bookmarkStart w:id="118" w:name="_Toc521054227"/>
      <w:bookmarkStart w:id="119" w:name="_Toc521054314"/>
      <w:bookmarkStart w:id="120" w:name="_Toc521054386"/>
      <w:bookmarkStart w:id="121" w:name="_Toc523753609"/>
      <w:bookmarkStart w:id="122" w:name="_Toc523814158"/>
      <w:bookmarkStart w:id="123" w:name="_Toc523900449"/>
      <w:bookmarkStart w:id="124" w:name="_Toc526855810"/>
      <w:bookmarkStart w:id="125" w:name="_Toc528155836"/>
      <w:bookmarkStart w:id="126" w:name="_Toc528157195"/>
      <w:bookmarkStart w:id="127" w:name="_Toc528310848"/>
      <w:bookmarkStart w:id="128" w:name="_Toc529974527"/>
      <w:bookmarkStart w:id="129" w:name="_Toc530039422"/>
      <w:bookmarkStart w:id="130" w:name="_Toc536527670"/>
      <w:bookmarkStart w:id="131" w:name="_Toc536527833"/>
      <w:bookmarkStart w:id="132" w:name="_Toc536615371"/>
      <w:bookmarkStart w:id="133" w:name="_Toc172149"/>
      <w:bookmarkStart w:id="134" w:name="_Toc506074"/>
      <w:bookmarkStart w:id="135" w:name="_Toc945918"/>
      <w:bookmarkStart w:id="136" w:name="_Toc965808"/>
      <w:bookmarkStart w:id="137" w:name="_Toc2839572"/>
      <w:bookmarkStart w:id="138" w:name="_Toc2850232"/>
      <w:bookmarkStart w:id="139" w:name="_Toc3271209"/>
      <w:bookmarkStart w:id="140" w:name="_Toc4588270"/>
      <w:bookmarkStart w:id="141" w:name="_Toc4652916"/>
      <w:bookmarkStart w:id="142" w:name="_Toc5003658"/>
      <w:bookmarkStart w:id="143" w:name="_Toc6211031"/>
      <w:bookmarkStart w:id="144" w:name="_Toc9499989"/>
      <w:bookmarkStart w:id="145" w:name="_Toc14266111"/>
      <w:bookmarkStart w:id="146" w:name="_Toc14334600"/>
      <w:bookmarkStart w:id="147" w:name="_Toc14775950"/>
      <w:bookmarkStart w:id="148" w:name="_Toc15285028"/>
      <w:bookmarkStart w:id="149" w:name="_Toc15630648"/>
      <w:bookmarkStart w:id="150" w:name="_Toc18415320"/>
      <w:bookmarkStart w:id="151" w:name="_Toc18487688"/>
      <w:bookmarkStart w:id="152" w:name="_Toc19708391"/>
      <w:bookmarkStart w:id="153" w:name="_Toc20131680"/>
      <w:bookmarkStart w:id="154" w:name="_Toc21595438"/>
      <w:bookmarkStart w:id="155" w:name="_Toc22025439"/>
      <w:bookmarkStart w:id="156" w:name="_Toc24463702"/>
      <w:bookmarkStart w:id="157" w:name="_Toc24617699"/>
      <w:bookmarkStart w:id="158" w:name="_Toc25050771"/>
      <w:bookmarkStart w:id="159" w:name="_Toc31202135"/>
      <w:bookmarkStart w:id="160" w:name="_Toc31202256"/>
      <w:bookmarkStart w:id="161" w:name="_Toc32390196"/>
      <w:bookmarkStart w:id="162" w:name="_Toc32566837"/>
      <w:bookmarkStart w:id="163" w:name="_Toc35437927"/>
      <w:bookmarkStart w:id="164" w:name="_Toc38270537"/>
      <w:bookmarkStart w:id="165" w:name="_Toc38362388"/>
      <w:bookmarkStart w:id="166" w:name="_Toc38441869"/>
      <w:bookmarkStart w:id="167" w:name="_Toc38442376"/>
      <w:bookmarkStart w:id="168" w:name="_Toc38976314"/>
      <w:bookmarkStart w:id="169" w:name="_Toc40693085"/>
      <w:bookmarkStart w:id="170" w:name="_Toc40693226"/>
      <w:bookmarkStart w:id="171" w:name="_Toc41570912"/>
      <w:bookmarkStart w:id="172" w:name="_Toc42874994"/>
      <w:bookmarkStart w:id="173" w:name="_Toc44074211"/>
      <w:bookmarkStart w:id="174" w:name="_Toc44317222"/>
      <w:bookmarkStart w:id="175" w:name="_Toc44323925"/>
      <w:bookmarkStart w:id="176" w:name="_Toc80105324"/>
      <w:bookmarkStart w:id="177" w:name="_Toc80347168"/>
      <w:bookmarkStart w:id="178" w:name="_Toc80613164"/>
      <w:bookmarkStart w:id="179" w:name="_Toc80613254"/>
      <w:bookmarkStart w:id="180" w:name="_Toc80701761"/>
      <w:bookmarkStart w:id="181" w:name="_Toc83302216"/>
      <w:bookmarkStart w:id="182" w:name="_Toc83639596"/>
      <w:bookmarkStart w:id="183" w:name="_Toc86229549"/>
      <w:bookmarkStart w:id="184" w:name="_Toc88029449"/>
      <w:bookmarkStart w:id="185" w:name="_Toc94002921"/>
      <w:bookmarkStart w:id="186" w:name="_Toc97722448"/>
      <w:bookmarkStart w:id="187" w:name="_Toc99010773"/>
      <w:bookmarkStart w:id="188" w:name="_Toc99029462"/>
      <w:bookmarkStart w:id="189" w:name="_Toc103682604"/>
      <w:r w:rsidRPr="00104A8B">
        <w:rPr>
          <w:rFonts w:asciiTheme="minorHAnsi" w:hAnsiTheme="minorHAnsi"/>
        </w:rPr>
        <w:t>C</w:t>
      </w:r>
      <w:r w:rsidR="00474136" w:rsidRPr="00104A8B">
        <w:rPr>
          <w:rFonts w:asciiTheme="minorHAnsi" w:hAnsiTheme="minorHAnsi"/>
        </w:rPr>
        <w:t>ommittee Membership</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4593B6F0" w14:textId="624F56CA" w:rsidR="000B0846" w:rsidRPr="00104A8B" w:rsidRDefault="00786EE7" w:rsidP="009C4F5B">
      <w:pPr>
        <w:pStyle w:val="ListParagraph"/>
        <w:ind w:left="0"/>
      </w:pPr>
      <w:r>
        <w:t>Mr Peter Cain</w:t>
      </w:r>
      <w:r w:rsidR="00E41D9C">
        <w:t xml:space="preserve"> MLA</w:t>
      </w:r>
      <w:r w:rsidR="00A919BD" w:rsidRPr="00104A8B">
        <w:t xml:space="preserve"> </w:t>
      </w:r>
      <w:r w:rsidR="000B0846" w:rsidRPr="00104A8B">
        <w:t>(Chair)</w:t>
      </w:r>
    </w:p>
    <w:p w14:paraId="4EDDE5A9" w14:textId="77777777" w:rsidR="000B0846" w:rsidRPr="00104A8B" w:rsidRDefault="00E41D9C" w:rsidP="009C4F5B">
      <w:pPr>
        <w:pStyle w:val="ListParagraph"/>
        <w:ind w:left="0"/>
      </w:pPr>
      <w:r>
        <w:t>Dr Marisa Pa</w:t>
      </w:r>
      <w:r w:rsidR="00F825FE">
        <w:t>t</w:t>
      </w:r>
      <w:r>
        <w:t>erson</w:t>
      </w:r>
      <w:r w:rsidR="0009718B">
        <w:t xml:space="preserve"> MLA</w:t>
      </w:r>
      <w:r w:rsidR="000B0846" w:rsidRPr="00104A8B">
        <w:t xml:space="preserve"> (Deputy Chair)</w:t>
      </w:r>
    </w:p>
    <w:p w14:paraId="31C06162" w14:textId="7499A869" w:rsidR="000B0846" w:rsidRPr="00104A8B" w:rsidRDefault="00714CBC" w:rsidP="009C4F5B">
      <w:pPr>
        <w:pStyle w:val="ListParagraph"/>
        <w:spacing w:after="360"/>
        <w:ind w:left="0"/>
      </w:pPr>
      <w:r>
        <w:t>Mr Andrew Braddock</w:t>
      </w:r>
      <w:r w:rsidR="003C4A44">
        <w:t xml:space="preserve"> ML</w:t>
      </w:r>
      <w:r w:rsidR="000B0846" w:rsidRPr="00104A8B">
        <w:t>A</w:t>
      </w:r>
    </w:p>
    <w:p w14:paraId="3C64B00A" w14:textId="77777777" w:rsidR="000B0846" w:rsidRPr="00104A8B" w:rsidRDefault="000B0846" w:rsidP="002A185D">
      <w:pPr>
        <w:pStyle w:val="Heading3"/>
        <w:rPr>
          <w:rFonts w:asciiTheme="minorHAnsi" w:hAnsiTheme="minorHAnsi"/>
        </w:rPr>
      </w:pPr>
      <w:bookmarkStart w:id="190" w:name="_Toc500938170"/>
      <w:bookmarkStart w:id="191" w:name="_Toc500947018"/>
      <w:bookmarkStart w:id="192" w:name="_Toc501547027"/>
      <w:bookmarkStart w:id="193" w:name="_Toc501547382"/>
      <w:bookmarkStart w:id="194" w:name="_Toc505005666"/>
      <w:bookmarkStart w:id="195" w:name="_Toc505153757"/>
      <w:bookmarkStart w:id="196" w:name="_Toc508283425"/>
      <w:bookmarkStart w:id="197" w:name="_Toc510081781"/>
      <w:bookmarkStart w:id="198" w:name="_Toc511812218"/>
      <w:bookmarkStart w:id="199" w:name="_Toc512240156"/>
      <w:bookmarkStart w:id="200" w:name="_Toc513192153"/>
      <w:bookmarkStart w:id="201" w:name="_Toc514832415"/>
      <w:bookmarkStart w:id="202" w:name="_Toc514837960"/>
      <w:bookmarkStart w:id="203" w:name="_Toc514943594"/>
      <w:bookmarkStart w:id="204" w:name="_Toc515352037"/>
      <w:bookmarkStart w:id="205" w:name="_Toc518297246"/>
      <w:bookmarkStart w:id="206" w:name="_Toc519069304"/>
      <w:bookmarkStart w:id="207" w:name="_Toc519069365"/>
      <w:bookmarkStart w:id="208" w:name="_Toc519520732"/>
      <w:bookmarkStart w:id="209" w:name="_Toc520188711"/>
      <w:bookmarkStart w:id="210" w:name="_Toc521054228"/>
      <w:bookmarkStart w:id="211" w:name="_Toc521054315"/>
      <w:bookmarkStart w:id="212" w:name="_Toc521054387"/>
      <w:bookmarkStart w:id="213" w:name="_Toc523753610"/>
      <w:bookmarkStart w:id="214" w:name="_Toc523814159"/>
      <w:bookmarkStart w:id="215" w:name="_Toc523900450"/>
      <w:bookmarkStart w:id="216" w:name="_Toc526855811"/>
      <w:bookmarkStart w:id="217" w:name="_Toc528155837"/>
      <w:bookmarkStart w:id="218" w:name="_Toc528157196"/>
      <w:bookmarkStart w:id="219" w:name="_Toc528310849"/>
      <w:bookmarkStart w:id="220" w:name="_Toc529974528"/>
      <w:bookmarkStart w:id="221" w:name="_Toc530039423"/>
      <w:bookmarkStart w:id="222" w:name="_Toc536527671"/>
      <w:bookmarkStart w:id="223" w:name="_Toc536527834"/>
      <w:bookmarkStart w:id="224" w:name="_Toc536615372"/>
      <w:bookmarkStart w:id="225" w:name="_Toc172150"/>
      <w:bookmarkStart w:id="226" w:name="_Toc506075"/>
      <w:bookmarkStart w:id="227" w:name="_Toc945919"/>
      <w:bookmarkStart w:id="228" w:name="_Toc965809"/>
      <w:bookmarkStart w:id="229" w:name="_Toc2839573"/>
      <w:bookmarkStart w:id="230" w:name="_Toc2850233"/>
      <w:bookmarkStart w:id="231" w:name="_Toc3271210"/>
      <w:bookmarkStart w:id="232" w:name="_Toc4588271"/>
      <w:bookmarkStart w:id="233" w:name="_Toc4652917"/>
      <w:bookmarkStart w:id="234" w:name="_Toc5003659"/>
      <w:bookmarkStart w:id="235" w:name="_Toc6211032"/>
      <w:bookmarkStart w:id="236" w:name="_Toc9499990"/>
      <w:bookmarkStart w:id="237" w:name="_Toc14266112"/>
      <w:bookmarkStart w:id="238" w:name="_Toc14334601"/>
      <w:bookmarkStart w:id="239" w:name="_Toc14775951"/>
      <w:bookmarkStart w:id="240" w:name="_Toc15285029"/>
      <w:bookmarkStart w:id="241" w:name="_Toc15630649"/>
      <w:bookmarkStart w:id="242" w:name="_Toc18415321"/>
      <w:bookmarkStart w:id="243" w:name="_Toc18487689"/>
      <w:bookmarkStart w:id="244" w:name="_Toc19708392"/>
      <w:bookmarkStart w:id="245" w:name="_Toc20131681"/>
      <w:bookmarkStart w:id="246" w:name="_Toc21595439"/>
      <w:bookmarkStart w:id="247" w:name="_Toc22025440"/>
      <w:bookmarkStart w:id="248" w:name="_Toc24463703"/>
      <w:bookmarkStart w:id="249" w:name="_Toc24617700"/>
      <w:bookmarkStart w:id="250" w:name="_Toc25050772"/>
      <w:bookmarkStart w:id="251" w:name="_Toc31202136"/>
      <w:bookmarkStart w:id="252" w:name="_Toc31202257"/>
      <w:bookmarkStart w:id="253" w:name="_Toc32390197"/>
      <w:bookmarkStart w:id="254" w:name="_Toc32566838"/>
      <w:bookmarkStart w:id="255" w:name="_Toc35437928"/>
      <w:bookmarkStart w:id="256" w:name="_Toc38270538"/>
      <w:bookmarkStart w:id="257" w:name="_Toc38362389"/>
      <w:bookmarkStart w:id="258" w:name="_Toc38441870"/>
      <w:bookmarkStart w:id="259" w:name="_Toc38442377"/>
      <w:bookmarkStart w:id="260" w:name="_Toc38976315"/>
      <w:bookmarkStart w:id="261" w:name="_Toc40693086"/>
      <w:bookmarkStart w:id="262" w:name="_Toc40693227"/>
      <w:bookmarkStart w:id="263" w:name="_Toc41570913"/>
      <w:bookmarkStart w:id="264" w:name="_Toc42874995"/>
      <w:bookmarkStart w:id="265" w:name="_Toc44074212"/>
      <w:bookmarkStart w:id="266" w:name="_Toc44317223"/>
      <w:bookmarkStart w:id="267" w:name="_Toc44323926"/>
      <w:bookmarkStart w:id="268" w:name="_Toc80105325"/>
      <w:bookmarkStart w:id="269" w:name="_Toc80347169"/>
      <w:bookmarkStart w:id="270" w:name="_Toc80613165"/>
      <w:bookmarkStart w:id="271" w:name="_Toc80613255"/>
      <w:bookmarkStart w:id="272" w:name="_Toc80701762"/>
      <w:bookmarkStart w:id="273" w:name="_Toc83302217"/>
      <w:bookmarkStart w:id="274" w:name="_Toc83639597"/>
      <w:bookmarkStart w:id="275" w:name="_Toc86229550"/>
      <w:bookmarkStart w:id="276" w:name="_Toc88029450"/>
      <w:bookmarkStart w:id="277" w:name="_Toc94002922"/>
      <w:bookmarkStart w:id="278" w:name="_Toc97722449"/>
      <w:bookmarkStart w:id="279" w:name="_Toc99010774"/>
      <w:bookmarkStart w:id="280" w:name="_Toc99029463"/>
      <w:bookmarkStart w:id="281" w:name="_Toc103682605"/>
      <w:r w:rsidRPr="00104A8B">
        <w:rPr>
          <w:rFonts w:asciiTheme="minorHAnsi" w:hAnsiTheme="minorHAnsi"/>
        </w:rPr>
        <w:t>S</w:t>
      </w:r>
      <w:bookmarkEnd w:id="190"/>
      <w:r w:rsidR="00474136" w:rsidRPr="00104A8B">
        <w:rPr>
          <w:rFonts w:asciiTheme="minorHAnsi" w:hAnsiTheme="minorHAnsi"/>
        </w:rPr>
        <w:t>ecretariat</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7DC23563" w14:textId="511B015C" w:rsidR="005D7839" w:rsidRDefault="00786EE7" w:rsidP="009C4F5B">
      <w:pPr>
        <w:pStyle w:val="ListParagraph"/>
        <w:ind w:left="0"/>
      </w:pPr>
      <w:r>
        <w:t>M</w:t>
      </w:r>
      <w:r w:rsidR="000E2418">
        <w:t>s</w:t>
      </w:r>
      <w:r>
        <w:t xml:space="preserve"> </w:t>
      </w:r>
      <w:r w:rsidR="000E2418">
        <w:t>Janice Rafferty</w:t>
      </w:r>
      <w:r w:rsidR="00E41D9C">
        <w:t xml:space="preserve"> </w:t>
      </w:r>
      <w:r w:rsidR="005D7839">
        <w:t>(</w:t>
      </w:r>
      <w:r>
        <w:t xml:space="preserve">Acting </w:t>
      </w:r>
      <w:r w:rsidR="005D7839">
        <w:t>Secretary)</w:t>
      </w:r>
    </w:p>
    <w:p w14:paraId="1E871B4A" w14:textId="3B9687B9" w:rsidR="000B0846" w:rsidRPr="00104A8B" w:rsidRDefault="00BA64E2" w:rsidP="009C4F5B">
      <w:pPr>
        <w:pStyle w:val="ListParagraph"/>
        <w:ind w:left="0"/>
      </w:pPr>
      <w:r>
        <w:t xml:space="preserve">Ms </w:t>
      </w:r>
      <w:r w:rsidR="007D10B6">
        <w:t xml:space="preserve">Sophie Milne </w:t>
      </w:r>
      <w:r w:rsidR="000B0846" w:rsidRPr="00104A8B">
        <w:t>(</w:t>
      </w:r>
      <w:r w:rsidR="007D10B6">
        <w:t xml:space="preserve">Acting </w:t>
      </w:r>
      <w:r w:rsidR="000B0846" w:rsidRPr="00104A8B">
        <w:t>Assistant Secretary)</w:t>
      </w:r>
    </w:p>
    <w:p w14:paraId="402EB755" w14:textId="77777777" w:rsidR="000B0846" w:rsidRPr="00104A8B" w:rsidRDefault="000B0846" w:rsidP="009C4F5B">
      <w:pPr>
        <w:pStyle w:val="ListParagraph"/>
        <w:ind w:left="0"/>
      </w:pPr>
      <w:r w:rsidRPr="00104A8B">
        <w:t>Mr Stephen Argument (Legal Adviser—Subordinate Legislation)</w:t>
      </w:r>
    </w:p>
    <w:p w14:paraId="5B3BFC5D" w14:textId="77777777" w:rsidR="000B0846" w:rsidRDefault="000B0846" w:rsidP="009C4F5B">
      <w:pPr>
        <w:pStyle w:val="ListParagraph"/>
        <w:spacing w:after="360"/>
        <w:ind w:left="0"/>
      </w:pPr>
      <w:r w:rsidRPr="00104A8B">
        <w:t>Mr Daniel Stewart (Legal Adviser—Bills)</w:t>
      </w:r>
    </w:p>
    <w:p w14:paraId="274D5660" w14:textId="77777777" w:rsidR="000B0846" w:rsidRPr="00104A8B" w:rsidRDefault="000B0846" w:rsidP="002A185D">
      <w:pPr>
        <w:pStyle w:val="Heading3"/>
        <w:rPr>
          <w:rFonts w:asciiTheme="minorHAnsi" w:hAnsiTheme="minorHAnsi"/>
        </w:rPr>
      </w:pPr>
      <w:bookmarkStart w:id="282" w:name="_Toc500938171"/>
      <w:bookmarkStart w:id="283" w:name="_Toc500947019"/>
      <w:bookmarkStart w:id="284" w:name="_Toc501547028"/>
      <w:bookmarkStart w:id="285" w:name="_Toc501547383"/>
      <w:bookmarkStart w:id="286" w:name="_Toc505005667"/>
      <w:bookmarkStart w:id="287" w:name="_Toc505153758"/>
      <w:bookmarkStart w:id="288" w:name="_Toc508283426"/>
      <w:bookmarkStart w:id="289" w:name="_Toc510081782"/>
      <w:bookmarkStart w:id="290" w:name="_Toc511812219"/>
      <w:bookmarkStart w:id="291" w:name="_Toc512240157"/>
      <w:bookmarkStart w:id="292" w:name="_Toc513192154"/>
      <w:bookmarkStart w:id="293" w:name="_Toc514832416"/>
      <w:bookmarkStart w:id="294" w:name="_Toc514837961"/>
      <w:bookmarkStart w:id="295" w:name="_Toc514943595"/>
      <w:bookmarkStart w:id="296" w:name="_Toc515352038"/>
      <w:bookmarkStart w:id="297" w:name="_Toc518297247"/>
      <w:bookmarkStart w:id="298" w:name="_Toc519069305"/>
      <w:bookmarkStart w:id="299" w:name="_Toc519069366"/>
      <w:bookmarkStart w:id="300" w:name="_Toc519520733"/>
      <w:bookmarkStart w:id="301" w:name="_Toc520188712"/>
      <w:bookmarkStart w:id="302" w:name="_Toc521054229"/>
      <w:bookmarkStart w:id="303" w:name="_Toc521054316"/>
      <w:bookmarkStart w:id="304" w:name="_Toc521054388"/>
      <w:bookmarkStart w:id="305" w:name="_Toc523753611"/>
      <w:bookmarkStart w:id="306" w:name="_Toc523814160"/>
      <w:bookmarkStart w:id="307" w:name="_Toc523900451"/>
      <w:bookmarkStart w:id="308" w:name="_Toc526855812"/>
      <w:bookmarkStart w:id="309" w:name="_Toc528155838"/>
      <w:bookmarkStart w:id="310" w:name="_Toc528157197"/>
      <w:bookmarkStart w:id="311" w:name="_Toc528310850"/>
      <w:bookmarkStart w:id="312" w:name="_Toc529974529"/>
      <w:bookmarkStart w:id="313" w:name="_Toc530039424"/>
      <w:bookmarkStart w:id="314" w:name="_Toc536527672"/>
      <w:bookmarkStart w:id="315" w:name="_Toc536527835"/>
      <w:bookmarkStart w:id="316" w:name="_Toc536615373"/>
      <w:bookmarkStart w:id="317" w:name="_Toc172151"/>
      <w:bookmarkStart w:id="318" w:name="_Toc506076"/>
      <w:bookmarkStart w:id="319" w:name="_Toc945920"/>
      <w:bookmarkStart w:id="320" w:name="_Toc965810"/>
      <w:bookmarkStart w:id="321" w:name="_Toc2839574"/>
      <w:bookmarkStart w:id="322" w:name="_Toc2850234"/>
      <w:bookmarkStart w:id="323" w:name="_Toc3271211"/>
      <w:bookmarkStart w:id="324" w:name="_Toc4588272"/>
      <w:bookmarkStart w:id="325" w:name="_Toc4652918"/>
      <w:bookmarkStart w:id="326" w:name="_Toc5003660"/>
      <w:bookmarkStart w:id="327" w:name="_Toc6211033"/>
      <w:bookmarkStart w:id="328" w:name="_Toc9499991"/>
      <w:bookmarkStart w:id="329" w:name="_Toc14266113"/>
      <w:bookmarkStart w:id="330" w:name="_Toc14334602"/>
      <w:bookmarkStart w:id="331" w:name="_Toc14775952"/>
      <w:bookmarkStart w:id="332" w:name="_Toc15285030"/>
      <w:bookmarkStart w:id="333" w:name="_Toc15630650"/>
      <w:bookmarkStart w:id="334" w:name="_Toc18415322"/>
      <w:bookmarkStart w:id="335" w:name="_Toc18487690"/>
      <w:bookmarkStart w:id="336" w:name="_Toc19708393"/>
      <w:bookmarkStart w:id="337" w:name="_Toc20131682"/>
      <w:bookmarkStart w:id="338" w:name="_Toc21595440"/>
      <w:bookmarkStart w:id="339" w:name="_Toc22025441"/>
      <w:bookmarkStart w:id="340" w:name="_Toc24463704"/>
      <w:bookmarkStart w:id="341" w:name="_Toc24617701"/>
      <w:bookmarkStart w:id="342" w:name="_Toc25050773"/>
      <w:bookmarkStart w:id="343" w:name="_Toc31202137"/>
      <w:bookmarkStart w:id="344" w:name="_Toc31202258"/>
      <w:bookmarkStart w:id="345" w:name="_Toc32390198"/>
      <w:bookmarkStart w:id="346" w:name="_Toc32566839"/>
      <w:bookmarkStart w:id="347" w:name="_Toc35437929"/>
      <w:bookmarkStart w:id="348" w:name="_Toc38270539"/>
      <w:bookmarkStart w:id="349" w:name="_Toc38362390"/>
      <w:bookmarkStart w:id="350" w:name="_Toc38441871"/>
      <w:bookmarkStart w:id="351" w:name="_Toc38442378"/>
      <w:bookmarkStart w:id="352" w:name="_Toc38976316"/>
      <w:bookmarkStart w:id="353" w:name="_Toc40693087"/>
      <w:bookmarkStart w:id="354" w:name="_Toc40693228"/>
      <w:bookmarkStart w:id="355" w:name="_Toc41570914"/>
      <w:bookmarkStart w:id="356" w:name="_Toc42874996"/>
      <w:bookmarkStart w:id="357" w:name="_Toc44074213"/>
      <w:bookmarkStart w:id="358" w:name="_Toc44317224"/>
      <w:bookmarkStart w:id="359" w:name="_Toc44323927"/>
      <w:bookmarkStart w:id="360" w:name="_Toc80105326"/>
      <w:bookmarkStart w:id="361" w:name="_Toc80347170"/>
      <w:bookmarkStart w:id="362" w:name="_Toc80613166"/>
      <w:bookmarkStart w:id="363" w:name="_Toc80613256"/>
      <w:bookmarkStart w:id="364" w:name="_Toc80701763"/>
      <w:bookmarkStart w:id="365" w:name="_Toc83302218"/>
      <w:bookmarkStart w:id="366" w:name="_Toc83639598"/>
      <w:bookmarkStart w:id="367" w:name="_Toc86229551"/>
      <w:bookmarkStart w:id="368" w:name="_Toc88029451"/>
      <w:bookmarkStart w:id="369" w:name="_Toc94002923"/>
      <w:bookmarkStart w:id="370" w:name="_Toc97722450"/>
      <w:bookmarkStart w:id="371" w:name="_Toc99010775"/>
      <w:bookmarkStart w:id="372" w:name="_Toc99029464"/>
      <w:bookmarkStart w:id="373" w:name="_Toc103682606"/>
      <w:r w:rsidRPr="00104A8B">
        <w:rPr>
          <w:rFonts w:asciiTheme="minorHAnsi" w:hAnsiTheme="minorHAnsi"/>
        </w:rPr>
        <w:t>C</w:t>
      </w:r>
      <w:r w:rsidR="00474136" w:rsidRPr="00104A8B">
        <w:rPr>
          <w:rFonts w:asciiTheme="minorHAnsi" w:hAnsiTheme="minorHAnsi"/>
        </w:rPr>
        <w:t>ontact Information</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5CF76B81" w14:textId="77777777" w:rsidR="000B0846" w:rsidRPr="00104A8B" w:rsidRDefault="000B0846" w:rsidP="009C4F5B">
      <w:pPr>
        <w:pStyle w:val="ListParagraph"/>
        <w:tabs>
          <w:tab w:val="left" w:pos="1260"/>
        </w:tabs>
        <w:ind w:left="0"/>
      </w:pPr>
      <w:r w:rsidRPr="00104A8B">
        <w:t>Telephone</w:t>
      </w:r>
      <w:r w:rsidRPr="00104A8B">
        <w:tab/>
        <w:t xml:space="preserve">02 6205 </w:t>
      </w:r>
      <w:r w:rsidR="00415478">
        <w:t>0</w:t>
      </w:r>
      <w:r w:rsidR="00BE6460">
        <w:t>171</w:t>
      </w:r>
    </w:p>
    <w:p w14:paraId="1AE40A68" w14:textId="77777777" w:rsidR="000B0846" w:rsidRPr="00104A8B" w:rsidRDefault="000B0846" w:rsidP="009C4F5B">
      <w:pPr>
        <w:pStyle w:val="ListParagraph"/>
        <w:tabs>
          <w:tab w:val="left" w:pos="1260"/>
        </w:tabs>
        <w:ind w:left="0"/>
      </w:pPr>
      <w:r w:rsidRPr="00104A8B">
        <w:t>Facsimile</w:t>
      </w:r>
      <w:r w:rsidRPr="00104A8B">
        <w:tab/>
        <w:t>02 6205 3109</w:t>
      </w:r>
    </w:p>
    <w:p w14:paraId="397009C1" w14:textId="77777777" w:rsidR="000B0846" w:rsidRPr="00104A8B" w:rsidRDefault="000B0846" w:rsidP="009C4F5B">
      <w:pPr>
        <w:pStyle w:val="ListParagraph"/>
        <w:tabs>
          <w:tab w:val="left" w:pos="1260"/>
        </w:tabs>
        <w:ind w:left="0"/>
      </w:pPr>
      <w:r w:rsidRPr="00104A8B">
        <w:t>Post</w:t>
      </w:r>
      <w:r w:rsidRPr="00104A8B">
        <w:tab/>
        <w:t>GPO Box 1020, CANBERRA ACT 2601</w:t>
      </w:r>
    </w:p>
    <w:p w14:paraId="1A330004" w14:textId="77777777" w:rsidR="000B0846" w:rsidRPr="00104A8B" w:rsidRDefault="000B0846" w:rsidP="009C4F5B">
      <w:pPr>
        <w:pStyle w:val="ListParagraph"/>
        <w:tabs>
          <w:tab w:val="left" w:pos="1260"/>
        </w:tabs>
        <w:ind w:left="0"/>
      </w:pPr>
      <w:r w:rsidRPr="00104A8B">
        <w:t>Email</w:t>
      </w:r>
      <w:r w:rsidRPr="00104A8B">
        <w:tab/>
        <w:t>scrutiny@parliament.act.gov.au</w:t>
      </w:r>
    </w:p>
    <w:p w14:paraId="31945732" w14:textId="77777777" w:rsidR="000B0846" w:rsidRPr="00104A8B" w:rsidRDefault="000B0846" w:rsidP="009C4F5B">
      <w:pPr>
        <w:pStyle w:val="ListParagraph"/>
        <w:tabs>
          <w:tab w:val="left" w:pos="1260"/>
        </w:tabs>
        <w:spacing w:after="360"/>
        <w:ind w:left="0"/>
      </w:pPr>
      <w:r w:rsidRPr="00104A8B">
        <w:t>Website</w:t>
      </w:r>
      <w:r w:rsidRPr="00104A8B">
        <w:tab/>
        <w:t>www.parliament.act.gov.au</w:t>
      </w:r>
    </w:p>
    <w:p w14:paraId="22E1E66B" w14:textId="77777777" w:rsidR="000B0846" w:rsidRPr="00104A8B" w:rsidRDefault="000B0846" w:rsidP="002A185D">
      <w:pPr>
        <w:pStyle w:val="Heading3"/>
        <w:rPr>
          <w:rFonts w:asciiTheme="minorHAnsi" w:hAnsiTheme="minorHAnsi"/>
        </w:rPr>
      </w:pPr>
      <w:bookmarkStart w:id="374" w:name="_Toc500938172"/>
      <w:bookmarkStart w:id="375" w:name="_Toc500947020"/>
      <w:bookmarkStart w:id="376" w:name="_Toc501547029"/>
      <w:bookmarkStart w:id="377" w:name="_Toc501547384"/>
      <w:bookmarkStart w:id="378" w:name="_Toc505005668"/>
      <w:bookmarkStart w:id="379" w:name="_Toc505153759"/>
      <w:bookmarkStart w:id="380" w:name="_Toc508283427"/>
      <w:bookmarkStart w:id="381" w:name="_Toc510081783"/>
      <w:bookmarkStart w:id="382" w:name="_Toc511812220"/>
      <w:bookmarkStart w:id="383" w:name="_Toc512240158"/>
      <w:bookmarkStart w:id="384" w:name="_Toc513192155"/>
      <w:bookmarkStart w:id="385" w:name="_Toc514832417"/>
      <w:bookmarkStart w:id="386" w:name="_Toc514837962"/>
      <w:bookmarkStart w:id="387" w:name="_Toc514943596"/>
      <w:bookmarkStart w:id="388" w:name="_Toc515352039"/>
      <w:bookmarkStart w:id="389" w:name="_Toc518297248"/>
      <w:bookmarkStart w:id="390" w:name="_Toc519069306"/>
      <w:bookmarkStart w:id="391" w:name="_Toc519069367"/>
      <w:bookmarkStart w:id="392" w:name="_Toc519520734"/>
      <w:bookmarkStart w:id="393" w:name="_Toc520188713"/>
      <w:bookmarkStart w:id="394" w:name="_Toc521054230"/>
      <w:bookmarkStart w:id="395" w:name="_Toc521054317"/>
      <w:bookmarkStart w:id="396" w:name="_Toc521054389"/>
      <w:bookmarkStart w:id="397" w:name="_Toc523753612"/>
      <w:bookmarkStart w:id="398" w:name="_Toc523814161"/>
      <w:bookmarkStart w:id="399" w:name="_Toc523900452"/>
      <w:bookmarkStart w:id="400" w:name="_Toc526855813"/>
      <w:bookmarkStart w:id="401" w:name="_Toc528155839"/>
      <w:bookmarkStart w:id="402" w:name="_Toc528157198"/>
      <w:bookmarkStart w:id="403" w:name="_Toc528310851"/>
      <w:bookmarkStart w:id="404" w:name="_Toc529974530"/>
      <w:bookmarkStart w:id="405" w:name="_Toc530039425"/>
      <w:bookmarkStart w:id="406" w:name="_Toc536527673"/>
      <w:bookmarkStart w:id="407" w:name="_Toc536527836"/>
      <w:bookmarkStart w:id="408" w:name="_Toc536615374"/>
      <w:bookmarkStart w:id="409" w:name="_Toc172152"/>
      <w:bookmarkStart w:id="410" w:name="_Toc506077"/>
      <w:bookmarkStart w:id="411" w:name="_Toc945921"/>
      <w:bookmarkStart w:id="412" w:name="_Toc965811"/>
      <w:bookmarkStart w:id="413" w:name="_Toc2839575"/>
      <w:bookmarkStart w:id="414" w:name="_Toc2850235"/>
      <w:bookmarkStart w:id="415" w:name="_Toc3271212"/>
      <w:bookmarkStart w:id="416" w:name="_Toc4588273"/>
      <w:bookmarkStart w:id="417" w:name="_Toc4652919"/>
      <w:bookmarkStart w:id="418" w:name="_Toc5003661"/>
      <w:bookmarkStart w:id="419" w:name="_Toc6211034"/>
      <w:bookmarkStart w:id="420" w:name="_Toc9499992"/>
      <w:bookmarkStart w:id="421" w:name="_Toc14266114"/>
      <w:bookmarkStart w:id="422" w:name="_Toc14334603"/>
      <w:bookmarkStart w:id="423" w:name="_Toc14775953"/>
      <w:bookmarkStart w:id="424" w:name="_Toc15285031"/>
      <w:bookmarkStart w:id="425" w:name="_Toc15630651"/>
      <w:bookmarkStart w:id="426" w:name="_Toc18415323"/>
      <w:bookmarkStart w:id="427" w:name="_Toc18487691"/>
      <w:bookmarkStart w:id="428" w:name="_Toc19708394"/>
      <w:bookmarkStart w:id="429" w:name="_Toc20131683"/>
      <w:bookmarkStart w:id="430" w:name="_Toc21595441"/>
      <w:bookmarkStart w:id="431" w:name="_Toc22025442"/>
      <w:bookmarkStart w:id="432" w:name="_Toc24463705"/>
      <w:bookmarkStart w:id="433" w:name="_Toc24617702"/>
      <w:bookmarkStart w:id="434" w:name="_Toc25050774"/>
      <w:bookmarkStart w:id="435" w:name="_Toc31202138"/>
      <w:bookmarkStart w:id="436" w:name="_Toc31202259"/>
      <w:bookmarkStart w:id="437" w:name="_Toc32390199"/>
      <w:bookmarkStart w:id="438" w:name="_Toc32566840"/>
      <w:bookmarkStart w:id="439" w:name="_Toc35437930"/>
      <w:bookmarkStart w:id="440" w:name="_Toc38270540"/>
      <w:bookmarkStart w:id="441" w:name="_Toc38362391"/>
      <w:bookmarkStart w:id="442" w:name="_Toc38441872"/>
      <w:bookmarkStart w:id="443" w:name="_Toc38442379"/>
      <w:bookmarkStart w:id="444" w:name="_Toc38976317"/>
      <w:bookmarkStart w:id="445" w:name="_Toc40693088"/>
      <w:bookmarkStart w:id="446" w:name="_Toc40693229"/>
      <w:bookmarkStart w:id="447" w:name="_Toc41570915"/>
      <w:bookmarkStart w:id="448" w:name="_Toc42874997"/>
      <w:bookmarkStart w:id="449" w:name="_Toc44074214"/>
      <w:bookmarkStart w:id="450" w:name="_Toc44317225"/>
      <w:bookmarkStart w:id="451" w:name="_Toc44323928"/>
      <w:bookmarkStart w:id="452" w:name="_Toc80105327"/>
      <w:bookmarkStart w:id="453" w:name="_Toc80347171"/>
      <w:bookmarkStart w:id="454" w:name="_Toc80613167"/>
      <w:bookmarkStart w:id="455" w:name="_Toc80613257"/>
      <w:bookmarkStart w:id="456" w:name="_Toc80701764"/>
      <w:bookmarkStart w:id="457" w:name="_Toc83302219"/>
      <w:bookmarkStart w:id="458" w:name="_Toc83639599"/>
      <w:bookmarkStart w:id="459" w:name="_Toc86229552"/>
      <w:bookmarkStart w:id="460" w:name="_Toc88029452"/>
      <w:bookmarkStart w:id="461" w:name="_Toc94002924"/>
      <w:bookmarkStart w:id="462" w:name="_Toc97722451"/>
      <w:bookmarkStart w:id="463" w:name="_Toc99010776"/>
      <w:bookmarkStart w:id="464" w:name="_Toc99029465"/>
      <w:bookmarkStart w:id="465" w:name="_Toc103682607"/>
      <w:r w:rsidRPr="00104A8B">
        <w:rPr>
          <w:rFonts w:asciiTheme="minorHAnsi" w:hAnsiTheme="minorHAnsi"/>
        </w:rPr>
        <w:t>R</w:t>
      </w:r>
      <w:r w:rsidR="00474136" w:rsidRPr="00104A8B">
        <w:rPr>
          <w:rFonts w:asciiTheme="minorHAnsi" w:hAnsiTheme="minorHAnsi"/>
        </w:rPr>
        <w:t>ole of Committee</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14:paraId="4F5154C3" w14:textId="77777777" w:rsidR="000B0846" w:rsidRPr="00104A8B" w:rsidRDefault="000B0846" w:rsidP="000B0846">
      <w:r w:rsidRPr="00104A8B">
        <w:t>The Committee examines all Bills and subordinate legislation presented to the Assembly. It does not make any comments on the policy aspects of the legislation. The Committee’s terms of reference contain principles of scrutiny that enable it to operate in the best traditions of totally non-partisan, non-political technical scrutiny of legislation. These traditions have been adopted, without exception, by all scrutiny committees in Australia. Non-partisan, non-policy scrutiny allows the Committee to help the Assembly pass into law Acts and subordinate legislation which comply with the ideals set out in its terms of reference.</w:t>
      </w:r>
    </w:p>
    <w:p w14:paraId="7E2D9806" w14:textId="77777777" w:rsidR="00045F75" w:rsidRPr="00104A8B" w:rsidRDefault="00652A64" w:rsidP="00382F85">
      <w:pPr>
        <w:pStyle w:val="Heading2"/>
      </w:pPr>
      <w:r w:rsidRPr="00104A8B">
        <w:br w:type="page"/>
      </w:r>
      <w:bookmarkStart w:id="466" w:name="_Toc500938173"/>
      <w:bookmarkStart w:id="467" w:name="_Toc500947021"/>
      <w:bookmarkStart w:id="468" w:name="_Toc501547030"/>
      <w:bookmarkStart w:id="469" w:name="_Toc501547385"/>
      <w:bookmarkStart w:id="470" w:name="_Toc505005669"/>
      <w:bookmarkStart w:id="471" w:name="_Toc505153760"/>
      <w:bookmarkStart w:id="472" w:name="_Toc508283428"/>
      <w:bookmarkStart w:id="473" w:name="_Toc510081784"/>
      <w:bookmarkStart w:id="474" w:name="_Toc511812221"/>
      <w:bookmarkStart w:id="475" w:name="_Toc512240159"/>
      <w:bookmarkStart w:id="476" w:name="_Toc513192156"/>
      <w:bookmarkStart w:id="477" w:name="_Toc514832418"/>
      <w:bookmarkStart w:id="478" w:name="_Toc514837963"/>
      <w:bookmarkStart w:id="479" w:name="_Toc518297249"/>
      <w:bookmarkStart w:id="480" w:name="_Toc519069307"/>
      <w:bookmarkStart w:id="481" w:name="_Toc519069368"/>
      <w:bookmarkStart w:id="482" w:name="_Toc519520735"/>
      <w:bookmarkStart w:id="483" w:name="_Toc520188714"/>
      <w:bookmarkStart w:id="484" w:name="_Toc521054231"/>
      <w:bookmarkStart w:id="485" w:name="_Toc521054318"/>
      <w:bookmarkStart w:id="486" w:name="_Toc521054390"/>
      <w:bookmarkStart w:id="487" w:name="_Toc523753613"/>
      <w:bookmarkStart w:id="488" w:name="_Toc523814162"/>
      <w:bookmarkStart w:id="489" w:name="_Toc523900453"/>
      <w:bookmarkStart w:id="490" w:name="_Toc526855814"/>
      <w:bookmarkStart w:id="491" w:name="_Toc528155840"/>
      <w:bookmarkStart w:id="492" w:name="_Toc528157199"/>
      <w:bookmarkStart w:id="493" w:name="_Toc528310852"/>
      <w:bookmarkStart w:id="494" w:name="_Toc529974531"/>
      <w:bookmarkStart w:id="495" w:name="_Toc530039426"/>
      <w:bookmarkStart w:id="496" w:name="_Toc536527674"/>
      <w:bookmarkStart w:id="497" w:name="_Toc536527837"/>
      <w:bookmarkStart w:id="498" w:name="_Toc536615375"/>
      <w:bookmarkStart w:id="499" w:name="_Toc172153"/>
      <w:bookmarkStart w:id="500" w:name="_Toc506078"/>
      <w:bookmarkStart w:id="501" w:name="_Toc945922"/>
      <w:bookmarkStart w:id="502" w:name="_Toc965812"/>
      <w:bookmarkStart w:id="503" w:name="_Toc2839576"/>
      <w:bookmarkStart w:id="504" w:name="_Toc2850236"/>
      <w:bookmarkStart w:id="505" w:name="_Toc3271213"/>
      <w:bookmarkStart w:id="506" w:name="_Toc4588274"/>
      <w:bookmarkStart w:id="507" w:name="_Toc4652920"/>
      <w:bookmarkStart w:id="508" w:name="_Toc5003662"/>
      <w:bookmarkStart w:id="509" w:name="_Toc6211035"/>
      <w:bookmarkStart w:id="510" w:name="_Toc9499993"/>
      <w:bookmarkStart w:id="511" w:name="_Toc14266115"/>
      <w:bookmarkStart w:id="512" w:name="_Toc14334604"/>
      <w:bookmarkStart w:id="513" w:name="_Toc14775954"/>
      <w:bookmarkStart w:id="514" w:name="_Toc15285032"/>
      <w:bookmarkStart w:id="515" w:name="_Toc15630652"/>
      <w:bookmarkStart w:id="516" w:name="_Toc18415324"/>
      <w:bookmarkStart w:id="517" w:name="_Toc18487692"/>
      <w:bookmarkStart w:id="518" w:name="_Toc19708395"/>
      <w:bookmarkStart w:id="519" w:name="_Toc20131684"/>
      <w:bookmarkStart w:id="520" w:name="_Toc21595442"/>
      <w:bookmarkStart w:id="521" w:name="_Toc22025443"/>
      <w:bookmarkStart w:id="522" w:name="_Toc24463706"/>
      <w:bookmarkStart w:id="523" w:name="_Toc24617703"/>
      <w:bookmarkStart w:id="524" w:name="_Toc25050775"/>
      <w:bookmarkStart w:id="525" w:name="_Toc31202139"/>
      <w:bookmarkStart w:id="526" w:name="_Toc31202260"/>
      <w:bookmarkStart w:id="527" w:name="_Toc32390200"/>
      <w:bookmarkStart w:id="528" w:name="_Toc32566841"/>
      <w:bookmarkStart w:id="529" w:name="_Toc35437931"/>
      <w:bookmarkStart w:id="530" w:name="_Toc38270541"/>
      <w:bookmarkStart w:id="531" w:name="_Toc38362392"/>
      <w:bookmarkStart w:id="532" w:name="_Toc38441873"/>
      <w:bookmarkStart w:id="533" w:name="_Toc38442380"/>
      <w:bookmarkStart w:id="534" w:name="_Toc38976318"/>
      <w:bookmarkStart w:id="535" w:name="_Toc40693089"/>
      <w:bookmarkStart w:id="536" w:name="_Toc40693230"/>
      <w:bookmarkStart w:id="537" w:name="_Toc41570916"/>
      <w:bookmarkStart w:id="538" w:name="_Toc42874998"/>
      <w:bookmarkStart w:id="539" w:name="_Toc44074215"/>
      <w:bookmarkStart w:id="540" w:name="_Toc44317226"/>
      <w:bookmarkStart w:id="541" w:name="_Toc44323929"/>
      <w:bookmarkStart w:id="542" w:name="_Toc80105328"/>
      <w:bookmarkStart w:id="543" w:name="_Toc80347172"/>
      <w:bookmarkStart w:id="544" w:name="_Toc80613168"/>
      <w:bookmarkStart w:id="545" w:name="_Toc80613258"/>
      <w:bookmarkStart w:id="546" w:name="_Toc80701765"/>
      <w:bookmarkStart w:id="547" w:name="_Toc83302220"/>
      <w:bookmarkStart w:id="548" w:name="_Toc83639600"/>
      <w:bookmarkStart w:id="549" w:name="_Toc86229553"/>
      <w:bookmarkStart w:id="550" w:name="_Toc88029453"/>
      <w:bookmarkStart w:id="551" w:name="_Toc94002925"/>
      <w:bookmarkStart w:id="552" w:name="_Toc97722452"/>
      <w:bookmarkStart w:id="553" w:name="_Toc99010777"/>
      <w:bookmarkStart w:id="554" w:name="_Toc99029466"/>
      <w:bookmarkStart w:id="555" w:name="_Toc103682608"/>
      <w:r w:rsidR="00045F75" w:rsidRPr="00104A8B">
        <w:lastRenderedPageBreak/>
        <w:t>Resolution of Appointment</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362E208E" w14:textId="10AB8ACF" w:rsidR="001D271A" w:rsidRPr="00697120" w:rsidRDefault="001D271A" w:rsidP="001D271A">
      <w:pPr>
        <w:keepNext/>
        <w:keepLines/>
        <w:tabs>
          <w:tab w:val="left" w:pos="567"/>
        </w:tabs>
        <w:spacing w:before="60" w:after="60"/>
        <w:ind w:left="1701" w:hanging="567"/>
        <w:rPr>
          <w:rFonts w:ascii="Calibri" w:hAnsi="Calibri"/>
        </w:rPr>
      </w:pPr>
      <w:r w:rsidRPr="00697120">
        <w:rPr>
          <w:rFonts w:ascii="Calibri" w:hAnsi="Calibri"/>
        </w:rPr>
        <w:t>(10)</w:t>
      </w:r>
      <w:r w:rsidRPr="00697120">
        <w:rPr>
          <w:rFonts w:ascii="Calibri" w:hAnsi="Calibri"/>
        </w:rPr>
        <w:tab/>
      </w:r>
      <w:proofErr w:type="gramStart"/>
      <w:r w:rsidRPr="00697120">
        <w:rPr>
          <w:rFonts w:ascii="Calibri" w:hAnsi="Calibri"/>
        </w:rPr>
        <w:t>the</w:t>
      </w:r>
      <w:proofErr w:type="gramEnd"/>
      <w:r w:rsidRPr="00697120">
        <w:rPr>
          <w:rFonts w:ascii="Calibri" w:hAnsi="Calibri"/>
        </w:rPr>
        <w:t xml:space="preserve"> Standing Committee on Justice and Community Safety is also to perform a legislative scrutiny role of bills and subordinate legislation by:</w:t>
      </w:r>
    </w:p>
    <w:p w14:paraId="22A3C386" w14:textId="77777777" w:rsidR="001D271A" w:rsidRPr="00697120" w:rsidRDefault="001D271A" w:rsidP="001D271A">
      <w:pPr>
        <w:keepNext/>
        <w:keepLines/>
        <w:tabs>
          <w:tab w:val="left" w:pos="567"/>
        </w:tabs>
        <w:spacing w:before="60" w:after="60"/>
        <w:ind w:left="2268" w:hanging="567"/>
        <w:rPr>
          <w:rFonts w:ascii="Calibri" w:hAnsi="Calibri"/>
        </w:rPr>
      </w:pPr>
      <w:r w:rsidRPr="00697120">
        <w:rPr>
          <w:rFonts w:ascii="Calibri" w:hAnsi="Calibri"/>
        </w:rPr>
        <w:t>(a)</w:t>
      </w:r>
      <w:r w:rsidRPr="00697120">
        <w:rPr>
          <w:rFonts w:ascii="Calibri" w:hAnsi="Calibri"/>
        </w:rPr>
        <w:tab/>
      </w:r>
      <w:proofErr w:type="gramStart"/>
      <w:r w:rsidRPr="00697120">
        <w:rPr>
          <w:rFonts w:ascii="Calibri" w:hAnsi="Calibri"/>
        </w:rPr>
        <w:t>considering</w:t>
      </w:r>
      <w:proofErr w:type="gramEnd"/>
      <w:r w:rsidRPr="00697120">
        <w:rPr>
          <w:rFonts w:ascii="Calibri" w:hAnsi="Calibri"/>
        </w:rPr>
        <w:t xml:space="preserve"> whether the clauses of bills (and amendments proposed by the Government to its own bills) introduced into the Assembly:</w:t>
      </w:r>
    </w:p>
    <w:p w14:paraId="7F90C0A5" w14:textId="77777777" w:rsidR="001D271A" w:rsidRPr="00697120" w:rsidRDefault="001D271A" w:rsidP="001D271A">
      <w:pPr>
        <w:keepNext/>
        <w:keepLines/>
        <w:spacing w:before="60" w:after="60"/>
        <w:ind w:left="2835" w:hanging="567"/>
        <w:rPr>
          <w:rFonts w:ascii="Calibri" w:hAnsi="Calibri"/>
        </w:rPr>
      </w:pPr>
      <w:r w:rsidRPr="00697120">
        <w:rPr>
          <w:rFonts w:ascii="Calibri" w:hAnsi="Calibri"/>
        </w:rPr>
        <w:t>(</w:t>
      </w:r>
      <w:proofErr w:type="spellStart"/>
      <w:r w:rsidRPr="00697120">
        <w:rPr>
          <w:rFonts w:ascii="Calibri" w:hAnsi="Calibri"/>
        </w:rPr>
        <w:t>i</w:t>
      </w:r>
      <w:proofErr w:type="spellEnd"/>
      <w:r w:rsidRPr="00697120">
        <w:rPr>
          <w:rFonts w:ascii="Calibri" w:hAnsi="Calibri"/>
        </w:rPr>
        <w:t>)</w:t>
      </w:r>
      <w:r w:rsidRPr="00697120">
        <w:rPr>
          <w:rFonts w:ascii="Calibri" w:hAnsi="Calibri"/>
        </w:rPr>
        <w:tab/>
      </w:r>
      <w:proofErr w:type="gramStart"/>
      <w:r w:rsidRPr="00697120">
        <w:rPr>
          <w:rFonts w:ascii="Calibri" w:hAnsi="Calibri"/>
        </w:rPr>
        <w:t>unduly</w:t>
      </w:r>
      <w:proofErr w:type="gramEnd"/>
      <w:r w:rsidRPr="00697120">
        <w:rPr>
          <w:rFonts w:ascii="Calibri" w:hAnsi="Calibri"/>
        </w:rPr>
        <w:t xml:space="preserve"> trespass on personal rights and liberties;</w:t>
      </w:r>
    </w:p>
    <w:p w14:paraId="6F3B7964" w14:textId="77777777" w:rsidR="001D271A" w:rsidRPr="00697120" w:rsidRDefault="001D271A" w:rsidP="001D271A">
      <w:pPr>
        <w:spacing w:before="60" w:after="60"/>
        <w:ind w:left="2835" w:hanging="567"/>
        <w:rPr>
          <w:rFonts w:ascii="Calibri" w:hAnsi="Calibri"/>
        </w:rPr>
      </w:pPr>
      <w:r w:rsidRPr="00697120">
        <w:rPr>
          <w:rFonts w:ascii="Calibri" w:hAnsi="Calibri"/>
        </w:rPr>
        <w:t>(ii)</w:t>
      </w:r>
      <w:r w:rsidRPr="00697120">
        <w:rPr>
          <w:rFonts w:ascii="Calibri" w:hAnsi="Calibri"/>
        </w:rPr>
        <w:tab/>
      </w:r>
      <w:proofErr w:type="gramStart"/>
      <w:r w:rsidRPr="00697120">
        <w:rPr>
          <w:rFonts w:ascii="Calibri" w:hAnsi="Calibri"/>
        </w:rPr>
        <w:t>make</w:t>
      </w:r>
      <w:proofErr w:type="gramEnd"/>
      <w:r w:rsidRPr="00697120">
        <w:rPr>
          <w:rFonts w:ascii="Calibri" w:hAnsi="Calibri"/>
        </w:rPr>
        <w:t xml:space="preserve"> rights, liberties and/or obligations unduly dependent upon insufficiently defined administrative powers;</w:t>
      </w:r>
    </w:p>
    <w:p w14:paraId="57ACF07B" w14:textId="77777777" w:rsidR="001D271A" w:rsidRPr="00697120" w:rsidRDefault="001D271A" w:rsidP="001D271A">
      <w:pPr>
        <w:spacing w:before="60" w:after="60"/>
        <w:ind w:left="2835" w:hanging="567"/>
        <w:rPr>
          <w:rFonts w:ascii="Calibri" w:hAnsi="Calibri"/>
        </w:rPr>
      </w:pPr>
      <w:r w:rsidRPr="00697120">
        <w:rPr>
          <w:rFonts w:ascii="Calibri" w:hAnsi="Calibri"/>
        </w:rPr>
        <w:t>(iii)</w:t>
      </w:r>
      <w:r w:rsidRPr="00697120">
        <w:rPr>
          <w:rFonts w:ascii="Calibri" w:hAnsi="Calibri"/>
        </w:rPr>
        <w:tab/>
      </w:r>
      <w:proofErr w:type="gramStart"/>
      <w:r w:rsidRPr="00697120">
        <w:rPr>
          <w:rFonts w:ascii="Calibri" w:hAnsi="Calibri"/>
        </w:rPr>
        <w:t>make</w:t>
      </w:r>
      <w:proofErr w:type="gramEnd"/>
      <w:r w:rsidRPr="00697120">
        <w:rPr>
          <w:rFonts w:ascii="Calibri" w:hAnsi="Calibri"/>
        </w:rPr>
        <w:t xml:space="preserve"> rights, liberties and/or obligations unduly dependent upon non-reviewable decisions;</w:t>
      </w:r>
    </w:p>
    <w:p w14:paraId="209281F7" w14:textId="77777777" w:rsidR="001D271A" w:rsidRPr="00697120" w:rsidRDefault="001D271A" w:rsidP="001D271A">
      <w:pPr>
        <w:spacing w:before="60" w:after="60"/>
        <w:ind w:left="2835" w:hanging="567"/>
        <w:rPr>
          <w:rFonts w:ascii="Calibri" w:hAnsi="Calibri"/>
        </w:rPr>
      </w:pPr>
      <w:r w:rsidRPr="00697120">
        <w:rPr>
          <w:rFonts w:ascii="Calibri" w:hAnsi="Calibri"/>
        </w:rPr>
        <w:t>(iv)</w:t>
      </w:r>
      <w:r w:rsidRPr="00697120">
        <w:rPr>
          <w:rFonts w:ascii="Calibri" w:hAnsi="Calibri"/>
        </w:rPr>
        <w:tab/>
      </w:r>
      <w:proofErr w:type="gramStart"/>
      <w:r w:rsidRPr="00697120">
        <w:rPr>
          <w:rFonts w:ascii="Calibri" w:hAnsi="Calibri"/>
        </w:rPr>
        <w:t>inappropriately</w:t>
      </w:r>
      <w:proofErr w:type="gramEnd"/>
      <w:r w:rsidRPr="00697120">
        <w:rPr>
          <w:rFonts w:ascii="Calibri" w:hAnsi="Calibri"/>
        </w:rPr>
        <w:t xml:space="preserve"> delegate legislative powers; or</w:t>
      </w:r>
    </w:p>
    <w:p w14:paraId="2F90AE0F" w14:textId="77777777" w:rsidR="001D271A" w:rsidRPr="00697120" w:rsidRDefault="001D271A" w:rsidP="001D271A">
      <w:pPr>
        <w:spacing w:before="60" w:after="60"/>
        <w:ind w:left="2835" w:hanging="567"/>
        <w:rPr>
          <w:rFonts w:ascii="Calibri" w:hAnsi="Calibri"/>
        </w:rPr>
      </w:pPr>
      <w:r w:rsidRPr="00697120">
        <w:rPr>
          <w:rFonts w:ascii="Calibri" w:hAnsi="Calibri"/>
        </w:rPr>
        <w:t>(v)</w:t>
      </w:r>
      <w:r w:rsidRPr="00697120">
        <w:rPr>
          <w:rFonts w:ascii="Calibri" w:hAnsi="Calibri"/>
        </w:rPr>
        <w:tab/>
      </w:r>
      <w:proofErr w:type="gramStart"/>
      <w:r w:rsidRPr="00697120">
        <w:rPr>
          <w:rFonts w:ascii="Calibri" w:hAnsi="Calibri"/>
        </w:rPr>
        <w:t>insufficiently</w:t>
      </w:r>
      <w:proofErr w:type="gramEnd"/>
      <w:r w:rsidRPr="00697120">
        <w:rPr>
          <w:rFonts w:ascii="Calibri" w:hAnsi="Calibri"/>
        </w:rPr>
        <w:t xml:space="preserve"> subject the exercise of legislative power to parliamentary scrutiny; and</w:t>
      </w:r>
    </w:p>
    <w:p w14:paraId="5C723A4F" w14:textId="77777777" w:rsidR="001D271A" w:rsidRPr="00697120" w:rsidRDefault="001D271A" w:rsidP="001D271A">
      <w:pPr>
        <w:spacing w:before="60" w:after="60"/>
        <w:ind w:left="2835" w:hanging="567"/>
        <w:rPr>
          <w:rFonts w:ascii="Calibri" w:hAnsi="Calibri"/>
        </w:rPr>
      </w:pPr>
      <w:r w:rsidRPr="00697120">
        <w:rPr>
          <w:rFonts w:ascii="Calibri" w:hAnsi="Calibri"/>
        </w:rPr>
        <w:t>(vi)</w:t>
      </w:r>
      <w:r w:rsidRPr="00697120">
        <w:rPr>
          <w:rFonts w:ascii="Calibri" w:hAnsi="Calibri"/>
        </w:rPr>
        <w:tab/>
      </w:r>
      <w:proofErr w:type="gramStart"/>
      <w:r w:rsidRPr="00697120">
        <w:rPr>
          <w:rFonts w:ascii="Calibri" w:hAnsi="Calibri"/>
        </w:rPr>
        <w:t>consider</w:t>
      </w:r>
      <w:proofErr w:type="gramEnd"/>
      <w:r w:rsidRPr="00697120">
        <w:rPr>
          <w:rFonts w:ascii="Calibri" w:hAnsi="Calibri"/>
        </w:rPr>
        <w:t xml:space="preserve"> whether any explanatory statement associated with legislation meets the technical or stylistic standards expected by the Assembly;</w:t>
      </w:r>
    </w:p>
    <w:p w14:paraId="2533BFC5" w14:textId="77777777"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(b)</w:t>
      </w:r>
      <w:r w:rsidRPr="00697120">
        <w:rPr>
          <w:rFonts w:ascii="Calibri" w:hAnsi="Calibri"/>
        </w:rPr>
        <w:tab/>
      </w:r>
      <w:proofErr w:type="gramStart"/>
      <w:r w:rsidRPr="00697120">
        <w:rPr>
          <w:rFonts w:ascii="Calibri" w:hAnsi="Calibri"/>
        </w:rPr>
        <w:t>reporting</w:t>
      </w:r>
      <w:proofErr w:type="gramEnd"/>
      <w:r w:rsidRPr="00697120">
        <w:rPr>
          <w:rFonts w:ascii="Calibri" w:hAnsi="Calibri"/>
        </w:rPr>
        <w:t xml:space="preserve"> to the Legislative Assembly about human rights issues raised by bills presented to the Assembly pursuant to section 38 of the </w:t>
      </w:r>
      <w:r w:rsidRPr="00697120">
        <w:rPr>
          <w:rFonts w:ascii="Calibri" w:hAnsi="Calibri"/>
          <w:i/>
        </w:rPr>
        <w:t>Human Rights Act 2004</w:t>
      </w:r>
      <w:r w:rsidRPr="00697120">
        <w:rPr>
          <w:rFonts w:ascii="Calibri" w:hAnsi="Calibri"/>
        </w:rPr>
        <w:t xml:space="preserve">; </w:t>
      </w:r>
    </w:p>
    <w:p w14:paraId="4D509E97" w14:textId="77777777"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(c)</w:t>
      </w:r>
      <w:r w:rsidRPr="00697120">
        <w:rPr>
          <w:rFonts w:ascii="Calibri" w:hAnsi="Calibri"/>
        </w:rPr>
        <w:tab/>
      </w:r>
      <w:proofErr w:type="gramStart"/>
      <w:r w:rsidRPr="00697120">
        <w:rPr>
          <w:rFonts w:ascii="Calibri" w:hAnsi="Calibri"/>
        </w:rPr>
        <w:t>considering</w:t>
      </w:r>
      <w:proofErr w:type="gramEnd"/>
      <w:r w:rsidRPr="00697120">
        <w:rPr>
          <w:rFonts w:ascii="Calibri" w:hAnsi="Calibri"/>
        </w:rPr>
        <w:t xml:space="preserve"> whether any instrument of a legislative nature made under an Act which is subject to disallowance and/or disapproval by the Assembly (including a regulation, rule or by-law):</w:t>
      </w:r>
    </w:p>
    <w:p w14:paraId="28E0DF46" w14:textId="77777777" w:rsidR="001D271A" w:rsidRPr="00697120" w:rsidRDefault="001D271A" w:rsidP="001D271A">
      <w:pPr>
        <w:spacing w:before="60" w:after="60"/>
        <w:ind w:left="2835" w:hanging="567"/>
        <w:rPr>
          <w:rFonts w:ascii="Calibri" w:hAnsi="Calibri"/>
        </w:rPr>
      </w:pPr>
      <w:r w:rsidRPr="00697120">
        <w:rPr>
          <w:rFonts w:ascii="Calibri" w:hAnsi="Calibri"/>
        </w:rPr>
        <w:t>(</w:t>
      </w:r>
      <w:proofErr w:type="spellStart"/>
      <w:proofErr w:type="gramStart"/>
      <w:r w:rsidRPr="00697120">
        <w:rPr>
          <w:rFonts w:ascii="Calibri" w:hAnsi="Calibri"/>
        </w:rPr>
        <w:t>i</w:t>
      </w:r>
      <w:proofErr w:type="spellEnd"/>
      <w:proofErr w:type="gramEnd"/>
      <w:r w:rsidRPr="00697120">
        <w:rPr>
          <w:rFonts w:ascii="Calibri" w:hAnsi="Calibri"/>
        </w:rPr>
        <w:t>)</w:t>
      </w:r>
      <w:r w:rsidRPr="00697120">
        <w:rPr>
          <w:rFonts w:ascii="Calibri" w:hAnsi="Calibri"/>
        </w:rPr>
        <w:tab/>
        <w:t>is in accord with the general objects of the Act under which it is made;</w:t>
      </w:r>
    </w:p>
    <w:p w14:paraId="55E240CB" w14:textId="77777777" w:rsidR="001D271A" w:rsidRPr="00697120" w:rsidRDefault="001D271A" w:rsidP="001D271A">
      <w:pPr>
        <w:spacing w:before="60" w:after="60"/>
        <w:ind w:left="2835" w:hanging="567"/>
        <w:rPr>
          <w:rFonts w:ascii="Calibri" w:hAnsi="Calibri"/>
        </w:rPr>
      </w:pPr>
      <w:r w:rsidRPr="00697120">
        <w:rPr>
          <w:rFonts w:ascii="Calibri" w:hAnsi="Calibri"/>
        </w:rPr>
        <w:t>(ii)</w:t>
      </w:r>
      <w:r w:rsidRPr="00697120">
        <w:rPr>
          <w:rFonts w:ascii="Calibri" w:hAnsi="Calibri"/>
        </w:rPr>
        <w:tab/>
      </w:r>
      <w:proofErr w:type="gramStart"/>
      <w:r w:rsidRPr="00697120">
        <w:rPr>
          <w:rFonts w:ascii="Calibri" w:hAnsi="Calibri"/>
        </w:rPr>
        <w:t>unduly</w:t>
      </w:r>
      <w:proofErr w:type="gramEnd"/>
      <w:r w:rsidRPr="00697120">
        <w:rPr>
          <w:rFonts w:ascii="Calibri" w:hAnsi="Calibri"/>
        </w:rPr>
        <w:t xml:space="preserve"> trespasses on rights previously established by law;</w:t>
      </w:r>
    </w:p>
    <w:p w14:paraId="63DC86B5" w14:textId="77777777" w:rsidR="001D271A" w:rsidRPr="00697120" w:rsidRDefault="001D271A" w:rsidP="001D271A">
      <w:pPr>
        <w:spacing w:before="60" w:after="60"/>
        <w:ind w:left="2835" w:hanging="567"/>
        <w:rPr>
          <w:rFonts w:ascii="Calibri" w:hAnsi="Calibri"/>
        </w:rPr>
      </w:pPr>
      <w:r w:rsidRPr="00697120">
        <w:rPr>
          <w:rFonts w:ascii="Calibri" w:hAnsi="Calibri"/>
        </w:rPr>
        <w:t>(iii)</w:t>
      </w:r>
      <w:r w:rsidRPr="00697120">
        <w:rPr>
          <w:rFonts w:ascii="Calibri" w:hAnsi="Calibri"/>
        </w:rPr>
        <w:tab/>
      </w:r>
      <w:proofErr w:type="gramStart"/>
      <w:r w:rsidRPr="00697120">
        <w:rPr>
          <w:rFonts w:ascii="Calibri" w:hAnsi="Calibri"/>
        </w:rPr>
        <w:t>makes</w:t>
      </w:r>
      <w:proofErr w:type="gramEnd"/>
      <w:r w:rsidRPr="00697120">
        <w:rPr>
          <w:rFonts w:ascii="Calibri" w:hAnsi="Calibri"/>
        </w:rPr>
        <w:t xml:space="preserve"> rights, liberties and/or obligations unduly dependent upon non-reviewable decisions; or</w:t>
      </w:r>
    </w:p>
    <w:p w14:paraId="1E28BB3A" w14:textId="77777777" w:rsidR="001D271A" w:rsidRPr="00697120" w:rsidRDefault="001D271A" w:rsidP="001D271A">
      <w:pPr>
        <w:spacing w:before="60" w:after="60"/>
        <w:ind w:left="2835" w:hanging="567"/>
        <w:rPr>
          <w:rFonts w:ascii="Calibri" w:hAnsi="Calibri"/>
        </w:rPr>
      </w:pPr>
      <w:r w:rsidRPr="00697120">
        <w:rPr>
          <w:rFonts w:ascii="Calibri" w:hAnsi="Calibri"/>
        </w:rPr>
        <w:t>(iv)</w:t>
      </w:r>
      <w:r w:rsidRPr="00697120">
        <w:rPr>
          <w:rFonts w:ascii="Calibri" w:hAnsi="Calibri"/>
        </w:rPr>
        <w:tab/>
      </w:r>
      <w:proofErr w:type="gramStart"/>
      <w:r w:rsidRPr="00697120">
        <w:rPr>
          <w:rFonts w:ascii="Calibri" w:hAnsi="Calibri"/>
        </w:rPr>
        <w:t>contains</w:t>
      </w:r>
      <w:proofErr w:type="gramEnd"/>
      <w:r w:rsidRPr="00697120">
        <w:rPr>
          <w:rFonts w:ascii="Calibri" w:hAnsi="Calibri"/>
        </w:rPr>
        <w:t xml:space="preserve"> matter which in the opinion of the Committee should properly be dealt with in an Act of the Legislative Assembly; and</w:t>
      </w:r>
    </w:p>
    <w:p w14:paraId="1BA36202" w14:textId="77777777"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(d)</w:t>
      </w:r>
      <w:r w:rsidRPr="00697120">
        <w:rPr>
          <w:rFonts w:ascii="Calibri" w:hAnsi="Calibri"/>
        </w:rPr>
        <w:tab/>
      </w:r>
      <w:proofErr w:type="gramStart"/>
      <w:r w:rsidRPr="00697120">
        <w:rPr>
          <w:rFonts w:ascii="Calibri" w:hAnsi="Calibri"/>
        </w:rPr>
        <w:t>consider</w:t>
      </w:r>
      <w:proofErr w:type="gramEnd"/>
      <w:r w:rsidRPr="00697120">
        <w:rPr>
          <w:rFonts w:ascii="Calibri" w:hAnsi="Calibri"/>
        </w:rPr>
        <w:t xml:space="preserve"> whether any explanatory statement or explanatory memorandum associated with legislation and any regulatory impact statement meets the technical or stylistic standards expected by the Assembly;</w:t>
      </w:r>
    </w:p>
    <w:p w14:paraId="65F3BA92" w14:textId="77777777" w:rsidR="00126D9A" w:rsidRPr="00104A8B" w:rsidRDefault="00126D9A">
      <w:r w:rsidRPr="00104A8B">
        <w:br w:type="page"/>
      </w:r>
    </w:p>
    <w:p w14:paraId="59123123" w14:textId="77777777" w:rsidR="007D10B6" w:rsidRDefault="00D447D3" w:rsidP="00ED1562">
      <w:pPr>
        <w:pStyle w:val="TOCHeading"/>
        <w:keepNext w:val="0"/>
        <w:keepLines w:val="0"/>
        <w:spacing w:before="120" w:after="360" w:line="500" w:lineRule="exact"/>
        <w:outlineLvl w:val="1"/>
        <w:rPr>
          <w:noProof/>
        </w:rPr>
      </w:pPr>
      <w:bookmarkStart w:id="556" w:name="_Toc514837964"/>
      <w:r w:rsidRPr="00104A8B">
        <w:rPr>
          <w:rFonts w:asciiTheme="minorHAnsi" w:eastAsia="Times New Roman" w:hAnsiTheme="minorHAnsi" w:cs="Times New Roman"/>
          <w:smallCaps/>
          <w:spacing w:val="20"/>
          <w:kern w:val="42"/>
          <w:sz w:val="44"/>
          <w:szCs w:val="44"/>
        </w:rPr>
        <w:lastRenderedPageBreak/>
        <w:t>Table of Contents</w:t>
      </w:r>
      <w:bookmarkEnd w:id="556"/>
      <w:r w:rsidR="00CD5AD5" w:rsidRPr="00104A8B">
        <w:rPr>
          <w:rFonts w:asciiTheme="minorHAnsi" w:hAnsiTheme="minorHAnsi"/>
        </w:rPr>
        <w:fldChar w:fldCharType="begin"/>
      </w:r>
      <w:r w:rsidR="00562E8A" w:rsidRPr="00104A8B">
        <w:rPr>
          <w:rFonts w:asciiTheme="minorHAnsi" w:hAnsiTheme="minorHAnsi"/>
        </w:rPr>
        <w:instrText xml:space="preserve"> TOC \h \z \u \t "Heading 2,1,Heading 3,2,Heading 4,3" </w:instrText>
      </w:r>
      <w:r w:rsidR="00CD5AD5" w:rsidRPr="00104A8B">
        <w:rPr>
          <w:rFonts w:asciiTheme="minorHAnsi" w:hAnsiTheme="minorHAnsi"/>
        </w:rPr>
        <w:fldChar w:fldCharType="separate"/>
      </w:r>
    </w:p>
    <w:p w14:paraId="29F3E3D5" w14:textId="77777777" w:rsidR="007D10B6" w:rsidRDefault="004C5308">
      <w:pPr>
        <w:pStyle w:val="TOC1"/>
        <w:rPr>
          <w:rFonts w:asciiTheme="minorHAnsi" w:eastAsiaTheme="minorEastAsia" w:hAnsiTheme="minorHAnsi" w:cstheme="minorBidi"/>
          <w:bCs w:val="0"/>
          <w:smallCaps w:val="0"/>
          <w:spacing w:val="0"/>
          <w:sz w:val="22"/>
          <w:szCs w:val="22"/>
          <w:lang w:eastAsia="en-AU"/>
        </w:rPr>
      </w:pPr>
      <w:hyperlink w:anchor="_Toc103682603" w:history="1">
        <w:r w:rsidR="007D10B6" w:rsidRPr="00E37517">
          <w:rPr>
            <w:rStyle w:val="Hyperlink"/>
          </w:rPr>
          <w:t>The Committee</w:t>
        </w:r>
        <w:r w:rsidR="007D10B6">
          <w:rPr>
            <w:webHidden/>
          </w:rPr>
          <w:tab/>
        </w:r>
        <w:r w:rsidR="007D10B6">
          <w:rPr>
            <w:webHidden/>
          </w:rPr>
          <w:fldChar w:fldCharType="begin"/>
        </w:r>
        <w:r w:rsidR="007D10B6">
          <w:rPr>
            <w:webHidden/>
          </w:rPr>
          <w:instrText xml:space="preserve"> PAGEREF _Toc103682603 \h </w:instrText>
        </w:r>
        <w:r w:rsidR="007D10B6">
          <w:rPr>
            <w:webHidden/>
          </w:rPr>
        </w:r>
        <w:r w:rsidR="007D10B6">
          <w:rPr>
            <w:webHidden/>
          </w:rPr>
          <w:fldChar w:fldCharType="separate"/>
        </w:r>
        <w:r w:rsidR="007D10B6">
          <w:rPr>
            <w:webHidden/>
          </w:rPr>
          <w:t>i</w:t>
        </w:r>
        <w:r w:rsidR="007D10B6">
          <w:rPr>
            <w:webHidden/>
          </w:rPr>
          <w:fldChar w:fldCharType="end"/>
        </w:r>
      </w:hyperlink>
    </w:p>
    <w:p w14:paraId="0C782D3C" w14:textId="77777777" w:rsidR="007D10B6" w:rsidRDefault="004C5308">
      <w:pPr>
        <w:pStyle w:val="TOC2"/>
        <w:rPr>
          <w:rFonts w:asciiTheme="minorHAnsi" w:eastAsiaTheme="minorEastAsia" w:hAnsiTheme="minorHAnsi" w:cstheme="minorBidi"/>
          <w:b w:val="0"/>
          <w:noProof/>
          <w:sz w:val="22"/>
          <w:szCs w:val="22"/>
          <w:lang w:eastAsia="en-AU"/>
        </w:rPr>
      </w:pPr>
      <w:hyperlink w:anchor="_Toc103682604" w:history="1">
        <w:r w:rsidR="007D10B6" w:rsidRPr="00E37517">
          <w:rPr>
            <w:rStyle w:val="Hyperlink"/>
            <w:noProof/>
          </w:rPr>
          <w:t>Committee Membership</w:t>
        </w:r>
        <w:r w:rsidR="007D10B6">
          <w:rPr>
            <w:noProof/>
            <w:webHidden/>
          </w:rPr>
          <w:tab/>
        </w:r>
        <w:r w:rsidR="007D10B6">
          <w:rPr>
            <w:noProof/>
            <w:webHidden/>
          </w:rPr>
          <w:fldChar w:fldCharType="begin"/>
        </w:r>
        <w:r w:rsidR="007D10B6">
          <w:rPr>
            <w:noProof/>
            <w:webHidden/>
          </w:rPr>
          <w:instrText xml:space="preserve"> PAGEREF _Toc103682604 \h </w:instrText>
        </w:r>
        <w:r w:rsidR="007D10B6">
          <w:rPr>
            <w:noProof/>
            <w:webHidden/>
          </w:rPr>
        </w:r>
        <w:r w:rsidR="007D10B6">
          <w:rPr>
            <w:noProof/>
            <w:webHidden/>
          </w:rPr>
          <w:fldChar w:fldCharType="separate"/>
        </w:r>
        <w:r w:rsidR="007D10B6">
          <w:rPr>
            <w:noProof/>
            <w:webHidden/>
          </w:rPr>
          <w:t>i</w:t>
        </w:r>
        <w:r w:rsidR="007D10B6">
          <w:rPr>
            <w:noProof/>
            <w:webHidden/>
          </w:rPr>
          <w:fldChar w:fldCharType="end"/>
        </w:r>
      </w:hyperlink>
    </w:p>
    <w:p w14:paraId="796C1BE1" w14:textId="77777777" w:rsidR="007D10B6" w:rsidRDefault="004C5308">
      <w:pPr>
        <w:pStyle w:val="TOC2"/>
        <w:rPr>
          <w:rFonts w:asciiTheme="minorHAnsi" w:eastAsiaTheme="minorEastAsia" w:hAnsiTheme="minorHAnsi" w:cstheme="minorBidi"/>
          <w:b w:val="0"/>
          <w:noProof/>
          <w:sz w:val="22"/>
          <w:szCs w:val="22"/>
          <w:lang w:eastAsia="en-AU"/>
        </w:rPr>
      </w:pPr>
      <w:hyperlink w:anchor="_Toc103682605" w:history="1">
        <w:r w:rsidR="007D10B6" w:rsidRPr="00E37517">
          <w:rPr>
            <w:rStyle w:val="Hyperlink"/>
            <w:noProof/>
          </w:rPr>
          <w:t>Secretariat</w:t>
        </w:r>
        <w:r w:rsidR="007D10B6">
          <w:rPr>
            <w:noProof/>
            <w:webHidden/>
          </w:rPr>
          <w:tab/>
        </w:r>
        <w:r w:rsidR="007D10B6">
          <w:rPr>
            <w:noProof/>
            <w:webHidden/>
          </w:rPr>
          <w:fldChar w:fldCharType="begin"/>
        </w:r>
        <w:r w:rsidR="007D10B6">
          <w:rPr>
            <w:noProof/>
            <w:webHidden/>
          </w:rPr>
          <w:instrText xml:space="preserve"> PAGEREF _Toc103682605 \h </w:instrText>
        </w:r>
        <w:r w:rsidR="007D10B6">
          <w:rPr>
            <w:noProof/>
            <w:webHidden/>
          </w:rPr>
        </w:r>
        <w:r w:rsidR="007D10B6">
          <w:rPr>
            <w:noProof/>
            <w:webHidden/>
          </w:rPr>
          <w:fldChar w:fldCharType="separate"/>
        </w:r>
        <w:r w:rsidR="007D10B6">
          <w:rPr>
            <w:noProof/>
            <w:webHidden/>
          </w:rPr>
          <w:t>i</w:t>
        </w:r>
        <w:r w:rsidR="007D10B6">
          <w:rPr>
            <w:noProof/>
            <w:webHidden/>
          </w:rPr>
          <w:fldChar w:fldCharType="end"/>
        </w:r>
      </w:hyperlink>
    </w:p>
    <w:p w14:paraId="437672B6" w14:textId="77777777" w:rsidR="007D10B6" w:rsidRDefault="004C5308">
      <w:pPr>
        <w:pStyle w:val="TOC2"/>
        <w:rPr>
          <w:rFonts w:asciiTheme="minorHAnsi" w:eastAsiaTheme="minorEastAsia" w:hAnsiTheme="minorHAnsi" w:cstheme="minorBidi"/>
          <w:b w:val="0"/>
          <w:noProof/>
          <w:sz w:val="22"/>
          <w:szCs w:val="22"/>
          <w:lang w:eastAsia="en-AU"/>
        </w:rPr>
      </w:pPr>
      <w:hyperlink w:anchor="_Toc103682606" w:history="1">
        <w:r w:rsidR="007D10B6" w:rsidRPr="00E37517">
          <w:rPr>
            <w:rStyle w:val="Hyperlink"/>
            <w:noProof/>
          </w:rPr>
          <w:t>Contact Information</w:t>
        </w:r>
        <w:r w:rsidR="007D10B6">
          <w:rPr>
            <w:noProof/>
            <w:webHidden/>
          </w:rPr>
          <w:tab/>
        </w:r>
        <w:r w:rsidR="007D10B6">
          <w:rPr>
            <w:noProof/>
            <w:webHidden/>
          </w:rPr>
          <w:fldChar w:fldCharType="begin"/>
        </w:r>
        <w:r w:rsidR="007D10B6">
          <w:rPr>
            <w:noProof/>
            <w:webHidden/>
          </w:rPr>
          <w:instrText xml:space="preserve"> PAGEREF _Toc103682606 \h </w:instrText>
        </w:r>
        <w:r w:rsidR="007D10B6">
          <w:rPr>
            <w:noProof/>
            <w:webHidden/>
          </w:rPr>
        </w:r>
        <w:r w:rsidR="007D10B6">
          <w:rPr>
            <w:noProof/>
            <w:webHidden/>
          </w:rPr>
          <w:fldChar w:fldCharType="separate"/>
        </w:r>
        <w:r w:rsidR="007D10B6">
          <w:rPr>
            <w:noProof/>
            <w:webHidden/>
          </w:rPr>
          <w:t>i</w:t>
        </w:r>
        <w:r w:rsidR="007D10B6">
          <w:rPr>
            <w:noProof/>
            <w:webHidden/>
          </w:rPr>
          <w:fldChar w:fldCharType="end"/>
        </w:r>
      </w:hyperlink>
    </w:p>
    <w:p w14:paraId="321B8037" w14:textId="77777777" w:rsidR="007D10B6" w:rsidRDefault="004C5308">
      <w:pPr>
        <w:pStyle w:val="TOC2"/>
        <w:rPr>
          <w:rFonts w:asciiTheme="minorHAnsi" w:eastAsiaTheme="minorEastAsia" w:hAnsiTheme="minorHAnsi" w:cstheme="minorBidi"/>
          <w:b w:val="0"/>
          <w:noProof/>
          <w:sz w:val="22"/>
          <w:szCs w:val="22"/>
          <w:lang w:eastAsia="en-AU"/>
        </w:rPr>
      </w:pPr>
      <w:hyperlink w:anchor="_Toc103682607" w:history="1">
        <w:r w:rsidR="007D10B6" w:rsidRPr="00E37517">
          <w:rPr>
            <w:rStyle w:val="Hyperlink"/>
            <w:noProof/>
          </w:rPr>
          <w:t>Role of Committee</w:t>
        </w:r>
        <w:r w:rsidR="007D10B6">
          <w:rPr>
            <w:noProof/>
            <w:webHidden/>
          </w:rPr>
          <w:tab/>
        </w:r>
        <w:r w:rsidR="007D10B6">
          <w:rPr>
            <w:noProof/>
            <w:webHidden/>
          </w:rPr>
          <w:fldChar w:fldCharType="begin"/>
        </w:r>
        <w:r w:rsidR="007D10B6">
          <w:rPr>
            <w:noProof/>
            <w:webHidden/>
          </w:rPr>
          <w:instrText xml:space="preserve"> PAGEREF _Toc103682607 \h </w:instrText>
        </w:r>
        <w:r w:rsidR="007D10B6">
          <w:rPr>
            <w:noProof/>
            <w:webHidden/>
          </w:rPr>
        </w:r>
        <w:r w:rsidR="007D10B6">
          <w:rPr>
            <w:noProof/>
            <w:webHidden/>
          </w:rPr>
          <w:fldChar w:fldCharType="separate"/>
        </w:r>
        <w:r w:rsidR="007D10B6">
          <w:rPr>
            <w:noProof/>
            <w:webHidden/>
          </w:rPr>
          <w:t>i</w:t>
        </w:r>
        <w:r w:rsidR="007D10B6">
          <w:rPr>
            <w:noProof/>
            <w:webHidden/>
          </w:rPr>
          <w:fldChar w:fldCharType="end"/>
        </w:r>
      </w:hyperlink>
    </w:p>
    <w:p w14:paraId="64129E7C" w14:textId="77777777" w:rsidR="007D10B6" w:rsidRDefault="004C5308">
      <w:pPr>
        <w:pStyle w:val="TOC1"/>
        <w:rPr>
          <w:rFonts w:asciiTheme="minorHAnsi" w:eastAsiaTheme="minorEastAsia" w:hAnsiTheme="minorHAnsi" w:cstheme="minorBidi"/>
          <w:bCs w:val="0"/>
          <w:smallCaps w:val="0"/>
          <w:spacing w:val="0"/>
          <w:sz w:val="22"/>
          <w:szCs w:val="22"/>
          <w:lang w:eastAsia="en-AU"/>
        </w:rPr>
      </w:pPr>
      <w:hyperlink w:anchor="_Toc103682608" w:history="1">
        <w:r w:rsidR="007D10B6" w:rsidRPr="00E37517">
          <w:rPr>
            <w:rStyle w:val="Hyperlink"/>
          </w:rPr>
          <w:t>Resolution of Appointment</w:t>
        </w:r>
        <w:r w:rsidR="007D10B6">
          <w:rPr>
            <w:webHidden/>
          </w:rPr>
          <w:tab/>
        </w:r>
        <w:r w:rsidR="007D10B6">
          <w:rPr>
            <w:webHidden/>
          </w:rPr>
          <w:fldChar w:fldCharType="begin"/>
        </w:r>
        <w:r w:rsidR="007D10B6">
          <w:rPr>
            <w:webHidden/>
          </w:rPr>
          <w:instrText xml:space="preserve"> PAGEREF _Toc103682608 \h </w:instrText>
        </w:r>
        <w:r w:rsidR="007D10B6">
          <w:rPr>
            <w:webHidden/>
          </w:rPr>
        </w:r>
        <w:r w:rsidR="007D10B6">
          <w:rPr>
            <w:webHidden/>
          </w:rPr>
          <w:fldChar w:fldCharType="separate"/>
        </w:r>
        <w:r w:rsidR="007D10B6">
          <w:rPr>
            <w:webHidden/>
          </w:rPr>
          <w:t>ii</w:t>
        </w:r>
        <w:r w:rsidR="007D10B6">
          <w:rPr>
            <w:webHidden/>
          </w:rPr>
          <w:fldChar w:fldCharType="end"/>
        </w:r>
      </w:hyperlink>
    </w:p>
    <w:p w14:paraId="3956F974" w14:textId="77777777" w:rsidR="007D10B6" w:rsidRDefault="004C5308">
      <w:pPr>
        <w:pStyle w:val="TOC1"/>
        <w:rPr>
          <w:rFonts w:asciiTheme="minorHAnsi" w:eastAsiaTheme="minorEastAsia" w:hAnsiTheme="minorHAnsi" w:cstheme="minorBidi"/>
          <w:bCs w:val="0"/>
          <w:smallCaps w:val="0"/>
          <w:spacing w:val="0"/>
          <w:sz w:val="22"/>
          <w:szCs w:val="22"/>
          <w:lang w:eastAsia="en-AU"/>
        </w:rPr>
      </w:pPr>
      <w:hyperlink w:anchor="_Toc103682609" w:history="1">
        <w:r w:rsidR="007D10B6" w:rsidRPr="00E37517">
          <w:rPr>
            <w:rStyle w:val="Hyperlink"/>
            <w:b/>
          </w:rPr>
          <w:t>Bills</w:t>
        </w:r>
        <w:r w:rsidR="007D10B6">
          <w:rPr>
            <w:webHidden/>
          </w:rPr>
          <w:tab/>
        </w:r>
        <w:r w:rsidR="007D10B6">
          <w:rPr>
            <w:webHidden/>
          </w:rPr>
          <w:fldChar w:fldCharType="begin"/>
        </w:r>
        <w:r w:rsidR="007D10B6">
          <w:rPr>
            <w:webHidden/>
          </w:rPr>
          <w:instrText xml:space="preserve"> PAGEREF _Toc103682609 \h </w:instrText>
        </w:r>
        <w:r w:rsidR="007D10B6">
          <w:rPr>
            <w:webHidden/>
          </w:rPr>
        </w:r>
        <w:r w:rsidR="007D10B6">
          <w:rPr>
            <w:webHidden/>
          </w:rPr>
          <w:fldChar w:fldCharType="separate"/>
        </w:r>
        <w:r w:rsidR="007D10B6">
          <w:rPr>
            <w:webHidden/>
          </w:rPr>
          <w:t>1</w:t>
        </w:r>
        <w:r w:rsidR="007D10B6">
          <w:rPr>
            <w:webHidden/>
          </w:rPr>
          <w:fldChar w:fldCharType="end"/>
        </w:r>
      </w:hyperlink>
    </w:p>
    <w:p w14:paraId="58AC9B06" w14:textId="77777777" w:rsidR="007D10B6" w:rsidRDefault="004C5308">
      <w:pPr>
        <w:pStyle w:val="TOC2"/>
        <w:rPr>
          <w:rFonts w:asciiTheme="minorHAnsi" w:eastAsiaTheme="minorEastAsia" w:hAnsiTheme="minorHAnsi" w:cstheme="minorBidi"/>
          <w:b w:val="0"/>
          <w:noProof/>
          <w:sz w:val="22"/>
          <w:szCs w:val="22"/>
          <w:lang w:eastAsia="en-AU"/>
        </w:rPr>
      </w:pPr>
      <w:hyperlink w:anchor="_Toc103682610" w:history="1">
        <w:r w:rsidR="007D10B6" w:rsidRPr="00E37517">
          <w:rPr>
            <w:rStyle w:val="Hyperlink"/>
            <w:rFonts w:eastAsia="Calibri"/>
            <w:noProof/>
            <w:lang w:eastAsia="en-AU"/>
          </w:rPr>
          <w:t>Bills—Comment</w:t>
        </w:r>
        <w:r w:rsidR="007D10B6">
          <w:rPr>
            <w:noProof/>
            <w:webHidden/>
          </w:rPr>
          <w:tab/>
        </w:r>
        <w:r w:rsidR="007D10B6">
          <w:rPr>
            <w:noProof/>
            <w:webHidden/>
          </w:rPr>
          <w:fldChar w:fldCharType="begin"/>
        </w:r>
        <w:r w:rsidR="007D10B6">
          <w:rPr>
            <w:noProof/>
            <w:webHidden/>
          </w:rPr>
          <w:instrText xml:space="preserve"> PAGEREF _Toc103682610 \h </w:instrText>
        </w:r>
        <w:r w:rsidR="007D10B6">
          <w:rPr>
            <w:noProof/>
            <w:webHidden/>
          </w:rPr>
        </w:r>
        <w:r w:rsidR="007D10B6">
          <w:rPr>
            <w:noProof/>
            <w:webHidden/>
          </w:rPr>
          <w:fldChar w:fldCharType="separate"/>
        </w:r>
        <w:r w:rsidR="007D10B6">
          <w:rPr>
            <w:noProof/>
            <w:webHidden/>
          </w:rPr>
          <w:t>1</w:t>
        </w:r>
        <w:r w:rsidR="007D10B6">
          <w:rPr>
            <w:noProof/>
            <w:webHidden/>
          </w:rPr>
          <w:fldChar w:fldCharType="end"/>
        </w:r>
      </w:hyperlink>
    </w:p>
    <w:p w14:paraId="70C424BF" w14:textId="77777777" w:rsidR="007D10B6" w:rsidRDefault="004C5308">
      <w:pPr>
        <w:pStyle w:val="TOC3"/>
        <w:rPr>
          <w:rFonts w:eastAsiaTheme="minorEastAsia"/>
          <w:smallCaps w:val="0"/>
          <w:lang w:eastAsia="en-AU"/>
        </w:rPr>
      </w:pPr>
      <w:hyperlink w:anchor="_Toc103682611" w:history="1">
        <w:r w:rsidR="007D10B6" w:rsidRPr="00E37517">
          <w:rPr>
            <w:rStyle w:val="Hyperlink"/>
          </w:rPr>
          <w:t>Health Legislation Amendment Bill 2022</w:t>
        </w:r>
        <w:r w:rsidR="007D10B6">
          <w:rPr>
            <w:webHidden/>
          </w:rPr>
          <w:tab/>
        </w:r>
        <w:r w:rsidR="007D10B6">
          <w:rPr>
            <w:webHidden/>
          </w:rPr>
          <w:fldChar w:fldCharType="begin"/>
        </w:r>
        <w:r w:rsidR="007D10B6">
          <w:rPr>
            <w:webHidden/>
          </w:rPr>
          <w:instrText xml:space="preserve"> PAGEREF _Toc103682611 \h </w:instrText>
        </w:r>
        <w:r w:rsidR="007D10B6">
          <w:rPr>
            <w:webHidden/>
          </w:rPr>
        </w:r>
        <w:r w:rsidR="007D10B6">
          <w:rPr>
            <w:webHidden/>
          </w:rPr>
          <w:fldChar w:fldCharType="separate"/>
        </w:r>
        <w:r w:rsidR="007D10B6">
          <w:rPr>
            <w:webHidden/>
          </w:rPr>
          <w:t>1</w:t>
        </w:r>
        <w:r w:rsidR="007D10B6">
          <w:rPr>
            <w:webHidden/>
          </w:rPr>
          <w:fldChar w:fldCharType="end"/>
        </w:r>
      </w:hyperlink>
    </w:p>
    <w:p w14:paraId="2FC29EFC" w14:textId="77777777" w:rsidR="007D10B6" w:rsidRDefault="004C5308">
      <w:pPr>
        <w:pStyle w:val="TOC3"/>
        <w:rPr>
          <w:rFonts w:eastAsiaTheme="minorEastAsia"/>
          <w:smallCaps w:val="0"/>
          <w:lang w:eastAsia="en-AU"/>
        </w:rPr>
      </w:pPr>
      <w:hyperlink w:anchor="_Toc103682612" w:history="1">
        <w:r w:rsidR="007D10B6" w:rsidRPr="00E37517">
          <w:rPr>
            <w:rStyle w:val="Hyperlink"/>
          </w:rPr>
          <w:t>Terrorism (Extraordinary Temporary Powers) Amendment Bill 2022</w:t>
        </w:r>
        <w:r w:rsidR="007D10B6">
          <w:rPr>
            <w:webHidden/>
          </w:rPr>
          <w:tab/>
        </w:r>
        <w:r w:rsidR="007D10B6">
          <w:rPr>
            <w:webHidden/>
          </w:rPr>
          <w:fldChar w:fldCharType="begin"/>
        </w:r>
        <w:r w:rsidR="007D10B6">
          <w:rPr>
            <w:webHidden/>
          </w:rPr>
          <w:instrText xml:space="preserve"> PAGEREF _Toc103682612 \h </w:instrText>
        </w:r>
        <w:r w:rsidR="007D10B6">
          <w:rPr>
            <w:webHidden/>
          </w:rPr>
        </w:r>
        <w:r w:rsidR="007D10B6">
          <w:rPr>
            <w:webHidden/>
          </w:rPr>
          <w:fldChar w:fldCharType="separate"/>
        </w:r>
        <w:r w:rsidR="007D10B6">
          <w:rPr>
            <w:webHidden/>
          </w:rPr>
          <w:t>4</w:t>
        </w:r>
        <w:r w:rsidR="007D10B6">
          <w:rPr>
            <w:webHidden/>
          </w:rPr>
          <w:fldChar w:fldCharType="end"/>
        </w:r>
      </w:hyperlink>
    </w:p>
    <w:p w14:paraId="5859FD17" w14:textId="77777777" w:rsidR="007D10B6" w:rsidRDefault="004C5308">
      <w:pPr>
        <w:pStyle w:val="TOC1"/>
        <w:rPr>
          <w:rFonts w:asciiTheme="minorHAnsi" w:eastAsiaTheme="minorEastAsia" w:hAnsiTheme="minorHAnsi" w:cstheme="minorBidi"/>
          <w:bCs w:val="0"/>
          <w:smallCaps w:val="0"/>
          <w:spacing w:val="0"/>
          <w:sz w:val="22"/>
          <w:szCs w:val="22"/>
          <w:lang w:eastAsia="en-AU"/>
        </w:rPr>
      </w:pPr>
      <w:hyperlink w:anchor="_Toc103682613" w:history="1">
        <w:r w:rsidR="007D10B6" w:rsidRPr="00E37517">
          <w:rPr>
            <w:rStyle w:val="Hyperlink"/>
          </w:rPr>
          <w:t>Subordinate Legislation</w:t>
        </w:r>
        <w:r w:rsidR="007D10B6">
          <w:rPr>
            <w:webHidden/>
          </w:rPr>
          <w:tab/>
        </w:r>
        <w:r w:rsidR="007D10B6">
          <w:rPr>
            <w:webHidden/>
          </w:rPr>
          <w:fldChar w:fldCharType="begin"/>
        </w:r>
        <w:r w:rsidR="007D10B6">
          <w:rPr>
            <w:webHidden/>
          </w:rPr>
          <w:instrText xml:space="preserve"> PAGEREF _Toc103682613 \h </w:instrText>
        </w:r>
        <w:r w:rsidR="007D10B6">
          <w:rPr>
            <w:webHidden/>
          </w:rPr>
        </w:r>
        <w:r w:rsidR="007D10B6">
          <w:rPr>
            <w:webHidden/>
          </w:rPr>
          <w:fldChar w:fldCharType="separate"/>
        </w:r>
        <w:r w:rsidR="007D10B6">
          <w:rPr>
            <w:webHidden/>
          </w:rPr>
          <w:t>7</w:t>
        </w:r>
        <w:r w:rsidR="007D10B6">
          <w:rPr>
            <w:webHidden/>
          </w:rPr>
          <w:fldChar w:fldCharType="end"/>
        </w:r>
      </w:hyperlink>
    </w:p>
    <w:p w14:paraId="0F4F4981" w14:textId="77777777" w:rsidR="007D10B6" w:rsidRDefault="004C5308">
      <w:pPr>
        <w:pStyle w:val="TOC2"/>
        <w:rPr>
          <w:rFonts w:asciiTheme="minorHAnsi" w:eastAsiaTheme="minorEastAsia" w:hAnsiTheme="minorHAnsi" w:cstheme="minorBidi"/>
          <w:b w:val="0"/>
          <w:noProof/>
          <w:sz w:val="22"/>
          <w:szCs w:val="22"/>
          <w:lang w:eastAsia="en-AU"/>
        </w:rPr>
      </w:pPr>
      <w:hyperlink w:anchor="_Toc103682614" w:history="1">
        <w:r w:rsidR="007D10B6" w:rsidRPr="00E37517">
          <w:rPr>
            <w:rStyle w:val="Hyperlink"/>
            <w:noProof/>
          </w:rPr>
          <w:t>Disallowable Instruments—No comment</w:t>
        </w:r>
        <w:r w:rsidR="007D10B6">
          <w:rPr>
            <w:noProof/>
            <w:webHidden/>
          </w:rPr>
          <w:tab/>
        </w:r>
        <w:r w:rsidR="007D10B6">
          <w:rPr>
            <w:noProof/>
            <w:webHidden/>
          </w:rPr>
          <w:fldChar w:fldCharType="begin"/>
        </w:r>
        <w:r w:rsidR="007D10B6">
          <w:rPr>
            <w:noProof/>
            <w:webHidden/>
          </w:rPr>
          <w:instrText xml:space="preserve"> PAGEREF _Toc103682614 \h </w:instrText>
        </w:r>
        <w:r w:rsidR="007D10B6">
          <w:rPr>
            <w:noProof/>
            <w:webHidden/>
          </w:rPr>
        </w:r>
        <w:r w:rsidR="007D10B6">
          <w:rPr>
            <w:noProof/>
            <w:webHidden/>
          </w:rPr>
          <w:fldChar w:fldCharType="separate"/>
        </w:r>
        <w:r w:rsidR="007D10B6">
          <w:rPr>
            <w:noProof/>
            <w:webHidden/>
          </w:rPr>
          <w:t>7</w:t>
        </w:r>
        <w:r w:rsidR="007D10B6">
          <w:rPr>
            <w:noProof/>
            <w:webHidden/>
          </w:rPr>
          <w:fldChar w:fldCharType="end"/>
        </w:r>
      </w:hyperlink>
    </w:p>
    <w:p w14:paraId="6FC38DC9" w14:textId="77777777" w:rsidR="007D10B6" w:rsidRDefault="004C5308">
      <w:pPr>
        <w:pStyle w:val="TOC2"/>
        <w:rPr>
          <w:rFonts w:asciiTheme="minorHAnsi" w:eastAsiaTheme="minorEastAsia" w:hAnsiTheme="minorHAnsi" w:cstheme="minorBidi"/>
          <w:b w:val="0"/>
          <w:noProof/>
          <w:sz w:val="22"/>
          <w:szCs w:val="22"/>
          <w:lang w:eastAsia="en-AU"/>
        </w:rPr>
      </w:pPr>
      <w:hyperlink w:anchor="_Toc103682615" w:history="1">
        <w:r w:rsidR="007D10B6" w:rsidRPr="00E37517">
          <w:rPr>
            <w:rStyle w:val="Hyperlink"/>
            <w:noProof/>
          </w:rPr>
          <w:t>Disallowable Instruments—Comment</w:t>
        </w:r>
        <w:r w:rsidR="007D10B6">
          <w:rPr>
            <w:noProof/>
            <w:webHidden/>
          </w:rPr>
          <w:tab/>
        </w:r>
        <w:r w:rsidR="007D10B6">
          <w:rPr>
            <w:noProof/>
            <w:webHidden/>
          </w:rPr>
          <w:fldChar w:fldCharType="begin"/>
        </w:r>
        <w:r w:rsidR="007D10B6">
          <w:rPr>
            <w:noProof/>
            <w:webHidden/>
          </w:rPr>
          <w:instrText xml:space="preserve"> PAGEREF _Toc103682615 \h </w:instrText>
        </w:r>
        <w:r w:rsidR="007D10B6">
          <w:rPr>
            <w:noProof/>
            <w:webHidden/>
          </w:rPr>
        </w:r>
        <w:r w:rsidR="007D10B6">
          <w:rPr>
            <w:noProof/>
            <w:webHidden/>
          </w:rPr>
          <w:fldChar w:fldCharType="separate"/>
        </w:r>
        <w:r w:rsidR="007D10B6">
          <w:rPr>
            <w:noProof/>
            <w:webHidden/>
          </w:rPr>
          <w:t>8</w:t>
        </w:r>
        <w:r w:rsidR="007D10B6">
          <w:rPr>
            <w:noProof/>
            <w:webHidden/>
          </w:rPr>
          <w:fldChar w:fldCharType="end"/>
        </w:r>
      </w:hyperlink>
    </w:p>
    <w:p w14:paraId="3C235380" w14:textId="77777777" w:rsidR="007D10B6" w:rsidRDefault="004C5308">
      <w:pPr>
        <w:pStyle w:val="TOC2"/>
        <w:rPr>
          <w:rFonts w:asciiTheme="minorHAnsi" w:eastAsiaTheme="minorEastAsia" w:hAnsiTheme="minorHAnsi" w:cstheme="minorBidi"/>
          <w:b w:val="0"/>
          <w:noProof/>
          <w:sz w:val="22"/>
          <w:szCs w:val="22"/>
          <w:lang w:eastAsia="en-AU"/>
        </w:rPr>
      </w:pPr>
      <w:hyperlink w:anchor="_Toc103682616" w:history="1">
        <w:r w:rsidR="007D10B6" w:rsidRPr="00E37517">
          <w:rPr>
            <w:rStyle w:val="Hyperlink"/>
            <w:noProof/>
          </w:rPr>
          <w:t>Subordinate Laws—Comment</w:t>
        </w:r>
        <w:r w:rsidR="007D10B6">
          <w:rPr>
            <w:noProof/>
            <w:webHidden/>
          </w:rPr>
          <w:tab/>
        </w:r>
        <w:r w:rsidR="007D10B6">
          <w:rPr>
            <w:noProof/>
            <w:webHidden/>
          </w:rPr>
          <w:fldChar w:fldCharType="begin"/>
        </w:r>
        <w:r w:rsidR="007D10B6">
          <w:rPr>
            <w:noProof/>
            <w:webHidden/>
          </w:rPr>
          <w:instrText xml:space="preserve"> PAGEREF _Toc103682616 \h </w:instrText>
        </w:r>
        <w:r w:rsidR="007D10B6">
          <w:rPr>
            <w:noProof/>
            <w:webHidden/>
          </w:rPr>
        </w:r>
        <w:r w:rsidR="007D10B6">
          <w:rPr>
            <w:noProof/>
            <w:webHidden/>
          </w:rPr>
          <w:fldChar w:fldCharType="separate"/>
        </w:r>
        <w:r w:rsidR="007D10B6">
          <w:rPr>
            <w:noProof/>
            <w:webHidden/>
          </w:rPr>
          <w:t>10</w:t>
        </w:r>
        <w:r w:rsidR="007D10B6">
          <w:rPr>
            <w:noProof/>
            <w:webHidden/>
          </w:rPr>
          <w:fldChar w:fldCharType="end"/>
        </w:r>
      </w:hyperlink>
    </w:p>
    <w:p w14:paraId="32473C87" w14:textId="77777777" w:rsidR="007D10B6" w:rsidRDefault="004C5308">
      <w:pPr>
        <w:pStyle w:val="TOC1"/>
        <w:rPr>
          <w:rFonts w:asciiTheme="minorHAnsi" w:eastAsiaTheme="minorEastAsia" w:hAnsiTheme="minorHAnsi" w:cstheme="minorBidi"/>
          <w:bCs w:val="0"/>
          <w:smallCaps w:val="0"/>
          <w:spacing w:val="0"/>
          <w:sz w:val="22"/>
          <w:szCs w:val="22"/>
          <w:lang w:eastAsia="en-AU"/>
        </w:rPr>
      </w:pPr>
      <w:hyperlink w:anchor="_Toc103682617" w:history="1">
        <w:r w:rsidR="007D10B6" w:rsidRPr="00E37517">
          <w:rPr>
            <w:rStyle w:val="Hyperlink"/>
          </w:rPr>
          <w:t>Responses</w:t>
        </w:r>
        <w:r w:rsidR="007D10B6">
          <w:rPr>
            <w:webHidden/>
          </w:rPr>
          <w:tab/>
        </w:r>
        <w:r w:rsidR="007D10B6">
          <w:rPr>
            <w:webHidden/>
          </w:rPr>
          <w:fldChar w:fldCharType="begin"/>
        </w:r>
        <w:r w:rsidR="007D10B6">
          <w:rPr>
            <w:webHidden/>
          </w:rPr>
          <w:instrText xml:space="preserve"> PAGEREF _Toc103682617 \h </w:instrText>
        </w:r>
        <w:r w:rsidR="007D10B6">
          <w:rPr>
            <w:webHidden/>
          </w:rPr>
        </w:r>
        <w:r w:rsidR="007D10B6">
          <w:rPr>
            <w:webHidden/>
          </w:rPr>
          <w:fldChar w:fldCharType="separate"/>
        </w:r>
        <w:r w:rsidR="007D10B6">
          <w:rPr>
            <w:webHidden/>
          </w:rPr>
          <w:t>11</w:t>
        </w:r>
        <w:r w:rsidR="007D10B6">
          <w:rPr>
            <w:webHidden/>
          </w:rPr>
          <w:fldChar w:fldCharType="end"/>
        </w:r>
      </w:hyperlink>
    </w:p>
    <w:p w14:paraId="71E9D783" w14:textId="77777777" w:rsidR="007D10B6" w:rsidRDefault="004C5308">
      <w:pPr>
        <w:pStyle w:val="TOC1"/>
        <w:rPr>
          <w:rFonts w:asciiTheme="minorHAnsi" w:eastAsiaTheme="minorEastAsia" w:hAnsiTheme="minorHAnsi" w:cstheme="minorBidi"/>
          <w:bCs w:val="0"/>
          <w:smallCaps w:val="0"/>
          <w:spacing w:val="0"/>
          <w:sz w:val="22"/>
          <w:szCs w:val="22"/>
          <w:lang w:eastAsia="en-AU"/>
        </w:rPr>
      </w:pPr>
      <w:hyperlink w:anchor="_Toc103682618" w:history="1">
        <w:r w:rsidR="007D10B6" w:rsidRPr="00E37517">
          <w:rPr>
            <w:rStyle w:val="Hyperlink"/>
          </w:rPr>
          <w:t>Outstanding Responses</w:t>
        </w:r>
        <w:r w:rsidR="007D10B6">
          <w:rPr>
            <w:webHidden/>
          </w:rPr>
          <w:tab/>
        </w:r>
        <w:r w:rsidR="007D10B6">
          <w:rPr>
            <w:webHidden/>
          </w:rPr>
          <w:fldChar w:fldCharType="begin"/>
        </w:r>
        <w:r w:rsidR="007D10B6">
          <w:rPr>
            <w:webHidden/>
          </w:rPr>
          <w:instrText xml:space="preserve"> PAGEREF _Toc103682618 \h </w:instrText>
        </w:r>
        <w:r w:rsidR="007D10B6">
          <w:rPr>
            <w:webHidden/>
          </w:rPr>
        </w:r>
        <w:r w:rsidR="007D10B6">
          <w:rPr>
            <w:webHidden/>
          </w:rPr>
          <w:fldChar w:fldCharType="separate"/>
        </w:r>
        <w:r w:rsidR="007D10B6">
          <w:rPr>
            <w:webHidden/>
          </w:rPr>
          <w:t>13</w:t>
        </w:r>
        <w:r w:rsidR="007D10B6">
          <w:rPr>
            <w:webHidden/>
          </w:rPr>
          <w:fldChar w:fldCharType="end"/>
        </w:r>
      </w:hyperlink>
    </w:p>
    <w:p w14:paraId="303AA9A2" w14:textId="77777777" w:rsidR="00351AD0" w:rsidRPr="00104A8B" w:rsidRDefault="00CD5AD5" w:rsidP="00EF123A">
      <w:pPr>
        <w:pStyle w:val="TOC1"/>
      </w:pPr>
      <w:r w:rsidRPr="00104A8B">
        <w:fldChar w:fldCharType="end"/>
      </w:r>
    </w:p>
    <w:p w14:paraId="558A7308" w14:textId="77777777" w:rsidR="00351AD0" w:rsidRPr="00104A8B" w:rsidRDefault="00351AD0" w:rsidP="00351AD0">
      <w:pPr>
        <w:sectPr w:rsidR="00351AD0" w:rsidRPr="00104A8B" w:rsidSect="00E8247B">
          <w:headerReference w:type="even" r:id="rId15"/>
          <w:headerReference w:type="default" r:id="rId16"/>
          <w:footerReference w:type="even" r:id="rId17"/>
          <w:footerReference w:type="default" r:id="rId18"/>
          <w:headerReference w:type="first" r:id="rId19"/>
          <w:pgSz w:w="11906" w:h="16838"/>
          <w:pgMar w:top="1440" w:right="1440" w:bottom="1440" w:left="1440" w:header="708" w:footer="708" w:gutter="0"/>
          <w:pgNumType w:fmt="lowerRoman" w:start="1"/>
          <w:cols w:space="708"/>
          <w:docGrid w:linePitch="360"/>
        </w:sectPr>
      </w:pPr>
    </w:p>
    <w:p w14:paraId="3B6BE92D" w14:textId="77777777" w:rsidR="00632981" w:rsidRPr="00104A8B" w:rsidRDefault="00632981">
      <w:pPr>
        <w:sectPr w:rsidR="00632981" w:rsidRPr="00104A8B" w:rsidSect="00351AD0">
          <w:headerReference w:type="even" r:id="rId20"/>
          <w:headerReference w:type="default" r:id="rId21"/>
          <w:footerReference w:type="even" r:id="rId22"/>
          <w:headerReference w:type="first" r:id="rId23"/>
          <w:type w:val="continuous"/>
          <w:pgSz w:w="11906" w:h="16838"/>
          <w:pgMar w:top="1440" w:right="1440" w:bottom="1440" w:left="1440" w:header="708" w:footer="708" w:gutter="0"/>
          <w:cols w:space="708"/>
          <w:docGrid w:linePitch="360"/>
        </w:sectPr>
      </w:pPr>
    </w:p>
    <w:p w14:paraId="52215130" w14:textId="77777777" w:rsidR="00653DE8" w:rsidRDefault="00653DE8" w:rsidP="00382F85">
      <w:pPr>
        <w:pStyle w:val="Heading2"/>
      </w:pPr>
      <w:bookmarkStart w:id="557" w:name="_Toc63160751"/>
      <w:bookmarkStart w:id="558" w:name="_Toc41570917"/>
      <w:bookmarkStart w:id="559" w:name="_Toc103682609"/>
      <w:bookmarkStart w:id="560" w:name="_Toc500938176"/>
      <w:bookmarkStart w:id="561" w:name="_Toc501448808"/>
      <w:bookmarkStart w:id="562" w:name="_Toc505153762"/>
      <w:bookmarkStart w:id="563" w:name="_Toc338841794"/>
      <w:bookmarkStart w:id="564" w:name="_Toc514837978"/>
      <w:bookmarkStart w:id="565" w:name="_Toc526855824"/>
      <w:bookmarkStart w:id="566" w:name="_Toc338841795"/>
      <w:bookmarkStart w:id="567" w:name="_Hlk483295725"/>
      <w:r>
        <w:lastRenderedPageBreak/>
        <w:t>Bills</w:t>
      </w:r>
      <w:bookmarkEnd w:id="557"/>
      <w:bookmarkEnd w:id="558"/>
      <w:bookmarkEnd w:id="559"/>
    </w:p>
    <w:p w14:paraId="6334792D" w14:textId="77777777" w:rsidR="00653DE8" w:rsidRPr="00F23CCD" w:rsidRDefault="00653DE8" w:rsidP="00653DE8">
      <w:pPr>
        <w:pStyle w:val="Heading3"/>
        <w:rPr>
          <w:rFonts w:eastAsia="Calibri"/>
          <w:lang w:eastAsia="en-AU"/>
        </w:rPr>
      </w:pPr>
      <w:bookmarkStart w:id="568" w:name="_Toc103682610"/>
      <w:r w:rsidRPr="00F23CCD">
        <w:rPr>
          <w:rFonts w:eastAsia="Calibri"/>
          <w:lang w:eastAsia="en-AU"/>
        </w:rPr>
        <w:t>B</w:t>
      </w:r>
      <w:bookmarkEnd w:id="560"/>
      <w:r w:rsidRPr="00F23CCD">
        <w:rPr>
          <w:rFonts w:eastAsia="Calibri"/>
          <w:lang w:eastAsia="en-AU"/>
        </w:rPr>
        <w:t>ills—Comment</w:t>
      </w:r>
      <w:bookmarkEnd w:id="561"/>
      <w:bookmarkEnd w:id="562"/>
      <w:bookmarkEnd w:id="568"/>
    </w:p>
    <w:p w14:paraId="6F198BE9" w14:textId="77777777" w:rsidR="00653DE8" w:rsidRDefault="00653DE8" w:rsidP="00653DE8">
      <w:r w:rsidRPr="00261783">
        <w:t xml:space="preserve">The Committee has examined the following </w:t>
      </w:r>
      <w:r>
        <w:t xml:space="preserve">bills </w:t>
      </w:r>
      <w:r w:rsidRPr="00261783">
        <w:t xml:space="preserve">and offers </w:t>
      </w:r>
      <w:r>
        <w:t>these</w:t>
      </w:r>
      <w:r w:rsidRPr="00261783">
        <w:t xml:space="preserve"> comment</w:t>
      </w:r>
      <w:r>
        <w:t>s</w:t>
      </w:r>
      <w:r w:rsidRPr="00261783">
        <w:t xml:space="preserve"> on them:</w:t>
      </w:r>
    </w:p>
    <w:p w14:paraId="42195E4F" w14:textId="77777777" w:rsidR="00653DE8" w:rsidRPr="00133AB1" w:rsidRDefault="00653DE8" w:rsidP="00653DE8">
      <w:pPr>
        <w:pStyle w:val="Heading4"/>
        <w:pBdr>
          <w:bottom w:val="single" w:sz="6" w:space="1" w:color="000000"/>
        </w:pBdr>
        <w:rPr>
          <w:rFonts w:eastAsia="Times New Roman"/>
        </w:rPr>
      </w:pPr>
      <w:bookmarkStart w:id="569" w:name="_Toc103682611"/>
      <w:r w:rsidRPr="007C0298">
        <w:rPr>
          <w:rFonts w:eastAsia="Times New Roman"/>
        </w:rPr>
        <w:t>Health Legislation Amendment Bill 2022</w:t>
      </w:r>
      <w:bookmarkEnd w:id="569"/>
    </w:p>
    <w:p w14:paraId="6243CF7E" w14:textId="77777777" w:rsidR="00653DE8" w:rsidRDefault="00653DE8" w:rsidP="00653DE8">
      <w:pPr>
        <w:rPr>
          <w:rFonts w:ascii="Calibri" w:eastAsia="Calibri" w:hAnsi="Calibri" w:cs="Calibri"/>
          <w:color w:val="000000"/>
          <w:szCs w:val="20"/>
          <w:lang w:eastAsia="en-AU"/>
        </w:rPr>
      </w:pPr>
      <w:r w:rsidRPr="00133AB1">
        <w:rPr>
          <w:rFonts w:ascii="Calibri" w:eastAsia="Calibri" w:hAnsi="Calibri" w:cs="Calibri"/>
          <w:color w:val="000000"/>
          <w:szCs w:val="20"/>
          <w:lang w:eastAsia="en-AU"/>
        </w:rPr>
        <w:t>This Bill</w:t>
      </w:r>
      <w:r>
        <w:rPr>
          <w:rFonts w:ascii="Calibri" w:eastAsia="Calibri" w:hAnsi="Calibri" w:cs="Calibri"/>
          <w:color w:val="000000"/>
          <w:szCs w:val="20"/>
          <w:lang w:eastAsia="en-AU"/>
        </w:rPr>
        <w:t xml:space="preserve"> amends:</w:t>
      </w:r>
    </w:p>
    <w:p w14:paraId="5E7C09F6" w14:textId="77777777" w:rsidR="00653DE8" w:rsidRDefault="00653DE8" w:rsidP="003F24F6">
      <w:pPr>
        <w:pStyle w:val="ListParagraph"/>
        <w:numPr>
          <w:ilvl w:val="0"/>
          <w:numId w:val="29"/>
        </w:numPr>
        <w:spacing w:before="0" w:after="160" w:line="300" w:lineRule="exact"/>
        <w:rPr>
          <w:rFonts w:ascii="Calibri" w:eastAsia="Calibri" w:hAnsi="Calibri" w:cs="Calibri"/>
          <w:color w:val="000000"/>
          <w:szCs w:val="20"/>
          <w:lang w:eastAsia="en-AU"/>
        </w:rPr>
      </w:pPr>
      <w:r w:rsidRPr="00CB0D35">
        <w:rPr>
          <w:rFonts w:ascii="Calibri" w:eastAsia="Calibri" w:hAnsi="Calibri" w:cs="Calibri"/>
          <w:color w:val="000000"/>
          <w:szCs w:val="20"/>
          <w:lang w:eastAsia="en-AU"/>
        </w:rPr>
        <w:t xml:space="preserve">the </w:t>
      </w:r>
      <w:r w:rsidRPr="00CB0D35">
        <w:rPr>
          <w:rFonts w:ascii="Calibri" w:eastAsia="Calibri" w:hAnsi="Calibri" w:cs="Calibri"/>
          <w:i/>
          <w:iCs/>
          <w:color w:val="000000"/>
          <w:szCs w:val="20"/>
          <w:lang w:eastAsia="en-AU"/>
        </w:rPr>
        <w:t xml:space="preserve">Tobacco and Other Smoking Products Act 1927 </w:t>
      </w:r>
      <w:r w:rsidRPr="00CB0D35">
        <w:rPr>
          <w:rFonts w:ascii="Calibri" w:eastAsia="Calibri" w:hAnsi="Calibri" w:cs="Calibri"/>
          <w:color w:val="000000"/>
          <w:szCs w:val="20"/>
          <w:lang w:eastAsia="en-AU"/>
        </w:rPr>
        <w:t>(TOSP Act)</w:t>
      </w:r>
      <w:r>
        <w:rPr>
          <w:rFonts w:ascii="Calibri" w:eastAsia="Calibri" w:hAnsi="Calibri" w:cs="Calibri"/>
          <w:color w:val="000000"/>
          <w:szCs w:val="20"/>
          <w:lang w:eastAsia="en-AU"/>
        </w:rPr>
        <w:t xml:space="preserve"> to </w:t>
      </w:r>
      <w:r w:rsidRPr="00CB0D35">
        <w:rPr>
          <w:rFonts w:ascii="Calibri" w:eastAsia="Calibri" w:hAnsi="Calibri" w:cs="Calibri"/>
          <w:color w:val="000000"/>
          <w:szCs w:val="20"/>
          <w:lang w:eastAsia="en-AU"/>
        </w:rPr>
        <w:t>allow compliance testing to occur for sales of e-cigarettes to minors; to clarify that no smoking products may be sold via vending machine and to exempt community pharmacists from the requirement to source nicotine vaping products from a wholesaler who holds an ACT Tobacco licence;</w:t>
      </w:r>
    </w:p>
    <w:p w14:paraId="5796FF80" w14:textId="77777777" w:rsidR="00653DE8" w:rsidRDefault="00653DE8" w:rsidP="003F24F6">
      <w:pPr>
        <w:pStyle w:val="ListParagraph"/>
        <w:numPr>
          <w:ilvl w:val="0"/>
          <w:numId w:val="29"/>
        </w:numPr>
        <w:spacing w:before="0" w:after="160" w:line="300" w:lineRule="exact"/>
        <w:rPr>
          <w:rFonts w:ascii="Calibri" w:eastAsia="Calibri" w:hAnsi="Calibri" w:cs="Calibri"/>
          <w:color w:val="000000"/>
          <w:szCs w:val="20"/>
          <w:lang w:eastAsia="en-AU"/>
        </w:rPr>
      </w:pPr>
      <w:r w:rsidRPr="00CB0D35">
        <w:rPr>
          <w:rFonts w:ascii="Calibri" w:eastAsia="Calibri" w:hAnsi="Calibri" w:cs="Calibri"/>
          <w:color w:val="000000"/>
          <w:szCs w:val="20"/>
          <w:lang w:eastAsia="en-AU"/>
        </w:rPr>
        <w:t xml:space="preserve">the </w:t>
      </w:r>
      <w:r w:rsidRPr="00CB0D35">
        <w:rPr>
          <w:rFonts w:ascii="Calibri" w:eastAsia="Calibri" w:hAnsi="Calibri" w:cs="Calibri"/>
          <w:i/>
          <w:iCs/>
          <w:color w:val="000000"/>
          <w:szCs w:val="20"/>
          <w:lang w:eastAsia="en-AU"/>
        </w:rPr>
        <w:t>Medicines Poisons and Therapeutic Goods Act 2008</w:t>
      </w:r>
      <w:r w:rsidRPr="00CB0D35">
        <w:rPr>
          <w:rFonts w:ascii="Calibri" w:eastAsia="Calibri" w:hAnsi="Calibri" w:cs="Calibri"/>
          <w:color w:val="000000"/>
          <w:szCs w:val="20"/>
          <w:lang w:eastAsia="en-AU"/>
        </w:rPr>
        <w:t xml:space="preserve"> (MPTG Act)</w:t>
      </w:r>
      <w:r>
        <w:rPr>
          <w:rFonts w:ascii="Calibri" w:eastAsia="Calibri" w:hAnsi="Calibri" w:cs="Calibri"/>
          <w:color w:val="000000"/>
          <w:szCs w:val="20"/>
          <w:lang w:eastAsia="en-AU"/>
        </w:rPr>
        <w:t xml:space="preserve"> </w:t>
      </w:r>
      <w:r>
        <w:rPr>
          <w:sz w:val="23"/>
          <w:szCs w:val="23"/>
        </w:rPr>
        <w:t>to extend the application of Commonwealth therapeutics goods laws in the ACT</w:t>
      </w:r>
      <w:r w:rsidRPr="00CB0D35">
        <w:rPr>
          <w:rFonts w:ascii="Calibri" w:eastAsia="Calibri" w:hAnsi="Calibri" w:cs="Calibri"/>
          <w:color w:val="000000"/>
          <w:szCs w:val="20"/>
          <w:lang w:eastAsia="en-AU"/>
        </w:rPr>
        <w:t>; and</w:t>
      </w:r>
    </w:p>
    <w:p w14:paraId="56D4C93C" w14:textId="77777777" w:rsidR="00653DE8" w:rsidRPr="00CB0D35" w:rsidRDefault="00653DE8" w:rsidP="003F24F6">
      <w:pPr>
        <w:pStyle w:val="ListParagraph"/>
        <w:numPr>
          <w:ilvl w:val="0"/>
          <w:numId w:val="29"/>
        </w:numPr>
        <w:spacing w:before="0" w:after="160" w:line="300" w:lineRule="exact"/>
        <w:rPr>
          <w:rFonts w:ascii="Calibri" w:eastAsia="Calibri" w:hAnsi="Calibri" w:cs="Calibri"/>
          <w:color w:val="000000"/>
          <w:szCs w:val="20"/>
          <w:lang w:eastAsia="en-AU"/>
        </w:rPr>
      </w:pPr>
      <w:r w:rsidRPr="00CB0D35">
        <w:rPr>
          <w:rFonts w:ascii="Calibri" w:eastAsia="Calibri" w:hAnsi="Calibri" w:cs="Calibri"/>
          <w:color w:val="000000"/>
          <w:szCs w:val="20"/>
          <w:lang w:eastAsia="en-AU"/>
        </w:rPr>
        <w:t xml:space="preserve">the </w:t>
      </w:r>
      <w:r w:rsidRPr="00CB0D35">
        <w:rPr>
          <w:rFonts w:ascii="Calibri" w:eastAsia="Calibri" w:hAnsi="Calibri" w:cs="Calibri"/>
          <w:i/>
          <w:iCs/>
          <w:color w:val="000000"/>
          <w:szCs w:val="20"/>
          <w:lang w:eastAsia="en-AU"/>
        </w:rPr>
        <w:t>Transplantation and Anatomy Act 1978</w:t>
      </w:r>
      <w:r w:rsidRPr="00CB0D35">
        <w:rPr>
          <w:rFonts w:ascii="Calibri" w:eastAsia="Calibri" w:hAnsi="Calibri" w:cs="Calibri"/>
          <w:color w:val="000000"/>
          <w:szCs w:val="20"/>
          <w:lang w:eastAsia="en-AU"/>
        </w:rPr>
        <w:t xml:space="preserve"> (TA Act)</w:t>
      </w:r>
      <w:r>
        <w:rPr>
          <w:rFonts w:ascii="Calibri" w:eastAsia="Calibri" w:hAnsi="Calibri" w:cs="Calibri"/>
          <w:color w:val="000000"/>
          <w:szCs w:val="20"/>
          <w:lang w:eastAsia="en-AU"/>
        </w:rPr>
        <w:t xml:space="preserve"> to </w:t>
      </w:r>
      <w:r w:rsidRPr="00CB0D35">
        <w:rPr>
          <w:rFonts w:ascii="Calibri" w:eastAsia="Calibri" w:hAnsi="Calibri" w:cs="Calibri"/>
          <w:color w:val="000000"/>
          <w:szCs w:val="20"/>
          <w:lang w:eastAsia="en-AU"/>
        </w:rPr>
        <w:t xml:space="preserve">resolve technical legal compatibility issues between the TA Act and the </w:t>
      </w:r>
      <w:r w:rsidRPr="00CB0D35">
        <w:rPr>
          <w:rFonts w:ascii="Calibri" w:eastAsia="Calibri" w:hAnsi="Calibri" w:cs="Calibri"/>
          <w:i/>
          <w:iCs/>
          <w:color w:val="000000"/>
          <w:szCs w:val="20"/>
          <w:lang w:eastAsia="en-AU"/>
        </w:rPr>
        <w:t>Births, Deaths and Marriages Registration Act 1997</w:t>
      </w:r>
      <w:r>
        <w:rPr>
          <w:rFonts w:ascii="Calibri" w:eastAsia="Calibri" w:hAnsi="Calibri" w:cs="Calibri"/>
          <w:color w:val="000000"/>
          <w:szCs w:val="20"/>
          <w:lang w:eastAsia="en-AU"/>
        </w:rPr>
        <w:t xml:space="preserve"> </w:t>
      </w:r>
      <w:r w:rsidRPr="00CB0D35">
        <w:rPr>
          <w:rFonts w:ascii="Calibri" w:eastAsia="Calibri" w:hAnsi="Calibri" w:cs="Calibri"/>
          <w:color w:val="000000"/>
          <w:szCs w:val="20"/>
          <w:lang w:eastAsia="en-AU"/>
        </w:rPr>
        <w:t>enabl</w:t>
      </w:r>
      <w:r>
        <w:rPr>
          <w:rFonts w:ascii="Calibri" w:eastAsia="Calibri" w:hAnsi="Calibri" w:cs="Calibri"/>
          <w:color w:val="000000"/>
          <w:szCs w:val="20"/>
          <w:lang w:eastAsia="en-AU"/>
        </w:rPr>
        <w:t xml:space="preserve">ing </w:t>
      </w:r>
      <w:r w:rsidRPr="00CB0D35">
        <w:rPr>
          <w:rFonts w:ascii="Calibri" w:eastAsia="Calibri" w:hAnsi="Calibri" w:cs="Calibri"/>
          <w:color w:val="000000"/>
          <w:szCs w:val="20"/>
          <w:lang w:eastAsia="en-AU"/>
        </w:rPr>
        <w:t xml:space="preserve">verifying information </w:t>
      </w:r>
      <w:r>
        <w:rPr>
          <w:rFonts w:ascii="Calibri" w:eastAsia="Calibri" w:hAnsi="Calibri" w:cs="Calibri"/>
          <w:color w:val="000000"/>
          <w:szCs w:val="20"/>
          <w:lang w:eastAsia="en-AU"/>
        </w:rPr>
        <w:t xml:space="preserve">to be issued </w:t>
      </w:r>
      <w:r w:rsidRPr="00CB0D35">
        <w:rPr>
          <w:rFonts w:ascii="Calibri" w:eastAsia="Calibri" w:hAnsi="Calibri" w:cs="Calibri"/>
          <w:color w:val="000000"/>
          <w:szCs w:val="20"/>
          <w:lang w:eastAsia="en-AU"/>
        </w:rPr>
        <w:t>to confirm a deceased individual’s donor status.</w:t>
      </w:r>
    </w:p>
    <w:p w14:paraId="3C38E6AD" w14:textId="77777777" w:rsidR="00653DE8" w:rsidRPr="00133AB1" w:rsidRDefault="00653DE8" w:rsidP="00653DE8">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i/>
          <w:color w:val="000000"/>
          <w:szCs w:val="20"/>
          <w:lang w:eastAsia="en-AU"/>
        </w:rPr>
        <w:t>Do any provisions of the Bill amount to an undue trespass on personal rights and liberties</w:t>
      </w:r>
      <w:proofErr w:type="gramStart"/>
      <w:r w:rsidRPr="00133AB1">
        <w:rPr>
          <w:rFonts w:ascii="Calibri" w:eastAsia="Calibri" w:hAnsi="Calibri" w:cs="Calibri"/>
          <w:b/>
          <w:bCs/>
          <w:i/>
          <w:color w:val="000000"/>
          <w:szCs w:val="20"/>
          <w:lang w:eastAsia="en-AU"/>
        </w:rPr>
        <w:t>?—</w:t>
      </w:r>
      <w:proofErr w:type="gramEnd"/>
      <w:r w:rsidRPr="00133AB1">
        <w:rPr>
          <w:rFonts w:ascii="Calibri" w:eastAsia="Calibri" w:hAnsi="Calibri" w:cs="Calibri"/>
          <w:b/>
          <w:bCs/>
          <w:i/>
          <w:color w:val="000000"/>
          <w:szCs w:val="20"/>
          <w:lang w:eastAsia="en-AU"/>
        </w:rPr>
        <w:t xml:space="preserve"> </w:t>
      </w:r>
      <w:r w:rsidRPr="00E83C75">
        <w:rPr>
          <w:b/>
          <w:i/>
          <w:lang w:val="en-US"/>
        </w:rPr>
        <w:t xml:space="preserve">Committee </w:t>
      </w:r>
      <w:r>
        <w:rPr>
          <w:b/>
          <w:i/>
          <w:lang w:val="en-US"/>
        </w:rPr>
        <w:t>Resolution of Appointment paragraph (10)(a)(</w:t>
      </w:r>
      <w:proofErr w:type="spellStart"/>
      <w:r>
        <w:rPr>
          <w:b/>
          <w:i/>
          <w:lang w:val="en-US"/>
        </w:rPr>
        <w:t>i</w:t>
      </w:r>
      <w:proofErr w:type="spellEnd"/>
      <w:r>
        <w:rPr>
          <w:b/>
          <w:i/>
          <w:lang w:val="en-US"/>
        </w:rPr>
        <w:t xml:space="preserve">) </w:t>
      </w:r>
      <w:r w:rsidRPr="00E83C75">
        <w:rPr>
          <w:b/>
          <w:i/>
          <w:lang w:val="en-US"/>
        </w:rPr>
        <w:t xml:space="preserve"> </w:t>
      </w:r>
    </w:p>
    <w:p w14:paraId="6DF6598E" w14:textId="77777777" w:rsidR="00653DE8" w:rsidRDefault="00653DE8" w:rsidP="00653DE8">
      <w:pPr>
        <w:widowControl w:val="0"/>
        <w:tabs>
          <w:tab w:val="left" w:pos="1276"/>
        </w:tabs>
        <w:rPr>
          <w:rFonts w:ascii="Calibri" w:eastAsia="Calibri" w:hAnsi="Calibri" w:cs="Calibri"/>
          <w:b/>
          <w:bCs/>
          <w:color w:val="000000"/>
          <w:szCs w:val="20"/>
          <w:lang w:eastAsia="en-AU"/>
        </w:rPr>
      </w:pPr>
      <w:r w:rsidRPr="00133AB1">
        <w:rPr>
          <w:rFonts w:ascii="Calibri" w:eastAsia="Calibri" w:hAnsi="Calibri" w:cs="Calibri"/>
          <w:b/>
          <w:bCs/>
          <w:color w:val="000000"/>
          <w:szCs w:val="20"/>
          <w:lang w:eastAsia="en-AU"/>
        </w:rPr>
        <w:t xml:space="preserve">Report under section 38 of the </w:t>
      </w:r>
      <w:r w:rsidRPr="00133AB1">
        <w:rPr>
          <w:rFonts w:ascii="Calibri" w:eastAsia="Calibri" w:hAnsi="Calibri" w:cs="Calibri"/>
          <w:b/>
          <w:bCs/>
          <w:i/>
          <w:color w:val="000000"/>
          <w:szCs w:val="20"/>
          <w:lang w:eastAsia="en-AU"/>
        </w:rPr>
        <w:t xml:space="preserve">Human Rights Act 2004 </w:t>
      </w:r>
      <w:r w:rsidRPr="00133AB1">
        <w:rPr>
          <w:rFonts w:ascii="Calibri" w:eastAsia="Calibri" w:hAnsi="Calibri" w:cs="Calibri"/>
          <w:b/>
          <w:bCs/>
          <w:color w:val="000000"/>
          <w:szCs w:val="20"/>
          <w:lang w:eastAsia="en-AU"/>
        </w:rPr>
        <w:t>(HRA)</w:t>
      </w:r>
    </w:p>
    <w:p w14:paraId="1ED68D35" w14:textId="77777777" w:rsidR="00653DE8" w:rsidRDefault="00653DE8" w:rsidP="00DB2765">
      <w:pPr>
        <w:pStyle w:val="Heading5"/>
      </w:pPr>
      <w:r w:rsidRPr="00E83C75">
        <w:t>Right to protection of the family and children (s</w:t>
      </w:r>
      <w:r>
        <w:t>ection</w:t>
      </w:r>
      <w:r w:rsidRPr="00E83C75">
        <w:t xml:space="preserve"> 11 </w:t>
      </w:r>
      <w:r w:rsidRPr="005F7002">
        <w:t>HRA</w:t>
      </w:r>
      <w:r w:rsidRPr="00E83C75">
        <w:t>)</w:t>
      </w:r>
    </w:p>
    <w:p w14:paraId="27F3DE08" w14:textId="77777777" w:rsidR="00653DE8" w:rsidRDefault="00653DE8" w:rsidP="00653DE8">
      <w:pPr>
        <w:rPr>
          <w:color w:val="000000"/>
          <w:shd w:val="clear" w:color="auto" w:fill="FFFFFF"/>
        </w:rPr>
      </w:pPr>
      <w:r>
        <w:t xml:space="preserve">The Bill will amend the TOSP Act to expand the range of products that can be subject to compliance testing to include non-tobacco products such as e-cigarettes and other </w:t>
      </w:r>
      <w:r>
        <w:rPr>
          <w:color w:val="000000"/>
          <w:shd w:val="clear" w:color="auto" w:fill="FFFFFF"/>
        </w:rPr>
        <w:t xml:space="preserve">personal vaporiser related products. These smoking products can be subject to compliance testing, which involves </w:t>
      </w:r>
      <w:r w:rsidRPr="004C2778">
        <w:rPr>
          <w:color w:val="000000"/>
          <w:shd w:val="clear" w:color="auto" w:fill="FFFFFF"/>
        </w:rPr>
        <w:t xml:space="preserve">a young person (a purchase assistant), under the supervision of an authorised officer, purchasing, or trying to purchase, </w:t>
      </w:r>
      <w:r>
        <w:rPr>
          <w:color w:val="000000"/>
          <w:shd w:val="clear" w:color="auto" w:fill="FFFFFF"/>
        </w:rPr>
        <w:t xml:space="preserve">smoking products from </w:t>
      </w:r>
      <w:r w:rsidRPr="004C2778">
        <w:rPr>
          <w:color w:val="000000"/>
          <w:shd w:val="clear" w:color="auto" w:fill="FFFFFF"/>
        </w:rPr>
        <w:t>tobacco licence-holders</w:t>
      </w:r>
      <w:r>
        <w:rPr>
          <w:color w:val="000000"/>
          <w:shd w:val="clear" w:color="auto" w:fill="FFFFFF"/>
        </w:rPr>
        <w:t>. As the Bill will extend the circumstances in which a child is involved in enforcement operations under the Act the Bill may limit the right to protection of children in section 11 of the HRA. The explanatory statement accompanying the Bill recognises this potential limitation and provides a justification for why it should be considered reasonable using the framework set out in section 28 of the HRA. The Committee refers that statement to the Assembly.</w:t>
      </w:r>
    </w:p>
    <w:p w14:paraId="5199A016" w14:textId="77777777" w:rsidR="00653DE8" w:rsidRPr="00E83C75" w:rsidRDefault="00653DE8" w:rsidP="00653DE8">
      <w:pPr>
        <w:pStyle w:val="Bodycopy"/>
        <w:spacing w:line="280" w:lineRule="exact"/>
        <w:rPr>
          <w:b/>
          <w:bCs/>
        </w:rPr>
      </w:pPr>
      <w:r w:rsidRPr="00E83C75">
        <w:rPr>
          <w:b/>
          <w:bCs/>
        </w:rPr>
        <w:t>The Committee draws this matter to the attention of the Assembly, but does not require a response from the Minister.</w:t>
      </w:r>
    </w:p>
    <w:p w14:paraId="0D9F5B44" w14:textId="77777777" w:rsidR="00653DE8" w:rsidRDefault="00653DE8" w:rsidP="00DB2765">
      <w:pPr>
        <w:pStyle w:val="Heading5"/>
      </w:pPr>
      <w:r w:rsidRPr="00E83C75">
        <w:t>Right</w:t>
      </w:r>
      <w:r>
        <w:t>s in criminal proceedings</w:t>
      </w:r>
      <w:r w:rsidRPr="00E83C75">
        <w:t xml:space="preserve"> (s</w:t>
      </w:r>
      <w:r>
        <w:t>ection</w:t>
      </w:r>
      <w:r w:rsidRPr="00E83C75">
        <w:t xml:space="preserve"> 22 </w:t>
      </w:r>
      <w:r w:rsidRPr="005F7002">
        <w:t>HRA</w:t>
      </w:r>
      <w:r w:rsidRPr="00E83C75">
        <w:t>)</w:t>
      </w:r>
    </w:p>
    <w:p w14:paraId="357CE911" w14:textId="77777777" w:rsidR="00653DE8" w:rsidRDefault="00653DE8" w:rsidP="00653DE8">
      <w:r>
        <w:t xml:space="preserve">The Bill will amend section 67 of the TOSP Act. Under section 67 it is a strict liability offence for the </w:t>
      </w:r>
      <w:r w:rsidRPr="004C2778">
        <w:t xml:space="preserve">holder of a retail tobacconist’s licence </w:t>
      </w:r>
      <w:r>
        <w:t xml:space="preserve">to </w:t>
      </w:r>
      <w:r w:rsidRPr="004C2778">
        <w:t>obtain a smoking product from someone who is not the holder of a wholesale tobacco merchant’s licence</w:t>
      </w:r>
      <w:r>
        <w:t xml:space="preserve">. The Bill will provide an exception to this offence where the holder of the retail tobacconist’s licence operates a community pharmacy and obtains personal vaporiser products that are listed as a medicine under the </w:t>
      </w:r>
      <w:r w:rsidRPr="00D364FF">
        <w:t>medicines and poisons standard</w:t>
      </w:r>
      <w:r>
        <w:t xml:space="preserve"> (as defined in section 11 of the MPTG Act). </w:t>
      </w:r>
    </w:p>
    <w:p w14:paraId="1405EED8" w14:textId="77777777" w:rsidR="00653DE8" w:rsidRDefault="00653DE8" w:rsidP="00653DE8">
      <w:r>
        <w:lastRenderedPageBreak/>
        <w:t>The Bill will also amend section 49 of the TA Act. Section 49 of the TA Act makes it an offence to disclose information which identifies a person who has donated tissue under the Act in certain circumstances. The Bill will provide an exception allowing disclosure to or in relation to a next of kin of a deceased person for the purposes of sub</w:t>
      </w:r>
      <w:r w:rsidRPr="00743B37">
        <w:t>section 38A (3)</w:t>
      </w:r>
      <w:r>
        <w:t xml:space="preserve"> of the </w:t>
      </w:r>
      <w:r w:rsidRPr="00743B37">
        <w:rPr>
          <w:i/>
          <w:iCs/>
        </w:rPr>
        <w:t>Births, Deaths and Marriages Registration Act 1997</w:t>
      </w:r>
      <w:r>
        <w:t xml:space="preserve"> (which provides for a request from next of kin to include a statement that the deceased was a tissue donor on their death certificates). </w:t>
      </w:r>
    </w:p>
    <w:p w14:paraId="42A89AC0" w14:textId="77777777" w:rsidR="00653DE8" w:rsidRDefault="00653DE8" w:rsidP="00653DE8">
      <w:r>
        <w:t>As an exception to an offence requires the defendant to meet an evidential burden these amendments may limit the presumption of innocence protected as a right in criminal proceedings in section 22 of the HRA. This possible limitation is recognised in the explanatory statement accompanying the Bill and a justification for why they should be considered reasonable is provided using the framework in section 28 of the HRA. Subject to the comments below on strict liability offences, the Committee refers that statement to the Assembly.</w:t>
      </w:r>
    </w:p>
    <w:p w14:paraId="5945A020" w14:textId="77777777" w:rsidR="00653DE8" w:rsidRDefault="00653DE8" w:rsidP="00653DE8">
      <w:pPr>
        <w:rPr>
          <w:b/>
          <w:bCs/>
        </w:rPr>
      </w:pPr>
      <w:r w:rsidRPr="00E83C75">
        <w:rPr>
          <w:b/>
          <w:bCs/>
        </w:rPr>
        <w:t>The Committee draws this matter to the attention of the Assembly, but does not require a response from the Minister.</w:t>
      </w:r>
    </w:p>
    <w:p w14:paraId="5F1CC670" w14:textId="77777777" w:rsidR="00653DE8" w:rsidRPr="00E83C75" w:rsidRDefault="00653DE8" w:rsidP="00DB2765">
      <w:pPr>
        <w:pStyle w:val="Heading5"/>
      </w:pPr>
      <w:r w:rsidRPr="00E83C75">
        <w:t xml:space="preserve">Right to </w:t>
      </w:r>
      <w:r>
        <w:t xml:space="preserve">recognition and equality before the law </w:t>
      </w:r>
      <w:r w:rsidRPr="00E83C75">
        <w:t>(s</w:t>
      </w:r>
      <w:r>
        <w:t>ection</w:t>
      </w:r>
      <w:r w:rsidRPr="00E83C75">
        <w:t xml:space="preserve"> 8 </w:t>
      </w:r>
      <w:r>
        <w:t>HRA</w:t>
      </w:r>
      <w:r w:rsidRPr="00E83C75">
        <w:t>)</w:t>
      </w:r>
    </w:p>
    <w:p w14:paraId="6DF59638" w14:textId="77777777" w:rsidR="00653DE8" w:rsidRDefault="00653DE8" w:rsidP="00653DE8">
      <w:pPr>
        <w:pStyle w:val="Heading5"/>
      </w:pPr>
      <w:r w:rsidRPr="0067269D">
        <w:t>Right to privacy and reputation (s</w:t>
      </w:r>
      <w:r>
        <w:t>ection</w:t>
      </w:r>
      <w:r w:rsidRPr="0067269D">
        <w:t xml:space="preserve"> 12 HRA)</w:t>
      </w:r>
    </w:p>
    <w:p w14:paraId="0190D2E4" w14:textId="77777777" w:rsidR="00653DE8" w:rsidRPr="005F7002" w:rsidRDefault="00653DE8" w:rsidP="00DB2765">
      <w:pPr>
        <w:pStyle w:val="Heading5"/>
      </w:pPr>
      <w:r w:rsidRPr="005F7002">
        <w:t>Freedom of expression (s</w:t>
      </w:r>
      <w:r>
        <w:t>ection</w:t>
      </w:r>
      <w:r w:rsidRPr="005F7002">
        <w:t xml:space="preserve"> 16 HRA)</w:t>
      </w:r>
    </w:p>
    <w:p w14:paraId="2BF721B6" w14:textId="77777777" w:rsidR="00653DE8" w:rsidRDefault="00653DE8" w:rsidP="00DB2765">
      <w:pPr>
        <w:pStyle w:val="Heading5"/>
      </w:pPr>
      <w:r w:rsidRPr="00E83C75">
        <w:t>Right</w:t>
      </w:r>
      <w:r>
        <w:t>s in criminal proceedings</w:t>
      </w:r>
      <w:r w:rsidRPr="00E83C75">
        <w:t xml:space="preserve"> (s</w:t>
      </w:r>
      <w:r>
        <w:t>ection</w:t>
      </w:r>
      <w:r w:rsidRPr="00E83C75">
        <w:t xml:space="preserve"> 22 </w:t>
      </w:r>
      <w:r w:rsidRPr="005F7002">
        <w:t>HRA</w:t>
      </w:r>
      <w:r w:rsidRPr="00E83C75">
        <w:t>)</w:t>
      </w:r>
    </w:p>
    <w:p w14:paraId="42D51564" w14:textId="77777777" w:rsidR="00653DE8" w:rsidRDefault="00653DE8" w:rsidP="00653DE8">
      <w:pPr>
        <w:rPr>
          <w:color w:val="000000"/>
          <w:shd w:val="clear" w:color="auto" w:fill="FFFFFF"/>
        </w:rPr>
      </w:pPr>
      <w:r>
        <w:t xml:space="preserve">Under the MPTG Act, the </w:t>
      </w:r>
      <w:r w:rsidRPr="00D10FE1">
        <w:rPr>
          <w:i/>
          <w:iCs/>
        </w:rPr>
        <w:t>Therapeutic Goods Act 1989</w:t>
      </w:r>
      <w:r w:rsidRPr="00D10FE1">
        <w:t xml:space="preserve"> (</w:t>
      </w:r>
      <w:proofErr w:type="spellStart"/>
      <w:r w:rsidRPr="00D10FE1">
        <w:t>Cwlth</w:t>
      </w:r>
      <w:proofErr w:type="spellEnd"/>
      <w:r w:rsidRPr="00D10FE1">
        <w:t>)</w:t>
      </w:r>
      <w:r>
        <w:t xml:space="preserve"> (TGA Act) and any </w:t>
      </w:r>
      <w:r w:rsidRPr="00D10FE1">
        <w:t>statutory instruments under the Act</w:t>
      </w:r>
      <w:r>
        <w:t xml:space="preserve"> are applied as a law of the Territory. The TGA Act regulates the </w:t>
      </w:r>
      <w:r>
        <w:rPr>
          <w:color w:val="000000"/>
          <w:shd w:val="clear" w:color="auto" w:fill="FFFFFF"/>
        </w:rPr>
        <w:t xml:space="preserve">quality, safety, efficacy and timely availability of therapeutic goods, including medicines and medical devices. It applies to corporations and things done by natural persons involved with interstate and international trade and commerce. The Bill will extend the operation of the TGA as a law of the Territory to apply to acts done by a person who is not a corporation and while in the course of trade or commerce within the limits of the Territory. </w:t>
      </w:r>
    </w:p>
    <w:p w14:paraId="03A26D3E" w14:textId="77777777" w:rsidR="00653DE8" w:rsidRDefault="00653DE8" w:rsidP="00653DE8">
      <w:pPr>
        <w:rPr>
          <w:color w:val="000000"/>
          <w:shd w:val="clear" w:color="auto" w:fill="FFFFFF"/>
        </w:rPr>
      </w:pPr>
      <w:r>
        <w:rPr>
          <w:color w:val="000000"/>
          <w:shd w:val="clear" w:color="auto" w:fill="FFFFFF"/>
        </w:rPr>
        <w:t xml:space="preserve">The TGA Act includes extensive regulatory restrictions and authority which may limit rights protected under the HRA. These include provisions relating to the use, offering for sale and advertising of various therapeutic goods. The TGA Act confers authority on Commonwealth officers and other authorised persons to engage in investigation and enforcement action, including entering residential premises without a warrant, seizing goods, and requiring the provision of personal information, in some cases limiting protections against self-incrimination. The TGA Act also contains a wide range of strict liability offences. </w:t>
      </w:r>
    </w:p>
    <w:p w14:paraId="09459F78" w14:textId="77777777" w:rsidR="00653DE8" w:rsidRDefault="00653DE8" w:rsidP="00653DE8">
      <w:pPr>
        <w:rPr>
          <w:color w:val="000000"/>
          <w:shd w:val="clear" w:color="auto" w:fill="FFFFFF"/>
        </w:rPr>
      </w:pPr>
      <w:r>
        <w:rPr>
          <w:color w:val="000000"/>
          <w:shd w:val="clear" w:color="auto" w:fill="FFFFFF"/>
        </w:rPr>
        <w:t xml:space="preserve">The TGA Act, as a law of the Commonwealth, and authorised persons acting under the authority of the TGA Act do not have to comply with the HRA. By applying the TGA Act as a law of the Territory the Bill will allow limitation of various human rights, including the right to equality protected by section 8, the protection of privacy provided by section 12, the right to freedom of expression as protected by section 16, and various rights in criminal proceedings including the presumption of innocence protected by section 22. </w:t>
      </w:r>
    </w:p>
    <w:p w14:paraId="4F037E0F" w14:textId="77777777" w:rsidR="00653DE8" w:rsidRDefault="00653DE8" w:rsidP="00653DE8">
      <w:pPr>
        <w:rPr>
          <w:color w:val="000000"/>
          <w:shd w:val="clear" w:color="auto" w:fill="FFFFFF"/>
        </w:rPr>
      </w:pPr>
      <w:r>
        <w:rPr>
          <w:color w:val="000000"/>
          <w:shd w:val="clear" w:color="auto" w:fill="FFFFFF"/>
        </w:rPr>
        <w:t>The explanatory statement accompanying the Bill states that applying the TGA Act will enable ‘</w:t>
      </w:r>
      <w:r w:rsidRPr="00001B35">
        <w:rPr>
          <w:color w:val="000000"/>
          <w:shd w:val="clear" w:color="auto" w:fill="FFFFFF"/>
        </w:rPr>
        <w:t>limited regulatory action</w:t>
      </w:r>
      <w:r>
        <w:rPr>
          <w:color w:val="000000"/>
          <w:shd w:val="clear" w:color="auto" w:fill="FFFFFF"/>
        </w:rPr>
        <w:t xml:space="preserve">’ to be taken by the Therapeutic Goods Administration but </w:t>
      </w:r>
    </w:p>
    <w:p w14:paraId="5407D985" w14:textId="4DB4312B" w:rsidR="00653DE8" w:rsidRDefault="00653DE8" w:rsidP="00653DE8">
      <w:pPr>
        <w:ind w:left="720"/>
        <w:rPr>
          <w:color w:val="000000"/>
          <w:shd w:val="clear" w:color="auto" w:fill="FFFFFF"/>
        </w:rPr>
      </w:pPr>
      <w:r w:rsidRPr="00001B35">
        <w:rPr>
          <w:color w:val="000000"/>
          <w:shd w:val="clear" w:color="auto" w:fill="FFFFFF"/>
        </w:rPr>
        <w:t>does not directly engage the HRA as Australian Government employees, in exercising functions of a Commonwealth law,</w:t>
      </w:r>
      <w:r>
        <w:rPr>
          <w:color w:val="000000"/>
          <w:shd w:val="clear" w:color="auto" w:fill="FFFFFF"/>
        </w:rPr>
        <w:t xml:space="preserve"> </w:t>
      </w:r>
      <w:r w:rsidRPr="00001B35">
        <w:rPr>
          <w:color w:val="000000"/>
          <w:shd w:val="clear" w:color="auto" w:fill="FFFFFF"/>
        </w:rPr>
        <w:t xml:space="preserve">are not subject to the HRA (in particular the right to </w:t>
      </w:r>
      <w:r w:rsidRPr="00001B35">
        <w:rPr>
          <w:color w:val="000000"/>
          <w:shd w:val="clear" w:color="auto" w:fill="FFFFFF"/>
        </w:rPr>
        <w:lastRenderedPageBreak/>
        <w:t>privacy and reputation) in making regulatory decisions. In facilitating possible TGA compliance activity against sole traders and individuals in the ACT, it is noted that any privacy impacts would be reasonably limited to activities concerning the Therapeutic Goods Act 1989 (</w:t>
      </w:r>
      <w:proofErr w:type="spellStart"/>
      <w:r w:rsidRPr="00001B35">
        <w:rPr>
          <w:color w:val="000000"/>
          <w:shd w:val="clear" w:color="auto" w:fill="FFFFFF"/>
        </w:rPr>
        <w:t>Cwlth</w:t>
      </w:r>
      <w:proofErr w:type="spellEnd"/>
      <w:r w:rsidRPr="00001B35">
        <w:rPr>
          <w:color w:val="000000"/>
          <w:shd w:val="clear" w:color="auto" w:fill="FFFFFF"/>
        </w:rPr>
        <w:t>) and that privacy protections are already afforded to sole traders under the Privacy Act 1988 (</w:t>
      </w:r>
      <w:proofErr w:type="spellStart"/>
      <w:r w:rsidRPr="00001B35">
        <w:rPr>
          <w:color w:val="000000"/>
          <w:shd w:val="clear" w:color="auto" w:fill="FFFFFF"/>
        </w:rPr>
        <w:t>Cwlth</w:t>
      </w:r>
      <w:proofErr w:type="spellEnd"/>
      <w:r w:rsidRPr="00001B35">
        <w:rPr>
          <w:color w:val="000000"/>
          <w:shd w:val="clear" w:color="auto" w:fill="FFFFFF"/>
        </w:rPr>
        <w:t xml:space="preserve">). Privacy complaints against Australian Government agencies or employees may also be investigated by the Office of the Australian Information Commissioner. </w:t>
      </w:r>
      <w:r>
        <w:rPr>
          <w:color w:val="000000"/>
          <w:shd w:val="clear" w:color="auto" w:fill="FFFFFF"/>
        </w:rPr>
        <w:t xml:space="preserve"> </w:t>
      </w:r>
    </w:p>
    <w:p w14:paraId="4C309583" w14:textId="77777777" w:rsidR="00653DE8" w:rsidRDefault="00653DE8" w:rsidP="00653DE8">
      <w:pPr>
        <w:rPr>
          <w:shd w:val="clear" w:color="auto" w:fill="FFFFFF"/>
        </w:rPr>
      </w:pPr>
      <w:r>
        <w:rPr>
          <w:shd w:val="clear" w:color="auto" w:fill="FFFFFF"/>
        </w:rPr>
        <w:t>In the Committee’s view, the fact that Commonwealth employees are not subject to the HRA in making regulatory decisions enhances the Bill’s potential limitation of rights protected under the HRA and requires a justification for be provided using the framework in section 28 of that Act. While the statement above may recognise and provide some justification for the potential impact on privacy rights, this statement is incomplete – it is not set out in the framework provided by section 28 of the HRA and does not recognise and provide a justification for why the other impacts on human rights should be considered reasonable. The Committee therefore requests that the explanatory statement be amended to include recognition of the potential for the Bill to limit human rights by extending the application of the TGA Act in the Territory and a justification for why any such limits should be considered reasonable using the framework in section 28 of the HRA.</w:t>
      </w:r>
    </w:p>
    <w:p w14:paraId="7EE4A664" w14:textId="77777777" w:rsidR="00653DE8" w:rsidRDefault="00653DE8" w:rsidP="00653DE8">
      <w:pPr>
        <w:rPr>
          <w:b/>
        </w:rPr>
      </w:pPr>
      <w:r w:rsidRPr="00E83C75">
        <w:rPr>
          <w:b/>
        </w:rPr>
        <w:t>The Committee draws th</w:t>
      </w:r>
      <w:r>
        <w:rPr>
          <w:b/>
        </w:rPr>
        <w:t>is</w:t>
      </w:r>
      <w:r w:rsidRPr="00E83C75">
        <w:rPr>
          <w:b/>
        </w:rPr>
        <w:t xml:space="preserve"> matter to the attention of the Assembly, and asks the Minister to respond</w:t>
      </w:r>
      <w:r>
        <w:rPr>
          <w:b/>
        </w:rPr>
        <w:t xml:space="preserve"> prior to the Bill being debated</w:t>
      </w:r>
      <w:r w:rsidRPr="00E83C75">
        <w:rPr>
          <w:b/>
        </w:rPr>
        <w:t>.</w:t>
      </w:r>
    </w:p>
    <w:p w14:paraId="24D0486F" w14:textId="77777777" w:rsidR="00653DE8" w:rsidRDefault="00653DE8" w:rsidP="00653DE8">
      <w:pPr>
        <w:pStyle w:val="Bodycopy"/>
        <w:rPr>
          <w:b/>
          <w:i/>
          <w:lang w:val="en-US"/>
        </w:rPr>
      </w:pPr>
      <w:r w:rsidRPr="00E83C75">
        <w:rPr>
          <w:b/>
          <w:bCs/>
          <w:i/>
        </w:rPr>
        <w:t>Do any provisions of the Bill inappropriately delegate legislative powers</w:t>
      </w:r>
      <w:proofErr w:type="gramStart"/>
      <w:r w:rsidRPr="00E83C75">
        <w:rPr>
          <w:b/>
          <w:bCs/>
          <w:i/>
        </w:rPr>
        <w:t>?</w:t>
      </w:r>
      <w:r>
        <w:rPr>
          <w:b/>
          <w:bCs/>
          <w:i/>
        </w:rPr>
        <w:t>—</w:t>
      </w:r>
      <w:proofErr w:type="gramEnd"/>
      <w:r w:rsidRPr="006B47D6">
        <w:rPr>
          <w:b/>
          <w:i/>
          <w:lang w:val="en-US"/>
        </w:rPr>
        <w:t xml:space="preserve"> </w:t>
      </w:r>
      <w:r w:rsidRPr="00E83C75">
        <w:rPr>
          <w:b/>
          <w:i/>
          <w:lang w:val="en-US"/>
        </w:rPr>
        <w:t xml:space="preserve">Committee </w:t>
      </w:r>
      <w:r>
        <w:rPr>
          <w:b/>
          <w:i/>
          <w:lang w:val="en-US"/>
        </w:rPr>
        <w:t>Resolution of Appointment paragraph (10)(a)(iv)</w:t>
      </w:r>
    </w:p>
    <w:p w14:paraId="657798C6" w14:textId="77777777" w:rsidR="00653DE8" w:rsidRDefault="00653DE8" w:rsidP="00653DE8">
      <w:pPr>
        <w:pStyle w:val="Bodycopy"/>
        <w:rPr>
          <w:b/>
          <w:bCs/>
          <w:i/>
        </w:rPr>
      </w:pPr>
      <w:r w:rsidRPr="00E83C75">
        <w:rPr>
          <w:b/>
          <w:bCs/>
          <w:i/>
        </w:rPr>
        <w:t xml:space="preserve">Do any provisions of the Bill </w:t>
      </w:r>
      <w:r w:rsidRPr="00024030">
        <w:rPr>
          <w:b/>
          <w:bCs/>
          <w:i/>
        </w:rPr>
        <w:t>insufficiently subject the exercise of legislative power to parliamentary scrutiny</w:t>
      </w:r>
      <w:r>
        <w:rPr>
          <w:b/>
          <w:bCs/>
          <w:i/>
        </w:rPr>
        <w:t xml:space="preserve">? – </w:t>
      </w:r>
      <w:r w:rsidRPr="00E83C75">
        <w:rPr>
          <w:b/>
          <w:i/>
          <w:lang w:val="en-US"/>
        </w:rPr>
        <w:t xml:space="preserve">Committee </w:t>
      </w:r>
      <w:r>
        <w:rPr>
          <w:b/>
          <w:i/>
          <w:lang w:val="en-US"/>
        </w:rPr>
        <w:t>Resolution of Appointment paragraph (10</w:t>
      </w:r>
      <w:proofErr w:type="gramStart"/>
      <w:r>
        <w:rPr>
          <w:b/>
          <w:i/>
          <w:lang w:val="en-US"/>
        </w:rPr>
        <w:t>)(</w:t>
      </w:r>
      <w:proofErr w:type="gramEnd"/>
      <w:r>
        <w:rPr>
          <w:b/>
          <w:i/>
          <w:lang w:val="en-US"/>
        </w:rPr>
        <w:t>a)(v)</w:t>
      </w:r>
    </w:p>
    <w:p w14:paraId="382CC497" w14:textId="77777777" w:rsidR="00653DE8" w:rsidRDefault="00653DE8" w:rsidP="00653DE8">
      <w:pPr>
        <w:rPr>
          <w:shd w:val="clear" w:color="auto" w:fill="FFFFFF"/>
        </w:rPr>
      </w:pPr>
      <w:r>
        <w:rPr>
          <w:shd w:val="clear" w:color="auto" w:fill="FFFFFF"/>
        </w:rPr>
        <w:t xml:space="preserve">As described above, the Bill will extend the application of the TGA Act and statutory instruments made under that Act to apply to non-corporations trading solely within the Territory. The incorporation of the TGA Act as a law of the Territory includes </w:t>
      </w:r>
      <w:r>
        <w:t xml:space="preserve">any modifications in the future (see section 102 of the </w:t>
      </w:r>
      <w:r w:rsidRPr="00D10FE1">
        <w:rPr>
          <w:i/>
          <w:iCs/>
        </w:rPr>
        <w:t>Legislation Act 2001</w:t>
      </w:r>
      <w:r>
        <w:t>)</w:t>
      </w:r>
      <w:r>
        <w:rPr>
          <w:shd w:val="clear" w:color="auto" w:fill="FFFFFF"/>
        </w:rPr>
        <w:t>. The effect of extending the application of the TGA Act in this way is to effectively delegate to the Commonwealth government legislative power over any future modifications or extensions of the TGA Act or statutory instruments, with no scope for the Assembly to be able to scrutinise their impact.</w:t>
      </w:r>
    </w:p>
    <w:p w14:paraId="287E9479" w14:textId="77777777" w:rsidR="00653DE8" w:rsidRDefault="00653DE8" w:rsidP="00653DE8">
      <w:pPr>
        <w:rPr>
          <w:shd w:val="clear" w:color="auto" w:fill="FFFFFF"/>
        </w:rPr>
      </w:pPr>
      <w:r>
        <w:rPr>
          <w:shd w:val="clear" w:color="auto" w:fill="FFFFFF"/>
        </w:rPr>
        <w:t>The explanatory statement accompanying the Act describes the extension of the application of the TGA Act as a ‘minor and technical update’ which will</w:t>
      </w:r>
    </w:p>
    <w:p w14:paraId="1B12A19A" w14:textId="77777777" w:rsidR="00653DE8" w:rsidRDefault="00653DE8" w:rsidP="00653DE8">
      <w:pPr>
        <w:ind w:left="720"/>
        <w:rPr>
          <w:shd w:val="clear" w:color="auto" w:fill="FFFFFF"/>
        </w:rPr>
      </w:pPr>
      <w:proofErr w:type="gramStart"/>
      <w:r>
        <w:rPr>
          <w:shd w:val="clear" w:color="auto" w:fill="FFFFFF"/>
        </w:rPr>
        <w:t>enable</w:t>
      </w:r>
      <w:proofErr w:type="gramEnd"/>
      <w:r>
        <w:rPr>
          <w:shd w:val="clear" w:color="auto" w:fill="FFFFFF"/>
        </w:rPr>
        <w:t xml:space="preserve"> the TGA to take action against sole traders operating wholly within the ACT in relation to nicotine vaping products (aka nicotine containing e-cigarettes) and other matters arising under the [TGA Act].  </w:t>
      </w:r>
    </w:p>
    <w:p w14:paraId="34CE5AE7" w14:textId="77777777" w:rsidR="00653DE8" w:rsidRDefault="00653DE8" w:rsidP="00653DE8">
      <w:pPr>
        <w:rPr>
          <w:shd w:val="clear" w:color="auto" w:fill="FFFFFF"/>
        </w:rPr>
      </w:pPr>
      <w:r>
        <w:rPr>
          <w:shd w:val="clear" w:color="auto" w:fill="FFFFFF"/>
        </w:rPr>
        <w:t>The Committee notes that the regulation of nicotine vaping products or other tobacco products is the subject of other amendments in the Bill and discussed in the explanatory statement in relation to the Bill’s promotion of the right to life in section 9 of the HRA. However, the extension of the TGA Act application in the Territory is not limited to the powers of the TGA in relation to nicotine products. The Committee therefore requests further information on why such a broad extension of the application of the TGA Act is warranted, and that the explanatory statement be amended to include this information.</w:t>
      </w:r>
    </w:p>
    <w:p w14:paraId="6B820E1B" w14:textId="77777777" w:rsidR="00653DE8" w:rsidRDefault="00653DE8" w:rsidP="00653DE8">
      <w:pPr>
        <w:rPr>
          <w:b/>
        </w:rPr>
      </w:pPr>
      <w:r w:rsidRPr="00E83C75">
        <w:rPr>
          <w:b/>
        </w:rPr>
        <w:lastRenderedPageBreak/>
        <w:t>The Committee draws th</w:t>
      </w:r>
      <w:r>
        <w:rPr>
          <w:b/>
        </w:rPr>
        <w:t>is</w:t>
      </w:r>
      <w:r w:rsidRPr="00E83C75">
        <w:rPr>
          <w:b/>
        </w:rPr>
        <w:t xml:space="preserve"> matter to the attention of the Assembly, and asks the Minister to respond</w:t>
      </w:r>
      <w:r>
        <w:rPr>
          <w:b/>
        </w:rPr>
        <w:t xml:space="preserve"> prior to the Bill being debated</w:t>
      </w:r>
      <w:r w:rsidRPr="00E83C75">
        <w:rPr>
          <w:b/>
        </w:rPr>
        <w:t>.</w:t>
      </w:r>
    </w:p>
    <w:p w14:paraId="776418DE" w14:textId="77777777" w:rsidR="00653DE8" w:rsidRPr="00133AB1" w:rsidRDefault="00653DE8" w:rsidP="00653DE8">
      <w:pPr>
        <w:pStyle w:val="Heading4"/>
        <w:pBdr>
          <w:bottom w:val="single" w:sz="6" w:space="1" w:color="000000"/>
        </w:pBdr>
        <w:rPr>
          <w:rFonts w:eastAsia="Times New Roman"/>
        </w:rPr>
      </w:pPr>
      <w:bookmarkStart w:id="570" w:name="_Toc103682612"/>
      <w:r w:rsidRPr="005F2AF6">
        <w:rPr>
          <w:rFonts w:eastAsia="Times New Roman"/>
        </w:rPr>
        <w:t>Terrorism (Extraordinary Temporary Powers) Amendment</w:t>
      </w:r>
      <w:r>
        <w:rPr>
          <w:rFonts w:eastAsia="Times New Roman"/>
        </w:rPr>
        <w:t xml:space="preserve"> </w:t>
      </w:r>
      <w:r w:rsidRPr="0063764D">
        <w:rPr>
          <w:rFonts w:eastAsia="Times New Roman"/>
        </w:rPr>
        <w:t>Bill 202</w:t>
      </w:r>
      <w:r>
        <w:rPr>
          <w:rFonts w:eastAsia="Times New Roman"/>
        </w:rPr>
        <w:t>2</w:t>
      </w:r>
      <w:bookmarkEnd w:id="570"/>
    </w:p>
    <w:p w14:paraId="561AEE9D" w14:textId="77777777" w:rsidR="00653DE8" w:rsidRDefault="00653DE8" w:rsidP="00653DE8">
      <w:pPr>
        <w:rPr>
          <w:rFonts w:ascii="Calibri" w:eastAsia="Calibri" w:hAnsi="Calibri" w:cs="Calibri"/>
          <w:color w:val="000000"/>
          <w:szCs w:val="20"/>
          <w:lang w:eastAsia="en-AU"/>
        </w:rPr>
      </w:pPr>
      <w:r w:rsidRPr="00133AB1">
        <w:rPr>
          <w:rFonts w:ascii="Calibri" w:eastAsia="Calibri" w:hAnsi="Calibri" w:cs="Calibri"/>
          <w:color w:val="000000"/>
          <w:szCs w:val="20"/>
          <w:lang w:eastAsia="en-AU"/>
        </w:rPr>
        <w:t>This Bill</w:t>
      </w:r>
      <w:r>
        <w:rPr>
          <w:rFonts w:ascii="Calibri" w:eastAsia="Calibri" w:hAnsi="Calibri" w:cs="Calibri"/>
          <w:color w:val="000000"/>
          <w:szCs w:val="20"/>
          <w:lang w:eastAsia="en-AU"/>
        </w:rPr>
        <w:t xml:space="preserve"> amends </w:t>
      </w:r>
      <w:r w:rsidRPr="00AF423F">
        <w:rPr>
          <w:rFonts w:ascii="Calibri" w:eastAsia="Calibri" w:hAnsi="Calibri" w:cs="Calibri"/>
          <w:color w:val="000000"/>
          <w:szCs w:val="20"/>
          <w:lang w:eastAsia="en-AU"/>
        </w:rPr>
        <w:t xml:space="preserve">the </w:t>
      </w:r>
      <w:r w:rsidRPr="00AF423F">
        <w:rPr>
          <w:rFonts w:ascii="Calibri" w:eastAsia="Calibri" w:hAnsi="Calibri" w:cs="Calibri"/>
          <w:i/>
          <w:iCs/>
          <w:color w:val="000000"/>
          <w:szCs w:val="20"/>
          <w:lang w:eastAsia="en-AU"/>
        </w:rPr>
        <w:t>Terrorism (Extraordinary Temporary Powers) Act 2006</w:t>
      </w:r>
      <w:r>
        <w:rPr>
          <w:rFonts w:ascii="Calibri" w:eastAsia="Calibri" w:hAnsi="Calibri" w:cs="Calibri"/>
          <w:color w:val="000000"/>
          <w:szCs w:val="20"/>
          <w:lang w:eastAsia="en-AU"/>
        </w:rPr>
        <w:t xml:space="preserve"> to extend its operation until 19 November 2027. It will also make amendments relating to:</w:t>
      </w:r>
    </w:p>
    <w:p w14:paraId="6240E183" w14:textId="77777777" w:rsidR="00653DE8" w:rsidRDefault="00653DE8" w:rsidP="003F24F6">
      <w:pPr>
        <w:pStyle w:val="ListParagraph"/>
        <w:numPr>
          <w:ilvl w:val="0"/>
          <w:numId w:val="30"/>
        </w:numPr>
        <w:spacing w:before="0" w:after="160" w:line="300" w:lineRule="exact"/>
        <w:rPr>
          <w:rFonts w:ascii="Calibri" w:eastAsia="Calibri" w:hAnsi="Calibri" w:cs="Calibri"/>
          <w:color w:val="000000"/>
          <w:szCs w:val="20"/>
          <w:lang w:eastAsia="en-AU"/>
        </w:rPr>
      </w:pPr>
      <w:r w:rsidRPr="00BB7F72">
        <w:rPr>
          <w:rFonts w:ascii="Calibri" w:eastAsia="Calibri" w:hAnsi="Calibri" w:cs="Calibri"/>
          <w:color w:val="000000"/>
          <w:szCs w:val="20"/>
          <w:lang w:eastAsia="en-AU"/>
        </w:rPr>
        <w:t>contact with diplomatic representatives</w:t>
      </w:r>
      <w:r>
        <w:rPr>
          <w:rFonts w:ascii="Calibri" w:eastAsia="Calibri" w:hAnsi="Calibri" w:cs="Calibri"/>
          <w:color w:val="000000"/>
          <w:szCs w:val="20"/>
          <w:lang w:eastAsia="en-AU"/>
        </w:rPr>
        <w:t>;</w:t>
      </w:r>
    </w:p>
    <w:p w14:paraId="6E184EAE" w14:textId="77777777" w:rsidR="00653DE8" w:rsidRDefault="00653DE8" w:rsidP="003F24F6">
      <w:pPr>
        <w:pStyle w:val="ListParagraph"/>
        <w:numPr>
          <w:ilvl w:val="0"/>
          <w:numId w:val="30"/>
        </w:numPr>
        <w:spacing w:before="0" w:after="160" w:line="300" w:lineRule="exact"/>
        <w:rPr>
          <w:rFonts w:ascii="Calibri" w:eastAsia="Calibri" w:hAnsi="Calibri" w:cs="Calibri"/>
          <w:color w:val="000000"/>
          <w:szCs w:val="20"/>
          <w:lang w:eastAsia="en-AU"/>
        </w:rPr>
      </w:pPr>
      <w:r>
        <w:rPr>
          <w:rFonts w:ascii="Calibri" w:eastAsia="Calibri" w:hAnsi="Calibri" w:cs="Calibri"/>
          <w:color w:val="000000"/>
          <w:szCs w:val="20"/>
          <w:lang w:eastAsia="en-AU"/>
        </w:rPr>
        <w:t>i</w:t>
      </w:r>
      <w:r w:rsidRPr="00BB7F72">
        <w:rPr>
          <w:rFonts w:ascii="Calibri" w:eastAsia="Calibri" w:hAnsi="Calibri" w:cs="Calibri"/>
          <w:color w:val="000000"/>
          <w:szCs w:val="20"/>
          <w:lang w:eastAsia="en-AU"/>
        </w:rPr>
        <w:t>ncreas</w:t>
      </w:r>
      <w:r>
        <w:rPr>
          <w:rFonts w:ascii="Calibri" w:eastAsia="Calibri" w:hAnsi="Calibri" w:cs="Calibri"/>
          <w:color w:val="000000"/>
          <w:szCs w:val="20"/>
          <w:lang w:eastAsia="en-AU"/>
        </w:rPr>
        <w:t xml:space="preserve">ing </w:t>
      </w:r>
      <w:r w:rsidRPr="00BB7F72">
        <w:rPr>
          <w:rFonts w:ascii="Calibri" w:eastAsia="Calibri" w:hAnsi="Calibri" w:cs="Calibri"/>
          <w:color w:val="000000"/>
          <w:szCs w:val="20"/>
          <w:lang w:eastAsia="en-AU"/>
        </w:rPr>
        <w:t>protections for people with impaired decision-making ability by extending the contact time with family and requiring police officers to take reasonable steps to assist them in exercising their contact rights</w:t>
      </w:r>
      <w:r>
        <w:rPr>
          <w:rFonts w:ascii="Calibri" w:eastAsia="Calibri" w:hAnsi="Calibri" w:cs="Calibri"/>
          <w:color w:val="000000"/>
          <w:szCs w:val="20"/>
          <w:lang w:eastAsia="en-AU"/>
        </w:rPr>
        <w:t>;</w:t>
      </w:r>
    </w:p>
    <w:p w14:paraId="358F5F39" w14:textId="77777777" w:rsidR="00653DE8" w:rsidRDefault="00653DE8" w:rsidP="003F24F6">
      <w:pPr>
        <w:pStyle w:val="ListParagraph"/>
        <w:numPr>
          <w:ilvl w:val="0"/>
          <w:numId w:val="30"/>
        </w:numPr>
        <w:spacing w:before="0" w:after="160" w:line="300" w:lineRule="exact"/>
        <w:rPr>
          <w:rFonts w:ascii="Calibri" w:eastAsia="Calibri" w:hAnsi="Calibri" w:cs="Calibri"/>
          <w:color w:val="000000"/>
          <w:szCs w:val="20"/>
          <w:lang w:eastAsia="en-AU"/>
        </w:rPr>
      </w:pPr>
      <w:r w:rsidRPr="00BB7F72">
        <w:rPr>
          <w:rFonts w:ascii="Calibri" w:eastAsia="Calibri" w:hAnsi="Calibri" w:cs="Calibri"/>
          <w:color w:val="000000"/>
          <w:szCs w:val="20"/>
          <w:lang w:eastAsia="en-AU"/>
        </w:rPr>
        <w:t>allowing identification material to be taken to record any illness or injury suffered while in detention</w:t>
      </w:r>
      <w:r>
        <w:rPr>
          <w:rFonts w:ascii="Calibri" w:eastAsia="Calibri" w:hAnsi="Calibri" w:cs="Calibri"/>
          <w:color w:val="000000"/>
          <w:szCs w:val="20"/>
          <w:lang w:eastAsia="en-AU"/>
        </w:rPr>
        <w:t>;</w:t>
      </w:r>
      <w:r w:rsidRPr="00BB7F72">
        <w:rPr>
          <w:rFonts w:ascii="Calibri" w:eastAsia="Calibri" w:hAnsi="Calibri" w:cs="Calibri"/>
          <w:color w:val="000000"/>
          <w:szCs w:val="20"/>
          <w:lang w:eastAsia="en-AU"/>
        </w:rPr>
        <w:t xml:space="preserve"> and </w:t>
      </w:r>
    </w:p>
    <w:p w14:paraId="5844EAD7" w14:textId="77777777" w:rsidR="00653DE8" w:rsidRPr="00BB7F72" w:rsidRDefault="00653DE8" w:rsidP="003F24F6">
      <w:pPr>
        <w:pStyle w:val="ListParagraph"/>
        <w:numPr>
          <w:ilvl w:val="0"/>
          <w:numId w:val="30"/>
        </w:numPr>
        <w:spacing w:before="0" w:after="160" w:line="300" w:lineRule="exact"/>
        <w:rPr>
          <w:rFonts w:ascii="Calibri" w:eastAsia="Calibri" w:hAnsi="Calibri" w:cs="Calibri"/>
          <w:color w:val="000000"/>
          <w:szCs w:val="20"/>
          <w:lang w:eastAsia="en-AU"/>
        </w:rPr>
      </w:pPr>
      <w:proofErr w:type="gramStart"/>
      <w:r w:rsidRPr="00BB7F72">
        <w:rPr>
          <w:rFonts w:ascii="Calibri" w:eastAsia="Calibri" w:hAnsi="Calibri" w:cs="Calibri"/>
          <w:color w:val="000000"/>
          <w:szCs w:val="20"/>
          <w:lang w:eastAsia="en-AU"/>
        </w:rPr>
        <w:t>providing</w:t>
      </w:r>
      <w:proofErr w:type="gramEnd"/>
      <w:r w:rsidRPr="00BB7F72">
        <w:rPr>
          <w:rFonts w:ascii="Calibri" w:eastAsia="Calibri" w:hAnsi="Calibri" w:cs="Calibri"/>
          <w:color w:val="000000"/>
          <w:szCs w:val="20"/>
          <w:lang w:eastAsia="en-AU"/>
        </w:rPr>
        <w:t xml:space="preserve"> for a review of the Act to be presented to the Assembly no later than 19 November 2026.</w:t>
      </w:r>
    </w:p>
    <w:p w14:paraId="66F231D7" w14:textId="77777777" w:rsidR="00653DE8" w:rsidRPr="00133AB1" w:rsidRDefault="00653DE8" w:rsidP="00653DE8">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i/>
          <w:color w:val="000000"/>
          <w:szCs w:val="20"/>
          <w:lang w:eastAsia="en-AU"/>
        </w:rPr>
        <w:t>Do any provisions of the Bill amount to an undue trespass on personal rights and liberties</w:t>
      </w:r>
      <w:proofErr w:type="gramStart"/>
      <w:r w:rsidRPr="00133AB1">
        <w:rPr>
          <w:rFonts w:ascii="Calibri" w:eastAsia="Calibri" w:hAnsi="Calibri" w:cs="Calibri"/>
          <w:b/>
          <w:bCs/>
          <w:i/>
          <w:color w:val="000000"/>
          <w:szCs w:val="20"/>
          <w:lang w:eastAsia="en-AU"/>
        </w:rPr>
        <w:t>?—</w:t>
      </w:r>
      <w:proofErr w:type="gramEnd"/>
      <w:r w:rsidRPr="00133AB1">
        <w:rPr>
          <w:rFonts w:ascii="Calibri" w:eastAsia="Calibri" w:hAnsi="Calibri" w:cs="Calibri"/>
          <w:b/>
          <w:bCs/>
          <w:i/>
          <w:color w:val="000000"/>
          <w:szCs w:val="20"/>
          <w:lang w:eastAsia="en-AU"/>
        </w:rPr>
        <w:t xml:space="preserve"> </w:t>
      </w:r>
      <w:r w:rsidRPr="00E83C75">
        <w:rPr>
          <w:b/>
          <w:i/>
          <w:lang w:val="en-US"/>
        </w:rPr>
        <w:t xml:space="preserve">Committee </w:t>
      </w:r>
      <w:r>
        <w:rPr>
          <w:b/>
          <w:i/>
          <w:lang w:val="en-US"/>
        </w:rPr>
        <w:t>Resolution of Appointment paragraph (10)(a)(</w:t>
      </w:r>
      <w:proofErr w:type="spellStart"/>
      <w:r>
        <w:rPr>
          <w:b/>
          <w:i/>
          <w:lang w:val="en-US"/>
        </w:rPr>
        <w:t>i</w:t>
      </w:r>
      <w:proofErr w:type="spellEnd"/>
      <w:r>
        <w:rPr>
          <w:b/>
          <w:i/>
          <w:lang w:val="en-US"/>
        </w:rPr>
        <w:t xml:space="preserve">) </w:t>
      </w:r>
      <w:r w:rsidRPr="00E83C75">
        <w:rPr>
          <w:b/>
          <w:i/>
          <w:lang w:val="en-US"/>
        </w:rPr>
        <w:t xml:space="preserve"> </w:t>
      </w:r>
    </w:p>
    <w:p w14:paraId="746EE8FB" w14:textId="77777777" w:rsidR="00653DE8" w:rsidRDefault="00653DE8" w:rsidP="00653DE8">
      <w:pPr>
        <w:widowControl w:val="0"/>
        <w:tabs>
          <w:tab w:val="left" w:pos="1276"/>
        </w:tabs>
        <w:rPr>
          <w:rFonts w:ascii="Calibri" w:eastAsia="Calibri" w:hAnsi="Calibri" w:cs="Calibri"/>
          <w:b/>
          <w:bCs/>
          <w:color w:val="000000"/>
          <w:szCs w:val="20"/>
          <w:lang w:eastAsia="en-AU"/>
        </w:rPr>
      </w:pPr>
      <w:r w:rsidRPr="00133AB1">
        <w:rPr>
          <w:rFonts w:ascii="Calibri" w:eastAsia="Calibri" w:hAnsi="Calibri" w:cs="Calibri"/>
          <w:b/>
          <w:bCs/>
          <w:color w:val="000000"/>
          <w:szCs w:val="20"/>
          <w:lang w:eastAsia="en-AU"/>
        </w:rPr>
        <w:t xml:space="preserve">Report under section 38 of the </w:t>
      </w:r>
      <w:r w:rsidRPr="00133AB1">
        <w:rPr>
          <w:rFonts w:ascii="Calibri" w:eastAsia="Calibri" w:hAnsi="Calibri" w:cs="Calibri"/>
          <w:b/>
          <w:bCs/>
          <w:i/>
          <w:color w:val="000000"/>
          <w:szCs w:val="20"/>
          <w:lang w:eastAsia="en-AU"/>
        </w:rPr>
        <w:t xml:space="preserve">Human Rights Act 2004 </w:t>
      </w:r>
      <w:r w:rsidRPr="00133AB1">
        <w:rPr>
          <w:rFonts w:ascii="Calibri" w:eastAsia="Calibri" w:hAnsi="Calibri" w:cs="Calibri"/>
          <w:b/>
          <w:bCs/>
          <w:color w:val="000000"/>
          <w:szCs w:val="20"/>
          <w:lang w:eastAsia="en-AU"/>
        </w:rPr>
        <w:t>(HRA)</w:t>
      </w:r>
    </w:p>
    <w:p w14:paraId="5DECEA41" w14:textId="77777777" w:rsidR="00653DE8" w:rsidRPr="00E83C75" w:rsidRDefault="00653DE8" w:rsidP="00DB2765">
      <w:pPr>
        <w:pStyle w:val="Heading5"/>
      </w:pPr>
      <w:r>
        <w:t>Freedom of movement (section 13 HRA</w:t>
      </w:r>
      <w:r w:rsidRPr="00E83C75">
        <w:t>)</w:t>
      </w:r>
    </w:p>
    <w:p w14:paraId="64E3B03B" w14:textId="77777777" w:rsidR="00653DE8" w:rsidRPr="00E83C75" w:rsidRDefault="00653DE8" w:rsidP="00DB2765">
      <w:pPr>
        <w:pStyle w:val="Heading5"/>
      </w:pPr>
      <w:r>
        <w:t>Right to liberty and security of person (section 18 HRA)</w:t>
      </w:r>
    </w:p>
    <w:p w14:paraId="0DECA180" w14:textId="77777777" w:rsidR="00653DE8" w:rsidRDefault="00653DE8" w:rsidP="00DB2765">
      <w:pPr>
        <w:pStyle w:val="Heading5"/>
      </w:pPr>
      <w:r>
        <w:t>Humane treatment when deprived of liberty</w:t>
      </w:r>
      <w:r w:rsidRPr="005F7002">
        <w:t xml:space="preserve"> (s</w:t>
      </w:r>
      <w:r>
        <w:t>ection</w:t>
      </w:r>
      <w:r w:rsidRPr="005F7002">
        <w:t xml:space="preserve"> 1</w:t>
      </w:r>
      <w:r>
        <w:t>9</w:t>
      </w:r>
      <w:r w:rsidRPr="005F7002">
        <w:t xml:space="preserve"> HRA)</w:t>
      </w:r>
      <w:r w:rsidRPr="00AF423F">
        <w:t xml:space="preserve"> </w:t>
      </w:r>
    </w:p>
    <w:p w14:paraId="49FC6BB7" w14:textId="77777777" w:rsidR="00653DE8" w:rsidRPr="00E83C75" w:rsidRDefault="00653DE8" w:rsidP="00DB2765">
      <w:pPr>
        <w:pStyle w:val="Heading5"/>
      </w:pPr>
      <w:r w:rsidRPr="00E83C75">
        <w:t>Right to a fair trial (s</w:t>
      </w:r>
      <w:r>
        <w:t>ection</w:t>
      </w:r>
      <w:r w:rsidRPr="00E83C75">
        <w:t xml:space="preserve"> 21 </w:t>
      </w:r>
      <w:r>
        <w:t>HRA</w:t>
      </w:r>
      <w:r w:rsidRPr="00E83C75">
        <w:t xml:space="preserve">) </w:t>
      </w:r>
    </w:p>
    <w:p w14:paraId="73BD1881" w14:textId="77777777" w:rsidR="00653DE8" w:rsidRDefault="00653DE8" w:rsidP="00DB2765">
      <w:pPr>
        <w:pStyle w:val="Heading5"/>
      </w:pPr>
      <w:r w:rsidRPr="00E83C75">
        <w:t>Right</w:t>
      </w:r>
      <w:r>
        <w:t>s in criminal proceedings</w:t>
      </w:r>
      <w:r w:rsidRPr="00E83C75">
        <w:t xml:space="preserve"> (s</w:t>
      </w:r>
      <w:r>
        <w:t>ection</w:t>
      </w:r>
      <w:r w:rsidRPr="00E83C75">
        <w:t xml:space="preserve"> 22 </w:t>
      </w:r>
      <w:r w:rsidRPr="005F7002">
        <w:t>HRA</w:t>
      </w:r>
      <w:r w:rsidRPr="00E83C75">
        <w:t>)</w:t>
      </w:r>
    </w:p>
    <w:p w14:paraId="38620294" w14:textId="77777777" w:rsidR="00653DE8" w:rsidRDefault="00653DE8" w:rsidP="00653DE8">
      <w:pPr>
        <w:rPr>
          <w:rFonts w:ascii="Calibri" w:eastAsia="Calibri" w:hAnsi="Calibri" w:cs="Calibri"/>
          <w:color w:val="000000"/>
          <w:szCs w:val="20"/>
          <w:lang w:eastAsia="en-AU"/>
        </w:rPr>
      </w:pPr>
      <w:r>
        <w:t xml:space="preserve">The </w:t>
      </w:r>
      <w:r w:rsidRPr="001C5E59">
        <w:t xml:space="preserve">Terrorism (Extraordinary Temporary Powers) Act </w:t>
      </w:r>
      <w:r>
        <w:t>is currently due to expire 16 years after its commencement, or 19 November 2022. The Bill will defer this expiry for a further 5 years, until 19 November 2027. It will be the fourth extension of the Act, with two previous five-year extensions (in 2011 and 2016) and a one year extension in 2021 to provide for additional time to report on the Bill’s operation.</w:t>
      </w:r>
      <w:r>
        <w:rPr>
          <w:rStyle w:val="FootnoteReference"/>
        </w:rPr>
        <w:footnoteReference w:id="1"/>
      </w:r>
      <w:r>
        <w:t xml:space="preserve"> The Act provides for the preventative detention of persons for up to 14 days to prevent imminent terrorist acts or preserve evidence of recent terrorist acts. The Act also confers special powers to prevent or investigate terrorist acts, including through the reasonable use of force by police officers, to require identification, search persons, vehicles and premises, move vehicles and cordon off areas from entry. By extending the operation of the Act, the Bill may therefore significantly limit a number of rights protected under the HRA, including the rights to movement, liberty, and a fair trial, and other rights in criminal proceedings.   </w:t>
      </w:r>
    </w:p>
    <w:p w14:paraId="2309A908" w14:textId="77777777" w:rsidR="00653DE8" w:rsidRDefault="00653DE8" w:rsidP="00653DE8">
      <w:pPr>
        <w:rPr>
          <w:rFonts w:ascii="Calibri" w:eastAsia="Calibri" w:hAnsi="Calibri" w:cs="Calibri"/>
          <w:color w:val="000000"/>
          <w:szCs w:val="20"/>
          <w:lang w:eastAsia="en-AU"/>
        </w:rPr>
      </w:pPr>
      <w:r>
        <w:rPr>
          <w:rFonts w:ascii="Calibri" w:eastAsia="Calibri" w:hAnsi="Calibri" w:cs="Calibri"/>
          <w:color w:val="000000"/>
          <w:szCs w:val="20"/>
          <w:lang w:eastAsia="en-AU"/>
        </w:rPr>
        <w:t>The explanatory statement recognises these potential limitations and provides a justification for why they should be considered reasonable using the framework set out in section 28 of the HRA. The Committee refers that statement to the Assembly.</w:t>
      </w:r>
    </w:p>
    <w:p w14:paraId="44A65366" w14:textId="77777777" w:rsidR="00653DE8" w:rsidRDefault="00653DE8" w:rsidP="00653DE8">
      <w:pPr>
        <w:rPr>
          <w:rFonts w:ascii="Calibri" w:eastAsia="Calibri" w:hAnsi="Calibri" w:cs="Calibri"/>
          <w:color w:val="000000"/>
          <w:szCs w:val="20"/>
          <w:lang w:eastAsia="en-AU"/>
        </w:rPr>
      </w:pPr>
      <w:r>
        <w:rPr>
          <w:rFonts w:ascii="Calibri" w:eastAsia="Calibri" w:hAnsi="Calibri" w:cs="Calibri"/>
          <w:color w:val="000000"/>
          <w:szCs w:val="20"/>
          <w:lang w:eastAsia="en-AU"/>
        </w:rPr>
        <w:lastRenderedPageBreak/>
        <w:t>The Committee notes that a review of the Act was tabled in the Assembly on 13 April 2021.</w:t>
      </w:r>
      <w:r>
        <w:rPr>
          <w:rStyle w:val="FootnoteReference"/>
          <w:rFonts w:ascii="Calibri" w:eastAsia="Calibri" w:hAnsi="Calibri" w:cs="Calibri"/>
          <w:color w:val="000000"/>
          <w:szCs w:val="20"/>
          <w:lang w:eastAsia="en-AU"/>
        </w:rPr>
        <w:footnoteReference w:id="2"/>
      </w:r>
      <w:r>
        <w:rPr>
          <w:rFonts w:ascii="Calibri" w:eastAsia="Calibri" w:hAnsi="Calibri" w:cs="Calibri"/>
          <w:color w:val="000000"/>
          <w:szCs w:val="20"/>
          <w:lang w:eastAsia="en-AU"/>
        </w:rPr>
        <w:t xml:space="preserve"> In summary, the Review:</w:t>
      </w:r>
    </w:p>
    <w:p w14:paraId="3BDA5270" w14:textId="77777777" w:rsidR="00653DE8" w:rsidRDefault="00653DE8" w:rsidP="00653DE8">
      <w:pPr>
        <w:ind w:left="720"/>
        <w:rPr>
          <w:rFonts w:ascii="Calibri" w:eastAsia="Calibri" w:hAnsi="Calibri" w:cs="Calibri"/>
          <w:color w:val="000000"/>
          <w:szCs w:val="20"/>
          <w:lang w:eastAsia="en-AU"/>
        </w:rPr>
      </w:pPr>
      <w:proofErr w:type="gramStart"/>
      <w:r>
        <w:rPr>
          <w:rFonts w:ascii="Calibri" w:eastAsia="Calibri" w:hAnsi="Calibri" w:cs="Calibri"/>
          <w:color w:val="000000"/>
          <w:szCs w:val="20"/>
          <w:lang w:eastAsia="en-AU"/>
        </w:rPr>
        <w:t>found</w:t>
      </w:r>
      <w:proofErr w:type="gramEnd"/>
      <w:r>
        <w:rPr>
          <w:rFonts w:ascii="Calibri" w:eastAsia="Calibri" w:hAnsi="Calibri" w:cs="Calibri"/>
          <w:color w:val="000000"/>
          <w:szCs w:val="20"/>
          <w:lang w:eastAsia="en-AU"/>
        </w:rPr>
        <w:t xml:space="preserve"> </w:t>
      </w:r>
      <w:r w:rsidRPr="005E5799">
        <w:rPr>
          <w:rFonts w:ascii="Calibri" w:eastAsia="Calibri" w:hAnsi="Calibri" w:cs="Calibri"/>
          <w:color w:val="000000"/>
          <w:szCs w:val="20"/>
          <w:lang w:eastAsia="en-AU"/>
        </w:rPr>
        <w:t>that the policy objectives of the Act remain relevant, and that the scheme contains a range of important human rights safeguards that distinguish it from comparable schemes in other Australian jurisdictions. However, noting the extraordinary nature of the powers in the Act, there may be an opportunity to refine or enhance these safeguards. This opportunity should be further explored prior to any extension of the Act.</w:t>
      </w:r>
      <w:r>
        <w:rPr>
          <w:rStyle w:val="FootnoteReference"/>
          <w:rFonts w:ascii="Calibri" w:eastAsia="Calibri" w:hAnsi="Calibri" w:cs="Calibri"/>
          <w:color w:val="000000"/>
          <w:szCs w:val="20"/>
          <w:lang w:eastAsia="en-AU"/>
        </w:rPr>
        <w:footnoteReference w:id="3"/>
      </w:r>
    </w:p>
    <w:p w14:paraId="4199591F" w14:textId="77777777" w:rsidR="00653DE8" w:rsidRDefault="00653DE8" w:rsidP="00653DE8">
      <w:pPr>
        <w:rPr>
          <w:lang w:eastAsia="en-AU"/>
        </w:rPr>
      </w:pPr>
      <w:r>
        <w:rPr>
          <w:lang w:eastAsia="en-AU"/>
        </w:rPr>
        <w:t>The review and its conclusions are not mentioned in the explanatory statement accompanying the Bill. This is surprising given the purpose of the review was to inform the possible extension of the Act. The Bill provides for a further review of the operation and effectiveness of the Act prior to the proposed new expiry in 2027. The Committee considers this an important element in any justification for continuing the significant limitations placed by the Act on rights protected by the HRA. The Committee therefore requests that the explanatory statement accompanying the Bill include reference to the most recent review and how the Bill reflects the conclusions reached, and that any future extensions of the Act include reference to the results of future inquiries into the human rights impacts of the Act.</w:t>
      </w:r>
    </w:p>
    <w:p w14:paraId="32FCCA36" w14:textId="77777777" w:rsidR="00653DE8" w:rsidRDefault="00653DE8" w:rsidP="00653DE8">
      <w:pPr>
        <w:rPr>
          <w:b/>
        </w:rPr>
      </w:pPr>
      <w:r w:rsidRPr="00E83C75">
        <w:rPr>
          <w:b/>
        </w:rPr>
        <w:t>The Committee draws th</w:t>
      </w:r>
      <w:r>
        <w:rPr>
          <w:b/>
        </w:rPr>
        <w:t>is</w:t>
      </w:r>
      <w:r w:rsidRPr="00E83C75">
        <w:rPr>
          <w:b/>
        </w:rPr>
        <w:t xml:space="preserve"> matter to the attention of the Assembly, and asks the Minister to respond</w:t>
      </w:r>
      <w:r>
        <w:rPr>
          <w:b/>
        </w:rPr>
        <w:t xml:space="preserve"> prior to the Bill being debated</w:t>
      </w:r>
      <w:r w:rsidRPr="00E83C75">
        <w:rPr>
          <w:b/>
        </w:rPr>
        <w:t>.</w:t>
      </w:r>
    </w:p>
    <w:p w14:paraId="26E64C31" w14:textId="77777777" w:rsidR="00653DE8" w:rsidRDefault="00653DE8" w:rsidP="00653DE8">
      <w:pPr>
        <w:pStyle w:val="Heading5"/>
      </w:pPr>
      <w:r>
        <w:t>P</w:t>
      </w:r>
      <w:r w:rsidRPr="0067269D">
        <w:t>rivacy and reputation (s</w:t>
      </w:r>
      <w:r>
        <w:t>ection</w:t>
      </w:r>
      <w:r w:rsidRPr="0067269D">
        <w:t xml:space="preserve"> 12 HRA)</w:t>
      </w:r>
    </w:p>
    <w:p w14:paraId="6C05ADB8" w14:textId="669FA769" w:rsidR="00653DE8" w:rsidRPr="00202DA6" w:rsidRDefault="00653DE8" w:rsidP="00653DE8">
      <w:pPr>
        <w:rPr>
          <w:rFonts w:ascii="Calibri" w:eastAsia="Calibri" w:hAnsi="Calibri" w:cs="Calibri"/>
          <w:color w:val="000000"/>
          <w:szCs w:val="20"/>
          <w:lang w:eastAsia="en-AU"/>
        </w:rPr>
      </w:pPr>
      <w:r>
        <w:rPr>
          <w:rFonts w:ascii="Calibri" w:eastAsia="Calibri" w:hAnsi="Calibri" w:cs="Calibri"/>
          <w:color w:val="000000"/>
          <w:szCs w:val="20"/>
          <w:lang w:eastAsia="en-AU"/>
        </w:rPr>
        <w:t xml:space="preserve">Division 2.12 of the Act provides for the taking, use and destruction of a detainees identification material. </w:t>
      </w:r>
      <w:r w:rsidR="00551A62">
        <w:rPr>
          <w:rFonts w:ascii="Calibri" w:eastAsia="Calibri" w:hAnsi="Calibri" w:cs="Calibri"/>
          <w:color w:val="000000"/>
          <w:szCs w:val="20"/>
          <w:lang w:eastAsia="en-AU"/>
        </w:rPr>
        <w:t>I</w:t>
      </w:r>
      <w:r w:rsidRPr="00202DA6">
        <w:rPr>
          <w:rFonts w:ascii="Calibri" w:eastAsia="Calibri" w:hAnsi="Calibri" w:cs="Calibri"/>
          <w:color w:val="000000"/>
          <w:szCs w:val="20"/>
          <w:lang w:eastAsia="en-AU"/>
        </w:rPr>
        <w:t xml:space="preserve">dentification material </w:t>
      </w:r>
      <w:r>
        <w:rPr>
          <w:rFonts w:ascii="Calibri" w:eastAsia="Calibri" w:hAnsi="Calibri" w:cs="Calibri"/>
          <w:color w:val="000000"/>
          <w:szCs w:val="20"/>
          <w:lang w:eastAsia="en-AU"/>
        </w:rPr>
        <w:t>is defined in the Act for this purpose to mean:</w:t>
      </w:r>
    </w:p>
    <w:p w14:paraId="30E65558" w14:textId="77777777" w:rsidR="00653DE8" w:rsidRDefault="00653DE8" w:rsidP="00653DE8">
      <w:pPr>
        <w:ind w:left="720"/>
        <w:rPr>
          <w:rFonts w:ascii="Calibri" w:eastAsia="Calibri" w:hAnsi="Calibri" w:cs="Calibri"/>
          <w:color w:val="000000"/>
          <w:szCs w:val="20"/>
          <w:lang w:eastAsia="en-AU"/>
        </w:rPr>
      </w:pPr>
      <w:r w:rsidRPr="00202DA6">
        <w:rPr>
          <w:rFonts w:ascii="Calibri" w:eastAsia="Calibri" w:hAnsi="Calibri" w:cs="Calibri"/>
          <w:color w:val="000000"/>
          <w:szCs w:val="20"/>
          <w:lang w:eastAsia="en-AU"/>
        </w:rPr>
        <w:t xml:space="preserve">(a) </w:t>
      </w:r>
      <w:proofErr w:type="gramStart"/>
      <w:r w:rsidRPr="00202DA6">
        <w:rPr>
          <w:rFonts w:ascii="Calibri" w:eastAsia="Calibri" w:hAnsi="Calibri" w:cs="Calibri"/>
          <w:color w:val="000000"/>
          <w:szCs w:val="20"/>
          <w:lang w:eastAsia="en-AU"/>
        </w:rPr>
        <w:t>prints</w:t>
      </w:r>
      <w:proofErr w:type="gramEnd"/>
      <w:r w:rsidRPr="00202DA6">
        <w:rPr>
          <w:rFonts w:ascii="Calibri" w:eastAsia="Calibri" w:hAnsi="Calibri" w:cs="Calibri"/>
          <w:color w:val="000000"/>
          <w:szCs w:val="20"/>
          <w:lang w:eastAsia="en-AU"/>
        </w:rPr>
        <w:t xml:space="preserve"> of the person’s hands, fingers, feet or toes; or</w:t>
      </w:r>
      <w:r>
        <w:rPr>
          <w:rFonts w:ascii="Calibri" w:eastAsia="Calibri" w:hAnsi="Calibri" w:cs="Calibri"/>
          <w:color w:val="000000"/>
          <w:szCs w:val="20"/>
          <w:lang w:eastAsia="en-AU"/>
        </w:rPr>
        <w:t xml:space="preserve"> </w:t>
      </w:r>
      <w:r>
        <w:rPr>
          <w:rFonts w:ascii="Calibri" w:eastAsia="Calibri" w:hAnsi="Calibri" w:cs="Calibri"/>
          <w:color w:val="000000"/>
          <w:szCs w:val="20"/>
          <w:lang w:eastAsia="en-AU"/>
        </w:rPr>
        <w:br/>
      </w:r>
      <w:r w:rsidRPr="00202DA6">
        <w:rPr>
          <w:rFonts w:ascii="Calibri" w:eastAsia="Calibri" w:hAnsi="Calibri" w:cs="Calibri"/>
          <w:color w:val="000000"/>
          <w:szCs w:val="20"/>
          <w:lang w:eastAsia="en-AU"/>
        </w:rPr>
        <w:t>(b) recordings of the person’s voice; or</w:t>
      </w:r>
      <w:r>
        <w:rPr>
          <w:rFonts w:ascii="Calibri" w:eastAsia="Calibri" w:hAnsi="Calibri" w:cs="Calibri"/>
          <w:color w:val="000000"/>
          <w:szCs w:val="20"/>
          <w:lang w:eastAsia="en-AU"/>
        </w:rPr>
        <w:br/>
      </w:r>
      <w:r w:rsidRPr="00202DA6">
        <w:rPr>
          <w:rFonts w:ascii="Calibri" w:eastAsia="Calibri" w:hAnsi="Calibri" w:cs="Calibri"/>
          <w:color w:val="000000"/>
          <w:szCs w:val="20"/>
          <w:lang w:eastAsia="en-AU"/>
        </w:rPr>
        <w:t>(c) samples of the person’s handwriting; or</w:t>
      </w:r>
      <w:r>
        <w:rPr>
          <w:rFonts w:ascii="Calibri" w:eastAsia="Calibri" w:hAnsi="Calibri" w:cs="Calibri"/>
          <w:color w:val="000000"/>
          <w:szCs w:val="20"/>
          <w:lang w:eastAsia="en-AU"/>
        </w:rPr>
        <w:br/>
      </w:r>
      <w:r w:rsidRPr="00202DA6">
        <w:rPr>
          <w:rFonts w:ascii="Calibri" w:eastAsia="Calibri" w:hAnsi="Calibri" w:cs="Calibri"/>
          <w:color w:val="000000"/>
          <w:szCs w:val="20"/>
          <w:lang w:eastAsia="en-AU"/>
        </w:rPr>
        <w:t>(d) photographs (including video recordings) of the person.</w:t>
      </w:r>
      <w:r>
        <w:rPr>
          <w:rStyle w:val="FootnoteReference"/>
          <w:rFonts w:ascii="Calibri" w:eastAsia="Calibri" w:hAnsi="Calibri" w:cs="Calibri"/>
          <w:color w:val="000000"/>
          <w:szCs w:val="20"/>
          <w:lang w:eastAsia="en-AU"/>
        </w:rPr>
        <w:footnoteReference w:id="4"/>
      </w:r>
    </w:p>
    <w:p w14:paraId="0F64E138" w14:textId="77777777" w:rsidR="00653DE8" w:rsidRDefault="00653DE8" w:rsidP="00653DE8">
      <w:pPr>
        <w:rPr>
          <w:rFonts w:ascii="Calibri" w:eastAsia="Calibri" w:hAnsi="Calibri" w:cs="Calibri"/>
          <w:color w:val="000000"/>
          <w:szCs w:val="20"/>
          <w:lang w:eastAsia="en-AU"/>
        </w:rPr>
      </w:pPr>
      <w:r>
        <w:rPr>
          <w:rFonts w:ascii="Calibri" w:eastAsia="Calibri" w:hAnsi="Calibri" w:cs="Calibri"/>
          <w:color w:val="000000"/>
          <w:szCs w:val="20"/>
          <w:lang w:eastAsia="en-AU"/>
        </w:rPr>
        <w:t>Section 59 restricts the taking of identification material, requiring police officers at or above the rank of sergeant to take identification material from a person detained under a preventative detention order only if the person consents in writing or the officer believes on reasonable grounds that it is necessary to confirm the person’s identity is as stated in a preventative detention order. A police officer may use force that is reasonably necessary to take identification material, and there are additional protections for persons with impaired decision-making ability.</w:t>
      </w:r>
    </w:p>
    <w:p w14:paraId="2C20E96D" w14:textId="77777777" w:rsidR="00653DE8" w:rsidRDefault="00653DE8" w:rsidP="00653DE8">
      <w:pPr>
        <w:rPr>
          <w:rFonts w:ascii="Calibri" w:eastAsia="Calibri" w:hAnsi="Calibri" w:cs="Calibri"/>
          <w:color w:val="000000"/>
          <w:szCs w:val="20"/>
          <w:lang w:eastAsia="en-AU"/>
        </w:rPr>
      </w:pPr>
      <w:r>
        <w:rPr>
          <w:rFonts w:ascii="Calibri" w:eastAsia="Calibri" w:hAnsi="Calibri" w:cs="Calibri"/>
          <w:color w:val="000000"/>
          <w:szCs w:val="20"/>
          <w:lang w:eastAsia="en-AU"/>
        </w:rPr>
        <w:t xml:space="preserve">It is an offence under section 60 of the Act to use any identification material taken under section 59 for a </w:t>
      </w:r>
      <w:r w:rsidRPr="002C222D">
        <w:rPr>
          <w:rFonts w:ascii="Calibri" w:eastAsia="Calibri" w:hAnsi="Calibri" w:cs="Calibri"/>
          <w:color w:val="000000"/>
          <w:szCs w:val="20"/>
          <w:lang w:eastAsia="en-AU"/>
        </w:rPr>
        <w:t>purpose other than deciding whether the detained person is the person stated in the order.</w:t>
      </w:r>
      <w:r>
        <w:rPr>
          <w:rFonts w:ascii="Calibri" w:eastAsia="Calibri" w:hAnsi="Calibri" w:cs="Calibri"/>
          <w:color w:val="000000"/>
          <w:szCs w:val="20"/>
          <w:lang w:eastAsia="en-AU"/>
        </w:rPr>
        <w:t xml:space="preserve"> Any taken identification material must be destroyed after any relevant proceedings are finalised or after one year.</w:t>
      </w:r>
    </w:p>
    <w:p w14:paraId="05A7CA66" w14:textId="7361AC24" w:rsidR="00653DE8" w:rsidRDefault="00653DE8" w:rsidP="00653DE8">
      <w:pPr>
        <w:rPr>
          <w:rFonts w:ascii="Calibri" w:eastAsia="Calibri" w:hAnsi="Calibri" w:cs="Calibri"/>
          <w:color w:val="000000"/>
          <w:szCs w:val="20"/>
          <w:lang w:eastAsia="en-AU"/>
        </w:rPr>
      </w:pPr>
      <w:r>
        <w:rPr>
          <w:rFonts w:ascii="Calibri" w:eastAsia="Calibri" w:hAnsi="Calibri" w:cs="Calibri"/>
          <w:color w:val="000000"/>
          <w:szCs w:val="20"/>
          <w:lang w:eastAsia="en-AU"/>
        </w:rPr>
        <w:lastRenderedPageBreak/>
        <w:t xml:space="preserve">The Bill will amend these sections by allowing a police officer to take identification material, without the </w:t>
      </w:r>
      <w:proofErr w:type="gramStart"/>
      <w:r>
        <w:rPr>
          <w:rFonts w:ascii="Calibri" w:eastAsia="Calibri" w:hAnsi="Calibri" w:cs="Calibri"/>
          <w:color w:val="000000"/>
          <w:szCs w:val="20"/>
          <w:lang w:eastAsia="en-AU"/>
        </w:rPr>
        <w:t>detainees</w:t>
      </w:r>
      <w:proofErr w:type="gramEnd"/>
      <w:r>
        <w:rPr>
          <w:rFonts w:ascii="Calibri" w:eastAsia="Calibri" w:hAnsi="Calibri" w:cs="Calibri"/>
          <w:color w:val="000000"/>
          <w:szCs w:val="20"/>
          <w:lang w:eastAsia="en-AU"/>
        </w:rPr>
        <w:t xml:space="preserve"> consent, to ‘record any illness or injury that the person suffered while detained under the order’. Identification material taken for this purpose can then be used in a complaint, an investigation or a proceeding that relates to the person’s apprehension or detention’. By enhancing the circumstances in which identification material m</w:t>
      </w:r>
      <w:r w:rsidR="007E7279">
        <w:rPr>
          <w:rFonts w:ascii="Calibri" w:eastAsia="Calibri" w:hAnsi="Calibri" w:cs="Calibri"/>
          <w:color w:val="000000"/>
          <w:szCs w:val="20"/>
          <w:lang w:eastAsia="en-AU"/>
        </w:rPr>
        <w:t>a</w:t>
      </w:r>
      <w:r>
        <w:rPr>
          <w:rFonts w:ascii="Calibri" w:eastAsia="Calibri" w:hAnsi="Calibri" w:cs="Calibri"/>
          <w:color w:val="000000"/>
          <w:szCs w:val="20"/>
          <w:lang w:eastAsia="en-AU"/>
        </w:rPr>
        <w:t>y be taken and used the Bill may therefore limit the protection of privacy provided by section 12 of the HRA.</w:t>
      </w:r>
    </w:p>
    <w:p w14:paraId="110C6FB1" w14:textId="77777777" w:rsidR="00653DE8" w:rsidRDefault="00653DE8" w:rsidP="00653DE8">
      <w:pPr>
        <w:rPr>
          <w:rFonts w:ascii="Calibri" w:eastAsia="Calibri" w:hAnsi="Calibri" w:cs="Calibri"/>
          <w:color w:val="000000"/>
          <w:szCs w:val="20"/>
          <w:lang w:eastAsia="en-AU"/>
        </w:rPr>
      </w:pPr>
      <w:r>
        <w:rPr>
          <w:rFonts w:ascii="Calibri" w:eastAsia="Calibri" w:hAnsi="Calibri" w:cs="Calibri"/>
          <w:color w:val="000000"/>
          <w:szCs w:val="20"/>
          <w:lang w:eastAsia="en-AU"/>
        </w:rPr>
        <w:t xml:space="preserve">The explanatory statement accompanying the Bill recognises this potential limitation. It is justified using the framework set out in section 28 of the HRA as a reasonable means ‘to </w:t>
      </w:r>
      <w:r w:rsidRPr="00E87CF6">
        <w:rPr>
          <w:rFonts w:ascii="Calibri" w:eastAsia="Calibri" w:hAnsi="Calibri" w:cs="Calibri"/>
          <w:color w:val="000000"/>
          <w:szCs w:val="20"/>
          <w:lang w:eastAsia="en-AU"/>
        </w:rPr>
        <w:t>protect the welfare of any individual that may be detained by police under the TETP Act and enhance police accountability, through the recording of any illness or injury suffered while a person is detained in custody</w:t>
      </w:r>
      <w:r>
        <w:rPr>
          <w:rFonts w:ascii="Calibri" w:eastAsia="Calibri" w:hAnsi="Calibri" w:cs="Calibri"/>
          <w:color w:val="000000"/>
          <w:szCs w:val="20"/>
          <w:lang w:eastAsia="en-AU"/>
        </w:rPr>
        <w:t xml:space="preserve">’. However, the Committee is concerned that there may be a less restrictive means available to achieve this objective. </w:t>
      </w:r>
    </w:p>
    <w:p w14:paraId="25259B77" w14:textId="77777777" w:rsidR="00653DE8" w:rsidRDefault="00653DE8" w:rsidP="00653DE8">
      <w:pPr>
        <w:rPr>
          <w:rFonts w:ascii="Calibri" w:eastAsia="Calibri" w:hAnsi="Calibri" w:cs="Calibri"/>
          <w:color w:val="000000"/>
          <w:szCs w:val="20"/>
          <w:lang w:eastAsia="en-AU"/>
        </w:rPr>
      </w:pPr>
      <w:r>
        <w:rPr>
          <w:rFonts w:ascii="Calibri" w:eastAsia="Calibri" w:hAnsi="Calibri" w:cs="Calibri"/>
          <w:color w:val="000000"/>
          <w:szCs w:val="20"/>
          <w:lang w:eastAsia="en-AU"/>
        </w:rPr>
        <w:t xml:space="preserve">The Bill will allow the taking of photographs, including video recordings, of persons detained under the Act where the police officer believes it is necessary to record any illness or injury. Force can be used for this purpose. The provision is permissive – there is no requirement for material to be taken where a person suffers an injury or illness while in detention. The material can be used in a complaint, an investigation or a proceeding that relates to the person’s apprehension or detention. It is not required that the person agrees to the taking or use of the material, or that any material taken be made available to the person or necessarily provided for use in any complaint, investigation or proceeding. It may be possible, therefore, for the material to be taken for the purposes of identifying the limits or absence of any injury or illness or defending against any potential proceedings that may be brought. </w:t>
      </w:r>
    </w:p>
    <w:p w14:paraId="2EC9E69E" w14:textId="77777777" w:rsidR="00653DE8" w:rsidRDefault="00653DE8" w:rsidP="00653DE8">
      <w:pPr>
        <w:rPr>
          <w:rFonts w:ascii="Calibri" w:eastAsia="Calibri" w:hAnsi="Calibri" w:cs="Calibri"/>
          <w:color w:val="000000"/>
          <w:szCs w:val="20"/>
          <w:lang w:eastAsia="en-AU"/>
        </w:rPr>
      </w:pPr>
      <w:r>
        <w:rPr>
          <w:rFonts w:ascii="Calibri" w:eastAsia="Calibri" w:hAnsi="Calibri" w:cs="Calibri"/>
          <w:color w:val="000000"/>
          <w:szCs w:val="20"/>
          <w:lang w:eastAsia="en-AU"/>
        </w:rPr>
        <w:t>The Committee also notes that, given the different terminology used, it is not clear whether the proceedings in which the material can be used will in all cases be the same as the relevant proceedings, if brought within one year, for which the material must be preserved. The Committee is also unclear how the amendments will operate with section 58 of the Act, which allows the asking of questions of detainees to ensure their safety and wellbeing but requires a video or audio recording to be made of the questioning and which must be kept for one year. Schedule 1 of the Act, which provides restrictions and protections in relation to the conduct of personal searches, including the removal of clothing, does not apply to the amendments.</w:t>
      </w:r>
    </w:p>
    <w:p w14:paraId="12A112B1" w14:textId="77777777" w:rsidR="00653DE8" w:rsidRDefault="00653DE8" w:rsidP="00653DE8">
      <w:pPr>
        <w:rPr>
          <w:rFonts w:ascii="Calibri" w:eastAsia="Calibri" w:hAnsi="Calibri" w:cs="Calibri"/>
          <w:color w:val="000000"/>
          <w:szCs w:val="20"/>
          <w:lang w:eastAsia="en-AU"/>
        </w:rPr>
      </w:pPr>
      <w:r>
        <w:rPr>
          <w:rFonts w:ascii="Calibri" w:eastAsia="Calibri" w:hAnsi="Calibri" w:cs="Calibri"/>
          <w:color w:val="000000"/>
          <w:szCs w:val="20"/>
          <w:lang w:eastAsia="en-AU"/>
        </w:rPr>
        <w:t>The explanatory statement describes policy and practices of ACT Policing to protect individuals who suffer an injury or illness:</w:t>
      </w:r>
    </w:p>
    <w:p w14:paraId="4856DB3B" w14:textId="77777777" w:rsidR="00653DE8" w:rsidRPr="00F90AD4" w:rsidRDefault="00653DE8" w:rsidP="00653DE8">
      <w:pPr>
        <w:ind w:left="720"/>
        <w:rPr>
          <w:rFonts w:ascii="Calibri" w:eastAsia="Calibri" w:hAnsi="Calibri" w:cs="Calibri"/>
          <w:color w:val="000000"/>
          <w:szCs w:val="20"/>
          <w:lang w:eastAsia="en-AU"/>
        </w:rPr>
      </w:pPr>
      <w:r w:rsidRPr="00F90AD4">
        <w:rPr>
          <w:rFonts w:ascii="Calibri" w:eastAsia="Calibri" w:hAnsi="Calibri" w:cs="Calibri"/>
          <w:color w:val="000000"/>
          <w:szCs w:val="20"/>
          <w:lang w:eastAsia="en-AU"/>
        </w:rPr>
        <w:t>ACT Policing processes require officers to undertake assessments on the intake of a detainee into custody. Officers are required to regularly check on detainees in custody to ensure their wellbeing and safety. A nurse is also present or on call to provide medical assistance for any detainees who may suffer an injury or illness in detention, with the ACT Ambulance Service being called on a case-by-case basis. These processes act as safeguards to ensure detainees are given appropriate care and treatment while in custody.</w:t>
      </w:r>
    </w:p>
    <w:p w14:paraId="4725327C" w14:textId="77777777" w:rsidR="00653DE8" w:rsidRDefault="00653DE8" w:rsidP="00653DE8">
      <w:pPr>
        <w:ind w:left="720"/>
        <w:rPr>
          <w:rFonts w:ascii="Calibri" w:eastAsia="Calibri" w:hAnsi="Calibri" w:cs="Calibri"/>
          <w:color w:val="000000"/>
          <w:szCs w:val="20"/>
          <w:lang w:eastAsia="en-AU"/>
        </w:rPr>
      </w:pPr>
      <w:r w:rsidRPr="00F90AD4">
        <w:rPr>
          <w:rFonts w:ascii="Calibri" w:eastAsia="Calibri" w:hAnsi="Calibri" w:cs="Calibri"/>
          <w:color w:val="000000"/>
          <w:szCs w:val="20"/>
          <w:lang w:eastAsia="en-AU"/>
        </w:rPr>
        <w:t>Appropriate processes are also in place where it may be necessary for a detainee’s clothing to be removed for recording an illness or injury. This will not be undertaken without medical professionals from the ACT Ambulance Service present and/or the stationed ACT Watch House nurse. The removal of a detainee’s clothing is only undertaken by police if it is for the purposes of preventing or responding to immediate potential instances of self-harm of the detainee.</w:t>
      </w:r>
    </w:p>
    <w:p w14:paraId="790EA6E5" w14:textId="77777777" w:rsidR="00653DE8" w:rsidRDefault="00653DE8" w:rsidP="00653DE8">
      <w:pPr>
        <w:rPr>
          <w:rFonts w:ascii="Calibri" w:eastAsia="Calibri" w:hAnsi="Calibri" w:cs="Calibri"/>
          <w:color w:val="000000"/>
          <w:szCs w:val="20"/>
          <w:lang w:eastAsia="en-AU"/>
        </w:rPr>
      </w:pPr>
      <w:r>
        <w:rPr>
          <w:rFonts w:ascii="Calibri" w:eastAsia="Calibri" w:hAnsi="Calibri" w:cs="Calibri"/>
          <w:color w:val="000000"/>
          <w:szCs w:val="20"/>
          <w:lang w:eastAsia="en-AU"/>
        </w:rPr>
        <w:lastRenderedPageBreak/>
        <w:t>The Committee is concerned that these policies and practices are not reflected in, and may potentially be inconsistent with, the amendment.</w:t>
      </w:r>
    </w:p>
    <w:p w14:paraId="422595F4" w14:textId="77777777" w:rsidR="00653DE8" w:rsidRDefault="00653DE8" w:rsidP="00653DE8">
      <w:pPr>
        <w:rPr>
          <w:rFonts w:ascii="Calibri" w:eastAsia="Calibri" w:hAnsi="Calibri" w:cs="Calibri"/>
          <w:color w:val="000000"/>
          <w:szCs w:val="20"/>
          <w:lang w:eastAsia="en-AU"/>
        </w:rPr>
      </w:pPr>
      <w:r>
        <w:rPr>
          <w:rFonts w:ascii="Calibri" w:eastAsia="Calibri" w:hAnsi="Calibri" w:cs="Calibri"/>
          <w:color w:val="000000"/>
          <w:szCs w:val="20"/>
          <w:lang w:eastAsia="en-AU"/>
        </w:rPr>
        <w:t xml:space="preserve">In the Committee’s view, current provisions in the Act relating to the taking of identifying material are appropriately limited to material which is directly related to identifying the individual concerned. The use of material to record injury or illness of detainees should be more clearly restricted to protecting individuals who suffer that illness or injury while being detained under the Act. The Committee therefore requests further information on why further protections are not reasonably available in achieving the legitimate objectives of this amendment. </w:t>
      </w:r>
    </w:p>
    <w:p w14:paraId="36F687BC" w14:textId="77777777" w:rsidR="00653DE8" w:rsidRPr="00E83C75" w:rsidRDefault="00653DE8" w:rsidP="00653DE8">
      <w:pPr>
        <w:pStyle w:val="Bodycopy"/>
        <w:spacing w:line="280" w:lineRule="exact"/>
        <w:rPr>
          <w:b/>
        </w:rPr>
      </w:pPr>
      <w:r w:rsidRPr="00E83C75">
        <w:rPr>
          <w:b/>
        </w:rPr>
        <w:t>The Committee draws th</w:t>
      </w:r>
      <w:r>
        <w:rPr>
          <w:b/>
        </w:rPr>
        <w:t>is</w:t>
      </w:r>
      <w:r w:rsidRPr="00E83C75">
        <w:rPr>
          <w:b/>
        </w:rPr>
        <w:t xml:space="preserve"> matter to the attention of the Assembly, and asks the Minister to respond</w:t>
      </w:r>
      <w:r>
        <w:rPr>
          <w:b/>
        </w:rPr>
        <w:t xml:space="preserve"> prior to the Bill being debated</w:t>
      </w:r>
      <w:r w:rsidRPr="00E83C75">
        <w:rPr>
          <w:b/>
        </w:rPr>
        <w:t>.</w:t>
      </w:r>
    </w:p>
    <w:p w14:paraId="3A3D8E25" w14:textId="77777777" w:rsidR="000E2418" w:rsidRPr="003F24F6" w:rsidRDefault="000E2418" w:rsidP="00382F85">
      <w:pPr>
        <w:pStyle w:val="Heading2"/>
      </w:pPr>
      <w:bookmarkStart w:id="571" w:name="_Toc103682613"/>
      <w:r w:rsidRPr="003F24F6">
        <w:t>Subordinate Legislation</w:t>
      </w:r>
      <w:bookmarkEnd w:id="563"/>
      <w:bookmarkEnd w:id="571"/>
    </w:p>
    <w:p w14:paraId="6682EB8B" w14:textId="77777777" w:rsidR="000E2418" w:rsidRPr="003F24F6" w:rsidRDefault="000E2418" w:rsidP="003F24F6">
      <w:pPr>
        <w:pStyle w:val="Heading3"/>
      </w:pPr>
      <w:bookmarkStart w:id="572" w:name="_Toc103682614"/>
      <w:r w:rsidRPr="003F24F6">
        <w:t>Disallowable Instruments—No comment</w:t>
      </w:r>
      <w:bookmarkEnd w:id="572"/>
    </w:p>
    <w:p w14:paraId="63272747" w14:textId="77777777" w:rsidR="004B2251" w:rsidRPr="001C3BD7" w:rsidRDefault="004B2251" w:rsidP="004B2251">
      <w:pPr>
        <w:pStyle w:val="Paper"/>
        <w:spacing w:before="240" w:line="280" w:lineRule="exact"/>
        <w:rPr>
          <w:rFonts w:ascii="Calibri" w:hAnsi="Calibri"/>
          <w:sz w:val="22"/>
          <w:szCs w:val="22"/>
        </w:rPr>
      </w:pPr>
      <w:bookmarkStart w:id="573" w:name="_Hlk520740695"/>
      <w:r w:rsidRPr="00EE7EB9">
        <w:rPr>
          <w:rFonts w:ascii="Calibri" w:hAnsi="Calibri"/>
          <w:sz w:val="22"/>
          <w:szCs w:val="22"/>
        </w:rPr>
        <w:t>The Committee has examined the following disallowable instruments and has no comments on them:</w:t>
      </w:r>
      <w:bookmarkEnd w:id="573"/>
    </w:p>
    <w:p w14:paraId="701AA9E7" w14:textId="77777777" w:rsidR="004B2251" w:rsidRPr="00842199" w:rsidRDefault="004B2251" w:rsidP="003F24F6">
      <w:pPr>
        <w:pStyle w:val="Bodycopy"/>
        <w:numPr>
          <w:ilvl w:val="0"/>
          <w:numId w:val="27"/>
        </w:numPr>
        <w:spacing w:before="200" w:after="0" w:line="280" w:lineRule="exact"/>
        <w:rPr>
          <w:b/>
        </w:rPr>
      </w:pPr>
      <w:r>
        <w:rPr>
          <w:b/>
        </w:rPr>
        <w:t>Disallowable Instrument</w:t>
      </w:r>
      <w:r w:rsidRPr="00451C85">
        <w:rPr>
          <w:b/>
        </w:rPr>
        <w:t xml:space="preserve"> </w:t>
      </w:r>
      <w:r>
        <w:rPr>
          <w:b/>
        </w:rPr>
        <w:t>DI2022-29</w:t>
      </w:r>
      <w:r w:rsidRPr="00451C85">
        <w:rPr>
          <w:b/>
        </w:rPr>
        <w:t xml:space="preserve"> being the </w:t>
      </w:r>
      <w:r>
        <w:rPr>
          <w:b/>
        </w:rPr>
        <w:t>Official Visitor (Disability Services) Appointment 2022 (No 1) made under s. 10(1</w:t>
      </w:r>
      <w:proofErr w:type="gramStart"/>
      <w:r>
        <w:rPr>
          <w:b/>
        </w:rPr>
        <w:t>)(</w:t>
      </w:r>
      <w:proofErr w:type="gramEnd"/>
      <w:r>
        <w:rPr>
          <w:b/>
        </w:rPr>
        <w:t xml:space="preserve">c) (Appointment) </w:t>
      </w:r>
      <w:r>
        <w:rPr>
          <w:i/>
        </w:rPr>
        <w:t>Official Visitor Act 2012</w:t>
      </w:r>
      <w:r w:rsidRPr="00236BDD">
        <w:rPr>
          <w:b/>
        </w:rPr>
        <w:t xml:space="preserve"> </w:t>
      </w:r>
      <w:r>
        <w:rPr>
          <w:b/>
        </w:rPr>
        <w:t xml:space="preserve">appoints a specified person as an official visitor for the purposes of the Disability Services Act 1991 for 3 years. </w:t>
      </w:r>
    </w:p>
    <w:p w14:paraId="49F4FE53" w14:textId="77777777" w:rsidR="004B2251" w:rsidRPr="00842199" w:rsidRDefault="004B2251" w:rsidP="003F24F6">
      <w:pPr>
        <w:pStyle w:val="Bodycopy"/>
        <w:numPr>
          <w:ilvl w:val="0"/>
          <w:numId w:val="27"/>
        </w:numPr>
        <w:spacing w:before="200" w:after="0" w:line="280" w:lineRule="exact"/>
        <w:rPr>
          <w:b/>
        </w:rPr>
      </w:pPr>
      <w:r>
        <w:rPr>
          <w:b/>
        </w:rPr>
        <w:t>Disallowable Instrument</w:t>
      </w:r>
      <w:r w:rsidRPr="00451C85">
        <w:rPr>
          <w:b/>
        </w:rPr>
        <w:t xml:space="preserve"> </w:t>
      </w:r>
      <w:r>
        <w:rPr>
          <w:b/>
        </w:rPr>
        <w:t>DI2022-30</w:t>
      </w:r>
      <w:r w:rsidRPr="00451C85">
        <w:rPr>
          <w:b/>
        </w:rPr>
        <w:t xml:space="preserve"> being the </w:t>
      </w:r>
      <w:r>
        <w:rPr>
          <w:b/>
        </w:rPr>
        <w:t xml:space="preserve">Legal Aid (Commissioner—Law Society Nominee) Appointment 2022 made under s 16 (Constitution of board) </w:t>
      </w:r>
      <w:r>
        <w:rPr>
          <w:i/>
        </w:rPr>
        <w:t>Legal Aid Act 1977</w:t>
      </w:r>
      <w:r w:rsidRPr="00236BDD">
        <w:rPr>
          <w:b/>
        </w:rPr>
        <w:t xml:space="preserve"> </w:t>
      </w:r>
      <w:r>
        <w:rPr>
          <w:b/>
        </w:rPr>
        <w:t xml:space="preserve">appoints a specified person as a part-time member and commissioner of the Board of the Legal Aid Commission, nominated by the Council of the Law Society of the ACT, for the period of three years. </w:t>
      </w:r>
    </w:p>
    <w:p w14:paraId="56CD9649" w14:textId="77777777" w:rsidR="004B2251" w:rsidRPr="00842199" w:rsidRDefault="004B2251" w:rsidP="003F24F6">
      <w:pPr>
        <w:pStyle w:val="Bodycopy"/>
        <w:numPr>
          <w:ilvl w:val="0"/>
          <w:numId w:val="27"/>
        </w:numPr>
        <w:spacing w:before="200" w:after="0" w:line="280" w:lineRule="exact"/>
        <w:rPr>
          <w:b/>
        </w:rPr>
      </w:pPr>
      <w:r>
        <w:rPr>
          <w:b/>
        </w:rPr>
        <w:t>Disallowable Instrument</w:t>
      </w:r>
      <w:r w:rsidRPr="00451C85">
        <w:rPr>
          <w:b/>
        </w:rPr>
        <w:t xml:space="preserve"> </w:t>
      </w:r>
      <w:r>
        <w:rPr>
          <w:b/>
        </w:rPr>
        <w:t>DI2022-32</w:t>
      </w:r>
      <w:r w:rsidRPr="00451C85">
        <w:rPr>
          <w:b/>
        </w:rPr>
        <w:t xml:space="preserve"> being the </w:t>
      </w:r>
      <w:r>
        <w:rPr>
          <w:b/>
        </w:rPr>
        <w:t xml:space="preserve">Taxation Administration (Amounts Payable—Utilities (Network Facilities Tax)) Determination 2022 made under section 139 of the </w:t>
      </w:r>
      <w:r>
        <w:rPr>
          <w:i/>
        </w:rPr>
        <w:t>Taxation Administration Act 1999</w:t>
      </w:r>
      <w:r w:rsidRPr="00236BDD">
        <w:rPr>
          <w:b/>
        </w:rPr>
        <w:t xml:space="preserve"> </w:t>
      </w:r>
      <w:r>
        <w:rPr>
          <w:b/>
        </w:rPr>
        <w:t xml:space="preserve">revokes DI2021-46 and determines the rate for section 8 of the Utilities (Network Facilities Tax) Act 2006 for the year ending 31 March 2022. </w:t>
      </w:r>
    </w:p>
    <w:p w14:paraId="280B4A15" w14:textId="77777777" w:rsidR="004B2251" w:rsidRPr="00842199" w:rsidRDefault="004B2251" w:rsidP="003F24F6">
      <w:pPr>
        <w:pStyle w:val="Bodycopy"/>
        <w:numPr>
          <w:ilvl w:val="0"/>
          <w:numId w:val="27"/>
        </w:numPr>
        <w:spacing w:before="200" w:after="0" w:line="280" w:lineRule="exact"/>
        <w:rPr>
          <w:b/>
        </w:rPr>
      </w:pPr>
      <w:r>
        <w:rPr>
          <w:b/>
        </w:rPr>
        <w:t>Disallowable Instrument</w:t>
      </w:r>
      <w:r w:rsidRPr="00451C85">
        <w:rPr>
          <w:b/>
        </w:rPr>
        <w:t xml:space="preserve"> </w:t>
      </w:r>
      <w:r>
        <w:rPr>
          <w:b/>
        </w:rPr>
        <w:t>DI2022-34</w:t>
      </w:r>
      <w:r w:rsidRPr="00451C85">
        <w:rPr>
          <w:b/>
        </w:rPr>
        <w:t xml:space="preserve"> being the </w:t>
      </w:r>
      <w:r>
        <w:rPr>
          <w:b/>
        </w:rPr>
        <w:t xml:space="preserve">Gaming Machine (Authorisation Surrender - Fee Waiver) Determination 2022 (No 1) made under section 177 of the </w:t>
      </w:r>
      <w:r>
        <w:rPr>
          <w:i/>
        </w:rPr>
        <w:t>Gaming Machine Act 2004</w:t>
      </w:r>
      <w:r w:rsidRPr="00236BDD">
        <w:rPr>
          <w:b/>
        </w:rPr>
        <w:t xml:space="preserve"> </w:t>
      </w:r>
      <w:r>
        <w:rPr>
          <w:b/>
        </w:rPr>
        <w:t xml:space="preserve">waives the fees listed in the schedule where the matter for which the fee is payable is undertaken as a result of the surrender of a gaming machine authorisation to receive an incentive payment under the ACT Government's Gaming Machine Authorisation Surrender Incentive 2022. </w:t>
      </w:r>
    </w:p>
    <w:p w14:paraId="5425E01E" w14:textId="5D9B5B7D" w:rsidR="004B2251" w:rsidRPr="00842199" w:rsidRDefault="004B2251" w:rsidP="003F24F6">
      <w:pPr>
        <w:pStyle w:val="Bodycopy"/>
        <w:numPr>
          <w:ilvl w:val="0"/>
          <w:numId w:val="27"/>
        </w:numPr>
        <w:spacing w:before="200" w:after="0" w:line="280" w:lineRule="exact"/>
        <w:rPr>
          <w:b/>
        </w:rPr>
      </w:pPr>
      <w:r>
        <w:rPr>
          <w:b/>
        </w:rPr>
        <w:t>Disallowable Instrument</w:t>
      </w:r>
      <w:r w:rsidRPr="00451C85">
        <w:rPr>
          <w:b/>
        </w:rPr>
        <w:t xml:space="preserve"> </w:t>
      </w:r>
      <w:r>
        <w:rPr>
          <w:b/>
        </w:rPr>
        <w:t>DI2022-35</w:t>
      </w:r>
      <w:r w:rsidRPr="00451C85">
        <w:rPr>
          <w:b/>
        </w:rPr>
        <w:t xml:space="preserve"> being the </w:t>
      </w:r>
      <w:r>
        <w:rPr>
          <w:b/>
        </w:rPr>
        <w:t>Public Health (Fees) Determination 2022 (No</w:t>
      </w:r>
      <w:r w:rsidR="00551A62">
        <w:rPr>
          <w:b/>
        </w:rPr>
        <w:t> </w:t>
      </w:r>
      <w:r>
        <w:rPr>
          <w:b/>
        </w:rPr>
        <w:t xml:space="preserve">1) made under section 137 of the </w:t>
      </w:r>
      <w:r>
        <w:rPr>
          <w:i/>
        </w:rPr>
        <w:t>Public Health Act 1997</w:t>
      </w:r>
      <w:r w:rsidRPr="00236BDD">
        <w:rPr>
          <w:b/>
        </w:rPr>
        <w:t xml:space="preserve"> </w:t>
      </w:r>
      <w:r>
        <w:rPr>
          <w:b/>
        </w:rPr>
        <w:t>revokes and replaces DI2021</w:t>
      </w:r>
      <w:r w:rsidR="00E7606E">
        <w:rPr>
          <w:b/>
        </w:rPr>
        <w:noBreakHyphen/>
      </w:r>
      <w:r>
        <w:rPr>
          <w:b/>
        </w:rPr>
        <w:t xml:space="preserve">262 and determines fees payable for the purposes of the Act (Schedules 1 to 5). </w:t>
      </w:r>
    </w:p>
    <w:p w14:paraId="4C13CC98" w14:textId="77777777" w:rsidR="004B2251" w:rsidRPr="00842199" w:rsidRDefault="004B2251" w:rsidP="004B2251">
      <w:pPr>
        <w:pStyle w:val="Bodycopy"/>
        <w:spacing w:after="0" w:line="280" w:lineRule="exact"/>
        <w:rPr>
          <w:b/>
        </w:rPr>
      </w:pPr>
    </w:p>
    <w:p w14:paraId="2E9CBA10" w14:textId="77777777" w:rsidR="004B2251" w:rsidRDefault="004B2251" w:rsidP="004B2251">
      <w:pPr>
        <w:widowControl w:val="0"/>
        <w:spacing w:before="120" w:after="120"/>
        <w:outlineLvl w:val="2"/>
        <w:rPr>
          <w:rFonts w:ascii="Arial Narrow" w:hAnsi="Arial Narrow" w:cs="Arial"/>
          <w:smallCaps/>
          <w:sz w:val="30"/>
          <w:szCs w:val="30"/>
        </w:rPr>
      </w:pPr>
    </w:p>
    <w:p w14:paraId="4D9ABF4B" w14:textId="77777777" w:rsidR="004B2251" w:rsidRPr="00D87E25" w:rsidRDefault="004B2251" w:rsidP="003F24F6">
      <w:pPr>
        <w:pStyle w:val="Heading3"/>
      </w:pPr>
      <w:bookmarkStart w:id="574" w:name="_Toc103682615"/>
      <w:r w:rsidRPr="00D87E25">
        <w:lastRenderedPageBreak/>
        <w:t>Disallowable Instruments—Comment</w:t>
      </w:r>
      <w:bookmarkEnd w:id="574"/>
    </w:p>
    <w:p w14:paraId="44A98506" w14:textId="77777777" w:rsidR="004B2251" w:rsidRDefault="004B2251" w:rsidP="004B2251">
      <w:pPr>
        <w:widowControl w:val="0"/>
        <w:tabs>
          <w:tab w:val="left" w:pos="1276"/>
        </w:tabs>
        <w:spacing w:before="120" w:after="120" w:line="300" w:lineRule="exact"/>
        <w:rPr>
          <w:rFonts w:ascii="Calibri" w:hAnsi="Calibri" w:cs="Calibri"/>
          <w:color w:val="000000"/>
        </w:rPr>
      </w:pPr>
      <w:bookmarkStart w:id="575" w:name="_Hlk93860237"/>
      <w:r w:rsidRPr="00987942">
        <w:rPr>
          <w:rFonts w:ascii="Calibri" w:hAnsi="Calibri" w:cs="Calibri"/>
          <w:color w:val="000000"/>
        </w:rPr>
        <w:t>The Committee has examined the following disallowable instrument</w:t>
      </w:r>
      <w:r>
        <w:rPr>
          <w:rFonts w:ascii="Calibri" w:hAnsi="Calibri" w:cs="Calibri"/>
          <w:color w:val="000000"/>
        </w:rPr>
        <w:t>s</w:t>
      </w:r>
      <w:r w:rsidRPr="00987942">
        <w:rPr>
          <w:rFonts w:ascii="Calibri" w:hAnsi="Calibri" w:cs="Calibri"/>
          <w:color w:val="000000"/>
        </w:rPr>
        <w:t xml:space="preserve"> and offers these comments on</w:t>
      </w:r>
      <w:r>
        <w:rPr>
          <w:rFonts w:ascii="Calibri" w:hAnsi="Calibri" w:cs="Calibri"/>
          <w:color w:val="000000"/>
        </w:rPr>
        <w:t xml:space="preserve"> them</w:t>
      </w:r>
      <w:r w:rsidRPr="00987942">
        <w:rPr>
          <w:rFonts w:ascii="Calibri" w:hAnsi="Calibri" w:cs="Calibri"/>
          <w:color w:val="000000"/>
        </w:rPr>
        <w:t>:</w:t>
      </w:r>
    </w:p>
    <w:p w14:paraId="36611CC9" w14:textId="77777777" w:rsidR="004B2251" w:rsidRDefault="004B2251" w:rsidP="004B2251">
      <w:pPr>
        <w:pStyle w:val="Heading4nonumber"/>
      </w:pPr>
      <w:bookmarkStart w:id="576" w:name="_Hlk93846809"/>
      <w:bookmarkStart w:id="577" w:name="_Hlk97463781"/>
      <w:bookmarkStart w:id="578" w:name="_Hlk83120010"/>
      <w:bookmarkEnd w:id="575"/>
      <w:r>
        <w:t>Human rights Issues</w:t>
      </w:r>
      <w:bookmarkEnd w:id="576"/>
    </w:p>
    <w:bookmarkEnd w:id="577"/>
    <w:p w14:paraId="469A0A2F" w14:textId="77777777" w:rsidR="004B2251" w:rsidRPr="00842199" w:rsidRDefault="004B2251" w:rsidP="003F24F6">
      <w:pPr>
        <w:pStyle w:val="Bodycopy"/>
        <w:numPr>
          <w:ilvl w:val="0"/>
          <w:numId w:val="27"/>
        </w:numPr>
        <w:spacing w:before="200" w:after="0" w:line="280" w:lineRule="exact"/>
        <w:rPr>
          <w:b/>
        </w:rPr>
      </w:pPr>
      <w:r>
        <w:rPr>
          <w:b/>
        </w:rPr>
        <w:t>Disallowable Instrument</w:t>
      </w:r>
      <w:r w:rsidRPr="00451C85">
        <w:rPr>
          <w:b/>
        </w:rPr>
        <w:t xml:space="preserve"> </w:t>
      </w:r>
      <w:r>
        <w:rPr>
          <w:b/>
        </w:rPr>
        <w:t>DI2022-33</w:t>
      </w:r>
      <w:r w:rsidRPr="00451C85">
        <w:rPr>
          <w:b/>
        </w:rPr>
        <w:t xml:space="preserve"> being the </w:t>
      </w:r>
      <w:r>
        <w:rPr>
          <w:b/>
        </w:rPr>
        <w:t xml:space="preserve">Road Transport (General) Application of Road Transport Legislation Declaration 2022 (No 4) made under section 13 of the </w:t>
      </w:r>
      <w:r>
        <w:rPr>
          <w:i/>
        </w:rPr>
        <w:t>Road Transport (General) Act 1999</w:t>
      </w:r>
      <w:r w:rsidRPr="00236BDD">
        <w:rPr>
          <w:b/>
        </w:rPr>
        <w:t xml:space="preserve"> </w:t>
      </w:r>
      <w:r>
        <w:rPr>
          <w:b/>
        </w:rPr>
        <w:t xml:space="preserve">determines that certain parts of the road transport legislation do not apply to a designated vehicle, or the driver of a designated vehicle, participating in a special stage of the </w:t>
      </w:r>
      <w:proofErr w:type="spellStart"/>
      <w:r>
        <w:rPr>
          <w:b/>
        </w:rPr>
        <w:t>Netier</w:t>
      </w:r>
      <w:proofErr w:type="spellEnd"/>
      <w:r>
        <w:rPr>
          <w:b/>
        </w:rPr>
        <w:t xml:space="preserve"> National Capital Rally 2022. </w:t>
      </w:r>
    </w:p>
    <w:p w14:paraId="1E858BA3" w14:textId="3894E1B8" w:rsidR="004B2251" w:rsidRPr="00F42516" w:rsidRDefault="004B2251" w:rsidP="004B2251">
      <w:pPr>
        <w:keepLines/>
        <w:widowControl w:val="0"/>
        <w:tabs>
          <w:tab w:val="left" w:pos="1276"/>
        </w:tabs>
        <w:spacing w:before="120" w:after="120" w:line="300" w:lineRule="exact"/>
        <w:rPr>
          <w:rFonts w:cstheme="minorHAnsi"/>
          <w:bCs/>
        </w:rPr>
      </w:pPr>
      <w:r w:rsidRPr="00F42516">
        <w:rPr>
          <w:rFonts w:cstheme="minorHAnsi"/>
          <w:bCs/>
        </w:rPr>
        <w:t>Th</w:t>
      </w:r>
      <w:r>
        <w:rPr>
          <w:rFonts w:cstheme="minorHAnsi"/>
          <w:bCs/>
        </w:rPr>
        <w:t>is</w:t>
      </w:r>
      <w:r w:rsidRPr="00F42516">
        <w:rPr>
          <w:rFonts w:cstheme="minorHAnsi"/>
          <w:bCs/>
        </w:rPr>
        <w:t xml:space="preserve"> instrument</w:t>
      </w:r>
      <w:r>
        <w:rPr>
          <w:rFonts w:cstheme="minorHAnsi"/>
          <w:bCs/>
        </w:rPr>
        <w:t xml:space="preserve"> i</w:t>
      </w:r>
      <w:r w:rsidRPr="00F42516">
        <w:rPr>
          <w:rFonts w:cstheme="minorHAnsi"/>
          <w:bCs/>
        </w:rPr>
        <w:t xml:space="preserve">s made under section 13 of the </w:t>
      </w:r>
      <w:r w:rsidRPr="00F42516">
        <w:rPr>
          <w:rFonts w:cstheme="minorHAnsi"/>
          <w:bCs/>
          <w:i/>
          <w:iCs/>
        </w:rPr>
        <w:t>Road Transport (General) Act 1999</w:t>
      </w:r>
      <w:r w:rsidRPr="00F42516">
        <w:rPr>
          <w:rFonts w:cstheme="minorHAnsi"/>
          <w:bCs/>
        </w:rPr>
        <w:t>, which allows the Minister to declare that the road transport legislation, or a provision of the road transport legislation, does not apply to a vehicle, person or animal in a place or circumstance stated in the declaration. The</w:t>
      </w:r>
      <w:r>
        <w:rPr>
          <w:rFonts w:cstheme="minorHAnsi"/>
          <w:bCs/>
        </w:rPr>
        <w:t xml:space="preserve"> </w:t>
      </w:r>
      <w:r w:rsidRPr="00F42516">
        <w:rPr>
          <w:rFonts w:cstheme="minorHAnsi"/>
          <w:bCs/>
        </w:rPr>
        <w:t xml:space="preserve">instrument declares that the </w:t>
      </w:r>
      <w:r w:rsidRPr="00F42516">
        <w:rPr>
          <w:rFonts w:cstheme="minorHAnsi"/>
          <w:bCs/>
          <w:i/>
          <w:iCs/>
        </w:rPr>
        <w:t>Motor Accident Injuries Act 2019</w:t>
      </w:r>
      <w:r w:rsidRPr="00F42516">
        <w:rPr>
          <w:rFonts w:cstheme="minorHAnsi"/>
          <w:bCs/>
        </w:rPr>
        <w:t xml:space="preserve"> </w:t>
      </w:r>
      <w:r>
        <w:rPr>
          <w:rFonts w:cstheme="minorHAnsi"/>
          <w:bCs/>
        </w:rPr>
        <w:t xml:space="preserve">and various road transport regulations </w:t>
      </w:r>
      <w:r w:rsidRPr="00F42516">
        <w:rPr>
          <w:rFonts w:cstheme="minorHAnsi"/>
          <w:bCs/>
        </w:rPr>
        <w:t xml:space="preserve">do not apply in relation to the </w:t>
      </w:r>
      <w:proofErr w:type="spellStart"/>
      <w:r>
        <w:rPr>
          <w:rFonts w:cstheme="minorHAnsi"/>
          <w:bCs/>
        </w:rPr>
        <w:t>Netier</w:t>
      </w:r>
      <w:proofErr w:type="spellEnd"/>
      <w:r>
        <w:rPr>
          <w:rFonts w:cstheme="minorHAnsi"/>
          <w:bCs/>
        </w:rPr>
        <w:t xml:space="preserve"> National Capital Rally 2022</w:t>
      </w:r>
      <w:r w:rsidRPr="00F42516">
        <w:rPr>
          <w:rFonts w:cstheme="minorHAnsi"/>
          <w:bCs/>
        </w:rPr>
        <w:t xml:space="preserve">, scheduled to be held </w:t>
      </w:r>
      <w:r>
        <w:rPr>
          <w:rFonts w:cstheme="minorHAnsi"/>
          <w:bCs/>
        </w:rPr>
        <w:t xml:space="preserve">between 31 </w:t>
      </w:r>
      <w:r w:rsidRPr="00F42516">
        <w:rPr>
          <w:rFonts w:cstheme="minorHAnsi"/>
          <w:bCs/>
        </w:rPr>
        <w:t>March</w:t>
      </w:r>
      <w:r>
        <w:rPr>
          <w:rFonts w:cstheme="minorHAnsi"/>
          <w:bCs/>
        </w:rPr>
        <w:t xml:space="preserve"> and 3 April </w:t>
      </w:r>
      <w:r w:rsidRPr="00F42516">
        <w:rPr>
          <w:rFonts w:cstheme="minorHAnsi"/>
          <w:bCs/>
        </w:rPr>
        <w:t xml:space="preserve">2022.  </w:t>
      </w:r>
    </w:p>
    <w:p w14:paraId="044AA889" w14:textId="77777777" w:rsidR="004B2251" w:rsidRPr="00F42516" w:rsidRDefault="004B2251" w:rsidP="004B2251">
      <w:pPr>
        <w:keepLines/>
        <w:widowControl w:val="0"/>
        <w:tabs>
          <w:tab w:val="left" w:pos="1276"/>
        </w:tabs>
        <w:spacing w:before="120" w:after="120" w:line="300" w:lineRule="exact"/>
        <w:rPr>
          <w:rFonts w:cstheme="minorHAnsi"/>
          <w:bCs/>
        </w:rPr>
      </w:pPr>
      <w:r w:rsidRPr="00F42516">
        <w:rPr>
          <w:rFonts w:cstheme="minorHAnsi"/>
          <w:bCs/>
        </w:rPr>
        <w:t>The Committee notes that the explanatory statement for the instrument contains the following discussion of human rights issues:</w:t>
      </w:r>
    </w:p>
    <w:p w14:paraId="3F304BB6" w14:textId="77777777" w:rsidR="004B2251" w:rsidRPr="00D070E7" w:rsidRDefault="004B2251" w:rsidP="004B2251">
      <w:pPr>
        <w:keepNext/>
        <w:spacing w:before="120" w:after="120"/>
        <w:ind w:left="720"/>
        <w:rPr>
          <w:rFonts w:cstheme="minorHAnsi"/>
          <w:b/>
          <w:bCs/>
        </w:rPr>
      </w:pPr>
      <w:r w:rsidRPr="00D070E7">
        <w:rPr>
          <w:rFonts w:cstheme="minorHAnsi"/>
          <w:b/>
          <w:bCs/>
        </w:rPr>
        <w:t xml:space="preserve">Human rights implications </w:t>
      </w:r>
    </w:p>
    <w:p w14:paraId="3AD56AF2" w14:textId="77777777" w:rsidR="004B2251" w:rsidRPr="00D070E7" w:rsidRDefault="004B2251" w:rsidP="004B2251">
      <w:pPr>
        <w:keepNext/>
        <w:spacing w:before="120" w:after="120" w:line="276" w:lineRule="auto"/>
        <w:ind w:left="720"/>
        <w:rPr>
          <w:rFonts w:cstheme="minorHAnsi"/>
        </w:rPr>
      </w:pPr>
      <w:r w:rsidRPr="00D070E7">
        <w:rPr>
          <w:rFonts w:cstheme="minorHAnsi"/>
        </w:rPr>
        <w:t xml:space="preserve">During the development of this instrument, due regard was given to its effect and the operation of the rally in relation to the compatibility with human rights as set out in the </w:t>
      </w:r>
      <w:r w:rsidRPr="00D070E7">
        <w:rPr>
          <w:rFonts w:cstheme="minorHAnsi"/>
          <w:i/>
          <w:iCs/>
        </w:rPr>
        <w:t>Human Rights Act 2004</w:t>
      </w:r>
      <w:r w:rsidRPr="00D070E7">
        <w:rPr>
          <w:rFonts w:cstheme="minorHAnsi"/>
        </w:rPr>
        <w:t xml:space="preserve"> (HRA). </w:t>
      </w:r>
    </w:p>
    <w:p w14:paraId="287499FC" w14:textId="77777777" w:rsidR="004B2251" w:rsidRPr="00D070E7" w:rsidRDefault="004B2251" w:rsidP="004B2251">
      <w:pPr>
        <w:spacing w:before="120" w:after="120" w:line="276" w:lineRule="auto"/>
        <w:ind w:left="720"/>
        <w:rPr>
          <w:rFonts w:cstheme="minorHAnsi"/>
        </w:rPr>
      </w:pPr>
      <w:r w:rsidRPr="00D070E7">
        <w:rPr>
          <w:rFonts w:cstheme="minorHAnsi"/>
        </w:rPr>
        <w:t xml:space="preserve">Section 28 of the HRA provides that human rights may be subject only to reasonable limits set by laws that can be demonstrably justified in a free and democratic society. </w:t>
      </w:r>
    </w:p>
    <w:p w14:paraId="1C442ABF" w14:textId="77777777" w:rsidR="004B2251" w:rsidRPr="00D070E7" w:rsidRDefault="004B2251" w:rsidP="004B2251">
      <w:pPr>
        <w:spacing w:before="120" w:after="120" w:line="276" w:lineRule="auto"/>
        <w:ind w:left="720"/>
        <w:rPr>
          <w:rFonts w:cstheme="minorHAnsi"/>
        </w:rPr>
      </w:pPr>
      <w:r w:rsidRPr="00D070E7">
        <w:rPr>
          <w:rFonts w:cstheme="minorHAnsi"/>
        </w:rPr>
        <w:t xml:space="preserve">Section 28 (2) of the HRA provides that in deciding whether a limit on a human right is reasonable, all relevant factors must be considered, including: </w:t>
      </w:r>
    </w:p>
    <w:p w14:paraId="7E289ED3" w14:textId="77777777" w:rsidR="004B2251" w:rsidRPr="00D070E7" w:rsidRDefault="004B2251" w:rsidP="004B2251">
      <w:pPr>
        <w:spacing w:before="120" w:after="120" w:line="276" w:lineRule="auto"/>
        <w:ind w:left="720" w:firstLine="720"/>
        <w:rPr>
          <w:rFonts w:cstheme="minorHAnsi"/>
        </w:rPr>
      </w:pPr>
      <w:r w:rsidRPr="00D070E7">
        <w:rPr>
          <w:rFonts w:cstheme="minorHAnsi"/>
        </w:rPr>
        <w:t xml:space="preserve">a) </w:t>
      </w:r>
      <w:proofErr w:type="gramStart"/>
      <w:r w:rsidRPr="00D070E7">
        <w:rPr>
          <w:rFonts w:cstheme="minorHAnsi"/>
        </w:rPr>
        <w:t>the</w:t>
      </w:r>
      <w:proofErr w:type="gramEnd"/>
      <w:r w:rsidRPr="00D070E7">
        <w:rPr>
          <w:rFonts w:cstheme="minorHAnsi"/>
        </w:rPr>
        <w:t xml:space="preserve"> nature of the right affected </w:t>
      </w:r>
    </w:p>
    <w:p w14:paraId="776202C1" w14:textId="77777777" w:rsidR="004B2251" w:rsidRPr="00D070E7" w:rsidRDefault="004B2251" w:rsidP="004B2251">
      <w:pPr>
        <w:spacing w:before="120" w:after="120" w:line="276" w:lineRule="auto"/>
        <w:ind w:left="720" w:firstLine="720"/>
        <w:rPr>
          <w:rFonts w:cstheme="minorHAnsi"/>
        </w:rPr>
      </w:pPr>
      <w:r w:rsidRPr="00D070E7">
        <w:rPr>
          <w:rFonts w:cstheme="minorHAnsi"/>
        </w:rPr>
        <w:t xml:space="preserve">b) </w:t>
      </w:r>
      <w:proofErr w:type="gramStart"/>
      <w:r w:rsidRPr="00D070E7">
        <w:rPr>
          <w:rFonts w:cstheme="minorHAnsi"/>
        </w:rPr>
        <w:t>the</w:t>
      </w:r>
      <w:proofErr w:type="gramEnd"/>
      <w:r w:rsidRPr="00D070E7">
        <w:rPr>
          <w:rFonts w:cstheme="minorHAnsi"/>
        </w:rPr>
        <w:t xml:space="preserve"> importance of the limitation </w:t>
      </w:r>
    </w:p>
    <w:p w14:paraId="06109AEE" w14:textId="77777777" w:rsidR="004B2251" w:rsidRPr="00D070E7" w:rsidRDefault="004B2251" w:rsidP="004B2251">
      <w:pPr>
        <w:spacing w:before="120" w:after="120" w:line="276" w:lineRule="auto"/>
        <w:ind w:left="720" w:firstLine="720"/>
        <w:rPr>
          <w:rFonts w:cstheme="minorHAnsi"/>
        </w:rPr>
      </w:pPr>
      <w:r w:rsidRPr="00D070E7">
        <w:rPr>
          <w:rFonts w:cstheme="minorHAnsi"/>
        </w:rPr>
        <w:t xml:space="preserve">c) </w:t>
      </w:r>
      <w:proofErr w:type="gramStart"/>
      <w:r w:rsidRPr="00D070E7">
        <w:rPr>
          <w:rFonts w:cstheme="minorHAnsi"/>
        </w:rPr>
        <w:t>the</w:t>
      </w:r>
      <w:proofErr w:type="gramEnd"/>
      <w:r w:rsidRPr="00D070E7">
        <w:rPr>
          <w:rFonts w:cstheme="minorHAnsi"/>
        </w:rPr>
        <w:t xml:space="preserve"> nature and extent of the limitation </w:t>
      </w:r>
    </w:p>
    <w:p w14:paraId="461456D4" w14:textId="77777777" w:rsidR="004B2251" w:rsidRPr="00D070E7" w:rsidRDefault="004B2251" w:rsidP="004B2251">
      <w:pPr>
        <w:spacing w:before="120" w:after="120" w:line="276" w:lineRule="auto"/>
        <w:ind w:left="720" w:firstLine="720"/>
        <w:rPr>
          <w:rFonts w:cstheme="minorHAnsi"/>
        </w:rPr>
      </w:pPr>
      <w:r w:rsidRPr="00D070E7">
        <w:rPr>
          <w:rFonts w:cstheme="minorHAnsi"/>
        </w:rPr>
        <w:t xml:space="preserve">d) </w:t>
      </w:r>
      <w:proofErr w:type="gramStart"/>
      <w:r w:rsidRPr="00D070E7">
        <w:rPr>
          <w:rFonts w:cstheme="minorHAnsi"/>
        </w:rPr>
        <w:t>the</w:t>
      </w:r>
      <w:proofErr w:type="gramEnd"/>
      <w:r w:rsidRPr="00D070E7">
        <w:rPr>
          <w:rFonts w:cstheme="minorHAnsi"/>
        </w:rPr>
        <w:t xml:space="preserve"> relationship between the limitation and its purpose </w:t>
      </w:r>
    </w:p>
    <w:p w14:paraId="1553EFF7" w14:textId="77777777" w:rsidR="004B2251" w:rsidRPr="00D070E7" w:rsidRDefault="004B2251" w:rsidP="004B2251">
      <w:pPr>
        <w:spacing w:before="120" w:after="120" w:line="276" w:lineRule="auto"/>
        <w:ind w:left="1440"/>
        <w:rPr>
          <w:rFonts w:cstheme="minorHAnsi"/>
        </w:rPr>
      </w:pPr>
      <w:r w:rsidRPr="00D070E7">
        <w:rPr>
          <w:rFonts w:cstheme="minorHAnsi"/>
        </w:rPr>
        <w:t xml:space="preserve">e) </w:t>
      </w:r>
      <w:proofErr w:type="gramStart"/>
      <w:r w:rsidRPr="00D070E7">
        <w:rPr>
          <w:rFonts w:cstheme="minorHAnsi"/>
        </w:rPr>
        <w:t>any</w:t>
      </w:r>
      <w:proofErr w:type="gramEnd"/>
      <w:r w:rsidRPr="00D070E7">
        <w:rPr>
          <w:rFonts w:cstheme="minorHAnsi"/>
        </w:rPr>
        <w:t xml:space="preserve"> less restrictive means reasonably available to achieve the purpose the limitation seeks to achieve. </w:t>
      </w:r>
    </w:p>
    <w:p w14:paraId="50298E40" w14:textId="77777777" w:rsidR="004B2251" w:rsidRPr="00D070E7" w:rsidRDefault="004B2251" w:rsidP="004B2251">
      <w:pPr>
        <w:spacing w:before="120" w:after="120" w:line="276" w:lineRule="auto"/>
        <w:ind w:left="720"/>
        <w:rPr>
          <w:rFonts w:cstheme="minorHAnsi"/>
        </w:rPr>
      </w:pPr>
      <w:r w:rsidRPr="00D070E7">
        <w:rPr>
          <w:rFonts w:cstheme="minorHAnsi"/>
        </w:rPr>
        <w:t xml:space="preserve">Section 13 of the HRA provides a right for people to move freely within the ACT. </w:t>
      </w:r>
    </w:p>
    <w:p w14:paraId="65431DF1" w14:textId="77777777" w:rsidR="004B2251" w:rsidRPr="00D070E7" w:rsidRDefault="004B2251" w:rsidP="004B2251">
      <w:pPr>
        <w:spacing w:before="120" w:after="120" w:line="276" w:lineRule="auto"/>
        <w:ind w:left="720"/>
        <w:rPr>
          <w:rFonts w:cstheme="minorHAnsi"/>
        </w:rPr>
      </w:pPr>
      <w:r w:rsidRPr="00D070E7">
        <w:rPr>
          <w:rFonts w:cstheme="minorHAnsi"/>
        </w:rPr>
        <w:t xml:space="preserve">The declarations in this instrument do not of itself restrict a person’s freedom of movement within the Territory, however the operation of the events in closing parts of the forest in which the events will be conducted to members of the public will restrict the free movement of people in that area of the Territory during the event. As parts of the road transport legislation are being </w:t>
      </w:r>
      <w:proofErr w:type="spellStart"/>
      <w:r w:rsidRPr="00D070E7">
        <w:rPr>
          <w:rFonts w:cstheme="minorHAnsi"/>
        </w:rPr>
        <w:t>disapplied</w:t>
      </w:r>
      <w:proofErr w:type="spellEnd"/>
      <w:r w:rsidRPr="00D070E7">
        <w:rPr>
          <w:rFonts w:cstheme="minorHAnsi"/>
        </w:rPr>
        <w:t xml:space="preserve"> for the events to operate as intended, vehicles will be travelling in parts of the forest in excess of the usual speed limits and in a manner not consistent with the road rules. As such, the restriction on the free movement of people in those parts of the forest at those times is considered reasonable and proportionate to </w:t>
      </w:r>
      <w:r w:rsidRPr="00D070E7">
        <w:rPr>
          <w:rFonts w:cstheme="minorHAnsi"/>
        </w:rPr>
        <w:lastRenderedPageBreak/>
        <w:t>ensure safety of non-participants and represents the least restrictive approach that enables the event to proceed.</w:t>
      </w:r>
    </w:p>
    <w:p w14:paraId="5AE08795" w14:textId="77777777" w:rsidR="004B2251" w:rsidRPr="00D070E7" w:rsidRDefault="004B2251" w:rsidP="004B2251">
      <w:pPr>
        <w:keepLines/>
        <w:widowControl w:val="0"/>
        <w:tabs>
          <w:tab w:val="left" w:pos="1276"/>
        </w:tabs>
        <w:spacing w:before="120" w:after="120" w:line="300" w:lineRule="exact"/>
        <w:rPr>
          <w:rFonts w:cstheme="minorHAnsi"/>
          <w:b/>
        </w:rPr>
      </w:pPr>
      <w:r w:rsidRPr="00D070E7">
        <w:rPr>
          <w:rFonts w:cstheme="minorHAnsi"/>
          <w:b/>
        </w:rPr>
        <w:t>The Committee draws the attention of the Legislative Assembly to the discussion of human rights issues in the explanatory statements for the instruments mentioned above.</w:t>
      </w:r>
    </w:p>
    <w:p w14:paraId="72BE4195" w14:textId="77777777" w:rsidR="004B2251" w:rsidRPr="00D070E7" w:rsidRDefault="004B2251" w:rsidP="004B2251">
      <w:pPr>
        <w:keepLines/>
        <w:widowControl w:val="0"/>
        <w:tabs>
          <w:tab w:val="left" w:pos="1276"/>
        </w:tabs>
        <w:spacing w:before="120" w:after="120" w:line="300" w:lineRule="exact"/>
        <w:rPr>
          <w:rFonts w:cstheme="minorHAnsi"/>
          <w:b/>
        </w:rPr>
      </w:pPr>
      <w:r w:rsidRPr="00D070E7">
        <w:rPr>
          <w:rFonts w:cstheme="minorHAnsi"/>
          <w:b/>
        </w:rPr>
        <w:t>This comment does not require a response from the Minister.</w:t>
      </w:r>
    </w:p>
    <w:p w14:paraId="07E6E4E6" w14:textId="77777777" w:rsidR="004B2251" w:rsidRDefault="004B2251" w:rsidP="004B2251">
      <w:pPr>
        <w:pStyle w:val="Heading4nonumber"/>
      </w:pPr>
      <w:r>
        <w:t>COVID-19-related instruments / Human rights issues</w:t>
      </w:r>
    </w:p>
    <w:p w14:paraId="3FE7F118" w14:textId="77777777" w:rsidR="004B2251" w:rsidRDefault="004B2251" w:rsidP="003F24F6">
      <w:pPr>
        <w:pStyle w:val="Bodycopy"/>
        <w:numPr>
          <w:ilvl w:val="0"/>
          <w:numId w:val="27"/>
        </w:numPr>
        <w:spacing w:before="200" w:after="0" w:line="280" w:lineRule="exact"/>
        <w:rPr>
          <w:b/>
        </w:rPr>
      </w:pPr>
      <w:r>
        <w:rPr>
          <w:b/>
        </w:rPr>
        <w:t>Disallowable Instrument</w:t>
      </w:r>
      <w:r w:rsidRPr="00451C85">
        <w:rPr>
          <w:b/>
        </w:rPr>
        <w:t xml:space="preserve"> </w:t>
      </w:r>
      <w:r>
        <w:rPr>
          <w:b/>
        </w:rPr>
        <w:t>DI2022-36</w:t>
      </w:r>
      <w:r w:rsidRPr="00451C85">
        <w:rPr>
          <w:b/>
        </w:rPr>
        <w:t xml:space="preserve"> being the </w:t>
      </w:r>
      <w:r>
        <w:rPr>
          <w:b/>
        </w:rPr>
        <w:t xml:space="preserve">Liquor (COVID-19 Emergency Response—Licence Fee Waiver) Declaration 2022 (No 1) made under sections 35 and 229 (2)(d) of the </w:t>
      </w:r>
      <w:r>
        <w:rPr>
          <w:i/>
        </w:rPr>
        <w:t>Liquor Regulation 2010</w:t>
      </w:r>
      <w:r w:rsidRPr="00236BDD">
        <w:rPr>
          <w:b/>
        </w:rPr>
        <w:t xml:space="preserve"> </w:t>
      </w:r>
      <w:r>
        <w:rPr>
          <w:b/>
        </w:rPr>
        <w:t xml:space="preserve">waives fees payable for specified liquor licences due to the COVID-19 public health emergency if certain conditions are met. </w:t>
      </w:r>
    </w:p>
    <w:p w14:paraId="4018FFA2" w14:textId="77777777" w:rsidR="004B2251" w:rsidRPr="00842199" w:rsidRDefault="004B2251" w:rsidP="003F24F6">
      <w:pPr>
        <w:pStyle w:val="Bodycopy"/>
        <w:numPr>
          <w:ilvl w:val="0"/>
          <w:numId w:val="27"/>
        </w:numPr>
        <w:spacing w:before="200" w:after="0" w:line="280" w:lineRule="exact"/>
        <w:rPr>
          <w:b/>
        </w:rPr>
      </w:pPr>
      <w:r>
        <w:rPr>
          <w:b/>
        </w:rPr>
        <w:t>Disallowable Instrument</w:t>
      </w:r>
      <w:r w:rsidRPr="00451C85">
        <w:rPr>
          <w:b/>
        </w:rPr>
        <w:t xml:space="preserve"> </w:t>
      </w:r>
      <w:r>
        <w:rPr>
          <w:b/>
        </w:rPr>
        <w:t>DI2022-37</w:t>
      </w:r>
      <w:r w:rsidRPr="00451C85">
        <w:rPr>
          <w:b/>
        </w:rPr>
        <w:t xml:space="preserve"> being the </w:t>
      </w:r>
      <w:r>
        <w:rPr>
          <w:b/>
        </w:rPr>
        <w:t xml:space="preserve">Road Transport (General) (COVID-19 Emergency Response) Application Order 2022 (No 2) made under section 14 of the </w:t>
      </w:r>
      <w:r>
        <w:rPr>
          <w:i/>
        </w:rPr>
        <w:t>Road Transport (General) Act 1999</w:t>
      </w:r>
      <w:r w:rsidRPr="00236BDD">
        <w:rPr>
          <w:b/>
        </w:rPr>
        <w:t xml:space="preserve"> </w:t>
      </w:r>
      <w:r>
        <w:rPr>
          <w:b/>
        </w:rPr>
        <w:t>varies sections of the Road Transport (Driver Licensing) Regulation 2000 to support the decisions agreed by the Infrastructure and Transport National Cabinet Reform Committee on 25 January 2022 as well as alleviate ongoing operational impacts arising from the ACT August 2021 COVID-19 lockdown</w:t>
      </w:r>
    </w:p>
    <w:p w14:paraId="1A13C27F" w14:textId="77777777" w:rsidR="004B2251" w:rsidRDefault="004B2251" w:rsidP="004B2251">
      <w:pPr>
        <w:keepLines/>
        <w:widowControl w:val="0"/>
        <w:tabs>
          <w:tab w:val="left" w:pos="1276"/>
        </w:tabs>
        <w:spacing w:before="120" w:after="120" w:line="300" w:lineRule="exact"/>
        <w:rPr>
          <w:rFonts w:cstheme="minorHAnsi"/>
          <w:bCs/>
        </w:rPr>
      </w:pPr>
      <w:r>
        <w:rPr>
          <w:rFonts w:cstheme="minorHAnsi"/>
          <w:bCs/>
        </w:rPr>
        <w:t xml:space="preserve">The first instrument mentioned above, made under section 35 of the </w:t>
      </w:r>
      <w:r>
        <w:rPr>
          <w:rFonts w:cstheme="minorHAnsi"/>
          <w:bCs/>
          <w:i/>
          <w:iCs/>
        </w:rPr>
        <w:t>Liquor Regulation 2010</w:t>
      </w:r>
      <w:r>
        <w:rPr>
          <w:rFonts w:cstheme="minorHAnsi"/>
          <w:bCs/>
        </w:rPr>
        <w:t xml:space="preserve">, </w:t>
      </w:r>
      <w:proofErr w:type="gramStart"/>
      <w:r>
        <w:rPr>
          <w:rFonts w:cstheme="minorHAnsi"/>
          <w:bCs/>
        </w:rPr>
        <w:t>waives</w:t>
      </w:r>
      <w:proofErr w:type="gramEnd"/>
      <w:r>
        <w:rPr>
          <w:rFonts w:cstheme="minorHAnsi"/>
          <w:bCs/>
        </w:rPr>
        <w:t xml:space="preserve"> various annual licence fees under the </w:t>
      </w:r>
      <w:r>
        <w:rPr>
          <w:rFonts w:cstheme="minorHAnsi"/>
          <w:bCs/>
          <w:i/>
          <w:iCs/>
        </w:rPr>
        <w:t>Liquor Act 2010</w:t>
      </w:r>
      <w:r>
        <w:rPr>
          <w:rFonts w:cstheme="minorHAnsi"/>
          <w:bCs/>
        </w:rPr>
        <w:t>, for the period from 1 April to 30 June 2022.  The explanatory statement for the instrument states that the waiver of fees relates to the COVID-19 pandemic and notes that the instrument extends the effect of earlier fees waivers.  It states:</w:t>
      </w:r>
    </w:p>
    <w:p w14:paraId="0319310C" w14:textId="77777777" w:rsidR="004B2251" w:rsidRPr="007C0B88" w:rsidRDefault="004B2251" w:rsidP="004B2251">
      <w:pPr>
        <w:spacing w:before="120" w:after="120"/>
        <w:ind w:left="360"/>
        <w:rPr>
          <w:rFonts w:cstheme="minorHAnsi"/>
        </w:rPr>
      </w:pPr>
      <w:r w:rsidRPr="007C0B88">
        <w:rPr>
          <w:rFonts w:cstheme="minorHAnsi"/>
        </w:rPr>
        <w:t xml:space="preserve">The fee waivers were initially made under the </w:t>
      </w:r>
      <w:r w:rsidRPr="007C0B88">
        <w:rPr>
          <w:rFonts w:cstheme="minorHAnsi"/>
          <w:i/>
          <w:iCs/>
        </w:rPr>
        <w:t>Liquor (Public Health Emergency—Licence Fee Waiver) Declaration 2020</w:t>
      </w:r>
      <w:r w:rsidRPr="007C0B88">
        <w:rPr>
          <w:rFonts w:cstheme="minorHAnsi"/>
        </w:rPr>
        <w:t xml:space="preserve"> [DI2020-45] (repealed) and the </w:t>
      </w:r>
      <w:r w:rsidRPr="007C0B88">
        <w:rPr>
          <w:rFonts w:cstheme="minorHAnsi"/>
          <w:i/>
          <w:iCs/>
        </w:rPr>
        <w:t>Liquor (COVID-19 Emergency Response—Licence Fee Waiver) Declaration 2020</w:t>
      </w:r>
      <w:r w:rsidRPr="007C0B88">
        <w:rPr>
          <w:rFonts w:cstheme="minorHAnsi"/>
        </w:rPr>
        <w:t xml:space="preserve"> [DI2020-119] (repealed) in response to the </w:t>
      </w:r>
      <w:r w:rsidRPr="007C0B88">
        <w:rPr>
          <w:rFonts w:cstheme="minorHAnsi"/>
          <w:i/>
          <w:iCs/>
        </w:rPr>
        <w:t>Public Health (Closure of Non-Essential Business or Undertaking) Emergency Direction 2020</w:t>
      </w:r>
      <w:r w:rsidRPr="007C0B88">
        <w:rPr>
          <w:rFonts w:cstheme="minorHAnsi"/>
        </w:rPr>
        <w:t xml:space="preserve"> (the closure direction) </w:t>
      </w:r>
      <w:bookmarkStart w:id="579" w:name="_Hlk36387423"/>
      <w:r w:rsidRPr="007C0B88">
        <w:rPr>
          <w:rFonts w:cstheme="minorHAnsi"/>
        </w:rPr>
        <w:t>[NI2020-181]</w:t>
      </w:r>
      <w:bookmarkEnd w:id="579"/>
      <w:r w:rsidRPr="007C0B88">
        <w:rPr>
          <w:rFonts w:cstheme="minorHAnsi"/>
        </w:rPr>
        <w:t>. The closure direction, made on 23 March 2020 directed the closure of:</w:t>
      </w:r>
    </w:p>
    <w:p w14:paraId="787B4198" w14:textId="77777777" w:rsidR="004B2251" w:rsidRPr="007C0B88" w:rsidRDefault="004B2251" w:rsidP="003F24F6">
      <w:pPr>
        <w:pStyle w:val="ListParagraph"/>
        <w:numPr>
          <w:ilvl w:val="0"/>
          <w:numId w:val="28"/>
        </w:numPr>
        <w:spacing w:before="120" w:after="120" w:line="259" w:lineRule="auto"/>
        <w:ind w:left="1080"/>
        <w:contextualSpacing w:val="0"/>
        <w:rPr>
          <w:rFonts w:cstheme="minorHAnsi"/>
        </w:rPr>
      </w:pPr>
      <w:r w:rsidRPr="007C0B88">
        <w:rPr>
          <w:rFonts w:cstheme="minorHAnsi"/>
        </w:rPr>
        <w:t xml:space="preserve">businesses that supply liquor for consumption on the premises but not including any part of those businesses that sell liquor for consumption off the premises as defined by the </w:t>
      </w:r>
      <w:r w:rsidRPr="007C0B88">
        <w:rPr>
          <w:rFonts w:cstheme="minorHAnsi"/>
          <w:i/>
        </w:rPr>
        <w:t>Liquor Act 2010</w:t>
      </w:r>
      <w:r w:rsidRPr="007C0B88">
        <w:rPr>
          <w:rFonts w:cstheme="minorHAnsi"/>
        </w:rPr>
        <w:t>;</w:t>
      </w:r>
    </w:p>
    <w:p w14:paraId="2B9052D1" w14:textId="77777777" w:rsidR="004B2251" w:rsidRPr="007C0B88" w:rsidRDefault="004B2251" w:rsidP="003F24F6">
      <w:pPr>
        <w:pStyle w:val="ListParagraph"/>
        <w:numPr>
          <w:ilvl w:val="0"/>
          <w:numId w:val="28"/>
        </w:numPr>
        <w:spacing w:before="120" w:after="120" w:line="259" w:lineRule="auto"/>
        <w:ind w:left="1080"/>
        <w:contextualSpacing w:val="0"/>
        <w:rPr>
          <w:rFonts w:cstheme="minorHAnsi"/>
        </w:rPr>
      </w:pPr>
      <w:r w:rsidRPr="007C0B88">
        <w:rPr>
          <w:rFonts w:cstheme="minorHAnsi"/>
        </w:rPr>
        <w:t>hotels, whether licensed or unlicensed, but not to the extent that they provide accommodation, takeaway meals or a meal delivery service, or a bottle shop;</w:t>
      </w:r>
    </w:p>
    <w:p w14:paraId="5AC5EA60" w14:textId="77777777" w:rsidR="004B2251" w:rsidRPr="007C0B88" w:rsidRDefault="004B2251" w:rsidP="003F24F6">
      <w:pPr>
        <w:pStyle w:val="ListParagraph"/>
        <w:numPr>
          <w:ilvl w:val="0"/>
          <w:numId w:val="28"/>
        </w:numPr>
        <w:spacing w:before="120" w:after="120" w:line="259" w:lineRule="auto"/>
        <w:ind w:left="1080"/>
        <w:contextualSpacing w:val="0"/>
        <w:rPr>
          <w:rFonts w:cstheme="minorHAnsi"/>
        </w:rPr>
      </w:pPr>
      <w:r w:rsidRPr="007C0B88">
        <w:rPr>
          <w:rFonts w:cstheme="minorHAnsi"/>
        </w:rPr>
        <w:t>a casino;</w:t>
      </w:r>
    </w:p>
    <w:p w14:paraId="75BD4588" w14:textId="77777777" w:rsidR="004B2251" w:rsidRPr="007C0B88" w:rsidRDefault="004B2251" w:rsidP="003F24F6">
      <w:pPr>
        <w:pStyle w:val="ListParagraph"/>
        <w:numPr>
          <w:ilvl w:val="0"/>
          <w:numId w:val="28"/>
        </w:numPr>
        <w:spacing w:before="120" w:after="120" w:line="259" w:lineRule="auto"/>
        <w:ind w:left="1080"/>
        <w:contextualSpacing w:val="0"/>
        <w:rPr>
          <w:rFonts w:cstheme="minorHAnsi"/>
        </w:rPr>
      </w:pPr>
      <w:r w:rsidRPr="007C0B88">
        <w:rPr>
          <w:rFonts w:cstheme="minorHAnsi"/>
        </w:rPr>
        <w:t>cinemas, nightclubs or entertainment venues of any kind;</w:t>
      </w:r>
    </w:p>
    <w:p w14:paraId="79215861" w14:textId="77777777" w:rsidR="004B2251" w:rsidRPr="007C0B88" w:rsidRDefault="004B2251" w:rsidP="003F24F6">
      <w:pPr>
        <w:pStyle w:val="ListParagraph"/>
        <w:numPr>
          <w:ilvl w:val="0"/>
          <w:numId w:val="28"/>
        </w:numPr>
        <w:spacing w:before="120" w:after="120" w:line="259" w:lineRule="auto"/>
        <w:ind w:left="1080"/>
        <w:contextualSpacing w:val="0"/>
        <w:rPr>
          <w:rFonts w:cstheme="minorHAnsi"/>
        </w:rPr>
      </w:pPr>
      <w:proofErr w:type="gramStart"/>
      <w:r w:rsidRPr="007C0B88">
        <w:rPr>
          <w:rFonts w:cstheme="minorHAnsi"/>
        </w:rPr>
        <w:t>restaurants</w:t>
      </w:r>
      <w:proofErr w:type="gramEnd"/>
      <w:r w:rsidRPr="007C0B88">
        <w:rPr>
          <w:rFonts w:cstheme="minorHAnsi"/>
        </w:rPr>
        <w:t xml:space="preserve"> or cafes, other to than to the extent that they provide takeaway meals, or a meal delivery services.</w:t>
      </w:r>
    </w:p>
    <w:p w14:paraId="0F4889B0" w14:textId="77777777" w:rsidR="004B2251" w:rsidRDefault="004B2251" w:rsidP="004B2251">
      <w:pPr>
        <w:pStyle w:val="ListParagraph"/>
        <w:spacing w:before="120" w:after="120"/>
        <w:ind w:left="360"/>
        <w:contextualSpacing w:val="0"/>
        <w:rPr>
          <w:rFonts w:cstheme="minorHAnsi"/>
        </w:rPr>
      </w:pPr>
      <w:r w:rsidRPr="007C0B88">
        <w:rPr>
          <w:rFonts w:cstheme="minorHAnsi"/>
        </w:rPr>
        <w:t xml:space="preserve">The closure direction was made in relation to the </w:t>
      </w:r>
      <w:r w:rsidRPr="007C0B88">
        <w:rPr>
          <w:rFonts w:cstheme="minorHAnsi"/>
          <w:i/>
        </w:rPr>
        <w:t>Public Health (Emergency) Declaration 2020 (No 1)</w:t>
      </w:r>
      <w:r w:rsidRPr="007C0B88">
        <w:rPr>
          <w:rFonts w:cstheme="minorHAnsi"/>
        </w:rPr>
        <w:t xml:space="preserve"> [NI2020-153] to prohibit the operation of non-essential business and undertakings to limit the spread of Novel Coronavirus 2019 (COVID-19).</w:t>
      </w:r>
    </w:p>
    <w:p w14:paraId="6CD6CF92" w14:textId="77777777" w:rsidR="004B2251" w:rsidRDefault="004B2251" w:rsidP="004B2251">
      <w:pPr>
        <w:pStyle w:val="ListParagraph"/>
        <w:spacing w:before="120" w:after="120"/>
        <w:ind w:left="360"/>
        <w:contextualSpacing w:val="0"/>
        <w:jc w:val="center"/>
        <w:rPr>
          <w:rFonts w:cstheme="minorHAnsi"/>
        </w:rPr>
      </w:pPr>
      <w:r>
        <w:rPr>
          <w:rFonts w:cstheme="minorHAnsi"/>
        </w:rPr>
        <w:t>……………..</w:t>
      </w:r>
    </w:p>
    <w:p w14:paraId="07E5FB72" w14:textId="77777777" w:rsidR="004B2251" w:rsidRPr="007C0B88" w:rsidRDefault="004B2251" w:rsidP="004B2251">
      <w:pPr>
        <w:pStyle w:val="ListParagraph"/>
        <w:spacing w:before="120" w:after="120"/>
        <w:ind w:left="360"/>
        <w:contextualSpacing w:val="0"/>
        <w:rPr>
          <w:rFonts w:cstheme="minorHAnsi"/>
        </w:rPr>
      </w:pPr>
      <w:r w:rsidRPr="00E671E2">
        <w:rPr>
          <w:rFonts w:cstheme="minorHAnsi"/>
        </w:rPr>
        <w:t>The fee waiver supports Canberra’s economic recovery from the COVID-19 pandemic.</w:t>
      </w:r>
    </w:p>
    <w:p w14:paraId="1CEBEB01" w14:textId="77777777" w:rsidR="004B2251" w:rsidRDefault="004B2251" w:rsidP="004B2251">
      <w:pPr>
        <w:pStyle w:val="ListParagraph"/>
        <w:spacing w:before="120" w:after="120"/>
        <w:ind w:left="0"/>
        <w:contextualSpacing w:val="0"/>
        <w:rPr>
          <w:rFonts w:cstheme="minorHAnsi"/>
          <w:b/>
          <w:bCs/>
        </w:rPr>
      </w:pPr>
      <w:r>
        <w:rPr>
          <w:rFonts w:cstheme="minorHAnsi"/>
          <w:b/>
          <w:bCs/>
        </w:rPr>
        <w:t>The comment immediately above does not require a response from the Minister.</w:t>
      </w:r>
    </w:p>
    <w:p w14:paraId="21A34DBF" w14:textId="77777777" w:rsidR="004B2251" w:rsidRDefault="004B2251" w:rsidP="004B2251">
      <w:pPr>
        <w:pStyle w:val="ListParagraph"/>
        <w:spacing w:before="120" w:after="120"/>
        <w:ind w:left="0"/>
        <w:contextualSpacing w:val="0"/>
        <w:rPr>
          <w:rFonts w:cstheme="minorHAnsi"/>
        </w:rPr>
      </w:pPr>
      <w:r>
        <w:rPr>
          <w:rFonts w:cstheme="minorHAnsi"/>
        </w:rPr>
        <w:lastRenderedPageBreak/>
        <w:t xml:space="preserve">The second instrument, made under section 14 of the </w:t>
      </w:r>
      <w:r>
        <w:rPr>
          <w:rFonts w:cstheme="minorHAnsi"/>
          <w:i/>
          <w:iCs/>
        </w:rPr>
        <w:t>Road Transport (General) Act 1999</w:t>
      </w:r>
      <w:r>
        <w:rPr>
          <w:rFonts w:cstheme="minorHAnsi"/>
        </w:rPr>
        <w:t>, is also related to the COVID-19 pandemic.  It varies the operation of various provisions of the road transport legislation, with effect from 1 April 2022 to 25 January 2024.  In essence, the substantive amendments extend time periods applicable to various licence holders.  Again, the explanatory statement indicates that the instrument extends the effect of previous measures.</w:t>
      </w:r>
    </w:p>
    <w:p w14:paraId="10EA5DB3" w14:textId="77777777" w:rsidR="004B2251" w:rsidRDefault="004B2251" w:rsidP="004B2251">
      <w:pPr>
        <w:pStyle w:val="ListParagraph"/>
        <w:spacing w:before="120" w:after="120"/>
        <w:ind w:left="0"/>
        <w:contextualSpacing w:val="0"/>
        <w:rPr>
          <w:rFonts w:cstheme="minorHAnsi"/>
        </w:rPr>
      </w:pPr>
      <w:r>
        <w:rPr>
          <w:rFonts w:cstheme="minorHAnsi"/>
        </w:rPr>
        <w:t xml:space="preserve">The explanatory statement for the second instrument contains a detailed discussion of the human rights implications of the instrument, by reference to the right to recognition and equality before the law, protected by section 8 of the </w:t>
      </w:r>
      <w:r>
        <w:rPr>
          <w:rFonts w:cstheme="minorHAnsi"/>
          <w:i/>
          <w:iCs/>
        </w:rPr>
        <w:t>Human Rights Act 2004</w:t>
      </w:r>
      <w:r>
        <w:rPr>
          <w:rFonts w:cstheme="minorHAnsi"/>
        </w:rPr>
        <w:t>.  It states (in part):</w:t>
      </w:r>
    </w:p>
    <w:p w14:paraId="0A19502E" w14:textId="77777777" w:rsidR="004B2251" w:rsidRPr="0000780A" w:rsidRDefault="004B2251" w:rsidP="004B2251">
      <w:pPr>
        <w:pStyle w:val="NormalWeb"/>
        <w:shd w:val="clear" w:color="auto" w:fill="FFFFFF"/>
        <w:spacing w:before="120" w:after="120" w:line="276" w:lineRule="atLeast"/>
        <w:ind w:left="720"/>
        <w:rPr>
          <w:rFonts w:asciiTheme="minorHAnsi" w:hAnsiTheme="minorHAnsi" w:cstheme="minorHAnsi"/>
          <w:color w:val="000000"/>
          <w:sz w:val="22"/>
          <w:szCs w:val="22"/>
        </w:rPr>
      </w:pPr>
      <w:r w:rsidRPr="0000780A">
        <w:rPr>
          <w:rFonts w:asciiTheme="minorHAnsi" w:hAnsiTheme="minorHAnsi" w:cstheme="minorHAnsi"/>
          <w:color w:val="000000"/>
          <w:sz w:val="22"/>
          <w:szCs w:val="22"/>
        </w:rPr>
        <w:t>ACT road transport legislation provides a general exemption for interstate, external territory and foreign licence holders from requiring an ACT driver licence to drive on an ACT road a vehicle of the class to which the vehicle being driven applies until the person has resided in the ACT for a continuous period of longer than 3 months. Under temporary COVID-19 measures, this legislated period has been extended to 6 months until 31 March 2022.</w:t>
      </w:r>
    </w:p>
    <w:p w14:paraId="0825B860" w14:textId="77777777" w:rsidR="004B2251" w:rsidRPr="0000780A" w:rsidRDefault="004B2251" w:rsidP="004B2251">
      <w:pPr>
        <w:pStyle w:val="NormalWeb"/>
        <w:shd w:val="clear" w:color="auto" w:fill="FFFFFF"/>
        <w:spacing w:before="120" w:after="120" w:line="276" w:lineRule="atLeast"/>
        <w:ind w:left="720"/>
        <w:rPr>
          <w:rFonts w:asciiTheme="minorHAnsi" w:hAnsiTheme="minorHAnsi" w:cstheme="minorHAnsi"/>
          <w:sz w:val="22"/>
          <w:szCs w:val="22"/>
        </w:rPr>
      </w:pPr>
      <w:r w:rsidRPr="0000780A">
        <w:rPr>
          <w:rFonts w:asciiTheme="minorHAnsi" w:hAnsiTheme="minorHAnsi" w:cstheme="minorHAnsi"/>
          <w:color w:val="000000"/>
          <w:sz w:val="22"/>
          <w:szCs w:val="22"/>
        </w:rPr>
        <w:t xml:space="preserve">This application order may be seen to engage and limit a person’s right to recognition and equality before the law in that the instrument affords holders of interstate, external territory and foreign driver licence licences issued under the law of a recognised country with 12 months after they begin residing in the ACT in which they can drive </w:t>
      </w:r>
      <w:r w:rsidRPr="0000780A">
        <w:rPr>
          <w:rFonts w:asciiTheme="minorHAnsi" w:hAnsiTheme="minorHAnsi" w:cstheme="minorHAnsi"/>
          <w:sz w:val="22"/>
          <w:szCs w:val="22"/>
        </w:rPr>
        <w:t xml:space="preserve">on ACT roads on their non-ACT licence. This is an additional 9 months. </w:t>
      </w:r>
    </w:p>
    <w:p w14:paraId="2A1EEF2D" w14:textId="77777777" w:rsidR="004B2251" w:rsidRPr="0000780A" w:rsidRDefault="004B2251" w:rsidP="004B2251">
      <w:pPr>
        <w:pStyle w:val="ListParagraph"/>
        <w:spacing w:before="120" w:after="120"/>
        <w:contextualSpacing w:val="0"/>
        <w:rPr>
          <w:rFonts w:cstheme="minorHAnsi"/>
        </w:rPr>
      </w:pPr>
      <w:r w:rsidRPr="0000780A">
        <w:rPr>
          <w:rFonts w:cstheme="minorHAnsi"/>
        </w:rPr>
        <w:t xml:space="preserve">For </w:t>
      </w:r>
      <w:r w:rsidRPr="0000780A">
        <w:rPr>
          <w:rFonts w:cstheme="minorHAnsi"/>
          <w:color w:val="000000"/>
          <w:shd w:val="clear" w:color="auto" w:fill="FFFFFF"/>
        </w:rPr>
        <w:t xml:space="preserve">foreign driver licence issued under the law of an experienced or non-recognised country, </w:t>
      </w:r>
      <w:r w:rsidRPr="0000780A">
        <w:rPr>
          <w:rFonts w:cstheme="minorHAnsi"/>
        </w:rPr>
        <w:t xml:space="preserve">the general exemption will not be extended by this instrument, and from 1 April 2022, the general exemption for these licence holders will revert back from 6 months to 3 months  </w:t>
      </w:r>
    </w:p>
    <w:p w14:paraId="7FCA62F1" w14:textId="4BDB9131" w:rsidR="004B2251" w:rsidRPr="002A3DCD" w:rsidRDefault="004B2251" w:rsidP="004B2251">
      <w:pPr>
        <w:pStyle w:val="Bodycopy"/>
        <w:spacing w:before="120" w:after="120" w:line="240" w:lineRule="auto"/>
        <w:rPr>
          <w:b/>
        </w:rPr>
      </w:pPr>
      <w:r w:rsidRPr="002A3DCD">
        <w:rPr>
          <w:b/>
        </w:rPr>
        <w:t xml:space="preserve">The Committee draws the attention of the Legislative Assembly to the discussion of human rights issues in </w:t>
      </w:r>
      <w:r>
        <w:rPr>
          <w:b/>
        </w:rPr>
        <w:t>the explanatory statement for the second instrument mentioned above</w:t>
      </w:r>
      <w:r w:rsidRPr="002A3DCD">
        <w:rPr>
          <w:b/>
        </w:rPr>
        <w:t>.</w:t>
      </w:r>
    </w:p>
    <w:p w14:paraId="1242B057" w14:textId="77777777" w:rsidR="004B2251" w:rsidRPr="00CC4FB7" w:rsidRDefault="004B2251" w:rsidP="004B2251">
      <w:pPr>
        <w:pStyle w:val="Bodycopy"/>
        <w:spacing w:before="120" w:after="120" w:line="280" w:lineRule="exact"/>
        <w:rPr>
          <w:b/>
        </w:rPr>
      </w:pPr>
      <w:r w:rsidRPr="002A3DCD">
        <w:rPr>
          <w:b/>
        </w:rPr>
        <w:t>Th</w:t>
      </w:r>
      <w:r>
        <w:rPr>
          <w:b/>
        </w:rPr>
        <w:t>e</w:t>
      </w:r>
      <w:r w:rsidRPr="002A3DCD">
        <w:rPr>
          <w:b/>
        </w:rPr>
        <w:t xml:space="preserve"> comment </w:t>
      </w:r>
      <w:r>
        <w:rPr>
          <w:b/>
        </w:rPr>
        <w:t xml:space="preserve">immediately above </w:t>
      </w:r>
      <w:r w:rsidRPr="002A3DCD">
        <w:rPr>
          <w:b/>
        </w:rPr>
        <w:t>does not require a response from the Minister.</w:t>
      </w:r>
    </w:p>
    <w:p w14:paraId="53E27ACD" w14:textId="77777777" w:rsidR="004B2251" w:rsidRPr="004D0138" w:rsidRDefault="004B2251" w:rsidP="003F24F6">
      <w:pPr>
        <w:pStyle w:val="Heading3"/>
      </w:pPr>
      <w:bookmarkStart w:id="580" w:name="_Toc338841798"/>
      <w:bookmarkStart w:id="581" w:name="_Hlk489262200"/>
      <w:bookmarkStart w:id="582" w:name="_Toc103682616"/>
      <w:bookmarkStart w:id="583" w:name="_Hlk20217519"/>
      <w:bookmarkEnd w:id="578"/>
      <w:r w:rsidRPr="004D0138">
        <w:t>Subordinate Laws</w:t>
      </w:r>
      <w:bookmarkStart w:id="584" w:name="_Hlk20475358"/>
      <w:r w:rsidRPr="004D0138">
        <w:t>—Comment</w:t>
      </w:r>
      <w:bookmarkEnd w:id="580"/>
      <w:bookmarkEnd w:id="581"/>
      <w:bookmarkEnd w:id="584"/>
      <w:bookmarkEnd w:id="582"/>
    </w:p>
    <w:p w14:paraId="328DEFDA" w14:textId="77777777" w:rsidR="004B2251" w:rsidRDefault="004B2251" w:rsidP="004B2251">
      <w:pPr>
        <w:widowControl w:val="0"/>
        <w:tabs>
          <w:tab w:val="left" w:pos="1276"/>
        </w:tabs>
        <w:spacing w:before="120" w:after="120" w:line="300" w:lineRule="exact"/>
        <w:rPr>
          <w:rFonts w:ascii="Calibri" w:hAnsi="Calibri" w:cs="Calibri"/>
          <w:color w:val="000000"/>
        </w:rPr>
      </w:pPr>
      <w:bookmarkStart w:id="585" w:name="_Hlk494963165"/>
      <w:bookmarkEnd w:id="583"/>
      <w:r w:rsidRPr="00987942">
        <w:rPr>
          <w:rFonts w:ascii="Calibri" w:hAnsi="Calibri" w:cs="Calibri"/>
          <w:color w:val="000000"/>
        </w:rPr>
        <w:t xml:space="preserve">The Committee </w:t>
      </w:r>
      <w:bookmarkEnd w:id="585"/>
      <w:r w:rsidRPr="00987942">
        <w:rPr>
          <w:rFonts w:ascii="Calibri" w:hAnsi="Calibri" w:cs="Calibri"/>
          <w:color w:val="000000"/>
        </w:rPr>
        <w:t>has examined the following subordinate law and offers these comments on</w:t>
      </w:r>
      <w:r>
        <w:rPr>
          <w:rFonts w:ascii="Calibri" w:hAnsi="Calibri" w:cs="Calibri"/>
          <w:color w:val="000000"/>
        </w:rPr>
        <w:t xml:space="preserve"> it:</w:t>
      </w:r>
    </w:p>
    <w:p w14:paraId="0A374ED2" w14:textId="77777777" w:rsidR="004B2251" w:rsidRDefault="004B2251" w:rsidP="004B2251">
      <w:pPr>
        <w:pStyle w:val="Paper"/>
        <w:widowControl w:val="0"/>
        <w:tabs>
          <w:tab w:val="left" w:pos="1276"/>
        </w:tabs>
        <w:spacing w:before="180" w:line="280" w:lineRule="exact"/>
        <w:rPr>
          <w:rFonts w:ascii="Arial Narrow" w:hAnsi="Arial Narrow" w:cs="Arial Narrow"/>
          <w:smallCaps/>
          <w:sz w:val="26"/>
          <w:szCs w:val="26"/>
        </w:rPr>
      </w:pPr>
      <w:r>
        <w:rPr>
          <w:rFonts w:ascii="Arial Narrow" w:hAnsi="Arial Narrow" w:cs="Arial Narrow"/>
          <w:smallCaps/>
          <w:sz w:val="26"/>
          <w:szCs w:val="26"/>
        </w:rPr>
        <w:t>Human rights issues</w:t>
      </w:r>
    </w:p>
    <w:p w14:paraId="06D792DA" w14:textId="77777777" w:rsidR="004B2251" w:rsidRPr="00842199" w:rsidRDefault="004B2251" w:rsidP="003F24F6">
      <w:pPr>
        <w:pStyle w:val="Bodycopy"/>
        <w:numPr>
          <w:ilvl w:val="0"/>
          <w:numId w:val="26"/>
        </w:numPr>
        <w:spacing w:before="200" w:after="0" w:line="280" w:lineRule="exact"/>
        <w:rPr>
          <w:b/>
        </w:rPr>
      </w:pPr>
      <w:r>
        <w:rPr>
          <w:b/>
        </w:rPr>
        <w:t>Subordinate Law</w:t>
      </w:r>
      <w:r w:rsidRPr="00451C85">
        <w:rPr>
          <w:b/>
        </w:rPr>
        <w:t xml:space="preserve"> </w:t>
      </w:r>
      <w:r>
        <w:rPr>
          <w:b/>
        </w:rPr>
        <w:t>SL2022-4</w:t>
      </w:r>
      <w:r w:rsidRPr="00451C85">
        <w:rPr>
          <w:b/>
        </w:rPr>
        <w:t xml:space="preserve"> being the </w:t>
      </w:r>
      <w:r>
        <w:rPr>
          <w:b/>
        </w:rPr>
        <w:t xml:space="preserve">Workers Compensation Amendment Regulation 2022 (No 1) made under the </w:t>
      </w:r>
      <w:r>
        <w:rPr>
          <w:i/>
        </w:rPr>
        <w:t>Workers Compensation Act 1951</w:t>
      </w:r>
      <w:r w:rsidRPr="00236BDD">
        <w:rPr>
          <w:b/>
        </w:rPr>
        <w:t xml:space="preserve"> </w:t>
      </w:r>
      <w:r>
        <w:rPr>
          <w:b/>
        </w:rPr>
        <w:t xml:space="preserve">makes amendments to align with the new requirement under the Act and provide for the licensing process, criteria for issuing a licence, conditions that may be imposed on a licence and record-keeping requirements. </w:t>
      </w:r>
    </w:p>
    <w:p w14:paraId="17297064" w14:textId="77777777" w:rsidR="004B2251" w:rsidRPr="00F76D2F" w:rsidRDefault="004B2251" w:rsidP="004B2251">
      <w:pPr>
        <w:spacing w:before="120" w:after="120"/>
        <w:rPr>
          <w:rFonts w:cstheme="minorHAnsi"/>
        </w:rPr>
      </w:pPr>
      <w:r>
        <w:rPr>
          <w:rFonts w:cstheme="minorHAnsi"/>
        </w:rPr>
        <w:t xml:space="preserve">This subordinate law amends the </w:t>
      </w:r>
      <w:r>
        <w:rPr>
          <w:rFonts w:cstheme="minorHAnsi"/>
          <w:i/>
          <w:iCs/>
        </w:rPr>
        <w:t>Workers Compensation Regulation 2002</w:t>
      </w:r>
      <w:r>
        <w:rPr>
          <w:rFonts w:cstheme="minorHAnsi"/>
        </w:rPr>
        <w:t>, substituting various Divisions and provisions of that regulation with new Divisions and provisions.  The explanatory statement for the subordinate law states:</w:t>
      </w:r>
    </w:p>
    <w:p w14:paraId="2BC972D6" w14:textId="77777777" w:rsidR="004B2251" w:rsidRPr="00F76D2F" w:rsidRDefault="004B2251" w:rsidP="004B2251">
      <w:pPr>
        <w:spacing w:before="120" w:after="120"/>
        <w:ind w:left="720"/>
        <w:rPr>
          <w:rFonts w:cstheme="minorHAnsi"/>
        </w:rPr>
      </w:pPr>
      <w:r w:rsidRPr="00F76D2F">
        <w:rPr>
          <w:rFonts w:cstheme="minorHAnsi"/>
        </w:rPr>
        <w:t xml:space="preserve">The purpose of this Regulation is to amend the </w:t>
      </w:r>
      <w:r w:rsidRPr="00F76D2F">
        <w:rPr>
          <w:rFonts w:cstheme="minorHAnsi"/>
          <w:i/>
          <w:iCs/>
        </w:rPr>
        <w:t xml:space="preserve">Workers Compensation Regulation 2002 </w:t>
      </w:r>
      <w:r w:rsidRPr="00F76D2F">
        <w:rPr>
          <w:rFonts w:cstheme="minorHAnsi"/>
        </w:rPr>
        <w:t>(the WC Regulation)</w:t>
      </w:r>
      <w:r w:rsidRPr="00F76D2F">
        <w:rPr>
          <w:rFonts w:cstheme="minorHAnsi"/>
          <w:i/>
          <w:iCs/>
        </w:rPr>
        <w:t xml:space="preserve"> </w:t>
      </w:r>
      <w:r w:rsidRPr="00F76D2F">
        <w:rPr>
          <w:rFonts w:cstheme="minorHAnsi"/>
        </w:rPr>
        <w:t>to align with the licensing framework that commen</w:t>
      </w:r>
      <w:bookmarkStart w:id="586" w:name="_Hlk49340758"/>
      <w:r w:rsidRPr="00F76D2F">
        <w:rPr>
          <w:rFonts w:cstheme="minorHAnsi"/>
        </w:rPr>
        <w:t xml:space="preserve">ced under the </w:t>
      </w:r>
      <w:r w:rsidRPr="00F76D2F">
        <w:rPr>
          <w:rFonts w:cstheme="minorHAnsi"/>
          <w:i/>
          <w:iCs/>
        </w:rPr>
        <w:t>Workers Compensation Act 1951</w:t>
      </w:r>
      <w:r w:rsidRPr="00F76D2F">
        <w:rPr>
          <w:rFonts w:cstheme="minorHAnsi"/>
        </w:rPr>
        <w:t xml:space="preserve"> (WC Act) from 9 January 2021.</w:t>
      </w:r>
    </w:p>
    <w:p w14:paraId="6A4752A8" w14:textId="77777777" w:rsidR="004B2251" w:rsidRPr="00F76D2F" w:rsidRDefault="004B2251" w:rsidP="004B2251">
      <w:pPr>
        <w:spacing w:before="120" w:after="120"/>
        <w:ind w:left="720"/>
        <w:rPr>
          <w:rFonts w:cstheme="minorHAnsi"/>
        </w:rPr>
      </w:pPr>
      <w:r w:rsidRPr="00F76D2F">
        <w:rPr>
          <w:rFonts w:cstheme="minorHAnsi"/>
        </w:rPr>
        <w:t xml:space="preserve">Workers’ compensation insurers and self-insurers that were approved/exempted to operate prior to 9 January 2021 were extended to 31 December 2021 under the </w:t>
      </w:r>
      <w:r w:rsidRPr="00F76D2F">
        <w:rPr>
          <w:rFonts w:cstheme="minorHAnsi"/>
          <w:i/>
          <w:iCs/>
        </w:rPr>
        <w:t>Workers Compensation Amendment Regulation 2020</w:t>
      </w:r>
      <w:r w:rsidRPr="00F76D2F">
        <w:rPr>
          <w:rFonts w:cstheme="minorHAnsi"/>
        </w:rPr>
        <w:t xml:space="preserve"> (No 1) [SL2020-40] and again until 31 May 2022 under the </w:t>
      </w:r>
      <w:r w:rsidRPr="00F76D2F">
        <w:rPr>
          <w:rFonts w:cstheme="minorHAnsi"/>
          <w:i/>
          <w:iCs/>
        </w:rPr>
        <w:t>Workers Compensation Amendment Regulation 2021 (No 1)</w:t>
      </w:r>
      <w:r w:rsidRPr="00F76D2F">
        <w:rPr>
          <w:rFonts w:cstheme="minorHAnsi"/>
        </w:rPr>
        <w:t xml:space="preserve"> [SL2021–29] as licensees under the WC Act. This was to allow time for the supporting instruments for the new licensing framework to be made. </w:t>
      </w:r>
      <w:r w:rsidRPr="00F76D2F">
        <w:rPr>
          <w:rFonts w:cstheme="minorHAnsi"/>
        </w:rPr>
        <w:br/>
      </w:r>
      <w:r w:rsidRPr="00F76D2F">
        <w:rPr>
          <w:rFonts w:cstheme="minorHAnsi"/>
        </w:rPr>
        <w:lastRenderedPageBreak/>
        <w:t>The licensing framework aims to better align the ACT’s requirements with other more contemporary licensing schemes and ensures workers can have the same service delivery expectations for workers’ compensation matters regardless of whether their employer is insured by an insurer or self-insured.</w:t>
      </w:r>
    </w:p>
    <w:p w14:paraId="4D3AEBD8" w14:textId="77777777" w:rsidR="004B2251" w:rsidRPr="00F76D2F" w:rsidRDefault="004B2251" w:rsidP="004B2251">
      <w:pPr>
        <w:spacing w:before="120" w:after="120"/>
        <w:ind w:left="720"/>
        <w:rPr>
          <w:rFonts w:cstheme="minorHAnsi"/>
        </w:rPr>
      </w:pPr>
      <w:r w:rsidRPr="00F76D2F">
        <w:rPr>
          <w:rFonts w:cstheme="minorHAnsi"/>
        </w:rPr>
        <w:t>These amendments support the required licensing framework to align with the new requirements under the WC Act and provide for the licensing application process, criteria for issuing a licence, conditions that may be imposed on a licence, and record</w:t>
      </w:r>
      <w:r w:rsidRPr="00F76D2F">
        <w:rPr>
          <w:rFonts w:cstheme="minorHAnsi"/>
        </w:rPr>
        <w:noBreakHyphen/>
        <w:t>keeping requirements.</w:t>
      </w:r>
    </w:p>
    <w:p w14:paraId="68769E20" w14:textId="77777777" w:rsidR="004B2251" w:rsidRDefault="004B2251" w:rsidP="004B2251">
      <w:pPr>
        <w:spacing w:before="120" w:after="120"/>
        <w:rPr>
          <w:rFonts w:cstheme="minorHAnsi"/>
        </w:rPr>
      </w:pPr>
      <w:r>
        <w:rPr>
          <w:rFonts w:cstheme="minorHAnsi"/>
        </w:rPr>
        <w:t>The explanatory statement goes on to discuss human rights issues:</w:t>
      </w:r>
    </w:p>
    <w:bookmarkEnd w:id="586"/>
    <w:p w14:paraId="299D179B" w14:textId="77777777" w:rsidR="004B2251" w:rsidRPr="00557FC0" w:rsidRDefault="004B2251" w:rsidP="004B2251">
      <w:pPr>
        <w:spacing w:before="120" w:after="120"/>
        <w:ind w:left="720"/>
        <w:rPr>
          <w:rFonts w:cstheme="minorHAnsi"/>
          <w:b/>
          <w:bCs/>
        </w:rPr>
      </w:pPr>
      <w:r w:rsidRPr="00557FC0">
        <w:rPr>
          <w:rFonts w:cstheme="minorHAnsi"/>
          <w:b/>
          <w:bCs/>
        </w:rPr>
        <w:t>CONSISTENCY WITH HUMAN RIGHTS</w:t>
      </w:r>
    </w:p>
    <w:p w14:paraId="0A9F50F5" w14:textId="77777777" w:rsidR="004B2251" w:rsidRPr="00557FC0" w:rsidRDefault="004B2251" w:rsidP="004B2251">
      <w:pPr>
        <w:pStyle w:val="ESText"/>
        <w:spacing w:before="120" w:after="120" w:line="240" w:lineRule="auto"/>
        <w:ind w:left="720"/>
        <w:rPr>
          <w:rFonts w:asciiTheme="minorHAnsi" w:hAnsiTheme="minorHAnsi" w:cstheme="minorHAnsi"/>
          <w:sz w:val="22"/>
          <w:szCs w:val="22"/>
        </w:rPr>
      </w:pPr>
      <w:r w:rsidRPr="00557FC0">
        <w:rPr>
          <w:rFonts w:asciiTheme="minorHAnsi" w:hAnsiTheme="minorHAnsi" w:cstheme="minorHAnsi"/>
          <w:sz w:val="22"/>
          <w:szCs w:val="22"/>
        </w:rPr>
        <w:t xml:space="preserve">These amendments do not engage the </w:t>
      </w:r>
      <w:r w:rsidRPr="00557FC0">
        <w:rPr>
          <w:rFonts w:asciiTheme="minorHAnsi" w:hAnsiTheme="minorHAnsi" w:cstheme="minorHAnsi"/>
          <w:i/>
          <w:iCs/>
          <w:sz w:val="22"/>
          <w:szCs w:val="22"/>
        </w:rPr>
        <w:t>Human Rights Act 2004</w:t>
      </w:r>
      <w:r w:rsidRPr="00557FC0">
        <w:rPr>
          <w:rFonts w:asciiTheme="minorHAnsi" w:hAnsiTheme="minorHAnsi" w:cstheme="minorHAnsi"/>
          <w:sz w:val="22"/>
          <w:szCs w:val="22"/>
        </w:rPr>
        <w:t xml:space="preserve"> (HR Act). </w:t>
      </w:r>
    </w:p>
    <w:p w14:paraId="1CF16A99" w14:textId="77777777" w:rsidR="004B2251" w:rsidRPr="002A3DCD" w:rsidRDefault="004B2251" w:rsidP="004B2251">
      <w:pPr>
        <w:pStyle w:val="Bodycopy"/>
        <w:spacing w:before="120" w:after="120" w:line="240" w:lineRule="auto"/>
        <w:rPr>
          <w:b/>
        </w:rPr>
      </w:pPr>
      <w:r>
        <w:rPr>
          <w:b/>
        </w:rPr>
        <w:t>The Com</w:t>
      </w:r>
      <w:r w:rsidRPr="002A3DCD">
        <w:rPr>
          <w:b/>
        </w:rPr>
        <w:t>mittee draws the attention of the Legislative Assembly to the discussion of human rights issues in the explanatory statement</w:t>
      </w:r>
      <w:r>
        <w:rPr>
          <w:b/>
        </w:rPr>
        <w:t xml:space="preserve"> for this subordinate law</w:t>
      </w:r>
      <w:r w:rsidRPr="002A3DCD">
        <w:rPr>
          <w:b/>
        </w:rPr>
        <w:t>.</w:t>
      </w:r>
    </w:p>
    <w:p w14:paraId="74932DC5" w14:textId="77777777" w:rsidR="004B2251" w:rsidRDefault="004B2251" w:rsidP="004B2251">
      <w:pPr>
        <w:pStyle w:val="Bodycopy"/>
        <w:spacing w:before="120" w:after="120" w:line="280" w:lineRule="exact"/>
        <w:rPr>
          <w:b/>
        </w:rPr>
      </w:pPr>
      <w:r w:rsidRPr="002A3DCD">
        <w:rPr>
          <w:b/>
        </w:rPr>
        <w:t>Th</w:t>
      </w:r>
      <w:r>
        <w:rPr>
          <w:b/>
        </w:rPr>
        <w:t>is</w:t>
      </w:r>
      <w:r w:rsidRPr="002A3DCD">
        <w:rPr>
          <w:b/>
        </w:rPr>
        <w:t xml:space="preserve"> comment does not require a response from the Minister.</w:t>
      </w:r>
    </w:p>
    <w:p w14:paraId="2E8A9526" w14:textId="26312491" w:rsidR="00F753CA" w:rsidRDefault="00C874F7" w:rsidP="00382F85">
      <w:pPr>
        <w:pStyle w:val="Heading2"/>
      </w:pPr>
      <w:bookmarkStart w:id="587" w:name="_Toc103682617"/>
      <w:r>
        <w:t>R</w:t>
      </w:r>
      <w:r w:rsidR="00F753CA">
        <w:t>esponses</w:t>
      </w:r>
      <w:bookmarkEnd w:id="587"/>
    </w:p>
    <w:p w14:paraId="7A38772C" w14:textId="53A050F6" w:rsidR="00C874F7" w:rsidRPr="00C0254A" w:rsidRDefault="00743219" w:rsidP="00C0254A">
      <w:pPr>
        <w:pStyle w:val="Heading5"/>
      </w:pPr>
      <w:bookmarkStart w:id="588" w:name="_Toc88029469"/>
      <w:bookmarkStart w:id="589" w:name="_Toc97722466"/>
      <w:bookmarkStart w:id="590" w:name="_Toc99010783"/>
      <w:bookmarkStart w:id="591" w:name="_Toc99029474"/>
      <w:r>
        <w:t xml:space="preserve">Government </w:t>
      </w:r>
      <w:r w:rsidR="00B2585A" w:rsidRPr="00C0254A">
        <w:t>Response</w:t>
      </w:r>
      <w:bookmarkEnd w:id="588"/>
      <w:bookmarkEnd w:id="589"/>
      <w:bookmarkEnd w:id="590"/>
      <w:bookmarkEnd w:id="591"/>
      <w:r>
        <w:t>s</w:t>
      </w:r>
    </w:p>
    <w:bookmarkEnd w:id="564"/>
    <w:bookmarkEnd w:id="565"/>
    <w:bookmarkEnd w:id="566"/>
    <w:bookmarkEnd w:id="567"/>
    <w:p w14:paraId="698E8D6D" w14:textId="0457244A" w:rsidR="00743219" w:rsidRDefault="00743219" w:rsidP="00AB560C">
      <w:pPr>
        <w:keepLines/>
        <w:widowControl w:val="0"/>
        <w:numPr>
          <w:ilvl w:val="0"/>
          <w:numId w:val="12"/>
        </w:numPr>
        <w:spacing w:after="200" w:line="270" w:lineRule="exact"/>
      </w:pPr>
      <w:r>
        <w:t>Mr Rattenbury (Minister for Consumer Affairs)</w:t>
      </w:r>
      <w:r w:rsidR="00045B1E">
        <w:t xml:space="preserve">, dated </w:t>
      </w:r>
      <w:r>
        <w:t xml:space="preserve">4 May </w:t>
      </w:r>
      <w:r w:rsidR="00B2585A">
        <w:t>2022,</w:t>
      </w:r>
      <w:r w:rsidR="00E23279">
        <w:t xml:space="preserve"> in relation to comments </w:t>
      </w:r>
      <w:r w:rsidR="00E56C79">
        <w:t xml:space="preserve">made </w:t>
      </w:r>
      <w:r w:rsidR="00E23279">
        <w:t>in </w:t>
      </w:r>
      <w:r w:rsidR="00045B1E">
        <w:t xml:space="preserve">Scrutiny Report </w:t>
      </w:r>
      <w:r>
        <w:t>15</w:t>
      </w:r>
      <w:r w:rsidR="00045B1E">
        <w:t xml:space="preserve"> concerning </w:t>
      </w:r>
      <w:r w:rsidR="00E56C79">
        <w:t xml:space="preserve">the </w:t>
      </w:r>
      <w:r>
        <w:t>Fair Trading and Other Justice Legislation Amendment Bill 2022.</w:t>
      </w:r>
    </w:p>
    <w:p w14:paraId="394FCB8A" w14:textId="7134E145" w:rsidR="00743219" w:rsidRDefault="00743219" w:rsidP="00743219">
      <w:pPr>
        <w:keepLines/>
        <w:widowControl w:val="0"/>
        <w:numPr>
          <w:ilvl w:val="0"/>
          <w:numId w:val="12"/>
        </w:numPr>
        <w:spacing w:after="200" w:line="270" w:lineRule="exact"/>
      </w:pPr>
      <w:r>
        <w:t>Ms Stephen-Smith (Minister for Health), dated 4 May 2022, in relation to comments made in Scrutiny Report 15 concerning the Radiation Protection Amendment Bill 2022.</w:t>
      </w:r>
    </w:p>
    <w:p w14:paraId="76F7369A" w14:textId="30276332" w:rsidR="007D10B6" w:rsidRDefault="007D10B6" w:rsidP="00E363FB">
      <w:pPr>
        <w:keepLines/>
        <w:widowControl w:val="0"/>
        <w:numPr>
          <w:ilvl w:val="0"/>
          <w:numId w:val="12"/>
        </w:numPr>
        <w:spacing w:after="200" w:line="270" w:lineRule="exact"/>
      </w:pPr>
      <w:r>
        <w:t xml:space="preserve">Mr Rattenbury (Attorney-General), dated 3 May 2022, in relation to DI2022-1 being the Court Procedures (Fees) Determination 2022. </w:t>
      </w:r>
    </w:p>
    <w:p w14:paraId="0D2DC691" w14:textId="77777777" w:rsidR="007D10B6" w:rsidRPr="00C0254A" w:rsidRDefault="007D10B6" w:rsidP="007D10B6">
      <w:pPr>
        <w:pStyle w:val="Heading5"/>
      </w:pPr>
      <w:r>
        <w:t>.</w:t>
      </w:r>
      <w:r w:rsidR="00743219">
        <w:t>Private Members response</w:t>
      </w:r>
    </w:p>
    <w:p w14:paraId="0B37082F" w14:textId="70A016BB" w:rsidR="00743219" w:rsidRDefault="00D756E2" w:rsidP="00BE072B">
      <w:pPr>
        <w:keepLines/>
        <w:widowControl w:val="0"/>
        <w:numPr>
          <w:ilvl w:val="0"/>
          <w:numId w:val="12"/>
        </w:numPr>
        <w:spacing w:after="200" w:line="270" w:lineRule="exact"/>
      </w:pPr>
      <w:r>
        <w:t xml:space="preserve">Dr Paterson, </w:t>
      </w:r>
      <w:r w:rsidR="00743219">
        <w:t xml:space="preserve">dated 4 May 2022, in relation to comments made in Scrutiny Report 15 concerning the </w:t>
      </w:r>
      <w:r w:rsidR="00382F85">
        <w:t>Crimes (Consent)</w:t>
      </w:r>
      <w:r w:rsidR="00743219">
        <w:t xml:space="preserve"> Amendment Bill 2022.</w:t>
      </w:r>
    </w:p>
    <w:p w14:paraId="05481744" w14:textId="77777777" w:rsidR="00D0339B" w:rsidRPr="00D0339B" w:rsidRDefault="004C5308" w:rsidP="00D0339B">
      <w:pPr>
        <w:keepLines/>
        <w:widowControl w:val="0"/>
        <w:spacing w:after="200" w:line="270" w:lineRule="exact"/>
        <w:ind w:left="360"/>
        <w:rPr>
          <w:b/>
        </w:rPr>
      </w:pPr>
      <w:hyperlink r:id="rId24" w:history="1">
        <w:r w:rsidR="00D0339B" w:rsidRPr="00D0339B">
          <w:rPr>
            <w:rStyle w:val="Hyperlink"/>
            <w:b/>
          </w:rPr>
          <w:t>These responses</w:t>
        </w:r>
      </w:hyperlink>
      <w:r w:rsidR="00D0339B" w:rsidRPr="00D0339B">
        <w:rPr>
          <w:b/>
          <w:i/>
          <w:vertAlign w:val="superscript"/>
        </w:rPr>
        <w:footnoteReference w:id="5"/>
      </w:r>
      <w:r w:rsidR="00D0339B" w:rsidRPr="00D0339B">
        <w:rPr>
          <w:b/>
          <w:i/>
        </w:rPr>
        <w:t xml:space="preserve"> </w:t>
      </w:r>
      <w:r w:rsidR="00D0339B" w:rsidRPr="00D0339B">
        <w:rPr>
          <w:b/>
        </w:rPr>
        <w:t>can be viewed online.</w:t>
      </w:r>
    </w:p>
    <w:p w14:paraId="41B14A23" w14:textId="721549AE" w:rsidR="00C13B2C" w:rsidRDefault="00C13B2C" w:rsidP="00964EA9">
      <w:pPr>
        <w:pStyle w:val="Paper"/>
        <w:keepLines/>
        <w:spacing w:before="220" w:after="0" w:line="280" w:lineRule="exact"/>
        <w:rPr>
          <w:rFonts w:asciiTheme="minorHAnsi" w:hAnsiTheme="minorHAnsi"/>
          <w:bCs/>
          <w:sz w:val="22"/>
          <w:szCs w:val="22"/>
        </w:rPr>
      </w:pPr>
      <w:r w:rsidRPr="00D0339B">
        <w:rPr>
          <w:rFonts w:asciiTheme="minorHAnsi" w:hAnsiTheme="minorHAnsi"/>
          <w:bCs/>
          <w:sz w:val="22"/>
          <w:szCs w:val="22"/>
        </w:rPr>
        <w:t xml:space="preserve">The Committee wishes to thank </w:t>
      </w:r>
      <w:r w:rsidR="007D10B6">
        <w:rPr>
          <w:rFonts w:asciiTheme="minorHAnsi" w:hAnsiTheme="minorHAnsi"/>
          <w:bCs/>
          <w:sz w:val="22"/>
          <w:szCs w:val="22"/>
        </w:rPr>
        <w:t xml:space="preserve">the Attorney-General, </w:t>
      </w:r>
      <w:r w:rsidR="00D0339B" w:rsidRPr="00D0339B">
        <w:rPr>
          <w:rFonts w:asciiTheme="minorHAnsi" w:hAnsiTheme="minorHAnsi"/>
          <w:sz w:val="22"/>
          <w:szCs w:val="22"/>
        </w:rPr>
        <w:t xml:space="preserve">Minister for Consumer Affairs, </w:t>
      </w:r>
      <w:proofErr w:type="gramStart"/>
      <w:r w:rsidR="00D0339B" w:rsidRPr="00D0339B">
        <w:rPr>
          <w:rFonts w:asciiTheme="minorHAnsi" w:hAnsiTheme="minorHAnsi"/>
          <w:sz w:val="22"/>
          <w:szCs w:val="22"/>
        </w:rPr>
        <w:t>the</w:t>
      </w:r>
      <w:proofErr w:type="gramEnd"/>
      <w:r w:rsidR="00D0339B" w:rsidRPr="00D0339B">
        <w:rPr>
          <w:rFonts w:asciiTheme="minorHAnsi" w:hAnsiTheme="minorHAnsi"/>
          <w:sz w:val="22"/>
          <w:szCs w:val="22"/>
        </w:rPr>
        <w:t xml:space="preserve"> Minister for Health and Dr Paterson </w:t>
      </w:r>
      <w:r w:rsidR="009E4E7C" w:rsidRPr="00D0339B">
        <w:rPr>
          <w:rFonts w:asciiTheme="minorHAnsi" w:hAnsiTheme="minorHAnsi"/>
          <w:bCs/>
          <w:sz w:val="22"/>
          <w:szCs w:val="22"/>
        </w:rPr>
        <w:t>f</w:t>
      </w:r>
      <w:r w:rsidR="00280D11" w:rsidRPr="00D0339B">
        <w:rPr>
          <w:rFonts w:asciiTheme="minorHAnsi" w:hAnsiTheme="minorHAnsi"/>
          <w:bCs/>
          <w:sz w:val="22"/>
          <w:szCs w:val="22"/>
        </w:rPr>
        <w:t xml:space="preserve">or </w:t>
      </w:r>
      <w:r w:rsidR="00D0339B" w:rsidRPr="00D0339B">
        <w:rPr>
          <w:rFonts w:asciiTheme="minorHAnsi" w:hAnsiTheme="minorHAnsi"/>
          <w:bCs/>
          <w:sz w:val="22"/>
          <w:szCs w:val="22"/>
        </w:rPr>
        <w:t>their</w:t>
      </w:r>
      <w:r w:rsidRPr="00D0339B">
        <w:rPr>
          <w:rFonts w:asciiTheme="minorHAnsi" w:hAnsiTheme="minorHAnsi"/>
          <w:bCs/>
          <w:sz w:val="22"/>
          <w:szCs w:val="22"/>
        </w:rPr>
        <w:t xml:space="preserve"> helpful response</w:t>
      </w:r>
      <w:r w:rsidR="00D0339B" w:rsidRPr="00D0339B">
        <w:rPr>
          <w:rFonts w:asciiTheme="minorHAnsi" w:hAnsiTheme="minorHAnsi"/>
          <w:bCs/>
          <w:sz w:val="22"/>
          <w:szCs w:val="22"/>
        </w:rPr>
        <w:t>s</w:t>
      </w:r>
      <w:r w:rsidRPr="00D0339B">
        <w:rPr>
          <w:rFonts w:asciiTheme="minorHAnsi" w:hAnsiTheme="minorHAnsi"/>
          <w:bCs/>
          <w:sz w:val="22"/>
          <w:szCs w:val="22"/>
        </w:rPr>
        <w:t>.</w:t>
      </w:r>
    </w:p>
    <w:p w14:paraId="63F1EE88" w14:textId="12D5147E" w:rsidR="00C60AB8" w:rsidRDefault="00C60AB8" w:rsidP="00964EA9">
      <w:pPr>
        <w:pStyle w:val="Paper"/>
        <w:keepLines/>
        <w:spacing w:before="220" w:after="0" w:line="280" w:lineRule="exact"/>
        <w:rPr>
          <w:rFonts w:asciiTheme="minorHAnsi" w:hAnsiTheme="minorHAnsi"/>
          <w:bCs/>
          <w:sz w:val="22"/>
          <w:szCs w:val="22"/>
        </w:rPr>
      </w:pPr>
      <w:bookmarkStart w:id="592" w:name="_GoBack"/>
      <w:bookmarkEnd w:id="592"/>
    </w:p>
    <w:p w14:paraId="5358B537" w14:textId="0F3A5469" w:rsidR="00C60AB8" w:rsidRPr="00D0339B" w:rsidRDefault="00C60AB8" w:rsidP="00964EA9">
      <w:pPr>
        <w:pStyle w:val="Paper"/>
        <w:keepLines/>
        <w:spacing w:before="220" w:after="0" w:line="280" w:lineRule="exact"/>
        <w:rPr>
          <w:rFonts w:asciiTheme="minorHAnsi" w:hAnsiTheme="minorHAnsi"/>
          <w:bCs/>
          <w:sz w:val="22"/>
          <w:szCs w:val="22"/>
        </w:rPr>
      </w:pPr>
    </w:p>
    <w:p w14:paraId="6B379F17" w14:textId="751F6D4A" w:rsidR="00964EA9" w:rsidRDefault="00964EA9" w:rsidP="00964EA9">
      <w:pPr>
        <w:spacing w:before="0" w:after="0" w:line="100" w:lineRule="exact"/>
      </w:pPr>
      <w:r w:rsidRPr="009E4E7C">
        <w:rPr>
          <w:noProof/>
          <w:lang w:eastAsia="en-AU"/>
        </w:rPr>
        <w:drawing>
          <wp:inline distT="0" distB="0" distL="0" distR="0" wp14:anchorId="51B09722" wp14:editId="7EA2D8E0">
            <wp:extent cx="3995455" cy="773723"/>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SON Signature JPG (2).jpg"/>
                    <pic:cNvPicPr/>
                  </pic:nvPicPr>
                  <pic:blipFill>
                    <a:blip r:embed="rId25">
                      <a:extLst>
                        <a:ext uri="{28A0092B-C50C-407E-A947-70E740481C1C}">
                          <a14:useLocalDpi xmlns:a14="http://schemas.microsoft.com/office/drawing/2010/main" val="0"/>
                        </a:ext>
                      </a:extLst>
                    </a:blip>
                    <a:stretch>
                      <a:fillRect/>
                    </a:stretch>
                  </pic:blipFill>
                  <pic:spPr>
                    <a:xfrm>
                      <a:off x="0" y="0"/>
                      <a:ext cx="4014181" cy="777349"/>
                    </a:xfrm>
                    <a:prstGeom prst="rect">
                      <a:avLst/>
                    </a:prstGeom>
                  </pic:spPr>
                </pic:pic>
              </a:graphicData>
            </a:graphic>
          </wp:inline>
        </w:drawing>
      </w:r>
    </w:p>
    <w:p w14:paraId="4976063E" w14:textId="56201001" w:rsidR="004F019A" w:rsidRPr="00104A8B" w:rsidRDefault="00597933" w:rsidP="00C60AB8">
      <w:pPr>
        <w:spacing w:before="0" w:after="0"/>
      </w:pPr>
      <w:r>
        <w:t>Peter Cain</w:t>
      </w:r>
      <w:r w:rsidR="00786EE7">
        <w:t xml:space="preserve"> </w:t>
      </w:r>
      <w:r w:rsidR="004F019A" w:rsidRPr="00104A8B">
        <w:t>MLA</w:t>
      </w:r>
    </w:p>
    <w:p w14:paraId="051AF380" w14:textId="4894EF75" w:rsidR="007D10B6" w:rsidRDefault="004F019A" w:rsidP="00C60AB8">
      <w:pPr>
        <w:spacing w:before="0" w:after="0"/>
      </w:pPr>
      <w:r w:rsidRPr="00104A8B">
        <w:t>Chair</w:t>
      </w:r>
    </w:p>
    <w:p w14:paraId="064BA350" w14:textId="47DD67B1" w:rsidR="003F186C" w:rsidRPr="00FF2947" w:rsidRDefault="00C60AB8" w:rsidP="00C60AB8">
      <w:pPr>
        <w:spacing w:before="0" w:after="0"/>
        <w:sectPr w:rsidR="003F186C" w:rsidRPr="00FF2947" w:rsidSect="007D10B6">
          <w:headerReference w:type="even" r:id="rId26"/>
          <w:headerReference w:type="default" r:id="rId27"/>
          <w:footerReference w:type="even" r:id="rId28"/>
          <w:footerReference w:type="default" r:id="rId29"/>
          <w:headerReference w:type="first" r:id="rId30"/>
          <w:pgSz w:w="11906" w:h="16838"/>
          <w:pgMar w:top="1560" w:right="1440" w:bottom="851" w:left="1440" w:header="708" w:footer="543" w:gutter="0"/>
          <w:pgNumType w:start="1"/>
          <w:cols w:space="708"/>
          <w:docGrid w:linePitch="360"/>
        </w:sectPr>
      </w:pPr>
      <w:r>
        <w:t>19</w:t>
      </w:r>
      <w:r w:rsidR="00597933">
        <w:t xml:space="preserve"> </w:t>
      </w:r>
      <w:r w:rsidR="00D0339B">
        <w:t xml:space="preserve">May </w:t>
      </w:r>
      <w:r w:rsidR="0016031B">
        <w:t>2022</w:t>
      </w:r>
    </w:p>
    <w:p w14:paraId="1EC4F002" w14:textId="77777777" w:rsidR="003F186C" w:rsidRPr="00104A8B" w:rsidRDefault="003F186C" w:rsidP="00382F85">
      <w:pPr>
        <w:pStyle w:val="Heading2"/>
      </w:pPr>
      <w:bookmarkStart w:id="593" w:name="_Toc514837979"/>
      <w:bookmarkStart w:id="594" w:name="_Toc103682618"/>
      <w:r w:rsidRPr="00104A8B">
        <w:lastRenderedPageBreak/>
        <w:t>Outstanding Responses</w:t>
      </w:r>
      <w:bookmarkEnd w:id="593"/>
      <w:bookmarkEnd w:id="594"/>
    </w:p>
    <w:p w14:paraId="04383C32" w14:textId="77777777" w:rsidR="003F186C" w:rsidRPr="00104A8B" w:rsidRDefault="003F186C" w:rsidP="00C0254A">
      <w:pPr>
        <w:pStyle w:val="Heading5"/>
      </w:pPr>
      <w:bookmarkStart w:id="595" w:name="_Toc505005688"/>
      <w:bookmarkStart w:id="596" w:name="_Toc505153779"/>
      <w:bookmarkStart w:id="597" w:name="_Toc508283444"/>
      <w:bookmarkStart w:id="598" w:name="_Toc510081804"/>
      <w:bookmarkStart w:id="599" w:name="_Toc511812230"/>
      <w:bookmarkStart w:id="600" w:name="_Toc512240173"/>
      <w:bookmarkStart w:id="601" w:name="_Toc513192173"/>
      <w:bookmarkStart w:id="602" w:name="_Toc514832434"/>
      <w:bookmarkStart w:id="603" w:name="_Toc514837980"/>
      <w:bookmarkStart w:id="604" w:name="_Toc514838144"/>
      <w:bookmarkStart w:id="605" w:name="_Toc514943619"/>
      <w:bookmarkStart w:id="606" w:name="_Toc515352064"/>
      <w:bookmarkStart w:id="607" w:name="_Toc518297261"/>
      <w:bookmarkStart w:id="608" w:name="_Toc519520755"/>
      <w:bookmarkStart w:id="609" w:name="_Toc520188735"/>
      <w:bookmarkStart w:id="610" w:name="_Toc521054338"/>
      <w:bookmarkStart w:id="611" w:name="_Toc521054410"/>
      <w:bookmarkStart w:id="612" w:name="_Toc523814181"/>
      <w:bookmarkStart w:id="613" w:name="_Toc523900477"/>
      <w:bookmarkStart w:id="614" w:name="_Toc526855826"/>
      <w:bookmarkStart w:id="615" w:name="_Toc528155854"/>
      <w:bookmarkStart w:id="616" w:name="_Toc528157213"/>
      <w:bookmarkStart w:id="617" w:name="_Toc528310867"/>
      <w:bookmarkStart w:id="618" w:name="_Toc529974547"/>
      <w:bookmarkStart w:id="619" w:name="_Toc530039442"/>
      <w:bookmarkStart w:id="620" w:name="_Toc536527689"/>
      <w:bookmarkStart w:id="621" w:name="_Toc536527863"/>
      <w:bookmarkStart w:id="622" w:name="_Toc536615405"/>
      <w:bookmarkStart w:id="623" w:name="_Toc172184"/>
      <w:bookmarkStart w:id="624" w:name="_Toc506087"/>
      <w:bookmarkStart w:id="625" w:name="_Toc965832"/>
      <w:bookmarkStart w:id="626" w:name="_Toc6211048"/>
      <w:bookmarkStart w:id="627" w:name="_Toc9500017"/>
      <w:bookmarkStart w:id="628" w:name="_Toc14334625"/>
      <w:bookmarkStart w:id="629" w:name="_Toc14775975"/>
      <w:bookmarkStart w:id="630" w:name="_Toc15285040"/>
      <w:bookmarkStart w:id="631" w:name="_Toc15630677"/>
      <w:bookmarkStart w:id="632" w:name="_Toc18415350"/>
      <w:bookmarkStart w:id="633" w:name="_Toc18487717"/>
      <w:bookmarkStart w:id="634" w:name="_Toc19708407"/>
      <w:bookmarkStart w:id="635" w:name="_Toc20131698"/>
      <w:bookmarkStart w:id="636" w:name="_Toc21595465"/>
      <w:bookmarkStart w:id="637" w:name="_Toc22025468"/>
      <w:bookmarkStart w:id="638" w:name="_Toc24463733"/>
      <w:bookmarkStart w:id="639" w:name="_Toc24617731"/>
      <w:bookmarkStart w:id="640" w:name="_Toc25050804"/>
      <w:bookmarkStart w:id="641" w:name="_Toc31202278"/>
      <w:bookmarkStart w:id="642" w:name="_Toc32390211"/>
      <w:bookmarkStart w:id="643" w:name="_Toc32566855"/>
      <w:bookmarkStart w:id="644" w:name="_Toc35437959"/>
      <w:bookmarkStart w:id="645" w:name="_Toc38270552"/>
      <w:bookmarkStart w:id="646" w:name="_Toc38362407"/>
      <w:bookmarkStart w:id="647" w:name="_Toc38442400"/>
      <w:bookmarkStart w:id="648" w:name="_Toc38976339"/>
      <w:bookmarkStart w:id="649" w:name="_Toc40693261"/>
      <w:bookmarkStart w:id="650" w:name="_Toc41570939"/>
      <w:bookmarkStart w:id="651" w:name="_Toc42875016"/>
      <w:bookmarkStart w:id="652" w:name="_Toc44074228"/>
      <w:bookmarkStart w:id="653" w:name="_Toc44323945"/>
      <w:bookmarkStart w:id="654" w:name="_Toc80613276"/>
      <w:bookmarkStart w:id="655" w:name="_Toc80701782"/>
      <w:bookmarkStart w:id="656" w:name="_Toc83302237"/>
      <w:bookmarkStart w:id="657" w:name="_Toc86229569"/>
      <w:bookmarkStart w:id="658" w:name="_Toc88029471"/>
      <w:bookmarkStart w:id="659" w:name="_Toc94002946"/>
      <w:bookmarkStart w:id="660" w:name="_Toc97722468"/>
      <w:bookmarkStart w:id="661" w:name="_Toc99010785"/>
      <w:bookmarkStart w:id="662" w:name="_Toc99029476"/>
      <w:r w:rsidRPr="00104A8B">
        <w:t>Bills/Subordinate Legislation</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14:paraId="372373EC" w14:textId="77777777" w:rsidR="0081147F" w:rsidRPr="00DA162C" w:rsidRDefault="0081147F" w:rsidP="0081147F">
      <w:pPr>
        <w:pStyle w:val="ListParagraph"/>
        <w:numPr>
          <w:ilvl w:val="0"/>
          <w:numId w:val="11"/>
        </w:numPr>
        <w:spacing w:before="240" w:after="0"/>
        <w:ind w:left="357" w:hanging="357"/>
        <w:contextualSpacing w:val="0"/>
        <w:rPr>
          <w:b/>
        </w:rPr>
      </w:pPr>
      <w:r>
        <w:rPr>
          <w:b/>
        </w:rPr>
        <w:t>Report 2, dated 24 March 2021</w:t>
      </w:r>
    </w:p>
    <w:p w14:paraId="6622F61B" w14:textId="77777777" w:rsidR="0081147F" w:rsidRPr="00595CC0" w:rsidRDefault="0081147F" w:rsidP="005D6E99">
      <w:pPr>
        <w:pStyle w:val="ListParagraph"/>
        <w:numPr>
          <w:ilvl w:val="0"/>
          <w:numId w:val="24"/>
        </w:numPr>
        <w:spacing w:before="120" w:after="0"/>
        <w:ind w:left="720"/>
        <w:contextualSpacing w:val="0"/>
      </w:pPr>
      <w:r w:rsidRPr="00595CC0">
        <w:t>Drugs of Dependence (Personal Use) Amendment Bill 2021</w:t>
      </w:r>
    </w:p>
    <w:p w14:paraId="628485BB" w14:textId="77777777" w:rsidR="00EB466F" w:rsidRPr="00D12C27" w:rsidRDefault="00EB466F" w:rsidP="00D12C27">
      <w:pPr>
        <w:pStyle w:val="ListParagraph"/>
        <w:numPr>
          <w:ilvl w:val="0"/>
          <w:numId w:val="11"/>
        </w:numPr>
        <w:spacing w:before="240" w:after="0"/>
        <w:ind w:left="357" w:hanging="357"/>
        <w:contextualSpacing w:val="0"/>
        <w:rPr>
          <w:b/>
        </w:rPr>
      </w:pPr>
      <w:r w:rsidRPr="00D12C27">
        <w:rPr>
          <w:b/>
        </w:rPr>
        <w:t>Report 12, dated 1 February 2022</w:t>
      </w:r>
    </w:p>
    <w:p w14:paraId="4560063A" w14:textId="02729DEF" w:rsidR="00EB466F" w:rsidRDefault="00F03ABE" w:rsidP="00D12C27">
      <w:pPr>
        <w:pStyle w:val="ListParagraph"/>
        <w:numPr>
          <w:ilvl w:val="0"/>
          <w:numId w:val="24"/>
        </w:numPr>
        <w:spacing w:before="120" w:after="0"/>
        <w:ind w:left="720"/>
        <w:contextualSpacing w:val="0"/>
      </w:pPr>
      <w:r>
        <w:t>Electoral Amendment Bill 2021</w:t>
      </w:r>
    </w:p>
    <w:p w14:paraId="0FDBB8C3" w14:textId="38A216D9" w:rsidR="00EB466F" w:rsidRDefault="00EB466F" w:rsidP="00D12C27">
      <w:pPr>
        <w:pStyle w:val="ListParagraph"/>
        <w:numPr>
          <w:ilvl w:val="0"/>
          <w:numId w:val="24"/>
        </w:numPr>
        <w:spacing w:before="120" w:after="0"/>
        <w:ind w:left="720"/>
        <w:contextualSpacing w:val="0"/>
      </w:pPr>
      <w:r>
        <w:t>Financial Manage</w:t>
      </w:r>
      <w:r w:rsidR="00D12C27">
        <w:t>ment Amendment Bill 2021 (No 2)</w:t>
      </w:r>
    </w:p>
    <w:p w14:paraId="4E2DB584" w14:textId="62C814AF" w:rsidR="00F75742" w:rsidRPr="00F03ABE" w:rsidRDefault="00F75742" w:rsidP="00F75742">
      <w:pPr>
        <w:pStyle w:val="ListParagraph"/>
        <w:numPr>
          <w:ilvl w:val="0"/>
          <w:numId w:val="11"/>
        </w:numPr>
        <w:spacing w:before="240" w:after="0"/>
        <w:ind w:left="357" w:hanging="357"/>
        <w:contextualSpacing w:val="0"/>
        <w:rPr>
          <w:b/>
        </w:rPr>
      </w:pPr>
      <w:r w:rsidRPr="00F03ABE">
        <w:rPr>
          <w:b/>
        </w:rPr>
        <w:t xml:space="preserve">Report </w:t>
      </w:r>
      <w:r>
        <w:rPr>
          <w:b/>
        </w:rPr>
        <w:t>15</w:t>
      </w:r>
      <w:r w:rsidRPr="00F03ABE">
        <w:rPr>
          <w:b/>
        </w:rPr>
        <w:t xml:space="preserve">, dated </w:t>
      </w:r>
      <w:r>
        <w:rPr>
          <w:b/>
        </w:rPr>
        <w:t>27 April</w:t>
      </w:r>
      <w:r w:rsidRPr="00F03ABE">
        <w:rPr>
          <w:b/>
        </w:rPr>
        <w:t xml:space="preserve"> 2022</w:t>
      </w:r>
    </w:p>
    <w:p w14:paraId="23572ADF" w14:textId="3EDF5345" w:rsidR="00F75742" w:rsidRDefault="00F75742" w:rsidP="00F75742">
      <w:pPr>
        <w:pStyle w:val="ListParagraph"/>
        <w:numPr>
          <w:ilvl w:val="0"/>
          <w:numId w:val="24"/>
        </w:numPr>
        <w:spacing w:before="120" w:after="0"/>
        <w:ind w:left="720"/>
        <w:contextualSpacing w:val="0"/>
      </w:pPr>
      <w:r>
        <w:t>Education Amendment Bill 2022</w:t>
      </w:r>
      <w:r w:rsidRPr="00034175">
        <w:t>)</w:t>
      </w:r>
      <w:r>
        <w:t xml:space="preserve"> [response required prior to the Bill being</w:t>
      </w:r>
      <w:r w:rsidRPr="00407FFD">
        <w:t xml:space="preserve"> debated</w:t>
      </w:r>
      <w:r>
        <w:t>]</w:t>
      </w:r>
    </w:p>
    <w:p w14:paraId="722A9A75" w14:textId="77777777" w:rsidR="00B2585A" w:rsidRDefault="00B2585A" w:rsidP="00B2585A">
      <w:pPr>
        <w:pStyle w:val="ListParagraph"/>
        <w:spacing w:before="120" w:after="0"/>
        <w:contextualSpacing w:val="0"/>
      </w:pPr>
    </w:p>
    <w:sectPr w:rsidR="00B2585A" w:rsidSect="00613A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5E1F3" w14:textId="77777777" w:rsidR="00523A5B" w:rsidRDefault="00523A5B" w:rsidP="000B0846">
      <w:pPr>
        <w:spacing w:after="0" w:line="240" w:lineRule="auto"/>
      </w:pPr>
      <w:r>
        <w:separator/>
      </w:r>
    </w:p>
  </w:endnote>
  <w:endnote w:type="continuationSeparator" w:id="0">
    <w:p w14:paraId="1194300C" w14:textId="77777777" w:rsidR="00523A5B" w:rsidRDefault="00523A5B" w:rsidP="000B0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vantGarde Bk BT">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05A93" w14:textId="77777777" w:rsidR="00523A5B" w:rsidRDefault="00523A5B">
    <w:pPr>
      <w:pStyle w:val="Footer"/>
    </w:pPr>
  </w:p>
  <w:p w14:paraId="239F8F6C" w14:textId="77777777" w:rsidR="00523A5B" w:rsidRDefault="00523A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2663E" w14:textId="77777777" w:rsidR="00523A5B" w:rsidRDefault="00523A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EDDD4" w14:textId="77777777" w:rsidR="00523A5B" w:rsidRDefault="00523A5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575871"/>
      <w:docPartObj>
        <w:docPartGallery w:val="Page Numbers (Bottom of Page)"/>
        <w:docPartUnique/>
      </w:docPartObj>
    </w:sdtPr>
    <w:sdtEndPr>
      <w:rPr>
        <w:noProof/>
      </w:rPr>
    </w:sdtEndPr>
    <w:sdtContent>
      <w:p w14:paraId="1336FCD2" w14:textId="77777777" w:rsidR="00523A5B" w:rsidRDefault="00523A5B">
        <w:pPr>
          <w:pStyle w:val="Footer"/>
        </w:pPr>
        <w:r>
          <w:rPr>
            <w:noProof/>
          </w:rPr>
          <w:fldChar w:fldCharType="begin"/>
        </w:r>
        <w:r>
          <w:rPr>
            <w:noProof/>
          </w:rPr>
          <w:instrText xml:space="preserve"> PAGE   \* MERGEFORMAT </w:instrText>
        </w:r>
        <w:r>
          <w:rPr>
            <w:noProof/>
          </w:rPr>
          <w:fldChar w:fldCharType="separate"/>
        </w:r>
        <w:r w:rsidR="004C5308">
          <w:rPr>
            <w:noProof/>
          </w:rPr>
          <w:t>ii</w:t>
        </w:r>
        <w:r>
          <w:rPr>
            <w:noProof/>
          </w:rPr>
          <w:fldChar w:fldCharType="end"/>
        </w:r>
      </w:p>
    </w:sdtContent>
  </w:sdt>
  <w:p w14:paraId="3F8DD25D" w14:textId="77777777" w:rsidR="00523A5B" w:rsidRDefault="00523A5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575872"/>
      <w:docPartObj>
        <w:docPartGallery w:val="Page Numbers (Bottom of Page)"/>
        <w:docPartUnique/>
      </w:docPartObj>
    </w:sdtPr>
    <w:sdtEndPr>
      <w:rPr>
        <w:noProof/>
      </w:rPr>
    </w:sdtEndPr>
    <w:sdtContent>
      <w:p w14:paraId="37A660F3" w14:textId="77777777" w:rsidR="00523A5B" w:rsidRDefault="00523A5B">
        <w:pPr>
          <w:pStyle w:val="Footer"/>
          <w:jc w:val="right"/>
        </w:pPr>
        <w:r>
          <w:rPr>
            <w:noProof/>
          </w:rPr>
          <w:fldChar w:fldCharType="begin"/>
        </w:r>
        <w:r>
          <w:rPr>
            <w:noProof/>
          </w:rPr>
          <w:instrText xml:space="preserve"> PAGE   \* MERGEFORMAT </w:instrText>
        </w:r>
        <w:r>
          <w:rPr>
            <w:noProof/>
          </w:rPr>
          <w:fldChar w:fldCharType="separate"/>
        </w:r>
        <w:r w:rsidR="004C5308">
          <w:rPr>
            <w:noProof/>
          </w:rPr>
          <w:t>iii</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7FAC8" w14:textId="77777777" w:rsidR="00523A5B" w:rsidRDefault="00523A5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0DA9A" w14:textId="77777777" w:rsidR="00523A5B" w:rsidRPr="00EE534B" w:rsidRDefault="00523A5B">
    <w:pPr>
      <w:pStyle w:val="Footer"/>
      <w:rPr>
        <w:sz w:val="18"/>
        <w:szCs w:val="18"/>
      </w:rPr>
    </w:pPr>
    <w:r>
      <w:rPr>
        <w:noProof/>
      </w:rPr>
      <w:fldChar w:fldCharType="begin"/>
    </w:r>
    <w:r>
      <w:rPr>
        <w:noProof/>
      </w:rPr>
      <w:instrText xml:space="preserve"> PAGE   \* MERGEFORMAT </w:instrText>
    </w:r>
    <w:r>
      <w:rPr>
        <w:noProof/>
      </w:rPr>
      <w:fldChar w:fldCharType="separate"/>
    </w:r>
    <w:r w:rsidR="004C5308">
      <w:rPr>
        <w:noProof/>
      </w:rPr>
      <w:t>12</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5359987"/>
      <w:docPartObj>
        <w:docPartGallery w:val="Page Numbers (Bottom of Page)"/>
        <w:docPartUnique/>
      </w:docPartObj>
    </w:sdtPr>
    <w:sdtEndPr>
      <w:rPr>
        <w:noProof/>
      </w:rPr>
    </w:sdtEndPr>
    <w:sdtContent>
      <w:p w14:paraId="52920946" w14:textId="77777777" w:rsidR="00523A5B" w:rsidRPr="00EE534B" w:rsidRDefault="00523A5B">
        <w:pPr>
          <w:pStyle w:val="Footer"/>
          <w:jc w:val="right"/>
          <w:rPr>
            <w:sz w:val="18"/>
            <w:szCs w:val="18"/>
          </w:rPr>
        </w:pPr>
        <w:r>
          <w:rPr>
            <w:noProof/>
          </w:rPr>
          <w:fldChar w:fldCharType="begin"/>
        </w:r>
        <w:r>
          <w:rPr>
            <w:noProof/>
          </w:rPr>
          <w:instrText xml:space="preserve"> PAGE   \* MERGEFORMAT </w:instrText>
        </w:r>
        <w:r>
          <w:rPr>
            <w:noProof/>
          </w:rPr>
          <w:fldChar w:fldCharType="separate"/>
        </w:r>
        <w:r w:rsidR="004C5308">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E5188" w14:textId="77777777" w:rsidR="00523A5B" w:rsidRDefault="00523A5B" w:rsidP="00F80596">
      <w:pPr>
        <w:spacing w:before="80" w:after="0" w:line="240" w:lineRule="auto"/>
      </w:pPr>
      <w:r>
        <w:separator/>
      </w:r>
    </w:p>
  </w:footnote>
  <w:footnote w:type="continuationSeparator" w:id="0">
    <w:p w14:paraId="5CA1592C" w14:textId="77777777" w:rsidR="00523A5B" w:rsidRDefault="00523A5B" w:rsidP="000B0846">
      <w:pPr>
        <w:spacing w:after="0" w:line="240" w:lineRule="auto"/>
      </w:pPr>
      <w:r>
        <w:continuationSeparator/>
      </w:r>
    </w:p>
  </w:footnote>
  <w:footnote w:id="1">
    <w:p w14:paraId="2AC205D3" w14:textId="77777777" w:rsidR="00653DE8" w:rsidRDefault="00653DE8" w:rsidP="00653DE8">
      <w:pPr>
        <w:pStyle w:val="FootnoteText"/>
      </w:pPr>
      <w:r>
        <w:rPr>
          <w:rStyle w:val="FootnoteReference"/>
        </w:rPr>
        <w:footnoteRef/>
      </w:r>
      <w:r>
        <w:t xml:space="preserve"> See </w:t>
      </w:r>
      <w:r w:rsidRPr="001C5E59">
        <w:rPr>
          <w:i/>
          <w:iCs/>
        </w:rPr>
        <w:t>Crimes Legislation Amendment Act 2021 (No 2)</w:t>
      </w:r>
      <w:r>
        <w:rPr>
          <w:i/>
          <w:iCs/>
        </w:rPr>
        <w:t xml:space="preserve">, </w:t>
      </w:r>
      <w:r w:rsidRPr="001C5E59">
        <w:t>Clause 17.</w:t>
      </w:r>
    </w:p>
  </w:footnote>
  <w:footnote w:id="2">
    <w:p w14:paraId="706630EA" w14:textId="77777777" w:rsidR="00653DE8" w:rsidRPr="005E5799" w:rsidRDefault="00653DE8" w:rsidP="00653DE8">
      <w:pPr>
        <w:pStyle w:val="FootnoteText"/>
        <w:rPr>
          <w:i/>
          <w:iCs/>
        </w:rPr>
      </w:pPr>
      <w:r>
        <w:rPr>
          <w:rStyle w:val="FootnoteReference"/>
        </w:rPr>
        <w:footnoteRef/>
      </w:r>
      <w:r>
        <w:t xml:space="preserve"> </w:t>
      </w:r>
      <w:r w:rsidRPr="005E5799">
        <w:rPr>
          <w:i/>
          <w:iCs/>
        </w:rPr>
        <w:t>Statutory Review of the Terrorism (Extraordinary Temporary Powers) Act 2006</w:t>
      </w:r>
      <w:r>
        <w:rPr>
          <w:i/>
          <w:iCs/>
        </w:rPr>
        <w:t>,</w:t>
      </w:r>
      <w:r>
        <w:t xml:space="preserve"> April 2021, available at </w:t>
      </w:r>
      <w:hyperlink r:id="rId1" w:history="1">
        <w:r w:rsidRPr="00B54012">
          <w:rPr>
            <w:rStyle w:val="Hyperlink"/>
          </w:rPr>
          <w:t>https://www.parliament.act.gov.au/__data/assets/pdf_file/0009/1762587/Statutory-Review-of-the-Terrorism-Extraordinary-Temporary-Powers-Act-2006.pdf</w:t>
        </w:r>
      </w:hyperlink>
      <w:r>
        <w:t xml:space="preserve">. </w:t>
      </w:r>
      <w:r>
        <w:rPr>
          <w:i/>
          <w:iCs/>
        </w:rPr>
        <w:t xml:space="preserve"> </w:t>
      </w:r>
    </w:p>
  </w:footnote>
  <w:footnote w:id="3">
    <w:p w14:paraId="1B6F62DE" w14:textId="77777777" w:rsidR="00653DE8" w:rsidRDefault="00653DE8" w:rsidP="00653DE8">
      <w:pPr>
        <w:pStyle w:val="FootnoteText"/>
      </w:pPr>
      <w:r>
        <w:rPr>
          <w:rStyle w:val="FootnoteReference"/>
        </w:rPr>
        <w:footnoteRef/>
      </w:r>
      <w:r>
        <w:t xml:space="preserve"> See </w:t>
      </w:r>
      <w:r>
        <w:rPr>
          <w:i/>
          <w:iCs/>
        </w:rPr>
        <w:t xml:space="preserve">ibid </w:t>
      </w:r>
      <w:r>
        <w:t>at page 3.</w:t>
      </w:r>
    </w:p>
  </w:footnote>
  <w:footnote w:id="4">
    <w:p w14:paraId="1B309AD2" w14:textId="77777777" w:rsidR="00653DE8" w:rsidRDefault="00653DE8" w:rsidP="00653DE8">
      <w:pPr>
        <w:pStyle w:val="FootnoteText"/>
      </w:pPr>
      <w:r>
        <w:rPr>
          <w:rStyle w:val="FootnoteReference"/>
        </w:rPr>
        <w:footnoteRef/>
      </w:r>
      <w:r>
        <w:t xml:space="preserve"> See definition in section 9.</w:t>
      </w:r>
    </w:p>
  </w:footnote>
  <w:footnote w:id="5">
    <w:p w14:paraId="39B14C24" w14:textId="77777777" w:rsidR="00D0339B" w:rsidRPr="00B951A8" w:rsidRDefault="00D0339B" w:rsidP="00D0339B">
      <w:pPr>
        <w:pStyle w:val="FootnoteText"/>
        <w:spacing w:before="0"/>
        <w:rPr>
          <w:sz w:val="18"/>
          <w:szCs w:val="18"/>
        </w:rPr>
      </w:pPr>
      <w:r w:rsidRPr="002C6E9B">
        <w:rPr>
          <w:rStyle w:val="FootnoteReference"/>
          <w:sz w:val="19"/>
          <w:szCs w:val="19"/>
        </w:rPr>
        <w:footnoteRef/>
      </w:r>
      <w:r w:rsidRPr="002C6E9B">
        <w:rPr>
          <w:sz w:val="19"/>
          <w:szCs w:val="19"/>
        </w:rPr>
        <w:t xml:space="preserve"> </w:t>
      </w:r>
      <w:hyperlink r:id="rId2" w:history="1">
        <w:r w:rsidRPr="00B951A8">
          <w:rPr>
            <w:rStyle w:val="Hyperlink"/>
            <w:color w:val="auto"/>
            <w:sz w:val="19"/>
            <w:szCs w:val="19"/>
            <w:lang w:eastAsia="en-AU"/>
          </w:rPr>
          <w:t>https://www.parliament.act.gov.au/parliamentary-business/in-committees/committees/JCS_Scrutiny/responses-to-comments-on-bills</w:t>
        </w:r>
      </w:hyperlink>
      <w:r w:rsidRPr="00B951A8">
        <w:rPr>
          <w:sz w:val="19"/>
          <w:szCs w:val="19"/>
          <w:lang w:eastAsia="en-A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01C1E" w14:textId="2A63C780" w:rsidR="00523A5B" w:rsidRDefault="00523A5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F4A56" w14:textId="479C9816" w:rsidR="00523A5B" w:rsidRPr="003B6A7E" w:rsidRDefault="00523A5B" w:rsidP="00FC2EEA">
    <w:pPr>
      <w:pStyle w:val="Header"/>
      <w:pBdr>
        <w:bottom w:val="single" w:sz="4" w:space="1" w:color="auto"/>
      </w:pBdr>
    </w:pPr>
    <w:r w:rsidRPr="009D788E">
      <w:rPr>
        <w:smallCaps/>
      </w:rPr>
      <w:t>Standing Committee on Justice and Community Safety (Legislative Scrutiny Role)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C9B56" w14:textId="167C1FB2" w:rsidR="00523A5B" w:rsidRPr="001B0650" w:rsidRDefault="00523A5B" w:rsidP="00F52AA6">
    <w:pPr>
      <w:pStyle w:val="Header"/>
      <w:pBdr>
        <w:bottom w:val="single" w:sz="4" w:space="1" w:color="auto"/>
      </w:pBdr>
      <w:tabs>
        <w:tab w:val="left" w:pos="6216"/>
      </w:tabs>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sidR="004C5308">
      <w:rPr>
        <w:smallCaps/>
        <w:noProof/>
      </w:rPr>
      <w:t>Scrutiny Report 16</w:t>
    </w:r>
    <w:r>
      <w:rPr>
        <w:smallCaps/>
        <w:noProof/>
      </w:rPr>
      <w:fldChar w:fldCharType="end"/>
    </w:r>
  </w:p>
  <w:p w14:paraId="6A301AFD" w14:textId="77777777" w:rsidR="00523A5B" w:rsidRDefault="00523A5B">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564C6" w14:textId="5C1B0B64" w:rsidR="00523A5B" w:rsidRDefault="00523A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3515A" w14:textId="21B81FAD" w:rsidR="00523A5B" w:rsidRDefault="00523A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0C0EC" w14:textId="5082890C" w:rsidR="00523A5B" w:rsidRDefault="00523A5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8307D" w14:textId="2433C9D9" w:rsidR="00523A5B" w:rsidRPr="009D788E" w:rsidRDefault="00523A5B" w:rsidP="00911558">
    <w:pPr>
      <w:pStyle w:val="Header"/>
      <w:pBdr>
        <w:bottom w:val="single" w:sz="4" w:space="1" w:color="auto"/>
      </w:pBdr>
      <w:rPr>
        <w:smallCaps/>
      </w:rPr>
    </w:pPr>
    <w:r w:rsidRPr="009D788E">
      <w:rPr>
        <w:smallCaps/>
      </w:rPr>
      <w:t>Standing Committee on Justice and Community Safety (Legislative Scrutiny Role)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CF586" w14:textId="397CAB37" w:rsidR="00523A5B" w:rsidRPr="001B0650" w:rsidRDefault="00523A5B" w:rsidP="00911558">
    <w:pPr>
      <w:pStyle w:val="Header"/>
      <w:pBdr>
        <w:bottom w:val="single" w:sz="4" w:space="1" w:color="auto"/>
      </w:pBdr>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sidR="004C5308">
      <w:rPr>
        <w:smallCaps/>
        <w:noProof/>
      </w:rPr>
      <w:t>Scrutiny Report 16</w:t>
    </w:r>
    <w:r>
      <w:rPr>
        <w:smallCaps/>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1D9B4" w14:textId="075BC413" w:rsidR="00523A5B" w:rsidRDefault="00523A5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3B14B" w14:textId="23AF84B0" w:rsidR="00523A5B" w:rsidRPr="003B6A7E" w:rsidRDefault="00523A5B" w:rsidP="003B6A7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5CACF" w14:textId="1F8212E1" w:rsidR="00523A5B" w:rsidRPr="001B0650" w:rsidRDefault="00523A5B" w:rsidP="007F580D">
    <w:pPr>
      <w:pStyle w:val="Header"/>
      <w:pBdr>
        <w:bottom w:val="single" w:sz="4" w:space="1" w:color="auto"/>
      </w:pBdr>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sidR="00653DE8">
      <w:rPr>
        <w:smallCaps/>
        <w:noProof/>
      </w:rPr>
      <w:t>Scrutiny Report 16</w:t>
    </w:r>
    <w:r>
      <w:rPr>
        <w:smallCaps/>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C7F48" w14:textId="59DD8E78" w:rsidR="00523A5B" w:rsidRDefault="00523A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4B870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012015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31475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53292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26E9F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56F4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22F4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26A50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C6D3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C3479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95516A"/>
    <w:multiLevelType w:val="hybridMultilevel"/>
    <w:tmpl w:val="26D41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69A002A"/>
    <w:multiLevelType w:val="multilevel"/>
    <w:tmpl w:val="F6DE2780"/>
    <w:lvl w:ilvl="0">
      <w:start w:val="1"/>
      <w:numFmt w:val="decimal"/>
      <w:lvlText w:val="%1"/>
      <w:lvlJc w:val="left"/>
      <w:pPr>
        <w:ind w:left="432" w:hanging="432"/>
      </w:pPr>
      <w:rPr>
        <w:rFonts w:cs="Times New Roman"/>
      </w:rPr>
    </w:lvl>
    <w:lvl w:ilvl="1">
      <w:start w:val="1"/>
      <w:numFmt w:val="decimal"/>
      <w:pStyle w:val="Recommendationbodycopynumbered"/>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0">
    <w:nsid w:val="07771A35"/>
    <w:multiLevelType w:val="multilevel"/>
    <w:tmpl w:val="BCFCBA68"/>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0F64209D"/>
    <w:multiLevelType w:val="hybridMultilevel"/>
    <w:tmpl w:val="73BC5DF0"/>
    <w:lvl w:ilvl="0" w:tplc="4642DB54">
      <w:start w:val="1"/>
      <w:numFmt w:val="bullet"/>
      <w:lvlText w:val=""/>
      <w:lvlJc w:val="left"/>
      <w:pPr>
        <w:ind w:left="360" w:hanging="360"/>
      </w:pPr>
      <w:rPr>
        <w:rFonts w:ascii="Symbol" w:hAnsi="Symbol" w:hint="default"/>
        <w:color w:val="auto"/>
      </w:rPr>
    </w:lvl>
    <w:lvl w:ilvl="1" w:tplc="B2BC848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2E4544"/>
    <w:multiLevelType w:val="hybridMultilevel"/>
    <w:tmpl w:val="A4CE200E"/>
    <w:lvl w:ilvl="0" w:tplc="437E8904">
      <w:start w:val="1"/>
      <w:numFmt w:val="lowerLetter"/>
      <w:pStyle w:val="Bodycopybulletlevel1alpha"/>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15:restartNumberingAfterBreak="0">
    <w:nsid w:val="1DE8034A"/>
    <w:multiLevelType w:val="hybridMultilevel"/>
    <w:tmpl w:val="D6D09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526D8E"/>
    <w:multiLevelType w:val="hybridMultilevel"/>
    <w:tmpl w:val="D1786A2A"/>
    <w:lvl w:ilvl="0" w:tplc="4D449FE6">
      <w:start w:val="1"/>
      <w:numFmt w:val="decimal"/>
      <w:pStyle w:val="Bodycopynumbered2"/>
      <w:lvlText w:val="%1."/>
      <w:lvlJc w:val="left"/>
      <w:pPr>
        <w:ind w:left="720" w:hanging="360"/>
      </w:pPr>
      <w:rPr>
        <w:rFonts w:cs="Times New Roman"/>
      </w:rPr>
    </w:lvl>
    <w:lvl w:ilvl="1" w:tplc="04DA9EF8" w:tentative="1">
      <w:start w:val="1"/>
      <w:numFmt w:val="lowerLetter"/>
      <w:lvlText w:val="%2."/>
      <w:lvlJc w:val="left"/>
      <w:pPr>
        <w:ind w:left="1440" w:hanging="360"/>
      </w:pPr>
      <w:rPr>
        <w:rFonts w:cs="Times New Roman"/>
      </w:rPr>
    </w:lvl>
    <w:lvl w:ilvl="2" w:tplc="3FBC87FA" w:tentative="1">
      <w:start w:val="1"/>
      <w:numFmt w:val="lowerRoman"/>
      <w:lvlText w:val="%3."/>
      <w:lvlJc w:val="right"/>
      <w:pPr>
        <w:ind w:left="2160" w:hanging="180"/>
      </w:pPr>
      <w:rPr>
        <w:rFonts w:cs="Times New Roman"/>
      </w:rPr>
    </w:lvl>
    <w:lvl w:ilvl="3" w:tplc="0FD47DB4" w:tentative="1">
      <w:start w:val="1"/>
      <w:numFmt w:val="decimal"/>
      <w:lvlText w:val="%4."/>
      <w:lvlJc w:val="left"/>
      <w:pPr>
        <w:ind w:left="2880" w:hanging="360"/>
      </w:pPr>
      <w:rPr>
        <w:rFonts w:cs="Times New Roman"/>
      </w:rPr>
    </w:lvl>
    <w:lvl w:ilvl="4" w:tplc="0AA266A4" w:tentative="1">
      <w:start w:val="1"/>
      <w:numFmt w:val="lowerLetter"/>
      <w:lvlText w:val="%5."/>
      <w:lvlJc w:val="left"/>
      <w:pPr>
        <w:ind w:left="3600" w:hanging="360"/>
      </w:pPr>
      <w:rPr>
        <w:rFonts w:cs="Times New Roman"/>
      </w:rPr>
    </w:lvl>
    <w:lvl w:ilvl="5" w:tplc="2ACEA468" w:tentative="1">
      <w:start w:val="1"/>
      <w:numFmt w:val="lowerRoman"/>
      <w:lvlText w:val="%6."/>
      <w:lvlJc w:val="right"/>
      <w:pPr>
        <w:ind w:left="4320" w:hanging="180"/>
      </w:pPr>
      <w:rPr>
        <w:rFonts w:cs="Times New Roman"/>
      </w:rPr>
    </w:lvl>
    <w:lvl w:ilvl="6" w:tplc="A54E173C" w:tentative="1">
      <w:start w:val="1"/>
      <w:numFmt w:val="decimal"/>
      <w:lvlText w:val="%7."/>
      <w:lvlJc w:val="left"/>
      <w:pPr>
        <w:ind w:left="5040" w:hanging="360"/>
      </w:pPr>
      <w:rPr>
        <w:rFonts w:cs="Times New Roman"/>
      </w:rPr>
    </w:lvl>
    <w:lvl w:ilvl="7" w:tplc="AA62F5B2" w:tentative="1">
      <w:start w:val="1"/>
      <w:numFmt w:val="lowerLetter"/>
      <w:lvlText w:val="%8."/>
      <w:lvlJc w:val="left"/>
      <w:pPr>
        <w:ind w:left="5760" w:hanging="360"/>
      </w:pPr>
      <w:rPr>
        <w:rFonts w:cs="Times New Roman"/>
      </w:rPr>
    </w:lvl>
    <w:lvl w:ilvl="8" w:tplc="77F694E0" w:tentative="1">
      <w:start w:val="1"/>
      <w:numFmt w:val="lowerRoman"/>
      <w:lvlText w:val="%9."/>
      <w:lvlJc w:val="right"/>
      <w:pPr>
        <w:ind w:left="6480" w:hanging="180"/>
      </w:pPr>
      <w:rPr>
        <w:rFonts w:cs="Times New Roman"/>
      </w:rPr>
    </w:lvl>
  </w:abstractNum>
  <w:abstractNum w:abstractNumId="18" w15:restartNumberingAfterBreak="0">
    <w:nsid w:val="267A5E70"/>
    <w:multiLevelType w:val="multilevel"/>
    <w:tmpl w:val="E342FCF2"/>
    <w:styleLink w:val="Style3"/>
    <w:lvl w:ilvl="0">
      <w:start w:val="1"/>
      <w:numFmt w:val="decimal"/>
      <w:lvlText w:val="%1)"/>
      <w:lvlJc w:val="left"/>
      <w:pPr>
        <w:ind w:left="360" w:hanging="360"/>
      </w:pPr>
      <w:rPr>
        <w:rFonts w:ascii="Calibri" w:hAnsi="Calibri"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29F675F9"/>
    <w:multiLevelType w:val="hybridMultilevel"/>
    <w:tmpl w:val="A2C60C32"/>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35431E"/>
    <w:multiLevelType w:val="hybridMultilevel"/>
    <w:tmpl w:val="7E4CB7A8"/>
    <w:lvl w:ilvl="0" w:tplc="7AF0D8D0">
      <w:start w:val="1"/>
      <w:numFmt w:val="bullet"/>
      <w:pStyle w:val="Bodycopybulletlevel2"/>
      <w:lvlText w:val="o"/>
      <w:lvlJc w:val="left"/>
      <w:pPr>
        <w:ind w:left="703" w:hanging="360"/>
      </w:pPr>
      <w:rPr>
        <w:rFonts w:ascii="Courier New" w:hAnsi="Courier New" w:hint="default"/>
      </w:rPr>
    </w:lvl>
    <w:lvl w:ilvl="1" w:tplc="466E58A0">
      <w:start w:val="1"/>
      <w:numFmt w:val="lowerLetter"/>
      <w:pStyle w:val="Bulletlistalpha"/>
      <w:lvlText w:val="%2."/>
      <w:lvlJc w:val="left"/>
      <w:pPr>
        <w:ind w:left="1423" w:hanging="360"/>
      </w:pPr>
      <w:rPr>
        <w:rFonts w:cs="Times New Roman"/>
      </w:rPr>
    </w:lvl>
    <w:lvl w:ilvl="2" w:tplc="0C09001B" w:tentative="1">
      <w:start w:val="1"/>
      <w:numFmt w:val="lowerRoman"/>
      <w:lvlText w:val="%3."/>
      <w:lvlJc w:val="right"/>
      <w:pPr>
        <w:ind w:left="2143" w:hanging="180"/>
      </w:pPr>
      <w:rPr>
        <w:rFonts w:cs="Times New Roman"/>
      </w:rPr>
    </w:lvl>
    <w:lvl w:ilvl="3" w:tplc="0C09000F" w:tentative="1">
      <w:start w:val="1"/>
      <w:numFmt w:val="decimal"/>
      <w:lvlText w:val="%4."/>
      <w:lvlJc w:val="left"/>
      <w:pPr>
        <w:ind w:left="2863" w:hanging="360"/>
      </w:pPr>
      <w:rPr>
        <w:rFonts w:cs="Times New Roman"/>
      </w:rPr>
    </w:lvl>
    <w:lvl w:ilvl="4" w:tplc="0C090019" w:tentative="1">
      <w:start w:val="1"/>
      <w:numFmt w:val="lowerLetter"/>
      <w:lvlText w:val="%5."/>
      <w:lvlJc w:val="left"/>
      <w:pPr>
        <w:ind w:left="3583" w:hanging="360"/>
      </w:pPr>
      <w:rPr>
        <w:rFonts w:cs="Times New Roman"/>
      </w:rPr>
    </w:lvl>
    <w:lvl w:ilvl="5" w:tplc="0C09001B" w:tentative="1">
      <w:start w:val="1"/>
      <w:numFmt w:val="lowerRoman"/>
      <w:lvlText w:val="%6."/>
      <w:lvlJc w:val="right"/>
      <w:pPr>
        <w:ind w:left="4303" w:hanging="180"/>
      </w:pPr>
      <w:rPr>
        <w:rFonts w:cs="Times New Roman"/>
      </w:rPr>
    </w:lvl>
    <w:lvl w:ilvl="6" w:tplc="0C09000F" w:tentative="1">
      <w:start w:val="1"/>
      <w:numFmt w:val="decimal"/>
      <w:lvlText w:val="%7."/>
      <w:lvlJc w:val="left"/>
      <w:pPr>
        <w:ind w:left="5023" w:hanging="360"/>
      </w:pPr>
      <w:rPr>
        <w:rFonts w:cs="Times New Roman"/>
      </w:rPr>
    </w:lvl>
    <w:lvl w:ilvl="7" w:tplc="0C090019" w:tentative="1">
      <w:start w:val="1"/>
      <w:numFmt w:val="lowerLetter"/>
      <w:lvlText w:val="%8."/>
      <w:lvlJc w:val="left"/>
      <w:pPr>
        <w:ind w:left="5743" w:hanging="360"/>
      </w:pPr>
      <w:rPr>
        <w:rFonts w:cs="Times New Roman"/>
      </w:rPr>
    </w:lvl>
    <w:lvl w:ilvl="8" w:tplc="0C09001B" w:tentative="1">
      <w:start w:val="1"/>
      <w:numFmt w:val="lowerRoman"/>
      <w:lvlText w:val="%9."/>
      <w:lvlJc w:val="right"/>
      <w:pPr>
        <w:ind w:left="6463" w:hanging="180"/>
      </w:pPr>
      <w:rPr>
        <w:rFonts w:cs="Times New Roman"/>
      </w:rPr>
    </w:lvl>
  </w:abstractNum>
  <w:abstractNum w:abstractNumId="21" w15:restartNumberingAfterBreak="0">
    <w:nsid w:val="335872B8"/>
    <w:multiLevelType w:val="hybridMultilevel"/>
    <w:tmpl w:val="FA3442F4"/>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7850D2"/>
    <w:multiLevelType w:val="hybridMultilevel"/>
    <w:tmpl w:val="7EF02D4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3" w15:restartNumberingAfterBreak="0">
    <w:nsid w:val="593D3D26"/>
    <w:multiLevelType w:val="hybridMultilevel"/>
    <w:tmpl w:val="302EA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711BA8"/>
    <w:multiLevelType w:val="multilevel"/>
    <w:tmpl w:val="C142AD88"/>
    <w:name w:val="Leg Quote"/>
    <w:lvl w:ilvl="0">
      <w:start w:val="1"/>
      <w:numFmt w:val="decimal"/>
      <w:lvlText w:val="(%1)"/>
      <w:lvlJc w:val="left"/>
      <w:pPr>
        <w:tabs>
          <w:tab w:val="num" w:pos="851"/>
        </w:tabs>
        <w:ind w:left="454" w:firstLine="397"/>
      </w:pPr>
      <w:rPr>
        <w:rFonts w:hint="default"/>
      </w:rPr>
    </w:lvl>
    <w:lvl w:ilvl="1">
      <w:start w:val="1"/>
      <w:numFmt w:val="lowerLetter"/>
      <w:lvlText w:val="(%2)"/>
      <w:lvlJc w:val="left"/>
      <w:pPr>
        <w:tabs>
          <w:tab w:val="num" w:pos="1418"/>
        </w:tabs>
        <w:ind w:left="1021" w:firstLine="397"/>
      </w:pPr>
      <w:rPr>
        <w:rFonts w:hint="default"/>
      </w:rPr>
    </w:lvl>
    <w:lvl w:ilvl="2">
      <w:start w:val="1"/>
      <w:numFmt w:val="lowerRoman"/>
      <w:lvlText w:val="%3)"/>
      <w:lvlJc w:val="left"/>
      <w:pPr>
        <w:tabs>
          <w:tab w:val="num" w:pos="1985"/>
        </w:tabs>
        <w:ind w:left="1588" w:firstLine="397"/>
      </w:pPr>
      <w:rPr>
        <w:rFonts w:hint="default"/>
      </w:rPr>
    </w:lvl>
    <w:lvl w:ilvl="3">
      <w:start w:val="1"/>
      <w:numFmt w:val="decimal"/>
      <w:lvlText w:val="(%4)"/>
      <w:lvlJc w:val="left"/>
      <w:pPr>
        <w:tabs>
          <w:tab w:val="num" w:pos="2552"/>
        </w:tabs>
        <w:ind w:left="2155" w:firstLine="397"/>
      </w:pPr>
      <w:rPr>
        <w:rFonts w:hint="default"/>
      </w:rPr>
    </w:lvl>
    <w:lvl w:ilvl="4">
      <w:start w:val="1"/>
      <w:numFmt w:val="lowerLetter"/>
      <w:lvlText w:val="(%5)"/>
      <w:lvlJc w:val="left"/>
      <w:pPr>
        <w:tabs>
          <w:tab w:val="num" w:pos="3119"/>
        </w:tabs>
        <w:ind w:left="2722" w:firstLine="397"/>
      </w:pPr>
      <w:rPr>
        <w:rFonts w:hint="default"/>
      </w:rPr>
    </w:lvl>
    <w:lvl w:ilvl="5">
      <w:start w:val="1"/>
      <w:numFmt w:val="lowerRoman"/>
      <w:lvlText w:val="(%6)"/>
      <w:lvlJc w:val="left"/>
      <w:pPr>
        <w:tabs>
          <w:tab w:val="num" w:pos="3686"/>
        </w:tabs>
        <w:ind w:left="3289" w:firstLine="397"/>
      </w:pPr>
      <w:rPr>
        <w:rFonts w:hint="default"/>
      </w:rPr>
    </w:lvl>
    <w:lvl w:ilvl="6">
      <w:start w:val="1"/>
      <w:numFmt w:val="decimal"/>
      <w:lvlText w:val="%7."/>
      <w:lvlJc w:val="left"/>
      <w:pPr>
        <w:tabs>
          <w:tab w:val="num" w:pos="4253"/>
        </w:tabs>
        <w:ind w:left="3856" w:firstLine="397"/>
      </w:pPr>
      <w:rPr>
        <w:rFonts w:hint="default"/>
      </w:rPr>
    </w:lvl>
    <w:lvl w:ilvl="7">
      <w:start w:val="1"/>
      <w:numFmt w:val="lowerLetter"/>
      <w:lvlText w:val="%8."/>
      <w:lvlJc w:val="left"/>
      <w:pPr>
        <w:tabs>
          <w:tab w:val="num" w:pos="4820"/>
        </w:tabs>
        <w:ind w:left="4423" w:firstLine="397"/>
      </w:pPr>
      <w:rPr>
        <w:rFonts w:hint="default"/>
      </w:rPr>
    </w:lvl>
    <w:lvl w:ilvl="8">
      <w:start w:val="1"/>
      <w:numFmt w:val="lowerRoman"/>
      <w:lvlText w:val="%9."/>
      <w:lvlJc w:val="left"/>
      <w:pPr>
        <w:tabs>
          <w:tab w:val="num" w:pos="5387"/>
        </w:tabs>
        <w:ind w:left="4990" w:firstLine="397"/>
      </w:pPr>
      <w:rPr>
        <w:rFonts w:hint="default"/>
      </w:rPr>
    </w:lvl>
  </w:abstractNum>
  <w:abstractNum w:abstractNumId="25" w15:restartNumberingAfterBreak="0">
    <w:nsid w:val="64CA5D5C"/>
    <w:multiLevelType w:val="hybridMultilevel"/>
    <w:tmpl w:val="D1F41810"/>
    <w:lvl w:ilvl="0" w:tplc="B2BC8480">
      <w:start w:val="1"/>
      <w:numFmt w:val="bullet"/>
      <w:lvlText w:val="­"/>
      <w:lvlJc w:val="left"/>
      <w:pPr>
        <w:ind w:left="1710" w:hanging="360"/>
      </w:pPr>
      <w:rPr>
        <w:rFonts w:ascii="Courier New" w:hAnsi="Courier New" w:hint="default"/>
      </w:rPr>
    </w:lvl>
    <w:lvl w:ilvl="1" w:tplc="87AC79EC">
      <w:numFmt w:val="bullet"/>
      <w:lvlText w:val="•"/>
      <w:lvlJc w:val="left"/>
      <w:pPr>
        <w:ind w:left="1800" w:hanging="360"/>
      </w:pPr>
      <w:rPr>
        <w:rFonts w:ascii="Calibri" w:eastAsiaTheme="minorHAnsi" w:hAnsi="Calibri" w:cstheme="minorBidi" w:hint="default"/>
        <w:b w:val="0"/>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5496197"/>
    <w:multiLevelType w:val="multilevel"/>
    <w:tmpl w:val="6F6A9636"/>
    <w:lvl w:ilvl="0">
      <w:start w:val="1"/>
      <w:numFmt w:val="lowerRoman"/>
      <w:pStyle w:val="Bulletlistroman"/>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7" w15:restartNumberingAfterBreak="0">
    <w:nsid w:val="6E034034"/>
    <w:multiLevelType w:val="multilevel"/>
    <w:tmpl w:val="A5ECBD6A"/>
    <w:styleLink w:val="Style2"/>
    <w:lvl w:ilvl="0">
      <w:start w:val="1"/>
      <w:numFmt w:val="decimal"/>
      <w:lvlText w:val="%1.1"/>
      <w:lvlJc w:val="left"/>
      <w:pPr>
        <w:ind w:left="432" w:hanging="432"/>
      </w:pPr>
      <w:rPr>
        <w:rFonts w:cs="Times New Roman" w:hint="default"/>
      </w:rPr>
    </w:lvl>
    <w:lvl w:ilvl="1">
      <w:start w:val="1"/>
      <w:numFmt w:val="none"/>
      <w:lvlText w:val=""/>
      <w:lvlJc w:val="left"/>
      <w:pPr>
        <w:ind w:left="576" w:hanging="576"/>
      </w:pPr>
      <w:rPr>
        <w:rFonts w:cs="Times New Roman" w:hint="default"/>
      </w:rPr>
    </w:lvl>
    <w:lvl w:ilvl="2">
      <w:start w:val="1"/>
      <w:numFmt w:val="none"/>
      <w:lvlText w:val=""/>
      <w:lvlJc w:val="left"/>
      <w:pPr>
        <w:ind w:left="720" w:hanging="720"/>
      </w:pPr>
      <w:rPr>
        <w:rFonts w:cs="Times New Roman" w:hint="default"/>
      </w:rPr>
    </w:lvl>
    <w:lvl w:ilvl="3">
      <w:start w:val="1"/>
      <w:numFmt w:val="none"/>
      <w:lvlText w:val=""/>
      <w:lvlJc w:val="left"/>
      <w:pPr>
        <w:ind w:left="864" w:hanging="864"/>
      </w:pPr>
      <w:rPr>
        <w:rFonts w:cs="Times New Roman" w:hint="default"/>
      </w:rPr>
    </w:lvl>
    <w:lvl w:ilvl="4">
      <w:start w:val="1"/>
      <w:numFmt w:val="none"/>
      <w:lvlText w:val=""/>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1.%21"/>
      <w:lvlJc w:val="left"/>
      <w:pPr>
        <w:ind w:left="1296" w:hanging="1296"/>
      </w:pPr>
      <w:rPr>
        <w:rFonts w:cs="Times New Roman" w:hint="default"/>
      </w:rPr>
    </w:lvl>
    <w:lvl w:ilvl="7">
      <w:start w:val="1"/>
      <w:numFmt w:val="decimal"/>
      <w:lvlText w:val="%8%1.%21.1"/>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8" w15:restartNumberingAfterBreak="0">
    <w:nsid w:val="7BA8320C"/>
    <w:multiLevelType w:val="hybridMultilevel"/>
    <w:tmpl w:val="7B643F2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9" w15:restartNumberingAfterBreak="0">
    <w:nsid w:val="7D1314E2"/>
    <w:multiLevelType w:val="hybridMultilevel"/>
    <w:tmpl w:val="4D88D650"/>
    <w:lvl w:ilvl="0" w:tplc="3894EE82">
      <w:start w:val="1"/>
      <w:numFmt w:val="bullet"/>
      <w:pStyle w:val="Bulletlistlevel1"/>
      <w:lvlText w:val=""/>
      <w:lvlJc w:val="left"/>
      <w:pPr>
        <w:ind w:left="-414" w:hanging="360"/>
      </w:pPr>
      <w:rPr>
        <w:rFonts w:ascii="Symbol" w:hAnsi="Symbol" w:hint="default"/>
      </w:rPr>
    </w:lvl>
    <w:lvl w:ilvl="1" w:tplc="87D8F8F0" w:tentative="1">
      <w:start w:val="1"/>
      <w:numFmt w:val="lowerLetter"/>
      <w:lvlText w:val="%2."/>
      <w:lvlJc w:val="left"/>
      <w:pPr>
        <w:ind w:left="306" w:hanging="360"/>
      </w:pPr>
      <w:rPr>
        <w:rFonts w:cs="Times New Roman"/>
      </w:rPr>
    </w:lvl>
    <w:lvl w:ilvl="2" w:tplc="B1323CB8" w:tentative="1">
      <w:start w:val="1"/>
      <w:numFmt w:val="lowerRoman"/>
      <w:lvlText w:val="%3."/>
      <w:lvlJc w:val="right"/>
      <w:pPr>
        <w:ind w:left="1026" w:hanging="180"/>
      </w:pPr>
      <w:rPr>
        <w:rFonts w:cs="Times New Roman"/>
      </w:rPr>
    </w:lvl>
    <w:lvl w:ilvl="3" w:tplc="CAE0A252" w:tentative="1">
      <w:start w:val="1"/>
      <w:numFmt w:val="decimal"/>
      <w:lvlText w:val="%4."/>
      <w:lvlJc w:val="left"/>
      <w:pPr>
        <w:ind w:left="1746" w:hanging="360"/>
      </w:pPr>
      <w:rPr>
        <w:rFonts w:cs="Times New Roman"/>
      </w:rPr>
    </w:lvl>
    <w:lvl w:ilvl="4" w:tplc="A496904E" w:tentative="1">
      <w:start w:val="1"/>
      <w:numFmt w:val="lowerLetter"/>
      <w:lvlText w:val="%5."/>
      <w:lvlJc w:val="left"/>
      <w:pPr>
        <w:ind w:left="2466" w:hanging="360"/>
      </w:pPr>
      <w:rPr>
        <w:rFonts w:cs="Times New Roman"/>
      </w:rPr>
    </w:lvl>
    <w:lvl w:ilvl="5" w:tplc="867CAE32" w:tentative="1">
      <w:start w:val="1"/>
      <w:numFmt w:val="lowerRoman"/>
      <w:lvlText w:val="%6."/>
      <w:lvlJc w:val="right"/>
      <w:pPr>
        <w:ind w:left="3186" w:hanging="180"/>
      </w:pPr>
      <w:rPr>
        <w:rFonts w:cs="Times New Roman"/>
      </w:rPr>
    </w:lvl>
    <w:lvl w:ilvl="6" w:tplc="36B64AEE" w:tentative="1">
      <w:start w:val="1"/>
      <w:numFmt w:val="decimal"/>
      <w:lvlText w:val="%7."/>
      <w:lvlJc w:val="left"/>
      <w:pPr>
        <w:ind w:left="3906" w:hanging="360"/>
      </w:pPr>
      <w:rPr>
        <w:rFonts w:cs="Times New Roman"/>
      </w:rPr>
    </w:lvl>
    <w:lvl w:ilvl="7" w:tplc="EB0E0432" w:tentative="1">
      <w:start w:val="1"/>
      <w:numFmt w:val="lowerLetter"/>
      <w:lvlText w:val="%8."/>
      <w:lvlJc w:val="left"/>
      <w:pPr>
        <w:ind w:left="4626" w:hanging="360"/>
      </w:pPr>
      <w:rPr>
        <w:rFonts w:cs="Times New Roman"/>
      </w:rPr>
    </w:lvl>
    <w:lvl w:ilvl="8" w:tplc="4C4454F4" w:tentative="1">
      <w:start w:val="1"/>
      <w:numFmt w:val="lowerRoman"/>
      <w:lvlText w:val="%9."/>
      <w:lvlJc w:val="right"/>
      <w:pPr>
        <w:ind w:left="5346" w:hanging="180"/>
      </w:pPr>
      <w:rPr>
        <w:rFonts w:cs="Times New Roman"/>
      </w:rPr>
    </w:lvl>
  </w:abstractNum>
  <w:abstractNum w:abstractNumId="30"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3"/>
  </w:num>
  <w:num w:numId="13">
    <w:abstractNumId w:val="29"/>
  </w:num>
  <w:num w:numId="14">
    <w:abstractNumId w:val="20"/>
  </w:num>
  <w:num w:numId="15">
    <w:abstractNumId w:val="12"/>
  </w:num>
  <w:num w:numId="16">
    <w:abstractNumId w:val="14"/>
  </w:num>
  <w:num w:numId="17">
    <w:abstractNumId w:val="27"/>
  </w:num>
  <w:num w:numId="18">
    <w:abstractNumId w:val="26"/>
  </w:num>
  <w:num w:numId="19">
    <w:abstractNumId w:val="17"/>
  </w:num>
  <w:num w:numId="20">
    <w:abstractNumId w:val="18"/>
  </w:num>
  <w:num w:numId="21">
    <w:abstractNumId w:val="11"/>
  </w:num>
  <w:num w:numId="22">
    <w:abstractNumId w:val="16"/>
  </w:num>
  <w:num w:numId="23">
    <w:abstractNumId w:val="30"/>
  </w:num>
  <w:num w:numId="24">
    <w:abstractNumId w:val="25"/>
  </w:num>
  <w:num w:numId="25">
    <w:abstractNumId w:val="21"/>
  </w:num>
  <w:num w:numId="26">
    <w:abstractNumId w:val="10"/>
  </w:num>
  <w:num w:numId="27">
    <w:abstractNumId w:val="15"/>
  </w:num>
  <w:num w:numId="28">
    <w:abstractNumId w:val="23"/>
  </w:num>
  <w:num w:numId="29">
    <w:abstractNumId w:val="22"/>
  </w:num>
  <w:num w:numId="30">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46"/>
  <w:evenAndOddHeaders/>
  <w:characterSpacingControl w:val="doNotCompress"/>
  <w:hdrShapeDefaults>
    <o:shapedefaults v:ext="edit" spidmax="55297" style="mso-position-horizontal:center;mso-position-horizontal-relative:margin;mso-position-vertical:center;mso-position-vertical-relative:margin" o:allowincell="f" fillcolor="silver" stroke="f">
      <v:fill color="silver" opacity=".5"/>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846"/>
    <w:rsid w:val="000011FF"/>
    <w:rsid w:val="000016B7"/>
    <w:rsid w:val="00001839"/>
    <w:rsid w:val="00004BBA"/>
    <w:rsid w:val="00010090"/>
    <w:rsid w:val="00012062"/>
    <w:rsid w:val="00012567"/>
    <w:rsid w:val="000129E3"/>
    <w:rsid w:val="00012C7C"/>
    <w:rsid w:val="00013BA7"/>
    <w:rsid w:val="00014921"/>
    <w:rsid w:val="00015B3E"/>
    <w:rsid w:val="00016CCD"/>
    <w:rsid w:val="00016ECB"/>
    <w:rsid w:val="000171BE"/>
    <w:rsid w:val="0001725A"/>
    <w:rsid w:val="00020720"/>
    <w:rsid w:val="000223B2"/>
    <w:rsid w:val="00022A35"/>
    <w:rsid w:val="000233EA"/>
    <w:rsid w:val="000238D1"/>
    <w:rsid w:val="00024BDA"/>
    <w:rsid w:val="00025A33"/>
    <w:rsid w:val="00026D92"/>
    <w:rsid w:val="00030285"/>
    <w:rsid w:val="0003048A"/>
    <w:rsid w:val="00031176"/>
    <w:rsid w:val="00031636"/>
    <w:rsid w:val="00032058"/>
    <w:rsid w:val="00034175"/>
    <w:rsid w:val="00034823"/>
    <w:rsid w:val="00034ADC"/>
    <w:rsid w:val="00034CCA"/>
    <w:rsid w:val="00036A58"/>
    <w:rsid w:val="00037980"/>
    <w:rsid w:val="00037B25"/>
    <w:rsid w:val="00040028"/>
    <w:rsid w:val="000421E6"/>
    <w:rsid w:val="00042C45"/>
    <w:rsid w:val="000433E0"/>
    <w:rsid w:val="00044012"/>
    <w:rsid w:val="00044194"/>
    <w:rsid w:val="00044B07"/>
    <w:rsid w:val="0004551E"/>
    <w:rsid w:val="00045B1E"/>
    <w:rsid w:val="00045F75"/>
    <w:rsid w:val="00046DE2"/>
    <w:rsid w:val="0005082C"/>
    <w:rsid w:val="0005204D"/>
    <w:rsid w:val="00052319"/>
    <w:rsid w:val="00052A23"/>
    <w:rsid w:val="00052F85"/>
    <w:rsid w:val="00053A61"/>
    <w:rsid w:val="00053DC1"/>
    <w:rsid w:val="0005501E"/>
    <w:rsid w:val="00055077"/>
    <w:rsid w:val="00056859"/>
    <w:rsid w:val="000568AC"/>
    <w:rsid w:val="0005767A"/>
    <w:rsid w:val="00060E04"/>
    <w:rsid w:val="000610EF"/>
    <w:rsid w:val="000618AD"/>
    <w:rsid w:val="00061AB9"/>
    <w:rsid w:val="00061B6D"/>
    <w:rsid w:val="00061D08"/>
    <w:rsid w:val="00062087"/>
    <w:rsid w:val="00063AC0"/>
    <w:rsid w:val="00064C47"/>
    <w:rsid w:val="00064F19"/>
    <w:rsid w:val="00067C68"/>
    <w:rsid w:val="00067FAE"/>
    <w:rsid w:val="0007009F"/>
    <w:rsid w:val="0007136A"/>
    <w:rsid w:val="00073340"/>
    <w:rsid w:val="0007461D"/>
    <w:rsid w:val="0007556D"/>
    <w:rsid w:val="0007600C"/>
    <w:rsid w:val="0007673D"/>
    <w:rsid w:val="0007683A"/>
    <w:rsid w:val="00077835"/>
    <w:rsid w:val="00080B0C"/>
    <w:rsid w:val="00080E74"/>
    <w:rsid w:val="0008186E"/>
    <w:rsid w:val="000823F3"/>
    <w:rsid w:val="00082916"/>
    <w:rsid w:val="000840B5"/>
    <w:rsid w:val="0008663E"/>
    <w:rsid w:val="00086C99"/>
    <w:rsid w:val="000874A9"/>
    <w:rsid w:val="00087C07"/>
    <w:rsid w:val="0009152D"/>
    <w:rsid w:val="000915D1"/>
    <w:rsid w:val="00092119"/>
    <w:rsid w:val="000924FF"/>
    <w:rsid w:val="000927C6"/>
    <w:rsid w:val="00093922"/>
    <w:rsid w:val="000941F6"/>
    <w:rsid w:val="00094472"/>
    <w:rsid w:val="00094D98"/>
    <w:rsid w:val="00095C7A"/>
    <w:rsid w:val="000967E6"/>
    <w:rsid w:val="0009718B"/>
    <w:rsid w:val="000971E6"/>
    <w:rsid w:val="00097985"/>
    <w:rsid w:val="000A14A2"/>
    <w:rsid w:val="000A15A8"/>
    <w:rsid w:val="000A16C9"/>
    <w:rsid w:val="000A2214"/>
    <w:rsid w:val="000A22C6"/>
    <w:rsid w:val="000A33FE"/>
    <w:rsid w:val="000A408F"/>
    <w:rsid w:val="000A52C2"/>
    <w:rsid w:val="000A5891"/>
    <w:rsid w:val="000A5E0A"/>
    <w:rsid w:val="000A65CD"/>
    <w:rsid w:val="000A6724"/>
    <w:rsid w:val="000A78C0"/>
    <w:rsid w:val="000B0846"/>
    <w:rsid w:val="000B0CDE"/>
    <w:rsid w:val="000B0D42"/>
    <w:rsid w:val="000B12AD"/>
    <w:rsid w:val="000B2688"/>
    <w:rsid w:val="000B4BFC"/>
    <w:rsid w:val="000B4D3D"/>
    <w:rsid w:val="000B504D"/>
    <w:rsid w:val="000B510A"/>
    <w:rsid w:val="000B6864"/>
    <w:rsid w:val="000B71DA"/>
    <w:rsid w:val="000C0208"/>
    <w:rsid w:val="000C0965"/>
    <w:rsid w:val="000C1130"/>
    <w:rsid w:val="000C12B1"/>
    <w:rsid w:val="000C12C3"/>
    <w:rsid w:val="000C1C7C"/>
    <w:rsid w:val="000C23FE"/>
    <w:rsid w:val="000C2759"/>
    <w:rsid w:val="000C30A9"/>
    <w:rsid w:val="000C322C"/>
    <w:rsid w:val="000C3653"/>
    <w:rsid w:val="000C49C9"/>
    <w:rsid w:val="000C5573"/>
    <w:rsid w:val="000C59EC"/>
    <w:rsid w:val="000C6DFF"/>
    <w:rsid w:val="000C6FA0"/>
    <w:rsid w:val="000C7916"/>
    <w:rsid w:val="000D3223"/>
    <w:rsid w:val="000D384D"/>
    <w:rsid w:val="000D4F39"/>
    <w:rsid w:val="000D5EDC"/>
    <w:rsid w:val="000D68A2"/>
    <w:rsid w:val="000D6984"/>
    <w:rsid w:val="000D7541"/>
    <w:rsid w:val="000D7EBD"/>
    <w:rsid w:val="000E13B4"/>
    <w:rsid w:val="000E231B"/>
    <w:rsid w:val="000E2418"/>
    <w:rsid w:val="000E2F92"/>
    <w:rsid w:val="000E34F7"/>
    <w:rsid w:val="000E440E"/>
    <w:rsid w:val="000E4D77"/>
    <w:rsid w:val="000E5A5A"/>
    <w:rsid w:val="000E66C0"/>
    <w:rsid w:val="000E79A3"/>
    <w:rsid w:val="000F0E3A"/>
    <w:rsid w:val="000F0EFB"/>
    <w:rsid w:val="000F30A0"/>
    <w:rsid w:val="000F3531"/>
    <w:rsid w:val="000F3D5D"/>
    <w:rsid w:val="000F6652"/>
    <w:rsid w:val="000F6785"/>
    <w:rsid w:val="000F7C44"/>
    <w:rsid w:val="000F7E49"/>
    <w:rsid w:val="00100B5B"/>
    <w:rsid w:val="0010101A"/>
    <w:rsid w:val="001013B4"/>
    <w:rsid w:val="00101A1A"/>
    <w:rsid w:val="00103599"/>
    <w:rsid w:val="00103E7B"/>
    <w:rsid w:val="00104A8B"/>
    <w:rsid w:val="00104CBD"/>
    <w:rsid w:val="00105A3D"/>
    <w:rsid w:val="00105E68"/>
    <w:rsid w:val="0010659A"/>
    <w:rsid w:val="00106983"/>
    <w:rsid w:val="001069C1"/>
    <w:rsid w:val="00106A85"/>
    <w:rsid w:val="00107EEA"/>
    <w:rsid w:val="001107D1"/>
    <w:rsid w:val="00112799"/>
    <w:rsid w:val="00115163"/>
    <w:rsid w:val="001154AD"/>
    <w:rsid w:val="00116A46"/>
    <w:rsid w:val="00116E9B"/>
    <w:rsid w:val="00117277"/>
    <w:rsid w:val="001201A6"/>
    <w:rsid w:val="0012051D"/>
    <w:rsid w:val="00120F86"/>
    <w:rsid w:val="00121896"/>
    <w:rsid w:val="00123DBF"/>
    <w:rsid w:val="00125B4C"/>
    <w:rsid w:val="00125EA4"/>
    <w:rsid w:val="001266E9"/>
    <w:rsid w:val="00126706"/>
    <w:rsid w:val="00126C48"/>
    <w:rsid w:val="00126D9A"/>
    <w:rsid w:val="00127856"/>
    <w:rsid w:val="00131525"/>
    <w:rsid w:val="00132097"/>
    <w:rsid w:val="0013258C"/>
    <w:rsid w:val="00133077"/>
    <w:rsid w:val="00133A87"/>
    <w:rsid w:val="00133AB1"/>
    <w:rsid w:val="00134F41"/>
    <w:rsid w:val="001352E7"/>
    <w:rsid w:val="00135363"/>
    <w:rsid w:val="00137745"/>
    <w:rsid w:val="001409BD"/>
    <w:rsid w:val="001415F9"/>
    <w:rsid w:val="00144032"/>
    <w:rsid w:val="00144967"/>
    <w:rsid w:val="0014536B"/>
    <w:rsid w:val="00145B35"/>
    <w:rsid w:val="00145C9B"/>
    <w:rsid w:val="00147B04"/>
    <w:rsid w:val="00150083"/>
    <w:rsid w:val="001505EB"/>
    <w:rsid w:val="00151365"/>
    <w:rsid w:val="00151C3B"/>
    <w:rsid w:val="0015201D"/>
    <w:rsid w:val="001562EC"/>
    <w:rsid w:val="0016031B"/>
    <w:rsid w:val="0016069D"/>
    <w:rsid w:val="001606A8"/>
    <w:rsid w:val="00163101"/>
    <w:rsid w:val="0016386F"/>
    <w:rsid w:val="00163A08"/>
    <w:rsid w:val="0016463A"/>
    <w:rsid w:val="00165699"/>
    <w:rsid w:val="00166E04"/>
    <w:rsid w:val="00167169"/>
    <w:rsid w:val="00167537"/>
    <w:rsid w:val="00167EE2"/>
    <w:rsid w:val="0017063D"/>
    <w:rsid w:val="00170F9C"/>
    <w:rsid w:val="001712BC"/>
    <w:rsid w:val="001722F9"/>
    <w:rsid w:val="0017558F"/>
    <w:rsid w:val="0017638E"/>
    <w:rsid w:val="001777EE"/>
    <w:rsid w:val="001779EA"/>
    <w:rsid w:val="00180581"/>
    <w:rsid w:val="00180D09"/>
    <w:rsid w:val="001820C5"/>
    <w:rsid w:val="0018277F"/>
    <w:rsid w:val="001829FA"/>
    <w:rsid w:val="00182A2F"/>
    <w:rsid w:val="001839D6"/>
    <w:rsid w:val="00184A7B"/>
    <w:rsid w:val="00184C56"/>
    <w:rsid w:val="00184D61"/>
    <w:rsid w:val="0018598D"/>
    <w:rsid w:val="00187105"/>
    <w:rsid w:val="0019001E"/>
    <w:rsid w:val="0019058B"/>
    <w:rsid w:val="001917B3"/>
    <w:rsid w:val="001917DA"/>
    <w:rsid w:val="00192003"/>
    <w:rsid w:val="00192010"/>
    <w:rsid w:val="001929CA"/>
    <w:rsid w:val="00195221"/>
    <w:rsid w:val="0019559B"/>
    <w:rsid w:val="00195B4C"/>
    <w:rsid w:val="00196028"/>
    <w:rsid w:val="001974F6"/>
    <w:rsid w:val="001A1A54"/>
    <w:rsid w:val="001A28BF"/>
    <w:rsid w:val="001A3394"/>
    <w:rsid w:val="001A46D3"/>
    <w:rsid w:val="001A5269"/>
    <w:rsid w:val="001A5F09"/>
    <w:rsid w:val="001A621A"/>
    <w:rsid w:val="001A6A02"/>
    <w:rsid w:val="001A78B6"/>
    <w:rsid w:val="001B0650"/>
    <w:rsid w:val="001B09FD"/>
    <w:rsid w:val="001B1173"/>
    <w:rsid w:val="001B207B"/>
    <w:rsid w:val="001B22F0"/>
    <w:rsid w:val="001B36FB"/>
    <w:rsid w:val="001B457B"/>
    <w:rsid w:val="001B4892"/>
    <w:rsid w:val="001B4930"/>
    <w:rsid w:val="001B4BE5"/>
    <w:rsid w:val="001B5859"/>
    <w:rsid w:val="001B5C86"/>
    <w:rsid w:val="001B5E58"/>
    <w:rsid w:val="001B5EB3"/>
    <w:rsid w:val="001B5F08"/>
    <w:rsid w:val="001B73A1"/>
    <w:rsid w:val="001C11EA"/>
    <w:rsid w:val="001C2A48"/>
    <w:rsid w:val="001C3269"/>
    <w:rsid w:val="001C3601"/>
    <w:rsid w:val="001C58CE"/>
    <w:rsid w:val="001C5D82"/>
    <w:rsid w:val="001C6D5B"/>
    <w:rsid w:val="001C719C"/>
    <w:rsid w:val="001C7639"/>
    <w:rsid w:val="001C7818"/>
    <w:rsid w:val="001D00FF"/>
    <w:rsid w:val="001D2441"/>
    <w:rsid w:val="001D271A"/>
    <w:rsid w:val="001D2873"/>
    <w:rsid w:val="001D5DBF"/>
    <w:rsid w:val="001D60B6"/>
    <w:rsid w:val="001D6452"/>
    <w:rsid w:val="001D7AD1"/>
    <w:rsid w:val="001E0240"/>
    <w:rsid w:val="001E0B71"/>
    <w:rsid w:val="001E1834"/>
    <w:rsid w:val="001E197A"/>
    <w:rsid w:val="001E2F75"/>
    <w:rsid w:val="001E3462"/>
    <w:rsid w:val="001E3B56"/>
    <w:rsid w:val="001E3BA1"/>
    <w:rsid w:val="001E3ED8"/>
    <w:rsid w:val="001E533E"/>
    <w:rsid w:val="001E56FE"/>
    <w:rsid w:val="001E61F6"/>
    <w:rsid w:val="001E6421"/>
    <w:rsid w:val="001E6B34"/>
    <w:rsid w:val="001E6B45"/>
    <w:rsid w:val="001E7889"/>
    <w:rsid w:val="001F1058"/>
    <w:rsid w:val="001F1D6D"/>
    <w:rsid w:val="001F48AB"/>
    <w:rsid w:val="001F49B7"/>
    <w:rsid w:val="001F5C5F"/>
    <w:rsid w:val="001F622E"/>
    <w:rsid w:val="00202660"/>
    <w:rsid w:val="00202BE1"/>
    <w:rsid w:val="002031BD"/>
    <w:rsid w:val="002032A0"/>
    <w:rsid w:val="00204746"/>
    <w:rsid w:val="002064D0"/>
    <w:rsid w:val="002076F3"/>
    <w:rsid w:val="002103BD"/>
    <w:rsid w:val="00210A63"/>
    <w:rsid w:val="00211156"/>
    <w:rsid w:val="0021195E"/>
    <w:rsid w:val="002128AF"/>
    <w:rsid w:val="00212A72"/>
    <w:rsid w:val="00212F5E"/>
    <w:rsid w:val="002149D9"/>
    <w:rsid w:val="0021614E"/>
    <w:rsid w:val="00216794"/>
    <w:rsid w:val="00220914"/>
    <w:rsid w:val="00221C9C"/>
    <w:rsid w:val="0022278A"/>
    <w:rsid w:val="002230E6"/>
    <w:rsid w:val="00224D59"/>
    <w:rsid w:val="002259AC"/>
    <w:rsid w:val="002264FA"/>
    <w:rsid w:val="00226A15"/>
    <w:rsid w:val="002270B3"/>
    <w:rsid w:val="00227281"/>
    <w:rsid w:val="0023358B"/>
    <w:rsid w:val="00233BF7"/>
    <w:rsid w:val="00234D0C"/>
    <w:rsid w:val="00235070"/>
    <w:rsid w:val="00235C4C"/>
    <w:rsid w:val="00235CF0"/>
    <w:rsid w:val="00235D37"/>
    <w:rsid w:val="002371DB"/>
    <w:rsid w:val="00237B6F"/>
    <w:rsid w:val="00240841"/>
    <w:rsid w:val="002412A4"/>
    <w:rsid w:val="00241F22"/>
    <w:rsid w:val="00243563"/>
    <w:rsid w:val="00243715"/>
    <w:rsid w:val="00243CBE"/>
    <w:rsid w:val="00243DCB"/>
    <w:rsid w:val="00244435"/>
    <w:rsid w:val="0024524F"/>
    <w:rsid w:val="002458C5"/>
    <w:rsid w:val="00245D9F"/>
    <w:rsid w:val="00246AB8"/>
    <w:rsid w:val="00247201"/>
    <w:rsid w:val="00247FE5"/>
    <w:rsid w:val="002502AF"/>
    <w:rsid w:val="00251799"/>
    <w:rsid w:val="00251AC7"/>
    <w:rsid w:val="00252497"/>
    <w:rsid w:val="00252BBC"/>
    <w:rsid w:val="00254B7A"/>
    <w:rsid w:val="00254C30"/>
    <w:rsid w:val="00256D7D"/>
    <w:rsid w:val="00256FBC"/>
    <w:rsid w:val="00262C9C"/>
    <w:rsid w:val="00264222"/>
    <w:rsid w:val="002644BB"/>
    <w:rsid w:val="002649B5"/>
    <w:rsid w:val="002655DA"/>
    <w:rsid w:val="00271685"/>
    <w:rsid w:val="002718FF"/>
    <w:rsid w:val="00271A5B"/>
    <w:rsid w:val="00272B12"/>
    <w:rsid w:val="00275330"/>
    <w:rsid w:val="002753EE"/>
    <w:rsid w:val="002805F4"/>
    <w:rsid w:val="002806E8"/>
    <w:rsid w:val="00280D11"/>
    <w:rsid w:val="00283F5C"/>
    <w:rsid w:val="00285ABC"/>
    <w:rsid w:val="00285E02"/>
    <w:rsid w:val="00286673"/>
    <w:rsid w:val="00287BE8"/>
    <w:rsid w:val="00287FC6"/>
    <w:rsid w:val="00291D83"/>
    <w:rsid w:val="002973FA"/>
    <w:rsid w:val="00297673"/>
    <w:rsid w:val="002A0027"/>
    <w:rsid w:val="002A185D"/>
    <w:rsid w:val="002A24D0"/>
    <w:rsid w:val="002A257A"/>
    <w:rsid w:val="002A5344"/>
    <w:rsid w:val="002A6A9F"/>
    <w:rsid w:val="002B0548"/>
    <w:rsid w:val="002B1AC8"/>
    <w:rsid w:val="002B23FF"/>
    <w:rsid w:val="002B388D"/>
    <w:rsid w:val="002B4A3A"/>
    <w:rsid w:val="002B660A"/>
    <w:rsid w:val="002B7D81"/>
    <w:rsid w:val="002C1AB1"/>
    <w:rsid w:val="002C3AC7"/>
    <w:rsid w:val="002C3C37"/>
    <w:rsid w:val="002C3CF7"/>
    <w:rsid w:val="002C548A"/>
    <w:rsid w:val="002C6E9B"/>
    <w:rsid w:val="002D0603"/>
    <w:rsid w:val="002D0702"/>
    <w:rsid w:val="002D0A83"/>
    <w:rsid w:val="002D1047"/>
    <w:rsid w:val="002D3B0A"/>
    <w:rsid w:val="002D485F"/>
    <w:rsid w:val="002D5907"/>
    <w:rsid w:val="002D7840"/>
    <w:rsid w:val="002E0324"/>
    <w:rsid w:val="002E2EB3"/>
    <w:rsid w:val="002E344A"/>
    <w:rsid w:val="002E3ED2"/>
    <w:rsid w:val="002E6EB6"/>
    <w:rsid w:val="002E726C"/>
    <w:rsid w:val="002F04E9"/>
    <w:rsid w:val="002F0D7F"/>
    <w:rsid w:val="002F1119"/>
    <w:rsid w:val="002F13B7"/>
    <w:rsid w:val="002F1D67"/>
    <w:rsid w:val="002F37BA"/>
    <w:rsid w:val="002F44A8"/>
    <w:rsid w:val="002F5386"/>
    <w:rsid w:val="00301635"/>
    <w:rsid w:val="00301F54"/>
    <w:rsid w:val="00302004"/>
    <w:rsid w:val="00302510"/>
    <w:rsid w:val="00302BD1"/>
    <w:rsid w:val="00302DF4"/>
    <w:rsid w:val="00303425"/>
    <w:rsid w:val="003042B1"/>
    <w:rsid w:val="003045B8"/>
    <w:rsid w:val="003045ED"/>
    <w:rsid w:val="00306B22"/>
    <w:rsid w:val="003070C7"/>
    <w:rsid w:val="00307591"/>
    <w:rsid w:val="00310CFA"/>
    <w:rsid w:val="0031203B"/>
    <w:rsid w:val="003127FB"/>
    <w:rsid w:val="00313920"/>
    <w:rsid w:val="00314CF6"/>
    <w:rsid w:val="003155F0"/>
    <w:rsid w:val="0031570D"/>
    <w:rsid w:val="00316B2D"/>
    <w:rsid w:val="00317346"/>
    <w:rsid w:val="00317393"/>
    <w:rsid w:val="0031748B"/>
    <w:rsid w:val="003178C5"/>
    <w:rsid w:val="00317E73"/>
    <w:rsid w:val="003217D0"/>
    <w:rsid w:val="0032291C"/>
    <w:rsid w:val="00326327"/>
    <w:rsid w:val="00327055"/>
    <w:rsid w:val="00330E92"/>
    <w:rsid w:val="00331026"/>
    <w:rsid w:val="003315EF"/>
    <w:rsid w:val="00332D86"/>
    <w:rsid w:val="0033431C"/>
    <w:rsid w:val="003345DA"/>
    <w:rsid w:val="00335E54"/>
    <w:rsid w:val="00336013"/>
    <w:rsid w:val="00336217"/>
    <w:rsid w:val="00336E84"/>
    <w:rsid w:val="003379D7"/>
    <w:rsid w:val="00337F40"/>
    <w:rsid w:val="00341320"/>
    <w:rsid w:val="003418C1"/>
    <w:rsid w:val="00341C98"/>
    <w:rsid w:val="00341E3C"/>
    <w:rsid w:val="0034240C"/>
    <w:rsid w:val="003433AB"/>
    <w:rsid w:val="003443EB"/>
    <w:rsid w:val="00344677"/>
    <w:rsid w:val="003446DE"/>
    <w:rsid w:val="003458E5"/>
    <w:rsid w:val="00345A6D"/>
    <w:rsid w:val="003461FC"/>
    <w:rsid w:val="0034635E"/>
    <w:rsid w:val="00346CDE"/>
    <w:rsid w:val="00347618"/>
    <w:rsid w:val="00351015"/>
    <w:rsid w:val="00351A66"/>
    <w:rsid w:val="00351AD0"/>
    <w:rsid w:val="00352024"/>
    <w:rsid w:val="00352A23"/>
    <w:rsid w:val="00352BB3"/>
    <w:rsid w:val="003534F8"/>
    <w:rsid w:val="0035425D"/>
    <w:rsid w:val="00354B0F"/>
    <w:rsid w:val="00354DFF"/>
    <w:rsid w:val="00355704"/>
    <w:rsid w:val="00355DF5"/>
    <w:rsid w:val="00357442"/>
    <w:rsid w:val="003574E8"/>
    <w:rsid w:val="00357A4D"/>
    <w:rsid w:val="00361375"/>
    <w:rsid w:val="0036212E"/>
    <w:rsid w:val="00363392"/>
    <w:rsid w:val="00363511"/>
    <w:rsid w:val="00365970"/>
    <w:rsid w:val="003660F9"/>
    <w:rsid w:val="00367A7B"/>
    <w:rsid w:val="00367B9B"/>
    <w:rsid w:val="0037018E"/>
    <w:rsid w:val="00370335"/>
    <w:rsid w:val="003716A1"/>
    <w:rsid w:val="00372D3F"/>
    <w:rsid w:val="00373080"/>
    <w:rsid w:val="00373BD9"/>
    <w:rsid w:val="00374A59"/>
    <w:rsid w:val="003752E9"/>
    <w:rsid w:val="0037551C"/>
    <w:rsid w:val="0037564D"/>
    <w:rsid w:val="0037659F"/>
    <w:rsid w:val="003823E4"/>
    <w:rsid w:val="00382B8E"/>
    <w:rsid w:val="00382F85"/>
    <w:rsid w:val="0038468B"/>
    <w:rsid w:val="00384D92"/>
    <w:rsid w:val="003853BC"/>
    <w:rsid w:val="00385C4E"/>
    <w:rsid w:val="00386C0A"/>
    <w:rsid w:val="00387610"/>
    <w:rsid w:val="0038795E"/>
    <w:rsid w:val="00392C13"/>
    <w:rsid w:val="00393D9F"/>
    <w:rsid w:val="003941DF"/>
    <w:rsid w:val="00395762"/>
    <w:rsid w:val="00396EC3"/>
    <w:rsid w:val="003A1F37"/>
    <w:rsid w:val="003A23E6"/>
    <w:rsid w:val="003A4294"/>
    <w:rsid w:val="003A5E73"/>
    <w:rsid w:val="003A7F93"/>
    <w:rsid w:val="003B2CE9"/>
    <w:rsid w:val="003B3549"/>
    <w:rsid w:val="003B6A7E"/>
    <w:rsid w:val="003B6ED7"/>
    <w:rsid w:val="003B799D"/>
    <w:rsid w:val="003C1078"/>
    <w:rsid w:val="003C1C5D"/>
    <w:rsid w:val="003C4A44"/>
    <w:rsid w:val="003C50E9"/>
    <w:rsid w:val="003C5A05"/>
    <w:rsid w:val="003C60E7"/>
    <w:rsid w:val="003C71A8"/>
    <w:rsid w:val="003C73B2"/>
    <w:rsid w:val="003C7F80"/>
    <w:rsid w:val="003D000F"/>
    <w:rsid w:val="003D0731"/>
    <w:rsid w:val="003D1F10"/>
    <w:rsid w:val="003D2251"/>
    <w:rsid w:val="003D2825"/>
    <w:rsid w:val="003D3A4E"/>
    <w:rsid w:val="003D495F"/>
    <w:rsid w:val="003D4E3B"/>
    <w:rsid w:val="003D5EAE"/>
    <w:rsid w:val="003D65DF"/>
    <w:rsid w:val="003D6C98"/>
    <w:rsid w:val="003E032C"/>
    <w:rsid w:val="003E1611"/>
    <w:rsid w:val="003E19C9"/>
    <w:rsid w:val="003E2637"/>
    <w:rsid w:val="003E361F"/>
    <w:rsid w:val="003E4C0B"/>
    <w:rsid w:val="003E5311"/>
    <w:rsid w:val="003E5742"/>
    <w:rsid w:val="003E6B6F"/>
    <w:rsid w:val="003E78F5"/>
    <w:rsid w:val="003E792C"/>
    <w:rsid w:val="003E7E8B"/>
    <w:rsid w:val="003F1627"/>
    <w:rsid w:val="003F186C"/>
    <w:rsid w:val="003F24F6"/>
    <w:rsid w:val="003F27B3"/>
    <w:rsid w:val="003F2C48"/>
    <w:rsid w:val="003F2D4B"/>
    <w:rsid w:val="003F4177"/>
    <w:rsid w:val="003F44C3"/>
    <w:rsid w:val="003F5C36"/>
    <w:rsid w:val="003F5F5D"/>
    <w:rsid w:val="003F68A7"/>
    <w:rsid w:val="003F6DD6"/>
    <w:rsid w:val="003F738A"/>
    <w:rsid w:val="003F7E53"/>
    <w:rsid w:val="0040057A"/>
    <w:rsid w:val="004008C9"/>
    <w:rsid w:val="004039EF"/>
    <w:rsid w:val="00405459"/>
    <w:rsid w:val="00405D16"/>
    <w:rsid w:val="0040642A"/>
    <w:rsid w:val="00406890"/>
    <w:rsid w:val="00407FFD"/>
    <w:rsid w:val="004106A9"/>
    <w:rsid w:val="00410B6A"/>
    <w:rsid w:val="0041216C"/>
    <w:rsid w:val="00412296"/>
    <w:rsid w:val="00412858"/>
    <w:rsid w:val="0041306B"/>
    <w:rsid w:val="00414319"/>
    <w:rsid w:val="00415478"/>
    <w:rsid w:val="004154A3"/>
    <w:rsid w:val="00415EC5"/>
    <w:rsid w:val="004164C1"/>
    <w:rsid w:val="004164EB"/>
    <w:rsid w:val="00416B23"/>
    <w:rsid w:val="00416EB1"/>
    <w:rsid w:val="00417022"/>
    <w:rsid w:val="004170C2"/>
    <w:rsid w:val="0042361E"/>
    <w:rsid w:val="004238FA"/>
    <w:rsid w:val="004242B6"/>
    <w:rsid w:val="00424D0D"/>
    <w:rsid w:val="00424FD2"/>
    <w:rsid w:val="0042643F"/>
    <w:rsid w:val="0043069F"/>
    <w:rsid w:val="00430D98"/>
    <w:rsid w:val="00431098"/>
    <w:rsid w:val="00432423"/>
    <w:rsid w:val="004330A9"/>
    <w:rsid w:val="00433489"/>
    <w:rsid w:val="00433C0F"/>
    <w:rsid w:val="00433C23"/>
    <w:rsid w:val="00434745"/>
    <w:rsid w:val="00435E76"/>
    <w:rsid w:val="00435EFE"/>
    <w:rsid w:val="00436402"/>
    <w:rsid w:val="00437F34"/>
    <w:rsid w:val="004416E8"/>
    <w:rsid w:val="00442440"/>
    <w:rsid w:val="00443DBC"/>
    <w:rsid w:val="004449E4"/>
    <w:rsid w:val="0044555E"/>
    <w:rsid w:val="00445EFF"/>
    <w:rsid w:val="0044629B"/>
    <w:rsid w:val="00451132"/>
    <w:rsid w:val="0045157A"/>
    <w:rsid w:val="00452F37"/>
    <w:rsid w:val="00454870"/>
    <w:rsid w:val="00454D04"/>
    <w:rsid w:val="00457A9B"/>
    <w:rsid w:val="004616E0"/>
    <w:rsid w:val="00461B48"/>
    <w:rsid w:val="004641A0"/>
    <w:rsid w:val="00464752"/>
    <w:rsid w:val="0046526A"/>
    <w:rsid w:val="00465C30"/>
    <w:rsid w:val="0046623E"/>
    <w:rsid w:val="0046775E"/>
    <w:rsid w:val="00470246"/>
    <w:rsid w:val="00470CB9"/>
    <w:rsid w:val="00471620"/>
    <w:rsid w:val="00473CCE"/>
    <w:rsid w:val="00473E22"/>
    <w:rsid w:val="00474136"/>
    <w:rsid w:val="00474EC6"/>
    <w:rsid w:val="004750FD"/>
    <w:rsid w:val="00475385"/>
    <w:rsid w:val="004758C1"/>
    <w:rsid w:val="00475A42"/>
    <w:rsid w:val="00475B8B"/>
    <w:rsid w:val="00477B48"/>
    <w:rsid w:val="00480E59"/>
    <w:rsid w:val="00481446"/>
    <w:rsid w:val="00481F91"/>
    <w:rsid w:val="00482218"/>
    <w:rsid w:val="00484A97"/>
    <w:rsid w:val="00486F69"/>
    <w:rsid w:val="004873C5"/>
    <w:rsid w:val="00487421"/>
    <w:rsid w:val="00487FDA"/>
    <w:rsid w:val="004909C8"/>
    <w:rsid w:val="0049252F"/>
    <w:rsid w:val="00492608"/>
    <w:rsid w:val="0049262E"/>
    <w:rsid w:val="00492C1E"/>
    <w:rsid w:val="00492DDF"/>
    <w:rsid w:val="00492EFA"/>
    <w:rsid w:val="00493035"/>
    <w:rsid w:val="00496C40"/>
    <w:rsid w:val="00496F95"/>
    <w:rsid w:val="0049757D"/>
    <w:rsid w:val="004975E9"/>
    <w:rsid w:val="00497A2F"/>
    <w:rsid w:val="004A069D"/>
    <w:rsid w:val="004A10D6"/>
    <w:rsid w:val="004A1224"/>
    <w:rsid w:val="004A21FF"/>
    <w:rsid w:val="004A2365"/>
    <w:rsid w:val="004A2390"/>
    <w:rsid w:val="004A284D"/>
    <w:rsid w:val="004A29A6"/>
    <w:rsid w:val="004A3725"/>
    <w:rsid w:val="004A3FBA"/>
    <w:rsid w:val="004A47B6"/>
    <w:rsid w:val="004A4A2A"/>
    <w:rsid w:val="004A640E"/>
    <w:rsid w:val="004A763D"/>
    <w:rsid w:val="004A7AAE"/>
    <w:rsid w:val="004A7DAA"/>
    <w:rsid w:val="004B065D"/>
    <w:rsid w:val="004B1072"/>
    <w:rsid w:val="004B1188"/>
    <w:rsid w:val="004B2251"/>
    <w:rsid w:val="004B23EC"/>
    <w:rsid w:val="004B2546"/>
    <w:rsid w:val="004B428C"/>
    <w:rsid w:val="004B4505"/>
    <w:rsid w:val="004B546F"/>
    <w:rsid w:val="004B6287"/>
    <w:rsid w:val="004B6AD2"/>
    <w:rsid w:val="004B7041"/>
    <w:rsid w:val="004B7735"/>
    <w:rsid w:val="004C08E9"/>
    <w:rsid w:val="004C0A90"/>
    <w:rsid w:val="004C0AA7"/>
    <w:rsid w:val="004C1D20"/>
    <w:rsid w:val="004C1F31"/>
    <w:rsid w:val="004C2DF9"/>
    <w:rsid w:val="004C35FA"/>
    <w:rsid w:val="004C3C19"/>
    <w:rsid w:val="004C3CE8"/>
    <w:rsid w:val="004C4925"/>
    <w:rsid w:val="004C5308"/>
    <w:rsid w:val="004C6809"/>
    <w:rsid w:val="004C6F1E"/>
    <w:rsid w:val="004C7E95"/>
    <w:rsid w:val="004D2235"/>
    <w:rsid w:val="004D3094"/>
    <w:rsid w:val="004D7C8E"/>
    <w:rsid w:val="004E42BA"/>
    <w:rsid w:val="004E4D9C"/>
    <w:rsid w:val="004E5CC4"/>
    <w:rsid w:val="004E5D8F"/>
    <w:rsid w:val="004E69C7"/>
    <w:rsid w:val="004E7305"/>
    <w:rsid w:val="004E7C1D"/>
    <w:rsid w:val="004F019A"/>
    <w:rsid w:val="004F0366"/>
    <w:rsid w:val="004F40D3"/>
    <w:rsid w:val="004F4260"/>
    <w:rsid w:val="004F4BD9"/>
    <w:rsid w:val="004F5121"/>
    <w:rsid w:val="004F67F8"/>
    <w:rsid w:val="004F6AC2"/>
    <w:rsid w:val="004F6C00"/>
    <w:rsid w:val="004F6D09"/>
    <w:rsid w:val="005003B8"/>
    <w:rsid w:val="00500866"/>
    <w:rsid w:val="00500C4A"/>
    <w:rsid w:val="005018F0"/>
    <w:rsid w:val="00501A3F"/>
    <w:rsid w:val="00501CD0"/>
    <w:rsid w:val="005024AF"/>
    <w:rsid w:val="005030F9"/>
    <w:rsid w:val="00503304"/>
    <w:rsid w:val="0050636F"/>
    <w:rsid w:val="0050690B"/>
    <w:rsid w:val="005074A4"/>
    <w:rsid w:val="00510101"/>
    <w:rsid w:val="00510424"/>
    <w:rsid w:val="00511278"/>
    <w:rsid w:val="005114F8"/>
    <w:rsid w:val="0051400D"/>
    <w:rsid w:val="00516733"/>
    <w:rsid w:val="00517EFF"/>
    <w:rsid w:val="00520380"/>
    <w:rsid w:val="00520708"/>
    <w:rsid w:val="00521512"/>
    <w:rsid w:val="00521536"/>
    <w:rsid w:val="00521852"/>
    <w:rsid w:val="005228F6"/>
    <w:rsid w:val="00522B87"/>
    <w:rsid w:val="00523335"/>
    <w:rsid w:val="00523A5B"/>
    <w:rsid w:val="00525A82"/>
    <w:rsid w:val="0052687F"/>
    <w:rsid w:val="005270C2"/>
    <w:rsid w:val="00527137"/>
    <w:rsid w:val="00527991"/>
    <w:rsid w:val="00530406"/>
    <w:rsid w:val="00530B7A"/>
    <w:rsid w:val="00531AF9"/>
    <w:rsid w:val="00534514"/>
    <w:rsid w:val="00535FA7"/>
    <w:rsid w:val="00542592"/>
    <w:rsid w:val="005427CD"/>
    <w:rsid w:val="00542D7C"/>
    <w:rsid w:val="005433B1"/>
    <w:rsid w:val="00543600"/>
    <w:rsid w:val="00543790"/>
    <w:rsid w:val="00543B59"/>
    <w:rsid w:val="0054459E"/>
    <w:rsid w:val="005445D9"/>
    <w:rsid w:val="00545772"/>
    <w:rsid w:val="00545F82"/>
    <w:rsid w:val="005468A2"/>
    <w:rsid w:val="00546B44"/>
    <w:rsid w:val="00546EA3"/>
    <w:rsid w:val="005478A3"/>
    <w:rsid w:val="005508C6"/>
    <w:rsid w:val="0055198A"/>
    <w:rsid w:val="00551A62"/>
    <w:rsid w:val="00551BE9"/>
    <w:rsid w:val="005536C5"/>
    <w:rsid w:val="005543D2"/>
    <w:rsid w:val="00556063"/>
    <w:rsid w:val="00557013"/>
    <w:rsid w:val="00557752"/>
    <w:rsid w:val="00560B7B"/>
    <w:rsid w:val="00562622"/>
    <w:rsid w:val="00562E8A"/>
    <w:rsid w:val="00563B8D"/>
    <w:rsid w:val="005646D0"/>
    <w:rsid w:val="005702E4"/>
    <w:rsid w:val="00570AD2"/>
    <w:rsid w:val="0057279F"/>
    <w:rsid w:val="00572B8C"/>
    <w:rsid w:val="00572C00"/>
    <w:rsid w:val="00573888"/>
    <w:rsid w:val="00573E0C"/>
    <w:rsid w:val="005744D7"/>
    <w:rsid w:val="00575C8E"/>
    <w:rsid w:val="005764C2"/>
    <w:rsid w:val="005771CD"/>
    <w:rsid w:val="005779EB"/>
    <w:rsid w:val="00577B54"/>
    <w:rsid w:val="005809FD"/>
    <w:rsid w:val="00581C79"/>
    <w:rsid w:val="005829CA"/>
    <w:rsid w:val="00583FA9"/>
    <w:rsid w:val="0058445F"/>
    <w:rsid w:val="00590AA6"/>
    <w:rsid w:val="00590E04"/>
    <w:rsid w:val="0059115E"/>
    <w:rsid w:val="00591276"/>
    <w:rsid w:val="005915CD"/>
    <w:rsid w:val="00591A9C"/>
    <w:rsid w:val="005921BF"/>
    <w:rsid w:val="0059274B"/>
    <w:rsid w:val="00594266"/>
    <w:rsid w:val="00594D43"/>
    <w:rsid w:val="00595C04"/>
    <w:rsid w:val="00596296"/>
    <w:rsid w:val="00596DE5"/>
    <w:rsid w:val="00597304"/>
    <w:rsid w:val="00597313"/>
    <w:rsid w:val="005973F1"/>
    <w:rsid w:val="00597933"/>
    <w:rsid w:val="005A0384"/>
    <w:rsid w:val="005A086A"/>
    <w:rsid w:val="005A0F1D"/>
    <w:rsid w:val="005A0F3D"/>
    <w:rsid w:val="005A1831"/>
    <w:rsid w:val="005A1C9B"/>
    <w:rsid w:val="005A4E01"/>
    <w:rsid w:val="005A50F7"/>
    <w:rsid w:val="005A7435"/>
    <w:rsid w:val="005A7BB6"/>
    <w:rsid w:val="005B1D8F"/>
    <w:rsid w:val="005B35FB"/>
    <w:rsid w:val="005B3763"/>
    <w:rsid w:val="005B41CA"/>
    <w:rsid w:val="005B484E"/>
    <w:rsid w:val="005B4AED"/>
    <w:rsid w:val="005B5F65"/>
    <w:rsid w:val="005B68B5"/>
    <w:rsid w:val="005C01C0"/>
    <w:rsid w:val="005C0B5F"/>
    <w:rsid w:val="005C0F24"/>
    <w:rsid w:val="005C176D"/>
    <w:rsid w:val="005C2FD6"/>
    <w:rsid w:val="005C505E"/>
    <w:rsid w:val="005C603D"/>
    <w:rsid w:val="005C7610"/>
    <w:rsid w:val="005D0355"/>
    <w:rsid w:val="005D1BC8"/>
    <w:rsid w:val="005D2B7B"/>
    <w:rsid w:val="005D6E99"/>
    <w:rsid w:val="005D7839"/>
    <w:rsid w:val="005D7920"/>
    <w:rsid w:val="005D79AF"/>
    <w:rsid w:val="005D7B3C"/>
    <w:rsid w:val="005E13B6"/>
    <w:rsid w:val="005E21F5"/>
    <w:rsid w:val="005E2994"/>
    <w:rsid w:val="005E4A19"/>
    <w:rsid w:val="005E4CD6"/>
    <w:rsid w:val="005E56E4"/>
    <w:rsid w:val="005E57F4"/>
    <w:rsid w:val="005E5873"/>
    <w:rsid w:val="005E7298"/>
    <w:rsid w:val="005F072C"/>
    <w:rsid w:val="005F1A7E"/>
    <w:rsid w:val="005F4B74"/>
    <w:rsid w:val="005F4FDA"/>
    <w:rsid w:val="005F5419"/>
    <w:rsid w:val="005F7540"/>
    <w:rsid w:val="00600252"/>
    <w:rsid w:val="00600A32"/>
    <w:rsid w:val="006013DE"/>
    <w:rsid w:val="00601487"/>
    <w:rsid w:val="00603D44"/>
    <w:rsid w:val="0060428D"/>
    <w:rsid w:val="0060529B"/>
    <w:rsid w:val="00606BD8"/>
    <w:rsid w:val="006074ED"/>
    <w:rsid w:val="006101F3"/>
    <w:rsid w:val="00610A2C"/>
    <w:rsid w:val="0061161F"/>
    <w:rsid w:val="00611873"/>
    <w:rsid w:val="00612760"/>
    <w:rsid w:val="006137B1"/>
    <w:rsid w:val="00613AE1"/>
    <w:rsid w:val="0061540B"/>
    <w:rsid w:val="0061673E"/>
    <w:rsid w:val="006174C7"/>
    <w:rsid w:val="006175A7"/>
    <w:rsid w:val="00617F24"/>
    <w:rsid w:val="00621662"/>
    <w:rsid w:val="006220CD"/>
    <w:rsid w:val="00622E2C"/>
    <w:rsid w:val="00624556"/>
    <w:rsid w:val="0062481B"/>
    <w:rsid w:val="006251C9"/>
    <w:rsid w:val="00625891"/>
    <w:rsid w:val="006269A4"/>
    <w:rsid w:val="0062744D"/>
    <w:rsid w:val="00627499"/>
    <w:rsid w:val="00632220"/>
    <w:rsid w:val="00632981"/>
    <w:rsid w:val="006329F0"/>
    <w:rsid w:val="00634118"/>
    <w:rsid w:val="00635EA7"/>
    <w:rsid w:val="00636785"/>
    <w:rsid w:val="00637FB3"/>
    <w:rsid w:val="006421C2"/>
    <w:rsid w:val="00642CEB"/>
    <w:rsid w:val="00643221"/>
    <w:rsid w:val="00644242"/>
    <w:rsid w:val="006449FA"/>
    <w:rsid w:val="006449FD"/>
    <w:rsid w:val="006454A7"/>
    <w:rsid w:val="0064567E"/>
    <w:rsid w:val="006465BB"/>
    <w:rsid w:val="00646941"/>
    <w:rsid w:val="00647F0C"/>
    <w:rsid w:val="00650133"/>
    <w:rsid w:val="006505B3"/>
    <w:rsid w:val="00651094"/>
    <w:rsid w:val="00651F9D"/>
    <w:rsid w:val="006523B3"/>
    <w:rsid w:val="00652A64"/>
    <w:rsid w:val="00652F69"/>
    <w:rsid w:val="00653DE8"/>
    <w:rsid w:val="006543AB"/>
    <w:rsid w:val="00654E7E"/>
    <w:rsid w:val="00655242"/>
    <w:rsid w:val="006557E9"/>
    <w:rsid w:val="00656B71"/>
    <w:rsid w:val="00661F81"/>
    <w:rsid w:val="006631E8"/>
    <w:rsid w:val="00664473"/>
    <w:rsid w:val="006655D3"/>
    <w:rsid w:val="006665AB"/>
    <w:rsid w:val="00666CA6"/>
    <w:rsid w:val="00670CBD"/>
    <w:rsid w:val="0067133C"/>
    <w:rsid w:val="006721F0"/>
    <w:rsid w:val="0067249C"/>
    <w:rsid w:val="0067269D"/>
    <w:rsid w:val="0067391B"/>
    <w:rsid w:val="00673E3D"/>
    <w:rsid w:val="00674502"/>
    <w:rsid w:val="00674B7E"/>
    <w:rsid w:val="006754C6"/>
    <w:rsid w:val="0067571E"/>
    <w:rsid w:val="0067686A"/>
    <w:rsid w:val="00676D5E"/>
    <w:rsid w:val="006825EA"/>
    <w:rsid w:val="00682746"/>
    <w:rsid w:val="006854B5"/>
    <w:rsid w:val="00685D6D"/>
    <w:rsid w:val="0068665B"/>
    <w:rsid w:val="00686ADD"/>
    <w:rsid w:val="0069017A"/>
    <w:rsid w:val="00691450"/>
    <w:rsid w:val="006920AE"/>
    <w:rsid w:val="00692800"/>
    <w:rsid w:val="006971C2"/>
    <w:rsid w:val="0069757E"/>
    <w:rsid w:val="006A0DEF"/>
    <w:rsid w:val="006A19A4"/>
    <w:rsid w:val="006A2417"/>
    <w:rsid w:val="006A2935"/>
    <w:rsid w:val="006A2C44"/>
    <w:rsid w:val="006A5B02"/>
    <w:rsid w:val="006A5DD1"/>
    <w:rsid w:val="006A68B5"/>
    <w:rsid w:val="006A6C77"/>
    <w:rsid w:val="006A71F8"/>
    <w:rsid w:val="006B1DC1"/>
    <w:rsid w:val="006B24B6"/>
    <w:rsid w:val="006B3542"/>
    <w:rsid w:val="006B3981"/>
    <w:rsid w:val="006B3BAF"/>
    <w:rsid w:val="006B428E"/>
    <w:rsid w:val="006B4705"/>
    <w:rsid w:val="006B48A2"/>
    <w:rsid w:val="006B5DE4"/>
    <w:rsid w:val="006B6B13"/>
    <w:rsid w:val="006B7EEC"/>
    <w:rsid w:val="006C04DF"/>
    <w:rsid w:val="006C0537"/>
    <w:rsid w:val="006C06E1"/>
    <w:rsid w:val="006C0CBD"/>
    <w:rsid w:val="006C1D3D"/>
    <w:rsid w:val="006C1FAF"/>
    <w:rsid w:val="006C35A8"/>
    <w:rsid w:val="006C3EDA"/>
    <w:rsid w:val="006C533C"/>
    <w:rsid w:val="006C5ACB"/>
    <w:rsid w:val="006C742E"/>
    <w:rsid w:val="006D01F3"/>
    <w:rsid w:val="006D14D5"/>
    <w:rsid w:val="006D418E"/>
    <w:rsid w:val="006D712F"/>
    <w:rsid w:val="006E06EE"/>
    <w:rsid w:val="006E0EDD"/>
    <w:rsid w:val="006E1ABB"/>
    <w:rsid w:val="006E1BA7"/>
    <w:rsid w:val="006E1C99"/>
    <w:rsid w:val="006E1FE0"/>
    <w:rsid w:val="006E6910"/>
    <w:rsid w:val="006E7853"/>
    <w:rsid w:val="006F0DB1"/>
    <w:rsid w:val="006F1544"/>
    <w:rsid w:val="006F2384"/>
    <w:rsid w:val="006F245A"/>
    <w:rsid w:val="006F28FB"/>
    <w:rsid w:val="006F388D"/>
    <w:rsid w:val="006F4484"/>
    <w:rsid w:val="006F4CFB"/>
    <w:rsid w:val="006F5358"/>
    <w:rsid w:val="006F53A8"/>
    <w:rsid w:val="006F609F"/>
    <w:rsid w:val="006F7D94"/>
    <w:rsid w:val="006F7DED"/>
    <w:rsid w:val="007000AB"/>
    <w:rsid w:val="00701D58"/>
    <w:rsid w:val="00701E54"/>
    <w:rsid w:val="007038B1"/>
    <w:rsid w:val="007047E4"/>
    <w:rsid w:val="00704C1C"/>
    <w:rsid w:val="00706014"/>
    <w:rsid w:val="00706D63"/>
    <w:rsid w:val="007072D3"/>
    <w:rsid w:val="00710222"/>
    <w:rsid w:val="0071342C"/>
    <w:rsid w:val="007139F1"/>
    <w:rsid w:val="00713E5C"/>
    <w:rsid w:val="0071432B"/>
    <w:rsid w:val="00714CBC"/>
    <w:rsid w:val="007165BE"/>
    <w:rsid w:val="00716798"/>
    <w:rsid w:val="00716F71"/>
    <w:rsid w:val="00717A2D"/>
    <w:rsid w:val="00717FD1"/>
    <w:rsid w:val="00720331"/>
    <w:rsid w:val="00720BDD"/>
    <w:rsid w:val="00722625"/>
    <w:rsid w:val="00722817"/>
    <w:rsid w:val="00724270"/>
    <w:rsid w:val="007250F5"/>
    <w:rsid w:val="007255CB"/>
    <w:rsid w:val="00725B48"/>
    <w:rsid w:val="00726072"/>
    <w:rsid w:val="00726733"/>
    <w:rsid w:val="007305D4"/>
    <w:rsid w:val="007308F1"/>
    <w:rsid w:val="00731542"/>
    <w:rsid w:val="00733093"/>
    <w:rsid w:val="007337C0"/>
    <w:rsid w:val="0073390D"/>
    <w:rsid w:val="007341A9"/>
    <w:rsid w:val="00735400"/>
    <w:rsid w:val="00735AE4"/>
    <w:rsid w:val="00735C41"/>
    <w:rsid w:val="007373E2"/>
    <w:rsid w:val="007377EC"/>
    <w:rsid w:val="00737ACF"/>
    <w:rsid w:val="00737BD8"/>
    <w:rsid w:val="00741A91"/>
    <w:rsid w:val="00741F31"/>
    <w:rsid w:val="00742019"/>
    <w:rsid w:val="00742447"/>
    <w:rsid w:val="00743219"/>
    <w:rsid w:val="00744FCE"/>
    <w:rsid w:val="00745A30"/>
    <w:rsid w:val="00747B00"/>
    <w:rsid w:val="00747FAE"/>
    <w:rsid w:val="007506A2"/>
    <w:rsid w:val="00750AEE"/>
    <w:rsid w:val="00751327"/>
    <w:rsid w:val="0075192D"/>
    <w:rsid w:val="007519D4"/>
    <w:rsid w:val="00751B6C"/>
    <w:rsid w:val="00751D98"/>
    <w:rsid w:val="00752521"/>
    <w:rsid w:val="00753923"/>
    <w:rsid w:val="00753D4D"/>
    <w:rsid w:val="00754F27"/>
    <w:rsid w:val="00755B8A"/>
    <w:rsid w:val="00755DED"/>
    <w:rsid w:val="00756A18"/>
    <w:rsid w:val="00756C20"/>
    <w:rsid w:val="00760BAB"/>
    <w:rsid w:val="00762179"/>
    <w:rsid w:val="00763A5E"/>
    <w:rsid w:val="00764041"/>
    <w:rsid w:val="0076535F"/>
    <w:rsid w:val="00765D01"/>
    <w:rsid w:val="00766734"/>
    <w:rsid w:val="00766FCE"/>
    <w:rsid w:val="00767D36"/>
    <w:rsid w:val="00770D34"/>
    <w:rsid w:val="007711B3"/>
    <w:rsid w:val="00771C62"/>
    <w:rsid w:val="00772529"/>
    <w:rsid w:val="00773157"/>
    <w:rsid w:val="007751E7"/>
    <w:rsid w:val="007753B8"/>
    <w:rsid w:val="00777340"/>
    <w:rsid w:val="00780B47"/>
    <w:rsid w:val="0078174E"/>
    <w:rsid w:val="00781A65"/>
    <w:rsid w:val="007848D1"/>
    <w:rsid w:val="0078493D"/>
    <w:rsid w:val="00784A75"/>
    <w:rsid w:val="00784A91"/>
    <w:rsid w:val="007861B3"/>
    <w:rsid w:val="0078689A"/>
    <w:rsid w:val="00786EE7"/>
    <w:rsid w:val="0078717B"/>
    <w:rsid w:val="00787F30"/>
    <w:rsid w:val="00793539"/>
    <w:rsid w:val="00794D83"/>
    <w:rsid w:val="00797A2A"/>
    <w:rsid w:val="00797BE5"/>
    <w:rsid w:val="00797F2E"/>
    <w:rsid w:val="007A1799"/>
    <w:rsid w:val="007A4E51"/>
    <w:rsid w:val="007A4ED0"/>
    <w:rsid w:val="007A5009"/>
    <w:rsid w:val="007A6452"/>
    <w:rsid w:val="007A77AC"/>
    <w:rsid w:val="007A7E95"/>
    <w:rsid w:val="007B01C8"/>
    <w:rsid w:val="007B077A"/>
    <w:rsid w:val="007B0AE0"/>
    <w:rsid w:val="007B2889"/>
    <w:rsid w:val="007B2ACE"/>
    <w:rsid w:val="007B3429"/>
    <w:rsid w:val="007B4862"/>
    <w:rsid w:val="007B54AC"/>
    <w:rsid w:val="007B5FDC"/>
    <w:rsid w:val="007B6724"/>
    <w:rsid w:val="007C03E5"/>
    <w:rsid w:val="007C050E"/>
    <w:rsid w:val="007C2849"/>
    <w:rsid w:val="007C3449"/>
    <w:rsid w:val="007C3E42"/>
    <w:rsid w:val="007C4EF8"/>
    <w:rsid w:val="007C4FE2"/>
    <w:rsid w:val="007C5602"/>
    <w:rsid w:val="007C5BE4"/>
    <w:rsid w:val="007C693A"/>
    <w:rsid w:val="007C6C59"/>
    <w:rsid w:val="007D0193"/>
    <w:rsid w:val="007D0FB4"/>
    <w:rsid w:val="007D10B6"/>
    <w:rsid w:val="007D2C2B"/>
    <w:rsid w:val="007D2F1F"/>
    <w:rsid w:val="007D4E4E"/>
    <w:rsid w:val="007D551C"/>
    <w:rsid w:val="007D55EE"/>
    <w:rsid w:val="007D5DB7"/>
    <w:rsid w:val="007D66AE"/>
    <w:rsid w:val="007D6C78"/>
    <w:rsid w:val="007D791B"/>
    <w:rsid w:val="007D791F"/>
    <w:rsid w:val="007E09DF"/>
    <w:rsid w:val="007E14F6"/>
    <w:rsid w:val="007E211A"/>
    <w:rsid w:val="007E2C3D"/>
    <w:rsid w:val="007E3057"/>
    <w:rsid w:val="007E46DC"/>
    <w:rsid w:val="007E6141"/>
    <w:rsid w:val="007E6667"/>
    <w:rsid w:val="007E6AE3"/>
    <w:rsid w:val="007E6BA0"/>
    <w:rsid w:val="007E7279"/>
    <w:rsid w:val="007F1A96"/>
    <w:rsid w:val="007F28DF"/>
    <w:rsid w:val="007F4348"/>
    <w:rsid w:val="007F4A8B"/>
    <w:rsid w:val="007F580D"/>
    <w:rsid w:val="007F5B12"/>
    <w:rsid w:val="007F647F"/>
    <w:rsid w:val="007F6563"/>
    <w:rsid w:val="007F6E9B"/>
    <w:rsid w:val="0080041B"/>
    <w:rsid w:val="00801245"/>
    <w:rsid w:val="008024FC"/>
    <w:rsid w:val="008026F8"/>
    <w:rsid w:val="00805AD5"/>
    <w:rsid w:val="008113FF"/>
    <w:rsid w:val="0081147F"/>
    <w:rsid w:val="00811A84"/>
    <w:rsid w:val="00811A8A"/>
    <w:rsid w:val="008125BE"/>
    <w:rsid w:val="00812643"/>
    <w:rsid w:val="00812F03"/>
    <w:rsid w:val="00814AE9"/>
    <w:rsid w:val="00816ABF"/>
    <w:rsid w:val="00816C23"/>
    <w:rsid w:val="00817B93"/>
    <w:rsid w:val="00821ACB"/>
    <w:rsid w:val="0082451D"/>
    <w:rsid w:val="0082538D"/>
    <w:rsid w:val="008305AC"/>
    <w:rsid w:val="00830CE3"/>
    <w:rsid w:val="00831A03"/>
    <w:rsid w:val="00832E2B"/>
    <w:rsid w:val="00832EEB"/>
    <w:rsid w:val="0083331D"/>
    <w:rsid w:val="00833A3B"/>
    <w:rsid w:val="00833E3C"/>
    <w:rsid w:val="0083497F"/>
    <w:rsid w:val="00835411"/>
    <w:rsid w:val="00836234"/>
    <w:rsid w:val="00836786"/>
    <w:rsid w:val="00836C4D"/>
    <w:rsid w:val="008375B2"/>
    <w:rsid w:val="00837B1B"/>
    <w:rsid w:val="00837CD3"/>
    <w:rsid w:val="008414CD"/>
    <w:rsid w:val="00841C69"/>
    <w:rsid w:val="00842084"/>
    <w:rsid w:val="008421FF"/>
    <w:rsid w:val="008435D8"/>
    <w:rsid w:val="00844113"/>
    <w:rsid w:val="008442BF"/>
    <w:rsid w:val="008443DA"/>
    <w:rsid w:val="00844FDA"/>
    <w:rsid w:val="008452D2"/>
    <w:rsid w:val="00845C6F"/>
    <w:rsid w:val="0084607D"/>
    <w:rsid w:val="00846E5E"/>
    <w:rsid w:val="00847247"/>
    <w:rsid w:val="00852612"/>
    <w:rsid w:val="00852741"/>
    <w:rsid w:val="008527F3"/>
    <w:rsid w:val="008571E3"/>
    <w:rsid w:val="008572C2"/>
    <w:rsid w:val="00861B17"/>
    <w:rsid w:val="00862500"/>
    <w:rsid w:val="008626A9"/>
    <w:rsid w:val="00864242"/>
    <w:rsid w:val="00864448"/>
    <w:rsid w:val="008648CC"/>
    <w:rsid w:val="00867110"/>
    <w:rsid w:val="0086795A"/>
    <w:rsid w:val="00867A54"/>
    <w:rsid w:val="00867B99"/>
    <w:rsid w:val="008735AF"/>
    <w:rsid w:val="008751B8"/>
    <w:rsid w:val="00875BF5"/>
    <w:rsid w:val="00875FC6"/>
    <w:rsid w:val="00877BEB"/>
    <w:rsid w:val="008807F2"/>
    <w:rsid w:val="00882057"/>
    <w:rsid w:val="00886169"/>
    <w:rsid w:val="008871F1"/>
    <w:rsid w:val="008901E4"/>
    <w:rsid w:val="008906CF"/>
    <w:rsid w:val="00891275"/>
    <w:rsid w:val="0089208A"/>
    <w:rsid w:val="00893ED2"/>
    <w:rsid w:val="00895774"/>
    <w:rsid w:val="0089670C"/>
    <w:rsid w:val="008A05FB"/>
    <w:rsid w:val="008A0AAA"/>
    <w:rsid w:val="008A143A"/>
    <w:rsid w:val="008A26C5"/>
    <w:rsid w:val="008A4205"/>
    <w:rsid w:val="008A4CD4"/>
    <w:rsid w:val="008A5A1C"/>
    <w:rsid w:val="008A68C9"/>
    <w:rsid w:val="008A6BDF"/>
    <w:rsid w:val="008A6FB5"/>
    <w:rsid w:val="008B0287"/>
    <w:rsid w:val="008B0858"/>
    <w:rsid w:val="008B1000"/>
    <w:rsid w:val="008B1AB9"/>
    <w:rsid w:val="008B1F6C"/>
    <w:rsid w:val="008B27DB"/>
    <w:rsid w:val="008B3114"/>
    <w:rsid w:val="008B3F05"/>
    <w:rsid w:val="008B48A2"/>
    <w:rsid w:val="008B553C"/>
    <w:rsid w:val="008B5709"/>
    <w:rsid w:val="008C164D"/>
    <w:rsid w:val="008C2F43"/>
    <w:rsid w:val="008C5BA1"/>
    <w:rsid w:val="008C70D8"/>
    <w:rsid w:val="008C7B9E"/>
    <w:rsid w:val="008C7CF9"/>
    <w:rsid w:val="008D102E"/>
    <w:rsid w:val="008D2461"/>
    <w:rsid w:val="008D3648"/>
    <w:rsid w:val="008D3D7B"/>
    <w:rsid w:val="008D43AA"/>
    <w:rsid w:val="008D4732"/>
    <w:rsid w:val="008D4B51"/>
    <w:rsid w:val="008D6215"/>
    <w:rsid w:val="008D6C97"/>
    <w:rsid w:val="008E15DC"/>
    <w:rsid w:val="008E1A38"/>
    <w:rsid w:val="008E1BBB"/>
    <w:rsid w:val="008E1F8D"/>
    <w:rsid w:val="008E5488"/>
    <w:rsid w:val="008E5707"/>
    <w:rsid w:val="008E6136"/>
    <w:rsid w:val="008E6202"/>
    <w:rsid w:val="008E77D1"/>
    <w:rsid w:val="008E78E0"/>
    <w:rsid w:val="008F0BAA"/>
    <w:rsid w:val="008F0CBA"/>
    <w:rsid w:val="008F2E30"/>
    <w:rsid w:val="008F424B"/>
    <w:rsid w:val="008F4307"/>
    <w:rsid w:val="008F4A12"/>
    <w:rsid w:val="008F6A6D"/>
    <w:rsid w:val="008F6F47"/>
    <w:rsid w:val="008F7008"/>
    <w:rsid w:val="008F7497"/>
    <w:rsid w:val="009006A5"/>
    <w:rsid w:val="00901231"/>
    <w:rsid w:val="00901791"/>
    <w:rsid w:val="009026EC"/>
    <w:rsid w:val="009031CC"/>
    <w:rsid w:val="009037FF"/>
    <w:rsid w:val="00904BA4"/>
    <w:rsid w:val="00904E84"/>
    <w:rsid w:val="00906CEB"/>
    <w:rsid w:val="00907407"/>
    <w:rsid w:val="00907763"/>
    <w:rsid w:val="00907785"/>
    <w:rsid w:val="00910033"/>
    <w:rsid w:val="00911558"/>
    <w:rsid w:val="00911D5F"/>
    <w:rsid w:val="009142E2"/>
    <w:rsid w:val="00915B62"/>
    <w:rsid w:val="00916524"/>
    <w:rsid w:val="00916A2C"/>
    <w:rsid w:val="009173D6"/>
    <w:rsid w:val="009173F2"/>
    <w:rsid w:val="009179F2"/>
    <w:rsid w:val="00920275"/>
    <w:rsid w:val="009202BD"/>
    <w:rsid w:val="00922B80"/>
    <w:rsid w:val="0092369C"/>
    <w:rsid w:val="00923BE6"/>
    <w:rsid w:val="00924690"/>
    <w:rsid w:val="00924A84"/>
    <w:rsid w:val="00924FD2"/>
    <w:rsid w:val="00925084"/>
    <w:rsid w:val="0092560D"/>
    <w:rsid w:val="009263A5"/>
    <w:rsid w:val="0092643A"/>
    <w:rsid w:val="009268DC"/>
    <w:rsid w:val="0092725D"/>
    <w:rsid w:val="009273F8"/>
    <w:rsid w:val="009302F0"/>
    <w:rsid w:val="0093138B"/>
    <w:rsid w:val="0093257E"/>
    <w:rsid w:val="0093399E"/>
    <w:rsid w:val="00934ED8"/>
    <w:rsid w:val="00935094"/>
    <w:rsid w:val="00935DBB"/>
    <w:rsid w:val="009361BB"/>
    <w:rsid w:val="009368E8"/>
    <w:rsid w:val="00936A8B"/>
    <w:rsid w:val="00936EC9"/>
    <w:rsid w:val="00937777"/>
    <w:rsid w:val="0094082D"/>
    <w:rsid w:val="00941D2C"/>
    <w:rsid w:val="00945159"/>
    <w:rsid w:val="00946037"/>
    <w:rsid w:val="00946C51"/>
    <w:rsid w:val="00947768"/>
    <w:rsid w:val="00950535"/>
    <w:rsid w:val="00950DD7"/>
    <w:rsid w:val="009517FB"/>
    <w:rsid w:val="009517FE"/>
    <w:rsid w:val="00951F21"/>
    <w:rsid w:val="00953CDA"/>
    <w:rsid w:val="0095448C"/>
    <w:rsid w:val="00955CD4"/>
    <w:rsid w:val="00956455"/>
    <w:rsid w:val="00956EC1"/>
    <w:rsid w:val="00960440"/>
    <w:rsid w:val="00960956"/>
    <w:rsid w:val="00960A45"/>
    <w:rsid w:val="009630EF"/>
    <w:rsid w:val="00964EA9"/>
    <w:rsid w:val="009656E3"/>
    <w:rsid w:val="00965D0E"/>
    <w:rsid w:val="00965D6C"/>
    <w:rsid w:val="00965EEB"/>
    <w:rsid w:val="00965F38"/>
    <w:rsid w:val="0096634C"/>
    <w:rsid w:val="0096752A"/>
    <w:rsid w:val="00970499"/>
    <w:rsid w:val="009707DD"/>
    <w:rsid w:val="0097161A"/>
    <w:rsid w:val="00971F36"/>
    <w:rsid w:val="009741FD"/>
    <w:rsid w:val="0097476B"/>
    <w:rsid w:val="009764A4"/>
    <w:rsid w:val="00976E57"/>
    <w:rsid w:val="0097778C"/>
    <w:rsid w:val="009777C9"/>
    <w:rsid w:val="00977CC6"/>
    <w:rsid w:val="00977E3A"/>
    <w:rsid w:val="0098006B"/>
    <w:rsid w:val="00980667"/>
    <w:rsid w:val="00980D55"/>
    <w:rsid w:val="0098116B"/>
    <w:rsid w:val="009829A8"/>
    <w:rsid w:val="009830E8"/>
    <w:rsid w:val="00983813"/>
    <w:rsid w:val="00984A1D"/>
    <w:rsid w:val="0098506E"/>
    <w:rsid w:val="00985112"/>
    <w:rsid w:val="00985FCF"/>
    <w:rsid w:val="009869C8"/>
    <w:rsid w:val="0098799C"/>
    <w:rsid w:val="00990762"/>
    <w:rsid w:val="009926EC"/>
    <w:rsid w:val="0099291C"/>
    <w:rsid w:val="00992CAF"/>
    <w:rsid w:val="0099315C"/>
    <w:rsid w:val="00993219"/>
    <w:rsid w:val="00994DC7"/>
    <w:rsid w:val="00994FFF"/>
    <w:rsid w:val="0099564D"/>
    <w:rsid w:val="0099751F"/>
    <w:rsid w:val="00997F73"/>
    <w:rsid w:val="009A1008"/>
    <w:rsid w:val="009A1595"/>
    <w:rsid w:val="009A15A7"/>
    <w:rsid w:val="009A1E8B"/>
    <w:rsid w:val="009A1EC2"/>
    <w:rsid w:val="009A29D0"/>
    <w:rsid w:val="009A4262"/>
    <w:rsid w:val="009A4704"/>
    <w:rsid w:val="009A594B"/>
    <w:rsid w:val="009A63C7"/>
    <w:rsid w:val="009A6CD4"/>
    <w:rsid w:val="009A713F"/>
    <w:rsid w:val="009B00B9"/>
    <w:rsid w:val="009B0D77"/>
    <w:rsid w:val="009B1FDD"/>
    <w:rsid w:val="009B2374"/>
    <w:rsid w:val="009B2F9D"/>
    <w:rsid w:val="009B364C"/>
    <w:rsid w:val="009B4153"/>
    <w:rsid w:val="009B4164"/>
    <w:rsid w:val="009B4974"/>
    <w:rsid w:val="009C0512"/>
    <w:rsid w:val="009C0831"/>
    <w:rsid w:val="009C0D5C"/>
    <w:rsid w:val="009C1828"/>
    <w:rsid w:val="009C2F59"/>
    <w:rsid w:val="009C394B"/>
    <w:rsid w:val="009C3E2B"/>
    <w:rsid w:val="009C447C"/>
    <w:rsid w:val="009C4F5B"/>
    <w:rsid w:val="009C614E"/>
    <w:rsid w:val="009C72E4"/>
    <w:rsid w:val="009C7A35"/>
    <w:rsid w:val="009C7D1D"/>
    <w:rsid w:val="009D0568"/>
    <w:rsid w:val="009D12CA"/>
    <w:rsid w:val="009D13D0"/>
    <w:rsid w:val="009D187A"/>
    <w:rsid w:val="009D1961"/>
    <w:rsid w:val="009D208C"/>
    <w:rsid w:val="009D2815"/>
    <w:rsid w:val="009D47DF"/>
    <w:rsid w:val="009D4A4D"/>
    <w:rsid w:val="009D4C09"/>
    <w:rsid w:val="009D5133"/>
    <w:rsid w:val="009D6129"/>
    <w:rsid w:val="009D733F"/>
    <w:rsid w:val="009D788E"/>
    <w:rsid w:val="009D7BDF"/>
    <w:rsid w:val="009E0166"/>
    <w:rsid w:val="009E0B89"/>
    <w:rsid w:val="009E29B6"/>
    <w:rsid w:val="009E2CEE"/>
    <w:rsid w:val="009E2E18"/>
    <w:rsid w:val="009E30C7"/>
    <w:rsid w:val="009E4976"/>
    <w:rsid w:val="009E4BD7"/>
    <w:rsid w:val="009E4E7C"/>
    <w:rsid w:val="009E5652"/>
    <w:rsid w:val="009E7BB7"/>
    <w:rsid w:val="009F1C02"/>
    <w:rsid w:val="009F1E46"/>
    <w:rsid w:val="009F2665"/>
    <w:rsid w:val="009F341F"/>
    <w:rsid w:val="009F354F"/>
    <w:rsid w:val="009F446A"/>
    <w:rsid w:val="009F46A2"/>
    <w:rsid w:val="009F4F48"/>
    <w:rsid w:val="009F5585"/>
    <w:rsid w:val="009F5805"/>
    <w:rsid w:val="009F74E8"/>
    <w:rsid w:val="009F760C"/>
    <w:rsid w:val="009F7F6E"/>
    <w:rsid w:val="00A003B9"/>
    <w:rsid w:val="00A00BF5"/>
    <w:rsid w:val="00A00C63"/>
    <w:rsid w:val="00A014F1"/>
    <w:rsid w:val="00A02110"/>
    <w:rsid w:val="00A026EC"/>
    <w:rsid w:val="00A03DAF"/>
    <w:rsid w:val="00A0477A"/>
    <w:rsid w:val="00A05589"/>
    <w:rsid w:val="00A0572F"/>
    <w:rsid w:val="00A06311"/>
    <w:rsid w:val="00A0668C"/>
    <w:rsid w:val="00A06A4D"/>
    <w:rsid w:val="00A11221"/>
    <w:rsid w:val="00A11DBC"/>
    <w:rsid w:val="00A13722"/>
    <w:rsid w:val="00A13726"/>
    <w:rsid w:val="00A13BAA"/>
    <w:rsid w:val="00A13C21"/>
    <w:rsid w:val="00A140B0"/>
    <w:rsid w:val="00A143CF"/>
    <w:rsid w:val="00A145A4"/>
    <w:rsid w:val="00A15435"/>
    <w:rsid w:val="00A15B63"/>
    <w:rsid w:val="00A16160"/>
    <w:rsid w:val="00A17BBA"/>
    <w:rsid w:val="00A17F25"/>
    <w:rsid w:val="00A2180D"/>
    <w:rsid w:val="00A218A3"/>
    <w:rsid w:val="00A22CDE"/>
    <w:rsid w:val="00A23C4D"/>
    <w:rsid w:val="00A245D7"/>
    <w:rsid w:val="00A24DDF"/>
    <w:rsid w:val="00A26D36"/>
    <w:rsid w:val="00A27042"/>
    <w:rsid w:val="00A317FB"/>
    <w:rsid w:val="00A34509"/>
    <w:rsid w:val="00A34C2E"/>
    <w:rsid w:val="00A419B4"/>
    <w:rsid w:val="00A41C12"/>
    <w:rsid w:val="00A436B4"/>
    <w:rsid w:val="00A441D0"/>
    <w:rsid w:val="00A44D7A"/>
    <w:rsid w:val="00A462E6"/>
    <w:rsid w:val="00A469B6"/>
    <w:rsid w:val="00A474EC"/>
    <w:rsid w:val="00A47F9E"/>
    <w:rsid w:val="00A50D8D"/>
    <w:rsid w:val="00A51046"/>
    <w:rsid w:val="00A5283F"/>
    <w:rsid w:val="00A52CAB"/>
    <w:rsid w:val="00A53170"/>
    <w:rsid w:val="00A55029"/>
    <w:rsid w:val="00A55672"/>
    <w:rsid w:val="00A56A70"/>
    <w:rsid w:val="00A5710F"/>
    <w:rsid w:val="00A57EC1"/>
    <w:rsid w:val="00A60A8C"/>
    <w:rsid w:val="00A60EEF"/>
    <w:rsid w:val="00A61304"/>
    <w:rsid w:val="00A61B8E"/>
    <w:rsid w:val="00A63970"/>
    <w:rsid w:val="00A64F4C"/>
    <w:rsid w:val="00A65079"/>
    <w:rsid w:val="00A66C81"/>
    <w:rsid w:val="00A676FA"/>
    <w:rsid w:val="00A7105C"/>
    <w:rsid w:val="00A7179A"/>
    <w:rsid w:val="00A73CC7"/>
    <w:rsid w:val="00A75A97"/>
    <w:rsid w:val="00A75B8B"/>
    <w:rsid w:val="00A76044"/>
    <w:rsid w:val="00A76225"/>
    <w:rsid w:val="00A76622"/>
    <w:rsid w:val="00A80DA1"/>
    <w:rsid w:val="00A833E0"/>
    <w:rsid w:val="00A83871"/>
    <w:rsid w:val="00A83AF4"/>
    <w:rsid w:val="00A845CA"/>
    <w:rsid w:val="00A902E5"/>
    <w:rsid w:val="00A90B50"/>
    <w:rsid w:val="00A919BD"/>
    <w:rsid w:val="00A933DA"/>
    <w:rsid w:val="00A93BB6"/>
    <w:rsid w:val="00A94BE0"/>
    <w:rsid w:val="00A95ED5"/>
    <w:rsid w:val="00A96888"/>
    <w:rsid w:val="00A96BAC"/>
    <w:rsid w:val="00A96EDB"/>
    <w:rsid w:val="00A97724"/>
    <w:rsid w:val="00A97952"/>
    <w:rsid w:val="00AA0175"/>
    <w:rsid w:val="00AA0780"/>
    <w:rsid w:val="00AA0952"/>
    <w:rsid w:val="00AA0A65"/>
    <w:rsid w:val="00AA1948"/>
    <w:rsid w:val="00AA1E14"/>
    <w:rsid w:val="00AA3129"/>
    <w:rsid w:val="00AA3302"/>
    <w:rsid w:val="00AA37B2"/>
    <w:rsid w:val="00AA408C"/>
    <w:rsid w:val="00AA6429"/>
    <w:rsid w:val="00AA6977"/>
    <w:rsid w:val="00AA71BF"/>
    <w:rsid w:val="00AA73E2"/>
    <w:rsid w:val="00AB064C"/>
    <w:rsid w:val="00AB1C65"/>
    <w:rsid w:val="00AB1FFC"/>
    <w:rsid w:val="00AB2447"/>
    <w:rsid w:val="00AB3C5A"/>
    <w:rsid w:val="00AB5343"/>
    <w:rsid w:val="00AB560C"/>
    <w:rsid w:val="00AB75BA"/>
    <w:rsid w:val="00AC094E"/>
    <w:rsid w:val="00AC0B09"/>
    <w:rsid w:val="00AC0C8C"/>
    <w:rsid w:val="00AC0DDB"/>
    <w:rsid w:val="00AC0E5D"/>
    <w:rsid w:val="00AC2769"/>
    <w:rsid w:val="00AC3D8F"/>
    <w:rsid w:val="00AC44A8"/>
    <w:rsid w:val="00AC5051"/>
    <w:rsid w:val="00AC528A"/>
    <w:rsid w:val="00AC5D14"/>
    <w:rsid w:val="00AC6022"/>
    <w:rsid w:val="00AC62AB"/>
    <w:rsid w:val="00AC7C25"/>
    <w:rsid w:val="00AD2B6D"/>
    <w:rsid w:val="00AD4B04"/>
    <w:rsid w:val="00AD53EA"/>
    <w:rsid w:val="00AD66BE"/>
    <w:rsid w:val="00AD6A29"/>
    <w:rsid w:val="00AD6B54"/>
    <w:rsid w:val="00AE0D19"/>
    <w:rsid w:val="00AE4275"/>
    <w:rsid w:val="00AE4564"/>
    <w:rsid w:val="00AE47FB"/>
    <w:rsid w:val="00AE4D51"/>
    <w:rsid w:val="00AE616F"/>
    <w:rsid w:val="00AE636B"/>
    <w:rsid w:val="00AE70FD"/>
    <w:rsid w:val="00AE717C"/>
    <w:rsid w:val="00AE71CC"/>
    <w:rsid w:val="00AE7799"/>
    <w:rsid w:val="00AF1C2E"/>
    <w:rsid w:val="00AF2B41"/>
    <w:rsid w:val="00AF3AA1"/>
    <w:rsid w:val="00AF6181"/>
    <w:rsid w:val="00AF6CB6"/>
    <w:rsid w:val="00AF70DA"/>
    <w:rsid w:val="00AF7645"/>
    <w:rsid w:val="00B006AA"/>
    <w:rsid w:val="00B013C5"/>
    <w:rsid w:val="00B03427"/>
    <w:rsid w:val="00B03E88"/>
    <w:rsid w:val="00B04475"/>
    <w:rsid w:val="00B07A4B"/>
    <w:rsid w:val="00B07F9A"/>
    <w:rsid w:val="00B07FFA"/>
    <w:rsid w:val="00B10352"/>
    <w:rsid w:val="00B10FCC"/>
    <w:rsid w:val="00B110AF"/>
    <w:rsid w:val="00B12A1F"/>
    <w:rsid w:val="00B13710"/>
    <w:rsid w:val="00B13AB0"/>
    <w:rsid w:val="00B142FB"/>
    <w:rsid w:val="00B15E18"/>
    <w:rsid w:val="00B161D2"/>
    <w:rsid w:val="00B17A2A"/>
    <w:rsid w:val="00B21950"/>
    <w:rsid w:val="00B2250F"/>
    <w:rsid w:val="00B22AAD"/>
    <w:rsid w:val="00B22EBE"/>
    <w:rsid w:val="00B233D8"/>
    <w:rsid w:val="00B2585A"/>
    <w:rsid w:val="00B27573"/>
    <w:rsid w:val="00B276F9"/>
    <w:rsid w:val="00B27C91"/>
    <w:rsid w:val="00B27C9C"/>
    <w:rsid w:val="00B3018B"/>
    <w:rsid w:val="00B32CDA"/>
    <w:rsid w:val="00B32DDB"/>
    <w:rsid w:val="00B332E3"/>
    <w:rsid w:val="00B351D8"/>
    <w:rsid w:val="00B35270"/>
    <w:rsid w:val="00B352D9"/>
    <w:rsid w:val="00B358EB"/>
    <w:rsid w:val="00B35F08"/>
    <w:rsid w:val="00B37A4B"/>
    <w:rsid w:val="00B42165"/>
    <w:rsid w:val="00B42218"/>
    <w:rsid w:val="00B422D9"/>
    <w:rsid w:val="00B42B5A"/>
    <w:rsid w:val="00B439DE"/>
    <w:rsid w:val="00B44A66"/>
    <w:rsid w:val="00B44BC2"/>
    <w:rsid w:val="00B44F2D"/>
    <w:rsid w:val="00B45D0A"/>
    <w:rsid w:val="00B45EDA"/>
    <w:rsid w:val="00B47606"/>
    <w:rsid w:val="00B504D1"/>
    <w:rsid w:val="00B50558"/>
    <w:rsid w:val="00B533E0"/>
    <w:rsid w:val="00B54D6F"/>
    <w:rsid w:val="00B55615"/>
    <w:rsid w:val="00B57967"/>
    <w:rsid w:val="00B57F12"/>
    <w:rsid w:val="00B60298"/>
    <w:rsid w:val="00B60319"/>
    <w:rsid w:val="00B610A1"/>
    <w:rsid w:val="00B6224C"/>
    <w:rsid w:val="00B62440"/>
    <w:rsid w:val="00B626BE"/>
    <w:rsid w:val="00B63371"/>
    <w:rsid w:val="00B638BB"/>
    <w:rsid w:val="00B63947"/>
    <w:rsid w:val="00B64E76"/>
    <w:rsid w:val="00B66931"/>
    <w:rsid w:val="00B66A00"/>
    <w:rsid w:val="00B67004"/>
    <w:rsid w:val="00B7139F"/>
    <w:rsid w:val="00B72C3B"/>
    <w:rsid w:val="00B730BA"/>
    <w:rsid w:val="00B74B98"/>
    <w:rsid w:val="00B76B42"/>
    <w:rsid w:val="00B778CF"/>
    <w:rsid w:val="00B807A5"/>
    <w:rsid w:val="00B80906"/>
    <w:rsid w:val="00B81375"/>
    <w:rsid w:val="00B81D54"/>
    <w:rsid w:val="00B835BB"/>
    <w:rsid w:val="00B83F62"/>
    <w:rsid w:val="00B845D3"/>
    <w:rsid w:val="00B85201"/>
    <w:rsid w:val="00B87479"/>
    <w:rsid w:val="00B87B69"/>
    <w:rsid w:val="00B87D53"/>
    <w:rsid w:val="00B91867"/>
    <w:rsid w:val="00B932B1"/>
    <w:rsid w:val="00B93574"/>
    <w:rsid w:val="00B936A1"/>
    <w:rsid w:val="00B93A89"/>
    <w:rsid w:val="00B93B12"/>
    <w:rsid w:val="00B943D6"/>
    <w:rsid w:val="00B94FD5"/>
    <w:rsid w:val="00B951A8"/>
    <w:rsid w:val="00B9536B"/>
    <w:rsid w:val="00B95D7B"/>
    <w:rsid w:val="00B95EE7"/>
    <w:rsid w:val="00B96A0B"/>
    <w:rsid w:val="00B970EB"/>
    <w:rsid w:val="00BA01A6"/>
    <w:rsid w:val="00BA1DB3"/>
    <w:rsid w:val="00BA2049"/>
    <w:rsid w:val="00BA2555"/>
    <w:rsid w:val="00BA3427"/>
    <w:rsid w:val="00BA3E19"/>
    <w:rsid w:val="00BA46DC"/>
    <w:rsid w:val="00BA474C"/>
    <w:rsid w:val="00BA47E5"/>
    <w:rsid w:val="00BA50BE"/>
    <w:rsid w:val="00BA56D3"/>
    <w:rsid w:val="00BA606E"/>
    <w:rsid w:val="00BA64E2"/>
    <w:rsid w:val="00BA6857"/>
    <w:rsid w:val="00BA6A89"/>
    <w:rsid w:val="00BA6F63"/>
    <w:rsid w:val="00BA7131"/>
    <w:rsid w:val="00BA7FAC"/>
    <w:rsid w:val="00BB03C4"/>
    <w:rsid w:val="00BB0FA9"/>
    <w:rsid w:val="00BB391A"/>
    <w:rsid w:val="00BB4F51"/>
    <w:rsid w:val="00BB721F"/>
    <w:rsid w:val="00BB7F3E"/>
    <w:rsid w:val="00BC0181"/>
    <w:rsid w:val="00BC1AE8"/>
    <w:rsid w:val="00BC1CDC"/>
    <w:rsid w:val="00BC1FB7"/>
    <w:rsid w:val="00BC23C8"/>
    <w:rsid w:val="00BC2E22"/>
    <w:rsid w:val="00BC39FC"/>
    <w:rsid w:val="00BC3D5C"/>
    <w:rsid w:val="00BC4A46"/>
    <w:rsid w:val="00BC4EBB"/>
    <w:rsid w:val="00BC5771"/>
    <w:rsid w:val="00BC61A3"/>
    <w:rsid w:val="00BC7F39"/>
    <w:rsid w:val="00BD02B5"/>
    <w:rsid w:val="00BD09CF"/>
    <w:rsid w:val="00BD0F7B"/>
    <w:rsid w:val="00BD2FDE"/>
    <w:rsid w:val="00BD3539"/>
    <w:rsid w:val="00BD6D9C"/>
    <w:rsid w:val="00BD73C2"/>
    <w:rsid w:val="00BD794E"/>
    <w:rsid w:val="00BD7D20"/>
    <w:rsid w:val="00BE0701"/>
    <w:rsid w:val="00BE16D9"/>
    <w:rsid w:val="00BE27FD"/>
    <w:rsid w:val="00BE2C75"/>
    <w:rsid w:val="00BE46C6"/>
    <w:rsid w:val="00BE58F9"/>
    <w:rsid w:val="00BE5922"/>
    <w:rsid w:val="00BE5FEC"/>
    <w:rsid w:val="00BE6460"/>
    <w:rsid w:val="00BE654A"/>
    <w:rsid w:val="00BE7D92"/>
    <w:rsid w:val="00BE7E69"/>
    <w:rsid w:val="00BE7FE4"/>
    <w:rsid w:val="00BF0732"/>
    <w:rsid w:val="00BF0F66"/>
    <w:rsid w:val="00BF11BD"/>
    <w:rsid w:val="00BF294C"/>
    <w:rsid w:val="00BF4FFC"/>
    <w:rsid w:val="00BF5027"/>
    <w:rsid w:val="00BF5D4C"/>
    <w:rsid w:val="00BF7039"/>
    <w:rsid w:val="00BF7460"/>
    <w:rsid w:val="00C0016C"/>
    <w:rsid w:val="00C0039D"/>
    <w:rsid w:val="00C00560"/>
    <w:rsid w:val="00C011D6"/>
    <w:rsid w:val="00C012BA"/>
    <w:rsid w:val="00C01433"/>
    <w:rsid w:val="00C01717"/>
    <w:rsid w:val="00C01C1C"/>
    <w:rsid w:val="00C01E83"/>
    <w:rsid w:val="00C0254A"/>
    <w:rsid w:val="00C02700"/>
    <w:rsid w:val="00C027D5"/>
    <w:rsid w:val="00C05363"/>
    <w:rsid w:val="00C057A8"/>
    <w:rsid w:val="00C06197"/>
    <w:rsid w:val="00C0765A"/>
    <w:rsid w:val="00C10D21"/>
    <w:rsid w:val="00C11A22"/>
    <w:rsid w:val="00C11AAF"/>
    <w:rsid w:val="00C12B23"/>
    <w:rsid w:val="00C13B2C"/>
    <w:rsid w:val="00C13B3E"/>
    <w:rsid w:val="00C13C10"/>
    <w:rsid w:val="00C144C6"/>
    <w:rsid w:val="00C14637"/>
    <w:rsid w:val="00C1554E"/>
    <w:rsid w:val="00C16EC9"/>
    <w:rsid w:val="00C17A6F"/>
    <w:rsid w:val="00C20882"/>
    <w:rsid w:val="00C21368"/>
    <w:rsid w:val="00C22F31"/>
    <w:rsid w:val="00C23680"/>
    <w:rsid w:val="00C24E1B"/>
    <w:rsid w:val="00C26D19"/>
    <w:rsid w:val="00C271F5"/>
    <w:rsid w:val="00C27F59"/>
    <w:rsid w:val="00C308CB"/>
    <w:rsid w:val="00C3129D"/>
    <w:rsid w:val="00C31579"/>
    <w:rsid w:val="00C31602"/>
    <w:rsid w:val="00C31D8E"/>
    <w:rsid w:val="00C3273D"/>
    <w:rsid w:val="00C32D5D"/>
    <w:rsid w:val="00C33AD5"/>
    <w:rsid w:val="00C33DD7"/>
    <w:rsid w:val="00C34DAE"/>
    <w:rsid w:val="00C350C8"/>
    <w:rsid w:val="00C3562F"/>
    <w:rsid w:val="00C35DAA"/>
    <w:rsid w:val="00C36418"/>
    <w:rsid w:val="00C36779"/>
    <w:rsid w:val="00C36B1A"/>
    <w:rsid w:val="00C40849"/>
    <w:rsid w:val="00C42A8F"/>
    <w:rsid w:val="00C43740"/>
    <w:rsid w:val="00C43853"/>
    <w:rsid w:val="00C45231"/>
    <w:rsid w:val="00C454BB"/>
    <w:rsid w:val="00C4601D"/>
    <w:rsid w:val="00C46C70"/>
    <w:rsid w:val="00C47AF0"/>
    <w:rsid w:val="00C50102"/>
    <w:rsid w:val="00C504F2"/>
    <w:rsid w:val="00C517A1"/>
    <w:rsid w:val="00C51D95"/>
    <w:rsid w:val="00C53197"/>
    <w:rsid w:val="00C56DC3"/>
    <w:rsid w:val="00C575EA"/>
    <w:rsid w:val="00C6027A"/>
    <w:rsid w:val="00C607C1"/>
    <w:rsid w:val="00C60AB8"/>
    <w:rsid w:val="00C60DAD"/>
    <w:rsid w:val="00C60E86"/>
    <w:rsid w:val="00C619B5"/>
    <w:rsid w:val="00C62270"/>
    <w:rsid w:val="00C62498"/>
    <w:rsid w:val="00C626C1"/>
    <w:rsid w:val="00C63A3B"/>
    <w:rsid w:val="00C64BEE"/>
    <w:rsid w:val="00C65284"/>
    <w:rsid w:val="00C659AB"/>
    <w:rsid w:val="00C65D56"/>
    <w:rsid w:val="00C6628C"/>
    <w:rsid w:val="00C66462"/>
    <w:rsid w:val="00C66A74"/>
    <w:rsid w:val="00C67126"/>
    <w:rsid w:val="00C67A1F"/>
    <w:rsid w:val="00C67FFC"/>
    <w:rsid w:val="00C70013"/>
    <w:rsid w:val="00C70E5C"/>
    <w:rsid w:val="00C7169B"/>
    <w:rsid w:val="00C7382E"/>
    <w:rsid w:val="00C73F0D"/>
    <w:rsid w:val="00C75145"/>
    <w:rsid w:val="00C76055"/>
    <w:rsid w:val="00C80D84"/>
    <w:rsid w:val="00C81AD6"/>
    <w:rsid w:val="00C8213C"/>
    <w:rsid w:val="00C8294E"/>
    <w:rsid w:val="00C845D6"/>
    <w:rsid w:val="00C86169"/>
    <w:rsid w:val="00C874F7"/>
    <w:rsid w:val="00C91B80"/>
    <w:rsid w:val="00C9409A"/>
    <w:rsid w:val="00C95BB9"/>
    <w:rsid w:val="00C95FEF"/>
    <w:rsid w:val="00C9619A"/>
    <w:rsid w:val="00C96EB6"/>
    <w:rsid w:val="00C97D9A"/>
    <w:rsid w:val="00CA08ED"/>
    <w:rsid w:val="00CA144D"/>
    <w:rsid w:val="00CA1E99"/>
    <w:rsid w:val="00CA32D5"/>
    <w:rsid w:val="00CA440B"/>
    <w:rsid w:val="00CA4DF7"/>
    <w:rsid w:val="00CA58C5"/>
    <w:rsid w:val="00CA6C3E"/>
    <w:rsid w:val="00CA7509"/>
    <w:rsid w:val="00CA751D"/>
    <w:rsid w:val="00CA7FD5"/>
    <w:rsid w:val="00CB1860"/>
    <w:rsid w:val="00CB2AE5"/>
    <w:rsid w:val="00CB402F"/>
    <w:rsid w:val="00CB4546"/>
    <w:rsid w:val="00CB59B2"/>
    <w:rsid w:val="00CB6294"/>
    <w:rsid w:val="00CB7A34"/>
    <w:rsid w:val="00CB7D01"/>
    <w:rsid w:val="00CB7F46"/>
    <w:rsid w:val="00CC0684"/>
    <w:rsid w:val="00CC099E"/>
    <w:rsid w:val="00CC1542"/>
    <w:rsid w:val="00CC2E7B"/>
    <w:rsid w:val="00CC4A63"/>
    <w:rsid w:val="00CC53BF"/>
    <w:rsid w:val="00CC597E"/>
    <w:rsid w:val="00CC7911"/>
    <w:rsid w:val="00CD0715"/>
    <w:rsid w:val="00CD2FF0"/>
    <w:rsid w:val="00CD37E4"/>
    <w:rsid w:val="00CD4398"/>
    <w:rsid w:val="00CD4E5E"/>
    <w:rsid w:val="00CD571E"/>
    <w:rsid w:val="00CD5AD5"/>
    <w:rsid w:val="00CD6C5C"/>
    <w:rsid w:val="00CD750D"/>
    <w:rsid w:val="00CE114C"/>
    <w:rsid w:val="00CE2180"/>
    <w:rsid w:val="00CE2533"/>
    <w:rsid w:val="00CE2685"/>
    <w:rsid w:val="00CE4FE2"/>
    <w:rsid w:val="00CE5469"/>
    <w:rsid w:val="00CE588C"/>
    <w:rsid w:val="00CE62A3"/>
    <w:rsid w:val="00CE6B10"/>
    <w:rsid w:val="00CE6EEA"/>
    <w:rsid w:val="00CE7075"/>
    <w:rsid w:val="00CE7BEB"/>
    <w:rsid w:val="00CF0406"/>
    <w:rsid w:val="00CF2EBE"/>
    <w:rsid w:val="00CF3231"/>
    <w:rsid w:val="00CF37B2"/>
    <w:rsid w:val="00CF4857"/>
    <w:rsid w:val="00CF5764"/>
    <w:rsid w:val="00CF7B50"/>
    <w:rsid w:val="00CF7DEB"/>
    <w:rsid w:val="00D00142"/>
    <w:rsid w:val="00D009DD"/>
    <w:rsid w:val="00D016D1"/>
    <w:rsid w:val="00D0288E"/>
    <w:rsid w:val="00D0339B"/>
    <w:rsid w:val="00D04046"/>
    <w:rsid w:val="00D04D26"/>
    <w:rsid w:val="00D04F3D"/>
    <w:rsid w:val="00D05BBA"/>
    <w:rsid w:val="00D06817"/>
    <w:rsid w:val="00D076A8"/>
    <w:rsid w:val="00D10741"/>
    <w:rsid w:val="00D112FB"/>
    <w:rsid w:val="00D12A94"/>
    <w:rsid w:val="00D12C27"/>
    <w:rsid w:val="00D14CA9"/>
    <w:rsid w:val="00D16121"/>
    <w:rsid w:val="00D1721B"/>
    <w:rsid w:val="00D20076"/>
    <w:rsid w:val="00D20610"/>
    <w:rsid w:val="00D20D02"/>
    <w:rsid w:val="00D20DDE"/>
    <w:rsid w:val="00D213D7"/>
    <w:rsid w:val="00D24B3D"/>
    <w:rsid w:val="00D25C7D"/>
    <w:rsid w:val="00D26341"/>
    <w:rsid w:val="00D26C83"/>
    <w:rsid w:val="00D27509"/>
    <w:rsid w:val="00D2760C"/>
    <w:rsid w:val="00D30021"/>
    <w:rsid w:val="00D306C2"/>
    <w:rsid w:val="00D3073F"/>
    <w:rsid w:val="00D3161D"/>
    <w:rsid w:val="00D318F1"/>
    <w:rsid w:val="00D32538"/>
    <w:rsid w:val="00D34158"/>
    <w:rsid w:val="00D3424E"/>
    <w:rsid w:val="00D35132"/>
    <w:rsid w:val="00D35D7D"/>
    <w:rsid w:val="00D35EE8"/>
    <w:rsid w:val="00D40022"/>
    <w:rsid w:val="00D40A3C"/>
    <w:rsid w:val="00D4210F"/>
    <w:rsid w:val="00D447D3"/>
    <w:rsid w:val="00D44D86"/>
    <w:rsid w:val="00D450FB"/>
    <w:rsid w:val="00D45B05"/>
    <w:rsid w:val="00D463C3"/>
    <w:rsid w:val="00D467FD"/>
    <w:rsid w:val="00D50DEA"/>
    <w:rsid w:val="00D5112A"/>
    <w:rsid w:val="00D52457"/>
    <w:rsid w:val="00D53E03"/>
    <w:rsid w:val="00D554A2"/>
    <w:rsid w:val="00D56A85"/>
    <w:rsid w:val="00D60AD4"/>
    <w:rsid w:val="00D61FC6"/>
    <w:rsid w:val="00D624A6"/>
    <w:rsid w:val="00D627CD"/>
    <w:rsid w:val="00D63840"/>
    <w:rsid w:val="00D643EF"/>
    <w:rsid w:val="00D6508E"/>
    <w:rsid w:val="00D656F2"/>
    <w:rsid w:val="00D65BD2"/>
    <w:rsid w:val="00D65C31"/>
    <w:rsid w:val="00D66709"/>
    <w:rsid w:val="00D66910"/>
    <w:rsid w:val="00D67B1A"/>
    <w:rsid w:val="00D71D83"/>
    <w:rsid w:val="00D71DE7"/>
    <w:rsid w:val="00D73312"/>
    <w:rsid w:val="00D7348B"/>
    <w:rsid w:val="00D73CD7"/>
    <w:rsid w:val="00D756E2"/>
    <w:rsid w:val="00D75853"/>
    <w:rsid w:val="00D76B8E"/>
    <w:rsid w:val="00D76E48"/>
    <w:rsid w:val="00D77442"/>
    <w:rsid w:val="00D80857"/>
    <w:rsid w:val="00D81239"/>
    <w:rsid w:val="00D817F1"/>
    <w:rsid w:val="00D81B3B"/>
    <w:rsid w:val="00D81C0D"/>
    <w:rsid w:val="00D8489D"/>
    <w:rsid w:val="00D84CFD"/>
    <w:rsid w:val="00D85697"/>
    <w:rsid w:val="00D85AA2"/>
    <w:rsid w:val="00D862A9"/>
    <w:rsid w:val="00D86F68"/>
    <w:rsid w:val="00D90865"/>
    <w:rsid w:val="00D90EDB"/>
    <w:rsid w:val="00D91605"/>
    <w:rsid w:val="00D932F4"/>
    <w:rsid w:val="00D94356"/>
    <w:rsid w:val="00D9488E"/>
    <w:rsid w:val="00D94ABA"/>
    <w:rsid w:val="00D95483"/>
    <w:rsid w:val="00D95927"/>
    <w:rsid w:val="00D95A5D"/>
    <w:rsid w:val="00D97CF1"/>
    <w:rsid w:val="00D97DF4"/>
    <w:rsid w:val="00DA162C"/>
    <w:rsid w:val="00DA202E"/>
    <w:rsid w:val="00DA2505"/>
    <w:rsid w:val="00DA3B8A"/>
    <w:rsid w:val="00DA4BA2"/>
    <w:rsid w:val="00DA6061"/>
    <w:rsid w:val="00DA61E5"/>
    <w:rsid w:val="00DB2765"/>
    <w:rsid w:val="00DB2A3A"/>
    <w:rsid w:val="00DB2DCC"/>
    <w:rsid w:val="00DB2EB9"/>
    <w:rsid w:val="00DB3F35"/>
    <w:rsid w:val="00DB45B6"/>
    <w:rsid w:val="00DB62F1"/>
    <w:rsid w:val="00DB787C"/>
    <w:rsid w:val="00DB7E49"/>
    <w:rsid w:val="00DC0879"/>
    <w:rsid w:val="00DC173A"/>
    <w:rsid w:val="00DC1742"/>
    <w:rsid w:val="00DC1A00"/>
    <w:rsid w:val="00DC22B8"/>
    <w:rsid w:val="00DC3799"/>
    <w:rsid w:val="00DC38C2"/>
    <w:rsid w:val="00DC420C"/>
    <w:rsid w:val="00DC4394"/>
    <w:rsid w:val="00DC43BC"/>
    <w:rsid w:val="00DC4910"/>
    <w:rsid w:val="00DC4A69"/>
    <w:rsid w:val="00DC4A7D"/>
    <w:rsid w:val="00DC4B7C"/>
    <w:rsid w:val="00DC528C"/>
    <w:rsid w:val="00DC52C8"/>
    <w:rsid w:val="00DC71B1"/>
    <w:rsid w:val="00DD0E86"/>
    <w:rsid w:val="00DD245B"/>
    <w:rsid w:val="00DD3E36"/>
    <w:rsid w:val="00DD4138"/>
    <w:rsid w:val="00DD4D13"/>
    <w:rsid w:val="00DD7049"/>
    <w:rsid w:val="00DE229C"/>
    <w:rsid w:val="00DE23D8"/>
    <w:rsid w:val="00DE2E47"/>
    <w:rsid w:val="00DE62A9"/>
    <w:rsid w:val="00DE6851"/>
    <w:rsid w:val="00DE78FD"/>
    <w:rsid w:val="00DE7F72"/>
    <w:rsid w:val="00DF0499"/>
    <w:rsid w:val="00DF23C5"/>
    <w:rsid w:val="00DF26E7"/>
    <w:rsid w:val="00DF2CC5"/>
    <w:rsid w:val="00DF3D7B"/>
    <w:rsid w:val="00DF4A03"/>
    <w:rsid w:val="00DF4BF9"/>
    <w:rsid w:val="00DF5635"/>
    <w:rsid w:val="00DF57DD"/>
    <w:rsid w:val="00DF5A23"/>
    <w:rsid w:val="00DF5EFF"/>
    <w:rsid w:val="00DF68ED"/>
    <w:rsid w:val="00DF6A6F"/>
    <w:rsid w:val="00E00E14"/>
    <w:rsid w:val="00E01931"/>
    <w:rsid w:val="00E01E87"/>
    <w:rsid w:val="00E043ED"/>
    <w:rsid w:val="00E04E44"/>
    <w:rsid w:val="00E04EF7"/>
    <w:rsid w:val="00E05345"/>
    <w:rsid w:val="00E05372"/>
    <w:rsid w:val="00E05828"/>
    <w:rsid w:val="00E05D4B"/>
    <w:rsid w:val="00E06146"/>
    <w:rsid w:val="00E06528"/>
    <w:rsid w:val="00E06823"/>
    <w:rsid w:val="00E06A60"/>
    <w:rsid w:val="00E06B8F"/>
    <w:rsid w:val="00E07317"/>
    <w:rsid w:val="00E075AA"/>
    <w:rsid w:val="00E0797D"/>
    <w:rsid w:val="00E11EC4"/>
    <w:rsid w:val="00E13074"/>
    <w:rsid w:val="00E13397"/>
    <w:rsid w:val="00E14403"/>
    <w:rsid w:val="00E14ABF"/>
    <w:rsid w:val="00E14C16"/>
    <w:rsid w:val="00E157D4"/>
    <w:rsid w:val="00E162CE"/>
    <w:rsid w:val="00E16EA5"/>
    <w:rsid w:val="00E213EC"/>
    <w:rsid w:val="00E214F3"/>
    <w:rsid w:val="00E21679"/>
    <w:rsid w:val="00E217BA"/>
    <w:rsid w:val="00E2180E"/>
    <w:rsid w:val="00E22EB0"/>
    <w:rsid w:val="00E2301D"/>
    <w:rsid w:val="00E23279"/>
    <w:rsid w:val="00E24A77"/>
    <w:rsid w:val="00E25B59"/>
    <w:rsid w:val="00E2748A"/>
    <w:rsid w:val="00E307DD"/>
    <w:rsid w:val="00E31AA8"/>
    <w:rsid w:val="00E31EFA"/>
    <w:rsid w:val="00E32319"/>
    <w:rsid w:val="00E3264B"/>
    <w:rsid w:val="00E32696"/>
    <w:rsid w:val="00E32F0A"/>
    <w:rsid w:val="00E32FB9"/>
    <w:rsid w:val="00E35C96"/>
    <w:rsid w:val="00E36414"/>
    <w:rsid w:val="00E36686"/>
    <w:rsid w:val="00E36E72"/>
    <w:rsid w:val="00E37AE1"/>
    <w:rsid w:val="00E41D9C"/>
    <w:rsid w:val="00E44D66"/>
    <w:rsid w:val="00E46845"/>
    <w:rsid w:val="00E46D80"/>
    <w:rsid w:val="00E477C3"/>
    <w:rsid w:val="00E52CCD"/>
    <w:rsid w:val="00E53420"/>
    <w:rsid w:val="00E556A0"/>
    <w:rsid w:val="00E56C79"/>
    <w:rsid w:val="00E603AB"/>
    <w:rsid w:val="00E60F1E"/>
    <w:rsid w:val="00E614F4"/>
    <w:rsid w:val="00E61722"/>
    <w:rsid w:val="00E621AB"/>
    <w:rsid w:val="00E63334"/>
    <w:rsid w:val="00E633D8"/>
    <w:rsid w:val="00E636BB"/>
    <w:rsid w:val="00E64170"/>
    <w:rsid w:val="00E6496A"/>
    <w:rsid w:val="00E6627C"/>
    <w:rsid w:val="00E66858"/>
    <w:rsid w:val="00E66ED9"/>
    <w:rsid w:val="00E700A8"/>
    <w:rsid w:val="00E71100"/>
    <w:rsid w:val="00E74A59"/>
    <w:rsid w:val="00E75300"/>
    <w:rsid w:val="00E75EC4"/>
    <w:rsid w:val="00E76009"/>
    <w:rsid w:val="00E7606E"/>
    <w:rsid w:val="00E77FC9"/>
    <w:rsid w:val="00E8228B"/>
    <w:rsid w:val="00E8247B"/>
    <w:rsid w:val="00E845BB"/>
    <w:rsid w:val="00E84F73"/>
    <w:rsid w:val="00E85AAD"/>
    <w:rsid w:val="00E87196"/>
    <w:rsid w:val="00E90629"/>
    <w:rsid w:val="00E90E97"/>
    <w:rsid w:val="00E90FE6"/>
    <w:rsid w:val="00E91309"/>
    <w:rsid w:val="00E921AB"/>
    <w:rsid w:val="00E93A1E"/>
    <w:rsid w:val="00E94EF9"/>
    <w:rsid w:val="00E958E7"/>
    <w:rsid w:val="00E96A76"/>
    <w:rsid w:val="00EA03F3"/>
    <w:rsid w:val="00EA1227"/>
    <w:rsid w:val="00EA2570"/>
    <w:rsid w:val="00EA3133"/>
    <w:rsid w:val="00EA4487"/>
    <w:rsid w:val="00EA5B91"/>
    <w:rsid w:val="00EA5F4D"/>
    <w:rsid w:val="00EA609A"/>
    <w:rsid w:val="00EA6709"/>
    <w:rsid w:val="00EA78BD"/>
    <w:rsid w:val="00EB0375"/>
    <w:rsid w:val="00EB0872"/>
    <w:rsid w:val="00EB0CB8"/>
    <w:rsid w:val="00EB179B"/>
    <w:rsid w:val="00EB2070"/>
    <w:rsid w:val="00EB2CCF"/>
    <w:rsid w:val="00EB384D"/>
    <w:rsid w:val="00EB3A61"/>
    <w:rsid w:val="00EB3EC6"/>
    <w:rsid w:val="00EB4022"/>
    <w:rsid w:val="00EB462B"/>
    <w:rsid w:val="00EB466F"/>
    <w:rsid w:val="00EB4BD7"/>
    <w:rsid w:val="00EB5874"/>
    <w:rsid w:val="00EB62C5"/>
    <w:rsid w:val="00EB7174"/>
    <w:rsid w:val="00EC1574"/>
    <w:rsid w:val="00EC1837"/>
    <w:rsid w:val="00EC220B"/>
    <w:rsid w:val="00EC273C"/>
    <w:rsid w:val="00EC432A"/>
    <w:rsid w:val="00EC60BA"/>
    <w:rsid w:val="00EC6976"/>
    <w:rsid w:val="00EC6979"/>
    <w:rsid w:val="00EC7DB6"/>
    <w:rsid w:val="00ED0AAB"/>
    <w:rsid w:val="00ED0CC7"/>
    <w:rsid w:val="00ED0E97"/>
    <w:rsid w:val="00ED1562"/>
    <w:rsid w:val="00ED1A75"/>
    <w:rsid w:val="00ED2B9C"/>
    <w:rsid w:val="00ED3041"/>
    <w:rsid w:val="00ED3594"/>
    <w:rsid w:val="00ED38F3"/>
    <w:rsid w:val="00ED4734"/>
    <w:rsid w:val="00ED747B"/>
    <w:rsid w:val="00ED7C96"/>
    <w:rsid w:val="00EE0900"/>
    <w:rsid w:val="00EE0DE0"/>
    <w:rsid w:val="00EE1E11"/>
    <w:rsid w:val="00EE26AA"/>
    <w:rsid w:val="00EE2907"/>
    <w:rsid w:val="00EE37E5"/>
    <w:rsid w:val="00EE3B08"/>
    <w:rsid w:val="00EE48DB"/>
    <w:rsid w:val="00EE534B"/>
    <w:rsid w:val="00EE53D1"/>
    <w:rsid w:val="00EE701F"/>
    <w:rsid w:val="00EE730C"/>
    <w:rsid w:val="00EE770E"/>
    <w:rsid w:val="00EE7D7F"/>
    <w:rsid w:val="00EE7EBD"/>
    <w:rsid w:val="00EF05D1"/>
    <w:rsid w:val="00EF119E"/>
    <w:rsid w:val="00EF123A"/>
    <w:rsid w:val="00EF2553"/>
    <w:rsid w:val="00EF3592"/>
    <w:rsid w:val="00EF655D"/>
    <w:rsid w:val="00EF6815"/>
    <w:rsid w:val="00EF6B87"/>
    <w:rsid w:val="00EF6E8E"/>
    <w:rsid w:val="00EF747E"/>
    <w:rsid w:val="00EF764F"/>
    <w:rsid w:val="00F00824"/>
    <w:rsid w:val="00F00D0F"/>
    <w:rsid w:val="00F039FC"/>
    <w:rsid w:val="00F03ABE"/>
    <w:rsid w:val="00F04C20"/>
    <w:rsid w:val="00F04C92"/>
    <w:rsid w:val="00F0513E"/>
    <w:rsid w:val="00F051EE"/>
    <w:rsid w:val="00F05F6D"/>
    <w:rsid w:val="00F06009"/>
    <w:rsid w:val="00F06F57"/>
    <w:rsid w:val="00F11962"/>
    <w:rsid w:val="00F12968"/>
    <w:rsid w:val="00F12FC0"/>
    <w:rsid w:val="00F13A5D"/>
    <w:rsid w:val="00F13A7E"/>
    <w:rsid w:val="00F143DA"/>
    <w:rsid w:val="00F1456D"/>
    <w:rsid w:val="00F1510E"/>
    <w:rsid w:val="00F16A92"/>
    <w:rsid w:val="00F17567"/>
    <w:rsid w:val="00F179F9"/>
    <w:rsid w:val="00F204EB"/>
    <w:rsid w:val="00F20C70"/>
    <w:rsid w:val="00F21791"/>
    <w:rsid w:val="00F229B4"/>
    <w:rsid w:val="00F23CCD"/>
    <w:rsid w:val="00F24079"/>
    <w:rsid w:val="00F24646"/>
    <w:rsid w:val="00F259A5"/>
    <w:rsid w:val="00F27399"/>
    <w:rsid w:val="00F274F8"/>
    <w:rsid w:val="00F275ED"/>
    <w:rsid w:val="00F30563"/>
    <w:rsid w:val="00F3147D"/>
    <w:rsid w:val="00F31CD4"/>
    <w:rsid w:val="00F322E9"/>
    <w:rsid w:val="00F3319E"/>
    <w:rsid w:val="00F33F95"/>
    <w:rsid w:val="00F348CD"/>
    <w:rsid w:val="00F359CA"/>
    <w:rsid w:val="00F362C8"/>
    <w:rsid w:val="00F3660F"/>
    <w:rsid w:val="00F369D0"/>
    <w:rsid w:val="00F370D1"/>
    <w:rsid w:val="00F4231D"/>
    <w:rsid w:val="00F42923"/>
    <w:rsid w:val="00F43181"/>
    <w:rsid w:val="00F43833"/>
    <w:rsid w:val="00F43F2E"/>
    <w:rsid w:val="00F477BB"/>
    <w:rsid w:val="00F477D0"/>
    <w:rsid w:val="00F47E3F"/>
    <w:rsid w:val="00F50385"/>
    <w:rsid w:val="00F51720"/>
    <w:rsid w:val="00F51BE0"/>
    <w:rsid w:val="00F520AA"/>
    <w:rsid w:val="00F52AA6"/>
    <w:rsid w:val="00F537CC"/>
    <w:rsid w:val="00F538BB"/>
    <w:rsid w:val="00F53DBD"/>
    <w:rsid w:val="00F5461D"/>
    <w:rsid w:val="00F554A1"/>
    <w:rsid w:val="00F56071"/>
    <w:rsid w:val="00F56BE1"/>
    <w:rsid w:val="00F57687"/>
    <w:rsid w:val="00F57B2F"/>
    <w:rsid w:val="00F6072C"/>
    <w:rsid w:val="00F612BD"/>
    <w:rsid w:val="00F6153A"/>
    <w:rsid w:val="00F63CBA"/>
    <w:rsid w:val="00F63DEF"/>
    <w:rsid w:val="00F653F1"/>
    <w:rsid w:val="00F65983"/>
    <w:rsid w:val="00F664DE"/>
    <w:rsid w:val="00F674D2"/>
    <w:rsid w:val="00F67D21"/>
    <w:rsid w:val="00F70281"/>
    <w:rsid w:val="00F70E67"/>
    <w:rsid w:val="00F712D3"/>
    <w:rsid w:val="00F72119"/>
    <w:rsid w:val="00F7309A"/>
    <w:rsid w:val="00F735CA"/>
    <w:rsid w:val="00F73BFE"/>
    <w:rsid w:val="00F73DE4"/>
    <w:rsid w:val="00F744BE"/>
    <w:rsid w:val="00F74A55"/>
    <w:rsid w:val="00F753CA"/>
    <w:rsid w:val="00F75742"/>
    <w:rsid w:val="00F76655"/>
    <w:rsid w:val="00F769CF"/>
    <w:rsid w:val="00F770B8"/>
    <w:rsid w:val="00F77532"/>
    <w:rsid w:val="00F77C6F"/>
    <w:rsid w:val="00F80596"/>
    <w:rsid w:val="00F817BF"/>
    <w:rsid w:val="00F81836"/>
    <w:rsid w:val="00F81B4A"/>
    <w:rsid w:val="00F825FE"/>
    <w:rsid w:val="00F8329E"/>
    <w:rsid w:val="00F83FAF"/>
    <w:rsid w:val="00F84A9D"/>
    <w:rsid w:val="00F8674A"/>
    <w:rsid w:val="00F9013F"/>
    <w:rsid w:val="00F90469"/>
    <w:rsid w:val="00F9213C"/>
    <w:rsid w:val="00F92426"/>
    <w:rsid w:val="00F92AA0"/>
    <w:rsid w:val="00F95A50"/>
    <w:rsid w:val="00F97084"/>
    <w:rsid w:val="00F971E0"/>
    <w:rsid w:val="00F97501"/>
    <w:rsid w:val="00F9772E"/>
    <w:rsid w:val="00FA0437"/>
    <w:rsid w:val="00FA17AC"/>
    <w:rsid w:val="00FA1A74"/>
    <w:rsid w:val="00FA1D3B"/>
    <w:rsid w:val="00FA1E86"/>
    <w:rsid w:val="00FA3229"/>
    <w:rsid w:val="00FA35ED"/>
    <w:rsid w:val="00FA3D87"/>
    <w:rsid w:val="00FA542A"/>
    <w:rsid w:val="00FA56B6"/>
    <w:rsid w:val="00FA6395"/>
    <w:rsid w:val="00FA6DF6"/>
    <w:rsid w:val="00FA755A"/>
    <w:rsid w:val="00FA7A2E"/>
    <w:rsid w:val="00FA7F57"/>
    <w:rsid w:val="00FB1646"/>
    <w:rsid w:val="00FB305D"/>
    <w:rsid w:val="00FB3DEA"/>
    <w:rsid w:val="00FB4BEB"/>
    <w:rsid w:val="00FB4C42"/>
    <w:rsid w:val="00FB54CE"/>
    <w:rsid w:val="00FB5915"/>
    <w:rsid w:val="00FB5D78"/>
    <w:rsid w:val="00FB6545"/>
    <w:rsid w:val="00FB6B23"/>
    <w:rsid w:val="00FC0510"/>
    <w:rsid w:val="00FC0706"/>
    <w:rsid w:val="00FC0D54"/>
    <w:rsid w:val="00FC1BF1"/>
    <w:rsid w:val="00FC2EEA"/>
    <w:rsid w:val="00FC46AA"/>
    <w:rsid w:val="00FC587B"/>
    <w:rsid w:val="00FC5C22"/>
    <w:rsid w:val="00FC7820"/>
    <w:rsid w:val="00FD17DA"/>
    <w:rsid w:val="00FD1B18"/>
    <w:rsid w:val="00FD233A"/>
    <w:rsid w:val="00FD2E87"/>
    <w:rsid w:val="00FD36B2"/>
    <w:rsid w:val="00FD42B3"/>
    <w:rsid w:val="00FD4C53"/>
    <w:rsid w:val="00FD68FC"/>
    <w:rsid w:val="00FD69FB"/>
    <w:rsid w:val="00FD6E06"/>
    <w:rsid w:val="00FD7B60"/>
    <w:rsid w:val="00FD7EF5"/>
    <w:rsid w:val="00FE0607"/>
    <w:rsid w:val="00FE0925"/>
    <w:rsid w:val="00FE0C4A"/>
    <w:rsid w:val="00FE104C"/>
    <w:rsid w:val="00FE1933"/>
    <w:rsid w:val="00FE1AD6"/>
    <w:rsid w:val="00FE271B"/>
    <w:rsid w:val="00FE2EC2"/>
    <w:rsid w:val="00FE4BCB"/>
    <w:rsid w:val="00FE5B3A"/>
    <w:rsid w:val="00FE5D44"/>
    <w:rsid w:val="00FE61EA"/>
    <w:rsid w:val="00FF1811"/>
    <w:rsid w:val="00FF28F8"/>
    <w:rsid w:val="00FF2947"/>
    <w:rsid w:val="00FF3B2D"/>
    <w:rsid w:val="00FF45A9"/>
    <w:rsid w:val="00FF6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7" style="mso-position-horizontal:center;mso-position-horizontal-relative:margin;mso-position-vertical:center;mso-position-vertical-relative:margin" o:allowincell="f" fillcolor="silver" stroke="f">
      <v:fill color="silver" opacity=".5"/>
      <v:stroke on="f"/>
    </o:shapedefaults>
    <o:shapelayout v:ext="edit">
      <o:idmap v:ext="edit" data="1"/>
    </o:shapelayout>
  </w:shapeDefaults>
  <w:decimalSymbol w:val="."/>
  <w:listSeparator w:val=","/>
  <w14:docId w14:val="2D3E1D66"/>
  <w15:docId w15:val="{B6068EC4-1465-4D5C-8677-302D960C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CDA"/>
    <w:pPr>
      <w:spacing w:before="220" w:after="220" w:line="280" w:lineRule="exact"/>
    </w:pPr>
  </w:style>
  <w:style w:type="paragraph" w:styleId="Heading1">
    <w:name w:val="heading 1"/>
    <w:aliases w:val="numbered"/>
    <w:basedOn w:val="Normal"/>
    <w:next w:val="Normal"/>
    <w:link w:val="Heading1Char"/>
    <w:uiPriority w:val="9"/>
    <w:qFormat/>
    <w:rsid w:val="000B0846"/>
    <w:pPr>
      <w:keepNext/>
      <w:keepLines/>
      <w:spacing w:before="7600" w:after="480"/>
      <w:jc w:val="right"/>
      <w:outlineLvl w:val="0"/>
    </w:pPr>
    <w:rPr>
      <w:rFonts w:ascii="Arial Narrow" w:eastAsiaTheme="majorEastAsia" w:hAnsi="Arial Narrow" w:cstheme="majorBidi"/>
      <w:smallCaps/>
      <w:sz w:val="42"/>
      <w:szCs w:val="32"/>
    </w:rPr>
  </w:style>
  <w:style w:type="paragraph" w:styleId="Heading2">
    <w:name w:val="heading 2"/>
    <w:basedOn w:val="Normal"/>
    <w:next w:val="Normal"/>
    <w:link w:val="Heading2Char"/>
    <w:autoRedefine/>
    <w:uiPriority w:val="9"/>
    <w:unhideWhenUsed/>
    <w:qFormat/>
    <w:rsid w:val="00382F85"/>
    <w:pPr>
      <w:keepNext/>
      <w:keepLines/>
      <w:spacing w:before="320" w:after="240" w:line="259" w:lineRule="auto"/>
      <w:outlineLvl w:val="1"/>
    </w:pPr>
    <w:rPr>
      <w:rFonts w:eastAsia="Calibri" w:cstheme="minorHAnsi"/>
      <w:smallCaps/>
      <w:color w:val="000000" w:themeColor="text1"/>
      <w:kern w:val="32"/>
      <w:sz w:val="44"/>
      <w:szCs w:val="44"/>
      <w:lang w:eastAsia="en-AU"/>
    </w:rPr>
  </w:style>
  <w:style w:type="paragraph" w:styleId="Heading3">
    <w:name w:val="heading 3"/>
    <w:basedOn w:val="Normal"/>
    <w:next w:val="Normal"/>
    <w:link w:val="Heading3Char"/>
    <w:uiPriority w:val="9"/>
    <w:unhideWhenUsed/>
    <w:qFormat/>
    <w:rsid w:val="0021195E"/>
    <w:pPr>
      <w:keepNext/>
      <w:keepLines/>
      <w:spacing w:before="240" w:after="240"/>
      <w:outlineLvl w:val="2"/>
    </w:pPr>
    <w:rPr>
      <w:rFonts w:ascii="Arial Narrow" w:eastAsiaTheme="majorEastAsia" w:hAnsi="Arial Narrow" w:cstheme="majorBidi"/>
      <w:smallCaps/>
      <w:sz w:val="30"/>
      <w:szCs w:val="24"/>
    </w:rPr>
  </w:style>
  <w:style w:type="paragraph" w:styleId="Heading4">
    <w:name w:val="heading 4"/>
    <w:aliases w:val="Heading 4 numbered"/>
    <w:basedOn w:val="Normal"/>
    <w:next w:val="Normal"/>
    <w:link w:val="Heading4Char"/>
    <w:uiPriority w:val="9"/>
    <w:unhideWhenUsed/>
    <w:qFormat/>
    <w:rsid w:val="000C30A9"/>
    <w:pPr>
      <w:keepNext/>
      <w:keepLines/>
      <w:spacing w:before="240" w:after="240"/>
      <w:outlineLvl w:val="3"/>
    </w:pPr>
    <w:rPr>
      <w:rFonts w:ascii="Arial Narrow" w:eastAsiaTheme="majorEastAsia" w:hAnsi="Arial Narrow" w:cstheme="majorBidi"/>
      <w:b/>
      <w:iCs/>
      <w:smallCaps/>
      <w:sz w:val="26"/>
    </w:rPr>
  </w:style>
  <w:style w:type="paragraph" w:styleId="Heading5">
    <w:name w:val="heading 5"/>
    <w:basedOn w:val="Heading6"/>
    <w:next w:val="Normal"/>
    <w:link w:val="Heading5Char"/>
    <w:uiPriority w:val="9"/>
    <w:unhideWhenUsed/>
    <w:qFormat/>
    <w:rsid w:val="00FA3D87"/>
    <w:pPr>
      <w:keepLines w:val="0"/>
      <w:outlineLvl w:val="4"/>
    </w:pPr>
    <w:rPr>
      <w:rFonts w:ascii="Arial Narrow" w:eastAsia="Calibri" w:hAnsi="Arial Narrow"/>
      <w:i w:val="0"/>
      <w:iCs w:val="0"/>
      <w:smallCaps/>
      <w:szCs w:val="24"/>
      <w:lang w:eastAsia="en-AU"/>
    </w:rPr>
  </w:style>
  <w:style w:type="paragraph" w:styleId="Heading6">
    <w:name w:val="heading 6"/>
    <w:basedOn w:val="Heading7"/>
    <w:next w:val="Normal"/>
    <w:link w:val="Heading6Char"/>
    <w:uiPriority w:val="9"/>
    <w:unhideWhenUsed/>
    <w:qFormat/>
    <w:rsid w:val="005C7610"/>
    <w:pPr>
      <w:spacing w:before="220" w:after="220"/>
      <w:outlineLvl w:val="5"/>
    </w:pPr>
    <w:rPr>
      <w:rFonts w:ascii="Calibri" w:hAnsi="Calibri"/>
      <w:i/>
      <w:smallCaps w:val="0"/>
    </w:rPr>
  </w:style>
  <w:style w:type="paragraph" w:styleId="Heading7">
    <w:name w:val="heading 7"/>
    <w:basedOn w:val="Normal"/>
    <w:next w:val="Normal"/>
    <w:link w:val="Heading7Char"/>
    <w:uiPriority w:val="9"/>
    <w:unhideWhenUsed/>
    <w:qFormat/>
    <w:rsid w:val="00B27573"/>
    <w:pPr>
      <w:keepNext/>
      <w:keepLines/>
      <w:spacing w:before="240" w:after="240"/>
      <w:outlineLvl w:val="6"/>
    </w:pPr>
    <w:rPr>
      <w:rFonts w:eastAsiaTheme="majorEastAsia" w:cstheme="majorBidi"/>
      <w:iCs/>
      <w:smallCaps/>
    </w:rPr>
  </w:style>
  <w:style w:type="paragraph" w:styleId="Heading8">
    <w:name w:val="heading 8"/>
    <w:basedOn w:val="Normal"/>
    <w:next w:val="Normal"/>
    <w:link w:val="Heading8Char"/>
    <w:uiPriority w:val="9"/>
    <w:unhideWhenUsed/>
    <w:qFormat/>
    <w:rsid w:val="00713E5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13E5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846"/>
  </w:style>
  <w:style w:type="paragraph" w:styleId="Footer">
    <w:name w:val="footer"/>
    <w:basedOn w:val="Normal"/>
    <w:link w:val="FooterChar"/>
    <w:uiPriority w:val="99"/>
    <w:unhideWhenUsed/>
    <w:rsid w:val="000B0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846"/>
  </w:style>
  <w:style w:type="character" w:customStyle="1" w:styleId="Heading1Char">
    <w:name w:val="Heading 1 Char"/>
    <w:aliases w:val="numbered Char"/>
    <w:basedOn w:val="DefaultParagraphFont"/>
    <w:link w:val="Heading1"/>
    <w:uiPriority w:val="9"/>
    <w:rsid w:val="000B0846"/>
    <w:rPr>
      <w:rFonts w:ascii="Arial Narrow" w:eastAsiaTheme="majorEastAsia" w:hAnsi="Arial Narrow" w:cstheme="majorBidi"/>
      <w:smallCaps/>
      <w:sz w:val="42"/>
      <w:szCs w:val="32"/>
    </w:rPr>
  </w:style>
  <w:style w:type="character" w:customStyle="1" w:styleId="Heading2Char">
    <w:name w:val="Heading 2 Char"/>
    <w:basedOn w:val="DefaultParagraphFont"/>
    <w:link w:val="Heading2"/>
    <w:uiPriority w:val="9"/>
    <w:rsid w:val="00382F85"/>
    <w:rPr>
      <w:rFonts w:eastAsia="Calibri" w:cstheme="minorHAnsi"/>
      <w:smallCaps/>
      <w:color w:val="000000" w:themeColor="text1"/>
      <w:kern w:val="32"/>
      <w:sz w:val="44"/>
      <w:szCs w:val="44"/>
      <w:lang w:eastAsia="en-AU"/>
    </w:rPr>
  </w:style>
  <w:style w:type="character" w:customStyle="1" w:styleId="Heading3Char">
    <w:name w:val="Heading 3 Char"/>
    <w:basedOn w:val="DefaultParagraphFont"/>
    <w:link w:val="Heading3"/>
    <w:uiPriority w:val="9"/>
    <w:rsid w:val="0021195E"/>
    <w:rPr>
      <w:rFonts w:ascii="Arial Narrow" w:eastAsiaTheme="majorEastAsia" w:hAnsi="Arial Narrow" w:cstheme="majorBidi"/>
      <w:smallCaps/>
      <w:sz w:val="30"/>
      <w:szCs w:val="24"/>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列出段,列出,列,lp1"/>
    <w:basedOn w:val="Normal"/>
    <w:link w:val="ListParagraphChar"/>
    <w:uiPriority w:val="34"/>
    <w:qFormat/>
    <w:rsid w:val="00F6072C"/>
    <w:pPr>
      <w:ind w:left="720"/>
      <w:contextualSpacing/>
    </w:pPr>
  </w:style>
  <w:style w:type="paragraph" w:styleId="BalloonText">
    <w:name w:val="Balloon Text"/>
    <w:basedOn w:val="Normal"/>
    <w:link w:val="BalloonTextChar"/>
    <w:semiHidden/>
    <w:unhideWhenUsed/>
    <w:rsid w:val="00713E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13E5C"/>
    <w:rPr>
      <w:rFonts w:ascii="Segoe UI" w:hAnsi="Segoe UI" w:cs="Segoe UI"/>
      <w:sz w:val="18"/>
      <w:szCs w:val="18"/>
    </w:rPr>
  </w:style>
  <w:style w:type="paragraph" w:styleId="Bibliography">
    <w:name w:val="Bibliography"/>
    <w:basedOn w:val="Normal"/>
    <w:next w:val="Normal"/>
    <w:uiPriority w:val="37"/>
    <w:semiHidden/>
    <w:unhideWhenUsed/>
    <w:rsid w:val="00713E5C"/>
  </w:style>
  <w:style w:type="paragraph" w:styleId="BlockText">
    <w:name w:val="Block Text"/>
    <w:basedOn w:val="Normal"/>
    <w:uiPriority w:val="99"/>
    <w:semiHidden/>
    <w:unhideWhenUsed/>
    <w:rsid w:val="00713E5C"/>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713E5C"/>
    <w:pPr>
      <w:spacing w:after="120"/>
    </w:pPr>
  </w:style>
  <w:style w:type="character" w:customStyle="1" w:styleId="BodyTextChar">
    <w:name w:val="Body Text Char"/>
    <w:basedOn w:val="DefaultParagraphFont"/>
    <w:link w:val="BodyText"/>
    <w:uiPriority w:val="99"/>
    <w:rsid w:val="00713E5C"/>
  </w:style>
  <w:style w:type="paragraph" w:styleId="BodyText2">
    <w:name w:val="Body Text 2"/>
    <w:basedOn w:val="Normal"/>
    <w:link w:val="BodyText2Char"/>
    <w:uiPriority w:val="99"/>
    <w:semiHidden/>
    <w:unhideWhenUsed/>
    <w:rsid w:val="00713E5C"/>
    <w:pPr>
      <w:spacing w:after="120" w:line="480" w:lineRule="auto"/>
    </w:pPr>
  </w:style>
  <w:style w:type="character" w:customStyle="1" w:styleId="BodyText2Char">
    <w:name w:val="Body Text 2 Char"/>
    <w:basedOn w:val="DefaultParagraphFont"/>
    <w:link w:val="BodyText2"/>
    <w:uiPriority w:val="99"/>
    <w:semiHidden/>
    <w:rsid w:val="00713E5C"/>
  </w:style>
  <w:style w:type="paragraph" w:styleId="BodyText3">
    <w:name w:val="Body Text 3"/>
    <w:basedOn w:val="Normal"/>
    <w:link w:val="BodyText3Char"/>
    <w:uiPriority w:val="99"/>
    <w:semiHidden/>
    <w:unhideWhenUsed/>
    <w:rsid w:val="00713E5C"/>
    <w:pPr>
      <w:spacing w:after="120"/>
    </w:pPr>
    <w:rPr>
      <w:sz w:val="16"/>
      <w:szCs w:val="16"/>
    </w:rPr>
  </w:style>
  <w:style w:type="character" w:customStyle="1" w:styleId="BodyText3Char">
    <w:name w:val="Body Text 3 Char"/>
    <w:basedOn w:val="DefaultParagraphFont"/>
    <w:link w:val="BodyText3"/>
    <w:uiPriority w:val="99"/>
    <w:semiHidden/>
    <w:rsid w:val="00713E5C"/>
    <w:rPr>
      <w:sz w:val="16"/>
      <w:szCs w:val="16"/>
    </w:rPr>
  </w:style>
  <w:style w:type="paragraph" w:styleId="BodyTextFirstIndent">
    <w:name w:val="Body Text First Indent"/>
    <w:basedOn w:val="BodyText"/>
    <w:link w:val="BodyTextFirstIndentChar"/>
    <w:uiPriority w:val="99"/>
    <w:semiHidden/>
    <w:unhideWhenUsed/>
    <w:rsid w:val="00713E5C"/>
    <w:pPr>
      <w:spacing w:after="160"/>
      <w:ind w:firstLine="360"/>
    </w:pPr>
  </w:style>
  <w:style w:type="character" w:customStyle="1" w:styleId="BodyTextFirstIndentChar">
    <w:name w:val="Body Text First Indent Char"/>
    <w:basedOn w:val="BodyTextChar"/>
    <w:link w:val="BodyTextFirstIndent"/>
    <w:uiPriority w:val="99"/>
    <w:semiHidden/>
    <w:rsid w:val="00713E5C"/>
  </w:style>
  <w:style w:type="paragraph" w:styleId="BodyTextIndent">
    <w:name w:val="Body Text Indent"/>
    <w:basedOn w:val="Normal"/>
    <w:link w:val="BodyTextIndentChar"/>
    <w:unhideWhenUsed/>
    <w:rsid w:val="00713E5C"/>
    <w:pPr>
      <w:spacing w:after="120"/>
      <w:ind w:left="283"/>
    </w:pPr>
  </w:style>
  <w:style w:type="character" w:customStyle="1" w:styleId="BodyTextIndentChar">
    <w:name w:val="Body Text Indent Char"/>
    <w:basedOn w:val="DefaultParagraphFont"/>
    <w:link w:val="BodyTextIndent"/>
    <w:rsid w:val="00713E5C"/>
  </w:style>
  <w:style w:type="paragraph" w:styleId="BodyTextFirstIndent2">
    <w:name w:val="Body Text First Indent 2"/>
    <w:basedOn w:val="BodyTextIndent"/>
    <w:link w:val="BodyTextFirstIndent2Char"/>
    <w:uiPriority w:val="99"/>
    <w:semiHidden/>
    <w:unhideWhenUsed/>
    <w:rsid w:val="00713E5C"/>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713E5C"/>
  </w:style>
  <w:style w:type="paragraph" w:styleId="BodyTextIndent2">
    <w:name w:val="Body Text Indent 2"/>
    <w:basedOn w:val="Normal"/>
    <w:link w:val="BodyTextIndent2Char"/>
    <w:uiPriority w:val="99"/>
    <w:semiHidden/>
    <w:unhideWhenUsed/>
    <w:rsid w:val="00713E5C"/>
    <w:pPr>
      <w:spacing w:after="120" w:line="480" w:lineRule="auto"/>
      <w:ind w:left="283"/>
    </w:pPr>
  </w:style>
  <w:style w:type="character" w:customStyle="1" w:styleId="BodyTextIndent2Char">
    <w:name w:val="Body Text Indent 2 Char"/>
    <w:basedOn w:val="DefaultParagraphFont"/>
    <w:link w:val="BodyTextIndent2"/>
    <w:uiPriority w:val="99"/>
    <w:semiHidden/>
    <w:rsid w:val="00713E5C"/>
  </w:style>
  <w:style w:type="paragraph" w:styleId="BodyTextIndent3">
    <w:name w:val="Body Text Indent 3"/>
    <w:basedOn w:val="Normal"/>
    <w:link w:val="BodyTextIndent3Char"/>
    <w:uiPriority w:val="99"/>
    <w:semiHidden/>
    <w:unhideWhenUsed/>
    <w:rsid w:val="00713E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13E5C"/>
    <w:rPr>
      <w:sz w:val="16"/>
      <w:szCs w:val="16"/>
    </w:rPr>
  </w:style>
  <w:style w:type="paragraph" w:styleId="Caption">
    <w:name w:val="caption"/>
    <w:basedOn w:val="Normal"/>
    <w:next w:val="Normal"/>
    <w:unhideWhenUsed/>
    <w:qFormat/>
    <w:rsid w:val="00713E5C"/>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13E5C"/>
    <w:pPr>
      <w:spacing w:after="0" w:line="240" w:lineRule="auto"/>
      <w:ind w:left="4252"/>
    </w:pPr>
  </w:style>
  <w:style w:type="character" w:customStyle="1" w:styleId="ClosingChar">
    <w:name w:val="Closing Char"/>
    <w:basedOn w:val="DefaultParagraphFont"/>
    <w:link w:val="Closing"/>
    <w:uiPriority w:val="99"/>
    <w:semiHidden/>
    <w:rsid w:val="00713E5C"/>
  </w:style>
  <w:style w:type="paragraph" w:styleId="CommentText">
    <w:name w:val="annotation text"/>
    <w:basedOn w:val="Normal"/>
    <w:link w:val="CommentTextChar"/>
    <w:uiPriority w:val="99"/>
    <w:unhideWhenUsed/>
    <w:rsid w:val="00713E5C"/>
    <w:pPr>
      <w:spacing w:line="240" w:lineRule="auto"/>
    </w:pPr>
    <w:rPr>
      <w:sz w:val="20"/>
      <w:szCs w:val="20"/>
    </w:rPr>
  </w:style>
  <w:style w:type="character" w:customStyle="1" w:styleId="CommentTextChar">
    <w:name w:val="Comment Text Char"/>
    <w:basedOn w:val="DefaultParagraphFont"/>
    <w:link w:val="CommentText"/>
    <w:uiPriority w:val="99"/>
    <w:rsid w:val="00713E5C"/>
    <w:rPr>
      <w:sz w:val="20"/>
      <w:szCs w:val="20"/>
    </w:rPr>
  </w:style>
  <w:style w:type="paragraph" w:styleId="CommentSubject">
    <w:name w:val="annotation subject"/>
    <w:basedOn w:val="CommentText"/>
    <w:next w:val="CommentText"/>
    <w:link w:val="CommentSubjectChar"/>
    <w:uiPriority w:val="99"/>
    <w:unhideWhenUsed/>
    <w:rsid w:val="00713E5C"/>
    <w:rPr>
      <w:b/>
      <w:bCs/>
    </w:rPr>
  </w:style>
  <w:style w:type="character" w:customStyle="1" w:styleId="CommentSubjectChar">
    <w:name w:val="Comment Subject Char"/>
    <w:basedOn w:val="CommentTextChar"/>
    <w:link w:val="CommentSubject"/>
    <w:uiPriority w:val="99"/>
    <w:rsid w:val="00713E5C"/>
    <w:rPr>
      <w:b/>
      <w:bCs/>
      <w:sz w:val="20"/>
      <w:szCs w:val="20"/>
    </w:rPr>
  </w:style>
  <w:style w:type="paragraph" w:styleId="Date">
    <w:name w:val="Date"/>
    <w:basedOn w:val="Normal"/>
    <w:next w:val="Normal"/>
    <w:link w:val="DateChar"/>
    <w:uiPriority w:val="99"/>
    <w:unhideWhenUsed/>
    <w:rsid w:val="00713E5C"/>
  </w:style>
  <w:style w:type="character" w:customStyle="1" w:styleId="DateChar">
    <w:name w:val="Date Char"/>
    <w:basedOn w:val="DefaultParagraphFont"/>
    <w:link w:val="Date"/>
    <w:uiPriority w:val="99"/>
    <w:rsid w:val="00713E5C"/>
  </w:style>
  <w:style w:type="paragraph" w:styleId="DocumentMap">
    <w:name w:val="Document Map"/>
    <w:basedOn w:val="Normal"/>
    <w:link w:val="DocumentMapChar"/>
    <w:uiPriority w:val="99"/>
    <w:semiHidden/>
    <w:unhideWhenUsed/>
    <w:rsid w:val="00713E5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13E5C"/>
    <w:rPr>
      <w:rFonts w:ascii="Segoe UI" w:hAnsi="Segoe UI" w:cs="Segoe UI"/>
      <w:sz w:val="16"/>
      <w:szCs w:val="16"/>
    </w:rPr>
  </w:style>
  <w:style w:type="paragraph" w:styleId="E-mailSignature">
    <w:name w:val="E-mail Signature"/>
    <w:basedOn w:val="Normal"/>
    <w:link w:val="E-mailSignatureChar"/>
    <w:uiPriority w:val="99"/>
    <w:semiHidden/>
    <w:unhideWhenUsed/>
    <w:rsid w:val="00713E5C"/>
    <w:pPr>
      <w:spacing w:after="0" w:line="240" w:lineRule="auto"/>
    </w:pPr>
  </w:style>
  <w:style w:type="character" w:customStyle="1" w:styleId="E-mailSignatureChar">
    <w:name w:val="E-mail Signature Char"/>
    <w:basedOn w:val="DefaultParagraphFont"/>
    <w:link w:val="E-mailSignature"/>
    <w:uiPriority w:val="99"/>
    <w:semiHidden/>
    <w:rsid w:val="00713E5C"/>
  </w:style>
  <w:style w:type="paragraph" w:styleId="EndnoteText">
    <w:name w:val="endnote text"/>
    <w:basedOn w:val="Normal"/>
    <w:link w:val="EndnoteTextChar"/>
    <w:unhideWhenUsed/>
    <w:rsid w:val="00713E5C"/>
    <w:pPr>
      <w:spacing w:after="0" w:line="240" w:lineRule="auto"/>
    </w:pPr>
    <w:rPr>
      <w:sz w:val="20"/>
      <w:szCs w:val="20"/>
    </w:rPr>
  </w:style>
  <w:style w:type="character" w:customStyle="1" w:styleId="EndnoteTextChar">
    <w:name w:val="Endnote Text Char"/>
    <w:basedOn w:val="DefaultParagraphFont"/>
    <w:link w:val="EndnoteText"/>
    <w:rsid w:val="00713E5C"/>
    <w:rPr>
      <w:sz w:val="20"/>
      <w:szCs w:val="20"/>
    </w:rPr>
  </w:style>
  <w:style w:type="paragraph" w:styleId="EnvelopeAddress">
    <w:name w:val="envelope address"/>
    <w:basedOn w:val="Normal"/>
    <w:uiPriority w:val="99"/>
    <w:semiHidden/>
    <w:unhideWhenUsed/>
    <w:rsid w:val="00713E5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13E5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unhideWhenUsed/>
    <w:rsid w:val="00B32CDA"/>
    <w:pPr>
      <w:spacing w:after="0" w:line="240" w:lineRule="auto"/>
      <w:ind w:left="115" w:hanging="115"/>
    </w:pPr>
    <w:rPr>
      <w:sz w:val="20"/>
      <w:szCs w:val="20"/>
    </w:rPr>
  </w:style>
  <w:style w:type="character" w:customStyle="1" w:styleId="FootnoteTextChar">
    <w:name w:val="Footnote Text Char"/>
    <w:basedOn w:val="DefaultParagraphFont"/>
    <w:link w:val="FootnoteText"/>
    <w:uiPriority w:val="99"/>
    <w:rsid w:val="00B32CDA"/>
    <w:rPr>
      <w:sz w:val="20"/>
      <w:szCs w:val="20"/>
    </w:rPr>
  </w:style>
  <w:style w:type="character" w:customStyle="1" w:styleId="Heading4Char">
    <w:name w:val="Heading 4 Char"/>
    <w:aliases w:val="Heading 4 numbered Char"/>
    <w:basedOn w:val="DefaultParagraphFont"/>
    <w:link w:val="Heading4"/>
    <w:uiPriority w:val="9"/>
    <w:rsid w:val="000C30A9"/>
    <w:rPr>
      <w:rFonts w:ascii="Arial Narrow" w:eastAsiaTheme="majorEastAsia" w:hAnsi="Arial Narrow" w:cstheme="majorBidi"/>
      <w:b/>
      <w:iCs/>
      <w:smallCaps/>
      <w:sz w:val="26"/>
    </w:rPr>
  </w:style>
  <w:style w:type="character" w:customStyle="1" w:styleId="Heading5Char">
    <w:name w:val="Heading 5 Char"/>
    <w:basedOn w:val="DefaultParagraphFont"/>
    <w:link w:val="Heading5"/>
    <w:uiPriority w:val="9"/>
    <w:rsid w:val="00FA3D87"/>
    <w:rPr>
      <w:rFonts w:ascii="Arial Narrow" w:eastAsia="Calibri" w:hAnsi="Arial Narrow" w:cstheme="majorBidi"/>
      <w:smallCaps/>
      <w:szCs w:val="24"/>
      <w:lang w:eastAsia="en-AU"/>
    </w:rPr>
  </w:style>
  <w:style w:type="character" w:customStyle="1" w:styleId="Heading6Char">
    <w:name w:val="Heading 6 Char"/>
    <w:basedOn w:val="DefaultParagraphFont"/>
    <w:link w:val="Heading6"/>
    <w:uiPriority w:val="9"/>
    <w:rsid w:val="005C7610"/>
    <w:rPr>
      <w:rFonts w:ascii="Calibri" w:eastAsiaTheme="majorEastAsia" w:hAnsi="Calibri" w:cstheme="majorBidi"/>
      <w:i/>
      <w:iCs/>
    </w:rPr>
  </w:style>
  <w:style w:type="character" w:customStyle="1" w:styleId="Heading7Char">
    <w:name w:val="Heading 7 Char"/>
    <w:basedOn w:val="DefaultParagraphFont"/>
    <w:link w:val="Heading7"/>
    <w:uiPriority w:val="9"/>
    <w:rsid w:val="00B27573"/>
    <w:rPr>
      <w:rFonts w:eastAsiaTheme="majorEastAsia" w:cstheme="majorBidi"/>
      <w:iCs/>
      <w:smallCaps/>
    </w:rPr>
  </w:style>
  <w:style w:type="character" w:customStyle="1" w:styleId="Heading8Char">
    <w:name w:val="Heading 8 Char"/>
    <w:basedOn w:val="DefaultParagraphFont"/>
    <w:link w:val="Heading8"/>
    <w:semiHidden/>
    <w:rsid w:val="00713E5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713E5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13E5C"/>
    <w:pPr>
      <w:spacing w:after="0" w:line="240" w:lineRule="auto"/>
    </w:pPr>
    <w:rPr>
      <w:i/>
      <w:iCs/>
    </w:rPr>
  </w:style>
  <w:style w:type="character" w:customStyle="1" w:styleId="HTMLAddressChar">
    <w:name w:val="HTML Address Char"/>
    <w:basedOn w:val="DefaultParagraphFont"/>
    <w:link w:val="HTMLAddress"/>
    <w:uiPriority w:val="99"/>
    <w:semiHidden/>
    <w:rsid w:val="00713E5C"/>
    <w:rPr>
      <w:i/>
      <w:iCs/>
    </w:rPr>
  </w:style>
  <w:style w:type="paragraph" w:styleId="HTMLPreformatted">
    <w:name w:val="HTML Preformatted"/>
    <w:basedOn w:val="Normal"/>
    <w:link w:val="HTMLPreformattedChar"/>
    <w:uiPriority w:val="99"/>
    <w:semiHidden/>
    <w:unhideWhenUsed/>
    <w:rsid w:val="00713E5C"/>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13E5C"/>
    <w:rPr>
      <w:rFonts w:ascii="Consolas" w:hAnsi="Consolas" w:cs="Consolas"/>
      <w:sz w:val="20"/>
      <w:szCs w:val="20"/>
    </w:rPr>
  </w:style>
  <w:style w:type="paragraph" w:styleId="Index1">
    <w:name w:val="index 1"/>
    <w:basedOn w:val="Normal"/>
    <w:next w:val="Normal"/>
    <w:autoRedefine/>
    <w:uiPriority w:val="99"/>
    <w:semiHidden/>
    <w:unhideWhenUsed/>
    <w:rsid w:val="00713E5C"/>
    <w:pPr>
      <w:spacing w:after="0" w:line="240" w:lineRule="auto"/>
      <w:ind w:left="220" w:hanging="220"/>
    </w:pPr>
  </w:style>
  <w:style w:type="paragraph" w:styleId="Index2">
    <w:name w:val="index 2"/>
    <w:basedOn w:val="Normal"/>
    <w:next w:val="Normal"/>
    <w:autoRedefine/>
    <w:uiPriority w:val="99"/>
    <w:semiHidden/>
    <w:unhideWhenUsed/>
    <w:rsid w:val="00713E5C"/>
    <w:pPr>
      <w:spacing w:after="0" w:line="240" w:lineRule="auto"/>
      <w:ind w:left="440" w:hanging="220"/>
    </w:pPr>
  </w:style>
  <w:style w:type="paragraph" w:styleId="Index3">
    <w:name w:val="index 3"/>
    <w:basedOn w:val="Normal"/>
    <w:next w:val="Normal"/>
    <w:autoRedefine/>
    <w:uiPriority w:val="99"/>
    <w:semiHidden/>
    <w:unhideWhenUsed/>
    <w:rsid w:val="00713E5C"/>
    <w:pPr>
      <w:spacing w:after="0" w:line="240" w:lineRule="auto"/>
      <w:ind w:left="660" w:hanging="220"/>
    </w:pPr>
  </w:style>
  <w:style w:type="paragraph" w:styleId="Index4">
    <w:name w:val="index 4"/>
    <w:basedOn w:val="Normal"/>
    <w:next w:val="Normal"/>
    <w:autoRedefine/>
    <w:uiPriority w:val="99"/>
    <w:semiHidden/>
    <w:unhideWhenUsed/>
    <w:rsid w:val="00713E5C"/>
    <w:pPr>
      <w:spacing w:after="0" w:line="240" w:lineRule="auto"/>
      <w:ind w:left="880" w:hanging="220"/>
    </w:pPr>
  </w:style>
  <w:style w:type="paragraph" w:styleId="Index5">
    <w:name w:val="index 5"/>
    <w:basedOn w:val="Normal"/>
    <w:next w:val="Normal"/>
    <w:autoRedefine/>
    <w:uiPriority w:val="99"/>
    <w:semiHidden/>
    <w:unhideWhenUsed/>
    <w:rsid w:val="00713E5C"/>
    <w:pPr>
      <w:spacing w:after="0" w:line="240" w:lineRule="auto"/>
      <w:ind w:left="1100" w:hanging="220"/>
    </w:pPr>
  </w:style>
  <w:style w:type="paragraph" w:styleId="Index6">
    <w:name w:val="index 6"/>
    <w:basedOn w:val="Normal"/>
    <w:next w:val="Normal"/>
    <w:autoRedefine/>
    <w:uiPriority w:val="99"/>
    <w:semiHidden/>
    <w:unhideWhenUsed/>
    <w:rsid w:val="00713E5C"/>
    <w:pPr>
      <w:spacing w:after="0" w:line="240" w:lineRule="auto"/>
      <w:ind w:left="1320" w:hanging="220"/>
    </w:pPr>
  </w:style>
  <w:style w:type="paragraph" w:styleId="Index7">
    <w:name w:val="index 7"/>
    <w:basedOn w:val="Normal"/>
    <w:next w:val="Normal"/>
    <w:autoRedefine/>
    <w:uiPriority w:val="99"/>
    <w:semiHidden/>
    <w:unhideWhenUsed/>
    <w:rsid w:val="00713E5C"/>
    <w:pPr>
      <w:spacing w:after="0" w:line="240" w:lineRule="auto"/>
      <w:ind w:left="1540" w:hanging="220"/>
    </w:pPr>
  </w:style>
  <w:style w:type="paragraph" w:styleId="Index8">
    <w:name w:val="index 8"/>
    <w:basedOn w:val="Normal"/>
    <w:next w:val="Normal"/>
    <w:autoRedefine/>
    <w:uiPriority w:val="99"/>
    <w:semiHidden/>
    <w:unhideWhenUsed/>
    <w:rsid w:val="00713E5C"/>
    <w:pPr>
      <w:spacing w:after="0" w:line="240" w:lineRule="auto"/>
      <w:ind w:left="1760" w:hanging="220"/>
    </w:pPr>
  </w:style>
  <w:style w:type="paragraph" w:styleId="Index9">
    <w:name w:val="index 9"/>
    <w:basedOn w:val="Normal"/>
    <w:next w:val="Normal"/>
    <w:autoRedefine/>
    <w:uiPriority w:val="99"/>
    <w:semiHidden/>
    <w:unhideWhenUsed/>
    <w:rsid w:val="00713E5C"/>
    <w:pPr>
      <w:spacing w:after="0" w:line="240" w:lineRule="auto"/>
      <w:ind w:left="1980" w:hanging="220"/>
    </w:pPr>
  </w:style>
  <w:style w:type="paragraph" w:styleId="IndexHeading">
    <w:name w:val="index heading"/>
    <w:basedOn w:val="Normal"/>
    <w:next w:val="Index1"/>
    <w:uiPriority w:val="99"/>
    <w:semiHidden/>
    <w:unhideWhenUsed/>
    <w:rsid w:val="00713E5C"/>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713E5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13E5C"/>
    <w:rPr>
      <w:i/>
      <w:iCs/>
      <w:color w:val="5B9BD5" w:themeColor="accent1"/>
    </w:rPr>
  </w:style>
  <w:style w:type="paragraph" w:styleId="List">
    <w:name w:val="List"/>
    <w:basedOn w:val="Normal"/>
    <w:uiPriority w:val="99"/>
    <w:semiHidden/>
    <w:unhideWhenUsed/>
    <w:rsid w:val="00713E5C"/>
    <w:pPr>
      <w:ind w:left="283" w:hanging="283"/>
      <w:contextualSpacing/>
    </w:pPr>
  </w:style>
  <w:style w:type="paragraph" w:styleId="List2">
    <w:name w:val="List 2"/>
    <w:basedOn w:val="Normal"/>
    <w:uiPriority w:val="99"/>
    <w:semiHidden/>
    <w:unhideWhenUsed/>
    <w:rsid w:val="00713E5C"/>
    <w:pPr>
      <w:ind w:left="566" w:hanging="283"/>
      <w:contextualSpacing/>
    </w:pPr>
  </w:style>
  <w:style w:type="paragraph" w:styleId="List3">
    <w:name w:val="List 3"/>
    <w:basedOn w:val="Normal"/>
    <w:uiPriority w:val="99"/>
    <w:semiHidden/>
    <w:unhideWhenUsed/>
    <w:rsid w:val="00713E5C"/>
    <w:pPr>
      <w:ind w:left="849" w:hanging="283"/>
      <w:contextualSpacing/>
    </w:pPr>
  </w:style>
  <w:style w:type="paragraph" w:styleId="List4">
    <w:name w:val="List 4"/>
    <w:basedOn w:val="Normal"/>
    <w:uiPriority w:val="99"/>
    <w:semiHidden/>
    <w:unhideWhenUsed/>
    <w:rsid w:val="00713E5C"/>
    <w:pPr>
      <w:ind w:left="1132" w:hanging="283"/>
      <w:contextualSpacing/>
    </w:pPr>
  </w:style>
  <w:style w:type="paragraph" w:styleId="List5">
    <w:name w:val="List 5"/>
    <w:basedOn w:val="Normal"/>
    <w:uiPriority w:val="99"/>
    <w:semiHidden/>
    <w:unhideWhenUsed/>
    <w:rsid w:val="00713E5C"/>
    <w:pPr>
      <w:ind w:left="1415" w:hanging="283"/>
      <w:contextualSpacing/>
    </w:pPr>
  </w:style>
  <w:style w:type="paragraph" w:styleId="ListBullet">
    <w:name w:val="List Bullet"/>
    <w:basedOn w:val="Normal"/>
    <w:uiPriority w:val="99"/>
    <w:unhideWhenUsed/>
    <w:rsid w:val="00713E5C"/>
    <w:pPr>
      <w:numPr>
        <w:numId w:val="1"/>
      </w:numPr>
      <w:contextualSpacing/>
    </w:pPr>
  </w:style>
  <w:style w:type="paragraph" w:styleId="ListBullet2">
    <w:name w:val="List Bullet 2"/>
    <w:basedOn w:val="Normal"/>
    <w:uiPriority w:val="99"/>
    <w:semiHidden/>
    <w:unhideWhenUsed/>
    <w:rsid w:val="00713E5C"/>
    <w:pPr>
      <w:numPr>
        <w:numId w:val="2"/>
      </w:numPr>
      <w:contextualSpacing/>
    </w:pPr>
  </w:style>
  <w:style w:type="paragraph" w:styleId="ListBullet3">
    <w:name w:val="List Bullet 3"/>
    <w:basedOn w:val="Normal"/>
    <w:uiPriority w:val="99"/>
    <w:semiHidden/>
    <w:unhideWhenUsed/>
    <w:rsid w:val="00713E5C"/>
    <w:pPr>
      <w:numPr>
        <w:numId w:val="3"/>
      </w:numPr>
      <w:contextualSpacing/>
    </w:pPr>
  </w:style>
  <w:style w:type="paragraph" w:styleId="ListBullet4">
    <w:name w:val="List Bullet 4"/>
    <w:basedOn w:val="Normal"/>
    <w:uiPriority w:val="99"/>
    <w:semiHidden/>
    <w:unhideWhenUsed/>
    <w:rsid w:val="00713E5C"/>
    <w:pPr>
      <w:numPr>
        <w:numId w:val="4"/>
      </w:numPr>
      <w:contextualSpacing/>
    </w:pPr>
  </w:style>
  <w:style w:type="paragraph" w:styleId="ListBullet5">
    <w:name w:val="List Bullet 5"/>
    <w:basedOn w:val="Normal"/>
    <w:uiPriority w:val="99"/>
    <w:semiHidden/>
    <w:unhideWhenUsed/>
    <w:rsid w:val="00713E5C"/>
    <w:pPr>
      <w:numPr>
        <w:numId w:val="5"/>
      </w:numPr>
      <w:contextualSpacing/>
    </w:pPr>
  </w:style>
  <w:style w:type="paragraph" w:styleId="ListContinue">
    <w:name w:val="List Continue"/>
    <w:basedOn w:val="Normal"/>
    <w:uiPriority w:val="99"/>
    <w:semiHidden/>
    <w:unhideWhenUsed/>
    <w:rsid w:val="00713E5C"/>
    <w:pPr>
      <w:spacing w:after="120"/>
      <w:ind w:left="283"/>
      <w:contextualSpacing/>
    </w:pPr>
  </w:style>
  <w:style w:type="paragraph" w:styleId="ListContinue2">
    <w:name w:val="List Continue 2"/>
    <w:basedOn w:val="Normal"/>
    <w:uiPriority w:val="99"/>
    <w:semiHidden/>
    <w:unhideWhenUsed/>
    <w:rsid w:val="00713E5C"/>
    <w:pPr>
      <w:spacing w:after="120"/>
      <w:ind w:left="566"/>
      <w:contextualSpacing/>
    </w:pPr>
  </w:style>
  <w:style w:type="paragraph" w:styleId="ListContinue3">
    <w:name w:val="List Continue 3"/>
    <w:basedOn w:val="Normal"/>
    <w:uiPriority w:val="99"/>
    <w:semiHidden/>
    <w:unhideWhenUsed/>
    <w:rsid w:val="00713E5C"/>
    <w:pPr>
      <w:spacing w:after="120"/>
      <w:ind w:left="849"/>
      <w:contextualSpacing/>
    </w:pPr>
  </w:style>
  <w:style w:type="paragraph" w:styleId="ListContinue4">
    <w:name w:val="List Continue 4"/>
    <w:basedOn w:val="Normal"/>
    <w:uiPriority w:val="99"/>
    <w:semiHidden/>
    <w:unhideWhenUsed/>
    <w:rsid w:val="00713E5C"/>
    <w:pPr>
      <w:spacing w:after="120"/>
      <w:ind w:left="1132"/>
      <w:contextualSpacing/>
    </w:pPr>
  </w:style>
  <w:style w:type="paragraph" w:styleId="ListContinue5">
    <w:name w:val="List Continue 5"/>
    <w:basedOn w:val="Normal"/>
    <w:uiPriority w:val="99"/>
    <w:semiHidden/>
    <w:unhideWhenUsed/>
    <w:rsid w:val="00713E5C"/>
    <w:pPr>
      <w:spacing w:after="120"/>
      <w:ind w:left="1415"/>
      <w:contextualSpacing/>
    </w:pPr>
  </w:style>
  <w:style w:type="paragraph" w:styleId="ListNumber">
    <w:name w:val="List Number"/>
    <w:aliases w:val="List Alpha"/>
    <w:basedOn w:val="Normal"/>
    <w:uiPriority w:val="99"/>
    <w:unhideWhenUsed/>
    <w:qFormat/>
    <w:rsid w:val="00713E5C"/>
    <w:pPr>
      <w:numPr>
        <w:numId w:val="6"/>
      </w:numPr>
      <w:contextualSpacing/>
    </w:pPr>
  </w:style>
  <w:style w:type="paragraph" w:styleId="ListNumber2">
    <w:name w:val="List Number 2"/>
    <w:basedOn w:val="Normal"/>
    <w:uiPriority w:val="99"/>
    <w:unhideWhenUsed/>
    <w:rsid w:val="00713E5C"/>
    <w:pPr>
      <w:numPr>
        <w:numId w:val="7"/>
      </w:numPr>
      <w:contextualSpacing/>
    </w:pPr>
  </w:style>
  <w:style w:type="paragraph" w:styleId="ListNumber3">
    <w:name w:val="List Number 3"/>
    <w:basedOn w:val="Normal"/>
    <w:uiPriority w:val="99"/>
    <w:semiHidden/>
    <w:unhideWhenUsed/>
    <w:rsid w:val="00713E5C"/>
    <w:pPr>
      <w:numPr>
        <w:numId w:val="8"/>
      </w:numPr>
      <w:contextualSpacing/>
    </w:pPr>
  </w:style>
  <w:style w:type="paragraph" w:styleId="ListNumber4">
    <w:name w:val="List Number 4"/>
    <w:basedOn w:val="Normal"/>
    <w:uiPriority w:val="99"/>
    <w:semiHidden/>
    <w:unhideWhenUsed/>
    <w:rsid w:val="00713E5C"/>
    <w:pPr>
      <w:numPr>
        <w:numId w:val="9"/>
      </w:numPr>
      <w:contextualSpacing/>
    </w:pPr>
  </w:style>
  <w:style w:type="paragraph" w:styleId="ListNumber5">
    <w:name w:val="List Number 5"/>
    <w:basedOn w:val="Normal"/>
    <w:uiPriority w:val="99"/>
    <w:semiHidden/>
    <w:unhideWhenUsed/>
    <w:rsid w:val="00713E5C"/>
    <w:pPr>
      <w:numPr>
        <w:numId w:val="10"/>
      </w:numPr>
      <w:contextualSpacing/>
    </w:pPr>
  </w:style>
  <w:style w:type="paragraph" w:styleId="MacroText">
    <w:name w:val="macro"/>
    <w:link w:val="MacroTextChar"/>
    <w:uiPriority w:val="99"/>
    <w:semiHidden/>
    <w:unhideWhenUsed/>
    <w:rsid w:val="00713E5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713E5C"/>
    <w:rPr>
      <w:rFonts w:ascii="Consolas" w:hAnsi="Consolas" w:cs="Consolas"/>
      <w:sz w:val="20"/>
      <w:szCs w:val="20"/>
    </w:rPr>
  </w:style>
  <w:style w:type="paragraph" w:styleId="MessageHeader">
    <w:name w:val="Message Header"/>
    <w:basedOn w:val="Normal"/>
    <w:link w:val="MessageHeaderChar"/>
    <w:uiPriority w:val="99"/>
    <w:semiHidden/>
    <w:unhideWhenUsed/>
    <w:rsid w:val="00713E5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13E5C"/>
    <w:rPr>
      <w:rFonts w:asciiTheme="majorHAnsi" w:eastAsiaTheme="majorEastAsia" w:hAnsiTheme="majorHAnsi" w:cstheme="majorBidi"/>
      <w:sz w:val="24"/>
      <w:szCs w:val="24"/>
      <w:shd w:val="pct20" w:color="auto" w:fill="auto"/>
    </w:rPr>
  </w:style>
  <w:style w:type="paragraph" w:styleId="NoSpacing">
    <w:name w:val="No Spacing"/>
    <w:uiPriority w:val="1"/>
    <w:qFormat/>
    <w:rsid w:val="00713E5C"/>
    <w:pPr>
      <w:spacing w:after="0" w:line="240" w:lineRule="auto"/>
    </w:pPr>
  </w:style>
  <w:style w:type="paragraph" w:styleId="NormalWeb">
    <w:name w:val="Normal (Web)"/>
    <w:basedOn w:val="Normal"/>
    <w:uiPriority w:val="99"/>
    <w:unhideWhenUsed/>
    <w:rsid w:val="00713E5C"/>
    <w:rPr>
      <w:rFonts w:ascii="Times New Roman" w:hAnsi="Times New Roman" w:cs="Times New Roman"/>
      <w:sz w:val="24"/>
      <w:szCs w:val="24"/>
    </w:rPr>
  </w:style>
  <w:style w:type="paragraph" w:styleId="NormalIndent">
    <w:name w:val="Normal Indent"/>
    <w:basedOn w:val="Normal"/>
    <w:uiPriority w:val="99"/>
    <w:semiHidden/>
    <w:unhideWhenUsed/>
    <w:rsid w:val="00713E5C"/>
    <w:pPr>
      <w:ind w:left="720"/>
    </w:pPr>
  </w:style>
  <w:style w:type="paragraph" w:styleId="NoteHeading">
    <w:name w:val="Note Heading"/>
    <w:basedOn w:val="Normal"/>
    <w:next w:val="Normal"/>
    <w:link w:val="NoteHeadingChar"/>
    <w:uiPriority w:val="99"/>
    <w:semiHidden/>
    <w:unhideWhenUsed/>
    <w:rsid w:val="00713E5C"/>
    <w:pPr>
      <w:spacing w:after="0" w:line="240" w:lineRule="auto"/>
    </w:pPr>
  </w:style>
  <w:style w:type="character" w:customStyle="1" w:styleId="NoteHeadingChar">
    <w:name w:val="Note Heading Char"/>
    <w:basedOn w:val="DefaultParagraphFont"/>
    <w:link w:val="NoteHeading"/>
    <w:uiPriority w:val="99"/>
    <w:semiHidden/>
    <w:rsid w:val="00713E5C"/>
  </w:style>
  <w:style w:type="paragraph" w:styleId="PlainText">
    <w:name w:val="Plain Text"/>
    <w:basedOn w:val="Normal"/>
    <w:link w:val="PlainTextChar"/>
    <w:uiPriority w:val="99"/>
    <w:unhideWhenUsed/>
    <w:rsid w:val="00713E5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713E5C"/>
    <w:rPr>
      <w:rFonts w:ascii="Consolas" w:hAnsi="Consolas" w:cs="Consolas"/>
      <w:sz w:val="21"/>
      <w:szCs w:val="21"/>
    </w:rPr>
  </w:style>
  <w:style w:type="paragraph" w:styleId="Quote">
    <w:name w:val="Quote"/>
    <w:basedOn w:val="Normal"/>
    <w:next w:val="Normal"/>
    <w:link w:val="QuoteChar"/>
    <w:uiPriority w:val="29"/>
    <w:qFormat/>
    <w:rsid w:val="00ED4734"/>
    <w:pPr>
      <w:ind w:left="709"/>
    </w:pPr>
  </w:style>
  <w:style w:type="character" w:customStyle="1" w:styleId="QuoteChar">
    <w:name w:val="Quote Char"/>
    <w:basedOn w:val="DefaultParagraphFont"/>
    <w:link w:val="Quote"/>
    <w:uiPriority w:val="29"/>
    <w:rsid w:val="00ED4734"/>
  </w:style>
  <w:style w:type="paragraph" w:styleId="Salutation">
    <w:name w:val="Salutation"/>
    <w:basedOn w:val="Normal"/>
    <w:next w:val="Normal"/>
    <w:link w:val="SalutationChar"/>
    <w:uiPriority w:val="99"/>
    <w:semiHidden/>
    <w:unhideWhenUsed/>
    <w:rsid w:val="00713E5C"/>
  </w:style>
  <w:style w:type="character" w:customStyle="1" w:styleId="SalutationChar">
    <w:name w:val="Salutation Char"/>
    <w:basedOn w:val="DefaultParagraphFont"/>
    <w:link w:val="Salutation"/>
    <w:uiPriority w:val="99"/>
    <w:semiHidden/>
    <w:rsid w:val="00713E5C"/>
  </w:style>
  <w:style w:type="paragraph" w:styleId="Signature">
    <w:name w:val="Signature"/>
    <w:basedOn w:val="Normal"/>
    <w:link w:val="SignatureChar"/>
    <w:uiPriority w:val="99"/>
    <w:semiHidden/>
    <w:unhideWhenUsed/>
    <w:rsid w:val="00713E5C"/>
    <w:pPr>
      <w:spacing w:after="0" w:line="240" w:lineRule="auto"/>
      <w:ind w:left="4252"/>
    </w:pPr>
  </w:style>
  <w:style w:type="character" w:customStyle="1" w:styleId="SignatureChar">
    <w:name w:val="Signature Char"/>
    <w:basedOn w:val="DefaultParagraphFont"/>
    <w:link w:val="Signature"/>
    <w:uiPriority w:val="99"/>
    <w:semiHidden/>
    <w:rsid w:val="00713E5C"/>
  </w:style>
  <w:style w:type="paragraph" w:styleId="Subtitle">
    <w:name w:val="Subtitle"/>
    <w:basedOn w:val="Normal"/>
    <w:next w:val="Normal"/>
    <w:link w:val="SubtitleChar"/>
    <w:uiPriority w:val="11"/>
    <w:rsid w:val="00713E5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13E5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13E5C"/>
    <w:pPr>
      <w:spacing w:after="0"/>
      <w:ind w:left="220" w:hanging="220"/>
    </w:pPr>
  </w:style>
  <w:style w:type="paragraph" w:styleId="TableofFigures">
    <w:name w:val="table of figures"/>
    <w:basedOn w:val="Normal"/>
    <w:next w:val="Normal"/>
    <w:uiPriority w:val="99"/>
    <w:semiHidden/>
    <w:unhideWhenUsed/>
    <w:rsid w:val="00713E5C"/>
    <w:pPr>
      <w:spacing w:after="0"/>
    </w:pPr>
  </w:style>
  <w:style w:type="paragraph" w:styleId="Title">
    <w:name w:val="Title"/>
    <w:basedOn w:val="Normal"/>
    <w:next w:val="Normal"/>
    <w:link w:val="TitleChar"/>
    <w:uiPriority w:val="10"/>
    <w:rsid w:val="00713E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E5C"/>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13E5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EF123A"/>
    <w:pPr>
      <w:tabs>
        <w:tab w:val="right" w:leader="dot" w:pos="9061"/>
      </w:tabs>
      <w:spacing w:before="240" w:after="40" w:line="312" w:lineRule="auto"/>
      <w:ind w:left="288" w:hanging="288"/>
    </w:pPr>
    <w:rPr>
      <w:rFonts w:ascii="Calibri" w:eastAsia="Times New Roman" w:hAnsi="Calibri" w:cs="Times New Roman"/>
      <w:bCs/>
      <w:smallCaps/>
      <w:noProof/>
      <w:spacing w:val="40"/>
      <w:sz w:val="28"/>
      <w:szCs w:val="28"/>
    </w:rPr>
  </w:style>
  <w:style w:type="paragraph" w:styleId="TOC2">
    <w:name w:val="toc 2"/>
    <w:basedOn w:val="Normal"/>
    <w:next w:val="Normal"/>
    <w:autoRedefine/>
    <w:uiPriority w:val="39"/>
    <w:unhideWhenUsed/>
    <w:rsid w:val="00EB384D"/>
    <w:pPr>
      <w:tabs>
        <w:tab w:val="right" w:leader="dot" w:pos="9061"/>
      </w:tabs>
      <w:spacing w:before="120" w:after="0" w:line="240" w:lineRule="auto"/>
      <w:ind w:left="850" w:hanging="562"/>
    </w:pPr>
    <w:rPr>
      <w:rFonts w:ascii="Calibri" w:eastAsia="Times New Roman" w:hAnsi="Calibri" w:cs="Times New Roman"/>
      <w:b/>
      <w:sz w:val="24"/>
      <w:szCs w:val="24"/>
    </w:rPr>
  </w:style>
  <w:style w:type="paragraph" w:styleId="TOC3">
    <w:name w:val="toc 3"/>
    <w:basedOn w:val="Normal"/>
    <w:next w:val="Normal"/>
    <w:autoRedefine/>
    <w:uiPriority w:val="39"/>
    <w:unhideWhenUsed/>
    <w:rsid w:val="00014921"/>
    <w:pPr>
      <w:tabs>
        <w:tab w:val="right" w:leader="dot" w:pos="9016"/>
      </w:tabs>
      <w:spacing w:before="120" w:after="120" w:line="240" w:lineRule="auto"/>
      <w:ind w:left="692"/>
    </w:pPr>
    <w:rPr>
      <w:rFonts w:eastAsia="Times New Roman"/>
      <w:smallCaps/>
      <w:noProof/>
    </w:rPr>
  </w:style>
  <w:style w:type="paragraph" w:styleId="TOC4">
    <w:name w:val="toc 4"/>
    <w:basedOn w:val="Normal"/>
    <w:next w:val="Normal"/>
    <w:autoRedefine/>
    <w:unhideWhenUsed/>
    <w:rsid w:val="0097778C"/>
    <w:pPr>
      <w:tabs>
        <w:tab w:val="right" w:leader="dot" w:pos="9016"/>
      </w:tabs>
      <w:spacing w:beforeLines="100" w:afterLines="100" w:line="240" w:lineRule="auto"/>
      <w:ind w:left="658"/>
    </w:pPr>
    <w:rPr>
      <w:rFonts w:ascii="Arial Narrow" w:hAnsi="Arial Narrow"/>
      <w:b/>
      <w:noProof/>
      <w:sz w:val="24"/>
    </w:rPr>
  </w:style>
  <w:style w:type="paragraph" w:styleId="TOC5">
    <w:name w:val="toc 5"/>
    <w:basedOn w:val="Normal"/>
    <w:next w:val="Normal"/>
    <w:autoRedefine/>
    <w:uiPriority w:val="39"/>
    <w:semiHidden/>
    <w:unhideWhenUsed/>
    <w:rsid w:val="00713E5C"/>
    <w:pPr>
      <w:spacing w:after="100"/>
      <w:ind w:left="880"/>
    </w:pPr>
  </w:style>
  <w:style w:type="paragraph" w:styleId="TOC6">
    <w:name w:val="toc 6"/>
    <w:basedOn w:val="Normal"/>
    <w:next w:val="Normal"/>
    <w:autoRedefine/>
    <w:uiPriority w:val="39"/>
    <w:semiHidden/>
    <w:unhideWhenUsed/>
    <w:rsid w:val="00713E5C"/>
    <w:pPr>
      <w:spacing w:after="100"/>
      <w:ind w:left="1100"/>
    </w:pPr>
  </w:style>
  <w:style w:type="paragraph" w:styleId="TOC7">
    <w:name w:val="toc 7"/>
    <w:basedOn w:val="Normal"/>
    <w:next w:val="Normal"/>
    <w:autoRedefine/>
    <w:uiPriority w:val="39"/>
    <w:semiHidden/>
    <w:unhideWhenUsed/>
    <w:rsid w:val="00713E5C"/>
    <w:pPr>
      <w:spacing w:after="100"/>
      <w:ind w:left="1320"/>
    </w:pPr>
  </w:style>
  <w:style w:type="paragraph" w:styleId="TOC8">
    <w:name w:val="toc 8"/>
    <w:basedOn w:val="Normal"/>
    <w:next w:val="Normal"/>
    <w:autoRedefine/>
    <w:uiPriority w:val="39"/>
    <w:semiHidden/>
    <w:unhideWhenUsed/>
    <w:rsid w:val="00713E5C"/>
    <w:pPr>
      <w:spacing w:after="100"/>
      <w:ind w:left="1540"/>
    </w:pPr>
  </w:style>
  <w:style w:type="paragraph" w:styleId="TOC9">
    <w:name w:val="toc 9"/>
    <w:basedOn w:val="Normal"/>
    <w:next w:val="Normal"/>
    <w:autoRedefine/>
    <w:uiPriority w:val="39"/>
    <w:semiHidden/>
    <w:unhideWhenUsed/>
    <w:rsid w:val="00713E5C"/>
    <w:pPr>
      <w:spacing w:after="100"/>
      <w:ind w:left="1760"/>
    </w:pPr>
  </w:style>
  <w:style w:type="paragraph" w:styleId="TOCHeading">
    <w:name w:val="TOC Heading"/>
    <w:basedOn w:val="Heading1"/>
    <w:next w:val="Normal"/>
    <w:unhideWhenUsed/>
    <w:qFormat/>
    <w:rsid w:val="00116E9B"/>
    <w:pPr>
      <w:spacing w:before="240" w:after="240"/>
      <w:jc w:val="left"/>
      <w:outlineLvl w:val="9"/>
    </w:pPr>
    <w:rPr>
      <w:smallCaps w:val="0"/>
      <w:sz w:val="30"/>
    </w:rPr>
  </w:style>
  <w:style w:type="character" w:styleId="Hyperlink">
    <w:name w:val="Hyperlink"/>
    <w:basedOn w:val="DefaultParagraphFont"/>
    <w:uiPriority w:val="99"/>
    <w:unhideWhenUsed/>
    <w:rsid w:val="00AD53EA"/>
    <w:rPr>
      <w:color w:val="0000FF"/>
    </w:rPr>
  </w:style>
  <w:style w:type="character" w:styleId="FootnoteReference">
    <w:name w:val="footnote reference"/>
    <w:aliases w:val="Footnote number,Footnotes refss"/>
    <w:basedOn w:val="DefaultParagraphFont"/>
    <w:uiPriority w:val="99"/>
    <w:unhideWhenUsed/>
    <w:rsid w:val="006013DE"/>
    <w:rPr>
      <w:vertAlign w:val="superscript"/>
    </w:rPr>
  </w:style>
  <w:style w:type="character" w:styleId="Strong">
    <w:name w:val="Strong"/>
    <w:basedOn w:val="DefaultParagraphFont"/>
    <w:qFormat/>
    <w:rsid w:val="00034ADC"/>
    <w:rPr>
      <w:b/>
      <w:bCs/>
    </w:rPr>
  </w:style>
  <w:style w:type="paragraph" w:customStyle="1" w:styleId="Bodycopy">
    <w:name w:val="Body copy"/>
    <w:qFormat/>
    <w:rsid w:val="00133AB1"/>
    <w:pPr>
      <w:widowControl w:val="0"/>
      <w:tabs>
        <w:tab w:val="left" w:pos="1276"/>
      </w:tabs>
      <w:spacing w:before="240" w:after="240" w:line="300" w:lineRule="exact"/>
    </w:pPr>
    <w:rPr>
      <w:rFonts w:ascii="Calibri" w:eastAsia="Calibri" w:hAnsi="Calibri" w:cs="Calibri"/>
      <w:color w:val="000000"/>
      <w:szCs w:val="20"/>
      <w:lang w:eastAsia="en-AU"/>
    </w:rPr>
  </w:style>
  <w:style w:type="character" w:styleId="FollowedHyperlink">
    <w:name w:val="FollowedHyperlink"/>
    <w:basedOn w:val="DefaultParagraphFont"/>
    <w:unhideWhenUsed/>
    <w:rsid w:val="00670CBD"/>
    <w:rPr>
      <w:color w:val="954F72" w:themeColor="followedHyperlink"/>
      <w:u w:val="single"/>
    </w:rPr>
  </w:style>
  <w:style w:type="paragraph" w:customStyle="1" w:styleId="Amain">
    <w:name w:val="A main"/>
    <w:basedOn w:val="Normal"/>
    <w:link w:val="AmainChar"/>
    <w:rsid w:val="00833A3B"/>
    <w:pPr>
      <w:tabs>
        <w:tab w:val="right" w:pos="900"/>
        <w:tab w:val="left" w:pos="1100"/>
      </w:tabs>
      <w:spacing w:before="140" w:after="0" w:line="240" w:lineRule="auto"/>
      <w:ind w:left="1100" w:hanging="1100"/>
      <w:jc w:val="both"/>
      <w:outlineLvl w:val="5"/>
    </w:pPr>
    <w:rPr>
      <w:rFonts w:ascii="Times New Roman" w:eastAsia="Times New Roman" w:hAnsi="Times New Roman" w:cs="Times New Roman"/>
      <w:sz w:val="24"/>
      <w:szCs w:val="20"/>
    </w:rPr>
  </w:style>
  <w:style w:type="paragraph" w:customStyle="1" w:styleId="Apara">
    <w:name w:val="A para"/>
    <w:basedOn w:val="Normal"/>
    <w:link w:val="AparaChar"/>
    <w:rsid w:val="00833A3B"/>
    <w:pPr>
      <w:tabs>
        <w:tab w:val="right" w:pos="1400"/>
        <w:tab w:val="left" w:pos="1600"/>
      </w:tabs>
      <w:spacing w:before="140" w:after="0" w:line="240" w:lineRule="auto"/>
      <w:ind w:left="1600" w:hanging="1600"/>
      <w:jc w:val="both"/>
      <w:outlineLvl w:val="6"/>
    </w:pPr>
    <w:rPr>
      <w:rFonts w:ascii="Times New Roman" w:eastAsia="Times New Roman" w:hAnsi="Times New Roman" w:cs="Times New Roman"/>
      <w:sz w:val="24"/>
      <w:szCs w:val="20"/>
    </w:rPr>
  </w:style>
  <w:style w:type="paragraph" w:customStyle="1" w:styleId="Asubpara">
    <w:name w:val="A subpara"/>
    <w:basedOn w:val="Normal"/>
    <w:rsid w:val="00833A3B"/>
    <w:pPr>
      <w:tabs>
        <w:tab w:val="right" w:pos="1900"/>
        <w:tab w:val="left" w:pos="2100"/>
      </w:tabs>
      <w:spacing w:before="140" w:after="0" w:line="240" w:lineRule="auto"/>
      <w:ind w:left="2100" w:hanging="2100"/>
      <w:jc w:val="both"/>
      <w:outlineLvl w:val="7"/>
    </w:pPr>
    <w:rPr>
      <w:rFonts w:ascii="Times New Roman" w:eastAsia="Times New Roman" w:hAnsi="Times New Roman" w:cs="Times New Roman"/>
      <w:sz w:val="24"/>
      <w:szCs w:val="20"/>
    </w:rPr>
  </w:style>
  <w:style w:type="character" w:customStyle="1" w:styleId="charItals">
    <w:name w:val="charItals"/>
    <w:basedOn w:val="DefaultParagraphFont"/>
    <w:rsid w:val="00833A3B"/>
    <w:rPr>
      <w:rFonts w:cs="Times New Roman"/>
      <w:i/>
    </w:rPr>
  </w:style>
  <w:style w:type="paragraph" w:customStyle="1" w:styleId="aNotepar">
    <w:name w:val="aNotepar"/>
    <w:basedOn w:val="Normal"/>
    <w:next w:val="Normal"/>
    <w:rsid w:val="00833A3B"/>
    <w:pPr>
      <w:spacing w:before="140" w:after="0" w:line="240" w:lineRule="auto"/>
      <w:ind w:left="2400" w:hanging="800"/>
      <w:jc w:val="both"/>
    </w:pPr>
    <w:rPr>
      <w:rFonts w:ascii="Times New Roman" w:eastAsia="Times New Roman" w:hAnsi="Times New Roman" w:cs="Times New Roman"/>
      <w:sz w:val="20"/>
      <w:szCs w:val="20"/>
    </w:rPr>
  </w:style>
  <w:style w:type="character" w:customStyle="1" w:styleId="charCitHyperlinkAbbrev">
    <w:name w:val="charCitHyperlinkAbbrev"/>
    <w:basedOn w:val="Hyperlink"/>
    <w:uiPriority w:val="1"/>
    <w:rsid w:val="00833A3B"/>
    <w:rPr>
      <w:rFonts w:cs="Times New Roman"/>
      <w:color w:val="0563C1" w:themeColor="hyperlink"/>
      <w:u w:val="none"/>
    </w:rPr>
  </w:style>
  <w:style w:type="paragraph" w:customStyle="1" w:styleId="Amainreturn">
    <w:name w:val="A main return"/>
    <w:basedOn w:val="Normal"/>
    <w:link w:val="AmainreturnChar"/>
    <w:rsid w:val="00BC1FB7"/>
    <w:pPr>
      <w:spacing w:before="140" w:after="0" w:line="240" w:lineRule="auto"/>
      <w:ind w:left="1100"/>
      <w:jc w:val="both"/>
    </w:pPr>
    <w:rPr>
      <w:rFonts w:ascii="Times New Roman" w:eastAsia="Times New Roman" w:hAnsi="Times New Roman" w:cs="Times New Roman"/>
      <w:sz w:val="24"/>
      <w:szCs w:val="20"/>
    </w:rPr>
  </w:style>
  <w:style w:type="paragraph" w:customStyle="1" w:styleId="aNote">
    <w:name w:val="aNote"/>
    <w:basedOn w:val="Normal"/>
    <w:link w:val="aNoteChar"/>
    <w:rsid w:val="00BC1FB7"/>
    <w:pPr>
      <w:spacing w:before="140" w:after="0" w:line="240" w:lineRule="auto"/>
      <w:ind w:left="1900" w:hanging="800"/>
      <w:jc w:val="both"/>
    </w:pPr>
    <w:rPr>
      <w:rFonts w:ascii="Times New Roman" w:eastAsia="Times New Roman" w:hAnsi="Times New Roman" w:cs="Times New Roman"/>
      <w:sz w:val="20"/>
      <w:szCs w:val="20"/>
    </w:rPr>
  </w:style>
  <w:style w:type="paragraph" w:customStyle="1" w:styleId="IH5Sec">
    <w:name w:val="I H5 Sec"/>
    <w:basedOn w:val="Normal"/>
    <w:next w:val="Normal"/>
    <w:rsid w:val="00BC1FB7"/>
    <w:pPr>
      <w:keepNext/>
      <w:tabs>
        <w:tab w:val="left" w:pos="1100"/>
      </w:tabs>
      <w:spacing w:before="240" w:after="0" w:line="240" w:lineRule="auto"/>
      <w:ind w:left="1100" w:hanging="1100"/>
    </w:pPr>
    <w:rPr>
      <w:rFonts w:ascii="Arial" w:eastAsia="Times New Roman" w:hAnsi="Arial" w:cs="Times New Roman"/>
      <w:b/>
      <w:sz w:val="24"/>
      <w:szCs w:val="20"/>
    </w:rPr>
  </w:style>
  <w:style w:type="paragraph" w:customStyle="1" w:styleId="Ipara">
    <w:name w:val="I para"/>
    <w:basedOn w:val="Apara"/>
    <w:rsid w:val="00BC1FB7"/>
    <w:pPr>
      <w:outlineLvl w:val="9"/>
    </w:pPr>
  </w:style>
  <w:style w:type="paragraph" w:customStyle="1" w:styleId="PenaltyPara">
    <w:name w:val="PenaltyPara"/>
    <w:basedOn w:val="Normal"/>
    <w:rsid w:val="00BC1FB7"/>
    <w:pPr>
      <w:tabs>
        <w:tab w:val="left" w:pos="0"/>
        <w:tab w:val="right" w:pos="1360"/>
      </w:tabs>
      <w:spacing w:before="60" w:after="0" w:line="240" w:lineRule="auto"/>
      <w:ind w:left="1600" w:hanging="1600"/>
      <w:jc w:val="both"/>
    </w:pPr>
    <w:rPr>
      <w:rFonts w:ascii="Times New Roman" w:eastAsia="Times New Roman" w:hAnsi="Times New Roman" w:cs="Times New Roman"/>
      <w:sz w:val="24"/>
      <w:szCs w:val="20"/>
    </w:rPr>
  </w:style>
  <w:style w:type="paragraph" w:customStyle="1" w:styleId="Penalty">
    <w:name w:val="Penalty"/>
    <w:basedOn w:val="Amainreturn"/>
    <w:rsid w:val="00BC1FB7"/>
  </w:style>
  <w:style w:type="character" w:customStyle="1" w:styleId="aNoteChar">
    <w:name w:val="aNote Char"/>
    <w:basedOn w:val="DefaultParagraphFont"/>
    <w:link w:val="aNote"/>
    <w:locked/>
    <w:rsid w:val="00BC1FB7"/>
    <w:rPr>
      <w:rFonts w:ascii="Times New Roman" w:eastAsia="Times New Roman" w:hAnsi="Times New Roman" w:cs="Times New Roman"/>
      <w:sz w:val="20"/>
      <w:szCs w:val="20"/>
    </w:rPr>
  </w:style>
  <w:style w:type="character" w:customStyle="1" w:styleId="AmainreturnChar">
    <w:name w:val="A main return Char"/>
    <w:basedOn w:val="DefaultParagraphFont"/>
    <w:link w:val="Amainreturn"/>
    <w:locked/>
    <w:rsid w:val="00BC1FB7"/>
    <w:rPr>
      <w:rFonts w:ascii="Times New Roman" w:eastAsia="Times New Roman" w:hAnsi="Times New Roman" w:cs="Times New Roman"/>
      <w:sz w:val="24"/>
      <w:szCs w:val="20"/>
    </w:rPr>
  </w:style>
  <w:style w:type="paragraph" w:customStyle="1" w:styleId="Headiong5">
    <w:name w:val="Headiong 5"/>
    <w:basedOn w:val="Normal"/>
    <w:rsid w:val="007F6E9B"/>
    <w:pPr>
      <w:keepNext/>
      <w:keepLines/>
      <w:outlineLvl w:val="4"/>
    </w:pPr>
    <w:rPr>
      <w:rFonts w:ascii="Arial Narrow" w:eastAsia="Times New Roman" w:hAnsi="Arial Narrow" w:cs="Times New Roman"/>
      <w:iCs/>
      <w:smallCaps/>
      <w:szCs w:val="24"/>
    </w:rPr>
  </w:style>
  <w:style w:type="paragraph" w:customStyle="1" w:styleId="Paper">
    <w:name w:val="Paper"/>
    <w:rsid w:val="00434745"/>
    <w:pPr>
      <w:spacing w:after="120" w:line="240" w:lineRule="auto"/>
    </w:pPr>
    <w:rPr>
      <w:rFonts w:ascii="Times New Roman" w:eastAsia="Times New Roman" w:hAnsi="Times New Roman" w:cs="Times New Roman"/>
      <w:sz w:val="24"/>
      <w:szCs w:val="20"/>
    </w:rPr>
  </w:style>
  <w:style w:type="paragraph" w:customStyle="1" w:styleId="Hyper">
    <w:name w:val="Hyper"/>
    <w:basedOn w:val="Normal"/>
    <w:rsid w:val="0093399E"/>
    <w:pPr>
      <w:spacing w:line="280" w:lineRule="atLeast"/>
    </w:pPr>
    <w:rPr>
      <w:rFonts w:ascii="Calibri" w:eastAsia="Times New Roman" w:hAnsi="Calibri" w:cs="Calibri"/>
      <w:color w:val="1F3864" w:themeColor="accent5" w:themeShade="80"/>
    </w:rPr>
  </w:style>
  <w:style w:type="paragraph" w:customStyle="1" w:styleId="Bodycopynumbered">
    <w:name w:val="Body copy numbered"/>
    <w:rsid w:val="00196028"/>
    <w:pPr>
      <w:keepNext/>
      <w:widowControl w:val="0"/>
      <w:spacing w:before="240" w:after="100" w:line="300" w:lineRule="exact"/>
      <w:ind w:left="567" w:hanging="567"/>
      <w:outlineLvl w:val="1"/>
    </w:pPr>
    <w:rPr>
      <w:rFonts w:ascii="Calibri" w:eastAsia="Calibri" w:hAnsi="Calibri" w:cs="Arial"/>
      <w:bCs/>
      <w:kern w:val="32"/>
      <w:szCs w:val="20"/>
    </w:rPr>
  </w:style>
  <w:style w:type="paragraph" w:customStyle="1" w:styleId="Body">
    <w:name w:val="Body"/>
    <w:basedOn w:val="Paper"/>
    <w:rsid w:val="00BB4F51"/>
    <w:rPr>
      <w:rFonts w:ascii="Calibri" w:hAnsi="Calibri" w:cs="Calibri"/>
      <w:b/>
    </w:rPr>
  </w:style>
  <w:style w:type="paragraph" w:customStyle="1" w:styleId="headingparagraph">
    <w:name w:val="headingparagraph"/>
    <w:basedOn w:val="Normal"/>
    <w:rsid w:val="00B422D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name">
    <w:name w:val="headingname"/>
    <w:basedOn w:val="DefaultParagraphFont"/>
    <w:rsid w:val="00B422D9"/>
  </w:style>
  <w:style w:type="character" w:customStyle="1" w:styleId="listnumber0">
    <w:name w:val="listnumber"/>
    <w:basedOn w:val="DefaultParagraphFont"/>
    <w:rsid w:val="00B422D9"/>
  </w:style>
  <w:style w:type="character" w:customStyle="1" w:styleId="CharSectNo">
    <w:name w:val="CharSectNo"/>
    <w:rsid w:val="00B76B42"/>
    <w:rPr>
      <w:rFonts w:cs="Times New Roman"/>
    </w:rPr>
  </w:style>
  <w:style w:type="paragraph" w:customStyle="1" w:styleId="Schclauseheading">
    <w:name w:val="Sch clause heading"/>
    <w:basedOn w:val="Normal"/>
    <w:next w:val="Normal"/>
    <w:rsid w:val="00B76B42"/>
    <w:pPr>
      <w:keepNext/>
      <w:tabs>
        <w:tab w:val="left" w:pos="1100"/>
      </w:tabs>
      <w:spacing w:before="240" w:after="0" w:line="240" w:lineRule="auto"/>
      <w:ind w:left="1100" w:hanging="1100"/>
      <w:outlineLvl w:val="4"/>
    </w:pPr>
    <w:rPr>
      <w:rFonts w:ascii="Arial" w:eastAsia="Times New Roman" w:hAnsi="Arial" w:cs="Times New Roman"/>
      <w:b/>
      <w:sz w:val="24"/>
      <w:szCs w:val="20"/>
    </w:rPr>
  </w:style>
  <w:style w:type="paragraph" w:customStyle="1" w:styleId="AH5Sec">
    <w:name w:val="A H5 Sec"/>
    <w:basedOn w:val="Normal"/>
    <w:next w:val="Amain"/>
    <w:link w:val="AH5SecChar"/>
    <w:rsid w:val="004B2546"/>
    <w:pPr>
      <w:keepNext/>
      <w:tabs>
        <w:tab w:val="left" w:pos="1100"/>
      </w:tabs>
      <w:spacing w:before="240" w:after="0" w:line="240" w:lineRule="auto"/>
      <w:ind w:left="1100" w:hanging="1100"/>
      <w:outlineLvl w:val="4"/>
    </w:pPr>
    <w:rPr>
      <w:rFonts w:ascii="Arial" w:eastAsia="Times New Roman" w:hAnsi="Arial" w:cs="Times New Roman"/>
      <w:b/>
      <w:sz w:val="24"/>
      <w:szCs w:val="20"/>
    </w:rPr>
  </w:style>
  <w:style w:type="character" w:customStyle="1" w:styleId="charBoldItals">
    <w:name w:val="charBoldItals"/>
    <w:basedOn w:val="DefaultParagraphFont"/>
    <w:rsid w:val="004B2546"/>
    <w:rPr>
      <w:b/>
      <w:i/>
    </w:rPr>
  </w:style>
  <w:style w:type="character" w:customStyle="1" w:styleId="AH5SecChar">
    <w:name w:val="A H5 Sec Char"/>
    <w:basedOn w:val="DefaultParagraphFont"/>
    <w:link w:val="AH5Sec"/>
    <w:locked/>
    <w:rsid w:val="004B2546"/>
    <w:rPr>
      <w:rFonts w:ascii="Arial" w:eastAsia="Times New Roman" w:hAnsi="Arial" w:cs="Times New Roman"/>
      <w:b/>
      <w:sz w:val="24"/>
      <w:szCs w:val="20"/>
    </w:rPr>
  </w:style>
  <w:style w:type="paragraph" w:customStyle="1" w:styleId="PaperTitle">
    <w:name w:val="PaperTitle"/>
    <w:basedOn w:val="Normal"/>
    <w:rsid w:val="003446DE"/>
    <w:pPr>
      <w:tabs>
        <w:tab w:val="left" w:leader="dot" w:pos="6379"/>
      </w:tabs>
      <w:spacing w:before="0" w:after="0" w:line="240" w:lineRule="auto"/>
      <w:ind w:left="284" w:hanging="284"/>
    </w:pPr>
    <w:rPr>
      <w:rFonts w:ascii="Times New (W1)" w:eastAsia="Times New Roman" w:hAnsi="Times New (W1)" w:cs="Times New Roman"/>
      <w:sz w:val="20"/>
      <w:szCs w:val="20"/>
      <w:lang w:eastAsia="en-AU"/>
    </w:rPr>
  </w:style>
  <w:style w:type="paragraph" w:customStyle="1" w:styleId="aDef">
    <w:name w:val="aDef"/>
    <w:basedOn w:val="Normal"/>
    <w:link w:val="aDefChar"/>
    <w:rsid w:val="009B1FDD"/>
    <w:pPr>
      <w:spacing w:before="140" w:after="0" w:line="240" w:lineRule="auto"/>
      <w:ind w:left="1100"/>
      <w:jc w:val="both"/>
    </w:pPr>
    <w:rPr>
      <w:rFonts w:ascii="Times New Roman" w:eastAsia="Times New Roman" w:hAnsi="Times New Roman" w:cs="Times New Roman"/>
      <w:sz w:val="24"/>
      <w:szCs w:val="20"/>
      <w:lang w:eastAsia="en-AU"/>
    </w:rPr>
  </w:style>
  <w:style w:type="character" w:customStyle="1" w:styleId="aDefChar">
    <w:name w:val="aDef Char"/>
    <w:link w:val="aDef"/>
    <w:locked/>
    <w:rsid w:val="009B1FDD"/>
    <w:rPr>
      <w:rFonts w:ascii="Times New Roman" w:eastAsia="Times New Roman" w:hAnsi="Times New Roman" w:cs="Times New Roman"/>
      <w:sz w:val="24"/>
      <w:szCs w:val="20"/>
      <w:lang w:eastAsia="en-AU"/>
    </w:rPr>
  </w:style>
  <w:style w:type="paragraph" w:customStyle="1" w:styleId="Idefpara">
    <w:name w:val="I def para"/>
    <w:basedOn w:val="Ipara"/>
    <w:rsid w:val="009B1FDD"/>
  </w:style>
  <w:style w:type="paragraph" w:customStyle="1" w:styleId="Idefsubpara">
    <w:name w:val="I def subpara"/>
    <w:basedOn w:val="Normal"/>
    <w:rsid w:val="009B1FDD"/>
    <w:pPr>
      <w:tabs>
        <w:tab w:val="right" w:pos="1940"/>
        <w:tab w:val="left" w:pos="2140"/>
      </w:tabs>
      <w:spacing w:before="140" w:after="0" w:line="240" w:lineRule="auto"/>
      <w:ind w:left="2140" w:hanging="2140"/>
      <w:jc w:val="both"/>
    </w:pPr>
    <w:rPr>
      <w:rFonts w:ascii="Times New Roman" w:eastAsia="Times New Roman" w:hAnsi="Times New Roman" w:cs="Times New Roman"/>
      <w:sz w:val="24"/>
      <w:szCs w:val="20"/>
    </w:rPr>
  </w:style>
  <w:style w:type="paragraph" w:customStyle="1" w:styleId="Bodycopybulletlevel2">
    <w:name w:val="Body copy bullet level 2"/>
    <w:rsid w:val="00DF23C5"/>
    <w:pPr>
      <w:keepNext/>
      <w:widowControl w:val="0"/>
      <w:numPr>
        <w:numId w:val="14"/>
      </w:numPr>
      <w:spacing w:after="0" w:line="240" w:lineRule="auto"/>
      <w:ind w:left="1701" w:hanging="567"/>
    </w:pPr>
    <w:rPr>
      <w:rFonts w:ascii="Calibri" w:eastAsia="Times New Roman" w:hAnsi="Calibri" w:cs="Calibri"/>
      <w:color w:val="000000"/>
      <w:szCs w:val="20"/>
      <w:lang w:eastAsia="en-AU"/>
    </w:rPr>
  </w:style>
  <w:style w:type="paragraph" w:customStyle="1" w:styleId="Titleheading">
    <w:name w:val="Title heading"/>
    <w:next w:val="Bodycopy"/>
    <w:rsid w:val="00DF23C5"/>
    <w:pPr>
      <w:keepNext/>
      <w:pageBreakBefore/>
      <w:widowControl w:val="0"/>
      <w:tabs>
        <w:tab w:val="left" w:pos="9643"/>
      </w:tabs>
      <w:spacing w:afterLines="200" w:after="0" w:line="240" w:lineRule="auto"/>
      <w:outlineLvl w:val="0"/>
    </w:pPr>
    <w:rPr>
      <w:rFonts w:ascii="Arial Narrow" w:eastAsia="Calibri" w:hAnsi="Arial Narrow" w:cs="Arial Narrow"/>
      <w:smallCaps/>
      <w:color w:val="000000"/>
      <w:sz w:val="60"/>
      <w:szCs w:val="60"/>
      <w:lang w:eastAsia="en-AU"/>
    </w:rPr>
  </w:style>
  <w:style w:type="table" w:customStyle="1" w:styleId="LightShading1">
    <w:name w:val="Light Shading1"/>
    <w:rsid w:val="00DF23C5"/>
    <w:pPr>
      <w:spacing w:after="0" w:line="240" w:lineRule="auto"/>
    </w:pPr>
    <w:rPr>
      <w:rFonts w:ascii="Calibri" w:eastAsia="Calibri" w:hAnsi="Calibri" w:cs="Times New Roman"/>
      <w:color w:val="000000"/>
      <w:sz w:val="20"/>
      <w:szCs w:val="20"/>
      <w:lang w:eastAsia="en-A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Bulletlistlevel1">
    <w:name w:val="Bullet list  level 1"/>
    <w:qFormat/>
    <w:rsid w:val="00DF23C5"/>
    <w:pPr>
      <w:keepNext/>
      <w:widowControl w:val="0"/>
      <w:numPr>
        <w:numId w:val="13"/>
      </w:numPr>
      <w:spacing w:before="120" w:after="120" w:line="300" w:lineRule="exact"/>
      <w:ind w:left="1134" w:hanging="567"/>
    </w:pPr>
    <w:rPr>
      <w:rFonts w:ascii="Calibri" w:eastAsia="Times New Roman" w:hAnsi="Calibri" w:cs="Calibri"/>
      <w:color w:val="000000"/>
      <w:szCs w:val="20"/>
      <w:lang w:eastAsia="en-AU"/>
    </w:rPr>
  </w:style>
  <w:style w:type="paragraph" w:customStyle="1" w:styleId="Tableheading">
    <w:name w:val="Table heading"/>
    <w:rsid w:val="00DF23C5"/>
    <w:pPr>
      <w:keepNext/>
      <w:widowControl w:val="0"/>
      <w:spacing w:before="120" w:after="120" w:line="240" w:lineRule="auto"/>
    </w:pPr>
    <w:rPr>
      <w:rFonts w:ascii="Arial Narrow" w:eastAsia="Times New Roman" w:hAnsi="Arial Narrow" w:cs="Calibri"/>
      <w:b/>
      <w:bCs/>
      <w:smallCaps/>
      <w:color w:val="FFFFFF"/>
      <w:szCs w:val="20"/>
      <w:lang w:eastAsia="en-AU"/>
    </w:rPr>
  </w:style>
  <w:style w:type="paragraph" w:customStyle="1" w:styleId="Tablebodycopy">
    <w:name w:val="Table body copy"/>
    <w:rsid w:val="00DF23C5"/>
    <w:pPr>
      <w:keepNext/>
      <w:widowControl w:val="0"/>
      <w:spacing w:before="120" w:after="120" w:line="240" w:lineRule="auto"/>
    </w:pPr>
    <w:rPr>
      <w:rFonts w:ascii="Calibri" w:eastAsia="Times New Roman" w:hAnsi="Calibri" w:cs="Calibri"/>
      <w:bCs/>
      <w:szCs w:val="20"/>
      <w:lang w:eastAsia="en-AU"/>
    </w:rPr>
  </w:style>
  <w:style w:type="paragraph" w:customStyle="1" w:styleId="Bulletlistquote">
    <w:name w:val="Bullet list quote"/>
    <w:rsid w:val="00DF23C5"/>
    <w:pPr>
      <w:keepNext/>
      <w:widowControl w:val="0"/>
      <w:spacing w:after="0" w:line="240" w:lineRule="auto"/>
      <w:ind w:left="1701"/>
    </w:pPr>
    <w:rPr>
      <w:rFonts w:ascii="Calibri" w:eastAsia="Times New Roman" w:hAnsi="Calibri" w:cs="Calibri"/>
      <w:i/>
      <w:color w:val="000000"/>
      <w:szCs w:val="20"/>
      <w:lang w:eastAsia="en-AU"/>
    </w:rPr>
  </w:style>
  <w:style w:type="paragraph" w:customStyle="1" w:styleId="TOCHeading1">
    <w:name w:val="TOC Heading1"/>
    <w:rsid w:val="00DF23C5"/>
    <w:pPr>
      <w:keepNext/>
      <w:pageBreakBefore/>
      <w:widowControl w:val="0"/>
      <w:spacing w:after="480" w:line="240" w:lineRule="auto"/>
    </w:pPr>
    <w:rPr>
      <w:rFonts w:ascii="Arial Narrow" w:eastAsia="Calibri" w:hAnsi="Arial Narrow" w:cs="Arial Narrow"/>
      <w:smallCaps/>
      <w:color w:val="000000"/>
      <w:sz w:val="60"/>
      <w:szCs w:val="60"/>
      <w:lang w:eastAsia="en-AU"/>
    </w:rPr>
  </w:style>
  <w:style w:type="paragraph" w:customStyle="1" w:styleId="Heading1nonumber">
    <w:name w:val="Heading 1 no number"/>
    <w:next w:val="Bodycopynumbered"/>
    <w:rsid w:val="00DF23C5"/>
    <w:pPr>
      <w:keepNext/>
      <w:widowControl w:val="0"/>
      <w:spacing w:after="100" w:line="240" w:lineRule="auto"/>
    </w:pPr>
    <w:rPr>
      <w:rFonts w:ascii="Arial Narrow" w:eastAsia="Calibri" w:hAnsi="Arial Narrow" w:cs="Times New Roman"/>
      <w:bCs/>
      <w:smallCaps/>
      <w:color w:val="000000"/>
      <w:sz w:val="44"/>
      <w:szCs w:val="44"/>
    </w:rPr>
  </w:style>
  <w:style w:type="paragraph" w:customStyle="1" w:styleId="Bodycopynumbered2">
    <w:name w:val="Body copy numbered 2"/>
    <w:rsid w:val="00DF23C5"/>
    <w:pPr>
      <w:keepNext/>
      <w:widowControl w:val="0"/>
      <w:numPr>
        <w:numId w:val="19"/>
      </w:numPr>
      <w:spacing w:before="120" w:after="120" w:line="300" w:lineRule="exact"/>
      <w:ind w:left="567" w:hanging="567"/>
    </w:pPr>
    <w:rPr>
      <w:rFonts w:ascii="Calibri" w:eastAsia="Times New Roman" w:hAnsi="Calibri" w:cs="Calibri"/>
      <w:color w:val="000000"/>
      <w:szCs w:val="20"/>
      <w:lang w:eastAsia="en-AU"/>
    </w:rPr>
  </w:style>
  <w:style w:type="paragraph" w:customStyle="1" w:styleId="Committeemembership">
    <w:name w:val="Committee membership"/>
    <w:next w:val="Bodycopy"/>
    <w:rsid w:val="00DF23C5"/>
    <w:pPr>
      <w:keepNext/>
      <w:widowControl w:val="0"/>
      <w:spacing w:beforeLines="100" w:afterLines="100" w:after="0" w:line="240" w:lineRule="auto"/>
      <w:outlineLvl w:val="0"/>
    </w:pPr>
    <w:rPr>
      <w:rFonts w:ascii="Arial Narrow" w:eastAsia="Calibri" w:hAnsi="Arial Narrow" w:cs="Arial Narrow"/>
      <w:smallCaps/>
      <w:sz w:val="44"/>
      <w:szCs w:val="44"/>
    </w:rPr>
  </w:style>
  <w:style w:type="paragraph" w:customStyle="1" w:styleId="Secretariat">
    <w:name w:val="Secretariat"/>
    <w:next w:val="Bodycopy"/>
    <w:rsid w:val="00DF23C5"/>
    <w:pPr>
      <w:spacing w:beforeLines="400" w:afterLines="100" w:after="0" w:line="240" w:lineRule="auto"/>
      <w:outlineLvl w:val="0"/>
    </w:pPr>
    <w:rPr>
      <w:rFonts w:ascii="Arial Narrow" w:eastAsia="Calibri" w:hAnsi="Arial Narrow" w:cs="Arial Narrow"/>
      <w:smallCaps/>
      <w:sz w:val="44"/>
      <w:szCs w:val="44"/>
    </w:rPr>
  </w:style>
  <w:style w:type="paragraph" w:customStyle="1" w:styleId="Contactinformation">
    <w:name w:val="Contact information"/>
    <w:next w:val="Bodycopy"/>
    <w:rsid w:val="00DF23C5"/>
    <w:pPr>
      <w:spacing w:beforeLines="400" w:afterLines="100" w:after="0" w:line="240" w:lineRule="auto"/>
      <w:outlineLvl w:val="0"/>
    </w:pPr>
    <w:rPr>
      <w:rFonts w:ascii="Arial Narrow" w:eastAsia="Calibri" w:hAnsi="Arial Narrow" w:cs="Arial Narrow"/>
      <w:smallCaps/>
      <w:sz w:val="44"/>
      <w:szCs w:val="44"/>
    </w:rPr>
  </w:style>
  <w:style w:type="paragraph" w:customStyle="1" w:styleId="Recommendationsheading">
    <w:name w:val="Recommendations heading"/>
    <w:next w:val="Recommendationbodycopy"/>
    <w:rsid w:val="00DF23C5"/>
    <w:pPr>
      <w:keepNext/>
      <w:pageBreakBefore/>
      <w:widowControl w:val="0"/>
      <w:spacing w:after="240" w:line="240" w:lineRule="auto"/>
    </w:pPr>
    <w:rPr>
      <w:rFonts w:ascii="Arial Narrow" w:eastAsia="Calibri" w:hAnsi="Arial Narrow" w:cs="Times New Roman"/>
      <w:bCs/>
      <w:smallCaps/>
      <w:color w:val="000000"/>
      <w:sz w:val="44"/>
      <w:szCs w:val="44"/>
    </w:rPr>
  </w:style>
  <w:style w:type="character" w:styleId="PageNumber">
    <w:name w:val="page number"/>
    <w:rsid w:val="00DF23C5"/>
    <w:rPr>
      <w:rFonts w:ascii="Calibri" w:hAnsi="Calibri" w:cs="Times New Roman"/>
      <w:b/>
      <w:sz w:val="18"/>
      <w:szCs w:val="18"/>
    </w:rPr>
  </w:style>
  <w:style w:type="paragraph" w:customStyle="1" w:styleId="Recommendationbodycopy">
    <w:name w:val="Recommendation body copy"/>
    <w:rsid w:val="00DF23C5"/>
    <w:pPr>
      <w:keepNext/>
      <w:widowControl w:val="0"/>
      <w:spacing w:after="0" w:line="240" w:lineRule="auto"/>
    </w:pPr>
    <w:rPr>
      <w:rFonts w:ascii="Arial Narrow" w:eastAsia="Calibri" w:hAnsi="Arial Narrow" w:cs="Arial"/>
      <w:bCs/>
      <w:kern w:val="32"/>
      <w:szCs w:val="20"/>
    </w:rPr>
  </w:style>
  <w:style w:type="paragraph" w:customStyle="1" w:styleId="Recommendationbodycopynumbered">
    <w:name w:val="Recommendation body copy numbered"/>
    <w:rsid w:val="00DF23C5"/>
    <w:pPr>
      <w:keepNext/>
      <w:widowControl w:val="0"/>
      <w:numPr>
        <w:ilvl w:val="1"/>
        <w:numId w:val="21"/>
      </w:numPr>
      <w:spacing w:before="200" w:after="200" w:line="240" w:lineRule="auto"/>
      <w:ind w:left="578" w:hanging="578"/>
      <w:outlineLvl w:val="7"/>
    </w:pPr>
    <w:rPr>
      <w:rFonts w:ascii="Arial Narrow" w:eastAsia="Calibri" w:hAnsi="Arial Narrow" w:cs="Arial"/>
      <w:b/>
      <w:bCs/>
      <w:kern w:val="32"/>
      <w:szCs w:val="20"/>
    </w:rPr>
  </w:style>
  <w:style w:type="paragraph" w:customStyle="1" w:styleId="Recommendationheadingbody">
    <w:name w:val="Recommendation heading body"/>
    <w:next w:val="Recommendationbodycopynumbered"/>
    <w:rsid w:val="00DF23C5"/>
    <w:pPr>
      <w:keepNext/>
      <w:widowControl w:val="0"/>
      <w:spacing w:beforeLines="150" w:afterLines="100" w:after="0" w:line="240" w:lineRule="auto"/>
      <w:outlineLvl w:val="6"/>
    </w:pPr>
    <w:rPr>
      <w:rFonts w:ascii="Arial Narrow" w:eastAsia="Calibri" w:hAnsi="Arial Narrow" w:cs="Arial Narrow"/>
      <w:b/>
      <w:smallCaps/>
      <w:sz w:val="30"/>
      <w:szCs w:val="30"/>
    </w:rPr>
  </w:style>
  <w:style w:type="paragraph" w:customStyle="1" w:styleId="Bodycopybulletlevel1alpha">
    <w:name w:val="Body copy bullet level 1 alpha"/>
    <w:rsid w:val="00DF23C5"/>
    <w:pPr>
      <w:keepNext/>
      <w:widowControl w:val="0"/>
      <w:numPr>
        <w:numId w:val="16"/>
      </w:numPr>
      <w:spacing w:after="0" w:line="240" w:lineRule="auto"/>
      <w:ind w:left="851" w:hanging="284"/>
    </w:pPr>
    <w:rPr>
      <w:rFonts w:ascii="Calibri" w:eastAsia="Times New Roman" w:hAnsi="Calibri" w:cs="Calibri"/>
      <w:color w:val="000000"/>
      <w:szCs w:val="20"/>
      <w:lang w:eastAsia="en-AU"/>
    </w:rPr>
  </w:style>
  <w:style w:type="paragraph" w:customStyle="1" w:styleId="Headereven">
    <w:name w:val="Header even"/>
    <w:rsid w:val="00DF23C5"/>
    <w:pPr>
      <w:keepNext/>
      <w:widowControl w:val="0"/>
      <w:tabs>
        <w:tab w:val="center" w:pos="4513"/>
        <w:tab w:val="right" w:pos="9026"/>
      </w:tabs>
      <w:spacing w:after="0" w:line="240" w:lineRule="auto"/>
    </w:pPr>
    <w:rPr>
      <w:rFonts w:ascii="Calibri" w:eastAsia="Calibri" w:hAnsi="Calibri" w:cs="Arial Narrow"/>
      <w:smallCaps/>
      <w:szCs w:val="20"/>
    </w:rPr>
  </w:style>
  <w:style w:type="paragraph" w:customStyle="1" w:styleId="Headerodd">
    <w:name w:val="Header odd"/>
    <w:rsid w:val="00DF23C5"/>
    <w:pPr>
      <w:keepNext/>
      <w:widowControl w:val="0"/>
      <w:tabs>
        <w:tab w:val="center" w:pos="4513"/>
        <w:tab w:val="right" w:pos="9026"/>
      </w:tabs>
      <w:spacing w:after="0" w:line="240" w:lineRule="auto"/>
      <w:jc w:val="right"/>
    </w:pPr>
    <w:rPr>
      <w:rFonts w:ascii="Calibri" w:eastAsia="Calibri" w:hAnsi="Calibri" w:cs="Arial Narrow"/>
      <w:smallCaps/>
      <w:szCs w:val="20"/>
    </w:rPr>
  </w:style>
  <w:style w:type="paragraph" w:customStyle="1" w:styleId="Reportcoverfooter">
    <w:name w:val="Report cover footer"/>
    <w:basedOn w:val="Headerodd"/>
    <w:rsid w:val="00DF23C5"/>
    <w:rPr>
      <w:smallCaps w:val="0"/>
      <w:sz w:val="28"/>
      <w:szCs w:val="28"/>
    </w:rPr>
  </w:style>
  <w:style w:type="paragraph" w:customStyle="1" w:styleId="ReportTitle">
    <w:name w:val="Report Title"/>
    <w:rsid w:val="00DF23C5"/>
    <w:pPr>
      <w:keepNext/>
      <w:widowControl w:val="0"/>
      <w:spacing w:after="480" w:line="240" w:lineRule="auto"/>
      <w:jc w:val="right"/>
    </w:pPr>
    <w:rPr>
      <w:rFonts w:ascii="Arial Narrow" w:eastAsia="Calibri" w:hAnsi="Arial Narrow" w:cs="Arial Narrow"/>
      <w:smallCaps/>
      <w:sz w:val="56"/>
      <w:szCs w:val="56"/>
    </w:rPr>
  </w:style>
  <w:style w:type="paragraph" w:customStyle="1" w:styleId="CommitteeName">
    <w:name w:val="Committee Name"/>
    <w:rsid w:val="00DF23C5"/>
    <w:pPr>
      <w:keepNext/>
      <w:widowControl w:val="0"/>
      <w:spacing w:after="480" w:line="240" w:lineRule="auto"/>
      <w:jc w:val="right"/>
    </w:pPr>
    <w:rPr>
      <w:rFonts w:ascii="Arial Narrow" w:eastAsia="Calibri" w:hAnsi="Arial Narrow" w:cs="Arial Narrow"/>
      <w:smallCaps/>
      <w:sz w:val="44"/>
      <w:szCs w:val="44"/>
    </w:rPr>
  </w:style>
  <w:style w:type="paragraph" w:customStyle="1" w:styleId="Bulletlistalpha">
    <w:name w:val="Bullet list alpha"/>
    <w:rsid w:val="00DF23C5"/>
    <w:pPr>
      <w:keepNext/>
      <w:widowControl w:val="0"/>
      <w:numPr>
        <w:ilvl w:val="1"/>
        <w:numId w:val="14"/>
      </w:numPr>
      <w:spacing w:beforeLines="120" w:afterLines="120" w:after="0" w:line="200" w:lineRule="exact"/>
      <w:ind w:left="1701" w:hanging="567"/>
    </w:pPr>
    <w:rPr>
      <w:rFonts w:ascii="Calibri" w:eastAsia="Times New Roman" w:hAnsi="Calibri" w:cs="Calibri"/>
      <w:color w:val="000000"/>
      <w:spacing w:val="-3"/>
      <w:szCs w:val="20"/>
      <w:lang w:eastAsia="en-AU"/>
    </w:rPr>
  </w:style>
  <w:style w:type="paragraph" w:customStyle="1" w:styleId="Bulletlistroman">
    <w:name w:val="Bullet list roman"/>
    <w:rsid w:val="00DF23C5"/>
    <w:pPr>
      <w:keepNext/>
      <w:widowControl w:val="0"/>
      <w:numPr>
        <w:numId w:val="18"/>
      </w:numPr>
      <w:spacing w:beforeLines="120" w:afterLines="120" w:after="0" w:line="200" w:lineRule="exact"/>
      <w:ind w:left="2268" w:hanging="567"/>
    </w:pPr>
    <w:rPr>
      <w:rFonts w:ascii="Calibri" w:eastAsia="Times New Roman" w:hAnsi="Calibri" w:cs="Calibri"/>
      <w:color w:val="000000"/>
      <w:spacing w:val="-3"/>
      <w:szCs w:val="20"/>
      <w:lang w:eastAsia="en-AU"/>
    </w:rPr>
  </w:style>
  <w:style w:type="paragraph" w:customStyle="1" w:styleId="Heading4nonumber">
    <w:name w:val="Heading 4 no number"/>
    <w:next w:val="Bodycopynumbered"/>
    <w:rsid w:val="00DF23C5"/>
    <w:pPr>
      <w:keepNext/>
      <w:widowControl w:val="0"/>
      <w:spacing w:after="0" w:line="240" w:lineRule="auto"/>
    </w:pPr>
    <w:rPr>
      <w:rFonts w:ascii="Arial Narrow" w:eastAsia="Calibri" w:hAnsi="Arial Narrow" w:cs="Arial Narrow"/>
      <w:smallCaps/>
      <w:sz w:val="26"/>
      <w:szCs w:val="26"/>
    </w:rPr>
  </w:style>
  <w:style w:type="paragraph" w:customStyle="1" w:styleId="aIndent">
    <w:name w:val="(a) Indent"/>
    <w:basedOn w:val="Normal"/>
    <w:rsid w:val="00DF23C5"/>
    <w:pPr>
      <w:tabs>
        <w:tab w:val="left" w:pos="560"/>
      </w:tabs>
      <w:spacing w:before="0" w:after="0" w:line="240" w:lineRule="auto"/>
      <w:ind w:left="1120" w:hanging="1120"/>
    </w:pPr>
    <w:rPr>
      <w:rFonts w:ascii="Times" w:eastAsia="Times New Roman" w:hAnsi="Times" w:cs="Times New Roman"/>
      <w:sz w:val="24"/>
      <w:szCs w:val="20"/>
      <w:lang w:val="en-US" w:eastAsia="en-AU"/>
    </w:rPr>
  </w:style>
  <w:style w:type="numbering" w:customStyle="1" w:styleId="Style1">
    <w:name w:val="Style1"/>
    <w:rsid w:val="00DF23C5"/>
    <w:pPr>
      <w:numPr>
        <w:numId w:val="15"/>
      </w:numPr>
    </w:pPr>
  </w:style>
  <w:style w:type="numbering" w:customStyle="1" w:styleId="Style3">
    <w:name w:val="Style3"/>
    <w:rsid w:val="00DF23C5"/>
    <w:pPr>
      <w:numPr>
        <w:numId w:val="20"/>
      </w:numPr>
    </w:pPr>
  </w:style>
  <w:style w:type="numbering" w:customStyle="1" w:styleId="Style2">
    <w:name w:val="Style2"/>
    <w:rsid w:val="00DF23C5"/>
    <w:pPr>
      <w:numPr>
        <w:numId w:val="17"/>
      </w:numPr>
    </w:pPr>
  </w:style>
  <w:style w:type="paragraph" w:customStyle="1" w:styleId="Default">
    <w:name w:val="Default"/>
    <w:rsid w:val="00DF23C5"/>
    <w:pPr>
      <w:autoSpaceDE w:val="0"/>
      <w:autoSpaceDN w:val="0"/>
      <w:adjustRightInd w:val="0"/>
      <w:spacing w:after="0" w:line="240" w:lineRule="auto"/>
    </w:pPr>
    <w:rPr>
      <w:rFonts w:ascii="Arial Narrow" w:eastAsia="Times New Roman" w:hAnsi="Arial Narrow" w:cs="Arial Narrow"/>
      <w:color w:val="000000"/>
      <w:sz w:val="24"/>
      <w:szCs w:val="24"/>
      <w:lang w:eastAsia="en-AU"/>
    </w:rPr>
  </w:style>
  <w:style w:type="table" w:styleId="TableGrid">
    <w:name w:val="Table Grid"/>
    <w:basedOn w:val="TableNormal"/>
    <w:uiPriority w:val="59"/>
    <w:rsid w:val="00DF23C5"/>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BHeading">
    <w:name w:val="GB Heading"/>
    <w:basedOn w:val="Normal"/>
    <w:link w:val="GBHeadingChar"/>
    <w:rsid w:val="00DF23C5"/>
    <w:pPr>
      <w:spacing w:before="0" w:after="0" w:line="240" w:lineRule="auto"/>
      <w:jc w:val="both"/>
    </w:pPr>
    <w:rPr>
      <w:rFonts w:ascii="AvantGarde Bk BT" w:eastAsia="Times New Roman" w:hAnsi="AvantGarde Bk BT" w:cs="Times New Roman"/>
      <w:b/>
      <w:sz w:val="24"/>
      <w:szCs w:val="24"/>
      <w:lang w:eastAsia="en-AU"/>
    </w:rPr>
  </w:style>
  <w:style w:type="character" w:customStyle="1" w:styleId="GBHeadingChar">
    <w:name w:val="GB Heading Char"/>
    <w:link w:val="GBHeading"/>
    <w:locked/>
    <w:rsid w:val="00DF23C5"/>
    <w:rPr>
      <w:rFonts w:ascii="AvantGarde Bk BT" w:eastAsia="Times New Roman" w:hAnsi="AvantGarde Bk BT" w:cs="Times New Roman"/>
      <w:b/>
      <w:sz w:val="24"/>
      <w:szCs w:val="24"/>
      <w:lang w:eastAsia="en-AU"/>
    </w:rPr>
  </w:style>
  <w:style w:type="paragraph" w:customStyle="1" w:styleId="PaperTitleIndent1">
    <w:name w:val="PaperTitleIndent1"/>
    <w:basedOn w:val="Normal"/>
    <w:uiPriority w:val="99"/>
    <w:rsid w:val="00DF23C5"/>
    <w:pPr>
      <w:spacing w:before="0" w:after="120" w:line="240" w:lineRule="auto"/>
      <w:ind w:right="1701"/>
    </w:pPr>
    <w:rPr>
      <w:rFonts w:ascii="Times New Roman" w:eastAsia="Calibri" w:hAnsi="Times New Roman" w:cs="Times New Roman"/>
      <w:sz w:val="24"/>
      <w:szCs w:val="24"/>
      <w:lang w:eastAsia="en-AU"/>
    </w:rPr>
  </w:style>
  <w:style w:type="paragraph" w:customStyle="1" w:styleId="PaperTitleIndent2">
    <w:name w:val="PaperTitleIndent2"/>
    <w:basedOn w:val="Normal"/>
    <w:uiPriority w:val="99"/>
    <w:rsid w:val="00DF23C5"/>
    <w:pPr>
      <w:spacing w:before="0" w:after="120" w:line="240" w:lineRule="auto"/>
      <w:ind w:left="238" w:right="1701"/>
    </w:pPr>
    <w:rPr>
      <w:rFonts w:ascii="Times New Roman" w:eastAsia="Calibri" w:hAnsi="Times New Roman" w:cs="Times New Roman"/>
      <w:sz w:val="24"/>
      <w:szCs w:val="24"/>
      <w:lang w:eastAsia="en-AU"/>
    </w:rPr>
  </w:style>
  <w:style w:type="character" w:styleId="CommentReference">
    <w:name w:val="annotation reference"/>
    <w:uiPriority w:val="99"/>
    <w:rsid w:val="00DF23C5"/>
    <w:rPr>
      <w:sz w:val="16"/>
      <w:szCs w:val="16"/>
    </w:rPr>
  </w:style>
  <w:style w:type="paragraph" w:customStyle="1" w:styleId="IMain">
    <w:name w:val="I Main"/>
    <w:basedOn w:val="Normal"/>
    <w:rsid w:val="00DF23C5"/>
    <w:pPr>
      <w:tabs>
        <w:tab w:val="right" w:pos="900"/>
        <w:tab w:val="left" w:pos="1100"/>
      </w:tabs>
      <w:spacing w:before="140" w:after="0" w:line="240" w:lineRule="auto"/>
      <w:ind w:left="1100" w:hanging="1100"/>
      <w:jc w:val="both"/>
      <w:outlineLvl w:val="5"/>
    </w:pPr>
    <w:rPr>
      <w:rFonts w:ascii="Times New Roman" w:eastAsia="Times New Roman" w:hAnsi="Times New Roman" w:cs="Times New Roman"/>
      <w:sz w:val="24"/>
      <w:szCs w:val="20"/>
      <w:lang w:eastAsia="en-AU"/>
    </w:rPr>
  </w:style>
  <w:style w:type="paragraph" w:customStyle="1" w:styleId="Resol">
    <w:name w:val="Resol"/>
    <w:basedOn w:val="Committeemembership"/>
    <w:rsid w:val="00DF23C5"/>
    <w:pPr>
      <w:spacing w:before="240" w:after="240"/>
    </w:pPr>
    <w:rPr>
      <w:rFonts w:eastAsia="Times New Roman"/>
    </w:rPr>
  </w:style>
  <w:style w:type="character" w:customStyle="1" w:styleId="charCitHyperlinkItal">
    <w:name w:val="charCitHyperlinkItal"/>
    <w:uiPriority w:val="1"/>
    <w:rsid w:val="00DF23C5"/>
    <w:rPr>
      <w:rFonts w:cs="Times New Roman"/>
      <w:i/>
      <w:color w:val="0000FF"/>
      <w:u w:val="none"/>
    </w:rPr>
  </w:style>
  <w:style w:type="paragraph" w:customStyle="1" w:styleId="aDefpara">
    <w:name w:val="aDef para"/>
    <w:basedOn w:val="Apara"/>
    <w:rsid w:val="00DF23C5"/>
    <w:rPr>
      <w:lang w:eastAsia="en-AU"/>
    </w:rPr>
  </w:style>
  <w:style w:type="paragraph" w:customStyle="1" w:styleId="aExamHdgss">
    <w:name w:val="aExamHdgss"/>
    <w:basedOn w:val="Normal"/>
    <w:next w:val="Normal"/>
    <w:rsid w:val="00DF23C5"/>
    <w:pPr>
      <w:keepNext/>
      <w:spacing w:before="140" w:after="0" w:line="240" w:lineRule="auto"/>
      <w:ind w:left="1100"/>
    </w:pPr>
    <w:rPr>
      <w:rFonts w:ascii="Arial" w:eastAsia="Times New Roman" w:hAnsi="Arial" w:cs="Times New Roman"/>
      <w:b/>
      <w:sz w:val="18"/>
      <w:szCs w:val="20"/>
      <w:lang w:eastAsia="en-AU"/>
    </w:rPr>
  </w:style>
  <w:style w:type="paragraph" w:customStyle="1" w:styleId="aExamss">
    <w:name w:val="aExamss"/>
    <w:basedOn w:val="aNote"/>
    <w:rsid w:val="00DF23C5"/>
    <w:pPr>
      <w:spacing w:before="60"/>
      <w:ind w:left="1100" w:firstLine="0"/>
    </w:pPr>
    <w:rPr>
      <w:lang w:eastAsia="en-AU"/>
    </w:rPr>
  </w:style>
  <w:style w:type="character" w:customStyle="1" w:styleId="aNoteCharChar">
    <w:name w:val="aNote Char Char"/>
    <w:locked/>
    <w:rsid w:val="00DF23C5"/>
    <w:rPr>
      <w:rFonts w:cs="Times New Roman"/>
      <w:lang w:val="x-none" w:eastAsia="en-US"/>
    </w:rPr>
  </w:style>
  <w:style w:type="paragraph" w:customStyle="1" w:styleId="CoverActName">
    <w:name w:val="CoverActName"/>
    <w:basedOn w:val="Normal"/>
    <w:rsid w:val="00DF23C5"/>
    <w:pPr>
      <w:tabs>
        <w:tab w:val="left" w:pos="2600"/>
      </w:tabs>
      <w:overflowPunct w:val="0"/>
      <w:autoSpaceDE w:val="0"/>
      <w:autoSpaceDN w:val="0"/>
      <w:adjustRightInd w:val="0"/>
      <w:spacing w:before="200" w:after="60" w:line="240" w:lineRule="auto"/>
      <w:jc w:val="both"/>
    </w:pPr>
    <w:rPr>
      <w:rFonts w:ascii="Arial" w:eastAsia="Times New Roman" w:hAnsi="Arial" w:cs="Arial"/>
      <w:b/>
      <w:bCs/>
      <w:sz w:val="24"/>
      <w:szCs w:val="24"/>
      <w:lang w:eastAsia="en-AU"/>
    </w:rPr>
  </w:style>
  <w:style w:type="character" w:customStyle="1" w:styleId="AparaChar">
    <w:name w:val="A para Char"/>
    <w:link w:val="Apara"/>
    <w:locked/>
    <w:rsid w:val="00DF23C5"/>
    <w:rPr>
      <w:rFonts w:ascii="Times New Roman" w:eastAsia="Times New Roman" w:hAnsi="Times New Roman" w:cs="Times New Roman"/>
      <w:sz w:val="24"/>
      <w:szCs w:val="20"/>
    </w:rPr>
  </w:style>
  <w:style w:type="paragraph" w:customStyle="1" w:styleId="ESText">
    <w:name w:val="ES_Text"/>
    <w:basedOn w:val="Normal"/>
    <w:rsid w:val="00DF23C5"/>
    <w:pPr>
      <w:spacing w:before="0" w:after="0"/>
    </w:pPr>
    <w:rPr>
      <w:rFonts w:ascii="Times New Roman" w:eastAsia="Times New Roman" w:hAnsi="Times New Roman" w:cs="Times New Roman"/>
      <w:sz w:val="24"/>
      <w:szCs w:val="24"/>
      <w:lang w:eastAsia="en-AU"/>
    </w:rPr>
  </w:style>
  <w:style w:type="character" w:customStyle="1" w:styleId="Mention">
    <w:name w:val="Mention"/>
    <w:uiPriority w:val="99"/>
    <w:semiHidden/>
    <w:unhideWhenUsed/>
    <w:rsid w:val="00DF23C5"/>
    <w:rPr>
      <w:color w:val="2B579A"/>
      <w:shd w:val="clear" w:color="auto" w:fill="E6E6E6"/>
    </w:rPr>
  </w:style>
  <w:style w:type="character" w:customStyle="1" w:styleId="UnresolvedMention">
    <w:name w:val="Unresolved Mention"/>
    <w:uiPriority w:val="99"/>
    <w:semiHidden/>
    <w:unhideWhenUsed/>
    <w:rsid w:val="00DF23C5"/>
    <w:rPr>
      <w:color w:val="808080"/>
      <w:shd w:val="clear" w:color="auto" w:fill="E6E6E6"/>
    </w:rPr>
  </w:style>
  <w:style w:type="numbering" w:styleId="1ai">
    <w:name w:val="Outline List 1"/>
    <w:basedOn w:val="NoList"/>
    <w:rsid w:val="00DF23C5"/>
    <w:pPr>
      <w:numPr>
        <w:numId w:val="22"/>
      </w:numPr>
    </w:pPr>
  </w:style>
  <w:style w:type="paragraph" w:customStyle="1" w:styleId="TableHd">
    <w:name w:val="TableHd"/>
    <w:basedOn w:val="Normal"/>
    <w:rsid w:val="00DF23C5"/>
    <w:pPr>
      <w:keepNext/>
      <w:tabs>
        <w:tab w:val="left" w:pos="0"/>
      </w:tabs>
      <w:spacing w:before="300" w:after="0" w:line="240" w:lineRule="auto"/>
      <w:ind w:left="1200" w:hanging="1200"/>
    </w:pPr>
    <w:rPr>
      <w:rFonts w:ascii="Arial" w:eastAsia="Times New Roman" w:hAnsi="Arial" w:cs="Times New Roman"/>
      <w:b/>
      <w:sz w:val="20"/>
      <w:szCs w:val="20"/>
    </w:rPr>
  </w:style>
  <w:style w:type="paragraph" w:customStyle="1" w:styleId="TableColHd">
    <w:name w:val="TableColHd"/>
    <w:basedOn w:val="Normal"/>
    <w:rsid w:val="00DF23C5"/>
    <w:pPr>
      <w:keepNext/>
      <w:tabs>
        <w:tab w:val="left" w:pos="0"/>
      </w:tabs>
      <w:spacing w:before="0" w:after="60" w:line="240" w:lineRule="auto"/>
    </w:pPr>
    <w:rPr>
      <w:rFonts w:ascii="Arial" w:eastAsia="Times New Roman" w:hAnsi="Arial" w:cs="Times New Roman"/>
      <w:b/>
      <w:sz w:val="18"/>
      <w:szCs w:val="20"/>
    </w:rPr>
  </w:style>
  <w:style w:type="paragraph" w:customStyle="1" w:styleId="TableText">
    <w:name w:val="TableText"/>
    <w:basedOn w:val="Normal"/>
    <w:uiPriority w:val="99"/>
    <w:rsid w:val="00DF23C5"/>
    <w:pPr>
      <w:spacing w:before="60" w:after="60" w:line="240" w:lineRule="auto"/>
    </w:pPr>
    <w:rPr>
      <w:rFonts w:ascii="Times New Roman" w:eastAsia="Times New Roman" w:hAnsi="Times New Roman" w:cs="Times New Roman"/>
      <w:sz w:val="24"/>
      <w:szCs w:val="24"/>
    </w:rPr>
  </w:style>
  <w:style w:type="character" w:customStyle="1" w:styleId="AmainChar">
    <w:name w:val="A main Char"/>
    <w:link w:val="Amain"/>
    <w:locked/>
    <w:rsid w:val="007377EC"/>
    <w:rPr>
      <w:rFonts w:ascii="Times New Roman" w:eastAsia="Times New Roman" w:hAnsi="Times New Roman" w:cs="Times New Roman"/>
      <w:sz w:val="24"/>
      <w:szCs w:val="20"/>
    </w:rPr>
  </w:style>
  <w:style w:type="character" w:customStyle="1" w:styleId="Calibri12">
    <w:name w:val="Calibri 12"/>
    <w:basedOn w:val="DefaultParagraphFont"/>
    <w:uiPriority w:val="1"/>
    <w:qFormat/>
    <w:rsid w:val="00B32DDB"/>
    <w:rPr>
      <w:rFonts w:ascii="Calibri" w:hAnsi="Calibri"/>
      <w:sz w:val="24"/>
    </w:rPr>
  </w:style>
  <w:style w:type="paragraph" w:customStyle="1" w:styleId="ref">
    <w:name w:val="ref"/>
    <w:basedOn w:val="Normal"/>
    <w:next w:val="Normal"/>
    <w:rsid w:val="007E46DC"/>
    <w:pPr>
      <w:spacing w:before="60" w:after="0" w:line="240" w:lineRule="auto"/>
      <w:jc w:val="both"/>
    </w:pPr>
    <w:rPr>
      <w:rFonts w:ascii="Times New Roman" w:eastAsia="Times New Roman" w:hAnsi="Times New Roman" w:cs="Times New Roman"/>
      <w:sz w:val="18"/>
      <w:szCs w:val="20"/>
    </w:rPr>
  </w:style>
  <w:style w:type="paragraph" w:customStyle="1" w:styleId="TableText10">
    <w:name w:val="TableText10"/>
    <w:basedOn w:val="TableText"/>
    <w:rsid w:val="007E46DC"/>
    <w:pPr>
      <w:tabs>
        <w:tab w:val="left" w:pos="0"/>
      </w:tabs>
    </w:pPr>
    <w:rPr>
      <w:sz w:val="20"/>
      <w:szCs w:val="20"/>
    </w:rPr>
  </w:style>
  <w:style w:type="paragraph" w:customStyle="1" w:styleId="TableNumbered">
    <w:name w:val="TableNumbered"/>
    <w:basedOn w:val="TableText10"/>
    <w:qFormat/>
    <w:rsid w:val="007E46DC"/>
    <w:pPr>
      <w:numPr>
        <w:numId w:val="23"/>
      </w:numPr>
    </w:pPr>
  </w:style>
  <w:style w:type="paragraph" w:customStyle="1" w:styleId="Sched-heading">
    <w:name w:val="Sched-heading"/>
    <w:basedOn w:val="Normal"/>
    <w:next w:val="Normal"/>
    <w:rsid w:val="007E46DC"/>
    <w:pPr>
      <w:keepNext/>
      <w:tabs>
        <w:tab w:val="left" w:pos="2600"/>
      </w:tabs>
      <w:spacing w:before="380" w:after="0" w:line="240" w:lineRule="auto"/>
      <w:ind w:left="2600" w:hanging="2600"/>
      <w:outlineLvl w:val="0"/>
    </w:pPr>
    <w:rPr>
      <w:rFonts w:ascii="Arial" w:eastAsia="Times New Roman" w:hAnsi="Arial" w:cs="Times New Roman"/>
      <w:b/>
      <w:sz w:val="34"/>
      <w:szCs w:val="20"/>
    </w:rPr>
  </w:style>
  <w:style w:type="character" w:customStyle="1" w:styleId="CharChapNo">
    <w:name w:val="CharChapNo"/>
    <w:rsid w:val="007E46DC"/>
  </w:style>
  <w:style w:type="character" w:customStyle="1" w:styleId="CharChapText">
    <w:name w:val="CharChapText"/>
    <w:rsid w:val="007E46DC"/>
  </w:style>
  <w:style w:type="paragraph" w:customStyle="1" w:styleId="Calibribody">
    <w:name w:val="Calibri body"/>
    <w:basedOn w:val="AH5Sec"/>
    <w:rsid w:val="00452F37"/>
    <w:pPr>
      <w:tabs>
        <w:tab w:val="clear" w:pos="1100"/>
        <w:tab w:val="left" w:pos="360"/>
        <w:tab w:val="left" w:pos="1440"/>
      </w:tabs>
      <w:spacing w:before="220" w:after="220" w:line="280" w:lineRule="atLeast"/>
      <w:ind w:left="360" w:firstLine="0"/>
    </w:pPr>
    <w:rPr>
      <w:rFonts w:ascii="Calibri" w:hAnsi="Calibri" w:cs="Calibri"/>
      <w:sz w:val="22"/>
      <w:szCs w:val="22"/>
    </w:rPr>
  </w:style>
  <w:style w:type="paragraph" w:customStyle="1" w:styleId="TOCHeading2">
    <w:name w:val="TOC Heading2"/>
    <w:rsid w:val="00AF6CB6"/>
    <w:pPr>
      <w:keepNext/>
      <w:pageBreakBefore/>
      <w:widowControl w:val="0"/>
      <w:spacing w:after="480" w:line="240" w:lineRule="auto"/>
    </w:pPr>
    <w:rPr>
      <w:rFonts w:ascii="Arial Narrow" w:eastAsia="Calibri" w:hAnsi="Arial Narrow" w:cs="Arial Narrow"/>
      <w:smallCaps/>
      <w:color w:val="000000"/>
      <w:sz w:val="60"/>
      <w:szCs w:val="60"/>
      <w:lang w:eastAsia="en-AU"/>
    </w:rPr>
  </w:style>
  <w:style w:type="character" w:styleId="EndnoteReference">
    <w:name w:val="endnote reference"/>
    <w:rsid w:val="00AF6CB6"/>
    <w:rPr>
      <w:vertAlign w:val="superscript"/>
    </w:rPr>
  </w:style>
  <w:style w:type="paragraph" w:customStyle="1" w:styleId="LongTitle">
    <w:name w:val="LongTitle"/>
    <w:basedOn w:val="Normal"/>
    <w:rsid w:val="001352E7"/>
    <w:pPr>
      <w:spacing w:before="240" w:after="60" w:line="240" w:lineRule="auto"/>
      <w:jc w:val="both"/>
    </w:pPr>
    <w:rPr>
      <w:rFonts w:ascii="Times New Roman" w:eastAsia="Times New Roman" w:hAnsi="Times New Roman" w:cs="Times New Roman"/>
      <w:sz w:val="24"/>
      <w:szCs w:val="24"/>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link w:val="ListParagraph"/>
    <w:uiPriority w:val="34"/>
    <w:qFormat/>
    <w:locked/>
    <w:rsid w:val="006505B3"/>
  </w:style>
  <w:style w:type="paragraph" w:customStyle="1" w:styleId="tablenormal0">
    <w:name w:val="table normal"/>
    <w:basedOn w:val="Normal"/>
    <w:uiPriority w:val="99"/>
    <w:rsid w:val="006505B3"/>
    <w:pPr>
      <w:spacing w:before="80" w:after="80" w:line="240" w:lineRule="auto"/>
    </w:pPr>
    <w:rPr>
      <w:rFonts w:ascii="Times New Roman" w:eastAsia="Times New Roman" w:hAnsi="Times New Roman" w:cs="Times New Roman"/>
    </w:rPr>
  </w:style>
  <w:style w:type="paragraph" w:customStyle="1" w:styleId="01Contents">
    <w:name w:val="01Contents"/>
    <w:basedOn w:val="Normal"/>
    <w:rsid w:val="006505B3"/>
    <w:pPr>
      <w:tabs>
        <w:tab w:val="left" w:pos="2880"/>
      </w:tabs>
      <w:overflowPunct w:val="0"/>
      <w:autoSpaceDE w:val="0"/>
      <w:autoSpaceDN w:val="0"/>
      <w:adjustRightInd w:val="0"/>
      <w:spacing w:before="0" w:after="0" w:line="240" w:lineRule="auto"/>
      <w:textAlignment w:val="baseline"/>
    </w:pPr>
    <w:rPr>
      <w:rFonts w:ascii="Arial" w:eastAsia="Times New Roman" w:hAnsi="Arial" w:cs="Times New Roman"/>
      <w:sz w:val="24"/>
      <w:szCs w:val="24"/>
    </w:rPr>
  </w:style>
  <w:style w:type="paragraph" w:customStyle="1" w:styleId="Isubpara">
    <w:name w:val="I subpara"/>
    <w:basedOn w:val="Normal"/>
    <w:rsid w:val="006505B3"/>
    <w:pPr>
      <w:tabs>
        <w:tab w:val="right" w:pos="1940"/>
        <w:tab w:val="left" w:pos="2140"/>
      </w:tabs>
      <w:spacing w:before="140" w:after="0" w:line="240" w:lineRule="auto"/>
      <w:ind w:left="2140" w:hanging="2140"/>
      <w:jc w:val="both"/>
    </w:pPr>
    <w:rPr>
      <w:rFonts w:ascii="Times New Roman" w:eastAsia="Times New Roman" w:hAnsi="Times New Roman" w:cs="Times New Roman"/>
      <w:sz w:val="24"/>
      <w:szCs w:val="20"/>
    </w:rPr>
  </w:style>
  <w:style w:type="paragraph" w:customStyle="1" w:styleId="BodySectionSub">
    <w:name w:val="Body Section (Sub)"/>
    <w:next w:val="Normal"/>
    <w:link w:val="BodySectionSubChar"/>
    <w:rsid w:val="00DE6851"/>
    <w:pPr>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sz w:val="24"/>
      <w:szCs w:val="20"/>
    </w:rPr>
  </w:style>
  <w:style w:type="paragraph" w:customStyle="1" w:styleId="DraftHeading3">
    <w:name w:val="Draft Heading 3"/>
    <w:basedOn w:val="Normal"/>
    <w:next w:val="Normal"/>
    <w:rsid w:val="00DE6851"/>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DraftHeading1">
    <w:name w:val="Draft Heading 1"/>
    <w:basedOn w:val="Normal"/>
    <w:next w:val="Normal"/>
    <w:link w:val="DraftHeading1Char"/>
    <w:rsid w:val="00DE6851"/>
    <w:pPr>
      <w:overflowPunct w:val="0"/>
      <w:autoSpaceDE w:val="0"/>
      <w:autoSpaceDN w:val="0"/>
      <w:adjustRightInd w:val="0"/>
      <w:spacing w:before="120" w:after="0" w:line="240" w:lineRule="auto"/>
      <w:textAlignment w:val="baseline"/>
      <w:outlineLvl w:val="2"/>
    </w:pPr>
    <w:rPr>
      <w:rFonts w:ascii="Times New Roman" w:eastAsia="Times New Roman" w:hAnsi="Times New Roman" w:cs="Times New Roman"/>
      <w:b/>
      <w:sz w:val="24"/>
      <w:szCs w:val="24"/>
    </w:rPr>
  </w:style>
  <w:style w:type="character" w:customStyle="1" w:styleId="BodySectionSubChar">
    <w:name w:val="Body Section (Sub) Char"/>
    <w:basedOn w:val="DefaultParagraphFont"/>
    <w:link w:val="BodySectionSub"/>
    <w:rsid w:val="00DE6851"/>
    <w:rPr>
      <w:rFonts w:ascii="Times New Roman" w:eastAsia="Times New Roman" w:hAnsi="Times New Roman" w:cs="Times New Roman"/>
      <w:sz w:val="24"/>
      <w:szCs w:val="20"/>
    </w:rPr>
  </w:style>
  <w:style w:type="character" w:customStyle="1" w:styleId="DraftHeading1Char">
    <w:name w:val="Draft Heading 1 Char"/>
    <w:basedOn w:val="DefaultParagraphFont"/>
    <w:link w:val="DraftHeading1"/>
    <w:rsid w:val="00DE6851"/>
    <w:rPr>
      <w:rFonts w:ascii="Times New Roman" w:eastAsia="Times New Roman" w:hAnsi="Times New Roman" w:cs="Times New Roman"/>
      <w:b/>
      <w:sz w:val="24"/>
      <w:szCs w:val="24"/>
    </w:rPr>
  </w:style>
  <w:style w:type="paragraph" w:customStyle="1" w:styleId="aDefsubpara">
    <w:name w:val="aDef subpara"/>
    <w:basedOn w:val="Asubpara"/>
    <w:rsid w:val="000D3223"/>
    <w:pPr>
      <w:tabs>
        <w:tab w:val="clear" w:pos="1900"/>
        <w:tab w:val="clear" w:pos="2100"/>
        <w:tab w:val="num" w:pos="2140"/>
      </w:tabs>
      <w:ind w:left="2140" w:hanging="200"/>
    </w:pPr>
  </w:style>
  <w:style w:type="paragraph" w:customStyle="1" w:styleId="ESText0">
    <w:name w:val="ES Text"/>
    <w:basedOn w:val="Normal"/>
    <w:qFormat/>
    <w:rsid w:val="00F362C8"/>
    <w:pPr>
      <w:spacing w:before="100" w:beforeAutospacing="1" w:after="100" w:afterAutospacing="1" w:line="240" w:lineRule="auto"/>
      <w:contextualSpacing/>
    </w:pPr>
    <w:rPr>
      <w:rFonts w:ascii="Times New Roman" w:eastAsia="Times New Roman" w:hAnsi="Times New Roman" w:cs="Times New Roman"/>
      <w:sz w:val="24"/>
      <w:szCs w:val="24"/>
    </w:rPr>
  </w:style>
  <w:style w:type="character" w:customStyle="1" w:styleId="Style1Char">
    <w:name w:val="Style1 Char"/>
    <w:basedOn w:val="Heading2Char"/>
    <w:rsid w:val="001D6452"/>
    <w:rPr>
      <w:rFonts w:ascii="Calibri" w:eastAsia="Calibri" w:hAnsi="Calibri" w:cs="Arial"/>
      <w:b/>
      <w:bCs/>
      <w:smallCaps w:val="0"/>
      <w:color w:val="2E74B5" w:themeColor="accent1" w:themeShade="BF"/>
      <w:kern w:val="32"/>
      <w:sz w:val="24"/>
      <w:szCs w:val="20"/>
      <w:lang w:val="en-AU" w:eastAsia="en-AU"/>
    </w:rPr>
  </w:style>
  <w:style w:type="paragraph" w:customStyle="1" w:styleId="CS-Paragraphnumbering">
    <w:name w:val="CS - Paragraph numbering"/>
    <w:basedOn w:val="Normal"/>
    <w:rsid w:val="00BA47E5"/>
    <w:pPr>
      <w:numPr>
        <w:numId w:val="25"/>
      </w:numPr>
      <w:spacing w:before="0" w:after="120" w:line="276" w:lineRule="auto"/>
      <w:ind w:right="-45"/>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3566">
      <w:bodyDiv w:val="1"/>
      <w:marLeft w:val="0"/>
      <w:marRight w:val="0"/>
      <w:marTop w:val="0"/>
      <w:marBottom w:val="0"/>
      <w:divBdr>
        <w:top w:val="none" w:sz="0" w:space="0" w:color="auto"/>
        <w:left w:val="none" w:sz="0" w:space="0" w:color="auto"/>
        <w:bottom w:val="none" w:sz="0" w:space="0" w:color="auto"/>
        <w:right w:val="none" w:sz="0" w:space="0" w:color="auto"/>
      </w:divBdr>
    </w:div>
    <w:div w:id="44761495">
      <w:bodyDiv w:val="1"/>
      <w:marLeft w:val="0"/>
      <w:marRight w:val="0"/>
      <w:marTop w:val="0"/>
      <w:marBottom w:val="0"/>
      <w:divBdr>
        <w:top w:val="none" w:sz="0" w:space="0" w:color="auto"/>
        <w:left w:val="none" w:sz="0" w:space="0" w:color="auto"/>
        <w:bottom w:val="none" w:sz="0" w:space="0" w:color="auto"/>
        <w:right w:val="none" w:sz="0" w:space="0" w:color="auto"/>
      </w:divBdr>
    </w:div>
    <w:div w:id="80682419">
      <w:bodyDiv w:val="1"/>
      <w:marLeft w:val="0"/>
      <w:marRight w:val="0"/>
      <w:marTop w:val="0"/>
      <w:marBottom w:val="0"/>
      <w:divBdr>
        <w:top w:val="none" w:sz="0" w:space="0" w:color="auto"/>
        <w:left w:val="none" w:sz="0" w:space="0" w:color="auto"/>
        <w:bottom w:val="none" w:sz="0" w:space="0" w:color="auto"/>
        <w:right w:val="none" w:sz="0" w:space="0" w:color="auto"/>
      </w:divBdr>
    </w:div>
    <w:div w:id="137577469">
      <w:bodyDiv w:val="1"/>
      <w:marLeft w:val="0"/>
      <w:marRight w:val="0"/>
      <w:marTop w:val="0"/>
      <w:marBottom w:val="0"/>
      <w:divBdr>
        <w:top w:val="none" w:sz="0" w:space="0" w:color="auto"/>
        <w:left w:val="none" w:sz="0" w:space="0" w:color="auto"/>
        <w:bottom w:val="none" w:sz="0" w:space="0" w:color="auto"/>
        <w:right w:val="none" w:sz="0" w:space="0" w:color="auto"/>
      </w:divBdr>
    </w:div>
    <w:div w:id="160047176">
      <w:bodyDiv w:val="1"/>
      <w:marLeft w:val="0"/>
      <w:marRight w:val="0"/>
      <w:marTop w:val="0"/>
      <w:marBottom w:val="0"/>
      <w:divBdr>
        <w:top w:val="none" w:sz="0" w:space="0" w:color="auto"/>
        <w:left w:val="none" w:sz="0" w:space="0" w:color="auto"/>
        <w:bottom w:val="none" w:sz="0" w:space="0" w:color="auto"/>
        <w:right w:val="none" w:sz="0" w:space="0" w:color="auto"/>
      </w:divBdr>
    </w:div>
    <w:div w:id="211313724">
      <w:bodyDiv w:val="1"/>
      <w:marLeft w:val="0"/>
      <w:marRight w:val="0"/>
      <w:marTop w:val="0"/>
      <w:marBottom w:val="0"/>
      <w:divBdr>
        <w:top w:val="none" w:sz="0" w:space="0" w:color="auto"/>
        <w:left w:val="none" w:sz="0" w:space="0" w:color="auto"/>
        <w:bottom w:val="none" w:sz="0" w:space="0" w:color="auto"/>
        <w:right w:val="none" w:sz="0" w:space="0" w:color="auto"/>
      </w:divBdr>
    </w:div>
    <w:div w:id="353387201">
      <w:bodyDiv w:val="1"/>
      <w:marLeft w:val="0"/>
      <w:marRight w:val="0"/>
      <w:marTop w:val="0"/>
      <w:marBottom w:val="0"/>
      <w:divBdr>
        <w:top w:val="none" w:sz="0" w:space="0" w:color="auto"/>
        <w:left w:val="none" w:sz="0" w:space="0" w:color="auto"/>
        <w:bottom w:val="none" w:sz="0" w:space="0" w:color="auto"/>
        <w:right w:val="none" w:sz="0" w:space="0" w:color="auto"/>
      </w:divBdr>
    </w:div>
    <w:div w:id="378287222">
      <w:bodyDiv w:val="1"/>
      <w:marLeft w:val="0"/>
      <w:marRight w:val="0"/>
      <w:marTop w:val="0"/>
      <w:marBottom w:val="0"/>
      <w:divBdr>
        <w:top w:val="none" w:sz="0" w:space="0" w:color="auto"/>
        <w:left w:val="none" w:sz="0" w:space="0" w:color="auto"/>
        <w:bottom w:val="none" w:sz="0" w:space="0" w:color="auto"/>
        <w:right w:val="none" w:sz="0" w:space="0" w:color="auto"/>
      </w:divBdr>
    </w:div>
    <w:div w:id="386148917">
      <w:bodyDiv w:val="1"/>
      <w:marLeft w:val="0"/>
      <w:marRight w:val="0"/>
      <w:marTop w:val="0"/>
      <w:marBottom w:val="0"/>
      <w:divBdr>
        <w:top w:val="none" w:sz="0" w:space="0" w:color="auto"/>
        <w:left w:val="none" w:sz="0" w:space="0" w:color="auto"/>
        <w:bottom w:val="none" w:sz="0" w:space="0" w:color="auto"/>
        <w:right w:val="none" w:sz="0" w:space="0" w:color="auto"/>
      </w:divBdr>
    </w:div>
    <w:div w:id="413749720">
      <w:bodyDiv w:val="1"/>
      <w:marLeft w:val="0"/>
      <w:marRight w:val="0"/>
      <w:marTop w:val="0"/>
      <w:marBottom w:val="0"/>
      <w:divBdr>
        <w:top w:val="none" w:sz="0" w:space="0" w:color="auto"/>
        <w:left w:val="none" w:sz="0" w:space="0" w:color="auto"/>
        <w:bottom w:val="none" w:sz="0" w:space="0" w:color="auto"/>
        <w:right w:val="none" w:sz="0" w:space="0" w:color="auto"/>
      </w:divBdr>
    </w:div>
    <w:div w:id="451359759">
      <w:bodyDiv w:val="1"/>
      <w:marLeft w:val="0"/>
      <w:marRight w:val="0"/>
      <w:marTop w:val="0"/>
      <w:marBottom w:val="0"/>
      <w:divBdr>
        <w:top w:val="none" w:sz="0" w:space="0" w:color="auto"/>
        <w:left w:val="none" w:sz="0" w:space="0" w:color="auto"/>
        <w:bottom w:val="none" w:sz="0" w:space="0" w:color="auto"/>
        <w:right w:val="none" w:sz="0" w:space="0" w:color="auto"/>
      </w:divBdr>
    </w:div>
    <w:div w:id="453252857">
      <w:bodyDiv w:val="1"/>
      <w:marLeft w:val="0"/>
      <w:marRight w:val="0"/>
      <w:marTop w:val="0"/>
      <w:marBottom w:val="0"/>
      <w:divBdr>
        <w:top w:val="none" w:sz="0" w:space="0" w:color="auto"/>
        <w:left w:val="none" w:sz="0" w:space="0" w:color="auto"/>
        <w:bottom w:val="none" w:sz="0" w:space="0" w:color="auto"/>
        <w:right w:val="none" w:sz="0" w:space="0" w:color="auto"/>
      </w:divBdr>
    </w:div>
    <w:div w:id="479882438">
      <w:bodyDiv w:val="1"/>
      <w:marLeft w:val="0"/>
      <w:marRight w:val="0"/>
      <w:marTop w:val="0"/>
      <w:marBottom w:val="0"/>
      <w:divBdr>
        <w:top w:val="none" w:sz="0" w:space="0" w:color="auto"/>
        <w:left w:val="none" w:sz="0" w:space="0" w:color="auto"/>
        <w:bottom w:val="none" w:sz="0" w:space="0" w:color="auto"/>
        <w:right w:val="none" w:sz="0" w:space="0" w:color="auto"/>
      </w:divBdr>
    </w:div>
    <w:div w:id="496581886">
      <w:bodyDiv w:val="1"/>
      <w:marLeft w:val="0"/>
      <w:marRight w:val="0"/>
      <w:marTop w:val="0"/>
      <w:marBottom w:val="0"/>
      <w:divBdr>
        <w:top w:val="none" w:sz="0" w:space="0" w:color="auto"/>
        <w:left w:val="none" w:sz="0" w:space="0" w:color="auto"/>
        <w:bottom w:val="none" w:sz="0" w:space="0" w:color="auto"/>
        <w:right w:val="none" w:sz="0" w:space="0" w:color="auto"/>
      </w:divBdr>
    </w:div>
    <w:div w:id="515384351">
      <w:bodyDiv w:val="1"/>
      <w:marLeft w:val="0"/>
      <w:marRight w:val="0"/>
      <w:marTop w:val="0"/>
      <w:marBottom w:val="0"/>
      <w:divBdr>
        <w:top w:val="none" w:sz="0" w:space="0" w:color="auto"/>
        <w:left w:val="none" w:sz="0" w:space="0" w:color="auto"/>
        <w:bottom w:val="none" w:sz="0" w:space="0" w:color="auto"/>
        <w:right w:val="none" w:sz="0" w:space="0" w:color="auto"/>
      </w:divBdr>
    </w:div>
    <w:div w:id="624891158">
      <w:bodyDiv w:val="1"/>
      <w:marLeft w:val="0"/>
      <w:marRight w:val="0"/>
      <w:marTop w:val="0"/>
      <w:marBottom w:val="0"/>
      <w:divBdr>
        <w:top w:val="none" w:sz="0" w:space="0" w:color="auto"/>
        <w:left w:val="none" w:sz="0" w:space="0" w:color="auto"/>
        <w:bottom w:val="none" w:sz="0" w:space="0" w:color="auto"/>
        <w:right w:val="none" w:sz="0" w:space="0" w:color="auto"/>
      </w:divBdr>
    </w:div>
    <w:div w:id="627124691">
      <w:bodyDiv w:val="1"/>
      <w:marLeft w:val="0"/>
      <w:marRight w:val="0"/>
      <w:marTop w:val="0"/>
      <w:marBottom w:val="0"/>
      <w:divBdr>
        <w:top w:val="none" w:sz="0" w:space="0" w:color="auto"/>
        <w:left w:val="none" w:sz="0" w:space="0" w:color="auto"/>
        <w:bottom w:val="none" w:sz="0" w:space="0" w:color="auto"/>
        <w:right w:val="none" w:sz="0" w:space="0" w:color="auto"/>
      </w:divBdr>
    </w:div>
    <w:div w:id="657920229">
      <w:bodyDiv w:val="1"/>
      <w:marLeft w:val="0"/>
      <w:marRight w:val="0"/>
      <w:marTop w:val="0"/>
      <w:marBottom w:val="0"/>
      <w:divBdr>
        <w:top w:val="none" w:sz="0" w:space="0" w:color="auto"/>
        <w:left w:val="none" w:sz="0" w:space="0" w:color="auto"/>
        <w:bottom w:val="none" w:sz="0" w:space="0" w:color="auto"/>
        <w:right w:val="none" w:sz="0" w:space="0" w:color="auto"/>
      </w:divBdr>
    </w:div>
    <w:div w:id="665597187">
      <w:bodyDiv w:val="1"/>
      <w:marLeft w:val="0"/>
      <w:marRight w:val="0"/>
      <w:marTop w:val="0"/>
      <w:marBottom w:val="0"/>
      <w:divBdr>
        <w:top w:val="none" w:sz="0" w:space="0" w:color="auto"/>
        <w:left w:val="none" w:sz="0" w:space="0" w:color="auto"/>
        <w:bottom w:val="none" w:sz="0" w:space="0" w:color="auto"/>
        <w:right w:val="none" w:sz="0" w:space="0" w:color="auto"/>
      </w:divBdr>
    </w:div>
    <w:div w:id="669332373">
      <w:bodyDiv w:val="1"/>
      <w:marLeft w:val="0"/>
      <w:marRight w:val="0"/>
      <w:marTop w:val="0"/>
      <w:marBottom w:val="0"/>
      <w:divBdr>
        <w:top w:val="none" w:sz="0" w:space="0" w:color="auto"/>
        <w:left w:val="none" w:sz="0" w:space="0" w:color="auto"/>
        <w:bottom w:val="none" w:sz="0" w:space="0" w:color="auto"/>
        <w:right w:val="none" w:sz="0" w:space="0" w:color="auto"/>
      </w:divBdr>
    </w:div>
    <w:div w:id="709569828">
      <w:bodyDiv w:val="1"/>
      <w:marLeft w:val="0"/>
      <w:marRight w:val="0"/>
      <w:marTop w:val="0"/>
      <w:marBottom w:val="0"/>
      <w:divBdr>
        <w:top w:val="none" w:sz="0" w:space="0" w:color="auto"/>
        <w:left w:val="none" w:sz="0" w:space="0" w:color="auto"/>
        <w:bottom w:val="none" w:sz="0" w:space="0" w:color="auto"/>
        <w:right w:val="none" w:sz="0" w:space="0" w:color="auto"/>
      </w:divBdr>
    </w:div>
    <w:div w:id="752706501">
      <w:bodyDiv w:val="1"/>
      <w:marLeft w:val="0"/>
      <w:marRight w:val="0"/>
      <w:marTop w:val="0"/>
      <w:marBottom w:val="0"/>
      <w:divBdr>
        <w:top w:val="none" w:sz="0" w:space="0" w:color="auto"/>
        <w:left w:val="none" w:sz="0" w:space="0" w:color="auto"/>
        <w:bottom w:val="none" w:sz="0" w:space="0" w:color="auto"/>
        <w:right w:val="none" w:sz="0" w:space="0" w:color="auto"/>
      </w:divBdr>
    </w:div>
    <w:div w:id="823400820">
      <w:bodyDiv w:val="1"/>
      <w:marLeft w:val="0"/>
      <w:marRight w:val="0"/>
      <w:marTop w:val="0"/>
      <w:marBottom w:val="0"/>
      <w:divBdr>
        <w:top w:val="none" w:sz="0" w:space="0" w:color="auto"/>
        <w:left w:val="none" w:sz="0" w:space="0" w:color="auto"/>
        <w:bottom w:val="none" w:sz="0" w:space="0" w:color="auto"/>
        <w:right w:val="none" w:sz="0" w:space="0" w:color="auto"/>
      </w:divBdr>
    </w:div>
    <w:div w:id="859782865">
      <w:bodyDiv w:val="1"/>
      <w:marLeft w:val="0"/>
      <w:marRight w:val="0"/>
      <w:marTop w:val="0"/>
      <w:marBottom w:val="0"/>
      <w:divBdr>
        <w:top w:val="none" w:sz="0" w:space="0" w:color="auto"/>
        <w:left w:val="none" w:sz="0" w:space="0" w:color="auto"/>
        <w:bottom w:val="none" w:sz="0" w:space="0" w:color="auto"/>
        <w:right w:val="none" w:sz="0" w:space="0" w:color="auto"/>
      </w:divBdr>
    </w:div>
    <w:div w:id="893808291">
      <w:bodyDiv w:val="1"/>
      <w:marLeft w:val="0"/>
      <w:marRight w:val="0"/>
      <w:marTop w:val="0"/>
      <w:marBottom w:val="0"/>
      <w:divBdr>
        <w:top w:val="none" w:sz="0" w:space="0" w:color="auto"/>
        <w:left w:val="none" w:sz="0" w:space="0" w:color="auto"/>
        <w:bottom w:val="none" w:sz="0" w:space="0" w:color="auto"/>
        <w:right w:val="none" w:sz="0" w:space="0" w:color="auto"/>
      </w:divBdr>
    </w:div>
    <w:div w:id="906956224">
      <w:bodyDiv w:val="1"/>
      <w:marLeft w:val="0"/>
      <w:marRight w:val="0"/>
      <w:marTop w:val="0"/>
      <w:marBottom w:val="0"/>
      <w:divBdr>
        <w:top w:val="none" w:sz="0" w:space="0" w:color="auto"/>
        <w:left w:val="none" w:sz="0" w:space="0" w:color="auto"/>
        <w:bottom w:val="none" w:sz="0" w:space="0" w:color="auto"/>
        <w:right w:val="none" w:sz="0" w:space="0" w:color="auto"/>
      </w:divBdr>
    </w:div>
    <w:div w:id="921261751">
      <w:bodyDiv w:val="1"/>
      <w:marLeft w:val="0"/>
      <w:marRight w:val="0"/>
      <w:marTop w:val="0"/>
      <w:marBottom w:val="0"/>
      <w:divBdr>
        <w:top w:val="none" w:sz="0" w:space="0" w:color="auto"/>
        <w:left w:val="none" w:sz="0" w:space="0" w:color="auto"/>
        <w:bottom w:val="none" w:sz="0" w:space="0" w:color="auto"/>
        <w:right w:val="none" w:sz="0" w:space="0" w:color="auto"/>
      </w:divBdr>
    </w:div>
    <w:div w:id="931664524">
      <w:bodyDiv w:val="1"/>
      <w:marLeft w:val="0"/>
      <w:marRight w:val="0"/>
      <w:marTop w:val="0"/>
      <w:marBottom w:val="0"/>
      <w:divBdr>
        <w:top w:val="none" w:sz="0" w:space="0" w:color="auto"/>
        <w:left w:val="none" w:sz="0" w:space="0" w:color="auto"/>
        <w:bottom w:val="none" w:sz="0" w:space="0" w:color="auto"/>
        <w:right w:val="none" w:sz="0" w:space="0" w:color="auto"/>
      </w:divBdr>
    </w:div>
    <w:div w:id="975793566">
      <w:bodyDiv w:val="1"/>
      <w:marLeft w:val="0"/>
      <w:marRight w:val="0"/>
      <w:marTop w:val="0"/>
      <w:marBottom w:val="0"/>
      <w:divBdr>
        <w:top w:val="none" w:sz="0" w:space="0" w:color="auto"/>
        <w:left w:val="none" w:sz="0" w:space="0" w:color="auto"/>
        <w:bottom w:val="none" w:sz="0" w:space="0" w:color="auto"/>
        <w:right w:val="none" w:sz="0" w:space="0" w:color="auto"/>
      </w:divBdr>
    </w:div>
    <w:div w:id="1008602624">
      <w:bodyDiv w:val="1"/>
      <w:marLeft w:val="0"/>
      <w:marRight w:val="0"/>
      <w:marTop w:val="0"/>
      <w:marBottom w:val="0"/>
      <w:divBdr>
        <w:top w:val="none" w:sz="0" w:space="0" w:color="auto"/>
        <w:left w:val="none" w:sz="0" w:space="0" w:color="auto"/>
        <w:bottom w:val="none" w:sz="0" w:space="0" w:color="auto"/>
        <w:right w:val="none" w:sz="0" w:space="0" w:color="auto"/>
      </w:divBdr>
    </w:div>
    <w:div w:id="1012806413">
      <w:bodyDiv w:val="1"/>
      <w:marLeft w:val="0"/>
      <w:marRight w:val="0"/>
      <w:marTop w:val="0"/>
      <w:marBottom w:val="0"/>
      <w:divBdr>
        <w:top w:val="none" w:sz="0" w:space="0" w:color="auto"/>
        <w:left w:val="none" w:sz="0" w:space="0" w:color="auto"/>
        <w:bottom w:val="none" w:sz="0" w:space="0" w:color="auto"/>
        <w:right w:val="none" w:sz="0" w:space="0" w:color="auto"/>
      </w:divBdr>
    </w:div>
    <w:div w:id="1040787363">
      <w:bodyDiv w:val="1"/>
      <w:marLeft w:val="0"/>
      <w:marRight w:val="0"/>
      <w:marTop w:val="0"/>
      <w:marBottom w:val="0"/>
      <w:divBdr>
        <w:top w:val="none" w:sz="0" w:space="0" w:color="auto"/>
        <w:left w:val="none" w:sz="0" w:space="0" w:color="auto"/>
        <w:bottom w:val="none" w:sz="0" w:space="0" w:color="auto"/>
        <w:right w:val="none" w:sz="0" w:space="0" w:color="auto"/>
      </w:divBdr>
    </w:div>
    <w:div w:id="1101681319">
      <w:bodyDiv w:val="1"/>
      <w:marLeft w:val="0"/>
      <w:marRight w:val="0"/>
      <w:marTop w:val="0"/>
      <w:marBottom w:val="0"/>
      <w:divBdr>
        <w:top w:val="none" w:sz="0" w:space="0" w:color="auto"/>
        <w:left w:val="none" w:sz="0" w:space="0" w:color="auto"/>
        <w:bottom w:val="none" w:sz="0" w:space="0" w:color="auto"/>
        <w:right w:val="none" w:sz="0" w:space="0" w:color="auto"/>
      </w:divBdr>
    </w:div>
    <w:div w:id="1140925372">
      <w:bodyDiv w:val="1"/>
      <w:marLeft w:val="0"/>
      <w:marRight w:val="0"/>
      <w:marTop w:val="0"/>
      <w:marBottom w:val="0"/>
      <w:divBdr>
        <w:top w:val="none" w:sz="0" w:space="0" w:color="auto"/>
        <w:left w:val="none" w:sz="0" w:space="0" w:color="auto"/>
        <w:bottom w:val="none" w:sz="0" w:space="0" w:color="auto"/>
        <w:right w:val="none" w:sz="0" w:space="0" w:color="auto"/>
      </w:divBdr>
    </w:div>
    <w:div w:id="1159611574">
      <w:bodyDiv w:val="1"/>
      <w:marLeft w:val="0"/>
      <w:marRight w:val="0"/>
      <w:marTop w:val="0"/>
      <w:marBottom w:val="0"/>
      <w:divBdr>
        <w:top w:val="none" w:sz="0" w:space="0" w:color="auto"/>
        <w:left w:val="none" w:sz="0" w:space="0" w:color="auto"/>
        <w:bottom w:val="none" w:sz="0" w:space="0" w:color="auto"/>
        <w:right w:val="none" w:sz="0" w:space="0" w:color="auto"/>
      </w:divBdr>
    </w:div>
    <w:div w:id="1221866825">
      <w:bodyDiv w:val="1"/>
      <w:marLeft w:val="0"/>
      <w:marRight w:val="0"/>
      <w:marTop w:val="0"/>
      <w:marBottom w:val="0"/>
      <w:divBdr>
        <w:top w:val="none" w:sz="0" w:space="0" w:color="auto"/>
        <w:left w:val="none" w:sz="0" w:space="0" w:color="auto"/>
        <w:bottom w:val="none" w:sz="0" w:space="0" w:color="auto"/>
        <w:right w:val="none" w:sz="0" w:space="0" w:color="auto"/>
      </w:divBdr>
    </w:div>
    <w:div w:id="1254166278">
      <w:bodyDiv w:val="1"/>
      <w:marLeft w:val="0"/>
      <w:marRight w:val="0"/>
      <w:marTop w:val="0"/>
      <w:marBottom w:val="0"/>
      <w:divBdr>
        <w:top w:val="none" w:sz="0" w:space="0" w:color="auto"/>
        <w:left w:val="none" w:sz="0" w:space="0" w:color="auto"/>
        <w:bottom w:val="none" w:sz="0" w:space="0" w:color="auto"/>
        <w:right w:val="none" w:sz="0" w:space="0" w:color="auto"/>
      </w:divBdr>
    </w:div>
    <w:div w:id="1272972304">
      <w:bodyDiv w:val="1"/>
      <w:marLeft w:val="0"/>
      <w:marRight w:val="0"/>
      <w:marTop w:val="0"/>
      <w:marBottom w:val="0"/>
      <w:divBdr>
        <w:top w:val="none" w:sz="0" w:space="0" w:color="auto"/>
        <w:left w:val="none" w:sz="0" w:space="0" w:color="auto"/>
        <w:bottom w:val="none" w:sz="0" w:space="0" w:color="auto"/>
        <w:right w:val="none" w:sz="0" w:space="0" w:color="auto"/>
      </w:divBdr>
    </w:div>
    <w:div w:id="1283415181">
      <w:bodyDiv w:val="1"/>
      <w:marLeft w:val="0"/>
      <w:marRight w:val="0"/>
      <w:marTop w:val="0"/>
      <w:marBottom w:val="0"/>
      <w:divBdr>
        <w:top w:val="none" w:sz="0" w:space="0" w:color="auto"/>
        <w:left w:val="none" w:sz="0" w:space="0" w:color="auto"/>
        <w:bottom w:val="none" w:sz="0" w:space="0" w:color="auto"/>
        <w:right w:val="none" w:sz="0" w:space="0" w:color="auto"/>
      </w:divBdr>
    </w:div>
    <w:div w:id="1288320872">
      <w:bodyDiv w:val="1"/>
      <w:marLeft w:val="0"/>
      <w:marRight w:val="0"/>
      <w:marTop w:val="0"/>
      <w:marBottom w:val="0"/>
      <w:divBdr>
        <w:top w:val="none" w:sz="0" w:space="0" w:color="auto"/>
        <w:left w:val="none" w:sz="0" w:space="0" w:color="auto"/>
        <w:bottom w:val="none" w:sz="0" w:space="0" w:color="auto"/>
        <w:right w:val="none" w:sz="0" w:space="0" w:color="auto"/>
      </w:divBdr>
    </w:div>
    <w:div w:id="1288389191">
      <w:bodyDiv w:val="1"/>
      <w:marLeft w:val="0"/>
      <w:marRight w:val="0"/>
      <w:marTop w:val="0"/>
      <w:marBottom w:val="0"/>
      <w:divBdr>
        <w:top w:val="none" w:sz="0" w:space="0" w:color="auto"/>
        <w:left w:val="none" w:sz="0" w:space="0" w:color="auto"/>
        <w:bottom w:val="none" w:sz="0" w:space="0" w:color="auto"/>
        <w:right w:val="none" w:sz="0" w:space="0" w:color="auto"/>
      </w:divBdr>
    </w:div>
    <w:div w:id="1297570248">
      <w:bodyDiv w:val="1"/>
      <w:marLeft w:val="0"/>
      <w:marRight w:val="0"/>
      <w:marTop w:val="0"/>
      <w:marBottom w:val="0"/>
      <w:divBdr>
        <w:top w:val="none" w:sz="0" w:space="0" w:color="auto"/>
        <w:left w:val="none" w:sz="0" w:space="0" w:color="auto"/>
        <w:bottom w:val="none" w:sz="0" w:space="0" w:color="auto"/>
        <w:right w:val="none" w:sz="0" w:space="0" w:color="auto"/>
      </w:divBdr>
    </w:div>
    <w:div w:id="1307322897">
      <w:bodyDiv w:val="1"/>
      <w:marLeft w:val="0"/>
      <w:marRight w:val="0"/>
      <w:marTop w:val="0"/>
      <w:marBottom w:val="0"/>
      <w:divBdr>
        <w:top w:val="none" w:sz="0" w:space="0" w:color="auto"/>
        <w:left w:val="none" w:sz="0" w:space="0" w:color="auto"/>
        <w:bottom w:val="none" w:sz="0" w:space="0" w:color="auto"/>
        <w:right w:val="none" w:sz="0" w:space="0" w:color="auto"/>
      </w:divBdr>
    </w:div>
    <w:div w:id="1311326864">
      <w:bodyDiv w:val="1"/>
      <w:marLeft w:val="0"/>
      <w:marRight w:val="0"/>
      <w:marTop w:val="0"/>
      <w:marBottom w:val="0"/>
      <w:divBdr>
        <w:top w:val="none" w:sz="0" w:space="0" w:color="auto"/>
        <w:left w:val="none" w:sz="0" w:space="0" w:color="auto"/>
        <w:bottom w:val="none" w:sz="0" w:space="0" w:color="auto"/>
        <w:right w:val="none" w:sz="0" w:space="0" w:color="auto"/>
      </w:divBdr>
    </w:div>
    <w:div w:id="1341810655">
      <w:bodyDiv w:val="1"/>
      <w:marLeft w:val="0"/>
      <w:marRight w:val="0"/>
      <w:marTop w:val="0"/>
      <w:marBottom w:val="0"/>
      <w:divBdr>
        <w:top w:val="none" w:sz="0" w:space="0" w:color="auto"/>
        <w:left w:val="none" w:sz="0" w:space="0" w:color="auto"/>
        <w:bottom w:val="none" w:sz="0" w:space="0" w:color="auto"/>
        <w:right w:val="none" w:sz="0" w:space="0" w:color="auto"/>
      </w:divBdr>
    </w:div>
    <w:div w:id="1405562978">
      <w:bodyDiv w:val="1"/>
      <w:marLeft w:val="0"/>
      <w:marRight w:val="0"/>
      <w:marTop w:val="0"/>
      <w:marBottom w:val="0"/>
      <w:divBdr>
        <w:top w:val="none" w:sz="0" w:space="0" w:color="auto"/>
        <w:left w:val="none" w:sz="0" w:space="0" w:color="auto"/>
        <w:bottom w:val="none" w:sz="0" w:space="0" w:color="auto"/>
        <w:right w:val="none" w:sz="0" w:space="0" w:color="auto"/>
      </w:divBdr>
    </w:div>
    <w:div w:id="1413235515">
      <w:bodyDiv w:val="1"/>
      <w:marLeft w:val="0"/>
      <w:marRight w:val="0"/>
      <w:marTop w:val="0"/>
      <w:marBottom w:val="0"/>
      <w:divBdr>
        <w:top w:val="none" w:sz="0" w:space="0" w:color="auto"/>
        <w:left w:val="none" w:sz="0" w:space="0" w:color="auto"/>
        <w:bottom w:val="none" w:sz="0" w:space="0" w:color="auto"/>
        <w:right w:val="none" w:sz="0" w:space="0" w:color="auto"/>
      </w:divBdr>
    </w:div>
    <w:div w:id="1449006435">
      <w:bodyDiv w:val="1"/>
      <w:marLeft w:val="0"/>
      <w:marRight w:val="0"/>
      <w:marTop w:val="0"/>
      <w:marBottom w:val="0"/>
      <w:divBdr>
        <w:top w:val="none" w:sz="0" w:space="0" w:color="auto"/>
        <w:left w:val="none" w:sz="0" w:space="0" w:color="auto"/>
        <w:bottom w:val="none" w:sz="0" w:space="0" w:color="auto"/>
        <w:right w:val="none" w:sz="0" w:space="0" w:color="auto"/>
      </w:divBdr>
    </w:div>
    <w:div w:id="1456174768">
      <w:bodyDiv w:val="1"/>
      <w:marLeft w:val="0"/>
      <w:marRight w:val="0"/>
      <w:marTop w:val="0"/>
      <w:marBottom w:val="0"/>
      <w:divBdr>
        <w:top w:val="none" w:sz="0" w:space="0" w:color="auto"/>
        <w:left w:val="none" w:sz="0" w:space="0" w:color="auto"/>
        <w:bottom w:val="none" w:sz="0" w:space="0" w:color="auto"/>
        <w:right w:val="none" w:sz="0" w:space="0" w:color="auto"/>
      </w:divBdr>
    </w:div>
    <w:div w:id="1484615299">
      <w:bodyDiv w:val="1"/>
      <w:marLeft w:val="0"/>
      <w:marRight w:val="0"/>
      <w:marTop w:val="0"/>
      <w:marBottom w:val="0"/>
      <w:divBdr>
        <w:top w:val="none" w:sz="0" w:space="0" w:color="auto"/>
        <w:left w:val="none" w:sz="0" w:space="0" w:color="auto"/>
        <w:bottom w:val="none" w:sz="0" w:space="0" w:color="auto"/>
        <w:right w:val="none" w:sz="0" w:space="0" w:color="auto"/>
      </w:divBdr>
    </w:div>
    <w:div w:id="1489596434">
      <w:bodyDiv w:val="1"/>
      <w:marLeft w:val="0"/>
      <w:marRight w:val="0"/>
      <w:marTop w:val="0"/>
      <w:marBottom w:val="0"/>
      <w:divBdr>
        <w:top w:val="none" w:sz="0" w:space="0" w:color="auto"/>
        <w:left w:val="none" w:sz="0" w:space="0" w:color="auto"/>
        <w:bottom w:val="none" w:sz="0" w:space="0" w:color="auto"/>
        <w:right w:val="none" w:sz="0" w:space="0" w:color="auto"/>
      </w:divBdr>
    </w:div>
    <w:div w:id="1861891162">
      <w:bodyDiv w:val="1"/>
      <w:marLeft w:val="0"/>
      <w:marRight w:val="0"/>
      <w:marTop w:val="0"/>
      <w:marBottom w:val="0"/>
      <w:divBdr>
        <w:top w:val="none" w:sz="0" w:space="0" w:color="auto"/>
        <w:left w:val="none" w:sz="0" w:space="0" w:color="auto"/>
        <w:bottom w:val="none" w:sz="0" w:space="0" w:color="auto"/>
        <w:right w:val="none" w:sz="0" w:space="0" w:color="auto"/>
      </w:divBdr>
      <w:divsChild>
        <w:div w:id="85677447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19148265">
              <w:blockQuote w:val="1"/>
              <w:marLeft w:val="480"/>
              <w:marRight w:val="0"/>
              <w:marTop w:val="120"/>
              <w:marBottom w:val="120"/>
              <w:divBdr>
                <w:top w:val="none" w:sz="0" w:space="0" w:color="auto"/>
                <w:left w:val="none" w:sz="0" w:space="0" w:color="auto"/>
                <w:bottom w:val="none" w:sz="0" w:space="0" w:color="auto"/>
                <w:right w:val="none" w:sz="0" w:space="0" w:color="auto"/>
              </w:divBdr>
            </w:div>
            <w:div w:id="445807919">
              <w:blockQuote w:val="1"/>
              <w:marLeft w:val="480"/>
              <w:marRight w:val="0"/>
              <w:marTop w:val="120"/>
              <w:marBottom w:val="120"/>
              <w:divBdr>
                <w:top w:val="none" w:sz="0" w:space="0" w:color="auto"/>
                <w:left w:val="none" w:sz="0" w:space="0" w:color="auto"/>
                <w:bottom w:val="none" w:sz="0" w:space="0" w:color="auto"/>
                <w:right w:val="none" w:sz="0" w:space="0" w:color="auto"/>
              </w:divBdr>
            </w:div>
            <w:div w:id="455835139">
              <w:blockQuote w:val="1"/>
              <w:marLeft w:val="480"/>
              <w:marRight w:val="0"/>
              <w:marTop w:val="120"/>
              <w:marBottom w:val="120"/>
              <w:divBdr>
                <w:top w:val="none" w:sz="0" w:space="0" w:color="auto"/>
                <w:left w:val="none" w:sz="0" w:space="0" w:color="auto"/>
                <w:bottom w:val="none" w:sz="0" w:space="0" w:color="auto"/>
                <w:right w:val="none" w:sz="0" w:space="0" w:color="auto"/>
              </w:divBdr>
              <w:divsChild>
                <w:div w:id="514419143">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 w:id="1652513648">
              <w:blockQuote w:val="1"/>
              <w:marLeft w:val="480"/>
              <w:marRight w:val="0"/>
              <w:marTop w:val="120"/>
              <w:marBottom w:val="120"/>
              <w:divBdr>
                <w:top w:val="none" w:sz="0" w:space="0" w:color="auto"/>
                <w:left w:val="none" w:sz="0" w:space="0" w:color="auto"/>
                <w:bottom w:val="none" w:sz="0" w:space="0" w:color="auto"/>
                <w:right w:val="none" w:sz="0" w:space="0" w:color="auto"/>
              </w:divBdr>
              <w:divsChild>
                <w:div w:id="1783913921">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 w:id="1761950779">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sChild>
    </w:div>
    <w:div w:id="1941982867">
      <w:bodyDiv w:val="1"/>
      <w:marLeft w:val="0"/>
      <w:marRight w:val="0"/>
      <w:marTop w:val="0"/>
      <w:marBottom w:val="0"/>
      <w:divBdr>
        <w:top w:val="none" w:sz="0" w:space="0" w:color="auto"/>
        <w:left w:val="none" w:sz="0" w:space="0" w:color="auto"/>
        <w:bottom w:val="none" w:sz="0" w:space="0" w:color="auto"/>
        <w:right w:val="none" w:sz="0" w:space="0" w:color="auto"/>
      </w:divBdr>
    </w:div>
    <w:div w:id="2003269818">
      <w:bodyDiv w:val="1"/>
      <w:marLeft w:val="0"/>
      <w:marRight w:val="0"/>
      <w:marTop w:val="0"/>
      <w:marBottom w:val="0"/>
      <w:divBdr>
        <w:top w:val="none" w:sz="0" w:space="0" w:color="auto"/>
        <w:left w:val="none" w:sz="0" w:space="0" w:color="auto"/>
        <w:bottom w:val="none" w:sz="0" w:space="0" w:color="auto"/>
        <w:right w:val="none" w:sz="0" w:space="0" w:color="auto"/>
      </w:divBdr>
    </w:div>
    <w:div w:id="2004315815">
      <w:bodyDiv w:val="1"/>
      <w:marLeft w:val="0"/>
      <w:marRight w:val="0"/>
      <w:marTop w:val="0"/>
      <w:marBottom w:val="0"/>
      <w:divBdr>
        <w:top w:val="none" w:sz="0" w:space="0" w:color="auto"/>
        <w:left w:val="none" w:sz="0" w:space="0" w:color="auto"/>
        <w:bottom w:val="none" w:sz="0" w:space="0" w:color="auto"/>
        <w:right w:val="none" w:sz="0" w:space="0" w:color="auto"/>
      </w:divBdr>
    </w:div>
    <w:div w:id="200462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parliament.act.gov.au/parliamentary-business/in-committees/committees/JCS_Scrutiny/responses-to-comments-on-bills"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s>
</file>

<file path=word/_rels/footnotes.xml.rels><?xml version="1.0" encoding="UTF-8" standalone="yes"?>
<Relationships xmlns="http://schemas.openxmlformats.org/package/2006/relationships"><Relationship Id="rId2" Type="http://schemas.openxmlformats.org/officeDocument/2006/relationships/hyperlink" Target="https://www.parliament.act.gov.au/parliamentary-business/in-committees/committees/JCS_Scrutiny/responses-to-comments-on-bills" TargetMode="External"/><Relationship Id="rId1" Type="http://schemas.openxmlformats.org/officeDocument/2006/relationships/hyperlink" Target="https://www.parliament.act.gov.au/__data/assets/pdf_file/0009/1762587/Statutory-Review-of-the-Terrorism-Extraordinary-Temporary-Powers-Act-20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E5B0B-D405-4F95-84A1-A56830AF9D1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2B5F615-2F68-4E78-A087-8FBECF60A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18</Pages>
  <Words>5995</Words>
  <Characters>32194</Characters>
  <Application>Microsoft Office Word</Application>
  <DocSecurity>0</DocSecurity>
  <Lines>2682</Lines>
  <Paragraphs>1231</Paragraphs>
  <ScaleCrop>false</ScaleCrop>
  <HeadingPairs>
    <vt:vector size="2" baseType="variant">
      <vt:variant>
        <vt:lpstr>Title</vt:lpstr>
      </vt:variant>
      <vt:variant>
        <vt:i4>1</vt:i4>
      </vt:variant>
    </vt:vector>
  </HeadingPairs>
  <TitlesOfParts>
    <vt:vector size="1" baseType="lpstr">
      <vt:lpstr>Scrutiny Report 14—29 March 2022</vt:lpstr>
    </vt:vector>
  </TitlesOfParts>
  <Company/>
  <LinksUpToDate>false</LinksUpToDate>
  <CharactersWithSpaces>36958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Scrutiny Report 14—29 March 2022</dc:title>
  <dc:subject/>
  <dc:creator>Shannon, Anne</dc:creator>
  <cp:keywords/>
  <dc:description/>
  <cp:lastModifiedBy>Scott, Frieda</cp:lastModifiedBy>
  <cp:revision>11</cp:revision>
  <cp:lastPrinted>2022-05-16T05:39:00Z</cp:lastPrinted>
  <dcterms:created xsi:type="dcterms:W3CDTF">2022-05-16T00:20:00Z</dcterms:created>
  <dcterms:modified xsi:type="dcterms:W3CDTF">2022-05-19T07:33:00Z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b5416023-e907-4e5c-94a6-d4a6d91d63bb</vt:lpwstr>
  </property>
  <property fmtid="{D5CDD505-2E9C-101B-9397-08002B2CF9AE}" pid="3" name="bjSaver">
    <vt:lpwstr>ZwE+/ToLrPDfvyrx1nh9MyjXnSm5Wksu</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