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9738F" w14:textId="77777777" w:rsidR="00AD7D31" w:rsidRPr="00A031A0" w:rsidRDefault="00AD7D31" w:rsidP="008D37E0">
      <w:pPr>
        <w:pStyle w:val="Header"/>
        <w:tabs>
          <w:tab w:val="clear" w:pos="9026"/>
          <w:tab w:val="left" w:pos="7245"/>
        </w:tabs>
        <w:rPr>
          <w:sz w:val="24"/>
          <w:szCs w:val="24"/>
          <w:lang w:val="en-US"/>
        </w:rPr>
      </w:pPr>
      <w:bookmarkStart w:id="0" w:name="_GoBack"/>
      <w:bookmarkEnd w:id="0"/>
      <w:r w:rsidRPr="00A031A0">
        <w:rPr>
          <w:sz w:val="24"/>
          <w:szCs w:val="24"/>
          <w:lang w:val="en-US"/>
        </w:rPr>
        <w:tab/>
      </w:r>
      <w:r w:rsidR="001450DC">
        <w:rPr>
          <w:sz w:val="24"/>
          <w:szCs w:val="24"/>
          <w:lang w:val="en-US"/>
        </w:rPr>
        <w:tab/>
      </w:r>
      <w:r w:rsidRPr="00A031A0">
        <w:rPr>
          <w:sz w:val="24"/>
          <w:szCs w:val="24"/>
          <w:lang w:val="en-US"/>
        </w:rPr>
        <w:tab/>
      </w:r>
    </w:p>
    <w:p w14:paraId="44FD2F20" w14:textId="346E03DF" w:rsidR="00AD7D31" w:rsidRDefault="00AD7D31" w:rsidP="00AD7D31">
      <w:pPr>
        <w:spacing w:after="0" w:line="240" w:lineRule="auto"/>
        <w:rPr>
          <w:sz w:val="24"/>
          <w:szCs w:val="24"/>
        </w:rPr>
      </w:pPr>
    </w:p>
    <w:p w14:paraId="7B975F5E" w14:textId="260F1D33" w:rsidR="00203822" w:rsidRDefault="00203822" w:rsidP="00AD7D31">
      <w:pPr>
        <w:spacing w:after="0" w:line="240" w:lineRule="auto"/>
        <w:rPr>
          <w:sz w:val="24"/>
          <w:szCs w:val="24"/>
        </w:rPr>
      </w:pPr>
      <w:r>
        <w:rPr>
          <w:sz w:val="24"/>
          <w:szCs w:val="24"/>
        </w:rPr>
        <w:t>Mr Jeremy Hanson CSC MLA</w:t>
      </w:r>
    </w:p>
    <w:p w14:paraId="2CDFF310" w14:textId="7DF951B9" w:rsidR="00203822" w:rsidRDefault="00203822" w:rsidP="00AD7D31">
      <w:pPr>
        <w:spacing w:after="0" w:line="240" w:lineRule="auto"/>
        <w:rPr>
          <w:sz w:val="24"/>
          <w:szCs w:val="24"/>
        </w:rPr>
      </w:pPr>
      <w:r>
        <w:rPr>
          <w:sz w:val="24"/>
          <w:szCs w:val="24"/>
        </w:rPr>
        <w:t>Chair</w:t>
      </w:r>
    </w:p>
    <w:p w14:paraId="60C1291B" w14:textId="52558668" w:rsidR="00203822" w:rsidRDefault="00203822" w:rsidP="00AD7D31">
      <w:pPr>
        <w:spacing w:after="0" w:line="240" w:lineRule="auto"/>
        <w:rPr>
          <w:sz w:val="24"/>
          <w:szCs w:val="24"/>
        </w:rPr>
      </w:pPr>
      <w:r>
        <w:rPr>
          <w:sz w:val="24"/>
          <w:szCs w:val="24"/>
        </w:rPr>
        <w:t>Justice and Community Safety Committee (Legislative Scrutiny)</w:t>
      </w:r>
    </w:p>
    <w:p w14:paraId="36122903" w14:textId="775E8826" w:rsidR="00203822" w:rsidRDefault="00203822" w:rsidP="00AD7D31">
      <w:pPr>
        <w:spacing w:after="0" w:line="240" w:lineRule="auto"/>
        <w:rPr>
          <w:sz w:val="24"/>
          <w:szCs w:val="24"/>
        </w:rPr>
      </w:pPr>
      <w:r>
        <w:rPr>
          <w:sz w:val="24"/>
          <w:szCs w:val="24"/>
        </w:rPr>
        <w:t>ACT Legislative Assembly</w:t>
      </w:r>
    </w:p>
    <w:p w14:paraId="009A045B" w14:textId="409AF626" w:rsidR="00203822" w:rsidRDefault="00203822" w:rsidP="00AD7D31">
      <w:pPr>
        <w:spacing w:after="0" w:line="240" w:lineRule="auto"/>
        <w:rPr>
          <w:sz w:val="24"/>
          <w:szCs w:val="24"/>
        </w:rPr>
      </w:pPr>
      <w:r>
        <w:rPr>
          <w:sz w:val="24"/>
          <w:szCs w:val="24"/>
        </w:rPr>
        <w:t>London Circuit</w:t>
      </w:r>
    </w:p>
    <w:p w14:paraId="13E1EFCA" w14:textId="6F78D47A" w:rsidR="00203822" w:rsidRPr="00A031A0" w:rsidRDefault="00203822" w:rsidP="00AD7D31">
      <w:pPr>
        <w:spacing w:after="0" w:line="240" w:lineRule="auto"/>
        <w:rPr>
          <w:sz w:val="24"/>
          <w:szCs w:val="24"/>
        </w:rPr>
      </w:pPr>
      <w:r>
        <w:rPr>
          <w:sz w:val="24"/>
          <w:szCs w:val="24"/>
        </w:rPr>
        <w:t>CANBERRA  ACT  2600</w:t>
      </w:r>
    </w:p>
    <w:p w14:paraId="1DED24B3" w14:textId="21ADE860" w:rsidR="00B91F55" w:rsidRDefault="00B91F55" w:rsidP="00AD7D31">
      <w:pPr>
        <w:spacing w:after="0" w:line="240" w:lineRule="auto"/>
        <w:rPr>
          <w:sz w:val="24"/>
          <w:szCs w:val="24"/>
        </w:rPr>
      </w:pPr>
    </w:p>
    <w:p w14:paraId="27B87ECA" w14:textId="77777777" w:rsidR="00B261DC" w:rsidRPr="00A031A0" w:rsidRDefault="00B261DC" w:rsidP="00AD7D31">
      <w:pPr>
        <w:spacing w:after="0" w:line="240" w:lineRule="auto"/>
        <w:rPr>
          <w:sz w:val="24"/>
          <w:szCs w:val="24"/>
        </w:rPr>
      </w:pPr>
    </w:p>
    <w:p w14:paraId="17F08A36" w14:textId="4D3BD559" w:rsidR="00203822" w:rsidRDefault="00AD7D31" w:rsidP="00AD7D31">
      <w:pPr>
        <w:spacing w:after="0" w:line="240" w:lineRule="auto"/>
        <w:rPr>
          <w:sz w:val="24"/>
          <w:szCs w:val="24"/>
          <w:lang w:val="en-US"/>
        </w:rPr>
      </w:pPr>
      <w:r w:rsidRPr="00A031A0">
        <w:rPr>
          <w:sz w:val="24"/>
          <w:szCs w:val="24"/>
          <w:lang w:val="en-US"/>
        </w:rPr>
        <w:t>Dear</w:t>
      </w:r>
      <w:r w:rsidR="00203822">
        <w:rPr>
          <w:sz w:val="24"/>
          <w:szCs w:val="24"/>
          <w:lang w:val="en-US"/>
        </w:rPr>
        <w:t xml:space="preserve"> </w:t>
      </w:r>
      <w:r w:rsidR="000278AD">
        <w:rPr>
          <w:sz w:val="24"/>
          <w:szCs w:val="24"/>
          <w:lang w:val="en-US"/>
        </w:rPr>
        <w:t>Chair</w:t>
      </w:r>
    </w:p>
    <w:p w14:paraId="5E8D19C1" w14:textId="77777777" w:rsidR="00203822" w:rsidRDefault="00203822" w:rsidP="00AD7D31">
      <w:pPr>
        <w:spacing w:after="0" w:line="240" w:lineRule="auto"/>
        <w:rPr>
          <w:sz w:val="24"/>
          <w:szCs w:val="24"/>
          <w:lang w:val="en-US"/>
        </w:rPr>
      </w:pPr>
    </w:p>
    <w:p w14:paraId="09828B70" w14:textId="0B7E37FE" w:rsidR="00D20548" w:rsidRDefault="00110A75" w:rsidP="007B6D6D">
      <w:pPr>
        <w:rPr>
          <w:sz w:val="24"/>
          <w:szCs w:val="24"/>
          <w:lang w:val="en-US"/>
        </w:rPr>
      </w:pPr>
      <w:r w:rsidRPr="00110A75">
        <w:rPr>
          <w:sz w:val="24"/>
          <w:szCs w:val="24"/>
          <w:lang w:val="en-US"/>
        </w:rPr>
        <w:t xml:space="preserve">Thank you for Scrutiny of Bills Report No. </w:t>
      </w:r>
      <w:r w:rsidR="00D20548">
        <w:rPr>
          <w:sz w:val="24"/>
          <w:szCs w:val="24"/>
          <w:lang w:val="en-US"/>
        </w:rPr>
        <w:t>4</w:t>
      </w:r>
      <w:r w:rsidRPr="00110A75">
        <w:rPr>
          <w:sz w:val="24"/>
          <w:szCs w:val="24"/>
          <w:lang w:val="en-US"/>
        </w:rPr>
        <w:t xml:space="preserve"> of </w:t>
      </w:r>
      <w:r w:rsidR="00D20548">
        <w:rPr>
          <w:sz w:val="24"/>
          <w:szCs w:val="24"/>
          <w:lang w:val="en-US"/>
        </w:rPr>
        <w:t>4 May</w:t>
      </w:r>
      <w:r>
        <w:rPr>
          <w:sz w:val="24"/>
          <w:szCs w:val="24"/>
          <w:lang w:val="en-US"/>
        </w:rPr>
        <w:t xml:space="preserve"> 2021</w:t>
      </w:r>
      <w:r w:rsidRPr="00110A75">
        <w:rPr>
          <w:sz w:val="24"/>
          <w:szCs w:val="24"/>
          <w:lang w:val="en-US"/>
        </w:rPr>
        <w:t xml:space="preserve">. I offer the following response to the Committee’s comments on the </w:t>
      </w:r>
      <w:r w:rsidR="00D20548" w:rsidRPr="001F3B59">
        <w:rPr>
          <w:i/>
          <w:iCs/>
          <w:sz w:val="24"/>
          <w:szCs w:val="24"/>
          <w:lang w:val="en-US"/>
        </w:rPr>
        <w:t>Courts and Other Justice Legislation Amendment Bill 2021</w:t>
      </w:r>
      <w:r w:rsidR="001F3B59">
        <w:rPr>
          <w:sz w:val="24"/>
          <w:szCs w:val="24"/>
          <w:lang w:val="en-US"/>
        </w:rPr>
        <w:t xml:space="preserve"> (the Bill)</w:t>
      </w:r>
      <w:r w:rsidR="00D20548">
        <w:rPr>
          <w:sz w:val="24"/>
          <w:szCs w:val="24"/>
          <w:lang w:val="en-US"/>
        </w:rPr>
        <w:t>.</w:t>
      </w:r>
    </w:p>
    <w:p w14:paraId="49C840B4" w14:textId="75B66C7B" w:rsidR="00C853A6" w:rsidRPr="00C853A6" w:rsidRDefault="00C853A6" w:rsidP="007B6D6D">
      <w:pPr>
        <w:rPr>
          <w:b/>
          <w:bCs/>
          <w:sz w:val="24"/>
          <w:szCs w:val="24"/>
          <w:lang w:val="en-US"/>
        </w:rPr>
      </w:pPr>
      <w:r w:rsidRPr="00C853A6">
        <w:rPr>
          <w:b/>
          <w:bCs/>
          <w:i/>
          <w:iCs/>
          <w:sz w:val="24"/>
          <w:szCs w:val="24"/>
          <w:lang w:val="en-US"/>
        </w:rPr>
        <w:t>ACT Civil and Administrative Tribunal Act 2008</w:t>
      </w:r>
      <w:r w:rsidRPr="00C853A6">
        <w:rPr>
          <w:b/>
          <w:bCs/>
          <w:sz w:val="24"/>
          <w:szCs w:val="24"/>
          <w:lang w:val="en-US"/>
        </w:rPr>
        <w:t xml:space="preserve"> (ACAT Act), section 23</w:t>
      </w:r>
    </w:p>
    <w:p w14:paraId="2EF32861" w14:textId="573999C6" w:rsidR="004E5191" w:rsidRDefault="001F3B59" w:rsidP="007B6D6D">
      <w:pPr>
        <w:rPr>
          <w:sz w:val="24"/>
          <w:szCs w:val="24"/>
          <w:lang w:val="en-US"/>
        </w:rPr>
      </w:pPr>
      <w:r w:rsidRPr="001F3B59">
        <w:rPr>
          <w:sz w:val="24"/>
          <w:szCs w:val="24"/>
          <w:lang w:val="en-US"/>
        </w:rPr>
        <w:t>The Com</w:t>
      </w:r>
      <w:r w:rsidRPr="00C853A6">
        <w:rPr>
          <w:sz w:val="24"/>
          <w:szCs w:val="24"/>
          <w:lang w:val="en-US"/>
        </w:rPr>
        <w:t xml:space="preserve">mittee expressed concern </w:t>
      </w:r>
      <w:r w:rsidR="00A90F1D" w:rsidRPr="00C853A6">
        <w:rPr>
          <w:sz w:val="24"/>
          <w:szCs w:val="24"/>
          <w:lang w:val="en-US"/>
        </w:rPr>
        <w:t>about the scope of the</w:t>
      </w:r>
      <w:r w:rsidRPr="00C853A6">
        <w:rPr>
          <w:sz w:val="24"/>
          <w:szCs w:val="24"/>
          <w:lang w:val="en-US"/>
        </w:rPr>
        <w:t xml:space="preserve"> proposed amendment to </w:t>
      </w:r>
      <w:r w:rsidR="00A90F1D" w:rsidRPr="00C853A6">
        <w:rPr>
          <w:sz w:val="24"/>
          <w:szCs w:val="24"/>
          <w:lang w:val="en-US"/>
        </w:rPr>
        <w:t xml:space="preserve">section 23 of the </w:t>
      </w:r>
      <w:r w:rsidR="00C853A6" w:rsidRPr="00C853A6">
        <w:rPr>
          <w:sz w:val="24"/>
          <w:szCs w:val="24"/>
          <w:lang w:val="en-US"/>
        </w:rPr>
        <w:t>ACAT Act</w:t>
      </w:r>
      <w:r w:rsidR="00A90F1D">
        <w:rPr>
          <w:sz w:val="24"/>
          <w:szCs w:val="24"/>
          <w:lang w:val="en-US"/>
        </w:rPr>
        <w:t xml:space="preserve"> and that it </w:t>
      </w:r>
      <w:r w:rsidRPr="001F3B59">
        <w:rPr>
          <w:sz w:val="24"/>
          <w:szCs w:val="24"/>
          <w:lang w:val="en-US"/>
        </w:rPr>
        <w:t xml:space="preserve">may limit the </w:t>
      </w:r>
      <w:r w:rsidRPr="00A90F1D">
        <w:rPr>
          <w:sz w:val="24"/>
          <w:szCs w:val="24"/>
          <w:lang w:val="en-US"/>
        </w:rPr>
        <w:t xml:space="preserve">right to a fair </w:t>
      </w:r>
      <w:r w:rsidR="00A90F1D">
        <w:rPr>
          <w:sz w:val="24"/>
          <w:szCs w:val="24"/>
          <w:lang w:val="en-US"/>
        </w:rPr>
        <w:t xml:space="preserve">trial under section 21 of the </w:t>
      </w:r>
      <w:r w:rsidR="00A90F1D" w:rsidRPr="00A90F1D">
        <w:rPr>
          <w:i/>
          <w:iCs/>
          <w:sz w:val="24"/>
          <w:szCs w:val="24"/>
          <w:lang w:val="en-US"/>
        </w:rPr>
        <w:t>Human Rights Act 2004</w:t>
      </w:r>
      <w:r w:rsidR="00C853A6">
        <w:rPr>
          <w:sz w:val="24"/>
          <w:szCs w:val="24"/>
          <w:lang w:val="en-US"/>
        </w:rPr>
        <w:t xml:space="preserve"> (HRA)</w:t>
      </w:r>
      <w:r w:rsidRPr="001F3B59">
        <w:rPr>
          <w:sz w:val="24"/>
          <w:szCs w:val="24"/>
          <w:lang w:val="en-US"/>
        </w:rPr>
        <w:t>.</w:t>
      </w:r>
      <w:r w:rsidR="00A90F1D">
        <w:rPr>
          <w:sz w:val="24"/>
          <w:szCs w:val="24"/>
          <w:lang w:val="en-US"/>
        </w:rPr>
        <w:t xml:space="preserve"> </w:t>
      </w:r>
      <w:r w:rsidR="004E5191">
        <w:rPr>
          <w:sz w:val="24"/>
          <w:szCs w:val="24"/>
          <w:lang w:val="en-US"/>
        </w:rPr>
        <w:t>After careful consideration, the Explanatory Statement has been revised to include an analysis of the human rights impacts of the proposed amendment under the HRA.</w:t>
      </w:r>
    </w:p>
    <w:p w14:paraId="3DE68EB6" w14:textId="5657CE06" w:rsidR="00A90F1D" w:rsidRDefault="00C853A6" w:rsidP="007B6D6D">
      <w:pPr>
        <w:rPr>
          <w:sz w:val="24"/>
          <w:szCs w:val="24"/>
          <w:lang w:val="en-US"/>
        </w:rPr>
      </w:pPr>
      <w:r>
        <w:rPr>
          <w:sz w:val="24"/>
          <w:szCs w:val="24"/>
          <w:lang w:val="en-US"/>
        </w:rPr>
        <w:t xml:space="preserve">The Committee </w:t>
      </w:r>
      <w:r w:rsidR="004E5191">
        <w:rPr>
          <w:sz w:val="24"/>
          <w:szCs w:val="24"/>
          <w:lang w:val="en-US"/>
        </w:rPr>
        <w:t xml:space="preserve">also </w:t>
      </w:r>
      <w:r w:rsidRPr="003074C8">
        <w:rPr>
          <w:sz w:val="24"/>
          <w:szCs w:val="24"/>
          <w:lang w:val="en-US"/>
        </w:rPr>
        <w:t xml:space="preserve">asked for further information on </w:t>
      </w:r>
      <w:r w:rsidR="003074C8" w:rsidRPr="003074C8">
        <w:rPr>
          <w:sz w:val="24"/>
          <w:szCs w:val="24"/>
          <w:lang w:val="en-US"/>
        </w:rPr>
        <w:t>‘</w:t>
      </w:r>
      <w:r w:rsidR="003074C8" w:rsidRPr="003074C8">
        <w:rPr>
          <w:sz w:val="24"/>
          <w:szCs w:val="24"/>
        </w:rPr>
        <w:t>the intended operation of the amendment [and] the extent to which it is intended to authorise departure from procedures set out in the rules or as provided by authorising legislation</w:t>
      </w:r>
      <w:r w:rsidRPr="003074C8">
        <w:rPr>
          <w:sz w:val="24"/>
          <w:szCs w:val="24"/>
          <w:lang w:val="en-US"/>
        </w:rPr>
        <w:t>.</w:t>
      </w:r>
      <w:r w:rsidR="003074C8" w:rsidRPr="003074C8">
        <w:rPr>
          <w:sz w:val="24"/>
          <w:szCs w:val="24"/>
          <w:lang w:val="en-US"/>
        </w:rPr>
        <w:t>’</w:t>
      </w:r>
    </w:p>
    <w:p w14:paraId="65691BC7" w14:textId="4114DE98" w:rsidR="00C853A6" w:rsidRPr="00C853A6" w:rsidRDefault="00C853A6" w:rsidP="00A21C3A">
      <w:pPr>
        <w:rPr>
          <w:sz w:val="24"/>
          <w:szCs w:val="24"/>
        </w:rPr>
      </w:pPr>
      <w:r w:rsidRPr="00C853A6">
        <w:rPr>
          <w:sz w:val="24"/>
          <w:szCs w:val="24"/>
        </w:rPr>
        <w:t xml:space="preserve">In considering the issues raised by the Committee, it is relevant to note the following general points about the legislation governing ACAT’s procedures and processes. The </w:t>
      </w:r>
      <w:hyperlink r:id="rId11" w:history="1">
        <w:r w:rsidRPr="00C853A6">
          <w:rPr>
            <w:rStyle w:val="Hyperlink"/>
            <w:i/>
            <w:iCs/>
            <w:sz w:val="24"/>
            <w:szCs w:val="24"/>
          </w:rPr>
          <w:t>ACT Civil and Administrative Tribunal Procedures Rules 2020</w:t>
        </w:r>
      </w:hyperlink>
      <w:r w:rsidRPr="00C853A6">
        <w:rPr>
          <w:sz w:val="24"/>
          <w:szCs w:val="24"/>
        </w:rPr>
        <w:t xml:space="preserve"> (the Rules) </w:t>
      </w:r>
      <w:r w:rsidR="003C5269">
        <w:rPr>
          <w:sz w:val="24"/>
          <w:szCs w:val="24"/>
        </w:rPr>
        <w:t>are</w:t>
      </w:r>
      <w:r w:rsidR="003C5269" w:rsidRPr="00C853A6">
        <w:rPr>
          <w:sz w:val="24"/>
          <w:szCs w:val="24"/>
        </w:rPr>
        <w:t xml:space="preserve"> </w:t>
      </w:r>
      <w:r w:rsidRPr="00C853A6">
        <w:rPr>
          <w:sz w:val="24"/>
          <w:szCs w:val="24"/>
        </w:rPr>
        <w:t xml:space="preserve">a notifiable instrument made pursuant to section 24 of the ACAT Act. The </w:t>
      </w:r>
      <w:r w:rsidR="00C06B72">
        <w:rPr>
          <w:sz w:val="24"/>
          <w:szCs w:val="24"/>
        </w:rPr>
        <w:t>Rules</w:t>
      </w:r>
      <w:r w:rsidRPr="00C853A6">
        <w:rPr>
          <w:sz w:val="24"/>
          <w:szCs w:val="24"/>
        </w:rPr>
        <w:t xml:space="preserve"> were made in 2020 by the Presidential Members acting in concert.</w:t>
      </w:r>
      <w:r>
        <w:rPr>
          <w:sz w:val="24"/>
          <w:szCs w:val="24"/>
        </w:rPr>
        <w:t xml:space="preserve"> </w:t>
      </w:r>
      <w:r w:rsidRPr="00C853A6">
        <w:rPr>
          <w:rFonts w:eastAsia="Times New Roman"/>
          <w:sz w:val="24"/>
          <w:szCs w:val="24"/>
        </w:rPr>
        <w:t>Prior to the current Rules, the ACAT’s procedural framework was governed by the following notifiable instruments:</w:t>
      </w:r>
    </w:p>
    <w:p w14:paraId="0FAC4693" w14:textId="77777777" w:rsidR="00C853A6" w:rsidRPr="00C853A6" w:rsidRDefault="00C853A6" w:rsidP="00A21C3A">
      <w:pPr>
        <w:pStyle w:val="ListParagraph"/>
        <w:numPr>
          <w:ilvl w:val="0"/>
          <w:numId w:val="16"/>
        </w:numPr>
        <w:spacing w:after="160" w:line="259" w:lineRule="auto"/>
        <w:ind w:left="714" w:hanging="357"/>
        <w:rPr>
          <w:rFonts w:eastAsia="Calibri"/>
          <w:sz w:val="24"/>
          <w:szCs w:val="24"/>
        </w:rPr>
      </w:pPr>
      <w:r w:rsidRPr="00C853A6">
        <w:rPr>
          <w:rFonts w:eastAsia="Times New Roman"/>
          <w:sz w:val="24"/>
          <w:szCs w:val="24"/>
        </w:rPr>
        <w:t xml:space="preserve">The </w:t>
      </w:r>
      <w:hyperlink r:id="rId12" w:history="1">
        <w:r w:rsidRPr="00C853A6">
          <w:rPr>
            <w:rStyle w:val="Hyperlink"/>
            <w:rFonts w:eastAsia="Times New Roman"/>
            <w:i/>
            <w:iCs/>
            <w:sz w:val="24"/>
            <w:szCs w:val="24"/>
          </w:rPr>
          <w:t>ACT Civil and Administrative Tribunal Procedure Rules 2009 (No 2) (repealed)</w:t>
        </w:r>
      </w:hyperlink>
      <w:r w:rsidRPr="00C853A6">
        <w:rPr>
          <w:rFonts w:eastAsia="Times New Roman"/>
          <w:sz w:val="24"/>
          <w:szCs w:val="24"/>
        </w:rPr>
        <w:t xml:space="preserve">  (the Repealed Rules). The Repealed Rules were made shortly after the ACAT commenced operation in February 2009 and were limited to a small number of matters as well as the </w:t>
      </w:r>
      <w:r w:rsidRPr="00C853A6">
        <w:rPr>
          <w:rFonts w:eastAsia="Times New Roman"/>
          <w:sz w:val="24"/>
          <w:szCs w:val="24"/>
        </w:rPr>
        <w:lastRenderedPageBreak/>
        <w:t>procedures that applied to the ACAT’s appeal function</w:t>
      </w:r>
      <w:r>
        <w:rPr>
          <w:rFonts w:eastAsia="Times New Roman"/>
          <w:sz w:val="24"/>
          <w:szCs w:val="24"/>
        </w:rPr>
        <w:t xml:space="preserve">. It should be noted that </w:t>
      </w:r>
      <w:r w:rsidRPr="00C853A6">
        <w:rPr>
          <w:rFonts w:eastAsia="Times New Roman"/>
          <w:sz w:val="24"/>
          <w:szCs w:val="24"/>
        </w:rPr>
        <w:t>Rule 5</w:t>
      </w:r>
      <w:r>
        <w:rPr>
          <w:rFonts w:eastAsia="Times New Roman"/>
          <w:sz w:val="24"/>
          <w:szCs w:val="24"/>
        </w:rPr>
        <w:t xml:space="preserve"> of the Repealed Rules</w:t>
      </w:r>
      <w:r w:rsidRPr="00C853A6">
        <w:rPr>
          <w:rFonts w:eastAsia="Times New Roman"/>
          <w:sz w:val="24"/>
          <w:szCs w:val="24"/>
        </w:rPr>
        <w:t xml:space="preserve"> was in almost identical terms to the proposed s</w:t>
      </w:r>
      <w:r>
        <w:rPr>
          <w:rFonts w:eastAsia="Times New Roman"/>
          <w:sz w:val="24"/>
          <w:szCs w:val="24"/>
        </w:rPr>
        <w:t xml:space="preserve">ection </w:t>
      </w:r>
      <w:r w:rsidRPr="00C853A6">
        <w:rPr>
          <w:rFonts w:eastAsia="Times New Roman"/>
          <w:sz w:val="24"/>
          <w:szCs w:val="24"/>
        </w:rPr>
        <w:t>23(2).</w:t>
      </w:r>
    </w:p>
    <w:p w14:paraId="1EED373D" w14:textId="4403CEDC" w:rsidR="00C853A6" w:rsidRPr="00C853A6" w:rsidRDefault="00C853A6" w:rsidP="00A21C3A">
      <w:pPr>
        <w:pStyle w:val="ListParagraph"/>
        <w:numPr>
          <w:ilvl w:val="0"/>
          <w:numId w:val="16"/>
        </w:numPr>
        <w:spacing w:after="160" w:line="259" w:lineRule="auto"/>
        <w:rPr>
          <w:rFonts w:eastAsia="Calibri"/>
          <w:sz w:val="24"/>
          <w:szCs w:val="24"/>
        </w:rPr>
      </w:pPr>
      <w:r w:rsidRPr="00C853A6">
        <w:rPr>
          <w:rFonts w:eastAsia="Times New Roman"/>
          <w:sz w:val="24"/>
          <w:szCs w:val="24"/>
        </w:rPr>
        <w:t xml:space="preserve">The </w:t>
      </w:r>
      <w:hyperlink r:id="rId13" w:history="1">
        <w:r w:rsidRPr="00C853A6">
          <w:rPr>
            <w:rStyle w:val="Hyperlink"/>
            <w:rFonts w:eastAsia="Times New Roman"/>
            <w:i/>
            <w:iCs/>
            <w:sz w:val="24"/>
            <w:szCs w:val="24"/>
          </w:rPr>
          <w:t>ACT Civil and Administrative Tribunal Procedural Directions 2010 (No 1) (repealed)</w:t>
        </w:r>
      </w:hyperlink>
      <w:r w:rsidRPr="00C853A6">
        <w:rPr>
          <w:rFonts w:eastAsia="Times New Roman"/>
          <w:i/>
          <w:iCs/>
          <w:sz w:val="24"/>
          <w:szCs w:val="24"/>
        </w:rPr>
        <w:t xml:space="preserve"> </w:t>
      </w:r>
      <w:r w:rsidRPr="00C853A6">
        <w:rPr>
          <w:rFonts w:eastAsia="Times New Roman"/>
          <w:sz w:val="24"/>
          <w:szCs w:val="24"/>
        </w:rPr>
        <w:t>dated 28 September 2010. The procedural directions applied only if there was no procedure prescribed or contrary provision in the Act, authorising laws or in the Rules.</w:t>
      </w:r>
    </w:p>
    <w:p w14:paraId="1A8E046D" w14:textId="77777777" w:rsidR="00A21C3A" w:rsidRDefault="00C853A6" w:rsidP="00ED6B00">
      <w:pPr>
        <w:rPr>
          <w:sz w:val="24"/>
          <w:szCs w:val="24"/>
        </w:rPr>
      </w:pPr>
      <w:r w:rsidRPr="003074C8">
        <w:rPr>
          <w:sz w:val="24"/>
          <w:szCs w:val="24"/>
        </w:rPr>
        <w:t xml:space="preserve">In relation to the specific issues raised by the Committee, </w:t>
      </w:r>
      <w:r w:rsidR="003074C8" w:rsidRPr="003074C8">
        <w:rPr>
          <w:sz w:val="24"/>
          <w:szCs w:val="24"/>
        </w:rPr>
        <w:t>I</w:t>
      </w:r>
      <w:r w:rsidRPr="003074C8">
        <w:rPr>
          <w:sz w:val="24"/>
          <w:szCs w:val="24"/>
        </w:rPr>
        <w:t xml:space="preserve"> provide the following information</w:t>
      </w:r>
      <w:r w:rsidR="00A21C3A">
        <w:rPr>
          <w:sz w:val="24"/>
          <w:szCs w:val="24"/>
        </w:rPr>
        <w:t xml:space="preserve">. </w:t>
      </w:r>
    </w:p>
    <w:p w14:paraId="7155D693" w14:textId="58AC458F" w:rsidR="00A21C3A" w:rsidRPr="00A21C3A" w:rsidRDefault="00A21C3A" w:rsidP="00ED6B00">
      <w:pPr>
        <w:rPr>
          <w:rFonts w:eastAsia="Times New Roman"/>
          <w:sz w:val="24"/>
          <w:szCs w:val="24"/>
        </w:rPr>
      </w:pPr>
      <w:r>
        <w:rPr>
          <w:rFonts w:eastAsia="Times New Roman"/>
          <w:sz w:val="24"/>
          <w:szCs w:val="24"/>
        </w:rPr>
        <w:t>The Committee expressed c</w:t>
      </w:r>
      <w:r w:rsidRPr="00A21C3A">
        <w:rPr>
          <w:rFonts w:eastAsia="Times New Roman"/>
          <w:sz w:val="24"/>
          <w:szCs w:val="24"/>
        </w:rPr>
        <w:t>oncern that the</w:t>
      </w:r>
      <w:r w:rsidR="00C853A6" w:rsidRPr="00A21C3A">
        <w:rPr>
          <w:rFonts w:eastAsia="Times New Roman"/>
          <w:sz w:val="24"/>
          <w:szCs w:val="24"/>
        </w:rPr>
        <w:t xml:space="preserve"> amendment will allow ACAT to depart from procedures set out in authorising legislation.</w:t>
      </w:r>
      <w:r>
        <w:rPr>
          <w:rFonts w:eastAsia="Times New Roman"/>
          <w:sz w:val="24"/>
          <w:szCs w:val="24"/>
        </w:rPr>
        <w:t xml:space="preserve"> </w:t>
      </w:r>
      <w:r w:rsidR="003C5269">
        <w:rPr>
          <w:rFonts w:eastAsia="Times New Roman"/>
          <w:sz w:val="24"/>
          <w:szCs w:val="24"/>
        </w:rPr>
        <w:t>The term ‘</w:t>
      </w:r>
      <w:r w:rsidRPr="00A21C3A">
        <w:rPr>
          <w:rFonts w:eastAsia="Times New Roman"/>
          <w:i/>
          <w:iCs/>
          <w:sz w:val="24"/>
          <w:szCs w:val="24"/>
        </w:rPr>
        <w:t>Rules</w:t>
      </w:r>
      <w:r w:rsidR="003C5269">
        <w:rPr>
          <w:rFonts w:eastAsia="Times New Roman"/>
          <w:i/>
          <w:iCs/>
          <w:sz w:val="24"/>
          <w:szCs w:val="24"/>
        </w:rPr>
        <w:t>’</w:t>
      </w:r>
      <w:r w:rsidRPr="00A21C3A">
        <w:rPr>
          <w:rFonts w:eastAsia="Times New Roman"/>
          <w:i/>
          <w:iCs/>
          <w:sz w:val="24"/>
          <w:szCs w:val="24"/>
        </w:rPr>
        <w:t xml:space="preserve"> </w:t>
      </w:r>
      <w:r w:rsidRPr="00A21C3A">
        <w:rPr>
          <w:rFonts w:eastAsia="Times New Roman"/>
          <w:sz w:val="24"/>
          <w:szCs w:val="24"/>
        </w:rPr>
        <w:t xml:space="preserve">is defined in the dictionary </w:t>
      </w:r>
      <w:r w:rsidR="003C5269">
        <w:rPr>
          <w:rFonts w:eastAsia="Times New Roman"/>
          <w:sz w:val="24"/>
          <w:szCs w:val="24"/>
        </w:rPr>
        <w:t>of</w:t>
      </w:r>
      <w:r w:rsidR="003C5269" w:rsidRPr="00A21C3A">
        <w:rPr>
          <w:rFonts w:eastAsia="Times New Roman"/>
          <w:sz w:val="24"/>
          <w:szCs w:val="24"/>
        </w:rPr>
        <w:t xml:space="preserve"> </w:t>
      </w:r>
      <w:r w:rsidRPr="00A21C3A">
        <w:rPr>
          <w:rFonts w:eastAsia="Times New Roman"/>
          <w:sz w:val="24"/>
          <w:szCs w:val="24"/>
        </w:rPr>
        <w:t xml:space="preserve">the ACAT Act to mean the rules of the tribunal made under section 24. </w:t>
      </w:r>
      <w:r>
        <w:rPr>
          <w:rFonts w:eastAsia="Times New Roman"/>
          <w:sz w:val="24"/>
          <w:szCs w:val="24"/>
        </w:rPr>
        <w:t>Accordingly, t</w:t>
      </w:r>
      <w:r w:rsidR="00C853A6" w:rsidRPr="00A21C3A">
        <w:rPr>
          <w:rFonts w:eastAsia="Times New Roman"/>
          <w:sz w:val="24"/>
          <w:szCs w:val="24"/>
        </w:rPr>
        <w:t xml:space="preserve">he reference in proposed section 23(2) to the rules only allows </w:t>
      </w:r>
      <w:r>
        <w:rPr>
          <w:rFonts w:eastAsia="Times New Roman"/>
          <w:sz w:val="24"/>
          <w:szCs w:val="24"/>
        </w:rPr>
        <w:t xml:space="preserve">the ACAT to </w:t>
      </w:r>
      <w:r w:rsidR="00C853A6" w:rsidRPr="00A21C3A">
        <w:rPr>
          <w:rFonts w:eastAsia="Times New Roman"/>
          <w:sz w:val="24"/>
          <w:szCs w:val="24"/>
        </w:rPr>
        <w:t>dispens</w:t>
      </w:r>
      <w:r w:rsidRPr="00A21C3A">
        <w:rPr>
          <w:rFonts w:eastAsia="Times New Roman"/>
          <w:sz w:val="24"/>
          <w:szCs w:val="24"/>
        </w:rPr>
        <w:t>e</w:t>
      </w:r>
      <w:r w:rsidR="00C853A6" w:rsidRPr="00A21C3A">
        <w:rPr>
          <w:rFonts w:eastAsia="Times New Roman"/>
          <w:sz w:val="24"/>
          <w:szCs w:val="24"/>
        </w:rPr>
        <w:t xml:space="preserve"> with a provision of the ACAT Rules. </w:t>
      </w:r>
    </w:p>
    <w:p w14:paraId="6B1DC3C5" w14:textId="0677C453" w:rsidR="00C853A6" w:rsidRPr="00ED6B00" w:rsidRDefault="00A21C3A" w:rsidP="00ED6B00">
      <w:pPr>
        <w:rPr>
          <w:rFonts w:eastAsia="Times New Roman"/>
          <w:sz w:val="24"/>
          <w:szCs w:val="24"/>
        </w:rPr>
      </w:pPr>
      <w:r w:rsidRPr="00A21C3A">
        <w:rPr>
          <w:rFonts w:eastAsia="Times New Roman"/>
          <w:sz w:val="24"/>
          <w:szCs w:val="24"/>
        </w:rPr>
        <w:t>Further, s</w:t>
      </w:r>
      <w:r w:rsidR="00C853A6" w:rsidRPr="00A21C3A">
        <w:rPr>
          <w:rFonts w:eastAsia="Times New Roman"/>
          <w:sz w:val="24"/>
          <w:szCs w:val="24"/>
        </w:rPr>
        <w:t xml:space="preserve">ection 27(2) of the ACAT Act provides that any procedure under an authorising law for dealing with an application prevails over the </w:t>
      </w:r>
      <w:r w:rsidR="00C853A6" w:rsidRPr="00ED6B00">
        <w:rPr>
          <w:rFonts w:eastAsia="Times New Roman"/>
          <w:sz w:val="24"/>
          <w:szCs w:val="24"/>
        </w:rPr>
        <w:t xml:space="preserve">procedures set out in this Act or the rules for dealing with the application, to the extent of any inconsistency. </w:t>
      </w:r>
      <w:r w:rsidR="00ED6B00" w:rsidRPr="00ED6B00">
        <w:rPr>
          <w:rFonts w:eastAsia="Times New Roman"/>
          <w:sz w:val="24"/>
          <w:szCs w:val="24"/>
        </w:rPr>
        <w:t xml:space="preserve">It should be noted that procedures in authorising laws tend to be within Acts – for example, section 49C (3) of the </w:t>
      </w:r>
      <w:r w:rsidR="00ED6B00" w:rsidRPr="00ED6B00">
        <w:rPr>
          <w:rFonts w:eastAsia="Times New Roman"/>
          <w:i/>
          <w:iCs/>
          <w:sz w:val="24"/>
          <w:szCs w:val="24"/>
        </w:rPr>
        <w:t>Residential Tenancies Act 1997</w:t>
      </w:r>
      <w:r w:rsidR="00ED6B00" w:rsidRPr="00ED6B00">
        <w:rPr>
          <w:rFonts w:eastAsia="Times New Roman"/>
          <w:sz w:val="24"/>
          <w:szCs w:val="24"/>
        </w:rPr>
        <w:t xml:space="preserve">, which sets out procedural requirements the Registrar must follow when receiving an application for a termination and possession order. </w:t>
      </w:r>
    </w:p>
    <w:p w14:paraId="481486B6" w14:textId="77777777" w:rsidR="00C06B72" w:rsidRPr="00C06B72" w:rsidRDefault="00C06B72" w:rsidP="00C06B72">
      <w:pPr>
        <w:rPr>
          <w:rFonts w:cs="Calibri"/>
          <w:sz w:val="24"/>
          <w:szCs w:val="24"/>
        </w:rPr>
      </w:pPr>
      <w:r w:rsidRPr="00ED6B00">
        <w:rPr>
          <w:sz w:val="24"/>
          <w:szCs w:val="24"/>
        </w:rPr>
        <w:t xml:space="preserve">The amendment will allow ACAT to make an order that a rule does not apply to a particular application. </w:t>
      </w:r>
      <w:r w:rsidR="00C853A6" w:rsidRPr="00ED6B00">
        <w:rPr>
          <w:sz w:val="24"/>
          <w:szCs w:val="24"/>
        </w:rPr>
        <w:t>It is important to note</w:t>
      </w:r>
      <w:r w:rsidR="00ED6B00" w:rsidRPr="00ED6B00">
        <w:rPr>
          <w:sz w:val="24"/>
          <w:szCs w:val="24"/>
        </w:rPr>
        <w:t xml:space="preserve"> that g</w:t>
      </w:r>
      <w:r w:rsidR="00C853A6" w:rsidRPr="00ED6B00">
        <w:rPr>
          <w:rFonts w:eastAsia="Times New Roman"/>
          <w:sz w:val="24"/>
          <w:szCs w:val="24"/>
        </w:rPr>
        <w:t xml:space="preserve">iven the breadth of the ACAT’s jurisdiction and the nature of disputes before it, the ability to dispense with a rule for a particular application is an important way that the ACAT complies with the requirement of natural justice and procedural fairness </w:t>
      </w:r>
      <w:r w:rsidR="00ED6B00" w:rsidRPr="00ED6B00">
        <w:rPr>
          <w:rFonts w:eastAsia="Times New Roman"/>
          <w:sz w:val="24"/>
          <w:szCs w:val="24"/>
        </w:rPr>
        <w:t xml:space="preserve">(s </w:t>
      </w:r>
      <w:r w:rsidR="00C853A6" w:rsidRPr="00ED6B00">
        <w:rPr>
          <w:rFonts w:eastAsia="Times New Roman"/>
          <w:sz w:val="24"/>
          <w:szCs w:val="24"/>
        </w:rPr>
        <w:t>7</w:t>
      </w:r>
      <w:r w:rsidR="00DC5926" w:rsidRPr="00ED6B00">
        <w:rPr>
          <w:rFonts w:eastAsia="Times New Roman"/>
          <w:sz w:val="24"/>
          <w:szCs w:val="24"/>
        </w:rPr>
        <w:t>) and</w:t>
      </w:r>
      <w:r w:rsidR="00C853A6" w:rsidRPr="00ED6B00">
        <w:rPr>
          <w:rFonts w:eastAsia="Times New Roman"/>
          <w:sz w:val="24"/>
          <w:szCs w:val="24"/>
        </w:rPr>
        <w:t xml:space="preserve"> </w:t>
      </w:r>
      <w:r w:rsidR="00ED6B00" w:rsidRPr="00ED6B00">
        <w:rPr>
          <w:rFonts w:eastAsia="Times New Roman"/>
          <w:sz w:val="24"/>
          <w:szCs w:val="24"/>
        </w:rPr>
        <w:t>is enabled to</w:t>
      </w:r>
      <w:r w:rsidR="00C853A6" w:rsidRPr="00ED6B00">
        <w:rPr>
          <w:rFonts w:eastAsia="Times New Roman"/>
          <w:sz w:val="24"/>
          <w:szCs w:val="24"/>
        </w:rPr>
        <w:t xml:space="preserve"> decide its own procedure </w:t>
      </w:r>
      <w:r w:rsidR="00ED6B00" w:rsidRPr="00ED6B00">
        <w:rPr>
          <w:rFonts w:eastAsia="Times New Roman"/>
          <w:sz w:val="24"/>
          <w:szCs w:val="24"/>
        </w:rPr>
        <w:t xml:space="preserve">(s </w:t>
      </w:r>
      <w:r w:rsidR="00C853A6" w:rsidRPr="00ED6B00">
        <w:rPr>
          <w:rFonts w:eastAsia="Times New Roman"/>
          <w:sz w:val="24"/>
          <w:szCs w:val="24"/>
        </w:rPr>
        <w:t>23</w:t>
      </w:r>
      <w:r w:rsidR="00ED6B00" w:rsidRPr="00ED6B00">
        <w:rPr>
          <w:rFonts w:eastAsia="Times New Roman"/>
          <w:sz w:val="24"/>
          <w:szCs w:val="24"/>
        </w:rPr>
        <w:t>)</w:t>
      </w:r>
      <w:r w:rsidR="00C853A6" w:rsidRPr="00ED6B00">
        <w:rPr>
          <w:rFonts w:eastAsia="Times New Roman"/>
          <w:sz w:val="24"/>
          <w:szCs w:val="24"/>
        </w:rPr>
        <w:t xml:space="preserve"> and control proceedings (s24</w:t>
      </w:r>
      <w:r w:rsidR="00ED6B00" w:rsidRPr="00ED6B00">
        <w:rPr>
          <w:rFonts w:eastAsia="Times New Roman"/>
          <w:sz w:val="24"/>
          <w:szCs w:val="24"/>
        </w:rPr>
        <w:t xml:space="preserve"> </w:t>
      </w:r>
      <w:r w:rsidR="00C853A6" w:rsidRPr="00ED6B00">
        <w:rPr>
          <w:rFonts w:eastAsia="Times New Roman"/>
          <w:sz w:val="24"/>
          <w:szCs w:val="24"/>
        </w:rPr>
        <w:t xml:space="preserve">(3)). </w:t>
      </w:r>
      <w:r w:rsidR="00DC5926" w:rsidRPr="00ED6B00">
        <w:rPr>
          <w:rFonts w:eastAsia="Times New Roman"/>
          <w:sz w:val="24"/>
          <w:szCs w:val="24"/>
        </w:rPr>
        <w:t xml:space="preserve">The procedural flexibility provided by the proposed amendment extends to a party to a proceeding or another person by application of s 23 (3) allowing for the making of an application to the ACAT for an order dispensing </w:t>
      </w:r>
      <w:r w:rsidR="00DC5926" w:rsidRPr="00C06B72">
        <w:rPr>
          <w:rFonts w:eastAsia="Times New Roman" w:cs="Calibri"/>
          <w:sz w:val="24"/>
          <w:szCs w:val="24"/>
        </w:rPr>
        <w:t>with the application of a particular Rule.</w:t>
      </w:r>
      <w:r w:rsidRPr="00C06B72">
        <w:rPr>
          <w:rFonts w:cs="Calibri"/>
          <w:sz w:val="24"/>
          <w:szCs w:val="24"/>
        </w:rPr>
        <w:t xml:space="preserve"> </w:t>
      </w:r>
    </w:p>
    <w:p w14:paraId="311EC83C" w14:textId="3C0CD056" w:rsidR="00C06B72" w:rsidRPr="00C06B72" w:rsidRDefault="00C06B72" w:rsidP="00C06B72">
      <w:pPr>
        <w:rPr>
          <w:rFonts w:cs="Calibri"/>
          <w:sz w:val="24"/>
          <w:szCs w:val="24"/>
        </w:rPr>
      </w:pPr>
      <w:r w:rsidRPr="00C06B72">
        <w:rPr>
          <w:rFonts w:cs="Calibri"/>
          <w:sz w:val="24"/>
          <w:szCs w:val="24"/>
        </w:rPr>
        <w:t>The extent of the departure from the Rules will depend on the circumstances of the application before the ACAT. The ability to depart from the Rules recognises that not ‘one size fits all’ and procedural flexibility assists ACAT to achieve its objectives. An example</w:t>
      </w:r>
      <w:r w:rsidR="004F2119">
        <w:rPr>
          <w:rFonts w:cs="Calibri"/>
          <w:sz w:val="24"/>
          <w:szCs w:val="24"/>
        </w:rPr>
        <w:t>,</w:t>
      </w:r>
      <w:r w:rsidRPr="00C06B72">
        <w:rPr>
          <w:rFonts w:cs="Calibri"/>
          <w:sz w:val="24"/>
          <w:szCs w:val="24"/>
        </w:rPr>
        <w:t xml:space="preserve"> where the ACAT made orders disapplying particular rules occurred during the COVID-19 pandemic. During the period March to August 2020 in some civil dispute applications, the rules requiring a response to be provided within 21 days and enabling an applicant to apply for default judgment if no response was lodged were disapplied and each matter was listed for a directions hearing by telephone. This allowed the ACAT to determine the best way to proceed in the circumstances of each individual matter.</w:t>
      </w:r>
    </w:p>
    <w:p w14:paraId="01DAC1D1" w14:textId="27DAB8CA" w:rsidR="003074C8" w:rsidRDefault="003074C8" w:rsidP="00C853A6">
      <w:pPr>
        <w:rPr>
          <w:b/>
          <w:bCs/>
          <w:sz w:val="24"/>
          <w:szCs w:val="24"/>
        </w:rPr>
      </w:pPr>
      <w:r w:rsidRPr="003074C8">
        <w:rPr>
          <w:b/>
          <w:bCs/>
          <w:i/>
          <w:iCs/>
          <w:sz w:val="24"/>
          <w:szCs w:val="24"/>
        </w:rPr>
        <w:t>Judicial Commissions Act 1994</w:t>
      </w:r>
      <w:r>
        <w:rPr>
          <w:b/>
          <w:bCs/>
          <w:sz w:val="24"/>
          <w:szCs w:val="24"/>
        </w:rPr>
        <w:t>, section 28</w:t>
      </w:r>
    </w:p>
    <w:p w14:paraId="65ABD069" w14:textId="77777777" w:rsidR="00973BBE" w:rsidRPr="003074C8" w:rsidRDefault="00973BBE" w:rsidP="00973BBE">
      <w:pPr>
        <w:rPr>
          <w:b/>
          <w:bCs/>
          <w:sz w:val="24"/>
          <w:szCs w:val="24"/>
        </w:rPr>
      </w:pPr>
      <w:r w:rsidRPr="003074C8">
        <w:rPr>
          <w:b/>
          <w:bCs/>
          <w:i/>
          <w:iCs/>
          <w:sz w:val="24"/>
          <w:szCs w:val="24"/>
        </w:rPr>
        <w:t>Public Trustee and Guardianship Act 1985</w:t>
      </w:r>
      <w:r>
        <w:rPr>
          <w:b/>
          <w:bCs/>
          <w:sz w:val="24"/>
          <w:szCs w:val="24"/>
        </w:rPr>
        <w:t>, new sections 13 and 13A</w:t>
      </w:r>
    </w:p>
    <w:p w14:paraId="7FA71B43" w14:textId="1FAE8729" w:rsidR="00973BBE" w:rsidRDefault="00973BBE" w:rsidP="005E7ACA">
      <w:pPr>
        <w:rPr>
          <w:sz w:val="24"/>
          <w:szCs w:val="24"/>
        </w:rPr>
      </w:pPr>
      <w:r>
        <w:rPr>
          <w:sz w:val="24"/>
          <w:szCs w:val="24"/>
        </w:rPr>
        <w:t xml:space="preserve">I note the Committee’s </w:t>
      </w:r>
      <w:r w:rsidR="004C1059">
        <w:rPr>
          <w:sz w:val="24"/>
          <w:szCs w:val="24"/>
        </w:rPr>
        <w:t>scrutiny</w:t>
      </w:r>
      <w:r>
        <w:rPr>
          <w:sz w:val="24"/>
          <w:szCs w:val="24"/>
        </w:rPr>
        <w:t xml:space="preserve"> of potential human rights</w:t>
      </w:r>
      <w:r w:rsidR="00A03DC7">
        <w:rPr>
          <w:sz w:val="24"/>
          <w:szCs w:val="24"/>
        </w:rPr>
        <w:t xml:space="preserve"> </w:t>
      </w:r>
      <w:r>
        <w:rPr>
          <w:sz w:val="24"/>
          <w:szCs w:val="24"/>
        </w:rPr>
        <w:t xml:space="preserve">implications arising from the amendments to the </w:t>
      </w:r>
      <w:r w:rsidR="005E7ACA">
        <w:rPr>
          <w:sz w:val="24"/>
          <w:szCs w:val="24"/>
        </w:rPr>
        <w:t>Judicial Commissions Act</w:t>
      </w:r>
      <w:r>
        <w:rPr>
          <w:sz w:val="24"/>
          <w:szCs w:val="24"/>
        </w:rPr>
        <w:t xml:space="preserve"> and Public Trustee and Guardianship Act. </w:t>
      </w:r>
    </w:p>
    <w:p w14:paraId="00A342BE" w14:textId="0FA4BF71" w:rsidR="00973BBE" w:rsidRPr="00973BBE" w:rsidRDefault="005E7ACA" w:rsidP="00973BBE">
      <w:pPr>
        <w:rPr>
          <w:sz w:val="24"/>
          <w:szCs w:val="24"/>
          <w:lang w:val="en-US"/>
        </w:rPr>
      </w:pPr>
      <w:r>
        <w:rPr>
          <w:sz w:val="24"/>
          <w:szCs w:val="24"/>
        </w:rPr>
        <w:t xml:space="preserve">I have considered the Committee’s </w:t>
      </w:r>
      <w:r w:rsidR="004C1059">
        <w:rPr>
          <w:sz w:val="24"/>
          <w:szCs w:val="24"/>
        </w:rPr>
        <w:t>view</w:t>
      </w:r>
      <w:r>
        <w:rPr>
          <w:sz w:val="24"/>
          <w:szCs w:val="24"/>
        </w:rPr>
        <w:t xml:space="preserve">s </w:t>
      </w:r>
      <w:r w:rsidR="00973BBE">
        <w:rPr>
          <w:sz w:val="24"/>
          <w:szCs w:val="24"/>
        </w:rPr>
        <w:t xml:space="preserve">regarding the potential engagement and limitation of human rights </w:t>
      </w:r>
      <w:r w:rsidR="004E5191">
        <w:rPr>
          <w:sz w:val="24"/>
          <w:szCs w:val="24"/>
        </w:rPr>
        <w:t xml:space="preserve">contained in the HRA by these amendments </w:t>
      </w:r>
      <w:r>
        <w:rPr>
          <w:sz w:val="24"/>
          <w:szCs w:val="24"/>
        </w:rPr>
        <w:t>carefully</w:t>
      </w:r>
      <w:r w:rsidR="004E5191">
        <w:rPr>
          <w:sz w:val="24"/>
          <w:szCs w:val="24"/>
        </w:rPr>
        <w:t xml:space="preserve"> and have</w:t>
      </w:r>
      <w:r w:rsidR="00973BBE">
        <w:rPr>
          <w:rFonts w:asciiTheme="minorHAnsi" w:hAnsiTheme="minorHAnsi" w:cstheme="minorHAnsi"/>
          <w:iCs/>
          <w:sz w:val="24"/>
          <w:szCs w:val="24"/>
        </w:rPr>
        <w:t xml:space="preserve"> revised</w:t>
      </w:r>
      <w:r w:rsidR="00973BBE" w:rsidRPr="00C217D1">
        <w:rPr>
          <w:rFonts w:asciiTheme="minorHAnsi" w:hAnsiTheme="minorHAnsi" w:cstheme="minorHAnsi"/>
          <w:iCs/>
          <w:sz w:val="24"/>
          <w:szCs w:val="24"/>
        </w:rPr>
        <w:t xml:space="preserve"> the Explanatory Statement to </w:t>
      </w:r>
      <w:r w:rsidR="00973BBE">
        <w:rPr>
          <w:rFonts w:asciiTheme="minorHAnsi" w:hAnsiTheme="minorHAnsi" w:cstheme="minorHAnsi"/>
          <w:iCs/>
          <w:sz w:val="24"/>
          <w:szCs w:val="24"/>
        </w:rPr>
        <w:t>address</w:t>
      </w:r>
      <w:r w:rsidR="00973BBE" w:rsidRPr="00C217D1">
        <w:rPr>
          <w:rFonts w:asciiTheme="minorHAnsi" w:hAnsiTheme="minorHAnsi" w:cstheme="minorHAnsi"/>
          <w:iCs/>
          <w:sz w:val="24"/>
          <w:szCs w:val="24"/>
        </w:rPr>
        <w:t xml:space="preserve"> </w:t>
      </w:r>
      <w:r w:rsidR="004E5191">
        <w:rPr>
          <w:rFonts w:asciiTheme="minorHAnsi" w:hAnsiTheme="minorHAnsi" w:cstheme="minorHAnsi"/>
          <w:iCs/>
          <w:sz w:val="24"/>
          <w:szCs w:val="24"/>
        </w:rPr>
        <w:t xml:space="preserve">their </w:t>
      </w:r>
      <w:r w:rsidR="00973BBE">
        <w:rPr>
          <w:rFonts w:asciiTheme="minorHAnsi" w:hAnsiTheme="minorHAnsi" w:cstheme="minorHAnsi"/>
          <w:iCs/>
          <w:sz w:val="24"/>
          <w:szCs w:val="24"/>
        </w:rPr>
        <w:t>compatibility</w:t>
      </w:r>
      <w:r w:rsidR="00973BBE" w:rsidRPr="00C217D1">
        <w:rPr>
          <w:rFonts w:asciiTheme="minorHAnsi" w:hAnsiTheme="minorHAnsi" w:cstheme="minorHAnsi"/>
          <w:iCs/>
          <w:sz w:val="24"/>
          <w:szCs w:val="24"/>
        </w:rPr>
        <w:t xml:space="preserve"> with the HR</w:t>
      </w:r>
      <w:r w:rsidR="00973BBE">
        <w:rPr>
          <w:rFonts w:asciiTheme="minorHAnsi" w:hAnsiTheme="minorHAnsi" w:cstheme="minorHAnsi"/>
          <w:iCs/>
          <w:sz w:val="24"/>
          <w:szCs w:val="24"/>
        </w:rPr>
        <w:t>A accordingly</w:t>
      </w:r>
      <w:r w:rsidR="00973BBE" w:rsidRPr="00C217D1">
        <w:rPr>
          <w:rFonts w:asciiTheme="minorHAnsi" w:hAnsiTheme="minorHAnsi" w:cstheme="minorHAnsi"/>
          <w:iCs/>
          <w:sz w:val="24"/>
          <w:szCs w:val="24"/>
        </w:rPr>
        <w:t>.</w:t>
      </w:r>
    </w:p>
    <w:p w14:paraId="12442108" w14:textId="77777777" w:rsidR="00973BBE" w:rsidRPr="00C217D1" w:rsidRDefault="00973BBE" w:rsidP="00973BBE">
      <w:pPr>
        <w:spacing w:after="0"/>
        <w:rPr>
          <w:rFonts w:asciiTheme="minorHAnsi" w:hAnsiTheme="minorHAnsi" w:cstheme="minorHAnsi"/>
          <w:iCs/>
          <w:sz w:val="24"/>
          <w:szCs w:val="24"/>
        </w:rPr>
      </w:pPr>
    </w:p>
    <w:p w14:paraId="0EF8B087" w14:textId="3AE062D2" w:rsidR="001F3B59" w:rsidRPr="003074C8" w:rsidRDefault="00A90F1D" w:rsidP="007B6D6D">
      <w:pPr>
        <w:rPr>
          <w:sz w:val="24"/>
          <w:szCs w:val="24"/>
          <w:lang w:val="en-US"/>
        </w:rPr>
      </w:pPr>
      <w:r w:rsidRPr="003074C8">
        <w:rPr>
          <w:sz w:val="24"/>
          <w:szCs w:val="24"/>
          <w:lang w:val="en-US"/>
        </w:rPr>
        <w:t xml:space="preserve">I thank the Committee for raising these matters </w:t>
      </w:r>
      <w:r w:rsidR="004E5191">
        <w:rPr>
          <w:sz w:val="24"/>
          <w:szCs w:val="24"/>
          <w:lang w:val="en-US"/>
        </w:rPr>
        <w:t>with me</w:t>
      </w:r>
      <w:r w:rsidR="00536D03">
        <w:rPr>
          <w:sz w:val="24"/>
          <w:szCs w:val="24"/>
          <w:lang w:val="en-US"/>
        </w:rPr>
        <w:t>.</w:t>
      </w:r>
      <w:r w:rsidRPr="003074C8">
        <w:rPr>
          <w:sz w:val="24"/>
          <w:szCs w:val="24"/>
          <w:lang w:val="en-US"/>
        </w:rPr>
        <w:t xml:space="preserve"> I</w:t>
      </w:r>
      <w:r w:rsidR="001F3B59" w:rsidRPr="003074C8">
        <w:rPr>
          <w:sz w:val="24"/>
          <w:szCs w:val="24"/>
          <w:lang w:val="en-US"/>
        </w:rPr>
        <w:t xml:space="preserve"> enclose a revised version of the Explanatory Statement </w:t>
      </w:r>
      <w:r w:rsidR="004E5191">
        <w:rPr>
          <w:sz w:val="24"/>
          <w:szCs w:val="24"/>
          <w:lang w:val="en-US"/>
        </w:rPr>
        <w:t>for the Committee’s consideration</w:t>
      </w:r>
      <w:r w:rsidR="000278AD">
        <w:rPr>
          <w:sz w:val="24"/>
          <w:szCs w:val="24"/>
          <w:lang w:val="en-US"/>
        </w:rPr>
        <w:t xml:space="preserve"> which I intend to table in the Assembly</w:t>
      </w:r>
      <w:r w:rsidR="001F3B59" w:rsidRPr="003074C8">
        <w:rPr>
          <w:sz w:val="24"/>
          <w:szCs w:val="24"/>
          <w:lang w:val="en-US"/>
        </w:rPr>
        <w:t>.</w:t>
      </w:r>
      <w:r w:rsidRPr="003074C8">
        <w:rPr>
          <w:sz w:val="24"/>
          <w:szCs w:val="24"/>
          <w:lang w:val="en-US"/>
        </w:rPr>
        <w:t xml:space="preserve"> </w:t>
      </w:r>
    </w:p>
    <w:p w14:paraId="199BCAD6" w14:textId="77777777" w:rsidR="00AD7D31" w:rsidRPr="00A031A0" w:rsidRDefault="00AD7D31" w:rsidP="00AD7D31">
      <w:pPr>
        <w:spacing w:after="0" w:line="240" w:lineRule="auto"/>
        <w:rPr>
          <w:sz w:val="24"/>
          <w:szCs w:val="24"/>
        </w:rPr>
      </w:pPr>
      <w:r w:rsidRPr="00A031A0">
        <w:rPr>
          <w:sz w:val="24"/>
          <w:szCs w:val="24"/>
        </w:rPr>
        <w:t>Yours sincerely</w:t>
      </w:r>
    </w:p>
    <w:p w14:paraId="77494726" w14:textId="77777777" w:rsidR="00AD7D31" w:rsidRDefault="00834846" w:rsidP="00AD7D31">
      <w:pPr>
        <w:spacing w:after="0" w:line="240" w:lineRule="auto"/>
        <w:rPr>
          <w:sz w:val="24"/>
          <w:szCs w:val="24"/>
        </w:rPr>
      </w:pPr>
      <w:r w:rsidRPr="00A031A0">
        <w:rPr>
          <w:sz w:val="24"/>
          <w:szCs w:val="24"/>
        </w:rPr>
        <w:br/>
      </w:r>
    </w:p>
    <w:p w14:paraId="513B69F9" w14:textId="77777777" w:rsidR="008D37E0" w:rsidRPr="00A031A0" w:rsidRDefault="008D37E0" w:rsidP="00AD7D31">
      <w:pPr>
        <w:spacing w:after="0" w:line="240" w:lineRule="auto"/>
        <w:rPr>
          <w:sz w:val="24"/>
          <w:szCs w:val="24"/>
        </w:rPr>
      </w:pPr>
    </w:p>
    <w:p w14:paraId="6F5D6852" w14:textId="431B1F87" w:rsidR="004B5827" w:rsidRDefault="004B5827" w:rsidP="004B5827">
      <w:pPr>
        <w:spacing w:after="0" w:line="240" w:lineRule="auto"/>
        <w:rPr>
          <w:sz w:val="24"/>
          <w:szCs w:val="24"/>
        </w:rPr>
      </w:pPr>
      <w:r>
        <w:rPr>
          <w:sz w:val="24"/>
          <w:szCs w:val="24"/>
        </w:rPr>
        <w:t>Shane Rattenbury</w:t>
      </w:r>
      <w:r w:rsidRPr="00A031A0">
        <w:rPr>
          <w:sz w:val="24"/>
          <w:szCs w:val="24"/>
        </w:rPr>
        <w:t xml:space="preserve"> MLA</w:t>
      </w:r>
    </w:p>
    <w:p w14:paraId="02955A49" w14:textId="4D1812DB" w:rsidR="005F4FC4" w:rsidRDefault="005F4FC4" w:rsidP="004B5827">
      <w:pPr>
        <w:spacing w:after="0" w:line="240" w:lineRule="auto"/>
        <w:rPr>
          <w:sz w:val="24"/>
          <w:szCs w:val="24"/>
        </w:rPr>
      </w:pPr>
      <w:r>
        <w:rPr>
          <w:sz w:val="24"/>
          <w:szCs w:val="24"/>
        </w:rPr>
        <w:t xml:space="preserve">Attorney-General </w:t>
      </w:r>
    </w:p>
    <w:p w14:paraId="2F983DCA" w14:textId="7E874D3D" w:rsidR="005F4FC4" w:rsidRDefault="005F4FC4" w:rsidP="004B5827">
      <w:pPr>
        <w:spacing w:after="0" w:line="240" w:lineRule="auto"/>
        <w:rPr>
          <w:sz w:val="24"/>
          <w:szCs w:val="24"/>
        </w:rPr>
      </w:pPr>
    </w:p>
    <w:p w14:paraId="6D77FD15" w14:textId="74D29280" w:rsidR="00725519" w:rsidRPr="0036465B" w:rsidRDefault="00F14007" w:rsidP="008A4D5B">
      <w:pPr>
        <w:pStyle w:val="Header"/>
        <w:tabs>
          <w:tab w:val="left" w:pos="720"/>
        </w:tabs>
        <w:rPr>
          <w:sz w:val="24"/>
          <w:szCs w:val="24"/>
        </w:rPr>
      </w:pPr>
      <w:r>
        <w:rPr>
          <w:noProof/>
          <w:lang w:eastAsia="en-AU"/>
        </w:rPr>
        <mc:AlternateContent>
          <mc:Choice Requires="wps">
            <w:drawing>
              <wp:anchor distT="0" distB="0" distL="114300" distR="114300" simplePos="0" relativeHeight="251666432" behindDoc="1" locked="0" layoutInCell="1" allowOverlap="1" wp14:anchorId="2F351307" wp14:editId="2227CBE3">
                <wp:simplePos x="0" y="0"/>
                <wp:positionH relativeFrom="page">
                  <wp:posOffset>7721600</wp:posOffset>
                </wp:positionH>
                <wp:positionV relativeFrom="page">
                  <wp:posOffset>10342880</wp:posOffset>
                </wp:positionV>
                <wp:extent cx="1263650" cy="225425"/>
                <wp:effectExtent l="0" t="0" r="1270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2067E" w14:textId="77777777" w:rsidR="0061634E" w:rsidRPr="0039472D" w:rsidRDefault="0061634E" w:rsidP="0061634E">
                            <w:pPr>
                              <w:pStyle w:val="BodyText"/>
                              <w:spacing w:line="244" w:lineRule="exact"/>
                              <w:rPr>
                                <w:rFonts w:ascii="Calibri Light" w:eastAsia="Calibri Light" w:hAnsi="Calibri Light" w:cs="Calibri Light"/>
                                <w:sz w:val="24"/>
                                <w:szCs w:val="24"/>
                              </w:rPr>
                            </w:pPr>
                            <w:r w:rsidRPr="0039472D">
                              <w:rPr>
                                <w:rFonts w:ascii="Calibri Light"/>
                                <w:color w:val="231F20"/>
                                <w:sz w:val="24"/>
                                <w:szCs w:val="24"/>
                              </w:rPr>
                              <w:t>a</w:t>
                            </w:r>
                            <w:r>
                              <w:rPr>
                                <w:rFonts w:ascii="Calibri Light"/>
                                <w:color w:val="231F20"/>
                                <w:sz w:val="24"/>
                                <w:szCs w:val="24"/>
                              </w:rPr>
                              <w:t>ctchiefminister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351307" id="_x0000_t202" coordsize="21600,21600" o:spt="202" path="m,l,21600r21600,l21600,xe">
                <v:stroke joinstyle="miter"/>
                <v:path gradientshapeok="t" o:connecttype="rect"/>
              </v:shapetype>
              <v:shape id="Text Box 9" o:spid="_x0000_s1026" type="#_x0000_t202" style="position:absolute;margin-left:608pt;margin-top:814.4pt;width:99.5pt;height:17.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" filled="f" stroked="f">
                <v:textbox inset="0,0,0,0">
                  <w:txbxContent>
                    <w:p w14:paraId="7372067E" w14:textId="77777777" w:rsidR="0061634E" w:rsidRPr="0039472D" w:rsidRDefault="0061634E" w:rsidP="0061634E">
                      <w:pPr>
                        <w:pStyle w:val="BodyText"/>
                        <w:spacing w:line="244" w:lineRule="exact"/>
                        <w:rPr>
                          <w:rFonts w:ascii="Calibri Light" w:eastAsia="Calibri Light" w:hAnsi="Calibri Light" w:cs="Calibri Light"/>
                          <w:sz w:val="24"/>
                          <w:szCs w:val="24"/>
                        </w:rPr>
                      </w:pPr>
                      <w:r w:rsidRPr="0039472D">
                        <w:rPr>
                          <w:rFonts w:ascii="Calibri Light"/>
                          <w:color w:val="231F20"/>
                          <w:sz w:val="24"/>
                          <w:szCs w:val="24"/>
                        </w:rPr>
                        <w:t>a</w:t>
                      </w:r>
                      <w:r>
                        <w:rPr>
                          <w:rFonts w:ascii="Calibri Light"/>
                          <w:color w:val="231F20"/>
                          <w:sz w:val="24"/>
                          <w:szCs w:val="24"/>
                        </w:rPr>
                        <w:t>ctchiefminister</w:t>
                      </w:r>
                    </w:p>
                  </w:txbxContent>
                </v:textbox>
                <w10:wrap anchorx="page" anchory="page"/>
              </v:shape>
            </w:pict>
          </mc:Fallback>
        </mc:AlternateContent>
      </w:r>
      <w:r w:rsidR="00D77228">
        <w:rPr>
          <w:sz w:val="24"/>
          <w:szCs w:val="24"/>
        </w:rPr>
        <w:t xml:space="preserve">Encl. </w:t>
      </w:r>
    </w:p>
    <w:sectPr w:rsidR="00725519" w:rsidRPr="0036465B" w:rsidSect="0036465B">
      <w:headerReference w:type="first" r:id="rId14"/>
      <w:footerReference w:type="first" r:id="rId15"/>
      <w:pgSz w:w="11906" w:h="16838" w:code="9"/>
      <w:pgMar w:top="1418" w:right="1021" w:bottom="1560" w:left="1021" w:header="5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352183" w14:textId="77777777" w:rsidR="008E5B45" w:rsidRDefault="008E5B45" w:rsidP="00AD7D31">
      <w:pPr>
        <w:spacing w:after="0" w:line="240" w:lineRule="auto"/>
      </w:pPr>
      <w:r>
        <w:separator/>
      </w:r>
    </w:p>
  </w:endnote>
  <w:endnote w:type="continuationSeparator" w:id="0">
    <w:p w14:paraId="647B126C" w14:textId="77777777" w:rsidR="008E5B45" w:rsidRDefault="008E5B45"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Font Awesome 5 Brands Regular">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D6DCD" w14:textId="77777777" w:rsidR="00804EA0" w:rsidRDefault="008C5119" w:rsidP="00804EA0">
    <w:pPr>
      <w:pStyle w:val="Footer"/>
      <w:jc w:val="center"/>
    </w:pPr>
    <w:r>
      <w:rPr>
        <w:noProof/>
        <w:lang w:eastAsia="en-AU"/>
      </w:rPr>
      <w:drawing>
        <wp:anchor distT="0" distB="0" distL="114300" distR="114300" simplePos="0" relativeHeight="251671549" behindDoc="1" locked="0" layoutInCell="1" allowOverlap="1" wp14:anchorId="3C3C2033" wp14:editId="69AC0AA8">
          <wp:simplePos x="0" y="0"/>
          <wp:positionH relativeFrom="page">
            <wp:posOffset>0</wp:posOffset>
          </wp:positionH>
          <wp:positionV relativeFrom="paragraph">
            <wp:posOffset>200025</wp:posOffset>
          </wp:positionV>
          <wp:extent cx="7162800" cy="1502235"/>
          <wp:effectExtent l="0" t="0" r="0" b="3175"/>
          <wp:wrapNone/>
          <wp:docPr id="49" name="Picture 49"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223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6804"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425"/>
      <w:gridCol w:w="1843"/>
      <w:gridCol w:w="2268"/>
      <w:gridCol w:w="2268"/>
    </w:tblGrid>
    <w:tr w:rsidR="004B5827" w:rsidRPr="00910ED5" w14:paraId="0AE38229" w14:textId="77777777" w:rsidTr="00B46868">
      <w:trPr>
        <w:trHeight w:val="340"/>
        <w:jc w:val="right"/>
      </w:trPr>
      <w:tc>
        <w:tcPr>
          <w:tcW w:w="6804" w:type="dxa"/>
          <w:gridSpan w:val="4"/>
          <w:tcBorders>
            <w:top w:val="nil"/>
            <w:bottom w:val="single" w:sz="4" w:space="0" w:color="724793"/>
          </w:tcBorders>
        </w:tcPr>
        <w:p w14:paraId="7C6A08E0"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4B5827" w:rsidRPr="00910ED5" w14:paraId="1AE18B7F" w14:textId="77777777" w:rsidTr="00B46868">
      <w:trPr>
        <w:trHeight w:val="20"/>
        <w:jc w:val="right"/>
      </w:trPr>
      <w:tc>
        <w:tcPr>
          <w:tcW w:w="425" w:type="dxa"/>
          <w:tcBorders>
            <w:top w:val="single" w:sz="4" w:space="0" w:color="724793"/>
            <w:bottom w:val="nil"/>
          </w:tcBorders>
          <w:vAlign w:val="center"/>
        </w:tcPr>
        <w:p w14:paraId="550515AB" w14:textId="77777777" w:rsidR="004B5827" w:rsidRPr="00910ED5" w:rsidRDefault="004B5827" w:rsidP="004B5827">
          <w:pPr>
            <w:tabs>
              <w:tab w:val="center" w:pos="4513"/>
              <w:tab w:val="right" w:pos="9026"/>
            </w:tabs>
            <w:spacing w:before="40" w:after="40"/>
            <w:jc w:val="right"/>
            <w:rPr>
              <w:color w:val="724793" w:themeColor="accent2"/>
              <w:spacing w:val="-1"/>
              <w:sz w:val="18"/>
              <w:szCs w:val="18"/>
            </w:rPr>
          </w:pPr>
        </w:p>
      </w:tc>
      <w:tc>
        <w:tcPr>
          <w:tcW w:w="1843" w:type="dxa"/>
          <w:tcBorders>
            <w:top w:val="single" w:sz="4" w:space="0" w:color="724793"/>
            <w:bottom w:val="single" w:sz="4" w:space="0" w:color="724793"/>
          </w:tcBorders>
          <w:vAlign w:val="center"/>
        </w:tcPr>
        <w:p w14:paraId="3F1D127E" w14:textId="77777777" w:rsidR="004B5827" w:rsidRPr="00910ED5" w:rsidRDefault="004B5827" w:rsidP="004B5827">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2268" w:type="dxa"/>
          <w:tcBorders>
            <w:top w:val="single" w:sz="4" w:space="0" w:color="724793"/>
          </w:tcBorders>
          <w:vAlign w:val="center"/>
        </w:tcPr>
        <w:p w14:paraId="595B4FA7"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lang w:eastAsia="en-AU"/>
            </w:rPr>
            <mc:AlternateContent>
              <mc:Choice Requires="wps">
                <w:drawing>
                  <wp:inline distT="0" distB="0" distL="0" distR="0" wp14:anchorId="0821CFD6" wp14:editId="142F0170">
                    <wp:extent cx="162000" cy="162000"/>
                    <wp:effectExtent l="0" t="0" r="9525" b="9525"/>
                    <wp:docPr id="34" name="Freeform 28">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03643A"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w:t>
          </w:r>
          <w:r>
            <w:rPr>
              <w:color w:val="724793" w:themeColor="accent2"/>
              <w:spacing w:val="-4"/>
              <w:sz w:val="18"/>
              <w:szCs w:val="18"/>
            </w:rPr>
            <w:t>0005</w:t>
          </w:r>
          <w:r w:rsidRPr="00910ED5">
            <w:rPr>
              <w:color w:val="724793" w:themeColor="accent2"/>
              <w:spacing w:val="-4"/>
              <w:sz w:val="18"/>
              <w:szCs w:val="18"/>
            </w:rPr>
            <w:t xml:space="preserve">    </w:t>
          </w:r>
        </w:p>
      </w:tc>
      <w:tc>
        <w:tcPr>
          <w:tcW w:w="2268" w:type="dxa"/>
          <w:tcBorders>
            <w:top w:val="single" w:sz="4" w:space="0" w:color="724793"/>
          </w:tcBorders>
          <w:vAlign w:val="center"/>
        </w:tcPr>
        <w:p w14:paraId="1F0B9861"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lang w:eastAsia="en-AU"/>
            </w:rPr>
            <mc:AlternateContent>
              <mc:Choice Requires="wps">
                <w:drawing>
                  <wp:inline distT="0" distB="0" distL="0" distR="0" wp14:anchorId="6A56DE1B" wp14:editId="2193A965">
                    <wp:extent cx="168483" cy="126000"/>
                    <wp:effectExtent l="0" t="0" r="3175" b="7620"/>
                    <wp:docPr id="33" name="Freeform 27">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439BC6"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Pr>
              <w:color w:val="724793" w:themeColor="accent2"/>
              <w:spacing w:val="-4"/>
              <w:sz w:val="18"/>
              <w:szCs w:val="18"/>
            </w:rPr>
            <w:t>rattenbury@a</w:t>
          </w:r>
          <w:r w:rsidRPr="00910ED5">
            <w:rPr>
              <w:color w:val="724793" w:themeColor="accent2"/>
              <w:spacing w:val="-4"/>
              <w:sz w:val="18"/>
              <w:szCs w:val="18"/>
            </w:rPr>
            <w:t>ct.gov.au</w:t>
          </w:r>
        </w:p>
      </w:tc>
    </w:tr>
    <w:tr w:rsidR="004B5827" w:rsidRPr="00910ED5" w14:paraId="169CD9FC" w14:textId="77777777" w:rsidTr="00B46868">
      <w:trPr>
        <w:trHeight w:val="20"/>
        <w:jc w:val="right"/>
      </w:trPr>
      <w:tc>
        <w:tcPr>
          <w:tcW w:w="425" w:type="dxa"/>
          <w:tcBorders>
            <w:top w:val="nil"/>
            <w:bottom w:val="nil"/>
          </w:tcBorders>
          <w:vAlign w:val="center"/>
        </w:tcPr>
        <w:p w14:paraId="59B13AD6"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p>
      </w:tc>
      <w:tc>
        <w:tcPr>
          <w:tcW w:w="1843" w:type="dxa"/>
          <w:tcBorders>
            <w:top w:val="single" w:sz="4" w:space="0" w:color="724793"/>
            <w:bottom w:val="nil"/>
          </w:tcBorders>
          <w:vAlign w:val="center"/>
        </w:tcPr>
        <w:p w14:paraId="7F2B0A51"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lang w:eastAsia="en-AU"/>
            </w:rPr>
            <mc:AlternateContent>
              <mc:Choice Requires="wps">
                <w:drawing>
                  <wp:inline distT="0" distB="0" distL="0" distR="0" wp14:anchorId="38D65DA3" wp14:editId="12D2F6CE">
                    <wp:extent cx="203284" cy="162000"/>
                    <wp:effectExtent l="0" t="0" r="6350" b="9525"/>
                    <wp:docPr id="30" name="Freeform 2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BCF616"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910ED5">
            <w:rPr>
              <w:color w:val="724793" w:themeColor="accent2"/>
              <w:spacing w:val="-4"/>
              <w:sz w:val="18"/>
              <w:szCs w:val="18"/>
            </w:rPr>
            <w:t>@</w:t>
          </w:r>
          <w:r>
            <w:rPr>
              <w:color w:val="724793" w:themeColor="accent2"/>
              <w:spacing w:val="-4"/>
              <w:sz w:val="18"/>
              <w:szCs w:val="18"/>
            </w:rPr>
            <w:t>ShaneRattenbury</w:t>
          </w:r>
        </w:p>
      </w:tc>
      <w:tc>
        <w:tcPr>
          <w:tcW w:w="2268" w:type="dxa"/>
          <w:vAlign w:val="center"/>
        </w:tcPr>
        <w:p w14:paraId="3137B8D1"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lang w:eastAsia="en-AU"/>
            </w:rPr>
            <mc:AlternateContent>
              <mc:Choice Requires="wpg">
                <w:drawing>
                  <wp:inline distT="0" distB="0" distL="0" distR="0" wp14:anchorId="42530657" wp14:editId="062718B7">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989CAB"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2qngcAAFY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Pr="00910ED5">
            <w:rPr>
              <w:color w:val="724793" w:themeColor="accent2"/>
              <w:spacing w:val="-4"/>
              <w:sz w:val="18"/>
              <w:szCs w:val="18"/>
            </w:rPr>
            <w:t xml:space="preserve">  </w:t>
          </w:r>
          <w:r>
            <w:rPr>
              <w:color w:val="724793" w:themeColor="accent2"/>
              <w:spacing w:val="-4"/>
              <w:sz w:val="18"/>
              <w:szCs w:val="18"/>
            </w:rPr>
            <w:t>shanerattenburymla</w:t>
          </w:r>
        </w:p>
      </w:tc>
      <w:tc>
        <w:tcPr>
          <w:tcW w:w="2268" w:type="dxa"/>
          <w:vAlign w:val="center"/>
        </w:tcPr>
        <w:p w14:paraId="41B9F946" w14:textId="77777777" w:rsidR="004B5827" w:rsidRPr="00910ED5" w:rsidRDefault="004B5827" w:rsidP="004B5827">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lang w:eastAsia="en-AU"/>
            </w:rPr>
            <mc:AlternateContent>
              <mc:Choice Requires="wpg">
                <w:drawing>
                  <wp:inline distT="0" distB="0" distL="0" distR="0" wp14:anchorId="24EBE78B" wp14:editId="091E88C8">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D24F92"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Pr="00910ED5">
            <w:rPr>
              <w:color w:val="724793" w:themeColor="accent2"/>
              <w:spacing w:val="-4"/>
              <w:sz w:val="18"/>
              <w:szCs w:val="18"/>
            </w:rPr>
            <w:t xml:space="preserve">  </w:t>
          </w:r>
          <w:r>
            <w:rPr>
              <w:color w:val="724793" w:themeColor="accent2"/>
              <w:spacing w:val="-4"/>
              <w:sz w:val="18"/>
              <w:szCs w:val="18"/>
            </w:rPr>
            <w:t>shanerattenbury</w:t>
          </w:r>
        </w:p>
      </w:tc>
    </w:tr>
  </w:tbl>
  <w:p w14:paraId="1A634D13" w14:textId="77777777" w:rsidR="008C5119" w:rsidRDefault="008C5119" w:rsidP="00804EA0">
    <w:pPr>
      <w:pStyle w:val="Footer"/>
      <w:jc w:val="center"/>
    </w:pPr>
  </w:p>
  <w:p w14:paraId="6E90920A" w14:textId="77777777" w:rsidR="005351C5" w:rsidRPr="008C5119" w:rsidRDefault="005351C5" w:rsidP="008C5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008C6" w14:textId="77777777" w:rsidR="008E5B45" w:rsidRDefault="008E5B45" w:rsidP="00AD7D31">
      <w:pPr>
        <w:spacing w:after="0" w:line="240" w:lineRule="auto"/>
      </w:pPr>
      <w:r>
        <w:separator/>
      </w:r>
    </w:p>
  </w:footnote>
  <w:footnote w:type="continuationSeparator" w:id="0">
    <w:p w14:paraId="1FF10912" w14:textId="77777777" w:rsidR="008E5B45" w:rsidRDefault="008E5B45" w:rsidP="00AD7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B681B"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0F8A70A3" wp14:editId="4D0FD124">
          <wp:simplePos x="0" y="0"/>
          <wp:positionH relativeFrom="margin">
            <wp:posOffset>-619758</wp:posOffset>
          </wp:positionH>
          <wp:positionV relativeFrom="paragraph">
            <wp:posOffset>-36195</wp:posOffset>
          </wp:positionV>
          <wp:extent cx="7538814" cy="1580719"/>
          <wp:effectExtent l="0" t="0" r="5080" b="63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72D72732" wp14:editId="43079031">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3E853F"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"/>
          </w:pict>
        </mc:Fallback>
      </mc:AlternateContent>
    </w:r>
    <w:r w:rsidR="007D7FAC" w:rsidRPr="00F50739">
      <w:tab/>
    </w:r>
    <w:r w:rsidR="00F50739">
      <w:rPr>
        <w:spacing w:val="-1"/>
      </w:rPr>
      <w:br/>
    </w:r>
  </w:p>
  <w:p w14:paraId="68C5A6FA" w14:textId="77777777" w:rsidR="004B5827" w:rsidRDefault="004B5827" w:rsidP="004B5827">
    <w:pPr>
      <w:pStyle w:val="Portfolios"/>
    </w:pPr>
    <w:r>
      <w:rPr>
        <w:b/>
        <w:color w:val="231F20"/>
        <w:spacing w:val="-1"/>
        <w:sz w:val="24"/>
      </w:rPr>
      <w:t>Shane Rattenbury MLA</w:t>
    </w:r>
    <w:r>
      <w:t xml:space="preserve"> </w:t>
    </w:r>
    <w:r>
      <w:br/>
      <w:t>Attorney-General</w:t>
    </w:r>
    <w:r>
      <w:br/>
      <w:t xml:space="preserve">Minister for Consumer Affairs </w:t>
    </w:r>
    <w:r>
      <w:br/>
      <w:t>Minister for Water, Energy and Emissions Reduction</w:t>
    </w:r>
    <w:r>
      <w:br/>
      <w:t>Minister for Gaming</w:t>
    </w:r>
  </w:p>
  <w:p w14:paraId="01A3B67E" w14:textId="77777777" w:rsidR="00A6097C" w:rsidRPr="00003B4A" w:rsidRDefault="006C6335" w:rsidP="00A6097C">
    <w:pPr>
      <w:pStyle w:val="Portfolio"/>
      <w:spacing w:after="80" w:line="240" w:lineRule="exact"/>
      <w:ind w:right="-626"/>
      <w:rPr>
        <w:rFonts w:ascii="Calibri" w:hAnsi="Calibri"/>
        <w:sz w:val="20"/>
        <w:szCs w:val="20"/>
      </w:rPr>
    </w:pPr>
    <w:r>
      <w:rPr>
        <w:rFonts w:ascii="Calibri" w:hAnsi="Calibri"/>
        <w:noProof/>
        <w:sz w:val="12"/>
        <w:szCs w:val="20"/>
        <w:lang w:val="en-AU" w:eastAsia="en-AU"/>
      </w:rPr>
      <mc:AlternateContent>
        <mc:Choice Requires="wps">
          <w:drawing>
            <wp:anchor distT="0" distB="0" distL="114300" distR="114300" simplePos="0" relativeHeight="251674624" behindDoc="0" locked="0" layoutInCell="1" allowOverlap="1" wp14:anchorId="1433785A" wp14:editId="159CD24A">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CF60D4" id="Straight Connector 10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" strokecolor="black [3213]" strokeweight=".5pt">
              <v:stroke joinstyle="miter"/>
              <w10:wrap anchorx="margin"/>
            </v:line>
          </w:pict>
        </mc:Fallback>
      </mc:AlternateContent>
    </w:r>
    <w:r w:rsidR="00A6097C" w:rsidRPr="008A04F4">
      <w:rPr>
        <w:rFonts w:ascii="Calibri" w:hAnsi="Calibri"/>
        <w:sz w:val="20"/>
        <w:szCs w:val="20"/>
      </w:rPr>
      <w:t>Member</w:t>
    </w:r>
    <w:r w:rsidR="00A6097C" w:rsidRPr="008A04F4">
      <w:rPr>
        <w:rFonts w:ascii="Calibri" w:hAnsi="Calibri"/>
        <w:spacing w:val="-5"/>
        <w:sz w:val="20"/>
        <w:szCs w:val="20"/>
      </w:rPr>
      <w:t xml:space="preserve"> </w:t>
    </w:r>
    <w:r w:rsidR="00A6097C" w:rsidRPr="008A04F4">
      <w:rPr>
        <w:rFonts w:ascii="Calibri" w:hAnsi="Calibri"/>
        <w:spacing w:val="-2"/>
        <w:sz w:val="20"/>
        <w:szCs w:val="20"/>
      </w:rPr>
      <w:t>for</w:t>
    </w:r>
    <w:r w:rsidR="00A6097C" w:rsidRPr="008A04F4">
      <w:rPr>
        <w:rFonts w:ascii="Calibri" w:hAnsi="Calibri"/>
        <w:spacing w:val="-4"/>
        <w:sz w:val="20"/>
        <w:szCs w:val="20"/>
      </w:rPr>
      <w:t xml:space="preserve"> </w:t>
    </w:r>
    <w:r w:rsidR="00A919EF">
      <w:rPr>
        <w:rFonts w:ascii="Calibri" w:hAnsi="Calibri"/>
        <w:sz w:val="20"/>
        <w:szCs w:val="20"/>
      </w:rPr>
      <w:t>Kurrajong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3ABB"/>
    <w:multiLevelType w:val="hybridMultilevel"/>
    <w:tmpl w:val="7974B4E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A186670"/>
    <w:multiLevelType w:val="hybridMultilevel"/>
    <w:tmpl w:val="8FC635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C5B2D5E"/>
    <w:multiLevelType w:val="hybridMultilevel"/>
    <w:tmpl w:val="3F761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621698"/>
    <w:multiLevelType w:val="hybridMultilevel"/>
    <w:tmpl w:val="44A274A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B901D8A"/>
    <w:multiLevelType w:val="hybridMultilevel"/>
    <w:tmpl w:val="D9C2A7BE"/>
    <w:lvl w:ilvl="0" w:tplc="5DA4F91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EC10683"/>
    <w:multiLevelType w:val="hybridMultilevel"/>
    <w:tmpl w:val="17A42F2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BD12753"/>
    <w:multiLevelType w:val="hybridMultilevel"/>
    <w:tmpl w:val="C1AEC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C514BD"/>
    <w:multiLevelType w:val="hybridMultilevel"/>
    <w:tmpl w:val="17069B7E"/>
    <w:lvl w:ilvl="0" w:tplc="C452194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39C16FF0"/>
    <w:multiLevelType w:val="hybridMultilevel"/>
    <w:tmpl w:val="E6947D5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EB95C2C"/>
    <w:multiLevelType w:val="hybridMultilevel"/>
    <w:tmpl w:val="ACCC7D06"/>
    <w:lvl w:ilvl="0" w:tplc="0C090003">
      <w:start w:val="1"/>
      <w:numFmt w:val="bullet"/>
      <w:lvlText w:val="o"/>
      <w:lvlJc w:val="left"/>
      <w:pPr>
        <w:ind w:left="765" w:hanging="360"/>
      </w:pPr>
      <w:rPr>
        <w:rFonts w:ascii="Courier New" w:hAnsi="Courier New" w:cs="Courier New"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10" w15:restartNumberingAfterBreak="0">
    <w:nsid w:val="5948726F"/>
    <w:multiLevelType w:val="hybridMultilevel"/>
    <w:tmpl w:val="1264D474"/>
    <w:lvl w:ilvl="0" w:tplc="BEA8D65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622B600A"/>
    <w:multiLevelType w:val="hybridMultilevel"/>
    <w:tmpl w:val="C5A86F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70756E3"/>
    <w:multiLevelType w:val="hybridMultilevel"/>
    <w:tmpl w:val="9970CF78"/>
    <w:lvl w:ilvl="0" w:tplc="A40E17B0">
      <w:start w:val="1"/>
      <w:numFmt w:val="lowerLetter"/>
      <w:lvlText w:val="(%1)"/>
      <w:lvlJc w:val="left"/>
      <w:pPr>
        <w:ind w:left="720" w:hanging="360"/>
      </w:pPr>
      <w:rPr>
        <w:rFonts w:asciiTheme="minorHAnsi" w:eastAsiaTheme="minorHAnsi" w:hAnsiTheme="minorHAnsi" w:cstheme="minorHAnsi"/>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75353DD4"/>
    <w:multiLevelType w:val="hybridMultilevel"/>
    <w:tmpl w:val="476A36B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75B86E01"/>
    <w:multiLevelType w:val="hybridMultilevel"/>
    <w:tmpl w:val="DD28001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790E5C84"/>
    <w:multiLevelType w:val="hybridMultilevel"/>
    <w:tmpl w:val="107A59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2"/>
  </w:num>
  <w:num w:numId="4">
    <w:abstractNumId w:val="10"/>
  </w:num>
  <w:num w:numId="5">
    <w:abstractNumId w:val="7"/>
  </w:num>
  <w:num w:numId="6">
    <w:abstractNumId w:val="6"/>
  </w:num>
  <w:num w:numId="7">
    <w:abstractNumId w:val="11"/>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3"/>
  </w:num>
  <w:num w:numId="12">
    <w:abstractNumId w:val="14"/>
  </w:num>
  <w:num w:numId="13">
    <w:abstractNumId w:val="9"/>
  </w:num>
  <w:num w:numId="14">
    <w:abstractNumId w:val="1"/>
  </w:num>
  <w:num w:numId="15">
    <w:abstractNumId w:val="0"/>
  </w:num>
  <w:num w:numId="16">
    <w:abstractNumId w:val="2"/>
  </w:num>
  <w:num w:numId="17">
    <w:abstractNumId w:val="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BB33E93-B37D-494C-A74C-04B1AE247C13}"/>
    <w:docVar w:name="dgnword-eventsink" w:val="797959904"/>
  </w:docVars>
  <w:rsids>
    <w:rsidRoot w:val="002D2157"/>
    <w:rsid w:val="00003B4A"/>
    <w:rsid w:val="000125FC"/>
    <w:rsid w:val="000278AD"/>
    <w:rsid w:val="00027AFE"/>
    <w:rsid w:val="000472E8"/>
    <w:rsid w:val="0006371F"/>
    <w:rsid w:val="000C331E"/>
    <w:rsid w:val="000E011A"/>
    <w:rsid w:val="000E36B8"/>
    <w:rsid w:val="000E438E"/>
    <w:rsid w:val="00110A75"/>
    <w:rsid w:val="00131016"/>
    <w:rsid w:val="001340FA"/>
    <w:rsid w:val="001450DC"/>
    <w:rsid w:val="00146C1C"/>
    <w:rsid w:val="00162D8B"/>
    <w:rsid w:val="00170426"/>
    <w:rsid w:val="001804F3"/>
    <w:rsid w:val="001851B2"/>
    <w:rsid w:val="00195EAD"/>
    <w:rsid w:val="001A469C"/>
    <w:rsid w:val="001D7389"/>
    <w:rsid w:val="001F3B59"/>
    <w:rsid w:val="00203822"/>
    <w:rsid w:val="00240F3E"/>
    <w:rsid w:val="002450E9"/>
    <w:rsid w:val="002C5A96"/>
    <w:rsid w:val="002D2157"/>
    <w:rsid w:val="002D4441"/>
    <w:rsid w:val="002E1D40"/>
    <w:rsid w:val="002F2A8C"/>
    <w:rsid w:val="003074C8"/>
    <w:rsid w:val="00313E4A"/>
    <w:rsid w:val="00320BAB"/>
    <w:rsid w:val="003571A0"/>
    <w:rsid w:val="0036465B"/>
    <w:rsid w:val="003B3708"/>
    <w:rsid w:val="003C5269"/>
    <w:rsid w:val="003E4068"/>
    <w:rsid w:val="0041104E"/>
    <w:rsid w:val="00411643"/>
    <w:rsid w:val="004517FA"/>
    <w:rsid w:val="004B5827"/>
    <w:rsid w:val="004C1059"/>
    <w:rsid w:val="004E5191"/>
    <w:rsid w:val="004F2119"/>
    <w:rsid w:val="0052691E"/>
    <w:rsid w:val="005351C5"/>
    <w:rsid w:val="00536D03"/>
    <w:rsid w:val="0055749D"/>
    <w:rsid w:val="005B4F08"/>
    <w:rsid w:val="005C4787"/>
    <w:rsid w:val="005E6914"/>
    <w:rsid w:val="005E7ACA"/>
    <w:rsid w:val="005E7DE1"/>
    <w:rsid w:val="005F4FC4"/>
    <w:rsid w:val="0061634E"/>
    <w:rsid w:val="0064748B"/>
    <w:rsid w:val="00651677"/>
    <w:rsid w:val="00655CD8"/>
    <w:rsid w:val="006710C4"/>
    <w:rsid w:val="00696899"/>
    <w:rsid w:val="006A1B70"/>
    <w:rsid w:val="006C6335"/>
    <w:rsid w:val="006F4E04"/>
    <w:rsid w:val="00712BA7"/>
    <w:rsid w:val="007240AF"/>
    <w:rsid w:val="00725519"/>
    <w:rsid w:val="00735E77"/>
    <w:rsid w:val="00742013"/>
    <w:rsid w:val="00751F7B"/>
    <w:rsid w:val="00795E1D"/>
    <w:rsid w:val="007B465C"/>
    <w:rsid w:val="007B6D6D"/>
    <w:rsid w:val="007D7FAC"/>
    <w:rsid w:val="007E6A22"/>
    <w:rsid w:val="007F5BA8"/>
    <w:rsid w:val="007F5EF5"/>
    <w:rsid w:val="00804EA0"/>
    <w:rsid w:val="0080565E"/>
    <w:rsid w:val="00806ACB"/>
    <w:rsid w:val="00834846"/>
    <w:rsid w:val="00855531"/>
    <w:rsid w:val="008660AE"/>
    <w:rsid w:val="008670B1"/>
    <w:rsid w:val="008A04F4"/>
    <w:rsid w:val="008A4D5B"/>
    <w:rsid w:val="008B35D1"/>
    <w:rsid w:val="008C5119"/>
    <w:rsid w:val="008D1073"/>
    <w:rsid w:val="008D15E5"/>
    <w:rsid w:val="008D37E0"/>
    <w:rsid w:val="008E5B45"/>
    <w:rsid w:val="00905F4F"/>
    <w:rsid w:val="00973BBE"/>
    <w:rsid w:val="009A1DC1"/>
    <w:rsid w:val="009B6D21"/>
    <w:rsid w:val="009C2877"/>
    <w:rsid w:val="009C2BFF"/>
    <w:rsid w:val="009F62D6"/>
    <w:rsid w:val="00A031A0"/>
    <w:rsid w:val="00A03DC7"/>
    <w:rsid w:val="00A21C3A"/>
    <w:rsid w:val="00A2718B"/>
    <w:rsid w:val="00A6097C"/>
    <w:rsid w:val="00A90F1D"/>
    <w:rsid w:val="00A919EF"/>
    <w:rsid w:val="00AD36CA"/>
    <w:rsid w:val="00AD4A6D"/>
    <w:rsid w:val="00AD7D31"/>
    <w:rsid w:val="00AF08DA"/>
    <w:rsid w:val="00AF2B15"/>
    <w:rsid w:val="00B261DC"/>
    <w:rsid w:val="00B3122B"/>
    <w:rsid w:val="00B33A5C"/>
    <w:rsid w:val="00B85096"/>
    <w:rsid w:val="00B91F55"/>
    <w:rsid w:val="00C04DFF"/>
    <w:rsid w:val="00C06B72"/>
    <w:rsid w:val="00C22431"/>
    <w:rsid w:val="00C31621"/>
    <w:rsid w:val="00C32CDB"/>
    <w:rsid w:val="00C34D94"/>
    <w:rsid w:val="00C853A6"/>
    <w:rsid w:val="00CA0045"/>
    <w:rsid w:val="00CA4B9B"/>
    <w:rsid w:val="00D13A03"/>
    <w:rsid w:val="00D20548"/>
    <w:rsid w:val="00D77228"/>
    <w:rsid w:val="00D87D95"/>
    <w:rsid w:val="00DB1B16"/>
    <w:rsid w:val="00DB745C"/>
    <w:rsid w:val="00DC5926"/>
    <w:rsid w:val="00DD766A"/>
    <w:rsid w:val="00E04FD9"/>
    <w:rsid w:val="00E5628F"/>
    <w:rsid w:val="00E76A33"/>
    <w:rsid w:val="00E80BC3"/>
    <w:rsid w:val="00EA7B1C"/>
    <w:rsid w:val="00EB388C"/>
    <w:rsid w:val="00EC17AF"/>
    <w:rsid w:val="00ED5634"/>
    <w:rsid w:val="00ED6B00"/>
    <w:rsid w:val="00ED7E62"/>
    <w:rsid w:val="00EE6CA3"/>
    <w:rsid w:val="00EF0A8B"/>
    <w:rsid w:val="00F14007"/>
    <w:rsid w:val="00F21737"/>
    <w:rsid w:val="00F50739"/>
    <w:rsid w:val="00F82B72"/>
    <w:rsid w:val="00F90CCE"/>
    <w:rsid w:val="00F9283C"/>
    <w:rsid w:val="00FB4840"/>
    <w:rsid w:val="00FB6C11"/>
    <w:rsid w:val="00FD14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7A2F3E"/>
  <w15:chartTrackingRefBased/>
  <w15:docId w15:val="{9B44D2FE-CA7C-495D-A4CC-CBB87284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paragraph" w:styleId="ListParagraph">
    <w:name w:val="List Paragraph"/>
    <w:basedOn w:val="Normal"/>
    <w:uiPriority w:val="34"/>
    <w:qFormat/>
    <w:rsid w:val="002D2157"/>
    <w:pPr>
      <w:spacing w:after="200" w:line="276" w:lineRule="auto"/>
      <w:ind w:left="720"/>
      <w:contextualSpacing/>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C853A6"/>
    <w:rPr>
      <w:color w:val="7F7F7F" w:themeColor="followedHyperlink"/>
      <w:u w:val="single"/>
    </w:rPr>
  </w:style>
  <w:style w:type="character" w:customStyle="1" w:styleId="UnresolvedMention">
    <w:name w:val="Unresolved Mention"/>
    <w:basedOn w:val="DefaultParagraphFont"/>
    <w:uiPriority w:val="99"/>
    <w:semiHidden/>
    <w:unhideWhenUsed/>
    <w:rsid w:val="00C85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347844">
      <w:bodyDiv w:val="1"/>
      <w:marLeft w:val="0"/>
      <w:marRight w:val="0"/>
      <w:marTop w:val="0"/>
      <w:marBottom w:val="0"/>
      <w:divBdr>
        <w:top w:val="none" w:sz="0" w:space="0" w:color="auto"/>
        <w:left w:val="none" w:sz="0" w:space="0" w:color="auto"/>
        <w:bottom w:val="none" w:sz="0" w:space="0" w:color="auto"/>
        <w:right w:val="none" w:sz="0" w:space="0" w:color="auto"/>
      </w:divBdr>
    </w:div>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1735086241">
      <w:bodyDiv w:val="1"/>
      <w:marLeft w:val="0"/>
      <w:marRight w:val="0"/>
      <w:marTop w:val="0"/>
      <w:marBottom w:val="0"/>
      <w:divBdr>
        <w:top w:val="none" w:sz="0" w:space="0" w:color="auto"/>
        <w:left w:val="none" w:sz="0" w:space="0" w:color="auto"/>
        <w:bottom w:val="none" w:sz="0" w:space="0" w:color="auto"/>
        <w:right w:val="none" w:sz="0" w:space="0" w:color="auto"/>
      </w:divBdr>
    </w:div>
    <w:div w:id="1803618221">
      <w:bodyDiv w:val="1"/>
      <w:marLeft w:val="0"/>
      <w:marRight w:val="0"/>
      <w:marTop w:val="0"/>
      <w:marBottom w:val="0"/>
      <w:divBdr>
        <w:top w:val="none" w:sz="0" w:space="0" w:color="auto"/>
        <w:left w:val="none" w:sz="0" w:space="0" w:color="auto"/>
        <w:bottom w:val="none" w:sz="0" w:space="0" w:color="auto"/>
        <w:right w:val="none" w:sz="0" w:space="0" w:color="auto"/>
      </w:divBdr>
    </w:div>
    <w:div w:id="1894122896">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act.gov.au/View/ni/2010-551/20101001-45478/PDF/2010-55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act.gov.au/ni/2009-62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act.gov.au/ni/2020-6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9" ma:contentTypeDescription="Create a new document." ma:contentTypeScope="" ma:versionID="9385ab3f1d2873a1963a3455395ec953">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9e8e38d44e022d07d67ee02009398247"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76C5-9063-45D5-A777-DAC2755E8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3.xml><?xml version="1.0" encoding="utf-8"?>
<ds:datastoreItem xmlns:ds="http://schemas.openxmlformats.org/officeDocument/2006/customXml" ds:itemID="{B02733C5-51FF-453B-99D7-6EFDCCE023AD}">
  <ds:schemaRefs>
    <ds:schemaRef ds:uri="http://purl.org/dc/elements/1.1/"/>
    <ds:schemaRef ds:uri="http://www.w3.org/XML/1998/namespace"/>
    <ds:schemaRef ds:uri="http://purl.org/dc/dcmitype/"/>
    <ds:schemaRef ds:uri="http://schemas.microsoft.com/office/2006/metadata/properties"/>
    <ds:schemaRef ds:uri="http://schemas.microsoft.com/office/2006/documentManagement/types"/>
    <ds:schemaRef ds:uri="4d47241e-7224-40da-83d9-1113ff4a4334"/>
    <ds:schemaRef ds:uri="f6c841be-bb08-4901-87b0-0033aa80d2c6"/>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9A28986A-05D8-450C-B4FD-A64996090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863</Words>
  <Characters>4923</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Greenland, Karen</dc:creator>
  <cp:keywords/>
  <dc:description/>
  <cp:lastModifiedBy>Milne, Sophie</cp:lastModifiedBy>
  <cp:revision>2</cp:revision>
  <cp:lastPrinted>2018-08-24T07:17:00Z</cp:lastPrinted>
  <dcterms:created xsi:type="dcterms:W3CDTF">2021-06-03T23:44:00Z</dcterms:created>
  <dcterms:modified xsi:type="dcterms:W3CDTF">2021-06-03T23:44:00Z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ies>
</file>