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7FE" w:rsidRPr="00104A8B" w:rsidRDefault="009517FE" w:rsidP="009517FE">
      <w:pPr>
        <w:spacing w:before="7560" w:after="240" w:line="259" w:lineRule="auto"/>
        <w:jc w:val="right"/>
        <w:rPr>
          <w:rFonts w:ascii="Arial Narrow" w:hAnsi="Arial Narrow"/>
          <w:sz w:val="42"/>
          <w:szCs w:val="42"/>
        </w:rPr>
      </w:pPr>
      <w:bookmarkStart w:id="0" w:name="_Toc500938167"/>
      <w:bookmarkStart w:id="1" w:name="_Toc500947015"/>
      <w:bookmarkStart w:id="2" w:name="_Toc501547024"/>
      <w:bookmarkStart w:id="3" w:name="_Toc501547379"/>
      <w:bookmarkStart w:id="4" w:name="_Toc505005664"/>
      <w:bookmarkStart w:id="5" w:name="_Toc505153755"/>
      <w:bookmarkStart w:id="6" w:name="_Toc508283423"/>
      <w:bookmarkStart w:id="7" w:name="_Toc510081779"/>
      <w:bookmarkStart w:id="8" w:name="_Toc511812216"/>
      <w:bookmarkStart w:id="9" w:name="_Toc512240154"/>
      <w:bookmarkStart w:id="10" w:name="_Toc513192151"/>
      <w:bookmarkStart w:id="11" w:name="_Toc514832413"/>
      <w:bookmarkStart w:id="12" w:name="_Toc514837957"/>
      <w:r w:rsidRPr="00104A8B">
        <w:rPr>
          <w:rFonts w:ascii="Arial Narrow" w:hAnsi="Arial Narrow"/>
          <w:sz w:val="42"/>
          <w:szCs w:val="42"/>
        </w:rPr>
        <w:t>Standing Committee on Justice and Community Safety (Legislative Scrutiny Role)</w:t>
      </w:r>
    </w:p>
    <w:p w:rsidR="000B0846" w:rsidRPr="00104A8B" w:rsidRDefault="000B0846" w:rsidP="001F1D6D">
      <w:pPr>
        <w:pStyle w:val="Heading1"/>
        <w:spacing w:before="2200"/>
      </w:pPr>
      <w:r w:rsidRPr="00104A8B">
        <w:t>S</w:t>
      </w:r>
      <w:r w:rsidR="00907785" w:rsidRPr="00104A8B">
        <w:t xml:space="preserve">crutiny Report </w:t>
      </w:r>
      <w:bookmarkEnd w:id="0"/>
      <w:bookmarkEnd w:id="1"/>
      <w:bookmarkEnd w:id="2"/>
      <w:bookmarkEnd w:id="3"/>
      <w:bookmarkEnd w:id="4"/>
      <w:bookmarkEnd w:id="5"/>
      <w:bookmarkEnd w:id="6"/>
      <w:bookmarkEnd w:id="7"/>
      <w:bookmarkEnd w:id="8"/>
      <w:bookmarkEnd w:id="9"/>
      <w:bookmarkEnd w:id="10"/>
      <w:bookmarkEnd w:id="11"/>
      <w:bookmarkEnd w:id="12"/>
      <w:r w:rsidR="00017FCB">
        <w:t>3</w:t>
      </w:r>
    </w:p>
    <w:p w:rsidR="00D4210F" w:rsidRPr="00104A8B" w:rsidRDefault="00017FCB" w:rsidP="003D000F">
      <w:pPr>
        <w:spacing w:before="1800" w:after="240"/>
        <w:jc w:val="right"/>
        <w:rPr>
          <w:sz w:val="24"/>
          <w:szCs w:val="24"/>
        </w:rPr>
      </w:pPr>
      <w:r>
        <w:rPr>
          <w:sz w:val="24"/>
          <w:szCs w:val="24"/>
        </w:rPr>
        <w:t>1</w:t>
      </w:r>
      <w:r w:rsidR="00C2017D">
        <w:rPr>
          <w:sz w:val="24"/>
          <w:szCs w:val="24"/>
        </w:rPr>
        <w:t>4</w:t>
      </w:r>
      <w:r>
        <w:rPr>
          <w:sz w:val="24"/>
          <w:szCs w:val="24"/>
        </w:rPr>
        <w:t xml:space="preserve"> APRIL</w:t>
      </w:r>
      <w:r w:rsidR="00107EEA">
        <w:rPr>
          <w:sz w:val="24"/>
          <w:szCs w:val="24"/>
        </w:rPr>
        <w:t xml:space="preserve"> 2021</w:t>
      </w:r>
    </w:p>
    <w:p w:rsidR="00D4210F" w:rsidRPr="00104A8B" w:rsidRDefault="00D4210F" w:rsidP="00D4210F">
      <w:r w:rsidRPr="00104A8B">
        <w:br w:type="page"/>
      </w:r>
    </w:p>
    <w:p w:rsidR="000B0846" w:rsidRPr="00104A8B" w:rsidRDefault="000B0846" w:rsidP="000B0846">
      <w:pPr>
        <w:spacing w:before="1800" w:after="240"/>
        <w:jc w:val="right"/>
      </w:pPr>
    </w:p>
    <w:p w:rsidR="00AE4D51" w:rsidRPr="00104A8B" w:rsidRDefault="00AE4D51" w:rsidP="00AC094E">
      <w:pPr>
        <w:pStyle w:val="Heading2"/>
        <w:rPr>
          <w:rFonts w:asciiTheme="minorHAnsi" w:hAnsiTheme="minorHAnsi"/>
        </w:rPr>
        <w:sectPr w:rsidR="00AE4D51" w:rsidRPr="00104A8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bookmarkStart w:id="13" w:name="_Toc500938168"/>
      <w:bookmarkStart w:id="14" w:name="_Toc500947016"/>
    </w:p>
    <w:p w:rsidR="002A185D" w:rsidRPr="00104A8B" w:rsidRDefault="002A185D" w:rsidP="00AC094E">
      <w:pPr>
        <w:pStyle w:val="Heading2"/>
        <w:rPr>
          <w:rFonts w:asciiTheme="minorHAnsi" w:hAnsiTheme="minorHAnsi"/>
        </w:rPr>
      </w:pPr>
      <w:bookmarkStart w:id="15" w:name="_Toc502671580"/>
      <w:bookmarkStart w:id="16" w:name="_Toc502671759"/>
      <w:bookmarkStart w:id="17" w:name="_Toc502671864"/>
      <w:bookmarkStart w:id="18" w:name="_Toc502672797"/>
      <w:bookmarkStart w:id="19" w:name="_Toc514768035"/>
      <w:bookmarkStart w:id="20" w:name="_Toc514837958"/>
      <w:bookmarkStart w:id="21" w:name="_Toc518297244"/>
      <w:bookmarkStart w:id="22" w:name="_Toc519069302"/>
      <w:bookmarkStart w:id="23" w:name="_Toc519069363"/>
      <w:bookmarkStart w:id="24" w:name="_Toc519520730"/>
      <w:bookmarkStart w:id="25" w:name="_Toc520188709"/>
      <w:bookmarkStart w:id="26" w:name="_Toc521054226"/>
      <w:bookmarkStart w:id="27" w:name="_Toc521054313"/>
      <w:bookmarkStart w:id="28" w:name="_Toc521054385"/>
      <w:bookmarkStart w:id="29" w:name="_Toc523753608"/>
      <w:bookmarkStart w:id="30" w:name="_Toc523814157"/>
      <w:bookmarkStart w:id="31" w:name="_Toc523900448"/>
      <w:bookmarkStart w:id="32" w:name="_Toc526855809"/>
      <w:bookmarkStart w:id="33" w:name="_Toc528155835"/>
      <w:bookmarkStart w:id="34" w:name="_Toc528157194"/>
      <w:bookmarkStart w:id="35" w:name="_Toc528310847"/>
      <w:bookmarkStart w:id="36" w:name="_Toc529974526"/>
      <w:bookmarkStart w:id="37" w:name="_Toc530039421"/>
      <w:bookmarkStart w:id="38" w:name="_Toc536527669"/>
      <w:bookmarkStart w:id="39" w:name="_Toc536527832"/>
      <w:bookmarkStart w:id="40" w:name="_Toc536615370"/>
      <w:bookmarkStart w:id="41" w:name="_Toc172148"/>
      <w:bookmarkStart w:id="42" w:name="_Toc506073"/>
      <w:bookmarkStart w:id="43" w:name="_Toc945917"/>
      <w:bookmarkStart w:id="44" w:name="_Toc965807"/>
      <w:bookmarkStart w:id="45" w:name="_Toc2839571"/>
      <w:bookmarkStart w:id="46" w:name="_Toc2850231"/>
      <w:bookmarkStart w:id="47" w:name="_Toc3271208"/>
      <w:bookmarkStart w:id="48" w:name="_Toc4588269"/>
      <w:bookmarkStart w:id="49" w:name="_Toc4652915"/>
      <w:bookmarkStart w:id="50" w:name="_Toc5003657"/>
      <w:bookmarkStart w:id="51" w:name="_Toc6211030"/>
      <w:bookmarkStart w:id="52" w:name="_Toc9499988"/>
      <w:bookmarkStart w:id="53" w:name="_Toc14266110"/>
      <w:bookmarkStart w:id="54" w:name="_Toc14334599"/>
      <w:bookmarkStart w:id="55" w:name="_Toc14775949"/>
      <w:bookmarkStart w:id="56" w:name="_Toc15285027"/>
      <w:bookmarkStart w:id="57" w:name="_Toc15630647"/>
      <w:bookmarkStart w:id="58" w:name="_Toc18415319"/>
      <w:bookmarkStart w:id="59" w:name="_Toc18487687"/>
      <w:bookmarkStart w:id="60" w:name="_Toc19708390"/>
      <w:bookmarkStart w:id="61" w:name="_Toc20131679"/>
      <w:bookmarkStart w:id="62" w:name="_Toc21595437"/>
      <w:bookmarkStart w:id="63" w:name="_Toc22025438"/>
      <w:bookmarkStart w:id="64" w:name="_Toc24463701"/>
      <w:bookmarkStart w:id="65" w:name="_Toc24617698"/>
      <w:bookmarkStart w:id="66" w:name="_Toc25050770"/>
      <w:bookmarkStart w:id="67" w:name="_Toc31202134"/>
      <w:bookmarkStart w:id="68" w:name="_Toc31202255"/>
      <w:bookmarkStart w:id="69" w:name="_Toc32390195"/>
      <w:bookmarkStart w:id="70" w:name="_Toc32566836"/>
      <w:bookmarkStart w:id="71" w:name="_Toc35437926"/>
      <w:bookmarkStart w:id="72" w:name="_Toc38270536"/>
      <w:bookmarkStart w:id="73" w:name="_Toc38362387"/>
      <w:bookmarkStart w:id="74" w:name="_Toc38441868"/>
      <w:bookmarkStart w:id="75" w:name="_Toc38442375"/>
      <w:bookmarkStart w:id="76" w:name="_Toc38976313"/>
      <w:bookmarkStart w:id="77" w:name="_Toc40693084"/>
      <w:bookmarkStart w:id="78" w:name="_Toc40693225"/>
      <w:bookmarkStart w:id="79" w:name="_Toc41570911"/>
      <w:bookmarkStart w:id="80" w:name="_Toc42874993"/>
      <w:bookmarkStart w:id="81" w:name="_Toc44074210"/>
      <w:bookmarkStart w:id="82" w:name="_Toc44317221"/>
      <w:bookmarkStart w:id="83" w:name="_Toc44323924"/>
      <w:bookmarkStart w:id="84" w:name="_Toc68774203"/>
      <w:bookmarkStart w:id="85" w:name="_Toc68774236"/>
      <w:bookmarkStart w:id="86" w:name="_Toc69207586"/>
      <w:bookmarkStart w:id="87" w:name="_Toc500938169"/>
      <w:bookmarkStart w:id="88" w:name="_Toc500947017"/>
      <w:bookmarkStart w:id="89" w:name="_Toc501547026"/>
      <w:bookmarkStart w:id="90" w:name="_Toc501547381"/>
      <w:bookmarkStart w:id="91" w:name="_Toc505005665"/>
      <w:bookmarkStart w:id="92" w:name="_Toc505153756"/>
      <w:bookmarkStart w:id="93" w:name="_Toc508283424"/>
      <w:bookmarkStart w:id="94" w:name="_Toc510081780"/>
      <w:bookmarkStart w:id="95" w:name="_Toc511812217"/>
      <w:bookmarkStart w:id="96" w:name="_Toc512240155"/>
      <w:bookmarkStart w:id="97" w:name="_Toc513192152"/>
      <w:bookmarkStart w:id="98" w:name="_Toc514832414"/>
      <w:bookmarkEnd w:id="13"/>
      <w:bookmarkEnd w:id="14"/>
      <w:r w:rsidRPr="00104A8B">
        <w:rPr>
          <w:rFonts w:asciiTheme="minorHAnsi" w:hAnsiTheme="minorHAnsi"/>
        </w:rPr>
        <w:lastRenderedPageBreak/>
        <w:t>The Committee</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0B0846" w:rsidRPr="00104A8B" w:rsidRDefault="000B0846" w:rsidP="002A185D">
      <w:pPr>
        <w:pStyle w:val="Heading3"/>
        <w:rPr>
          <w:rFonts w:asciiTheme="minorHAnsi" w:hAnsiTheme="minorHAnsi"/>
        </w:rPr>
      </w:pPr>
      <w:bookmarkStart w:id="99" w:name="_Toc514837959"/>
      <w:bookmarkStart w:id="100" w:name="_Toc514943593"/>
      <w:bookmarkStart w:id="101" w:name="_Toc515352036"/>
      <w:bookmarkStart w:id="102" w:name="_Toc518297245"/>
      <w:bookmarkStart w:id="103" w:name="_Toc519069303"/>
      <w:bookmarkStart w:id="104" w:name="_Toc519069364"/>
      <w:bookmarkStart w:id="105" w:name="_Toc519520731"/>
      <w:bookmarkStart w:id="106" w:name="_Toc520188710"/>
      <w:bookmarkStart w:id="107" w:name="_Toc521054227"/>
      <w:bookmarkStart w:id="108" w:name="_Toc521054314"/>
      <w:bookmarkStart w:id="109" w:name="_Toc521054386"/>
      <w:bookmarkStart w:id="110" w:name="_Toc523753609"/>
      <w:bookmarkStart w:id="111" w:name="_Toc523814158"/>
      <w:bookmarkStart w:id="112" w:name="_Toc523900449"/>
      <w:bookmarkStart w:id="113" w:name="_Toc526855810"/>
      <w:bookmarkStart w:id="114" w:name="_Toc528155836"/>
      <w:bookmarkStart w:id="115" w:name="_Toc528157195"/>
      <w:bookmarkStart w:id="116" w:name="_Toc528310848"/>
      <w:bookmarkStart w:id="117" w:name="_Toc529974527"/>
      <w:bookmarkStart w:id="118" w:name="_Toc530039422"/>
      <w:bookmarkStart w:id="119" w:name="_Toc536527670"/>
      <w:bookmarkStart w:id="120" w:name="_Toc536527833"/>
      <w:bookmarkStart w:id="121" w:name="_Toc536615371"/>
      <w:bookmarkStart w:id="122" w:name="_Toc172149"/>
      <w:bookmarkStart w:id="123" w:name="_Toc506074"/>
      <w:bookmarkStart w:id="124" w:name="_Toc945918"/>
      <w:bookmarkStart w:id="125" w:name="_Toc965808"/>
      <w:bookmarkStart w:id="126" w:name="_Toc2839572"/>
      <w:bookmarkStart w:id="127" w:name="_Toc2850232"/>
      <w:bookmarkStart w:id="128" w:name="_Toc3271209"/>
      <w:bookmarkStart w:id="129" w:name="_Toc4588270"/>
      <w:bookmarkStart w:id="130" w:name="_Toc4652916"/>
      <w:bookmarkStart w:id="131" w:name="_Toc5003658"/>
      <w:bookmarkStart w:id="132" w:name="_Toc6211031"/>
      <w:bookmarkStart w:id="133" w:name="_Toc9499989"/>
      <w:bookmarkStart w:id="134" w:name="_Toc14266111"/>
      <w:bookmarkStart w:id="135" w:name="_Toc14334600"/>
      <w:bookmarkStart w:id="136" w:name="_Toc14775950"/>
      <w:bookmarkStart w:id="137" w:name="_Toc15285028"/>
      <w:bookmarkStart w:id="138" w:name="_Toc15630648"/>
      <w:bookmarkStart w:id="139" w:name="_Toc18415320"/>
      <w:bookmarkStart w:id="140" w:name="_Toc18487688"/>
      <w:bookmarkStart w:id="141" w:name="_Toc19708391"/>
      <w:bookmarkStart w:id="142" w:name="_Toc20131680"/>
      <w:bookmarkStart w:id="143" w:name="_Toc21595438"/>
      <w:bookmarkStart w:id="144" w:name="_Toc22025439"/>
      <w:bookmarkStart w:id="145" w:name="_Toc24463702"/>
      <w:bookmarkStart w:id="146" w:name="_Toc24617699"/>
      <w:bookmarkStart w:id="147" w:name="_Toc25050771"/>
      <w:bookmarkStart w:id="148" w:name="_Toc31202135"/>
      <w:bookmarkStart w:id="149" w:name="_Toc31202256"/>
      <w:bookmarkStart w:id="150" w:name="_Toc32390196"/>
      <w:bookmarkStart w:id="151" w:name="_Toc32566837"/>
      <w:bookmarkStart w:id="152" w:name="_Toc35437927"/>
      <w:bookmarkStart w:id="153" w:name="_Toc38270537"/>
      <w:bookmarkStart w:id="154" w:name="_Toc38362388"/>
      <w:bookmarkStart w:id="155" w:name="_Toc38441869"/>
      <w:bookmarkStart w:id="156" w:name="_Toc38442376"/>
      <w:bookmarkStart w:id="157" w:name="_Toc38976314"/>
      <w:bookmarkStart w:id="158" w:name="_Toc40693085"/>
      <w:bookmarkStart w:id="159" w:name="_Toc40693226"/>
      <w:bookmarkStart w:id="160" w:name="_Toc41570912"/>
      <w:bookmarkStart w:id="161" w:name="_Toc42874994"/>
      <w:bookmarkStart w:id="162" w:name="_Toc44074211"/>
      <w:bookmarkStart w:id="163" w:name="_Toc44317222"/>
      <w:bookmarkStart w:id="164" w:name="_Toc44323925"/>
      <w:bookmarkStart w:id="165" w:name="_Toc68774204"/>
      <w:bookmarkStart w:id="166" w:name="_Toc68774237"/>
      <w:bookmarkStart w:id="167" w:name="_Toc69207587"/>
      <w:r w:rsidRPr="00104A8B">
        <w:rPr>
          <w:rFonts w:asciiTheme="minorHAnsi" w:hAnsiTheme="minorHAnsi"/>
        </w:rPr>
        <w:t>C</w:t>
      </w:r>
      <w:r w:rsidR="00474136" w:rsidRPr="00104A8B">
        <w:rPr>
          <w:rFonts w:asciiTheme="minorHAnsi" w:hAnsiTheme="minorHAnsi"/>
        </w:rPr>
        <w:t>ommittee Membership</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0B0846" w:rsidRPr="00104A8B" w:rsidRDefault="00E41D9C" w:rsidP="009C4F5B">
      <w:pPr>
        <w:pStyle w:val="ListParagraph"/>
        <w:ind w:left="0"/>
      </w:pPr>
      <w:r>
        <w:t>Mr Jeremy Hanson MLA</w:t>
      </w:r>
      <w:r w:rsidR="00A919BD" w:rsidRPr="00104A8B">
        <w:t xml:space="preserve"> </w:t>
      </w:r>
      <w:r w:rsidR="000B0846" w:rsidRPr="00104A8B">
        <w:t>(Chair)</w:t>
      </w:r>
    </w:p>
    <w:p w:rsidR="000B0846" w:rsidRPr="00104A8B" w:rsidRDefault="00E41D9C" w:rsidP="009C4F5B">
      <w:pPr>
        <w:pStyle w:val="ListParagraph"/>
        <w:ind w:left="0"/>
      </w:pPr>
      <w:r>
        <w:t>Dr Marisa Pa</w:t>
      </w:r>
      <w:r w:rsidR="00F825FE">
        <w:t>t</w:t>
      </w:r>
      <w:r>
        <w:t>erson</w:t>
      </w:r>
      <w:r w:rsidR="000B0846" w:rsidRPr="00104A8B">
        <w:t xml:space="preserve"> (Deputy Chair)</w:t>
      </w:r>
    </w:p>
    <w:p w:rsidR="000B0846" w:rsidRPr="00104A8B" w:rsidRDefault="00E41D9C" w:rsidP="009C4F5B">
      <w:pPr>
        <w:pStyle w:val="ListParagraph"/>
        <w:spacing w:after="360"/>
        <w:ind w:left="0"/>
      </w:pPr>
      <w:r>
        <w:t>Ms Jo Clay</w:t>
      </w:r>
      <w:r w:rsidR="003C4A44">
        <w:t xml:space="preserve"> ML</w:t>
      </w:r>
      <w:r w:rsidR="000B0846" w:rsidRPr="00104A8B">
        <w:t>A</w:t>
      </w:r>
    </w:p>
    <w:p w:rsidR="000B0846" w:rsidRPr="00104A8B" w:rsidRDefault="000B0846" w:rsidP="002A185D">
      <w:pPr>
        <w:pStyle w:val="Heading3"/>
        <w:rPr>
          <w:rFonts w:asciiTheme="minorHAnsi" w:hAnsiTheme="minorHAnsi"/>
        </w:rPr>
      </w:pPr>
      <w:bookmarkStart w:id="168" w:name="_Toc500938170"/>
      <w:bookmarkStart w:id="169" w:name="_Toc500947018"/>
      <w:bookmarkStart w:id="170" w:name="_Toc501547027"/>
      <w:bookmarkStart w:id="171" w:name="_Toc501547382"/>
      <w:bookmarkStart w:id="172" w:name="_Toc505005666"/>
      <w:bookmarkStart w:id="173" w:name="_Toc505153757"/>
      <w:bookmarkStart w:id="174" w:name="_Toc508283425"/>
      <w:bookmarkStart w:id="175" w:name="_Toc510081781"/>
      <w:bookmarkStart w:id="176" w:name="_Toc511812218"/>
      <w:bookmarkStart w:id="177" w:name="_Toc512240156"/>
      <w:bookmarkStart w:id="178" w:name="_Toc513192153"/>
      <w:bookmarkStart w:id="179" w:name="_Toc514832415"/>
      <w:bookmarkStart w:id="180" w:name="_Toc514837960"/>
      <w:bookmarkStart w:id="181" w:name="_Toc514943594"/>
      <w:bookmarkStart w:id="182" w:name="_Toc515352037"/>
      <w:bookmarkStart w:id="183" w:name="_Toc518297246"/>
      <w:bookmarkStart w:id="184" w:name="_Toc519069304"/>
      <w:bookmarkStart w:id="185" w:name="_Toc519069365"/>
      <w:bookmarkStart w:id="186" w:name="_Toc519520732"/>
      <w:bookmarkStart w:id="187" w:name="_Toc520188711"/>
      <w:bookmarkStart w:id="188" w:name="_Toc521054228"/>
      <w:bookmarkStart w:id="189" w:name="_Toc521054315"/>
      <w:bookmarkStart w:id="190" w:name="_Toc521054387"/>
      <w:bookmarkStart w:id="191" w:name="_Toc523753610"/>
      <w:bookmarkStart w:id="192" w:name="_Toc523814159"/>
      <w:bookmarkStart w:id="193" w:name="_Toc523900450"/>
      <w:bookmarkStart w:id="194" w:name="_Toc526855811"/>
      <w:bookmarkStart w:id="195" w:name="_Toc528155837"/>
      <w:bookmarkStart w:id="196" w:name="_Toc528157196"/>
      <w:bookmarkStart w:id="197" w:name="_Toc528310849"/>
      <w:bookmarkStart w:id="198" w:name="_Toc529974528"/>
      <w:bookmarkStart w:id="199" w:name="_Toc530039423"/>
      <w:bookmarkStart w:id="200" w:name="_Toc536527671"/>
      <w:bookmarkStart w:id="201" w:name="_Toc536527834"/>
      <w:bookmarkStart w:id="202" w:name="_Toc536615372"/>
      <w:bookmarkStart w:id="203" w:name="_Toc172150"/>
      <w:bookmarkStart w:id="204" w:name="_Toc506075"/>
      <w:bookmarkStart w:id="205" w:name="_Toc945919"/>
      <w:bookmarkStart w:id="206" w:name="_Toc965809"/>
      <w:bookmarkStart w:id="207" w:name="_Toc2839573"/>
      <w:bookmarkStart w:id="208" w:name="_Toc2850233"/>
      <w:bookmarkStart w:id="209" w:name="_Toc3271210"/>
      <w:bookmarkStart w:id="210" w:name="_Toc4588271"/>
      <w:bookmarkStart w:id="211" w:name="_Toc4652917"/>
      <w:bookmarkStart w:id="212" w:name="_Toc5003659"/>
      <w:bookmarkStart w:id="213" w:name="_Toc6211032"/>
      <w:bookmarkStart w:id="214" w:name="_Toc9499990"/>
      <w:bookmarkStart w:id="215" w:name="_Toc14266112"/>
      <w:bookmarkStart w:id="216" w:name="_Toc14334601"/>
      <w:bookmarkStart w:id="217" w:name="_Toc14775951"/>
      <w:bookmarkStart w:id="218" w:name="_Toc15285029"/>
      <w:bookmarkStart w:id="219" w:name="_Toc15630649"/>
      <w:bookmarkStart w:id="220" w:name="_Toc18415321"/>
      <w:bookmarkStart w:id="221" w:name="_Toc18487689"/>
      <w:bookmarkStart w:id="222" w:name="_Toc19708392"/>
      <w:bookmarkStart w:id="223" w:name="_Toc20131681"/>
      <w:bookmarkStart w:id="224" w:name="_Toc21595439"/>
      <w:bookmarkStart w:id="225" w:name="_Toc22025440"/>
      <w:bookmarkStart w:id="226" w:name="_Toc24463703"/>
      <w:bookmarkStart w:id="227" w:name="_Toc24617700"/>
      <w:bookmarkStart w:id="228" w:name="_Toc25050772"/>
      <w:bookmarkStart w:id="229" w:name="_Toc31202136"/>
      <w:bookmarkStart w:id="230" w:name="_Toc31202257"/>
      <w:bookmarkStart w:id="231" w:name="_Toc32390197"/>
      <w:bookmarkStart w:id="232" w:name="_Toc32566838"/>
      <w:bookmarkStart w:id="233" w:name="_Toc35437928"/>
      <w:bookmarkStart w:id="234" w:name="_Toc38270538"/>
      <w:bookmarkStart w:id="235" w:name="_Toc38362389"/>
      <w:bookmarkStart w:id="236" w:name="_Toc38441870"/>
      <w:bookmarkStart w:id="237" w:name="_Toc38442377"/>
      <w:bookmarkStart w:id="238" w:name="_Toc38976315"/>
      <w:bookmarkStart w:id="239" w:name="_Toc40693086"/>
      <w:bookmarkStart w:id="240" w:name="_Toc40693227"/>
      <w:bookmarkStart w:id="241" w:name="_Toc41570913"/>
      <w:bookmarkStart w:id="242" w:name="_Toc42874995"/>
      <w:bookmarkStart w:id="243" w:name="_Toc44074212"/>
      <w:bookmarkStart w:id="244" w:name="_Toc44317223"/>
      <w:bookmarkStart w:id="245" w:name="_Toc44323926"/>
      <w:bookmarkStart w:id="246" w:name="_Toc68774205"/>
      <w:bookmarkStart w:id="247" w:name="_Toc68774238"/>
      <w:bookmarkStart w:id="248" w:name="_Toc69207588"/>
      <w:r w:rsidRPr="00104A8B">
        <w:rPr>
          <w:rFonts w:asciiTheme="minorHAnsi" w:hAnsiTheme="minorHAnsi"/>
        </w:rPr>
        <w:t>S</w:t>
      </w:r>
      <w:bookmarkEnd w:id="168"/>
      <w:r w:rsidR="00474136" w:rsidRPr="00104A8B">
        <w:rPr>
          <w:rFonts w:asciiTheme="minorHAnsi" w:hAnsiTheme="minorHAnsi"/>
        </w:rPr>
        <w:t>ecretariat</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5D7839" w:rsidRDefault="00E41D9C" w:rsidP="009C4F5B">
      <w:pPr>
        <w:pStyle w:val="ListParagraph"/>
        <w:ind w:left="0"/>
      </w:pPr>
      <w:r>
        <w:t xml:space="preserve">Ms Julia Agostino </w:t>
      </w:r>
      <w:r w:rsidR="005D7839">
        <w:t>(Secretary)</w:t>
      </w:r>
    </w:p>
    <w:p w:rsidR="000B0846" w:rsidRPr="00104A8B" w:rsidRDefault="00BA64E2" w:rsidP="009C4F5B">
      <w:pPr>
        <w:pStyle w:val="ListParagraph"/>
        <w:ind w:left="0"/>
      </w:pPr>
      <w:r>
        <w:t xml:space="preserve">Ms </w:t>
      </w:r>
      <w:r w:rsidR="00E41D9C">
        <w:t>Sophie Milne</w:t>
      </w:r>
      <w:r>
        <w:t xml:space="preserve"> </w:t>
      </w:r>
      <w:r w:rsidR="000B0846" w:rsidRPr="00104A8B">
        <w:t>(Assistant Secretary)</w:t>
      </w:r>
    </w:p>
    <w:p w:rsidR="000B0846" w:rsidRPr="00104A8B" w:rsidRDefault="000B0846" w:rsidP="009C4F5B">
      <w:pPr>
        <w:pStyle w:val="ListParagraph"/>
        <w:ind w:left="0"/>
      </w:pPr>
      <w:r w:rsidRPr="00104A8B">
        <w:t>Mr Stephen Argument (Legal Adviser—Subordinate Legislation)</w:t>
      </w:r>
    </w:p>
    <w:p w:rsidR="000B0846" w:rsidRDefault="000B0846" w:rsidP="009C4F5B">
      <w:pPr>
        <w:pStyle w:val="ListParagraph"/>
        <w:spacing w:after="360"/>
        <w:ind w:left="0"/>
      </w:pPr>
      <w:r w:rsidRPr="00104A8B">
        <w:t>Mr Daniel Stewart (Legal Adviser—Bills)</w:t>
      </w:r>
    </w:p>
    <w:p w:rsidR="000B0846" w:rsidRPr="00104A8B" w:rsidRDefault="000B0846" w:rsidP="002A185D">
      <w:pPr>
        <w:pStyle w:val="Heading3"/>
        <w:rPr>
          <w:rFonts w:asciiTheme="minorHAnsi" w:hAnsiTheme="minorHAnsi"/>
        </w:rPr>
      </w:pPr>
      <w:bookmarkStart w:id="249" w:name="_Toc500938171"/>
      <w:bookmarkStart w:id="250" w:name="_Toc500947019"/>
      <w:bookmarkStart w:id="251" w:name="_Toc501547028"/>
      <w:bookmarkStart w:id="252" w:name="_Toc501547383"/>
      <w:bookmarkStart w:id="253" w:name="_Toc505005667"/>
      <w:bookmarkStart w:id="254" w:name="_Toc505153758"/>
      <w:bookmarkStart w:id="255" w:name="_Toc508283426"/>
      <w:bookmarkStart w:id="256" w:name="_Toc510081782"/>
      <w:bookmarkStart w:id="257" w:name="_Toc511812219"/>
      <w:bookmarkStart w:id="258" w:name="_Toc512240157"/>
      <w:bookmarkStart w:id="259" w:name="_Toc513192154"/>
      <w:bookmarkStart w:id="260" w:name="_Toc514832416"/>
      <w:bookmarkStart w:id="261" w:name="_Toc514837961"/>
      <w:bookmarkStart w:id="262" w:name="_Toc514943595"/>
      <w:bookmarkStart w:id="263" w:name="_Toc515352038"/>
      <w:bookmarkStart w:id="264" w:name="_Toc518297247"/>
      <w:bookmarkStart w:id="265" w:name="_Toc519069305"/>
      <w:bookmarkStart w:id="266" w:name="_Toc519069366"/>
      <w:bookmarkStart w:id="267" w:name="_Toc519520733"/>
      <w:bookmarkStart w:id="268" w:name="_Toc520188712"/>
      <w:bookmarkStart w:id="269" w:name="_Toc521054229"/>
      <w:bookmarkStart w:id="270" w:name="_Toc521054316"/>
      <w:bookmarkStart w:id="271" w:name="_Toc521054388"/>
      <w:bookmarkStart w:id="272" w:name="_Toc523753611"/>
      <w:bookmarkStart w:id="273" w:name="_Toc523814160"/>
      <w:bookmarkStart w:id="274" w:name="_Toc523900451"/>
      <w:bookmarkStart w:id="275" w:name="_Toc526855812"/>
      <w:bookmarkStart w:id="276" w:name="_Toc528155838"/>
      <w:bookmarkStart w:id="277" w:name="_Toc528157197"/>
      <w:bookmarkStart w:id="278" w:name="_Toc528310850"/>
      <w:bookmarkStart w:id="279" w:name="_Toc529974529"/>
      <w:bookmarkStart w:id="280" w:name="_Toc530039424"/>
      <w:bookmarkStart w:id="281" w:name="_Toc536527672"/>
      <w:bookmarkStart w:id="282" w:name="_Toc536527835"/>
      <w:bookmarkStart w:id="283" w:name="_Toc536615373"/>
      <w:bookmarkStart w:id="284" w:name="_Toc172151"/>
      <w:bookmarkStart w:id="285" w:name="_Toc506076"/>
      <w:bookmarkStart w:id="286" w:name="_Toc945920"/>
      <w:bookmarkStart w:id="287" w:name="_Toc965810"/>
      <w:bookmarkStart w:id="288" w:name="_Toc2839574"/>
      <w:bookmarkStart w:id="289" w:name="_Toc2850234"/>
      <w:bookmarkStart w:id="290" w:name="_Toc3271211"/>
      <w:bookmarkStart w:id="291" w:name="_Toc4588272"/>
      <w:bookmarkStart w:id="292" w:name="_Toc4652918"/>
      <w:bookmarkStart w:id="293" w:name="_Toc5003660"/>
      <w:bookmarkStart w:id="294" w:name="_Toc6211033"/>
      <w:bookmarkStart w:id="295" w:name="_Toc9499991"/>
      <w:bookmarkStart w:id="296" w:name="_Toc14266113"/>
      <w:bookmarkStart w:id="297" w:name="_Toc14334602"/>
      <w:bookmarkStart w:id="298" w:name="_Toc14775952"/>
      <w:bookmarkStart w:id="299" w:name="_Toc15285030"/>
      <w:bookmarkStart w:id="300" w:name="_Toc15630650"/>
      <w:bookmarkStart w:id="301" w:name="_Toc18415322"/>
      <w:bookmarkStart w:id="302" w:name="_Toc18487690"/>
      <w:bookmarkStart w:id="303" w:name="_Toc19708393"/>
      <w:bookmarkStart w:id="304" w:name="_Toc20131682"/>
      <w:bookmarkStart w:id="305" w:name="_Toc21595440"/>
      <w:bookmarkStart w:id="306" w:name="_Toc22025441"/>
      <w:bookmarkStart w:id="307" w:name="_Toc24463704"/>
      <w:bookmarkStart w:id="308" w:name="_Toc24617701"/>
      <w:bookmarkStart w:id="309" w:name="_Toc25050773"/>
      <w:bookmarkStart w:id="310" w:name="_Toc31202137"/>
      <w:bookmarkStart w:id="311" w:name="_Toc31202258"/>
      <w:bookmarkStart w:id="312" w:name="_Toc32390198"/>
      <w:bookmarkStart w:id="313" w:name="_Toc32566839"/>
      <w:bookmarkStart w:id="314" w:name="_Toc35437929"/>
      <w:bookmarkStart w:id="315" w:name="_Toc38270539"/>
      <w:bookmarkStart w:id="316" w:name="_Toc38362390"/>
      <w:bookmarkStart w:id="317" w:name="_Toc38441871"/>
      <w:bookmarkStart w:id="318" w:name="_Toc38442378"/>
      <w:bookmarkStart w:id="319" w:name="_Toc38976316"/>
      <w:bookmarkStart w:id="320" w:name="_Toc40693087"/>
      <w:bookmarkStart w:id="321" w:name="_Toc40693228"/>
      <w:bookmarkStart w:id="322" w:name="_Toc41570914"/>
      <w:bookmarkStart w:id="323" w:name="_Toc42874996"/>
      <w:bookmarkStart w:id="324" w:name="_Toc44074213"/>
      <w:bookmarkStart w:id="325" w:name="_Toc44317224"/>
      <w:bookmarkStart w:id="326" w:name="_Toc44323927"/>
      <w:bookmarkStart w:id="327" w:name="_Toc68774206"/>
      <w:bookmarkStart w:id="328" w:name="_Toc68774239"/>
      <w:bookmarkStart w:id="329" w:name="_Toc69207589"/>
      <w:r w:rsidRPr="00104A8B">
        <w:rPr>
          <w:rFonts w:asciiTheme="minorHAnsi" w:hAnsiTheme="minorHAnsi"/>
        </w:rPr>
        <w:t>C</w:t>
      </w:r>
      <w:r w:rsidR="00474136" w:rsidRPr="00104A8B">
        <w:rPr>
          <w:rFonts w:asciiTheme="minorHAnsi" w:hAnsiTheme="minorHAnsi"/>
        </w:rPr>
        <w:t>ontact Information</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0B0846" w:rsidRPr="00104A8B" w:rsidRDefault="000B0846" w:rsidP="009C4F5B">
      <w:pPr>
        <w:pStyle w:val="ListParagraph"/>
        <w:tabs>
          <w:tab w:val="left" w:pos="1260"/>
        </w:tabs>
        <w:ind w:left="0"/>
      </w:pPr>
      <w:r w:rsidRPr="00104A8B">
        <w:t>Telephone</w:t>
      </w:r>
      <w:r w:rsidRPr="00104A8B">
        <w:tab/>
        <w:t xml:space="preserve">02 6205 </w:t>
      </w:r>
      <w:r w:rsidR="00415478">
        <w:t>0</w:t>
      </w:r>
      <w:r w:rsidR="00BE6460">
        <w:t>171</w:t>
      </w:r>
    </w:p>
    <w:p w:rsidR="000B0846" w:rsidRPr="00104A8B" w:rsidRDefault="000B0846" w:rsidP="009C4F5B">
      <w:pPr>
        <w:pStyle w:val="ListParagraph"/>
        <w:tabs>
          <w:tab w:val="left" w:pos="1260"/>
        </w:tabs>
        <w:ind w:left="0"/>
      </w:pPr>
      <w:r w:rsidRPr="00104A8B">
        <w:t>Facsimile</w:t>
      </w:r>
      <w:r w:rsidRPr="00104A8B">
        <w:tab/>
        <w:t>02 6205 3109</w:t>
      </w:r>
    </w:p>
    <w:p w:rsidR="000B0846" w:rsidRPr="00104A8B" w:rsidRDefault="000B0846" w:rsidP="009C4F5B">
      <w:pPr>
        <w:pStyle w:val="ListParagraph"/>
        <w:tabs>
          <w:tab w:val="left" w:pos="1260"/>
        </w:tabs>
        <w:ind w:left="0"/>
      </w:pPr>
      <w:r w:rsidRPr="00104A8B">
        <w:t>Post</w:t>
      </w:r>
      <w:r w:rsidRPr="00104A8B">
        <w:tab/>
        <w:t>GPO Box 1020, CANBERRA ACT 2601</w:t>
      </w:r>
    </w:p>
    <w:p w:rsidR="000B0846" w:rsidRPr="00104A8B" w:rsidRDefault="000B0846" w:rsidP="009C4F5B">
      <w:pPr>
        <w:pStyle w:val="ListParagraph"/>
        <w:tabs>
          <w:tab w:val="left" w:pos="1260"/>
        </w:tabs>
        <w:ind w:left="0"/>
      </w:pPr>
      <w:r w:rsidRPr="00104A8B">
        <w:t>Email</w:t>
      </w:r>
      <w:r w:rsidRPr="00104A8B">
        <w:tab/>
        <w:t>scrutiny@parliament.act.gov.au</w:t>
      </w:r>
    </w:p>
    <w:p w:rsidR="000B0846" w:rsidRPr="00104A8B" w:rsidRDefault="000B0846" w:rsidP="009C4F5B">
      <w:pPr>
        <w:pStyle w:val="ListParagraph"/>
        <w:tabs>
          <w:tab w:val="left" w:pos="1260"/>
        </w:tabs>
        <w:spacing w:after="360"/>
        <w:ind w:left="0"/>
      </w:pPr>
      <w:r w:rsidRPr="00104A8B">
        <w:t>Website</w:t>
      </w:r>
      <w:r w:rsidRPr="00104A8B">
        <w:tab/>
        <w:t>www.parliament.act.gov.au</w:t>
      </w:r>
    </w:p>
    <w:p w:rsidR="000B0846" w:rsidRPr="00104A8B" w:rsidRDefault="000B0846" w:rsidP="002A185D">
      <w:pPr>
        <w:pStyle w:val="Heading3"/>
        <w:rPr>
          <w:rFonts w:asciiTheme="minorHAnsi" w:hAnsiTheme="minorHAnsi"/>
        </w:rPr>
      </w:pPr>
      <w:bookmarkStart w:id="330" w:name="_Toc500938172"/>
      <w:bookmarkStart w:id="331" w:name="_Toc500947020"/>
      <w:bookmarkStart w:id="332" w:name="_Toc501547029"/>
      <w:bookmarkStart w:id="333" w:name="_Toc501547384"/>
      <w:bookmarkStart w:id="334" w:name="_Toc505005668"/>
      <w:bookmarkStart w:id="335" w:name="_Toc505153759"/>
      <w:bookmarkStart w:id="336" w:name="_Toc508283427"/>
      <w:bookmarkStart w:id="337" w:name="_Toc510081783"/>
      <w:bookmarkStart w:id="338" w:name="_Toc511812220"/>
      <w:bookmarkStart w:id="339" w:name="_Toc512240158"/>
      <w:bookmarkStart w:id="340" w:name="_Toc513192155"/>
      <w:bookmarkStart w:id="341" w:name="_Toc514832417"/>
      <w:bookmarkStart w:id="342" w:name="_Toc514837962"/>
      <w:bookmarkStart w:id="343" w:name="_Toc514943596"/>
      <w:bookmarkStart w:id="344" w:name="_Toc515352039"/>
      <w:bookmarkStart w:id="345" w:name="_Toc518297248"/>
      <w:bookmarkStart w:id="346" w:name="_Toc519069306"/>
      <w:bookmarkStart w:id="347" w:name="_Toc519069367"/>
      <w:bookmarkStart w:id="348" w:name="_Toc519520734"/>
      <w:bookmarkStart w:id="349" w:name="_Toc520188713"/>
      <w:bookmarkStart w:id="350" w:name="_Toc521054230"/>
      <w:bookmarkStart w:id="351" w:name="_Toc521054317"/>
      <w:bookmarkStart w:id="352" w:name="_Toc521054389"/>
      <w:bookmarkStart w:id="353" w:name="_Toc523753612"/>
      <w:bookmarkStart w:id="354" w:name="_Toc523814161"/>
      <w:bookmarkStart w:id="355" w:name="_Toc523900452"/>
      <w:bookmarkStart w:id="356" w:name="_Toc526855813"/>
      <w:bookmarkStart w:id="357" w:name="_Toc528155839"/>
      <w:bookmarkStart w:id="358" w:name="_Toc528157198"/>
      <w:bookmarkStart w:id="359" w:name="_Toc528310851"/>
      <w:bookmarkStart w:id="360" w:name="_Toc529974530"/>
      <w:bookmarkStart w:id="361" w:name="_Toc530039425"/>
      <w:bookmarkStart w:id="362" w:name="_Toc536527673"/>
      <w:bookmarkStart w:id="363" w:name="_Toc536527836"/>
      <w:bookmarkStart w:id="364" w:name="_Toc536615374"/>
      <w:bookmarkStart w:id="365" w:name="_Toc172152"/>
      <w:bookmarkStart w:id="366" w:name="_Toc506077"/>
      <w:bookmarkStart w:id="367" w:name="_Toc945921"/>
      <w:bookmarkStart w:id="368" w:name="_Toc965811"/>
      <w:bookmarkStart w:id="369" w:name="_Toc2839575"/>
      <w:bookmarkStart w:id="370" w:name="_Toc2850235"/>
      <w:bookmarkStart w:id="371" w:name="_Toc3271212"/>
      <w:bookmarkStart w:id="372" w:name="_Toc4588273"/>
      <w:bookmarkStart w:id="373" w:name="_Toc4652919"/>
      <w:bookmarkStart w:id="374" w:name="_Toc5003661"/>
      <w:bookmarkStart w:id="375" w:name="_Toc6211034"/>
      <w:bookmarkStart w:id="376" w:name="_Toc9499992"/>
      <w:bookmarkStart w:id="377" w:name="_Toc14266114"/>
      <w:bookmarkStart w:id="378" w:name="_Toc14334603"/>
      <w:bookmarkStart w:id="379" w:name="_Toc14775953"/>
      <w:bookmarkStart w:id="380" w:name="_Toc15285031"/>
      <w:bookmarkStart w:id="381" w:name="_Toc15630651"/>
      <w:bookmarkStart w:id="382" w:name="_Toc18415323"/>
      <w:bookmarkStart w:id="383" w:name="_Toc18487691"/>
      <w:bookmarkStart w:id="384" w:name="_Toc19708394"/>
      <w:bookmarkStart w:id="385" w:name="_Toc20131683"/>
      <w:bookmarkStart w:id="386" w:name="_Toc21595441"/>
      <w:bookmarkStart w:id="387" w:name="_Toc22025442"/>
      <w:bookmarkStart w:id="388" w:name="_Toc24463705"/>
      <w:bookmarkStart w:id="389" w:name="_Toc24617702"/>
      <w:bookmarkStart w:id="390" w:name="_Toc25050774"/>
      <w:bookmarkStart w:id="391" w:name="_Toc31202138"/>
      <w:bookmarkStart w:id="392" w:name="_Toc31202259"/>
      <w:bookmarkStart w:id="393" w:name="_Toc32390199"/>
      <w:bookmarkStart w:id="394" w:name="_Toc32566840"/>
      <w:bookmarkStart w:id="395" w:name="_Toc35437930"/>
      <w:bookmarkStart w:id="396" w:name="_Toc38270540"/>
      <w:bookmarkStart w:id="397" w:name="_Toc38362391"/>
      <w:bookmarkStart w:id="398" w:name="_Toc38441872"/>
      <w:bookmarkStart w:id="399" w:name="_Toc38442379"/>
      <w:bookmarkStart w:id="400" w:name="_Toc38976317"/>
      <w:bookmarkStart w:id="401" w:name="_Toc40693088"/>
      <w:bookmarkStart w:id="402" w:name="_Toc40693229"/>
      <w:bookmarkStart w:id="403" w:name="_Toc41570915"/>
      <w:bookmarkStart w:id="404" w:name="_Toc42874997"/>
      <w:bookmarkStart w:id="405" w:name="_Toc44074214"/>
      <w:bookmarkStart w:id="406" w:name="_Toc44317225"/>
      <w:bookmarkStart w:id="407" w:name="_Toc44323928"/>
      <w:bookmarkStart w:id="408" w:name="_Toc68774207"/>
      <w:bookmarkStart w:id="409" w:name="_Toc68774240"/>
      <w:bookmarkStart w:id="410" w:name="_Toc69207590"/>
      <w:r w:rsidRPr="00104A8B">
        <w:rPr>
          <w:rFonts w:asciiTheme="minorHAnsi" w:hAnsiTheme="minorHAnsi"/>
        </w:rPr>
        <w:t>R</w:t>
      </w:r>
      <w:r w:rsidR="00474136" w:rsidRPr="00104A8B">
        <w:rPr>
          <w:rFonts w:asciiTheme="minorHAnsi" w:hAnsiTheme="minorHAnsi"/>
        </w:rPr>
        <w:t>ole of Committee</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rsidR="000B0846" w:rsidRPr="00104A8B" w:rsidRDefault="000B0846" w:rsidP="000B0846">
      <w:r w:rsidRPr="00104A8B">
        <w:t>The Committee examines all Bills and subordinate legislation presented to the Assembly. It does not make any comments on the policy aspects of the legislation. The Committee’s terms of reference contain principles of scrutiny that enable it to operate in the best traditions of totally non-partisan, non-political technical scrutiny of legislation. These traditions have been adopted, without exception, by all scrutiny committees in Australia. Non-partisan, non-policy scrutiny allows the Committee to help the Assembly pass into law Acts and subordinate legislation which comply with the ideals set out in its terms of reference.</w:t>
      </w:r>
    </w:p>
    <w:p w:rsidR="00045F75" w:rsidRPr="00104A8B" w:rsidRDefault="00652A64" w:rsidP="00AC094E">
      <w:pPr>
        <w:pStyle w:val="Heading2"/>
        <w:rPr>
          <w:rFonts w:asciiTheme="minorHAnsi" w:hAnsiTheme="minorHAnsi"/>
        </w:rPr>
      </w:pPr>
      <w:r w:rsidRPr="00104A8B">
        <w:rPr>
          <w:rFonts w:asciiTheme="minorHAnsi" w:hAnsiTheme="minorHAnsi"/>
        </w:rPr>
        <w:br w:type="page"/>
      </w:r>
      <w:bookmarkStart w:id="411" w:name="_Toc500938173"/>
      <w:bookmarkStart w:id="412" w:name="_Toc500947021"/>
      <w:bookmarkStart w:id="413" w:name="_Toc501547030"/>
      <w:bookmarkStart w:id="414" w:name="_Toc501547385"/>
      <w:bookmarkStart w:id="415" w:name="_Toc505005669"/>
      <w:bookmarkStart w:id="416" w:name="_Toc505153760"/>
      <w:bookmarkStart w:id="417" w:name="_Toc508283428"/>
      <w:bookmarkStart w:id="418" w:name="_Toc510081784"/>
      <w:bookmarkStart w:id="419" w:name="_Toc511812221"/>
      <w:bookmarkStart w:id="420" w:name="_Toc512240159"/>
      <w:bookmarkStart w:id="421" w:name="_Toc513192156"/>
      <w:bookmarkStart w:id="422" w:name="_Toc514832418"/>
      <w:bookmarkStart w:id="423" w:name="_Toc514837963"/>
      <w:bookmarkStart w:id="424" w:name="_Toc518297249"/>
      <w:bookmarkStart w:id="425" w:name="_Toc519069307"/>
      <w:bookmarkStart w:id="426" w:name="_Toc519069368"/>
      <w:bookmarkStart w:id="427" w:name="_Toc519520735"/>
      <w:bookmarkStart w:id="428" w:name="_Toc520188714"/>
      <w:bookmarkStart w:id="429" w:name="_Toc521054231"/>
      <w:bookmarkStart w:id="430" w:name="_Toc521054318"/>
      <w:bookmarkStart w:id="431" w:name="_Toc521054390"/>
      <w:bookmarkStart w:id="432" w:name="_Toc523753613"/>
      <w:bookmarkStart w:id="433" w:name="_Toc523814162"/>
      <w:bookmarkStart w:id="434" w:name="_Toc523900453"/>
      <w:bookmarkStart w:id="435" w:name="_Toc526855814"/>
      <w:bookmarkStart w:id="436" w:name="_Toc528155840"/>
      <w:bookmarkStart w:id="437" w:name="_Toc528157199"/>
      <w:bookmarkStart w:id="438" w:name="_Toc528310852"/>
      <w:bookmarkStart w:id="439" w:name="_Toc529974531"/>
      <w:bookmarkStart w:id="440" w:name="_Toc530039426"/>
      <w:bookmarkStart w:id="441" w:name="_Toc536527674"/>
      <w:bookmarkStart w:id="442" w:name="_Toc536527837"/>
      <w:bookmarkStart w:id="443" w:name="_Toc536615375"/>
      <w:bookmarkStart w:id="444" w:name="_Toc172153"/>
      <w:bookmarkStart w:id="445" w:name="_Toc506078"/>
      <w:bookmarkStart w:id="446" w:name="_Toc945922"/>
      <w:bookmarkStart w:id="447" w:name="_Toc965812"/>
      <w:bookmarkStart w:id="448" w:name="_Toc2839576"/>
      <w:bookmarkStart w:id="449" w:name="_Toc2850236"/>
      <w:bookmarkStart w:id="450" w:name="_Toc3271213"/>
      <w:bookmarkStart w:id="451" w:name="_Toc4588274"/>
      <w:bookmarkStart w:id="452" w:name="_Toc4652920"/>
      <w:bookmarkStart w:id="453" w:name="_Toc5003662"/>
      <w:bookmarkStart w:id="454" w:name="_Toc6211035"/>
      <w:bookmarkStart w:id="455" w:name="_Toc9499993"/>
      <w:bookmarkStart w:id="456" w:name="_Toc14266115"/>
      <w:bookmarkStart w:id="457" w:name="_Toc14334604"/>
      <w:bookmarkStart w:id="458" w:name="_Toc14775954"/>
      <w:bookmarkStart w:id="459" w:name="_Toc15285032"/>
      <w:bookmarkStart w:id="460" w:name="_Toc15630652"/>
      <w:bookmarkStart w:id="461" w:name="_Toc18415324"/>
      <w:bookmarkStart w:id="462" w:name="_Toc18487692"/>
      <w:bookmarkStart w:id="463" w:name="_Toc19708395"/>
      <w:bookmarkStart w:id="464" w:name="_Toc20131684"/>
      <w:bookmarkStart w:id="465" w:name="_Toc21595442"/>
      <w:bookmarkStart w:id="466" w:name="_Toc22025443"/>
      <w:bookmarkStart w:id="467" w:name="_Toc24463706"/>
      <w:bookmarkStart w:id="468" w:name="_Toc24617703"/>
      <w:bookmarkStart w:id="469" w:name="_Toc25050775"/>
      <w:bookmarkStart w:id="470" w:name="_Toc31202139"/>
      <w:bookmarkStart w:id="471" w:name="_Toc31202260"/>
      <w:bookmarkStart w:id="472" w:name="_Toc32390200"/>
      <w:bookmarkStart w:id="473" w:name="_Toc32566841"/>
      <w:bookmarkStart w:id="474" w:name="_Toc35437931"/>
      <w:bookmarkStart w:id="475" w:name="_Toc38270541"/>
      <w:bookmarkStart w:id="476" w:name="_Toc38362392"/>
      <w:bookmarkStart w:id="477" w:name="_Toc38441873"/>
      <w:bookmarkStart w:id="478" w:name="_Toc38442380"/>
      <w:bookmarkStart w:id="479" w:name="_Toc38976318"/>
      <w:bookmarkStart w:id="480" w:name="_Toc40693089"/>
      <w:bookmarkStart w:id="481" w:name="_Toc40693230"/>
      <w:bookmarkStart w:id="482" w:name="_Toc41570916"/>
      <w:bookmarkStart w:id="483" w:name="_Toc42874998"/>
      <w:bookmarkStart w:id="484" w:name="_Toc44074215"/>
      <w:bookmarkStart w:id="485" w:name="_Toc44317226"/>
      <w:bookmarkStart w:id="486" w:name="_Toc44323929"/>
      <w:bookmarkStart w:id="487" w:name="_Toc68774208"/>
      <w:bookmarkStart w:id="488" w:name="_Toc68774241"/>
      <w:bookmarkStart w:id="489" w:name="_Toc69207591"/>
      <w:r w:rsidR="00045F75" w:rsidRPr="00104A8B">
        <w:rPr>
          <w:rFonts w:asciiTheme="minorHAnsi" w:hAnsiTheme="minorHAnsi"/>
        </w:rPr>
        <w:lastRenderedPageBreak/>
        <w:t>Resolution of Appointment</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rsidR="001D271A" w:rsidRPr="00697120" w:rsidRDefault="001D271A" w:rsidP="001D271A">
      <w:pPr>
        <w:keepNext/>
        <w:keepLines/>
        <w:tabs>
          <w:tab w:val="left" w:pos="567"/>
        </w:tabs>
        <w:spacing w:before="60" w:after="60"/>
        <w:ind w:left="1701" w:hanging="567"/>
        <w:rPr>
          <w:rFonts w:ascii="Calibri" w:hAnsi="Calibri"/>
        </w:rPr>
      </w:pPr>
      <w:r w:rsidRPr="00697120">
        <w:rPr>
          <w:rFonts w:ascii="Calibri" w:hAnsi="Calibri"/>
        </w:rPr>
        <w:t xml:space="preserve"> (10)</w:t>
      </w:r>
      <w:r w:rsidRPr="00697120">
        <w:rPr>
          <w:rFonts w:ascii="Calibri" w:hAnsi="Calibri"/>
        </w:rPr>
        <w:tab/>
      </w:r>
      <w:proofErr w:type="gramStart"/>
      <w:r w:rsidRPr="00697120">
        <w:rPr>
          <w:rFonts w:ascii="Calibri" w:hAnsi="Calibri"/>
        </w:rPr>
        <w:t>the</w:t>
      </w:r>
      <w:proofErr w:type="gramEnd"/>
      <w:r w:rsidRPr="00697120">
        <w:rPr>
          <w:rFonts w:ascii="Calibri" w:hAnsi="Calibri"/>
        </w:rPr>
        <w:t xml:space="preserve"> Standing Committee on Justice and Community Safety is also to perform a legislative scrutiny role of bills and subordinate legislation by:</w:t>
      </w:r>
    </w:p>
    <w:p w:rsidR="001D271A" w:rsidRPr="00697120" w:rsidRDefault="001D271A" w:rsidP="001D271A">
      <w:pPr>
        <w:keepNext/>
        <w:keepLines/>
        <w:tabs>
          <w:tab w:val="left" w:pos="567"/>
        </w:tabs>
        <w:spacing w:before="60" w:after="60"/>
        <w:ind w:left="2268" w:hanging="567"/>
        <w:rPr>
          <w:rFonts w:ascii="Calibri" w:hAnsi="Calibri"/>
        </w:rPr>
      </w:pPr>
      <w:r w:rsidRPr="00697120">
        <w:rPr>
          <w:rFonts w:ascii="Calibri" w:hAnsi="Calibri"/>
        </w:rPr>
        <w:t>(a)</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the clauses of bills (and amendments proposed by the Government to its own bills) introduced into the Assembly:</w:t>
      </w:r>
    </w:p>
    <w:p w:rsidR="001D271A" w:rsidRPr="00697120" w:rsidRDefault="001D271A" w:rsidP="001D271A">
      <w:pPr>
        <w:keepNext/>
        <w:keepLines/>
        <w:spacing w:before="60" w:after="60"/>
        <w:ind w:left="2835" w:hanging="567"/>
        <w:rPr>
          <w:rFonts w:ascii="Calibri" w:hAnsi="Calibri"/>
        </w:rPr>
      </w:pPr>
      <w:r w:rsidRPr="00697120">
        <w:rPr>
          <w:rFonts w:ascii="Calibri" w:hAnsi="Calibri"/>
        </w:rPr>
        <w:t>(</w:t>
      </w:r>
      <w:proofErr w:type="spellStart"/>
      <w:r w:rsidRPr="00697120">
        <w:rPr>
          <w:rFonts w:ascii="Calibri" w:hAnsi="Calibri"/>
        </w:rPr>
        <w:t>i</w:t>
      </w:r>
      <w:proofErr w:type="spellEnd"/>
      <w:r w:rsidRPr="00697120">
        <w:rPr>
          <w:rFonts w:ascii="Calibri" w:hAnsi="Calibri"/>
        </w:rPr>
        <w:t>)</w:t>
      </w:r>
      <w:r w:rsidRPr="00697120">
        <w:rPr>
          <w:rFonts w:ascii="Calibri" w:hAnsi="Calibri"/>
        </w:rPr>
        <w:tab/>
      </w:r>
      <w:proofErr w:type="gramStart"/>
      <w:r w:rsidRPr="00697120">
        <w:rPr>
          <w:rFonts w:ascii="Calibri" w:hAnsi="Calibri"/>
        </w:rPr>
        <w:t>unduly</w:t>
      </w:r>
      <w:proofErr w:type="gramEnd"/>
      <w:r w:rsidRPr="00697120">
        <w:rPr>
          <w:rFonts w:ascii="Calibri" w:hAnsi="Calibri"/>
        </w:rPr>
        <w:t xml:space="preserve"> trespass on personal rights and liberties;</w:t>
      </w:r>
    </w:p>
    <w:p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r>
      <w:proofErr w:type="gramStart"/>
      <w:r w:rsidRPr="00697120">
        <w:rPr>
          <w:rFonts w:ascii="Calibri" w:hAnsi="Calibri"/>
        </w:rPr>
        <w:t>make</w:t>
      </w:r>
      <w:proofErr w:type="gramEnd"/>
      <w:r w:rsidRPr="00697120">
        <w:rPr>
          <w:rFonts w:ascii="Calibri" w:hAnsi="Calibri"/>
        </w:rPr>
        <w:t xml:space="preserve"> rights, liberties and/or obligations unduly dependent upon insufficiently defined administrative powers;</w:t>
      </w:r>
    </w:p>
    <w:p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r>
      <w:proofErr w:type="gramStart"/>
      <w:r w:rsidRPr="00697120">
        <w:rPr>
          <w:rFonts w:ascii="Calibri" w:hAnsi="Calibri"/>
        </w:rPr>
        <w:t>make</w:t>
      </w:r>
      <w:proofErr w:type="gramEnd"/>
      <w:r w:rsidRPr="00697120">
        <w:rPr>
          <w:rFonts w:ascii="Calibri" w:hAnsi="Calibri"/>
        </w:rPr>
        <w:t xml:space="preserve"> rights, liberties and/or obligations unduly dependent upon non-reviewable decisions;</w:t>
      </w:r>
    </w:p>
    <w:p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r>
      <w:proofErr w:type="gramStart"/>
      <w:r w:rsidRPr="00697120">
        <w:rPr>
          <w:rFonts w:ascii="Calibri" w:hAnsi="Calibri"/>
        </w:rPr>
        <w:t>inappropriately</w:t>
      </w:r>
      <w:proofErr w:type="gramEnd"/>
      <w:r w:rsidRPr="00697120">
        <w:rPr>
          <w:rFonts w:ascii="Calibri" w:hAnsi="Calibri"/>
        </w:rPr>
        <w:t xml:space="preserve"> delegate legislative powers; or</w:t>
      </w:r>
    </w:p>
    <w:p w:rsidR="001D271A" w:rsidRPr="00697120" w:rsidRDefault="001D271A" w:rsidP="001D271A">
      <w:pPr>
        <w:spacing w:before="60" w:after="60"/>
        <w:ind w:left="2835" w:hanging="567"/>
        <w:rPr>
          <w:rFonts w:ascii="Calibri" w:hAnsi="Calibri"/>
        </w:rPr>
      </w:pPr>
      <w:r w:rsidRPr="00697120">
        <w:rPr>
          <w:rFonts w:ascii="Calibri" w:hAnsi="Calibri"/>
        </w:rPr>
        <w:t>(v)</w:t>
      </w:r>
      <w:r w:rsidRPr="00697120">
        <w:rPr>
          <w:rFonts w:ascii="Calibri" w:hAnsi="Calibri"/>
        </w:rPr>
        <w:tab/>
      </w:r>
      <w:proofErr w:type="gramStart"/>
      <w:r w:rsidRPr="00697120">
        <w:rPr>
          <w:rFonts w:ascii="Calibri" w:hAnsi="Calibri"/>
        </w:rPr>
        <w:t>insufficiently</w:t>
      </w:r>
      <w:proofErr w:type="gramEnd"/>
      <w:r w:rsidRPr="00697120">
        <w:rPr>
          <w:rFonts w:ascii="Calibri" w:hAnsi="Calibri"/>
        </w:rPr>
        <w:t xml:space="preserve"> subject the exercise of legislative power to parliamentary scrutiny; and</w:t>
      </w:r>
    </w:p>
    <w:p w:rsidR="001D271A" w:rsidRPr="00697120" w:rsidRDefault="001D271A" w:rsidP="001D271A">
      <w:pPr>
        <w:spacing w:before="60" w:after="60"/>
        <w:ind w:left="2835" w:hanging="567"/>
        <w:rPr>
          <w:rFonts w:ascii="Calibri" w:hAnsi="Calibri"/>
        </w:rPr>
      </w:pPr>
      <w:r w:rsidRPr="00697120">
        <w:rPr>
          <w:rFonts w:ascii="Calibri" w:hAnsi="Calibri"/>
        </w:rPr>
        <w:t>(vi)</w:t>
      </w:r>
      <w:r w:rsidRPr="00697120">
        <w:rPr>
          <w:rFonts w:ascii="Calibri" w:hAnsi="Calibri"/>
        </w:rPr>
        <w:tab/>
      </w:r>
      <w:proofErr w:type="gramStart"/>
      <w:r w:rsidRPr="00697120">
        <w:rPr>
          <w:rFonts w:ascii="Calibri" w:hAnsi="Calibri"/>
        </w:rPr>
        <w:t>consider</w:t>
      </w:r>
      <w:proofErr w:type="gramEnd"/>
      <w:r w:rsidRPr="00697120">
        <w:rPr>
          <w:rFonts w:ascii="Calibri" w:hAnsi="Calibri"/>
        </w:rPr>
        <w:t xml:space="preserve"> whether any explanatory statement associated with legislation meets the technical or stylistic standards expected by the Assembly;</w:t>
      </w:r>
    </w:p>
    <w:p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(b)</w:t>
      </w:r>
      <w:r w:rsidRPr="00697120">
        <w:rPr>
          <w:rFonts w:ascii="Calibri" w:hAnsi="Calibri"/>
        </w:rPr>
        <w:tab/>
      </w:r>
      <w:proofErr w:type="gramStart"/>
      <w:r w:rsidRPr="00697120">
        <w:rPr>
          <w:rFonts w:ascii="Calibri" w:hAnsi="Calibri"/>
        </w:rPr>
        <w:t>reporting</w:t>
      </w:r>
      <w:proofErr w:type="gramEnd"/>
      <w:r w:rsidRPr="00697120">
        <w:rPr>
          <w:rFonts w:ascii="Calibri" w:hAnsi="Calibri"/>
        </w:rPr>
        <w:t xml:space="preserve"> to the Legislative Assembly about human rights issues raised by bills presented to the Assembly pursuant to section 38 of the </w:t>
      </w:r>
      <w:r w:rsidRPr="00697120">
        <w:rPr>
          <w:rFonts w:ascii="Calibri" w:hAnsi="Calibri"/>
          <w:i/>
        </w:rPr>
        <w:t>Human Rights Act 2004</w:t>
      </w:r>
      <w:r w:rsidRPr="00697120">
        <w:rPr>
          <w:rFonts w:ascii="Calibri" w:hAnsi="Calibri"/>
        </w:rPr>
        <w:t xml:space="preserve">; </w:t>
      </w:r>
    </w:p>
    <w:p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(c)</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any instrument of a legislative nature made under an Act which is subject to disallowance and/or disapproval by the Assembly (including a regulation, rule or by-law):</w:t>
      </w:r>
    </w:p>
    <w:p w:rsidR="001D271A" w:rsidRPr="00697120" w:rsidRDefault="001D271A" w:rsidP="001D271A">
      <w:pPr>
        <w:spacing w:before="60" w:after="60"/>
        <w:ind w:left="2835" w:hanging="567"/>
        <w:rPr>
          <w:rFonts w:ascii="Calibri" w:hAnsi="Calibri"/>
        </w:rPr>
      </w:pPr>
      <w:r w:rsidRPr="00697120">
        <w:rPr>
          <w:rFonts w:ascii="Calibri" w:hAnsi="Calibri"/>
        </w:rPr>
        <w:t>(</w:t>
      </w:r>
      <w:proofErr w:type="spellStart"/>
      <w:proofErr w:type="gramStart"/>
      <w:r w:rsidRPr="00697120">
        <w:rPr>
          <w:rFonts w:ascii="Calibri" w:hAnsi="Calibri"/>
        </w:rPr>
        <w:t>i</w:t>
      </w:r>
      <w:proofErr w:type="spellEnd"/>
      <w:proofErr w:type="gramEnd"/>
      <w:r w:rsidRPr="00697120">
        <w:rPr>
          <w:rFonts w:ascii="Calibri" w:hAnsi="Calibri"/>
        </w:rPr>
        <w:t>)</w:t>
      </w:r>
      <w:r w:rsidRPr="00697120">
        <w:rPr>
          <w:rFonts w:ascii="Calibri" w:hAnsi="Calibri"/>
        </w:rPr>
        <w:tab/>
        <w:t>is in accord with the general objects of the Act under which it is made;</w:t>
      </w:r>
    </w:p>
    <w:p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r>
      <w:proofErr w:type="gramStart"/>
      <w:r w:rsidRPr="00697120">
        <w:rPr>
          <w:rFonts w:ascii="Calibri" w:hAnsi="Calibri"/>
        </w:rPr>
        <w:t>unduly</w:t>
      </w:r>
      <w:proofErr w:type="gramEnd"/>
      <w:r w:rsidRPr="00697120">
        <w:rPr>
          <w:rFonts w:ascii="Calibri" w:hAnsi="Calibri"/>
        </w:rPr>
        <w:t xml:space="preserve"> trespasses on rights previously established by law;</w:t>
      </w:r>
    </w:p>
    <w:p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r>
      <w:proofErr w:type="gramStart"/>
      <w:r w:rsidRPr="00697120">
        <w:rPr>
          <w:rFonts w:ascii="Calibri" w:hAnsi="Calibri"/>
        </w:rPr>
        <w:t>makes</w:t>
      </w:r>
      <w:proofErr w:type="gramEnd"/>
      <w:r w:rsidRPr="00697120">
        <w:rPr>
          <w:rFonts w:ascii="Calibri" w:hAnsi="Calibri"/>
        </w:rPr>
        <w:t xml:space="preserve"> rights, liberties and/or obligations unduly dependent upon non-reviewable decisions; or</w:t>
      </w:r>
    </w:p>
    <w:p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r>
      <w:proofErr w:type="gramStart"/>
      <w:r w:rsidRPr="00697120">
        <w:rPr>
          <w:rFonts w:ascii="Calibri" w:hAnsi="Calibri"/>
        </w:rPr>
        <w:t>contains</w:t>
      </w:r>
      <w:proofErr w:type="gramEnd"/>
      <w:r w:rsidRPr="00697120">
        <w:rPr>
          <w:rFonts w:ascii="Calibri" w:hAnsi="Calibri"/>
        </w:rPr>
        <w:t xml:space="preserve"> matter which in the opinion of the Committee should properly be dealt with in an Act of the Legislative Assembly; and</w:t>
      </w:r>
    </w:p>
    <w:p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(d)</w:t>
      </w:r>
      <w:r w:rsidRPr="00697120">
        <w:rPr>
          <w:rFonts w:ascii="Calibri" w:hAnsi="Calibri"/>
        </w:rPr>
        <w:tab/>
      </w:r>
      <w:proofErr w:type="gramStart"/>
      <w:r w:rsidRPr="00697120">
        <w:rPr>
          <w:rFonts w:ascii="Calibri" w:hAnsi="Calibri"/>
        </w:rPr>
        <w:t>consider</w:t>
      </w:r>
      <w:proofErr w:type="gramEnd"/>
      <w:r w:rsidRPr="00697120">
        <w:rPr>
          <w:rFonts w:ascii="Calibri" w:hAnsi="Calibri"/>
        </w:rPr>
        <w:t xml:space="preserve"> whether any explanatory statement or explanatory memorandum associated with legislation and any regulatory impact statement meets the technical or stylistic standards expected by the Assembly;</w:t>
      </w:r>
    </w:p>
    <w:p w:rsidR="00126D9A" w:rsidRPr="00104A8B" w:rsidRDefault="00126D9A">
      <w:r w:rsidRPr="00104A8B">
        <w:br w:type="page"/>
      </w:r>
    </w:p>
    <w:p w:rsidR="00ED79E3" w:rsidRDefault="00D447D3" w:rsidP="00FC46AA">
      <w:pPr>
        <w:pStyle w:val="TOCHeading"/>
        <w:keepNext w:val="0"/>
        <w:keepLines w:val="0"/>
        <w:spacing w:before="120" w:after="360" w:line="500" w:lineRule="exact"/>
        <w:outlineLvl w:val="1"/>
        <w:rPr>
          <w:noProof/>
        </w:rPr>
      </w:pPr>
      <w:bookmarkStart w:id="490" w:name="_Toc514837964"/>
      <w:r w:rsidRPr="00104A8B">
        <w:rPr>
          <w:rFonts w:asciiTheme="minorHAnsi" w:eastAsia="Times New Roman" w:hAnsiTheme="minorHAnsi" w:cs="Times New Roman"/>
          <w:smallCaps/>
          <w:spacing w:val="20"/>
          <w:kern w:val="42"/>
          <w:sz w:val="44"/>
          <w:szCs w:val="44"/>
        </w:rPr>
        <w:t>Table of Contents</w:t>
      </w:r>
      <w:bookmarkEnd w:id="490"/>
      <w:r w:rsidR="00CD5AD5" w:rsidRPr="00104A8B">
        <w:rPr>
          <w:rFonts w:asciiTheme="minorHAnsi" w:hAnsiTheme="minorHAnsi"/>
        </w:rPr>
        <w:fldChar w:fldCharType="begin"/>
      </w:r>
      <w:r w:rsidR="00562E8A" w:rsidRPr="00104A8B">
        <w:rPr>
          <w:rFonts w:asciiTheme="minorHAnsi" w:hAnsiTheme="minorHAnsi"/>
        </w:rPr>
        <w:instrText xml:space="preserve"> TOC \h \z \u \t "Heading 2,1,Heading 3,2,Heading 4,3" </w:instrText>
      </w:r>
      <w:r w:rsidR="00CD5AD5" w:rsidRPr="00104A8B">
        <w:rPr>
          <w:rFonts w:asciiTheme="minorHAnsi" w:hAnsiTheme="minorHAnsi"/>
        </w:rPr>
        <w:fldChar w:fldCharType="separate"/>
      </w:r>
    </w:p>
    <w:p w:rsidR="00ED79E3" w:rsidRDefault="00991732">
      <w:pPr>
        <w:pStyle w:val="TOC1"/>
        <w:rPr>
          <w:rFonts w:asciiTheme="minorHAnsi" w:eastAsiaTheme="minorEastAsia" w:hAnsiTheme="minorHAnsi" w:cstheme="minorBidi"/>
          <w:bCs w:val="0"/>
          <w:smallCaps w:val="0"/>
          <w:spacing w:val="0"/>
          <w:sz w:val="22"/>
          <w:szCs w:val="22"/>
          <w:lang w:eastAsia="en-AU"/>
        </w:rPr>
      </w:pPr>
      <w:hyperlink w:anchor="_Toc69207592" w:history="1">
        <w:r w:rsidR="00ED79E3" w:rsidRPr="00E22A6E">
          <w:rPr>
            <w:rStyle w:val="Hyperlink"/>
            <w:rFonts w:eastAsia="Calibri"/>
            <w:lang w:eastAsia="en-AU"/>
          </w:rPr>
          <w:t>Bills</w:t>
        </w:r>
        <w:r w:rsidR="00ED79E3">
          <w:rPr>
            <w:webHidden/>
          </w:rPr>
          <w:tab/>
        </w:r>
        <w:r w:rsidR="00ED79E3">
          <w:rPr>
            <w:webHidden/>
          </w:rPr>
          <w:fldChar w:fldCharType="begin"/>
        </w:r>
        <w:r w:rsidR="00ED79E3">
          <w:rPr>
            <w:webHidden/>
          </w:rPr>
          <w:instrText xml:space="preserve"> PAGEREF _Toc69207592 \h </w:instrText>
        </w:r>
        <w:r w:rsidR="00ED79E3">
          <w:rPr>
            <w:webHidden/>
          </w:rPr>
        </w:r>
        <w:r w:rsidR="00ED79E3">
          <w:rPr>
            <w:webHidden/>
          </w:rPr>
          <w:fldChar w:fldCharType="separate"/>
        </w:r>
        <w:r w:rsidR="00B10D43">
          <w:rPr>
            <w:webHidden/>
          </w:rPr>
          <w:t>4</w:t>
        </w:r>
        <w:r w:rsidR="00ED79E3">
          <w:rPr>
            <w:webHidden/>
          </w:rPr>
          <w:fldChar w:fldCharType="end"/>
        </w:r>
      </w:hyperlink>
    </w:p>
    <w:p w:rsidR="00ED79E3" w:rsidRDefault="00991732">
      <w:pPr>
        <w:pStyle w:val="TOC2"/>
        <w:rPr>
          <w:rFonts w:asciiTheme="minorHAnsi" w:eastAsiaTheme="minorEastAsia" w:hAnsiTheme="minorHAnsi" w:cstheme="minorBidi"/>
          <w:b w:val="0"/>
          <w:noProof/>
          <w:sz w:val="22"/>
          <w:szCs w:val="22"/>
          <w:lang w:eastAsia="en-AU"/>
        </w:rPr>
      </w:pPr>
      <w:hyperlink w:anchor="_Toc69207593" w:history="1">
        <w:r w:rsidR="00ED79E3" w:rsidRPr="00E22A6E">
          <w:rPr>
            <w:rStyle w:val="Hyperlink"/>
            <w:noProof/>
          </w:rPr>
          <w:t>Bills—Comment</w:t>
        </w:r>
        <w:r w:rsidR="00ED79E3">
          <w:rPr>
            <w:noProof/>
            <w:webHidden/>
          </w:rPr>
          <w:tab/>
        </w:r>
        <w:r w:rsidR="00ED79E3">
          <w:rPr>
            <w:noProof/>
            <w:webHidden/>
          </w:rPr>
          <w:fldChar w:fldCharType="begin"/>
        </w:r>
        <w:r w:rsidR="00ED79E3">
          <w:rPr>
            <w:noProof/>
            <w:webHidden/>
          </w:rPr>
          <w:instrText xml:space="preserve"> PAGEREF _Toc69207593 \h </w:instrText>
        </w:r>
        <w:r w:rsidR="00ED79E3">
          <w:rPr>
            <w:noProof/>
            <w:webHidden/>
          </w:rPr>
        </w:r>
        <w:r w:rsidR="00ED79E3">
          <w:rPr>
            <w:noProof/>
            <w:webHidden/>
          </w:rPr>
          <w:fldChar w:fldCharType="separate"/>
        </w:r>
        <w:r w:rsidR="00B10D43">
          <w:rPr>
            <w:noProof/>
            <w:webHidden/>
          </w:rPr>
          <w:t>4</w:t>
        </w:r>
        <w:r w:rsidR="00ED79E3">
          <w:rPr>
            <w:noProof/>
            <w:webHidden/>
          </w:rPr>
          <w:fldChar w:fldCharType="end"/>
        </w:r>
      </w:hyperlink>
    </w:p>
    <w:p w:rsidR="00ED79E3" w:rsidRDefault="00991732">
      <w:pPr>
        <w:pStyle w:val="TOC3"/>
        <w:rPr>
          <w:rFonts w:eastAsiaTheme="minorEastAsia"/>
          <w:b w:val="0"/>
          <w:smallCaps w:val="0"/>
          <w:lang w:eastAsia="en-AU"/>
        </w:rPr>
      </w:pPr>
      <w:hyperlink w:anchor="_Toc69207594" w:history="1">
        <w:r w:rsidR="00ED79E3" w:rsidRPr="00E22A6E">
          <w:rPr>
            <w:rStyle w:val="Hyperlink"/>
          </w:rPr>
          <w:t>Domestic Animals Legislation Amendment Bill 2021</w:t>
        </w:r>
        <w:r w:rsidR="00ED79E3">
          <w:rPr>
            <w:webHidden/>
          </w:rPr>
          <w:tab/>
        </w:r>
        <w:r w:rsidR="00ED79E3">
          <w:rPr>
            <w:webHidden/>
          </w:rPr>
          <w:fldChar w:fldCharType="begin"/>
        </w:r>
        <w:r w:rsidR="00ED79E3">
          <w:rPr>
            <w:webHidden/>
          </w:rPr>
          <w:instrText xml:space="preserve"> PAGEREF _Toc69207594 \h </w:instrText>
        </w:r>
        <w:r w:rsidR="00ED79E3">
          <w:rPr>
            <w:webHidden/>
          </w:rPr>
        </w:r>
        <w:r w:rsidR="00ED79E3">
          <w:rPr>
            <w:webHidden/>
          </w:rPr>
          <w:fldChar w:fldCharType="separate"/>
        </w:r>
        <w:r w:rsidR="00B10D43">
          <w:rPr>
            <w:webHidden/>
          </w:rPr>
          <w:t>4</w:t>
        </w:r>
        <w:r w:rsidR="00ED79E3">
          <w:rPr>
            <w:webHidden/>
          </w:rPr>
          <w:fldChar w:fldCharType="end"/>
        </w:r>
      </w:hyperlink>
    </w:p>
    <w:p w:rsidR="00ED79E3" w:rsidRDefault="00991732">
      <w:pPr>
        <w:pStyle w:val="TOC3"/>
        <w:rPr>
          <w:rFonts w:eastAsiaTheme="minorEastAsia"/>
          <w:b w:val="0"/>
          <w:smallCaps w:val="0"/>
          <w:lang w:eastAsia="en-AU"/>
        </w:rPr>
      </w:pPr>
      <w:hyperlink w:anchor="_Toc69207595" w:history="1">
        <w:r w:rsidR="00ED79E3" w:rsidRPr="00E22A6E">
          <w:rPr>
            <w:rStyle w:val="Hyperlink"/>
          </w:rPr>
          <w:t>Revenue Legislation Amendment Bill 2021</w:t>
        </w:r>
        <w:r w:rsidR="00ED79E3">
          <w:rPr>
            <w:webHidden/>
          </w:rPr>
          <w:tab/>
        </w:r>
        <w:r w:rsidR="00ED79E3">
          <w:rPr>
            <w:webHidden/>
          </w:rPr>
          <w:fldChar w:fldCharType="begin"/>
        </w:r>
        <w:r w:rsidR="00ED79E3">
          <w:rPr>
            <w:webHidden/>
          </w:rPr>
          <w:instrText xml:space="preserve"> PAGEREF _Toc69207595 \h </w:instrText>
        </w:r>
        <w:r w:rsidR="00ED79E3">
          <w:rPr>
            <w:webHidden/>
          </w:rPr>
        </w:r>
        <w:r w:rsidR="00ED79E3">
          <w:rPr>
            <w:webHidden/>
          </w:rPr>
          <w:fldChar w:fldCharType="separate"/>
        </w:r>
        <w:r w:rsidR="00B10D43">
          <w:rPr>
            <w:webHidden/>
          </w:rPr>
          <w:t>5</w:t>
        </w:r>
        <w:r w:rsidR="00ED79E3">
          <w:rPr>
            <w:webHidden/>
          </w:rPr>
          <w:fldChar w:fldCharType="end"/>
        </w:r>
      </w:hyperlink>
    </w:p>
    <w:p w:rsidR="00ED79E3" w:rsidRDefault="00991732">
      <w:pPr>
        <w:pStyle w:val="TOC1"/>
        <w:rPr>
          <w:rFonts w:asciiTheme="minorHAnsi" w:eastAsiaTheme="minorEastAsia" w:hAnsiTheme="minorHAnsi" w:cstheme="minorBidi"/>
          <w:bCs w:val="0"/>
          <w:smallCaps w:val="0"/>
          <w:spacing w:val="0"/>
          <w:sz w:val="22"/>
          <w:szCs w:val="22"/>
          <w:lang w:eastAsia="en-AU"/>
        </w:rPr>
      </w:pPr>
      <w:hyperlink w:anchor="_Toc69207596" w:history="1">
        <w:r w:rsidR="00ED79E3" w:rsidRPr="00E22A6E">
          <w:rPr>
            <w:rStyle w:val="Hyperlink"/>
            <w:rFonts w:eastAsia="Calibri"/>
            <w:lang w:eastAsia="en-AU"/>
          </w:rPr>
          <w:t>Subordinate Legislation</w:t>
        </w:r>
        <w:r w:rsidR="00ED79E3">
          <w:rPr>
            <w:webHidden/>
          </w:rPr>
          <w:tab/>
        </w:r>
        <w:r w:rsidR="00ED79E3">
          <w:rPr>
            <w:webHidden/>
          </w:rPr>
          <w:fldChar w:fldCharType="begin"/>
        </w:r>
        <w:r w:rsidR="00ED79E3">
          <w:rPr>
            <w:webHidden/>
          </w:rPr>
          <w:instrText xml:space="preserve"> PAGEREF _Toc69207596 \h </w:instrText>
        </w:r>
        <w:r w:rsidR="00ED79E3">
          <w:rPr>
            <w:webHidden/>
          </w:rPr>
        </w:r>
        <w:r w:rsidR="00ED79E3">
          <w:rPr>
            <w:webHidden/>
          </w:rPr>
          <w:fldChar w:fldCharType="separate"/>
        </w:r>
        <w:r w:rsidR="00B10D43">
          <w:rPr>
            <w:webHidden/>
          </w:rPr>
          <w:t>6</w:t>
        </w:r>
        <w:r w:rsidR="00ED79E3">
          <w:rPr>
            <w:webHidden/>
          </w:rPr>
          <w:fldChar w:fldCharType="end"/>
        </w:r>
      </w:hyperlink>
    </w:p>
    <w:p w:rsidR="00ED79E3" w:rsidRDefault="00991732">
      <w:pPr>
        <w:pStyle w:val="TOC2"/>
        <w:rPr>
          <w:rFonts w:asciiTheme="minorHAnsi" w:eastAsiaTheme="minorEastAsia" w:hAnsiTheme="minorHAnsi" w:cstheme="minorBidi"/>
          <w:b w:val="0"/>
          <w:noProof/>
          <w:sz w:val="22"/>
          <w:szCs w:val="22"/>
          <w:lang w:eastAsia="en-AU"/>
        </w:rPr>
      </w:pPr>
      <w:hyperlink w:anchor="_Toc69207597" w:history="1">
        <w:r w:rsidR="00ED79E3" w:rsidRPr="00E22A6E">
          <w:rPr>
            <w:rStyle w:val="Hyperlink"/>
            <w:noProof/>
          </w:rPr>
          <w:t xml:space="preserve">Disallowable Instruments—No </w:t>
        </w:r>
        <w:r w:rsidR="00ED79E3">
          <w:rPr>
            <w:rStyle w:val="Hyperlink"/>
            <w:noProof/>
          </w:rPr>
          <w:t>C</w:t>
        </w:r>
        <w:r w:rsidR="00ED79E3" w:rsidRPr="00E22A6E">
          <w:rPr>
            <w:rStyle w:val="Hyperlink"/>
            <w:noProof/>
          </w:rPr>
          <w:t>omment</w:t>
        </w:r>
        <w:r w:rsidR="00ED79E3">
          <w:rPr>
            <w:noProof/>
            <w:webHidden/>
          </w:rPr>
          <w:tab/>
        </w:r>
        <w:r w:rsidR="00ED79E3">
          <w:rPr>
            <w:noProof/>
            <w:webHidden/>
          </w:rPr>
          <w:fldChar w:fldCharType="begin"/>
        </w:r>
        <w:r w:rsidR="00ED79E3">
          <w:rPr>
            <w:noProof/>
            <w:webHidden/>
          </w:rPr>
          <w:instrText xml:space="preserve"> PAGEREF _Toc69207597 \h </w:instrText>
        </w:r>
        <w:r w:rsidR="00ED79E3">
          <w:rPr>
            <w:noProof/>
            <w:webHidden/>
          </w:rPr>
        </w:r>
        <w:r w:rsidR="00ED79E3">
          <w:rPr>
            <w:noProof/>
            <w:webHidden/>
          </w:rPr>
          <w:fldChar w:fldCharType="separate"/>
        </w:r>
        <w:r w:rsidR="00B10D43">
          <w:rPr>
            <w:noProof/>
            <w:webHidden/>
          </w:rPr>
          <w:t>6</w:t>
        </w:r>
        <w:r w:rsidR="00ED79E3">
          <w:rPr>
            <w:noProof/>
            <w:webHidden/>
          </w:rPr>
          <w:fldChar w:fldCharType="end"/>
        </w:r>
      </w:hyperlink>
    </w:p>
    <w:p w:rsidR="00ED79E3" w:rsidRDefault="00991732">
      <w:pPr>
        <w:pStyle w:val="TOC2"/>
        <w:rPr>
          <w:rFonts w:asciiTheme="minorHAnsi" w:eastAsiaTheme="minorEastAsia" w:hAnsiTheme="minorHAnsi" w:cstheme="minorBidi"/>
          <w:b w:val="0"/>
          <w:noProof/>
          <w:sz w:val="22"/>
          <w:szCs w:val="22"/>
          <w:lang w:eastAsia="en-AU"/>
        </w:rPr>
      </w:pPr>
      <w:hyperlink w:anchor="_Toc69207598" w:history="1">
        <w:r w:rsidR="00ED79E3" w:rsidRPr="00E22A6E">
          <w:rPr>
            <w:rStyle w:val="Hyperlink"/>
            <w:rFonts w:eastAsia="Calibri"/>
            <w:noProof/>
            <w:lang w:eastAsia="en-AU"/>
          </w:rPr>
          <w:t>Disallowable Instruments—Comment</w:t>
        </w:r>
        <w:r w:rsidR="00ED79E3">
          <w:rPr>
            <w:noProof/>
            <w:webHidden/>
          </w:rPr>
          <w:tab/>
        </w:r>
        <w:r w:rsidR="00ED79E3">
          <w:rPr>
            <w:noProof/>
            <w:webHidden/>
          </w:rPr>
          <w:fldChar w:fldCharType="begin"/>
        </w:r>
        <w:r w:rsidR="00ED79E3">
          <w:rPr>
            <w:noProof/>
            <w:webHidden/>
          </w:rPr>
          <w:instrText xml:space="preserve"> PAGEREF _Toc69207598 \h </w:instrText>
        </w:r>
        <w:r w:rsidR="00ED79E3">
          <w:rPr>
            <w:noProof/>
            <w:webHidden/>
          </w:rPr>
        </w:r>
        <w:r w:rsidR="00ED79E3">
          <w:rPr>
            <w:noProof/>
            <w:webHidden/>
          </w:rPr>
          <w:fldChar w:fldCharType="separate"/>
        </w:r>
        <w:r w:rsidR="00B10D43">
          <w:rPr>
            <w:noProof/>
            <w:webHidden/>
          </w:rPr>
          <w:t>9</w:t>
        </w:r>
        <w:r w:rsidR="00ED79E3">
          <w:rPr>
            <w:noProof/>
            <w:webHidden/>
          </w:rPr>
          <w:fldChar w:fldCharType="end"/>
        </w:r>
      </w:hyperlink>
    </w:p>
    <w:p w:rsidR="00ED79E3" w:rsidRDefault="00991732">
      <w:pPr>
        <w:pStyle w:val="TOC2"/>
        <w:rPr>
          <w:rFonts w:asciiTheme="minorHAnsi" w:eastAsiaTheme="minorEastAsia" w:hAnsiTheme="minorHAnsi" w:cstheme="minorBidi"/>
          <w:b w:val="0"/>
          <w:noProof/>
          <w:sz w:val="22"/>
          <w:szCs w:val="22"/>
          <w:lang w:eastAsia="en-AU"/>
        </w:rPr>
      </w:pPr>
      <w:hyperlink w:anchor="_Toc69207599" w:history="1">
        <w:r w:rsidR="00ED79E3" w:rsidRPr="00E22A6E">
          <w:rPr>
            <w:rStyle w:val="Hyperlink"/>
            <w:noProof/>
          </w:rPr>
          <w:t>Subordinate Laws—No Comment</w:t>
        </w:r>
        <w:r w:rsidR="00ED79E3">
          <w:rPr>
            <w:noProof/>
            <w:webHidden/>
          </w:rPr>
          <w:tab/>
        </w:r>
        <w:r w:rsidR="00ED79E3">
          <w:rPr>
            <w:noProof/>
            <w:webHidden/>
          </w:rPr>
          <w:fldChar w:fldCharType="begin"/>
        </w:r>
        <w:r w:rsidR="00ED79E3">
          <w:rPr>
            <w:noProof/>
            <w:webHidden/>
          </w:rPr>
          <w:instrText xml:space="preserve"> PAGEREF _Toc69207599 \h </w:instrText>
        </w:r>
        <w:r w:rsidR="00ED79E3">
          <w:rPr>
            <w:noProof/>
            <w:webHidden/>
          </w:rPr>
        </w:r>
        <w:r w:rsidR="00ED79E3">
          <w:rPr>
            <w:noProof/>
            <w:webHidden/>
          </w:rPr>
          <w:fldChar w:fldCharType="separate"/>
        </w:r>
        <w:r w:rsidR="00B10D43">
          <w:rPr>
            <w:noProof/>
            <w:webHidden/>
          </w:rPr>
          <w:t>22</w:t>
        </w:r>
        <w:r w:rsidR="00ED79E3">
          <w:rPr>
            <w:noProof/>
            <w:webHidden/>
          </w:rPr>
          <w:fldChar w:fldCharType="end"/>
        </w:r>
      </w:hyperlink>
    </w:p>
    <w:p w:rsidR="00ED79E3" w:rsidRDefault="00991732">
      <w:pPr>
        <w:pStyle w:val="TOC2"/>
        <w:rPr>
          <w:rFonts w:asciiTheme="minorHAnsi" w:eastAsiaTheme="minorEastAsia" w:hAnsiTheme="minorHAnsi" w:cstheme="minorBidi"/>
          <w:b w:val="0"/>
          <w:noProof/>
          <w:sz w:val="22"/>
          <w:szCs w:val="22"/>
          <w:lang w:eastAsia="en-AU"/>
        </w:rPr>
      </w:pPr>
      <w:hyperlink w:anchor="_Toc69207600" w:history="1">
        <w:r w:rsidR="00ED79E3" w:rsidRPr="00E22A6E">
          <w:rPr>
            <w:rStyle w:val="Hyperlink"/>
            <w:noProof/>
          </w:rPr>
          <w:t>Subordinate Laws—Comment</w:t>
        </w:r>
        <w:r w:rsidR="00ED79E3">
          <w:rPr>
            <w:noProof/>
            <w:webHidden/>
          </w:rPr>
          <w:tab/>
        </w:r>
        <w:r w:rsidR="00ED79E3">
          <w:rPr>
            <w:noProof/>
            <w:webHidden/>
          </w:rPr>
          <w:fldChar w:fldCharType="begin"/>
        </w:r>
        <w:r w:rsidR="00ED79E3">
          <w:rPr>
            <w:noProof/>
            <w:webHidden/>
          </w:rPr>
          <w:instrText xml:space="preserve"> PAGEREF _Toc69207600 \h </w:instrText>
        </w:r>
        <w:r w:rsidR="00ED79E3">
          <w:rPr>
            <w:noProof/>
            <w:webHidden/>
          </w:rPr>
        </w:r>
        <w:r w:rsidR="00ED79E3">
          <w:rPr>
            <w:noProof/>
            <w:webHidden/>
          </w:rPr>
          <w:fldChar w:fldCharType="separate"/>
        </w:r>
        <w:r w:rsidR="00B10D43">
          <w:rPr>
            <w:noProof/>
            <w:webHidden/>
          </w:rPr>
          <w:t>23</w:t>
        </w:r>
        <w:r w:rsidR="00ED79E3">
          <w:rPr>
            <w:noProof/>
            <w:webHidden/>
          </w:rPr>
          <w:fldChar w:fldCharType="end"/>
        </w:r>
      </w:hyperlink>
    </w:p>
    <w:p w:rsidR="00ED79E3" w:rsidRDefault="00991732">
      <w:pPr>
        <w:pStyle w:val="TOC2"/>
        <w:rPr>
          <w:rFonts w:asciiTheme="minorHAnsi" w:eastAsiaTheme="minorEastAsia" w:hAnsiTheme="minorHAnsi" w:cstheme="minorBidi"/>
          <w:b w:val="0"/>
          <w:noProof/>
          <w:sz w:val="22"/>
          <w:szCs w:val="22"/>
          <w:lang w:eastAsia="en-AU"/>
        </w:rPr>
      </w:pPr>
      <w:hyperlink w:anchor="_Toc69207601" w:history="1">
        <w:r w:rsidR="00ED79E3" w:rsidRPr="00E22A6E">
          <w:rPr>
            <w:rStyle w:val="Hyperlink"/>
            <w:noProof/>
          </w:rPr>
          <w:t>Revised/supplementary explanatory statements—Comment</w:t>
        </w:r>
        <w:r w:rsidR="00ED79E3">
          <w:rPr>
            <w:noProof/>
            <w:webHidden/>
          </w:rPr>
          <w:tab/>
        </w:r>
        <w:r w:rsidR="00ED79E3">
          <w:rPr>
            <w:noProof/>
            <w:webHidden/>
          </w:rPr>
          <w:fldChar w:fldCharType="begin"/>
        </w:r>
        <w:r w:rsidR="00ED79E3">
          <w:rPr>
            <w:noProof/>
            <w:webHidden/>
          </w:rPr>
          <w:instrText xml:space="preserve"> PAGEREF _Toc69207601 \h </w:instrText>
        </w:r>
        <w:r w:rsidR="00ED79E3">
          <w:rPr>
            <w:noProof/>
            <w:webHidden/>
          </w:rPr>
        </w:r>
        <w:r w:rsidR="00ED79E3">
          <w:rPr>
            <w:noProof/>
            <w:webHidden/>
          </w:rPr>
          <w:fldChar w:fldCharType="separate"/>
        </w:r>
        <w:r w:rsidR="00B10D43">
          <w:rPr>
            <w:noProof/>
            <w:webHidden/>
          </w:rPr>
          <w:t>24</w:t>
        </w:r>
        <w:r w:rsidR="00ED79E3">
          <w:rPr>
            <w:noProof/>
            <w:webHidden/>
          </w:rPr>
          <w:fldChar w:fldCharType="end"/>
        </w:r>
      </w:hyperlink>
    </w:p>
    <w:p w:rsidR="00ED79E3" w:rsidRDefault="00991732">
      <w:pPr>
        <w:pStyle w:val="TOC1"/>
        <w:rPr>
          <w:rFonts w:asciiTheme="minorHAnsi" w:eastAsiaTheme="minorEastAsia" w:hAnsiTheme="minorHAnsi" w:cstheme="minorBidi"/>
          <w:bCs w:val="0"/>
          <w:smallCaps w:val="0"/>
          <w:spacing w:val="0"/>
          <w:sz w:val="22"/>
          <w:szCs w:val="22"/>
          <w:lang w:eastAsia="en-AU"/>
        </w:rPr>
      </w:pPr>
      <w:hyperlink w:anchor="_Toc69207602" w:history="1">
        <w:r w:rsidR="00ED79E3" w:rsidRPr="00E22A6E">
          <w:rPr>
            <w:rStyle w:val="Hyperlink"/>
            <w:rFonts w:eastAsia="Calibri"/>
            <w:lang w:eastAsia="en-AU"/>
          </w:rPr>
          <w:t>Response</w:t>
        </w:r>
        <w:r w:rsidR="00ED79E3">
          <w:rPr>
            <w:webHidden/>
          </w:rPr>
          <w:tab/>
        </w:r>
        <w:r w:rsidR="00ED79E3">
          <w:rPr>
            <w:webHidden/>
          </w:rPr>
          <w:fldChar w:fldCharType="begin"/>
        </w:r>
        <w:r w:rsidR="00ED79E3">
          <w:rPr>
            <w:webHidden/>
          </w:rPr>
          <w:instrText xml:space="preserve"> PAGEREF _Toc69207602 \h </w:instrText>
        </w:r>
        <w:r w:rsidR="00ED79E3">
          <w:rPr>
            <w:webHidden/>
          </w:rPr>
        </w:r>
        <w:r w:rsidR="00ED79E3">
          <w:rPr>
            <w:webHidden/>
          </w:rPr>
          <w:fldChar w:fldCharType="separate"/>
        </w:r>
        <w:r w:rsidR="00B10D43">
          <w:rPr>
            <w:webHidden/>
          </w:rPr>
          <w:t>25</w:t>
        </w:r>
        <w:r w:rsidR="00ED79E3">
          <w:rPr>
            <w:webHidden/>
          </w:rPr>
          <w:fldChar w:fldCharType="end"/>
        </w:r>
      </w:hyperlink>
    </w:p>
    <w:p w:rsidR="00ED79E3" w:rsidRDefault="00991732">
      <w:pPr>
        <w:pStyle w:val="TOC2"/>
        <w:rPr>
          <w:rFonts w:asciiTheme="minorHAnsi" w:eastAsiaTheme="minorEastAsia" w:hAnsiTheme="minorHAnsi" w:cstheme="minorBidi"/>
          <w:b w:val="0"/>
          <w:noProof/>
          <w:sz w:val="22"/>
          <w:szCs w:val="22"/>
          <w:lang w:eastAsia="en-AU"/>
        </w:rPr>
      </w:pPr>
      <w:hyperlink w:anchor="_Toc69207603" w:history="1">
        <w:r w:rsidR="00ED79E3" w:rsidRPr="00E22A6E">
          <w:rPr>
            <w:rStyle w:val="Hyperlink"/>
            <w:noProof/>
            <w:lang w:eastAsia="en-AU"/>
          </w:rPr>
          <w:t>Government response</w:t>
        </w:r>
        <w:r w:rsidR="00ED79E3">
          <w:rPr>
            <w:noProof/>
            <w:webHidden/>
          </w:rPr>
          <w:tab/>
        </w:r>
        <w:r w:rsidR="00ED79E3">
          <w:rPr>
            <w:noProof/>
            <w:webHidden/>
          </w:rPr>
          <w:fldChar w:fldCharType="begin"/>
        </w:r>
        <w:r w:rsidR="00ED79E3">
          <w:rPr>
            <w:noProof/>
            <w:webHidden/>
          </w:rPr>
          <w:instrText xml:space="preserve"> PAGEREF _Toc69207603 \h </w:instrText>
        </w:r>
        <w:r w:rsidR="00ED79E3">
          <w:rPr>
            <w:noProof/>
            <w:webHidden/>
          </w:rPr>
        </w:r>
        <w:r w:rsidR="00ED79E3">
          <w:rPr>
            <w:noProof/>
            <w:webHidden/>
          </w:rPr>
          <w:fldChar w:fldCharType="separate"/>
        </w:r>
        <w:r w:rsidR="00B10D43">
          <w:rPr>
            <w:noProof/>
            <w:webHidden/>
          </w:rPr>
          <w:t>25</w:t>
        </w:r>
        <w:r w:rsidR="00ED79E3">
          <w:rPr>
            <w:noProof/>
            <w:webHidden/>
          </w:rPr>
          <w:fldChar w:fldCharType="end"/>
        </w:r>
      </w:hyperlink>
    </w:p>
    <w:p w:rsidR="00ED79E3" w:rsidRDefault="00991732">
      <w:pPr>
        <w:pStyle w:val="TOC1"/>
        <w:rPr>
          <w:rFonts w:asciiTheme="minorHAnsi" w:eastAsiaTheme="minorEastAsia" w:hAnsiTheme="minorHAnsi" w:cstheme="minorBidi"/>
          <w:bCs w:val="0"/>
          <w:smallCaps w:val="0"/>
          <w:spacing w:val="0"/>
          <w:sz w:val="22"/>
          <w:szCs w:val="22"/>
          <w:lang w:eastAsia="en-AU"/>
        </w:rPr>
      </w:pPr>
      <w:hyperlink w:anchor="_Toc69207604" w:history="1">
        <w:r w:rsidR="00ED79E3" w:rsidRPr="00E22A6E">
          <w:rPr>
            <w:rStyle w:val="Hyperlink"/>
          </w:rPr>
          <w:t>Outstanding Responses</w:t>
        </w:r>
        <w:r w:rsidR="00ED79E3">
          <w:rPr>
            <w:webHidden/>
          </w:rPr>
          <w:tab/>
        </w:r>
        <w:r w:rsidR="00ED79E3">
          <w:rPr>
            <w:webHidden/>
          </w:rPr>
          <w:fldChar w:fldCharType="begin"/>
        </w:r>
        <w:r w:rsidR="00ED79E3">
          <w:rPr>
            <w:webHidden/>
          </w:rPr>
          <w:instrText xml:space="preserve"> PAGEREF _Toc69207604 \h </w:instrText>
        </w:r>
        <w:r w:rsidR="00ED79E3">
          <w:rPr>
            <w:webHidden/>
          </w:rPr>
        </w:r>
        <w:r w:rsidR="00ED79E3">
          <w:rPr>
            <w:webHidden/>
          </w:rPr>
          <w:fldChar w:fldCharType="separate"/>
        </w:r>
        <w:r w:rsidR="00B10D43">
          <w:rPr>
            <w:webHidden/>
          </w:rPr>
          <w:t>26</w:t>
        </w:r>
        <w:r w:rsidR="00ED79E3">
          <w:rPr>
            <w:webHidden/>
          </w:rPr>
          <w:fldChar w:fldCharType="end"/>
        </w:r>
      </w:hyperlink>
    </w:p>
    <w:p w:rsidR="00ED79E3" w:rsidRDefault="00991732">
      <w:pPr>
        <w:pStyle w:val="TOC2"/>
        <w:rPr>
          <w:rFonts w:asciiTheme="minorHAnsi" w:eastAsiaTheme="minorEastAsia" w:hAnsiTheme="minorHAnsi" w:cstheme="minorBidi"/>
          <w:b w:val="0"/>
          <w:noProof/>
          <w:sz w:val="22"/>
          <w:szCs w:val="22"/>
          <w:lang w:eastAsia="en-AU"/>
        </w:rPr>
      </w:pPr>
      <w:hyperlink w:anchor="_Toc69207605" w:history="1">
        <w:r w:rsidR="00ED79E3" w:rsidRPr="00E22A6E">
          <w:rPr>
            <w:rStyle w:val="Hyperlink"/>
            <w:noProof/>
          </w:rPr>
          <w:t>Bills/Subordinate Legislation</w:t>
        </w:r>
        <w:r w:rsidR="00ED79E3">
          <w:rPr>
            <w:noProof/>
            <w:webHidden/>
          </w:rPr>
          <w:tab/>
        </w:r>
        <w:r w:rsidR="00ED79E3">
          <w:rPr>
            <w:noProof/>
            <w:webHidden/>
          </w:rPr>
          <w:fldChar w:fldCharType="begin"/>
        </w:r>
        <w:r w:rsidR="00ED79E3">
          <w:rPr>
            <w:noProof/>
            <w:webHidden/>
          </w:rPr>
          <w:instrText xml:space="preserve"> PAGEREF _Toc69207605 \h </w:instrText>
        </w:r>
        <w:r w:rsidR="00ED79E3">
          <w:rPr>
            <w:noProof/>
            <w:webHidden/>
          </w:rPr>
        </w:r>
        <w:r w:rsidR="00ED79E3">
          <w:rPr>
            <w:noProof/>
            <w:webHidden/>
          </w:rPr>
          <w:fldChar w:fldCharType="separate"/>
        </w:r>
        <w:r w:rsidR="00B10D43">
          <w:rPr>
            <w:noProof/>
            <w:webHidden/>
          </w:rPr>
          <w:t>26</w:t>
        </w:r>
        <w:r w:rsidR="00ED79E3">
          <w:rPr>
            <w:noProof/>
            <w:webHidden/>
          </w:rPr>
          <w:fldChar w:fldCharType="end"/>
        </w:r>
      </w:hyperlink>
    </w:p>
    <w:p w:rsidR="00351AD0" w:rsidRPr="00104A8B" w:rsidRDefault="00CD5AD5" w:rsidP="00A0668C">
      <w:pPr>
        <w:pStyle w:val="TOC1"/>
      </w:pPr>
      <w:r w:rsidRPr="00104A8B">
        <w:fldChar w:fldCharType="end"/>
      </w:r>
    </w:p>
    <w:p w:rsidR="00351AD0" w:rsidRPr="00104A8B" w:rsidRDefault="00351AD0" w:rsidP="00351AD0">
      <w:pPr>
        <w:sectPr w:rsidR="00351AD0" w:rsidRPr="00104A8B" w:rsidSect="00E8247B">
          <w:headerReference w:type="even" r:id="rId15"/>
          <w:headerReference w:type="default" r:id="rId16"/>
          <w:footerReference w:type="even" r:id="rId17"/>
          <w:footerReference w:type="default" r:id="rId18"/>
          <w:headerReference w:type="first" r:id="rId19"/>
          <w:pgSz w:w="11906" w:h="16838"/>
          <w:pgMar w:top="1440" w:right="1440" w:bottom="1440" w:left="1440" w:header="708" w:footer="708" w:gutter="0"/>
          <w:pgNumType w:fmt="lowerRoman" w:start="1"/>
          <w:cols w:space="708"/>
          <w:docGrid w:linePitch="360"/>
        </w:sectPr>
      </w:pPr>
    </w:p>
    <w:p w:rsidR="00632981" w:rsidRPr="00104A8B" w:rsidRDefault="00632981">
      <w:pPr>
        <w:sectPr w:rsidR="00632981" w:rsidRPr="00104A8B" w:rsidSect="00351AD0">
          <w:headerReference w:type="even" r:id="rId20"/>
          <w:headerReference w:type="default" r:id="rId21"/>
          <w:footerReference w:type="even" r:id="rId22"/>
          <w:headerReference w:type="first" r:id="rId23"/>
          <w:type w:val="continuous"/>
          <w:pgSz w:w="11906" w:h="16838"/>
          <w:pgMar w:top="1440" w:right="1440" w:bottom="1440" w:left="1440" w:header="708" w:footer="708" w:gutter="0"/>
          <w:cols w:space="708"/>
          <w:docGrid w:linePitch="360"/>
        </w:sectPr>
      </w:pPr>
    </w:p>
    <w:p w:rsidR="00D20076" w:rsidRPr="00104A8B" w:rsidRDefault="00D20076" w:rsidP="00D20076">
      <w:pPr>
        <w:pStyle w:val="Heading2"/>
        <w:rPr>
          <w:rFonts w:asciiTheme="minorHAnsi" w:eastAsia="Calibri" w:hAnsiTheme="minorHAnsi"/>
          <w:lang w:eastAsia="en-AU"/>
        </w:rPr>
      </w:pPr>
      <w:bookmarkStart w:id="491" w:name="_Toc69207592"/>
      <w:bookmarkStart w:id="492" w:name="_Toc501448810"/>
      <w:bookmarkStart w:id="493" w:name="_Toc514837969"/>
      <w:r>
        <w:rPr>
          <w:rFonts w:asciiTheme="minorHAnsi" w:eastAsia="Calibri" w:hAnsiTheme="minorHAnsi"/>
          <w:lang w:eastAsia="en-AU"/>
        </w:rPr>
        <w:t>Bills</w:t>
      </w:r>
      <w:bookmarkEnd w:id="491"/>
    </w:p>
    <w:p w:rsidR="007D6C78" w:rsidRPr="00103E7B" w:rsidRDefault="00C12B23" w:rsidP="007D6C78">
      <w:pPr>
        <w:pStyle w:val="Heading3"/>
      </w:pPr>
      <w:bookmarkStart w:id="494" w:name="_Toc35437939"/>
      <w:bookmarkStart w:id="495" w:name="_Toc69207593"/>
      <w:r>
        <w:t>B</w:t>
      </w:r>
      <w:r w:rsidR="00417022">
        <w:t>ill</w:t>
      </w:r>
      <w:r>
        <w:t>s</w:t>
      </w:r>
      <w:r w:rsidR="007D6C78" w:rsidRPr="00103E7B">
        <w:t>—</w:t>
      </w:r>
      <w:r w:rsidR="007D6C78">
        <w:t>C</w:t>
      </w:r>
      <w:r w:rsidR="007D6C78" w:rsidRPr="00103E7B">
        <w:t>omment</w:t>
      </w:r>
      <w:bookmarkEnd w:id="494"/>
      <w:bookmarkEnd w:id="495"/>
    </w:p>
    <w:p w:rsidR="009C3A77" w:rsidRDefault="009C3A77" w:rsidP="009C3A77">
      <w:bookmarkStart w:id="496" w:name="_Toc505153763"/>
      <w:r w:rsidRPr="00261783">
        <w:t xml:space="preserve">The Committee has examined the following </w:t>
      </w:r>
      <w:r>
        <w:t xml:space="preserve">bills </w:t>
      </w:r>
      <w:r w:rsidRPr="00261783">
        <w:t xml:space="preserve">and offers </w:t>
      </w:r>
      <w:r>
        <w:t>these</w:t>
      </w:r>
      <w:r w:rsidRPr="00261783">
        <w:t xml:space="preserve"> comment</w:t>
      </w:r>
      <w:r>
        <w:t>s</w:t>
      </w:r>
      <w:r w:rsidRPr="00261783">
        <w:t xml:space="preserve"> on them:</w:t>
      </w:r>
    </w:p>
    <w:p w:rsidR="0067783F" w:rsidRPr="00133AB1" w:rsidRDefault="0067783F" w:rsidP="0067783F">
      <w:pPr>
        <w:pStyle w:val="Heading4"/>
        <w:pBdr>
          <w:bottom w:val="single" w:sz="6" w:space="1" w:color="000000"/>
        </w:pBdr>
        <w:rPr>
          <w:rFonts w:eastAsia="Times New Roman"/>
        </w:rPr>
      </w:pPr>
      <w:bookmarkStart w:id="497" w:name="_Toc69207594"/>
      <w:r w:rsidRPr="00350E0A">
        <w:rPr>
          <w:rFonts w:eastAsia="Times New Roman"/>
        </w:rPr>
        <w:t>Domestic Animals Legislation Amendment Bill 2021</w:t>
      </w:r>
      <w:bookmarkEnd w:id="497"/>
    </w:p>
    <w:p w:rsidR="0067783F" w:rsidRDefault="0067783F" w:rsidP="0067783F">
      <w:pPr>
        <w:rPr>
          <w:rFonts w:ascii="Calibri" w:eastAsia="Calibri" w:hAnsi="Calibri" w:cs="Calibri"/>
          <w:color w:val="000000"/>
          <w:szCs w:val="20"/>
          <w:lang w:eastAsia="en-AU"/>
        </w:rPr>
      </w:pPr>
      <w:bookmarkStart w:id="498" w:name="_Toc505153767"/>
      <w:bookmarkStart w:id="499" w:name="_Toc338841796"/>
      <w:bookmarkStart w:id="500" w:name="_Hlk496454859"/>
      <w:bookmarkStart w:id="501" w:name="_Toc514837978"/>
      <w:bookmarkStart w:id="502" w:name="_Toc526855824"/>
      <w:bookmarkStart w:id="503" w:name="_Toc338841795"/>
      <w:bookmarkStart w:id="504" w:name="_Hlk483295725"/>
      <w:bookmarkEnd w:id="496"/>
      <w:bookmarkEnd w:id="492"/>
      <w:bookmarkEnd w:id="493"/>
      <w:r w:rsidRPr="00133AB1">
        <w:rPr>
          <w:rFonts w:ascii="Calibri" w:eastAsia="Calibri" w:hAnsi="Calibri" w:cs="Calibri"/>
          <w:color w:val="000000"/>
          <w:szCs w:val="20"/>
          <w:lang w:eastAsia="en-AU"/>
        </w:rPr>
        <w:t xml:space="preserve">This Bill </w:t>
      </w:r>
      <w:r>
        <w:rPr>
          <w:rFonts w:ascii="Calibri" w:eastAsia="Calibri" w:hAnsi="Calibri" w:cs="Calibri"/>
          <w:color w:val="000000"/>
          <w:szCs w:val="20"/>
          <w:lang w:eastAsia="en-AU"/>
        </w:rPr>
        <w:t xml:space="preserve">will amend the </w:t>
      </w:r>
      <w:r w:rsidRPr="006F0E60">
        <w:rPr>
          <w:rFonts w:ascii="Calibri" w:eastAsia="Calibri" w:hAnsi="Calibri" w:cs="Calibri"/>
          <w:i/>
          <w:iCs/>
          <w:color w:val="000000"/>
          <w:szCs w:val="20"/>
          <w:lang w:eastAsia="en-AU"/>
        </w:rPr>
        <w:t>Domestic Animals Act 2000</w:t>
      </w:r>
      <w:r>
        <w:rPr>
          <w:rFonts w:ascii="Calibri" w:eastAsia="Calibri" w:hAnsi="Calibri" w:cs="Calibri"/>
          <w:color w:val="000000"/>
          <w:szCs w:val="20"/>
          <w:lang w:eastAsia="en-AU"/>
        </w:rPr>
        <w:t xml:space="preserve"> and </w:t>
      </w:r>
      <w:r w:rsidRPr="006F0E60">
        <w:rPr>
          <w:rFonts w:ascii="Calibri" w:eastAsia="Calibri" w:hAnsi="Calibri" w:cs="Calibri"/>
          <w:i/>
          <w:iCs/>
          <w:color w:val="000000"/>
          <w:szCs w:val="20"/>
          <w:lang w:eastAsia="en-AU"/>
        </w:rPr>
        <w:t>Domestic Animals Regulation 2001</w:t>
      </w:r>
      <w:r>
        <w:rPr>
          <w:rFonts w:ascii="Calibri" w:eastAsia="Calibri" w:hAnsi="Calibri" w:cs="Calibri"/>
          <w:color w:val="000000"/>
          <w:szCs w:val="20"/>
          <w:lang w:eastAsia="en-AU"/>
        </w:rPr>
        <w:t xml:space="preserve"> to require dog registration to be renewed annually.</w:t>
      </w:r>
    </w:p>
    <w:p w:rsidR="0067783F" w:rsidRPr="00133AB1" w:rsidRDefault="0067783F" w:rsidP="0067783F">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Do any provisions of the Bill amount to an undue trespass on personal rights and liberties</w:t>
      </w:r>
      <w:proofErr w:type="gramStart"/>
      <w:r w:rsidRPr="00133AB1">
        <w:rPr>
          <w:rFonts w:ascii="Calibri" w:eastAsia="Calibri" w:hAnsi="Calibri" w:cs="Calibri"/>
          <w:b/>
          <w:bCs/>
          <w:i/>
          <w:color w:val="000000"/>
          <w:szCs w:val="20"/>
          <w:lang w:eastAsia="en-AU"/>
        </w:rPr>
        <w:t>?—</w:t>
      </w:r>
      <w:proofErr w:type="gramEnd"/>
      <w:r w:rsidRPr="00133AB1">
        <w:rPr>
          <w:rFonts w:ascii="Calibri" w:eastAsia="Calibri" w:hAnsi="Calibri" w:cs="Calibri"/>
          <w:b/>
          <w:bCs/>
          <w:i/>
          <w:color w:val="000000"/>
          <w:szCs w:val="20"/>
          <w:lang w:eastAsia="en-AU"/>
        </w:rPr>
        <w:t xml:space="preserve"> </w:t>
      </w:r>
      <w:r w:rsidRPr="00E83C75">
        <w:rPr>
          <w:b/>
          <w:i/>
          <w:lang w:val="en-US"/>
        </w:rPr>
        <w:t xml:space="preserve">Committee </w:t>
      </w:r>
      <w:r>
        <w:rPr>
          <w:b/>
          <w:i/>
          <w:lang w:val="en-US"/>
        </w:rPr>
        <w:t>Resolution of Appointment paragraph (10)(a)(</w:t>
      </w:r>
      <w:proofErr w:type="spellStart"/>
      <w:r>
        <w:rPr>
          <w:b/>
          <w:i/>
          <w:lang w:val="en-US"/>
        </w:rPr>
        <w:t>i</w:t>
      </w:r>
      <w:proofErr w:type="spellEnd"/>
      <w:r>
        <w:rPr>
          <w:b/>
          <w:i/>
          <w:lang w:val="en-US"/>
        </w:rPr>
        <w:t xml:space="preserve">) </w:t>
      </w:r>
      <w:r w:rsidRPr="00E83C75">
        <w:rPr>
          <w:b/>
          <w:i/>
          <w:lang w:val="en-US"/>
        </w:rPr>
        <w:t xml:space="preserve"> </w:t>
      </w:r>
    </w:p>
    <w:p w:rsidR="0067783F" w:rsidRPr="00133AB1" w:rsidRDefault="0067783F" w:rsidP="0067783F">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rsidR="0067783F" w:rsidRDefault="0067783F" w:rsidP="0067783F">
      <w:pPr>
        <w:pStyle w:val="Heading5"/>
      </w:pPr>
      <w:r w:rsidRPr="0067269D">
        <w:t>Right to privacy and reputation (s</w:t>
      </w:r>
      <w:r>
        <w:t>ection</w:t>
      </w:r>
      <w:r w:rsidRPr="0067269D">
        <w:t xml:space="preserve"> 12 HRA)</w:t>
      </w:r>
    </w:p>
    <w:p w:rsidR="0067783F" w:rsidRDefault="0067783F" w:rsidP="0067783F">
      <w:pPr>
        <w:rPr>
          <w:lang w:val="en-US"/>
        </w:rPr>
      </w:pPr>
      <w:r>
        <w:rPr>
          <w:lang w:val="en-US"/>
        </w:rPr>
        <w:t>The Bill will require personal information to be provided upon registration and renewal, including any conviction or finding or guilt of the keeper within the last 10 years against an animal welfare offence or a non-excluded offence against the Domestic Animals Act. The Bill will also allow the Registrar to request a keeper of a registered dog</w:t>
      </w:r>
      <w:r w:rsidR="001B31AD">
        <w:rPr>
          <w:lang w:val="en-US"/>
        </w:rPr>
        <w:t xml:space="preserve"> to</w:t>
      </w:r>
      <w:r>
        <w:rPr>
          <w:lang w:val="en-US"/>
        </w:rPr>
        <w:t xml:space="preserve"> provide any information that is reasonably necessary for carrying out a function under the Act, with registration able to be cancelled if there is a failure to comply with the notice. The explanatory statement accompanying the Bill recogni</w:t>
      </w:r>
      <w:r w:rsidR="000373C1">
        <w:rPr>
          <w:lang w:val="en-US"/>
        </w:rPr>
        <w:t>s</w:t>
      </w:r>
      <w:r>
        <w:rPr>
          <w:lang w:val="en-US"/>
        </w:rPr>
        <w:t xml:space="preserve">es that these requirements may limit the protection of privacy provided by section 12 of the HRA and provides a justification using the framework in section 28 of the HRA. The Committee refers that statement to the Assembly. </w:t>
      </w:r>
    </w:p>
    <w:p w:rsidR="0067783F" w:rsidRDefault="0067783F" w:rsidP="0067783F">
      <w:pPr>
        <w:pStyle w:val="Heading6"/>
      </w:pPr>
      <w:r w:rsidRPr="00E83C75">
        <w:t>Right to the presumption of innocence (s</w:t>
      </w:r>
      <w:r>
        <w:t>ection</w:t>
      </w:r>
      <w:r w:rsidRPr="00E83C75">
        <w:t xml:space="preserve"> 22 </w:t>
      </w:r>
      <w:r w:rsidRPr="005F7002">
        <w:t>HRA</w:t>
      </w:r>
      <w:r w:rsidRPr="00E83C75">
        <w:t>)</w:t>
      </w:r>
    </w:p>
    <w:p w:rsidR="0067783F" w:rsidRDefault="0067783F" w:rsidP="0067783F">
      <w:pPr>
        <w:rPr>
          <w:lang w:val="en-US"/>
        </w:rPr>
      </w:pPr>
      <w:r>
        <w:rPr>
          <w:lang w:val="en-US"/>
        </w:rPr>
        <w:t>Under the Bill, current life-time registration of dogs kept in the ACT will be converted to 12 months. The Registrar will be required to provide notice at least 14 days prior to the expiry of the registration. The Bill will create a strict liability offence of failing to comply with the reminder notice, with a maximum penalty of 10 penalty units. As the introduction of a strict liability offence removes the burden on establishing the fault element of the offence, the Bill may limit the right to the presumption of innocence protected by section 22 of the HRA. The explanatory statement accompanying the Bill refers to this potential limitation and outlines why it should be considered reasonable using the framework in section 28 of the HRA. The Committee refers that statement to the Assembly.</w:t>
      </w:r>
    </w:p>
    <w:p w:rsidR="0067783F" w:rsidRDefault="0067783F" w:rsidP="0067783F">
      <w:pPr>
        <w:rPr>
          <w:lang w:val="en-US"/>
        </w:rPr>
      </w:pPr>
      <w:r>
        <w:rPr>
          <w:lang w:val="en-US"/>
        </w:rPr>
        <w:t xml:space="preserve">The Committee is concerned, however, that the elements of this strict liability offence are not clearly defined. Under proposed section 10, the Bill provides that the reminder notice must state various matters, including the registration end date, that the keeper is required to confirm or update registration information and how the </w:t>
      </w:r>
      <w:r w:rsidR="00A7418E">
        <w:rPr>
          <w:lang w:val="en-US"/>
        </w:rPr>
        <w:t>k</w:t>
      </w:r>
      <w:r>
        <w:rPr>
          <w:lang w:val="en-US"/>
        </w:rPr>
        <w:t>eeper can access that information, the requirement for consent by a parent or guardian where appropriate, and how the keeper may comply with the notice. The strict liability offence in proposed section 10A is expressed as failing to comply with the reminder notice. It is therefore not clear whether complying with the reminder notice is restricted to confirming or updating registration information and providing parental consent where appropriate or may extend to other requirements not otherwise explicitly set out in the legislation. The Committee therefore asks that this be clarified.</w:t>
      </w:r>
    </w:p>
    <w:p w:rsidR="0067783F" w:rsidRDefault="0067783F" w:rsidP="0067783F">
      <w:pPr>
        <w:rPr>
          <w:lang w:val="en-US"/>
        </w:rPr>
      </w:pPr>
      <w:r>
        <w:rPr>
          <w:lang w:val="en-US"/>
        </w:rPr>
        <w:t>The Committee also notes that under proposed section 10B the Bill will provide for registration to be renewed where a person complies with the reminder notice. It is not clear what happens if registration is not renewed, for example, due to a failure by the Registrar to comply with the requirements to send a reminder notice. Section 14 of the Domestic Animals Act provides that it is a strict liability offence for a person to keep an unregistered dog, subject to a penalty of 15 penalty units.  The Committee is concerned that a person may be subject to a strict liability offence in circumstances where they have not received the reminder notice, and will have the burden of establishing a reasonable belief that the dog was registered. The Committee therefore requests that further information be provided on why it is considered necessary to have two strict liability offence relating to maintaining registration of dogs.</w:t>
      </w:r>
    </w:p>
    <w:p w:rsidR="0067783F" w:rsidRPr="00E83C75" w:rsidRDefault="0067783F" w:rsidP="0067783F">
      <w:pPr>
        <w:pStyle w:val="Bodycopy"/>
        <w:spacing w:line="280" w:lineRule="exact"/>
        <w:rPr>
          <w:b/>
        </w:rPr>
      </w:pPr>
      <w:r w:rsidRPr="00E83C75">
        <w:rPr>
          <w:b/>
        </w:rPr>
        <w:t>The Committee draws th</w:t>
      </w:r>
      <w:r>
        <w:rPr>
          <w:b/>
        </w:rPr>
        <w:t>is</w:t>
      </w:r>
      <w:r w:rsidRPr="00E83C75">
        <w:rPr>
          <w:b/>
        </w:rPr>
        <w:t xml:space="preserve"> matter to the attention of the Assembly, and asks the Minister to respond.</w:t>
      </w:r>
    </w:p>
    <w:p w:rsidR="0067783F" w:rsidRPr="00133AB1" w:rsidRDefault="0067783F" w:rsidP="0067783F">
      <w:pPr>
        <w:pStyle w:val="Heading4"/>
        <w:pBdr>
          <w:bottom w:val="single" w:sz="6" w:space="1" w:color="000000"/>
        </w:pBdr>
        <w:rPr>
          <w:rFonts w:eastAsia="Times New Roman"/>
        </w:rPr>
      </w:pPr>
      <w:bookmarkStart w:id="505" w:name="_Toc69207595"/>
      <w:r>
        <w:rPr>
          <w:rFonts w:eastAsia="Times New Roman"/>
        </w:rPr>
        <w:t>Revenue Legislation Amendment Bill 2021</w:t>
      </w:r>
      <w:bookmarkEnd w:id="505"/>
    </w:p>
    <w:p w:rsidR="0067783F" w:rsidRDefault="0067783F" w:rsidP="0067783F">
      <w:pPr>
        <w:rPr>
          <w:b/>
          <w:i/>
          <w:lang w:val="en-US"/>
        </w:rPr>
      </w:pPr>
      <w:r w:rsidRPr="00133AB1">
        <w:rPr>
          <w:rFonts w:ascii="Calibri" w:eastAsia="Calibri" w:hAnsi="Calibri" w:cs="Calibri"/>
          <w:color w:val="000000"/>
          <w:szCs w:val="20"/>
          <w:lang w:eastAsia="en-AU"/>
        </w:rPr>
        <w:t xml:space="preserve">This Bill </w:t>
      </w:r>
      <w:r>
        <w:rPr>
          <w:rFonts w:ascii="Calibri" w:eastAsia="Calibri" w:hAnsi="Calibri" w:cs="Calibri"/>
          <w:color w:val="000000"/>
          <w:szCs w:val="20"/>
          <w:lang w:eastAsia="en-AU"/>
        </w:rPr>
        <w:t>will amend various legislation relating to the administration and operation of the ACT tax system.</w:t>
      </w:r>
    </w:p>
    <w:p w:rsidR="0067783F" w:rsidRPr="00133AB1" w:rsidRDefault="0067783F" w:rsidP="0067783F">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Do any provisions of the Bill amount to an undue trespass on personal rights and liberties</w:t>
      </w:r>
      <w:proofErr w:type="gramStart"/>
      <w:r w:rsidRPr="00133AB1">
        <w:rPr>
          <w:rFonts w:ascii="Calibri" w:eastAsia="Calibri" w:hAnsi="Calibri" w:cs="Calibri"/>
          <w:b/>
          <w:bCs/>
          <w:i/>
          <w:color w:val="000000"/>
          <w:szCs w:val="20"/>
          <w:lang w:eastAsia="en-AU"/>
        </w:rPr>
        <w:t>?—</w:t>
      </w:r>
      <w:proofErr w:type="gramEnd"/>
      <w:r w:rsidRPr="00133AB1">
        <w:rPr>
          <w:rFonts w:ascii="Calibri" w:eastAsia="Calibri" w:hAnsi="Calibri" w:cs="Calibri"/>
          <w:b/>
          <w:bCs/>
          <w:i/>
          <w:color w:val="000000"/>
          <w:szCs w:val="20"/>
          <w:lang w:eastAsia="en-AU"/>
        </w:rPr>
        <w:t xml:space="preserve"> </w:t>
      </w:r>
      <w:r w:rsidRPr="00E83C75">
        <w:rPr>
          <w:b/>
          <w:i/>
          <w:lang w:val="en-US"/>
        </w:rPr>
        <w:t xml:space="preserve">Committee </w:t>
      </w:r>
      <w:r>
        <w:rPr>
          <w:b/>
          <w:i/>
          <w:lang w:val="en-US"/>
        </w:rPr>
        <w:t>Resolution of Appointment paragraph (10)(a)(</w:t>
      </w:r>
      <w:proofErr w:type="spellStart"/>
      <w:r>
        <w:rPr>
          <w:b/>
          <w:i/>
          <w:lang w:val="en-US"/>
        </w:rPr>
        <w:t>i</w:t>
      </w:r>
      <w:proofErr w:type="spellEnd"/>
      <w:r>
        <w:rPr>
          <w:b/>
          <w:i/>
          <w:lang w:val="en-US"/>
        </w:rPr>
        <w:t xml:space="preserve">) </w:t>
      </w:r>
      <w:r w:rsidRPr="00E83C75">
        <w:rPr>
          <w:b/>
          <w:i/>
          <w:lang w:val="en-US"/>
        </w:rPr>
        <w:t xml:space="preserve"> </w:t>
      </w:r>
    </w:p>
    <w:p w:rsidR="0067783F" w:rsidRDefault="0067783F" w:rsidP="0067783F">
      <w:pPr>
        <w:rPr>
          <w:lang w:val="en-US"/>
        </w:rPr>
      </w:pPr>
      <w:r>
        <w:rPr>
          <w:lang w:val="en-US"/>
        </w:rPr>
        <w:t>The Bill will extend the current exemption from Land Tax for land made available for affordable community housing. The current exemption is due to expire on 30 June 2021. The amendment in the Bill to remove this expiry date is expressed to commence no later than 30 June 2021, meaning the Bill will have retrospective operation if notified after this date. The Committee notes, however, that this potential retrospective operation is recogni</w:t>
      </w:r>
      <w:r w:rsidR="00B6308F">
        <w:rPr>
          <w:lang w:val="en-US"/>
        </w:rPr>
        <w:t>s</w:t>
      </w:r>
      <w:r>
        <w:rPr>
          <w:lang w:val="en-US"/>
        </w:rPr>
        <w:t>ed in the explanatory statement accompanying the Bill, and that the extension of the exemption will not adversely affect any person’s rights or impose liabilities.</w:t>
      </w:r>
    </w:p>
    <w:p w:rsidR="0067783F" w:rsidRPr="00E83C75" w:rsidRDefault="0067783F" w:rsidP="0067783F">
      <w:pPr>
        <w:pStyle w:val="Bodycopy"/>
        <w:spacing w:line="280" w:lineRule="exact"/>
        <w:rPr>
          <w:b/>
          <w:bCs/>
        </w:rPr>
      </w:pPr>
      <w:r w:rsidRPr="00E83C75">
        <w:rPr>
          <w:b/>
          <w:bCs/>
        </w:rPr>
        <w:t>The Committee draws this matter to the attention of the Assembly, but does not require a response from the Minister.</w:t>
      </w:r>
    </w:p>
    <w:p w:rsidR="0067783F" w:rsidRPr="00133AB1" w:rsidRDefault="0067783F" w:rsidP="0067783F">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Do any provisions of the Bill amount to an undue trespass on personal rights and liberties</w:t>
      </w:r>
      <w:proofErr w:type="gramStart"/>
      <w:r w:rsidRPr="00133AB1">
        <w:rPr>
          <w:rFonts w:ascii="Calibri" w:eastAsia="Calibri" w:hAnsi="Calibri" w:cs="Calibri"/>
          <w:b/>
          <w:bCs/>
          <w:i/>
          <w:color w:val="000000"/>
          <w:szCs w:val="20"/>
          <w:lang w:eastAsia="en-AU"/>
        </w:rPr>
        <w:t>?—</w:t>
      </w:r>
      <w:proofErr w:type="gramEnd"/>
      <w:r w:rsidRPr="00133AB1">
        <w:rPr>
          <w:rFonts w:ascii="Calibri" w:eastAsia="Calibri" w:hAnsi="Calibri" w:cs="Calibri"/>
          <w:b/>
          <w:bCs/>
          <w:i/>
          <w:color w:val="000000"/>
          <w:szCs w:val="20"/>
          <w:lang w:eastAsia="en-AU"/>
        </w:rPr>
        <w:t xml:space="preserve"> </w:t>
      </w:r>
      <w:r w:rsidRPr="00E83C75">
        <w:rPr>
          <w:b/>
          <w:i/>
          <w:lang w:val="en-US"/>
        </w:rPr>
        <w:t xml:space="preserve">Committee </w:t>
      </w:r>
      <w:r>
        <w:rPr>
          <w:b/>
          <w:i/>
          <w:lang w:val="en-US"/>
        </w:rPr>
        <w:t>Resolution of Appointment paragraph (10)(a)(</w:t>
      </w:r>
      <w:proofErr w:type="spellStart"/>
      <w:r>
        <w:rPr>
          <w:b/>
          <w:i/>
          <w:lang w:val="en-US"/>
        </w:rPr>
        <w:t>i</w:t>
      </w:r>
      <w:proofErr w:type="spellEnd"/>
      <w:r>
        <w:rPr>
          <w:b/>
          <w:i/>
          <w:lang w:val="en-US"/>
        </w:rPr>
        <w:t xml:space="preserve">) </w:t>
      </w:r>
      <w:r w:rsidRPr="00E83C75">
        <w:rPr>
          <w:b/>
          <w:i/>
          <w:lang w:val="en-US"/>
        </w:rPr>
        <w:t xml:space="preserve"> </w:t>
      </w:r>
    </w:p>
    <w:p w:rsidR="0067783F" w:rsidRPr="00133AB1" w:rsidRDefault="0067783F" w:rsidP="0067783F">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rsidR="0067783F" w:rsidRDefault="0067783F" w:rsidP="0067783F">
      <w:pPr>
        <w:pStyle w:val="Heading5"/>
      </w:pPr>
      <w:r w:rsidRPr="0067269D">
        <w:t>Right to privacy and reputation (s</w:t>
      </w:r>
      <w:r>
        <w:t>ection</w:t>
      </w:r>
      <w:r w:rsidRPr="0067269D">
        <w:t xml:space="preserve"> 12 HRA)</w:t>
      </w:r>
    </w:p>
    <w:p w:rsidR="0067783F" w:rsidRDefault="0067783F" w:rsidP="0067783F">
      <w:pPr>
        <w:rPr>
          <w:lang w:val="en-US"/>
        </w:rPr>
      </w:pPr>
      <w:r>
        <w:rPr>
          <w:lang w:val="en-US"/>
        </w:rPr>
        <w:t xml:space="preserve">The Bill will amend the current secrecy provisions in the </w:t>
      </w:r>
      <w:r w:rsidRPr="003E17AE">
        <w:rPr>
          <w:i/>
          <w:iCs/>
          <w:lang w:val="en-US"/>
        </w:rPr>
        <w:t>Taxation Administration Act 1999</w:t>
      </w:r>
      <w:r>
        <w:rPr>
          <w:lang w:val="en-US"/>
        </w:rPr>
        <w:t xml:space="preserve"> to extend the range of authorized recipients with whom taxation officers can share taxpayers’ information for specified purposes. These include various Commonwealth enforcement, regulatory and service and support bodies. Disclosure to a Minister will also be allowed to provide a response to a constituent about the constituent’s tax affairs. The Bill will also allow for disclosures to other persons to allow them to exercise a function for an authorized recipient in relation to the specified purpose of the disclosure.</w:t>
      </w:r>
    </w:p>
    <w:p w:rsidR="0067783F" w:rsidRPr="003E17AE" w:rsidRDefault="0067783F" w:rsidP="0067783F">
      <w:pPr>
        <w:rPr>
          <w:lang w:val="en-US"/>
        </w:rPr>
      </w:pPr>
      <w:r>
        <w:rPr>
          <w:lang w:val="en-US"/>
        </w:rPr>
        <w:t xml:space="preserve">As these provisions will extend the circumstances in which a taxpayer’s personal information may be shared, they potentially limit the protection of privacy and reputation provided by section 12 of the HRA. The explanatory statement accompanying the Bill recognizes this potential limitation and provides a detailed description of its nature and justification using the framework set out in section 28 of the HRA. The Committee refers that statement to the Assembly, noting in particular the limitations on the purposes for which information can be disclosed and further protections provided by the Act against further disclosure of any information provided. </w:t>
      </w:r>
    </w:p>
    <w:p w:rsidR="0067783F" w:rsidRPr="00E83C75" w:rsidRDefault="0067783F" w:rsidP="0067783F">
      <w:pPr>
        <w:pStyle w:val="Bodycopy"/>
        <w:spacing w:line="280" w:lineRule="exact"/>
        <w:rPr>
          <w:b/>
          <w:bCs/>
        </w:rPr>
      </w:pPr>
      <w:r w:rsidRPr="00E83C75">
        <w:rPr>
          <w:b/>
          <w:bCs/>
        </w:rPr>
        <w:t>The Committee draws this matter to the attention of the Assembly, but does not require a response from the Minister.</w:t>
      </w:r>
    </w:p>
    <w:p w:rsidR="008024FC" w:rsidRPr="00104A8B" w:rsidRDefault="008024FC" w:rsidP="0037018E">
      <w:pPr>
        <w:pStyle w:val="Heading2"/>
        <w:rPr>
          <w:rFonts w:asciiTheme="minorHAnsi" w:eastAsia="Calibri" w:hAnsiTheme="minorHAnsi"/>
          <w:lang w:eastAsia="en-AU"/>
        </w:rPr>
      </w:pPr>
      <w:bookmarkStart w:id="506" w:name="_Toc69207596"/>
      <w:bookmarkEnd w:id="498"/>
      <w:r>
        <w:rPr>
          <w:rFonts w:asciiTheme="minorHAnsi" w:eastAsia="Calibri" w:hAnsiTheme="minorHAnsi"/>
          <w:lang w:eastAsia="en-AU"/>
        </w:rPr>
        <w:t>Subordinate Legislation</w:t>
      </w:r>
      <w:bookmarkEnd w:id="506"/>
    </w:p>
    <w:p w:rsidR="003443EB" w:rsidRPr="00103E7B" w:rsidRDefault="003379D7" w:rsidP="00103E7B">
      <w:pPr>
        <w:pStyle w:val="Heading3"/>
      </w:pPr>
      <w:bookmarkStart w:id="507" w:name="_Toc69207597"/>
      <w:r w:rsidRPr="00103E7B">
        <w:t>Disallowable Instruments</w:t>
      </w:r>
      <w:r w:rsidR="003443EB" w:rsidRPr="00103E7B">
        <w:t xml:space="preserve">—No </w:t>
      </w:r>
      <w:r w:rsidR="00ED79E3">
        <w:t>C</w:t>
      </w:r>
      <w:r w:rsidR="003443EB" w:rsidRPr="00103E7B">
        <w:t>omment</w:t>
      </w:r>
      <w:bookmarkEnd w:id="507"/>
    </w:p>
    <w:p w:rsidR="003443EB" w:rsidRDefault="003443EB" w:rsidP="00C517A1">
      <w:pPr>
        <w:widowControl w:val="0"/>
        <w:tabs>
          <w:tab w:val="left" w:pos="1276"/>
        </w:tabs>
        <w:rPr>
          <w:rFonts w:ascii="Calibri" w:hAnsi="Calibri" w:cs="Calibri"/>
          <w:color w:val="000000"/>
        </w:rPr>
      </w:pPr>
      <w:r w:rsidRPr="00987942">
        <w:rPr>
          <w:rFonts w:ascii="Calibri" w:hAnsi="Calibri" w:cs="Calibri"/>
          <w:color w:val="000000"/>
        </w:rPr>
        <w:t xml:space="preserve">The Committee has examined the </w:t>
      </w:r>
      <w:r w:rsidR="008B48A2">
        <w:rPr>
          <w:rFonts w:ascii="Calibri" w:hAnsi="Calibri" w:cs="Calibri"/>
          <w:color w:val="000000"/>
        </w:rPr>
        <w:t>following disallowable instruments and offers no comment on them</w:t>
      </w:r>
      <w:r w:rsidRPr="00987942">
        <w:rPr>
          <w:rFonts w:ascii="Calibri" w:hAnsi="Calibri" w:cs="Calibri"/>
          <w:color w:val="000000"/>
        </w:rPr>
        <w:t>:</w:t>
      </w:r>
    </w:p>
    <w:p w:rsidR="00E92FBE" w:rsidRDefault="00E92FBE" w:rsidP="00E92FBE">
      <w:pPr>
        <w:pStyle w:val="Bodycopy"/>
        <w:spacing w:after="0" w:line="280" w:lineRule="exact"/>
        <w:rPr>
          <w:b/>
        </w:rPr>
      </w:pPr>
      <w:bookmarkStart w:id="508" w:name="_Hlk504463130"/>
      <w:bookmarkEnd w:id="499"/>
      <w:bookmarkEnd w:id="500"/>
      <w:r>
        <w:rPr>
          <w:b/>
        </w:rPr>
        <w:t>Disallowable Instrument</w:t>
      </w:r>
      <w:r w:rsidRPr="00451C85">
        <w:rPr>
          <w:b/>
        </w:rPr>
        <w:t xml:space="preserve"> </w:t>
      </w:r>
      <w:r>
        <w:rPr>
          <w:b/>
        </w:rPr>
        <w:t>DI2020-295</w:t>
      </w:r>
      <w:r w:rsidRPr="00451C85">
        <w:rPr>
          <w:b/>
        </w:rPr>
        <w:t xml:space="preserve"> being the </w:t>
      </w:r>
      <w:r>
        <w:rPr>
          <w:b/>
        </w:rPr>
        <w:t xml:space="preserve">Legislative Assembly (Members' Staff) Members' Salary Cap Determination 2020 (No 3) made under subsections 10(3) and 20(4) of the </w:t>
      </w:r>
      <w:r>
        <w:rPr>
          <w:i/>
        </w:rPr>
        <w:t>Legislative Assembly (Members' Staff) Act 1989</w:t>
      </w:r>
      <w:r w:rsidRPr="00236BDD">
        <w:rPr>
          <w:b/>
        </w:rPr>
        <w:t xml:space="preserve"> </w:t>
      </w:r>
      <w:r>
        <w:rPr>
          <w:b/>
        </w:rPr>
        <w:t xml:space="preserve">revokes DI2020-146 and determines the conditions under which a member may hire staff, contractors or consultants. </w:t>
      </w:r>
    </w:p>
    <w:p w:rsidR="00E92FBE" w:rsidRPr="00842199" w:rsidRDefault="00E92FBE" w:rsidP="00E92FBE">
      <w:pPr>
        <w:pStyle w:val="Bodycopy"/>
        <w:spacing w:after="0" w:line="280" w:lineRule="exact"/>
        <w:rPr>
          <w:b/>
        </w:rPr>
      </w:pPr>
      <w:r>
        <w:rPr>
          <w:b/>
        </w:rPr>
        <w:t>Disallowable Instrument</w:t>
      </w:r>
      <w:r w:rsidRPr="00451C85">
        <w:rPr>
          <w:b/>
        </w:rPr>
        <w:t xml:space="preserve"> </w:t>
      </w:r>
      <w:r>
        <w:rPr>
          <w:b/>
        </w:rPr>
        <w:t>DI2020-296</w:t>
      </w:r>
      <w:r w:rsidRPr="00451C85">
        <w:rPr>
          <w:b/>
        </w:rPr>
        <w:t xml:space="preserve"> being the </w:t>
      </w:r>
      <w:r>
        <w:rPr>
          <w:b/>
        </w:rPr>
        <w:t xml:space="preserve">Road Transport (General) Application of Road Transport Legislation (Manuka Oval) Declaration 2020 (No 1) made under section 12 of the </w:t>
      </w:r>
      <w:r>
        <w:rPr>
          <w:i/>
        </w:rPr>
        <w:t>Road Transport (General) Act 1999</w:t>
      </w:r>
      <w:r w:rsidRPr="00236BDD">
        <w:rPr>
          <w:b/>
        </w:rPr>
        <w:t xml:space="preserve"> </w:t>
      </w:r>
      <w:r>
        <w:rPr>
          <w:b/>
        </w:rPr>
        <w:t xml:space="preserve">disapplies section 205 of the Road Transport (Road Rules) Regulation to support parking arrangements for major sporting events at Manuka Oval in 2020. </w:t>
      </w:r>
    </w:p>
    <w:p w:rsidR="00E92FBE" w:rsidRPr="00842199" w:rsidRDefault="00E92FBE" w:rsidP="00E92FBE">
      <w:pPr>
        <w:pStyle w:val="Bodycopy"/>
        <w:spacing w:after="0" w:line="280" w:lineRule="exact"/>
        <w:rPr>
          <w:b/>
        </w:rPr>
      </w:pPr>
      <w:r>
        <w:rPr>
          <w:b/>
        </w:rPr>
        <w:t>Disallowable Instrument</w:t>
      </w:r>
      <w:r w:rsidRPr="00451C85">
        <w:rPr>
          <w:b/>
        </w:rPr>
        <w:t xml:space="preserve"> </w:t>
      </w:r>
      <w:r>
        <w:rPr>
          <w:b/>
        </w:rPr>
        <w:t>DI2020-297</w:t>
      </w:r>
      <w:r w:rsidRPr="00451C85">
        <w:rPr>
          <w:b/>
        </w:rPr>
        <w:t xml:space="preserve"> being the </w:t>
      </w:r>
      <w:r>
        <w:rPr>
          <w:b/>
        </w:rPr>
        <w:t xml:space="preserve">Medicines, Poisons and Therapeutic Goods (Fees) Determination 2020 (No 1) made under section 197 of the </w:t>
      </w:r>
      <w:r>
        <w:rPr>
          <w:i/>
        </w:rPr>
        <w:t>Medicines, Poisons and Therapeutic Goods Act 2008</w:t>
      </w:r>
      <w:r w:rsidRPr="00236BDD">
        <w:rPr>
          <w:b/>
        </w:rPr>
        <w:t xml:space="preserve"> </w:t>
      </w:r>
      <w:r>
        <w:rPr>
          <w:b/>
        </w:rPr>
        <w:t xml:space="preserve">revokes DI2019-249 and determines fees payable for the purposes of the Act. </w:t>
      </w:r>
    </w:p>
    <w:p w:rsidR="00E92FBE" w:rsidRPr="00842199" w:rsidRDefault="00E92FBE" w:rsidP="00E92FBE">
      <w:pPr>
        <w:pStyle w:val="Bodycopy"/>
        <w:spacing w:after="0" w:line="280" w:lineRule="exact"/>
        <w:rPr>
          <w:b/>
        </w:rPr>
      </w:pPr>
      <w:r>
        <w:rPr>
          <w:b/>
        </w:rPr>
        <w:t>Disallowable Instrument</w:t>
      </w:r>
      <w:r w:rsidRPr="00451C85">
        <w:rPr>
          <w:b/>
        </w:rPr>
        <w:t xml:space="preserve"> </w:t>
      </w:r>
      <w:r>
        <w:rPr>
          <w:b/>
        </w:rPr>
        <w:t>DI2020-298</w:t>
      </w:r>
      <w:r w:rsidRPr="00451C85">
        <w:rPr>
          <w:b/>
        </w:rPr>
        <w:t xml:space="preserve"> being the </w:t>
      </w:r>
      <w:r>
        <w:rPr>
          <w:b/>
        </w:rPr>
        <w:t xml:space="preserve">Radiation Protection (Fees) Determination 2020 (No 1) made under section 120 of the </w:t>
      </w:r>
      <w:r>
        <w:rPr>
          <w:i/>
        </w:rPr>
        <w:t>Radiation Protection Act 2006</w:t>
      </w:r>
      <w:r w:rsidRPr="00236BDD">
        <w:rPr>
          <w:b/>
        </w:rPr>
        <w:t xml:space="preserve"> </w:t>
      </w:r>
      <w:r>
        <w:rPr>
          <w:b/>
        </w:rPr>
        <w:t xml:space="preserve">revokes DI2019-251 and determines fees payable for the purposes of the Act. </w:t>
      </w:r>
    </w:p>
    <w:p w:rsidR="00E92FBE" w:rsidRPr="00842199" w:rsidRDefault="00E92FBE" w:rsidP="00E92FBE">
      <w:pPr>
        <w:pStyle w:val="Bodycopy"/>
        <w:spacing w:after="0" w:line="280" w:lineRule="exact"/>
        <w:rPr>
          <w:b/>
        </w:rPr>
      </w:pPr>
      <w:r>
        <w:rPr>
          <w:b/>
        </w:rPr>
        <w:t>Disallowable Instrument</w:t>
      </w:r>
      <w:r w:rsidRPr="00451C85">
        <w:rPr>
          <w:b/>
        </w:rPr>
        <w:t xml:space="preserve"> </w:t>
      </w:r>
      <w:r>
        <w:rPr>
          <w:b/>
        </w:rPr>
        <w:t>DI2020-299</w:t>
      </w:r>
      <w:r w:rsidRPr="00451C85">
        <w:rPr>
          <w:b/>
        </w:rPr>
        <w:t xml:space="preserve"> being the </w:t>
      </w:r>
      <w:r>
        <w:rPr>
          <w:b/>
        </w:rPr>
        <w:t xml:space="preserve">Tobacco and Other Smoking Products (Fees) Determination 2020 (No 1) made under section 70 of the </w:t>
      </w:r>
      <w:r>
        <w:rPr>
          <w:i/>
        </w:rPr>
        <w:t>Tobacco and Other Smoking Products Act 1927</w:t>
      </w:r>
      <w:r w:rsidRPr="00236BDD">
        <w:rPr>
          <w:b/>
        </w:rPr>
        <w:t xml:space="preserve"> </w:t>
      </w:r>
      <w:r>
        <w:rPr>
          <w:b/>
        </w:rPr>
        <w:t xml:space="preserve">revokes DI2019-252 and determines fees payable for the purposes of the Act. </w:t>
      </w:r>
    </w:p>
    <w:p w:rsidR="00E92FBE" w:rsidRDefault="00E92FBE" w:rsidP="00E92FBE">
      <w:pPr>
        <w:pStyle w:val="Bodycopy"/>
        <w:spacing w:after="0" w:line="280" w:lineRule="exact"/>
        <w:rPr>
          <w:b/>
        </w:rPr>
      </w:pPr>
      <w:r w:rsidRPr="00E15B42">
        <w:rPr>
          <w:b/>
        </w:rPr>
        <w:t xml:space="preserve">Disallowable Instrument DI2020-300 being the Health Records (Privacy and Access) (Fees) Determination 2020 (No 1) made under section 34 of the </w:t>
      </w:r>
      <w:r w:rsidRPr="00E15B42">
        <w:rPr>
          <w:bCs/>
          <w:i/>
          <w:iCs/>
        </w:rPr>
        <w:t xml:space="preserve">Health Records (Privacy and Access) Act 1997 </w:t>
      </w:r>
      <w:r w:rsidRPr="00E15B42">
        <w:rPr>
          <w:b/>
        </w:rPr>
        <w:t xml:space="preserve">revokes DI2019-260 and determines fees payable for the purposes of the Act. </w:t>
      </w:r>
    </w:p>
    <w:p w:rsidR="00E92FBE" w:rsidRPr="00842199" w:rsidRDefault="00E92FBE" w:rsidP="00E92FBE">
      <w:pPr>
        <w:pStyle w:val="Bodycopy"/>
        <w:spacing w:after="0" w:line="280" w:lineRule="exact"/>
        <w:rPr>
          <w:b/>
        </w:rPr>
      </w:pPr>
      <w:r>
        <w:rPr>
          <w:b/>
        </w:rPr>
        <w:t>Disallowable Instrument</w:t>
      </w:r>
      <w:r w:rsidRPr="00451C85">
        <w:rPr>
          <w:b/>
        </w:rPr>
        <w:t xml:space="preserve"> </w:t>
      </w:r>
      <w:r>
        <w:rPr>
          <w:b/>
        </w:rPr>
        <w:t>DI2020-304</w:t>
      </w:r>
      <w:r w:rsidRPr="00451C85">
        <w:rPr>
          <w:b/>
        </w:rPr>
        <w:t xml:space="preserve"> being the </w:t>
      </w:r>
      <w:r>
        <w:rPr>
          <w:b/>
        </w:rPr>
        <w:t xml:space="preserve">Blood Donation (Transmittable Diseases) Blood Donor Form 2020 (No 1) made under subsection 10(3) of the </w:t>
      </w:r>
      <w:r>
        <w:rPr>
          <w:i/>
        </w:rPr>
        <w:t>Blood Donation (Transmittable Diseases) Act 1985</w:t>
      </w:r>
      <w:r w:rsidRPr="00236BDD">
        <w:rPr>
          <w:b/>
        </w:rPr>
        <w:t xml:space="preserve"> </w:t>
      </w:r>
      <w:r>
        <w:rPr>
          <w:b/>
        </w:rPr>
        <w:t xml:space="preserve">revokes DI2019-223 and approves a new Blood Donor Declaration Form. </w:t>
      </w:r>
    </w:p>
    <w:p w:rsidR="00E92FBE" w:rsidRPr="00842199" w:rsidRDefault="00E92FBE" w:rsidP="00E92FBE">
      <w:pPr>
        <w:pStyle w:val="Bodycopy"/>
        <w:spacing w:after="0" w:line="280" w:lineRule="exact"/>
        <w:rPr>
          <w:b/>
        </w:rPr>
      </w:pPr>
      <w:r>
        <w:rPr>
          <w:b/>
        </w:rPr>
        <w:t>Disallowable Instrument</w:t>
      </w:r>
      <w:r w:rsidRPr="00451C85">
        <w:rPr>
          <w:b/>
        </w:rPr>
        <w:t xml:space="preserve"> </w:t>
      </w:r>
      <w:r>
        <w:rPr>
          <w:b/>
        </w:rPr>
        <w:t>DI2020-307</w:t>
      </w:r>
      <w:r w:rsidRPr="00451C85">
        <w:rPr>
          <w:b/>
        </w:rPr>
        <w:t xml:space="preserve"> being the </w:t>
      </w:r>
      <w:r>
        <w:rPr>
          <w:b/>
        </w:rPr>
        <w:t xml:space="preserve">Taxation Administration (Amounts Payable—Ambulance Levy) Determination 2020 made under section 139 of the </w:t>
      </w:r>
      <w:r>
        <w:rPr>
          <w:i/>
        </w:rPr>
        <w:t>Taxation Administration Act 1999</w:t>
      </w:r>
      <w:r w:rsidRPr="00236BDD">
        <w:rPr>
          <w:b/>
        </w:rPr>
        <w:t xml:space="preserve"> </w:t>
      </w:r>
      <w:r>
        <w:rPr>
          <w:b/>
        </w:rPr>
        <w:t xml:space="preserve">revokes DI2019-275 and determines the RA amount for the reference months January to December 2021. </w:t>
      </w:r>
    </w:p>
    <w:p w:rsidR="00E92FBE" w:rsidRDefault="00E92FBE" w:rsidP="00E92FBE">
      <w:pPr>
        <w:pStyle w:val="Bodycopy"/>
        <w:spacing w:after="0" w:line="280" w:lineRule="exact"/>
        <w:rPr>
          <w:b/>
        </w:rPr>
      </w:pPr>
      <w:r w:rsidRPr="00E15B42">
        <w:rPr>
          <w:b/>
        </w:rPr>
        <w:t xml:space="preserve">Disallowable Instrument DI2020-309 being the Health (Interest Charge) Determination 2020 (No 1) made under section 193 of the </w:t>
      </w:r>
      <w:r w:rsidRPr="00E15B42">
        <w:rPr>
          <w:bCs/>
          <w:i/>
          <w:iCs/>
        </w:rPr>
        <w:t>Health Act 1993</w:t>
      </w:r>
      <w:r w:rsidRPr="00E15B42">
        <w:rPr>
          <w:b/>
        </w:rPr>
        <w:t xml:space="preserve"> revokes DI2019-221 and determines the interest charged on the aggregate amount of fees and charges unpaid after the due date. </w:t>
      </w:r>
    </w:p>
    <w:p w:rsidR="00E92FBE" w:rsidRPr="00842199" w:rsidRDefault="00E92FBE" w:rsidP="00E92FBE">
      <w:pPr>
        <w:pStyle w:val="Bodycopy"/>
        <w:spacing w:after="0" w:line="280" w:lineRule="exact"/>
        <w:rPr>
          <w:b/>
        </w:rPr>
      </w:pPr>
      <w:r>
        <w:rPr>
          <w:b/>
        </w:rPr>
        <w:t>Disallowable Instrument</w:t>
      </w:r>
      <w:r w:rsidRPr="00451C85">
        <w:rPr>
          <w:b/>
        </w:rPr>
        <w:t xml:space="preserve"> </w:t>
      </w:r>
      <w:r>
        <w:rPr>
          <w:b/>
        </w:rPr>
        <w:t>DI2020-310</w:t>
      </w:r>
      <w:r w:rsidRPr="00451C85">
        <w:rPr>
          <w:b/>
        </w:rPr>
        <w:t xml:space="preserve"> being the </w:t>
      </w:r>
      <w:r>
        <w:rPr>
          <w:b/>
        </w:rPr>
        <w:t xml:space="preserve">Legislative Assembly (Members' Staff) Variable Terms of Employment Of Office-holders' Staff Determination 2020 (No 1) made under subsection 6(3) of the </w:t>
      </w:r>
      <w:r>
        <w:rPr>
          <w:i/>
        </w:rPr>
        <w:t>Legislative Assembly (Members' Staff) Act 1989</w:t>
      </w:r>
      <w:r w:rsidRPr="00236BDD">
        <w:rPr>
          <w:b/>
        </w:rPr>
        <w:t xml:space="preserve"> </w:t>
      </w:r>
      <w:r>
        <w:rPr>
          <w:b/>
        </w:rPr>
        <w:t xml:space="preserve">revokes DI2018-233 and determines the remuneration, entitlements, and terms and conditions of employment of the Executive Chief of Staff. </w:t>
      </w:r>
    </w:p>
    <w:p w:rsidR="00E92FBE" w:rsidRPr="00842199" w:rsidRDefault="00E92FBE" w:rsidP="00E92FBE">
      <w:pPr>
        <w:pStyle w:val="Bodycopy"/>
        <w:spacing w:after="0" w:line="280" w:lineRule="exact"/>
        <w:rPr>
          <w:b/>
        </w:rPr>
      </w:pPr>
      <w:r>
        <w:rPr>
          <w:b/>
        </w:rPr>
        <w:t>Disallowable Instrument</w:t>
      </w:r>
      <w:r w:rsidRPr="00451C85">
        <w:rPr>
          <w:b/>
        </w:rPr>
        <w:t xml:space="preserve"> </w:t>
      </w:r>
      <w:r>
        <w:rPr>
          <w:b/>
        </w:rPr>
        <w:t>DI2021-1</w:t>
      </w:r>
      <w:r w:rsidRPr="00451C85">
        <w:rPr>
          <w:b/>
        </w:rPr>
        <w:t xml:space="preserve"> being the </w:t>
      </w:r>
      <w:r>
        <w:rPr>
          <w:b/>
        </w:rPr>
        <w:t xml:space="preserve">Race and Sports Bookmaking (Sports Bookmaking Venues) Determination 2021 (No 1) made under subsection 21(1) of the </w:t>
      </w:r>
      <w:r>
        <w:rPr>
          <w:i/>
        </w:rPr>
        <w:t>Race and Sports Bookmaking Act 2001</w:t>
      </w:r>
      <w:r w:rsidRPr="00236BDD">
        <w:rPr>
          <w:b/>
        </w:rPr>
        <w:t xml:space="preserve"> </w:t>
      </w:r>
      <w:r>
        <w:rPr>
          <w:b/>
        </w:rPr>
        <w:t xml:space="preserve">revokes DI2020-144 and determines the area within one metre of any selling terminal, owned and operated by </w:t>
      </w:r>
      <w:proofErr w:type="spellStart"/>
      <w:r>
        <w:rPr>
          <w:b/>
        </w:rPr>
        <w:t>Tabcorp</w:t>
      </w:r>
      <w:proofErr w:type="spellEnd"/>
      <w:r>
        <w:rPr>
          <w:b/>
        </w:rPr>
        <w:t xml:space="preserve"> ACT Pty Ltd and located within the places identified in the Schedule as a sports bookmaking venue. </w:t>
      </w:r>
    </w:p>
    <w:p w:rsidR="00E92FBE" w:rsidRPr="00E15B42" w:rsidRDefault="00E92FBE" w:rsidP="00E92FBE">
      <w:pPr>
        <w:pStyle w:val="Bodycopy"/>
        <w:spacing w:line="280" w:lineRule="exact"/>
        <w:rPr>
          <w:b/>
        </w:rPr>
      </w:pPr>
      <w:r w:rsidRPr="00E15B42">
        <w:rPr>
          <w:b/>
        </w:rPr>
        <w:t xml:space="preserve">Disallowable Instrument DI2021-2 being the Integrity Commission (Acting Commissioner) Appointment 2021 (No 1) made under section 25 of the </w:t>
      </w:r>
      <w:r w:rsidRPr="00E15B42">
        <w:rPr>
          <w:bCs/>
          <w:i/>
          <w:iCs/>
        </w:rPr>
        <w:t>Integrity Commission Act 2018</w:t>
      </w:r>
      <w:r w:rsidRPr="00E15B42">
        <w:rPr>
          <w:b/>
        </w:rPr>
        <w:t xml:space="preserve"> appoints a specified person as the acting ACT Integrity Commissioner. </w:t>
      </w:r>
    </w:p>
    <w:p w:rsidR="00E92FBE" w:rsidRDefault="00E92FBE" w:rsidP="00E92FBE">
      <w:pPr>
        <w:pStyle w:val="Bodycopy"/>
        <w:spacing w:after="0" w:line="280" w:lineRule="exact"/>
        <w:rPr>
          <w:b/>
        </w:rPr>
      </w:pPr>
      <w:r w:rsidRPr="00E15B42">
        <w:rPr>
          <w:b/>
        </w:rPr>
        <w:t xml:space="preserve">Disallowable Instrument DI2021-3 being the Integrity Commission (Acting Commissioner) Appointment 2021 (No 2) made under section 25 of the </w:t>
      </w:r>
      <w:r w:rsidRPr="00E15B42">
        <w:rPr>
          <w:bCs/>
          <w:i/>
          <w:iCs/>
        </w:rPr>
        <w:t>Integrity Commission Act 2018</w:t>
      </w:r>
      <w:r w:rsidRPr="00E15B42">
        <w:rPr>
          <w:b/>
        </w:rPr>
        <w:t xml:space="preserve"> appoints a specified person as the acting ACT Integrity Commissioner. </w:t>
      </w:r>
    </w:p>
    <w:p w:rsidR="00E92FBE" w:rsidRPr="00842199" w:rsidRDefault="00E92FBE" w:rsidP="00E92FBE">
      <w:pPr>
        <w:pStyle w:val="Bodycopy"/>
        <w:spacing w:after="0" w:line="280" w:lineRule="exact"/>
        <w:rPr>
          <w:b/>
        </w:rPr>
      </w:pPr>
      <w:r>
        <w:rPr>
          <w:b/>
        </w:rPr>
        <w:t>Disallowable Instrument</w:t>
      </w:r>
      <w:r w:rsidRPr="00451C85">
        <w:rPr>
          <w:b/>
        </w:rPr>
        <w:t xml:space="preserve"> </w:t>
      </w:r>
      <w:r>
        <w:rPr>
          <w:b/>
        </w:rPr>
        <w:t>DI2021-5</w:t>
      </w:r>
      <w:r w:rsidRPr="00451C85">
        <w:rPr>
          <w:b/>
        </w:rPr>
        <w:t xml:space="preserve"> being the </w:t>
      </w:r>
      <w:r>
        <w:rPr>
          <w:b/>
        </w:rPr>
        <w:t xml:space="preserve">Road Transport (General) Application of Road Transport Legislation (Manuka Oval) Declaration 2021 (No 1) made under section 12 of the </w:t>
      </w:r>
      <w:r>
        <w:rPr>
          <w:i/>
        </w:rPr>
        <w:t>Road Transport (General) Act 1999</w:t>
      </w:r>
      <w:r w:rsidRPr="00236BDD">
        <w:rPr>
          <w:b/>
        </w:rPr>
        <w:t xml:space="preserve"> </w:t>
      </w:r>
      <w:r>
        <w:rPr>
          <w:b/>
        </w:rPr>
        <w:t xml:space="preserve">provides that section 205 of the Road Transport (Road Rules) Regulation 2017 does not apply for an area around Manuka Oval during certain times in January 2021. </w:t>
      </w:r>
    </w:p>
    <w:p w:rsidR="00E92FBE" w:rsidRPr="00842199" w:rsidRDefault="00E92FBE" w:rsidP="00E92FBE">
      <w:pPr>
        <w:pStyle w:val="Bodycopy"/>
        <w:spacing w:after="0" w:line="280" w:lineRule="exact"/>
        <w:rPr>
          <w:b/>
        </w:rPr>
      </w:pPr>
      <w:r>
        <w:rPr>
          <w:b/>
        </w:rPr>
        <w:t>Disallowable Instrument</w:t>
      </w:r>
      <w:r w:rsidRPr="00451C85">
        <w:rPr>
          <w:b/>
        </w:rPr>
        <w:t xml:space="preserve"> </w:t>
      </w:r>
      <w:r>
        <w:rPr>
          <w:b/>
        </w:rPr>
        <w:t>DI2021-7</w:t>
      </w:r>
      <w:r w:rsidRPr="00451C85">
        <w:rPr>
          <w:b/>
        </w:rPr>
        <w:t xml:space="preserve"> being the </w:t>
      </w:r>
      <w:r>
        <w:rPr>
          <w:b/>
        </w:rPr>
        <w:t xml:space="preserve">Road Transport (General) Application of Road Transport Legislation (Manuka Oval) Declaration 2021 (No 2) made under section 12 of the </w:t>
      </w:r>
      <w:r>
        <w:rPr>
          <w:i/>
        </w:rPr>
        <w:t>Road Transport (General) Act 1999</w:t>
      </w:r>
      <w:r w:rsidRPr="00236BDD">
        <w:rPr>
          <w:b/>
        </w:rPr>
        <w:t xml:space="preserve"> </w:t>
      </w:r>
      <w:r>
        <w:rPr>
          <w:b/>
        </w:rPr>
        <w:t xml:space="preserve">provides that section 205 of the Road Transport (Road Rules) Regulation 2017 does not apply for a specified area during a certain time in January 2021. </w:t>
      </w:r>
    </w:p>
    <w:p w:rsidR="00E92FBE" w:rsidRDefault="00E92FBE" w:rsidP="00E92FBE">
      <w:pPr>
        <w:pStyle w:val="Bodycopy"/>
        <w:spacing w:after="0" w:line="280" w:lineRule="exact"/>
        <w:rPr>
          <w:b/>
        </w:rPr>
      </w:pPr>
      <w:r w:rsidRPr="00E15B42">
        <w:rPr>
          <w:b/>
        </w:rPr>
        <w:t xml:space="preserve">Disallowable Instrument DI2021-8 being the Health (Fees) Determination 2021 (No 1) made under section 192 of the </w:t>
      </w:r>
      <w:r w:rsidRPr="001F5D5C">
        <w:rPr>
          <w:bCs/>
          <w:i/>
          <w:iCs/>
        </w:rPr>
        <w:t>Health Act 1993</w:t>
      </w:r>
      <w:r w:rsidRPr="00E15B42">
        <w:rPr>
          <w:b/>
        </w:rPr>
        <w:t xml:space="preserve"> repeals DI2020-195 and determines fees payable for the purposes of the Act. </w:t>
      </w:r>
    </w:p>
    <w:p w:rsidR="00E92FBE" w:rsidRPr="00842199" w:rsidRDefault="00E92FBE" w:rsidP="00E92FBE">
      <w:pPr>
        <w:pStyle w:val="Bodycopy"/>
        <w:spacing w:after="0" w:line="280" w:lineRule="exact"/>
        <w:rPr>
          <w:b/>
        </w:rPr>
      </w:pPr>
      <w:r>
        <w:rPr>
          <w:b/>
        </w:rPr>
        <w:t>Disallowable Instrument</w:t>
      </w:r>
      <w:r w:rsidRPr="00451C85">
        <w:rPr>
          <w:b/>
        </w:rPr>
        <w:t xml:space="preserve"> </w:t>
      </w:r>
      <w:r>
        <w:rPr>
          <w:b/>
        </w:rPr>
        <w:t>DI2021-14</w:t>
      </w:r>
      <w:r w:rsidRPr="00451C85">
        <w:rPr>
          <w:b/>
        </w:rPr>
        <w:t xml:space="preserve"> being the </w:t>
      </w:r>
      <w:r>
        <w:rPr>
          <w:b/>
        </w:rPr>
        <w:t xml:space="preserve">Children and Young People (Death Review Committee) Appointment 2021 (No 1) made under section 727D of the </w:t>
      </w:r>
      <w:r>
        <w:rPr>
          <w:i/>
        </w:rPr>
        <w:t>Children and Young People Act 2008</w:t>
      </w:r>
      <w:r w:rsidRPr="00236BDD">
        <w:rPr>
          <w:b/>
        </w:rPr>
        <w:t xml:space="preserve"> </w:t>
      </w:r>
      <w:r>
        <w:rPr>
          <w:b/>
        </w:rPr>
        <w:t xml:space="preserve">appoints specified persons as members of the Children and Young People Death Review Committee. </w:t>
      </w:r>
    </w:p>
    <w:p w:rsidR="00E92FBE" w:rsidRDefault="00E92FBE" w:rsidP="00E92FBE">
      <w:pPr>
        <w:pStyle w:val="Bodycopy"/>
        <w:spacing w:after="0" w:line="280" w:lineRule="exact"/>
        <w:rPr>
          <w:b/>
        </w:rPr>
      </w:pPr>
      <w:r w:rsidRPr="00E15B42">
        <w:rPr>
          <w:b/>
        </w:rPr>
        <w:t xml:space="preserve">Disallowable Instrument DI2021-15 being the Domestic Animals (Fees) Determination 2021 (No 1) made under section 144 of the </w:t>
      </w:r>
      <w:r w:rsidRPr="00644C5E">
        <w:rPr>
          <w:bCs/>
          <w:i/>
          <w:iCs/>
        </w:rPr>
        <w:t>Domestic Animals Act 2000</w:t>
      </w:r>
      <w:r w:rsidRPr="00E15B42">
        <w:rPr>
          <w:b/>
        </w:rPr>
        <w:t xml:space="preserve"> revokes DI2020-160 and determines fees payable under the Act. </w:t>
      </w:r>
    </w:p>
    <w:p w:rsidR="00E92FBE" w:rsidRPr="00842199" w:rsidRDefault="00E92FBE" w:rsidP="00D92327">
      <w:pPr>
        <w:pStyle w:val="Bodycopy"/>
        <w:keepLines/>
        <w:spacing w:after="0" w:line="280" w:lineRule="exact"/>
        <w:rPr>
          <w:b/>
        </w:rPr>
      </w:pPr>
      <w:r>
        <w:rPr>
          <w:b/>
        </w:rPr>
        <w:t>Disallowable Instrument</w:t>
      </w:r>
      <w:r w:rsidRPr="00451C85">
        <w:rPr>
          <w:b/>
        </w:rPr>
        <w:t xml:space="preserve"> </w:t>
      </w:r>
      <w:r>
        <w:rPr>
          <w:b/>
        </w:rPr>
        <w:t>DI2021-17</w:t>
      </w:r>
      <w:r w:rsidRPr="00451C85">
        <w:rPr>
          <w:b/>
        </w:rPr>
        <w:t xml:space="preserve"> being the </w:t>
      </w:r>
      <w:r>
        <w:rPr>
          <w:b/>
        </w:rPr>
        <w:t xml:space="preserve">Road Transport (General) Application of Road Transport Legislation (Manuka Oval) Declaration 2021 (No 3) made under section 12 of the </w:t>
      </w:r>
      <w:r>
        <w:rPr>
          <w:i/>
        </w:rPr>
        <w:t>Road Transport (General) Act 1999</w:t>
      </w:r>
      <w:r w:rsidRPr="00236BDD">
        <w:rPr>
          <w:b/>
        </w:rPr>
        <w:t xml:space="preserve"> </w:t>
      </w:r>
      <w:r>
        <w:rPr>
          <w:b/>
        </w:rPr>
        <w:t xml:space="preserve">provides that section 205 of the Road Transport (Road Rules) Regulation 2017 does not apply for a specified area during certain periods in January 2021. </w:t>
      </w:r>
    </w:p>
    <w:p w:rsidR="00E92FBE" w:rsidRPr="00842199" w:rsidRDefault="00E92FBE" w:rsidP="00E92FBE">
      <w:pPr>
        <w:pStyle w:val="Bodycopy"/>
        <w:spacing w:after="0" w:line="280" w:lineRule="exact"/>
        <w:rPr>
          <w:b/>
        </w:rPr>
      </w:pPr>
      <w:r>
        <w:rPr>
          <w:b/>
        </w:rPr>
        <w:t>Disallowable Instrument</w:t>
      </w:r>
      <w:r w:rsidRPr="00451C85">
        <w:rPr>
          <w:b/>
        </w:rPr>
        <w:t xml:space="preserve"> </w:t>
      </w:r>
      <w:r>
        <w:rPr>
          <w:b/>
        </w:rPr>
        <w:t>DI2021-18</w:t>
      </w:r>
      <w:r w:rsidRPr="00451C85">
        <w:rPr>
          <w:b/>
        </w:rPr>
        <w:t xml:space="preserve"> being the </w:t>
      </w:r>
      <w:r>
        <w:rPr>
          <w:b/>
        </w:rPr>
        <w:t xml:space="preserve">Land Tax (Affordable Community Housing) Determination 2021 made under paragraph 13A(5)(a) of the </w:t>
      </w:r>
      <w:r>
        <w:rPr>
          <w:i/>
        </w:rPr>
        <w:t>Land Tax Act 2004</w:t>
      </w:r>
      <w:r w:rsidRPr="00236BDD">
        <w:rPr>
          <w:b/>
        </w:rPr>
        <w:t xml:space="preserve"> </w:t>
      </w:r>
      <w:r>
        <w:rPr>
          <w:b/>
        </w:rPr>
        <w:t xml:space="preserve">revokes DI2020-277 and determines the eligibility criteria that an owner of a parcel of land must satisfy to be eligible for an exemption under section 13A of the Act. </w:t>
      </w:r>
    </w:p>
    <w:p w:rsidR="00E92FBE" w:rsidRPr="00842199" w:rsidRDefault="00E92FBE" w:rsidP="00E92FBE">
      <w:pPr>
        <w:pStyle w:val="Bodycopy"/>
        <w:spacing w:after="0" w:line="280" w:lineRule="exact"/>
        <w:rPr>
          <w:b/>
        </w:rPr>
      </w:pPr>
      <w:r>
        <w:rPr>
          <w:b/>
        </w:rPr>
        <w:t>Disallowable Instrument</w:t>
      </w:r>
      <w:r w:rsidRPr="00451C85">
        <w:rPr>
          <w:b/>
        </w:rPr>
        <w:t xml:space="preserve"> </w:t>
      </w:r>
      <w:r>
        <w:rPr>
          <w:b/>
        </w:rPr>
        <w:t>DI2021-19</w:t>
      </w:r>
      <w:r w:rsidRPr="00451C85">
        <w:rPr>
          <w:b/>
        </w:rPr>
        <w:t xml:space="preserve"> being the </w:t>
      </w:r>
      <w:r>
        <w:rPr>
          <w:b/>
        </w:rPr>
        <w:t xml:space="preserve">Civil Law (Wrongs) Professional Standards Council Appointment 2021 (No 1) made under Schedule 4, section 4.38 of the </w:t>
      </w:r>
      <w:r>
        <w:rPr>
          <w:i/>
        </w:rPr>
        <w:t>Civil Law (Wrongs) Act 2002</w:t>
      </w:r>
      <w:r w:rsidRPr="00236BDD">
        <w:rPr>
          <w:b/>
        </w:rPr>
        <w:t xml:space="preserve"> </w:t>
      </w:r>
      <w:r>
        <w:rPr>
          <w:b/>
        </w:rPr>
        <w:t xml:space="preserve">appoints a specified person as a member of the Professional Standards Council. </w:t>
      </w:r>
    </w:p>
    <w:p w:rsidR="00E92FBE" w:rsidRPr="00842199" w:rsidRDefault="00E92FBE" w:rsidP="00E92FBE">
      <w:pPr>
        <w:pStyle w:val="Bodycopy"/>
        <w:spacing w:after="0" w:line="280" w:lineRule="exact"/>
        <w:rPr>
          <w:b/>
        </w:rPr>
      </w:pPr>
      <w:r>
        <w:rPr>
          <w:b/>
        </w:rPr>
        <w:t>Disallowable Instrument</w:t>
      </w:r>
      <w:r w:rsidRPr="00451C85">
        <w:rPr>
          <w:b/>
        </w:rPr>
        <w:t xml:space="preserve"> </w:t>
      </w:r>
      <w:r>
        <w:rPr>
          <w:b/>
        </w:rPr>
        <w:t>DI2021-20</w:t>
      </w:r>
      <w:r w:rsidRPr="00451C85">
        <w:rPr>
          <w:b/>
        </w:rPr>
        <w:t xml:space="preserve"> being the </w:t>
      </w:r>
      <w:r>
        <w:rPr>
          <w:b/>
        </w:rPr>
        <w:t xml:space="preserve">Civil Law (Wrongs) Professional Standards Council Appointment 2021 (No 2) made under Schedule 4, section 4.38 of the </w:t>
      </w:r>
      <w:r>
        <w:rPr>
          <w:i/>
        </w:rPr>
        <w:t>Civil Law (Wrongs) Act 2002</w:t>
      </w:r>
      <w:r w:rsidRPr="00236BDD">
        <w:rPr>
          <w:b/>
        </w:rPr>
        <w:t xml:space="preserve"> </w:t>
      </w:r>
      <w:r>
        <w:rPr>
          <w:b/>
        </w:rPr>
        <w:t xml:space="preserve">appoints a specified person as a member of the Professional Standards Council. </w:t>
      </w:r>
    </w:p>
    <w:p w:rsidR="00E92FBE" w:rsidRDefault="00E92FBE" w:rsidP="00E92FBE">
      <w:pPr>
        <w:pStyle w:val="Bodycopy"/>
        <w:spacing w:after="0" w:line="280" w:lineRule="exact"/>
        <w:rPr>
          <w:b/>
        </w:rPr>
      </w:pPr>
      <w:r>
        <w:rPr>
          <w:b/>
        </w:rPr>
        <w:t>Disallowable Instrument</w:t>
      </w:r>
      <w:r w:rsidRPr="00451C85">
        <w:rPr>
          <w:b/>
        </w:rPr>
        <w:t xml:space="preserve"> </w:t>
      </w:r>
      <w:r>
        <w:rPr>
          <w:b/>
        </w:rPr>
        <w:t>DI2021-21</w:t>
      </w:r>
      <w:r w:rsidRPr="00451C85">
        <w:rPr>
          <w:b/>
        </w:rPr>
        <w:t xml:space="preserve"> being the </w:t>
      </w:r>
      <w:r>
        <w:rPr>
          <w:b/>
        </w:rPr>
        <w:t xml:space="preserve">Civil Law (Wrongs) Professional Standards Council Appointment 2021 (No 3) made under Schedule 4, section 4.38 of the </w:t>
      </w:r>
      <w:r>
        <w:rPr>
          <w:i/>
        </w:rPr>
        <w:t>Civil Law (Wrongs) Act 2002</w:t>
      </w:r>
      <w:r w:rsidRPr="00236BDD">
        <w:rPr>
          <w:b/>
        </w:rPr>
        <w:t xml:space="preserve"> </w:t>
      </w:r>
      <w:r>
        <w:rPr>
          <w:b/>
        </w:rPr>
        <w:t xml:space="preserve">appoints a specified person as a member of the Professional Standards Council. </w:t>
      </w:r>
    </w:p>
    <w:p w:rsidR="00E92FBE" w:rsidRPr="00842199" w:rsidRDefault="00E92FBE" w:rsidP="00E92FBE">
      <w:pPr>
        <w:pStyle w:val="Bodycopy"/>
        <w:spacing w:after="0" w:line="280" w:lineRule="exact"/>
        <w:rPr>
          <w:b/>
        </w:rPr>
      </w:pPr>
      <w:r>
        <w:rPr>
          <w:b/>
        </w:rPr>
        <w:t>Disallowable Instrument</w:t>
      </w:r>
      <w:r w:rsidRPr="00451C85">
        <w:rPr>
          <w:b/>
        </w:rPr>
        <w:t xml:space="preserve"> </w:t>
      </w:r>
      <w:r>
        <w:rPr>
          <w:b/>
        </w:rPr>
        <w:t>DI2021-24</w:t>
      </w:r>
      <w:r w:rsidRPr="00451C85">
        <w:rPr>
          <w:b/>
        </w:rPr>
        <w:t xml:space="preserve"> being the </w:t>
      </w:r>
      <w:r>
        <w:rPr>
          <w:b/>
        </w:rPr>
        <w:t xml:space="preserve">Utilities (Licensing) Exemption 2021 made under section 22 of the </w:t>
      </w:r>
      <w:r>
        <w:rPr>
          <w:i/>
        </w:rPr>
        <w:t>Utilities Act 2000</w:t>
      </w:r>
      <w:r w:rsidRPr="00236BDD">
        <w:rPr>
          <w:b/>
        </w:rPr>
        <w:t xml:space="preserve"> </w:t>
      </w:r>
      <w:r>
        <w:rPr>
          <w:b/>
        </w:rPr>
        <w:t>exempts the Queanbeyan-</w:t>
      </w:r>
      <w:proofErr w:type="spellStart"/>
      <w:r>
        <w:rPr>
          <w:b/>
        </w:rPr>
        <w:t>Palerang</w:t>
      </w:r>
      <w:proofErr w:type="spellEnd"/>
      <w:r>
        <w:rPr>
          <w:b/>
        </w:rPr>
        <w:t xml:space="preserve"> Regional Council from the requirement to hold a utility licence for sewerage services provided in the ACT. </w:t>
      </w:r>
    </w:p>
    <w:p w:rsidR="00E92FBE" w:rsidRPr="00842199" w:rsidRDefault="00E92FBE" w:rsidP="00E92FBE">
      <w:pPr>
        <w:pStyle w:val="Bodycopy"/>
        <w:spacing w:after="0" w:line="280" w:lineRule="exact"/>
        <w:rPr>
          <w:b/>
        </w:rPr>
      </w:pPr>
      <w:r>
        <w:rPr>
          <w:b/>
        </w:rPr>
        <w:t>Disallowable Instrument</w:t>
      </w:r>
      <w:r w:rsidRPr="00451C85">
        <w:rPr>
          <w:b/>
        </w:rPr>
        <w:t xml:space="preserve"> </w:t>
      </w:r>
      <w:r>
        <w:rPr>
          <w:b/>
        </w:rPr>
        <w:t>DI2021-26</w:t>
      </w:r>
      <w:r w:rsidRPr="00451C85">
        <w:rPr>
          <w:b/>
        </w:rPr>
        <w:t xml:space="preserve"> being the </w:t>
      </w:r>
      <w:r>
        <w:rPr>
          <w:b/>
        </w:rPr>
        <w:t xml:space="preserve">Heritage (Council Chairperson) Appointment 2021 (No 1) made under section 17 of the </w:t>
      </w:r>
      <w:r>
        <w:rPr>
          <w:i/>
        </w:rPr>
        <w:t>Heritage Act 2004</w:t>
      </w:r>
      <w:r w:rsidRPr="00236BDD">
        <w:rPr>
          <w:b/>
        </w:rPr>
        <w:t xml:space="preserve"> </w:t>
      </w:r>
      <w:r>
        <w:rPr>
          <w:b/>
        </w:rPr>
        <w:t xml:space="preserve">appoints a specified person as chairperson of the ACT Heritage Council. </w:t>
      </w:r>
    </w:p>
    <w:p w:rsidR="00E92FBE" w:rsidRPr="00842199" w:rsidRDefault="00E92FBE" w:rsidP="00E92FBE">
      <w:pPr>
        <w:pStyle w:val="Bodycopy"/>
        <w:spacing w:after="0" w:line="280" w:lineRule="exact"/>
        <w:rPr>
          <w:b/>
        </w:rPr>
      </w:pPr>
      <w:r>
        <w:rPr>
          <w:b/>
        </w:rPr>
        <w:t>Disallowable Instrument</w:t>
      </w:r>
      <w:r w:rsidRPr="00451C85">
        <w:rPr>
          <w:b/>
        </w:rPr>
        <w:t xml:space="preserve"> </w:t>
      </w:r>
      <w:r>
        <w:rPr>
          <w:b/>
        </w:rPr>
        <w:t>DI2021-27</w:t>
      </w:r>
      <w:r w:rsidRPr="00451C85">
        <w:rPr>
          <w:b/>
        </w:rPr>
        <w:t xml:space="preserve"> being the </w:t>
      </w:r>
      <w:r>
        <w:rPr>
          <w:b/>
        </w:rPr>
        <w:t xml:space="preserve">Heritage (Council Deputy Chairperson) Appointment 2021 (No 1) made under section 17 of the </w:t>
      </w:r>
      <w:r>
        <w:rPr>
          <w:i/>
        </w:rPr>
        <w:t>Heritage Act 2004</w:t>
      </w:r>
      <w:r w:rsidRPr="00236BDD">
        <w:rPr>
          <w:b/>
        </w:rPr>
        <w:t xml:space="preserve"> </w:t>
      </w:r>
      <w:r>
        <w:rPr>
          <w:b/>
        </w:rPr>
        <w:t xml:space="preserve">appoints a specified person as deputy chairperson of the ACT Heritage Council. </w:t>
      </w:r>
    </w:p>
    <w:p w:rsidR="00E92FBE" w:rsidRPr="00842199" w:rsidRDefault="00E92FBE" w:rsidP="00E92FBE">
      <w:pPr>
        <w:pStyle w:val="Bodycopy"/>
        <w:spacing w:after="0" w:line="280" w:lineRule="exact"/>
        <w:rPr>
          <w:b/>
        </w:rPr>
      </w:pPr>
      <w:r>
        <w:rPr>
          <w:b/>
        </w:rPr>
        <w:t>Disallowable Instrument</w:t>
      </w:r>
      <w:r w:rsidRPr="00451C85">
        <w:rPr>
          <w:b/>
        </w:rPr>
        <w:t xml:space="preserve"> </w:t>
      </w:r>
      <w:r>
        <w:rPr>
          <w:b/>
        </w:rPr>
        <w:t>DI2021-28</w:t>
      </w:r>
      <w:r w:rsidRPr="00451C85">
        <w:rPr>
          <w:b/>
        </w:rPr>
        <w:t xml:space="preserve"> being the </w:t>
      </w:r>
      <w:r>
        <w:rPr>
          <w:b/>
        </w:rPr>
        <w:t>Heritage (Council Member) Appointment 2021 (No</w:t>
      </w:r>
      <w:r w:rsidR="00DB79B1">
        <w:rPr>
          <w:b/>
        </w:rPr>
        <w:t> </w:t>
      </w:r>
      <w:r>
        <w:rPr>
          <w:b/>
        </w:rPr>
        <w:t xml:space="preserve">1) made under section 17 of the </w:t>
      </w:r>
      <w:r>
        <w:rPr>
          <w:i/>
        </w:rPr>
        <w:t>Heritage Act 2004</w:t>
      </w:r>
      <w:r w:rsidRPr="00236BDD">
        <w:rPr>
          <w:b/>
        </w:rPr>
        <w:t xml:space="preserve"> </w:t>
      </w:r>
      <w:r>
        <w:rPr>
          <w:b/>
        </w:rPr>
        <w:t xml:space="preserve">appoints a specified person as a member of the ACT Heritage Council. </w:t>
      </w:r>
    </w:p>
    <w:p w:rsidR="00E92FBE" w:rsidRDefault="00E92FBE" w:rsidP="00E92FBE">
      <w:pPr>
        <w:pStyle w:val="Bodycopy"/>
        <w:spacing w:after="0" w:line="280" w:lineRule="exact"/>
        <w:rPr>
          <w:b/>
        </w:rPr>
      </w:pPr>
      <w:r>
        <w:rPr>
          <w:b/>
        </w:rPr>
        <w:t>Disallowable Instrument</w:t>
      </w:r>
      <w:r w:rsidRPr="00451C85">
        <w:rPr>
          <w:b/>
        </w:rPr>
        <w:t xml:space="preserve"> </w:t>
      </w:r>
      <w:r>
        <w:rPr>
          <w:b/>
        </w:rPr>
        <w:t>DI2021-29</w:t>
      </w:r>
      <w:r w:rsidRPr="00451C85">
        <w:rPr>
          <w:b/>
        </w:rPr>
        <w:t xml:space="preserve"> being the </w:t>
      </w:r>
      <w:r>
        <w:rPr>
          <w:b/>
        </w:rPr>
        <w:t>Heritage (Council Member) Appointment 2021 (No</w:t>
      </w:r>
      <w:r w:rsidR="00DB79B1">
        <w:rPr>
          <w:b/>
        </w:rPr>
        <w:t> </w:t>
      </w:r>
      <w:r>
        <w:rPr>
          <w:b/>
        </w:rPr>
        <w:t xml:space="preserve">2) made under section 17 of the </w:t>
      </w:r>
      <w:r>
        <w:rPr>
          <w:i/>
        </w:rPr>
        <w:t>Heritage Act 2004</w:t>
      </w:r>
      <w:r w:rsidRPr="00236BDD">
        <w:rPr>
          <w:b/>
        </w:rPr>
        <w:t xml:space="preserve"> </w:t>
      </w:r>
      <w:r>
        <w:rPr>
          <w:b/>
        </w:rPr>
        <w:t>appoints a specified person as a member of the ACT Heritage Council.</w:t>
      </w:r>
    </w:p>
    <w:p w:rsidR="00E92FBE" w:rsidRPr="00842199" w:rsidRDefault="00E92FBE" w:rsidP="00E92FBE">
      <w:pPr>
        <w:pStyle w:val="Bodycopy"/>
        <w:spacing w:after="0" w:line="280" w:lineRule="exact"/>
        <w:rPr>
          <w:b/>
        </w:rPr>
      </w:pPr>
      <w:r>
        <w:rPr>
          <w:b/>
        </w:rPr>
        <w:t>Disallowable Instrument</w:t>
      </w:r>
      <w:r w:rsidRPr="00451C85">
        <w:rPr>
          <w:b/>
        </w:rPr>
        <w:t xml:space="preserve"> </w:t>
      </w:r>
      <w:r>
        <w:rPr>
          <w:b/>
        </w:rPr>
        <w:t>DI2021-30</w:t>
      </w:r>
      <w:r w:rsidRPr="00451C85">
        <w:rPr>
          <w:b/>
        </w:rPr>
        <w:t xml:space="preserve"> being the </w:t>
      </w:r>
      <w:r>
        <w:rPr>
          <w:b/>
        </w:rPr>
        <w:t>Heritage (Council Member) Appointment 2021 (No</w:t>
      </w:r>
      <w:r w:rsidR="00DB79B1">
        <w:rPr>
          <w:b/>
        </w:rPr>
        <w:t> </w:t>
      </w:r>
      <w:r>
        <w:rPr>
          <w:b/>
        </w:rPr>
        <w:t xml:space="preserve">3) made under section 17 of the </w:t>
      </w:r>
      <w:r>
        <w:rPr>
          <w:i/>
        </w:rPr>
        <w:t>Heritage Act 2004</w:t>
      </w:r>
      <w:r w:rsidRPr="00236BDD">
        <w:rPr>
          <w:b/>
        </w:rPr>
        <w:t xml:space="preserve"> </w:t>
      </w:r>
      <w:r>
        <w:rPr>
          <w:b/>
        </w:rPr>
        <w:t xml:space="preserve">appoints a specified person as a member of the ACT Heritage Council. </w:t>
      </w:r>
    </w:p>
    <w:p w:rsidR="00E92FBE" w:rsidRPr="00842199" w:rsidRDefault="00E92FBE" w:rsidP="00E92FBE">
      <w:pPr>
        <w:pStyle w:val="Bodycopy"/>
        <w:spacing w:after="0" w:line="280" w:lineRule="exact"/>
        <w:rPr>
          <w:b/>
        </w:rPr>
      </w:pPr>
      <w:r>
        <w:rPr>
          <w:b/>
        </w:rPr>
        <w:t>Disallowable Instrument</w:t>
      </w:r>
      <w:r w:rsidRPr="00451C85">
        <w:rPr>
          <w:b/>
        </w:rPr>
        <w:t xml:space="preserve"> </w:t>
      </w:r>
      <w:r>
        <w:rPr>
          <w:b/>
        </w:rPr>
        <w:t>DI2021-31</w:t>
      </w:r>
      <w:r w:rsidRPr="00451C85">
        <w:rPr>
          <w:b/>
        </w:rPr>
        <w:t xml:space="preserve"> being the </w:t>
      </w:r>
      <w:r>
        <w:rPr>
          <w:b/>
        </w:rPr>
        <w:t>Heritage (Council Member) Appointment 2021 (No</w:t>
      </w:r>
      <w:r w:rsidR="00DB79B1">
        <w:rPr>
          <w:b/>
        </w:rPr>
        <w:t> </w:t>
      </w:r>
      <w:r>
        <w:rPr>
          <w:b/>
        </w:rPr>
        <w:t xml:space="preserve">4) made under section 17 of the </w:t>
      </w:r>
      <w:r>
        <w:rPr>
          <w:i/>
        </w:rPr>
        <w:t>Heritage Act 2004</w:t>
      </w:r>
      <w:r w:rsidRPr="00236BDD">
        <w:rPr>
          <w:b/>
        </w:rPr>
        <w:t xml:space="preserve"> </w:t>
      </w:r>
      <w:r>
        <w:rPr>
          <w:b/>
        </w:rPr>
        <w:t xml:space="preserve">appoints a specified person as a member of the ACT Heritage Council. </w:t>
      </w:r>
    </w:p>
    <w:p w:rsidR="00E92FBE" w:rsidRPr="00842199" w:rsidRDefault="00E92FBE" w:rsidP="001D5F0D">
      <w:pPr>
        <w:pStyle w:val="Bodycopy"/>
        <w:keepLines/>
        <w:spacing w:after="0" w:line="280" w:lineRule="exact"/>
        <w:rPr>
          <w:b/>
        </w:rPr>
      </w:pPr>
      <w:r>
        <w:rPr>
          <w:b/>
        </w:rPr>
        <w:t>Disallowable Instrument</w:t>
      </w:r>
      <w:r w:rsidRPr="00451C85">
        <w:rPr>
          <w:b/>
        </w:rPr>
        <w:t xml:space="preserve"> </w:t>
      </w:r>
      <w:r>
        <w:rPr>
          <w:b/>
        </w:rPr>
        <w:t>DI2021-32</w:t>
      </w:r>
      <w:r w:rsidRPr="00451C85">
        <w:rPr>
          <w:b/>
        </w:rPr>
        <w:t xml:space="preserve"> being the </w:t>
      </w:r>
      <w:r>
        <w:rPr>
          <w:b/>
        </w:rPr>
        <w:t>Heritage (Council Member) Appointment 2021 (No</w:t>
      </w:r>
      <w:r w:rsidR="00DB79B1">
        <w:rPr>
          <w:b/>
        </w:rPr>
        <w:t> </w:t>
      </w:r>
      <w:r>
        <w:rPr>
          <w:b/>
        </w:rPr>
        <w:t xml:space="preserve">6) made under section 17 of the </w:t>
      </w:r>
      <w:r>
        <w:rPr>
          <w:i/>
        </w:rPr>
        <w:t>Heritage Act 2004</w:t>
      </w:r>
      <w:r w:rsidRPr="00236BDD">
        <w:rPr>
          <w:b/>
        </w:rPr>
        <w:t xml:space="preserve"> </w:t>
      </w:r>
      <w:r>
        <w:rPr>
          <w:b/>
        </w:rPr>
        <w:t xml:space="preserve">appoints a specified person as a member of the ACT Heritage Council. </w:t>
      </w:r>
    </w:p>
    <w:p w:rsidR="00E92FBE" w:rsidRPr="00842199" w:rsidRDefault="00E92FBE" w:rsidP="00E92FBE">
      <w:pPr>
        <w:pStyle w:val="Bodycopy"/>
        <w:spacing w:after="0" w:line="280" w:lineRule="exact"/>
        <w:rPr>
          <w:b/>
        </w:rPr>
      </w:pPr>
      <w:r>
        <w:rPr>
          <w:b/>
        </w:rPr>
        <w:t>Disallowable Instrument</w:t>
      </w:r>
      <w:r w:rsidRPr="00451C85">
        <w:rPr>
          <w:b/>
        </w:rPr>
        <w:t xml:space="preserve"> </w:t>
      </w:r>
      <w:r>
        <w:rPr>
          <w:b/>
        </w:rPr>
        <w:t>DI2021-33</w:t>
      </w:r>
      <w:r w:rsidRPr="00451C85">
        <w:rPr>
          <w:b/>
        </w:rPr>
        <w:t xml:space="preserve"> being the </w:t>
      </w:r>
      <w:r>
        <w:rPr>
          <w:b/>
        </w:rPr>
        <w:t>Heritage (Council Member) Appointment 2021 (No</w:t>
      </w:r>
      <w:r w:rsidR="00DB79B1">
        <w:rPr>
          <w:b/>
        </w:rPr>
        <w:t> </w:t>
      </w:r>
      <w:r>
        <w:rPr>
          <w:b/>
        </w:rPr>
        <w:t xml:space="preserve">7) made under section 17 of the </w:t>
      </w:r>
      <w:r>
        <w:rPr>
          <w:i/>
        </w:rPr>
        <w:t>Heritage Act 2004</w:t>
      </w:r>
      <w:r w:rsidRPr="00236BDD">
        <w:rPr>
          <w:b/>
        </w:rPr>
        <w:t xml:space="preserve"> </w:t>
      </w:r>
      <w:r>
        <w:rPr>
          <w:b/>
        </w:rPr>
        <w:t xml:space="preserve">appoints a specified person as a member of the ACT Heritage Council. </w:t>
      </w:r>
    </w:p>
    <w:p w:rsidR="00E92FBE" w:rsidRPr="00842199" w:rsidRDefault="00E92FBE" w:rsidP="00E92FBE">
      <w:pPr>
        <w:pStyle w:val="Bodycopy"/>
        <w:spacing w:after="0" w:line="280" w:lineRule="exact"/>
        <w:rPr>
          <w:b/>
        </w:rPr>
      </w:pPr>
      <w:r>
        <w:rPr>
          <w:b/>
        </w:rPr>
        <w:t>Disallowable Instrument</w:t>
      </w:r>
      <w:r w:rsidRPr="00451C85">
        <w:rPr>
          <w:b/>
        </w:rPr>
        <w:t xml:space="preserve"> </w:t>
      </w:r>
      <w:r>
        <w:rPr>
          <w:b/>
        </w:rPr>
        <w:t>DI2021-34</w:t>
      </w:r>
      <w:r w:rsidRPr="00451C85">
        <w:rPr>
          <w:b/>
        </w:rPr>
        <w:t xml:space="preserve"> being the </w:t>
      </w:r>
      <w:r>
        <w:rPr>
          <w:b/>
        </w:rPr>
        <w:t xml:space="preserve">Medicines, Poisons and Therapeutic Goods (Medicines Advisory Committee) Appointment 2021 (No 1) made under section 635 of the </w:t>
      </w:r>
      <w:r>
        <w:rPr>
          <w:i/>
        </w:rPr>
        <w:t>Medicines, Poisons and Therapeutic Goods Regulation 2008</w:t>
      </w:r>
      <w:r w:rsidRPr="00236BDD">
        <w:rPr>
          <w:b/>
        </w:rPr>
        <w:t xml:space="preserve"> </w:t>
      </w:r>
      <w:r>
        <w:rPr>
          <w:b/>
        </w:rPr>
        <w:t xml:space="preserve">appoints specified persons as Chair and members of the Medicines Advisory Committee. </w:t>
      </w:r>
    </w:p>
    <w:p w:rsidR="00E92FBE" w:rsidRPr="00842199" w:rsidRDefault="00E92FBE" w:rsidP="00E92FBE">
      <w:pPr>
        <w:pStyle w:val="Bodycopy"/>
        <w:spacing w:after="0" w:line="280" w:lineRule="exact"/>
        <w:rPr>
          <w:b/>
        </w:rPr>
      </w:pPr>
      <w:r>
        <w:rPr>
          <w:b/>
        </w:rPr>
        <w:t>Disallowable Instrument</w:t>
      </w:r>
      <w:r w:rsidRPr="00451C85">
        <w:rPr>
          <w:b/>
        </w:rPr>
        <w:t xml:space="preserve"> </w:t>
      </w:r>
      <w:r>
        <w:rPr>
          <w:b/>
        </w:rPr>
        <w:t>DI2021-35</w:t>
      </w:r>
      <w:r w:rsidRPr="00451C85">
        <w:rPr>
          <w:b/>
        </w:rPr>
        <w:t xml:space="preserve"> being the </w:t>
      </w:r>
      <w:r>
        <w:rPr>
          <w:b/>
        </w:rPr>
        <w:t xml:space="preserve">Medicines, Poisons and Therapeutic Goods (Medicines Advisory Committee) Appointment 2021 (No 2) made under section 635 of the </w:t>
      </w:r>
      <w:r>
        <w:rPr>
          <w:i/>
        </w:rPr>
        <w:t>Medicines, Poisons and Therapeutic Goods Regulation 2008</w:t>
      </w:r>
      <w:r w:rsidRPr="00236BDD">
        <w:rPr>
          <w:b/>
        </w:rPr>
        <w:t xml:space="preserve"> </w:t>
      </w:r>
      <w:r>
        <w:rPr>
          <w:b/>
        </w:rPr>
        <w:t xml:space="preserve">appoints a specified person as a member of the Medicines Advisory Committee as a consumer representative. </w:t>
      </w:r>
    </w:p>
    <w:p w:rsidR="00E92FBE" w:rsidRPr="00842199" w:rsidRDefault="00E92FBE" w:rsidP="00E92FBE">
      <w:pPr>
        <w:pStyle w:val="Bodycopy"/>
        <w:spacing w:after="0" w:line="280" w:lineRule="exact"/>
        <w:rPr>
          <w:b/>
        </w:rPr>
      </w:pPr>
      <w:r>
        <w:rPr>
          <w:b/>
        </w:rPr>
        <w:t>Disallowable Instrument</w:t>
      </w:r>
      <w:r w:rsidRPr="00451C85">
        <w:rPr>
          <w:b/>
        </w:rPr>
        <w:t xml:space="preserve"> </w:t>
      </w:r>
      <w:r>
        <w:rPr>
          <w:b/>
        </w:rPr>
        <w:t>DI2021-36</w:t>
      </w:r>
      <w:r w:rsidRPr="00451C85">
        <w:rPr>
          <w:b/>
        </w:rPr>
        <w:t xml:space="preserve"> being the </w:t>
      </w:r>
      <w:r>
        <w:rPr>
          <w:b/>
        </w:rPr>
        <w:t xml:space="preserve">Integrity Commission (Commissioner Selection Criteria and Process) Determination 2021 made under section 27 of the </w:t>
      </w:r>
      <w:r>
        <w:rPr>
          <w:i/>
        </w:rPr>
        <w:t>Integrity Commission Act 2018</w:t>
      </w:r>
      <w:r w:rsidRPr="00236BDD">
        <w:rPr>
          <w:b/>
        </w:rPr>
        <w:t xml:space="preserve"> </w:t>
      </w:r>
      <w:r>
        <w:rPr>
          <w:b/>
        </w:rPr>
        <w:t xml:space="preserve">determines the selection process and selection criteria that apply to the appointment of the Integrity Commissioner. </w:t>
      </w:r>
    </w:p>
    <w:p w:rsidR="00E92FBE" w:rsidRDefault="00E92FBE" w:rsidP="00E92FBE">
      <w:pPr>
        <w:pStyle w:val="Bodycopy"/>
        <w:spacing w:after="0" w:line="280" w:lineRule="exact"/>
        <w:rPr>
          <w:b/>
        </w:rPr>
      </w:pPr>
      <w:r>
        <w:rPr>
          <w:b/>
        </w:rPr>
        <w:t>Disallowable Instrument</w:t>
      </w:r>
      <w:r w:rsidRPr="00451C85">
        <w:rPr>
          <w:b/>
        </w:rPr>
        <w:t xml:space="preserve"> </w:t>
      </w:r>
      <w:r>
        <w:rPr>
          <w:b/>
        </w:rPr>
        <w:t>DI2021-37</w:t>
      </w:r>
      <w:r w:rsidRPr="00451C85">
        <w:rPr>
          <w:b/>
        </w:rPr>
        <w:t xml:space="preserve"> being the </w:t>
      </w:r>
      <w:r>
        <w:rPr>
          <w:b/>
        </w:rPr>
        <w:t xml:space="preserve">University </w:t>
      </w:r>
      <w:proofErr w:type="gramStart"/>
      <w:r>
        <w:rPr>
          <w:b/>
        </w:rPr>
        <w:t>of</w:t>
      </w:r>
      <w:proofErr w:type="gramEnd"/>
      <w:r>
        <w:rPr>
          <w:b/>
        </w:rPr>
        <w:t xml:space="preserve"> Canberra Council Appointment 2021 (No 1) made under section 11 of the </w:t>
      </w:r>
      <w:r w:rsidRPr="00E92FBE">
        <w:rPr>
          <w:i/>
        </w:rPr>
        <w:t>University of Canberra Act 1989</w:t>
      </w:r>
      <w:r w:rsidRPr="00236BDD">
        <w:rPr>
          <w:b/>
        </w:rPr>
        <w:t xml:space="preserve"> </w:t>
      </w:r>
      <w:r>
        <w:rPr>
          <w:b/>
        </w:rPr>
        <w:t xml:space="preserve">appoints a specified person as a member of the University of Canberra Council. </w:t>
      </w:r>
    </w:p>
    <w:p w:rsidR="00052319" w:rsidRPr="00103E7B" w:rsidRDefault="003379D7" w:rsidP="00E92FBE">
      <w:pPr>
        <w:pStyle w:val="Heading3"/>
        <w:rPr>
          <w:rFonts w:eastAsia="Calibri"/>
          <w:lang w:eastAsia="en-AU"/>
        </w:rPr>
      </w:pPr>
      <w:bookmarkStart w:id="509" w:name="_Toc69207598"/>
      <w:r w:rsidRPr="00103E7B">
        <w:rPr>
          <w:rFonts w:eastAsia="Calibri"/>
          <w:lang w:eastAsia="en-AU"/>
        </w:rPr>
        <w:t>Disallowable Instrument</w:t>
      </w:r>
      <w:r w:rsidR="00BA3E19" w:rsidRPr="00103E7B">
        <w:rPr>
          <w:rFonts w:eastAsia="Calibri"/>
          <w:lang w:eastAsia="en-AU"/>
        </w:rPr>
        <w:t>s</w:t>
      </w:r>
      <w:r w:rsidR="00052319" w:rsidRPr="00103E7B">
        <w:rPr>
          <w:rFonts w:eastAsia="Calibri"/>
          <w:lang w:eastAsia="en-AU"/>
        </w:rPr>
        <w:t>—Comment</w:t>
      </w:r>
      <w:bookmarkEnd w:id="509"/>
    </w:p>
    <w:p w:rsidR="00052319" w:rsidRDefault="00052319" w:rsidP="003379D7">
      <w:pPr>
        <w:rPr>
          <w:spacing w:val="-2"/>
        </w:rPr>
      </w:pPr>
      <w:r w:rsidRPr="003C60E7">
        <w:rPr>
          <w:spacing w:val="-2"/>
        </w:rPr>
        <w:t>The Committee has examined the fo</w:t>
      </w:r>
      <w:r w:rsidR="003379D7" w:rsidRPr="003C60E7">
        <w:rPr>
          <w:spacing w:val="-2"/>
        </w:rPr>
        <w:t>llowing disallowable instrument</w:t>
      </w:r>
      <w:r w:rsidR="00BA3E19">
        <w:rPr>
          <w:spacing w:val="-2"/>
        </w:rPr>
        <w:t>s</w:t>
      </w:r>
      <w:r w:rsidRPr="003C60E7">
        <w:rPr>
          <w:spacing w:val="-2"/>
        </w:rPr>
        <w:t xml:space="preserve"> and offers these comments on </w:t>
      </w:r>
      <w:r w:rsidR="00BA3E19">
        <w:rPr>
          <w:spacing w:val="-2"/>
        </w:rPr>
        <w:t>them</w:t>
      </w:r>
      <w:r w:rsidRPr="003C60E7">
        <w:rPr>
          <w:spacing w:val="-2"/>
        </w:rPr>
        <w:t>:</w:t>
      </w:r>
    </w:p>
    <w:bookmarkEnd w:id="508"/>
    <w:p w:rsidR="000F300D" w:rsidRDefault="000F300D" w:rsidP="000F300D">
      <w:pPr>
        <w:widowControl w:val="0"/>
        <w:tabs>
          <w:tab w:val="left" w:pos="1276"/>
        </w:tabs>
        <w:spacing w:before="120" w:after="120" w:line="300" w:lineRule="exact"/>
        <w:rPr>
          <w:rFonts w:ascii="Calibri" w:hAnsi="Calibri" w:cs="Calibri"/>
          <w:i/>
          <w:iCs/>
          <w:color w:val="000000"/>
        </w:rPr>
      </w:pPr>
      <w:r>
        <w:rPr>
          <w:rFonts w:ascii="Calibri" w:hAnsi="Calibri" w:cs="Calibri"/>
          <w:i/>
          <w:iCs/>
          <w:color w:val="000000"/>
        </w:rPr>
        <w:t>Human rights issues</w:t>
      </w:r>
    </w:p>
    <w:p w:rsidR="000F300D" w:rsidRDefault="000F300D" w:rsidP="000F300D">
      <w:pPr>
        <w:pStyle w:val="Bodycopy"/>
        <w:spacing w:after="0" w:line="280" w:lineRule="exact"/>
        <w:rPr>
          <w:b/>
        </w:rPr>
      </w:pPr>
      <w:r>
        <w:rPr>
          <w:b/>
        </w:rPr>
        <w:t>Disallowable Instrument</w:t>
      </w:r>
      <w:r w:rsidRPr="00451C85">
        <w:rPr>
          <w:b/>
        </w:rPr>
        <w:t xml:space="preserve"> </w:t>
      </w:r>
      <w:r>
        <w:rPr>
          <w:b/>
        </w:rPr>
        <w:t>DI2020-301</w:t>
      </w:r>
      <w:r w:rsidRPr="00451C85">
        <w:rPr>
          <w:b/>
        </w:rPr>
        <w:t xml:space="preserve"> being the </w:t>
      </w:r>
      <w:r>
        <w:rPr>
          <w:b/>
        </w:rPr>
        <w:t xml:space="preserve">Public Place Names (Whitlam) Determination 2020 (No 2) made under section 3 of the </w:t>
      </w:r>
      <w:r>
        <w:rPr>
          <w:i/>
        </w:rPr>
        <w:t>Public Place Names Act 1989</w:t>
      </w:r>
      <w:r w:rsidRPr="00236BDD">
        <w:rPr>
          <w:b/>
        </w:rPr>
        <w:t xml:space="preserve"> </w:t>
      </w:r>
      <w:r>
        <w:rPr>
          <w:b/>
        </w:rPr>
        <w:t xml:space="preserve">determines the names of 23 roads in the Division of Whitlam. </w:t>
      </w:r>
    </w:p>
    <w:p w:rsidR="000F300D" w:rsidRDefault="000F300D" w:rsidP="000F300D">
      <w:pPr>
        <w:widowControl w:val="0"/>
        <w:tabs>
          <w:tab w:val="left" w:pos="1276"/>
        </w:tabs>
        <w:spacing w:before="120" w:after="120" w:line="300" w:lineRule="exact"/>
        <w:rPr>
          <w:rFonts w:ascii="Calibri" w:hAnsi="Calibri" w:cs="Calibri"/>
          <w:color w:val="000000"/>
        </w:rPr>
      </w:pPr>
      <w:r>
        <w:rPr>
          <w:rFonts w:ascii="Calibri" w:hAnsi="Calibri" w:cs="Calibri"/>
          <w:color w:val="000000"/>
        </w:rPr>
        <w:t xml:space="preserve">This instrument, made </w:t>
      </w:r>
      <w:r w:rsidRPr="00D22D53">
        <w:rPr>
          <w:rFonts w:ascii="Calibri" w:hAnsi="Calibri" w:cs="Calibri"/>
          <w:color w:val="000000"/>
        </w:rPr>
        <w:t xml:space="preserve">under section 3 of the </w:t>
      </w:r>
      <w:r w:rsidRPr="00D22D53">
        <w:rPr>
          <w:rFonts w:ascii="Calibri" w:hAnsi="Calibri" w:cs="Calibri"/>
          <w:i/>
          <w:iCs/>
          <w:color w:val="000000"/>
        </w:rPr>
        <w:t xml:space="preserve">Public Place Names Act 1989, </w:t>
      </w:r>
      <w:r>
        <w:rPr>
          <w:rFonts w:ascii="Calibri" w:hAnsi="Calibri" w:cs="Calibri"/>
          <w:color w:val="000000"/>
        </w:rPr>
        <w:t>names r</w:t>
      </w:r>
      <w:r w:rsidR="001B31AD">
        <w:rPr>
          <w:rFonts w:ascii="Calibri" w:hAnsi="Calibri" w:cs="Calibri"/>
          <w:color w:val="000000"/>
        </w:rPr>
        <w:t xml:space="preserve">oads in the suburb of Whitlam. </w:t>
      </w:r>
      <w:r>
        <w:rPr>
          <w:rFonts w:ascii="Calibri" w:hAnsi="Calibri" w:cs="Calibri"/>
          <w:color w:val="000000"/>
        </w:rPr>
        <w:t>The Committee notes that the explanatory statement for the instrument includes a discussion of human rights issues:</w:t>
      </w:r>
    </w:p>
    <w:p w:rsidR="000F300D" w:rsidRPr="006C2C69" w:rsidRDefault="000F300D" w:rsidP="000F300D">
      <w:pPr>
        <w:spacing w:before="120" w:after="120"/>
        <w:ind w:left="720"/>
        <w:rPr>
          <w:rFonts w:ascii="Calibri" w:hAnsi="Calibri" w:cs="Calibri"/>
          <w:u w:val="single"/>
        </w:rPr>
      </w:pPr>
      <w:r w:rsidRPr="006C2C69">
        <w:rPr>
          <w:rFonts w:ascii="Calibri" w:hAnsi="Calibri" w:cs="Calibri"/>
          <w:u w:val="single"/>
        </w:rPr>
        <w:t>Human Rights</w:t>
      </w:r>
    </w:p>
    <w:p w:rsidR="000F300D" w:rsidRPr="006C2C69" w:rsidRDefault="000F300D" w:rsidP="000F300D">
      <w:pPr>
        <w:spacing w:before="120" w:after="120"/>
        <w:ind w:left="720"/>
        <w:rPr>
          <w:rFonts w:ascii="Calibri" w:hAnsi="Calibri" w:cs="Calibri"/>
        </w:rPr>
      </w:pPr>
      <w:r w:rsidRPr="006C2C69">
        <w:rPr>
          <w:rFonts w:ascii="Calibri" w:hAnsi="Calibri" w:cs="Calibri"/>
        </w:rPr>
        <w:t xml:space="preserve">Section 12 of the </w:t>
      </w:r>
      <w:r w:rsidRPr="006C2C69">
        <w:rPr>
          <w:rFonts w:ascii="Calibri" w:hAnsi="Calibri" w:cs="Calibri"/>
          <w:i/>
        </w:rPr>
        <w:t>Human Rights Act 2004</w:t>
      </w:r>
      <w:r w:rsidRPr="006C2C69">
        <w:rPr>
          <w:rFonts w:ascii="Calibri" w:hAnsi="Calibri" w:cs="Calibri"/>
        </w:rPr>
        <w:t xml:space="preserve"> creates a right to privacy and reputation. </w:t>
      </w:r>
    </w:p>
    <w:p w:rsidR="000F300D" w:rsidRPr="006C2C69" w:rsidRDefault="000F300D" w:rsidP="000F300D">
      <w:pPr>
        <w:spacing w:before="120" w:after="120"/>
        <w:ind w:left="720"/>
        <w:rPr>
          <w:rFonts w:ascii="Calibri" w:hAnsi="Calibri" w:cs="Calibri"/>
        </w:rPr>
      </w:pPr>
      <w:r w:rsidRPr="006C2C69">
        <w:rPr>
          <w:rFonts w:ascii="Calibri" w:hAnsi="Calibri" w:cs="Calibri"/>
        </w:rPr>
        <w:t>Conceivably, the naming of a place has the potential to infringe the right to privacy and reputation of a person after whom a place is named. In this case the process through which places are named ensures that this right is not infringed and that only appropriate information is included in a determination. This process includes the consultation described above. Additionally, in relation to places named after people, only the names of deceased persons are determined.</w:t>
      </w:r>
    </w:p>
    <w:p w:rsidR="000F300D" w:rsidRDefault="000F300D" w:rsidP="000F300D">
      <w:pPr>
        <w:pStyle w:val="Paper"/>
        <w:spacing w:before="160" w:after="160" w:line="280" w:lineRule="exact"/>
        <w:rPr>
          <w:rFonts w:ascii="Calibri" w:hAnsi="Calibri" w:cs="Calibri"/>
          <w:b/>
          <w:bCs/>
          <w:sz w:val="22"/>
          <w:szCs w:val="22"/>
          <w:lang w:eastAsia="en-AU"/>
        </w:rPr>
      </w:pPr>
      <w:r w:rsidRPr="00E95E87">
        <w:rPr>
          <w:rFonts w:ascii="Calibri" w:hAnsi="Calibri" w:cs="Calibri"/>
          <w:b/>
          <w:bCs/>
          <w:sz w:val="22"/>
          <w:szCs w:val="22"/>
          <w:lang w:eastAsia="en-AU"/>
        </w:rPr>
        <w:t>The Committee draws the attention of the Legislative Assembly to the discussion of human rights issues in the explanatory statement for this instrument.</w:t>
      </w:r>
    </w:p>
    <w:p w:rsidR="000F300D" w:rsidRDefault="000F300D" w:rsidP="000F300D">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0F300D" w:rsidRDefault="000F300D" w:rsidP="000F300D">
      <w:pPr>
        <w:widowControl w:val="0"/>
        <w:tabs>
          <w:tab w:val="left" w:pos="1276"/>
        </w:tabs>
        <w:spacing w:before="120" w:after="120" w:line="300" w:lineRule="exact"/>
        <w:rPr>
          <w:rFonts w:ascii="Calibri" w:hAnsi="Calibri" w:cs="Calibri"/>
          <w:i/>
          <w:iCs/>
          <w:color w:val="000000"/>
        </w:rPr>
      </w:pPr>
      <w:r>
        <w:rPr>
          <w:rFonts w:ascii="Calibri" w:hAnsi="Calibri" w:cs="Calibri"/>
          <w:i/>
          <w:iCs/>
          <w:color w:val="000000"/>
        </w:rPr>
        <w:t>Human rights issues</w:t>
      </w:r>
    </w:p>
    <w:p w:rsidR="000F300D" w:rsidRPr="00842199" w:rsidRDefault="000F300D" w:rsidP="000F300D">
      <w:pPr>
        <w:pStyle w:val="Bodycopy"/>
        <w:spacing w:after="0" w:line="280" w:lineRule="exact"/>
        <w:rPr>
          <w:b/>
        </w:rPr>
      </w:pPr>
      <w:r>
        <w:rPr>
          <w:b/>
        </w:rPr>
        <w:t>Disallowable Instrument</w:t>
      </w:r>
      <w:r w:rsidRPr="00451C85">
        <w:rPr>
          <w:b/>
        </w:rPr>
        <w:t xml:space="preserve"> </w:t>
      </w:r>
      <w:r>
        <w:rPr>
          <w:b/>
        </w:rPr>
        <w:t>DI2020-302</w:t>
      </w:r>
      <w:r w:rsidRPr="00451C85">
        <w:rPr>
          <w:b/>
        </w:rPr>
        <w:t xml:space="preserve"> being the </w:t>
      </w:r>
      <w:r>
        <w:rPr>
          <w:b/>
        </w:rPr>
        <w:t xml:space="preserve">Road Transport (General) Application of Road Transport Legislation Declaration 2020 (No 8) made under section 13 of the </w:t>
      </w:r>
      <w:bookmarkStart w:id="510" w:name="_Hlk68620061"/>
      <w:r>
        <w:rPr>
          <w:i/>
        </w:rPr>
        <w:t>Road Transport (General) Act 1999</w:t>
      </w:r>
      <w:r w:rsidRPr="00236BDD">
        <w:rPr>
          <w:b/>
        </w:rPr>
        <w:t xml:space="preserve"> </w:t>
      </w:r>
      <w:bookmarkEnd w:id="510"/>
      <w:r>
        <w:rPr>
          <w:b/>
        </w:rPr>
        <w:t xml:space="preserve">provides that certain parts of the road transport legislation do not apply to a designated vehicle or the driver of a designated vehicle, while being used to participate in a special stage of the 2020 Netier National Capital Rally from 27 November to 29 November 2020. </w:t>
      </w:r>
    </w:p>
    <w:p w:rsidR="000F300D" w:rsidRDefault="000F300D" w:rsidP="000F300D">
      <w:pPr>
        <w:pStyle w:val="Bodycopy"/>
        <w:spacing w:after="0" w:line="280" w:lineRule="exact"/>
        <w:rPr>
          <w:b/>
        </w:rPr>
      </w:pPr>
      <w:r>
        <w:rPr>
          <w:b/>
        </w:rPr>
        <w:t>Disallowable Instrument</w:t>
      </w:r>
      <w:r w:rsidRPr="00451C85">
        <w:rPr>
          <w:b/>
        </w:rPr>
        <w:t xml:space="preserve"> </w:t>
      </w:r>
      <w:r>
        <w:rPr>
          <w:b/>
        </w:rPr>
        <w:t>DI2020-303</w:t>
      </w:r>
      <w:r w:rsidRPr="00451C85">
        <w:rPr>
          <w:b/>
        </w:rPr>
        <w:t xml:space="preserve"> being the </w:t>
      </w:r>
      <w:r>
        <w:rPr>
          <w:b/>
        </w:rPr>
        <w:t xml:space="preserve">Road Transport (General) Application of Road Transport Legislation Declaration 2020 (No 9) made under section 13 of the </w:t>
      </w:r>
      <w:r>
        <w:rPr>
          <w:i/>
        </w:rPr>
        <w:t>Road Transport (General) Act 1999</w:t>
      </w:r>
      <w:r w:rsidRPr="00236BDD">
        <w:rPr>
          <w:b/>
        </w:rPr>
        <w:t xml:space="preserve"> </w:t>
      </w:r>
      <w:r>
        <w:rPr>
          <w:b/>
        </w:rPr>
        <w:t xml:space="preserve">provides that certain parts of the road transport legislation do not apply to a designated vehicle or the driver of a designated vehicle, while being used to participate in a special stage of the Neal Bates Motorsport Test Day taking place on 30 November 2020. </w:t>
      </w:r>
    </w:p>
    <w:p w:rsidR="000F300D" w:rsidRDefault="000F300D" w:rsidP="000F300D">
      <w:pPr>
        <w:widowControl w:val="0"/>
        <w:tabs>
          <w:tab w:val="left" w:pos="1276"/>
        </w:tabs>
        <w:spacing w:before="120" w:after="120" w:line="300" w:lineRule="exact"/>
        <w:rPr>
          <w:rFonts w:ascii="Calibri" w:hAnsi="Calibri"/>
          <w:iCs/>
        </w:rPr>
      </w:pPr>
      <w:r>
        <w:rPr>
          <w:rFonts w:ascii="Calibri" w:hAnsi="Calibri" w:cs="Calibri"/>
          <w:color w:val="000000"/>
        </w:rPr>
        <w:t xml:space="preserve">The two instruments mentioned above, both made under section 13 of the </w:t>
      </w:r>
      <w:r w:rsidRPr="00AE31AA">
        <w:rPr>
          <w:rFonts w:ascii="Calibri" w:hAnsi="Calibri"/>
          <w:i/>
        </w:rPr>
        <w:t>Road Transport (General) Act 1999</w:t>
      </w:r>
      <w:r>
        <w:rPr>
          <w:rFonts w:ascii="Calibri" w:hAnsi="Calibri"/>
          <w:iCs/>
        </w:rPr>
        <w:t>, disapply certain provisions of the road transport legislation, in relation to the holding of the Netier Capital Rally and the Neal Bates Motorsport Test Day, respectively.</w:t>
      </w:r>
    </w:p>
    <w:p w:rsidR="000F300D" w:rsidRDefault="000F300D" w:rsidP="000F300D">
      <w:pPr>
        <w:widowControl w:val="0"/>
        <w:tabs>
          <w:tab w:val="left" w:pos="1276"/>
        </w:tabs>
        <w:spacing w:before="120" w:after="120" w:line="300" w:lineRule="exact"/>
        <w:rPr>
          <w:rFonts w:ascii="Calibri" w:hAnsi="Calibri"/>
          <w:iCs/>
        </w:rPr>
      </w:pPr>
      <w:r>
        <w:rPr>
          <w:rFonts w:ascii="Calibri" w:hAnsi="Calibri"/>
          <w:iCs/>
        </w:rPr>
        <w:t>The explanatory statement for the first instrument mentioned above addresses human rights issues arising from the instrument:</w:t>
      </w:r>
    </w:p>
    <w:p w:rsidR="000F300D" w:rsidRPr="006C2C69" w:rsidRDefault="000F300D" w:rsidP="000F300D">
      <w:pPr>
        <w:pStyle w:val="Default"/>
        <w:spacing w:before="120" w:after="120"/>
        <w:ind w:left="720"/>
        <w:rPr>
          <w:rFonts w:ascii="Calibri" w:hAnsi="Calibri" w:cs="Calibri"/>
          <w:sz w:val="22"/>
          <w:szCs w:val="22"/>
        </w:rPr>
      </w:pPr>
      <w:r w:rsidRPr="006C2C69">
        <w:rPr>
          <w:rFonts w:ascii="Calibri" w:hAnsi="Calibri" w:cs="Calibri"/>
          <w:b/>
          <w:bCs/>
          <w:sz w:val="22"/>
          <w:szCs w:val="22"/>
        </w:rPr>
        <w:t xml:space="preserve">Human rights implications </w:t>
      </w:r>
    </w:p>
    <w:p w:rsidR="000F300D" w:rsidRPr="006C2C69" w:rsidRDefault="000F300D" w:rsidP="000F300D">
      <w:pPr>
        <w:spacing w:before="120" w:after="120"/>
        <w:ind w:left="715"/>
        <w:rPr>
          <w:rFonts w:ascii="Calibri" w:hAnsi="Calibri" w:cs="Calibri"/>
        </w:rPr>
      </w:pPr>
      <w:r w:rsidRPr="006C2C69">
        <w:rPr>
          <w:rFonts w:ascii="Calibri" w:hAnsi="Calibri" w:cs="Calibri"/>
        </w:rPr>
        <w:t xml:space="preserve">During the development of this Instrument, due regard was given to its effect and the operation of the rally in relation to the compatibility with human rights as set out in the </w:t>
      </w:r>
      <w:r w:rsidRPr="006C2C69">
        <w:rPr>
          <w:rFonts w:ascii="Calibri" w:hAnsi="Calibri" w:cs="Calibri"/>
          <w:i/>
          <w:iCs/>
        </w:rPr>
        <w:t>Human Rights Act 2004</w:t>
      </w:r>
      <w:r w:rsidRPr="006C2C69">
        <w:rPr>
          <w:rFonts w:ascii="Calibri" w:hAnsi="Calibri" w:cs="Calibri"/>
        </w:rPr>
        <w:t xml:space="preserve"> (HRA).</w:t>
      </w:r>
    </w:p>
    <w:p w:rsidR="000F300D" w:rsidRPr="006C2C69" w:rsidRDefault="000F300D" w:rsidP="000F300D">
      <w:pPr>
        <w:spacing w:before="120" w:after="120"/>
        <w:ind w:left="715"/>
        <w:rPr>
          <w:rFonts w:ascii="Calibri" w:hAnsi="Calibri" w:cs="Calibri"/>
        </w:rPr>
      </w:pPr>
      <w:r w:rsidRPr="006C2C69">
        <w:rPr>
          <w:rFonts w:ascii="Calibri" w:hAnsi="Calibri" w:cs="Calibri"/>
        </w:rPr>
        <w:t xml:space="preserve">Section 28 of the HRA provides that human rights may be subject only to reasonable limits set by laws that can be demonstrably justified in a free and democratic society. </w:t>
      </w:r>
    </w:p>
    <w:p w:rsidR="000F300D" w:rsidRPr="006C2C69" w:rsidRDefault="000F300D" w:rsidP="000F300D">
      <w:pPr>
        <w:spacing w:before="120" w:after="120"/>
        <w:ind w:left="715"/>
        <w:rPr>
          <w:rFonts w:ascii="Calibri" w:hAnsi="Calibri" w:cs="Calibri"/>
        </w:rPr>
      </w:pPr>
      <w:r w:rsidRPr="006C2C69">
        <w:rPr>
          <w:rFonts w:ascii="Calibri" w:hAnsi="Calibri" w:cs="Calibri"/>
        </w:rPr>
        <w:t xml:space="preserve">Section 28(2) of the HRA provides that in deciding whether a limit on a human right is reasonable, all relevant factors must be considered, including: </w:t>
      </w:r>
    </w:p>
    <w:p w:rsidR="000F300D" w:rsidRPr="006C2C69" w:rsidRDefault="000F300D" w:rsidP="000F300D">
      <w:pPr>
        <w:spacing w:before="120" w:after="120"/>
        <w:ind w:left="1440"/>
        <w:rPr>
          <w:rFonts w:ascii="Calibri" w:hAnsi="Calibri" w:cs="Calibri"/>
        </w:rPr>
      </w:pPr>
      <w:r w:rsidRPr="006C2C69">
        <w:rPr>
          <w:rFonts w:ascii="Calibri" w:hAnsi="Calibri" w:cs="Calibri"/>
        </w:rPr>
        <w:t xml:space="preserve">a) </w:t>
      </w:r>
      <w:proofErr w:type="gramStart"/>
      <w:r w:rsidRPr="006C2C69">
        <w:rPr>
          <w:rFonts w:ascii="Calibri" w:hAnsi="Calibri" w:cs="Calibri"/>
        </w:rPr>
        <w:t>the</w:t>
      </w:r>
      <w:proofErr w:type="gramEnd"/>
      <w:r w:rsidRPr="006C2C69">
        <w:rPr>
          <w:rFonts w:ascii="Calibri" w:hAnsi="Calibri" w:cs="Calibri"/>
        </w:rPr>
        <w:t xml:space="preserve"> nature of the right affected </w:t>
      </w:r>
    </w:p>
    <w:p w:rsidR="000F300D" w:rsidRPr="006C2C69" w:rsidRDefault="000F300D" w:rsidP="000F300D">
      <w:pPr>
        <w:spacing w:before="120" w:after="120"/>
        <w:ind w:left="1440"/>
        <w:rPr>
          <w:rFonts w:ascii="Calibri" w:hAnsi="Calibri" w:cs="Calibri"/>
        </w:rPr>
      </w:pPr>
      <w:r w:rsidRPr="006C2C69">
        <w:rPr>
          <w:rFonts w:ascii="Calibri" w:hAnsi="Calibri" w:cs="Calibri"/>
        </w:rPr>
        <w:t xml:space="preserve">b) </w:t>
      </w:r>
      <w:proofErr w:type="gramStart"/>
      <w:r w:rsidRPr="006C2C69">
        <w:rPr>
          <w:rFonts w:ascii="Calibri" w:hAnsi="Calibri" w:cs="Calibri"/>
        </w:rPr>
        <w:t>the</w:t>
      </w:r>
      <w:proofErr w:type="gramEnd"/>
      <w:r w:rsidRPr="006C2C69">
        <w:rPr>
          <w:rFonts w:ascii="Calibri" w:hAnsi="Calibri" w:cs="Calibri"/>
        </w:rPr>
        <w:t xml:space="preserve"> importance of the limitation </w:t>
      </w:r>
    </w:p>
    <w:p w:rsidR="000F300D" w:rsidRPr="006C2C69" w:rsidRDefault="000F300D" w:rsidP="000F300D">
      <w:pPr>
        <w:spacing w:before="120" w:after="120"/>
        <w:ind w:left="1440"/>
        <w:rPr>
          <w:rFonts w:ascii="Calibri" w:hAnsi="Calibri" w:cs="Calibri"/>
        </w:rPr>
      </w:pPr>
      <w:r w:rsidRPr="006C2C69">
        <w:rPr>
          <w:rFonts w:ascii="Calibri" w:hAnsi="Calibri" w:cs="Calibri"/>
        </w:rPr>
        <w:t xml:space="preserve">c) </w:t>
      </w:r>
      <w:proofErr w:type="gramStart"/>
      <w:r w:rsidRPr="006C2C69">
        <w:rPr>
          <w:rFonts w:ascii="Calibri" w:hAnsi="Calibri" w:cs="Calibri"/>
        </w:rPr>
        <w:t>the</w:t>
      </w:r>
      <w:proofErr w:type="gramEnd"/>
      <w:r w:rsidRPr="006C2C69">
        <w:rPr>
          <w:rFonts w:ascii="Calibri" w:hAnsi="Calibri" w:cs="Calibri"/>
        </w:rPr>
        <w:t xml:space="preserve"> nature and extent of the limitation </w:t>
      </w:r>
    </w:p>
    <w:p w:rsidR="000F300D" w:rsidRPr="006C2C69" w:rsidRDefault="000F300D" w:rsidP="000F300D">
      <w:pPr>
        <w:spacing w:before="120" w:after="120"/>
        <w:ind w:left="1440"/>
        <w:rPr>
          <w:rFonts w:ascii="Calibri" w:hAnsi="Calibri" w:cs="Calibri"/>
        </w:rPr>
      </w:pPr>
      <w:r w:rsidRPr="006C2C69">
        <w:rPr>
          <w:rFonts w:ascii="Calibri" w:hAnsi="Calibri" w:cs="Calibri"/>
        </w:rPr>
        <w:t xml:space="preserve">d) </w:t>
      </w:r>
      <w:proofErr w:type="gramStart"/>
      <w:r w:rsidRPr="006C2C69">
        <w:rPr>
          <w:rFonts w:ascii="Calibri" w:hAnsi="Calibri" w:cs="Calibri"/>
        </w:rPr>
        <w:t>the</w:t>
      </w:r>
      <w:proofErr w:type="gramEnd"/>
      <w:r w:rsidRPr="006C2C69">
        <w:rPr>
          <w:rFonts w:ascii="Calibri" w:hAnsi="Calibri" w:cs="Calibri"/>
        </w:rPr>
        <w:t xml:space="preserve"> relationship between the limitation and its purpose </w:t>
      </w:r>
    </w:p>
    <w:p w:rsidR="000F300D" w:rsidRPr="006C2C69" w:rsidRDefault="000F300D" w:rsidP="000F300D">
      <w:pPr>
        <w:spacing w:before="120" w:after="120"/>
        <w:ind w:left="1440"/>
        <w:rPr>
          <w:rFonts w:ascii="Calibri" w:hAnsi="Calibri" w:cs="Calibri"/>
        </w:rPr>
      </w:pPr>
      <w:r w:rsidRPr="006C2C69">
        <w:rPr>
          <w:rFonts w:ascii="Calibri" w:hAnsi="Calibri" w:cs="Calibri"/>
        </w:rPr>
        <w:t xml:space="preserve">e) </w:t>
      </w:r>
      <w:proofErr w:type="gramStart"/>
      <w:r w:rsidRPr="006C2C69">
        <w:rPr>
          <w:rFonts w:ascii="Calibri" w:hAnsi="Calibri" w:cs="Calibri"/>
        </w:rPr>
        <w:t>any</w:t>
      </w:r>
      <w:proofErr w:type="gramEnd"/>
      <w:r w:rsidRPr="006C2C69">
        <w:rPr>
          <w:rFonts w:ascii="Calibri" w:hAnsi="Calibri" w:cs="Calibri"/>
        </w:rPr>
        <w:t xml:space="preserve"> less restrictive means reasonably available to achieve the purpose the limitation seeks to achieve.</w:t>
      </w:r>
    </w:p>
    <w:p w:rsidR="000F300D" w:rsidRPr="006C2C69" w:rsidRDefault="000F300D" w:rsidP="000F300D">
      <w:pPr>
        <w:pStyle w:val="Default"/>
        <w:spacing w:before="120" w:after="120"/>
        <w:ind w:left="720"/>
        <w:rPr>
          <w:rFonts w:ascii="Calibri" w:hAnsi="Calibri" w:cs="Calibri"/>
          <w:sz w:val="22"/>
          <w:szCs w:val="22"/>
        </w:rPr>
      </w:pPr>
      <w:r w:rsidRPr="006C2C69">
        <w:rPr>
          <w:rFonts w:ascii="Calibri" w:hAnsi="Calibri" w:cs="Calibri"/>
          <w:sz w:val="22"/>
          <w:szCs w:val="22"/>
        </w:rPr>
        <w:t>Section 13 of the HRA provides a right for people to move freely within the ACT.</w:t>
      </w:r>
    </w:p>
    <w:p w:rsidR="000F300D" w:rsidRPr="006C2C69" w:rsidRDefault="000F300D" w:rsidP="000F300D">
      <w:pPr>
        <w:pStyle w:val="Default"/>
        <w:spacing w:before="120" w:after="120"/>
        <w:ind w:left="720"/>
        <w:rPr>
          <w:rFonts w:ascii="Calibri" w:hAnsi="Calibri" w:cs="Calibri"/>
          <w:sz w:val="22"/>
          <w:szCs w:val="22"/>
        </w:rPr>
      </w:pPr>
      <w:r w:rsidRPr="006C2C69">
        <w:rPr>
          <w:rFonts w:ascii="Calibri" w:hAnsi="Calibri" w:cs="Calibri"/>
          <w:sz w:val="22"/>
          <w:szCs w:val="22"/>
        </w:rPr>
        <w:t xml:space="preserve">The declarations in this instrument do not of itself restrict a person’s freedom of movement within the Territory, however the operation of the rally in closing parts of the forests in which the rally will be conducted to members of the public will restrict the free movement of people in that area of the Territory during the event. As parts of the road transport legislation are being </w:t>
      </w:r>
      <w:proofErr w:type="spellStart"/>
      <w:r w:rsidRPr="006C2C69">
        <w:rPr>
          <w:rFonts w:ascii="Calibri" w:hAnsi="Calibri" w:cs="Calibri"/>
          <w:sz w:val="22"/>
          <w:szCs w:val="22"/>
        </w:rPr>
        <w:t>disapplied</w:t>
      </w:r>
      <w:proofErr w:type="spellEnd"/>
      <w:r w:rsidRPr="006C2C69">
        <w:rPr>
          <w:rFonts w:ascii="Calibri" w:hAnsi="Calibri" w:cs="Calibri"/>
          <w:sz w:val="22"/>
          <w:szCs w:val="22"/>
        </w:rPr>
        <w:t xml:space="preserve"> for the event to operate as intended, vehicles will be travelling in parts of the forests in excess of the usual speed limits and in a manner not consistent with the road rules. As such, the restriction on the free movement of people in those parts of the forests at those times is considered reasonable and proportionate to ensure safety of non-participants and represents the least restrictive approach that enables the event to proceed.</w:t>
      </w:r>
    </w:p>
    <w:p w:rsidR="000F300D" w:rsidRDefault="000F300D" w:rsidP="000F300D">
      <w:pPr>
        <w:widowControl w:val="0"/>
        <w:tabs>
          <w:tab w:val="left" w:pos="1276"/>
        </w:tabs>
        <w:spacing w:before="120" w:after="120" w:line="300" w:lineRule="exact"/>
        <w:rPr>
          <w:rFonts w:ascii="Calibri" w:hAnsi="Calibri"/>
          <w:iCs/>
        </w:rPr>
      </w:pPr>
      <w:r>
        <w:rPr>
          <w:rFonts w:ascii="Calibri" w:hAnsi="Calibri"/>
          <w:iCs/>
        </w:rPr>
        <w:t>The explanatory statement for the second instrument mentioned above contains a similar statement.</w:t>
      </w:r>
    </w:p>
    <w:p w:rsidR="000F300D" w:rsidRDefault="000F300D" w:rsidP="000F300D">
      <w:pPr>
        <w:pStyle w:val="Paper"/>
        <w:spacing w:before="160" w:after="160" w:line="280" w:lineRule="exact"/>
        <w:rPr>
          <w:rFonts w:ascii="Calibri" w:hAnsi="Calibri" w:cs="Calibri"/>
          <w:b/>
          <w:bCs/>
          <w:sz w:val="22"/>
          <w:szCs w:val="22"/>
          <w:lang w:eastAsia="en-AU"/>
        </w:rPr>
      </w:pPr>
      <w:r w:rsidRPr="00E95E87">
        <w:rPr>
          <w:rFonts w:ascii="Calibri" w:hAnsi="Calibri" w:cs="Calibri"/>
          <w:b/>
          <w:bCs/>
          <w:sz w:val="22"/>
          <w:szCs w:val="22"/>
          <w:lang w:eastAsia="en-AU"/>
        </w:rPr>
        <w:t>The Committee draws the attention of the Legislative Assembly to the discussion of human rights issues in the explanatory statement</w:t>
      </w:r>
      <w:r>
        <w:rPr>
          <w:rFonts w:ascii="Calibri" w:hAnsi="Calibri" w:cs="Calibri"/>
          <w:b/>
          <w:bCs/>
          <w:sz w:val="22"/>
          <w:szCs w:val="22"/>
          <w:lang w:eastAsia="en-AU"/>
        </w:rPr>
        <w:t>s</w:t>
      </w:r>
      <w:r w:rsidRPr="00E95E87">
        <w:rPr>
          <w:rFonts w:ascii="Calibri" w:hAnsi="Calibri" w:cs="Calibri"/>
          <w:b/>
          <w:bCs/>
          <w:sz w:val="22"/>
          <w:szCs w:val="22"/>
          <w:lang w:eastAsia="en-AU"/>
        </w:rPr>
        <w:t xml:space="preserve"> for th</w:t>
      </w:r>
      <w:r>
        <w:rPr>
          <w:rFonts w:ascii="Calibri" w:hAnsi="Calibri" w:cs="Calibri"/>
          <w:b/>
          <w:bCs/>
          <w:sz w:val="22"/>
          <w:szCs w:val="22"/>
          <w:lang w:eastAsia="en-AU"/>
        </w:rPr>
        <w:t>e</w:t>
      </w:r>
      <w:r w:rsidRPr="00E95E87">
        <w:rPr>
          <w:rFonts w:ascii="Calibri" w:hAnsi="Calibri" w:cs="Calibri"/>
          <w:b/>
          <w:bCs/>
          <w:sz w:val="22"/>
          <w:szCs w:val="22"/>
          <w:lang w:eastAsia="en-AU"/>
        </w:rPr>
        <w:t>s</w:t>
      </w:r>
      <w:r>
        <w:rPr>
          <w:rFonts w:ascii="Calibri" w:hAnsi="Calibri" w:cs="Calibri"/>
          <w:b/>
          <w:bCs/>
          <w:sz w:val="22"/>
          <w:szCs w:val="22"/>
          <w:lang w:eastAsia="en-AU"/>
        </w:rPr>
        <w:t>e</w:t>
      </w:r>
      <w:r w:rsidRPr="00E95E87">
        <w:rPr>
          <w:rFonts w:ascii="Calibri" w:hAnsi="Calibri" w:cs="Calibri"/>
          <w:b/>
          <w:bCs/>
          <w:sz w:val="22"/>
          <w:szCs w:val="22"/>
          <w:lang w:eastAsia="en-AU"/>
        </w:rPr>
        <w:t xml:space="preserve"> instrument</w:t>
      </w:r>
      <w:r>
        <w:rPr>
          <w:rFonts w:ascii="Calibri" w:hAnsi="Calibri" w:cs="Calibri"/>
          <w:b/>
          <w:bCs/>
          <w:sz w:val="22"/>
          <w:szCs w:val="22"/>
          <w:lang w:eastAsia="en-AU"/>
        </w:rPr>
        <w:t>s</w:t>
      </w:r>
      <w:r w:rsidRPr="00E95E87">
        <w:rPr>
          <w:rFonts w:ascii="Calibri" w:hAnsi="Calibri" w:cs="Calibri"/>
          <w:b/>
          <w:bCs/>
          <w:sz w:val="22"/>
          <w:szCs w:val="22"/>
          <w:lang w:eastAsia="en-AU"/>
        </w:rPr>
        <w:t>.</w:t>
      </w:r>
    </w:p>
    <w:p w:rsidR="000F300D" w:rsidRDefault="000F300D" w:rsidP="000F300D">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0F300D" w:rsidRDefault="000F300D" w:rsidP="000F300D">
      <w:pPr>
        <w:widowControl w:val="0"/>
        <w:tabs>
          <w:tab w:val="left" w:pos="1276"/>
        </w:tabs>
        <w:spacing w:before="120" w:after="120" w:line="300" w:lineRule="exact"/>
        <w:rPr>
          <w:rFonts w:ascii="Calibri" w:hAnsi="Calibri"/>
          <w:i/>
        </w:rPr>
      </w:pPr>
      <w:r>
        <w:rPr>
          <w:rFonts w:ascii="Calibri" w:hAnsi="Calibri"/>
          <w:i/>
        </w:rPr>
        <w:t>Minor drafting issue</w:t>
      </w:r>
    </w:p>
    <w:p w:rsidR="000F300D" w:rsidRPr="00842199" w:rsidRDefault="000F300D" w:rsidP="000F300D">
      <w:pPr>
        <w:pStyle w:val="Bodycopy"/>
        <w:spacing w:after="0" w:line="280" w:lineRule="exact"/>
        <w:rPr>
          <w:b/>
        </w:rPr>
      </w:pPr>
      <w:r>
        <w:rPr>
          <w:b/>
        </w:rPr>
        <w:t>Disallowable Instrument</w:t>
      </w:r>
      <w:r w:rsidRPr="00451C85">
        <w:rPr>
          <w:b/>
        </w:rPr>
        <w:t xml:space="preserve"> </w:t>
      </w:r>
      <w:r>
        <w:rPr>
          <w:b/>
        </w:rPr>
        <w:t>DI2020-305</w:t>
      </w:r>
      <w:r w:rsidRPr="00451C85">
        <w:rPr>
          <w:b/>
        </w:rPr>
        <w:t xml:space="preserve"> being the </w:t>
      </w:r>
      <w:r>
        <w:rPr>
          <w:b/>
        </w:rPr>
        <w:t>Official Visitor (Corrections Management) Appointment 2020 (No 2) made under paragraph 10(1</w:t>
      </w:r>
      <w:proofErr w:type="gramStart"/>
      <w:r>
        <w:rPr>
          <w:b/>
        </w:rPr>
        <w:t>)(</w:t>
      </w:r>
      <w:proofErr w:type="gramEnd"/>
      <w:r>
        <w:rPr>
          <w:b/>
        </w:rPr>
        <w:t xml:space="preserve">b) of the </w:t>
      </w:r>
      <w:r>
        <w:rPr>
          <w:i/>
        </w:rPr>
        <w:t>Official Visitor Act 2012</w:t>
      </w:r>
      <w:r w:rsidRPr="00236BDD">
        <w:rPr>
          <w:b/>
        </w:rPr>
        <w:t xml:space="preserve"> </w:t>
      </w:r>
      <w:r>
        <w:rPr>
          <w:b/>
        </w:rPr>
        <w:t xml:space="preserve">reappoints specified persons as official visitors for the Corrections Management Act 2007. </w:t>
      </w:r>
    </w:p>
    <w:p w:rsidR="000F300D" w:rsidRPr="00842199" w:rsidRDefault="000F300D" w:rsidP="000F300D">
      <w:pPr>
        <w:pStyle w:val="Bodycopy"/>
        <w:spacing w:after="0" w:line="280" w:lineRule="exact"/>
        <w:rPr>
          <w:b/>
        </w:rPr>
      </w:pPr>
      <w:r>
        <w:rPr>
          <w:b/>
        </w:rPr>
        <w:t>Disallowable Instrument</w:t>
      </w:r>
      <w:r w:rsidRPr="00451C85">
        <w:rPr>
          <w:b/>
        </w:rPr>
        <w:t xml:space="preserve"> </w:t>
      </w:r>
      <w:r>
        <w:rPr>
          <w:b/>
        </w:rPr>
        <w:t>DI2020-306</w:t>
      </w:r>
      <w:r w:rsidRPr="00451C85">
        <w:rPr>
          <w:b/>
        </w:rPr>
        <w:t xml:space="preserve"> being the </w:t>
      </w:r>
      <w:r>
        <w:rPr>
          <w:b/>
        </w:rPr>
        <w:t>Official Visitor (Corrections Management) Appointment 2020 (No 3) made under paragraph 10(1</w:t>
      </w:r>
      <w:proofErr w:type="gramStart"/>
      <w:r>
        <w:rPr>
          <w:b/>
        </w:rPr>
        <w:t>)(</w:t>
      </w:r>
      <w:proofErr w:type="gramEnd"/>
      <w:r>
        <w:rPr>
          <w:b/>
        </w:rPr>
        <w:t xml:space="preserve">b) of the </w:t>
      </w:r>
      <w:r>
        <w:rPr>
          <w:i/>
        </w:rPr>
        <w:t>Official Visitor Act 2012</w:t>
      </w:r>
      <w:r w:rsidRPr="00236BDD">
        <w:rPr>
          <w:b/>
        </w:rPr>
        <w:t xml:space="preserve"> </w:t>
      </w:r>
      <w:r>
        <w:rPr>
          <w:b/>
        </w:rPr>
        <w:t xml:space="preserve">reappoints specified persons as official visitors for the Corrections Management Act 2007. </w:t>
      </w:r>
    </w:p>
    <w:p w:rsidR="000F300D" w:rsidRDefault="000F300D" w:rsidP="000F300D">
      <w:pPr>
        <w:widowControl w:val="0"/>
        <w:tabs>
          <w:tab w:val="left" w:pos="1276"/>
        </w:tabs>
        <w:spacing w:before="120" w:after="120" w:line="300" w:lineRule="exact"/>
        <w:rPr>
          <w:rFonts w:ascii="Calibri" w:hAnsi="Calibri"/>
          <w:iCs/>
        </w:rPr>
      </w:pPr>
      <w:r>
        <w:rPr>
          <w:rFonts w:ascii="Calibri" w:hAnsi="Calibri"/>
          <w:iCs/>
        </w:rPr>
        <w:t xml:space="preserve">Each of the </w:t>
      </w:r>
      <w:r w:rsidR="00AA7E72">
        <w:rPr>
          <w:rFonts w:ascii="Calibri" w:hAnsi="Calibri"/>
          <w:iCs/>
        </w:rPr>
        <w:t>two</w:t>
      </w:r>
      <w:r>
        <w:rPr>
          <w:rFonts w:ascii="Calibri" w:hAnsi="Calibri"/>
          <w:iCs/>
        </w:rPr>
        <w:t xml:space="preserve"> instruments mentioned above appoints (and, in the case of one of the specified persons </w:t>
      </w:r>
      <w:r>
        <w:rPr>
          <w:rFonts w:ascii="Calibri" w:hAnsi="Calibri"/>
          <w:i/>
        </w:rPr>
        <w:t>reappoints</w:t>
      </w:r>
      <w:r>
        <w:rPr>
          <w:rFonts w:ascii="Calibri" w:hAnsi="Calibri"/>
          <w:iCs/>
        </w:rPr>
        <w:t xml:space="preserve">) </w:t>
      </w:r>
      <w:r w:rsidR="00AA7E72">
        <w:rPr>
          <w:rFonts w:ascii="Calibri" w:hAnsi="Calibri"/>
          <w:iCs/>
        </w:rPr>
        <w:t>two</w:t>
      </w:r>
      <w:r>
        <w:rPr>
          <w:rFonts w:ascii="Calibri" w:hAnsi="Calibri"/>
          <w:iCs/>
        </w:rPr>
        <w:t xml:space="preserve"> specified persons as an “official visitor”, under paragraph 10(1</w:t>
      </w:r>
      <w:proofErr w:type="gramStart"/>
      <w:r>
        <w:rPr>
          <w:rFonts w:ascii="Calibri" w:hAnsi="Calibri"/>
          <w:iCs/>
        </w:rPr>
        <w:t>)(</w:t>
      </w:r>
      <w:proofErr w:type="gramEnd"/>
      <w:r>
        <w:rPr>
          <w:rFonts w:ascii="Calibri" w:hAnsi="Calibri"/>
          <w:iCs/>
        </w:rPr>
        <w:t xml:space="preserve">b) of the </w:t>
      </w:r>
      <w:r>
        <w:rPr>
          <w:rFonts w:ascii="Calibri" w:hAnsi="Calibri"/>
          <w:i/>
        </w:rPr>
        <w:t>Official Visitor Act 2012</w:t>
      </w:r>
      <w:r>
        <w:rPr>
          <w:rFonts w:ascii="Calibri" w:hAnsi="Calibri"/>
          <w:iCs/>
        </w:rPr>
        <w:t xml:space="preserve">. The Committee notes that the instruments relate to the same </w:t>
      </w:r>
      <w:r w:rsidR="00CC3CFA">
        <w:rPr>
          <w:rFonts w:ascii="Calibri" w:hAnsi="Calibri"/>
          <w:iCs/>
        </w:rPr>
        <w:t>two</w:t>
      </w:r>
      <w:r>
        <w:rPr>
          <w:rFonts w:ascii="Calibri" w:hAnsi="Calibri"/>
          <w:iCs/>
        </w:rPr>
        <w:t xml:space="preserve"> specified persons. The terms of appointment</w:t>
      </w:r>
      <w:r w:rsidR="00CC3CFA">
        <w:rPr>
          <w:rFonts w:ascii="Calibri" w:hAnsi="Calibri"/>
          <w:iCs/>
        </w:rPr>
        <w:t xml:space="preserve"> are the same.</w:t>
      </w:r>
      <w:r>
        <w:rPr>
          <w:rFonts w:ascii="Calibri" w:hAnsi="Calibri"/>
          <w:iCs/>
        </w:rPr>
        <w:t xml:space="preserve"> The Committee notes that the first instrument is dated 11 December 2020 and the second instrument</w:t>
      </w:r>
      <w:r w:rsidR="001D5F0D">
        <w:rPr>
          <w:rFonts w:ascii="Calibri" w:hAnsi="Calibri"/>
          <w:iCs/>
        </w:rPr>
        <w:t>,</w:t>
      </w:r>
      <w:r>
        <w:rPr>
          <w:rFonts w:ascii="Calibri" w:hAnsi="Calibri"/>
          <w:iCs/>
        </w:rPr>
        <w:t xml:space="preserve"> 16 December 2020.</w:t>
      </w:r>
    </w:p>
    <w:p w:rsidR="000F300D" w:rsidRDefault="000F300D" w:rsidP="000F300D">
      <w:pPr>
        <w:widowControl w:val="0"/>
        <w:tabs>
          <w:tab w:val="left" w:pos="1276"/>
        </w:tabs>
        <w:spacing w:before="120" w:after="120" w:line="300" w:lineRule="exact"/>
        <w:rPr>
          <w:rFonts w:ascii="Calibri" w:hAnsi="Calibri"/>
          <w:iCs/>
        </w:rPr>
      </w:pPr>
      <w:r>
        <w:rPr>
          <w:rFonts w:ascii="Calibri" w:hAnsi="Calibri"/>
          <w:iCs/>
        </w:rPr>
        <w:t>The Committee notes that the explanatory statement for the second instrument mentioned above states:</w:t>
      </w:r>
    </w:p>
    <w:p w:rsidR="000F300D" w:rsidRPr="006C2C69" w:rsidRDefault="000F300D" w:rsidP="000F300D">
      <w:pPr>
        <w:autoSpaceDE w:val="0"/>
        <w:autoSpaceDN w:val="0"/>
        <w:adjustRightInd w:val="0"/>
        <w:ind w:left="720"/>
        <w:rPr>
          <w:rFonts w:ascii="Calibri" w:hAnsi="Calibri" w:cs="Calibri"/>
        </w:rPr>
      </w:pPr>
      <w:r w:rsidRPr="006C2C69">
        <w:rPr>
          <w:rFonts w:ascii="Calibri" w:hAnsi="Calibri" w:cs="Calibri"/>
        </w:rPr>
        <w:t xml:space="preserve">[The </w:t>
      </w:r>
      <w:r w:rsidR="00CC3CFA">
        <w:rPr>
          <w:rFonts w:ascii="Calibri" w:hAnsi="Calibri" w:cs="Calibri"/>
        </w:rPr>
        <w:t>two</w:t>
      </w:r>
      <w:r w:rsidRPr="006C2C69">
        <w:rPr>
          <w:rFonts w:ascii="Calibri" w:hAnsi="Calibri" w:cs="Calibri"/>
        </w:rPr>
        <w:t xml:space="preserve"> specified persons] were originally reappointed under DI2020-305. However, a procedural oversight was identified in relation to the Standing Committee consultation on these appointments. When the Standing Committee originally considered the proposed appointments, they were not authorised to do so under the s228 of the </w:t>
      </w:r>
      <w:r w:rsidRPr="006C2C69">
        <w:rPr>
          <w:rFonts w:ascii="Calibri" w:hAnsi="Calibri" w:cs="Calibri"/>
          <w:i/>
          <w:iCs/>
        </w:rPr>
        <w:t>Legislation Act 2001</w:t>
      </w:r>
      <w:r w:rsidRPr="006C2C69">
        <w:rPr>
          <w:rFonts w:ascii="Calibri" w:hAnsi="Calibri" w:cs="Calibri"/>
        </w:rPr>
        <w:t xml:space="preserve">. This oversight was corrected on 15 December 2020 when the Acting Speaker signed the nomination of committees for consultation on statutory appointments. The appointments of [the </w:t>
      </w:r>
      <w:r w:rsidR="004D6ADD">
        <w:rPr>
          <w:rFonts w:ascii="Calibri" w:hAnsi="Calibri" w:cs="Calibri"/>
        </w:rPr>
        <w:t>two</w:t>
      </w:r>
      <w:r w:rsidRPr="006C2C69">
        <w:rPr>
          <w:rFonts w:ascii="Calibri" w:hAnsi="Calibri" w:cs="Calibri"/>
        </w:rPr>
        <w:t xml:space="preserve"> specified persons] were then reconsidered by the duly authorised Standing Committee on 16 December 2020.</w:t>
      </w:r>
    </w:p>
    <w:p w:rsidR="000F300D" w:rsidRDefault="000F300D" w:rsidP="000F300D">
      <w:pPr>
        <w:widowControl w:val="0"/>
        <w:tabs>
          <w:tab w:val="left" w:pos="1276"/>
        </w:tabs>
        <w:spacing w:before="120" w:after="120" w:line="300" w:lineRule="exact"/>
        <w:rPr>
          <w:rFonts w:ascii="Calibri" w:hAnsi="Calibri"/>
          <w:b/>
          <w:bCs/>
          <w:iCs/>
        </w:rPr>
      </w:pPr>
      <w:r>
        <w:rPr>
          <w:rFonts w:ascii="Calibri" w:hAnsi="Calibri"/>
          <w:b/>
          <w:bCs/>
          <w:iCs/>
        </w:rPr>
        <w:t>This comment does not require a response from the Minister.</w:t>
      </w:r>
    </w:p>
    <w:p w:rsidR="000F300D" w:rsidRPr="00AE31AA" w:rsidRDefault="000F300D" w:rsidP="000F300D">
      <w:pPr>
        <w:widowControl w:val="0"/>
        <w:tabs>
          <w:tab w:val="left" w:pos="1276"/>
        </w:tabs>
        <w:spacing w:before="120" w:after="120" w:line="300" w:lineRule="exact"/>
        <w:rPr>
          <w:rFonts w:ascii="Calibri" w:hAnsi="Calibri"/>
          <w:i/>
        </w:rPr>
      </w:pPr>
      <w:r w:rsidRPr="00AE31AA">
        <w:rPr>
          <w:rFonts w:ascii="Calibri" w:hAnsi="Calibri"/>
          <w:i/>
        </w:rPr>
        <w:t>Fees determination</w:t>
      </w:r>
    </w:p>
    <w:p w:rsidR="000F300D" w:rsidRPr="00842199" w:rsidRDefault="000F300D" w:rsidP="000F300D">
      <w:pPr>
        <w:pStyle w:val="Bodycopy"/>
        <w:spacing w:after="0" w:line="280" w:lineRule="exact"/>
        <w:rPr>
          <w:b/>
        </w:rPr>
      </w:pPr>
      <w:r>
        <w:rPr>
          <w:b/>
        </w:rPr>
        <w:t>Disallowable Instrument</w:t>
      </w:r>
      <w:r w:rsidRPr="00451C85">
        <w:rPr>
          <w:b/>
        </w:rPr>
        <w:t xml:space="preserve"> </w:t>
      </w:r>
      <w:r>
        <w:rPr>
          <w:b/>
        </w:rPr>
        <w:t>DI2020-308</w:t>
      </w:r>
      <w:r w:rsidRPr="00451C85">
        <w:rPr>
          <w:b/>
        </w:rPr>
        <w:t xml:space="preserve"> being the </w:t>
      </w:r>
      <w:r>
        <w:rPr>
          <w:b/>
        </w:rPr>
        <w:t xml:space="preserve">Cemeteries and Crematoria (Fees) Determination 2020 (No 1) made under subsection 128 of </w:t>
      </w:r>
      <w:bookmarkStart w:id="511" w:name="_Hlk68621838"/>
      <w:r>
        <w:rPr>
          <w:b/>
        </w:rPr>
        <w:t xml:space="preserve">the </w:t>
      </w:r>
      <w:r>
        <w:rPr>
          <w:i/>
        </w:rPr>
        <w:t>Cemeteries and Crematoria Act 2020</w:t>
      </w:r>
      <w:r w:rsidRPr="00236BDD">
        <w:rPr>
          <w:b/>
        </w:rPr>
        <w:t xml:space="preserve"> </w:t>
      </w:r>
      <w:bookmarkEnd w:id="511"/>
      <w:r>
        <w:rPr>
          <w:b/>
        </w:rPr>
        <w:t xml:space="preserve">revokes DI2020-243 and determines fees payable for the purposes of the Act. </w:t>
      </w:r>
    </w:p>
    <w:p w:rsidR="000F300D" w:rsidRDefault="000F300D" w:rsidP="00E24AB4">
      <w:pPr>
        <w:keepLines/>
        <w:widowControl w:val="0"/>
        <w:tabs>
          <w:tab w:val="left" w:pos="1276"/>
        </w:tabs>
        <w:spacing w:before="120" w:after="120" w:line="300" w:lineRule="exact"/>
        <w:rPr>
          <w:rFonts w:ascii="Calibri" w:eastAsia="Calibri" w:hAnsi="Calibri" w:cs="Calibri"/>
        </w:rPr>
      </w:pPr>
      <w:r>
        <w:rPr>
          <w:rFonts w:ascii="Calibri" w:hAnsi="Calibri"/>
          <w:iCs/>
        </w:rPr>
        <w:t>This instrument determines fees for the</w:t>
      </w:r>
      <w:r w:rsidRPr="00AE31AA">
        <w:rPr>
          <w:rFonts w:ascii="Calibri" w:hAnsi="Calibri"/>
          <w:iCs/>
        </w:rPr>
        <w:t xml:space="preserve"> </w:t>
      </w:r>
      <w:r w:rsidRPr="00AE31AA">
        <w:rPr>
          <w:rFonts w:ascii="Calibri" w:hAnsi="Calibri"/>
          <w:i/>
        </w:rPr>
        <w:t>Cemeteries and Crematoria Act 2020</w:t>
      </w:r>
      <w:r w:rsidR="008E3AFB">
        <w:rPr>
          <w:rFonts w:ascii="Calibri" w:hAnsi="Calibri"/>
          <w:iCs/>
        </w:rPr>
        <w:t xml:space="preserve">. </w:t>
      </w:r>
      <w:r>
        <w:rPr>
          <w:rFonts w:ascii="Calibri" w:hAnsi="Calibri"/>
          <w:iCs/>
        </w:rPr>
        <w:t>The Committee notes that it has consistently required certain things of fees determinations</w:t>
      </w:r>
      <w:bookmarkStart w:id="512" w:name="_Hlk68624682"/>
      <w:r w:rsidR="008E3AFB">
        <w:rPr>
          <w:rFonts w:ascii="Calibri" w:hAnsi="Calibri"/>
          <w:iCs/>
        </w:rPr>
        <w:t xml:space="preserve">. </w:t>
      </w:r>
      <w:r w:rsidRPr="0003767D">
        <w:rPr>
          <w:rFonts w:ascii="Calibri" w:eastAsia="Calibri" w:hAnsi="Calibri" w:cs="Calibri"/>
        </w:rPr>
        <w:t xml:space="preserve">In its document titled </w:t>
      </w:r>
      <w:hyperlink r:id="rId24" w:history="1">
        <w:r w:rsidRPr="0003767D">
          <w:rPr>
            <w:rStyle w:val="Hyperlink"/>
            <w:rFonts w:ascii="Calibri" w:eastAsia="Calibri" w:hAnsi="Calibri" w:cs="Calibri"/>
            <w:i/>
          </w:rPr>
          <w:t>Subordinate legislation—Technical and stylistic standards—Tips/Traps</w:t>
        </w:r>
      </w:hyperlink>
      <w:r w:rsidRPr="0003767D">
        <w:rPr>
          <w:rFonts w:ascii="Calibri" w:eastAsia="Calibri" w:hAnsi="Calibri" w:cs="Calibri"/>
          <w:color w:val="000000"/>
        </w:rPr>
        <w:t>,</w:t>
      </w:r>
      <w:r w:rsidRPr="0003767D">
        <w:rPr>
          <w:rFonts w:ascii="Calibri" w:eastAsia="Calibri" w:hAnsi="Calibri" w:cs="Calibri"/>
          <w:vertAlign w:val="superscript"/>
        </w:rPr>
        <w:footnoteReference w:id="1"/>
      </w:r>
      <w:r w:rsidRPr="0003767D">
        <w:rPr>
          <w:rFonts w:ascii="Calibri" w:eastAsia="Calibri" w:hAnsi="Calibri" w:cs="Calibri"/>
        </w:rPr>
        <w:t xml:space="preserve"> the Committee stated:</w:t>
      </w:r>
      <w:bookmarkEnd w:id="512"/>
    </w:p>
    <w:p w:rsidR="000F300D" w:rsidRPr="00AE31AA" w:rsidRDefault="000F300D" w:rsidP="000F300D">
      <w:pPr>
        <w:widowControl w:val="0"/>
        <w:tabs>
          <w:tab w:val="left" w:pos="1276"/>
        </w:tabs>
        <w:spacing w:before="120" w:after="120" w:line="300" w:lineRule="exact"/>
        <w:ind w:left="720"/>
        <w:rPr>
          <w:rFonts w:ascii="Calibri" w:eastAsia="Calibri" w:hAnsi="Calibri" w:cs="Calibri"/>
          <w:b/>
          <w:bCs/>
        </w:rPr>
      </w:pPr>
      <w:r w:rsidRPr="00AE31AA">
        <w:rPr>
          <w:rFonts w:ascii="Calibri" w:eastAsia="Calibri" w:hAnsi="Calibri" w:cs="Calibri"/>
          <w:b/>
          <w:bCs/>
        </w:rPr>
        <w:t>FEES DETERMINATIONS</w:t>
      </w:r>
    </w:p>
    <w:p w:rsidR="000F300D" w:rsidRPr="00AE31AA" w:rsidRDefault="000F300D" w:rsidP="000F300D">
      <w:pPr>
        <w:widowControl w:val="0"/>
        <w:tabs>
          <w:tab w:val="left" w:pos="1276"/>
        </w:tabs>
        <w:spacing w:before="120" w:after="120" w:line="300" w:lineRule="exact"/>
        <w:ind w:left="720"/>
        <w:rPr>
          <w:rFonts w:ascii="Calibri" w:eastAsia="Calibri" w:hAnsi="Calibri" w:cs="Calibri"/>
        </w:rPr>
      </w:pPr>
      <w:r w:rsidRPr="00AE31AA">
        <w:rPr>
          <w:rFonts w:ascii="Calibri" w:eastAsia="Calibri" w:hAnsi="Calibri" w:cs="Calibri"/>
        </w:rPr>
        <w:t>The Committee prefers that instruments that determine fees indicate (either in the instrument itself or in the Explanatory Statement) the amount of the “old” fee, the amount of the new fee, any percentage increase and also the reason for any increase (</w:t>
      </w:r>
      <w:proofErr w:type="spellStart"/>
      <w:r w:rsidRPr="00AE31AA">
        <w:rPr>
          <w:rFonts w:ascii="Calibri" w:eastAsia="Calibri" w:hAnsi="Calibri" w:cs="Calibri"/>
        </w:rPr>
        <w:t>eg</w:t>
      </w:r>
      <w:proofErr w:type="spellEnd"/>
      <w:r w:rsidRPr="00AE31AA">
        <w:rPr>
          <w:rFonts w:ascii="Calibri" w:eastAsia="Calibri" w:hAnsi="Calibri" w:cs="Calibri"/>
        </w:rPr>
        <w:t xml:space="preserve"> an adjustment based on the CPI).  Given the importance of fees to the administration of the ACT, it assists the Committee (and the Legislative Assembly) if fees determinations expressly identify the magnitude of any fees increases.</w:t>
      </w:r>
    </w:p>
    <w:p w:rsidR="000F300D" w:rsidRPr="00AE31AA" w:rsidRDefault="000F300D" w:rsidP="000F300D">
      <w:pPr>
        <w:widowControl w:val="0"/>
        <w:tabs>
          <w:tab w:val="left" w:pos="1276"/>
        </w:tabs>
        <w:spacing w:before="120" w:after="120" w:line="300" w:lineRule="exact"/>
        <w:ind w:left="720"/>
        <w:rPr>
          <w:rFonts w:ascii="Calibri" w:eastAsia="Calibri" w:hAnsi="Calibri" w:cs="Calibri"/>
        </w:rPr>
      </w:pPr>
      <w:r w:rsidRPr="00AE31AA">
        <w:rPr>
          <w:rFonts w:ascii="Calibri" w:eastAsia="Calibri" w:hAnsi="Calibri" w:cs="Calibri"/>
        </w:rPr>
        <w:t>The Committee also prefers that fees determinations expressly address the mandatory requirements of subsection 56(5) of the Legislation Act 2001, which provides that a fees determination must provide:</w:t>
      </w:r>
    </w:p>
    <w:p w:rsidR="000F300D" w:rsidRPr="00AE31AA" w:rsidRDefault="000F300D" w:rsidP="000F300D">
      <w:pPr>
        <w:widowControl w:val="0"/>
        <w:tabs>
          <w:tab w:val="left" w:pos="1276"/>
        </w:tabs>
        <w:spacing w:before="120" w:after="120" w:line="300" w:lineRule="exact"/>
        <w:ind w:left="720"/>
        <w:rPr>
          <w:rFonts w:ascii="Calibri" w:eastAsia="Calibri" w:hAnsi="Calibri" w:cs="Calibri"/>
        </w:rPr>
      </w:pPr>
      <w:r w:rsidRPr="00AE31AA">
        <w:rPr>
          <w:rFonts w:ascii="Calibri" w:eastAsia="Calibri" w:hAnsi="Calibri" w:cs="Calibri"/>
        </w:rPr>
        <w:t>•</w:t>
      </w:r>
      <w:r w:rsidRPr="00AE31AA">
        <w:rPr>
          <w:rFonts w:ascii="Calibri" w:eastAsia="Calibri" w:hAnsi="Calibri" w:cs="Calibri"/>
        </w:rPr>
        <w:tab/>
      </w:r>
      <w:proofErr w:type="gramStart"/>
      <w:r w:rsidRPr="00AE31AA">
        <w:rPr>
          <w:rFonts w:ascii="Calibri" w:eastAsia="Calibri" w:hAnsi="Calibri" w:cs="Calibri"/>
        </w:rPr>
        <w:t>by</w:t>
      </w:r>
      <w:proofErr w:type="gramEnd"/>
      <w:r w:rsidRPr="00AE31AA">
        <w:rPr>
          <w:rFonts w:ascii="Calibri" w:eastAsia="Calibri" w:hAnsi="Calibri" w:cs="Calibri"/>
        </w:rPr>
        <w:t xml:space="preserve"> whom the fee is payable; and</w:t>
      </w:r>
    </w:p>
    <w:p w:rsidR="000F300D" w:rsidRDefault="000F300D" w:rsidP="000F300D">
      <w:pPr>
        <w:widowControl w:val="0"/>
        <w:tabs>
          <w:tab w:val="left" w:pos="1276"/>
        </w:tabs>
        <w:spacing w:before="120" w:after="120" w:line="300" w:lineRule="exact"/>
        <w:ind w:left="720"/>
        <w:rPr>
          <w:rFonts w:ascii="Calibri" w:eastAsia="Calibri" w:hAnsi="Calibri" w:cs="Calibri"/>
        </w:rPr>
      </w:pPr>
      <w:r w:rsidRPr="00AE31AA">
        <w:rPr>
          <w:rFonts w:ascii="Calibri" w:eastAsia="Calibri" w:hAnsi="Calibri" w:cs="Calibri"/>
        </w:rPr>
        <w:t>•</w:t>
      </w:r>
      <w:r w:rsidRPr="00AE31AA">
        <w:rPr>
          <w:rFonts w:ascii="Calibri" w:eastAsia="Calibri" w:hAnsi="Calibri" w:cs="Calibri"/>
        </w:rPr>
        <w:tab/>
      </w:r>
      <w:proofErr w:type="gramStart"/>
      <w:r w:rsidRPr="00AE31AA">
        <w:rPr>
          <w:rFonts w:ascii="Calibri" w:eastAsia="Calibri" w:hAnsi="Calibri" w:cs="Calibri"/>
        </w:rPr>
        <w:t>to</w:t>
      </w:r>
      <w:proofErr w:type="gramEnd"/>
      <w:r w:rsidRPr="00AE31AA">
        <w:rPr>
          <w:rFonts w:ascii="Calibri" w:eastAsia="Calibri" w:hAnsi="Calibri" w:cs="Calibri"/>
        </w:rPr>
        <w:t xml:space="preserve"> whom the fee is to be paid</w:t>
      </w:r>
    </w:p>
    <w:p w:rsidR="000F300D" w:rsidRDefault="000F300D" w:rsidP="000F300D">
      <w:pPr>
        <w:widowControl w:val="0"/>
        <w:tabs>
          <w:tab w:val="left" w:pos="1276"/>
        </w:tabs>
        <w:spacing w:before="120" w:after="120" w:line="300" w:lineRule="exact"/>
        <w:rPr>
          <w:rFonts w:ascii="Calibri" w:hAnsi="Calibri"/>
          <w:iCs/>
        </w:rPr>
      </w:pPr>
      <w:r>
        <w:rPr>
          <w:rFonts w:ascii="Calibri" w:hAnsi="Calibri"/>
          <w:iCs/>
        </w:rPr>
        <w:t>The Committee notes, with approval, that the instrument itself identi</w:t>
      </w:r>
      <w:r w:rsidR="008E3AFB">
        <w:rPr>
          <w:rFonts w:ascii="Calibri" w:hAnsi="Calibri"/>
          <w:iCs/>
        </w:rPr>
        <w:t xml:space="preserve">fies the “old” and “new” fees. </w:t>
      </w:r>
      <w:r>
        <w:rPr>
          <w:rFonts w:ascii="Calibri" w:hAnsi="Calibri"/>
          <w:iCs/>
        </w:rPr>
        <w:t>Further, the Committee notes that explanatory statement for the instrument states:</w:t>
      </w:r>
    </w:p>
    <w:p w:rsidR="000F300D" w:rsidRPr="006C2C69" w:rsidRDefault="000F300D" w:rsidP="000F300D">
      <w:pPr>
        <w:pStyle w:val="LongTitle"/>
        <w:spacing w:before="0" w:after="0"/>
        <w:ind w:left="720"/>
        <w:jc w:val="left"/>
        <w:rPr>
          <w:rFonts w:ascii="Calibri" w:hAnsi="Calibri" w:cs="Calibri"/>
          <w:sz w:val="22"/>
          <w:szCs w:val="22"/>
        </w:rPr>
      </w:pPr>
      <w:r w:rsidRPr="006C2C69">
        <w:rPr>
          <w:rFonts w:ascii="Calibri" w:hAnsi="Calibri" w:cs="Calibri"/>
          <w:sz w:val="22"/>
          <w:szCs w:val="22"/>
        </w:rPr>
        <w:t>The determination increases fees by approximately 8.0% for the majority of services provided, this is to phase fee increases which were recommended in a report commissioned by the Regulator of the Act to ensure there is adequate funding in the Perpetual Care Trust Reserve to meet the requirements of the Act. Fees for ancillary services, including plaques, will increase by 2.0% WPI. All fees are rounded for cash handling purposes.</w:t>
      </w:r>
    </w:p>
    <w:p w:rsidR="000F300D" w:rsidRPr="006C2C69" w:rsidRDefault="000F300D" w:rsidP="000F300D">
      <w:pPr>
        <w:widowControl w:val="0"/>
        <w:tabs>
          <w:tab w:val="left" w:pos="1276"/>
        </w:tabs>
        <w:spacing w:before="120" w:after="120" w:line="300" w:lineRule="exact"/>
        <w:rPr>
          <w:rFonts w:ascii="Calibri" w:hAnsi="Calibri" w:cs="Calibri"/>
          <w:b/>
          <w:bCs/>
          <w:iCs/>
        </w:rPr>
      </w:pPr>
      <w:r w:rsidRPr="006C2C69">
        <w:rPr>
          <w:rFonts w:ascii="Calibri" w:hAnsi="Calibri" w:cs="Calibri"/>
          <w:b/>
          <w:bCs/>
          <w:iCs/>
        </w:rPr>
        <w:t>This comment does not require a response from the Minister.</w:t>
      </w:r>
    </w:p>
    <w:p w:rsidR="000F300D" w:rsidRPr="006C2C69" w:rsidRDefault="000F300D" w:rsidP="000F300D">
      <w:pPr>
        <w:widowControl w:val="0"/>
        <w:tabs>
          <w:tab w:val="left" w:pos="1276"/>
        </w:tabs>
        <w:spacing w:before="120" w:after="120" w:line="300" w:lineRule="exact"/>
        <w:rPr>
          <w:rFonts w:ascii="Calibri" w:hAnsi="Calibri" w:cs="Calibri"/>
          <w:i/>
        </w:rPr>
      </w:pPr>
      <w:r w:rsidRPr="006C2C69">
        <w:rPr>
          <w:rFonts w:ascii="Calibri" w:hAnsi="Calibri" w:cs="Calibri"/>
          <w:i/>
        </w:rPr>
        <w:t>Human rights issues</w:t>
      </w:r>
    </w:p>
    <w:p w:rsidR="000F300D" w:rsidRPr="00842199" w:rsidRDefault="000F300D" w:rsidP="000F300D">
      <w:pPr>
        <w:pStyle w:val="Bodycopy"/>
        <w:spacing w:after="0" w:line="280" w:lineRule="exact"/>
        <w:rPr>
          <w:b/>
        </w:rPr>
      </w:pPr>
      <w:r>
        <w:rPr>
          <w:b/>
        </w:rPr>
        <w:t>Disallowable Instrument</w:t>
      </w:r>
      <w:r w:rsidRPr="00451C85">
        <w:rPr>
          <w:b/>
        </w:rPr>
        <w:t xml:space="preserve"> </w:t>
      </w:r>
      <w:r>
        <w:rPr>
          <w:b/>
        </w:rPr>
        <w:t>DI2021-4</w:t>
      </w:r>
      <w:r w:rsidRPr="00451C85">
        <w:rPr>
          <w:b/>
        </w:rPr>
        <w:t xml:space="preserve"> being the </w:t>
      </w:r>
      <w:r>
        <w:rPr>
          <w:b/>
        </w:rPr>
        <w:t xml:space="preserve">Working with Vulnerable People (Background Checking) Risk Assessment Guidelines 2021 (No 1) made under section 27 of the </w:t>
      </w:r>
      <w:bookmarkStart w:id="513" w:name="_Hlk68670792"/>
      <w:r>
        <w:rPr>
          <w:i/>
        </w:rPr>
        <w:t>Working with Vulnerable People (Background Checking) Act 2011</w:t>
      </w:r>
      <w:r w:rsidRPr="00236BDD">
        <w:rPr>
          <w:b/>
        </w:rPr>
        <w:t xml:space="preserve"> </w:t>
      </w:r>
      <w:bookmarkEnd w:id="513"/>
      <w:r>
        <w:rPr>
          <w:b/>
        </w:rPr>
        <w:t xml:space="preserve">repeals DI2018-223 and makes the Working with Vulnerable People Commissioner's Risk Assessment Guidelines. </w:t>
      </w:r>
    </w:p>
    <w:p w:rsidR="000F300D" w:rsidRDefault="000F300D" w:rsidP="000F300D">
      <w:pPr>
        <w:widowControl w:val="0"/>
        <w:tabs>
          <w:tab w:val="left" w:pos="1276"/>
        </w:tabs>
        <w:spacing w:before="120" w:after="120" w:line="300" w:lineRule="exact"/>
        <w:rPr>
          <w:rFonts w:ascii="Calibri" w:hAnsi="Calibri" w:cs="Calibri"/>
          <w:iCs/>
        </w:rPr>
      </w:pPr>
      <w:r w:rsidRPr="006C2C69">
        <w:rPr>
          <w:rFonts w:ascii="Calibri" w:hAnsi="Calibri" w:cs="Calibri"/>
          <w:iCs/>
        </w:rPr>
        <w:t xml:space="preserve">This instrument makes “risk assessment guidelines”, under section 27 of the </w:t>
      </w:r>
      <w:r w:rsidRPr="00077D40">
        <w:rPr>
          <w:rFonts w:ascii="Calibri" w:hAnsi="Calibri" w:cs="Calibri"/>
          <w:i/>
        </w:rPr>
        <w:t>Working with Vulnerable People (Background Checking) Act 2011</w:t>
      </w:r>
      <w:r w:rsidR="00F200B0">
        <w:rPr>
          <w:rFonts w:ascii="Calibri" w:hAnsi="Calibri" w:cs="Calibri"/>
          <w:iCs/>
        </w:rPr>
        <w:t xml:space="preserve">. </w:t>
      </w:r>
      <w:r>
        <w:rPr>
          <w:rFonts w:ascii="Calibri" w:hAnsi="Calibri" w:cs="Calibri"/>
          <w:iCs/>
        </w:rPr>
        <w:t>The instrument revokes and re-makes an earlier set of risk assessment guidelines (</w:t>
      </w:r>
      <w:proofErr w:type="spellStart"/>
      <w:r>
        <w:rPr>
          <w:rFonts w:ascii="Calibri" w:hAnsi="Calibri" w:cs="Calibri"/>
          <w:iCs/>
        </w:rPr>
        <w:t>ie</w:t>
      </w:r>
      <w:proofErr w:type="spellEnd"/>
      <w:r>
        <w:rPr>
          <w:rFonts w:ascii="Calibri" w:hAnsi="Calibri" w:cs="Calibri"/>
          <w:iCs/>
        </w:rPr>
        <w:t xml:space="preserve"> DI2018-223</w:t>
      </w:r>
      <w:r w:rsidR="00F200B0">
        <w:rPr>
          <w:rFonts w:ascii="Calibri" w:hAnsi="Calibri" w:cs="Calibri"/>
          <w:iCs/>
        </w:rPr>
        <w:t>).</w:t>
      </w:r>
      <w:r>
        <w:rPr>
          <w:rFonts w:ascii="Calibri" w:hAnsi="Calibri" w:cs="Calibri"/>
          <w:iCs/>
        </w:rPr>
        <w:t xml:space="preserve"> The explanatory statement for the instrument indicates that the revised guidelines reflect amendments to the </w:t>
      </w:r>
      <w:r w:rsidRPr="00077D40">
        <w:rPr>
          <w:rFonts w:ascii="Calibri" w:hAnsi="Calibri" w:cs="Calibri"/>
          <w:iCs/>
        </w:rPr>
        <w:t xml:space="preserve">Working with Vulnerable People (Background Checking) Act </w:t>
      </w:r>
      <w:r>
        <w:rPr>
          <w:rFonts w:ascii="Calibri" w:hAnsi="Calibri" w:cs="Calibri"/>
          <w:iCs/>
        </w:rPr>
        <w:t xml:space="preserve">made in </w:t>
      </w:r>
      <w:r w:rsidRPr="00077D40">
        <w:rPr>
          <w:rFonts w:ascii="Calibri" w:hAnsi="Calibri" w:cs="Calibri"/>
          <w:iCs/>
        </w:rPr>
        <w:t xml:space="preserve">2019 and in 2020 </w:t>
      </w:r>
      <w:r>
        <w:rPr>
          <w:rFonts w:ascii="Calibri" w:hAnsi="Calibri" w:cs="Calibri"/>
          <w:iCs/>
        </w:rPr>
        <w:t xml:space="preserve">that </w:t>
      </w:r>
      <w:r w:rsidRPr="00077D40">
        <w:rPr>
          <w:rFonts w:ascii="Calibri" w:hAnsi="Calibri" w:cs="Calibri"/>
          <w:iCs/>
        </w:rPr>
        <w:t>commenc</w:t>
      </w:r>
      <w:r>
        <w:rPr>
          <w:rFonts w:ascii="Calibri" w:hAnsi="Calibri" w:cs="Calibri"/>
          <w:iCs/>
        </w:rPr>
        <w:t>ed</w:t>
      </w:r>
      <w:r w:rsidRPr="00077D40">
        <w:rPr>
          <w:rFonts w:ascii="Calibri" w:hAnsi="Calibri" w:cs="Calibri"/>
          <w:iCs/>
        </w:rPr>
        <w:t xml:space="preserve"> on 1 February 2021.</w:t>
      </w:r>
      <w:r w:rsidR="008E3AFB">
        <w:rPr>
          <w:rFonts w:ascii="Calibri" w:hAnsi="Calibri" w:cs="Calibri"/>
          <w:iCs/>
        </w:rPr>
        <w:t xml:space="preserve"> </w:t>
      </w:r>
      <w:r>
        <w:rPr>
          <w:rFonts w:ascii="Calibri" w:hAnsi="Calibri" w:cs="Calibri"/>
          <w:iCs/>
        </w:rPr>
        <w:t>The Committee notes that the revised guidelines were made on 12 January 2021 and their commencement is tied to the commencement of amendments to the Act.</w:t>
      </w:r>
    </w:p>
    <w:p w:rsidR="000F300D" w:rsidRPr="006C2C69" w:rsidRDefault="000F300D" w:rsidP="00135A08">
      <w:pPr>
        <w:keepNext/>
        <w:keepLines/>
        <w:widowControl w:val="0"/>
        <w:tabs>
          <w:tab w:val="left" w:pos="1276"/>
        </w:tabs>
        <w:spacing w:before="120" w:after="120" w:line="300" w:lineRule="exact"/>
        <w:rPr>
          <w:rFonts w:ascii="Calibri" w:hAnsi="Calibri" w:cs="Calibri"/>
          <w:iCs/>
        </w:rPr>
      </w:pPr>
      <w:r w:rsidRPr="006C2C69">
        <w:rPr>
          <w:rFonts w:ascii="Calibri" w:hAnsi="Calibri" w:cs="Calibri"/>
          <w:iCs/>
        </w:rPr>
        <w:t>The Preamble to the guidelines made by this instrument offers the following background information:</w:t>
      </w:r>
    </w:p>
    <w:p w:rsidR="000F300D" w:rsidRPr="00077D40" w:rsidRDefault="000F300D" w:rsidP="000F300D">
      <w:pPr>
        <w:autoSpaceDE w:val="0"/>
        <w:autoSpaceDN w:val="0"/>
        <w:adjustRightInd w:val="0"/>
        <w:spacing w:after="160" w:line="259" w:lineRule="auto"/>
        <w:ind w:left="720"/>
        <w:rPr>
          <w:rFonts w:ascii="Calibri" w:eastAsia="Calibri" w:hAnsi="Calibri"/>
        </w:rPr>
      </w:pPr>
      <w:r w:rsidRPr="00077D40">
        <w:rPr>
          <w:rFonts w:ascii="Calibri" w:eastAsia="Calibri" w:hAnsi="Calibri" w:cs="Calibri"/>
        </w:rPr>
        <w:t xml:space="preserve">The </w:t>
      </w:r>
      <w:r w:rsidRPr="00077D40">
        <w:rPr>
          <w:rFonts w:ascii="Calibri" w:eastAsia="Calibri" w:hAnsi="Calibri" w:cs="Calibri"/>
          <w:i/>
          <w:iCs/>
        </w:rPr>
        <w:t>Working with Vulnerable People (Background Checking) Act 2011</w:t>
      </w:r>
      <w:r w:rsidRPr="00077D40">
        <w:rPr>
          <w:rFonts w:ascii="Calibri" w:eastAsia="Calibri" w:hAnsi="Calibri" w:cs="Calibri"/>
        </w:rPr>
        <w:t xml:space="preserve"> (the Act), as amended, provides for background checking and registration of people who work with vulnerable people. </w:t>
      </w:r>
    </w:p>
    <w:p w:rsidR="000F300D" w:rsidRPr="00077D40" w:rsidRDefault="000F300D" w:rsidP="000F300D">
      <w:pPr>
        <w:spacing w:after="160" w:line="259" w:lineRule="auto"/>
        <w:ind w:left="720"/>
        <w:rPr>
          <w:rFonts w:ascii="Calibri" w:eastAsia="Calibri" w:hAnsi="Calibri"/>
        </w:rPr>
      </w:pPr>
      <w:r w:rsidRPr="00077D40">
        <w:rPr>
          <w:rFonts w:ascii="Calibri" w:eastAsia="Calibri" w:hAnsi="Calibri"/>
        </w:rPr>
        <w:t xml:space="preserve">The intent of the Working with Vulnerable People (WWVP) scheme is to protect vulnerable people from harm. The intent is </w:t>
      </w:r>
      <w:r w:rsidRPr="00077D40">
        <w:rPr>
          <w:rFonts w:ascii="Calibri" w:eastAsia="Calibri" w:hAnsi="Calibri"/>
          <w:u w:val="single"/>
        </w:rPr>
        <w:t>not</w:t>
      </w:r>
      <w:r w:rsidRPr="00077D40">
        <w:rPr>
          <w:rFonts w:ascii="Calibri" w:eastAsia="Calibri" w:hAnsi="Calibri"/>
        </w:rPr>
        <w:t xml:space="preserve"> to ensure that all individuals can engage in an activity of their choice, particularly if they are assessed as posing an unacceptable risk of harm to a vulnerable person. </w:t>
      </w:r>
    </w:p>
    <w:p w:rsidR="000F300D" w:rsidRPr="00077D40" w:rsidRDefault="000F300D" w:rsidP="000F300D">
      <w:pPr>
        <w:spacing w:after="160" w:line="259" w:lineRule="auto"/>
        <w:ind w:left="720"/>
        <w:rPr>
          <w:rFonts w:ascii="Calibri" w:eastAsia="Calibri" w:hAnsi="Calibri"/>
        </w:rPr>
      </w:pPr>
      <w:r w:rsidRPr="00077D40">
        <w:rPr>
          <w:rFonts w:ascii="Calibri" w:eastAsia="Calibri" w:hAnsi="Calibri"/>
        </w:rPr>
        <w:t xml:space="preserve">It is important to note that the nature of some people’s criminal history and other relevant background information, including convictions which may be very old, spent, or quashed, may result in registration, or re-registration, being refused or cancelled. </w:t>
      </w:r>
    </w:p>
    <w:p w:rsidR="000F300D" w:rsidRPr="00077D40" w:rsidRDefault="000F300D" w:rsidP="000F300D">
      <w:pPr>
        <w:spacing w:after="160" w:line="259" w:lineRule="auto"/>
        <w:ind w:left="720"/>
        <w:rPr>
          <w:rFonts w:ascii="Calibri" w:eastAsia="Calibri" w:hAnsi="Calibri"/>
        </w:rPr>
      </w:pPr>
      <w:r w:rsidRPr="00077D40">
        <w:rPr>
          <w:rFonts w:ascii="Calibri" w:eastAsia="Calibri" w:hAnsi="Calibri"/>
        </w:rPr>
        <w:t>Furthermore, the introduction of disqualifying offences through changes to the Act which were passed in 2019 and 2020 will result in some people, including those who may have previously been registered, no longer being able to maintain their existing registration or will result in some people no longer being able to gain registration in order to work or volunteer in certain regulated activities.</w:t>
      </w:r>
    </w:p>
    <w:p w:rsidR="000F300D" w:rsidRPr="006C2C69" w:rsidRDefault="000F300D" w:rsidP="000F300D">
      <w:pPr>
        <w:widowControl w:val="0"/>
        <w:tabs>
          <w:tab w:val="left" w:pos="1276"/>
        </w:tabs>
        <w:spacing w:before="120" w:after="120" w:line="300" w:lineRule="exact"/>
        <w:rPr>
          <w:rFonts w:ascii="Calibri" w:hAnsi="Calibri" w:cs="Calibri"/>
          <w:iCs/>
        </w:rPr>
      </w:pPr>
      <w:r w:rsidRPr="006C2C69">
        <w:rPr>
          <w:rFonts w:ascii="Calibri" w:hAnsi="Calibri" w:cs="Calibri"/>
          <w:iCs/>
        </w:rPr>
        <w:t>The Preamble goes on to state:</w:t>
      </w:r>
    </w:p>
    <w:p w:rsidR="000F300D" w:rsidRPr="00077D40" w:rsidRDefault="000F300D" w:rsidP="000F300D">
      <w:pPr>
        <w:autoSpaceDE w:val="0"/>
        <w:autoSpaceDN w:val="0"/>
        <w:adjustRightInd w:val="0"/>
        <w:spacing w:after="160" w:line="259" w:lineRule="auto"/>
        <w:ind w:left="720"/>
        <w:rPr>
          <w:rFonts w:ascii="Calibri" w:eastAsia="Calibri" w:hAnsi="Calibri" w:cs="Calibri"/>
        </w:rPr>
      </w:pPr>
      <w:r w:rsidRPr="00077D40">
        <w:rPr>
          <w:rFonts w:ascii="Calibri" w:eastAsia="Calibri" w:hAnsi="Calibri" w:cs="Calibri"/>
        </w:rPr>
        <w:t xml:space="preserve">A risk assessment of a person seeking registration is conducted wherever there is criminal history or other information about offences or conduct which indicate the person may pose a risk of harm to vulnerable people. </w:t>
      </w:r>
    </w:p>
    <w:p w:rsidR="000F300D" w:rsidRPr="00077D40" w:rsidRDefault="000F300D" w:rsidP="000F300D">
      <w:pPr>
        <w:autoSpaceDE w:val="0"/>
        <w:autoSpaceDN w:val="0"/>
        <w:adjustRightInd w:val="0"/>
        <w:spacing w:after="160" w:line="259" w:lineRule="auto"/>
        <w:ind w:left="720"/>
        <w:rPr>
          <w:rFonts w:ascii="Calibri" w:eastAsia="Calibri" w:hAnsi="Calibri" w:cs="Calibri"/>
        </w:rPr>
      </w:pPr>
      <w:r w:rsidRPr="00077D40">
        <w:rPr>
          <w:rFonts w:ascii="Calibri" w:eastAsia="Calibri" w:hAnsi="Calibri" w:cs="Calibri"/>
        </w:rPr>
        <w:t xml:space="preserve">The Act provides that the process of how such information is to be considered is to be outlined in “Risk Assessment Guidelines” (the Guidelines) which are made </w:t>
      </w:r>
      <w:r w:rsidRPr="00077D40">
        <w:rPr>
          <w:rFonts w:ascii="Calibri" w:eastAsia="Calibri" w:hAnsi="Calibri"/>
        </w:rPr>
        <w:t>under section 27 of the Act.</w:t>
      </w:r>
      <w:r w:rsidRPr="00077D40">
        <w:rPr>
          <w:rFonts w:ascii="Calibri" w:eastAsia="Calibri" w:hAnsi="Calibri" w:cs="Calibri"/>
        </w:rPr>
        <w:t xml:space="preserve">  </w:t>
      </w:r>
    </w:p>
    <w:p w:rsidR="000F300D" w:rsidRDefault="000F300D" w:rsidP="000F300D">
      <w:pPr>
        <w:widowControl w:val="0"/>
        <w:tabs>
          <w:tab w:val="left" w:pos="1276"/>
        </w:tabs>
        <w:spacing w:before="120" w:after="120" w:line="300" w:lineRule="exact"/>
        <w:rPr>
          <w:rFonts w:ascii="Calibri" w:hAnsi="Calibri" w:cs="Calibri"/>
          <w:iCs/>
        </w:rPr>
      </w:pPr>
      <w:r w:rsidRPr="006C2C69">
        <w:rPr>
          <w:rFonts w:ascii="Calibri" w:hAnsi="Calibri" w:cs="Calibri"/>
          <w:iCs/>
        </w:rPr>
        <w:t>It is evident that the subject matter of the guidelines has a human rights element, in terms of both the vulnerable persons who are intended to be protected and in terms of persons seeking to be registered to work with vulnerabl</w:t>
      </w:r>
      <w:r w:rsidR="002864F4">
        <w:rPr>
          <w:rFonts w:ascii="Calibri" w:hAnsi="Calibri" w:cs="Calibri"/>
          <w:iCs/>
        </w:rPr>
        <w:t xml:space="preserve">e people. </w:t>
      </w:r>
      <w:r w:rsidRPr="006C2C69">
        <w:rPr>
          <w:rFonts w:ascii="Calibri" w:hAnsi="Calibri" w:cs="Calibri"/>
          <w:iCs/>
        </w:rPr>
        <w:t xml:space="preserve">This is reflected in pages 5 and 6 of the instrument, which refer to the </w:t>
      </w:r>
      <w:r w:rsidRPr="006C2C69">
        <w:rPr>
          <w:rFonts w:ascii="Calibri" w:hAnsi="Calibri" w:cs="Calibri"/>
          <w:i/>
        </w:rPr>
        <w:t>Human Rights Act 2004</w:t>
      </w:r>
      <w:r w:rsidRPr="006C2C69">
        <w:rPr>
          <w:rFonts w:ascii="Calibri" w:hAnsi="Calibri" w:cs="Calibri"/>
          <w:iCs/>
        </w:rPr>
        <w:t xml:space="preserve"> and, in particular, refer to the human rights assessments provided in relation to the 2019 and 2020 amendments to the </w:t>
      </w:r>
      <w:r w:rsidRPr="00077D40">
        <w:rPr>
          <w:rFonts w:ascii="Calibri" w:hAnsi="Calibri" w:cs="Calibri"/>
          <w:iCs/>
        </w:rPr>
        <w:t>Working with Vulnerable People (Background Checking) Act</w:t>
      </w:r>
      <w:r w:rsidR="008E3AFB">
        <w:rPr>
          <w:rFonts w:ascii="Calibri" w:hAnsi="Calibri" w:cs="Calibri"/>
          <w:iCs/>
        </w:rPr>
        <w:t xml:space="preserve">. </w:t>
      </w:r>
      <w:r>
        <w:rPr>
          <w:rFonts w:ascii="Calibri" w:hAnsi="Calibri" w:cs="Calibri"/>
          <w:iCs/>
        </w:rPr>
        <w:t>This discussion is also reflected in the explanatory statement for the instrument, which states:</w:t>
      </w:r>
    </w:p>
    <w:p w:rsidR="000F300D" w:rsidRPr="006C2C69" w:rsidRDefault="000F300D" w:rsidP="000F300D">
      <w:pPr>
        <w:spacing w:before="120" w:after="120"/>
        <w:ind w:left="720"/>
        <w:rPr>
          <w:rFonts w:ascii="Calibri" w:hAnsi="Calibri" w:cs="Calibri"/>
          <w:i/>
          <w:iCs/>
        </w:rPr>
      </w:pPr>
      <w:r w:rsidRPr="006C2C69">
        <w:rPr>
          <w:rFonts w:ascii="Calibri" w:hAnsi="Calibri" w:cs="Calibri"/>
        </w:rPr>
        <w:t>The human rights compatibility statements of both the 2019 and 2020 amendments to the Act acknowledge that the changes will impact on a small number of registrants and future applicants under the scheme. The compatibility statements for the 2019 changes to the Act noted that the amendments “</w:t>
      </w:r>
      <w:r w:rsidRPr="006C2C69">
        <w:rPr>
          <w:rFonts w:ascii="Calibri" w:hAnsi="Calibri" w:cs="Calibri"/>
          <w:i/>
          <w:iCs/>
        </w:rPr>
        <w:t>will impact on the human rights of a small number of registrants under the Working with Vulnerable People Scheme…</w:t>
      </w:r>
      <w:r w:rsidRPr="006C2C69">
        <w:rPr>
          <w:rFonts w:ascii="Calibri" w:hAnsi="Calibri" w:cs="Calibri"/>
        </w:rPr>
        <w:t>” That statement also notes that the changes to the Act “…</w:t>
      </w:r>
      <w:r w:rsidRPr="006C2C69">
        <w:rPr>
          <w:rFonts w:ascii="Calibri" w:hAnsi="Calibri" w:cs="Calibri"/>
          <w:i/>
        </w:rPr>
        <w:t>seeks</w:t>
      </w:r>
      <w:r w:rsidRPr="006C2C69">
        <w:rPr>
          <w:rFonts w:ascii="Calibri" w:hAnsi="Calibri" w:cs="Calibri"/>
          <w:i/>
          <w:iCs/>
        </w:rPr>
        <w:t xml:space="preserve"> to protect the rights and dignity of vulnerable people by limiting their exposure to those who pose a risk to their safety and well-being”</w:t>
      </w:r>
      <w:r w:rsidRPr="006C2C69">
        <w:rPr>
          <w:rFonts w:ascii="Calibri" w:hAnsi="Calibri" w:cs="Calibri"/>
        </w:rPr>
        <w:t xml:space="preserve"> and concluded that </w:t>
      </w:r>
      <w:r w:rsidRPr="006C2C69">
        <w:rPr>
          <w:rFonts w:ascii="Calibri" w:hAnsi="Calibri" w:cs="Calibri"/>
          <w:i/>
          <w:iCs/>
        </w:rPr>
        <w:t>“For the purpose of background checking, the person’s right to protection from harm was determined to be the prevailing right.”</w:t>
      </w:r>
      <w:r w:rsidRPr="006C2C69">
        <w:rPr>
          <w:rFonts w:ascii="Calibri" w:hAnsi="Calibri" w:cs="Calibri"/>
        </w:rPr>
        <w:t xml:space="preserve"> The human rights compatibility statement of the 2019 amendments to the Act also concluded that “</w:t>
      </w:r>
      <w:r w:rsidRPr="006C2C69">
        <w:rPr>
          <w:rFonts w:ascii="Calibri" w:hAnsi="Calibri" w:cs="Calibri"/>
          <w:i/>
          <w:iCs/>
        </w:rPr>
        <w:t>While the WWVP registration scheme is inherently discriminatory</w:t>
      </w:r>
      <w:r w:rsidRPr="006C2C69">
        <w:rPr>
          <w:rFonts w:ascii="Calibri" w:hAnsi="Calibri" w:cs="Calibri"/>
        </w:rPr>
        <w:t xml:space="preserve"> [toward some applicants or registered persons]</w:t>
      </w:r>
      <w:r w:rsidRPr="006C2C69">
        <w:rPr>
          <w:rFonts w:ascii="Calibri" w:hAnsi="Calibri" w:cs="Calibri"/>
          <w:i/>
          <w:iCs/>
        </w:rPr>
        <w:t xml:space="preserve"> as it draws a distinction between individuals who have been convicted, found guilty of, or charged (or to be charged) with certain offences, the reason for the differential treatment is proportionate to the risk.”</w:t>
      </w:r>
    </w:p>
    <w:p w:rsidR="000F300D" w:rsidRPr="006C2C69" w:rsidRDefault="000F300D" w:rsidP="000F300D">
      <w:pPr>
        <w:spacing w:before="120" w:after="120"/>
        <w:ind w:left="720"/>
        <w:rPr>
          <w:rFonts w:ascii="Calibri" w:hAnsi="Calibri" w:cs="Calibri"/>
        </w:rPr>
      </w:pPr>
      <w:r w:rsidRPr="006C2C69">
        <w:rPr>
          <w:rFonts w:ascii="Calibri" w:hAnsi="Calibri" w:cs="Calibri"/>
        </w:rPr>
        <w:t xml:space="preserve">Additionally, the human rights compatibility statement of the 2020 amendments to the WWVP Act concluded that </w:t>
      </w:r>
      <w:r w:rsidRPr="006C2C69">
        <w:rPr>
          <w:rFonts w:ascii="Calibri" w:hAnsi="Calibri" w:cs="Calibri"/>
          <w:i/>
          <w:iCs/>
        </w:rPr>
        <w:t xml:space="preserve">“the protection of children and other vulnerable people is the paramount consideration and is prioritised over the rights of others involved in the WWVP scheme, including applicants.” </w:t>
      </w:r>
      <w:r w:rsidRPr="006C2C69">
        <w:rPr>
          <w:rFonts w:ascii="Calibri" w:hAnsi="Calibri" w:cs="Calibri"/>
        </w:rPr>
        <w:t>This compatibility statement went on to state that “</w:t>
      </w:r>
      <w:r w:rsidRPr="006C2C69">
        <w:rPr>
          <w:rFonts w:ascii="Calibri" w:hAnsi="Calibri" w:cs="Calibri"/>
          <w:i/>
          <w:iCs/>
        </w:rPr>
        <w:t xml:space="preserve">It is therefore necessary to treat certain people differently to best protect the rights and freedoms of vulnerable people. </w:t>
      </w:r>
      <w:r w:rsidRPr="006C2C69">
        <w:rPr>
          <w:rFonts w:ascii="Calibri" w:hAnsi="Calibri" w:cs="Calibri"/>
        </w:rPr>
        <w:t>The Guidelines and processes of background screening place the best interests of vulnerable people as the paramount consideration while also ensuring that natural justice and procedural fairness, within the constraints of the Act, are applied.</w:t>
      </w:r>
    </w:p>
    <w:p w:rsidR="000F300D" w:rsidRDefault="000F300D" w:rsidP="00300BFA">
      <w:pPr>
        <w:widowControl w:val="0"/>
        <w:tabs>
          <w:tab w:val="left" w:pos="1276"/>
        </w:tabs>
        <w:spacing w:before="120" w:after="120" w:line="238" w:lineRule="auto"/>
        <w:rPr>
          <w:rFonts w:ascii="Calibri" w:hAnsi="Calibri" w:cs="Calibri"/>
          <w:iCs/>
        </w:rPr>
      </w:pPr>
      <w:r w:rsidRPr="006C2C69">
        <w:rPr>
          <w:rFonts w:ascii="Calibri" w:hAnsi="Calibri" w:cs="Calibri"/>
          <w:iCs/>
        </w:rPr>
        <w:t>While this discussion of human rights issues is helpful, the Committee questions whether the human rights implications of this particular instrument might have been more directly addressed, in the explanatory statement for this instrument, by reference to the provisions of the instrument, rather than by reference to the explanatory material for the 2019 and 2020 amendments to the</w:t>
      </w:r>
      <w:r w:rsidRPr="00077D40">
        <w:t xml:space="preserve"> </w:t>
      </w:r>
      <w:r w:rsidRPr="00077D40">
        <w:rPr>
          <w:rFonts w:ascii="Calibri" w:hAnsi="Calibri" w:cs="Calibri"/>
          <w:iCs/>
        </w:rPr>
        <w:t xml:space="preserve">Working with </w:t>
      </w:r>
      <w:bookmarkStart w:id="514" w:name="_Hlk68673112"/>
      <w:r w:rsidRPr="00077D40">
        <w:rPr>
          <w:rFonts w:ascii="Calibri" w:hAnsi="Calibri" w:cs="Calibri"/>
          <w:iCs/>
        </w:rPr>
        <w:t>Vulnerable People (Background Checking) Act</w:t>
      </w:r>
      <w:bookmarkEnd w:id="514"/>
      <w:r>
        <w:rPr>
          <w:rFonts w:ascii="Calibri" w:hAnsi="Calibri" w:cs="Calibri"/>
          <w:iCs/>
        </w:rPr>
        <w:t>.</w:t>
      </w:r>
    </w:p>
    <w:p w:rsidR="000F300D" w:rsidRPr="006C2C69" w:rsidRDefault="000F300D" w:rsidP="00300BFA">
      <w:pPr>
        <w:widowControl w:val="0"/>
        <w:tabs>
          <w:tab w:val="left" w:pos="1276"/>
        </w:tabs>
        <w:spacing w:before="120" w:after="120" w:line="238" w:lineRule="auto"/>
        <w:rPr>
          <w:rFonts w:ascii="Calibri" w:eastAsia="Calibri" w:hAnsi="Calibri" w:cs="Calibri"/>
        </w:rPr>
      </w:pPr>
      <w:r w:rsidRPr="006C2C69">
        <w:rPr>
          <w:rFonts w:ascii="Calibri" w:hAnsi="Calibri" w:cs="Calibri"/>
          <w:iCs/>
        </w:rPr>
        <w:t>In making this comment, the Committee (again) acknowledges the formal limitations on its jurisdiction (under section 38 of the Human Rights Act) in relat</w:t>
      </w:r>
      <w:r w:rsidR="00300BFA">
        <w:rPr>
          <w:rFonts w:ascii="Calibri" w:hAnsi="Calibri" w:cs="Calibri"/>
          <w:iCs/>
        </w:rPr>
        <w:t>ion to subordinate legislation.</w:t>
      </w:r>
      <w:r w:rsidRPr="006C2C69">
        <w:rPr>
          <w:rFonts w:ascii="Calibri" w:hAnsi="Calibri" w:cs="Calibri"/>
          <w:iCs/>
        </w:rPr>
        <w:t xml:space="preserve"> As the Committee observed in </w:t>
      </w:r>
      <w:r w:rsidRPr="006C2C69">
        <w:rPr>
          <w:rFonts w:ascii="Calibri" w:hAnsi="Calibri" w:cs="Calibri"/>
          <w:i/>
        </w:rPr>
        <w:t xml:space="preserve">Scrutiny Report 2 </w:t>
      </w:r>
      <w:r w:rsidRPr="006C2C69">
        <w:rPr>
          <w:rFonts w:ascii="Calibri" w:hAnsi="Calibri" w:cs="Calibri"/>
          <w:iCs/>
        </w:rPr>
        <w:t>of the 10</w:t>
      </w:r>
      <w:r w:rsidRPr="006C2C69">
        <w:rPr>
          <w:rFonts w:ascii="Calibri" w:hAnsi="Calibri" w:cs="Calibri"/>
          <w:iCs/>
          <w:vertAlign w:val="superscript"/>
        </w:rPr>
        <w:t>th</w:t>
      </w:r>
      <w:r w:rsidRPr="006C2C69">
        <w:rPr>
          <w:rFonts w:ascii="Calibri" w:hAnsi="Calibri" w:cs="Calibri"/>
          <w:iCs/>
        </w:rPr>
        <w:t xml:space="preserve"> Assembly (24 March 2021), in relation to the Litter (Amenity Impact) Code of Practice 2020 (No 1)</w:t>
      </w:r>
      <w:r w:rsidRPr="006C2C69">
        <w:rPr>
          <w:rFonts w:ascii="Calibri" w:hAnsi="Calibri" w:cs="Calibri"/>
        </w:rPr>
        <w:t xml:space="preserve"> [</w:t>
      </w:r>
      <w:r w:rsidRPr="006C2C69">
        <w:rPr>
          <w:rFonts w:ascii="Calibri" w:hAnsi="Calibri" w:cs="Calibri"/>
          <w:iCs/>
        </w:rPr>
        <w:t>DI2020-287], the Committee has been pleased to observe that</w:t>
      </w:r>
      <w:r w:rsidRPr="006C2C69">
        <w:rPr>
          <w:rFonts w:ascii="Calibri" w:eastAsia="Calibri" w:hAnsi="Calibri" w:cs="Calibri"/>
        </w:rPr>
        <w:t>, in recent years, despite this (formal) jurisdictional limitation, explanatory statements for subordinate legislation increasingly (and expressly) address human rights issues arising</w:t>
      </w:r>
      <w:r w:rsidR="00300BFA">
        <w:rPr>
          <w:rFonts w:ascii="Calibri" w:eastAsia="Calibri" w:hAnsi="Calibri" w:cs="Calibri"/>
        </w:rPr>
        <w:t xml:space="preserve"> from subordinate legislation. </w:t>
      </w:r>
      <w:r w:rsidRPr="006C2C69">
        <w:rPr>
          <w:rFonts w:ascii="Calibri" w:eastAsia="Calibri" w:hAnsi="Calibri" w:cs="Calibri"/>
        </w:rPr>
        <w:t>As previously indicated, the Committee has welcomed this development, which has assisted the Committee in its scrutiny of subordinate legislation, including by reference to the Committee’s consideration as to whether subordinate legislation “unduly trespasses on rights previously established by law”, for principle (10)(c)(ii) of the Committee’s terms of reference.</w:t>
      </w:r>
    </w:p>
    <w:p w:rsidR="000F300D" w:rsidRDefault="000F300D" w:rsidP="00300BFA">
      <w:pPr>
        <w:spacing w:after="120" w:line="238" w:lineRule="auto"/>
        <w:rPr>
          <w:rFonts w:ascii="Calibri" w:eastAsia="Calibri" w:hAnsi="Calibri" w:cs="Calibri"/>
        </w:rPr>
      </w:pPr>
      <w:r w:rsidRPr="006C2C69">
        <w:rPr>
          <w:rFonts w:ascii="Calibri" w:eastAsia="Calibri" w:hAnsi="Calibri" w:cs="Calibri"/>
        </w:rPr>
        <w:t xml:space="preserve">Given the clear indication that this instrument engages human rights, the Committee considers that (despite the absence of any express Human Rights Act jurisdiction, for the Committee, in this instance) the explanatory statement for this instrument ought to have substantively addressed the human rights issues engaged by the guidelines, by reference to the substantive guidelines, rather than by referring to explanatory material relating to amendments to the </w:t>
      </w:r>
      <w:r w:rsidRPr="00077D40">
        <w:rPr>
          <w:rFonts w:ascii="Calibri" w:eastAsia="Calibri" w:hAnsi="Calibri" w:cs="Calibri"/>
        </w:rPr>
        <w:t>Vulnerable People (Background Checking) Act</w:t>
      </w:r>
      <w:r>
        <w:rPr>
          <w:rFonts w:ascii="Calibri" w:eastAsia="Calibri" w:hAnsi="Calibri" w:cs="Calibri"/>
        </w:rPr>
        <w:t>, on which the new guidelines are premised.</w:t>
      </w:r>
    </w:p>
    <w:p w:rsidR="000F300D" w:rsidRDefault="000F300D" w:rsidP="00300BFA">
      <w:pPr>
        <w:spacing w:after="120" w:line="238" w:lineRule="auto"/>
        <w:rPr>
          <w:rFonts w:ascii="Calibri" w:eastAsia="Calibri" w:hAnsi="Calibri" w:cs="Calibri"/>
        </w:rPr>
      </w:pPr>
      <w:r>
        <w:rPr>
          <w:rFonts w:ascii="Calibri" w:eastAsia="Calibri" w:hAnsi="Calibri" w:cs="Calibri"/>
        </w:rPr>
        <w:t xml:space="preserve">In making this comment, the Committee notes that, in </w:t>
      </w:r>
      <w:r>
        <w:rPr>
          <w:rFonts w:ascii="Calibri" w:eastAsia="Calibri" w:hAnsi="Calibri" w:cs="Calibri"/>
          <w:i/>
          <w:iCs/>
        </w:rPr>
        <w:t>Scrutiny Report 2</w:t>
      </w:r>
      <w:r>
        <w:rPr>
          <w:rFonts w:ascii="Calibri" w:eastAsia="Calibri" w:hAnsi="Calibri" w:cs="Calibri"/>
        </w:rPr>
        <w:t xml:space="preserve">, it made similar comments, in relation to the </w:t>
      </w:r>
      <w:r w:rsidRPr="00077D40">
        <w:rPr>
          <w:rFonts w:ascii="Calibri" w:eastAsia="Calibri" w:hAnsi="Calibri" w:cs="Calibri"/>
        </w:rPr>
        <w:t>Litter (Amenity Impact) Code of Practice 2020 (No 1</w:t>
      </w:r>
      <w:r>
        <w:rPr>
          <w:rFonts w:ascii="Calibri" w:eastAsia="Calibri" w:hAnsi="Calibri" w:cs="Calibri"/>
        </w:rPr>
        <w:t>) but has received no response to those comments.</w:t>
      </w:r>
    </w:p>
    <w:p w:rsidR="000F300D" w:rsidRPr="006C2C69" w:rsidRDefault="000F300D" w:rsidP="00300BFA">
      <w:pPr>
        <w:widowControl w:val="0"/>
        <w:tabs>
          <w:tab w:val="left" w:pos="1276"/>
        </w:tabs>
        <w:spacing w:before="120" w:after="120" w:line="238" w:lineRule="auto"/>
        <w:rPr>
          <w:rFonts w:ascii="Calibri" w:eastAsia="Calibri" w:hAnsi="Calibri" w:cs="Calibri"/>
        </w:rPr>
      </w:pPr>
      <w:r w:rsidRPr="006C2C69">
        <w:rPr>
          <w:rFonts w:ascii="Calibri" w:hAnsi="Calibri" w:cs="Calibri"/>
          <w:b/>
          <w:bCs/>
        </w:rPr>
        <w:t>The Committee draws the attention of the Legislative Assembly to this instrument, under principle (10</w:t>
      </w:r>
      <w:proofErr w:type="gramStart"/>
      <w:r w:rsidRPr="006C2C69">
        <w:rPr>
          <w:rFonts w:ascii="Calibri" w:hAnsi="Calibri" w:cs="Calibri"/>
          <w:b/>
          <w:bCs/>
        </w:rPr>
        <w:t>)(</w:t>
      </w:r>
      <w:proofErr w:type="gramEnd"/>
      <w:r w:rsidRPr="006C2C69">
        <w:rPr>
          <w:rFonts w:ascii="Calibri" w:hAnsi="Calibri" w:cs="Calibri"/>
          <w:b/>
          <w:bCs/>
        </w:rPr>
        <w:t xml:space="preserve">c)(ii) of the Committee’s terms of reference, on the basis that the instrument may </w:t>
      </w:r>
      <w:r w:rsidRPr="006C2C69">
        <w:rPr>
          <w:rFonts w:ascii="Calibri" w:eastAsia="Calibri" w:hAnsi="Calibri" w:cs="Calibri"/>
          <w:b/>
          <w:bCs/>
        </w:rPr>
        <w:t>unduly trespass on rights previously established by law</w:t>
      </w:r>
      <w:r w:rsidRPr="006C2C69">
        <w:rPr>
          <w:rFonts w:ascii="Calibri" w:eastAsia="Calibri" w:hAnsi="Calibri" w:cs="Calibri"/>
        </w:rPr>
        <w:t>.</w:t>
      </w:r>
    </w:p>
    <w:p w:rsidR="000F300D" w:rsidRPr="006C2C69" w:rsidRDefault="000F300D" w:rsidP="00300BFA">
      <w:pPr>
        <w:widowControl w:val="0"/>
        <w:tabs>
          <w:tab w:val="left" w:pos="1276"/>
        </w:tabs>
        <w:spacing w:before="120" w:after="120" w:line="238" w:lineRule="auto"/>
        <w:rPr>
          <w:rFonts w:ascii="Calibri" w:hAnsi="Calibri" w:cs="Calibri"/>
          <w:b/>
          <w:bCs/>
        </w:rPr>
      </w:pPr>
      <w:r w:rsidRPr="006C2C69">
        <w:rPr>
          <w:rFonts w:ascii="Calibri" w:eastAsia="Calibri" w:hAnsi="Calibri" w:cs="Calibri"/>
          <w:b/>
          <w:bCs/>
        </w:rPr>
        <w:t>The Committee also draws the attention of the Legislative Assembly to this instrument, under principle (10</w:t>
      </w:r>
      <w:proofErr w:type="gramStart"/>
      <w:r w:rsidRPr="006C2C69">
        <w:rPr>
          <w:rFonts w:ascii="Calibri" w:eastAsia="Calibri" w:hAnsi="Calibri" w:cs="Calibri"/>
          <w:b/>
          <w:bCs/>
        </w:rPr>
        <w:t>)(</w:t>
      </w:r>
      <w:proofErr w:type="gramEnd"/>
      <w:r w:rsidRPr="006C2C69">
        <w:rPr>
          <w:rFonts w:ascii="Calibri" w:eastAsia="Calibri" w:hAnsi="Calibri" w:cs="Calibri"/>
          <w:b/>
          <w:bCs/>
        </w:rPr>
        <w:t>d) of the Committee’s terms of reference</w:t>
      </w:r>
      <w:r w:rsidRPr="006C2C69">
        <w:rPr>
          <w:rFonts w:ascii="Calibri" w:hAnsi="Calibri" w:cs="Calibri"/>
          <w:b/>
          <w:bCs/>
        </w:rPr>
        <w:t>, on the basis that the explanatory statement for the instrument does not meet the technical or stylistic standards expected by the Committee.</w:t>
      </w:r>
    </w:p>
    <w:p w:rsidR="000F300D" w:rsidRPr="006C2C69" w:rsidRDefault="000F300D" w:rsidP="000F300D">
      <w:pPr>
        <w:widowControl w:val="0"/>
        <w:tabs>
          <w:tab w:val="left" w:pos="1276"/>
        </w:tabs>
        <w:spacing w:before="120" w:after="120" w:line="300" w:lineRule="exact"/>
        <w:rPr>
          <w:rFonts w:ascii="Calibri" w:hAnsi="Calibri" w:cs="Calibri"/>
          <w:b/>
          <w:bCs/>
        </w:rPr>
      </w:pPr>
      <w:r w:rsidRPr="006C2C69">
        <w:rPr>
          <w:rFonts w:ascii="Calibri" w:hAnsi="Calibri" w:cs="Calibri"/>
          <w:b/>
          <w:bCs/>
        </w:rPr>
        <w:t>This comment requires a response from the Minister.</w:t>
      </w:r>
    </w:p>
    <w:p w:rsidR="000F300D" w:rsidRPr="006C2C69" w:rsidRDefault="000F300D" w:rsidP="00300BFA">
      <w:pPr>
        <w:keepNext/>
        <w:widowControl w:val="0"/>
        <w:tabs>
          <w:tab w:val="left" w:pos="1276"/>
        </w:tabs>
        <w:spacing w:before="120" w:after="120" w:line="300" w:lineRule="exact"/>
        <w:rPr>
          <w:rFonts w:ascii="Calibri" w:hAnsi="Calibri" w:cs="Calibri"/>
          <w:i/>
        </w:rPr>
      </w:pPr>
      <w:r w:rsidRPr="006C2C69">
        <w:rPr>
          <w:rFonts w:ascii="Calibri" w:hAnsi="Calibri" w:cs="Calibri"/>
          <w:i/>
        </w:rPr>
        <w:t>Human rights issues / Issues arising from the use of “templates”</w:t>
      </w:r>
    </w:p>
    <w:p w:rsidR="000F300D" w:rsidRDefault="000F300D" w:rsidP="000F300D">
      <w:pPr>
        <w:pStyle w:val="Bodycopy"/>
        <w:spacing w:after="0" w:line="280" w:lineRule="exact"/>
        <w:rPr>
          <w:b/>
        </w:rPr>
      </w:pPr>
      <w:r>
        <w:rPr>
          <w:b/>
        </w:rPr>
        <w:t>Disallowable Instrument</w:t>
      </w:r>
      <w:r w:rsidRPr="00451C85">
        <w:rPr>
          <w:b/>
        </w:rPr>
        <w:t xml:space="preserve"> </w:t>
      </w:r>
      <w:r>
        <w:rPr>
          <w:b/>
        </w:rPr>
        <w:t>DI2021-6</w:t>
      </w:r>
      <w:r w:rsidRPr="00451C85">
        <w:rPr>
          <w:b/>
        </w:rPr>
        <w:t xml:space="preserve"> being the </w:t>
      </w:r>
      <w:r>
        <w:rPr>
          <w:b/>
        </w:rPr>
        <w:t xml:space="preserve">Road Transport (General) Application of Road Transport Legislation Declaration 2021 (No 1) made under section 13 of </w:t>
      </w:r>
      <w:bookmarkStart w:id="515" w:name="_Hlk68623948"/>
      <w:r>
        <w:rPr>
          <w:b/>
        </w:rPr>
        <w:t xml:space="preserve">the </w:t>
      </w:r>
      <w:r>
        <w:rPr>
          <w:i/>
        </w:rPr>
        <w:t>Road Transport (General) Act 1999</w:t>
      </w:r>
      <w:r w:rsidRPr="00236BDD">
        <w:rPr>
          <w:b/>
        </w:rPr>
        <w:t xml:space="preserve"> </w:t>
      </w:r>
      <w:r>
        <w:rPr>
          <w:b/>
        </w:rPr>
        <w:t>provides that certain parts of the road transport legislation do not apply to a designated vehicle during the period of 14 January to 21 January 2021 inclusive, for the purpose of filming the motion picture '</w:t>
      </w:r>
      <w:proofErr w:type="spellStart"/>
      <w:r>
        <w:rPr>
          <w:b/>
        </w:rPr>
        <w:t>Blacklight</w:t>
      </w:r>
      <w:proofErr w:type="spellEnd"/>
      <w:r>
        <w:rPr>
          <w:b/>
        </w:rPr>
        <w:t xml:space="preserve">'. </w:t>
      </w:r>
    </w:p>
    <w:p w:rsidR="000F300D" w:rsidRPr="00842199" w:rsidRDefault="000F300D" w:rsidP="000F300D">
      <w:pPr>
        <w:pStyle w:val="Bodycopy"/>
        <w:spacing w:after="0" w:line="280" w:lineRule="exact"/>
        <w:rPr>
          <w:b/>
        </w:rPr>
      </w:pPr>
      <w:r>
        <w:rPr>
          <w:b/>
        </w:rPr>
        <w:t>Disallowable Instrument</w:t>
      </w:r>
      <w:r w:rsidRPr="00451C85">
        <w:rPr>
          <w:b/>
        </w:rPr>
        <w:t xml:space="preserve"> </w:t>
      </w:r>
      <w:r>
        <w:rPr>
          <w:b/>
        </w:rPr>
        <w:t>DI2021-9</w:t>
      </w:r>
      <w:r w:rsidRPr="00451C85">
        <w:rPr>
          <w:b/>
        </w:rPr>
        <w:t xml:space="preserve"> being the </w:t>
      </w:r>
      <w:r>
        <w:rPr>
          <w:b/>
        </w:rPr>
        <w:t xml:space="preserve">Road Transport (General) Application of Road Transport Legislation Declaration 2021 (No 2) made under section 13 of the </w:t>
      </w:r>
      <w:r>
        <w:rPr>
          <w:i/>
        </w:rPr>
        <w:t>Road Transport (General) Act 1999</w:t>
      </w:r>
      <w:r w:rsidRPr="00236BDD">
        <w:rPr>
          <w:b/>
        </w:rPr>
        <w:t xml:space="preserve"> </w:t>
      </w:r>
      <w:r>
        <w:rPr>
          <w:b/>
        </w:rPr>
        <w:t>provides that certain parts of the road transport legislation do not apply to a designated vehicle during the period of 14 January to 21 January 2021 inclusive, for the purpose of filming the motion picture '</w:t>
      </w:r>
      <w:proofErr w:type="spellStart"/>
      <w:r>
        <w:rPr>
          <w:b/>
        </w:rPr>
        <w:t>Blacklight</w:t>
      </w:r>
      <w:proofErr w:type="spellEnd"/>
      <w:r>
        <w:rPr>
          <w:b/>
        </w:rPr>
        <w:t xml:space="preserve">'. </w:t>
      </w:r>
    </w:p>
    <w:bookmarkEnd w:id="515"/>
    <w:p w:rsidR="000F300D" w:rsidRDefault="000F300D" w:rsidP="000F300D">
      <w:pPr>
        <w:widowControl w:val="0"/>
        <w:tabs>
          <w:tab w:val="left" w:pos="1276"/>
        </w:tabs>
        <w:spacing w:before="120" w:after="120" w:line="300" w:lineRule="exact"/>
        <w:rPr>
          <w:rFonts w:ascii="Calibri" w:hAnsi="Calibri" w:cs="Calibri"/>
          <w:iCs/>
        </w:rPr>
      </w:pPr>
      <w:r w:rsidRPr="006C2C69">
        <w:rPr>
          <w:rFonts w:ascii="Calibri" w:hAnsi="Calibri" w:cs="Calibri"/>
          <w:iCs/>
        </w:rPr>
        <w:t>The 2 instruments mentioned above, made under section 13 of the</w:t>
      </w:r>
      <w:r w:rsidRPr="00AE31AA">
        <w:rPr>
          <w:rFonts w:ascii="Calibri" w:hAnsi="Calibri" w:cs="Calibri"/>
          <w:iCs/>
        </w:rPr>
        <w:t xml:space="preserve"> </w:t>
      </w:r>
      <w:r w:rsidRPr="00AE31AA">
        <w:rPr>
          <w:rFonts w:ascii="Calibri" w:hAnsi="Calibri" w:cs="Calibri"/>
          <w:i/>
        </w:rPr>
        <w:t>Road Transport (General) Act 1999</w:t>
      </w:r>
      <w:r>
        <w:rPr>
          <w:rFonts w:ascii="Calibri" w:hAnsi="Calibri" w:cs="Calibri"/>
          <w:iCs/>
        </w:rPr>
        <w:t>, disapply certain provisions of t</w:t>
      </w:r>
      <w:r w:rsidRPr="00AE31AA">
        <w:rPr>
          <w:rFonts w:ascii="Calibri" w:hAnsi="Calibri" w:cs="Calibri"/>
          <w:iCs/>
        </w:rPr>
        <w:t>he road transport legislation</w:t>
      </w:r>
      <w:r>
        <w:rPr>
          <w:rFonts w:ascii="Calibri" w:hAnsi="Calibri" w:cs="Calibri"/>
          <w:iCs/>
        </w:rPr>
        <w:t xml:space="preserve"> to certain designated areas, </w:t>
      </w:r>
      <w:r w:rsidRPr="00AE31AA">
        <w:rPr>
          <w:rFonts w:ascii="Calibri" w:hAnsi="Calibri" w:cs="Calibri"/>
          <w:iCs/>
        </w:rPr>
        <w:t xml:space="preserve">during the period of 14 January to 21 January 2021 inclusive, for the purpose of filming </w:t>
      </w:r>
      <w:r>
        <w:rPr>
          <w:rFonts w:ascii="Calibri" w:hAnsi="Calibri" w:cs="Calibri"/>
          <w:iCs/>
        </w:rPr>
        <w:t>a</w:t>
      </w:r>
      <w:r w:rsidRPr="00AE31AA">
        <w:rPr>
          <w:rFonts w:ascii="Calibri" w:hAnsi="Calibri" w:cs="Calibri"/>
          <w:iCs/>
        </w:rPr>
        <w:t xml:space="preserve"> motion picture</w:t>
      </w:r>
      <w:r>
        <w:rPr>
          <w:rFonts w:ascii="Calibri" w:hAnsi="Calibri" w:cs="Calibri"/>
          <w:iCs/>
        </w:rPr>
        <w:t xml:space="preserve"> – “</w:t>
      </w:r>
      <w:proofErr w:type="spellStart"/>
      <w:r>
        <w:rPr>
          <w:rFonts w:ascii="Calibri" w:hAnsi="Calibri" w:cs="Calibri"/>
          <w:iCs/>
        </w:rPr>
        <w:t>Blacklight</w:t>
      </w:r>
      <w:proofErr w:type="spellEnd"/>
      <w:r>
        <w:rPr>
          <w:rFonts w:ascii="Calibri" w:hAnsi="Calibri" w:cs="Calibri"/>
          <w:iCs/>
        </w:rPr>
        <w:t>”.</w:t>
      </w:r>
    </w:p>
    <w:p w:rsidR="000F300D" w:rsidRDefault="000F300D" w:rsidP="000F300D">
      <w:pPr>
        <w:widowControl w:val="0"/>
        <w:tabs>
          <w:tab w:val="left" w:pos="1276"/>
        </w:tabs>
        <w:spacing w:before="120" w:after="120" w:line="300" w:lineRule="exact"/>
        <w:rPr>
          <w:rFonts w:ascii="Calibri" w:hAnsi="Calibri" w:cs="Calibri"/>
          <w:iCs/>
        </w:rPr>
      </w:pPr>
      <w:r>
        <w:rPr>
          <w:rFonts w:ascii="Calibri" w:hAnsi="Calibri" w:cs="Calibri"/>
          <w:iCs/>
        </w:rPr>
        <w:t>The Committee notes that the explanatory statement for the first instrument mentioned above addresses human rights issues:</w:t>
      </w:r>
    </w:p>
    <w:p w:rsidR="000F300D" w:rsidRPr="006C2C69" w:rsidRDefault="000F300D" w:rsidP="000F300D">
      <w:pPr>
        <w:pStyle w:val="Default"/>
        <w:ind w:left="720"/>
        <w:rPr>
          <w:rFonts w:ascii="Calibri" w:hAnsi="Calibri" w:cs="Calibri"/>
          <w:sz w:val="22"/>
          <w:szCs w:val="22"/>
        </w:rPr>
      </w:pPr>
      <w:r w:rsidRPr="006C2C69">
        <w:rPr>
          <w:rFonts w:ascii="Calibri" w:hAnsi="Calibri" w:cs="Calibri"/>
          <w:b/>
          <w:bCs/>
          <w:sz w:val="22"/>
          <w:szCs w:val="22"/>
        </w:rPr>
        <w:t xml:space="preserve">Human rights implications </w:t>
      </w:r>
    </w:p>
    <w:p w:rsidR="000F300D" w:rsidRPr="006C2C69" w:rsidRDefault="000F300D" w:rsidP="000F300D">
      <w:pPr>
        <w:ind w:left="715"/>
        <w:rPr>
          <w:rFonts w:ascii="Calibri" w:hAnsi="Calibri" w:cs="Calibri"/>
        </w:rPr>
      </w:pPr>
      <w:r w:rsidRPr="006C2C69">
        <w:rPr>
          <w:rFonts w:ascii="Calibri" w:hAnsi="Calibri" w:cs="Calibri"/>
        </w:rPr>
        <w:t xml:space="preserve">During the development of this instrument, due regard was given to its effect and the operation of the </w:t>
      </w:r>
      <w:r w:rsidRPr="006C2C69">
        <w:rPr>
          <w:rFonts w:ascii="Calibri" w:hAnsi="Calibri" w:cs="Calibri"/>
          <w:b/>
          <w:bCs/>
          <w:u w:val="single"/>
        </w:rPr>
        <w:t>rally</w:t>
      </w:r>
      <w:r w:rsidRPr="00B847BD">
        <w:rPr>
          <w:rFonts w:ascii="Calibri" w:hAnsi="Calibri" w:cs="Calibri"/>
          <w:bCs/>
        </w:rPr>
        <w:t xml:space="preserve"> </w:t>
      </w:r>
      <w:r w:rsidRPr="006C2C69">
        <w:rPr>
          <w:rFonts w:ascii="Calibri" w:hAnsi="Calibri" w:cs="Calibri"/>
        </w:rPr>
        <w:t xml:space="preserve">in relation to the compatibility with human rights as set out in the </w:t>
      </w:r>
      <w:r w:rsidRPr="006C2C69">
        <w:rPr>
          <w:rFonts w:ascii="Calibri" w:hAnsi="Calibri" w:cs="Calibri"/>
          <w:i/>
          <w:iCs/>
        </w:rPr>
        <w:t>Human Rights Act 2004</w:t>
      </w:r>
      <w:r w:rsidRPr="006C2C69">
        <w:rPr>
          <w:rFonts w:ascii="Calibri" w:hAnsi="Calibri" w:cs="Calibri"/>
        </w:rPr>
        <w:t xml:space="preserve"> (HRA).</w:t>
      </w:r>
    </w:p>
    <w:p w:rsidR="000F300D" w:rsidRPr="006C2C69" w:rsidRDefault="000F300D" w:rsidP="000F300D">
      <w:pPr>
        <w:ind w:left="715"/>
        <w:rPr>
          <w:rFonts w:ascii="Calibri" w:hAnsi="Calibri" w:cs="Calibri"/>
        </w:rPr>
      </w:pPr>
      <w:r w:rsidRPr="006C2C69">
        <w:rPr>
          <w:rFonts w:ascii="Calibri" w:hAnsi="Calibri" w:cs="Calibri"/>
        </w:rPr>
        <w:t xml:space="preserve">Section 28 of the HRA provides that human rights may be subject only to reasonable limits set by laws that can be demonstrably justified in a free and democratic society. </w:t>
      </w:r>
    </w:p>
    <w:p w:rsidR="000F300D" w:rsidRPr="006C2C69" w:rsidRDefault="000F300D" w:rsidP="000F300D">
      <w:pPr>
        <w:ind w:left="715"/>
        <w:rPr>
          <w:rFonts w:ascii="Calibri" w:hAnsi="Calibri" w:cs="Calibri"/>
        </w:rPr>
      </w:pPr>
      <w:r w:rsidRPr="006C2C69">
        <w:rPr>
          <w:rFonts w:ascii="Calibri" w:hAnsi="Calibri" w:cs="Calibri"/>
        </w:rPr>
        <w:t xml:space="preserve">Section 28(2) of the HRA provides that in deciding whether a limit on a human right is reasonable, all relevant factors must be considered, including: </w:t>
      </w:r>
    </w:p>
    <w:p w:rsidR="000F300D" w:rsidRPr="006C2C69" w:rsidRDefault="000F300D" w:rsidP="000F300D">
      <w:pPr>
        <w:spacing w:before="120" w:after="120"/>
        <w:ind w:left="1440"/>
        <w:rPr>
          <w:rFonts w:ascii="Calibri" w:hAnsi="Calibri" w:cs="Calibri"/>
        </w:rPr>
      </w:pPr>
      <w:r w:rsidRPr="006C2C69">
        <w:rPr>
          <w:rFonts w:ascii="Calibri" w:hAnsi="Calibri" w:cs="Calibri"/>
        </w:rPr>
        <w:t xml:space="preserve">a) </w:t>
      </w:r>
      <w:proofErr w:type="gramStart"/>
      <w:r w:rsidRPr="006C2C69">
        <w:rPr>
          <w:rFonts w:ascii="Calibri" w:hAnsi="Calibri" w:cs="Calibri"/>
        </w:rPr>
        <w:t>the</w:t>
      </w:r>
      <w:proofErr w:type="gramEnd"/>
      <w:r w:rsidRPr="006C2C69">
        <w:rPr>
          <w:rFonts w:ascii="Calibri" w:hAnsi="Calibri" w:cs="Calibri"/>
        </w:rPr>
        <w:t xml:space="preserve"> nature of the right affected </w:t>
      </w:r>
    </w:p>
    <w:p w:rsidR="000F300D" w:rsidRPr="006C2C69" w:rsidRDefault="000F300D" w:rsidP="000F300D">
      <w:pPr>
        <w:spacing w:before="120" w:after="120"/>
        <w:ind w:left="1440"/>
        <w:rPr>
          <w:rFonts w:ascii="Calibri" w:hAnsi="Calibri" w:cs="Calibri"/>
        </w:rPr>
      </w:pPr>
      <w:r w:rsidRPr="006C2C69">
        <w:rPr>
          <w:rFonts w:ascii="Calibri" w:hAnsi="Calibri" w:cs="Calibri"/>
        </w:rPr>
        <w:t xml:space="preserve">b) </w:t>
      </w:r>
      <w:proofErr w:type="gramStart"/>
      <w:r w:rsidRPr="006C2C69">
        <w:rPr>
          <w:rFonts w:ascii="Calibri" w:hAnsi="Calibri" w:cs="Calibri"/>
        </w:rPr>
        <w:t>the</w:t>
      </w:r>
      <w:proofErr w:type="gramEnd"/>
      <w:r w:rsidRPr="006C2C69">
        <w:rPr>
          <w:rFonts w:ascii="Calibri" w:hAnsi="Calibri" w:cs="Calibri"/>
        </w:rPr>
        <w:t xml:space="preserve"> importance of the limitation </w:t>
      </w:r>
    </w:p>
    <w:p w:rsidR="000F300D" w:rsidRPr="006C2C69" w:rsidRDefault="000F300D" w:rsidP="000F300D">
      <w:pPr>
        <w:spacing w:before="120" w:after="120"/>
        <w:ind w:left="1440"/>
        <w:rPr>
          <w:rFonts w:ascii="Calibri" w:hAnsi="Calibri" w:cs="Calibri"/>
        </w:rPr>
      </w:pPr>
      <w:r w:rsidRPr="006C2C69">
        <w:rPr>
          <w:rFonts w:ascii="Calibri" w:hAnsi="Calibri" w:cs="Calibri"/>
        </w:rPr>
        <w:t xml:space="preserve">c) </w:t>
      </w:r>
      <w:proofErr w:type="gramStart"/>
      <w:r w:rsidRPr="006C2C69">
        <w:rPr>
          <w:rFonts w:ascii="Calibri" w:hAnsi="Calibri" w:cs="Calibri"/>
        </w:rPr>
        <w:t>the</w:t>
      </w:r>
      <w:proofErr w:type="gramEnd"/>
      <w:r w:rsidRPr="006C2C69">
        <w:rPr>
          <w:rFonts w:ascii="Calibri" w:hAnsi="Calibri" w:cs="Calibri"/>
        </w:rPr>
        <w:t xml:space="preserve"> nature and extent of the limitation </w:t>
      </w:r>
    </w:p>
    <w:p w:rsidR="000F300D" w:rsidRPr="006C2C69" w:rsidRDefault="000F300D" w:rsidP="000F300D">
      <w:pPr>
        <w:spacing w:before="120" w:after="120"/>
        <w:ind w:left="1440"/>
        <w:rPr>
          <w:rFonts w:ascii="Calibri" w:hAnsi="Calibri" w:cs="Calibri"/>
        </w:rPr>
      </w:pPr>
      <w:r w:rsidRPr="006C2C69">
        <w:rPr>
          <w:rFonts w:ascii="Calibri" w:hAnsi="Calibri" w:cs="Calibri"/>
        </w:rPr>
        <w:t xml:space="preserve">d) </w:t>
      </w:r>
      <w:proofErr w:type="gramStart"/>
      <w:r w:rsidRPr="006C2C69">
        <w:rPr>
          <w:rFonts w:ascii="Calibri" w:hAnsi="Calibri" w:cs="Calibri"/>
        </w:rPr>
        <w:t>the</w:t>
      </w:r>
      <w:proofErr w:type="gramEnd"/>
      <w:r w:rsidRPr="006C2C69">
        <w:rPr>
          <w:rFonts w:ascii="Calibri" w:hAnsi="Calibri" w:cs="Calibri"/>
        </w:rPr>
        <w:t xml:space="preserve"> relationship between the limitation and its purpose </w:t>
      </w:r>
    </w:p>
    <w:p w:rsidR="000F300D" w:rsidRPr="006C2C69" w:rsidRDefault="000F300D" w:rsidP="000F300D">
      <w:pPr>
        <w:spacing w:before="120" w:after="120"/>
        <w:ind w:left="1440"/>
        <w:rPr>
          <w:rFonts w:ascii="Calibri" w:hAnsi="Calibri" w:cs="Calibri"/>
        </w:rPr>
      </w:pPr>
      <w:r w:rsidRPr="006C2C69">
        <w:rPr>
          <w:rFonts w:ascii="Calibri" w:hAnsi="Calibri" w:cs="Calibri"/>
        </w:rPr>
        <w:t xml:space="preserve">e) </w:t>
      </w:r>
      <w:proofErr w:type="gramStart"/>
      <w:r w:rsidRPr="006C2C69">
        <w:rPr>
          <w:rFonts w:ascii="Calibri" w:hAnsi="Calibri" w:cs="Calibri"/>
        </w:rPr>
        <w:t>any</w:t>
      </w:r>
      <w:proofErr w:type="gramEnd"/>
      <w:r w:rsidRPr="006C2C69">
        <w:rPr>
          <w:rFonts w:ascii="Calibri" w:hAnsi="Calibri" w:cs="Calibri"/>
        </w:rPr>
        <w:t xml:space="preserve"> less restrictive means reasonably available to achieve the purpose the limitation seeks to achieve.</w:t>
      </w:r>
    </w:p>
    <w:p w:rsidR="000F300D" w:rsidRPr="006C2C69" w:rsidRDefault="000F300D" w:rsidP="000F300D">
      <w:pPr>
        <w:pStyle w:val="Default"/>
        <w:ind w:left="720"/>
        <w:rPr>
          <w:rFonts w:ascii="Calibri" w:hAnsi="Calibri" w:cs="Calibri"/>
          <w:sz w:val="22"/>
          <w:szCs w:val="22"/>
        </w:rPr>
      </w:pPr>
      <w:r w:rsidRPr="006C2C69">
        <w:rPr>
          <w:rFonts w:ascii="Calibri" w:hAnsi="Calibri" w:cs="Calibri"/>
          <w:sz w:val="22"/>
          <w:szCs w:val="22"/>
        </w:rPr>
        <w:t>Section 13 of the HRA provides a right for people to move freely within the ACT.</w:t>
      </w:r>
    </w:p>
    <w:p w:rsidR="000F300D" w:rsidRPr="006C2C69" w:rsidRDefault="000F300D" w:rsidP="000F300D">
      <w:pPr>
        <w:pStyle w:val="Default"/>
        <w:ind w:left="720"/>
        <w:rPr>
          <w:rFonts w:ascii="Calibri" w:hAnsi="Calibri" w:cs="Calibri"/>
          <w:sz w:val="22"/>
          <w:szCs w:val="22"/>
        </w:rPr>
      </w:pPr>
    </w:p>
    <w:p w:rsidR="000F300D" w:rsidRPr="006C2C69" w:rsidRDefault="000F300D" w:rsidP="000F300D">
      <w:pPr>
        <w:pStyle w:val="Default"/>
        <w:ind w:left="720"/>
        <w:rPr>
          <w:rFonts w:ascii="Calibri" w:hAnsi="Calibri" w:cs="Calibri"/>
          <w:sz w:val="22"/>
          <w:szCs w:val="22"/>
        </w:rPr>
      </w:pPr>
      <w:r w:rsidRPr="006C2C69">
        <w:rPr>
          <w:rFonts w:ascii="Calibri" w:hAnsi="Calibri" w:cs="Calibri"/>
          <w:sz w:val="22"/>
          <w:szCs w:val="22"/>
        </w:rPr>
        <w:t xml:space="preserve">The declarations in this instrument do not of itself restrict a person’s freedom of movement within the Territory, however the operation of closing parts of the Canberra CBD and surrounding roads, in which filming will be conducted, to members of the public will restrict the free movement of people in that area of the Territory during filming. Parts of the road transport legislation are being </w:t>
      </w:r>
      <w:proofErr w:type="spellStart"/>
      <w:r w:rsidRPr="006C2C69">
        <w:rPr>
          <w:rFonts w:ascii="Calibri" w:hAnsi="Calibri" w:cs="Calibri"/>
          <w:sz w:val="22"/>
          <w:szCs w:val="22"/>
        </w:rPr>
        <w:t>disapplied</w:t>
      </w:r>
      <w:proofErr w:type="spellEnd"/>
      <w:r w:rsidRPr="006C2C69">
        <w:rPr>
          <w:rFonts w:ascii="Calibri" w:hAnsi="Calibri" w:cs="Calibri"/>
          <w:sz w:val="22"/>
          <w:szCs w:val="22"/>
        </w:rPr>
        <w:t xml:space="preserve"> for filming to occur as vehicles will be travelling in parts of the Canberra CBD and surrounding roads in excess of the usual speed limits and in a manner not consistent with the road rules. As such, the restriction on the free movement of people in the film location at those times is considered reasonable and proportionate to ensure safety of civilians and represents the least restrictive approach that enables the event to proceed.  [</w:t>
      </w:r>
      <w:proofErr w:type="gramStart"/>
      <w:r w:rsidRPr="006C2C69">
        <w:rPr>
          <w:rFonts w:ascii="Calibri" w:hAnsi="Calibri" w:cs="Calibri"/>
          <w:sz w:val="22"/>
          <w:szCs w:val="22"/>
        </w:rPr>
        <w:t>emphasis</w:t>
      </w:r>
      <w:proofErr w:type="gramEnd"/>
      <w:r w:rsidRPr="006C2C69">
        <w:rPr>
          <w:rFonts w:ascii="Calibri" w:hAnsi="Calibri" w:cs="Calibri"/>
          <w:sz w:val="22"/>
          <w:szCs w:val="22"/>
        </w:rPr>
        <w:t xml:space="preserve"> added]</w:t>
      </w:r>
    </w:p>
    <w:p w:rsidR="000F300D" w:rsidRDefault="000F300D" w:rsidP="000F300D">
      <w:pPr>
        <w:widowControl w:val="0"/>
        <w:tabs>
          <w:tab w:val="left" w:pos="1276"/>
        </w:tabs>
        <w:spacing w:before="120" w:after="120" w:line="300" w:lineRule="exact"/>
        <w:rPr>
          <w:rFonts w:ascii="Calibri" w:hAnsi="Calibri" w:cs="Calibri"/>
          <w:iCs/>
        </w:rPr>
      </w:pPr>
      <w:r>
        <w:rPr>
          <w:rFonts w:ascii="Calibri" w:hAnsi="Calibri" w:cs="Calibri"/>
          <w:iCs/>
        </w:rPr>
        <w:t>The Committee notes that a similar statement (including the reference to “rally”) also appears in the explanatory statement for the second instrument mentioned above.</w:t>
      </w:r>
    </w:p>
    <w:p w:rsidR="000F300D" w:rsidRDefault="000F300D" w:rsidP="000F300D">
      <w:pPr>
        <w:widowControl w:val="0"/>
        <w:tabs>
          <w:tab w:val="left" w:pos="1276"/>
        </w:tabs>
        <w:spacing w:before="120" w:after="120" w:line="300" w:lineRule="exact"/>
        <w:rPr>
          <w:rFonts w:ascii="Calibri" w:hAnsi="Calibri" w:cs="Calibri"/>
          <w:iCs/>
        </w:rPr>
      </w:pPr>
      <w:r>
        <w:rPr>
          <w:rFonts w:ascii="Calibri" w:hAnsi="Calibri" w:cs="Calibri"/>
          <w:iCs/>
        </w:rPr>
        <w:t xml:space="preserve">The Committee notes the reference (in the quote above) to “rally”, while the event in question is, evidently, </w:t>
      </w:r>
      <w:r>
        <w:rPr>
          <w:rFonts w:ascii="Calibri" w:hAnsi="Calibri" w:cs="Calibri"/>
          <w:i/>
        </w:rPr>
        <w:t xml:space="preserve">not </w:t>
      </w:r>
      <w:r>
        <w:rPr>
          <w:rFonts w:ascii="Calibri" w:hAnsi="Calibri" w:cs="Calibri"/>
          <w:iCs/>
        </w:rPr>
        <w:t>a rally but an event rela</w:t>
      </w:r>
      <w:r w:rsidR="00F6392B">
        <w:rPr>
          <w:rFonts w:ascii="Calibri" w:hAnsi="Calibri" w:cs="Calibri"/>
          <w:iCs/>
        </w:rPr>
        <w:t xml:space="preserve">ted to the filming of a movie. </w:t>
      </w:r>
      <w:r>
        <w:rPr>
          <w:rFonts w:ascii="Calibri" w:hAnsi="Calibri" w:cs="Calibri"/>
          <w:iCs/>
        </w:rPr>
        <w:t xml:space="preserve">The Committee assumes that this indicates that the explanatory statements for the instruments have been based on similar instruments (such as DI302-2020 and DI303-2020, discussed elsewhere in this </w:t>
      </w:r>
      <w:r w:rsidRPr="00AE31AA">
        <w:rPr>
          <w:rFonts w:ascii="Calibri" w:hAnsi="Calibri" w:cs="Calibri"/>
          <w:i/>
        </w:rPr>
        <w:t>Scrutiny Report</w:t>
      </w:r>
      <w:r>
        <w:rPr>
          <w:rFonts w:ascii="Calibri" w:hAnsi="Calibri" w:cs="Calibri"/>
          <w:iCs/>
        </w:rPr>
        <w:t>)</w:t>
      </w:r>
      <w:r w:rsidR="00F6392B">
        <w:rPr>
          <w:rFonts w:ascii="Calibri" w:hAnsi="Calibri" w:cs="Calibri"/>
          <w:iCs/>
        </w:rPr>
        <w:t xml:space="preserve">, which deal with car rallies. </w:t>
      </w:r>
      <w:r>
        <w:rPr>
          <w:rFonts w:ascii="Calibri" w:hAnsi="Calibri" w:cs="Calibri"/>
          <w:iCs/>
        </w:rPr>
        <w:t>The Committee notes that it has consistently cautioned a</w:t>
      </w:r>
      <w:r w:rsidR="00F6392B">
        <w:rPr>
          <w:rFonts w:ascii="Calibri" w:hAnsi="Calibri" w:cs="Calibri"/>
          <w:iCs/>
        </w:rPr>
        <w:t xml:space="preserve">gainst the use of “templates”. </w:t>
      </w:r>
      <w:r w:rsidRPr="00AE31AA">
        <w:rPr>
          <w:rFonts w:ascii="Calibri" w:eastAsia="Calibri" w:hAnsi="Calibri" w:cs="Calibri"/>
        </w:rPr>
        <w:t xml:space="preserve">In its document titled </w:t>
      </w:r>
      <w:hyperlink r:id="rId25" w:history="1">
        <w:r w:rsidRPr="00AE31AA">
          <w:rPr>
            <w:rFonts w:ascii="Calibri" w:eastAsia="Calibri" w:hAnsi="Calibri" w:cs="Calibri"/>
            <w:i/>
            <w:color w:val="0000FF"/>
            <w:u w:val="single"/>
          </w:rPr>
          <w:t>Subordinate legislation—Technical and stylistic standards—Tips/Traps</w:t>
        </w:r>
      </w:hyperlink>
      <w:r w:rsidRPr="00AE31AA">
        <w:rPr>
          <w:rFonts w:ascii="Calibri" w:eastAsia="Calibri" w:hAnsi="Calibri" w:cs="Calibri"/>
          <w:color w:val="000000"/>
        </w:rPr>
        <w:t>,</w:t>
      </w:r>
      <w:r w:rsidRPr="00AE31AA">
        <w:rPr>
          <w:rFonts w:ascii="Calibri" w:eastAsia="Calibri" w:hAnsi="Calibri" w:cs="Calibri"/>
          <w:vertAlign w:val="superscript"/>
        </w:rPr>
        <w:footnoteReference w:id="2"/>
      </w:r>
      <w:r w:rsidRPr="00AE31AA">
        <w:rPr>
          <w:rFonts w:ascii="Calibri" w:eastAsia="Calibri" w:hAnsi="Calibri" w:cs="Calibri"/>
        </w:rPr>
        <w:t xml:space="preserve"> the Committee stated:</w:t>
      </w:r>
    </w:p>
    <w:p w:rsidR="000F300D" w:rsidRPr="006C2C69" w:rsidRDefault="000F300D" w:rsidP="000F300D">
      <w:pPr>
        <w:keepNext/>
        <w:autoSpaceDE w:val="0"/>
        <w:autoSpaceDN w:val="0"/>
        <w:adjustRightInd w:val="0"/>
        <w:ind w:left="720"/>
        <w:outlineLvl w:val="6"/>
        <w:rPr>
          <w:rFonts w:ascii="Calibri" w:hAnsi="Calibri" w:cs="Calibri"/>
          <w:b/>
        </w:rPr>
      </w:pPr>
      <w:r w:rsidRPr="006C2C69">
        <w:rPr>
          <w:rFonts w:ascii="Calibri" w:hAnsi="Calibri" w:cs="Calibri"/>
          <w:b/>
        </w:rPr>
        <w:t>ISSUES ARISING FROM THE USE OF TEMPLATES AND PRECEDENTS</w:t>
      </w:r>
    </w:p>
    <w:p w:rsidR="000F300D" w:rsidRPr="006C2C69" w:rsidRDefault="000F300D" w:rsidP="000F300D">
      <w:pPr>
        <w:ind w:left="720"/>
        <w:rPr>
          <w:rFonts w:ascii="Calibri" w:hAnsi="Calibri" w:cs="Calibri"/>
          <w:b/>
        </w:rPr>
      </w:pPr>
      <w:r w:rsidRPr="006C2C69">
        <w:rPr>
          <w:rFonts w:ascii="Calibri" w:hAnsi="Calibri" w:cs="Calibri"/>
        </w:rPr>
        <w:t>The Committee often identifies issues that appear to arise from the use of previous instruments as templates or precedents for new instruments.  The kinds of issues that arise are references to the plural in instruments that appoint only 1 person (and vice versa) and references to, say, provisions relating to the appointment of chairs and deputy chairs to governing boards when the particular instrument appoints a person only as a member.  This suggests to the Committee that a previous instrument (or the Explanatory Statement for a previous instrument) has been used as a template or a precedent, without sufficient care being taken to ensure that the previous instrument or Explanatory Statement is adapted to fit the new situation.  The Committee accepts that instruments and Explanatory Statements will be used as templates and precedents but cautions instrument makers that caution must be taken to ensure that the earlier document is adapted to fit the new situation.</w:t>
      </w:r>
    </w:p>
    <w:p w:rsidR="000F300D" w:rsidRDefault="000F300D" w:rsidP="000F300D">
      <w:pPr>
        <w:pStyle w:val="Paper"/>
        <w:spacing w:before="160" w:after="160" w:line="280" w:lineRule="exact"/>
        <w:rPr>
          <w:rFonts w:ascii="Calibri" w:hAnsi="Calibri" w:cs="Calibri"/>
          <w:b/>
          <w:bCs/>
          <w:sz w:val="22"/>
          <w:szCs w:val="22"/>
          <w:lang w:eastAsia="en-AU"/>
        </w:rPr>
      </w:pPr>
      <w:r>
        <w:rPr>
          <w:rFonts w:ascii="Calibri" w:hAnsi="Calibri" w:cs="Calibri"/>
          <w:iCs/>
          <w:sz w:val="22"/>
          <w:szCs w:val="22"/>
        </w:rPr>
        <w:t xml:space="preserve">That issue aside, </w:t>
      </w:r>
      <w:bookmarkStart w:id="516" w:name="_Hlk68626059"/>
      <w:r>
        <w:rPr>
          <w:rFonts w:ascii="Calibri" w:hAnsi="Calibri" w:cs="Calibri"/>
          <w:b/>
          <w:bCs/>
          <w:sz w:val="22"/>
          <w:szCs w:val="22"/>
          <w:lang w:eastAsia="en-AU"/>
        </w:rPr>
        <w:t>t</w:t>
      </w:r>
      <w:r w:rsidRPr="00E95E87">
        <w:rPr>
          <w:rFonts w:ascii="Calibri" w:hAnsi="Calibri" w:cs="Calibri"/>
          <w:b/>
          <w:bCs/>
          <w:sz w:val="22"/>
          <w:szCs w:val="22"/>
          <w:lang w:eastAsia="en-AU"/>
        </w:rPr>
        <w:t>he Committee draws the attention of the Legislative Assembly to the discussion of human rights issues in the explanatory statement</w:t>
      </w:r>
      <w:r>
        <w:rPr>
          <w:rFonts w:ascii="Calibri" w:hAnsi="Calibri" w:cs="Calibri"/>
          <w:b/>
          <w:bCs/>
          <w:sz w:val="22"/>
          <w:szCs w:val="22"/>
          <w:lang w:eastAsia="en-AU"/>
        </w:rPr>
        <w:t>s</w:t>
      </w:r>
      <w:r w:rsidRPr="00E95E87">
        <w:rPr>
          <w:rFonts w:ascii="Calibri" w:hAnsi="Calibri" w:cs="Calibri"/>
          <w:b/>
          <w:bCs/>
          <w:sz w:val="22"/>
          <w:szCs w:val="22"/>
          <w:lang w:eastAsia="en-AU"/>
        </w:rPr>
        <w:t xml:space="preserve"> for th</w:t>
      </w:r>
      <w:r>
        <w:rPr>
          <w:rFonts w:ascii="Calibri" w:hAnsi="Calibri" w:cs="Calibri"/>
          <w:b/>
          <w:bCs/>
          <w:sz w:val="22"/>
          <w:szCs w:val="22"/>
          <w:lang w:eastAsia="en-AU"/>
        </w:rPr>
        <w:t>ese</w:t>
      </w:r>
      <w:r w:rsidRPr="00E95E87">
        <w:rPr>
          <w:rFonts w:ascii="Calibri" w:hAnsi="Calibri" w:cs="Calibri"/>
          <w:b/>
          <w:bCs/>
          <w:sz w:val="22"/>
          <w:szCs w:val="22"/>
          <w:lang w:eastAsia="en-AU"/>
        </w:rPr>
        <w:t xml:space="preserve"> instrument</w:t>
      </w:r>
      <w:r>
        <w:rPr>
          <w:rFonts w:ascii="Calibri" w:hAnsi="Calibri" w:cs="Calibri"/>
          <w:b/>
          <w:bCs/>
          <w:sz w:val="22"/>
          <w:szCs w:val="22"/>
          <w:lang w:eastAsia="en-AU"/>
        </w:rPr>
        <w:t>s</w:t>
      </w:r>
      <w:r w:rsidRPr="00E95E87">
        <w:rPr>
          <w:rFonts w:ascii="Calibri" w:hAnsi="Calibri" w:cs="Calibri"/>
          <w:b/>
          <w:bCs/>
          <w:sz w:val="22"/>
          <w:szCs w:val="22"/>
          <w:lang w:eastAsia="en-AU"/>
        </w:rPr>
        <w:t>.</w:t>
      </w:r>
    </w:p>
    <w:p w:rsidR="000F300D" w:rsidRDefault="000F300D" w:rsidP="000F300D">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bookmarkEnd w:id="516"/>
    <w:p w:rsidR="000F300D" w:rsidRDefault="000F300D" w:rsidP="000F300D">
      <w:pPr>
        <w:widowControl w:val="0"/>
        <w:tabs>
          <w:tab w:val="left" w:pos="1276"/>
        </w:tabs>
        <w:spacing w:before="120" w:after="120" w:line="300" w:lineRule="exact"/>
        <w:rPr>
          <w:rFonts w:ascii="Calibri" w:hAnsi="Calibri" w:cs="Calibri"/>
          <w:i/>
        </w:rPr>
      </w:pPr>
      <w:r>
        <w:rPr>
          <w:rFonts w:ascii="Calibri" w:hAnsi="Calibri" w:cs="Calibri"/>
          <w:i/>
        </w:rPr>
        <w:t>COVID-19-related instruments / Retrospectivity – Positive comment</w:t>
      </w:r>
    </w:p>
    <w:p w:rsidR="000F300D" w:rsidRPr="00842199" w:rsidRDefault="000F300D" w:rsidP="000F300D">
      <w:pPr>
        <w:pStyle w:val="Bodycopy"/>
        <w:spacing w:after="0" w:line="280" w:lineRule="exact"/>
        <w:rPr>
          <w:b/>
        </w:rPr>
      </w:pPr>
      <w:r>
        <w:rPr>
          <w:b/>
        </w:rPr>
        <w:t>Disallowable Instrument</w:t>
      </w:r>
      <w:r w:rsidRPr="00451C85">
        <w:rPr>
          <w:b/>
        </w:rPr>
        <w:t xml:space="preserve"> </w:t>
      </w:r>
      <w:r>
        <w:rPr>
          <w:b/>
        </w:rPr>
        <w:t>DI2021-12</w:t>
      </w:r>
      <w:r w:rsidRPr="00451C85">
        <w:rPr>
          <w:b/>
        </w:rPr>
        <w:t xml:space="preserve"> being the </w:t>
      </w:r>
      <w:r>
        <w:rPr>
          <w:b/>
        </w:rPr>
        <w:t xml:space="preserve">Planning and Development (Lease Variation Charge Deferred Payment Scheme) Determination 2021 made under paragraphs 279AA(1)(b) and subsection 279AC(2) of the </w:t>
      </w:r>
      <w:r>
        <w:rPr>
          <w:i/>
        </w:rPr>
        <w:t>Planning and Development Act 2007</w:t>
      </w:r>
      <w:r w:rsidRPr="00236BDD">
        <w:rPr>
          <w:b/>
        </w:rPr>
        <w:t xml:space="preserve"> </w:t>
      </w:r>
      <w:r>
        <w:rPr>
          <w:b/>
        </w:rPr>
        <w:t xml:space="preserve">revokes DI2020-225 and determines the amount of the lease variation charge to be deferred for the purposes of the Act. </w:t>
      </w:r>
    </w:p>
    <w:p w:rsidR="000F300D" w:rsidRPr="00842199" w:rsidRDefault="000F300D" w:rsidP="000F300D">
      <w:pPr>
        <w:pStyle w:val="Bodycopy"/>
        <w:spacing w:after="0" w:line="280" w:lineRule="exact"/>
        <w:rPr>
          <w:b/>
        </w:rPr>
      </w:pPr>
      <w:r>
        <w:rPr>
          <w:b/>
        </w:rPr>
        <w:t>Disallowable Instrument</w:t>
      </w:r>
      <w:r w:rsidRPr="00451C85">
        <w:rPr>
          <w:b/>
        </w:rPr>
        <w:t xml:space="preserve"> </w:t>
      </w:r>
      <w:r>
        <w:rPr>
          <w:b/>
        </w:rPr>
        <w:t>DI2021-13</w:t>
      </w:r>
      <w:r w:rsidRPr="00451C85">
        <w:rPr>
          <w:b/>
        </w:rPr>
        <w:t xml:space="preserve"> being the </w:t>
      </w:r>
      <w:r>
        <w:rPr>
          <w:b/>
        </w:rPr>
        <w:t xml:space="preserve">Planning and Development (Remission of Lease Variation Charges—Construction Sector Recovery) Determination 2021 made under section 278 of the </w:t>
      </w:r>
      <w:r>
        <w:rPr>
          <w:i/>
        </w:rPr>
        <w:t>Planning and Development Act 2007</w:t>
      </w:r>
      <w:r w:rsidRPr="00236BDD">
        <w:rPr>
          <w:b/>
        </w:rPr>
        <w:t xml:space="preserve"> </w:t>
      </w:r>
      <w:r>
        <w:rPr>
          <w:b/>
        </w:rPr>
        <w:t xml:space="preserve">determines the circumstances in which an amount of a lease variation charge for a chargeable variation of a nominal rent lease must be remitted, and determines the amount to be remitted. </w:t>
      </w:r>
    </w:p>
    <w:p w:rsidR="000F300D" w:rsidRDefault="000F300D" w:rsidP="00AC50F1">
      <w:pPr>
        <w:keepLines/>
        <w:widowControl w:val="0"/>
        <w:tabs>
          <w:tab w:val="left" w:pos="1276"/>
        </w:tabs>
        <w:spacing w:before="120" w:after="120" w:line="300" w:lineRule="exact"/>
        <w:rPr>
          <w:rFonts w:ascii="Calibri" w:hAnsi="Calibri" w:cs="Calibri"/>
          <w:iCs/>
        </w:rPr>
      </w:pPr>
      <w:r>
        <w:rPr>
          <w:rFonts w:ascii="Calibri" w:hAnsi="Calibri" w:cs="Calibri"/>
          <w:iCs/>
        </w:rPr>
        <w:t xml:space="preserve">The instruments mentioned above, both made under the </w:t>
      </w:r>
      <w:r>
        <w:rPr>
          <w:rFonts w:ascii="Calibri" w:hAnsi="Calibri" w:cs="Calibri"/>
          <w:i/>
        </w:rPr>
        <w:t>Planning and Development Act 2007</w:t>
      </w:r>
      <w:r>
        <w:rPr>
          <w:rFonts w:ascii="Calibri" w:hAnsi="Calibri" w:cs="Calibri"/>
          <w:iCs/>
        </w:rPr>
        <w:t>, relate to deferral and remiss</w:t>
      </w:r>
      <w:r w:rsidR="00F6392B">
        <w:rPr>
          <w:rFonts w:ascii="Calibri" w:hAnsi="Calibri" w:cs="Calibri"/>
          <w:iCs/>
        </w:rPr>
        <w:t xml:space="preserve">ion of charges under that Act. </w:t>
      </w:r>
      <w:r>
        <w:rPr>
          <w:rFonts w:ascii="Calibri" w:hAnsi="Calibri" w:cs="Calibri"/>
          <w:iCs/>
        </w:rPr>
        <w:t>The explanatory statements for the instruments make is clear that the relevant deferrals and remissions are part of the legislative resp</w:t>
      </w:r>
      <w:r w:rsidR="00F6392B">
        <w:rPr>
          <w:rFonts w:ascii="Calibri" w:hAnsi="Calibri" w:cs="Calibri"/>
          <w:iCs/>
        </w:rPr>
        <w:t xml:space="preserve">onse to the COVID-19 pandemic. </w:t>
      </w:r>
      <w:r>
        <w:rPr>
          <w:rFonts w:ascii="Calibri" w:hAnsi="Calibri" w:cs="Calibri"/>
          <w:iCs/>
        </w:rPr>
        <w:t>The explanatory statement for the first instrument mentioned above indicates that it continues the effect of an earlier instrument ([DI2020-225]) that is revoked by this instrument.</w:t>
      </w:r>
    </w:p>
    <w:p w:rsidR="000F300D" w:rsidRDefault="000F300D" w:rsidP="000F300D">
      <w:pPr>
        <w:widowControl w:val="0"/>
        <w:tabs>
          <w:tab w:val="left" w:pos="1276"/>
        </w:tabs>
        <w:spacing w:before="120" w:after="120" w:line="300" w:lineRule="exact"/>
        <w:rPr>
          <w:rFonts w:ascii="Calibri" w:hAnsi="Calibri" w:cs="Calibri"/>
          <w:iCs/>
        </w:rPr>
      </w:pPr>
      <w:r>
        <w:rPr>
          <w:rFonts w:ascii="Calibri" w:hAnsi="Calibri" w:cs="Calibri"/>
          <w:iCs/>
        </w:rPr>
        <w:t>Both instruments were made on 12 January 2021 and notified on the ACT Legislation Register on 20</w:t>
      </w:r>
      <w:r w:rsidR="00AC50F1">
        <w:rPr>
          <w:rFonts w:ascii="Calibri" w:hAnsi="Calibri" w:cs="Calibri"/>
          <w:iCs/>
        </w:rPr>
        <w:t> January 2021.</w:t>
      </w:r>
      <w:r>
        <w:rPr>
          <w:rFonts w:ascii="Calibri" w:hAnsi="Calibri" w:cs="Calibri"/>
          <w:iCs/>
        </w:rPr>
        <w:t xml:space="preserve"> However, the Committee notes that section 2 of both instruments provides that the instrument “is taken to have commenced on 24 December 2020”</w:t>
      </w:r>
      <w:r w:rsidR="00AC50F1">
        <w:rPr>
          <w:rFonts w:ascii="Calibri" w:hAnsi="Calibri" w:cs="Calibri"/>
          <w:iCs/>
        </w:rPr>
        <w:t xml:space="preserve">. </w:t>
      </w:r>
      <w:r>
        <w:rPr>
          <w:rFonts w:ascii="Calibri" w:hAnsi="Calibri" w:cs="Calibri"/>
          <w:iCs/>
        </w:rPr>
        <w:t>This means that the instruments have a retrospective effect.</w:t>
      </w:r>
    </w:p>
    <w:p w:rsidR="000F300D" w:rsidRDefault="000F300D" w:rsidP="000F300D">
      <w:pPr>
        <w:widowControl w:val="0"/>
        <w:tabs>
          <w:tab w:val="left" w:pos="1276"/>
        </w:tabs>
        <w:spacing w:before="120" w:after="120" w:line="300" w:lineRule="exact"/>
        <w:rPr>
          <w:rFonts w:ascii="Calibri" w:hAnsi="Calibri" w:cs="Calibri"/>
          <w:iCs/>
        </w:rPr>
      </w:pPr>
      <w:r>
        <w:rPr>
          <w:rFonts w:ascii="Calibri" w:hAnsi="Calibri" w:cs="Calibri"/>
          <w:iCs/>
        </w:rPr>
        <w:t>The Committee notes, with approval, that the explanatory statement for the second instrument mentioned above states:</w:t>
      </w:r>
    </w:p>
    <w:p w:rsidR="000F300D" w:rsidRPr="006C2C69" w:rsidRDefault="000F300D" w:rsidP="000F300D">
      <w:pPr>
        <w:spacing w:before="120" w:after="120"/>
        <w:ind w:left="720"/>
        <w:rPr>
          <w:rFonts w:ascii="Calibri" w:hAnsi="Calibri" w:cs="Calibri"/>
        </w:rPr>
      </w:pPr>
      <w:r w:rsidRPr="006C2C69">
        <w:rPr>
          <w:rFonts w:ascii="Calibri" w:hAnsi="Calibri" w:cs="Calibri"/>
          <w:b/>
          <w:bCs/>
        </w:rPr>
        <w:t>Commencement and retrospectivity</w:t>
      </w:r>
    </w:p>
    <w:p w:rsidR="000F300D" w:rsidRPr="006C2C69" w:rsidRDefault="000F300D" w:rsidP="000F300D">
      <w:pPr>
        <w:spacing w:before="120" w:after="120"/>
        <w:ind w:left="720"/>
        <w:rPr>
          <w:rFonts w:ascii="Calibri" w:hAnsi="Calibri" w:cs="Calibri"/>
        </w:rPr>
      </w:pPr>
      <w:r w:rsidRPr="006C2C69">
        <w:rPr>
          <w:rFonts w:ascii="Calibri" w:hAnsi="Calibri" w:cs="Calibri"/>
        </w:rPr>
        <w:t xml:space="preserve">The Remission Determination has retrospective commencement from 24 December 2020 to allow for the continuation of LVC remission from the operation of the </w:t>
      </w:r>
      <w:r w:rsidRPr="006C2C69">
        <w:rPr>
          <w:rFonts w:ascii="Calibri" w:hAnsi="Calibri" w:cs="Calibri"/>
          <w:i/>
          <w:iCs/>
          <w:spacing w:val="-3"/>
        </w:rPr>
        <w:t>Planning and Development (Remission of Lease Variation Charges—Construction Sector Recovery) Determination 2020</w:t>
      </w:r>
      <w:r w:rsidRPr="006C2C69">
        <w:rPr>
          <w:rFonts w:ascii="Calibri" w:hAnsi="Calibri" w:cs="Calibri"/>
        </w:rPr>
        <w:t>.</w:t>
      </w:r>
    </w:p>
    <w:p w:rsidR="000F300D" w:rsidRPr="006C2C69" w:rsidRDefault="000F300D" w:rsidP="000F300D">
      <w:pPr>
        <w:spacing w:before="120" w:after="120"/>
        <w:ind w:left="720"/>
        <w:rPr>
          <w:rFonts w:ascii="Calibri" w:hAnsi="Calibri" w:cs="Calibri"/>
        </w:rPr>
      </w:pPr>
      <w:r w:rsidRPr="006C2C69">
        <w:rPr>
          <w:rFonts w:ascii="Calibri" w:hAnsi="Calibri" w:cs="Calibri"/>
        </w:rPr>
        <w:t xml:space="preserve">Section 76(1) of the </w:t>
      </w:r>
      <w:r w:rsidRPr="006C2C69">
        <w:rPr>
          <w:rFonts w:ascii="Calibri" w:hAnsi="Calibri" w:cs="Calibri"/>
          <w:i/>
          <w:iCs/>
        </w:rPr>
        <w:t>Legislation Act 2001</w:t>
      </w:r>
      <w:r w:rsidRPr="006C2C69">
        <w:rPr>
          <w:rFonts w:ascii="Calibri" w:hAnsi="Calibri" w:cs="Calibri"/>
        </w:rPr>
        <w:t xml:space="preserve"> provides that a statutory instrument may commence retrospectively provided it is non-prejudicial, that it does not operate to the disadvantage of a person by adversely affecting the person’s rights or imposing liabilities on the person. This instrument provides a concession on the LVC payable for land that is developed in a manner that supports economic recovery from COVID-19. It is non</w:t>
      </w:r>
      <w:r w:rsidRPr="006C2C69">
        <w:rPr>
          <w:rFonts w:ascii="Calibri" w:hAnsi="Calibri" w:cs="Calibri"/>
        </w:rPr>
        <w:noBreakHyphen/>
        <w:t>prejudicial and promotes a purpose which will be of overall benefit to the ACT community.</w:t>
      </w:r>
    </w:p>
    <w:p w:rsidR="000F300D" w:rsidRDefault="000F300D" w:rsidP="000F300D">
      <w:pPr>
        <w:widowControl w:val="0"/>
        <w:tabs>
          <w:tab w:val="left" w:pos="1276"/>
        </w:tabs>
        <w:spacing w:before="120" w:after="120" w:line="300" w:lineRule="exact"/>
        <w:rPr>
          <w:rFonts w:ascii="Calibri" w:hAnsi="Calibri" w:cs="Calibri"/>
          <w:iCs/>
        </w:rPr>
      </w:pPr>
      <w:r>
        <w:rPr>
          <w:rFonts w:ascii="Calibri" w:hAnsi="Calibri" w:cs="Calibri"/>
          <w:iCs/>
        </w:rPr>
        <w:t xml:space="preserve">The explanatory statement for the first instrument mentioned above contains a similar statement about the non-prejudicial retrospectivity of the instrument and also indicates that the retrospective operation of the instrument is linked to the retrospective operation of the second instrument mentioned above. </w:t>
      </w:r>
    </w:p>
    <w:p w:rsidR="000F300D" w:rsidRPr="00077D40" w:rsidRDefault="000F300D" w:rsidP="000F300D">
      <w:pPr>
        <w:widowControl w:val="0"/>
        <w:tabs>
          <w:tab w:val="left" w:pos="1276"/>
        </w:tabs>
        <w:spacing w:before="120" w:after="120" w:line="300" w:lineRule="exact"/>
        <w:rPr>
          <w:rFonts w:ascii="Calibri" w:hAnsi="Calibri" w:cs="Calibri"/>
          <w:b/>
          <w:bCs/>
          <w:iCs/>
        </w:rPr>
      </w:pPr>
      <w:r>
        <w:rPr>
          <w:rFonts w:ascii="Calibri" w:hAnsi="Calibri" w:cs="Calibri"/>
          <w:b/>
          <w:bCs/>
          <w:iCs/>
        </w:rPr>
        <w:t>This comment does not require a response from the Minister.</w:t>
      </w:r>
    </w:p>
    <w:p w:rsidR="000F300D" w:rsidRPr="00AE31AA" w:rsidRDefault="000F300D" w:rsidP="000F300D">
      <w:pPr>
        <w:widowControl w:val="0"/>
        <w:tabs>
          <w:tab w:val="left" w:pos="1276"/>
        </w:tabs>
        <w:spacing w:before="120" w:after="120" w:line="300" w:lineRule="exact"/>
        <w:rPr>
          <w:rFonts w:ascii="Calibri" w:hAnsi="Calibri" w:cs="Calibri"/>
          <w:i/>
        </w:rPr>
      </w:pPr>
      <w:r w:rsidRPr="00AE31AA">
        <w:rPr>
          <w:rFonts w:ascii="Calibri" w:hAnsi="Calibri" w:cs="Calibri"/>
          <w:i/>
        </w:rPr>
        <w:t>Human rights issues</w:t>
      </w:r>
    </w:p>
    <w:p w:rsidR="000F300D" w:rsidRPr="00842199" w:rsidRDefault="000F300D" w:rsidP="000F300D">
      <w:pPr>
        <w:pStyle w:val="Bodycopy"/>
        <w:spacing w:after="0" w:line="280" w:lineRule="exact"/>
        <w:rPr>
          <w:b/>
        </w:rPr>
      </w:pPr>
      <w:r>
        <w:rPr>
          <w:b/>
        </w:rPr>
        <w:t>Disallowable Instrument</w:t>
      </w:r>
      <w:r w:rsidRPr="00451C85">
        <w:rPr>
          <w:b/>
        </w:rPr>
        <w:t xml:space="preserve"> </w:t>
      </w:r>
      <w:r>
        <w:rPr>
          <w:b/>
        </w:rPr>
        <w:t>DI2021-16</w:t>
      </w:r>
      <w:r w:rsidRPr="00451C85">
        <w:rPr>
          <w:b/>
        </w:rPr>
        <w:t xml:space="preserve"> being the </w:t>
      </w:r>
      <w:r>
        <w:rPr>
          <w:b/>
        </w:rPr>
        <w:t>Nature Conservation (Fees) Determination 2021 (No</w:t>
      </w:r>
      <w:r w:rsidR="009D6D32">
        <w:rPr>
          <w:b/>
        </w:rPr>
        <w:t> </w:t>
      </w:r>
      <w:r>
        <w:rPr>
          <w:b/>
        </w:rPr>
        <w:t xml:space="preserve">1) made under </w:t>
      </w:r>
      <w:bookmarkStart w:id="517" w:name="_Hlk68625723"/>
      <w:r>
        <w:rPr>
          <w:b/>
        </w:rPr>
        <w:t xml:space="preserve">section 368 of the </w:t>
      </w:r>
      <w:r>
        <w:rPr>
          <w:i/>
        </w:rPr>
        <w:t>Nature Conservation Act 2014</w:t>
      </w:r>
      <w:r w:rsidRPr="00236BDD">
        <w:rPr>
          <w:b/>
        </w:rPr>
        <w:t xml:space="preserve"> </w:t>
      </w:r>
      <w:bookmarkEnd w:id="517"/>
      <w:r>
        <w:rPr>
          <w:b/>
        </w:rPr>
        <w:t xml:space="preserve">revokes DI2020-232 and determines fees payable for the purposes of the Act. </w:t>
      </w:r>
    </w:p>
    <w:p w:rsidR="000F300D" w:rsidRDefault="000F300D" w:rsidP="000F300D">
      <w:pPr>
        <w:widowControl w:val="0"/>
        <w:tabs>
          <w:tab w:val="left" w:pos="1276"/>
        </w:tabs>
        <w:spacing w:before="120" w:after="120" w:line="300" w:lineRule="exact"/>
        <w:rPr>
          <w:rFonts w:ascii="Calibri" w:hAnsi="Calibri" w:cs="Calibri"/>
          <w:iCs/>
        </w:rPr>
      </w:pPr>
      <w:r>
        <w:rPr>
          <w:rFonts w:ascii="Calibri" w:hAnsi="Calibri" w:cs="Calibri"/>
          <w:iCs/>
        </w:rPr>
        <w:t xml:space="preserve">This instrument determines fees, under </w:t>
      </w:r>
      <w:r w:rsidRPr="00AE31AA">
        <w:rPr>
          <w:rFonts w:ascii="Calibri" w:hAnsi="Calibri" w:cs="Calibri"/>
          <w:iCs/>
        </w:rPr>
        <w:t xml:space="preserve">section 368 of the </w:t>
      </w:r>
      <w:r w:rsidRPr="00AE31AA">
        <w:rPr>
          <w:rFonts w:ascii="Calibri" w:hAnsi="Calibri" w:cs="Calibri"/>
          <w:i/>
        </w:rPr>
        <w:t>Nature Conservation Act 2014</w:t>
      </w:r>
      <w:r>
        <w:rPr>
          <w:rFonts w:ascii="Calibri" w:hAnsi="Calibri" w:cs="Calibri"/>
          <w:iCs/>
        </w:rPr>
        <w:t>, in relation to entry to the Tidbinbilla Nature Reserve.  The explanatory statement for the instrument states:</w:t>
      </w:r>
    </w:p>
    <w:p w:rsidR="000F300D" w:rsidRPr="006C2C69" w:rsidRDefault="000F300D" w:rsidP="000F300D">
      <w:pPr>
        <w:spacing w:before="120" w:after="120"/>
        <w:ind w:left="720"/>
        <w:rPr>
          <w:rFonts w:ascii="Calibri" w:hAnsi="Calibri" w:cs="Calibri"/>
          <w:color w:val="000000"/>
        </w:rPr>
      </w:pPr>
      <w:r w:rsidRPr="006C2C69">
        <w:rPr>
          <w:rFonts w:ascii="Calibri" w:hAnsi="Calibri" w:cs="Calibri"/>
          <w:color w:val="000000"/>
        </w:rPr>
        <w:t>The instrument reinstates entry fees to Tidbinbilla Nature Reserve, which had been on temporary hold as part of the Government’s COVID-19 relief measures, but continues the waiver on daily entry fees to Tidbinbilla Nature Reserve on Australia Day, Reconciliation Day and Tidbinbilla Open Day.</w:t>
      </w:r>
    </w:p>
    <w:p w:rsidR="000F300D" w:rsidRPr="006C2C69" w:rsidRDefault="000F300D" w:rsidP="009D6D32">
      <w:pPr>
        <w:keepNext/>
        <w:spacing w:before="120" w:after="120"/>
        <w:rPr>
          <w:rFonts w:ascii="Calibri" w:hAnsi="Calibri" w:cs="Calibri"/>
          <w:color w:val="000000"/>
        </w:rPr>
      </w:pPr>
      <w:r w:rsidRPr="006C2C69">
        <w:rPr>
          <w:rFonts w:ascii="Calibri" w:hAnsi="Calibri" w:cs="Calibri"/>
          <w:color w:val="000000"/>
        </w:rPr>
        <w:t>The explanatory statement goes on to discuss human rights issues:</w:t>
      </w:r>
    </w:p>
    <w:p w:rsidR="000F300D" w:rsidRPr="006C2C69" w:rsidRDefault="000F300D" w:rsidP="000F300D">
      <w:pPr>
        <w:keepNext/>
        <w:autoSpaceDE w:val="0"/>
        <w:autoSpaceDN w:val="0"/>
        <w:adjustRightInd w:val="0"/>
        <w:spacing w:before="120" w:after="120"/>
        <w:ind w:left="720"/>
        <w:rPr>
          <w:rFonts w:ascii="Calibri" w:hAnsi="Calibri" w:cs="Calibri"/>
          <w:b/>
          <w:color w:val="000000"/>
        </w:rPr>
      </w:pPr>
      <w:r w:rsidRPr="006C2C69">
        <w:rPr>
          <w:rFonts w:ascii="Calibri" w:hAnsi="Calibri" w:cs="Calibri"/>
          <w:b/>
          <w:color w:val="000000"/>
        </w:rPr>
        <w:t>Human Rights</w:t>
      </w:r>
    </w:p>
    <w:p w:rsidR="000F300D" w:rsidRPr="006C2C69" w:rsidRDefault="000F300D" w:rsidP="000F300D">
      <w:pPr>
        <w:tabs>
          <w:tab w:val="center" w:pos="4153"/>
          <w:tab w:val="right" w:pos="8306"/>
        </w:tabs>
        <w:spacing w:before="120" w:after="120"/>
        <w:ind w:left="720"/>
        <w:rPr>
          <w:rFonts w:ascii="Calibri" w:hAnsi="Calibri" w:cs="Calibri"/>
          <w:color w:val="000000"/>
          <w:lang w:val="x-none"/>
        </w:rPr>
      </w:pPr>
      <w:r w:rsidRPr="006C2C69">
        <w:rPr>
          <w:rFonts w:ascii="Calibri" w:hAnsi="Calibri" w:cs="Calibri"/>
          <w:color w:val="000000"/>
          <w:lang w:val="x-none"/>
        </w:rPr>
        <w:t>The Standing Committee on Justice and Community Safety (Legislative Scrutiny Role) terms of reference require consideration of human rights impacts, among other matters. In this case, no human rights are impacted.</w:t>
      </w:r>
    </w:p>
    <w:p w:rsidR="000F300D" w:rsidRPr="00AE31AA" w:rsidRDefault="000F300D" w:rsidP="000F300D">
      <w:pPr>
        <w:widowControl w:val="0"/>
        <w:tabs>
          <w:tab w:val="left" w:pos="1276"/>
        </w:tabs>
        <w:spacing w:before="120" w:after="120" w:line="300" w:lineRule="exact"/>
        <w:rPr>
          <w:rFonts w:ascii="Calibri" w:hAnsi="Calibri" w:cs="Calibri"/>
          <w:b/>
          <w:bCs/>
          <w:iCs/>
        </w:rPr>
      </w:pPr>
      <w:bookmarkStart w:id="518" w:name="_Hlk68628003"/>
      <w:r w:rsidRPr="00AE31AA">
        <w:rPr>
          <w:rFonts w:ascii="Calibri" w:hAnsi="Calibri" w:cs="Calibri"/>
          <w:b/>
          <w:bCs/>
          <w:iCs/>
        </w:rPr>
        <w:t>The Committee draws the attention of the Legislative Assembly to the discussion of human rights issues in the explanatory statements for th</w:t>
      </w:r>
      <w:r>
        <w:rPr>
          <w:rFonts w:ascii="Calibri" w:hAnsi="Calibri" w:cs="Calibri"/>
          <w:b/>
          <w:bCs/>
          <w:iCs/>
        </w:rPr>
        <w:t>is</w:t>
      </w:r>
      <w:r w:rsidRPr="00AE31AA">
        <w:rPr>
          <w:rFonts w:ascii="Calibri" w:hAnsi="Calibri" w:cs="Calibri"/>
          <w:b/>
          <w:bCs/>
          <w:iCs/>
        </w:rPr>
        <w:t xml:space="preserve"> instrument.</w:t>
      </w:r>
    </w:p>
    <w:p w:rsidR="000F300D" w:rsidRPr="00AE31AA" w:rsidRDefault="000F300D" w:rsidP="000F300D">
      <w:pPr>
        <w:widowControl w:val="0"/>
        <w:tabs>
          <w:tab w:val="left" w:pos="1276"/>
        </w:tabs>
        <w:spacing w:before="120" w:after="120" w:line="300" w:lineRule="exact"/>
        <w:rPr>
          <w:rFonts w:ascii="Calibri" w:hAnsi="Calibri" w:cs="Calibri"/>
          <w:b/>
          <w:bCs/>
          <w:iCs/>
        </w:rPr>
      </w:pPr>
      <w:r w:rsidRPr="00AE31AA">
        <w:rPr>
          <w:rFonts w:ascii="Calibri" w:hAnsi="Calibri" w:cs="Calibri"/>
          <w:b/>
          <w:bCs/>
          <w:iCs/>
        </w:rPr>
        <w:t>This comment does not require a response from the Minister.</w:t>
      </w:r>
    </w:p>
    <w:bookmarkEnd w:id="518"/>
    <w:p w:rsidR="000F300D" w:rsidRPr="00AE31AA" w:rsidRDefault="000F300D" w:rsidP="000F300D">
      <w:pPr>
        <w:widowControl w:val="0"/>
        <w:tabs>
          <w:tab w:val="left" w:pos="1276"/>
        </w:tabs>
        <w:spacing w:before="120" w:after="120" w:line="300" w:lineRule="exact"/>
        <w:rPr>
          <w:rFonts w:ascii="Calibri" w:hAnsi="Calibri" w:cs="Calibri"/>
          <w:i/>
        </w:rPr>
      </w:pPr>
      <w:r w:rsidRPr="00AE31AA">
        <w:rPr>
          <w:rFonts w:ascii="Calibri" w:hAnsi="Calibri" w:cs="Calibri"/>
          <w:i/>
        </w:rPr>
        <w:t>Human rights issues</w:t>
      </w:r>
    </w:p>
    <w:p w:rsidR="000F300D" w:rsidRDefault="000F300D" w:rsidP="000F300D">
      <w:pPr>
        <w:pStyle w:val="Bodycopy"/>
        <w:spacing w:after="0" w:line="280" w:lineRule="exact"/>
        <w:rPr>
          <w:b/>
        </w:rPr>
      </w:pPr>
      <w:r>
        <w:rPr>
          <w:b/>
        </w:rPr>
        <w:t>Disallowable Instrument</w:t>
      </w:r>
      <w:r w:rsidRPr="00451C85">
        <w:rPr>
          <w:b/>
        </w:rPr>
        <w:t xml:space="preserve"> </w:t>
      </w:r>
      <w:r>
        <w:rPr>
          <w:b/>
        </w:rPr>
        <w:t>DI2021-22</w:t>
      </w:r>
      <w:r w:rsidRPr="00451C85">
        <w:rPr>
          <w:b/>
        </w:rPr>
        <w:t xml:space="preserve"> being the </w:t>
      </w:r>
      <w:r>
        <w:rPr>
          <w:b/>
        </w:rPr>
        <w:t>Pest Plants and Animals (Pest Plants—</w:t>
      </w:r>
      <w:proofErr w:type="spellStart"/>
      <w:r>
        <w:rPr>
          <w:b/>
        </w:rPr>
        <w:t>Frogbit</w:t>
      </w:r>
      <w:proofErr w:type="spellEnd"/>
      <w:r>
        <w:rPr>
          <w:b/>
        </w:rPr>
        <w:t xml:space="preserve">) Declaration 2021 made under section 7 of the </w:t>
      </w:r>
      <w:bookmarkStart w:id="519" w:name="_Hlk68627403"/>
      <w:r>
        <w:rPr>
          <w:i/>
        </w:rPr>
        <w:t>Pest Plants and Animals Act 2005</w:t>
      </w:r>
      <w:r w:rsidRPr="00236BDD">
        <w:rPr>
          <w:b/>
        </w:rPr>
        <w:t xml:space="preserve"> </w:t>
      </w:r>
      <w:bookmarkEnd w:id="519"/>
      <w:r>
        <w:rPr>
          <w:b/>
        </w:rPr>
        <w:t xml:space="preserve">determines a specified plant to be a pest plant. </w:t>
      </w:r>
    </w:p>
    <w:p w:rsidR="000F300D" w:rsidRPr="00842199" w:rsidRDefault="000F300D" w:rsidP="000F300D">
      <w:pPr>
        <w:pStyle w:val="Bodycopy"/>
        <w:spacing w:after="0" w:line="280" w:lineRule="exact"/>
        <w:rPr>
          <w:b/>
        </w:rPr>
      </w:pPr>
      <w:r>
        <w:rPr>
          <w:b/>
        </w:rPr>
        <w:t>Disallowable Instrument</w:t>
      </w:r>
      <w:r w:rsidRPr="00451C85">
        <w:rPr>
          <w:b/>
        </w:rPr>
        <w:t xml:space="preserve"> </w:t>
      </w:r>
      <w:r>
        <w:rPr>
          <w:b/>
        </w:rPr>
        <w:t>DI2021-40</w:t>
      </w:r>
      <w:r w:rsidRPr="00451C85">
        <w:rPr>
          <w:b/>
        </w:rPr>
        <w:t xml:space="preserve"> being the </w:t>
      </w:r>
      <w:r>
        <w:rPr>
          <w:b/>
        </w:rPr>
        <w:t xml:space="preserve">Pest Plants and Animals (Pest Animal) Declaration 2021 (No 1) made under section 16 of the </w:t>
      </w:r>
      <w:r>
        <w:rPr>
          <w:i/>
        </w:rPr>
        <w:t>Pest Plants and Animals Act 2005</w:t>
      </w:r>
      <w:r w:rsidRPr="00236BDD">
        <w:rPr>
          <w:b/>
        </w:rPr>
        <w:t xml:space="preserve"> </w:t>
      </w:r>
      <w:r>
        <w:rPr>
          <w:b/>
        </w:rPr>
        <w:t xml:space="preserve">determines a specified animal to be a pest animal. </w:t>
      </w:r>
    </w:p>
    <w:p w:rsidR="000F300D" w:rsidRDefault="000F300D" w:rsidP="000F300D">
      <w:pPr>
        <w:widowControl w:val="0"/>
        <w:tabs>
          <w:tab w:val="left" w:pos="1276"/>
        </w:tabs>
        <w:spacing w:before="120" w:after="120" w:line="300" w:lineRule="exact"/>
        <w:rPr>
          <w:rFonts w:ascii="Calibri" w:hAnsi="Calibri" w:cs="Calibri"/>
          <w:iCs/>
        </w:rPr>
      </w:pPr>
      <w:r>
        <w:rPr>
          <w:rFonts w:ascii="Calibri" w:hAnsi="Calibri" w:cs="Calibri"/>
          <w:iCs/>
        </w:rPr>
        <w:t xml:space="preserve">This first instrument mentioned above, made under section 7 of the </w:t>
      </w:r>
      <w:r w:rsidRPr="00AE31AA">
        <w:rPr>
          <w:rFonts w:ascii="Calibri" w:hAnsi="Calibri" w:cs="Calibri"/>
          <w:i/>
        </w:rPr>
        <w:t>Pest Plants and Animals Act 2005</w:t>
      </w:r>
      <w:r>
        <w:rPr>
          <w:rFonts w:ascii="Calibri" w:hAnsi="Calibri" w:cs="Calibri"/>
          <w:iCs/>
        </w:rPr>
        <w:t xml:space="preserve">, declares the </w:t>
      </w:r>
      <w:proofErr w:type="spellStart"/>
      <w:r>
        <w:rPr>
          <w:rFonts w:ascii="Calibri" w:hAnsi="Calibri" w:cs="Calibri"/>
          <w:i/>
        </w:rPr>
        <w:t>Limnobium</w:t>
      </w:r>
      <w:proofErr w:type="spellEnd"/>
      <w:r>
        <w:rPr>
          <w:rFonts w:ascii="Calibri" w:hAnsi="Calibri" w:cs="Calibri"/>
          <w:i/>
        </w:rPr>
        <w:t xml:space="preserve"> </w:t>
      </w:r>
      <w:proofErr w:type="spellStart"/>
      <w:r>
        <w:rPr>
          <w:rFonts w:ascii="Calibri" w:hAnsi="Calibri" w:cs="Calibri"/>
          <w:i/>
        </w:rPr>
        <w:t>laevigatum</w:t>
      </w:r>
      <w:proofErr w:type="spellEnd"/>
      <w:r w:rsidRPr="00AE31AA">
        <w:rPr>
          <w:rFonts w:ascii="Calibri" w:hAnsi="Calibri" w:cs="Calibri"/>
          <w:iCs/>
        </w:rPr>
        <w:t>, or “</w:t>
      </w:r>
      <w:proofErr w:type="spellStart"/>
      <w:r w:rsidRPr="00AE31AA">
        <w:rPr>
          <w:rFonts w:ascii="Calibri" w:hAnsi="Calibri" w:cs="Calibri"/>
          <w:iCs/>
        </w:rPr>
        <w:t>frogbit</w:t>
      </w:r>
      <w:proofErr w:type="spellEnd"/>
      <w:r w:rsidRPr="00AE31AA">
        <w:rPr>
          <w:rFonts w:ascii="Calibri" w:hAnsi="Calibri" w:cs="Calibri"/>
          <w:iCs/>
        </w:rPr>
        <w:t>”</w:t>
      </w:r>
      <w:r>
        <w:rPr>
          <w:rFonts w:ascii="Calibri" w:hAnsi="Calibri" w:cs="Calibri"/>
          <w:iCs/>
        </w:rPr>
        <w:t>, to be a “pest plant” for that Act.  The effect of the declaration is that:</w:t>
      </w:r>
    </w:p>
    <w:p w:rsidR="000F300D" w:rsidRDefault="000F300D" w:rsidP="000F300D">
      <w:pPr>
        <w:widowControl w:val="0"/>
        <w:numPr>
          <w:ilvl w:val="0"/>
          <w:numId w:val="25"/>
        </w:numPr>
        <w:tabs>
          <w:tab w:val="left" w:pos="1276"/>
        </w:tabs>
        <w:spacing w:before="120" w:after="120" w:line="300" w:lineRule="exact"/>
        <w:rPr>
          <w:rFonts w:ascii="Calibri" w:hAnsi="Calibri" w:cs="Calibri"/>
          <w:iCs/>
        </w:rPr>
      </w:pPr>
      <w:r>
        <w:rPr>
          <w:rFonts w:ascii="Calibri" w:hAnsi="Calibri" w:cs="Calibri"/>
          <w:iCs/>
        </w:rPr>
        <w:t>the presence of the plant must be notified to the relevant director-general;</w:t>
      </w:r>
    </w:p>
    <w:p w:rsidR="000F300D" w:rsidRDefault="000F300D" w:rsidP="000F300D">
      <w:pPr>
        <w:widowControl w:val="0"/>
        <w:numPr>
          <w:ilvl w:val="0"/>
          <w:numId w:val="25"/>
        </w:numPr>
        <w:tabs>
          <w:tab w:val="left" w:pos="1276"/>
        </w:tabs>
        <w:spacing w:before="120" w:after="120" w:line="300" w:lineRule="exact"/>
        <w:rPr>
          <w:rFonts w:ascii="Calibri" w:hAnsi="Calibri" w:cs="Calibri"/>
          <w:iCs/>
        </w:rPr>
      </w:pPr>
      <w:r>
        <w:rPr>
          <w:rFonts w:ascii="Calibri" w:hAnsi="Calibri" w:cs="Calibri"/>
          <w:iCs/>
        </w:rPr>
        <w:t>the plant must be suppressed; and</w:t>
      </w:r>
    </w:p>
    <w:p w:rsidR="000F300D" w:rsidRDefault="000F300D" w:rsidP="000F300D">
      <w:pPr>
        <w:widowControl w:val="0"/>
        <w:numPr>
          <w:ilvl w:val="0"/>
          <w:numId w:val="25"/>
        </w:numPr>
        <w:tabs>
          <w:tab w:val="left" w:pos="1276"/>
        </w:tabs>
        <w:spacing w:before="120" w:after="120" w:line="300" w:lineRule="exact"/>
        <w:rPr>
          <w:rFonts w:ascii="Calibri" w:hAnsi="Calibri" w:cs="Calibri"/>
          <w:iCs/>
        </w:rPr>
      </w:pPr>
      <w:proofErr w:type="gramStart"/>
      <w:r>
        <w:rPr>
          <w:rFonts w:ascii="Calibri" w:hAnsi="Calibri" w:cs="Calibri"/>
          <w:iCs/>
        </w:rPr>
        <w:t>propagation</w:t>
      </w:r>
      <w:proofErr w:type="gramEnd"/>
      <w:r>
        <w:rPr>
          <w:rFonts w:ascii="Calibri" w:hAnsi="Calibri" w:cs="Calibri"/>
          <w:iCs/>
        </w:rPr>
        <w:t xml:space="preserve"> and supply of the plant is prohibited.</w:t>
      </w:r>
    </w:p>
    <w:p w:rsidR="000F300D" w:rsidRDefault="000F300D" w:rsidP="000F300D">
      <w:pPr>
        <w:widowControl w:val="0"/>
        <w:tabs>
          <w:tab w:val="left" w:pos="1276"/>
        </w:tabs>
        <w:spacing w:before="120" w:after="120" w:line="300" w:lineRule="exact"/>
        <w:ind w:left="45"/>
        <w:rPr>
          <w:rFonts w:ascii="Calibri" w:hAnsi="Calibri" w:cs="Calibri"/>
          <w:iCs/>
        </w:rPr>
      </w:pPr>
      <w:r>
        <w:rPr>
          <w:rFonts w:ascii="Calibri" w:hAnsi="Calibri" w:cs="Calibri"/>
          <w:iCs/>
        </w:rPr>
        <w:t>The Committee notes that the explanatory statement for the first instrument mentioned above addresses human rights issues:</w:t>
      </w:r>
    </w:p>
    <w:p w:rsidR="000F300D" w:rsidRPr="006C2C69" w:rsidRDefault="000F300D" w:rsidP="000F300D">
      <w:pPr>
        <w:spacing w:before="120" w:after="120"/>
        <w:ind w:left="720"/>
        <w:rPr>
          <w:rFonts w:ascii="Calibri" w:hAnsi="Calibri" w:cs="Calibri"/>
          <w:b/>
          <w:bCs/>
        </w:rPr>
      </w:pPr>
      <w:r w:rsidRPr="006C2C69">
        <w:rPr>
          <w:rFonts w:ascii="Calibri" w:hAnsi="Calibri" w:cs="Calibri"/>
          <w:b/>
          <w:bCs/>
        </w:rPr>
        <w:t>Human Rights implications</w:t>
      </w:r>
    </w:p>
    <w:p w:rsidR="000F300D" w:rsidRPr="006C2C69" w:rsidRDefault="000F300D" w:rsidP="000F300D">
      <w:pPr>
        <w:spacing w:before="120" w:after="120"/>
        <w:ind w:left="720"/>
        <w:rPr>
          <w:rFonts w:ascii="Calibri" w:hAnsi="Calibri" w:cs="Calibri"/>
        </w:rPr>
      </w:pPr>
      <w:r w:rsidRPr="006C2C69">
        <w:rPr>
          <w:rFonts w:ascii="Calibri" w:hAnsi="Calibri" w:cs="Calibri"/>
        </w:rPr>
        <w:t xml:space="preserve">There are no human rights implications arising from the declaration of a pest plant. The instrument does not engage any rights under the </w:t>
      </w:r>
      <w:r w:rsidRPr="006C2C69">
        <w:rPr>
          <w:rFonts w:ascii="Calibri" w:hAnsi="Calibri" w:cs="Calibri"/>
          <w:i/>
          <w:iCs/>
        </w:rPr>
        <w:t>Human Rights Act 2004</w:t>
      </w:r>
      <w:r w:rsidRPr="006C2C69">
        <w:rPr>
          <w:rFonts w:ascii="Calibri" w:hAnsi="Calibri" w:cs="Calibri"/>
        </w:rPr>
        <w:t xml:space="preserve">. </w:t>
      </w:r>
    </w:p>
    <w:p w:rsidR="000F300D" w:rsidRDefault="000F300D" w:rsidP="000F300D">
      <w:pPr>
        <w:spacing w:before="120" w:after="120"/>
        <w:rPr>
          <w:rFonts w:ascii="Calibri" w:hAnsi="Calibri" w:cs="Calibri"/>
          <w:iCs/>
        </w:rPr>
      </w:pPr>
      <w:r w:rsidRPr="00AE31AA">
        <w:rPr>
          <w:rFonts w:ascii="Calibri" w:hAnsi="Calibri" w:cs="Calibri"/>
          <w:iCs/>
        </w:rPr>
        <w:t xml:space="preserve">The second instrument mentioned above, made under section 16 of the Pest Plants and Animals Act, declares the </w:t>
      </w:r>
      <w:proofErr w:type="spellStart"/>
      <w:r>
        <w:rPr>
          <w:rFonts w:ascii="Calibri" w:hAnsi="Calibri" w:cs="Calibri"/>
          <w:i/>
        </w:rPr>
        <w:t>Trogoderma</w:t>
      </w:r>
      <w:proofErr w:type="spellEnd"/>
      <w:r>
        <w:rPr>
          <w:rFonts w:ascii="Calibri" w:hAnsi="Calibri" w:cs="Calibri"/>
          <w:i/>
        </w:rPr>
        <w:t xml:space="preserve"> </w:t>
      </w:r>
      <w:proofErr w:type="spellStart"/>
      <w:r>
        <w:rPr>
          <w:rFonts w:ascii="Calibri" w:hAnsi="Calibri" w:cs="Calibri"/>
          <w:i/>
        </w:rPr>
        <w:t>granarium</w:t>
      </w:r>
      <w:proofErr w:type="spellEnd"/>
      <w:r>
        <w:rPr>
          <w:rFonts w:ascii="Calibri" w:hAnsi="Calibri" w:cs="Calibri"/>
          <w:iCs/>
        </w:rPr>
        <w:t>, or “</w:t>
      </w:r>
      <w:proofErr w:type="spellStart"/>
      <w:r>
        <w:rPr>
          <w:rFonts w:ascii="Calibri" w:hAnsi="Calibri" w:cs="Calibri"/>
          <w:iCs/>
        </w:rPr>
        <w:t>khapra</w:t>
      </w:r>
      <w:proofErr w:type="spellEnd"/>
      <w:r>
        <w:rPr>
          <w:rFonts w:ascii="Calibri" w:hAnsi="Calibri" w:cs="Calibri"/>
          <w:iCs/>
        </w:rPr>
        <w:t xml:space="preserve"> beetle”, to be a pest animal (noting that the definition of “animal”, in the Pest Plants and Animals Act “includes ….</w:t>
      </w:r>
      <w:r w:rsidRPr="00AE31AA">
        <w:rPr>
          <w:rFonts w:ascii="Calibri" w:hAnsi="Calibri" w:cs="Calibri"/>
          <w:iCs/>
        </w:rPr>
        <w:t xml:space="preserve"> </w:t>
      </w:r>
      <w:proofErr w:type="gramStart"/>
      <w:r w:rsidRPr="00AE31AA">
        <w:rPr>
          <w:rFonts w:ascii="Calibri" w:hAnsi="Calibri" w:cs="Calibri"/>
          <w:iCs/>
        </w:rPr>
        <w:t>a</w:t>
      </w:r>
      <w:proofErr w:type="gramEnd"/>
      <w:r w:rsidRPr="00AE31AA">
        <w:rPr>
          <w:rFonts w:ascii="Calibri" w:hAnsi="Calibri" w:cs="Calibri"/>
          <w:iCs/>
        </w:rPr>
        <w:t xml:space="preserve"> vertebrate and an invertebrate</w:t>
      </w:r>
      <w:r>
        <w:rPr>
          <w:rFonts w:ascii="Calibri" w:hAnsi="Calibri" w:cs="Calibri"/>
          <w:iCs/>
        </w:rPr>
        <w:t>”).  The effect of the declaration is that:</w:t>
      </w:r>
    </w:p>
    <w:p w:rsidR="000F300D" w:rsidRDefault="000F300D" w:rsidP="000F300D">
      <w:pPr>
        <w:widowControl w:val="0"/>
        <w:numPr>
          <w:ilvl w:val="0"/>
          <w:numId w:val="26"/>
        </w:numPr>
        <w:tabs>
          <w:tab w:val="left" w:pos="1276"/>
        </w:tabs>
        <w:spacing w:before="120" w:after="120" w:line="300" w:lineRule="exact"/>
        <w:rPr>
          <w:rFonts w:ascii="Calibri" w:hAnsi="Calibri" w:cs="Calibri"/>
          <w:iCs/>
        </w:rPr>
      </w:pPr>
      <w:r>
        <w:rPr>
          <w:rFonts w:ascii="Calibri" w:hAnsi="Calibri" w:cs="Calibri"/>
          <w:iCs/>
        </w:rPr>
        <w:t xml:space="preserve">the presence of the </w:t>
      </w:r>
      <w:r w:rsidRPr="00AE31AA">
        <w:rPr>
          <w:rFonts w:ascii="Calibri" w:hAnsi="Calibri" w:cs="Calibri"/>
          <w:iCs/>
        </w:rPr>
        <w:t xml:space="preserve">animal must be notified to the </w:t>
      </w:r>
      <w:r>
        <w:rPr>
          <w:rFonts w:ascii="Calibri" w:hAnsi="Calibri" w:cs="Calibri"/>
          <w:iCs/>
        </w:rPr>
        <w:t xml:space="preserve">relevant </w:t>
      </w:r>
      <w:r w:rsidRPr="00AE31AA">
        <w:rPr>
          <w:rFonts w:ascii="Calibri" w:hAnsi="Calibri" w:cs="Calibri"/>
          <w:iCs/>
        </w:rPr>
        <w:t>director-general</w:t>
      </w:r>
      <w:r>
        <w:rPr>
          <w:rFonts w:ascii="Calibri" w:hAnsi="Calibri" w:cs="Calibri"/>
          <w:iCs/>
        </w:rPr>
        <w:t>; and</w:t>
      </w:r>
    </w:p>
    <w:p w:rsidR="000F300D" w:rsidRDefault="000F300D" w:rsidP="000F300D">
      <w:pPr>
        <w:widowControl w:val="0"/>
        <w:numPr>
          <w:ilvl w:val="0"/>
          <w:numId w:val="26"/>
        </w:numPr>
        <w:tabs>
          <w:tab w:val="left" w:pos="1276"/>
        </w:tabs>
        <w:spacing w:before="120" w:after="120" w:line="300" w:lineRule="exact"/>
        <w:rPr>
          <w:rFonts w:ascii="Calibri" w:hAnsi="Calibri" w:cs="Calibri"/>
          <w:iCs/>
        </w:rPr>
      </w:pPr>
      <w:proofErr w:type="gramStart"/>
      <w:r>
        <w:rPr>
          <w:rFonts w:ascii="Calibri" w:hAnsi="Calibri" w:cs="Calibri"/>
          <w:iCs/>
        </w:rPr>
        <w:t>the</w:t>
      </w:r>
      <w:proofErr w:type="gramEnd"/>
      <w:r>
        <w:rPr>
          <w:rFonts w:ascii="Calibri" w:hAnsi="Calibri" w:cs="Calibri"/>
          <w:iCs/>
        </w:rPr>
        <w:t xml:space="preserve"> supply or keeping of the animal is prohibited.</w:t>
      </w:r>
    </w:p>
    <w:p w:rsidR="000F300D" w:rsidRDefault="000F300D" w:rsidP="000F300D">
      <w:pPr>
        <w:widowControl w:val="0"/>
        <w:tabs>
          <w:tab w:val="left" w:pos="1276"/>
        </w:tabs>
        <w:spacing w:before="120" w:after="120" w:line="300" w:lineRule="exact"/>
        <w:rPr>
          <w:rFonts w:ascii="Calibri" w:hAnsi="Calibri" w:cs="Calibri"/>
          <w:iCs/>
        </w:rPr>
      </w:pPr>
      <w:r>
        <w:rPr>
          <w:rFonts w:ascii="Calibri" w:hAnsi="Calibri" w:cs="Calibri"/>
          <w:iCs/>
        </w:rPr>
        <w:t>The Committee notes that the explanatory statement for the second instrument mentioned above contains a similar statement about human rights issues to that contained in the explanatory statement for the first instrument mentioned above.</w:t>
      </w:r>
    </w:p>
    <w:p w:rsidR="000F300D" w:rsidRPr="00AE31AA" w:rsidRDefault="000F300D" w:rsidP="000F300D">
      <w:pPr>
        <w:widowControl w:val="0"/>
        <w:tabs>
          <w:tab w:val="left" w:pos="1276"/>
        </w:tabs>
        <w:spacing w:before="120" w:after="120" w:line="300" w:lineRule="exact"/>
        <w:rPr>
          <w:rFonts w:ascii="Calibri" w:hAnsi="Calibri" w:cs="Calibri"/>
          <w:b/>
          <w:bCs/>
          <w:iCs/>
        </w:rPr>
      </w:pPr>
      <w:r w:rsidRPr="00AE31AA">
        <w:rPr>
          <w:rFonts w:ascii="Calibri" w:hAnsi="Calibri" w:cs="Calibri"/>
          <w:b/>
          <w:bCs/>
          <w:iCs/>
        </w:rPr>
        <w:t>The Committee draws the attention of the Legislative Assembly to the discussion of human rights issues in the explanatory statement for th</w:t>
      </w:r>
      <w:r>
        <w:rPr>
          <w:rFonts w:ascii="Calibri" w:hAnsi="Calibri" w:cs="Calibri"/>
          <w:b/>
          <w:bCs/>
          <w:iCs/>
        </w:rPr>
        <w:t>ese</w:t>
      </w:r>
      <w:r w:rsidRPr="00AE31AA">
        <w:rPr>
          <w:rFonts w:ascii="Calibri" w:hAnsi="Calibri" w:cs="Calibri"/>
          <w:b/>
          <w:bCs/>
          <w:iCs/>
        </w:rPr>
        <w:t xml:space="preserve"> instrument</w:t>
      </w:r>
      <w:r>
        <w:rPr>
          <w:rFonts w:ascii="Calibri" w:hAnsi="Calibri" w:cs="Calibri"/>
          <w:b/>
          <w:bCs/>
          <w:iCs/>
        </w:rPr>
        <w:t>s</w:t>
      </w:r>
      <w:r w:rsidRPr="00AE31AA">
        <w:rPr>
          <w:rFonts w:ascii="Calibri" w:hAnsi="Calibri" w:cs="Calibri"/>
          <w:b/>
          <w:bCs/>
          <w:iCs/>
        </w:rPr>
        <w:t>.</w:t>
      </w:r>
    </w:p>
    <w:p w:rsidR="000F300D" w:rsidRPr="00AE31AA" w:rsidRDefault="000F300D" w:rsidP="000F300D">
      <w:pPr>
        <w:widowControl w:val="0"/>
        <w:tabs>
          <w:tab w:val="left" w:pos="1276"/>
        </w:tabs>
        <w:spacing w:before="120" w:after="120" w:line="300" w:lineRule="exact"/>
        <w:rPr>
          <w:rFonts w:ascii="Calibri" w:hAnsi="Calibri" w:cs="Calibri"/>
          <w:b/>
          <w:bCs/>
          <w:iCs/>
        </w:rPr>
      </w:pPr>
      <w:r w:rsidRPr="00AE31AA">
        <w:rPr>
          <w:rFonts w:ascii="Calibri" w:hAnsi="Calibri" w:cs="Calibri"/>
          <w:b/>
          <w:bCs/>
          <w:iCs/>
        </w:rPr>
        <w:t>This comment does not require a response from the Minister.</w:t>
      </w:r>
    </w:p>
    <w:p w:rsidR="000F300D" w:rsidRDefault="000F300D" w:rsidP="000F300D">
      <w:pPr>
        <w:widowControl w:val="0"/>
        <w:tabs>
          <w:tab w:val="left" w:pos="1276"/>
        </w:tabs>
        <w:spacing w:before="120" w:after="120" w:line="300" w:lineRule="exact"/>
        <w:rPr>
          <w:rFonts w:ascii="Calibri" w:hAnsi="Calibri" w:cs="Calibri"/>
          <w:i/>
        </w:rPr>
      </w:pPr>
      <w:r>
        <w:rPr>
          <w:rFonts w:ascii="Calibri" w:hAnsi="Calibri" w:cs="Calibri"/>
          <w:i/>
        </w:rPr>
        <w:t>COVID-19-related instrument</w:t>
      </w:r>
    </w:p>
    <w:p w:rsidR="000F300D" w:rsidRPr="00842199" w:rsidRDefault="000F300D" w:rsidP="000F300D">
      <w:pPr>
        <w:pStyle w:val="Bodycopy"/>
        <w:spacing w:after="0" w:line="280" w:lineRule="exact"/>
        <w:rPr>
          <w:b/>
        </w:rPr>
      </w:pPr>
      <w:r>
        <w:rPr>
          <w:b/>
        </w:rPr>
        <w:t>Disallowable Instrument</w:t>
      </w:r>
      <w:r w:rsidRPr="00451C85">
        <w:rPr>
          <w:b/>
        </w:rPr>
        <w:t xml:space="preserve"> </w:t>
      </w:r>
      <w:r>
        <w:rPr>
          <w:b/>
        </w:rPr>
        <w:t>DI2021-23</w:t>
      </w:r>
      <w:r w:rsidRPr="00451C85">
        <w:rPr>
          <w:b/>
        </w:rPr>
        <w:t xml:space="preserve"> being the </w:t>
      </w:r>
      <w:r>
        <w:rPr>
          <w:b/>
        </w:rPr>
        <w:t xml:space="preserve">Liquor (COVID-19 Emergency Response—Licence Fee Waiver) Declaration 2021 (No 1) made under section 35 of the </w:t>
      </w:r>
      <w:r>
        <w:rPr>
          <w:i/>
        </w:rPr>
        <w:t>Liquor Regulation 2010</w:t>
      </w:r>
      <w:r w:rsidRPr="00236BDD">
        <w:rPr>
          <w:b/>
        </w:rPr>
        <w:t xml:space="preserve"> </w:t>
      </w:r>
      <w:r>
        <w:rPr>
          <w:b/>
        </w:rPr>
        <w:t xml:space="preserve">revokes DI2020-238 and waives fees payable for specified liquor licences due to the COVID-19 public health emergency. </w:t>
      </w:r>
    </w:p>
    <w:p w:rsidR="000F300D" w:rsidRDefault="000F300D" w:rsidP="000F300D">
      <w:pPr>
        <w:widowControl w:val="0"/>
        <w:tabs>
          <w:tab w:val="left" w:pos="1276"/>
        </w:tabs>
        <w:spacing w:before="120" w:after="120" w:line="300" w:lineRule="exact"/>
        <w:rPr>
          <w:rFonts w:ascii="Calibri" w:hAnsi="Calibri" w:cs="Calibri"/>
          <w:iCs/>
        </w:rPr>
      </w:pPr>
      <w:r>
        <w:rPr>
          <w:rFonts w:ascii="Calibri" w:hAnsi="Calibri" w:cs="Calibri"/>
          <w:iCs/>
        </w:rPr>
        <w:t xml:space="preserve">The Committee notes that this instrument extends (to 30 June 2021) the waiver of fees otherwise payable under the </w:t>
      </w:r>
      <w:r>
        <w:rPr>
          <w:rFonts w:ascii="Calibri" w:hAnsi="Calibri" w:cs="Calibri"/>
          <w:i/>
        </w:rPr>
        <w:t>Liquor Act 2010</w:t>
      </w:r>
      <w:r w:rsidR="00F6392B">
        <w:rPr>
          <w:rFonts w:ascii="Calibri" w:hAnsi="Calibri" w:cs="Calibri"/>
          <w:i/>
        </w:rPr>
        <w:t xml:space="preserve">. </w:t>
      </w:r>
      <w:r w:rsidRPr="00AE31AA">
        <w:rPr>
          <w:rFonts w:ascii="Calibri" w:hAnsi="Calibri" w:cs="Calibri"/>
          <w:iCs/>
        </w:rPr>
        <w:t xml:space="preserve">The </w:t>
      </w:r>
      <w:r>
        <w:rPr>
          <w:rFonts w:ascii="Calibri" w:hAnsi="Calibri" w:cs="Calibri"/>
          <w:iCs/>
        </w:rPr>
        <w:t xml:space="preserve">relevant </w:t>
      </w:r>
      <w:r w:rsidRPr="00AE31AA">
        <w:rPr>
          <w:rFonts w:ascii="Calibri" w:hAnsi="Calibri" w:cs="Calibri"/>
          <w:iCs/>
        </w:rPr>
        <w:t>waiver</w:t>
      </w:r>
      <w:r>
        <w:rPr>
          <w:rFonts w:ascii="Calibri" w:hAnsi="Calibri" w:cs="Calibri"/>
          <w:iCs/>
        </w:rPr>
        <w:t xml:space="preserve"> was most recen</w:t>
      </w:r>
      <w:r w:rsidR="000241B1">
        <w:rPr>
          <w:rFonts w:ascii="Calibri" w:hAnsi="Calibri" w:cs="Calibri"/>
          <w:iCs/>
        </w:rPr>
        <w:t>tly made by</w:t>
      </w:r>
      <w:r w:rsidRPr="00AE31AA">
        <w:rPr>
          <w:rFonts w:ascii="Calibri" w:hAnsi="Calibri" w:cs="Calibri"/>
          <w:iCs/>
        </w:rPr>
        <w:t xml:space="preserve"> Liquor (COVID-19 Emergency Response—Licence Fee Waiver) Declaration 2020 (No 2)</w:t>
      </w:r>
      <w:r w:rsidR="000241B1">
        <w:rPr>
          <w:rFonts w:ascii="Calibri" w:hAnsi="Calibri" w:cs="Calibri"/>
          <w:iCs/>
        </w:rPr>
        <w:t xml:space="preserve"> [</w:t>
      </w:r>
      <w:r w:rsidRPr="00AE31AA">
        <w:rPr>
          <w:rFonts w:ascii="Calibri" w:hAnsi="Calibri" w:cs="Calibri"/>
          <w:iCs/>
        </w:rPr>
        <w:t>DI2020-238</w:t>
      </w:r>
      <w:r w:rsidR="000241B1">
        <w:rPr>
          <w:rFonts w:ascii="Calibri" w:hAnsi="Calibri" w:cs="Calibri"/>
          <w:iCs/>
        </w:rPr>
        <w:t>]</w:t>
      </w:r>
      <w:r>
        <w:rPr>
          <w:rFonts w:ascii="Calibri" w:hAnsi="Calibri" w:cs="Calibri"/>
          <w:iCs/>
        </w:rPr>
        <w:t>, which expired on 31</w:t>
      </w:r>
      <w:r w:rsidR="00F6392B">
        <w:rPr>
          <w:rFonts w:ascii="Calibri" w:hAnsi="Calibri" w:cs="Calibri"/>
          <w:iCs/>
        </w:rPr>
        <w:t xml:space="preserve"> March 2021.</w:t>
      </w:r>
      <w:r>
        <w:rPr>
          <w:rFonts w:ascii="Calibri" w:hAnsi="Calibri" w:cs="Calibri"/>
          <w:iCs/>
        </w:rPr>
        <w:t xml:space="preserve"> That instrument continued in effect a waiver originally implemented by the </w:t>
      </w:r>
      <w:r w:rsidRPr="00AE31AA">
        <w:rPr>
          <w:rFonts w:ascii="Calibri" w:hAnsi="Calibri" w:cs="Calibri"/>
          <w:iCs/>
        </w:rPr>
        <w:t>Liquor (COVID-19 Emergency Response—Licence Fee Waiver) Declaration 2020 [DI2020-119] and the Liquor (Public Health Emergency—Licence Fee Waiver) Declaration 2020 [DI2020 45].</w:t>
      </w:r>
    </w:p>
    <w:p w:rsidR="000F300D" w:rsidRDefault="000F300D" w:rsidP="000F300D">
      <w:pPr>
        <w:widowControl w:val="0"/>
        <w:tabs>
          <w:tab w:val="left" w:pos="1276"/>
        </w:tabs>
        <w:spacing w:before="120" w:after="120" w:line="300" w:lineRule="exact"/>
        <w:rPr>
          <w:rFonts w:ascii="Calibri" w:hAnsi="Calibri" w:cs="Calibri"/>
          <w:iCs/>
        </w:rPr>
      </w:pPr>
      <w:r>
        <w:rPr>
          <w:rFonts w:ascii="Calibri" w:hAnsi="Calibri" w:cs="Calibri"/>
          <w:iCs/>
        </w:rPr>
        <w:t>The explanatory statement for the instrument makes it clear that the relevant waivers are part of the legislative response to the effects of the COVID-19 pandemic.  The explanatory statement states:</w:t>
      </w:r>
    </w:p>
    <w:p w:rsidR="000F300D" w:rsidRDefault="000F300D" w:rsidP="000F300D">
      <w:pPr>
        <w:widowControl w:val="0"/>
        <w:tabs>
          <w:tab w:val="left" w:pos="1276"/>
        </w:tabs>
        <w:spacing w:before="120" w:after="120" w:line="300" w:lineRule="exact"/>
        <w:ind w:left="720"/>
        <w:rPr>
          <w:rFonts w:ascii="Calibri" w:hAnsi="Calibri" w:cs="Calibri"/>
          <w:iCs/>
        </w:rPr>
      </w:pPr>
      <w:r w:rsidRPr="00AE31AA">
        <w:rPr>
          <w:rFonts w:ascii="Calibri" w:hAnsi="Calibri" w:cs="Calibri"/>
          <w:iCs/>
        </w:rPr>
        <w:t>This instrument commences on the day after its notification and expires on 30 June 2021. The waivers for fees at items 501 (1) to (4) and 501 (5) (a) to (e) which commenced in the previous instrument [DI2020-45] expire on 31 March 2021, to ensure that they are in place for 12 months in total. The waiver for the fee for an application for a general licence at item 500 expires on 30 June 2021, as approved by the Treasurer.</w:t>
      </w:r>
    </w:p>
    <w:p w:rsidR="000F300D" w:rsidRDefault="000F300D" w:rsidP="000F300D">
      <w:pPr>
        <w:pStyle w:val="Paper"/>
        <w:spacing w:before="160" w:after="160" w:line="280" w:lineRule="exact"/>
        <w:rPr>
          <w:rFonts w:ascii="Calibri" w:hAnsi="Calibri" w:cs="Calibri"/>
          <w:b/>
          <w:bCs/>
          <w:sz w:val="22"/>
          <w:szCs w:val="22"/>
          <w:lang w:eastAsia="en-AU"/>
        </w:rPr>
      </w:pPr>
      <w:r w:rsidRPr="00A66BED">
        <w:rPr>
          <w:rFonts w:ascii="Calibri" w:hAnsi="Calibri" w:cs="Calibri"/>
          <w:b/>
          <w:bCs/>
          <w:sz w:val="22"/>
          <w:szCs w:val="22"/>
          <w:lang w:eastAsia="en-AU"/>
        </w:rPr>
        <w:t>This comment does not require a response from the Minister.</w:t>
      </w:r>
    </w:p>
    <w:p w:rsidR="000F300D" w:rsidRPr="00AE31AA" w:rsidRDefault="000F300D" w:rsidP="000F300D">
      <w:pPr>
        <w:widowControl w:val="0"/>
        <w:tabs>
          <w:tab w:val="left" w:pos="1276"/>
        </w:tabs>
        <w:spacing w:before="120" w:after="120" w:line="300" w:lineRule="exact"/>
        <w:ind w:left="45"/>
        <w:rPr>
          <w:rFonts w:ascii="Calibri" w:hAnsi="Calibri" w:cs="Calibri"/>
          <w:i/>
        </w:rPr>
      </w:pPr>
      <w:r w:rsidRPr="00AE31AA">
        <w:rPr>
          <w:rFonts w:ascii="Calibri" w:hAnsi="Calibri" w:cs="Calibri"/>
          <w:i/>
        </w:rPr>
        <w:t>Human rights issues</w:t>
      </w:r>
    </w:p>
    <w:p w:rsidR="000F300D" w:rsidRPr="00842199" w:rsidRDefault="000F300D" w:rsidP="000F300D">
      <w:pPr>
        <w:pStyle w:val="Bodycopy"/>
        <w:spacing w:after="0" w:line="280" w:lineRule="exact"/>
        <w:rPr>
          <w:b/>
        </w:rPr>
      </w:pPr>
      <w:r>
        <w:rPr>
          <w:b/>
        </w:rPr>
        <w:t>Disallowable Instrument</w:t>
      </w:r>
      <w:r w:rsidRPr="00451C85">
        <w:rPr>
          <w:b/>
        </w:rPr>
        <w:t xml:space="preserve"> </w:t>
      </w:r>
      <w:r>
        <w:rPr>
          <w:b/>
        </w:rPr>
        <w:t>DI2021-25</w:t>
      </w:r>
      <w:r w:rsidRPr="00451C85">
        <w:rPr>
          <w:b/>
        </w:rPr>
        <w:t xml:space="preserve"> being the </w:t>
      </w:r>
      <w:r>
        <w:rPr>
          <w:b/>
        </w:rPr>
        <w:t xml:space="preserve">Public Place Names (Belconnen District) Determination 2021 made under section 3 of the </w:t>
      </w:r>
      <w:bookmarkStart w:id="520" w:name="_Hlk68628284"/>
      <w:r>
        <w:rPr>
          <w:i/>
        </w:rPr>
        <w:t>Public Place Names Act 1989</w:t>
      </w:r>
      <w:r w:rsidRPr="00236BDD">
        <w:rPr>
          <w:b/>
        </w:rPr>
        <w:t xml:space="preserve"> </w:t>
      </w:r>
      <w:bookmarkEnd w:id="520"/>
      <w:r>
        <w:rPr>
          <w:b/>
        </w:rPr>
        <w:t xml:space="preserve">changes the name of a section of road in the district of Belconnen. </w:t>
      </w:r>
    </w:p>
    <w:p w:rsidR="000F300D" w:rsidRDefault="000F300D" w:rsidP="000F300D">
      <w:pPr>
        <w:widowControl w:val="0"/>
        <w:tabs>
          <w:tab w:val="left" w:pos="1276"/>
        </w:tabs>
        <w:spacing w:before="120" w:after="120" w:line="300" w:lineRule="exact"/>
        <w:ind w:left="45"/>
        <w:rPr>
          <w:rFonts w:ascii="Calibri" w:hAnsi="Calibri"/>
          <w:iCs/>
        </w:rPr>
      </w:pPr>
      <w:r>
        <w:rPr>
          <w:rFonts w:ascii="Calibri" w:hAnsi="Calibri" w:cs="Calibri"/>
          <w:iCs/>
        </w:rPr>
        <w:t xml:space="preserve">This instrument, made under section 3 of the </w:t>
      </w:r>
      <w:r w:rsidRPr="00AE31AA">
        <w:rPr>
          <w:rFonts w:ascii="Calibri" w:hAnsi="Calibri"/>
          <w:i/>
        </w:rPr>
        <w:t>Public Place Names Act 1989</w:t>
      </w:r>
      <w:r>
        <w:rPr>
          <w:rFonts w:ascii="Calibri" w:hAnsi="Calibri"/>
          <w:iCs/>
        </w:rPr>
        <w:t>, revokes and re-makes an instrument th</w:t>
      </w:r>
      <w:r w:rsidR="00E37E6A">
        <w:rPr>
          <w:rFonts w:ascii="Calibri" w:hAnsi="Calibri"/>
          <w:iCs/>
        </w:rPr>
        <w:t>at names a street in Belconnen.</w:t>
      </w:r>
      <w:r>
        <w:rPr>
          <w:rFonts w:ascii="Calibri" w:hAnsi="Calibri"/>
          <w:iCs/>
        </w:rPr>
        <w:t xml:space="preserve"> The explanatory statement for the instrument states:</w:t>
      </w:r>
    </w:p>
    <w:p w:rsidR="000F300D" w:rsidRPr="006C2C69" w:rsidRDefault="000F300D" w:rsidP="000F300D">
      <w:pPr>
        <w:spacing w:before="120" w:after="120"/>
        <w:ind w:left="720"/>
        <w:rPr>
          <w:rFonts w:ascii="Calibri" w:hAnsi="Calibri" w:cs="Calibri"/>
        </w:rPr>
      </w:pPr>
      <w:r w:rsidRPr="006C2C69">
        <w:rPr>
          <w:rFonts w:ascii="Calibri" w:hAnsi="Calibri" w:cs="Calibri"/>
        </w:rPr>
        <w:t xml:space="preserve">On 28 November 2018 the ACT Legislative Assembly (the Assembly) called on the </w:t>
      </w:r>
      <w:r w:rsidRPr="006C2C69">
        <w:rPr>
          <w:rFonts w:ascii="Calibri" w:hAnsi="Calibri" w:cs="Calibri"/>
        </w:rPr>
        <w:br w:type="textWrapping" w:clear="all"/>
        <w:t>ACT Government to review a number of matters relating to the naming of public places, including a review of particular place names that had been the subject of community disquiet. Following the completion of the ACT Place Names Committee and Guidelines Review in June 2019, the Minister for Planning and Land Management (the Minister) announced his decision to change the name of William Slim Drive.</w:t>
      </w:r>
    </w:p>
    <w:p w:rsidR="000F300D" w:rsidRPr="006C2C69" w:rsidRDefault="000F300D" w:rsidP="000F300D">
      <w:pPr>
        <w:spacing w:before="120" w:after="120"/>
        <w:rPr>
          <w:rFonts w:ascii="Calibri" w:hAnsi="Calibri" w:cs="Calibri"/>
        </w:rPr>
      </w:pPr>
      <w:r w:rsidRPr="006C2C69">
        <w:rPr>
          <w:rFonts w:ascii="Calibri" w:hAnsi="Calibri" w:cs="Calibri"/>
        </w:rPr>
        <w:t>The explanatory statement goes on to discuss human rights issues:</w:t>
      </w:r>
    </w:p>
    <w:p w:rsidR="000F300D" w:rsidRPr="006C2C69" w:rsidRDefault="000F300D" w:rsidP="000F300D">
      <w:pPr>
        <w:keepNext/>
        <w:spacing w:before="120" w:after="120"/>
        <w:ind w:left="720"/>
        <w:rPr>
          <w:rFonts w:ascii="Calibri" w:hAnsi="Calibri" w:cs="Calibri"/>
          <w:i/>
          <w:iCs/>
        </w:rPr>
      </w:pPr>
      <w:r w:rsidRPr="006C2C69">
        <w:rPr>
          <w:rFonts w:ascii="Calibri" w:hAnsi="Calibri" w:cs="Calibri"/>
          <w:u w:val="single"/>
        </w:rPr>
        <w:t>Human Rights</w:t>
      </w:r>
    </w:p>
    <w:p w:rsidR="000F300D" w:rsidRPr="006C2C69" w:rsidRDefault="000F300D" w:rsidP="000F300D">
      <w:pPr>
        <w:spacing w:before="120" w:after="120"/>
        <w:ind w:left="720"/>
        <w:rPr>
          <w:rFonts w:ascii="Calibri" w:hAnsi="Calibri" w:cs="Calibri"/>
        </w:rPr>
      </w:pPr>
      <w:r w:rsidRPr="006C2C69">
        <w:rPr>
          <w:rFonts w:ascii="Calibri" w:hAnsi="Calibri" w:cs="Calibri"/>
        </w:rPr>
        <w:t xml:space="preserve">Section 12 of the </w:t>
      </w:r>
      <w:r w:rsidRPr="006C2C69">
        <w:rPr>
          <w:rFonts w:ascii="Calibri" w:hAnsi="Calibri" w:cs="Calibri"/>
          <w:i/>
        </w:rPr>
        <w:t>Human Rights Act 2004</w:t>
      </w:r>
      <w:r w:rsidRPr="006C2C69">
        <w:rPr>
          <w:rFonts w:ascii="Calibri" w:hAnsi="Calibri" w:cs="Calibri"/>
        </w:rPr>
        <w:t xml:space="preserve"> creates a right to privacy and reputation. This determination does not have the potential to infringe this right because it does not name any places after people. </w:t>
      </w:r>
    </w:p>
    <w:p w:rsidR="000F300D" w:rsidRPr="00AE31AA" w:rsidRDefault="000F300D" w:rsidP="000F300D">
      <w:pPr>
        <w:widowControl w:val="0"/>
        <w:tabs>
          <w:tab w:val="left" w:pos="1276"/>
        </w:tabs>
        <w:spacing w:before="120" w:after="120" w:line="300" w:lineRule="exact"/>
        <w:rPr>
          <w:rFonts w:ascii="Calibri" w:hAnsi="Calibri" w:cs="Calibri"/>
          <w:b/>
          <w:bCs/>
          <w:iCs/>
        </w:rPr>
      </w:pPr>
      <w:r w:rsidRPr="00AE31AA">
        <w:rPr>
          <w:rFonts w:ascii="Calibri" w:hAnsi="Calibri" w:cs="Calibri"/>
          <w:b/>
          <w:bCs/>
          <w:iCs/>
        </w:rPr>
        <w:t>The Committee draws the attention of the Legislative Assembly to the discussion of human rights issues in the explanatory statement for th</w:t>
      </w:r>
      <w:r>
        <w:rPr>
          <w:rFonts w:ascii="Calibri" w:hAnsi="Calibri" w:cs="Calibri"/>
          <w:b/>
          <w:bCs/>
          <w:iCs/>
        </w:rPr>
        <w:t>is</w:t>
      </w:r>
      <w:r w:rsidRPr="00AE31AA">
        <w:rPr>
          <w:rFonts w:ascii="Calibri" w:hAnsi="Calibri" w:cs="Calibri"/>
          <w:b/>
          <w:bCs/>
          <w:iCs/>
        </w:rPr>
        <w:t xml:space="preserve"> instrument.</w:t>
      </w:r>
    </w:p>
    <w:p w:rsidR="000F300D" w:rsidRPr="00AE31AA" w:rsidRDefault="000F300D" w:rsidP="000F300D">
      <w:pPr>
        <w:widowControl w:val="0"/>
        <w:tabs>
          <w:tab w:val="left" w:pos="1276"/>
        </w:tabs>
        <w:spacing w:before="120" w:after="120" w:line="300" w:lineRule="exact"/>
        <w:rPr>
          <w:rFonts w:ascii="Calibri" w:hAnsi="Calibri" w:cs="Calibri"/>
          <w:b/>
          <w:bCs/>
          <w:iCs/>
        </w:rPr>
      </w:pPr>
      <w:r w:rsidRPr="00AE31AA">
        <w:rPr>
          <w:rFonts w:ascii="Calibri" w:hAnsi="Calibri" w:cs="Calibri"/>
          <w:b/>
          <w:bCs/>
          <w:iCs/>
        </w:rPr>
        <w:t>This comment does not require a response from the Minister.</w:t>
      </w:r>
    </w:p>
    <w:p w:rsidR="000F300D" w:rsidRDefault="000F300D" w:rsidP="000F300D">
      <w:pPr>
        <w:widowControl w:val="0"/>
        <w:tabs>
          <w:tab w:val="left" w:pos="1276"/>
        </w:tabs>
        <w:spacing w:before="120" w:after="120" w:line="300" w:lineRule="exact"/>
        <w:ind w:left="45"/>
        <w:rPr>
          <w:rFonts w:ascii="Calibri" w:hAnsi="Calibri"/>
          <w:i/>
        </w:rPr>
      </w:pPr>
      <w:r>
        <w:rPr>
          <w:rFonts w:ascii="Calibri" w:hAnsi="Calibri"/>
          <w:i/>
        </w:rPr>
        <w:t>Human rights issues</w:t>
      </w:r>
    </w:p>
    <w:p w:rsidR="000F300D" w:rsidRPr="00842199" w:rsidRDefault="000F300D" w:rsidP="000F300D">
      <w:pPr>
        <w:pStyle w:val="Bodycopy"/>
        <w:spacing w:after="0" w:line="280" w:lineRule="exact"/>
        <w:rPr>
          <w:b/>
        </w:rPr>
      </w:pPr>
      <w:r>
        <w:rPr>
          <w:b/>
        </w:rPr>
        <w:t>Disallowable Instrument</w:t>
      </w:r>
      <w:r w:rsidRPr="00451C85">
        <w:rPr>
          <w:b/>
        </w:rPr>
        <w:t xml:space="preserve"> </w:t>
      </w:r>
      <w:r>
        <w:rPr>
          <w:b/>
        </w:rPr>
        <w:t>DI2021-39</w:t>
      </w:r>
      <w:r w:rsidRPr="00451C85">
        <w:rPr>
          <w:b/>
        </w:rPr>
        <w:t xml:space="preserve"> being the </w:t>
      </w:r>
      <w:r>
        <w:rPr>
          <w:b/>
        </w:rPr>
        <w:t xml:space="preserve">Utilities (Improving Transparency and Comparability of Retail Electricity Offers) Ministerial Direction 2021 made under section 19 of the </w:t>
      </w:r>
      <w:r>
        <w:rPr>
          <w:i/>
        </w:rPr>
        <w:t>Utilities Act 2000</w:t>
      </w:r>
      <w:r w:rsidRPr="00236BDD">
        <w:rPr>
          <w:b/>
        </w:rPr>
        <w:t xml:space="preserve"> </w:t>
      </w:r>
      <w:r>
        <w:rPr>
          <w:b/>
        </w:rPr>
        <w:t xml:space="preserve">directs the Independent Competition and Regulatory Commission to establish an industry code which requires NERL retailers to provide clear advice about their offers to their customers. </w:t>
      </w:r>
    </w:p>
    <w:p w:rsidR="000F300D" w:rsidRDefault="000F300D" w:rsidP="000F300D">
      <w:pPr>
        <w:widowControl w:val="0"/>
        <w:tabs>
          <w:tab w:val="left" w:pos="1276"/>
        </w:tabs>
        <w:spacing w:before="120" w:after="120" w:line="300" w:lineRule="exact"/>
        <w:ind w:left="45"/>
        <w:rPr>
          <w:rFonts w:ascii="Calibri" w:hAnsi="Calibri"/>
          <w:iCs/>
        </w:rPr>
      </w:pPr>
      <w:r>
        <w:rPr>
          <w:rFonts w:ascii="Calibri" w:hAnsi="Calibri"/>
          <w:iCs/>
        </w:rPr>
        <w:t xml:space="preserve">This instrument is made under section 19 of the </w:t>
      </w:r>
      <w:r>
        <w:rPr>
          <w:rFonts w:ascii="Calibri" w:hAnsi="Calibri"/>
          <w:i/>
        </w:rPr>
        <w:t>Utilities Act 2000</w:t>
      </w:r>
      <w:r>
        <w:rPr>
          <w:rFonts w:ascii="Calibri" w:hAnsi="Calibri"/>
          <w:iCs/>
        </w:rPr>
        <w:t xml:space="preserve">, which allows the Minister to give a direction to the Independent Competition and Regulatory Commission </w:t>
      </w:r>
      <w:r w:rsidRPr="00F55B7F">
        <w:rPr>
          <w:rFonts w:ascii="Calibri" w:hAnsi="Calibri"/>
          <w:iCs/>
        </w:rPr>
        <w:t>(</w:t>
      </w:r>
      <w:r w:rsidRPr="00F55B7F">
        <w:rPr>
          <w:rFonts w:ascii="Calibri" w:hAnsi="Calibri"/>
          <w:bCs/>
          <w:iCs/>
        </w:rPr>
        <w:t>ICRC</w:t>
      </w:r>
      <w:r>
        <w:rPr>
          <w:rFonts w:ascii="Calibri" w:hAnsi="Calibri"/>
          <w:iCs/>
        </w:rPr>
        <w:t xml:space="preserve">) </w:t>
      </w:r>
      <w:r w:rsidRPr="00AE31AA">
        <w:rPr>
          <w:rFonts w:ascii="Calibri" w:hAnsi="Calibri"/>
          <w:iCs/>
        </w:rPr>
        <w:t>about the results it must achieve by</w:t>
      </w:r>
      <w:r>
        <w:rPr>
          <w:rFonts w:ascii="Calibri" w:hAnsi="Calibri"/>
          <w:iCs/>
        </w:rPr>
        <w:t>:</w:t>
      </w:r>
    </w:p>
    <w:p w:rsidR="000F300D" w:rsidRPr="00AE31AA" w:rsidRDefault="000F300D" w:rsidP="000F300D">
      <w:pPr>
        <w:widowControl w:val="0"/>
        <w:tabs>
          <w:tab w:val="left" w:pos="1276"/>
        </w:tabs>
        <w:spacing w:before="120" w:after="120" w:line="300" w:lineRule="exact"/>
        <w:ind w:left="45"/>
        <w:rPr>
          <w:rFonts w:ascii="Calibri" w:hAnsi="Calibri"/>
          <w:iCs/>
        </w:rPr>
      </w:pPr>
      <w:r w:rsidRPr="00AE31AA">
        <w:rPr>
          <w:rFonts w:ascii="Calibri" w:hAnsi="Calibri"/>
          <w:iCs/>
        </w:rPr>
        <w:t xml:space="preserve">        (a)     </w:t>
      </w:r>
      <w:proofErr w:type="gramStart"/>
      <w:r w:rsidRPr="00AE31AA">
        <w:rPr>
          <w:rFonts w:ascii="Calibri" w:hAnsi="Calibri"/>
          <w:iCs/>
        </w:rPr>
        <w:t>licence</w:t>
      </w:r>
      <w:proofErr w:type="gramEnd"/>
      <w:r w:rsidRPr="00AE31AA">
        <w:rPr>
          <w:rFonts w:ascii="Calibri" w:hAnsi="Calibri"/>
          <w:iCs/>
        </w:rPr>
        <w:t xml:space="preserve"> conditions; or</w:t>
      </w:r>
    </w:p>
    <w:p w:rsidR="000F300D" w:rsidRPr="00AE31AA" w:rsidRDefault="000F300D" w:rsidP="000F300D">
      <w:pPr>
        <w:widowControl w:val="0"/>
        <w:tabs>
          <w:tab w:val="left" w:pos="1276"/>
        </w:tabs>
        <w:spacing w:before="120" w:after="120" w:line="300" w:lineRule="exact"/>
        <w:ind w:left="45"/>
        <w:rPr>
          <w:rFonts w:ascii="Calibri" w:hAnsi="Calibri"/>
          <w:iCs/>
        </w:rPr>
      </w:pPr>
      <w:r w:rsidRPr="00AE31AA">
        <w:rPr>
          <w:rFonts w:ascii="Calibri" w:hAnsi="Calibri"/>
          <w:iCs/>
        </w:rPr>
        <w:t xml:space="preserve">        (b)     </w:t>
      </w:r>
      <w:proofErr w:type="gramStart"/>
      <w:r w:rsidRPr="00AE31AA">
        <w:rPr>
          <w:rFonts w:ascii="Calibri" w:hAnsi="Calibri"/>
          <w:iCs/>
        </w:rPr>
        <w:t>industry</w:t>
      </w:r>
      <w:proofErr w:type="gramEnd"/>
      <w:r w:rsidRPr="00AE31AA">
        <w:rPr>
          <w:rFonts w:ascii="Calibri" w:hAnsi="Calibri"/>
          <w:iCs/>
        </w:rPr>
        <w:t xml:space="preserve"> codes.</w:t>
      </w:r>
    </w:p>
    <w:p w:rsidR="000F300D" w:rsidRDefault="000F300D" w:rsidP="000F300D">
      <w:pPr>
        <w:widowControl w:val="0"/>
        <w:tabs>
          <w:tab w:val="left" w:pos="1276"/>
        </w:tabs>
        <w:spacing w:before="120" w:after="120" w:line="300" w:lineRule="exact"/>
        <w:ind w:left="45"/>
        <w:rPr>
          <w:rFonts w:ascii="Calibri" w:hAnsi="Calibri" w:cs="Calibri"/>
          <w:iCs/>
        </w:rPr>
      </w:pPr>
      <w:r>
        <w:rPr>
          <w:rFonts w:ascii="Calibri" w:hAnsi="Calibri" w:cs="Calibri"/>
          <w:iCs/>
        </w:rPr>
        <w:t>According to the explanatory statement for the instrument, this instrument ….</w:t>
      </w:r>
    </w:p>
    <w:p w:rsidR="000F300D" w:rsidRPr="00AE31AA" w:rsidRDefault="000F300D" w:rsidP="000F300D">
      <w:pPr>
        <w:widowControl w:val="0"/>
        <w:tabs>
          <w:tab w:val="left" w:pos="1276"/>
        </w:tabs>
        <w:spacing w:before="120" w:after="120" w:line="300" w:lineRule="exact"/>
        <w:ind w:left="720"/>
        <w:rPr>
          <w:rFonts w:ascii="Calibri" w:hAnsi="Calibri" w:cs="Calibri"/>
          <w:iCs/>
        </w:rPr>
      </w:pPr>
      <w:r>
        <w:rPr>
          <w:rFonts w:ascii="Calibri" w:hAnsi="Calibri" w:cs="Calibri"/>
          <w:iCs/>
        </w:rPr>
        <w:t xml:space="preserve"> …. </w:t>
      </w:r>
      <w:r w:rsidRPr="00AE31AA">
        <w:rPr>
          <w:rFonts w:ascii="Calibri" w:hAnsi="Calibri" w:cs="Calibri"/>
          <w:iCs/>
        </w:rPr>
        <w:t xml:space="preserve">directs the ICRC to determine an industry code which establishes a requirement for retailers to provide “Clear Advice” about their offers to their customers. This instrument directs the ICRC to establish a new regulatory obligation on NERL retailers (who hold a retailer authorisation under the National Energy Retail Law (ACT)) to compare the annual price of their offers to the reference bill to enable customers to more easily compare electricity offers, and to regularly notify customers when there may be better offers available. </w:t>
      </w:r>
    </w:p>
    <w:p w:rsidR="000F300D" w:rsidRDefault="000F300D" w:rsidP="000F300D">
      <w:pPr>
        <w:widowControl w:val="0"/>
        <w:tabs>
          <w:tab w:val="left" w:pos="1276"/>
        </w:tabs>
        <w:spacing w:before="120" w:after="120" w:line="300" w:lineRule="exact"/>
        <w:ind w:left="45"/>
        <w:rPr>
          <w:rFonts w:ascii="Calibri" w:hAnsi="Calibri" w:cs="Calibri"/>
          <w:iCs/>
        </w:rPr>
      </w:pPr>
      <w:r>
        <w:rPr>
          <w:rFonts w:ascii="Calibri" w:hAnsi="Calibri" w:cs="Calibri"/>
          <w:iCs/>
        </w:rPr>
        <w:t>The explanatory statement goes on to discuss human rights issues:</w:t>
      </w:r>
    </w:p>
    <w:p w:rsidR="000F300D" w:rsidRPr="00AE31AA" w:rsidRDefault="000F300D" w:rsidP="000F300D">
      <w:pPr>
        <w:widowControl w:val="0"/>
        <w:tabs>
          <w:tab w:val="left" w:pos="1276"/>
        </w:tabs>
        <w:spacing w:before="120" w:after="120" w:line="300" w:lineRule="exact"/>
        <w:ind w:left="720"/>
        <w:rPr>
          <w:rFonts w:ascii="Calibri" w:hAnsi="Calibri" w:cs="Calibri"/>
          <w:iCs/>
        </w:rPr>
      </w:pPr>
      <w:r w:rsidRPr="00AE31AA">
        <w:rPr>
          <w:rFonts w:ascii="Calibri" w:hAnsi="Calibri" w:cs="Calibri"/>
          <w:iCs/>
        </w:rPr>
        <w:t xml:space="preserve">There are no human rights implications arising from the ministerial direction. The instrument does not engage any rights under the </w:t>
      </w:r>
      <w:r w:rsidRPr="00AE31AA">
        <w:rPr>
          <w:rFonts w:ascii="Calibri" w:hAnsi="Calibri" w:cs="Calibri"/>
          <w:i/>
        </w:rPr>
        <w:t>Human Rights Act 2004</w:t>
      </w:r>
      <w:r w:rsidRPr="00AE31AA">
        <w:rPr>
          <w:rFonts w:ascii="Calibri" w:hAnsi="Calibri" w:cs="Calibri"/>
          <w:iCs/>
        </w:rPr>
        <w:t xml:space="preserve">. </w:t>
      </w:r>
    </w:p>
    <w:p w:rsidR="000F300D" w:rsidRPr="00AE31AA" w:rsidRDefault="000F300D" w:rsidP="000F300D">
      <w:pPr>
        <w:widowControl w:val="0"/>
        <w:tabs>
          <w:tab w:val="left" w:pos="1276"/>
        </w:tabs>
        <w:spacing w:before="120" w:after="120" w:line="300" w:lineRule="exact"/>
        <w:rPr>
          <w:rFonts w:ascii="Calibri" w:hAnsi="Calibri" w:cs="Calibri"/>
          <w:b/>
          <w:bCs/>
          <w:iCs/>
        </w:rPr>
      </w:pPr>
      <w:bookmarkStart w:id="521" w:name="_Hlk68632344"/>
      <w:r w:rsidRPr="00AE31AA">
        <w:rPr>
          <w:rFonts w:ascii="Calibri" w:hAnsi="Calibri" w:cs="Calibri"/>
          <w:b/>
          <w:bCs/>
          <w:iCs/>
        </w:rPr>
        <w:t>The Committee draws the attention of the Legislative Assembly to the discussion of human rights issues in the explanatory statement for th</w:t>
      </w:r>
      <w:r>
        <w:rPr>
          <w:rFonts w:ascii="Calibri" w:hAnsi="Calibri" w:cs="Calibri"/>
          <w:b/>
          <w:bCs/>
          <w:iCs/>
        </w:rPr>
        <w:t>is</w:t>
      </w:r>
      <w:r w:rsidRPr="00AE31AA">
        <w:rPr>
          <w:rFonts w:ascii="Calibri" w:hAnsi="Calibri" w:cs="Calibri"/>
          <w:b/>
          <w:bCs/>
          <w:iCs/>
        </w:rPr>
        <w:t xml:space="preserve"> instrument.</w:t>
      </w:r>
    </w:p>
    <w:p w:rsidR="000F300D" w:rsidRPr="00AE31AA" w:rsidRDefault="000F300D" w:rsidP="000F300D">
      <w:pPr>
        <w:widowControl w:val="0"/>
        <w:tabs>
          <w:tab w:val="left" w:pos="1276"/>
        </w:tabs>
        <w:spacing w:before="120" w:after="120" w:line="300" w:lineRule="exact"/>
        <w:rPr>
          <w:rFonts w:ascii="Calibri" w:hAnsi="Calibri" w:cs="Calibri"/>
          <w:b/>
          <w:bCs/>
          <w:iCs/>
        </w:rPr>
      </w:pPr>
      <w:r w:rsidRPr="00AE31AA">
        <w:rPr>
          <w:rFonts w:ascii="Calibri" w:hAnsi="Calibri" w:cs="Calibri"/>
          <w:b/>
          <w:bCs/>
          <w:iCs/>
        </w:rPr>
        <w:t>This comment does not require a response from the Minister.</w:t>
      </w:r>
    </w:p>
    <w:bookmarkEnd w:id="521"/>
    <w:p w:rsidR="000F300D" w:rsidRPr="00B91CE0" w:rsidRDefault="000F300D" w:rsidP="000F300D">
      <w:pPr>
        <w:widowControl w:val="0"/>
        <w:tabs>
          <w:tab w:val="left" w:pos="1276"/>
        </w:tabs>
        <w:spacing w:before="120" w:after="120" w:line="300" w:lineRule="exact"/>
        <w:rPr>
          <w:rFonts w:ascii="Calibri" w:hAnsi="Calibri" w:cs="Calibri"/>
          <w:i/>
        </w:rPr>
      </w:pPr>
      <w:r w:rsidRPr="00B91CE0">
        <w:rPr>
          <w:rFonts w:ascii="Calibri" w:hAnsi="Calibri" w:cs="Calibri"/>
          <w:i/>
        </w:rPr>
        <w:t>Disapplication of subsections 47(3) and (6) of the Legislation Act 2001 / Human rights issues</w:t>
      </w:r>
    </w:p>
    <w:p w:rsidR="006351E3" w:rsidRPr="00842199" w:rsidRDefault="006351E3" w:rsidP="006351E3">
      <w:pPr>
        <w:pStyle w:val="Bodycopy"/>
        <w:spacing w:after="0" w:line="280" w:lineRule="exact"/>
        <w:rPr>
          <w:b/>
        </w:rPr>
      </w:pPr>
      <w:r>
        <w:rPr>
          <w:b/>
        </w:rPr>
        <w:t>Disallowable Instrument</w:t>
      </w:r>
      <w:r w:rsidRPr="00451C85">
        <w:rPr>
          <w:b/>
        </w:rPr>
        <w:t xml:space="preserve"> </w:t>
      </w:r>
      <w:r>
        <w:rPr>
          <w:b/>
        </w:rPr>
        <w:t>DI2021-38</w:t>
      </w:r>
      <w:r w:rsidRPr="00451C85">
        <w:rPr>
          <w:b/>
        </w:rPr>
        <w:t xml:space="preserve"> being the </w:t>
      </w:r>
      <w:r>
        <w:rPr>
          <w:b/>
        </w:rPr>
        <w:t xml:space="preserve">Public Health (Public Health Risk Activity Licensing Exemption) Determination 2021 (No 1) section 22 of the </w:t>
      </w:r>
      <w:r w:rsidRPr="006351E3">
        <w:rPr>
          <w:b/>
        </w:rPr>
        <w:t>Public Health Act 1997</w:t>
      </w:r>
      <w:r w:rsidRPr="00236BDD">
        <w:rPr>
          <w:b/>
        </w:rPr>
        <w:t xml:space="preserve"> </w:t>
      </w:r>
      <w:r>
        <w:rPr>
          <w:b/>
        </w:rPr>
        <w:t xml:space="preserve">determines the requirements for being approved as an approved collection centre that carries out a skin penetration procedure. </w:t>
      </w:r>
    </w:p>
    <w:p w:rsidR="000F300D" w:rsidRPr="00B91CE0" w:rsidRDefault="000F300D" w:rsidP="000F300D">
      <w:pPr>
        <w:widowControl w:val="0"/>
        <w:tabs>
          <w:tab w:val="left" w:pos="1276"/>
        </w:tabs>
        <w:spacing w:before="120" w:after="120" w:line="300" w:lineRule="exact"/>
        <w:rPr>
          <w:rFonts w:ascii="Calibri" w:hAnsi="Calibri" w:cs="Calibri"/>
          <w:iCs/>
        </w:rPr>
      </w:pPr>
      <w:r w:rsidRPr="00B91CE0">
        <w:rPr>
          <w:rFonts w:ascii="Calibri" w:hAnsi="Calibri" w:cs="Calibri"/>
          <w:iCs/>
        </w:rPr>
        <w:t xml:space="preserve">This instrument, made under section 22 of the </w:t>
      </w:r>
      <w:r w:rsidRPr="00B91CE0">
        <w:rPr>
          <w:rFonts w:ascii="Calibri" w:hAnsi="Calibri" w:cs="Calibri"/>
          <w:i/>
        </w:rPr>
        <w:t>Public Health Act 1997</w:t>
      </w:r>
      <w:r w:rsidRPr="00B91CE0">
        <w:rPr>
          <w:rFonts w:ascii="Calibri" w:hAnsi="Calibri" w:cs="Calibri"/>
          <w:iCs/>
        </w:rPr>
        <w:t>, relates to the power to exempt a person who carries on a “licensable public health risk activity” from t</w:t>
      </w:r>
      <w:r w:rsidR="00F6392B">
        <w:rPr>
          <w:rFonts w:ascii="Calibri" w:hAnsi="Calibri" w:cs="Calibri"/>
          <w:iCs/>
        </w:rPr>
        <w:t xml:space="preserve">he requirement to be licensed. </w:t>
      </w:r>
      <w:r w:rsidRPr="00B91CE0">
        <w:rPr>
          <w:rFonts w:ascii="Calibri" w:hAnsi="Calibri" w:cs="Calibri"/>
          <w:iCs/>
        </w:rPr>
        <w:t>The explanatory statement for the instrument states:</w:t>
      </w:r>
    </w:p>
    <w:p w:rsidR="000F300D" w:rsidRPr="00B91CE0" w:rsidRDefault="000F300D" w:rsidP="000F300D">
      <w:pPr>
        <w:widowControl w:val="0"/>
        <w:tabs>
          <w:tab w:val="left" w:pos="1276"/>
        </w:tabs>
        <w:spacing w:before="120" w:after="120" w:line="300" w:lineRule="exact"/>
        <w:ind w:left="720"/>
        <w:rPr>
          <w:rFonts w:ascii="Calibri" w:hAnsi="Calibri" w:cs="Calibri"/>
          <w:iCs/>
        </w:rPr>
      </w:pPr>
      <w:r w:rsidRPr="00B91CE0">
        <w:rPr>
          <w:rFonts w:ascii="Calibri" w:hAnsi="Calibri" w:cs="Calibri"/>
          <w:iCs/>
        </w:rPr>
        <w:t xml:space="preserve">Section 22 of the [Public Health Act] provides that a person who carries on a licensable public health risk activity is exempt from the requirement to be licensed if they are accredited under an activity accreditation scheme for the activity. The Minister may determine via disallowable instrument what constitutes an activity accreditation scheme for licensable public health risk activities. </w:t>
      </w:r>
    </w:p>
    <w:p w:rsidR="000F300D" w:rsidRPr="00B91CE0" w:rsidRDefault="000F300D" w:rsidP="000F300D">
      <w:pPr>
        <w:widowControl w:val="0"/>
        <w:tabs>
          <w:tab w:val="left" w:pos="1276"/>
        </w:tabs>
        <w:spacing w:before="120" w:after="120" w:line="300" w:lineRule="exact"/>
        <w:ind w:left="720"/>
        <w:rPr>
          <w:rFonts w:ascii="Calibri" w:hAnsi="Calibri" w:cs="Calibri"/>
          <w:iCs/>
        </w:rPr>
      </w:pPr>
      <w:r w:rsidRPr="00B91CE0">
        <w:rPr>
          <w:rFonts w:ascii="Calibri" w:hAnsi="Calibri" w:cs="Calibri"/>
          <w:iCs/>
        </w:rPr>
        <w:t>This instrument exempts pathology collection centres from requiring a public health risk activity licence under DI2005-302 because they are already adequately regulated by the Commonwealth Government. Pathology collection centres are highly regulated under Commonwealth legislation to ensure that collection centres accessing Medicare benefits are of high quality and clinically relevant. This exemption is consistent with the objectives of the [Public Health Act], which include the protection of the public from public health risks not adequately controlled by another law of the Territory or a law of the Commonwealth.</w:t>
      </w:r>
    </w:p>
    <w:p w:rsidR="000F300D" w:rsidRPr="00B91CE0" w:rsidRDefault="000F300D" w:rsidP="000F300D">
      <w:pPr>
        <w:widowControl w:val="0"/>
        <w:tabs>
          <w:tab w:val="left" w:pos="1276"/>
        </w:tabs>
        <w:spacing w:before="120" w:after="120" w:line="300" w:lineRule="exact"/>
        <w:rPr>
          <w:rFonts w:ascii="Calibri" w:hAnsi="Calibri" w:cs="Calibri"/>
          <w:iCs/>
        </w:rPr>
      </w:pPr>
      <w:r w:rsidRPr="00B91CE0">
        <w:rPr>
          <w:rFonts w:ascii="Calibri" w:hAnsi="Calibri" w:cs="Calibri"/>
          <w:iCs/>
        </w:rPr>
        <w:t xml:space="preserve">The definition of “approved collection centre”, in section 4 of the instrument, relies on the definition of that term in section 23DA of the </w:t>
      </w:r>
      <w:r w:rsidRPr="00B91CE0">
        <w:rPr>
          <w:rFonts w:ascii="Calibri" w:hAnsi="Calibri" w:cs="Calibri"/>
          <w:i/>
        </w:rPr>
        <w:t xml:space="preserve">Health Insurance Act 1973 </w:t>
      </w:r>
      <w:r w:rsidRPr="00B91CE0">
        <w:rPr>
          <w:rFonts w:ascii="Calibri" w:hAnsi="Calibri" w:cs="Calibri"/>
          <w:iCs/>
        </w:rPr>
        <w:t>(</w:t>
      </w:r>
      <w:proofErr w:type="spellStart"/>
      <w:r w:rsidRPr="00B91CE0">
        <w:rPr>
          <w:rFonts w:ascii="Calibri" w:hAnsi="Calibri" w:cs="Calibri"/>
          <w:iCs/>
        </w:rPr>
        <w:t>Cth</w:t>
      </w:r>
      <w:proofErr w:type="spellEnd"/>
      <w:r w:rsidRPr="00B91CE0">
        <w:rPr>
          <w:rFonts w:ascii="Calibri" w:hAnsi="Calibri" w:cs="Calibri"/>
          <w:iCs/>
        </w:rPr>
        <w:t>).</w:t>
      </w:r>
    </w:p>
    <w:p w:rsidR="000F300D" w:rsidRPr="00B91CE0" w:rsidRDefault="000F300D" w:rsidP="000F300D">
      <w:pPr>
        <w:widowControl w:val="0"/>
        <w:tabs>
          <w:tab w:val="left" w:pos="1276"/>
        </w:tabs>
        <w:spacing w:before="120" w:after="120" w:line="300" w:lineRule="exact"/>
        <w:rPr>
          <w:rFonts w:ascii="Calibri" w:hAnsi="Calibri" w:cs="Calibri"/>
          <w:iCs/>
        </w:rPr>
      </w:pPr>
      <w:r w:rsidRPr="00B91CE0">
        <w:rPr>
          <w:rFonts w:ascii="Calibri" w:hAnsi="Calibri" w:cs="Calibri"/>
          <w:iCs/>
        </w:rPr>
        <w:t>Section 5 of the instrument then provides:</w:t>
      </w:r>
    </w:p>
    <w:p w:rsidR="000F300D" w:rsidRPr="00B91CE0" w:rsidRDefault="000F300D" w:rsidP="000F300D">
      <w:pPr>
        <w:keepNext/>
        <w:spacing w:before="120" w:after="120"/>
        <w:ind w:left="709"/>
        <w:rPr>
          <w:rFonts w:ascii="Calibri" w:hAnsi="Calibri" w:cs="Calibri"/>
          <w:b/>
          <w:bCs/>
        </w:rPr>
      </w:pPr>
      <w:r w:rsidRPr="00B91CE0">
        <w:rPr>
          <w:rFonts w:ascii="Calibri" w:hAnsi="Calibri" w:cs="Calibri"/>
          <w:b/>
          <w:bCs/>
        </w:rPr>
        <w:t>5</w:t>
      </w:r>
      <w:r w:rsidRPr="00B91CE0">
        <w:rPr>
          <w:rFonts w:ascii="Calibri" w:hAnsi="Calibri" w:cs="Calibri"/>
          <w:b/>
          <w:bCs/>
        </w:rPr>
        <w:tab/>
        <w:t>Disapplication of Legislation Act, s 47 (3) and (6)</w:t>
      </w:r>
    </w:p>
    <w:p w:rsidR="000F300D" w:rsidRPr="00B91CE0" w:rsidRDefault="000F300D" w:rsidP="002E1052">
      <w:pPr>
        <w:keepNext/>
        <w:spacing w:before="120" w:after="120"/>
        <w:ind w:left="1418" w:hanging="338"/>
        <w:rPr>
          <w:rFonts w:ascii="Calibri" w:hAnsi="Calibri" w:cs="Calibri"/>
        </w:rPr>
      </w:pPr>
      <w:r w:rsidRPr="00B91CE0">
        <w:rPr>
          <w:rFonts w:ascii="Calibri" w:hAnsi="Calibri" w:cs="Calibri"/>
        </w:rPr>
        <w:t xml:space="preserve">The </w:t>
      </w:r>
      <w:r w:rsidRPr="00B91CE0">
        <w:rPr>
          <w:rFonts w:ascii="Calibri" w:hAnsi="Calibri" w:cs="Calibri"/>
          <w:i/>
          <w:iCs/>
        </w:rPr>
        <w:t>Legislation Act 2001</w:t>
      </w:r>
      <w:r w:rsidRPr="00B91CE0">
        <w:rPr>
          <w:rFonts w:ascii="Calibri" w:hAnsi="Calibri" w:cs="Calibri"/>
        </w:rPr>
        <w:t xml:space="preserve">, s 47(3) and (6) do not apply to the </w:t>
      </w:r>
      <w:r w:rsidRPr="00B91CE0">
        <w:rPr>
          <w:rFonts w:ascii="Calibri" w:hAnsi="Calibri" w:cs="Calibri"/>
          <w:i/>
          <w:iCs/>
        </w:rPr>
        <w:t>Health Insurance Act 1973</w:t>
      </w:r>
      <w:r w:rsidRPr="00B91CE0">
        <w:rPr>
          <w:rFonts w:ascii="Calibri" w:hAnsi="Calibri" w:cs="Calibri"/>
        </w:rPr>
        <w:t xml:space="preserve">. </w:t>
      </w:r>
    </w:p>
    <w:p w:rsidR="000F300D" w:rsidRPr="00B91CE0" w:rsidRDefault="000F300D" w:rsidP="002E1052">
      <w:pPr>
        <w:keepLines/>
        <w:spacing w:before="120" w:after="120"/>
        <w:ind w:left="1890" w:hanging="810"/>
        <w:rPr>
          <w:rFonts w:ascii="Calibri" w:hAnsi="Calibri" w:cs="Calibri"/>
        </w:rPr>
      </w:pPr>
      <w:r w:rsidRPr="00B91CE0">
        <w:rPr>
          <w:rFonts w:ascii="Calibri" w:hAnsi="Calibri" w:cs="Calibri"/>
          <w:i/>
          <w:iCs/>
        </w:rPr>
        <w:t>Note</w:t>
      </w:r>
      <w:r w:rsidRPr="00B91CE0">
        <w:rPr>
          <w:rFonts w:ascii="Calibri" w:hAnsi="Calibri" w:cs="Calibri"/>
        </w:rPr>
        <w:tab/>
        <w:t xml:space="preserve">The </w:t>
      </w:r>
      <w:bookmarkStart w:id="522" w:name="_Hlk68686562"/>
      <w:r w:rsidRPr="00B91CE0">
        <w:rPr>
          <w:rFonts w:ascii="Calibri" w:hAnsi="Calibri" w:cs="Calibri"/>
          <w:i/>
          <w:iCs/>
        </w:rPr>
        <w:t>Health Insurance Act 1973</w:t>
      </w:r>
      <w:r w:rsidRPr="00B91CE0">
        <w:rPr>
          <w:rFonts w:ascii="Calibri" w:hAnsi="Calibri" w:cs="Calibri"/>
        </w:rPr>
        <w:t xml:space="preserve"> </w:t>
      </w:r>
      <w:bookmarkEnd w:id="522"/>
      <w:r w:rsidRPr="00B91CE0">
        <w:rPr>
          <w:rFonts w:ascii="Calibri" w:hAnsi="Calibri" w:cs="Calibri"/>
        </w:rPr>
        <w:t xml:space="preserve">does not need to be notified under the </w:t>
      </w:r>
      <w:r w:rsidRPr="00B91CE0">
        <w:rPr>
          <w:rFonts w:ascii="Calibri" w:hAnsi="Calibri" w:cs="Calibri"/>
          <w:i/>
          <w:iCs/>
        </w:rPr>
        <w:t>Legislation Act 2001</w:t>
      </w:r>
      <w:r w:rsidRPr="00B91CE0">
        <w:rPr>
          <w:rFonts w:ascii="Calibri" w:hAnsi="Calibri" w:cs="Calibri"/>
        </w:rPr>
        <w:t xml:space="preserve"> because s 47(3) and (6) do not apply (see Legislation Act, s</w:t>
      </w:r>
      <w:r w:rsidR="002E1052">
        <w:rPr>
          <w:rFonts w:ascii="Calibri" w:hAnsi="Calibri" w:cs="Calibri"/>
        </w:rPr>
        <w:t> </w:t>
      </w:r>
      <w:r w:rsidRPr="00B91CE0">
        <w:rPr>
          <w:rFonts w:ascii="Calibri" w:hAnsi="Calibri" w:cs="Calibri"/>
        </w:rPr>
        <w:t xml:space="preserve">47(7)).  The </w:t>
      </w:r>
      <w:r w:rsidRPr="00B91CE0">
        <w:rPr>
          <w:rFonts w:ascii="Calibri" w:hAnsi="Calibri" w:cs="Calibri"/>
          <w:i/>
          <w:iCs/>
        </w:rPr>
        <w:t>Health Insurance Act 1973</w:t>
      </w:r>
      <w:r w:rsidRPr="00B91CE0">
        <w:rPr>
          <w:rFonts w:ascii="Calibri" w:hAnsi="Calibri" w:cs="Calibri"/>
        </w:rPr>
        <w:t xml:space="preserve"> is available from the Federal Register of Legislation </w:t>
      </w:r>
      <w:hyperlink r:id="rId26" w:history="1">
        <w:r w:rsidRPr="00B91CE0">
          <w:rPr>
            <w:rStyle w:val="Hyperlink"/>
            <w:rFonts w:ascii="Calibri" w:hAnsi="Calibri" w:cs="Calibri"/>
            <w:color w:val="auto"/>
          </w:rPr>
          <w:t>www.legislation.gov.au</w:t>
        </w:r>
      </w:hyperlink>
      <w:r w:rsidRPr="00B91CE0">
        <w:rPr>
          <w:rFonts w:ascii="Calibri" w:hAnsi="Calibri" w:cs="Calibri"/>
        </w:rPr>
        <w:t>.</w:t>
      </w:r>
    </w:p>
    <w:p w:rsidR="000F300D" w:rsidRPr="00B91CE0" w:rsidRDefault="000F300D" w:rsidP="000F300D">
      <w:pPr>
        <w:widowControl w:val="0"/>
        <w:tabs>
          <w:tab w:val="left" w:pos="1276"/>
        </w:tabs>
        <w:spacing w:before="120" w:after="120" w:line="300" w:lineRule="exact"/>
        <w:rPr>
          <w:rFonts w:ascii="Calibri" w:hAnsi="Calibri" w:cs="Calibri"/>
          <w:iCs/>
        </w:rPr>
      </w:pPr>
      <w:r w:rsidRPr="00B91CE0">
        <w:rPr>
          <w:rFonts w:ascii="Calibri" w:hAnsi="Calibri" w:cs="Calibri"/>
          <w:iCs/>
        </w:rPr>
        <w:t xml:space="preserve">Section 47 of the </w:t>
      </w:r>
      <w:r w:rsidRPr="00B91CE0">
        <w:rPr>
          <w:rFonts w:ascii="Calibri" w:hAnsi="Calibri" w:cs="Calibri"/>
          <w:i/>
        </w:rPr>
        <w:t>Legislation Act 2001</w:t>
      </w:r>
      <w:r w:rsidRPr="00B91CE0">
        <w:rPr>
          <w:rFonts w:ascii="Calibri" w:hAnsi="Calibri" w:cs="Calibri"/>
          <w:iCs/>
        </w:rPr>
        <w:t xml:space="preserve"> deals with instruments that apply other laws or instrument</w:t>
      </w:r>
      <w:r w:rsidR="002E1052">
        <w:rPr>
          <w:rFonts w:ascii="Calibri" w:hAnsi="Calibri" w:cs="Calibri"/>
          <w:iCs/>
        </w:rPr>
        <w:t>s by reference.</w:t>
      </w:r>
      <w:r w:rsidRPr="00B91CE0">
        <w:rPr>
          <w:rFonts w:ascii="Calibri" w:hAnsi="Calibri" w:cs="Calibri"/>
          <w:iCs/>
        </w:rPr>
        <w:t xml:space="preserve"> Subsection 47(3) provides:</w:t>
      </w:r>
    </w:p>
    <w:p w:rsidR="000F300D" w:rsidRPr="00B91CE0" w:rsidRDefault="000F300D" w:rsidP="000F300D">
      <w:pPr>
        <w:widowControl w:val="0"/>
        <w:tabs>
          <w:tab w:val="left" w:pos="1276"/>
        </w:tabs>
        <w:spacing w:before="120" w:after="120" w:line="300" w:lineRule="exact"/>
        <w:ind w:left="720"/>
        <w:rPr>
          <w:rFonts w:ascii="Calibri" w:hAnsi="Calibri" w:cs="Calibri"/>
          <w:iCs/>
        </w:rPr>
      </w:pPr>
      <w:r w:rsidRPr="00B91CE0">
        <w:rPr>
          <w:rFonts w:ascii="Calibri" w:hAnsi="Calibri" w:cs="Calibri"/>
          <w:iCs/>
        </w:rPr>
        <w:t>The relevant instrument may make provision about the matter by applying a law of another jurisdiction, or an instrument, as in force only at a particular time.</w:t>
      </w:r>
    </w:p>
    <w:p w:rsidR="000F300D" w:rsidRPr="00B91CE0" w:rsidRDefault="000F300D" w:rsidP="000F300D">
      <w:pPr>
        <w:widowControl w:val="0"/>
        <w:tabs>
          <w:tab w:val="left" w:pos="1276"/>
        </w:tabs>
        <w:spacing w:before="120" w:after="120" w:line="300" w:lineRule="exact"/>
        <w:rPr>
          <w:rFonts w:ascii="Calibri" w:hAnsi="Calibri" w:cs="Calibri"/>
          <w:iCs/>
        </w:rPr>
      </w:pPr>
      <w:r w:rsidRPr="00B91CE0">
        <w:rPr>
          <w:rFonts w:ascii="Calibri" w:hAnsi="Calibri" w:cs="Calibri"/>
          <w:iCs/>
        </w:rPr>
        <w:t xml:space="preserve">The disapplication of subsection 47(3) by section 5 of this instrument, means that the definition of “approved collection centre”, in section 23DA of the </w:t>
      </w:r>
      <w:r w:rsidRPr="00B91CE0">
        <w:rPr>
          <w:rFonts w:ascii="Calibri" w:hAnsi="Calibri" w:cs="Calibri"/>
          <w:i/>
        </w:rPr>
        <w:t>Health Insurance Act 1973</w:t>
      </w:r>
      <w:r w:rsidRPr="00B91CE0">
        <w:rPr>
          <w:rFonts w:ascii="Calibri" w:hAnsi="Calibri" w:cs="Calibri"/>
          <w:iCs/>
        </w:rPr>
        <w:t xml:space="preserve"> (</w:t>
      </w:r>
      <w:proofErr w:type="spellStart"/>
      <w:r w:rsidRPr="00B91CE0">
        <w:rPr>
          <w:rFonts w:ascii="Calibri" w:hAnsi="Calibri" w:cs="Calibri"/>
          <w:iCs/>
        </w:rPr>
        <w:t>Cth</w:t>
      </w:r>
      <w:proofErr w:type="spellEnd"/>
      <w:r w:rsidRPr="00B91CE0">
        <w:rPr>
          <w:rFonts w:ascii="Calibri" w:hAnsi="Calibri" w:cs="Calibri"/>
          <w:iCs/>
        </w:rPr>
        <w:t xml:space="preserve">), is applied </w:t>
      </w:r>
      <w:r w:rsidRPr="00B91CE0">
        <w:rPr>
          <w:rFonts w:ascii="Calibri" w:hAnsi="Calibri" w:cs="Calibri"/>
          <w:i/>
        </w:rPr>
        <w:t>as it exists from time to time</w:t>
      </w:r>
      <w:r w:rsidRPr="00B91CE0">
        <w:rPr>
          <w:rFonts w:ascii="Calibri" w:hAnsi="Calibri" w:cs="Calibri"/>
          <w:iCs/>
        </w:rPr>
        <w:t>.</w:t>
      </w:r>
    </w:p>
    <w:p w:rsidR="000F300D" w:rsidRPr="00B91CE0" w:rsidRDefault="000F300D" w:rsidP="000F300D">
      <w:pPr>
        <w:widowControl w:val="0"/>
        <w:tabs>
          <w:tab w:val="left" w:pos="1276"/>
        </w:tabs>
        <w:spacing w:before="120" w:after="120" w:line="300" w:lineRule="exact"/>
        <w:rPr>
          <w:rFonts w:ascii="Calibri" w:hAnsi="Calibri" w:cs="Calibri"/>
          <w:iCs/>
        </w:rPr>
      </w:pPr>
      <w:r w:rsidRPr="00B91CE0">
        <w:rPr>
          <w:rFonts w:ascii="Calibri" w:hAnsi="Calibri" w:cs="Calibri"/>
          <w:iCs/>
        </w:rPr>
        <w:t>This would not appear to be strictly necessary, given that subsection 22(3) of the Public Health Act provides:</w:t>
      </w:r>
    </w:p>
    <w:p w:rsidR="000F300D" w:rsidRPr="00B91CE0" w:rsidRDefault="000F300D" w:rsidP="000F300D">
      <w:pPr>
        <w:widowControl w:val="0"/>
        <w:tabs>
          <w:tab w:val="left" w:pos="1276"/>
        </w:tabs>
        <w:spacing w:before="120" w:after="120" w:line="300" w:lineRule="exact"/>
        <w:ind w:left="720"/>
        <w:rPr>
          <w:rFonts w:ascii="Calibri" w:hAnsi="Calibri" w:cs="Calibri"/>
          <w:iCs/>
        </w:rPr>
      </w:pPr>
      <w:r w:rsidRPr="00B91CE0">
        <w:rPr>
          <w:rFonts w:ascii="Calibri" w:hAnsi="Calibri" w:cs="Calibri"/>
        </w:rPr>
        <w:t>(3)     A determination may apply, adopt or incorporate an instrument as in force from time to time.</w:t>
      </w:r>
    </w:p>
    <w:p w:rsidR="000F300D" w:rsidRPr="00B91CE0" w:rsidRDefault="000F300D" w:rsidP="000F300D">
      <w:pPr>
        <w:widowControl w:val="0"/>
        <w:tabs>
          <w:tab w:val="left" w:pos="1276"/>
        </w:tabs>
        <w:spacing w:before="120" w:after="120" w:line="300" w:lineRule="exact"/>
        <w:rPr>
          <w:rFonts w:ascii="Calibri" w:hAnsi="Calibri" w:cs="Calibri"/>
          <w:iCs/>
        </w:rPr>
      </w:pPr>
      <w:r w:rsidRPr="00B91CE0">
        <w:rPr>
          <w:rFonts w:ascii="Calibri" w:hAnsi="Calibri" w:cs="Calibri"/>
          <w:iCs/>
        </w:rPr>
        <w:t>Subsection 47(6) of the Legislation Act provides:</w:t>
      </w:r>
    </w:p>
    <w:p w:rsidR="000F300D" w:rsidRPr="00B91CE0" w:rsidRDefault="000F300D" w:rsidP="002E1052">
      <w:pPr>
        <w:tabs>
          <w:tab w:val="left" w:pos="1170"/>
        </w:tabs>
        <w:spacing w:before="120" w:after="120"/>
        <w:ind w:left="1260" w:hanging="540"/>
        <w:rPr>
          <w:rFonts w:ascii="Calibri" w:hAnsi="Calibri" w:cs="Calibri"/>
        </w:rPr>
      </w:pPr>
      <w:r w:rsidRPr="00B91CE0">
        <w:rPr>
          <w:rFonts w:ascii="Calibri" w:hAnsi="Calibri" w:cs="Calibri"/>
        </w:rPr>
        <w:t> (6)     If subsection (3) is displaced and a </w:t>
      </w:r>
      <w:hyperlink r:id="rId27" w:anchor="law_of_another_jurisdiction" w:history="1">
        <w:r w:rsidRPr="00B91CE0">
          <w:rPr>
            <w:rFonts w:ascii="Calibri" w:hAnsi="Calibri" w:cs="Calibri"/>
          </w:rPr>
          <w:t>law of another jurisdiction</w:t>
        </w:r>
      </w:hyperlink>
      <w:r w:rsidRPr="00B91CE0">
        <w:rPr>
          <w:rFonts w:ascii="Calibri" w:hAnsi="Calibri" w:cs="Calibri"/>
        </w:rPr>
        <w:t> or an </w:t>
      </w:r>
      <w:hyperlink r:id="rId28" w:anchor="instrument" w:history="1">
        <w:r w:rsidRPr="00B91CE0">
          <w:rPr>
            <w:rFonts w:ascii="Calibri" w:hAnsi="Calibri" w:cs="Calibri"/>
          </w:rPr>
          <w:t>instrument</w:t>
        </w:r>
      </w:hyperlink>
      <w:r w:rsidRPr="00B91CE0">
        <w:rPr>
          <w:rFonts w:ascii="Calibri" w:hAnsi="Calibri" w:cs="Calibri"/>
        </w:rPr>
        <w:t> is applied as in force from time to time, the text of each of the following is taken to be a notifiable </w:t>
      </w:r>
      <w:hyperlink r:id="rId29" w:anchor="instrument" w:history="1">
        <w:r w:rsidRPr="00B91CE0">
          <w:rPr>
            <w:rFonts w:ascii="Calibri" w:hAnsi="Calibri" w:cs="Calibri"/>
          </w:rPr>
          <w:t>instrument</w:t>
        </w:r>
      </w:hyperlink>
      <w:r w:rsidRPr="00B91CE0">
        <w:rPr>
          <w:rFonts w:ascii="Calibri" w:hAnsi="Calibri" w:cs="Calibri"/>
        </w:rPr>
        <w:t> made under the relevant </w:t>
      </w:r>
      <w:hyperlink r:id="rId30" w:anchor="instrument" w:history="1">
        <w:r w:rsidRPr="00B91CE0">
          <w:rPr>
            <w:rFonts w:ascii="Calibri" w:hAnsi="Calibri" w:cs="Calibri"/>
          </w:rPr>
          <w:t>instrument</w:t>
        </w:r>
      </w:hyperlink>
      <w:r w:rsidRPr="00B91CE0">
        <w:rPr>
          <w:rFonts w:ascii="Calibri" w:hAnsi="Calibri" w:cs="Calibri"/>
        </w:rPr>
        <w:t> by the entity authorised or required to make the relevant </w:t>
      </w:r>
      <w:hyperlink r:id="rId31" w:anchor="instrument" w:history="1">
        <w:r w:rsidRPr="00B91CE0">
          <w:rPr>
            <w:rFonts w:ascii="Calibri" w:hAnsi="Calibri" w:cs="Calibri"/>
          </w:rPr>
          <w:t>instrument</w:t>
        </w:r>
      </w:hyperlink>
      <w:r w:rsidRPr="00B91CE0">
        <w:rPr>
          <w:rFonts w:ascii="Calibri" w:hAnsi="Calibri" w:cs="Calibri"/>
        </w:rPr>
        <w:t>:</w:t>
      </w:r>
    </w:p>
    <w:p w:rsidR="000F300D" w:rsidRPr="00B91CE0" w:rsidRDefault="000F300D" w:rsidP="000F300D">
      <w:pPr>
        <w:spacing w:before="120" w:after="120"/>
        <w:ind w:left="720"/>
        <w:rPr>
          <w:rFonts w:ascii="Calibri" w:hAnsi="Calibri" w:cs="Calibri"/>
        </w:rPr>
      </w:pPr>
      <w:r w:rsidRPr="00B91CE0">
        <w:rPr>
          <w:rFonts w:ascii="Calibri" w:hAnsi="Calibri" w:cs="Calibri"/>
        </w:rPr>
        <w:t xml:space="preserve">(a)     </w:t>
      </w:r>
      <w:proofErr w:type="gramStart"/>
      <w:r w:rsidRPr="00B91CE0">
        <w:rPr>
          <w:rFonts w:ascii="Calibri" w:hAnsi="Calibri" w:cs="Calibri"/>
        </w:rPr>
        <w:t>the</w:t>
      </w:r>
      <w:proofErr w:type="gramEnd"/>
      <w:r w:rsidRPr="00B91CE0">
        <w:rPr>
          <w:rFonts w:ascii="Calibri" w:hAnsi="Calibri" w:cs="Calibri"/>
        </w:rPr>
        <w:t xml:space="preserve"> law or </w:t>
      </w:r>
      <w:hyperlink r:id="rId32" w:anchor="instrument" w:history="1">
        <w:r w:rsidRPr="00B91CE0">
          <w:rPr>
            <w:rFonts w:ascii="Calibri" w:hAnsi="Calibri" w:cs="Calibri"/>
          </w:rPr>
          <w:t>instrument</w:t>
        </w:r>
      </w:hyperlink>
      <w:r w:rsidRPr="00B91CE0">
        <w:rPr>
          <w:rFonts w:ascii="Calibri" w:hAnsi="Calibri" w:cs="Calibri"/>
        </w:rPr>
        <w:t> as in force at the time the relevant </w:t>
      </w:r>
      <w:hyperlink r:id="rId33" w:anchor="instrument" w:history="1">
        <w:r w:rsidRPr="00B91CE0">
          <w:rPr>
            <w:rFonts w:ascii="Calibri" w:hAnsi="Calibri" w:cs="Calibri"/>
          </w:rPr>
          <w:t>instrument</w:t>
        </w:r>
      </w:hyperlink>
      <w:r w:rsidRPr="00B91CE0">
        <w:rPr>
          <w:rFonts w:ascii="Calibri" w:hAnsi="Calibri" w:cs="Calibri"/>
        </w:rPr>
        <w:t> is made;</w:t>
      </w:r>
    </w:p>
    <w:p w:rsidR="000F300D" w:rsidRPr="00B91CE0" w:rsidRDefault="000F300D" w:rsidP="000F300D">
      <w:pPr>
        <w:spacing w:before="120" w:after="120"/>
        <w:ind w:left="720"/>
        <w:rPr>
          <w:rFonts w:ascii="Calibri" w:hAnsi="Calibri" w:cs="Calibri"/>
        </w:rPr>
      </w:pPr>
      <w:r w:rsidRPr="00B91CE0">
        <w:rPr>
          <w:rFonts w:ascii="Calibri" w:hAnsi="Calibri" w:cs="Calibri"/>
        </w:rPr>
        <w:t xml:space="preserve">(b)     </w:t>
      </w:r>
      <w:proofErr w:type="gramStart"/>
      <w:r w:rsidRPr="00B91CE0">
        <w:rPr>
          <w:rFonts w:ascii="Calibri" w:hAnsi="Calibri" w:cs="Calibri"/>
        </w:rPr>
        <w:t>each</w:t>
      </w:r>
      <w:proofErr w:type="gramEnd"/>
      <w:r w:rsidRPr="00B91CE0">
        <w:rPr>
          <w:rFonts w:ascii="Calibri" w:hAnsi="Calibri" w:cs="Calibri"/>
        </w:rPr>
        <w:t xml:space="preserve"> subsequent amendment of the law or </w:t>
      </w:r>
      <w:hyperlink r:id="rId34" w:anchor="instrument" w:history="1">
        <w:r w:rsidRPr="00B91CE0">
          <w:rPr>
            <w:rFonts w:ascii="Calibri" w:hAnsi="Calibri" w:cs="Calibri"/>
          </w:rPr>
          <w:t>instrument</w:t>
        </w:r>
      </w:hyperlink>
      <w:r w:rsidRPr="00B91CE0">
        <w:rPr>
          <w:rFonts w:ascii="Calibri" w:hAnsi="Calibri" w:cs="Calibri"/>
        </w:rPr>
        <w:t>;</w:t>
      </w:r>
    </w:p>
    <w:p w:rsidR="000F300D" w:rsidRPr="00B91CE0" w:rsidRDefault="000F300D" w:rsidP="000F300D">
      <w:pPr>
        <w:spacing w:before="120" w:after="120"/>
        <w:ind w:left="720"/>
        <w:rPr>
          <w:rFonts w:ascii="Calibri" w:hAnsi="Calibri" w:cs="Calibri"/>
        </w:rPr>
      </w:pPr>
      <w:r w:rsidRPr="00B91CE0">
        <w:rPr>
          <w:rFonts w:ascii="Calibri" w:hAnsi="Calibri" w:cs="Calibri"/>
        </w:rPr>
        <w:t xml:space="preserve">(c)     </w:t>
      </w:r>
      <w:proofErr w:type="gramStart"/>
      <w:r w:rsidRPr="00B91CE0">
        <w:rPr>
          <w:rFonts w:ascii="Calibri" w:hAnsi="Calibri" w:cs="Calibri"/>
        </w:rPr>
        <w:t>if</w:t>
      </w:r>
      <w:proofErr w:type="gramEnd"/>
      <w:r w:rsidRPr="00B91CE0">
        <w:rPr>
          <w:rFonts w:ascii="Calibri" w:hAnsi="Calibri" w:cs="Calibri"/>
        </w:rPr>
        <w:t xml:space="preserve"> the law or </w:t>
      </w:r>
      <w:hyperlink r:id="rId35" w:anchor="instrument" w:history="1">
        <w:r w:rsidRPr="00B91CE0">
          <w:rPr>
            <w:rFonts w:ascii="Calibri" w:hAnsi="Calibri" w:cs="Calibri"/>
          </w:rPr>
          <w:t>instrument</w:t>
        </w:r>
      </w:hyperlink>
      <w:r w:rsidRPr="00B91CE0">
        <w:rPr>
          <w:rFonts w:ascii="Calibri" w:hAnsi="Calibri" w:cs="Calibri"/>
        </w:rPr>
        <w:t> is repealed and remade (with or without changes)—the law or </w:t>
      </w:r>
      <w:hyperlink r:id="rId36" w:anchor="instrument" w:history="1">
        <w:r w:rsidRPr="00B91CE0">
          <w:rPr>
            <w:rFonts w:ascii="Calibri" w:hAnsi="Calibri" w:cs="Calibri"/>
          </w:rPr>
          <w:t>instrument</w:t>
        </w:r>
      </w:hyperlink>
      <w:r w:rsidRPr="00B91CE0">
        <w:rPr>
          <w:rFonts w:ascii="Calibri" w:hAnsi="Calibri" w:cs="Calibri"/>
        </w:rPr>
        <w:t> as remade and each subsequent amendment of the law or </w:t>
      </w:r>
      <w:hyperlink r:id="rId37" w:anchor="instrument" w:history="1">
        <w:r w:rsidRPr="00B91CE0">
          <w:rPr>
            <w:rFonts w:ascii="Calibri" w:hAnsi="Calibri" w:cs="Calibri"/>
          </w:rPr>
          <w:t>instrument</w:t>
        </w:r>
      </w:hyperlink>
      <w:r w:rsidRPr="00B91CE0">
        <w:rPr>
          <w:rFonts w:ascii="Calibri" w:hAnsi="Calibri" w:cs="Calibri"/>
        </w:rPr>
        <w:t>;</w:t>
      </w:r>
    </w:p>
    <w:p w:rsidR="000F300D" w:rsidRPr="00B91CE0" w:rsidRDefault="000F300D" w:rsidP="000F300D">
      <w:pPr>
        <w:spacing w:before="120" w:after="120"/>
        <w:ind w:left="720"/>
        <w:rPr>
          <w:rFonts w:ascii="Calibri" w:hAnsi="Calibri" w:cs="Calibri"/>
        </w:rPr>
      </w:pPr>
      <w:r w:rsidRPr="00B91CE0">
        <w:rPr>
          <w:rFonts w:ascii="Calibri" w:hAnsi="Calibri" w:cs="Calibri"/>
        </w:rPr>
        <w:t xml:space="preserve">(d)     </w:t>
      </w:r>
      <w:proofErr w:type="gramStart"/>
      <w:r w:rsidRPr="00B91CE0">
        <w:rPr>
          <w:rFonts w:ascii="Calibri" w:hAnsi="Calibri" w:cs="Calibri"/>
        </w:rPr>
        <w:t>if</w:t>
      </w:r>
      <w:proofErr w:type="gramEnd"/>
      <w:r w:rsidRPr="00B91CE0">
        <w:rPr>
          <w:rFonts w:ascii="Calibri" w:hAnsi="Calibri" w:cs="Calibri"/>
        </w:rPr>
        <w:t xml:space="preserve"> a provision of the law or </w:t>
      </w:r>
      <w:hyperlink r:id="rId38" w:anchor="instrument" w:history="1">
        <w:r w:rsidRPr="00B91CE0">
          <w:rPr>
            <w:rFonts w:ascii="Calibri" w:hAnsi="Calibri" w:cs="Calibri"/>
          </w:rPr>
          <w:t>instrument</w:t>
        </w:r>
      </w:hyperlink>
      <w:r w:rsidRPr="00B91CE0">
        <w:rPr>
          <w:rFonts w:ascii="Calibri" w:hAnsi="Calibri" w:cs="Calibri"/>
        </w:rPr>
        <w:t> is omitted and remade (with or without changes) in another law or </w:t>
      </w:r>
      <w:hyperlink r:id="rId39" w:anchor="instrument" w:history="1">
        <w:r w:rsidRPr="00B91CE0">
          <w:rPr>
            <w:rFonts w:ascii="Calibri" w:hAnsi="Calibri" w:cs="Calibri"/>
          </w:rPr>
          <w:t>instrument</w:t>
        </w:r>
      </w:hyperlink>
      <w:r w:rsidRPr="00B91CE0">
        <w:rPr>
          <w:rFonts w:ascii="Calibri" w:hAnsi="Calibri" w:cs="Calibri"/>
        </w:rPr>
        <w:t>—the provision as remade and each subsequent amendment of the provision.</w:t>
      </w:r>
    </w:p>
    <w:p w:rsidR="000F300D" w:rsidRPr="00B91CE0" w:rsidRDefault="000F300D" w:rsidP="000F300D">
      <w:pPr>
        <w:widowControl w:val="0"/>
        <w:tabs>
          <w:tab w:val="left" w:pos="1276"/>
        </w:tabs>
        <w:spacing w:before="120" w:after="120" w:line="300" w:lineRule="exact"/>
        <w:rPr>
          <w:rFonts w:ascii="Calibri" w:hAnsi="Calibri" w:cs="Calibri"/>
          <w:iCs/>
        </w:rPr>
      </w:pPr>
      <w:r w:rsidRPr="00B91CE0">
        <w:rPr>
          <w:rFonts w:ascii="Calibri" w:hAnsi="Calibri" w:cs="Calibri"/>
          <w:iCs/>
        </w:rPr>
        <w:t xml:space="preserve">This means that, unless </w:t>
      </w:r>
      <w:proofErr w:type="spellStart"/>
      <w:r w:rsidRPr="00B91CE0">
        <w:rPr>
          <w:rFonts w:ascii="Calibri" w:hAnsi="Calibri" w:cs="Calibri"/>
          <w:iCs/>
        </w:rPr>
        <w:t>disapplied</w:t>
      </w:r>
      <w:proofErr w:type="spellEnd"/>
      <w:r w:rsidRPr="00B91CE0">
        <w:rPr>
          <w:rFonts w:ascii="Calibri" w:hAnsi="Calibri" w:cs="Calibri"/>
          <w:iCs/>
        </w:rPr>
        <w:t xml:space="preserve">, subsection 47(6) would make the </w:t>
      </w:r>
      <w:bookmarkStart w:id="523" w:name="_Hlk68687414"/>
      <w:bookmarkStart w:id="524" w:name="_Hlk68686917"/>
      <w:r w:rsidRPr="00B91CE0">
        <w:rPr>
          <w:rFonts w:ascii="Calibri" w:hAnsi="Calibri" w:cs="Calibri"/>
          <w:i/>
        </w:rPr>
        <w:t>Health Insurance Act 1973</w:t>
      </w:r>
      <w:r w:rsidRPr="00B91CE0">
        <w:rPr>
          <w:rFonts w:ascii="Calibri" w:hAnsi="Calibri" w:cs="Calibri"/>
          <w:iCs/>
        </w:rPr>
        <w:t xml:space="preserve"> (</w:t>
      </w:r>
      <w:proofErr w:type="spellStart"/>
      <w:r w:rsidRPr="00B91CE0">
        <w:rPr>
          <w:rFonts w:ascii="Calibri" w:hAnsi="Calibri" w:cs="Calibri"/>
          <w:iCs/>
        </w:rPr>
        <w:t>Cth</w:t>
      </w:r>
      <w:proofErr w:type="spellEnd"/>
      <w:r w:rsidRPr="00B91CE0">
        <w:rPr>
          <w:rFonts w:ascii="Calibri" w:hAnsi="Calibri" w:cs="Calibri"/>
          <w:iCs/>
        </w:rPr>
        <w:t>)</w:t>
      </w:r>
      <w:bookmarkEnd w:id="523"/>
      <w:r w:rsidRPr="00B91CE0">
        <w:rPr>
          <w:rFonts w:ascii="Calibri" w:hAnsi="Calibri" w:cs="Calibri"/>
          <w:iCs/>
        </w:rPr>
        <w:t>, and any amendments to it, “notifiable instruments”, for section 10 of</w:t>
      </w:r>
      <w:bookmarkEnd w:id="524"/>
      <w:r w:rsidRPr="00B91CE0">
        <w:rPr>
          <w:rFonts w:ascii="Calibri" w:hAnsi="Calibri" w:cs="Calibri"/>
          <w:iCs/>
        </w:rPr>
        <w:t xml:space="preserve"> the Legislation Act.  Section 19 of the Legislation Act requires that notifiable instruments be published, on the ACT Legi</w:t>
      </w:r>
      <w:r w:rsidR="002E1052">
        <w:rPr>
          <w:rFonts w:ascii="Calibri" w:hAnsi="Calibri" w:cs="Calibri"/>
          <w:iCs/>
        </w:rPr>
        <w:t xml:space="preserve">slation Register. </w:t>
      </w:r>
      <w:r w:rsidRPr="00B91CE0">
        <w:rPr>
          <w:rFonts w:ascii="Calibri" w:hAnsi="Calibri" w:cs="Calibri"/>
          <w:iCs/>
        </w:rPr>
        <w:t>This is recognised in Notes 1 and 2 to subsection 22(3) of the Public Health Act.</w:t>
      </w:r>
    </w:p>
    <w:p w:rsidR="000F300D" w:rsidRPr="00B91CE0" w:rsidRDefault="000F300D" w:rsidP="000F300D">
      <w:pPr>
        <w:widowControl w:val="0"/>
        <w:tabs>
          <w:tab w:val="left" w:pos="1276"/>
        </w:tabs>
        <w:spacing w:before="120" w:after="120" w:line="300" w:lineRule="exact"/>
        <w:rPr>
          <w:rFonts w:ascii="Calibri" w:hAnsi="Calibri" w:cs="Calibri"/>
          <w:iCs/>
        </w:rPr>
      </w:pPr>
      <w:proofErr w:type="spellStart"/>
      <w:r w:rsidRPr="00B91CE0">
        <w:rPr>
          <w:rFonts w:ascii="Calibri" w:hAnsi="Calibri" w:cs="Calibri"/>
          <w:iCs/>
        </w:rPr>
        <w:t>Disapplying</w:t>
      </w:r>
      <w:proofErr w:type="spellEnd"/>
      <w:r w:rsidRPr="00B91CE0">
        <w:rPr>
          <w:rFonts w:ascii="Calibri" w:hAnsi="Calibri" w:cs="Calibri"/>
          <w:iCs/>
        </w:rPr>
        <w:t xml:space="preserve"> subsection 47(6) of the Legislation Act means that there is no requirement to publish the </w:t>
      </w:r>
      <w:r w:rsidRPr="00B91CE0">
        <w:rPr>
          <w:rFonts w:ascii="Calibri" w:hAnsi="Calibri" w:cs="Calibri"/>
          <w:i/>
        </w:rPr>
        <w:t xml:space="preserve">Health Insurance Act 1973 </w:t>
      </w:r>
      <w:r w:rsidRPr="00B91CE0">
        <w:rPr>
          <w:rFonts w:ascii="Calibri" w:hAnsi="Calibri" w:cs="Calibri"/>
          <w:iCs/>
        </w:rPr>
        <w:t>(</w:t>
      </w:r>
      <w:proofErr w:type="spellStart"/>
      <w:r w:rsidRPr="00B91CE0">
        <w:rPr>
          <w:rFonts w:ascii="Calibri" w:hAnsi="Calibri" w:cs="Calibri"/>
          <w:iCs/>
        </w:rPr>
        <w:t>Cth</w:t>
      </w:r>
      <w:proofErr w:type="spellEnd"/>
      <w:r w:rsidRPr="00B91CE0">
        <w:rPr>
          <w:rFonts w:ascii="Calibri" w:hAnsi="Calibri" w:cs="Calibri"/>
          <w:iCs/>
        </w:rPr>
        <w:t>), and any amendments to it, on the ACT Legislation Register.</w:t>
      </w:r>
    </w:p>
    <w:p w:rsidR="000F300D" w:rsidRPr="00B91CE0" w:rsidRDefault="000F300D" w:rsidP="000F300D">
      <w:pPr>
        <w:widowControl w:val="0"/>
        <w:tabs>
          <w:tab w:val="left" w:pos="1276"/>
        </w:tabs>
        <w:spacing w:before="120" w:after="120" w:line="300" w:lineRule="exact"/>
        <w:rPr>
          <w:rFonts w:ascii="Calibri" w:hAnsi="Calibri" w:cs="Calibri"/>
          <w:iCs/>
        </w:rPr>
      </w:pPr>
      <w:r w:rsidRPr="00B91CE0">
        <w:rPr>
          <w:rFonts w:ascii="Calibri" w:hAnsi="Calibri" w:cs="Calibri"/>
          <w:iCs/>
        </w:rPr>
        <w:t xml:space="preserve">The requirement to publish (external) instruments, </w:t>
      </w:r>
      <w:proofErr w:type="spellStart"/>
      <w:r w:rsidRPr="00B91CE0">
        <w:rPr>
          <w:rFonts w:ascii="Calibri" w:hAnsi="Calibri" w:cs="Calibri"/>
          <w:iCs/>
        </w:rPr>
        <w:t>etc</w:t>
      </w:r>
      <w:proofErr w:type="spellEnd"/>
      <w:r w:rsidRPr="00B91CE0">
        <w:rPr>
          <w:rFonts w:ascii="Calibri" w:hAnsi="Calibri" w:cs="Calibri"/>
          <w:iCs/>
        </w:rPr>
        <w:t xml:space="preserve"> relied upon by instruments covered by section 47 of the Legislation Act on the ACT Legislation Register ensures that users of legislation have free access to all the material that they need, in order to understand the full scope and effect of an instrument such as th</w:t>
      </w:r>
      <w:r w:rsidR="002E1052">
        <w:rPr>
          <w:rFonts w:ascii="Calibri" w:hAnsi="Calibri" w:cs="Calibri"/>
          <w:iCs/>
        </w:rPr>
        <w:t xml:space="preserve">e one mentioned above. </w:t>
      </w:r>
      <w:r w:rsidRPr="00B91CE0">
        <w:rPr>
          <w:rFonts w:ascii="Calibri" w:hAnsi="Calibri" w:cs="Calibri"/>
          <w:iCs/>
        </w:rPr>
        <w:t>The Committee has always taken a strong view that such access is important. As a result, the Committee generally does not look favourably on the disapplication of subsections 47(6) (and (5)) of the Legislation Act and seeks an explanation as to why disapplication is necessary, in a particular case.</w:t>
      </w:r>
    </w:p>
    <w:p w:rsidR="000F300D" w:rsidRPr="00B91CE0" w:rsidRDefault="000F300D" w:rsidP="000F300D">
      <w:pPr>
        <w:widowControl w:val="0"/>
        <w:tabs>
          <w:tab w:val="left" w:pos="1276"/>
        </w:tabs>
        <w:spacing w:before="120" w:after="120" w:line="300" w:lineRule="exact"/>
        <w:rPr>
          <w:rFonts w:ascii="Calibri" w:hAnsi="Calibri" w:cs="Calibri"/>
          <w:iCs/>
        </w:rPr>
      </w:pPr>
      <w:r w:rsidRPr="00B91CE0">
        <w:rPr>
          <w:rFonts w:ascii="Calibri" w:hAnsi="Calibri" w:cs="Calibri"/>
          <w:iCs/>
        </w:rPr>
        <w:t xml:space="preserve">The Committee notes that the explanatory statement for this instrument does </w:t>
      </w:r>
      <w:r w:rsidRPr="00B91CE0">
        <w:rPr>
          <w:rFonts w:ascii="Calibri" w:hAnsi="Calibri" w:cs="Calibri"/>
          <w:iCs/>
          <w:u w:val="single"/>
        </w:rPr>
        <w:t>not</w:t>
      </w:r>
      <w:r w:rsidRPr="00B91CE0">
        <w:rPr>
          <w:rFonts w:ascii="Calibri" w:hAnsi="Calibri" w:cs="Calibri"/>
          <w:iCs/>
        </w:rPr>
        <w:t xml:space="preserve"> address the issue of why it is necessary to disapply subsection 47(6) of the </w:t>
      </w:r>
      <w:r w:rsidR="002E1052">
        <w:rPr>
          <w:rFonts w:ascii="Calibri" w:hAnsi="Calibri" w:cs="Calibri"/>
          <w:iCs/>
        </w:rPr>
        <w:t xml:space="preserve">Legislation Act, in this case. </w:t>
      </w:r>
      <w:r w:rsidRPr="00B91CE0">
        <w:rPr>
          <w:rFonts w:ascii="Calibri" w:hAnsi="Calibri" w:cs="Calibri"/>
          <w:iCs/>
        </w:rPr>
        <w:t xml:space="preserve">While the disapplication of subsection 47(6) to the </w:t>
      </w:r>
      <w:r w:rsidRPr="00B91CE0">
        <w:rPr>
          <w:rFonts w:ascii="Calibri" w:hAnsi="Calibri" w:cs="Calibri"/>
          <w:i/>
        </w:rPr>
        <w:t>Health Insurance Act 1973</w:t>
      </w:r>
      <w:r w:rsidRPr="00B91CE0">
        <w:rPr>
          <w:rFonts w:ascii="Calibri" w:hAnsi="Calibri" w:cs="Calibri"/>
          <w:iCs/>
        </w:rPr>
        <w:t xml:space="preserve"> (</w:t>
      </w:r>
      <w:proofErr w:type="spellStart"/>
      <w:r w:rsidRPr="00B91CE0">
        <w:rPr>
          <w:rFonts w:ascii="Calibri" w:hAnsi="Calibri" w:cs="Calibri"/>
          <w:iCs/>
        </w:rPr>
        <w:t>Cth</w:t>
      </w:r>
      <w:proofErr w:type="spellEnd"/>
      <w:r w:rsidRPr="00B91CE0">
        <w:rPr>
          <w:rFonts w:ascii="Calibri" w:hAnsi="Calibri" w:cs="Calibri"/>
          <w:iCs/>
        </w:rPr>
        <w:t xml:space="preserve">) is relatively unproblematic – and while the Committee notes that the Note to section 5 of the instrument gives the website address for the Federal Register of Legislation, where the </w:t>
      </w:r>
      <w:r w:rsidRPr="00B91CE0">
        <w:rPr>
          <w:rFonts w:ascii="Calibri" w:hAnsi="Calibri" w:cs="Calibri"/>
          <w:i/>
        </w:rPr>
        <w:t>Health Insurance Act 1973</w:t>
      </w:r>
      <w:r w:rsidRPr="00B91CE0">
        <w:rPr>
          <w:rFonts w:ascii="Calibri" w:hAnsi="Calibri" w:cs="Calibri"/>
          <w:iCs/>
        </w:rPr>
        <w:t xml:space="preserve"> (</w:t>
      </w:r>
      <w:proofErr w:type="spellStart"/>
      <w:r w:rsidRPr="00B91CE0">
        <w:rPr>
          <w:rFonts w:ascii="Calibri" w:hAnsi="Calibri" w:cs="Calibri"/>
          <w:iCs/>
        </w:rPr>
        <w:t>Cth</w:t>
      </w:r>
      <w:proofErr w:type="spellEnd"/>
      <w:r w:rsidRPr="00B91CE0">
        <w:rPr>
          <w:rFonts w:ascii="Calibri" w:hAnsi="Calibri" w:cs="Calibri"/>
          <w:iCs/>
        </w:rPr>
        <w:t>) can be found – it would be preferable if this issue was expressly addressed in the explanatory statement for this instrument, in line with the Committee’s oft-stated preference.</w:t>
      </w:r>
    </w:p>
    <w:p w:rsidR="000F300D" w:rsidRPr="00B91CE0" w:rsidRDefault="000F300D" w:rsidP="000F300D">
      <w:pPr>
        <w:widowControl w:val="0"/>
        <w:tabs>
          <w:tab w:val="left" w:pos="1276"/>
        </w:tabs>
        <w:spacing w:before="120" w:after="120" w:line="300" w:lineRule="exact"/>
        <w:rPr>
          <w:rFonts w:ascii="Calibri" w:hAnsi="Calibri" w:cs="Calibri"/>
          <w:iCs/>
        </w:rPr>
      </w:pPr>
      <w:r w:rsidRPr="00B91CE0">
        <w:rPr>
          <w:rFonts w:ascii="Calibri" w:hAnsi="Calibri" w:cs="Calibri"/>
          <w:iCs/>
        </w:rPr>
        <w:t>The Committee notes that the explanatory statement for the instrument goes on to address human rights issues:</w:t>
      </w:r>
    </w:p>
    <w:p w:rsidR="000F300D" w:rsidRPr="00B91CE0" w:rsidRDefault="000F300D" w:rsidP="000F300D">
      <w:pPr>
        <w:spacing w:before="120" w:after="120"/>
        <w:ind w:left="720"/>
        <w:rPr>
          <w:rFonts w:ascii="Calibri" w:hAnsi="Calibri" w:cs="Calibri"/>
        </w:rPr>
      </w:pPr>
      <w:r w:rsidRPr="00B91CE0">
        <w:rPr>
          <w:rFonts w:ascii="Calibri" w:hAnsi="Calibri" w:cs="Calibri"/>
        </w:rPr>
        <w:t xml:space="preserve">This determination does not engage with an individual’s human rights within the </w:t>
      </w:r>
      <w:r w:rsidRPr="00B91CE0">
        <w:rPr>
          <w:rFonts w:ascii="Calibri" w:hAnsi="Calibri" w:cs="Calibri"/>
          <w:i/>
          <w:iCs/>
        </w:rPr>
        <w:t>Human Rights Act 2004.</w:t>
      </w:r>
    </w:p>
    <w:p w:rsidR="000F300D" w:rsidRPr="00B91CE0" w:rsidRDefault="000F300D" w:rsidP="000F300D">
      <w:pPr>
        <w:widowControl w:val="0"/>
        <w:tabs>
          <w:tab w:val="left" w:pos="1276"/>
        </w:tabs>
        <w:spacing w:before="120" w:after="120" w:line="300" w:lineRule="exact"/>
        <w:rPr>
          <w:rFonts w:ascii="Calibri" w:hAnsi="Calibri" w:cs="Calibri"/>
          <w:b/>
          <w:bCs/>
          <w:iCs/>
        </w:rPr>
      </w:pPr>
      <w:r w:rsidRPr="00B91CE0">
        <w:rPr>
          <w:rFonts w:ascii="Calibri" w:hAnsi="Calibri" w:cs="Calibri"/>
          <w:b/>
          <w:bCs/>
          <w:iCs/>
        </w:rPr>
        <w:t>The Committee draws the attention of the Legislative Assembly to the discussion of human rights issues in the explanatory statement for this instrument.</w:t>
      </w:r>
    </w:p>
    <w:p w:rsidR="000F300D" w:rsidRDefault="000F300D" w:rsidP="000F300D">
      <w:pPr>
        <w:widowControl w:val="0"/>
        <w:tabs>
          <w:tab w:val="left" w:pos="1276"/>
        </w:tabs>
        <w:spacing w:before="120" w:after="120" w:line="300" w:lineRule="exact"/>
        <w:rPr>
          <w:rFonts w:ascii="Calibri" w:hAnsi="Calibri" w:cs="Calibri"/>
          <w:b/>
          <w:bCs/>
          <w:iCs/>
        </w:rPr>
      </w:pPr>
      <w:r w:rsidRPr="00B91CE0">
        <w:rPr>
          <w:rFonts w:ascii="Calibri" w:hAnsi="Calibri" w:cs="Calibri"/>
          <w:b/>
          <w:bCs/>
          <w:iCs/>
        </w:rPr>
        <w:t>This comment does not requi</w:t>
      </w:r>
      <w:r w:rsidR="00F6392B">
        <w:rPr>
          <w:rFonts w:ascii="Calibri" w:hAnsi="Calibri" w:cs="Calibri"/>
          <w:b/>
          <w:bCs/>
          <w:iCs/>
        </w:rPr>
        <w:t>re a response from the Minister</w:t>
      </w:r>
    </w:p>
    <w:p w:rsidR="00F6392B" w:rsidRPr="00B91CE0" w:rsidRDefault="00F6392B" w:rsidP="000F300D">
      <w:pPr>
        <w:widowControl w:val="0"/>
        <w:tabs>
          <w:tab w:val="left" w:pos="1276"/>
        </w:tabs>
        <w:spacing w:before="120" w:after="120" w:line="300" w:lineRule="exact"/>
        <w:rPr>
          <w:rFonts w:ascii="Calibri" w:hAnsi="Calibri" w:cs="Calibri"/>
          <w:b/>
          <w:bCs/>
          <w:iCs/>
        </w:rPr>
      </w:pPr>
    </w:p>
    <w:p w:rsidR="000F300D" w:rsidRDefault="000F300D" w:rsidP="00021FF8">
      <w:pPr>
        <w:pStyle w:val="Heading3"/>
      </w:pPr>
      <w:bookmarkStart w:id="525" w:name="_Toc69207599"/>
      <w:bookmarkStart w:id="526" w:name="_Hlk23932800"/>
      <w:bookmarkStart w:id="527" w:name="_Hlk49938910"/>
      <w:r>
        <w:t>Subordinate Laws</w:t>
      </w:r>
      <w:r w:rsidRPr="004D0138">
        <w:t>—</w:t>
      </w:r>
      <w:r>
        <w:t xml:space="preserve">No </w:t>
      </w:r>
      <w:r w:rsidRPr="004D0138">
        <w:t>Comment</w:t>
      </w:r>
      <w:bookmarkEnd w:id="525"/>
    </w:p>
    <w:bookmarkEnd w:id="526"/>
    <w:p w:rsidR="000F300D" w:rsidRDefault="000F300D" w:rsidP="000F300D">
      <w:pPr>
        <w:widowControl w:val="0"/>
        <w:tabs>
          <w:tab w:val="left" w:pos="1276"/>
        </w:tabs>
        <w:spacing w:before="120" w:after="120" w:line="300" w:lineRule="exact"/>
        <w:rPr>
          <w:rFonts w:ascii="Calibri" w:hAnsi="Calibri" w:cs="Calibri"/>
          <w:color w:val="000000"/>
        </w:rPr>
      </w:pPr>
      <w:r w:rsidRPr="00987942">
        <w:rPr>
          <w:rFonts w:ascii="Calibri" w:hAnsi="Calibri" w:cs="Calibri"/>
          <w:color w:val="000000"/>
        </w:rPr>
        <w:t>The Committee has examined the following subordinate law</w:t>
      </w:r>
      <w:r>
        <w:rPr>
          <w:rFonts w:ascii="Calibri" w:hAnsi="Calibri" w:cs="Calibri"/>
          <w:color w:val="000000"/>
        </w:rPr>
        <w:t>s</w:t>
      </w:r>
      <w:r w:rsidRPr="00987942">
        <w:rPr>
          <w:rFonts w:ascii="Calibri" w:hAnsi="Calibri" w:cs="Calibri"/>
          <w:color w:val="000000"/>
        </w:rPr>
        <w:t xml:space="preserve"> and offers no comments on </w:t>
      </w:r>
      <w:r>
        <w:rPr>
          <w:rFonts w:ascii="Calibri" w:hAnsi="Calibri" w:cs="Calibri"/>
          <w:color w:val="000000"/>
        </w:rPr>
        <w:t>them</w:t>
      </w:r>
      <w:bookmarkEnd w:id="527"/>
      <w:r>
        <w:rPr>
          <w:rFonts w:ascii="Calibri" w:hAnsi="Calibri" w:cs="Calibri"/>
          <w:color w:val="000000"/>
        </w:rPr>
        <w:t>:</w:t>
      </w:r>
    </w:p>
    <w:p w:rsidR="000F300D" w:rsidRPr="00842199" w:rsidRDefault="000F300D" w:rsidP="000F300D">
      <w:pPr>
        <w:pStyle w:val="Bodycopy"/>
        <w:spacing w:after="0" w:line="280" w:lineRule="exact"/>
        <w:rPr>
          <w:b/>
        </w:rPr>
      </w:pPr>
      <w:bookmarkStart w:id="528" w:name="_Toc338841798"/>
      <w:r>
        <w:rPr>
          <w:b/>
        </w:rPr>
        <w:t>Subordinate Law</w:t>
      </w:r>
      <w:r w:rsidRPr="00451C85">
        <w:rPr>
          <w:b/>
        </w:rPr>
        <w:t xml:space="preserve"> </w:t>
      </w:r>
      <w:r>
        <w:rPr>
          <w:b/>
        </w:rPr>
        <w:t>SL2020-45</w:t>
      </w:r>
      <w:r w:rsidRPr="00451C85">
        <w:rPr>
          <w:b/>
        </w:rPr>
        <w:t xml:space="preserve"> being the </w:t>
      </w:r>
      <w:r>
        <w:rPr>
          <w:b/>
        </w:rPr>
        <w:t xml:space="preserve">Court Procedures Amendment Rules 2020 (No 5) made under the </w:t>
      </w:r>
      <w:r>
        <w:rPr>
          <w:i/>
        </w:rPr>
        <w:t>Court Procedures Act 2004</w:t>
      </w:r>
      <w:r w:rsidRPr="00236BDD">
        <w:rPr>
          <w:b/>
        </w:rPr>
        <w:t xml:space="preserve"> </w:t>
      </w:r>
      <w:r>
        <w:rPr>
          <w:b/>
        </w:rPr>
        <w:t xml:space="preserve">determines amendments to rules in relation to the practice and procedure of ACT Courts and their registries. </w:t>
      </w:r>
    </w:p>
    <w:p w:rsidR="000F300D" w:rsidRDefault="000F300D" w:rsidP="000F300D">
      <w:pPr>
        <w:pStyle w:val="Bodycopy"/>
        <w:spacing w:after="0" w:line="280" w:lineRule="exact"/>
        <w:rPr>
          <w:b/>
        </w:rPr>
      </w:pPr>
      <w:r>
        <w:rPr>
          <w:b/>
        </w:rPr>
        <w:t>Subordinate Law</w:t>
      </w:r>
      <w:r w:rsidRPr="00451C85">
        <w:rPr>
          <w:b/>
        </w:rPr>
        <w:t xml:space="preserve"> </w:t>
      </w:r>
      <w:r>
        <w:rPr>
          <w:b/>
        </w:rPr>
        <w:t>SL2021-1</w:t>
      </w:r>
      <w:r w:rsidRPr="00451C85">
        <w:rPr>
          <w:b/>
        </w:rPr>
        <w:t xml:space="preserve"> being the </w:t>
      </w:r>
      <w:r>
        <w:rPr>
          <w:b/>
        </w:rPr>
        <w:t xml:space="preserve">Work Health and Safety Amendment Regulations 2021 (No 1) made under the </w:t>
      </w:r>
      <w:r>
        <w:rPr>
          <w:i/>
        </w:rPr>
        <w:t>Work Health and Safety Act 2011</w:t>
      </w:r>
      <w:r w:rsidRPr="00236BDD">
        <w:rPr>
          <w:b/>
        </w:rPr>
        <w:t xml:space="preserve"> </w:t>
      </w:r>
      <w:r>
        <w:rPr>
          <w:b/>
        </w:rPr>
        <w:t xml:space="preserve">corrects minor and technical errors in the Work Health Safety Amendment Regulation 2020 (No. 1). </w:t>
      </w:r>
    </w:p>
    <w:p w:rsidR="007F30D6" w:rsidRDefault="007F30D6">
      <w:pPr>
        <w:spacing w:before="0" w:after="160" w:line="259" w:lineRule="auto"/>
        <w:rPr>
          <w:rFonts w:ascii="Arial Narrow" w:eastAsiaTheme="majorEastAsia" w:hAnsi="Arial Narrow" w:cstheme="majorBidi"/>
          <w:smallCaps/>
          <w:sz w:val="30"/>
          <w:szCs w:val="24"/>
        </w:rPr>
      </w:pPr>
      <w:bookmarkStart w:id="529" w:name="_Hlk489262200"/>
      <w:bookmarkStart w:id="530" w:name="_Toc69207600"/>
      <w:bookmarkStart w:id="531" w:name="_Hlk20217519"/>
      <w:r>
        <w:br w:type="page"/>
      </w:r>
    </w:p>
    <w:p w:rsidR="000F300D" w:rsidRPr="004D0138" w:rsidRDefault="000F300D" w:rsidP="00F6392B">
      <w:pPr>
        <w:pStyle w:val="Heading3"/>
      </w:pPr>
      <w:r w:rsidRPr="004D0138">
        <w:t>Subordinate Laws</w:t>
      </w:r>
      <w:bookmarkStart w:id="532" w:name="_Hlk20475358"/>
      <w:r w:rsidRPr="004D0138">
        <w:t>—Comment</w:t>
      </w:r>
      <w:bookmarkEnd w:id="528"/>
      <w:bookmarkEnd w:id="529"/>
      <w:bookmarkEnd w:id="532"/>
      <w:bookmarkEnd w:id="530"/>
    </w:p>
    <w:p w:rsidR="000F300D" w:rsidRDefault="000F300D" w:rsidP="00F6392B">
      <w:pPr>
        <w:keepNext/>
        <w:widowControl w:val="0"/>
        <w:tabs>
          <w:tab w:val="left" w:pos="1276"/>
        </w:tabs>
        <w:spacing w:before="120" w:after="120" w:line="300" w:lineRule="exact"/>
        <w:rPr>
          <w:rFonts w:ascii="Calibri" w:hAnsi="Calibri" w:cs="Calibri"/>
          <w:color w:val="000000"/>
        </w:rPr>
      </w:pPr>
      <w:bookmarkStart w:id="533" w:name="_Hlk494963165"/>
      <w:bookmarkEnd w:id="531"/>
      <w:r w:rsidRPr="00987942">
        <w:rPr>
          <w:rFonts w:ascii="Calibri" w:hAnsi="Calibri" w:cs="Calibri"/>
          <w:color w:val="000000"/>
        </w:rPr>
        <w:t xml:space="preserve">The Committee </w:t>
      </w:r>
      <w:bookmarkEnd w:id="533"/>
      <w:r w:rsidRPr="00987942">
        <w:rPr>
          <w:rFonts w:ascii="Calibri" w:hAnsi="Calibri" w:cs="Calibri"/>
          <w:color w:val="000000"/>
        </w:rPr>
        <w:t>has examined the following subordinate law and offers these comments on</w:t>
      </w:r>
      <w:r>
        <w:rPr>
          <w:rFonts w:ascii="Calibri" w:hAnsi="Calibri" w:cs="Calibri"/>
          <w:color w:val="000000"/>
        </w:rPr>
        <w:t xml:space="preserve"> it:</w:t>
      </w:r>
    </w:p>
    <w:p w:rsidR="000F300D" w:rsidRPr="00D7174F" w:rsidRDefault="000F300D" w:rsidP="00F6392B">
      <w:pPr>
        <w:pStyle w:val="Bodycopy"/>
        <w:keepNext/>
        <w:spacing w:after="0" w:line="280" w:lineRule="exact"/>
        <w:rPr>
          <w:bCs/>
          <w:i/>
          <w:iCs/>
        </w:rPr>
      </w:pPr>
      <w:r>
        <w:rPr>
          <w:bCs/>
          <w:i/>
          <w:iCs/>
        </w:rPr>
        <w:t>COVID-19-related instrument / Human rights issues</w:t>
      </w:r>
    </w:p>
    <w:p w:rsidR="000F300D" w:rsidRPr="00AE31AA" w:rsidRDefault="000F300D" w:rsidP="000F300D">
      <w:pPr>
        <w:pStyle w:val="Bodycopy"/>
        <w:spacing w:after="0" w:line="280" w:lineRule="exact"/>
        <w:rPr>
          <w:bCs/>
        </w:rPr>
      </w:pPr>
      <w:r w:rsidRPr="00AE31AA">
        <w:rPr>
          <w:b/>
        </w:rPr>
        <w:t xml:space="preserve">Subordinate Law SL2020-46 being the Supreme Court Regulation 2020 made under the </w:t>
      </w:r>
      <w:r w:rsidRPr="00077D40">
        <w:rPr>
          <w:bCs/>
          <w:i/>
          <w:iCs/>
        </w:rPr>
        <w:t xml:space="preserve">Supreme Court Act 1933 </w:t>
      </w:r>
      <w:r w:rsidRPr="00AE31AA">
        <w:rPr>
          <w:b/>
        </w:rPr>
        <w:t xml:space="preserve">determines the day on which the COVID-19 emergency period ends for the purposes of the Act. </w:t>
      </w:r>
    </w:p>
    <w:p w:rsidR="000F300D" w:rsidRDefault="000F300D" w:rsidP="000F300D">
      <w:pPr>
        <w:pStyle w:val="Bodycopy"/>
        <w:spacing w:after="0" w:line="280" w:lineRule="exact"/>
        <w:rPr>
          <w:bCs/>
        </w:rPr>
      </w:pPr>
      <w:r w:rsidRPr="00AE31AA">
        <w:rPr>
          <w:bCs/>
        </w:rPr>
        <w:t>This subordinate law</w:t>
      </w:r>
      <w:r>
        <w:rPr>
          <w:bCs/>
        </w:rPr>
        <w:t xml:space="preserve">, made on 18 December 2020, was made under subsection </w:t>
      </w:r>
      <w:proofErr w:type="gramStart"/>
      <w:r>
        <w:rPr>
          <w:bCs/>
        </w:rPr>
        <w:t>68B(</w:t>
      </w:r>
      <w:proofErr w:type="gramEnd"/>
      <w:r>
        <w:rPr>
          <w:bCs/>
        </w:rPr>
        <w:t xml:space="preserve">4) of the </w:t>
      </w:r>
      <w:r>
        <w:rPr>
          <w:bCs/>
          <w:i/>
          <w:iCs/>
        </w:rPr>
        <w:t>Supreme Court Act 1933</w:t>
      </w:r>
      <w:r>
        <w:rPr>
          <w:bCs/>
        </w:rPr>
        <w:t xml:space="preserve">.  As it existed at that time, subsection </w:t>
      </w:r>
      <w:proofErr w:type="gramStart"/>
      <w:r>
        <w:rPr>
          <w:bCs/>
        </w:rPr>
        <w:t>68B(</w:t>
      </w:r>
      <w:proofErr w:type="gramEnd"/>
      <w:r>
        <w:rPr>
          <w:bCs/>
        </w:rPr>
        <w:t>4) provided (in part):</w:t>
      </w:r>
    </w:p>
    <w:p w:rsidR="000F300D" w:rsidRPr="006C2C69" w:rsidRDefault="000F300D" w:rsidP="000F300D">
      <w:pPr>
        <w:pStyle w:val="Amain"/>
        <w:ind w:left="1820"/>
        <w:rPr>
          <w:rFonts w:ascii="Calibri" w:hAnsi="Calibri" w:cs="Calibri"/>
          <w:sz w:val="22"/>
          <w:szCs w:val="22"/>
        </w:rPr>
      </w:pPr>
      <w:r w:rsidRPr="006C2C69">
        <w:rPr>
          <w:rFonts w:ascii="Calibri" w:hAnsi="Calibri" w:cs="Calibri"/>
          <w:sz w:val="22"/>
          <w:szCs w:val="22"/>
        </w:rPr>
        <w:t>(4)</w:t>
      </w:r>
      <w:r w:rsidRPr="006C2C69">
        <w:rPr>
          <w:rFonts w:ascii="Calibri" w:hAnsi="Calibri" w:cs="Calibri"/>
          <w:sz w:val="22"/>
          <w:szCs w:val="22"/>
        </w:rPr>
        <w:tab/>
        <w:t>In this section:</w:t>
      </w:r>
    </w:p>
    <w:p w:rsidR="000F300D" w:rsidRPr="006C2C69" w:rsidRDefault="000F300D" w:rsidP="009E2FE7">
      <w:pPr>
        <w:pStyle w:val="aDef"/>
        <w:ind w:left="1170"/>
        <w:rPr>
          <w:rFonts w:ascii="Calibri" w:hAnsi="Calibri" w:cs="Calibri"/>
          <w:sz w:val="22"/>
          <w:szCs w:val="22"/>
        </w:rPr>
      </w:pPr>
      <w:bookmarkStart w:id="534" w:name="_Hlk68631820"/>
      <w:r w:rsidRPr="006C2C69">
        <w:rPr>
          <w:rStyle w:val="charBoldItals"/>
          <w:rFonts w:ascii="Calibri" w:hAnsi="Calibri" w:cs="Calibri"/>
          <w:sz w:val="22"/>
          <w:szCs w:val="22"/>
        </w:rPr>
        <w:t>COVID-19 emergency period</w:t>
      </w:r>
      <w:r w:rsidRPr="006C2C69">
        <w:rPr>
          <w:rFonts w:ascii="Calibri" w:hAnsi="Calibri" w:cs="Calibri"/>
          <w:sz w:val="22"/>
          <w:szCs w:val="22"/>
        </w:rPr>
        <w:t xml:space="preserve"> </w:t>
      </w:r>
      <w:bookmarkEnd w:id="534"/>
      <w:r w:rsidRPr="006C2C69">
        <w:rPr>
          <w:rFonts w:ascii="Calibri" w:hAnsi="Calibri" w:cs="Calibri"/>
          <w:sz w:val="22"/>
          <w:szCs w:val="22"/>
        </w:rPr>
        <w:t>means the period beginning on 16 March 2020 and ending on—</w:t>
      </w:r>
    </w:p>
    <w:p w:rsidR="000F300D" w:rsidRPr="006C2C69" w:rsidRDefault="000F300D" w:rsidP="000F300D">
      <w:pPr>
        <w:pStyle w:val="Apara"/>
        <w:ind w:left="2320"/>
        <w:rPr>
          <w:rFonts w:ascii="Calibri" w:hAnsi="Calibri" w:cs="Calibri"/>
          <w:sz w:val="22"/>
          <w:szCs w:val="22"/>
        </w:rPr>
      </w:pPr>
      <w:r w:rsidRPr="006C2C69">
        <w:rPr>
          <w:rFonts w:ascii="Calibri" w:hAnsi="Calibri" w:cs="Calibri"/>
          <w:sz w:val="22"/>
          <w:szCs w:val="22"/>
        </w:rPr>
        <w:tab/>
        <w:t>(a)</w:t>
      </w:r>
      <w:r w:rsidRPr="006C2C69">
        <w:rPr>
          <w:rFonts w:ascii="Calibri" w:hAnsi="Calibri" w:cs="Calibri"/>
          <w:sz w:val="22"/>
          <w:szCs w:val="22"/>
        </w:rPr>
        <w:tab/>
        <w:t>31 December 2020; or</w:t>
      </w:r>
    </w:p>
    <w:p w:rsidR="000F300D" w:rsidRPr="006C2C69" w:rsidRDefault="000F300D" w:rsidP="000F300D">
      <w:pPr>
        <w:pStyle w:val="Apara"/>
        <w:ind w:left="2320"/>
        <w:rPr>
          <w:rFonts w:ascii="Calibri" w:hAnsi="Calibri" w:cs="Calibri"/>
          <w:sz w:val="22"/>
          <w:szCs w:val="22"/>
        </w:rPr>
      </w:pPr>
      <w:r w:rsidRPr="006C2C69">
        <w:rPr>
          <w:rFonts w:ascii="Calibri" w:hAnsi="Calibri" w:cs="Calibri"/>
          <w:sz w:val="22"/>
          <w:szCs w:val="22"/>
        </w:rPr>
        <w:tab/>
        <w:t>(b)</w:t>
      </w:r>
      <w:r w:rsidRPr="006C2C69">
        <w:rPr>
          <w:rFonts w:ascii="Calibri" w:hAnsi="Calibri" w:cs="Calibri"/>
          <w:sz w:val="22"/>
          <w:szCs w:val="22"/>
        </w:rPr>
        <w:tab/>
      </w:r>
      <w:proofErr w:type="gramStart"/>
      <w:r w:rsidRPr="006C2C69">
        <w:rPr>
          <w:rFonts w:ascii="Calibri" w:hAnsi="Calibri" w:cs="Calibri"/>
          <w:sz w:val="22"/>
          <w:szCs w:val="22"/>
        </w:rPr>
        <w:t>if</w:t>
      </w:r>
      <w:proofErr w:type="gramEnd"/>
      <w:r w:rsidRPr="006C2C69">
        <w:rPr>
          <w:rFonts w:ascii="Calibri" w:hAnsi="Calibri" w:cs="Calibri"/>
          <w:sz w:val="22"/>
          <w:szCs w:val="22"/>
        </w:rPr>
        <w:t xml:space="preserve"> another day is prescribed by regulation—the prescribed day.</w:t>
      </w:r>
    </w:p>
    <w:p w:rsidR="000F300D" w:rsidRDefault="000F300D" w:rsidP="000F300D">
      <w:pPr>
        <w:pStyle w:val="Bodycopy"/>
        <w:spacing w:after="0" w:line="280" w:lineRule="exact"/>
        <w:rPr>
          <w:rStyle w:val="charBoldItals"/>
          <w:b w:val="0"/>
          <w:bCs/>
          <w:i w:val="0"/>
          <w:iCs/>
          <w:szCs w:val="22"/>
        </w:rPr>
      </w:pPr>
      <w:r>
        <w:rPr>
          <w:bCs/>
        </w:rPr>
        <w:t xml:space="preserve">The effect of this subordinate law is to prescribe 31 March 2021 as the end day for the </w:t>
      </w:r>
      <w:bookmarkStart w:id="535" w:name="_Hlk68632076"/>
      <w:r w:rsidRPr="00AE31AA">
        <w:rPr>
          <w:rStyle w:val="charBoldItals"/>
          <w:szCs w:val="22"/>
        </w:rPr>
        <w:t>COVID-19 emergency period</w:t>
      </w:r>
      <w:r>
        <w:rPr>
          <w:rStyle w:val="charBoldItals"/>
          <w:b w:val="0"/>
          <w:bCs/>
          <w:i w:val="0"/>
          <w:iCs/>
          <w:szCs w:val="22"/>
        </w:rPr>
        <w:t xml:space="preserve">.  </w:t>
      </w:r>
    </w:p>
    <w:bookmarkEnd w:id="535"/>
    <w:p w:rsidR="000F300D" w:rsidRDefault="000F300D" w:rsidP="000F300D">
      <w:pPr>
        <w:pStyle w:val="Bodycopy"/>
        <w:spacing w:after="0" w:line="280" w:lineRule="exact"/>
        <w:rPr>
          <w:bCs/>
        </w:rPr>
      </w:pPr>
      <w:r>
        <w:rPr>
          <w:rStyle w:val="charBoldItals"/>
          <w:b w:val="0"/>
          <w:bCs/>
          <w:i w:val="0"/>
          <w:iCs/>
          <w:szCs w:val="22"/>
        </w:rPr>
        <w:t xml:space="preserve">The Committee notes that the effect of this subordinate law was subsequently superseded, by item [1.26] of Schedule 1 to the </w:t>
      </w:r>
      <w:r w:rsidRPr="00AE31AA">
        <w:rPr>
          <w:bCs/>
          <w:i/>
          <w:iCs/>
        </w:rPr>
        <w:t>COVID-19 Emergency Response Legislation Amendment Act 2021</w:t>
      </w:r>
      <w:r>
        <w:rPr>
          <w:bCs/>
        </w:rPr>
        <w:t>, which inserted</w:t>
      </w:r>
      <w:r w:rsidR="00023535">
        <w:rPr>
          <w:bCs/>
        </w:rPr>
        <w:t xml:space="preserve"> into the Supreme Court Act</w:t>
      </w:r>
      <w:r>
        <w:rPr>
          <w:bCs/>
        </w:rPr>
        <w:t xml:space="preserve"> the following definition of </w:t>
      </w:r>
      <w:r w:rsidRPr="00AE31AA">
        <w:rPr>
          <w:b/>
          <w:i/>
          <w:iCs/>
        </w:rPr>
        <w:t>COVID-19 emergency period</w:t>
      </w:r>
      <w:r w:rsidRPr="00AE31AA">
        <w:rPr>
          <w:bCs/>
        </w:rPr>
        <w:t xml:space="preserve">:  </w:t>
      </w:r>
    </w:p>
    <w:p w:rsidR="000F300D" w:rsidRPr="006C2C69" w:rsidRDefault="000F300D" w:rsidP="000F300D">
      <w:pPr>
        <w:pStyle w:val="aDef"/>
        <w:jc w:val="left"/>
        <w:rPr>
          <w:rFonts w:ascii="Calibri" w:hAnsi="Calibri" w:cs="Calibri"/>
          <w:color w:val="000000"/>
          <w:sz w:val="22"/>
          <w:szCs w:val="22"/>
        </w:rPr>
      </w:pPr>
      <w:r w:rsidRPr="006C2C69">
        <w:rPr>
          <w:rStyle w:val="charBoldItals"/>
          <w:rFonts w:ascii="Calibri" w:hAnsi="Calibri" w:cs="Calibri"/>
          <w:color w:val="000000"/>
          <w:sz w:val="22"/>
          <w:szCs w:val="22"/>
        </w:rPr>
        <w:t>COVID-19 emergency period</w:t>
      </w:r>
      <w:r w:rsidRPr="006C2C69">
        <w:rPr>
          <w:rFonts w:ascii="Calibri" w:hAnsi="Calibri" w:cs="Calibri"/>
          <w:color w:val="000000"/>
          <w:sz w:val="22"/>
          <w:szCs w:val="22"/>
        </w:rPr>
        <w:t xml:space="preserve"> means the period beginning on 16 March 2020 and ending on 30 June 2021.</w:t>
      </w:r>
    </w:p>
    <w:p w:rsidR="000F300D" w:rsidRDefault="000F300D" w:rsidP="000F300D">
      <w:pPr>
        <w:pStyle w:val="Bodycopy"/>
        <w:spacing w:after="0" w:line="280" w:lineRule="exact"/>
        <w:rPr>
          <w:bCs/>
        </w:rPr>
      </w:pPr>
      <w:r>
        <w:rPr>
          <w:bCs/>
        </w:rPr>
        <w:t>The Committee notes that the explanatory statement for this subordinate law addresses human rights issues:</w:t>
      </w:r>
    </w:p>
    <w:p w:rsidR="000F300D" w:rsidRPr="00AE31AA" w:rsidRDefault="000F300D" w:rsidP="000F300D">
      <w:pPr>
        <w:pStyle w:val="Bodycopy"/>
        <w:spacing w:before="120" w:after="120" w:line="280" w:lineRule="exact"/>
        <w:ind w:left="720"/>
        <w:rPr>
          <w:b/>
        </w:rPr>
      </w:pPr>
      <w:r w:rsidRPr="00AE31AA">
        <w:rPr>
          <w:b/>
        </w:rPr>
        <w:t>CONSISTENCY WITH HUMAN RIGHTS</w:t>
      </w:r>
    </w:p>
    <w:p w:rsidR="000F300D" w:rsidRPr="00AE31AA" w:rsidRDefault="000F300D" w:rsidP="000F300D">
      <w:pPr>
        <w:pStyle w:val="Bodycopy"/>
        <w:spacing w:before="120" w:after="120" w:line="280" w:lineRule="exact"/>
        <w:ind w:left="720"/>
        <w:rPr>
          <w:bCs/>
        </w:rPr>
      </w:pPr>
      <w:r w:rsidRPr="00AE31AA">
        <w:rPr>
          <w:bCs/>
        </w:rPr>
        <w:t xml:space="preserve">Section 68B of the Supreme Court Act was amended by the COVID-19 Emergency Response Act 2020 to introduce subsections 68B (3A), (4) and (5). A detailed human rights analysis of those amendments can be found in the explanatory statement to the COVID-19 Emergency Response Bill 2020. </w:t>
      </w:r>
    </w:p>
    <w:p w:rsidR="000F300D" w:rsidRPr="00AE31AA" w:rsidRDefault="000F300D" w:rsidP="000F300D">
      <w:pPr>
        <w:pStyle w:val="Bodycopy"/>
        <w:spacing w:before="120" w:after="120" w:line="280" w:lineRule="exact"/>
        <w:ind w:left="720"/>
        <w:rPr>
          <w:bCs/>
        </w:rPr>
      </w:pPr>
      <w:r w:rsidRPr="00AE31AA">
        <w:rPr>
          <w:bCs/>
        </w:rPr>
        <w:t>A Bill to extend these provisions was introduced in the ACT Legislative Assembly on 2</w:t>
      </w:r>
      <w:r w:rsidR="009E2FE7">
        <w:rPr>
          <w:bCs/>
        </w:rPr>
        <w:t> </w:t>
      </w:r>
      <w:r w:rsidRPr="00AE31AA">
        <w:rPr>
          <w:bCs/>
        </w:rPr>
        <w:t xml:space="preserve">December. If passed, the COVID-19 Emergency Response Legislation Amendment Bill 2020 (No 3) will extend the operation of section 68B (3A) of the Supreme Court Act to 30 June 2021. A human rights analysis relating to the extension of the measure can be found in the explanatory statement to this Bill.  </w:t>
      </w:r>
    </w:p>
    <w:p w:rsidR="000F300D" w:rsidRPr="00AE31AA" w:rsidRDefault="000F300D" w:rsidP="000F300D">
      <w:pPr>
        <w:pStyle w:val="Bodycopy"/>
        <w:spacing w:before="120" w:after="120" w:line="280" w:lineRule="exact"/>
        <w:ind w:left="720"/>
        <w:rPr>
          <w:bCs/>
        </w:rPr>
      </w:pPr>
      <w:r w:rsidRPr="00AE31AA">
        <w:rPr>
          <w:bCs/>
        </w:rPr>
        <w:t>The regulation is necessary to support the administration of justice in a COVID-safe manner, promoting the right to be tried without reasonable delay.  To the extent the regulation may otherwise engage and limit the right to a fair trial and rights in criminal proceedings, it is justified for the reasons explained in the Explanatory Statements to the COVID-19 Emergency Response Legislation Amendment Bill 2020 (No 3) and COVID-19 Emergency Response Bill 2020.</w:t>
      </w:r>
    </w:p>
    <w:p w:rsidR="000F300D" w:rsidRPr="00AE31AA" w:rsidRDefault="000F300D" w:rsidP="000F300D">
      <w:pPr>
        <w:pStyle w:val="Bodycopy"/>
        <w:spacing w:line="280" w:lineRule="exact"/>
        <w:rPr>
          <w:b/>
        </w:rPr>
      </w:pPr>
      <w:r w:rsidRPr="00AE31AA">
        <w:rPr>
          <w:b/>
        </w:rPr>
        <w:t xml:space="preserve">The Committee draws the attention of the Legislative Assembly to the discussion of human rights issues in the explanatory statement for this </w:t>
      </w:r>
      <w:r>
        <w:rPr>
          <w:b/>
        </w:rPr>
        <w:t>subordinate law</w:t>
      </w:r>
      <w:r w:rsidRPr="00AE31AA">
        <w:rPr>
          <w:b/>
        </w:rPr>
        <w:t>.</w:t>
      </w:r>
    </w:p>
    <w:p w:rsidR="000F300D" w:rsidRDefault="000F300D" w:rsidP="000F300D">
      <w:pPr>
        <w:pStyle w:val="Bodycopy"/>
        <w:spacing w:after="0" w:line="280" w:lineRule="exact"/>
        <w:rPr>
          <w:b/>
        </w:rPr>
      </w:pPr>
      <w:r w:rsidRPr="00AE31AA">
        <w:rPr>
          <w:b/>
        </w:rPr>
        <w:t>This comment does not require a response from the Minister.</w:t>
      </w:r>
    </w:p>
    <w:p w:rsidR="000F300D" w:rsidRDefault="000F300D" w:rsidP="009E2FE7">
      <w:pPr>
        <w:pStyle w:val="Heading3"/>
      </w:pPr>
      <w:bookmarkStart w:id="536" w:name="_Toc69207601"/>
      <w:r>
        <w:t>Revised/supplementary explanatory statements</w:t>
      </w:r>
      <w:r w:rsidRPr="00572A17">
        <w:t>—</w:t>
      </w:r>
      <w:r>
        <w:t>Comment</w:t>
      </w:r>
      <w:bookmarkEnd w:id="536"/>
    </w:p>
    <w:p w:rsidR="000F300D" w:rsidRPr="00842199" w:rsidRDefault="000F300D" w:rsidP="009E2FE7">
      <w:pPr>
        <w:pStyle w:val="Bodycopy"/>
        <w:keepLines/>
        <w:spacing w:after="0" w:line="280" w:lineRule="exact"/>
        <w:rPr>
          <w:b/>
        </w:rPr>
      </w:pPr>
      <w:r w:rsidRPr="00845FAA">
        <w:rPr>
          <w:b/>
        </w:rPr>
        <w:t xml:space="preserve">Disallowable Instrument DI2020-241 being the Canberra Institute of Technology (CIT Board Member) Appointment 2020 (No 4) made under section 9 of the </w:t>
      </w:r>
      <w:r w:rsidRPr="00845FAA">
        <w:rPr>
          <w:i/>
        </w:rPr>
        <w:t xml:space="preserve">Canberra Institute of Technology Act 1987 </w:t>
      </w:r>
      <w:r w:rsidRPr="00845FAA">
        <w:rPr>
          <w:b/>
        </w:rPr>
        <w:t xml:space="preserve">and Section 78 of the </w:t>
      </w:r>
      <w:r w:rsidRPr="00845FAA">
        <w:rPr>
          <w:i/>
        </w:rPr>
        <w:t>Financial Management Act 1996</w:t>
      </w:r>
      <w:r w:rsidRPr="00845FAA">
        <w:rPr>
          <w:b/>
        </w:rPr>
        <w:t xml:space="preserve"> appoints a specified person to be a member of the CIT Board for a period of three years—</w:t>
      </w:r>
      <w:proofErr w:type="gramStart"/>
      <w:r w:rsidRPr="00845FAA">
        <w:rPr>
          <w:b/>
        </w:rPr>
        <w:t>Revised</w:t>
      </w:r>
      <w:proofErr w:type="gramEnd"/>
      <w:r w:rsidRPr="00845FAA">
        <w:rPr>
          <w:b/>
        </w:rPr>
        <w:t xml:space="preserve"> explanatory statement.</w:t>
      </w:r>
    </w:p>
    <w:p w:rsidR="000F300D" w:rsidRDefault="000F300D" w:rsidP="000F300D">
      <w:pPr>
        <w:pStyle w:val="Bodycopy"/>
        <w:spacing w:after="0" w:line="280" w:lineRule="exact"/>
        <w:rPr>
          <w:b/>
        </w:rPr>
      </w:pPr>
      <w:r w:rsidRPr="005433C7">
        <w:rPr>
          <w:b/>
        </w:rPr>
        <w:t xml:space="preserve">Disallowable Instrument DI2020-273 being the Financial Management (Territory Authorities) Guidelines 2020 (No 2) made under section 133 of the </w:t>
      </w:r>
      <w:r w:rsidRPr="005433C7">
        <w:rPr>
          <w:i/>
        </w:rPr>
        <w:t>Financial Management Act 1996</w:t>
      </w:r>
      <w:r w:rsidRPr="005433C7">
        <w:rPr>
          <w:b/>
        </w:rPr>
        <w:t xml:space="preserve"> revokes DI2020-182 and prescribes the entities that are territory authorities for the purposes of the Act—Revised explanatory statement.</w:t>
      </w:r>
    </w:p>
    <w:p w:rsidR="000F300D" w:rsidRPr="00842199" w:rsidRDefault="000F300D" w:rsidP="000F300D">
      <w:pPr>
        <w:pStyle w:val="Bodycopy"/>
        <w:spacing w:after="0" w:line="280" w:lineRule="exact"/>
        <w:rPr>
          <w:b/>
        </w:rPr>
      </w:pPr>
      <w:r w:rsidRPr="007F0D97">
        <w:rPr>
          <w:b/>
        </w:rPr>
        <w:t xml:space="preserve">Disallowable Instrument DI2020-283 being the Leases (Commercial and Retail) COVID-19 Emergency Response Declaration 2020 (No 2) made under section 177 of the </w:t>
      </w:r>
      <w:r w:rsidRPr="007F0D97">
        <w:rPr>
          <w:i/>
        </w:rPr>
        <w:t>Leases (Commercial and Retail) Act 2001</w:t>
      </w:r>
      <w:r w:rsidRPr="007F0D97">
        <w:rPr>
          <w:b/>
        </w:rPr>
        <w:t xml:space="preserve"> revokes DI2020-92 and adopts the National Code of Conduct for small to medium enterprises commercial leasing principles during COVID-19—Supplementary explanatory statement.</w:t>
      </w:r>
    </w:p>
    <w:p w:rsidR="000F300D" w:rsidRPr="00077D40" w:rsidRDefault="000F300D" w:rsidP="000F300D">
      <w:pPr>
        <w:pStyle w:val="Bodycopy"/>
        <w:spacing w:after="0" w:line="280" w:lineRule="exact"/>
        <w:rPr>
          <w:bCs/>
        </w:rPr>
      </w:pPr>
      <w:r w:rsidRPr="00572A17">
        <w:rPr>
          <w:bCs/>
        </w:rPr>
        <w:t xml:space="preserve">The Committee notes that the Government has tabled </w:t>
      </w:r>
      <w:r>
        <w:rPr>
          <w:bCs/>
        </w:rPr>
        <w:t xml:space="preserve">in the Legislative Assembly </w:t>
      </w:r>
      <w:r w:rsidRPr="00572A17">
        <w:rPr>
          <w:bCs/>
        </w:rPr>
        <w:t>“revised” or “supplementary” explanatory statements for</w:t>
      </w:r>
      <w:r>
        <w:rPr>
          <w:bCs/>
        </w:rPr>
        <w:t xml:space="preserve"> each of the </w:t>
      </w:r>
      <w:r w:rsidR="003F6CCE">
        <w:rPr>
          <w:bCs/>
        </w:rPr>
        <w:t>three</w:t>
      </w:r>
      <w:r w:rsidRPr="00572A17">
        <w:rPr>
          <w:bCs/>
        </w:rPr>
        <w:t xml:space="preserve"> instruments mentioned above</w:t>
      </w:r>
      <w:r w:rsidR="005666F1">
        <w:rPr>
          <w:bCs/>
        </w:rPr>
        <w:t xml:space="preserve">. </w:t>
      </w:r>
      <w:r>
        <w:rPr>
          <w:bCs/>
        </w:rPr>
        <w:t xml:space="preserve">The Committee notes, with approval, that, in the case of the first </w:t>
      </w:r>
      <w:r w:rsidR="003F6CCE">
        <w:rPr>
          <w:bCs/>
        </w:rPr>
        <w:t>two</w:t>
      </w:r>
      <w:r>
        <w:rPr>
          <w:bCs/>
        </w:rPr>
        <w:t xml:space="preserve"> instruments mentioned above, the revised explanatory statement addresses issues raised by the Committee in </w:t>
      </w:r>
      <w:r>
        <w:rPr>
          <w:bCs/>
          <w:i/>
          <w:iCs/>
        </w:rPr>
        <w:t xml:space="preserve">Scrutiny Report 1 </w:t>
      </w:r>
      <w:r>
        <w:rPr>
          <w:bCs/>
        </w:rPr>
        <w:t xml:space="preserve">of the 10th Assembly (2 February 2021).  </w:t>
      </w:r>
    </w:p>
    <w:p w:rsidR="000F300D" w:rsidRDefault="000F300D" w:rsidP="000F300D">
      <w:pPr>
        <w:pStyle w:val="Bodycopy"/>
        <w:spacing w:after="0" w:line="280" w:lineRule="exact"/>
        <w:rPr>
          <w:bCs/>
        </w:rPr>
      </w:pPr>
      <w:r>
        <w:rPr>
          <w:bCs/>
        </w:rPr>
        <w:t>In the case of the supplementary explanatory statement (</w:t>
      </w:r>
      <w:proofErr w:type="spellStart"/>
      <w:r>
        <w:rPr>
          <w:bCs/>
        </w:rPr>
        <w:t>ie</w:t>
      </w:r>
      <w:proofErr w:type="spellEnd"/>
      <w:r>
        <w:rPr>
          <w:bCs/>
        </w:rPr>
        <w:t xml:space="preserve"> for DI2020-283), the Committee notes that it also dealt with that instrument in </w:t>
      </w:r>
      <w:r>
        <w:rPr>
          <w:bCs/>
          <w:i/>
          <w:iCs/>
        </w:rPr>
        <w:t>Scrutiny Report 1</w:t>
      </w:r>
      <w:r>
        <w:rPr>
          <w:bCs/>
        </w:rPr>
        <w:t xml:space="preserve"> but did not make any substantive comment (</w:t>
      </w:r>
      <w:proofErr w:type="spellStart"/>
      <w:r>
        <w:rPr>
          <w:bCs/>
        </w:rPr>
        <w:t>ie</w:t>
      </w:r>
      <w:proofErr w:type="spellEnd"/>
      <w:r>
        <w:rPr>
          <w:bCs/>
        </w:rPr>
        <w:t xml:space="preserve"> requiring a response from the Minister).  </w:t>
      </w:r>
    </w:p>
    <w:p w:rsidR="000F300D" w:rsidRDefault="000F300D" w:rsidP="000F300D">
      <w:pPr>
        <w:pStyle w:val="Bodycopy"/>
        <w:spacing w:before="120" w:after="120" w:line="280" w:lineRule="exact"/>
        <w:rPr>
          <w:bCs/>
        </w:rPr>
      </w:pPr>
      <w:r>
        <w:rPr>
          <w:bCs/>
        </w:rPr>
        <w:t>The supplementary explanatory statement indicates that it is intended to “[clarify] the scope” of DI2020</w:t>
      </w:r>
      <w:r w:rsidR="003F6CCE">
        <w:rPr>
          <w:bCs/>
        </w:rPr>
        <w:t xml:space="preserve">-283. </w:t>
      </w:r>
      <w:r>
        <w:rPr>
          <w:bCs/>
        </w:rPr>
        <w:t>It states:</w:t>
      </w:r>
    </w:p>
    <w:p w:rsidR="000F300D" w:rsidRPr="00077D40" w:rsidRDefault="000F300D" w:rsidP="000F300D">
      <w:pPr>
        <w:spacing w:before="120" w:after="120"/>
        <w:ind w:left="720"/>
        <w:rPr>
          <w:rFonts w:ascii="Calibri" w:eastAsia="Calibri" w:hAnsi="Calibri"/>
        </w:rPr>
      </w:pPr>
      <w:r w:rsidRPr="00077D40">
        <w:rPr>
          <w:rFonts w:ascii="Calibri" w:eastAsia="Calibri" w:hAnsi="Calibri"/>
        </w:rPr>
        <w:t xml:space="preserve">The new Declaration amends the definition of an impacted tenant to reflect the operation of the Commonwealth Government’s </w:t>
      </w:r>
      <w:proofErr w:type="spellStart"/>
      <w:r w:rsidRPr="00077D40">
        <w:rPr>
          <w:rFonts w:ascii="Calibri" w:eastAsia="Calibri" w:hAnsi="Calibri"/>
        </w:rPr>
        <w:t>JobKeeper</w:t>
      </w:r>
      <w:proofErr w:type="spellEnd"/>
      <w:r w:rsidRPr="00077D40">
        <w:rPr>
          <w:rFonts w:ascii="Calibri" w:eastAsia="Calibri" w:hAnsi="Calibri"/>
        </w:rPr>
        <w:t xml:space="preserve"> scheme from 28 September 2020. The Commonwealth’s </w:t>
      </w:r>
      <w:r w:rsidRPr="00077D40">
        <w:rPr>
          <w:rFonts w:ascii="Calibri" w:eastAsia="Calibri" w:hAnsi="Calibri"/>
          <w:i/>
          <w:iCs/>
        </w:rPr>
        <w:t>Coronavirus Economic Response Package (Payments and Benefits) Rules 2020</w:t>
      </w:r>
      <w:r w:rsidRPr="00077D40">
        <w:rPr>
          <w:rFonts w:ascii="Calibri" w:eastAsia="Calibri" w:hAnsi="Calibri"/>
        </w:rPr>
        <w:t xml:space="preserve"> (the Rules) establish the </w:t>
      </w:r>
      <w:proofErr w:type="spellStart"/>
      <w:r w:rsidRPr="00077D40">
        <w:rPr>
          <w:rFonts w:ascii="Calibri" w:eastAsia="Calibri" w:hAnsi="Calibri"/>
        </w:rPr>
        <w:t>JobKeeper</w:t>
      </w:r>
      <w:proofErr w:type="spellEnd"/>
      <w:r w:rsidRPr="00077D40">
        <w:rPr>
          <w:rFonts w:ascii="Calibri" w:eastAsia="Calibri" w:hAnsi="Calibri"/>
        </w:rPr>
        <w:t xml:space="preserve"> scheme and specify details of the scheme.</w:t>
      </w:r>
    </w:p>
    <w:p w:rsidR="000F300D" w:rsidRPr="00077D40" w:rsidRDefault="000F300D" w:rsidP="000F300D">
      <w:pPr>
        <w:spacing w:before="120" w:after="120"/>
        <w:ind w:left="720"/>
        <w:rPr>
          <w:rFonts w:ascii="Calibri" w:eastAsia="Calibri" w:hAnsi="Calibri"/>
        </w:rPr>
      </w:pPr>
      <w:r w:rsidRPr="00077D40">
        <w:rPr>
          <w:rFonts w:ascii="Calibri" w:eastAsia="Calibri" w:hAnsi="Calibri"/>
        </w:rPr>
        <w:t xml:space="preserve">Initially, the Commonwealth Government’s </w:t>
      </w:r>
      <w:proofErr w:type="spellStart"/>
      <w:r w:rsidRPr="00077D40">
        <w:rPr>
          <w:rFonts w:ascii="Calibri" w:eastAsia="Calibri" w:hAnsi="Calibri"/>
        </w:rPr>
        <w:t>JobKeeper</w:t>
      </w:r>
      <w:proofErr w:type="spellEnd"/>
      <w:r w:rsidRPr="00077D40">
        <w:rPr>
          <w:rFonts w:ascii="Calibri" w:eastAsia="Calibri" w:hAnsi="Calibri"/>
        </w:rPr>
        <w:t xml:space="preserve"> scheme was set to conclude at the end of September 2020. However, on 21 July 2020, the Commonwealth Government announced an extension of the </w:t>
      </w:r>
      <w:proofErr w:type="spellStart"/>
      <w:r w:rsidRPr="00077D40">
        <w:rPr>
          <w:rFonts w:ascii="Calibri" w:eastAsia="Calibri" w:hAnsi="Calibri"/>
        </w:rPr>
        <w:t>JobKeeper</w:t>
      </w:r>
      <w:proofErr w:type="spellEnd"/>
      <w:r w:rsidRPr="00077D40">
        <w:rPr>
          <w:rFonts w:ascii="Calibri" w:eastAsia="Calibri" w:hAnsi="Calibri"/>
        </w:rPr>
        <w:t xml:space="preserve"> scheme until 28 March 2021. On 7 August 2020 the Commonwealth Government announced new requirements for the extended </w:t>
      </w:r>
      <w:proofErr w:type="spellStart"/>
      <w:r w:rsidRPr="00077D40">
        <w:rPr>
          <w:rFonts w:ascii="Calibri" w:eastAsia="Calibri" w:hAnsi="Calibri"/>
        </w:rPr>
        <w:t>JobKeeper</w:t>
      </w:r>
      <w:proofErr w:type="spellEnd"/>
      <w:r w:rsidRPr="00077D40">
        <w:rPr>
          <w:rFonts w:ascii="Calibri" w:eastAsia="Calibri" w:hAnsi="Calibri"/>
        </w:rPr>
        <w:t xml:space="preserve"> scheme to operate from 28 September 2020. </w:t>
      </w:r>
    </w:p>
    <w:p w:rsidR="000F300D" w:rsidRPr="00077D40" w:rsidRDefault="000F300D" w:rsidP="000F300D">
      <w:pPr>
        <w:spacing w:before="120" w:after="120"/>
        <w:ind w:left="720"/>
        <w:rPr>
          <w:rFonts w:ascii="Calibri" w:hAnsi="Calibri"/>
        </w:rPr>
      </w:pPr>
      <w:r w:rsidRPr="00077D40">
        <w:rPr>
          <w:rFonts w:ascii="Calibri" w:hAnsi="Calibri"/>
        </w:rPr>
        <w:t>Due to ACT caretaker conventions, the new Declaration had to be notified before 11</w:t>
      </w:r>
      <w:r w:rsidR="003F6CCE">
        <w:rPr>
          <w:rFonts w:ascii="Calibri" w:hAnsi="Calibri"/>
        </w:rPr>
        <w:t> </w:t>
      </w:r>
      <w:r w:rsidRPr="00077D40">
        <w:rPr>
          <w:rFonts w:ascii="Calibri" w:hAnsi="Calibri"/>
        </w:rPr>
        <w:t>September 2020 to ensure a new declaration was in place before 28 September 2020. Accordingly, the new Declaration was notified before the Commonwealth’s amended Rules were made.</w:t>
      </w:r>
    </w:p>
    <w:p w:rsidR="000F300D" w:rsidRPr="00077D40" w:rsidRDefault="000F300D" w:rsidP="000F300D">
      <w:pPr>
        <w:spacing w:before="120" w:after="120"/>
        <w:ind w:left="720"/>
        <w:rPr>
          <w:rFonts w:ascii="Calibri" w:eastAsia="Calibri" w:hAnsi="Calibri"/>
        </w:rPr>
      </w:pPr>
      <w:r w:rsidRPr="00077D40">
        <w:rPr>
          <w:rFonts w:ascii="Calibri" w:eastAsia="Calibri" w:hAnsi="Calibri"/>
        </w:rPr>
        <w:t>The Commonwealth’s amendments to the Rules (</w:t>
      </w:r>
      <w:r w:rsidRPr="00077D40">
        <w:rPr>
          <w:rFonts w:ascii="Calibri" w:eastAsia="Calibri" w:hAnsi="Calibri"/>
          <w:i/>
          <w:iCs/>
        </w:rPr>
        <w:t>Coronavirus Economic Response Package (Payments and Benefits) Amendment Rules (No. 8) 2020</w:t>
      </w:r>
      <w:r w:rsidRPr="00077D40">
        <w:rPr>
          <w:rFonts w:ascii="Calibri" w:eastAsia="Calibri" w:hAnsi="Calibri"/>
        </w:rPr>
        <w:t xml:space="preserve">, commenced on 16 September 2020 and provided for both Extension 1 and Extension 2 of the </w:t>
      </w:r>
      <w:proofErr w:type="spellStart"/>
      <w:r w:rsidRPr="00077D40">
        <w:rPr>
          <w:rFonts w:ascii="Calibri" w:eastAsia="Calibri" w:hAnsi="Calibri"/>
        </w:rPr>
        <w:t>JobKeeper</w:t>
      </w:r>
      <w:proofErr w:type="spellEnd"/>
      <w:r w:rsidRPr="00077D40">
        <w:rPr>
          <w:rFonts w:ascii="Calibri" w:eastAsia="Calibri" w:hAnsi="Calibri"/>
        </w:rPr>
        <w:t xml:space="preserve"> scheme. </w:t>
      </w:r>
      <w:r w:rsidRPr="00077D40">
        <w:rPr>
          <w:rFonts w:ascii="Calibri" w:hAnsi="Calibri"/>
        </w:rPr>
        <w:t xml:space="preserve">Extension 1 of </w:t>
      </w:r>
      <w:proofErr w:type="spellStart"/>
      <w:r w:rsidRPr="00077D40">
        <w:rPr>
          <w:rFonts w:ascii="Calibri" w:hAnsi="Calibri"/>
        </w:rPr>
        <w:t>JobKeeper</w:t>
      </w:r>
      <w:proofErr w:type="spellEnd"/>
      <w:r w:rsidRPr="00077D40">
        <w:rPr>
          <w:rFonts w:ascii="Calibri" w:hAnsi="Calibri"/>
        </w:rPr>
        <w:t xml:space="preserve"> began on 28 September 2020 and ends on 3 January 2021. Extension 2 of </w:t>
      </w:r>
      <w:proofErr w:type="spellStart"/>
      <w:r w:rsidRPr="00077D40">
        <w:rPr>
          <w:rFonts w:ascii="Calibri" w:hAnsi="Calibri"/>
        </w:rPr>
        <w:t>JobKeeper</w:t>
      </w:r>
      <w:proofErr w:type="spellEnd"/>
      <w:r w:rsidRPr="00077D40">
        <w:rPr>
          <w:rFonts w:ascii="Calibri" w:hAnsi="Calibri"/>
        </w:rPr>
        <w:t xml:space="preserve"> commences on 4 January 2021 and ends on 28 March 2021.</w:t>
      </w:r>
    </w:p>
    <w:p w:rsidR="000F300D" w:rsidRPr="00077D40" w:rsidRDefault="000F300D" w:rsidP="000F300D">
      <w:pPr>
        <w:spacing w:before="120" w:after="120"/>
        <w:ind w:left="720"/>
        <w:rPr>
          <w:rFonts w:ascii="Calibri" w:eastAsia="Calibri" w:hAnsi="Calibri"/>
        </w:rPr>
      </w:pPr>
      <w:r w:rsidRPr="00077D40">
        <w:rPr>
          <w:rFonts w:ascii="Calibri" w:eastAsia="Calibri" w:hAnsi="Calibri"/>
        </w:rPr>
        <w:t xml:space="preserve">The new Declaration intended to apply to impacted tenants until 31 January 2021. </w:t>
      </w:r>
    </w:p>
    <w:p w:rsidR="000F300D" w:rsidRPr="00077D40" w:rsidRDefault="000F300D" w:rsidP="000F300D">
      <w:pPr>
        <w:spacing w:before="120" w:after="120"/>
        <w:ind w:left="720"/>
        <w:rPr>
          <w:rFonts w:ascii="Calibri" w:eastAsia="Calibri" w:hAnsi="Calibri"/>
        </w:rPr>
      </w:pPr>
      <w:r w:rsidRPr="00077D40">
        <w:rPr>
          <w:rFonts w:ascii="Calibri" w:eastAsia="Calibri" w:hAnsi="Calibri"/>
        </w:rPr>
        <w:t xml:space="preserve">This means the new Declaration will also apply to an impacted tenant who has only qualified under Extension 2 for </w:t>
      </w:r>
      <w:proofErr w:type="spellStart"/>
      <w:r w:rsidRPr="00077D40">
        <w:rPr>
          <w:rFonts w:ascii="Calibri" w:eastAsia="Calibri" w:hAnsi="Calibri"/>
        </w:rPr>
        <w:t>JobKeeper</w:t>
      </w:r>
      <w:proofErr w:type="spellEnd"/>
      <w:r w:rsidRPr="00077D40">
        <w:rPr>
          <w:rFonts w:ascii="Calibri" w:eastAsia="Calibri" w:hAnsi="Calibri"/>
        </w:rPr>
        <w:t xml:space="preserve"> fortnights after 3 January 2021 and before 31 January 2021.</w:t>
      </w:r>
    </w:p>
    <w:p w:rsidR="000F300D" w:rsidRDefault="000F300D" w:rsidP="000F300D">
      <w:pPr>
        <w:pStyle w:val="Bodycopy"/>
        <w:spacing w:after="0" w:line="280" w:lineRule="exact"/>
        <w:rPr>
          <w:bCs/>
        </w:rPr>
      </w:pPr>
      <w:r>
        <w:rPr>
          <w:bCs/>
        </w:rPr>
        <w:t xml:space="preserve">The Committee notes, with approval, that the Minister has proactively addressed potential issues with the original instrument.   </w:t>
      </w:r>
    </w:p>
    <w:p w:rsidR="000F300D" w:rsidRPr="00572A17" w:rsidRDefault="000F300D" w:rsidP="000F300D">
      <w:pPr>
        <w:pStyle w:val="Bodycopy"/>
        <w:spacing w:after="0" w:line="280" w:lineRule="exact"/>
        <w:rPr>
          <w:b/>
        </w:rPr>
      </w:pPr>
      <w:r>
        <w:rPr>
          <w:b/>
        </w:rPr>
        <w:t>This comment does not require a response from the Ministers.</w:t>
      </w:r>
    </w:p>
    <w:p w:rsidR="00F753CA" w:rsidRDefault="00F753CA" w:rsidP="0050636F">
      <w:pPr>
        <w:pStyle w:val="Heading2"/>
        <w:keepNext w:val="0"/>
        <w:rPr>
          <w:rFonts w:eastAsia="Calibri"/>
          <w:lang w:eastAsia="en-AU"/>
        </w:rPr>
      </w:pPr>
      <w:bookmarkStart w:id="537" w:name="_Toc69207602"/>
      <w:r>
        <w:rPr>
          <w:rFonts w:eastAsia="Calibri"/>
          <w:lang w:eastAsia="en-AU"/>
        </w:rPr>
        <w:t>Response</w:t>
      </w:r>
      <w:bookmarkEnd w:id="537"/>
    </w:p>
    <w:p w:rsidR="00D9488E" w:rsidRPr="00D9488E" w:rsidRDefault="00D9488E" w:rsidP="00D9488E">
      <w:pPr>
        <w:pStyle w:val="Heading3"/>
        <w:rPr>
          <w:lang w:eastAsia="en-AU"/>
        </w:rPr>
      </w:pPr>
      <w:bookmarkStart w:id="538" w:name="_Toc44074226"/>
      <w:bookmarkStart w:id="539" w:name="_Toc44323943"/>
      <w:bookmarkStart w:id="540" w:name="_Toc69207603"/>
      <w:r>
        <w:rPr>
          <w:lang w:eastAsia="en-AU"/>
        </w:rPr>
        <w:t>Government response</w:t>
      </w:r>
      <w:bookmarkEnd w:id="538"/>
      <w:bookmarkEnd w:id="539"/>
      <w:bookmarkEnd w:id="540"/>
    </w:p>
    <w:bookmarkEnd w:id="501"/>
    <w:bookmarkEnd w:id="502"/>
    <w:p w:rsidR="00F65983" w:rsidRPr="00F65983" w:rsidRDefault="00F65983" w:rsidP="00097985">
      <w:pPr>
        <w:rPr>
          <w:rFonts w:ascii="Calibri" w:eastAsia="Calibri" w:hAnsi="Calibri" w:cs="Times New Roman"/>
        </w:rPr>
      </w:pPr>
      <w:r w:rsidRPr="00F65983">
        <w:rPr>
          <w:rFonts w:ascii="Calibri" w:eastAsia="Calibri" w:hAnsi="Calibri" w:cs="Times New Roman"/>
        </w:rPr>
        <w:t xml:space="preserve">The Committee has received </w:t>
      </w:r>
      <w:r w:rsidR="000469C7">
        <w:rPr>
          <w:rFonts w:ascii="Calibri" w:eastAsia="Calibri" w:hAnsi="Calibri" w:cs="Times New Roman"/>
        </w:rPr>
        <w:t xml:space="preserve">a </w:t>
      </w:r>
      <w:r w:rsidR="003379D7">
        <w:rPr>
          <w:rFonts w:ascii="Calibri" w:eastAsia="Calibri" w:hAnsi="Calibri" w:cs="Times New Roman"/>
        </w:rPr>
        <w:t>response</w:t>
      </w:r>
      <w:r w:rsidRPr="00F65983">
        <w:rPr>
          <w:rFonts w:ascii="Calibri" w:eastAsia="Calibri" w:hAnsi="Calibri" w:cs="Times New Roman"/>
        </w:rPr>
        <w:t xml:space="preserve"> from:</w:t>
      </w:r>
    </w:p>
    <w:p w:rsidR="00461B48" w:rsidRDefault="000469C7" w:rsidP="000F300D">
      <w:pPr>
        <w:keepLines/>
        <w:widowControl w:val="0"/>
        <w:numPr>
          <w:ilvl w:val="0"/>
          <w:numId w:val="12"/>
        </w:numPr>
      </w:pPr>
      <w:r>
        <w:t xml:space="preserve">The Attorney-General, dated 29 March 2021, </w:t>
      </w:r>
      <w:r w:rsidR="003123B6">
        <w:t>in relation to comments made in Scrutiny Report 2 concerning Government amendments to the Crimes Legislation Amendment Bill 2020.</w:t>
      </w:r>
    </w:p>
    <w:p w:rsidR="006A6C77" w:rsidRDefault="00991732" w:rsidP="00D20D02">
      <w:pPr>
        <w:widowControl w:val="0"/>
        <w:spacing w:before="200" w:after="0" w:line="260" w:lineRule="exact"/>
        <w:ind w:left="360"/>
        <w:rPr>
          <w:rFonts w:ascii="Calibri" w:eastAsia="Calibri" w:hAnsi="Calibri" w:cs="Times New Roman"/>
          <w:b/>
          <w:lang w:eastAsia="en-AU"/>
        </w:rPr>
      </w:pPr>
      <w:hyperlink r:id="rId40" w:history="1">
        <w:r w:rsidR="003123B6">
          <w:rPr>
            <w:rStyle w:val="Hyperlink"/>
            <w:rFonts w:ascii="Calibri" w:eastAsia="Calibri" w:hAnsi="Calibri" w:cs="Times New Roman"/>
            <w:b/>
            <w:lang w:eastAsia="en-AU"/>
          </w:rPr>
          <w:t>This</w:t>
        </w:r>
        <w:r w:rsidR="006A6C77" w:rsidRPr="006971C2">
          <w:rPr>
            <w:rStyle w:val="Hyperlink"/>
            <w:rFonts w:ascii="Calibri" w:eastAsia="Calibri" w:hAnsi="Calibri" w:cs="Times New Roman"/>
            <w:b/>
            <w:lang w:eastAsia="en-AU"/>
          </w:rPr>
          <w:t xml:space="preserve"> response</w:t>
        </w:r>
      </w:hyperlink>
      <w:bookmarkStart w:id="541" w:name="_GoBack"/>
      <w:bookmarkEnd w:id="541"/>
      <w:r w:rsidR="006A6C77">
        <w:rPr>
          <w:rFonts w:ascii="Calibri" w:eastAsia="Calibri" w:hAnsi="Calibri" w:cs="Times New Roman"/>
          <w:b/>
          <w:i/>
          <w:vertAlign w:val="superscript"/>
          <w:lang w:eastAsia="en-AU"/>
        </w:rPr>
        <w:footnoteReference w:id="3"/>
      </w:r>
      <w:r w:rsidR="006A6C77">
        <w:rPr>
          <w:rFonts w:ascii="Calibri" w:eastAsia="Calibri" w:hAnsi="Calibri" w:cs="Times New Roman"/>
          <w:b/>
          <w:i/>
          <w:lang w:eastAsia="en-AU"/>
        </w:rPr>
        <w:t xml:space="preserve"> </w:t>
      </w:r>
      <w:r w:rsidR="006A6C77">
        <w:rPr>
          <w:rFonts w:ascii="Calibri" w:eastAsia="Calibri" w:hAnsi="Calibri" w:cs="Times New Roman"/>
          <w:b/>
          <w:lang w:eastAsia="en-AU"/>
        </w:rPr>
        <w:t>can be viewed online.</w:t>
      </w:r>
    </w:p>
    <w:bookmarkEnd w:id="503"/>
    <w:bookmarkEnd w:id="504"/>
    <w:p w:rsidR="00C13B2C" w:rsidRDefault="00C13B2C" w:rsidP="00C13B2C">
      <w:pPr>
        <w:pStyle w:val="Paper"/>
        <w:keepLines/>
        <w:spacing w:before="220" w:after="220" w:line="280" w:lineRule="exact"/>
        <w:rPr>
          <w:rFonts w:ascii="Calibri" w:hAnsi="Calibri"/>
          <w:bCs/>
          <w:sz w:val="22"/>
          <w:szCs w:val="22"/>
        </w:rPr>
      </w:pPr>
      <w:r>
        <w:rPr>
          <w:rFonts w:ascii="Calibri" w:hAnsi="Calibri"/>
          <w:bCs/>
          <w:sz w:val="22"/>
          <w:szCs w:val="22"/>
        </w:rPr>
        <w:t xml:space="preserve">The Committee wishes to thank the </w:t>
      </w:r>
      <w:r w:rsidR="003123B6">
        <w:rPr>
          <w:rFonts w:ascii="Calibri" w:hAnsi="Calibri"/>
          <w:bCs/>
          <w:sz w:val="22"/>
          <w:szCs w:val="22"/>
        </w:rPr>
        <w:t>Attorney-General for his</w:t>
      </w:r>
      <w:r>
        <w:rPr>
          <w:rFonts w:ascii="Calibri" w:hAnsi="Calibri"/>
          <w:bCs/>
          <w:sz w:val="22"/>
          <w:szCs w:val="22"/>
        </w:rPr>
        <w:t xml:space="preserve"> helpful responses.</w:t>
      </w:r>
    </w:p>
    <w:p w:rsidR="004F019A" w:rsidRPr="00104A8B" w:rsidRDefault="00A34509" w:rsidP="008C7B9E">
      <w:pPr>
        <w:spacing w:before="720" w:after="0"/>
      </w:pPr>
      <w:r>
        <w:t>Jeremy Hanson</w:t>
      </w:r>
      <w:r w:rsidR="004F019A" w:rsidRPr="00104A8B">
        <w:t xml:space="preserve"> MLA</w:t>
      </w:r>
    </w:p>
    <w:p w:rsidR="00393D9F" w:rsidRDefault="004F019A" w:rsidP="00D50DEA">
      <w:pPr>
        <w:spacing w:before="0"/>
      </w:pPr>
      <w:r w:rsidRPr="00104A8B">
        <w:t>Chair</w:t>
      </w:r>
    </w:p>
    <w:p w:rsidR="007F4A56" w:rsidRDefault="00842349" w:rsidP="004278C4">
      <w:pPr>
        <w:spacing w:before="0"/>
      </w:pPr>
      <w:r>
        <w:t>1</w:t>
      </w:r>
      <w:r w:rsidR="00C2017D">
        <w:t>4</w:t>
      </w:r>
      <w:r>
        <w:t xml:space="preserve"> APRIL</w:t>
      </w:r>
      <w:r w:rsidR="006F388D">
        <w:t xml:space="preserve"> </w:t>
      </w:r>
      <w:r w:rsidR="004278C4">
        <w:t>202</w:t>
      </w:r>
    </w:p>
    <w:p w:rsidR="007F4A56" w:rsidRDefault="007F4A56">
      <w:pPr>
        <w:spacing w:before="0" w:after="160" w:line="259" w:lineRule="auto"/>
      </w:pPr>
      <w:r>
        <w:br w:type="page"/>
      </w:r>
    </w:p>
    <w:p w:rsidR="007F4A56" w:rsidRPr="00104A8B" w:rsidRDefault="007F4A56" w:rsidP="007F4A56">
      <w:pPr>
        <w:pStyle w:val="Heading2"/>
        <w:rPr>
          <w:rFonts w:asciiTheme="minorHAnsi" w:hAnsiTheme="minorHAnsi"/>
        </w:rPr>
      </w:pPr>
      <w:bookmarkStart w:id="542" w:name="_Toc514837979"/>
      <w:bookmarkStart w:id="543" w:name="_Toc44323944"/>
      <w:bookmarkStart w:id="544" w:name="_Toc69207604"/>
      <w:r w:rsidRPr="00104A8B">
        <w:rPr>
          <w:rFonts w:asciiTheme="minorHAnsi" w:hAnsiTheme="minorHAnsi"/>
        </w:rPr>
        <w:t>Outstanding Responses</w:t>
      </w:r>
      <w:bookmarkEnd w:id="542"/>
      <w:bookmarkEnd w:id="543"/>
      <w:bookmarkEnd w:id="544"/>
    </w:p>
    <w:p w:rsidR="007F4A56" w:rsidRPr="00104A8B" w:rsidRDefault="007F4A56" w:rsidP="007F4A56">
      <w:pPr>
        <w:pStyle w:val="Heading3"/>
        <w:rPr>
          <w:rFonts w:asciiTheme="minorHAnsi" w:hAnsiTheme="minorHAnsi"/>
        </w:rPr>
      </w:pPr>
      <w:bookmarkStart w:id="545" w:name="_Toc505005688"/>
      <w:bookmarkStart w:id="546" w:name="_Toc505153779"/>
      <w:bookmarkStart w:id="547" w:name="_Toc508283444"/>
      <w:bookmarkStart w:id="548" w:name="_Toc510081804"/>
      <w:bookmarkStart w:id="549" w:name="_Toc511812230"/>
      <w:bookmarkStart w:id="550" w:name="_Toc512240173"/>
      <w:bookmarkStart w:id="551" w:name="_Toc513192173"/>
      <w:bookmarkStart w:id="552" w:name="_Toc514832434"/>
      <w:bookmarkStart w:id="553" w:name="_Toc514837980"/>
      <w:bookmarkStart w:id="554" w:name="_Toc514838144"/>
      <w:bookmarkStart w:id="555" w:name="_Toc514943619"/>
      <w:bookmarkStart w:id="556" w:name="_Toc515352064"/>
      <w:bookmarkStart w:id="557" w:name="_Toc518297261"/>
      <w:bookmarkStart w:id="558" w:name="_Toc519520755"/>
      <w:bookmarkStart w:id="559" w:name="_Toc520188735"/>
      <w:bookmarkStart w:id="560" w:name="_Toc521054338"/>
      <w:bookmarkStart w:id="561" w:name="_Toc521054410"/>
      <w:bookmarkStart w:id="562" w:name="_Toc523814181"/>
      <w:bookmarkStart w:id="563" w:name="_Toc523900477"/>
      <w:bookmarkStart w:id="564" w:name="_Toc526855826"/>
      <w:bookmarkStart w:id="565" w:name="_Toc528155854"/>
      <w:bookmarkStart w:id="566" w:name="_Toc528157213"/>
      <w:bookmarkStart w:id="567" w:name="_Toc528310867"/>
      <w:bookmarkStart w:id="568" w:name="_Toc529974547"/>
      <w:bookmarkStart w:id="569" w:name="_Toc530039442"/>
      <w:bookmarkStart w:id="570" w:name="_Toc536527689"/>
      <w:bookmarkStart w:id="571" w:name="_Toc536527863"/>
      <w:bookmarkStart w:id="572" w:name="_Toc536615405"/>
      <w:bookmarkStart w:id="573" w:name="_Toc172184"/>
      <w:bookmarkStart w:id="574" w:name="_Toc506087"/>
      <w:bookmarkStart w:id="575" w:name="_Toc965832"/>
      <w:bookmarkStart w:id="576" w:name="_Toc6211048"/>
      <w:bookmarkStart w:id="577" w:name="_Toc9500017"/>
      <w:bookmarkStart w:id="578" w:name="_Toc14334625"/>
      <w:bookmarkStart w:id="579" w:name="_Toc14775975"/>
      <w:bookmarkStart w:id="580" w:name="_Toc15285040"/>
      <w:bookmarkStart w:id="581" w:name="_Toc15630677"/>
      <w:bookmarkStart w:id="582" w:name="_Toc18415350"/>
      <w:bookmarkStart w:id="583" w:name="_Toc18487717"/>
      <w:bookmarkStart w:id="584" w:name="_Toc19708407"/>
      <w:bookmarkStart w:id="585" w:name="_Toc20131698"/>
      <w:bookmarkStart w:id="586" w:name="_Toc21595465"/>
      <w:bookmarkStart w:id="587" w:name="_Toc22025468"/>
      <w:bookmarkStart w:id="588" w:name="_Toc24463733"/>
      <w:bookmarkStart w:id="589" w:name="_Toc24617731"/>
      <w:bookmarkStart w:id="590" w:name="_Toc25050804"/>
      <w:bookmarkStart w:id="591" w:name="_Toc31202278"/>
      <w:bookmarkStart w:id="592" w:name="_Toc32390211"/>
      <w:bookmarkStart w:id="593" w:name="_Toc32566855"/>
      <w:bookmarkStart w:id="594" w:name="_Toc35437959"/>
      <w:bookmarkStart w:id="595" w:name="_Toc38270552"/>
      <w:bookmarkStart w:id="596" w:name="_Toc38362407"/>
      <w:bookmarkStart w:id="597" w:name="_Toc38442400"/>
      <w:bookmarkStart w:id="598" w:name="_Toc38976339"/>
      <w:bookmarkStart w:id="599" w:name="_Toc40693261"/>
      <w:bookmarkStart w:id="600" w:name="_Toc41570939"/>
      <w:bookmarkStart w:id="601" w:name="_Toc42875016"/>
      <w:bookmarkStart w:id="602" w:name="_Toc44074228"/>
      <w:bookmarkStart w:id="603" w:name="_Toc44323945"/>
      <w:bookmarkStart w:id="604" w:name="_Toc69207605"/>
      <w:r w:rsidRPr="00104A8B">
        <w:rPr>
          <w:rFonts w:asciiTheme="minorHAnsi" w:hAnsiTheme="minorHAnsi"/>
        </w:rPr>
        <w:t>Bills/Subordinate Legislation</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rsidR="00437293" w:rsidRPr="00DA162C" w:rsidRDefault="00437293" w:rsidP="00437293">
      <w:pPr>
        <w:pStyle w:val="ListParagraph"/>
        <w:numPr>
          <w:ilvl w:val="0"/>
          <w:numId w:val="11"/>
        </w:numPr>
        <w:spacing w:before="240" w:after="0"/>
        <w:ind w:left="357" w:hanging="357"/>
        <w:contextualSpacing w:val="0"/>
        <w:rPr>
          <w:b/>
        </w:rPr>
      </w:pPr>
      <w:r>
        <w:rPr>
          <w:b/>
        </w:rPr>
        <w:t>Report 1, dated 2 February 2021</w:t>
      </w:r>
    </w:p>
    <w:p w:rsidR="00437293" w:rsidRPr="00595CC0" w:rsidRDefault="00437293" w:rsidP="00437293">
      <w:pPr>
        <w:pStyle w:val="ListParagraph"/>
        <w:numPr>
          <w:ilvl w:val="0"/>
          <w:numId w:val="13"/>
        </w:numPr>
        <w:spacing w:before="120" w:after="0"/>
        <w:ind w:left="720"/>
        <w:contextualSpacing w:val="0"/>
      </w:pPr>
      <w:r>
        <w:t>COVID-19 Emergency Response Legislation Amendment Bill 2020 (No 3)</w:t>
      </w:r>
    </w:p>
    <w:p w:rsidR="007F4A56" w:rsidRPr="00DA162C" w:rsidRDefault="007F4A56" w:rsidP="007F4A56">
      <w:pPr>
        <w:pStyle w:val="ListParagraph"/>
        <w:numPr>
          <w:ilvl w:val="0"/>
          <w:numId w:val="11"/>
        </w:numPr>
        <w:spacing w:before="240" w:after="0"/>
        <w:ind w:left="357" w:hanging="357"/>
        <w:contextualSpacing w:val="0"/>
        <w:rPr>
          <w:b/>
        </w:rPr>
      </w:pPr>
      <w:r>
        <w:rPr>
          <w:b/>
        </w:rPr>
        <w:t xml:space="preserve">Report </w:t>
      </w:r>
      <w:r w:rsidR="0017755F">
        <w:rPr>
          <w:b/>
        </w:rPr>
        <w:t>2</w:t>
      </w:r>
      <w:r>
        <w:rPr>
          <w:b/>
        </w:rPr>
        <w:t xml:space="preserve">, dated </w:t>
      </w:r>
      <w:r w:rsidR="0017755F">
        <w:rPr>
          <w:b/>
        </w:rPr>
        <w:t xml:space="preserve">24 March </w:t>
      </w:r>
      <w:r>
        <w:rPr>
          <w:b/>
        </w:rPr>
        <w:t>202</w:t>
      </w:r>
      <w:r w:rsidR="0017755F">
        <w:rPr>
          <w:b/>
        </w:rPr>
        <w:t>1</w:t>
      </w:r>
    </w:p>
    <w:p w:rsidR="007F4A56" w:rsidRPr="00595CC0" w:rsidRDefault="00595CC0" w:rsidP="007F4A56">
      <w:pPr>
        <w:pStyle w:val="ListParagraph"/>
        <w:numPr>
          <w:ilvl w:val="0"/>
          <w:numId w:val="13"/>
        </w:numPr>
        <w:spacing w:before="120" w:after="0"/>
        <w:ind w:left="720"/>
        <w:contextualSpacing w:val="0"/>
      </w:pPr>
      <w:r w:rsidRPr="00595CC0">
        <w:t>Drugs of Dependence (Personal Use) Amendment Bill 2021</w:t>
      </w:r>
    </w:p>
    <w:p w:rsidR="007F4A56" w:rsidRPr="00595CC0" w:rsidRDefault="007F4A56" w:rsidP="007F4A56">
      <w:pPr>
        <w:pStyle w:val="ListParagraph"/>
        <w:numPr>
          <w:ilvl w:val="0"/>
          <w:numId w:val="13"/>
        </w:numPr>
        <w:spacing w:before="120" w:after="0"/>
        <w:ind w:left="720"/>
        <w:contextualSpacing w:val="0"/>
      </w:pPr>
      <w:r w:rsidRPr="00595CC0">
        <w:t xml:space="preserve">Disallowable Instrument </w:t>
      </w:r>
      <w:r w:rsidR="00595CC0" w:rsidRPr="00595CC0">
        <w:t>DI2020-287 Litter (Amenity Impact) Code of Practice 2020 (No 1)</w:t>
      </w:r>
    </w:p>
    <w:p w:rsidR="007F4A56" w:rsidRPr="005B2129" w:rsidRDefault="007F4A56" w:rsidP="007F4A56">
      <w:pPr>
        <w:pStyle w:val="ListParagraph"/>
        <w:numPr>
          <w:ilvl w:val="0"/>
          <w:numId w:val="13"/>
        </w:numPr>
        <w:spacing w:before="120" w:after="0"/>
        <w:ind w:left="720"/>
        <w:contextualSpacing w:val="0"/>
      </w:pPr>
      <w:r w:rsidRPr="005B2129">
        <w:t>Disallowable Instrument</w:t>
      </w:r>
      <w:r w:rsidR="005B2129">
        <w:t>s</w:t>
      </w:r>
      <w:r w:rsidRPr="005B2129">
        <w:t xml:space="preserve"> </w:t>
      </w:r>
      <w:r w:rsidR="005B2129">
        <w:t>DI2021-10 Taxation Administration (Payroll Tax—Businesses Not Permitted to Operate) COVID-19 Exemption Scheme Determination 2021 and DI2021-11 Taxation Administration (Payroll Tax) COVID-19 Exemption Scheme Determination 2021</w:t>
      </w:r>
    </w:p>
    <w:p w:rsidR="00094472" w:rsidRPr="007F4A56" w:rsidRDefault="00094472" w:rsidP="004278C4">
      <w:pPr>
        <w:spacing w:before="0"/>
        <w:rPr>
          <w:b/>
          <w:highlight w:val="yellow"/>
        </w:rPr>
      </w:pPr>
    </w:p>
    <w:sectPr w:rsidR="00094472" w:rsidRPr="007F4A56" w:rsidSect="00B10D43">
      <w:headerReference w:type="even" r:id="rId41"/>
      <w:headerReference w:type="default" r:id="rId42"/>
      <w:footerReference w:type="even" r:id="rId43"/>
      <w:footerReference w:type="default" r:id="rId44"/>
      <w:headerReference w:type="first" r:id="rId45"/>
      <w:pgSz w:w="11906" w:h="16838" w:code="9"/>
      <w:pgMar w:top="1440" w:right="1440" w:bottom="1440" w:left="1440" w:header="706" w:footer="706"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D43" w:rsidRDefault="00B10D43" w:rsidP="000B0846">
      <w:pPr>
        <w:spacing w:after="0" w:line="240" w:lineRule="auto"/>
      </w:pPr>
      <w:r>
        <w:separator/>
      </w:r>
    </w:p>
  </w:endnote>
  <w:endnote w:type="continuationSeparator" w:id="0">
    <w:p w:rsidR="00B10D43" w:rsidRDefault="00B10D43" w:rsidP="000B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D43" w:rsidRDefault="00B10D43">
    <w:pPr>
      <w:pStyle w:val="Footer"/>
    </w:pPr>
  </w:p>
  <w:p w:rsidR="00B10D43" w:rsidRDefault="00B10D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D43" w:rsidRDefault="00B10D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D43" w:rsidRDefault="00B10D4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1"/>
      <w:docPartObj>
        <w:docPartGallery w:val="Page Numbers (Bottom of Page)"/>
        <w:docPartUnique/>
      </w:docPartObj>
    </w:sdtPr>
    <w:sdtEndPr>
      <w:rPr>
        <w:noProof/>
      </w:rPr>
    </w:sdtEndPr>
    <w:sdtContent>
      <w:p w:rsidR="00B10D43" w:rsidRDefault="00B10D43">
        <w:pPr>
          <w:pStyle w:val="Footer"/>
        </w:pPr>
        <w:r>
          <w:rPr>
            <w:noProof/>
          </w:rPr>
          <w:fldChar w:fldCharType="begin"/>
        </w:r>
        <w:r>
          <w:rPr>
            <w:noProof/>
          </w:rPr>
          <w:instrText xml:space="preserve"> PAGE   \* MERGEFORMAT </w:instrText>
        </w:r>
        <w:r>
          <w:rPr>
            <w:noProof/>
          </w:rPr>
          <w:fldChar w:fldCharType="separate"/>
        </w:r>
        <w:r w:rsidR="00AD35B1">
          <w:rPr>
            <w:noProof/>
          </w:rPr>
          <w:t>ii</w:t>
        </w:r>
        <w:r>
          <w:rPr>
            <w:noProof/>
          </w:rPr>
          <w:fldChar w:fldCharType="end"/>
        </w:r>
      </w:p>
    </w:sdtContent>
  </w:sdt>
  <w:p w:rsidR="00B10D43" w:rsidRDefault="00B10D4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2"/>
      <w:docPartObj>
        <w:docPartGallery w:val="Page Numbers (Bottom of Page)"/>
        <w:docPartUnique/>
      </w:docPartObj>
    </w:sdtPr>
    <w:sdtEndPr>
      <w:rPr>
        <w:noProof/>
      </w:rPr>
    </w:sdtEndPr>
    <w:sdtContent>
      <w:p w:rsidR="00B10D43" w:rsidRDefault="00B10D43">
        <w:pPr>
          <w:pStyle w:val="Footer"/>
          <w:jc w:val="right"/>
        </w:pPr>
        <w:r>
          <w:rPr>
            <w:noProof/>
          </w:rPr>
          <w:fldChar w:fldCharType="begin"/>
        </w:r>
        <w:r>
          <w:rPr>
            <w:noProof/>
          </w:rPr>
          <w:instrText xml:space="preserve"> PAGE   \* MERGEFORMAT </w:instrText>
        </w:r>
        <w:r>
          <w:rPr>
            <w:noProof/>
          </w:rPr>
          <w:fldChar w:fldCharType="separate"/>
        </w:r>
        <w:r w:rsidR="00AD35B1">
          <w:rPr>
            <w:noProof/>
          </w:rPr>
          <w:t>i</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D43" w:rsidRDefault="00B10D4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D43" w:rsidRPr="00EE534B" w:rsidRDefault="00B10D43">
    <w:pPr>
      <w:pStyle w:val="Footer"/>
      <w:rPr>
        <w:sz w:val="18"/>
        <w:szCs w:val="18"/>
      </w:rPr>
    </w:pPr>
    <w:r>
      <w:rPr>
        <w:noProof/>
      </w:rPr>
      <w:fldChar w:fldCharType="begin"/>
    </w:r>
    <w:r>
      <w:rPr>
        <w:noProof/>
      </w:rPr>
      <w:instrText xml:space="preserve"> PAGE   \* MERGEFORMAT </w:instrText>
    </w:r>
    <w:r>
      <w:rPr>
        <w:noProof/>
      </w:rPr>
      <w:fldChar w:fldCharType="separate"/>
    </w:r>
    <w:r w:rsidR="00991732">
      <w:rPr>
        <w:noProof/>
      </w:rPr>
      <w:t>26</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172407"/>
      <w:docPartObj>
        <w:docPartGallery w:val="Page Numbers (Bottom of Page)"/>
        <w:docPartUnique/>
      </w:docPartObj>
    </w:sdtPr>
    <w:sdtEndPr>
      <w:rPr>
        <w:noProof/>
      </w:rPr>
    </w:sdtEndPr>
    <w:sdtContent>
      <w:p w:rsidR="00B10D43" w:rsidRPr="00EE534B" w:rsidRDefault="00B10D43">
        <w:pPr>
          <w:pStyle w:val="Footer"/>
          <w:jc w:val="right"/>
          <w:rPr>
            <w:sz w:val="18"/>
            <w:szCs w:val="18"/>
          </w:rPr>
        </w:pPr>
        <w:r>
          <w:rPr>
            <w:noProof/>
          </w:rPr>
          <w:fldChar w:fldCharType="begin"/>
        </w:r>
        <w:r>
          <w:rPr>
            <w:noProof/>
          </w:rPr>
          <w:instrText xml:space="preserve"> PAGE   \* MERGEFORMAT </w:instrText>
        </w:r>
        <w:r>
          <w:rPr>
            <w:noProof/>
          </w:rPr>
          <w:fldChar w:fldCharType="separate"/>
        </w:r>
        <w:r w:rsidR="00991732">
          <w:rPr>
            <w:noProof/>
          </w:rPr>
          <w:t>25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D43" w:rsidRDefault="00B10D43" w:rsidP="00685D6D">
      <w:pPr>
        <w:spacing w:before="80" w:after="0" w:line="240" w:lineRule="auto"/>
      </w:pPr>
      <w:r>
        <w:separator/>
      </w:r>
    </w:p>
  </w:footnote>
  <w:footnote w:type="continuationSeparator" w:id="0">
    <w:p w:rsidR="00B10D43" w:rsidRDefault="00B10D43" w:rsidP="000B0846">
      <w:pPr>
        <w:spacing w:after="0" w:line="240" w:lineRule="auto"/>
      </w:pPr>
      <w:r>
        <w:continuationSeparator/>
      </w:r>
    </w:p>
  </w:footnote>
  <w:footnote w:id="1">
    <w:p w:rsidR="00B10D43" w:rsidRDefault="00B10D43" w:rsidP="000F300D">
      <w:pPr>
        <w:pStyle w:val="FootnoteText"/>
        <w:spacing w:before="120"/>
      </w:pPr>
      <w:r>
        <w:rPr>
          <w:rStyle w:val="FootnoteReference"/>
        </w:rPr>
        <w:footnoteRef/>
      </w:r>
      <w:r>
        <w:t xml:space="preserve"> </w:t>
      </w:r>
      <w:r>
        <w:rPr>
          <w:color w:val="000000"/>
          <w:szCs w:val="18"/>
        </w:rPr>
        <w:t>https://www.parliament.act.gov.au/__data/assets/pdf_file/0007/434347/Subordinate-Legislation-Technical-and-Stylistic-Standards.pdf.</w:t>
      </w:r>
    </w:p>
  </w:footnote>
  <w:footnote w:id="2">
    <w:p w:rsidR="00B10D43" w:rsidRDefault="00B10D43" w:rsidP="000F300D">
      <w:pPr>
        <w:pStyle w:val="FootnoteText"/>
        <w:spacing w:before="120"/>
      </w:pPr>
      <w:r>
        <w:rPr>
          <w:rStyle w:val="FootnoteReference"/>
        </w:rPr>
        <w:footnoteRef/>
      </w:r>
      <w:r>
        <w:t xml:space="preserve"> </w:t>
      </w:r>
      <w:r>
        <w:rPr>
          <w:color w:val="000000"/>
          <w:szCs w:val="18"/>
        </w:rPr>
        <w:t>https://www.parliament.act.gov.au/__data/assets/pdf_file/0007/434347/Subordinate-Legislation-Technical-and-Stylistic-Standards.pdf.</w:t>
      </w:r>
    </w:p>
  </w:footnote>
  <w:footnote w:id="3">
    <w:p w:rsidR="00B10D43" w:rsidRDefault="00B10D43" w:rsidP="006A6C77">
      <w:pPr>
        <w:pStyle w:val="FootnoteText"/>
        <w:spacing w:before="0"/>
        <w:rPr>
          <w:sz w:val="19"/>
          <w:szCs w:val="19"/>
        </w:rPr>
      </w:pPr>
      <w:r>
        <w:rPr>
          <w:rStyle w:val="FootnoteReference"/>
          <w:sz w:val="19"/>
          <w:szCs w:val="19"/>
        </w:rPr>
        <w:footnoteRef/>
      </w:r>
      <w:r>
        <w:rPr>
          <w:sz w:val="19"/>
          <w:szCs w:val="19"/>
        </w:rPr>
        <w:t xml:space="preserve"> </w:t>
      </w:r>
      <w:r>
        <w:rPr>
          <w:sz w:val="19"/>
          <w:szCs w:val="19"/>
          <w:lang w:eastAsia="en-AU"/>
        </w:rPr>
        <w:t>https://www.parliament.act.gov.au/in-committees/standing-committees-current-assembly/standing-committee-on-justice-and-community-safety-legislative-scrutiny-role/responses-to-comments-on-bills.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D43" w:rsidRDefault="00B10D4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D43" w:rsidRPr="003B6A7E" w:rsidRDefault="00B10D43" w:rsidP="00FC2EEA">
    <w:pPr>
      <w:pStyle w:val="Header"/>
      <w:pBdr>
        <w:bottom w:val="single" w:sz="4" w:space="1" w:color="auto"/>
      </w:pBdr>
    </w:pPr>
    <w:r w:rsidRPr="009D788E">
      <w:rPr>
        <w:smallCaps/>
      </w:rPr>
      <w:t>Standing Committee on Justice and Community Safety (Legislative Scrutiny Role)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D43" w:rsidRPr="001B0650" w:rsidRDefault="00B10D43" w:rsidP="00F52AA6">
    <w:pPr>
      <w:pStyle w:val="Header"/>
      <w:pBdr>
        <w:bottom w:val="single" w:sz="4" w:space="1" w:color="auto"/>
      </w:pBdr>
      <w:tabs>
        <w:tab w:val="left" w:pos="6216"/>
      </w:tabs>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991732">
      <w:rPr>
        <w:smallCaps/>
        <w:noProof/>
      </w:rPr>
      <w:t>Scrutiny Report 3</w:t>
    </w:r>
    <w:r>
      <w:rPr>
        <w:smallCaps/>
        <w:noProof/>
      </w:rPr>
      <w:fldChar w:fldCharType="end"/>
    </w:r>
  </w:p>
  <w:p w:rsidR="00B10D43" w:rsidRDefault="00B10D4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D43" w:rsidRDefault="00B10D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D43" w:rsidRDefault="00B10D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D43" w:rsidRDefault="00B10D4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D43" w:rsidRPr="009D788E" w:rsidRDefault="00B10D43" w:rsidP="00911558">
    <w:pPr>
      <w:pStyle w:val="Header"/>
      <w:pBdr>
        <w:bottom w:val="single" w:sz="4" w:space="1" w:color="auto"/>
      </w:pBdr>
      <w:rPr>
        <w:smallCaps/>
      </w:rPr>
    </w:pPr>
    <w:r w:rsidRPr="009D788E">
      <w:rPr>
        <w:smallCaps/>
      </w:rPr>
      <w:t>Standing Committee on Justice and Community Safety (Legislative Scrutiny Role)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D43" w:rsidRPr="001B0650" w:rsidRDefault="00B10D43" w:rsidP="00911558">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AD35B1">
      <w:rPr>
        <w:smallCaps/>
        <w:noProof/>
      </w:rPr>
      <w:t>Scrutiny Report 3</w:t>
    </w:r>
    <w:r>
      <w:rPr>
        <w:smallCaps/>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D43" w:rsidRDefault="00B10D4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D43" w:rsidRPr="003B6A7E" w:rsidRDefault="00B10D43" w:rsidP="003B6A7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D43" w:rsidRPr="001B0650" w:rsidRDefault="00B10D43" w:rsidP="007F580D">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Pr>
        <w:smallCaps/>
        <w:noProof/>
      </w:rPr>
      <w:t>Scrutiny Report 3</w:t>
    </w:r>
    <w:r>
      <w:rPr>
        <w:smallCaps/>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D43" w:rsidRDefault="00B10D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4B87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01201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31475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3292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26E9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56F4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22F4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26A5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C6D3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3479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FF1BD4"/>
    <w:multiLevelType w:val="hybridMultilevel"/>
    <w:tmpl w:val="A5788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9A002A"/>
    <w:multiLevelType w:val="multilevel"/>
    <w:tmpl w:val="F6DE2780"/>
    <w:lvl w:ilvl="0">
      <w:start w:val="1"/>
      <w:numFmt w:val="decimal"/>
      <w:lvlText w:val="%1"/>
      <w:lvlJc w:val="left"/>
      <w:pPr>
        <w:ind w:left="432" w:hanging="432"/>
      </w:pPr>
      <w:rPr>
        <w:rFonts w:cs="Times New Roman"/>
      </w:rPr>
    </w:lvl>
    <w:lvl w:ilvl="1">
      <w:start w:val="1"/>
      <w:numFmt w:val="decimal"/>
      <w:pStyle w:val="Recommendationbodycopynumbered"/>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0">
    <w:nsid w:val="07771A35"/>
    <w:multiLevelType w:val="multilevel"/>
    <w:tmpl w:val="BCFCBA68"/>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0F64209D"/>
    <w:multiLevelType w:val="hybridMultilevel"/>
    <w:tmpl w:val="73BC5DF0"/>
    <w:lvl w:ilvl="0" w:tplc="4642DB54">
      <w:start w:val="1"/>
      <w:numFmt w:val="bullet"/>
      <w:lvlText w:val=""/>
      <w:lvlJc w:val="left"/>
      <w:pPr>
        <w:ind w:left="360" w:hanging="360"/>
      </w:pPr>
      <w:rPr>
        <w:rFonts w:ascii="Symbol" w:hAnsi="Symbol" w:hint="default"/>
        <w:color w:val="auto"/>
      </w:rPr>
    </w:lvl>
    <w:lvl w:ilvl="1" w:tplc="B2BC848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2E4544"/>
    <w:multiLevelType w:val="hybridMultilevel"/>
    <w:tmpl w:val="A4CE200E"/>
    <w:lvl w:ilvl="0" w:tplc="437E8904">
      <w:start w:val="1"/>
      <w:numFmt w:val="lowerLetter"/>
      <w:pStyle w:val="Bodycopybulletlevel1alpha"/>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526D8E"/>
    <w:multiLevelType w:val="hybridMultilevel"/>
    <w:tmpl w:val="D1786A2A"/>
    <w:lvl w:ilvl="0" w:tplc="4D449FE6">
      <w:start w:val="1"/>
      <w:numFmt w:val="decimal"/>
      <w:pStyle w:val="Bodycopynumbered2"/>
      <w:lvlText w:val="%1."/>
      <w:lvlJc w:val="left"/>
      <w:pPr>
        <w:ind w:left="720" w:hanging="360"/>
      </w:pPr>
      <w:rPr>
        <w:rFonts w:cs="Times New Roman"/>
      </w:rPr>
    </w:lvl>
    <w:lvl w:ilvl="1" w:tplc="04DA9EF8" w:tentative="1">
      <w:start w:val="1"/>
      <w:numFmt w:val="lowerLetter"/>
      <w:lvlText w:val="%2."/>
      <w:lvlJc w:val="left"/>
      <w:pPr>
        <w:ind w:left="1440" w:hanging="360"/>
      </w:pPr>
      <w:rPr>
        <w:rFonts w:cs="Times New Roman"/>
      </w:rPr>
    </w:lvl>
    <w:lvl w:ilvl="2" w:tplc="3FBC87FA" w:tentative="1">
      <w:start w:val="1"/>
      <w:numFmt w:val="lowerRoman"/>
      <w:lvlText w:val="%3."/>
      <w:lvlJc w:val="right"/>
      <w:pPr>
        <w:ind w:left="2160" w:hanging="180"/>
      </w:pPr>
      <w:rPr>
        <w:rFonts w:cs="Times New Roman"/>
      </w:rPr>
    </w:lvl>
    <w:lvl w:ilvl="3" w:tplc="0FD47DB4" w:tentative="1">
      <w:start w:val="1"/>
      <w:numFmt w:val="decimal"/>
      <w:lvlText w:val="%4."/>
      <w:lvlJc w:val="left"/>
      <w:pPr>
        <w:ind w:left="2880" w:hanging="360"/>
      </w:pPr>
      <w:rPr>
        <w:rFonts w:cs="Times New Roman"/>
      </w:rPr>
    </w:lvl>
    <w:lvl w:ilvl="4" w:tplc="0AA266A4" w:tentative="1">
      <w:start w:val="1"/>
      <w:numFmt w:val="lowerLetter"/>
      <w:lvlText w:val="%5."/>
      <w:lvlJc w:val="left"/>
      <w:pPr>
        <w:ind w:left="3600" w:hanging="360"/>
      </w:pPr>
      <w:rPr>
        <w:rFonts w:cs="Times New Roman"/>
      </w:rPr>
    </w:lvl>
    <w:lvl w:ilvl="5" w:tplc="2ACEA468" w:tentative="1">
      <w:start w:val="1"/>
      <w:numFmt w:val="lowerRoman"/>
      <w:lvlText w:val="%6."/>
      <w:lvlJc w:val="right"/>
      <w:pPr>
        <w:ind w:left="4320" w:hanging="180"/>
      </w:pPr>
      <w:rPr>
        <w:rFonts w:cs="Times New Roman"/>
      </w:rPr>
    </w:lvl>
    <w:lvl w:ilvl="6" w:tplc="A54E173C" w:tentative="1">
      <w:start w:val="1"/>
      <w:numFmt w:val="decimal"/>
      <w:lvlText w:val="%7."/>
      <w:lvlJc w:val="left"/>
      <w:pPr>
        <w:ind w:left="5040" w:hanging="360"/>
      </w:pPr>
      <w:rPr>
        <w:rFonts w:cs="Times New Roman"/>
      </w:rPr>
    </w:lvl>
    <w:lvl w:ilvl="7" w:tplc="AA62F5B2" w:tentative="1">
      <w:start w:val="1"/>
      <w:numFmt w:val="lowerLetter"/>
      <w:lvlText w:val="%8."/>
      <w:lvlJc w:val="left"/>
      <w:pPr>
        <w:ind w:left="5760" w:hanging="360"/>
      </w:pPr>
      <w:rPr>
        <w:rFonts w:cs="Times New Roman"/>
      </w:rPr>
    </w:lvl>
    <w:lvl w:ilvl="8" w:tplc="77F694E0" w:tentative="1">
      <w:start w:val="1"/>
      <w:numFmt w:val="lowerRoman"/>
      <w:lvlText w:val="%9."/>
      <w:lvlJc w:val="right"/>
      <w:pPr>
        <w:ind w:left="6480" w:hanging="180"/>
      </w:pPr>
      <w:rPr>
        <w:rFonts w:cs="Times New Roman"/>
      </w:rPr>
    </w:lvl>
  </w:abstractNum>
  <w:abstractNum w:abstractNumId="17" w15:restartNumberingAfterBreak="0">
    <w:nsid w:val="23676090"/>
    <w:multiLevelType w:val="hybridMultilevel"/>
    <w:tmpl w:val="935CA52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15:restartNumberingAfterBreak="0">
    <w:nsid w:val="267A5E70"/>
    <w:multiLevelType w:val="multilevel"/>
    <w:tmpl w:val="E342FCF2"/>
    <w:styleLink w:val="Style3"/>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29F675F9"/>
    <w:multiLevelType w:val="hybridMultilevel"/>
    <w:tmpl w:val="A2C60C32"/>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35431E"/>
    <w:multiLevelType w:val="hybridMultilevel"/>
    <w:tmpl w:val="7E4CB7A8"/>
    <w:lvl w:ilvl="0" w:tplc="7AF0D8D0">
      <w:start w:val="1"/>
      <w:numFmt w:val="bullet"/>
      <w:pStyle w:val="Bodycopybulletlevel2"/>
      <w:lvlText w:val="o"/>
      <w:lvlJc w:val="left"/>
      <w:pPr>
        <w:ind w:left="703" w:hanging="360"/>
      </w:pPr>
      <w:rPr>
        <w:rFonts w:ascii="Courier New" w:hAnsi="Courier New" w:hint="default"/>
      </w:rPr>
    </w:lvl>
    <w:lvl w:ilvl="1" w:tplc="466E58A0">
      <w:start w:val="1"/>
      <w:numFmt w:val="lowerLetter"/>
      <w:pStyle w:val="Bulletlistalpha"/>
      <w:lvlText w:val="%2."/>
      <w:lvlJc w:val="left"/>
      <w:pPr>
        <w:ind w:left="1423" w:hanging="360"/>
      </w:pPr>
      <w:rPr>
        <w:rFonts w:cs="Times New Roman"/>
      </w:rPr>
    </w:lvl>
    <w:lvl w:ilvl="2" w:tplc="0C09001B" w:tentative="1">
      <w:start w:val="1"/>
      <w:numFmt w:val="lowerRoman"/>
      <w:lvlText w:val="%3."/>
      <w:lvlJc w:val="right"/>
      <w:pPr>
        <w:ind w:left="2143" w:hanging="180"/>
      </w:pPr>
      <w:rPr>
        <w:rFonts w:cs="Times New Roman"/>
      </w:rPr>
    </w:lvl>
    <w:lvl w:ilvl="3" w:tplc="0C09000F" w:tentative="1">
      <w:start w:val="1"/>
      <w:numFmt w:val="decimal"/>
      <w:lvlText w:val="%4."/>
      <w:lvlJc w:val="left"/>
      <w:pPr>
        <w:ind w:left="2863" w:hanging="360"/>
      </w:pPr>
      <w:rPr>
        <w:rFonts w:cs="Times New Roman"/>
      </w:rPr>
    </w:lvl>
    <w:lvl w:ilvl="4" w:tplc="0C090019" w:tentative="1">
      <w:start w:val="1"/>
      <w:numFmt w:val="lowerLetter"/>
      <w:lvlText w:val="%5."/>
      <w:lvlJc w:val="left"/>
      <w:pPr>
        <w:ind w:left="3583" w:hanging="360"/>
      </w:pPr>
      <w:rPr>
        <w:rFonts w:cs="Times New Roman"/>
      </w:rPr>
    </w:lvl>
    <w:lvl w:ilvl="5" w:tplc="0C09001B" w:tentative="1">
      <w:start w:val="1"/>
      <w:numFmt w:val="lowerRoman"/>
      <w:lvlText w:val="%6."/>
      <w:lvlJc w:val="right"/>
      <w:pPr>
        <w:ind w:left="4303" w:hanging="180"/>
      </w:pPr>
      <w:rPr>
        <w:rFonts w:cs="Times New Roman"/>
      </w:rPr>
    </w:lvl>
    <w:lvl w:ilvl="6" w:tplc="0C09000F" w:tentative="1">
      <w:start w:val="1"/>
      <w:numFmt w:val="decimal"/>
      <w:lvlText w:val="%7."/>
      <w:lvlJc w:val="left"/>
      <w:pPr>
        <w:ind w:left="5023" w:hanging="360"/>
      </w:pPr>
      <w:rPr>
        <w:rFonts w:cs="Times New Roman"/>
      </w:rPr>
    </w:lvl>
    <w:lvl w:ilvl="7" w:tplc="0C090019" w:tentative="1">
      <w:start w:val="1"/>
      <w:numFmt w:val="lowerLetter"/>
      <w:lvlText w:val="%8."/>
      <w:lvlJc w:val="left"/>
      <w:pPr>
        <w:ind w:left="5743" w:hanging="360"/>
      </w:pPr>
      <w:rPr>
        <w:rFonts w:cs="Times New Roman"/>
      </w:rPr>
    </w:lvl>
    <w:lvl w:ilvl="8" w:tplc="0C09001B" w:tentative="1">
      <w:start w:val="1"/>
      <w:numFmt w:val="lowerRoman"/>
      <w:lvlText w:val="%9."/>
      <w:lvlJc w:val="right"/>
      <w:pPr>
        <w:ind w:left="6463" w:hanging="180"/>
      </w:pPr>
      <w:rPr>
        <w:rFonts w:cs="Times New Roman"/>
      </w:rPr>
    </w:lvl>
  </w:abstractNum>
  <w:abstractNum w:abstractNumId="21" w15:restartNumberingAfterBreak="0">
    <w:nsid w:val="335872B8"/>
    <w:multiLevelType w:val="hybridMultilevel"/>
    <w:tmpl w:val="9516D9AA"/>
    <w:lvl w:ilvl="0" w:tplc="E0BAD32E">
      <w:start w:val="1"/>
      <w:numFmt w:val="decimal"/>
      <w:pStyle w:val="CS-Paragraphnumbering"/>
      <w:lvlText w:val="%1."/>
      <w:lvlJc w:val="left"/>
      <w:pPr>
        <w:ind w:left="720" w:hanging="360"/>
      </w:pPr>
      <w:rPr>
        <w:b w:val="0"/>
        <w:bCs w:val="0"/>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947158"/>
    <w:multiLevelType w:val="hybridMultilevel"/>
    <w:tmpl w:val="6EF64A6C"/>
    <w:lvl w:ilvl="0" w:tplc="B2BC8480">
      <w:start w:val="1"/>
      <w:numFmt w:val="bullet"/>
      <w:lvlText w:val="­"/>
      <w:lvlJc w:val="left"/>
      <w:pPr>
        <w:ind w:left="1710" w:hanging="360"/>
      </w:pPr>
      <w:rPr>
        <w:rFonts w:ascii="Courier New" w:hAnsi="Courier New" w:hint="default"/>
      </w:rPr>
    </w:lvl>
    <w:lvl w:ilvl="1" w:tplc="87AC79EC">
      <w:numFmt w:val="bullet"/>
      <w:lvlText w:val="•"/>
      <w:lvlJc w:val="left"/>
      <w:pPr>
        <w:ind w:left="1800" w:hanging="360"/>
      </w:pPr>
      <w:rPr>
        <w:rFonts w:ascii="Calibri" w:eastAsiaTheme="minorHAnsi" w:hAnsi="Calibri" w:cstheme="minorBidi" w:hint="default"/>
        <w:b w:val="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9711BA8"/>
    <w:multiLevelType w:val="multilevel"/>
    <w:tmpl w:val="C142AD88"/>
    <w:name w:val="Leg Quote"/>
    <w:lvl w:ilvl="0">
      <w:start w:val="1"/>
      <w:numFmt w:val="decimal"/>
      <w:lvlText w:val="(%1)"/>
      <w:lvlJc w:val="left"/>
      <w:pPr>
        <w:tabs>
          <w:tab w:val="num" w:pos="851"/>
        </w:tabs>
        <w:ind w:left="454" w:firstLine="397"/>
      </w:pPr>
      <w:rPr>
        <w:rFonts w:hint="default"/>
      </w:rPr>
    </w:lvl>
    <w:lvl w:ilvl="1">
      <w:start w:val="1"/>
      <w:numFmt w:val="lowerLetter"/>
      <w:lvlText w:val="(%2)"/>
      <w:lvlJc w:val="left"/>
      <w:pPr>
        <w:tabs>
          <w:tab w:val="num" w:pos="1418"/>
        </w:tabs>
        <w:ind w:left="1021" w:firstLine="397"/>
      </w:pPr>
      <w:rPr>
        <w:rFonts w:hint="default"/>
      </w:rPr>
    </w:lvl>
    <w:lvl w:ilvl="2">
      <w:start w:val="1"/>
      <w:numFmt w:val="lowerRoman"/>
      <w:lvlText w:val="%3)"/>
      <w:lvlJc w:val="left"/>
      <w:pPr>
        <w:tabs>
          <w:tab w:val="num" w:pos="1985"/>
        </w:tabs>
        <w:ind w:left="1588" w:firstLine="397"/>
      </w:pPr>
      <w:rPr>
        <w:rFonts w:hint="default"/>
      </w:rPr>
    </w:lvl>
    <w:lvl w:ilvl="3">
      <w:start w:val="1"/>
      <w:numFmt w:val="decimal"/>
      <w:lvlText w:val="(%4)"/>
      <w:lvlJc w:val="left"/>
      <w:pPr>
        <w:tabs>
          <w:tab w:val="num" w:pos="2552"/>
        </w:tabs>
        <w:ind w:left="2155" w:firstLine="397"/>
      </w:pPr>
      <w:rPr>
        <w:rFonts w:hint="default"/>
      </w:rPr>
    </w:lvl>
    <w:lvl w:ilvl="4">
      <w:start w:val="1"/>
      <w:numFmt w:val="lowerLetter"/>
      <w:lvlText w:val="(%5)"/>
      <w:lvlJc w:val="left"/>
      <w:pPr>
        <w:tabs>
          <w:tab w:val="num" w:pos="3119"/>
        </w:tabs>
        <w:ind w:left="2722" w:firstLine="397"/>
      </w:pPr>
      <w:rPr>
        <w:rFonts w:hint="default"/>
      </w:rPr>
    </w:lvl>
    <w:lvl w:ilvl="5">
      <w:start w:val="1"/>
      <w:numFmt w:val="lowerRoman"/>
      <w:lvlText w:val="(%6)"/>
      <w:lvlJc w:val="left"/>
      <w:pPr>
        <w:tabs>
          <w:tab w:val="num" w:pos="3686"/>
        </w:tabs>
        <w:ind w:left="3289" w:firstLine="397"/>
      </w:pPr>
      <w:rPr>
        <w:rFonts w:hint="default"/>
      </w:rPr>
    </w:lvl>
    <w:lvl w:ilvl="6">
      <w:start w:val="1"/>
      <w:numFmt w:val="decimal"/>
      <w:lvlText w:val="%7."/>
      <w:lvlJc w:val="left"/>
      <w:pPr>
        <w:tabs>
          <w:tab w:val="num" w:pos="4253"/>
        </w:tabs>
        <w:ind w:left="3856" w:firstLine="397"/>
      </w:pPr>
      <w:rPr>
        <w:rFonts w:hint="default"/>
      </w:rPr>
    </w:lvl>
    <w:lvl w:ilvl="7">
      <w:start w:val="1"/>
      <w:numFmt w:val="lowerLetter"/>
      <w:lvlText w:val="%8."/>
      <w:lvlJc w:val="left"/>
      <w:pPr>
        <w:tabs>
          <w:tab w:val="num" w:pos="4820"/>
        </w:tabs>
        <w:ind w:left="4423" w:firstLine="397"/>
      </w:pPr>
      <w:rPr>
        <w:rFonts w:hint="default"/>
      </w:rPr>
    </w:lvl>
    <w:lvl w:ilvl="8">
      <w:start w:val="1"/>
      <w:numFmt w:val="lowerRoman"/>
      <w:lvlText w:val="%9."/>
      <w:lvlJc w:val="left"/>
      <w:pPr>
        <w:tabs>
          <w:tab w:val="num" w:pos="5387"/>
        </w:tabs>
        <w:ind w:left="4990" w:firstLine="397"/>
      </w:pPr>
      <w:rPr>
        <w:rFonts w:hint="default"/>
      </w:rPr>
    </w:lvl>
  </w:abstractNum>
  <w:abstractNum w:abstractNumId="24" w15:restartNumberingAfterBreak="0">
    <w:nsid w:val="65496197"/>
    <w:multiLevelType w:val="multilevel"/>
    <w:tmpl w:val="6F6A9636"/>
    <w:lvl w:ilvl="0">
      <w:start w:val="1"/>
      <w:numFmt w:val="lowerRoman"/>
      <w:pStyle w:val="Bulletlistroman"/>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6E034034"/>
    <w:multiLevelType w:val="multilevel"/>
    <w:tmpl w:val="A5ECBD6A"/>
    <w:styleLink w:val="Style2"/>
    <w:lvl w:ilvl="0">
      <w:start w:val="1"/>
      <w:numFmt w:val="decimal"/>
      <w:lvlText w:val="%1.1"/>
      <w:lvlJc w:val="left"/>
      <w:pPr>
        <w:ind w:left="432" w:hanging="432"/>
      </w:pPr>
      <w:rPr>
        <w:rFonts w:cs="Times New Roman" w:hint="default"/>
      </w:rPr>
    </w:lvl>
    <w:lvl w:ilvl="1">
      <w:start w:val="1"/>
      <w:numFmt w:val="none"/>
      <w:lvlText w:val=""/>
      <w:lvlJc w:val="left"/>
      <w:pPr>
        <w:ind w:left="576" w:hanging="576"/>
      </w:pPr>
      <w:rPr>
        <w:rFonts w:cs="Times New Roman" w:hint="default"/>
      </w:rPr>
    </w:lvl>
    <w:lvl w:ilvl="2">
      <w:start w:val="1"/>
      <w:numFmt w:val="none"/>
      <w:lvlText w:val=""/>
      <w:lvlJc w:val="left"/>
      <w:pPr>
        <w:ind w:left="720" w:hanging="720"/>
      </w:pPr>
      <w:rPr>
        <w:rFonts w:cs="Times New Roman" w:hint="default"/>
      </w:rPr>
    </w:lvl>
    <w:lvl w:ilvl="3">
      <w:start w:val="1"/>
      <w:numFmt w:val="none"/>
      <w:lvlText w:val=""/>
      <w:lvlJc w:val="left"/>
      <w:pPr>
        <w:ind w:left="864" w:hanging="864"/>
      </w:pPr>
      <w:rPr>
        <w:rFonts w:cs="Times New Roman" w:hint="default"/>
      </w:rPr>
    </w:lvl>
    <w:lvl w:ilvl="4">
      <w:start w:val="1"/>
      <w:numFmt w:val="none"/>
      <w:lvlText w:val=""/>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1.%21"/>
      <w:lvlJc w:val="left"/>
      <w:pPr>
        <w:ind w:left="1296" w:hanging="1296"/>
      </w:pPr>
      <w:rPr>
        <w:rFonts w:cs="Times New Roman" w:hint="default"/>
      </w:rPr>
    </w:lvl>
    <w:lvl w:ilvl="7">
      <w:start w:val="1"/>
      <w:numFmt w:val="decimal"/>
      <w:lvlText w:val="%8%1.%21.1"/>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6" w15:restartNumberingAfterBreak="0">
    <w:nsid w:val="7D1314E2"/>
    <w:multiLevelType w:val="hybridMultilevel"/>
    <w:tmpl w:val="4D88D650"/>
    <w:lvl w:ilvl="0" w:tplc="3894EE82">
      <w:start w:val="1"/>
      <w:numFmt w:val="bullet"/>
      <w:pStyle w:val="Bulletlistlevel1"/>
      <w:lvlText w:val=""/>
      <w:lvlJc w:val="left"/>
      <w:pPr>
        <w:ind w:left="-414" w:hanging="360"/>
      </w:pPr>
      <w:rPr>
        <w:rFonts w:ascii="Symbol" w:hAnsi="Symbol" w:hint="default"/>
      </w:rPr>
    </w:lvl>
    <w:lvl w:ilvl="1" w:tplc="87D8F8F0" w:tentative="1">
      <w:start w:val="1"/>
      <w:numFmt w:val="lowerLetter"/>
      <w:lvlText w:val="%2."/>
      <w:lvlJc w:val="left"/>
      <w:pPr>
        <w:ind w:left="306" w:hanging="360"/>
      </w:pPr>
      <w:rPr>
        <w:rFonts w:cs="Times New Roman"/>
      </w:rPr>
    </w:lvl>
    <w:lvl w:ilvl="2" w:tplc="B1323CB8" w:tentative="1">
      <w:start w:val="1"/>
      <w:numFmt w:val="lowerRoman"/>
      <w:lvlText w:val="%3."/>
      <w:lvlJc w:val="right"/>
      <w:pPr>
        <w:ind w:left="1026" w:hanging="180"/>
      </w:pPr>
      <w:rPr>
        <w:rFonts w:cs="Times New Roman"/>
      </w:rPr>
    </w:lvl>
    <w:lvl w:ilvl="3" w:tplc="CAE0A252" w:tentative="1">
      <w:start w:val="1"/>
      <w:numFmt w:val="decimal"/>
      <w:lvlText w:val="%4."/>
      <w:lvlJc w:val="left"/>
      <w:pPr>
        <w:ind w:left="1746" w:hanging="360"/>
      </w:pPr>
      <w:rPr>
        <w:rFonts w:cs="Times New Roman"/>
      </w:rPr>
    </w:lvl>
    <w:lvl w:ilvl="4" w:tplc="A496904E" w:tentative="1">
      <w:start w:val="1"/>
      <w:numFmt w:val="lowerLetter"/>
      <w:lvlText w:val="%5."/>
      <w:lvlJc w:val="left"/>
      <w:pPr>
        <w:ind w:left="2466" w:hanging="360"/>
      </w:pPr>
      <w:rPr>
        <w:rFonts w:cs="Times New Roman"/>
      </w:rPr>
    </w:lvl>
    <w:lvl w:ilvl="5" w:tplc="867CAE32" w:tentative="1">
      <w:start w:val="1"/>
      <w:numFmt w:val="lowerRoman"/>
      <w:lvlText w:val="%6."/>
      <w:lvlJc w:val="right"/>
      <w:pPr>
        <w:ind w:left="3186" w:hanging="180"/>
      </w:pPr>
      <w:rPr>
        <w:rFonts w:cs="Times New Roman"/>
      </w:rPr>
    </w:lvl>
    <w:lvl w:ilvl="6" w:tplc="36B64AEE" w:tentative="1">
      <w:start w:val="1"/>
      <w:numFmt w:val="decimal"/>
      <w:lvlText w:val="%7."/>
      <w:lvlJc w:val="left"/>
      <w:pPr>
        <w:ind w:left="3906" w:hanging="360"/>
      </w:pPr>
      <w:rPr>
        <w:rFonts w:cs="Times New Roman"/>
      </w:rPr>
    </w:lvl>
    <w:lvl w:ilvl="7" w:tplc="EB0E0432" w:tentative="1">
      <w:start w:val="1"/>
      <w:numFmt w:val="lowerLetter"/>
      <w:lvlText w:val="%8."/>
      <w:lvlJc w:val="left"/>
      <w:pPr>
        <w:ind w:left="4626" w:hanging="360"/>
      </w:pPr>
      <w:rPr>
        <w:rFonts w:cs="Times New Roman"/>
      </w:rPr>
    </w:lvl>
    <w:lvl w:ilvl="8" w:tplc="4C4454F4" w:tentative="1">
      <w:start w:val="1"/>
      <w:numFmt w:val="lowerRoman"/>
      <w:lvlText w:val="%9."/>
      <w:lvlJc w:val="right"/>
      <w:pPr>
        <w:ind w:left="5346" w:hanging="180"/>
      </w:pPr>
      <w:rPr>
        <w:rFonts w:cs="Times New Roman"/>
      </w:rPr>
    </w:lvl>
  </w:abstractNum>
  <w:abstractNum w:abstractNumId="2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3"/>
  </w:num>
  <w:num w:numId="13">
    <w:abstractNumId w:val="22"/>
  </w:num>
  <w:num w:numId="14">
    <w:abstractNumId w:val="26"/>
  </w:num>
  <w:num w:numId="15">
    <w:abstractNumId w:val="20"/>
  </w:num>
  <w:num w:numId="16">
    <w:abstractNumId w:val="12"/>
  </w:num>
  <w:num w:numId="17">
    <w:abstractNumId w:val="14"/>
  </w:num>
  <w:num w:numId="18">
    <w:abstractNumId w:val="25"/>
  </w:num>
  <w:num w:numId="19">
    <w:abstractNumId w:val="24"/>
  </w:num>
  <w:num w:numId="20">
    <w:abstractNumId w:val="16"/>
  </w:num>
  <w:num w:numId="21">
    <w:abstractNumId w:val="18"/>
  </w:num>
  <w:num w:numId="22">
    <w:abstractNumId w:val="11"/>
  </w:num>
  <w:num w:numId="23">
    <w:abstractNumId w:val="15"/>
  </w:num>
  <w:num w:numId="24">
    <w:abstractNumId w:val="27"/>
  </w:num>
  <w:num w:numId="25">
    <w:abstractNumId w:val="17"/>
  </w:num>
  <w:num w:numId="26">
    <w:abstractNumId w:val="10"/>
  </w:num>
  <w:num w:numId="2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46"/>
  <w:evenAndOddHeaders/>
  <w:characterSpacingControl w:val="doNotCompress"/>
  <w:hdrShapeDefaults>
    <o:shapedefaults v:ext="edit" spidmax="10241" style="mso-position-horizontal:center;mso-position-horizontal-relative:margin;mso-position-vertical:center;mso-position-vertical-relative:margin" o:allowincell="f" fillcolor="silver" stroke="f">
      <v:fill color="silver" opacity=".5"/>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46"/>
    <w:rsid w:val="000011FF"/>
    <w:rsid w:val="000016B7"/>
    <w:rsid w:val="00001839"/>
    <w:rsid w:val="00004BBA"/>
    <w:rsid w:val="00010090"/>
    <w:rsid w:val="00012062"/>
    <w:rsid w:val="00012567"/>
    <w:rsid w:val="00012C7C"/>
    <w:rsid w:val="00013BA7"/>
    <w:rsid w:val="00015B3E"/>
    <w:rsid w:val="00016CCD"/>
    <w:rsid w:val="00016ECB"/>
    <w:rsid w:val="000171BE"/>
    <w:rsid w:val="0001725A"/>
    <w:rsid w:val="00017FCB"/>
    <w:rsid w:val="00021FF8"/>
    <w:rsid w:val="000223B2"/>
    <w:rsid w:val="00022A35"/>
    <w:rsid w:val="000233EA"/>
    <w:rsid w:val="00023535"/>
    <w:rsid w:val="000238D1"/>
    <w:rsid w:val="000241B1"/>
    <w:rsid w:val="00024BDA"/>
    <w:rsid w:val="00025A33"/>
    <w:rsid w:val="00026D92"/>
    <w:rsid w:val="00030285"/>
    <w:rsid w:val="0003048A"/>
    <w:rsid w:val="00031176"/>
    <w:rsid w:val="00031636"/>
    <w:rsid w:val="00032058"/>
    <w:rsid w:val="00034823"/>
    <w:rsid w:val="00034ADC"/>
    <w:rsid w:val="00034CCA"/>
    <w:rsid w:val="00036A58"/>
    <w:rsid w:val="000373C1"/>
    <w:rsid w:val="00037980"/>
    <w:rsid w:val="00037B25"/>
    <w:rsid w:val="00040028"/>
    <w:rsid w:val="000421E6"/>
    <w:rsid w:val="00042C45"/>
    <w:rsid w:val="00044012"/>
    <w:rsid w:val="00044194"/>
    <w:rsid w:val="0004551E"/>
    <w:rsid w:val="00045F75"/>
    <w:rsid w:val="000469C7"/>
    <w:rsid w:val="00046DE2"/>
    <w:rsid w:val="0005204D"/>
    <w:rsid w:val="00052319"/>
    <w:rsid w:val="00052A23"/>
    <w:rsid w:val="00052F85"/>
    <w:rsid w:val="00053A61"/>
    <w:rsid w:val="00053DC1"/>
    <w:rsid w:val="00055077"/>
    <w:rsid w:val="00056859"/>
    <w:rsid w:val="00060E04"/>
    <w:rsid w:val="000618AD"/>
    <w:rsid w:val="00061AB9"/>
    <w:rsid w:val="00061B6D"/>
    <w:rsid w:val="00061D08"/>
    <w:rsid w:val="00062087"/>
    <w:rsid w:val="00064F19"/>
    <w:rsid w:val="00067FAE"/>
    <w:rsid w:val="0007009F"/>
    <w:rsid w:val="0007136A"/>
    <w:rsid w:val="00073340"/>
    <w:rsid w:val="0007461D"/>
    <w:rsid w:val="0007556D"/>
    <w:rsid w:val="0007683A"/>
    <w:rsid w:val="00077835"/>
    <w:rsid w:val="0008186E"/>
    <w:rsid w:val="000823F3"/>
    <w:rsid w:val="000840B5"/>
    <w:rsid w:val="0008663E"/>
    <w:rsid w:val="00086C99"/>
    <w:rsid w:val="000874A9"/>
    <w:rsid w:val="0009152D"/>
    <w:rsid w:val="000915D1"/>
    <w:rsid w:val="00092119"/>
    <w:rsid w:val="000927C6"/>
    <w:rsid w:val="00093922"/>
    <w:rsid w:val="000941F6"/>
    <w:rsid w:val="00094472"/>
    <w:rsid w:val="00094D98"/>
    <w:rsid w:val="00095C7A"/>
    <w:rsid w:val="000967E6"/>
    <w:rsid w:val="000971E6"/>
    <w:rsid w:val="00097985"/>
    <w:rsid w:val="000A14A2"/>
    <w:rsid w:val="000A16C9"/>
    <w:rsid w:val="000A2214"/>
    <w:rsid w:val="000A33FE"/>
    <w:rsid w:val="000A5891"/>
    <w:rsid w:val="000A5E0A"/>
    <w:rsid w:val="000A6724"/>
    <w:rsid w:val="000A78C0"/>
    <w:rsid w:val="000B0846"/>
    <w:rsid w:val="000B0CDE"/>
    <w:rsid w:val="000B12AD"/>
    <w:rsid w:val="000B2688"/>
    <w:rsid w:val="000B4BFC"/>
    <w:rsid w:val="000B504D"/>
    <w:rsid w:val="000B510A"/>
    <w:rsid w:val="000B71DA"/>
    <w:rsid w:val="000C0208"/>
    <w:rsid w:val="000C0965"/>
    <w:rsid w:val="000C1130"/>
    <w:rsid w:val="000C12B1"/>
    <w:rsid w:val="000C12C3"/>
    <w:rsid w:val="000C2759"/>
    <w:rsid w:val="000C30A9"/>
    <w:rsid w:val="000C3653"/>
    <w:rsid w:val="000C49C9"/>
    <w:rsid w:val="000C5573"/>
    <w:rsid w:val="000C59EC"/>
    <w:rsid w:val="000C6DFF"/>
    <w:rsid w:val="000C6FA0"/>
    <w:rsid w:val="000C7916"/>
    <w:rsid w:val="000D0D01"/>
    <w:rsid w:val="000D384D"/>
    <w:rsid w:val="000D4F39"/>
    <w:rsid w:val="000D5EDC"/>
    <w:rsid w:val="000D68A2"/>
    <w:rsid w:val="000D6984"/>
    <w:rsid w:val="000D7541"/>
    <w:rsid w:val="000D7EBD"/>
    <w:rsid w:val="000E13B4"/>
    <w:rsid w:val="000E231B"/>
    <w:rsid w:val="000E2F92"/>
    <w:rsid w:val="000E440E"/>
    <w:rsid w:val="000E5A5A"/>
    <w:rsid w:val="000E66C0"/>
    <w:rsid w:val="000E79A3"/>
    <w:rsid w:val="000F0EFB"/>
    <w:rsid w:val="000F300D"/>
    <w:rsid w:val="000F30A0"/>
    <w:rsid w:val="000F3D5D"/>
    <w:rsid w:val="000F6652"/>
    <w:rsid w:val="000F6785"/>
    <w:rsid w:val="00100B5B"/>
    <w:rsid w:val="001013B4"/>
    <w:rsid w:val="00101A1A"/>
    <w:rsid w:val="00103599"/>
    <w:rsid w:val="00103E7B"/>
    <w:rsid w:val="00104A8B"/>
    <w:rsid w:val="00104CBD"/>
    <w:rsid w:val="00105A3D"/>
    <w:rsid w:val="0010659A"/>
    <w:rsid w:val="001069C1"/>
    <w:rsid w:val="00106A85"/>
    <w:rsid w:val="00107EEA"/>
    <w:rsid w:val="001107D1"/>
    <w:rsid w:val="00112799"/>
    <w:rsid w:val="00115163"/>
    <w:rsid w:val="001154AD"/>
    <w:rsid w:val="00116A46"/>
    <w:rsid w:val="00116E9B"/>
    <w:rsid w:val="001201A6"/>
    <w:rsid w:val="0012051D"/>
    <w:rsid w:val="00120F86"/>
    <w:rsid w:val="00121896"/>
    <w:rsid w:val="00123DBF"/>
    <w:rsid w:val="00125EA4"/>
    <w:rsid w:val="001266E9"/>
    <w:rsid w:val="00126C48"/>
    <w:rsid w:val="00126D9A"/>
    <w:rsid w:val="00127856"/>
    <w:rsid w:val="00131525"/>
    <w:rsid w:val="00132097"/>
    <w:rsid w:val="0013258C"/>
    <w:rsid w:val="00133077"/>
    <w:rsid w:val="00133A87"/>
    <w:rsid w:val="00133AB1"/>
    <w:rsid w:val="00134F41"/>
    <w:rsid w:val="001352E7"/>
    <w:rsid w:val="00135A08"/>
    <w:rsid w:val="00137745"/>
    <w:rsid w:val="001409BD"/>
    <w:rsid w:val="001415F9"/>
    <w:rsid w:val="00144967"/>
    <w:rsid w:val="0014536B"/>
    <w:rsid w:val="00145B35"/>
    <w:rsid w:val="00145C9B"/>
    <w:rsid w:val="00147B04"/>
    <w:rsid w:val="00150083"/>
    <w:rsid w:val="001505EB"/>
    <w:rsid w:val="00151C3B"/>
    <w:rsid w:val="0015201D"/>
    <w:rsid w:val="001562EC"/>
    <w:rsid w:val="0016069D"/>
    <w:rsid w:val="001606A8"/>
    <w:rsid w:val="00163101"/>
    <w:rsid w:val="00163A08"/>
    <w:rsid w:val="0016463A"/>
    <w:rsid w:val="00165699"/>
    <w:rsid w:val="00166E04"/>
    <w:rsid w:val="00167169"/>
    <w:rsid w:val="00167537"/>
    <w:rsid w:val="00167EE2"/>
    <w:rsid w:val="0017063D"/>
    <w:rsid w:val="00170F9C"/>
    <w:rsid w:val="001712BC"/>
    <w:rsid w:val="001722F9"/>
    <w:rsid w:val="0017558F"/>
    <w:rsid w:val="0017638E"/>
    <w:rsid w:val="0017755F"/>
    <w:rsid w:val="001777EE"/>
    <w:rsid w:val="001779EA"/>
    <w:rsid w:val="00180581"/>
    <w:rsid w:val="00180D09"/>
    <w:rsid w:val="001820C5"/>
    <w:rsid w:val="001829FA"/>
    <w:rsid w:val="00182A2F"/>
    <w:rsid w:val="001839D6"/>
    <w:rsid w:val="00184A7B"/>
    <w:rsid w:val="00184C56"/>
    <w:rsid w:val="00184D61"/>
    <w:rsid w:val="0018598D"/>
    <w:rsid w:val="00187105"/>
    <w:rsid w:val="0019001E"/>
    <w:rsid w:val="001917B3"/>
    <w:rsid w:val="001917DA"/>
    <w:rsid w:val="00192003"/>
    <w:rsid w:val="00192010"/>
    <w:rsid w:val="00195221"/>
    <w:rsid w:val="0019559B"/>
    <w:rsid w:val="00195B4C"/>
    <w:rsid w:val="00196028"/>
    <w:rsid w:val="001974F6"/>
    <w:rsid w:val="001A1A54"/>
    <w:rsid w:val="001A28BF"/>
    <w:rsid w:val="001A46D3"/>
    <w:rsid w:val="001A5269"/>
    <w:rsid w:val="001A5F09"/>
    <w:rsid w:val="001A6A02"/>
    <w:rsid w:val="001A78B6"/>
    <w:rsid w:val="001B0650"/>
    <w:rsid w:val="001B09FD"/>
    <w:rsid w:val="001B1173"/>
    <w:rsid w:val="001B207B"/>
    <w:rsid w:val="001B22F0"/>
    <w:rsid w:val="001B31AD"/>
    <w:rsid w:val="001B36FB"/>
    <w:rsid w:val="001B457B"/>
    <w:rsid w:val="001B4892"/>
    <w:rsid w:val="001B4930"/>
    <w:rsid w:val="001B5859"/>
    <w:rsid w:val="001B5C86"/>
    <w:rsid w:val="001B5E58"/>
    <w:rsid w:val="001B5EB3"/>
    <w:rsid w:val="001B5F08"/>
    <w:rsid w:val="001B73A1"/>
    <w:rsid w:val="001C11EA"/>
    <w:rsid w:val="001C2A48"/>
    <w:rsid w:val="001C3269"/>
    <w:rsid w:val="001C3601"/>
    <w:rsid w:val="001C5D82"/>
    <w:rsid w:val="001C6D5B"/>
    <w:rsid w:val="001C719C"/>
    <w:rsid w:val="001C7639"/>
    <w:rsid w:val="001C7818"/>
    <w:rsid w:val="001D00FF"/>
    <w:rsid w:val="001D2441"/>
    <w:rsid w:val="001D271A"/>
    <w:rsid w:val="001D2873"/>
    <w:rsid w:val="001D5DBF"/>
    <w:rsid w:val="001D5F0D"/>
    <w:rsid w:val="001D60B6"/>
    <w:rsid w:val="001E0B71"/>
    <w:rsid w:val="001E197A"/>
    <w:rsid w:val="001E2F75"/>
    <w:rsid w:val="001E3462"/>
    <w:rsid w:val="001E3B56"/>
    <w:rsid w:val="001E3BA1"/>
    <w:rsid w:val="001E3ED8"/>
    <w:rsid w:val="001E533E"/>
    <w:rsid w:val="001E56FE"/>
    <w:rsid w:val="001E61F6"/>
    <w:rsid w:val="001E6B34"/>
    <w:rsid w:val="001E6B45"/>
    <w:rsid w:val="001F1058"/>
    <w:rsid w:val="001F1D6D"/>
    <w:rsid w:val="001F48AB"/>
    <w:rsid w:val="001F49B7"/>
    <w:rsid w:val="001F622E"/>
    <w:rsid w:val="00202660"/>
    <w:rsid w:val="00202BE1"/>
    <w:rsid w:val="002031BD"/>
    <w:rsid w:val="002032A0"/>
    <w:rsid w:val="002064D0"/>
    <w:rsid w:val="002076F3"/>
    <w:rsid w:val="002103BD"/>
    <w:rsid w:val="00210A63"/>
    <w:rsid w:val="00211156"/>
    <w:rsid w:val="0021195E"/>
    <w:rsid w:val="002128AF"/>
    <w:rsid w:val="00212F5E"/>
    <w:rsid w:val="0021614E"/>
    <w:rsid w:val="00216794"/>
    <w:rsid w:val="00220914"/>
    <w:rsid w:val="00221C9C"/>
    <w:rsid w:val="0022278A"/>
    <w:rsid w:val="002230E6"/>
    <w:rsid w:val="00224D59"/>
    <w:rsid w:val="002259AC"/>
    <w:rsid w:val="002264FA"/>
    <w:rsid w:val="00226A15"/>
    <w:rsid w:val="002270B3"/>
    <w:rsid w:val="00227281"/>
    <w:rsid w:val="0023358B"/>
    <w:rsid w:val="00233BF7"/>
    <w:rsid w:val="00235CF0"/>
    <w:rsid w:val="00235D37"/>
    <w:rsid w:val="00236E64"/>
    <w:rsid w:val="002371DB"/>
    <w:rsid w:val="00237B6F"/>
    <w:rsid w:val="00240841"/>
    <w:rsid w:val="002412A4"/>
    <w:rsid w:val="00241F22"/>
    <w:rsid w:val="00243563"/>
    <w:rsid w:val="00243715"/>
    <w:rsid w:val="00243CBE"/>
    <w:rsid w:val="00243DCB"/>
    <w:rsid w:val="0024524F"/>
    <w:rsid w:val="002458C5"/>
    <w:rsid w:val="00245D9F"/>
    <w:rsid w:val="00247FE5"/>
    <w:rsid w:val="002502AF"/>
    <w:rsid w:val="00251AC7"/>
    <w:rsid w:val="00252497"/>
    <w:rsid w:val="00252BBC"/>
    <w:rsid w:val="00254B7A"/>
    <w:rsid w:val="00256D7D"/>
    <w:rsid w:val="00256FBC"/>
    <w:rsid w:val="00262C9C"/>
    <w:rsid w:val="00264222"/>
    <w:rsid w:val="002644BB"/>
    <w:rsid w:val="002649B5"/>
    <w:rsid w:val="002718FF"/>
    <w:rsid w:val="00271A5B"/>
    <w:rsid w:val="00275330"/>
    <w:rsid w:val="002753EE"/>
    <w:rsid w:val="002805F4"/>
    <w:rsid w:val="002806E8"/>
    <w:rsid w:val="00280D11"/>
    <w:rsid w:val="00283F5C"/>
    <w:rsid w:val="00285ABC"/>
    <w:rsid w:val="002864F4"/>
    <w:rsid w:val="00286673"/>
    <w:rsid w:val="00287FC6"/>
    <w:rsid w:val="00291D83"/>
    <w:rsid w:val="002973FA"/>
    <w:rsid w:val="00297673"/>
    <w:rsid w:val="002A0027"/>
    <w:rsid w:val="002A185D"/>
    <w:rsid w:val="002A24D0"/>
    <w:rsid w:val="002A257A"/>
    <w:rsid w:val="002A5344"/>
    <w:rsid w:val="002B1AC8"/>
    <w:rsid w:val="002B23FF"/>
    <w:rsid w:val="002B388D"/>
    <w:rsid w:val="002B4A3A"/>
    <w:rsid w:val="002B660A"/>
    <w:rsid w:val="002B7D81"/>
    <w:rsid w:val="002C1AB1"/>
    <w:rsid w:val="002C269C"/>
    <w:rsid w:val="002C3AC7"/>
    <w:rsid w:val="002C3C37"/>
    <w:rsid w:val="002C3CF7"/>
    <w:rsid w:val="002C548A"/>
    <w:rsid w:val="002D0603"/>
    <w:rsid w:val="002D0702"/>
    <w:rsid w:val="002D0A83"/>
    <w:rsid w:val="002D1047"/>
    <w:rsid w:val="002D3B0A"/>
    <w:rsid w:val="002D485F"/>
    <w:rsid w:val="002D5907"/>
    <w:rsid w:val="002D7840"/>
    <w:rsid w:val="002E0324"/>
    <w:rsid w:val="002E1052"/>
    <w:rsid w:val="002E2EB3"/>
    <w:rsid w:val="002E344A"/>
    <w:rsid w:val="002E3ED2"/>
    <w:rsid w:val="002E6EB6"/>
    <w:rsid w:val="002E726C"/>
    <w:rsid w:val="002F04E9"/>
    <w:rsid w:val="002F0D7F"/>
    <w:rsid w:val="002F1119"/>
    <w:rsid w:val="002F13B7"/>
    <w:rsid w:val="002F1D67"/>
    <w:rsid w:val="002F37BA"/>
    <w:rsid w:val="002F5386"/>
    <w:rsid w:val="00300BFA"/>
    <w:rsid w:val="00301635"/>
    <w:rsid w:val="00301F54"/>
    <w:rsid w:val="00302004"/>
    <w:rsid w:val="00302510"/>
    <w:rsid w:val="00302BD1"/>
    <w:rsid w:val="00302DF4"/>
    <w:rsid w:val="00303425"/>
    <w:rsid w:val="003042B1"/>
    <w:rsid w:val="003045B8"/>
    <w:rsid w:val="003045ED"/>
    <w:rsid w:val="00306B22"/>
    <w:rsid w:val="00307591"/>
    <w:rsid w:val="0031203B"/>
    <w:rsid w:val="003123B6"/>
    <w:rsid w:val="003127FB"/>
    <w:rsid w:val="00314CF6"/>
    <w:rsid w:val="003155F0"/>
    <w:rsid w:val="0031570D"/>
    <w:rsid w:val="00316B2D"/>
    <w:rsid w:val="00317346"/>
    <w:rsid w:val="00317393"/>
    <w:rsid w:val="0031748B"/>
    <w:rsid w:val="00317E73"/>
    <w:rsid w:val="0032291C"/>
    <w:rsid w:val="00326327"/>
    <w:rsid w:val="00330E92"/>
    <w:rsid w:val="00331026"/>
    <w:rsid w:val="00332D86"/>
    <w:rsid w:val="0033431C"/>
    <w:rsid w:val="003345DA"/>
    <w:rsid w:val="00336217"/>
    <w:rsid w:val="00336E84"/>
    <w:rsid w:val="003379D7"/>
    <w:rsid w:val="00337F40"/>
    <w:rsid w:val="00341320"/>
    <w:rsid w:val="003418C1"/>
    <w:rsid w:val="00341C98"/>
    <w:rsid w:val="003433AB"/>
    <w:rsid w:val="003443EB"/>
    <w:rsid w:val="00344677"/>
    <w:rsid w:val="003446DE"/>
    <w:rsid w:val="003458E5"/>
    <w:rsid w:val="00345A6D"/>
    <w:rsid w:val="003461FC"/>
    <w:rsid w:val="0034635E"/>
    <w:rsid w:val="00346CDE"/>
    <w:rsid w:val="00347618"/>
    <w:rsid w:val="00351015"/>
    <w:rsid w:val="00351A66"/>
    <w:rsid w:val="00351AD0"/>
    <w:rsid w:val="00352A23"/>
    <w:rsid w:val="00352BB3"/>
    <w:rsid w:val="003534F8"/>
    <w:rsid w:val="0035425D"/>
    <w:rsid w:val="00354B0F"/>
    <w:rsid w:val="00354DFF"/>
    <w:rsid w:val="00355DF5"/>
    <w:rsid w:val="003574E8"/>
    <w:rsid w:val="00357A4D"/>
    <w:rsid w:val="00361375"/>
    <w:rsid w:val="0036212E"/>
    <w:rsid w:val="00365970"/>
    <w:rsid w:val="003660F9"/>
    <w:rsid w:val="00367A7B"/>
    <w:rsid w:val="00367B9B"/>
    <w:rsid w:val="0037018E"/>
    <w:rsid w:val="003716A1"/>
    <w:rsid w:val="00372D3F"/>
    <w:rsid w:val="00373BD9"/>
    <w:rsid w:val="00374A59"/>
    <w:rsid w:val="003752E9"/>
    <w:rsid w:val="0037551C"/>
    <w:rsid w:val="0037659F"/>
    <w:rsid w:val="00381994"/>
    <w:rsid w:val="003823E4"/>
    <w:rsid w:val="00382B8E"/>
    <w:rsid w:val="0038468B"/>
    <w:rsid w:val="00384D92"/>
    <w:rsid w:val="003853BC"/>
    <w:rsid w:val="00385C4E"/>
    <w:rsid w:val="00386C0A"/>
    <w:rsid w:val="00387610"/>
    <w:rsid w:val="0038795E"/>
    <w:rsid w:val="00392C13"/>
    <w:rsid w:val="00393D9F"/>
    <w:rsid w:val="003941DF"/>
    <w:rsid w:val="00395762"/>
    <w:rsid w:val="003A1F37"/>
    <w:rsid w:val="003A23E6"/>
    <w:rsid w:val="003A4294"/>
    <w:rsid w:val="003A5E73"/>
    <w:rsid w:val="003A7F93"/>
    <w:rsid w:val="003B3549"/>
    <w:rsid w:val="003B6A7E"/>
    <w:rsid w:val="003B6ED7"/>
    <w:rsid w:val="003C1078"/>
    <w:rsid w:val="003C1C5D"/>
    <w:rsid w:val="003C4A44"/>
    <w:rsid w:val="003C5A05"/>
    <w:rsid w:val="003C60E7"/>
    <w:rsid w:val="003C71A8"/>
    <w:rsid w:val="003C73B2"/>
    <w:rsid w:val="003D000F"/>
    <w:rsid w:val="003D0731"/>
    <w:rsid w:val="003D1F10"/>
    <w:rsid w:val="003D2825"/>
    <w:rsid w:val="003D3A4E"/>
    <w:rsid w:val="003D495F"/>
    <w:rsid w:val="003D4E3B"/>
    <w:rsid w:val="003D5EAE"/>
    <w:rsid w:val="003D6C98"/>
    <w:rsid w:val="003E032C"/>
    <w:rsid w:val="003E19C9"/>
    <w:rsid w:val="003E2637"/>
    <w:rsid w:val="003E361F"/>
    <w:rsid w:val="003E4C0B"/>
    <w:rsid w:val="003E5311"/>
    <w:rsid w:val="003E5742"/>
    <w:rsid w:val="003E78F5"/>
    <w:rsid w:val="003E792C"/>
    <w:rsid w:val="003E7E8B"/>
    <w:rsid w:val="003F186C"/>
    <w:rsid w:val="003F27B3"/>
    <w:rsid w:val="003F2C48"/>
    <w:rsid w:val="003F2D4B"/>
    <w:rsid w:val="003F4177"/>
    <w:rsid w:val="003F44C3"/>
    <w:rsid w:val="003F5C36"/>
    <w:rsid w:val="003F5F5D"/>
    <w:rsid w:val="003F6CCE"/>
    <w:rsid w:val="003F6DD6"/>
    <w:rsid w:val="004008C9"/>
    <w:rsid w:val="00405459"/>
    <w:rsid w:val="00405D16"/>
    <w:rsid w:val="0040642A"/>
    <w:rsid w:val="00406890"/>
    <w:rsid w:val="004106A9"/>
    <w:rsid w:val="00410B6A"/>
    <w:rsid w:val="0041216C"/>
    <w:rsid w:val="00412296"/>
    <w:rsid w:val="00412858"/>
    <w:rsid w:val="00414319"/>
    <w:rsid w:val="00415478"/>
    <w:rsid w:val="004154A3"/>
    <w:rsid w:val="00415EC5"/>
    <w:rsid w:val="004164EB"/>
    <w:rsid w:val="00416EB1"/>
    <w:rsid w:val="00417022"/>
    <w:rsid w:val="004170C2"/>
    <w:rsid w:val="0042361E"/>
    <w:rsid w:val="004238FA"/>
    <w:rsid w:val="00424D0D"/>
    <w:rsid w:val="00424FD2"/>
    <w:rsid w:val="0042643F"/>
    <w:rsid w:val="004278A4"/>
    <w:rsid w:val="004278C4"/>
    <w:rsid w:val="0043069F"/>
    <w:rsid w:val="00430D98"/>
    <w:rsid w:val="00431098"/>
    <w:rsid w:val="00432423"/>
    <w:rsid w:val="004330A9"/>
    <w:rsid w:val="00433489"/>
    <w:rsid w:val="00433C0F"/>
    <w:rsid w:val="00433C23"/>
    <w:rsid w:val="00434745"/>
    <w:rsid w:val="00435E76"/>
    <w:rsid w:val="00435EFE"/>
    <w:rsid w:val="00436402"/>
    <w:rsid w:val="00437293"/>
    <w:rsid w:val="00437F34"/>
    <w:rsid w:val="004416E8"/>
    <w:rsid w:val="00442440"/>
    <w:rsid w:val="00443DBC"/>
    <w:rsid w:val="004449E4"/>
    <w:rsid w:val="0044555E"/>
    <w:rsid w:val="00445EFF"/>
    <w:rsid w:val="0044629B"/>
    <w:rsid w:val="00451132"/>
    <w:rsid w:val="00452F37"/>
    <w:rsid w:val="00454870"/>
    <w:rsid w:val="00454D04"/>
    <w:rsid w:val="00457A9B"/>
    <w:rsid w:val="004616E0"/>
    <w:rsid w:val="00461A6B"/>
    <w:rsid w:val="00461B48"/>
    <w:rsid w:val="004641A0"/>
    <w:rsid w:val="00464752"/>
    <w:rsid w:val="0046526A"/>
    <w:rsid w:val="00465C30"/>
    <w:rsid w:val="0046623E"/>
    <w:rsid w:val="0046775E"/>
    <w:rsid w:val="00467B62"/>
    <w:rsid w:val="00470CB9"/>
    <w:rsid w:val="00471620"/>
    <w:rsid w:val="00473CCE"/>
    <w:rsid w:val="00473E22"/>
    <w:rsid w:val="00474136"/>
    <w:rsid w:val="00474EC6"/>
    <w:rsid w:val="004750FD"/>
    <w:rsid w:val="00475385"/>
    <w:rsid w:val="004758C1"/>
    <w:rsid w:val="00475A42"/>
    <w:rsid w:val="00475B8B"/>
    <w:rsid w:val="00477B48"/>
    <w:rsid w:val="00480E59"/>
    <w:rsid w:val="00481446"/>
    <w:rsid w:val="00481F91"/>
    <w:rsid w:val="00484A97"/>
    <w:rsid w:val="00486F69"/>
    <w:rsid w:val="00487421"/>
    <w:rsid w:val="00487FDA"/>
    <w:rsid w:val="004909C8"/>
    <w:rsid w:val="0049262E"/>
    <w:rsid w:val="00492C1E"/>
    <w:rsid w:val="00492DDF"/>
    <w:rsid w:val="00492EFA"/>
    <w:rsid w:val="00496C40"/>
    <w:rsid w:val="00496F95"/>
    <w:rsid w:val="004975E9"/>
    <w:rsid w:val="00497A2F"/>
    <w:rsid w:val="004A069D"/>
    <w:rsid w:val="004A1224"/>
    <w:rsid w:val="004A21FF"/>
    <w:rsid w:val="004A2365"/>
    <w:rsid w:val="004A2390"/>
    <w:rsid w:val="004A284D"/>
    <w:rsid w:val="004A3FBA"/>
    <w:rsid w:val="004A47B6"/>
    <w:rsid w:val="004A4A2A"/>
    <w:rsid w:val="004A763D"/>
    <w:rsid w:val="004A7AAE"/>
    <w:rsid w:val="004A7DAA"/>
    <w:rsid w:val="004B065D"/>
    <w:rsid w:val="004B1072"/>
    <w:rsid w:val="004B1188"/>
    <w:rsid w:val="004B23EC"/>
    <w:rsid w:val="004B2546"/>
    <w:rsid w:val="004B428C"/>
    <w:rsid w:val="004B4505"/>
    <w:rsid w:val="004B546F"/>
    <w:rsid w:val="004B6287"/>
    <w:rsid w:val="004B6AD2"/>
    <w:rsid w:val="004B7735"/>
    <w:rsid w:val="004C08E9"/>
    <w:rsid w:val="004C0A90"/>
    <w:rsid w:val="004C0AA7"/>
    <w:rsid w:val="004C1D20"/>
    <w:rsid w:val="004C1F31"/>
    <w:rsid w:val="004C35FA"/>
    <w:rsid w:val="004C3CE8"/>
    <w:rsid w:val="004C6809"/>
    <w:rsid w:val="004C6F1E"/>
    <w:rsid w:val="004C7E95"/>
    <w:rsid w:val="004D2235"/>
    <w:rsid w:val="004D3094"/>
    <w:rsid w:val="004D6ADD"/>
    <w:rsid w:val="004E42BA"/>
    <w:rsid w:val="004E4D9C"/>
    <w:rsid w:val="004E5CC4"/>
    <w:rsid w:val="004E5D8F"/>
    <w:rsid w:val="004E69C7"/>
    <w:rsid w:val="004E7305"/>
    <w:rsid w:val="004E7C1D"/>
    <w:rsid w:val="004F019A"/>
    <w:rsid w:val="004F0366"/>
    <w:rsid w:val="004F1D2A"/>
    <w:rsid w:val="004F4BD9"/>
    <w:rsid w:val="004F5121"/>
    <w:rsid w:val="004F67F8"/>
    <w:rsid w:val="004F6AC2"/>
    <w:rsid w:val="004F6D09"/>
    <w:rsid w:val="00500866"/>
    <w:rsid w:val="00500C4A"/>
    <w:rsid w:val="00501A3F"/>
    <w:rsid w:val="00501CD0"/>
    <w:rsid w:val="005024AF"/>
    <w:rsid w:val="005030F9"/>
    <w:rsid w:val="00503304"/>
    <w:rsid w:val="0050636F"/>
    <w:rsid w:val="005074A4"/>
    <w:rsid w:val="00510424"/>
    <w:rsid w:val="00511278"/>
    <w:rsid w:val="005114F8"/>
    <w:rsid w:val="0051400D"/>
    <w:rsid w:val="00516733"/>
    <w:rsid w:val="00517EFF"/>
    <w:rsid w:val="00520380"/>
    <w:rsid w:val="00520708"/>
    <w:rsid w:val="00521512"/>
    <w:rsid w:val="00521536"/>
    <w:rsid w:val="005228F6"/>
    <w:rsid w:val="00523335"/>
    <w:rsid w:val="00525A82"/>
    <w:rsid w:val="0052687F"/>
    <w:rsid w:val="005270C2"/>
    <w:rsid w:val="00527137"/>
    <w:rsid w:val="00527991"/>
    <w:rsid w:val="00530B7A"/>
    <w:rsid w:val="00534514"/>
    <w:rsid w:val="00535FA7"/>
    <w:rsid w:val="005427CD"/>
    <w:rsid w:val="00542D7C"/>
    <w:rsid w:val="005433B1"/>
    <w:rsid w:val="00543600"/>
    <w:rsid w:val="00543790"/>
    <w:rsid w:val="00543B59"/>
    <w:rsid w:val="0054459E"/>
    <w:rsid w:val="005445D9"/>
    <w:rsid w:val="00545F82"/>
    <w:rsid w:val="005468A2"/>
    <w:rsid w:val="00546EA3"/>
    <w:rsid w:val="00547500"/>
    <w:rsid w:val="005478A3"/>
    <w:rsid w:val="005508C6"/>
    <w:rsid w:val="00551BE9"/>
    <w:rsid w:val="005543D2"/>
    <w:rsid w:val="00556063"/>
    <w:rsid w:val="00557013"/>
    <w:rsid w:val="00560B7B"/>
    <w:rsid w:val="00562622"/>
    <w:rsid w:val="00562E8A"/>
    <w:rsid w:val="005646D0"/>
    <w:rsid w:val="005666F1"/>
    <w:rsid w:val="00570AD2"/>
    <w:rsid w:val="0057279F"/>
    <w:rsid w:val="00572B8C"/>
    <w:rsid w:val="00572C00"/>
    <w:rsid w:val="00573888"/>
    <w:rsid w:val="00573E0C"/>
    <w:rsid w:val="005744D7"/>
    <w:rsid w:val="005764C2"/>
    <w:rsid w:val="005771CD"/>
    <w:rsid w:val="005779EB"/>
    <w:rsid w:val="00577B54"/>
    <w:rsid w:val="005809FD"/>
    <w:rsid w:val="00581C79"/>
    <w:rsid w:val="005829CA"/>
    <w:rsid w:val="00583FA9"/>
    <w:rsid w:val="0058445F"/>
    <w:rsid w:val="00590AA6"/>
    <w:rsid w:val="00590E04"/>
    <w:rsid w:val="0059115E"/>
    <w:rsid w:val="00591276"/>
    <w:rsid w:val="005915CD"/>
    <w:rsid w:val="00591A9C"/>
    <w:rsid w:val="005921BF"/>
    <w:rsid w:val="0059274B"/>
    <w:rsid w:val="00594266"/>
    <w:rsid w:val="00594D43"/>
    <w:rsid w:val="00595C04"/>
    <w:rsid w:val="00595CC0"/>
    <w:rsid w:val="00596DE5"/>
    <w:rsid w:val="00597304"/>
    <w:rsid w:val="00597313"/>
    <w:rsid w:val="005A0384"/>
    <w:rsid w:val="005A086A"/>
    <w:rsid w:val="005A0F1D"/>
    <w:rsid w:val="005A1831"/>
    <w:rsid w:val="005A1C9B"/>
    <w:rsid w:val="005A2557"/>
    <w:rsid w:val="005A4E01"/>
    <w:rsid w:val="005A7435"/>
    <w:rsid w:val="005A7BB6"/>
    <w:rsid w:val="005B1D8F"/>
    <w:rsid w:val="005B2129"/>
    <w:rsid w:val="005B35FB"/>
    <w:rsid w:val="005B3763"/>
    <w:rsid w:val="005B41CA"/>
    <w:rsid w:val="005B5F65"/>
    <w:rsid w:val="005B68B5"/>
    <w:rsid w:val="005C01C0"/>
    <w:rsid w:val="005C0B5F"/>
    <w:rsid w:val="005C0F24"/>
    <w:rsid w:val="005C176D"/>
    <w:rsid w:val="005C505E"/>
    <w:rsid w:val="005C603D"/>
    <w:rsid w:val="005C7610"/>
    <w:rsid w:val="005D0355"/>
    <w:rsid w:val="005D1BC8"/>
    <w:rsid w:val="005D1DB5"/>
    <w:rsid w:val="005D2B7B"/>
    <w:rsid w:val="005D7839"/>
    <w:rsid w:val="005D79AF"/>
    <w:rsid w:val="005D7B3C"/>
    <w:rsid w:val="005E13B6"/>
    <w:rsid w:val="005E21F5"/>
    <w:rsid w:val="005E4A19"/>
    <w:rsid w:val="005E4CD6"/>
    <w:rsid w:val="005E56E4"/>
    <w:rsid w:val="005E7298"/>
    <w:rsid w:val="005F072C"/>
    <w:rsid w:val="005F1A7E"/>
    <w:rsid w:val="005F4FDA"/>
    <w:rsid w:val="005F5419"/>
    <w:rsid w:val="005F7540"/>
    <w:rsid w:val="00600252"/>
    <w:rsid w:val="00600A32"/>
    <w:rsid w:val="006013DE"/>
    <w:rsid w:val="0060428D"/>
    <w:rsid w:val="00606BD8"/>
    <w:rsid w:val="006074ED"/>
    <w:rsid w:val="006101F3"/>
    <w:rsid w:val="00610A2C"/>
    <w:rsid w:val="0061161F"/>
    <w:rsid w:val="00611873"/>
    <w:rsid w:val="006137B1"/>
    <w:rsid w:val="00613AE1"/>
    <w:rsid w:val="0061540B"/>
    <w:rsid w:val="0061673E"/>
    <w:rsid w:val="006174C7"/>
    <w:rsid w:val="006175A7"/>
    <w:rsid w:val="00617F24"/>
    <w:rsid w:val="00621662"/>
    <w:rsid w:val="00622E2C"/>
    <w:rsid w:val="00624556"/>
    <w:rsid w:val="0062481B"/>
    <w:rsid w:val="006251C9"/>
    <w:rsid w:val="006269A4"/>
    <w:rsid w:val="0062744D"/>
    <w:rsid w:val="00627499"/>
    <w:rsid w:val="00632981"/>
    <w:rsid w:val="00634118"/>
    <w:rsid w:val="006351E3"/>
    <w:rsid w:val="00635EA7"/>
    <w:rsid w:val="00636785"/>
    <w:rsid w:val="00637FB3"/>
    <w:rsid w:val="006421C2"/>
    <w:rsid w:val="00642CEB"/>
    <w:rsid w:val="00643221"/>
    <w:rsid w:val="006449FA"/>
    <w:rsid w:val="006449FD"/>
    <w:rsid w:val="006454A7"/>
    <w:rsid w:val="0064567E"/>
    <w:rsid w:val="006465BB"/>
    <w:rsid w:val="00646941"/>
    <w:rsid w:val="00647F0C"/>
    <w:rsid w:val="00650133"/>
    <w:rsid w:val="00651F9D"/>
    <w:rsid w:val="006523B3"/>
    <w:rsid w:val="00652A64"/>
    <w:rsid w:val="00652F69"/>
    <w:rsid w:val="006543AB"/>
    <w:rsid w:val="00654E7E"/>
    <w:rsid w:val="006557E9"/>
    <w:rsid w:val="00656B71"/>
    <w:rsid w:val="00661F81"/>
    <w:rsid w:val="006631E8"/>
    <w:rsid w:val="00664473"/>
    <w:rsid w:val="006655D3"/>
    <w:rsid w:val="006665AB"/>
    <w:rsid w:val="00666CA6"/>
    <w:rsid w:val="00670CBD"/>
    <w:rsid w:val="0067133C"/>
    <w:rsid w:val="006721F0"/>
    <w:rsid w:val="0067249C"/>
    <w:rsid w:val="0067269D"/>
    <w:rsid w:val="00673E3D"/>
    <w:rsid w:val="00674502"/>
    <w:rsid w:val="00674B7E"/>
    <w:rsid w:val="006754C6"/>
    <w:rsid w:val="0067571E"/>
    <w:rsid w:val="0067686A"/>
    <w:rsid w:val="0067783F"/>
    <w:rsid w:val="006823D5"/>
    <w:rsid w:val="006825EA"/>
    <w:rsid w:val="00682746"/>
    <w:rsid w:val="006854B5"/>
    <w:rsid w:val="00685D6D"/>
    <w:rsid w:val="0068665B"/>
    <w:rsid w:val="00686ADD"/>
    <w:rsid w:val="0069017A"/>
    <w:rsid w:val="00691450"/>
    <w:rsid w:val="00692800"/>
    <w:rsid w:val="006971C2"/>
    <w:rsid w:val="006A0DEF"/>
    <w:rsid w:val="006A19A4"/>
    <w:rsid w:val="006A2417"/>
    <w:rsid w:val="006A2C44"/>
    <w:rsid w:val="006A5B02"/>
    <w:rsid w:val="006A5DD1"/>
    <w:rsid w:val="006A68B5"/>
    <w:rsid w:val="006A6C77"/>
    <w:rsid w:val="006A71F8"/>
    <w:rsid w:val="006B1DC1"/>
    <w:rsid w:val="006B24B6"/>
    <w:rsid w:val="006B3981"/>
    <w:rsid w:val="006B3BAF"/>
    <w:rsid w:val="006B4705"/>
    <w:rsid w:val="006B48A2"/>
    <w:rsid w:val="006B5DE4"/>
    <w:rsid w:val="006B6B13"/>
    <w:rsid w:val="006C04DF"/>
    <w:rsid w:val="006C0537"/>
    <w:rsid w:val="006C06E1"/>
    <w:rsid w:val="006C0CBD"/>
    <w:rsid w:val="006C1D3D"/>
    <w:rsid w:val="006C1FAF"/>
    <w:rsid w:val="006C35A8"/>
    <w:rsid w:val="006C3EDA"/>
    <w:rsid w:val="006C533C"/>
    <w:rsid w:val="006C5ACB"/>
    <w:rsid w:val="006C742E"/>
    <w:rsid w:val="006D01F3"/>
    <w:rsid w:val="006D14D5"/>
    <w:rsid w:val="006D418E"/>
    <w:rsid w:val="006D712F"/>
    <w:rsid w:val="006D76E3"/>
    <w:rsid w:val="006E06EE"/>
    <w:rsid w:val="006E0EDD"/>
    <w:rsid w:val="006E1ABB"/>
    <w:rsid w:val="006E1BA7"/>
    <w:rsid w:val="006E1FE0"/>
    <w:rsid w:val="006E6910"/>
    <w:rsid w:val="006E7853"/>
    <w:rsid w:val="006F0DB1"/>
    <w:rsid w:val="006F1544"/>
    <w:rsid w:val="006F2384"/>
    <w:rsid w:val="006F388D"/>
    <w:rsid w:val="006F4484"/>
    <w:rsid w:val="006F4CFB"/>
    <w:rsid w:val="006F5130"/>
    <w:rsid w:val="006F5358"/>
    <w:rsid w:val="006F53A8"/>
    <w:rsid w:val="007000AB"/>
    <w:rsid w:val="00701E54"/>
    <w:rsid w:val="007047E4"/>
    <w:rsid w:val="00704C1C"/>
    <w:rsid w:val="00706014"/>
    <w:rsid w:val="007072D3"/>
    <w:rsid w:val="00710222"/>
    <w:rsid w:val="0071342C"/>
    <w:rsid w:val="00713E5C"/>
    <w:rsid w:val="0071432B"/>
    <w:rsid w:val="007165BE"/>
    <w:rsid w:val="00716798"/>
    <w:rsid w:val="00716F71"/>
    <w:rsid w:val="00717A2D"/>
    <w:rsid w:val="00717FD1"/>
    <w:rsid w:val="00720331"/>
    <w:rsid w:val="00720BDD"/>
    <w:rsid w:val="00722625"/>
    <w:rsid w:val="00722817"/>
    <w:rsid w:val="00724270"/>
    <w:rsid w:val="007250F5"/>
    <w:rsid w:val="007255CB"/>
    <w:rsid w:val="00725B48"/>
    <w:rsid w:val="00726072"/>
    <w:rsid w:val="00726733"/>
    <w:rsid w:val="007305D4"/>
    <w:rsid w:val="007308F1"/>
    <w:rsid w:val="00731542"/>
    <w:rsid w:val="007337C0"/>
    <w:rsid w:val="0073390D"/>
    <w:rsid w:val="007341A9"/>
    <w:rsid w:val="00735400"/>
    <w:rsid w:val="00735AE4"/>
    <w:rsid w:val="00735C41"/>
    <w:rsid w:val="007377EC"/>
    <w:rsid w:val="00737ACF"/>
    <w:rsid w:val="00737BD8"/>
    <w:rsid w:val="00741A91"/>
    <w:rsid w:val="00741F31"/>
    <w:rsid w:val="00742019"/>
    <w:rsid w:val="00742447"/>
    <w:rsid w:val="00744FCE"/>
    <w:rsid w:val="00745A30"/>
    <w:rsid w:val="00747B00"/>
    <w:rsid w:val="00747FAE"/>
    <w:rsid w:val="007506A2"/>
    <w:rsid w:val="00751327"/>
    <w:rsid w:val="0075192D"/>
    <w:rsid w:val="007519D4"/>
    <w:rsid w:val="00751B6C"/>
    <w:rsid w:val="00752521"/>
    <w:rsid w:val="00753923"/>
    <w:rsid w:val="00753D4D"/>
    <w:rsid w:val="00754F27"/>
    <w:rsid w:val="00755DED"/>
    <w:rsid w:val="00756A18"/>
    <w:rsid w:val="00756C20"/>
    <w:rsid w:val="00760BAB"/>
    <w:rsid w:val="00762179"/>
    <w:rsid w:val="00763A5E"/>
    <w:rsid w:val="00764041"/>
    <w:rsid w:val="0076535F"/>
    <w:rsid w:val="00766734"/>
    <w:rsid w:val="00767D36"/>
    <w:rsid w:val="00770D34"/>
    <w:rsid w:val="007711B3"/>
    <w:rsid w:val="00771C62"/>
    <w:rsid w:val="00772529"/>
    <w:rsid w:val="007751E7"/>
    <w:rsid w:val="007753B8"/>
    <w:rsid w:val="00777340"/>
    <w:rsid w:val="00780B47"/>
    <w:rsid w:val="0078174E"/>
    <w:rsid w:val="00781A65"/>
    <w:rsid w:val="007848D1"/>
    <w:rsid w:val="0078493D"/>
    <w:rsid w:val="00784A75"/>
    <w:rsid w:val="00784A91"/>
    <w:rsid w:val="007861B3"/>
    <w:rsid w:val="0078689A"/>
    <w:rsid w:val="0078717B"/>
    <w:rsid w:val="00787F30"/>
    <w:rsid w:val="00794D83"/>
    <w:rsid w:val="00797A2A"/>
    <w:rsid w:val="00797BE5"/>
    <w:rsid w:val="00797F2E"/>
    <w:rsid w:val="007A1799"/>
    <w:rsid w:val="007A4E51"/>
    <w:rsid w:val="007A4ED0"/>
    <w:rsid w:val="007A5009"/>
    <w:rsid w:val="007A6452"/>
    <w:rsid w:val="007A77AC"/>
    <w:rsid w:val="007A7E95"/>
    <w:rsid w:val="007B01C8"/>
    <w:rsid w:val="007B077A"/>
    <w:rsid w:val="007B0AE0"/>
    <w:rsid w:val="007B2889"/>
    <w:rsid w:val="007B2ACE"/>
    <w:rsid w:val="007B3429"/>
    <w:rsid w:val="007B54AC"/>
    <w:rsid w:val="007B6724"/>
    <w:rsid w:val="007C03E5"/>
    <w:rsid w:val="007C2849"/>
    <w:rsid w:val="007C3449"/>
    <w:rsid w:val="007C4EF8"/>
    <w:rsid w:val="007C4FE2"/>
    <w:rsid w:val="007C5602"/>
    <w:rsid w:val="007C5BE4"/>
    <w:rsid w:val="007C693A"/>
    <w:rsid w:val="007C6C59"/>
    <w:rsid w:val="007D0193"/>
    <w:rsid w:val="007D0FB4"/>
    <w:rsid w:val="007D2C2B"/>
    <w:rsid w:val="007D2F1F"/>
    <w:rsid w:val="007D4E4E"/>
    <w:rsid w:val="007D551C"/>
    <w:rsid w:val="007D55EE"/>
    <w:rsid w:val="007D66AE"/>
    <w:rsid w:val="007D6C78"/>
    <w:rsid w:val="007D791B"/>
    <w:rsid w:val="007D791F"/>
    <w:rsid w:val="007E09DF"/>
    <w:rsid w:val="007E14F6"/>
    <w:rsid w:val="007E211A"/>
    <w:rsid w:val="007E2C3D"/>
    <w:rsid w:val="007E3057"/>
    <w:rsid w:val="007E46DC"/>
    <w:rsid w:val="007E6141"/>
    <w:rsid w:val="007E6667"/>
    <w:rsid w:val="007E6AE3"/>
    <w:rsid w:val="007E6BA0"/>
    <w:rsid w:val="007F1A96"/>
    <w:rsid w:val="007F2631"/>
    <w:rsid w:val="007F28DF"/>
    <w:rsid w:val="007F30D6"/>
    <w:rsid w:val="007F4348"/>
    <w:rsid w:val="007F4A56"/>
    <w:rsid w:val="007F4A8B"/>
    <w:rsid w:val="007F580D"/>
    <w:rsid w:val="007F5B12"/>
    <w:rsid w:val="007F647F"/>
    <w:rsid w:val="007F6563"/>
    <w:rsid w:val="007F6E9B"/>
    <w:rsid w:val="0080041B"/>
    <w:rsid w:val="00801245"/>
    <w:rsid w:val="008024FC"/>
    <w:rsid w:val="008026F8"/>
    <w:rsid w:val="008113FF"/>
    <w:rsid w:val="00811A84"/>
    <w:rsid w:val="008125BE"/>
    <w:rsid w:val="00812643"/>
    <w:rsid w:val="00812F03"/>
    <w:rsid w:val="00814AE9"/>
    <w:rsid w:val="00816ABF"/>
    <w:rsid w:val="00816C23"/>
    <w:rsid w:val="00821ACB"/>
    <w:rsid w:val="0082451D"/>
    <w:rsid w:val="0082538D"/>
    <w:rsid w:val="008305AC"/>
    <w:rsid w:val="00830CE3"/>
    <w:rsid w:val="00831A03"/>
    <w:rsid w:val="00832E2B"/>
    <w:rsid w:val="00832EEB"/>
    <w:rsid w:val="00833A3B"/>
    <w:rsid w:val="0083497F"/>
    <w:rsid w:val="00835411"/>
    <w:rsid w:val="00836234"/>
    <w:rsid w:val="00836786"/>
    <w:rsid w:val="008375B2"/>
    <w:rsid w:val="00837B1B"/>
    <w:rsid w:val="00837CD3"/>
    <w:rsid w:val="008414CD"/>
    <w:rsid w:val="00841C69"/>
    <w:rsid w:val="0084201B"/>
    <w:rsid w:val="00842084"/>
    <w:rsid w:val="008421FF"/>
    <w:rsid w:val="00842349"/>
    <w:rsid w:val="008435D8"/>
    <w:rsid w:val="00844113"/>
    <w:rsid w:val="008442BF"/>
    <w:rsid w:val="008443DA"/>
    <w:rsid w:val="00844FDA"/>
    <w:rsid w:val="008452D2"/>
    <w:rsid w:val="0084607D"/>
    <w:rsid w:val="00846E5E"/>
    <w:rsid w:val="00847247"/>
    <w:rsid w:val="00852612"/>
    <w:rsid w:val="008527F3"/>
    <w:rsid w:val="008571E3"/>
    <w:rsid w:val="008572C2"/>
    <w:rsid w:val="00862500"/>
    <w:rsid w:val="008626A9"/>
    <w:rsid w:val="00864242"/>
    <w:rsid w:val="008648CC"/>
    <w:rsid w:val="00867110"/>
    <w:rsid w:val="0086795A"/>
    <w:rsid w:val="00867A54"/>
    <w:rsid w:val="00867B99"/>
    <w:rsid w:val="008735AF"/>
    <w:rsid w:val="008751B8"/>
    <w:rsid w:val="00875BF5"/>
    <w:rsid w:val="00875FC6"/>
    <w:rsid w:val="00877BEB"/>
    <w:rsid w:val="008807F2"/>
    <w:rsid w:val="00882057"/>
    <w:rsid w:val="00886169"/>
    <w:rsid w:val="008901E4"/>
    <w:rsid w:val="008906CF"/>
    <w:rsid w:val="00891275"/>
    <w:rsid w:val="0089208A"/>
    <w:rsid w:val="00893ED2"/>
    <w:rsid w:val="00895774"/>
    <w:rsid w:val="0089670C"/>
    <w:rsid w:val="008A05FB"/>
    <w:rsid w:val="008A0AAA"/>
    <w:rsid w:val="008A143A"/>
    <w:rsid w:val="008A26C5"/>
    <w:rsid w:val="008A4205"/>
    <w:rsid w:val="008A4CD4"/>
    <w:rsid w:val="008A5A1C"/>
    <w:rsid w:val="008A68C9"/>
    <w:rsid w:val="008A6BDF"/>
    <w:rsid w:val="008A6FB5"/>
    <w:rsid w:val="008B0287"/>
    <w:rsid w:val="008B0858"/>
    <w:rsid w:val="008B1000"/>
    <w:rsid w:val="008B1AB9"/>
    <w:rsid w:val="008B1F6C"/>
    <w:rsid w:val="008B27DB"/>
    <w:rsid w:val="008B3114"/>
    <w:rsid w:val="008B3F05"/>
    <w:rsid w:val="008B48A2"/>
    <w:rsid w:val="008B5709"/>
    <w:rsid w:val="008C164D"/>
    <w:rsid w:val="008C2F43"/>
    <w:rsid w:val="008C5BA1"/>
    <w:rsid w:val="008C70D8"/>
    <w:rsid w:val="008C7B9E"/>
    <w:rsid w:val="008C7CF9"/>
    <w:rsid w:val="008D102E"/>
    <w:rsid w:val="008D2461"/>
    <w:rsid w:val="008D3648"/>
    <w:rsid w:val="008D43AA"/>
    <w:rsid w:val="008D4B51"/>
    <w:rsid w:val="008D6215"/>
    <w:rsid w:val="008D6C97"/>
    <w:rsid w:val="008E1A38"/>
    <w:rsid w:val="008E1BBB"/>
    <w:rsid w:val="008E1F8D"/>
    <w:rsid w:val="008E3AFB"/>
    <w:rsid w:val="008E5488"/>
    <w:rsid w:val="008E5707"/>
    <w:rsid w:val="008E6136"/>
    <w:rsid w:val="008E6202"/>
    <w:rsid w:val="008E77D1"/>
    <w:rsid w:val="008F0CBA"/>
    <w:rsid w:val="008F2E30"/>
    <w:rsid w:val="008F424B"/>
    <w:rsid w:val="008F4307"/>
    <w:rsid w:val="008F4A12"/>
    <w:rsid w:val="008F6F47"/>
    <w:rsid w:val="008F7008"/>
    <w:rsid w:val="009006A5"/>
    <w:rsid w:val="00901231"/>
    <w:rsid w:val="00901791"/>
    <w:rsid w:val="009026EC"/>
    <w:rsid w:val="009037FF"/>
    <w:rsid w:val="00904BA4"/>
    <w:rsid w:val="00904E84"/>
    <w:rsid w:val="00906CEB"/>
    <w:rsid w:val="00907407"/>
    <w:rsid w:val="00907763"/>
    <w:rsid w:val="00907785"/>
    <w:rsid w:val="00910033"/>
    <w:rsid w:val="00911558"/>
    <w:rsid w:val="00911D5F"/>
    <w:rsid w:val="009142E2"/>
    <w:rsid w:val="00915B62"/>
    <w:rsid w:val="00916524"/>
    <w:rsid w:val="00916A2C"/>
    <w:rsid w:val="009173D6"/>
    <w:rsid w:val="009173F2"/>
    <w:rsid w:val="009179F2"/>
    <w:rsid w:val="00920275"/>
    <w:rsid w:val="009202BD"/>
    <w:rsid w:val="00922B80"/>
    <w:rsid w:val="0092369C"/>
    <w:rsid w:val="00923BE6"/>
    <w:rsid w:val="00924690"/>
    <w:rsid w:val="00924A84"/>
    <w:rsid w:val="00924FD2"/>
    <w:rsid w:val="00925084"/>
    <w:rsid w:val="0092560D"/>
    <w:rsid w:val="009263A5"/>
    <w:rsid w:val="0092643A"/>
    <w:rsid w:val="009268DC"/>
    <w:rsid w:val="0092725D"/>
    <w:rsid w:val="009302F0"/>
    <w:rsid w:val="0093257E"/>
    <w:rsid w:val="0093399E"/>
    <w:rsid w:val="00935094"/>
    <w:rsid w:val="00935DBB"/>
    <w:rsid w:val="009361BB"/>
    <w:rsid w:val="009368E8"/>
    <w:rsid w:val="00936A8B"/>
    <w:rsid w:val="00936EC9"/>
    <w:rsid w:val="009407B9"/>
    <w:rsid w:val="0094082D"/>
    <w:rsid w:val="00941D2C"/>
    <w:rsid w:val="00945159"/>
    <w:rsid w:val="00946037"/>
    <w:rsid w:val="00946C51"/>
    <w:rsid w:val="00950535"/>
    <w:rsid w:val="009517FB"/>
    <w:rsid w:val="009517FE"/>
    <w:rsid w:val="00951F21"/>
    <w:rsid w:val="0095448C"/>
    <w:rsid w:val="00955CD4"/>
    <w:rsid w:val="00956455"/>
    <w:rsid w:val="00960440"/>
    <w:rsid w:val="00960956"/>
    <w:rsid w:val="00960A45"/>
    <w:rsid w:val="009656E3"/>
    <w:rsid w:val="00965D0E"/>
    <w:rsid w:val="00965D6C"/>
    <w:rsid w:val="00965EEB"/>
    <w:rsid w:val="00965F38"/>
    <w:rsid w:val="0096634C"/>
    <w:rsid w:val="0096752A"/>
    <w:rsid w:val="00970499"/>
    <w:rsid w:val="009707DD"/>
    <w:rsid w:val="0097161A"/>
    <w:rsid w:val="00971F36"/>
    <w:rsid w:val="009741FD"/>
    <w:rsid w:val="0097476B"/>
    <w:rsid w:val="009764A4"/>
    <w:rsid w:val="00976E57"/>
    <w:rsid w:val="0097778C"/>
    <w:rsid w:val="009777C9"/>
    <w:rsid w:val="00977CC6"/>
    <w:rsid w:val="0098006B"/>
    <w:rsid w:val="00980667"/>
    <w:rsid w:val="00980D55"/>
    <w:rsid w:val="0098116B"/>
    <w:rsid w:val="009829A8"/>
    <w:rsid w:val="009830E8"/>
    <w:rsid w:val="00984A1D"/>
    <w:rsid w:val="0098506E"/>
    <w:rsid w:val="00985112"/>
    <w:rsid w:val="00985FCF"/>
    <w:rsid w:val="009869C8"/>
    <w:rsid w:val="0098799C"/>
    <w:rsid w:val="00991732"/>
    <w:rsid w:val="009926EC"/>
    <w:rsid w:val="0099291C"/>
    <w:rsid w:val="00992CAF"/>
    <w:rsid w:val="0099315C"/>
    <w:rsid w:val="00993219"/>
    <w:rsid w:val="00994DC7"/>
    <w:rsid w:val="0099564D"/>
    <w:rsid w:val="0099751F"/>
    <w:rsid w:val="00997F73"/>
    <w:rsid w:val="009A1008"/>
    <w:rsid w:val="009A1595"/>
    <w:rsid w:val="009A15A7"/>
    <w:rsid w:val="009A1EC2"/>
    <w:rsid w:val="009A29D0"/>
    <w:rsid w:val="009A4262"/>
    <w:rsid w:val="009A594B"/>
    <w:rsid w:val="009A63C7"/>
    <w:rsid w:val="009A6CD4"/>
    <w:rsid w:val="009A713F"/>
    <w:rsid w:val="009B0D77"/>
    <w:rsid w:val="009B1FDD"/>
    <w:rsid w:val="009B2374"/>
    <w:rsid w:val="009B2F9D"/>
    <w:rsid w:val="009B364C"/>
    <w:rsid w:val="009B4153"/>
    <w:rsid w:val="009B4164"/>
    <w:rsid w:val="009B4974"/>
    <w:rsid w:val="009C0831"/>
    <w:rsid w:val="009C0D5C"/>
    <w:rsid w:val="009C1828"/>
    <w:rsid w:val="009C2F59"/>
    <w:rsid w:val="009C394B"/>
    <w:rsid w:val="009C3A77"/>
    <w:rsid w:val="009C3E2B"/>
    <w:rsid w:val="009C447C"/>
    <w:rsid w:val="009C4F5B"/>
    <w:rsid w:val="009C614E"/>
    <w:rsid w:val="009C72E4"/>
    <w:rsid w:val="009C7A35"/>
    <w:rsid w:val="009C7D1D"/>
    <w:rsid w:val="009D0568"/>
    <w:rsid w:val="009D13D0"/>
    <w:rsid w:val="009D187A"/>
    <w:rsid w:val="009D1961"/>
    <w:rsid w:val="009D208C"/>
    <w:rsid w:val="009D2815"/>
    <w:rsid w:val="009D47DF"/>
    <w:rsid w:val="009D4A4D"/>
    <w:rsid w:val="009D5133"/>
    <w:rsid w:val="009D6D32"/>
    <w:rsid w:val="009D788E"/>
    <w:rsid w:val="009D7BDF"/>
    <w:rsid w:val="009E0166"/>
    <w:rsid w:val="009E0B89"/>
    <w:rsid w:val="009E29B6"/>
    <w:rsid w:val="009E2CEE"/>
    <w:rsid w:val="009E2E18"/>
    <w:rsid w:val="009E2FE7"/>
    <w:rsid w:val="009E30C7"/>
    <w:rsid w:val="009E4976"/>
    <w:rsid w:val="009E4BD7"/>
    <w:rsid w:val="009E5652"/>
    <w:rsid w:val="009E7BB7"/>
    <w:rsid w:val="009F1C02"/>
    <w:rsid w:val="009F1E46"/>
    <w:rsid w:val="009F2665"/>
    <w:rsid w:val="009F354F"/>
    <w:rsid w:val="009F46A2"/>
    <w:rsid w:val="009F5585"/>
    <w:rsid w:val="009F5805"/>
    <w:rsid w:val="009F74E8"/>
    <w:rsid w:val="009F760C"/>
    <w:rsid w:val="009F7F6E"/>
    <w:rsid w:val="00A003B9"/>
    <w:rsid w:val="00A00BF5"/>
    <w:rsid w:val="00A00C63"/>
    <w:rsid w:val="00A014F1"/>
    <w:rsid w:val="00A026EC"/>
    <w:rsid w:val="00A03B09"/>
    <w:rsid w:val="00A0477A"/>
    <w:rsid w:val="00A05589"/>
    <w:rsid w:val="00A0572F"/>
    <w:rsid w:val="00A06311"/>
    <w:rsid w:val="00A0668C"/>
    <w:rsid w:val="00A11221"/>
    <w:rsid w:val="00A11DBC"/>
    <w:rsid w:val="00A13722"/>
    <w:rsid w:val="00A13726"/>
    <w:rsid w:val="00A13BAA"/>
    <w:rsid w:val="00A13C21"/>
    <w:rsid w:val="00A143CF"/>
    <w:rsid w:val="00A145A4"/>
    <w:rsid w:val="00A15B63"/>
    <w:rsid w:val="00A16160"/>
    <w:rsid w:val="00A17F25"/>
    <w:rsid w:val="00A2180D"/>
    <w:rsid w:val="00A218A3"/>
    <w:rsid w:val="00A23C4D"/>
    <w:rsid w:val="00A245D7"/>
    <w:rsid w:val="00A26D36"/>
    <w:rsid w:val="00A27042"/>
    <w:rsid w:val="00A317FB"/>
    <w:rsid w:val="00A34509"/>
    <w:rsid w:val="00A419B4"/>
    <w:rsid w:val="00A436B4"/>
    <w:rsid w:val="00A44D7A"/>
    <w:rsid w:val="00A469B6"/>
    <w:rsid w:val="00A474EC"/>
    <w:rsid w:val="00A5283F"/>
    <w:rsid w:val="00A52CAB"/>
    <w:rsid w:val="00A52CDD"/>
    <w:rsid w:val="00A53170"/>
    <w:rsid w:val="00A55029"/>
    <w:rsid w:val="00A55672"/>
    <w:rsid w:val="00A56A70"/>
    <w:rsid w:val="00A5710F"/>
    <w:rsid w:val="00A57EC1"/>
    <w:rsid w:val="00A60A8C"/>
    <w:rsid w:val="00A60EEF"/>
    <w:rsid w:val="00A61304"/>
    <w:rsid w:val="00A61B8E"/>
    <w:rsid w:val="00A63970"/>
    <w:rsid w:val="00A64F4C"/>
    <w:rsid w:val="00A65079"/>
    <w:rsid w:val="00A66BA2"/>
    <w:rsid w:val="00A66C81"/>
    <w:rsid w:val="00A676FA"/>
    <w:rsid w:val="00A7105C"/>
    <w:rsid w:val="00A7179A"/>
    <w:rsid w:val="00A73CC7"/>
    <w:rsid w:val="00A7418E"/>
    <w:rsid w:val="00A75A97"/>
    <w:rsid w:val="00A75B8B"/>
    <w:rsid w:val="00A76044"/>
    <w:rsid w:val="00A76225"/>
    <w:rsid w:val="00A76622"/>
    <w:rsid w:val="00A80DA1"/>
    <w:rsid w:val="00A833E0"/>
    <w:rsid w:val="00A83871"/>
    <w:rsid w:val="00A845CA"/>
    <w:rsid w:val="00A902E5"/>
    <w:rsid w:val="00A90B50"/>
    <w:rsid w:val="00A919BD"/>
    <w:rsid w:val="00A933DA"/>
    <w:rsid w:val="00A93BB6"/>
    <w:rsid w:val="00A95ED5"/>
    <w:rsid w:val="00A96888"/>
    <w:rsid w:val="00A96BAC"/>
    <w:rsid w:val="00A96EDB"/>
    <w:rsid w:val="00A97724"/>
    <w:rsid w:val="00A97952"/>
    <w:rsid w:val="00AA0175"/>
    <w:rsid w:val="00AA0780"/>
    <w:rsid w:val="00AA0952"/>
    <w:rsid w:val="00AA0A65"/>
    <w:rsid w:val="00AA1E14"/>
    <w:rsid w:val="00AA3302"/>
    <w:rsid w:val="00AA37B2"/>
    <w:rsid w:val="00AA408C"/>
    <w:rsid w:val="00AA6429"/>
    <w:rsid w:val="00AA6977"/>
    <w:rsid w:val="00AA71BF"/>
    <w:rsid w:val="00AA73E2"/>
    <w:rsid w:val="00AA7E72"/>
    <w:rsid w:val="00AB064C"/>
    <w:rsid w:val="00AB1C65"/>
    <w:rsid w:val="00AB1FFC"/>
    <w:rsid w:val="00AB2447"/>
    <w:rsid w:val="00AB3C5A"/>
    <w:rsid w:val="00AB5343"/>
    <w:rsid w:val="00AB75BA"/>
    <w:rsid w:val="00AC094E"/>
    <w:rsid w:val="00AC0B09"/>
    <w:rsid w:val="00AC0DDB"/>
    <w:rsid w:val="00AC0E5D"/>
    <w:rsid w:val="00AC2769"/>
    <w:rsid w:val="00AC3D8F"/>
    <w:rsid w:val="00AC44A8"/>
    <w:rsid w:val="00AC5051"/>
    <w:rsid w:val="00AC50F1"/>
    <w:rsid w:val="00AC528A"/>
    <w:rsid w:val="00AC5D14"/>
    <w:rsid w:val="00AD2B6D"/>
    <w:rsid w:val="00AD35B1"/>
    <w:rsid w:val="00AD4B04"/>
    <w:rsid w:val="00AD53EA"/>
    <w:rsid w:val="00AD66BE"/>
    <w:rsid w:val="00AD6A29"/>
    <w:rsid w:val="00AD6B54"/>
    <w:rsid w:val="00AE0D19"/>
    <w:rsid w:val="00AE4564"/>
    <w:rsid w:val="00AE47FB"/>
    <w:rsid w:val="00AE4D51"/>
    <w:rsid w:val="00AE616F"/>
    <w:rsid w:val="00AE636B"/>
    <w:rsid w:val="00AE70FD"/>
    <w:rsid w:val="00AE717C"/>
    <w:rsid w:val="00AE71CC"/>
    <w:rsid w:val="00AE7799"/>
    <w:rsid w:val="00AF1C2E"/>
    <w:rsid w:val="00AF2B41"/>
    <w:rsid w:val="00AF3AA1"/>
    <w:rsid w:val="00AF6181"/>
    <w:rsid w:val="00AF6CB6"/>
    <w:rsid w:val="00AF70DA"/>
    <w:rsid w:val="00AF7645"/>
    <w:rsid w:val="00B006AA"/>
    <w:rsid w:val="00B013C5"/>
    <w:rsid w:val="00B03427"/>
    <w:rsid w:val="00B04475"/>
    <w:rsid w:val="00B07FFA"/>
    <w:rsid w:val="00B10352"/>
    <w:rsid w:val="00B10D43"/>
    <w:rsid w:val="00B10FCC"/>
    <w:rsid w:val="00B110AF"/>
    <w:rsid w:val="00B12A1F"/>
    <w:rsid w:val="00B13710"/>
    <w:rsid w:val="00B13AB0"/>
    <w:rsid w:val="00B142FB"/>
    <w:rsid w:val="00B15817"/>
    <w:rsid w:val="00B15E18"/>
    <w:rsid w:val="00B161D2"/>
    <w:rsid w:val="00B17A2A"/>
    <w:rsid w:val="00B21950"/>
    <w:rsid w:val="00B2250F"/>
    <w:rsid w:val="00B22AAD"/>
    <w:rsid w:val="00B233D8"/>
    <w:rsid w:val="00B27573"/>
    <w:rsid w:val="00B27C91"/>
    <w:rsid w:val="00B27C9C"/>
    <w:rsid w:val="00B3018B"/>
    <w:rsid w:val="00B32CDA"/>
    <w:rsid w:val="00B32DDB"/>
    <w:rsid w:val="00B332E3"/>
    <w:rsid w:val="00B351D8"/>
    <w:rsid w:val="00B35270"/>
    <w:rsid w:val="00B352D9"/>
    <w:rsid w:val="00B358EB"/>
    <w:rsid w:val="00B35F08"/>
    <w:rsid w:val="00B37A4B"/>
    <w:rsid w:val="00B42165"/>
    <w:rsid w:val="00B42218"/>
    <w:rsid w:val="00B422D9"/>
    <w:rsid w:val="00B42B5A"/>
    <w:rsid w:val="00B44BC2"/>
    <w:rsid w:val="00B44F2D"/>
    <w:rsid w:val="00B45D0A"/>
    <w:rsid w:val="00B45EDA"/>
    <w:rsid w:val="00B47606"/>
    <w:rsid w:val="00B50558"/>
    <w:rsid w:val="00B533E0"/>
    <w:rsid w:val="00B54D6F"/>
    <w:rsid w:val="00B55615"/>
    <w:rsid w:val="00B57F12"/>
    <w:rsid w:val="00B60298"/>
    <w:rsid w:val="00B60319"/>
    <w:rsid w:val="00B6224C"/>
    <w:rsid w:val="00B62440"/>
    <w:rsid w:val="00B626BE"/>
    <w:rsid w:val="00B6308F"/>
    <w:rsid w:val="00B63371"/>
    <w:rsid w:val="00B638BB"/>
    <w:rsid w:val="00B63947"/>
    <w:rsid w:val="00B64E76"/>
    <w:rsid w:val="00B66A00"/>
    <w:rsid w:val="00B7139F"/>
    <w:rsid w:val="00B72C3B"/>
    <w:rsid w:val="00B730BA"/>
    <w:rsid w:val="00B74B98"/>
    <w:rsid w:val="00B76B42"/>
    <w:rsid w:val="00B778CF"/>
    <w:rsid w:val="00B807A5"/>
    <w:rsid w:val="00B81375"/>
    <w:rsid w:val="00B81D54"/>
    <w:rsid w:val="00B835BB"/>
    <w:rsid w:val="00B83F62"/>
    <w:rsid w:val="00B845D3"/>
    <w:rsid w:val="00B847BD"/>
    <w:rsid w:val="00B85201"/>
    <w:rsid w:val="00B87479"/>
    <w:rsid w:val="00B87B69"/>
    <w:rsid w:val="00B87D53"/>
    <w:rsid w:val="00B93574"/>
    <w:rsid w:val="00B93A89"/>
    <w:rsid w:val="00B93B12"/>
    <w:rsid w:val="00B943D6"/>
    <w:rsid w:val="00B94FD5"/>
    <w:rsid w:val="00B9536B"/>
    <w:rsid w:val="00B95D7B"/>
    <w:rsid w:val="00B95EE7"/>
    <w:rsid w:val="00B96A0B"/>
    <w:rsid w:val="00BA01A6"/>
    <w:rsid w:val="00BA2049"/>
    <w:rsid w:val="00BA3E19"/>
    <w:rsid w:val="00BA474C"/>
    <w:rsid w:val="00BA50BE"/>
    <w:rsid w:val="00BA56D3"/>
    <w:rsid w:val="00BA606E"/>
    <w:rsid w:val="00BA64E2"/>
    <w:rsid w:val="00BA6A89"/>
    <w:rsid w:val="00BA6F63"/>
    <w:rsid w:val="00BA7131"/>
    <w:rsid w:val="00BA7FAC"/>
    <w:rsid w:val="00BB03C4"/>
    <w:rsid w:val="00BB0FA9"/>
    <w:rsid w:val="00BB391A"/>
    <w:rsid w:val="00BB4F51"/>
    <w:rsid w:val="00BB721F"/>
    <w:rsid w:val="00BB7F3E"/>
    <w:rsid w:val="00BC0181"/>
    <w:rsid w:val="00BC1AE8"/>
    <w:rsid w:val="00BC1FB7"/>
    <w:rsid w:val="00BC23C8"/>
    <w:rsid w:val="00BC39FC"/>
    <w:rsid w:val="00BC3D5C"/>
    <w:rsid w:val="00BC4A46"/>
    <w:rsid w:val="00BC4EBB"/>
    <w:rsid w:val="00BC5771"/>
    <w:rsid w:val="00BC61A3"/>
    <w:rsid w:val="00BD02B5"/>
    <w:rsid w:val="00BD2FDE"/>
    <w:rsid w:val="00BD3539"/>
    <w:rsid w:val="00BD6D9C"/>
    <w:rsid w:val="00BD794E"/>
    <w:rsid w:val="00BE0701"/>
    <w:rsid w:val="00BE16D9"/>
    <w:rsid w:val="00BE27FD"/>
    <w:rsid w:val="00BE2C75"/>
    <w:rsid w:val="00BE46C6"/>
    <w:rsid w:val="00BE58F9"/>
    <w:rsid w:val="00BE5922"/>
    <w:rsid w:val="00BE5FEC"/>
    <w:rsid w:val="00BE6460"/>
    <w:rsid w:val="00BE654A"/>
    <w:rsid w:val="00BE7D92"/>
    <w:rsid w:val="00BE7E69"/>
    <w:rsid w:val="00BE7FE4"/>
    <w:rsid w:val="00BF0F66"/>
    <w:rsid w:val="00BF294C"/>
    <w:rsid w:val="00BF4FFC"/>
    <w:rsid w:val="00BF5027"/>
    <w:rsid w:val="00BF5D4C"/>
    <w:rsid w:val="00BF7039"/>
    <w:rsid w:val="00BF7460"/>
    <w:rsid w:val="00C0039D"/>
    <w:rsid w:val="00C00560"/>
    <w:rsid w:val="00C011D6"/>
    <w:rsid w:val="00C012BA"/>
    <w:rsid w:val="00C01433"/>
    <w:rsid w:val="00C01717"/>
    <w:rsid w:val="00C01C1C"/>
    <w:rsid w:val="00C01E83"/>
    <w:rsid w:val="00C02700"/>
    <w:rsid w:val="00C05363"/>
    <w:rsid w:val="00C057A8"/>
    <w:rsid w:val="00C06197"/>
    <w:rsid w:val="00C0765A"/>
    <w:rsid w:val="00C078D2"/>
    <w:rsid w:val="00C10D21"/>
    <w:rsid w:val="00C11A22"/>
    <w:rsid w:val="00C11AAF"/>
    <w:rsid w:val="00C12B23"/>
    <w:rsid w:val="00C13B2C"/>
    <w:rsid w:val="00C13B3E"/>
    <w:rsid w:val="00C144C6"/>
    <w:rsid w:val="00C14637"/>
    <w:rsid w:val="00C1554E"/>
    <w:rsid w:val="00C2017D"/>
    <w:rsid w:val="00C20882"/>
    <w:rsid w:val="00C21368"/>
    <w:rsid w:val="00C22F31"/>
    <w:rsid w:val="00C23680"/>
    <w:rsid w:val="00C24E1B"/>
    <w:rsid w:val="00C26D19"/>
    <w:rsid w:val="00C271F5"/>
    <w:rsid w:val="00C308CB"/>
    <w:rsid w:val="00C3129D"/>
    <w:rsid w:val="00C31579"/>
    <w:rsid w:val="00C31602"/>
    <w:rsid w:val="00C31D8E"/>
    <w:rsid w:val="00C3273D"/>
    <w:rsid w:val="00C32D5D"/>
    <w:rsid w:val="00C33DD7"/>
    <w:rsid w:val="00C34DAE"/>
    <w:rsid w:val="00C350C8"/>
    <w:rsid w:val="00C3562F"/>
    <w:rsid w:val="00C35DAA"/>
    <w:rsid w:val="00C36418"/>
    <w:rsid w:val="00C36779"/>
    <w:rsid w:val="00C36B1A"/>
    <w:rsid w:val="00C40849"/>
    <w:rsid w:val="00C42A8F"/>
    <w:rsid w:val="00C43740"/>
    <w:rsid w:val="00C43853"/>
    <w:rsid w:val="00C45231"/>
    <w:rsid w:val="00C454BB"/>
    <w:rsid w:val="00C4601D"/>
    <w:rsid w:val="00C46C70"/>
    <w:rsid w:val="00C47AF0"/>
    <w:rsid w:val="00C50102"/>
    <w:rsid w:val="00C504F2"/>
    <w:rsid w:val="00C517A1"/>
    <w:rsid w:val="00C51D95"/>
    <w:rsid w:val="00C53197"/>
    <w:rsid w:val="00C56DC3"/>
    <w:rsid w:val="00C6027A"/>
    <w:rsid w:val="00C607C1"/>
    <w:rsid w:val="00C60DAD"/>
    <w:rsid w:val="00C60E86"/>
    <w:rsid w:val="00C619B5"/>
    <w:rsid w:val="00C62270"/>
    <w:rsid w:val="00C62498"/>
    <w:rsid w:val="00C63A3B"/>
    <w:rsid w:val="00C64BEE"/>
    <w:rsid w:val="00C65284"/>
    <w:rsid w:val="00C659AB"/>
    <w:rsid w:val="00C65D56"/>
    <w:rsid w:val="00C6628C"/>
    <w:rsid w:val="00C66462"/>
    <w:rsid w:val="00C67126"/>
    <w:rsid w:val="00C67A1F"/>
    <w:rsid w:val="00C67FFC"/>
    <w:rsid w:val="00C70013"/>
    <w:rsid w:val="00C70E5C"/>
    <w:rsid w:val="00C7382E"/>
    <w:rsid w:val="00C73F0D"/>
    <w:rsid w:val="00C75145"/>
    <w:rsid w:val="00C80D84"/>
    <w:rsid w:val="00C81AD6"/>
    <w:rsid w:val="00C8213C"/>
    <w:rsid w:val="00C8294E"/>
    <w:rsid w:val="00C845D6"/>
    <w:rsid w:val="00C86169"/>
    <w:rsid w:val="00C91B80"/>
    <w:rsid w:val="00C95BB9"/>
    <w:rsid w:val="00C95FEF"/>
    <w:rsid w:val="00C9619A"/>
    <w:rsid w:val="00C97D9A"/>
    <w:rsid w:val="00CA08ED"/>
    <w:rsid w:val="00CA1E99"/>
    <w:rsid w:val="00CA32D5"/>
    <w:rsid w:val="00CA440B"/>
    <w:rsid w:val="00CA4532"/>
    <w:rsid w:val="00CA4DF7"/>
    <w:rsid w:val="00CA58C5"/>
    <w:rsid w:val="00CA6C3E"/>
    <w:rsid w:val="00CA751D"/>
    <w:rsid w:val="00CB1860"/>
    <w:rsid w:val="00CB2AE5"/>
    <w:rsid w:val="00CB402F"/>
    <w:rsid w:val="00CB4546"/>
    <w:rsid w:val="00CB6294"/>
    <w:rsid w:val="00CB7A34"/>
    <w:rsid w:val="00CB7D01"/>
    <w:rsid w:val="00CB7F46"/>
    <w:rsid w:val="00CC0684"/>
    <w:rsid w:val="00CC2E7B"/>
    <w:rsid w:val="00CC3CFA"/>
    <w:rsid w:val="00CC53BF"/>
    <w:rsid w:val="00CC597E"/>
    <w:rsid w:val="00CC7911"/>
    <w:rsid w:val="00CD0715"/>
    <w:rsid w:val="00CD2FF0"/>
    <w:rsid w:val="00CD4398"/>
    <w:rsid w:val="00CD4E5E"/>
    <w:rsid w:val="00CD571E"/>
    <w:rsid w:val="00CD5AD5"/>
    <w:rsid w:val="00CD6C5C"/>
    <w:rsid w:val="00CE2180"/>
    <w:rsid w:val="00CE2533"/>
    <w:rsid w:val="00CE2685"/>
    <w:rsid w:val="00CE4FE2"/>
    <w:rsid w:val="00CE5469"/>
    <w:rsid w:val="00CE588C"/>
    <w:rsid w:val="00CE6B10"/>
    <w:rsid w:val="00CE6EEA"/>
    <w:rsid w:val="00CE7BEB"/>
    <w:rsid w:val="00CF0406"/>
    <w:rsid w:val="00CF2EBE"/>
    <w:rsid w:val="00CF3231"/>
    <w:rsid w:val="00CF37B2"/>
    <w:rsid w:val="00CF4857"/>
    <w:rsid w:val="00CF7B50"/>
    <w:rsid w:val="00CF7DEB"/>
    <w:rsid w:val="00D00142"/>
    <w:rsid w:val="00D009DD"/>
    <w:rsid w:val="00D016D1"/>
    <w:rsid w:val="00D0288E"/>
    <w:rsid w:val="00D04046"/>
    <w:rsid w:val="00D04D26"/>
    <w:rsid w:val="00D04F3D"/>
    <w:rsid w:val="00D05BBA"/>
    <w:rsid w:val="00D06817"/>
    <w:rsid w:val="00D076A8"/>
    <w:rsid w:val="00D12A94"/>
    <w:rsid w:val="00D16121"/>
    <w:rsid w:val="00D1721B"/>
    <w:rsid w:val="00D20076"/>
    <w:rsid w:val="00D20610"/>
    <w:rsid w:val="00D20D02"/>
    <w:rsid w:val="00D20DDE"/>
    <w:rsid w:val="00D24B3D"/>
    <w:rsid w:val="00D25C7D"/>
    <w:rsid w:val="00D26341"/>
    <w:rsid w:val="00D27509"/>
    <w:rsid w:val="00D2760C"/>
    <w:rsid w:val="00D30021"/>
    <w:rsid w:val="00D306C2"/>
    <w:rsid w:val="00D3073F"/>
    <w:rsid w:val="00D32538"/>
    <w:rsid w:val="00D34158"/>
    <w:rsid w:val="00D3424E"/>
    <w:rsid w:val="00D35132"/>
    <w:rsid w:val="00D35D7D"/>
    <w:rsid w:val="00D35EE8"/>
    <w:rsid w:val="00D40022"/>
    <w:rsid w:val="00D40A3C"/>
    <w:rsid w:val="00D4210F"/>
    <w:rsid w:val="00D447D3"/>
    <w:rsid w:val="00D44D86"/>
    <w:rsid w:val="00D450FB"/>
    <w:rsid w:val="00D45B05"/>
    <w:rsid w:val="00D463C3"/>
    <w:rsid w:val="00D467FD"/>
    <w:rsid w:val="00D50DEA"/>
    <w:rsid w:val="00D5112A"/>
    <w:rsid w:val="00D52457"/>
    <w:rsid w:val="00D554A2"/>
    <w:rsid w:val="00D56A85"/>
    <w:rsid w:val="00D60AD4"/>
    <w:rsid w:val="00D624A6"/>
    <w:rsid w:val="00D627CD"/>
    <w:rsid w:val="00D63840"/>
    <w:rsid w:val="00D643EF"/>
    <w:rsid w:val="00D6508E"/>
    <w:rsid w:val="00D65BD2"/>
    <w:rsid w:val="00D65C31"/>
    <w:rsid w:val="00D66709"/>
    <w:rsid w:val="00D67B1A"/>
    <w:rsid w:val="00D71D83"/>
    <w:rsid w:val="00D71DE7"/>
    <w:rsid w:val="00D73312"/>
    <w:rsid w:val="00D7348B"/>
    <w:rsid w:val="00D73CD7"/>
    <w:rsid w:val="00D76B8E"/>
    <w:rsid w:val="00D76E48"/>
    <w:rsid w:val="00D77442"/>
    <w:rsid w:val="00D80857"/>
    <w:rsid w:val="00D81239"/>
    <w:rsid w:val="00D817F1"/>
    <w:rsid w:val="00D81B3B"/>
    <w:rsid w:val="00D81C0D"/>
    <w:rsid w:val="00D8489D"/>
    <w:rsid w:val="00D85697"/>
    <w:rsid w:val="00D862A9"/>
    <w:rsid w:val="00D86F68"/>
    <w:rsid w:val="00D90865"/>
    <w:rsid w:val="00D92327"/>
    <w:rsid w:val="00D94356"/>
    <w:rsid w:val="00D9488E"/>
    <w:rsid w:val="00D94ABA"/>
    <w:rsid w:val="00D95483"/>
    <w:rsid w:val="00D95927"/>
    <w:rsid w:val="00D95A5D"/>
    <w:rsid w:val="00D960D9"/>
    <w:rsid w:val="00D97CF1"/>
    <w:rsid w:val="00D97DF4"/>
    <w:rsid w:val="00DA162C"/>
    <w:rsid w:val="00DA202E"/>
    <w:rsid w:val="00DA2505"/>
    <w:rsid w:val="00DA3B8A"/>
    <w:rsid w:val="00DA6061"/>
    <w:rsid w:val="00DA61E5"/>
    <w:rsid w:val="00DB2A3A"/>
    <w:rsid w:val="00DB2EB9"/>
    <w:rsid w:val="00DB3F35"/>
    <w:rsid w:val="00DB45B6"/>
    <w:rsid w:val="00DB62F1"/>
    <w:rsid w:val="00DB787C"/>
    <w:rsid w:val="00DB79B1"/>
    <w:rsid w:val="00DB7E49"/>
    <w:rsid w:val="00DC0879"/>
    <w:rsid w:val="00DC173A"/>
    <w:rsid w:val="00DC1742"/>
    <w:rsid w:val="00DC1A00"/>
    <w:rsid w:val="00DC22B8"/>
    <w:rsid w:val="00DC38C2"/>
    <w:rsid w:val="00DC420C"/>
    <w:rsid w:val="00DC4394"/>
    <w:rsid w:val="00DC43BC"/>
    <w:rsid w:val="00DC4910"/>
    <w:rsid w:val="00DC4A69"/>
    <w:rsid w:val="00DC4A7D"/>
    <w:rsid w:val="00DC4B7C"/>
    <w:rsid w:val="00DC528C"/>
    <w:rsid w:val="00DC52C8"/>
    <w:rsid w:val="00DC71B1"/>
    <w:rsid w:val="00DD245B"/>
    <w:rsid w:val="00DD4D13"/>
    <w:rsid w:val="00DD7049"/>
    <w:rsid w:val="00DE229C"/>
    <w:rsid w:val="00DE23D8"/>
    <w:rsid w:val="00DE62A9"/>
    <w:rsid w:val="00DE78FD"/>
    <w:rsid w:val="00DE7F72"/>
    <w:rsid w:val="00DF0499"/>
    <w:rsid w:val="00DF23C5"/>
    <w:rsid w:val="00DF26E7"/>
    <w:rsid w:val="00DF2CC5"/>
    <w:rsid w:val="00DF3D7B"/>
    <w:rsid w:val="00DF4A03"/>
    <w:rsid w:val="00DF4BF9"/>
    <w:rsid w:val="00DF57DD"/>
    <w:rsid w:val="00DF5A23"/>
    <w:rsid w:val="00DF6A6F"/>
    <w:rsid w:val="00E01931"/>
    <w:rsid w:val="00E01E87"/>
    <w:rsid w:val="00E043ED"/>
    <w:rsid w:val="00E04E44"/>
    <w:rsid w:val="00E04EF7"/>
    <w:rsid w:val="00E05345"/>
    <w:rsid w:val="00E05372"/>
    <w:rsid w:val="00E05D4B"/>
    <w:rsid w:val="00E06146"/>
    <w:rsid w:val="00E06528"/>
    <w:rsid w:val="00E06823"/>
    <w:rsid w:val="00E06A60"/>
    <w:rsid w:val="00E06B8F"/>
    <w:rsid w:val="00E07317"/>
    <w:rsid w:val="00E075AA"/>
    <w:rsid w:val="00E0797D"/>
    <w:rsid w:val="00E11EC4"/>
    <w:rsid w:val="00E13074"/>
    <w:rsid w:val="00E13397"/>
    <w:rsid w:val="00E14403"/>
    <w:rsid w:val="00E14ABF"/>
    <w:rsid w:val="00E14C16"/>
    <w:rsid w:val="00E162CE"/>
    <w:rsid w:val="00E16EA5"/>
    <w:rsid w:val="00E213EC"/>
    <w:rsid w:val="00E21679"/>
    <w:rsid w:val="00E2180E"/>
    <w:rsid w:val="00E22EB0"/>
    <w:rsid w:val="00E2301D"/>
    <w:rsid w:val="00E24A77"/>
    <w:rsid w:val="00E24AB4"/>
    <w:rsid w:val="00E25B59"/>
    <w:rsid w:val="00E2748A"/>
    <w:rsid w:val="00E307DD"/>
    <w:rsid w:val="00E31AA8"/>
    <w:rsid w:val="00E31EFA"/>
    <w:rsid w:val="00E32319"/>
    <w:rsid w:val="00E3264B"/>
    <w:rsid w:val="00E32696"/>
    <w:rsid w:val="00E35C96"/>
    <w:rsid w:val="00E36686"/>
    <w:rsid w:val="00E37AE1"/>
    <w:rsid w:val="00E37E6A"/>
    <w:rsid w:val="00E41D9C"/>
    <w:rsid w:val="00E44D66"/>
    <w:rsid w:val="00E46845"/>
    <w:rsid w:val="00E46D80"/>
    <w:rsid w:val="00E477C3"/>
    <w:rsid w:val="00E52CCD"/>
    <w:rsid w:val="00E53420"/>
    <w:rsid w:val="00E543B8"/>
    <w:rsid w:val="00E556A0"/>
    <w:rsid w:val="00E603AB"/>
    <w:rsid w:val="00E60F1E"/>
    <w:rsid w:val="00E614F4"/>
    <w:rsid w:val="00E61722"/>
    <w:rsid w:val="00E621AB"/>
    <w:rsid w:val="00E633D8"/>
    <w:rsid w:val="00E64170"/>
    <w:rsid w:val="00E6496A"/>
    <w:rsid w:val="00E6627C"/>
    <w:rsid w:val="00E66858"/>
    <w:rsid w:val="00E700A8"/>
    <w:rsid w:val="00E71100"/>
    <w:rsid w:val="00E74A59"/>
    <w:rsid w:val="00E75300"/>
    <w:rsid w:val="00E75EC4"/>
    <w:rsid w:val="00E76009"/>
    <w:rsid w:val="00E77FC9"/>
    <w:rsid w:val="00E8228B"/>
    <w:rsid w:val="00E8247B"/>
    <w:rsid w:val="00E845BB"/>
    <w:rsid w:val="00E84F73"/>
    <w:rsid w:val="00E85AAD"/>
    <w:rsid w:val="00E87196"/>
    <w:rsid w:val="00E90629"/>
    <w:rsid w:val="00E90E97"/>
    <w:rsid w:val="00E90FE6"/>
    <w:rsid w:val="00E91309"/>
    <w:rsid w:val="00E921AB"/>
    <w:rsid w:val="00E92FBE"/>
    <w:rsid w:val="00E958E7"/>
    <w:rsid w:val="00E96A76"/>
    <w:rsid w:val="00EA03F3"/>
    <w:rsid w:val="00EA1227"/>
    <w:rsid w:val="00EA2570"/>
    <w:rsid w:val="00EA3133"/>
    <w:rsid w:val="00EA4487"/>
    <w:rsid w:val="00EA5B91"/>
    <w:rsid w:val="00EA5F4D"/>
    <w:rsid w:val="00EA609A"/>
    <w:rsid w:val="00EA6709"/>
    <w:rsid w:val="00EA78BD"/>
    <w:rsid w:val="00EB0375"/>
    <w:rsid w:val="00EB0872"/>
    <w:rsid w:val="00EB0CB8"/>
    <w:rsid w:val="00EB2070"/>
    <w:rsid w:val="00EB2CCF"/>
    <w:rsid w:val="00EB384D"/>
    <w:rsid w:val="00EB3A61"/>
    <w:rsid w:val="00EB3EC6"/>
    <w:rsid w:val="00EB4022"/>
    <w:rsid w:val="00EB462B"/>
    <w:rsid w:val="00EB4BD7"/>
    <w:rsid w:val="00EB5874"/>
    <w:rsid w:val="00EB62C5"/>
    <w:rsid w:val="00EC220B"/>
    <w:rsid w:val="00EC39C8"/>
    <w:rsid w:val="00EC432A"/>
    <w:rsid w:val="00EC60BA"/>
    <w:rsid w:val="00EC6979"/>
    <w:rsid w:val="00EC7DB6"/>
    <w:rsid w:val="00ED0AAB"/>
    <w:rsid w:val="00ED0CC7"/>
    <w:rsid w:val="00ED1A75"/>
    <w:rsid w:val="00ED2B9C"/>
    <w:rsid w:val="00ED3041"/>
    <w:rsid w:val="00ED3594"/>
    <w:rsid w:val="00ED38F3"/>
    <w:rsid w:val="00ED4734"/>
    <w:rsid w:val="00ED79E3"/>
    <w:rsid w:val="00ED7C96"/>
    <w:rsid w:val="00EE0900"/>
    <w:rsid w:val="00EE0DE0"/>
    <w:rsid w:val="00EE1E11"/>
    <w:rsid w:val="00EE2907"/>
    <w:rsid w:val="00EE37E5"/>
    <w:rsid w:val="00EE3B08"/>
    <w:rsid w:val="00EE534B"/>
    <w:rsid w:val="00EE53D1"/>
    <w:rsid w:val="00EE701F"/>
    <w:rsid w:val="00EE730C"/>
    <w:rsid w:val="00EE770E"/>
    <w:rsid w:val="00EE7D7F"/>
    <w:rsid w:val="00EE7EBD"/>
    <w:rsid w:val="00EF05D1"/>
    <w:rsid w:val="00EF119E"/>
    <w:rsid w:val="00EF2553"/>
    <w:rsid w:val="00EF3592"/>
    <w:rsid w:val="00EF655D"/>
    <w:rsid w:val="00EF6815"/>
    <w:rsid w:val="00EF6B87"/>
    <w:rsid w:val="00EF6E8E"/>
    <w:rsid w:val="00EF747E"/>
    <w:rsid w:val="00EF764F"/>
    <w:rsid w:val="00F039FC"/>
    <w:rsid w:val="00F04C20"/>
    <w:rsid w:val="00F04C92"/>
    <w:rsid w:val="00F0513E"/>
    <w:rsid w:val="00F051EE"/>
    <w:rsid w:val="00F05F6D"/>
    <w:rsid w:val="00F11962"/>
    <w:rsid w:val="00F12968"/>
    <w:rsid w:val="00F12FC0"/>
    <w:rsid w:val="00F13A5D"/>
    <w:rsid w:val="00F13A7E"/>
    <w:rsid w:val="00F143DA"/>
    <w:rsid w:val="00F1456D"/>
    <w:rsid w:val="00F179F9"/>
    <w:rsid w:val="00F200B0"/>
    <w:rsid w:val="00F204EB"/>
    <w:rsid w:val="00F20C70"/>
    <w:rsid w:val="00F21791"/>
    <w:rsid w:val="00F229B4"/>
    <w:rsid w:val="00F23CCD"/>
    <w:rsid w:val="00F24079"/>
    <w:rsid w:val="00F24646"/>
    <w:rsid w:val="00F259A5"/>
    <w:rsid w:val="00F27399"/>
    <w:rsid w:val="00F274F8"/>
    <w:rsid w:val="00F275ED"/>
    <w:rsid w:val="00F30563"/>
    <w:rsid w:val="00F3147D"/>
    <w:rsid w:val="00F31CD4"/>
    <w:rsid w:val="00F322E9"/>
    <w:rsid w:val="00F3319E"/>
    <w:rsid w:val="00F33F95"/>
    <w:rsid w:val="00F348CD"/>
    <w:rsid w:val="00F359CA"/>
    <w:rsid w:val="00F3660F"/>
    <w:rsid w:val="00F369D0"/>
    <w:rsid w:val="00F370D1"/>
    <w:rsid w:val="00F4231D"/>
    <w:rsid w:val="00F42923"/>
    <w:rsid w:val="00F43181"/>
    <w:rsid w:val="00F477BB"/>
    <w:rsid w:val="00F47E3F"/>
    <w:rsid w:val="00F51720"/>
    <w:rsid w:val="00F51BE0"/>
    <w:rsid w:val="00F520AA"/>
    <w:rsid w:val="00F52AA6"/>
    <w:rsid w:val="00F537CC"/>
    <w:rsid w:val="00F538BB"/>
    <w:rsid w:val="00F53DBD"/>
    <w:rsid w:val="00F5461D"/>
    <w:rsid w:val="00F554A1"/>
    <w:rsid w:val="00F55B7F"/>
    <w:rsid w:val="00F56071"/>
    <w:rsid w:val="00F57687"/>
    <w:rsid w:val="00F57B2F"/>
    <w:rsid w:val="00F6072C"/>
    <w:rsid w:val="00F612BD"/>
    <w:rsid w:val="00F6153A"/>
    <w:rsid w:val="00F6392B"/>
    <w:rsid w:val="00F63CBA"/>
    <w:rsid w:val="00F653F1"/>
    <w:rsid w:val="00F65983"/>
    <w:rsid w:val="00F674D2"/>
    <w:rsid w:val="00F67D21"/>
    <w:rsid w:val="00F70281"/>
    <w:rsid w:val="00F712D3"/>
    <w:rsid w:val="00F72119"/>
    <w:rsid w:val="00F725EA"/>
    <w:rsid w:val="00F7309A"/>
    <w:rsid w:val="00F735CA"/>
    <w:rsid w:val="00F73BFE"/>
    <w:rsid w:val="00F73DE4"/>
    <w:rsid w:val="00F744BE"/>
    <w:rsid w:val="00F74A55"/>
    <w:rsid w:val="00F753CA"/>
    <w:rsid w:val="00F77C6F"/>
    <w:rsid w:val="00F817BF"/>
    <w:rsid w:val="00F81836"/>
    <w:rsid w:val="00F81B4A"/>
    <w:rsid w:val="00F825FE"/>
    <w:rsid w:val="00F8329E"/>
    <w:rsid w:val="00F83FAF"/>
    <w:rsid w:val="00F84A9D"/>
    <w:rsid w:val="00F8674A"/>
    <w:rsid w:val="00F9013F"/>
    <w:rsid w:val="00F90469"/>
    <w:rsid w:val="00F9213C"/>
    <w:rsid w:val="00F92426"/>
    <w:rsid w:val="00F92AA0"/>
    <w:rsid w:val="00F95A50"/>
    <w:rsid w:val="00F971E0"/>
    <w:rsid w:val="00F9772E"/>
    <w:rsid w:val="00FA0437"/>
    <w:rsid w:val="00FA0B3F"/>
    <w:rsid w:val="00FA17AC"/>
    <w:rsid w:val="00FA1A74"/>
    <w:rsid w:val="00FA1D3B"/>
    <w:rsid w:val="00FA3229"/>
    <w:rsid w:val="00FA35ED"/>
    <w:rsid w:val="00FA3D87"/>
    <w:rsid w:val="00FA542A"/>
    <w:rsid w:val="00FA56B6"/>
    <w:rsid w:val="00FA6395"/>
    <w:rsid w:val="00FA755A"/>
    <w:rsid w:val="00FA7F57"/>
    <w:rsid w:val="00FB1646"/>
    <w:rsid w:val="00FB42A0"/>
    <w:rsid w:val="00FB4BEB"/>
    <w:rsid w:val="00FB4C42"/>
    <w:rsid w:val="00FB54CE"/>
    <w:rsid w:val="00FB5915"/>
    <w:rsid w:val="00FB6545"/>
    <w:rsid w:val="00FB6B23"/>
    <w:rsid w:val="00FC0510"/>
    <w:rsid w:val="00FC0706"/>
    <w:rsid w:val="00FC0D54"/>
    <w:rsid w:val="00FC1BF1"/>
    <w:rsid w:val="00FC2EEA"/>
    <w:rsid w:val="00FC46AA"/>
    <w:rsid w:val="00FC587B"/>
    <w:rsid w:val="00FC5C22"/>
    <w:rsid w:val="00FC7820"/>
    <w:rsid w:val="00FD17DA"/>
    <w:rsid w:val="00FD1B18"/>
    <w:rsid w:val="00FD233A"/>
    <w:rsid w:val="00FD2E87"/>
    <w:rsid w:val="00FD36B2"/>
    <w:rsid w:val="00FD4C53"/>
    <w:rsid w:val="00FD68FC"/>
    <w:rsid w:val="00FD6E06"/>
    <w:rsid w:val="00FD7B60"/>
    <w:rsid w:val="00FE0607"/>
    <w:rsid w:val="00FE0925"/>
    <w:rsid w:val="00FE0C4A"/>
    <w:rsid w:val="00FE104C"/>
    <w:rsid w:val="00FE1933"/>
    <w:rsid w:val="00FE1AD6"/>
    <w:rsid w:val="00FE271B"/>
    <w:rsid w:val="00FE4BCB"/>
    <w:rsid w:val="00FE61EA"/>
    <w:rsid w:val="00FF1811"/>
    <w:rsid w:val="00FF28F8"/>
    <w:rsid w:val="00FF2947"/>
    <w:rsid w:val="00FF45A9"/>
    <w:rsid w:val="00FF6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center;mso-position-horizontal-relative:margin;mso-position-vertical:center;mso-position-vertical-relative:margin" o:allowincell="f" fillcolor="silver" stroke="f">
      <v:fill color="silver" opacity=".5"/>
      <v:stroke on="f"/>
    </o:shapedefaults>
    <o:shapelayout v:ext="edit">
      <o:idmap v:ext="edit" data="1"/>
    </o:shapelayout>
  </w:shapeDefaults>
  <w:decimalSymbol w:val="."/>
  <w:listSeparator w:val=","/>
  <w15:docId w15:val="{939BB826-6528-4AB3-B13F-860F39C9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CDA"/>
    <w:pPr>
      <w:spacing w:before="220" w:after="220" w:line="280" w:lineRule="exact"/>
    </w:pPr>
  </w:style>
  <w:style w:type="paragraph" w:styleId="Heading1">
    <w:name w:val="heading 1"/>
    <w:aliases w:val="numbered"/>
    <w:basedOn w:val="Normal"/>
    <w:next w:val="Normal"/>
    <w:link w:val="Heading1Char"/>
    <w:qFormat/>
    <w:rsid w:val="000B0846"/>
    <w:pPr>
      <w:keepNext/>
      <w:keepLines/>
      <w:spacing w:before="7600" w:after="480"/>
      <w:jc w:val="right"/>
      <w:outlineLvl w:val="0"/>
    </w:pPr>
    <w:rPr>
      <w:rFonts w:ascii="Arial Narrow" w:eastAsiaTheme="majorEastAsia" w:hAnsi="Arial Narrow" w:cstheme="majorBidi"/>
      <w:smallCaps/>
      <w:sz w:val="42"/>
      <w:szCs w:val="32"/>
    </w:rPr>
  </w:style>
  <w:style w:type="paragraph" w:styleId="Heading2">
    <w:name w:val="heading 2"/>
    <w:basedOn w:val="Normal"/>
    <w:next w:val="Normal"/>
    <w:link w:val="Heading2Char"/>
    <w:autoRedefine/>
    <w:unhideWhenUsed/>
    <w:qFormat/>
    <w:rsid w:val="00AC094E"/>
    <w:pPr>
      <w:keepNext/>
      <w:keepLines/>
      <w:spacing w:before="320" w:after="320" w:line="280" w:lineRule="atLeast"/>
      <w:outlineLvl w:val="1"/>
    </w:pPr>
    <w:rPr>
      <w:rFonts w:ascii="Arial Narrow" w:eastAsia="Times New Roman" w:hAnsi="Arial Narrow" w:cstheme="majorBidi"/>
      <w:smallCaps/>
      <w:kern w:val="32"/>
      <w:sz w:val="44"/>
      <w:szCs w:val="44"/>
    </w:rPr>
  </w:style>
  <w:style w:type="paragraph" w:styleId="Heading3">
    <w:name w:val="heading 3"/>
    <w:basedOn w:val="Normal"/>
    <w:next w:val="Normal"/>
    <w:link w:val="Heading3Char"/>
    <w:unhideWhenUsed/>
    <w:qFormat/>
    <w:rsid w:val="0021195E"/>
    <w:pPr>
      <w:keepNext/>
      <w:keepLines/>
      <w:spacing w:before="240" w:after="240"/>
      <w:outlineLvl w:val="2"/>
    </w:pPr>
    <w:rPr>
      <w:rFonts w:ascii="Arial Narrow" w:eastAsiaTheme="majorEastAsia" w:hAnsi="Arial Narrow" w:cstheme="majorBidi"/>
      <w:smallCaps/>
      <w:sz w:val="30"/>
      <w:szCs w:val="24"/>
    </w:rPr>
  </w:style>
  <w:style w:type="paragraph" w:styleId="Heading4">
    <w:name w:val="heading 4"/>
    <w:aliases w:val="Heading 4 numbered"/>
    <w:basedOn w:val="Normal"/>
    <w:next w:val="Normal"/>
    <w:link w:val="Heading4Char"/>
    <w:unhideWhenUsed/>
    <w:qFormat/>
    <w:rsid w:val="000C30A9"/>
    <w:pPr>
      <w:keepNext/>
      <w:keepLines/>
      <w:spacing w:before="240" w:after="240"/>
      <w:outlineLvl w:val="3"/>
    </w:pPr>
    <w:rPr>
      <w:rFonts w:ascii="Arial Narrow" w:eastAsiaTheme="majorEastAsia" w:hAnsi="Arial Narrow" w:cstheme="majorBidi"/>
      <w:b/>
      <w:iCs/>
      <w:smallCaps/>
      <w:sz w:val="26"/>
    </w:rPr>
  </w:style>
  <w:style w:type="paragraph" w:styleId="Heading5">
    <w:name w:val="heading 5"/>
    <w:basedOn w:val="Heading6"/>
    <w:next w:val="Normal"/>
    <w:link w:val="Heading5Char"/>
    <w:unhideWhenUsed/>
    <w:qFormat/>
    <w:rsid w:val="00FA3D87"/>
    <w:pPr>
      <w:keepLines w:val="0"/>
      <w:outlineLvl w:val="4"/>
    </w:pPr>
    <w:rPr>
      <w:rFonts w:ascii="Arial Narrow" w:eastAsia="Calibri" w:hAnsi="Arial Narrow"/>
      <w:i w:val="0"/>
      <w:iCs w:val="0"/>
      <w:smallCaps/>
      <w:szCs w:val="24"/>
      <w:lang w:eastAsia="en-AU"/>
    </w:rPr>
  </w:style>
  <w:style w:type="paragraph" w:styleId="Heading6">
    <w:name w:val="heading 6"/>
    <w:basedOn w:val="Heading7"/>
    <w:next w:val="Normal"/>
    <w:link w:val="Heading6Char"/>
    <w:unhideWhenUsed/>
    <w:qFormat/>
    <w:rsid w:val="005C7610"/>
    <w:pPr>
      <w:spacing w:before="220" w:after="220"/>
      <w:outlineLvl w:val="5"/>
    </w:pPr>
    <w:rPr>
      <w:rFonts w:ascii="Calibri" w:hAnsi="Calibri"/>
      <w:i/>
      <w:smallCaps w:val="0"/>
    </w:rPr>
  </w:style>
  <w:style w:type="paragraph" w:styleId="Heading7">
    <w:name w:val="heading 7"/>
    <w:basedOn w:val="Normal"/>
    <w:next w:val="Normal"/>
    <w:link w:val="Heading7Char"/>
    <w:unhideWhenUsed/>
    <w:qFormat/>
    <w:rsid w:val="00B27573"/>
    <w:pPr>
      <w:keepNext/>
      <w:keepLines/>
      <w:spacing w:before="240" w:after="240"/>
      <w:outlineLvl w:val="6"/>
    </w:pPr>
    <w:rPr>
      <w:rFonts w:eastAsiaTheme="majorEastAsia" w:cstheme="majorBidi"/>
      <w:iCs/>
      <w:smallCaps/>
    </w:rPr>
  </w:style>
  <w:style w:type="paragraph" w:styleId="Heading8">
    <w:name w:val="heading 8"/>
    <w:basedOn w:val="Normal"/>
    <w:next w:val="Normal"/>
    <w:link w:val="Heading8Char"/>
    <w:uiPriority w:val="9"/>
    <w:unhideWhenUsed/>
    <w:qFormat/>
    <w:rsid w:val="00713E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13E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846"/>
  </w:style>
  <w:style w:type="paragraph" w:styleId="Footer">
    <w:name w:val="footer"/>
    <w:basedOn w:val="Normal"/>
    <w:link w:val="FooterChar"/>
    <w:uiPriority w:val="99"/>
    <w:unhideWhenUsed/>
    <w:rsid w:val="000B0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846"/>
  </w:style>
  <w:style w:type="character" w:customStyle="1" w:styleId="Heading1Char">
    <w:name w:val="Heading 1 Char"/>
    <w:aliases w:val="numbered Char"/>
    <w:basedOn w:val="DefaultParagraphFont"/>
    <w:link w:val="Heading1"/>
    <w:rsid w:val="000B0846"/>
    <w:rPr>
      <w:rFonts w:ascii="Arial Narrow" w:eastAsiaTheme="majorEastAsia" w:hAnsi="Arial Narrow" w:cstheme="majorBidi"/>
      <w:smallCaps/>
      <w:sz w:val="42"/>
      <w:szCs w:val="32"/>
    </w:rPr>
  </w:style>
  <w:style w:type="character" w:customStyle="1" w:styleId="Heading2Char">
    <w:name w:val="Heading 2 Char"/>
    <w:basedOn w:val="DefaultParagraphFont"/>
    <w:link w:val="Heading2"/>
    <w:rsid w:val="00AC094E"/>
    <w:rPr>
      <w:rFonts w:ascii="Arial Narrow" w:eastAsia="Times New Roman" w:hAnsi="Arial Narrow" w:cstheme="majorBidi"/>
      <w:smallCaps/>
      <w:kern w:val="32"/>
      <w:sz w:val="44"/>
      <w:szCs w:val="44"/>
    </w:rPr>
  </w:style>
  <w:style w:type="character" w:customStyle="1" w:styleId="Heading3Char">
    <w:name w:val="Heading 3 Char"/>
    <w:basedOn w:val="DefaultParagraphFont"/>
    <w:link w:val="Heading3"/>
    <w:rsid w:val="0021195E"/>
    <w:rPr>
      <w:rFonts w:ascii="Arial Narrow" w:eastAsiaTheme="majorEastAsia" w:hAnsi="Arial Narrow" w:cstheme="majorBidi"/>
      <w:smallCaps/>
      <w:sz w:val="30"/>
      <w:szCs w:val="24"/>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列出段,列出,列"/>
    <w:basedOn w:val="Normal"/>
    <w:link w:val="ListParagraphChar"/>
    <w:uiPriority w:val="34"/>
    <w:qFormat/>
    <w:rsid w:val="00F6072C"/>
    <w:pPr>
      <w:ind w:left="720"/>
      <w:contextualSpacing/>
    </w:pPr>
  </w:style>
  <w:style w:type="paragraph" w:styleId="BalloonText">
    <w:name w:val="Balloon Text"/>
    <w:basedOn w:val="Normal"/>
    <w:link w:val="BalloonTextChar"/>
    <w:semiHidden/>
    <w:unhideWhenUsed/>
    <w:rsid w:val="00713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13E5C"/>
    <w:rPr>
      <w:rFonts w:ascii="Segoe UI" w:hAnsi="Segoe UI" w:cs="Segoe UI"/>
      <w:sz w:val="18"/>
      <w:szCs w:val="18"/>
    </w:rPr>
  </w:style>
  <w:style w:type="paragraph" w:styleId="Bibliography">
    <w:name w:val="Bibliography"/>
    <w:basedOn w:val="Normal"/>
    <w:next w:val="Normal"/>
    <w:uiPriority w:val="37"/>
    <w:semiHidden/>
    <w:unhideWhenUsed/>
    <w:rsid w:val="00713E5C"/>
  </w:style>
  <w:style w:type="paragraph" w:styleId="BlockText">
    <w:name w:val="Block Text"/>
    <w:basedOn w:val="Normal"/>
    <w:uiPriority w:val="99"/>
    <w:semiHidden/>
    <w:unhideWhenUsed/>
    <w:rsid w:val="00713E5C"/>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BodyText">
    <w:name w:val="Body Text"/>
    <w:basedOn w:val="Normal"/>
    <w:link w:val="BodyTextChar"/>
    <w:unhideWhenUsed/>
    <w:rsid w:val="00713E5C"/>
    <w:pPr>
      <w:spacing w:after="120"/>
    </w:pPr>
  </w:style>
  <w:style w:type="character" w:customStyle="1" w:styleId="BodyTextChar">
    <w:name w:val="Body Text Char"/>
    <w:basedOn w:val="DefaultParagraphFont"/>
    <w:link w:val="BodyText"/>
    <w:rsid w:val="00713E5C"/>
  </w:style>
  <w:style w:type="paragraph" w:styleId="BodyText2">
    <w:name w:val="Body Text 2"/>
    <w:basedOn w:val="Normal"/>
    <w:link w:val="BodyText2Char"/>
    <w:uiPriority w:val="99"/>
    <w:semiHidden/>
    <w:unhideWhenUsed/>
    <w:rsid w:val="00713E5C"/>
    <w:pPr>
      <w:spacing w:after="120" w:line="480" w:lineRule="auto"/>
    </w:pPr>
  </w:style>
  <w:style w:type="character" w:customStyle="1" w:styleId="BodyText2Char">
    <w:name w:val="Body Text 2 Char"/>
    <w:basedOn w:val="DefaultParagraphFont"/>
    <w:link w:val="BodyText2"/>
    <w:uiPriority w:val="99"/>
    <w:semiHidden/>
    <w:rsid w:val="00713E5C"/>
  </w:style>
  <w:style w:type="paragraph" w:styleId="BodyText3">
    <w:name w:val="Body Text 3"/>
    <w:basedOn w:val="Normal"/>
    <w:link w:val="BodyText3Char"/>
    <w:uiPriority w:val="99"/>
    <w:semiHidden/>
    <w:unhideWhenUsed/>
    <w:rsid w:val="00713E5C"/>
    <w:pPr>
      <w:spacing w:after="120"/>
    </w:pPr>
    <w:rPr>
      <w:sz w:val="16"/>
      <w:szCs w:val="16"/>
    </w:rPr>
  </w:style>
  <w:style w:type="character" w:customStyle="1" w:styleId="BodyText3Char">
    <w:name w:val="Body Text 3 Char"/>
    <w:basedOn w:val="DefaultParagraphFont"/>
    <w:link w:val="BodyText3"/>
    <w:uiPriority w:val="99"/>
    <w:semiHidden/>
    <w:rsid w:val="00713E5C"/>
    <w:rPr>
      <w:sz w:val="16"/>
      <w:szCs w:val="16"/>
    </w:rPr>
  </w:style>
  <w:style w:type="paragraph" w:styleId="BodyTextFirstIndent">
    <w:name w:val="Body Text First Indent"/>
    <w:basedOn w:val="BodyText"/>
    <w:link w:val="BodyTextFirstIndentChar"/>
    <w:uiPriority w:val="99"/>
    <w:semiHidden/>
    <w:unhideWhenUsed/>
    <w:rsid w:val="00713E5C"/>
    <w:pPr>
      <w:spacing w:after="160"/>
      <w:ind w:firstLine="360"/>
    </w:pPr>
  </w:style>
  <w:style w:type="character" w:customStyle="1" w:styleId="BodyTextFirstIndentChar">
    <w:name w:val="Body Text First Indent Char"/>
    <w:basedOn w:val="BodyTextChar"/>
    <w:link w:val="BodyTextFirstIndent"/>
    <w:uiPriority w:val="99"/>
    <w:semiHidden/>
    <w:rsid w:val="00713E5C"/>
  </w:style>
  <w:style w:type="paragraph" w:styleId="BodyTextIndent">
    <w:name w:val="Body Text Indent"/>
    <w:basedOn w:val="Normal"/>
    <w:link w:val="BodyTextIndentChar"/>
    <w:unhideWhenUsed/>
    <w:rsid w:val="00713E5C"/>
    <w:pPr>
      <w:spacing w:after="120"/>
      <w:ind w:left="283"/>
    </w:pPr>
  </w:style>
  <w:style w:type="character" w:customStyle="1" w:styleId="BodyTextIndentChar">
    <w:name w:val="Body Text Indent Char"/>
    <w:basedOn w:val="DefaultParagraphFont"/>
    <w:link w:val="BodyTextIndent"/>
    <w:rsid w:val="00713E5C"/>
  </w:style>
  <w:style w:type="paragraph" w:styleId="BodyTextFirstIndent2">
    <w:name w:val="Body Text First Indent 2"/>
    <w:basedOn w:val="BodyTextIndent"/>
    <w:link w:val="BodyTextFirstIndent2Char"/>
    <w:uiPriority w:val="99"/>
    <w:semiHidden/>
    <w:unhideWhenUsed/>
    <w:rsid w:val="00713E5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13E5C"/>
  </w:style>
  <w:style w:type="paragraph" w:styleId="BodyTextIndent2">
    <w:name w:val="Body Text Indent 2"/>
    <w:basedOn w:val="Normal"/>
    <w:link w:val="BodyTextIndent2Char"/>
    <w:uiPriority w:val="99"/>
    <w:semiHidden/>
    <w:unhideWhenUsed/>
    <w:rsid w:val="00713E5C"/>
    <w:pPr>
      <w:spacing w:after="120" w:line="480" w:lineRule="auto"/>
      <w:ind w:left="283"/>
    </w:pPr>
  </w:style>
  <w:style w:type="character" w:customStyle="1" w:styleId="BodyTextIndent2Char">
    <w:name w:val="Body Text Indent 2 Char"/>
    <w:basedOn w:val="DefaultParagraphFont"/>
    <w:link w:val="BodyTextIndent2"/>
    <w:uiPriority w:val="99"/>
    <w:semiHidden/>
    <w:rsid w:val="00713E5C"/>
  </w:style>
  <w:style w:type="paragraph" w:styleId="BodyTextIndent3">
    <w:name w:val="Body Text Indent 3"/>
    <w:basedOn w:val="Normal"/>
    <w:link w:val="BodyTextIndent3Char"/>
    <w:uiPriority w:val="99"/>
    <w:semiHidden/>
    <w:unhideWhenUsed/>
    <w:rsid w:val="00713E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13E5C"/>
    <w:rPr>
      <w:sz w:val="16"/>
      <w:szCs w:val="16"/>
    </w:rPr>
  </w:style>
  <w:style w:type="paragraph" w:styleId="Caption">
    <w:name w:val="caption"/>
    <w:basedOn w:val="Normal"/>
    <w:next w:val="Normal"/>
    <w:unhideWhenUsed/>
    <w:qFormat/>
    <w:rsid w:val="00713E5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13E5C"/>
    <w:pPr>
      <w:spacing w:after="0" w:line="240" w:lineRule="auto"/>
      <w:ind w:left="4252"/>
    </w:pPr>
  </w:style>
  <w:style w:type="character" w:customStyle="1" w:styleId="ClosingChar">
    <w:name w:val="Closing Char"/>
    <w:basedOn w:val="DefaultParagraphFont"/>
    <w:link w:val="Closing"/>
    <w:uiPriority w:val="99"/>
    <w:semiHidden/>
    <w:rsid w:val="00713E5C"/>
  </w:style>
  <w:style w:type="paragraph" w:styleId="CommentText">
    <w:name w:val="annotation text"/>
    <w:basedOn w:val="Normal"/>
    <w:link w:val="CommentTextChar"/>
    <w:unhideWhenUsed/>
    <w:rsid w:val="00713E5C"/>
    <w:pPr>
      <w:spacing w:line="240" w:lineRule="auto"/>
    </w:pPr>
    <w:rPr>
      <w:sz w:val="20"/>
      <w:szCs w:val="20"/>
    </w:rPr>
  </w:style>
  <w:style w:type="character" w:customStyle="1" w:styleId="CommentTextChar">
    <w:name w:val="Comment Text Char"/>
    <w:basedOn w:val="DefaultParagraphFont"/>
    <w:link w:val="CommentText"/>
    <w:rsid w:val="00713E5C"/>
    <w:rPr>
      <w:sz w:val="20"/>
      <w:szCs w:val="20"/>
    </w:rPr>
  </w:style>
  <w:style w:type="paragraph" w:styleId="CommentSubject">
    <w:name w:val="annotation subject"/>
    <w:basedOn w:val="CommentText"/>
    <w:next w:val="CommentText"/>
    <w:link w:val="CommentSubjectChar"/>
    <w:unhideWhenUsed/>
    <w:rsid w:val="00713E5C"/>
    <w:rPr>
      <w:b/>
      <w:bCs/>
    </w:rPr>
  </w:style>
  <w:style w:type="character" w:customStyle="1" w:styleId="CommentSubjectChar">
    <w:name w:val="Comment Subject Char"/>
    <w:basedOn w:val="CommentTextChar"/>
    <w:link w:val="CommentSubject"/>
    <w:rsid w:val="00713E5C"/>
    <w:rPr>
      <w:b/>
      <w:bCs/>
      <w:sz w:val="20"/>
      <w:szCs w:val="20"/>
    </w:rPr>
  </w:style>
  <w:style w:type="paragraph" w:styleId="Date">
    <w:name w:val="Date"/>
    <w:basedOn w:val="Normal"/>
    <w:next w:val="Normal"/>
    <w:link w:val="DateChar"/>
    <w:uiPriority w:val="99"/>
    <w:semiHidden/>
    <w:unhideWhenUsed/>
    <w:rsid w:val="00713E5C"/>
  </w:style>
  <w:style w:type="character" w:customStyle="1" w:styleId="DateChar">
    <w:name w:val="Date Char"/>
    <w:basedOn w:val="DefaultParagraphFont"/>
    <w:link w:val="Date"/>
    <w:uiPriority w:val="99"/>
    <w:semiHidden/>
    <w:rsid w:val="00713E5C"/>
  </w:style>
  <w:style w:type="paragraph" w:styleId="DocumentMap">
    <w:name w:val="Document Map"/>
    <w:basedOn w:val="Normal"/>
    <w:link w:val="DocumentMapChar"/>
    <w:uiPriority w:val="99"/>
    <w:semiHidden/>
    <w:unhideWhenUsed/>
    <w:rsid w:val="00713E5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13E5C"/>
    <w:rPr>
      <w:rFonts w:ascii="Segoe UI" w:hAnsi="Segoe UI" w:cs="Segoe UI"/>
      <w:sz w:val="16"/>
      <w:szCs w:val="16"/>
    </w:rPr>
  </w:style>
  <w:style w:type="paragraph" w:styleId="E-mailSignature">
    <w:name w:val="E-mail Signature"/>
    <w:basedOn w:val="Normal"/>
    <w:link w:val="E-mailSignatureChar"/>
    <w:uiPriority w:val="99"/>
    <w:semiHidden/>
    <w:unhideWhenUsed/>
    <w:rsid w:val="00713E5C"/>
    <w:pPr>
      <w:spacing w:after="0" w:line="240" w:lineRule="auto"/>
    </w:pPr>
  </w:style>
  <w:style w:type="character" w:customStyle="1" w:styleId="E-mailSignatureChar">
    <w:name w:val="E-mail Signature Char"/>
    <w:basedOn w:val="DefaultParagraphFont"/>
    <w:link w:val="E-mailSignature"/>
    <w:uiPriority w:val="99"/>
    <w:semiHidden/>
    <w:rsid w:val="00713E5C"/>
  </w:style>
  <w:style w:type="paragraph" w:styleId="EndnoteText">
    <w:name w:val="endnote text"/>
    <w:basedOn w:val="Normal"/>
    <w:link w:val="EndnoteTextChar"/>
    <w:unhideWhenUsed/>
    <w:rsid w:val="00713E5C"/>
    <w:pPr>
      <w:spacing w:after="0" w:line="240" w:lineRule="auto"/>
    </w:pPr>
    <w:rPr>
      <w:sz w:val="20"/>
      <w:szCs w:val="20"/>
    </w:rPr>
  </w:style>
  <w:style w:type="character" w:customStyle="1" w:styleId="EndnoteTextChar">
    <w:name w:val="Endnote Text Char"/>
    <w:basedOn w:val="DefaultParagraphFont"/>
    <w:link w:val="EndnoteText"/>
    <w:rsid w:val="00713E5C"/>
    <w:rPr>
      <w:sz w:val="20"/>
      <w:szCs w:val="20"/>
    </w:rPr>
  </w:style>
  <w:style w:type="paragraph" w:styleId="EnvelopeAddress">
    <w:name w:val="envelope address"/>
    <w:basedOn w:val="Normal"/>
    <w:uiPriority w:val="99"/>
    <w:semiHidden/>
    <w:unhideWhenUsed/>
    <w:rsid w:val="00713E5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13E5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rsid w:val="00B32CDA"/>
    <w:pPr>
      <w:spacing w:after="0" w:line="240" w:lineRule="auto"/>
      <w:ind w:left="115" w:hanging="115"/>
    </w:pPr>
    <w:rPr>
      <w:sz w:val="20"/>
      <w:szCs w:val="20"/>
    </w:rPr>
  </w:style>
  <w:style w:type="character" w:customStyle="1" w:styleId="FootnoteTextChar">
    <w:name w:val="Footnote Text Char"/>
    <w:basedOn w:val="DefaultParagraphFont"/>
    <w:link w:val="FootnoteText"/>
    <w:uiPriority w:val="99"/>
    <w:rsid w:val="00B32CDA"/>
    <w:rPr>
      <w:sz w:val="20"/>
      <w:szCs w:val="20"/>
    </w:rPr>
  </w:style>
  <w:style w:type="character" w:customStyle="1" w:styleId="Heading4Char">
    <w:name w:val="Heading 4 Char"/>
    <w:aliases w:val="Heading 4 numbered Char"/>
    <w:basedOn w:val="DefaultParagraphFont"/>
    <w:link w:val="Heading4"/>
    <w:rsid w:val="000C30A9"/>
    <w:rPr>
      <w:rFonts w:ascii="Arial Narrow" w:eastAsiaTheme="majorEastAsia" w:hAnsi="Arial Narrow" w:cstheme="majorBidi"/>
      <w:b/>
      <w:iCs/>
      <w:smallCaps/>
      <w:sz w:val="26"/>
    </w:rPr>
  </w:style>
  <w:style w:type="character" w:customStyle="1" w:styleId="Heading5Char">
    <w:name w:val="Heading 5 Char"/>
    <w:basedOn w:val="DefaultParagraphFont"/>
    <w:link w:val="Heading5"/>
    <w:rsid w:val="00FA3D87"/>
    <w:rPr>
      <w:rFonts w:ascii="Arial Narrow" w:eastAsia="Calibri" w:hAnsi="Arial Narrow" w:cstheme="majorBidi"/>
      <w:smallCaps/>
      <w:szCs w:val="24"/>
      <w:lang w:eastAsia="en-AU"/>
    </w:rPr>
  </w:style>
  <w:style w:type="character" w:customStyle="1" w:styleId="Heading6Char">
    <w:name w:val="Heading 6 Char"/>
    <w:basedOn w:val="DefaultParagraphFont"/>
    <w:link w:val="Heading6"/>
    <w:rsid w:val="005C7610"/>
    <w:rPr>
      <w:rFonts w:ascii="Calibri" w:eastAsiaTheme="majorEastAsia" w:hAnsi="Calibri" w:cstheme="majorBidi"/>
      <w:i/>
      <w:iCs/>
    </w:rPr>
  </w:style>
  <w:style w:type="character" w:customStyle="1" w:styleId="Heading7Char">
    <w:name w:val="Heading 7 Char"/>
    <w:basedOn w:val="DefaultParagraphFont"/>
    <w:link w:val="Heading7"/>
    <w:rsid w:val="00B27573"/>
    <w:rPr>
      <w:rFonts w:eastAsiaTheme="majorEastAsia" w:cstheme="majorBidi"/>
      <w:iCs/>
      <w:smallCaps/>
    </w:rPr>
  </w:style>
  <w:style w:type="character" w:customStyle="1" w:styleId="Heading8Char">
    <w:name w:val="Heading 8 Char"/>
    <w:basedOn w:val="DefaultParagraphFont"/>
    <w:link w:val="Heading8"/>
    <w:semiHidden/>
    <w:rsid w:val="00713E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13E5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13E5C"/>
    <w:pPr>
      <w:spacing w:after="0" w:line="240" w:lineRule="auto"/>
    </w:pPr>
    <w:rPr>
      <w:i/>
      <w:iCs/>
    </w:rPr>
  </w:style>
  <w:style w:type="character" w:customStyle="1" w:styleId="HTMLAddressChar">
    <w:name w:val="HTML Address Char"/>
    <w:basedOn w:val="DefaultParagraphFont"/>
    <w:link w:val="HTMLAddress"/>
    <w:uiPriority w:val="99"/>
    <w:semiHidden/>
    <w:rsid w:val="00713E5C"/>
    <w:rPr>
      <w:i/>
      <w:iCs/>
    </w:rPr>
  </w:style>
  <w:style w:type="paragraph" w:styleId="HTMLPreformatted">
    <w:name w:val="HTML Preformatted"/>
    <w:basedOn w:val="Normal"/>
    <w:link w:val="HTMLPreformattedChar"/>
    <w:uiPriority w:val="99"/>
    <w:semiHidden/>
    <w:unhideWhenUsed/>
    <w:rsid w:val="00713E5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13E5C"/>
    <w:rPr>
      <w:rFonts w:ascii="Consolas" w:hAnsi="Consolas" w:cs="Consolas"/>
      <w:sz w:val="20"/>
      <w:szCs w:val="20"/>
    </w:rPr>
  </w:style>
  <w:style w:type="paragraph" w:styleId="Index1">
    <w:name w:val="index 1"/>
    <w:basedOn w:val="Normal"/>
    <w:next w:val="Normal"/>
    <w:autoRedefine/>
    <w:uiPriority w:val="99"/>
    <w:semiHidden/>
    <w:unhideWhenUsed/>
    <w:rsid w:val="00713E5C"/>
    <w:pPr>
      <w:spacing w:after="0" w:line="240" w:lineRule="auto"/>
      <w:ind w:left="220" w:hanging="220"/>
    </w:pPr>
  </w:style>
  <w:style w:type="paragraph" w:styleId="Index2">
    <w:name w:val="index 2"/>
    <w:basedOn w:val="Normal"/>
    <w:next w:val="Normal"/>
    <w:autoRedefine/>
    <w:uiPriority w:val="99"/>
    <w:semiHidden/>
    <w:unhideWhenUsed/>
    <w:rsid w:val="00713E5C"/>
    <w:pPr>
      <w:spacing w:after="0" w:line="240" w:lineRule="auto"/>
      <w:ind w:left="440" w:hanging="220"/>
    </w:pPr>
  </w:style>
  <w:style w:type="paragraph" w:styleId="Index3">
    <w:name w:val="index 3"/>
    <w:basedOn w:val="Normal"/>
    <w:next w:val="Normal"/>
    <w:autoRedefine/>
    <w:uiPriority w:val="99"/>
    <w:semiHidden/>
    <w:unhideWhenUsed/>
    <w:rsid w:val="00713E5C"/>
    <w:pPr>
      <w:spacing w:after="0" w:line="240" w:lineRule="auto"/>
      <w:ind w:left="660" w:hanging="220"/>
    </w:pPr>
  </w:style>
  <w:style w:type="paragraph" w:styleId="Index4">
    <w:name w:val="index 4"/>
    <w:basedOn w:val="Normal"/>
    <w:next w:val="Normal"/>
    <w:autoRedefine/>
    <w:uiPriority w:val="99"/>
    <w:semiHidden/>
    <w:unhideWhenUsed/>
    <w:rsid w:val="00713E5C"/>
    <w:pPr>
      <w:spacing w:after="0" w:line="240" w:lineRule="auto"/>
      <w:ind w:left="880" w:hanging="220"/>
    </w:pPr>
  </w:style>
  <w:style w:type="paragraph" w:styleId="Index5">
    <w:name w:val="index 5"/>
    <w:basedOn w:val="Normal"/>
    <w:next w:val="Normal"/>
    <w:autoRedefine/>
    <w:uiPriority w:val="99"/>
    <w:semiHidden/>
    <w:unhideWhenUsed/>
    <w:rsid w:val="00713E5C"/>
    <w:pPr>
      <w:spacing w:after="0" w:line="240" w:lineRule="auto"/>
      <w:ind w:left="1100" w:hanging="220"/>
    </w:pPr>
  </w:style>
  <w:style w:type="paragraph" w:styleId="Index6">
    <w:name w:val="index 6"/>
    <w:basedOn w:val="Normal"/>
    <w:next w:val="Normal"/>
    <w:autoRedefine/>
    <w:uiPriority w:val="99"/>
    <w:semiHidden/>
    <w:unhideWhenUsed/>
    <w:rsid w:val="00713E5C"/>
    <w:pPr>
      <w:spacing w:after="0" w:line="240" w:lineRule="auto"/>
      <w:ind w:left="1320" w:hanging="220"/>
    </w:pPr>
  </w:style>
  <w:style w:type="paragraph" w:styleId="Index7">
    <w:name w:val="index 7"/>
    <w:basedOn w:val="Normal"/>
    <w:next w:val="Normal"/>
    <w:autoRedefine/>
    <w:uiPriority w:val="99"/>
    <w:semiHidden/>
    <w:unhideWhenUsed/>
    <w:rsid w:val="00713E5C"/>
    <w:pPr>
      <w:spacing w:after="0" w:line="240" w:lineRule="auto"/>
      <w:ind w:left="1540" w:hanging="220"/>
    </w:pPr>
  </w:style>
  <w:style w:type="paragraph" w:styleId="Index8">
    <w:name w:val="index 8"/>
    <w:basedOn w:val="Normal"/>
    <w:next w:val="Normal"/>
    <w:autoRedefine/>
    <w:uiPriority w:val="99"/>
    <w:semiHidden/>
    <w:unhideWhenUsed/>
    <w:rsid w:val="00713E5C"/>
    <w:pPr>
      <w:spacing w:after="0" w:line="240" w:lineRule="auto"/>
      <w:ind w:left="1760" w:hanging="220"/>
    </w:pPr>
  </w:style>
  <w:style w:type="paragraph" w:styleId="Index9">
    <w:name w:val="index 9"/>
    <w:basedOn w:val="Normal"/>
    <w:next w:val="Normal"/>
    <w:autoRedefine/>
    <w:uiPriority w:val="99"/>
    <w:semiHidden/>
    <w:unhideWhenUsed/>
    <w:rsid w:val="00713E5C"/>
    <w:pPr>
      <w:spacing w:after="0" w:line="240" w:lineRule="auto"/>
      <w:ind w:left="1980" w:hanging="220"/>
    </w:pPr>
  </w:style>
  <w:style w:type="paragraph" w:styleId="IndexHeading">
    <w:name w:val="index heading"/>
    <w:basedOn w:val="Normal"/>
    <w:next w:val="Index1"/>
    <w:uiPriority w:val="99"/>
    <w:semiHidden/>
    <w:unhideWhenUsed/>
    <w:rsid w:val="00713E5C"/>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13E5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13E5C"/>
    <w:rPr>
      <w:i/>
      <w:iCs/>
      <w:color w:val="5B9BD5" w:themeColor="accent1"/>
    </w:rPr>
  </w:style>
  <w:style w:type="paragraph" w:styleId="List">
    <w:name w:val="List"/>
    <w:basedOn w:val="Normal"/>
    <w:uiPriority w:val="99"/>
    <w:semiHidden/>
    <w:unhideWhenUsed/>
    <w:rsid w:val="00713E5C"/>
    <w:pPr>
      <w:ind w:left="283" w:hanging="283"/>
      <w:contextualSpacing/>
    </w:pPr>
  </w:style>
  <w:style w:type="paragraph" w:styleId="List2">
    <w:name w:val="List 2"/>
    <w:basedOn w:val="Normal"/>
    <w:uiPriority w:val="99"/>
    <w:semiHidden/>
    <w:unhideWhenUsed/>
    <w:rsid w:val="00713E5C"/>
    <w:pPr>
      <w:ind w:left="566" w:hanging="283"/>
      <w:contextualSpacing/>
    </w:pPr>
  </w:style>
  <w:style w:type="paragraph" w:styleId="List3">
    <w:name w:val="List 3"/>
    <w:basedOn w:val="Normal"/>
    <w:uiPriority w:val="99"/>
    <w:semiHidden/>
    <w:unhideWhenUsed/>
    <w:rsid w:val="00713E5C"/>
    <w:pPr>
      <w:ind w:left="849" w:hanging="283"/>
      <w:contextualSpacing/>
    </w:pPr>
  </w:style>
  <w:style w:type="paragraph" w:styleId="List4">
    <w:name w:val="List 4"/>
    <w:basedOn w:val="Normal"/>
    <w:uiPriority w:val="99"/>
    <w:semiHidden/>
    <w:unhideWhenUsed/>
    <w:rsid w:val="00713E5C"/>
    <w:pPr>
      <w:ind w:left="1132" w:hanging="283"/>
      <w:contextualSpacing/>
    </w:pPr>
  </w:style>
  <w:style w:type="paragraph" w:styleId="List5">
    <w:name w:val="List 5"/>
    <w:basedOn w:val="Normal"/>
    <w:uiPriority w:val="99"/>
    <w:semiHidden/>
    <w:unhideWhenUsed/>
    <w:rsid w:val="00713E5C"/>
    <w:pPr>
      <w:ind w:left="1415" w:hanging="283"/>
      <w:contextualSpacing/>
    </w:pPr>
  </w:style>
  <w:style w:type="paragraph" w:styleId="ListBullet">
    <w:name w:val="List Bullet"/>
    <w:basedOn w:val="Normal"/>
    <w:uiPriority w:val="99"/>
    <w:semiHidden/>
    <w:unhideWhenUsed/>
    <w:rsid w:val="00713E5C"/>
    <w:pPr>
      <w:numPr>
        <w:numId w:val="1"/>
      </w:numPr>
      <w:contextualSpacing/>
    </w:pPr>
  </w:style>
  <w:style w:type="paragraph" w:styleId="ListBullet2">
    <w:name w:val="List Bullet 2"/>
    <w:basedOn w:val="Normal"/>
    <w:uiPriority w:val="99"/>
    <w:semiHidden/>
    <w:unhideWhenUsed/>
    <w:rsid w:val="00713E5C"/>
    <w:pPr>
      <w:numPr>
        <w:numId w:val="2"/>
      </w:numPr>
      <w:contextualSpacing/>
    </w:pPr>
  </w:style>
  <w:style w:type="paragraph" w:styleId="ListBullet3">
    <w:name w:val="List Bullet 3"/>
    <w:basedOn w:val="Normal"/>
    <w:uiPriority w:val="99"/>
    <w:semiHidden/>
    <w:unhideWhenUsed/>
    <w:rsid w:val="00713E5C"/>
    <w:pPr>
      <w:numPr>
        <w:numId w:val="3"/>
      </w:numPr>
      <w:contextualSpacing/>
    </w:pPr>
  </w:style>
  <w:style w:type="paragraph" w:styleId="ListBullet4">
    <w:name w:val="List Bullet 4"/>
    <w:basedOn w:val="Normal"/>
    <w:uiPriority w:val="99"/>
    <w:semiHidden/>
    <w:unhideWhenUsed/>
    <w:rsid w:val="00713E5C"/>
    <w:pPr>
      <w:numPr>
        <w:numId w:val="4"/>
      </w:numPr>
      <w:contextualSpacing/>
    </w:pPr>
  </w:style>
  <w:style w:type="paragraph" w:styleId="ListBullet5">
    <w:name w:val="List Bullet 5"/>
    <w:basedOn w:val="Normal"/>
    <w:uiPriority w:val="99"/>
    <w:semiHidden/>
    <w:unhideWhenUsed/>
    <w:rsid w:val="00713E5C"/>
    <w:pPr>
      <w:numPr>
        <w:numId w:val="5"/>
      </w:numPr>
      <w:contextualSpacing/>
    </w:pPr>
  </w:style>
  <w:style w:type="paragraph" w:styleId="ListContinue">
    <w:name w:val="List Continue"/>
    <w:basedOn w:val="Normal"/>
    <w:uiPriority w:val="99"/>
    <w:semiHidden/>
    <w:unhideWhenUsed/>
    <w:rsid w:val="00713E5C"/>
    <w:pPr>
      <w:spacing w:after="120"/>
      <w:ind w:left="283"/>
      <w:contextualSpacing/>
    </w:pPr>
  </w:style>
  <w:style w:type="paragraph" w:styleId="ListContinue2">
    <w:name w:val="List Continue 2"/>
    <w:basedOn w:val="Normal"/>
    <w:uiPriority w:val="99"/>
    <w:semiHidden/>
    <w:unhideWhenUsed/>
    <w:rsid w:val="00713E5C"/>
    <w:pPr>
      <w:spacing w:after="120"/>
      <w:ind w:left="566"/>
      <w:contextualSpacing/>
    </w:pPr>
  </w:style>
  <w:style w:type="paragraph" w:styleId="ListContinue3">
    <w:name w:val="List Continue 3"/>
    <w:basedOn w:val="Normal"/>
    <w:uiPriority w:val="99"/>
    <w:semiHidden/>
    <w:unhideWhenUsed/>
    <w:rsid w:val="00713E5C"/>
    <w:pPr>
      <w:spacing w:after="120"/>
      <w:ind w:left="849"/>
      <w:contextualSpacing/>
    </w:pPr>
  </w:style>
  <w:style w:type="paragraph" w:styleId="ListContinue4">
    <w:name w:val="List Continue 4"/>
    <w:basedOn w:val="Normal"/>
    <w:uiPriority w:val="99"/>
    <w:semiHidden/>
    <w:unhideWhenUsed/>
    <w:rsid w:val="00713E5C"/>
    <w:pPr>
      <w:spacing w:after="120"/>
      <w:ind w:left="1132"/>
      <w:contextualSpacing/>
    </w:pPr>
  </w:style>
  <w:style w:type="paragraph" w:styleId="ListContinue5">
    <w:name w:val="List Continue 5"/>
    <w:basedOn w:val="Normal"/>
    <w:uiPriority w:val="99"/>
    <w:semiHidden/>
    <w:unhideWhenUsed/>
    <w:rsid w:val="00713E5C"/>
    <w:pPr>
      <w:spacing w:after="120"/>
      <w:ind w:left="1415"/>
      <w:contextualSpacing/>
    </w:pPr>
  </w:style>
  <w:style w:type="paragraph" w:styleId="ListNumber">
    <w:name w:val="List Number"/>
    <w:basedOn w:val="Normal"/>
    <w:uiPriority w:val="99"/>
    <w:semiHidden/>
    <w:unhideWhenUsed/>
    <w:rsid w:val="00713E5C"/>
    <w:pPr>
      <w:numPr>
        <w:numId w:val="6"/>
      </w:numPr>
      <w:contextualSpacing/>
    </w:pPr>
  </w:style>
  <w:style w:type="paragraph" w:styleId="ListNumber2">
    <w:name w:val="List Number 2"/>
    <w:basedOn w:val="Normal"/>
    <w:uiPriority w:val="99"/>
    <w:unhideWhenUsed/>
    <w:rsid w:val="00713E5C"/>
    <w:pPr>
      <w:numPr>
        <w:numId w:val="7"/>
      </w:numPr>
      <w:contextualSpacing/>
    </w:pPr>
  </w:style>
  <w:style w:type="paragraph" w:styleId="ListNumber3">
    <w:name w:val="List Number 3"/>
    <w:basedOn w:val="Normal"/>
    <w:uiPriority w:val="99"/>
    <w:semiHidden/>
    <w:unhideWhenUsed/>
    <w:rsid w:val="00713E5C"/>
    <w:pPr>
      <w:numPr>
        <w:numId w:val="8"/>
      </w:numPr>
      <w:contextualSpacing/>
    </w:pPr>
  </w:style>
  <w:style w:type="paragraph" w:styleId="ListNumber4">
    <w:name w:val="List Number 4"/>
    <w:basedOn w:val="Normal"/>
    <w:uiPriority w:val="99"/>
    <w:semiHidden/>
    <w:unhideWhenUsed/>
    <w:rsid w:val="00713E5C"/>
    <w:pPr>
      <w:numPr>
        <w:numId w:val="9"/>
      </w:numPr>
      <w:contextualSpacing/>
    </w:pPr>
  </w:style>
  <w:style w:type="paragraph" w:styleId="ListNumber5">
    <w:name w:val="List Number 5"/>
    <w:basedOn w:val="Normal"/>
    <w:uiPriority w:val="99"/>
    <w:semiHidden/>
    <w:unhideWhenUsed/>
    <w:rsid w:val="00713E5C"/>
    <w:pPr>
      <w:numPr>
        <w:numId w:val="10"/>
      </w:numPr>
      <w:contextualSpacing/>
    </w:pPr>
  </w:style>
  <w:style w:type="paragraph" w:styleId="MacroText">
    <w:name w:val="macro"/>
    <w:link w:val="MacroTextChar"/>
    <w:uiPriority w:val="99"/>
    <w:semiHidden/>
    <w:unhideWhenUsed/>
    <w:rsid w:val="00713E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713E5C"/>
    <w:rPr>
      <w:rFonts w:ascii="Consolas" w:hAnsi="Consolas" w:cs="Consolas"/>
      <w:sz w:val="20"/>
      <w:szCs w:val="20"/>
    </w:rPr>
  </w:style>
  <w:style w:type="paragraph" w:styleId="MessageHeader">
    <w:name w:val="Message Header"/>
    <w:basedOn w:val="Normal"/>
    <w:link w:val="MessageHeaderChar"/>
    <w:uiPriority w:val="99"/>
    <w:semiHidden/>
    <w:unhideWhenUsed/>
    <w:rsid w:val="00713E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13E5C"/>
    <w:rPr>
      <w:rFonts w:asciiTheme="majorHAnsi" w:eastAsiaTheme="majorEastAsia" w:hAnsiTheme="majorHAnsi" w:cstheme="majorBidi"/>
      <w:sz w:val="24"/>
      <w:szCs w:val="24"/>
      <w:shd w:val="pct20" w:color="auto" w:fill="auto"/>
    </w:rPr>
  </w:style>
  <w:style w:type="paragraph" w:styleId="NoSpacing">
    <w:name w:val="No Spacing"/>
    <w:uiPriority w:val="1"/>
    <w:qFormat/>
    <w:rsid w:val="00713E5C"/>
    <w:pPr>
      <w:spacing w:after="0" w:line="240" w:lineRule="auto"/>
    </w:pPr>
  </w:style>
  <w:style w:type="paragraph" w:styleId="NormalWeb">
    <w:name w:val="Normal (Web)"/>
    <w:basedOn w:val="Normal"/>
    <w:uiPriority w:val="99"/>
    <w:unhideWhenUsed/>
    <w:rsid w:val="00713E5C"/>
    <w:rPr>
      <w:rFonts w:ascii="Times New Roman" w:hAnsi="Times New Roman" w:cs="Times New Roman"/>
      <w:sz w:val="24"/>
      <w:szCs w:val="24"/>
    </w:rPr>
  </w:style>
  <w:style w:type="paragraph" w:styleId="NormalIndent">
    <w:name w:val="Normal Indent"/>
    <w:basedOn w:val="Normal"/>
    <w:uiPriority w:val="99"/>
    <w:semiHidden/>
    <w:unhideWhenUsed/>
    <w:rsid w:val="00713E5C"/>
    <w:pPr>
      <w:ind w:left="720"/>
    </w:pPr>
  </w:style>
  <w:style w:type="paragraph" w:styleId="NoteHeading">
    <w:name w:val="Note Heading"/>
    <w:basedOn w:val="Normal"/>
    <w:next w:val="Normal"/>
    <w:link w:val="NoteHeadingChar"/>
    <w:uiPriority w:val="99"/>
    <w:semiHidden/>
    <w:unhideWhenUsed/>
    <w:rsid w:val="00713E5C"/>
    <w:pPr>
      <w:spacing w:after="0" w:line="240" w:lineRule="auto"/>
    </w:pPr>
  </w:style>
  <w:style w:type="character" w:customStyle="1" w:styleId="NoteHeadingChar">
    <w:name w:val="Note Heading Char"/>
    <w:basedOn w:val="DefaultParagraphFont"/>
    <w:link w:val="NoteHeading"/>
    <w:uiPriority w:val="99"/>
    <w:semiHidden/>
    <w:rsid w:val="00713E5C"/>
  </w:style>
  <w:style w:type="paragraph" w:styleId="PlainText">
    <w:name w:val="Plain Text"/>
    <w:basedOn w:val="Normal"/>
    <w:link w:val="PlainTextChar"/>
    <w:uiPriority w:val="99"/>
    <w:semiHidden/>
    <w:unhideWhenUsed/>
    <w:rsid w:val="00713E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13E5C"/>
    <w:rPr>
      <w:rFonts w:ascii="Consolas" w:hAnsi="Consolas" w:cs="Consolas"/>
      <w:sz w:val="21"/>
      <w:szCs w:val="21"/>
    </w:rPr>
  </w:style>
  <w:style w:type="paragraph" w:styleId="Quote">
    <w:name w:val="Quote"/>
    <w:basedOn w:val="Normal"/>
    <w:next w:val="Normal"/>
    <w:link w:val="QuoteChar"/>
    <w:uiPriority w:val="29"/>
    <w:qFormat/>
    <w:rsid w:val="00ED4734"/>
    <w:pPr>
      <w:ind w:left="709"/>
    </w:pPr>
  </w:style>
  <w:style w:type="character" w:customStyle="1" w:styleId="QuoteChar">
    <w:name w:val="Quote Char"/>
    <w:basedOn w:val="DefaultParagraphFont"/>
    <w:link w:val="Quote"/>
    <w:uiPriority w:val="29"/>
    <w:rsid w:val="00ED4734"/>
  </w:style>
  <w:style w:type="paragraph" w:styleId="Salutation">
    <w:name w:val="Salutation"/>
    <w:basedOn w:val="Normal"/>
    <w:next w:val="Normal"/>
    <w:link w:val="SalutationChar"/>
    <w:uiPriority w:val="99"/>
    <w:semiHidden/>
    <w:unhideWhenUsed/>
    <w:rsid w:val="00713E5C"/>
  </w:style>
  <w:style w:type="character" w:customStyle="1" w:styleId="SalutationChar">
    <w:name w:val="Salutation Char"/>
    <w:basedOn w:val="DefaultParagraphFont"/>
    <w:link w:val="Salutation"/>
    <w:uiPriority w:val="99"/>
    <w:semiHidden/>
    <w:rsid w:val="00713E5C"/>
  </w:style>
  <w:style w:type="paragraph" w:styleId="Signature">
    <w:name w:val="Signature"/>
    <w:basedOn w:val="Normal"/>
    <w:link w:val="SignatureChar"/>
    <w:uiPriority w:val="99"/>
    <w:semiHidden/>
    <w:unhideWhenUsed/>
    <w:rsid w:val="00713E5C"/>
    <w:pPr>
      <w:spacing w:after="0" w:line="240" w:lineRule="auto"/>
      <w:ind w:left="4252"/>
    </w:pPr>
  </w:style>
  <w:style w:type="character" w:customStyle="1" w:styleId="SignatureChar">
    <w:name w:val="Signature Char"/>
    <w:basedOn w:val="DefaultParagraphFont"/>
    <w:link w:val="Signature"/>
    <w:uiPriority w:val="99"/>
    <w:semiHidden/>
    <w:rsid w:val="00713E5C"/>
  </w:style>
  <w:style w:type="paragraph" w:styleId="Subtitle">
    <w:name w:val="Subtitle"/>
    <w:basedOn w:val="Normal"/>
    <w:next w:val="Normal"/>
    <w:link w:val="SubtitleChar"/>
    <w:uiPriority w:val="11"/>
    <w:rsid w:val="00713E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3E5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13E5C"/>
    <w:pPr>
      <w:spacing w:after="0"/>
      <w:ind w:left="220" w:hanging="220"/>
    </w:pPr>
  </w:style>
  <w:style w:type="paragraph" w:styleId="TableofFigures">
    <w:name w:val="table of figures"/>
    <w:basedOn w:val="Normal"/>
    <w:next w:val="Normal"/>
    <w:uiPriority w:val="99"/>
    <w:semiHidden/>
    <w:unhideWhenUsed/>
    <w:rsid w:val="00713E5C"/>
    <w:pPr>
      <w:spacing w:after="0"/>
    </w:pPr>
  </w:style>
  <w:style w:type="paragraph" w:styleId="Title">
    <w:name w:val="Title"/>
    <w:basedOn w:val="Normal"/>
    <w:next w:val="Normal"/>
    <w:link w:val="TitleChar"/>
    <w:uiPriority w:val="10"/>
    <w:rsid w:val="00713E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E5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13E5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A0668C"/>
    <w:pPr>
      <w:keepNext/>
      <w:tabs>
        <w:tab w:val="right" w:leader="dot" w:pos="9061"/>
      </w:tabs>
      <w:spacing w:before="240" w:after="40" w:line="312" w:lineRule="auto"/>
      <w:ind w:left="288" w:hanging="288"/>
    </w:pPr>
    <w:rPr>
      <w:rFonts w:ascii="Calibri" w:eastAsia="Times New Roman" w:hAnsi="Calibri" w:cs="Times New Roman"/>
      <w:bCs/>
      <w:smallCaps/>
      <w:noProof/>
      <w:spacing w:val="40"/>
      <w:sz w:val="28"/>
      <w:szCs w:val="28"/>
    </w:rPr>
  </w:style>
  <w:style w:type="paragraph" w:styleId="TOC2">
    <w:name w:val="toc 2"/>
    <w:basedOn w:val="Normal"/>
    <w:next w:val="Normal"/>
    <w:autoRedefine/>
    <w:uiPriority w:val="39"/>
    <w:unhideWhenUsed/>
    <w:rsid w:val="00EB384D"/>
    <w:pPr>
      <w:tabs>
        <w:tab w:val="right" w:leader="dot" w:pos="9061"/>
      </w:tabs>
      <w:spacing w:before="120" w:after="0" w:line="240" w:lineRule="auto"/>
      <w:ind w:left="850" w:hanging="562"/>
    </w:pPr>
    <w:rPr>
      <w:rFonts w:ascii="Calibri" w:eastAsia="Times New Roman" w:hAnsi="Calibri" w:cs="Times New Roman"/>
      <w:b/>
      <w:sz w:val="24"/>
      <w:szCs w:val="24"/>
    </w:rPr>
  </w:style>
  <w:style w:type="paragraph" w:styleId="TOC3">
    <w:name w:val="toc 3"/>
    <w:basedOn w:val="Normal"/>
    <w:next w:val="Normal"/>
    <w:autoRedefine/>
    <w:uiPriority w:val="39"/>
    <w:unhideWhenUsed/>
    <w:rsid w:val="007D6C78"/>
    <w:pPr>
      <w:tabs>
        <w:tab w:val="right" w:leader="dot" w:pos="9016"/>
      </w:tabs>
      <w:spacing w:before="120" w:after="120" w:line="240" w:lineRule="auto"/>
      <w:ind w:left="692"/>
    </w:pPr>
    <w:rPr>
      <w:rFonts w:eastAsia="Times New Roman"/>
      <w:b/>
      <w:smallCaps/>
      <w:noProof/>
    </w:rPr>
  </w:style>
  <w:style w:type="paragraph" w:styleId="TOC4">
    <w:name w:val="toc 4"/>
    <w:basedOn w:val="Normal"/>
    <w:next w:val="Normal"/>
    <w:autoRedefine/>
    <w:unhideWhenUsed/>
    <w:rsid w:val="0097778C"/>
    <w:pPr>
      <w:tabs>
        <w:tab w:val="right" w:leader="dot" w:pos="9016"/>
      </w:tabs>
      <w:spacing w:beforeLines="100" w:afterLines="100" w:line="240" w:lineRule="auto"/>
      <w:ind w:left="658"/>
    </w:pPr>
    <w:rPr>
      <w:rFonts w:ascii="Arial Narrow" w:hAnsi="Arial Narrow"/>
      <w:b/>
      <w:noProof/>
      <w:sz w:val="24"/>
    </w:rPr>
  </w:style>
  <w:style w:type="paragraph" w:styleId="TOC5">
    <w:name w:val="toc 5"/>
    <w:basedOn w:val="Normal"/>
    <w:next w:val="Normal"/>
    <w:autoRedefine/>
    <w:uiPriority w:val="39"/>
    <w:semiHidden/>
    <w:unhideWhenUsed/>
    <w:rsid w:val="00713E5C"/>
    <w:pPr>
      <w:spacing w:after="100"/>
      <w:ind w:left="880"/>
    </w:pPr>
  </w:style>
  <w:style w:type="paragraph" w:styleId="TOC6">
    <w:name w:val="toc 6"/>
    <w:basedOn w:val="Normal"/>
    <w:next w:val="Normal"/>
    <w:autoRedefine/>
    <w:uiPriority w:val="39"/>
    <w:semiHidden/>
    <w:unhideWhenUsed/>
    <w:rsid w:val="00713E5C"/>
    <w:pPr>
      <w:spacing w:after="100"/>
      <w:ind w:left="1100"/>
    </w:pPr>
  </w:style>
  <w:style w:type="paragraph" w:styleId="TOC7">
    <w:name w:val="toc 7"/>
    <w:basedOn w:val="Normal"/>
    <w:next w:val="Normal"/>
    <w:autoRedefine/>
    <w:uiPriority w:val="39"/>
    <w:semiHidden/>
    <w:unhideWhenUsed/>
    <w:rsid w:val="00713E5C"/>
    <w:pPr>
      <w:spacing w:after="100"/>
      <w:ind w:left="1320"/>
    </w:pPr>
  </w:style>
  <w:style w:type="paragraph" w:styleId="TOC8">
    <w:name w:val="toc 8"/>
    <w:basedOn w:val="Normal"/>
    <w:next w:val="Normal"/>
    <w:autoRedefine/>
    <w:uiPriority w:val="39"/>
    <w:semiHidden/>
    <w:unhideWhenUsed/>
    <w:rsid w:val="00713E5C"/>
    <w:pPr>
      <w:spacing w:after="100"/>
      <w:ind w:left="1540"/>
    </w:pPr>
  </w:style>
  <w:style w:type="paragraph" w:styleId="TOC9">
    <w:name w:val="toc 9"/>
    <w:basedOn w:val="Normal"/>
    <w:next w:val="Normal"/>
    <w:autoRedefine/>
    <w:uiPriority w:val="39"/>
    <w:semiHidden/>
    <w:unhideWhenUsed/>
    <w:rsid w:val="00713E5C"/>
    <w:pPr>
      <w:spacing w:after="100"/>
      <w:ind w:left="1760"/>
    </w:pPr>
  </w:style>
  <w:style w:type="paragraph" w:styleId="TOCHeading">
    <w:name w:val="TOC Heading"/>
    <w:basedOn w:val="Heading1"/>
    <w:next w:val="Normal"/>
    <w:unhideWhenUsed/>
    <w:qFormat/>
    <w:rsid w:val="00116E9B"/>
    <w:pPr>
      <w:spacing w:before="240" w:after="240"/>
      <w:jc w:val="left"/>
      <w:outlineLvl w:val="9"/>
    </w:pPr>
    <w:rPr>
      <w:smallCaps w:val="0"/>
      <w:sz w:val="30"/>
    </w:rPr>
  </w:style>
  <w:style w:type="character" w:styleId="Hyperlink">
    <w:name w:val="Hyperlink"/>
    <w:basedOn w:val="DefaultParagraphFont"/>
    <w:uiPriority w:val="99"/>
    <w:unhideWhenUsed/>
    <w:rsid w:val="00AD53EA"/>
    <w:rPr>
      <w:color w:val="0000FF"/>
    </w:rPr>
  </w:style>
  <w:style w:type="character" w:styleId="FootnoteReference">
    <w:name w:val="footnote reference"/>
    <w:aliases w:val="Footnote number,Footnotes refss"/>
    <w:basedOn w:val="DefaultParagraphFont"/>
    <w:uiPriority w:val="99"/>
    <w:unhideWhenUsed/>
    <w:rsid w:val="006013DE"/>
    <w:rPr>
      <w:vertAlign w:val="superscript"/>
    </w:rPr>
  </w:style>
  <w:style w:type="character" w:styleId="Strong">
    <w:name w:val="Strong"/>
    <w:basedOn w:val="DefaultParagraphFont"/>
    <w:uiPriority w:val="22"/>
    <w:qFormat/>
    <w:rsid w:val="00034ADC"/>
    <w:rPr>
      <w:b/>
      <w:bCs/>
    </w:rPr>
  </w:style>
  <w:style w:type="paragraph" w:customStyle="1" w:styleId="Bodycopy">
    <w:name w:val="Body copy"/>
    <w:qFormat/>
    <w:rsid w:val="00133AB1"/>
    <w:pPr>
      <w:widowControl w:val="0"/>
      <w:tabs>
        <w:tab w:val="left" w:pos="1276"/>
      </w:tabs>
      <w:spacing w:before="240" w:after="240" w:line="300" w:lineRule="exact"/>
    </w:pPr>
    <w:rPr>
      <w:rFonts w:ascii="Calibri" w:eastAsia="Calibri" w:hAnsi="Calibri" w:cs="Calibri"/>
      <w:color w:val="000000"/>
      <w:szCs w:val="20"/>
      <w:lang w:eastAsia="en-AU"/>
    </w:rPr>
  </w:style>
  <w:style w:type="character" w:styleId="FollowedHyperlink">
    <w:name w:val="FollowedHyperlink"/>
    <w:basedOn w:val="DefaultParagraphFont"/>
    <w:unhideWhenUsed/>
    <w:rsid w:val="00670CBD"/>
    <w:rPr>
      <w:color w:val="954F72" w:themeColor="followedHyperlink"/>
      <w:u w:val="single"/>
    </w:rPr>
  </w:style>
  <w:style w:type="paragraph" w:customStyle="1" w:styleId="Amain">
    <w:name w:val="A main"/>
    <w:basedOn w:val="Normal"/>
    <w:link w:val="AmainChar"/>
    <w:rsid w:val="00833A3B"/>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rPr>
  </w:style>
  <w:style w:type="paragraph" w:customStyle="1" w:styleId="Apara">
    <w:name w:val="A para"/>
    <w:basedOn w:val="Normal"/>
    <w:link w:val="AparaChar"/>
    <w:rsid w:val="00833A3B"/>
    <w:pPr>
      <w:tabs>
        <w:tab w:val="right" w:pos="1400"/>
        <w:tab w:val="left" w:pos="1600"/>
      </w:tabs>
      <w:spacing w:before="140" w:after="0" w:line="240" w:lineRule="auto"/>
      <w:ind w:left="1600" w:hanging="1600"/>
      <w:jc w:val="both"/>
      <w:outlineLvl w:val="6"/>
    </w:pPr>
    <w:rPr>
      <w:rFonts w:ascii="Times New Roman" w:eastAsia="Times New Roman" w:hAnsi="Times New Roman" w:cs="Times New Roman"/>
      <w:sz w:val="24"/>
      <w:szCs w:val="20"/>
    </w:rPr>
  </w:style>
  <w:style w:type="paragraph" w:customStyle="1" w:styleId="Asubpara">
    <w:name w:val="A subpara"/>
    <w:basedOn w:val="Normal"/>
    <w:rsid w:val="00833A3B"/>
    <w:pPr>
      <w:tabs>
        <w:tab w:val="right" w:pos="1900"/>
        <w:tab w:val="left" w:pos="2100"/>
      </w:tabs>
      <w:spacing w:before="140" w:after="0" w:line="240" w:lineRule="auto"/>
      <w:ind w:left="2100" w:hanging="2100"/>
      <w:jc w:val="both"/>
      <w:outlineLvl w:val="7"/>
    </w:pPr>
    <w:rPr>
      <w:rFonts w:ascii="Times New Roman" w:eastAsia="Times New Roman" w:hAnsi="Times New Roman" w:cs="Times New Roman"/>
      <w:sz w:val="24"/>
      <w:szCs w:val="20"/>
    </w:rPr>
  </w:style>
  <w:style w:type="character" w:customStyle="1" w:styleId="charItals">
    <w:name w:val="charItals"/>
    <w:basedOn w:val="DefaultParagraphFont"/>
    <w:rsid w:val="00833A3B"/>
    <w:rPr>
      <w:rFonts w:cs="Times New Roman"/>
      <w:i/>
    </w:rPr>
  </w:style>
  <w:style w:type="paragraph" w:customStyle="1" w:styleId="aNotepar">
    <w:name w:val="aNotepar"/>
    <w:basedOn w:val="Normal"/>
    <w:next w:val="Normal"/>
    <w:rsid w:val="00833A3B"/>
    <w:pPr>
      <w:spacing w:before="140" w:after="0" w:line="240" w:lineRule="auto"/>
      <w:ind w:left="2400" w:hanging="800"/>
      <w:jc w:val="both"/>
    </w:pPr>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833A3B"/>
    <w:rPr>
      <w:rFonts w:cs="Times New Roman"/>
      <w:color w:val="0563C1" w:themeColor="hyperlink"/>
      <w:u w:val="none"/>
    </w:rPr>
  </w:style>
  <w:style w:type="paragraph" w:customStyle="1" w:styleId="Amainreturn">
    <w:name w:val="A main return"/>
    <w:basedOn w:val="Normal"/>
    <w:link w:val="AmainreturnChar"/>
    <w:rsid w:val="00BC1FB7"/>
    <w:pPr>
      <w:spacing w:before="140" w:after="0" w:line="240" w:lineRule="auto"/>
      <w:ind w:left="1100"/>
      <w:jc w:val="both"/>
    </w:pPr>
    <w:rPr>
      <w:rFonts w:ascii="Times New Roman" w:eastAsia="Times New Roman" w:hAnsi="Times New Roman" w:cs="Times New Roman"/>
      <w:sz w:val="24"/>
      <w:szCs w:val="20"/>
    </w:rPr>
  </w:style>
  <w:style w:type="paragraph" w:customStyle="1" w:styleId="aNote">
    <w:name w:val="aNote"/>
    <w:basedOn w:val="Normal"/>
    <w:link w:val="aNoteChar"/>
    <w:rsid w:val="00BC1FB7"/>
    <w:pPr>
      <w:spacing w:before="140" w:after="0" w:line="240" w:lineRule="auto"/>
      <w:ind w:left="1900" w:hanging="800"/>
      <w:jc w:val="both"/>
    </w:pPr>
    <w:rPr>
      <w:rFonts w:ascii="Times New Roman" w:eastAsia="Times New Roman" w:hAnsi="Times New Roman" w:cs="Times New Roman"/>
      <w:sz w:val="20"/>
      <w:szCs w:val="20"/>
    </w:rPr>
  </w:style>
  <w:style w:type="paragraph" w:customStyle="1" w:styleId="IH5Sec">
    <w:name w:val="I H5 Sec"/>
    <w:basedOn w:val="Normal"/>
    <w:next w:val="Normal"/>
    <w:rsid w:val="00BC1FB7"/>
    <w:pPr>
      <w:keepNext/>
      <w:tabs>
        <w:tab w:val="left" w:pos="1100"/>
      </w:tabs>
      <w:spacing w:before="240" w:after="0" w:line="240" w:lineRule="auto"/>
      <w:ind w:left="1100" w:hanging="1100"/>
    </w:pPr>
    <w:rPr>
      <w:rFonts w:ascii="Arial" w:eastAsia="Times New Roman" w:hAnsi="Arial" w:cs="Times New Roman"/>
      <w:b/>
      <w:sz w:val="24"/>
      <w:szCs w:val="20"/>
    </w:rPr>
  </w:style>
  <w:style w:type="paragraph" w:customStyle="1" w:styleId="Ipara">
    <w:name w:val="I para"/>
    <w:basedOn w:val="Apara"/>
    <w:rsid w:val="00BC1FB7"/>
    <w:pPr>
      <w:outlineLvl w:val="9"/>
    </w:pPr>
  </w:style>
  <w:style w:type="paragraph" w:customStyle="1" w:styleId="PenaltyPara">
    <w:name w:val="PenaltyPara"/>
    <w:basedOn w:val="Normal"/>
    <w:rsid w:val="00BC1FB7"/>
    <w:pPr>
      <w:tabs>
        <w:tab w:val="left" w:pos="0"/>
        <w:tab w:val="right" w:pos="1360"/>
      </w:tabs>
      <w:spacing w:before="60" w:after="0" w:line="240" w:lineRule="auto"/>
      <w:ind w:left="1600" w:hanging="1600"/>
      <w:jc w:val="both"/>
    </w:pPr>
    <w:rPr>
      <w:rFonts w:ascii="Times New Roman" w:eastAsia="Times New Roman" w:hAnsi="Times New Roman" w:cs="Times New Roman"/>
      <w:sz w:val="24"/>
      <w:szCs w:val="20"/>
    </w:rPr>
  </w:style>
  <w:style w:type="paragraph" w:customStyle="1" w:styleId="Penalty">
    <w:name w:val="Penalty"/>
    <w:basedOn w:val="Amainreturn"/>
    <w:rsid w:val="00BC1FB7"/>
  </w:style>
  <w:style w:type="character" w:customStyle="1" w:styleId="aNoteChar">
    <w:name w:val="aNote Char"/>
    <w:basedOn w:val="DefaultParagraphFont"/>
    <w:link w:val="aNote"/>
    <w:locked/>
    <w:rsid w:val="00BC1FB7"/>
    <w:rPr>
      <w:rFonts w:ascii="Times New Roman" w:eastAsia="Times New Roman" w:hAnsi="Times New Roman" w:cs="Times New Roman"/>
      <w:sz w:val="20"/>
      <w:szCs w:val="20"/>
    </w:rPr>
  </w:style>
  <w:style w:type="character" w:customStyle="1" w:styleId="AmainreturnChar">
    <w:name w:val="A main return Char"/>
    <w:basedOn w:val="DefaultParagraphFont"/>
    <w:link w:val="Amainreturn"/>
    <w:locked/>
    <w:rsid w:val="00BC1FB7"/>
    <w:rPr>
      <w:rFonts w:ascii="Times New Roman" w:eastAsia="Times New Roman" w:hAnsi="Times New Roman" w:cs="Times New Roman"/>
      <w:sz w:val="24"/>
      <w:szCs w:val="20"/>
    </w:rPr>
  </w:style>
  <w:style w:type="paragraph" w:customStyle="1" w:styleId="Headiong5">
    <w:name w:val="Headiong 5"/>
    <w:basedOn w:val="Normal"/>
    <w:rsid w:val="007F6E9B"/>
    <w:pPr>
      <w:keepNext/>
      <w:keepLines/>
      <w:outlineLvl w:val="4"/>
    </w:pPr>
    <w:rPr>
      <w:rFonts w:ascii="Arial Narrow" w:eastAsia="Times New Roman" w:hAnsi="Arial Narrow" w:cs="Times New Roman"/>
      <w:iCs/>
      <w:smallCaps/>
      <w:szCs w:val="24"/>
    </w:rPr>
  </w:style>
  <w:style w:type="paragraph" w:customStyle="1" w:styleId="Paper">
    <w:name w:val="Paper"/>
    <w:rsid w:val="00434745"/>
    <w:pPr>
      <w:spacing w:after="120" w:line="240" w:lineRule="auto"/>
    </w:pPr>
    <w:rPr>
      <w:rFonts w:ascii="Times New Roman" w:eastAsia="Times New Roman" w:hAnsi="Times New Roman" w:cs="Times New Roman"/>
      <w:sz w:val="24"/>
      <w:szCs w:val="20"/>
    </w:rPr>
  </w:style>
  <w:style w:type="paragraph" w:customStyle="1" w:styleId="Hyper">
    <w:name w:val="Hyper"/>
    <w:basedOn w:val="Normal"/>
    <w:rsid w:val="0093399E"/>
    <w:pPr>
      <w:spacing w:line="280" w:lineRule="atLeast"/>
    </w:pPr>
    <w:rPr>
      <w:rFonts w:ascii="Calibri" w:eastAsia="Times New Roman" w:hAnsi="Calibri" w:cs="Calibri"/>
      <w:color w:val="1F3864" w:themeColor="accent5" w:themeShade="80"/>
    </w:rPr>
  </w:style>
  <w:style w:type="paragraph" w:customStyle="1" w:styleId="Bodycopynumbered">
    <w:name w:val="Body copy numbered"/>
    <w:rsid w:val="00196028"/>
    <w:pPr>
      <w:keepNext/>
      <w:widowControl w:val="0"/>
      <w:spacing w:before="240" w:after="100" w:line="300" w:lineRule="exact"/>
      <w:ind w:left="567" w:hanging="567"/>
      <w:outlineLvl w:val="1"/>
    </w:pPr>
    <w:rPr>
      <w:rFonts w:ascii="Calibri" w:eastAsia="Calibri" w:hAnsi="Calibri" w:cs="Arial"/>
      <w:bCs/>
      <w:kern w:val="32"/>
      <w:szCs w:val="20"/>
    </w:rPr>
  </w:style>
  <w:style w:type="paragraph" w:customStyle="1" w:styleId="Body">
    <w:name w:val="Body"/>
    <w:basedOn w:val="Paper"/>
    <w:rsid w:val="00BB4F51"/>
    <w:rPr>
      <w:rFonts w:ascii="Calibri" w:hAnsi="Calibri" w:cs="Calibri"/>
      <w:b/>
    </w:rPr>
  </w:style>
  <w:style w:type="paragraph" w:customStyle="1" w:styleId="headingparagraph">
    <w:name w:val="headingparagraph"/>
    <w:basedOn w:val="Normal"/>
    <w:rsid w:val="00B422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name">
    <w:name w:val="headingname"/>
    <w:basedOn w:val="DefaultParagraphFont"/>
    <w:rsid w:val="00B422D9"/>
  </w:style>
  <w:style w:type="character" w:customStyle="1" w:styleId="listnumber0">
    <w:name w:val="listnumber"/>
    <w:basedOn w:val="DefaultParagraphFont"/>
    <w:rsid w:val="00B422D9"/>
  </w:style>
  <w:style w:type="character" w:customStyle="1" w:styleId="CharSectNo">
    <w:name w:val="CharSectNo"/>
    <w:rsid w:val="00B76B42"/>
    <w:rPr>
      <w:rFonts w:cs="Times New Roman"/>
    </w:rPr>
  </w:style>
  <w:style w:type="paragraph" w:customStyle="1" w:styleId="Schclauseheading">
    <w:name w:val="Sch clause heading"/>
    <w:basedOn w:val="Normal"/>
    <w:next w:val="Normal"/>
    <w:rsid w:val="00B76B42"/>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paragraph" w:customStyle="1" w:styleId="AH5Sec">
    <w:name w:val="A H5 Sec"/>
    <w:basedOn w:val="Normal"/>
    <w:next w:val="Amain"/>
    <w:link w:val="AH5SecChar"/>
    <w:rsid w:val="004B2546"/>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character" w:customStyle="1" w:styleId="charBoldItals">
    <w:name w:val="charBoldItals"/>
    <w:basedOn w:val="DefaultParagraphFont"/>
    <w:rsid w:val="004B2546"/>
    <w:rPr>
      <w:b/>
      <w:i/>
    </w:rPr>
  </w:style>
  <w:style w:type="character" w:customStyle="1" w:styleId="AH5SecChar">
    <w:name w:val="A H5 Sec Char"/>
    <w:basedOn w:val="DefaultParagraphFont"/>
    <w:link w:val="AH5Sec"/>
    <w:locked/>
    <w:rsid w:val="004B2546"/>
    <w:rPr>
      <w:rFonts w:ascii="Arial" w:eastAsia="Times New Roman" w:hAnsi="Arial" w:cs="Times New Roman"/>
      <w:b/>
      <w:sz w:val="24"/>
      <w:szCs w:val="20"/>
    </w:rPr>
  </w:style>
  <w:style w:type="paragraph" w:customStyle="1" w:styleId="PaperTitle">
    <w:name w:val="PaperTitle"/>
    <w:basedOn w:val="Normal"/>
    <w:rsid w:val="003446DE"/>
    <w:pPr>
      <w:tabs>
        <w:tab w:val="left" w:leader="dot" w:pos="6379"/>
      </w:tabs>
      <w:spacing w:before="0" w:after="0" w:line="240" w:lineRule="auto"/>
      <w:ind w:left="284" w:hanging="284"/>
    </w:pPr>
    <w:rPr>
      <w:rFonts w:ascii="Times New (W1)" w:eastAsia="Times New Roman" w:hAnsi="Times New (W1)" w:cs="Times New Roman"/>
      <w:sz w:val="20"/>
      <w:szCs w:val="20"/>
      <w:lang w:eastAsia="en-AU"/>
    </w:rPr>
  </w:style>
  <w:style w:type="paragraph" w:customStyle="1" w:styleId="aDef">
    <w:name w:val="aDef"/>
    <w:basedOn w:val="Normal"/>
    <w:link w:val="aDefChar"/>
    <w:rsid w:val="009B1FDD"/>
    <w:pPr>
      <w:spacing w:before="140" w:after="0" w:line="240" w:lineRule="auto"/>
      <w:ind w:left="1100"/>
      <w:jc w:val="both"/>
    </w:pPr>
    <w:rPr>
      <w:rFonts w:ascii="Times New Roman" w:eastAsia="Times New Roman" w:hAnsi="Times New Roman" w:cs="Times New Roman"/>
      <w:sz w:val="24"/>
      <w:szCs w:val="20"/>
      <w:lang w:eastAsia="en-AU"/>
    </w:rPr>
  </w:style>
  <w:style w:type="character" w:customStyle="1" w:styleId="aDefChar">
    <w:name w:val="aDef Char"/>
    <w:link w:val="aDef"/>
    <w:locked/>
    <w:rsid w:val="009B1FDD"/>
    <w:rPr>
      <w:rFonts w:ascii="Times New Roman" w:eastAsia="Times New Roman" w:hAnsi="Times New Roman" w:cs="Times New Roman"/>
      <w:sz w:val="24"/>
      <w:szCs w:val="20"/>
      <w:lang w:eastAsia="en-AU"/>
    </w:rPr>
  </w:style>
  <w:style w:type="paragraph" w:customStyle="1" w:styleId="Idefpara">
    <w:name w:val="I def para"/>
    <w:basedOn w:val="Ipara"/>
    <w:rsid w:val="009B1FDD"/>
  </w:style>
  <w:style w:type="paragraph" w:customStyle="1" w:styleId="Idefsubpara">
    <w:name w:val="I def subpara"/>
    <w:basedOn w:val="Normal"/>
    <w:rsid w:val="009B1FDD"/>
    <w:pPr>
      <w:tabs>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Bodycopybulletlevel2">
    <w:name w:val="Body copy bullet level 2"/>
    <w:rsid w:val="00DF23C5"/>
    <w:pPr>
      <w:keepNext/>
      <w:widowControl w:val="0"/>
      <w:numPr>
        <w:numId w:val="15"/>
      </w:numPr>
      <w:spacing w:after="0" w:line="240" w:lineRule="auto"/>
      <w:ind w:left="1701" w:hanging="567"/>
    </w:pPr>
    <w:rPr>
      <w:rFonts w:ascii="Calibri" w:eastAsia="Times New Roman" w:hAnsi="Calibri" w:cs="Calibri"/>
      <w:color w:val="000000"/>
      <w:szCs w:val="20"/>
      <w:lang w:eastAsia="en-AU"/>
    </w:rPr>
  </w:style>
  <w:style w:type="paragraph" w:customStyle="1" w:styleId="Titleheading">
    <w:name w:val="Title heading"/>
    <w:next w:val="Bodycopy"/>
    <w:rsid w:val="00DF23C5"/>
    <w:pPr>
      <w:keepNext/>
      <w:pageBreakBefore/>
      <w:widowControl w:val="0"/>
      <w:tabs>
        <w:tab w:val="left" w:pos="9643"/>
      </w:tabs>
      <w:spacing w:afterLines="200" w:after="0" w:line="240" w:lineRule="auto"/>
      <w:outlineLvl w:val="0"/>
    </w:pPr>
    <w:rPr>
      <w:rFonts w:ascii="Arial Narrow" w:eastAsia="Calibri" w:hAnsi="Arial Narrow" w:cs="Arial Narrow"/>
      <w:smallCaps/>
      <w:color w:val="000000"/>
      <w:sz w:val="60"/>
      <w:szCs w:val="60"/>
      <w:lang w:eastAsia="en-AU"/>
    </w:rPr>
  </w:style>
  <w:style w:type="table" w:customStyle="1" w:styleId="LightShading1">
    <w:name w:val="Light Shading1"/>
    <w:rsid w:val="00DF23C5"/>
    <w:pPr>
      <w:spacing w:after="0" w:line="240" w:lineRule="auto"/>
    </w:pPr>
    <w:rPr>
      <w:rFonts w:ascii="Calibri" w:eastAsia="Calibri" w:hAnsi="Calibri" w:cs="Times New Roman"/>
      <w:color w:val="000000"/>
      <w:sz w:val="20"/>
      <w:szCs w:val="20"/>
      <w:lang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Bulletlistlevel1">
    <w:name w:val="Bullet list  level 1"/>
    <w:qFormat/>
    <w:rsid w:val="00DF23C5"/>
    <w:pPr>
      <w:keepNext/>
      <w:widowControl w:val="0"/>
      <w:numPr>
        <w:numId w:val="14"/>
      </w:numPr>
      <w:spacing w:before="120" w:after="120" w:line="300" w:lineRule="exact"/>
      <w:ind w:left="1134" w:hanging="567"/>
    </w:pPr>
    <w:rPr>
      <w:rFonts w:ascii="Calibri" w:eastAsia="Times New Roman" w:hAnsi="Calibri" w:cs="Calibri"/>
      <w:color w:val="000000"/>
      <w:szCs w:val="20"/>
      <w:lang w:eastAsia="en-AU"/>
    </w:rPr>
  </w:style>
  <w:style w:type="paragraph" w:customStyle="1" w:styleId="Tableheading">
    <w:name w:val="Table heading"/>
    <w:rsid w:val="00DF23C5"/>
    <w:pPr>
      <w:keepNext/>
      <w:widowControl w:val="0"/>
      <w:spacing w:before="120" w:after="120" w:line="240" w:lineRule="auto"/>
    </w:pPr>
    <w:rPr>
      <w:rFonts w:ascii="Arial Narrow" w:eastAsia="Times New Roman" w:hAnsi="Arial Narrow" w:cs="Calibri"/>
      <w:b/>
      <w:bCs/>
      <w:smallCaps/>
      <w:color w:val="FFFFFF"/>
      <w:szCs w:val="20"/>
      <w:lang w:eastAsia="en-AU"/>
    </w:rPr>
  </w:style>
  <w:style w:type="paragraph" w:customStyle="1" w:styleId="Tablebodycopy">
    <w:name w:val="Table body copy"/>
    <w:rsid w:val="00DF23C5"/>
    <w:pPr>
      <w:keepNext/>
      <w:widowControl w:val="0"/>
      <w:spacing w:before="120" w:after="120" w:line="240" w:lineRule="auto"/>
    </w:pPr>
    <w:rPr>
      <w:rFonts w:ascii="Calibri" w:eastAsia="Times New Roman" w:hAnsi="Calibri" w:cs="Calibri"/>
      <w:bCs/>
      <w:szCs w:val="20"/>
      <w:lang w:eastAsia="en-AU"/>
    </w:rPr>
  </w:style>
  <w:style w:type="paragraph" w:customStyle="1" w:styleId="Bulletlistquote">
    <w:name w:val="Bullet list quote"/>
    <w:rsid w:val="00DF23C5"/>
    <w:pPr>
      <w:keepNext/>
      <w:widowControl w:val="0"/>
      <w:spacing w:after="0" w:line="240" w:lineRule="auto"/>
      <w:ind w:left="1701"/>
    </w:pPr>
    <w:rPr>
      <w:rFonts w:ascii="Calibri" w:eastAsia="Times New Roman" w:hAnsi="Calibri" w:cs="Calibri"/>
      <w:i/>
      <w:color w:val="000000"/>
      <w:szCs w:val="20"/>
      <w:lang w:eastAsia="en-AU"/>
    </w:rPr>
  </w:style>
  <w:style w:type="paragraph" w:customStyle="1" w:styleId="TOCHeading1">
    <w:name w:val="TOC Heading1"/>
    <w:rsid w:val="00DF23C5"/>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paragraph" w:customStyle="1" w:styleId="Heading1nonumber">
    <w:name w:val="Heading 1 no number"/>
    <w:next w:val="Bodycopynumbered"/>
    <w:rsid w:val="00DF23C5"/>
    <w:pPr>
      <w:keepNext/>
      <w:widowControl w:val="0"/>
      <w:spacing w:after="100" w:line="240" w:lineRule="auto"/>
    </w:pPr>
    <w:rPr>
      <w:rFonts w:ascii="Arial Narrow" w:eastAsia="Calibri" w:hAnsi="Arial Narrow" w:cs="Times New Roman"/>
      <w:bCs/>
      <w:smallCaps/>
      <w:color w:val="000000"/>
      <w:sz w:val="44"/>
      <w:szCs w:val="44"/>
    </w:rPr>
  </w:style>
  <w:style w:type="paragraph" w:customStyle="1" w:styleId="Bodycopynumbered2">
    <w:name w:val="Body copy numbered 2"/>
    <w:rsid w:val="00DF23C5"/>
    <w:pPr>
      <w:keepNext/>
      <w:widowControl w:val="0"/>
      <w:numPr>
        <w:numId w:val="20"/>
      </w:numPr>
      <w:spacing w:before="120" w:after="120" w:line="300" w:lineRule="exact"/>
      <w:ind w:left="567" w:hanging="567"/>
    </w:pPr>
    <w:rPr>
      <w:rFonts w:ascii="Calibri" w:eastAsia="Times New Roman" w:hAnsi="Calibri" w:cs="Calibri"/>
      <w:color w:val="000000"/>
      <w:szCs w:val="20"/>
      <w:lang w:eastAsia="en-AU"/>
    </w:rPr>
  </w:style>
  <w:style w:type="paragraph" w:customStyle="1" w:styleId="Committeemembership">
    <w:name w:val="Committee membership"/>
    <w:next w:val="Bodycopy"/>
    <w:rsid w:val="00DF23C5"/>
    <w:pPr>
      <w:keepNext/>
      <w:widowControl w:val="0"/>
      <w:spacing w:beforeLines="100" w:afterLines="100" w:after="0" w:line="240" w:lineRule="auto"/>
      <w:outlineLvl w:val="0"/>
    </w:pPr>
    <w:rPr>
      <w:rFonts w:ascii="Arial Narrow" w:eastAsia="Calibri" w:hAnsi="Arial Narrow" w:cs="Arial Narrow"/>
      <w:smallCaps/>
      <w:sz w:val="44"/>
      <w:szCs w:val="44"/>
    </w:rPr>
  </w:style>
  <w:style w:type="paragraph" w:customStyle="1" w:styleId="Secretariat">
    <w:name w:val="Secretariat"/>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Contactinformation">
    <w:name w:val="Contact information"/>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Recommendationsheading">
    <w:name w:val="Recommendations heading"/>
    <w:next w:val="Recommendationbodycopy"/>
    <w:rsid w:val="00DF23C5"/>
    <w:pPr>
      <w:keepNext/>
      <w:pageBreakBefore/>
      <w:widowControl w:val="0"/>
      <w:spacing w:after="240" w:line="240" w:lineRule="auto"/>
    </w:pPr>
    <w:rPr>
      <w:rFonts w:ascii="Arial Narrow" w:eastAsia="Calibri" w:hAnsi="Arial Narrow" w:cs="Times New Roman"/>
      <w:bCs/>
      <w:smallCaps/>
      <w:color w:val="000000"/>
      <w:sz w:val="44"/>
      <w:szCs w:val="44"/>
    </w:rPr>
  </w:style>
  <w:style w:type="character" w:styleId="PageNumber">
    <w:name w:val="page number"/>
    <w:rsid w:val="00DF23C5"/>
    <w:rPr>
      <w:rFonts w:ascii="Calibri" w:hAnsi="Calibri" w:cs="Times New Roman"/>
      <w:b/>
      <w:sz w:val="18"/>
      <w:szCs w:val="18"/>
    </w:rPr>
  </w:style>
  <w:style w:type="paragraph" w:customStyle="1" w:styleId="Recommendationbodycopy">
    <w:name w:val="Recommendation body copy"/>
    <w:rsid w:val="00DF23C5"/>
    <w:pPr>
      <w:keepNext/>
      <w:widowControl w:val="0"/>
      <w:spacing w:after="0" w:line="240" w:lineRule="auto"/>
    </w:pPr>
    <w:rPr>
      <w:rFonts w:ascii="Arial Narrow" w:eastAsia="Calibri" w:hAnsi="Arial Narrow" w:cs="Arial"/>
      <w:bCs/>
      <w:kern w:val="32"/>
      <w:szCs w:val="20"/>
    </w:rPr>
  </w:style>
  <w:style w:type="paragraph" w:customStyle="1" w:styleId="Recommendationbodycopynumbered">
    <w:name w:val="Recommendation body copy numbered"/>
    <w:rsid w:val="00DF23C5"/>
    <w:pPr>
      <w:keepNext/>
      <w:widowControl w:val="0"/>
      <w:numPr>
        <w:ilvl w:val="1"/>
        <w:numId w:val="22"/>
      </w:numPr>
      <w:spacing w:before="200" w:after="200" w:line="240" w:lineRule="auto"/>
      <w:ind w:left="578" w:hanging="578"/>
      <w:outlineLvl w:val="7"/>
    </w:pPr>
    <w:rPr>
      <w:rFonts w:ascii="Arial Narrow" w:eastAsia="Calibri" w:hAnsi="Arial Narrow" w:cs="Arial"/>
      <w:b/>
      <w:bCs/>
      <w:kern w:val="32"/>
      <w:szCs w:val="20"/>
    </w:rPr>
  </w:style>
  <w:style w:type="paragraph" w:customStyle="1" w:styleId="Recommendationheadingbody">
    <w:name w:val="Recommendation heading body"/>
    <w:next w:val="Recommendationbodycopynumbered"/>
    <w:rsid w:val="00DF23C5"/>
    <w:pPr>
      <w:keepNext/>
      <w:widowControl w:val="0"/>
      <w:spacing w:beforeLines="150" w:afterLines="100" w:after="0" w:line="240" w:lineRule="auto"/>
      <w:outlineLvl w:val="6"/>
    </w:pPr>
    <w:rPr>
      <w:rFonts w:ascii="Arial Narrow" w:eastAsia="Calibri" w:hAnsi="Arial Narrow" w:cs="Arial Narrow"/>
      <w:b/>
      <w:smallCaps/>
      <w:sz w:val="30"/>
      <w:szCs w:val="30"/>
    </w:rPr>
  </w:style>
  <w:style w:type="paragraph" w:customStyle="1" w:styleId="Bodycopybulletlevel1alpha">
    <w:name w:val="Body copy bullet level 1 alpha"/>
    <w:rsid w:val="00DF23C5"/>
    <w:pPr>
      <w:keepNext/>
      <w:widowControl w:val="0"/>
      <w:numPr>
        <w:numId w:val="17"/>
      </w:numPr>
      <w:spacing w:after="0" w:line="240" w:lineRule="auto"/>
      <w:ind w:left="851" w:hanging="284"/>
    </w:pPr>
    <w:rPr>
      <w:rFonts w:ascii="Calibri" w:eastAsia="Times New Roman" w:hAnsi="Calibri" w:cs="Calibri"/>
      <w:color w:val="000000"/>
      <w:szCs w:val="20"/>
      <w:lang w:eastAsia="en-AU"/>
    </w:rPr>
  </w:style>
  <w:style w:type="paragraph" w:customStyle="1" w:styleId="Headereven">
    <w:name w:val="Header even"/>
    <w:rsid w:val="00DF23C5"/>
    <w:pPr>
      <w:keepNext/>
      <w:widowControl w:val="0"/>
      <w:tabs>
        <w:tab w:val="center" w:pos="4513"/>
        <w:tab w:val="right" w:pos="9026"/>
      </w:tabs>
      <w:spacing w:after="0" w:line="240" w:lineRule="auto"/>
    </w:pPr>
    <w:rPr>
      <w:rFonts w:ascii="Calibri" w:eastAsia="Calibri" w:hAnsi="Calibri" w:cs="Arial Narrow"/>
      <w:smallCaps/>
      <w:szCs w:val="20"/>
    </w:rPr>
  </w:style>
  <w:style w:type="paragraph" w:customStyle="1" w:styleId="Headerodd">
    <w:name w:val="Header odd"/>
    <w:rsid w:val="00DF23C5"/>
    <w:pPr>
      <w:keepNext/>
      <w:widowControl w:val="0"/>
      <w:tabs>
        <w:tab w:val="center" w:pos="4513"/>
        <w:tab w:val="right" w:pos="9026"/>
      </w:tabs>
      <w:spacing w:after="0" w:line="240" w:lineRule="auto"/>
      <w:jc w:val="right"/>
    </w:pPr>
    <w:rPr>
      <w:rFonts w:ascii="Calibri" w:eastAsia="Calibri" w:hAnsi="Calibri" w:cs="Arial Narrow"/>
      <w:smallCaps/>
      <w:szCs w:val="20"/>
    </w:rPr>
  </w:style>
  <w:style w:type="paragraph" w:customStyle="1" w:styleId="Reportcoverfooter">
    <w:name w:val="Report cover footer"/>
    <w:basedOn w:val="Headerodd"/>
    <w:rsid w:val="00DF23C5"/>
    <w:rPr>
      <w:smallCaps w:val="0"/>
      <w:sz w:val="28"/>
      <w:szCs w:val="28"/>
    </w:rPr>
  </w:style>
  <w:style w:type="paragraph" w:customStyle="1" w:styleId="ReportTitle">
    <w:name w:val="Report Title"/>
    <w:rsid w:val="00DF23C5"/>
    <w:pPr>
      <w:keepNext/>
      <w:widowControl w:val="0"/>
      <w:spacing w:after="480" w:line="240" w:lineRule="auto"/>
      <w:jc w:val="right"/>
    </w:pPr>
    <w:rPr>
      <w:rFonts w:ascii="Arial Narrow" w:eastAsia="Calibri" w:hAnsi="Arial Narrow" w:cs="Arial Narrow"/>
      <w:smallCaps/>
      <w:sz w:val="56"/>
      <w:szCs w:val="56"/>
    </w:rPr>
  </w:style>
  <w:style w:type="paragraph" w:customStyle="1" w:styleId="CommitteeName">
    <w:name w:val="Committee Name"/>
    <w:rsid w:val="00DF23C5"/>
    <w:pPr>
      <w:keepNext/>
      <w:widowControl w:val="0"/>
      <w:spacing w:after="480" w:line="240" w:lineRule="auto"/>
      <w:jc w:val="right"/>
    </w:pPr>
    <w:rPr>
      <w:rFonts w:ascii="Arial Narrow" w:eastAsia="Calibri" w:hAnsi="Arial Narrow" w:cs="Arial Narrow"/>
      <w:smallCaps/>
      <w:sz w:val="44"/>
      <w:szCs w:val="44"/>
    </w:rPr>
  </w:style>
  <w:style w:type="paragraph" w:customStyle="1" w:styleId="Bulletlistalpha">
    <w:name w:val="Bullet list alpha"/>
    <w:rsid w:val="00DF23C5"/>
    <w:pPr>
      <w:keepNext/>
      <w:widowControl w:val="0"/>
      <w:numPr>
        <w:ilvl w:val="1"/>
        <w:numId w:val="15"/>
      </w:numPr>
      <w:spacing w:beforeLines="120" w:afterLines="120" w:after="0" w:line="200" w:lineRule="exact"/>
      <w:ind w:left="1701" w:hanging="567"/>
    </w:pPr>
    <w:rPr>
      <w:rFonts w:ascii="Calibri" w:eastAsia="Times New Roman" w:hAnsi="Calibri" w:cs="Calibri"/>
      <w:color w:val="000000"/>
      <w:spacing w:val="-3"/>
      <w:szCs w:val="20"/>
      <w:lang w:eastAsia="en-AU"/>
    </w:rPr>
  </w:style>
  <w:style w:type="paragraph" w:customStyle="1" w:styleId="Bulletlistroman">
    <w:name w:val="Bullet list roman"/>
    <w:rsid w:val="00DF23C5"/>
    <w:pPr>
      <w:keepNext/>
      <w:widowControl w:val="0"/>
      <w:numPr>
        <w:numId w:val="19"/>
      </w:numPr>
      <w:spacing w:beforeLines="120" w:afterLines="120" w:after="0" w:line="200" w:lineRule="exact"/>
      <w:ind w:left="2268" w:hanging="567"/>
    </w:pPr>
    <w:rPr>
      <w:rFonts w:ascii="Calibri" w:eastAsia="Times New Roman" w:hAnsi="Calibri" w:cs="Calibri"/>
      <w:color w:val="000000"/>
      <w:spacing w:val="-3"/>
      <w:szCs w:val="20"/>
      <w:lang w:eastAsia="en-AU"/>
    </w:rPr>
  </w:style>
  <w:style w:type="paragraph" w:customStyle="1" w:styleId="Heading4nonumber">
    <w:name w:val="Heading 4 no number"/>
    <w:next w:val="Bodycopynumbered"/>
    <w:rsid w:val="00DF23C5"/>
    <w:pPr>
      <w:keepNext/>
      <w:widowControl w:val="0"/>
      <w:spacing w:after="0" w:line="240" w:lineRule="auto"/>
    </w:pPr>
    <w:rPr>
      <w:rFonts w:ascii="Arial Narrow" w:eastAsia="Calibri" w:hAnsi="Arial Narrow" w:cs="Arial Narrow"/>
      <w:smallCaps/>
      <w:sz w:val="26"/>
      <w:szCs w:val="26"/>
    </w:rPr>
  </w:style>
  <w:style w:type="paragraph" w:customStyle="1" w:styleId="aIndent">
    <w:name w:val="(a) Indent"/>
    <w:basedOn w:val="Normal"/>
    <w:rsid w:val="00DF23C5"/>
    <w:pPr>
      <w:tabs>
        <w:tab w:val="left" w:pos="560"/>
      </w:tabs>
      <w:spacing w:before="0" w:after="0" w:line="240" w:lineRule="auto"/>
      <w:ind w:left="1120" w:hanging="1120"/>
    </w:pPr>
    <w:rPr>
      <w:rFonts w:ascii="Times" w:eastAsia="Times New Roman" w:hAnsi="Times" w:cs="Times New Roman"/>
      <w:sz w:val="24"/>
      <w:szCs w:val="20"/>
      <w:lang w:val="en-US" w:eastAsia="en-AU"/>
    </w:rPr>
  </w:style>
  <w:style w:type="numbering" w:customStyle="1" w:styleId="Style1">
    <w:name w:val="Style1"/>
    <w:rsid w:val="00DF23C5"/>
    <w:pPr>
      <w:numPr>
        <w:numId w:val="16"/>
      </w:numPr>
    </w:pPr>
  </w:style>
  <w:style w:type="numbering" w:customStyle="1" w:styleId="Style3">
    <w:name w:val="Style3"/>
    <w:rsid w:val="00DF23C5"/>
    <w:pPr>
      <w:numPr>
        <w:numId w:val="21"/>
      </w:numPr>
    </w:pPr>
  </w:style>
  <w:style w:type="numbering" w:customStyle="1" w:styleId="Style2">
    <w:name w:val="Style2"/>
    <w:rsid w:val="00DF23C5"/>
    <w:pPr>
      <w:numPr>
        <w:numId w:val="18"/>
      </w:numPr>
    </w:pPr>
  </w:style>
  <w:style w:type="paragraph" w:customStyle="1" w:styleId="Default">
    <w:name w:val="Default"/>
    <w:rsid w:val="00DF23C5"/>
    <w:pPr>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table" w:styleId="TableGrid">
    <w:name w:val="Table Grid"/>
    <w:basedOn w:val="TableNormal"/>
    <w:uiPriority w:val="59"/>
    <w:rsid w:val="00DF23C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BHeading">
    <w:name w:val="GB Heading"/>
    <w:basedOn w:val="Normal"/>
    <w:link w:val="GBHeadingChar"/>
    <w:rsid w:val="00DF23C5"/>
    <w:pPr>
      <w:spacing w:before="0" w:after="0" w:line="240" w:lineRule="auto"/>
      <w:jc w:val="both"/>
    </w:pPr>
    <w:rPr>
      <w:rFonts w:ascii="AvantGarde Bk BT" w:eastAsia="Times New Roman" w:hAnsi="AvantGarde Bk BT" w:cs="Times New Roman"/>
      <w:b/>
      <w:sz w:val="24"/>
      <w:szCs w:val="24"/>
      <w:lang w:eastAsia="en-AU"/>
    </w:rPr>
  </w:style>
  <w:style w:type="character" w:customStyle="1" w:styleId="GBHeadingChar">
    <w:name w:val="GB Heading Char"/>
    <w:link w:val="GBHeading"/>
    <w:locked/>
    <w:rsid w:val="00DF23C5"/>
    <w:rPr>
      <w:rFonts w:ascii="AvantGarde Bk BT" w:eastAsia="Times New Roman" w:hAnsi="AvantGarde Bk BT" w:cs="Times New Roman"/>
      <w:b/>
      <w:sz w:val="24"/>
      <w:szCs w:val="24"/>
      <w:lang w:eastAsia="en-AU"/>
    </w:rPr>
  </w:style>
  <w:style w:type="paragraph" w:customStyle="1" w:styleId="PaperTitleIndent1">
    <w:name w:val="PaperTitleIndent1"/>
    <w:basedOn w:val="Normal"/>
    <w:link w:val="PaperTitleIndent1Char"/>
    <w:rsid w:val="00DF23C5"/>
    <w:pPr>
      <w:spacing w:before="0" w:after="120" w:line="240" w:lineRule="auto"/>
      <w:ind w:right="1701"/>
    </w:pPr>
    <w:rPr>
      <w:rFonts w:ascii="Times New Roman" w:eastAsia="Calibri" w:hAnsi="Times New Roman" w:cs="Times New Roman"/>
      <w:sz w:val="24"/>
      <w:szCs w:val="24"/>
      <w:lang w:eastAsia="en-AU"/>
    </w:rPr>
  </w:style>
  <w:style w:type="paragraph" w:customStyle="1" w:styleId="PaperTitleIndent2">
    <w:name w:val="PaperTitleIndent2"/>
    <w:basedOn w:val="Normal"/>
    <w:uiPriority w:val="99"/>
    <w:rsid w:val="00DF23C5"/>
    <w:pPr>
      <w:spacing w:before="0" w:after="120" w:line="240" w:lineRule="auto"/>
      <w:ind w:left="238" w:right="1701"/>
    </w:pPr>
    <w:rPr>
      <w:rFonts w:ascii="Times New Roman" w:eastAsia="Calibri" w:hAnsi="Times New Roman" w:cs="Times New Roman"/>
      <w:sz w:val="24"/>
      <w:szCs w:val="24"/>
      <w:lang w:eastAsia="en-AU"/>
    </w:rPr>
  </w:style>
  <w:style w:type="character" w:styleId="CommentReference">
    <w:name w:val="annotation reference"/>
    <w:rsid w:val="00DF23C5"/>
    <w:rPr>
      <w:sz w:val="16"/>
      <w:szCs w:val="16"/>
    </w:rPr>
  </w:style>
  <w:style w:type="paragraph" w:customStyle="1" w:styleId="IMain">
    <w:name w:val="I Main"/>
    <w:basedOn w:val="Normal"/>
    <w:rsid w:val="00DF23C5"/>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lang w:eastAsia="en-AU"/>
    </w:rPr>
  </w:style>
  <w:style w:type="paragraph" w:customStyle="1" w:styleId="Resol">
    <w:name w:val="Resol"/>
    <w:basedOn w:val="Committeemembership"/>
    <w:rsid w:val="00DF23C5"/>
    <w:pPr>
      <w:spacing w:before="240" w:after="240"/>
    </w:pPr>
    <w:rPr>
      <w:rFonts w:eastAsia="Times New Roman"/>
    </w:rPr>
  </w:style>
  <w:style w:type="character" w:customStyle="1" w:styleId="charCitHyperlinkItal">
    <w:name w:val="charCitHyperlinkItal"/>
    <w:uiPriority w:val="1"/>
    <w:rsid w:val="00DF23C5"/>
    <w:rPr>
      <w:rFonts w:cs="Times New Roman"/>
      <w:i/>
      <w:color w:val="0000FF"/>
      <w:u w:val="none"/>
    </w:rPr>
  </w:style>
  <w:style w:type="paragraph" w:customStyle="1" w:styleId="aDefpara">
    <w:name w:val="aDef para"/>
    <w:basedOn w:val="Apara"/>
    <w:rsid w:val="00DF23C5"/>
    <w:rPr>
      <w:lang w:eastAsia="en-AU"/>
    </w:rPr>
  </w:style>
  <w:style w:type="paragraph" w:customStyle="1" w:styleId="aExamHdgss">
    <w:name w:val="aExamHdgss"/>
    <w:basedOn w:val="Normal"/>
    <w:next w:val="Normal"/>
    <w:rsid w:val="00DF23C5"/>
    <w:pPr>
      <w:keepNext/>
      <w:spacing w:before="140" w:after="0" w:line="240" w:lineRule="auto"/>
      <w:ind w:left="1100"/>
    </w:pPr>
    <w:rPr>
      <w:rFonts w:ascii="Arial" w:eastAsia="Times New Roman" w:hAnsi="Arial" w:cs="Times New Roman"/>
      <w:b/>
      <w:sz w:val="18"/>
      <w:szCs w:val="20"/>
      <w:lang w:eastAsia="en-AU"/>
    </w:rPr>
  </w:style>
  <w:style w:type="paragraph" w:customStyle="1" w:styleId="aExamss">
    <w:name w:val="aExamss"/>
    <w:basedOn w:val="aNote"/>
    <w:rsid w:val="00DF23C5"/>
    <w:pPr>
      <w:spacing w:before="60"/>
      <w:ind w:left="1100" w:firstLine="0"/>
    </w:pPr>
    <w:rPr>
      <w:lang w:eastAsia="en-AU"/>
    </w:rPr>
  </w:style>
  <w:style w:type="character" w:customStyle="1" w:styleId="aNoteCharChar">
    <w:name w:val="aNote Char Char"/>
    <w:locked/>
    <w:rsid w:val="00DF23C5"/>
    <w:rPr>
      <w:rFonts w:cs="Times New Roman"/>
      <w:lang w:val="x-none" w:eastAsia="en-US"/>
    </w:rPr>
  </w:style>
  <w:style w:type="paragraph" w:customStyle="1" w:styleId="CoverActName">
    <w:name w:val="CoverActName"/>
    <w:basedOn w:val="Normal"/>
    <w:rsid w:val="00DF23C5"/>
    <w:pPr>
      <w:tabs>
        <w:tab w:val="left" w:pos="2600"/>
      </w:tabs>
      <w:overflowPunct w:val="0"/>
      <w:autoSpaceDE w:val="0"/>
      <w:autoSpaceDN w:val="0"/>
      <w:adjustRightInd w:val="0"/>
      <w:spacing w:before="200" w:after="60" w:line="240" w:lineRule="auto"/>
      <w:jc w:val="both"/>
    </w:pPr>
    <w:rPr>
      <w:rFonts w:ascii="Arial" w:eastAsia="Times New Roman" w:hAnsi="Arial" w:cs="Arial"/>
      <w:b/>
      <w:bCs/>
      <w:sz w:val="24"/>
      <w:szCs w:val="24"/>
      <w:lang w:eastAsia="en-AU"/>
    </w:rPr>
  </w:style>
  <w:style w:type="character" w:customStyle="1" w:styleId="AparaChar">
    <w:name w:val="A para Char"/>
    <w:link w:val="Apara"/>
    <w:locked/>
    <w:rsid w:val="00DF23C5"/>
    <w:rPr>
      <w:rFonts w:ascii="Times New Roman" w:eastAsia="Times New Roman" w:hAnsi="Times New Roman" w:cs="Times New Roman"/>
      <w:sz w:val="24"/>
      <w:szCs w:val="20"/>
    </w:rPr>
  </w:style>
  <w:style w:type="paragraph" w:customStyle="1" w:styleId="ESText">
    <w:name w:val="ES_Text"/>
    <w:basedOn w:val="Normal"/>
    <w:rsid w:val="00DF23C5"/>
    <w:pPr>
      <w:spacing w:before="0" w:after="0"/>
    </w:pPr>
    <w:rPr>
      <w:rFonts w:ascii="Times New Roman" w:eastAsia="Times New Roman" w:hAnsi="Times New Roman" w:cs="Times New Roman"/>
      <w:sz w:val="24"/>
      <w:szCs w:val="24"/>
      <w:lang w:eastAsia="en-AU"/>
    </w:rPr>
  </w:style>
  <w:style w:type="character" w:customStyle="1" w:styleId="Mention">
    <w:name w:val="Mention"/>
    <w:uiPriority w:val="99"/>
    <w:semiHidden/>
    <w:unhideWhenUsed/>
    <w:rsid w:val="00DF23C5"/>
    <w:rPr>
      <w:color w:val="2B579A"/>
      <w:shd w:val="clear" w:color="auto" w:fill="E6E6E6"/>
    </w:rPr>
  </w:style>
  <w:style w:type="character" w:customStyle="1" w:styleId="UnresolvedMention">
    <w:name w:val="Unresolved Mention"/>
    <w:uiPriority w:val="99"/>
    <w:semiHidden/>
    <w:unhideWhenUsed/>
    <w:rsid w:val="00DF23C5"/>
    <w:rPr>
      <w:color w:val="808080"/>
      <w:shd w:val="clear" w:color="auto" w:fill="E6E6E6"/>
    </w:rPr>
  </w:style>
  <w:style w:type="numbering" w:styleId="1ai">
    <w:name w:val="Outline List 1"/>
    <w:basedOn w:val="NoList"/>
    <w:rsid w:val="00DF23C5"/>
    <w:pPr>
      <w:numPr>
        <w:numId w:val="23"/>
      </w:numPr>
    </w:pPr>
  </w:style>
  <w:style w:type="paragraph" w:customStyle="1" w:styleId="TableHd">
    <w:name w:val="TableHd"/>
    <w:basedOn w:val="Normal"/>
    <w:rsid w:val="00DF23C5"/>
    <w:pPr>
      <w:keepNext/>
      <w:tabs>
        <w:tab w:val="left" w:pos="0"/>
      </w:tabs>
      <w:spacing w:before="300" w:after="0" w:line="240" w:lineRule="auto"/>
      <w:ind w:left="1200" w:hanging="1200"/>
    </w:pPr>
    <w:rPr>
      <w:rFonts w:ascii="Arial" w:eastAsia="Times New Roman" w:hAnsi="Arial" w:cs="Times New Roman"/>
      <w:b/>
      <w:sz w:val="20"/>
      <w:szCs w:val="20"/>
    </w:rPr>
  </w:style>
  <w:style w:type="paragraph" w:customStyle="1" w:styleId="TableColHd">
    <w:name w:val="TableColHd"/>
    <w:basedOn w:val="Normal"/>
    <w:rsid w:val="00DF23C5"/>
    <w:pPr>
      <w:keepNext/>
      <w:tabs>
        <w:tab w:val="left" w:pos="0"/>
      </w:tabs>
      <w:spacing w:before="0" w:after="60" w:line="240" w:lineRule="auto"/>
    </w:pPr>
    <w:rPr>
      <w:rFonts w:ascii="Arial" w:eastAsia="Times New Roman" w:hAnsi="Arial" w:cs="Times New Roman"/>
      <w:b/>
      <w:sz w:val="18"/>
      <w:szCs w:val="20"/>
    </w:rPr>
  </w:style>
  <w:style w:type="paragraph" w:customStyle="1" w:styleId="TableText">
    <w:name w:val="TableText"/>
    <w:basedOn w:val="Normal"/>
    <w:uiPriority w:val="99"/>
    <w:rsid w:val="00DF23C5"/>
    <w:pPr>
      <w:spacing w:before="60" w:after="60" w:line="240" w:lineRule="auto"/>
    </w:pPr>
    <w:rPr>
      <w:rFonts w:ascii="Times New Roman" w:eastAsia="Times New Roman" w:hAnsi="Times New Roman" w:cs="Times New Roman"/>
      <w:sz w:val="24"/>
      <w:szCs w:val="24"/>
    </w:rPr>
  </w:style>
  <w:style w:type="character" w:customStyle="1" w:styleId="AmainChar">
    <w:name w:val="A main Char"/>
    <w:link w:val="Amain"/>
    <w:locked/>
    <w:rsid w:val="007377EC"/>
    <w:rPr>
      <w:rFonts w:ascii="Times New Roman" w:eastAsia="Times New Roman" w:hAnsi="Times New Roman" w:cs="Times New Roman"/>
      <w:sz w:val="24"/>
      <w:szCs w:val="20"/>
    </w:rPr>
  </w:style>
  <w:style w:type="character" w:customStyle="1" w:styleId="Calibri12">
    <w:name w:val="Calibri 12"/>
    <w:basedOn w:val="DefaultParagraphFont"/>
    <w:uiPriority w:val="1"/>
    <w:qFormat/>
    <w:rsid w:val="00B32DDB"/>
    <w:rPr>
      <w:rFonts w:ascii="Calibri" w:hAnsi="Calibri"/>
      <w:sz w:val="24"/>
    </w:rPr>
  </w:style>
  <w:style w:type="paragraph" w:customStyle="1" w:styleId="ref">
    <w:name w:val="ref"/>
    <w:basedOn w:val="Normal"/>
    <w:next w:val="Normal"/>
    <w:rsid w:val="007E46DC"/>
    <w:pPr>
      <w:spacing w:before="60" w:after="0" w:line="240" w:lineRule="auto"/>
      <w:jc w:val="both"/>
    </w:pPr>
    <w:rPr>
      <w:rFonts w:ascii="Times New Roman" w:eastAsia="Times New Roman" w:hAnsi="Times New Roman" w:cs="Times New Roman"/>
      <w:sz w:val="18"/>
      <w:szCs w:val="20"/>
    </w:rPr>
  </w:style>
  <w:style w:type="paragraph" w:customStyle="1" w:styleId="TableText10">
    <w:name w:val="TableText10"/>
    <w:basedOn w:val="TableText"/>
    <w:rsid w:val="007E46DC"/>
    <w:pPr>
      <w:tabs>
        <w:tab w:val="left" w:pos="0"/>
      </w:tabs>
    </w:pPr>
    <w:rPr>
      <w:sz w:val="20"/>
      <w:szCs w:val="20"/>
    </w:rPr>
  </w:style>
  <w:style w:type="paragraph" w:customStyle="1" w:styleId="TableNumbered">
    <w:name w:val="TableNumbered"/>
    <w:basedOn w:val="TableText10"/>
    <w:qFormat/>
    <w:rsid w:val="007E46DC"/>
    <w:pPr>
      <w:numPr>
        <w:numId w:val="24"/>
      </w:numPr>
    </w:pPr>
  </w:style>
  <w:style w:type="paragraph" w:customStyle="1" w:styleId="Sched-heading">
    <w:name w:val="Sched-heading"/>
    <w:basedOn w:val="Normal"/>
    <w:next w:val="Normal"/>
    <w:rsid w:val="007E46DC"/>
    <w:pPr>
      <w:keepNext/>
      <w:tabs>
        <w:tab w:val="left" w:pos="2600"/>
      </w:tabs>
      <w:spacing w:before="380" w:after="0" w:line="240" w:lineRule="auto"/>
      <w:ind w:left="2600" w:hanging="2600"/>
      <w:outlineLvl w:val="0"/>
    </w:pPr>
    <w:rPr>
      <w:rFonts w:ascii="Arial" w:eastAsia="Times New Roman" w:hAnsi="Arial" w:cs="Times New Roman"/>
      <w:b/>
      <w:sz w:val="34"/>
      <w:szCs w:val="20"/>
    </w:rPr>
  </w:style>
  <w:style w:type="character" w:customStyle="1" w:styleId="CharChapNo">
    <w:name w:val="CharChapNo"/>
    <w:rsid w:val="007E46DC"/>
  </w:style>
  <w:style w:type="character" w:customStyle="1" w:styleId="CharChapText">
    <w:name w:val="CharChapText"/>
    <w:rsid w:val="007E46DC"/>
  </w:style>
  <w:style w:type="paragraph" w:customStyle="1" w:styleId="Calibribody">
    <w:name w:val="Calibri body"/>
    <w:basedOn w:val="AH5Sec"/>
    <w:rsid w:val="00452F37"/>
    <w:pPr>
      <w:tabs>
        <w:tab w:val="clear" w:pos="1100"/>
        <w:tab w:val="left" w:pos="360"/>
        <w:tab w:val="left" w:pos="1440"/>
      </w:tabs>
      <w:spacing w:before="220" w:after="220" w:line="280" w:lineRule="atLeast"/>
      <w:ind w:left="360" w:firstLine="0"/>
    </w:pPr>
    <w:rPr>
      <w:rFonts w:ascii="Calibri" w:hAnsi="Calibri" w:cs="Calibri"/>
      <w:sz w:val="22"/>
      <w:szCs w:val="22"/>
    </w:rPr>
  </w:style>
  <w:style w:type="paragraph" w:customStyle="1" w:styleId="TOCHeading2">
    <w:name w:val="TOC Heading2"/>
    <w:rsid w:val="00AF6CB6"/>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character" w:styleId="EndnoteReference">
    <w:name w:val="endnote reference"/>
    <w:rsid w:val="00AF6CB6"/>
    <w:rPr>
      <w:vertAlign w:val="superscript"/>
    </w:rPr>
  </w:style>
  <w:style w:type="paragraph" w:customStyle="1" w:styleId="LongTitle">
    <w:name w:val="LongTitle"/>
    <w:basedOn w:val="Normal"/>
    <w:rsid w:val="001352E7"/>
    <w:pPr>
      <w:spacing w:before="240" w:after="60" w:line="240" w:lineRule="auto"/>
      <w:jc w:val="both"/>
    </w:pPr>
    <w:rPr>
      <w:rFonts w:ascii="Times New Roman" w:eastAsia="Times New Roman" w:hAnsi="Times New Roman" w:cs="Times New Roman"/>
      <w:sz w:val="24"/>
      <w:szCs w:val="24"/>
    </w:rPr>
  </w:style>
  <w:style w:type="paragraph" w:customStyle="1" w:styleId="TOCHeading3">
    <w:name w:val="TOC Heading3"/>
    <w:rsid w:val="000F300D"/>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link w:val="ListParagraph"/>
    <w:uiPriority w:val="34"/>
    <w:qFormat/>
    <w:locked/>
    <w:rsid w:val="000F300D"/>
  </w:style>
  <w:style w:type="paragraph" w:customStyle="1" w:styleId="direction">
    <w:name w:val="direction"/>
    <w:basedOn w:val="Normal"/>
    <w:next w:val="Normal"/>
    <w:rsid w:val="000F300D"/>
    <w:pPr>
      <w:keepNext/>
      <w:spacing w:before="140" w:after="0" w:line="240" w:lineRule="auto"/>
      <w:ind w:left="1100"/>
      <w:jc w:val="both"/>
    </w:pPr>
    <w:rPr>
      <w:rFonts w:ascii="Times New Roman" w:eastAsia="Times New Roman" w:hAnsi="Times New Roman" w:cs="Times New Roman"/>
      <w:i/>
      <w:sz w:val="24"/>
      <w:szCs w:val="20"/>
    </w:rPr>
  </w:style>
  <w:style w:type="paragraph" w:customStyle="1" w:styleId="N-line3">
    <w:name w:val="N-line3"/>
    <w:basedOn w:val="Normal"/>
    <w:next w:val="Normal"/>
    <w:rsid w:val="000F300D"/>
    <w:pPr>
      <w:pBdr>
        <w:bottom w:val="single" w:sz="12" w:space="1" w:color="auto"/>
      </w:pBdr>
      <w:spacing w:before="0" w:after="0" w:line="240" w:lineRule="auto"/>
      <w:jc w:val="both"/>
    </w:pPr>
    <w:rPr>
      <w:rFonts w:ascii="Times New Roman" w:eastAsia="Times New Roman" w:hAnsi="Times New Roman" w:cs="Times New Roman"/>
      <w:sz w:val="24"/>
      <w:szCs w:val="24"/>
    </w:rPr>
  </w:style>
  <w:style w:type="character" w:customStyle="1" w:styleId="PaperTitleIndent1Char">
    <w:name w:val="PaperTitleIndent1 Char"/>
    <w:link w:val="PaperTitleIndent1"/>
    <w:rsid w:val="000F300D"/>
    <w:rPr>
      <w:rFonts w:ascii="Times New Roman" w:eastAsia="Calibri" w:hAnsi="Times New Roman" w:cs="Times New Roman"/>
      <w:sz w:val="24"/>
      <w:szCs w:val="24"/>
      <w:lang w:eastAsia="en-AU"/>
    </w:rPr>
  </w:style>
  <w:style w:type="paragraph" w:customStyle="1" w:styleId="DPSEntryDetailIndentLev1">
    <w:name w:val="DPSEntryDetailIndentLev1"/>
    <w:rsid w:val="000F300D"/>
    <w:pPr>
      <w:spacing w:before="120" w:after="0" w:line="240" w:lineRule="auto"/>
      <w:ind w:left="864"/>
      <w:jc w:val="both"/>
    </w:pPr>
    <w:rPr>
      <w:rFonts w:ascii="Times New Roman" w:eastAsia="Times New Roman" w:hAnsi="Times New Roman" w:cs="Times New Roman"/>
      <w:sz w:val="24"/>
      <w:szCs w:val="20"/>
      <w:lang w:eastAsia="en-AU"/>
    </w:rPr>
  </w:style>
  <w:style w:type="paragraph" w:customStyle="1" w:styleId="DPSEntryDetailIndentLev2">
    <w:name w:val="DPSEntryDetailIndentLev2"/>
    <w:autoRedefine/>
    <w:rsid w:val="000F300D"/>
    <w:pPr>
      <w:spacing w:before="120" w:after="0" w:line="240" w:lineRule="auto"/>
      <w:ind w:left="1008"/>
      <w:jc w:val="both"/>
    </w:pPr>
    <w:rPr>
      <w:rFonts w:ascii="Calibri" w:eastAsia="Times New Roman" w:hAnsi="Calibri" w:cs="Times New Roman"/>
      <w:spacing w:val="-2"/>
      <w:sz w:val="24"/>
      <w:szCs w:val="20"/>
      <w:lang w:eastAsia="en-AU"/>
    </w:rPr>
  </w:style>
  <w:style w:type="paragraph" w:customStyle="1" w:styleId="Asubsubpara">
    <w:name w:val="A subsubpara"/>
    <w:basedOn w:val="Normal"/>
    <w:rsid w:val="000F300D"/>
    <w:pPr>
      <w:tabs>
        <w:tab w:val="num" w:pos="1015"/>
      </w:tabs>
      <w:spacing w:before="80" w:after="60" w:line="240" w:lineRule="auto"/>
      <w:ind w:left="1015" w:hanging="199"/>
      <w:outlineLvl w:val="8"/>
    </w:pPr>
    <w:rPr>
      <w:rFonts w:ascii="Times New Roman" w:eastAsia="Times New Roman" w:hAnsi="Times New Roman" w:cs="Times New Roman"/>
      <w:sz w:val="24"/>
      <w:szCs w:val="24"/>
    </w:rPr>
  </w:style>
  <w:style w:type="paragraph" w:customStyle="1" w:styleId="Isubpara">
    <w:name w:val="I subpara"/>
    <w:basedOn w:val="Normal"/>
    <w:rsid w:val="000F300D"/>
    <w:pPr>
      <w:tabs>
        <w:tab w:val="num" w:pos="1599"/>
      </w:tabs>
      <w:spacing w:before="80" w:after="60" w:line="240" w:lineRule="auto"/>
      <w:ind w:left="1599" w:hanging="499"/>
      <w:jc w:val="both"/>
    </w:pPr>
    <w:rPr>
      <w:rFonts w:ascii="Times New Roman" w:eastAsia="Times New Roman" w:hAnsi="Times New Roman" w:cs="Times New Roman"/>
      <w:sz w:val="24"/>
      <w:szCs w:val="24"/>
    </w:rPr>
  </w:style>
  <w:style w:type="paragraph" w:customStyle="1" w:styleId="CS-Paragraphnumbering">
    <w:name w:val="CS - Paragraph numbering"/>
    <w:basedOn w:val="Normal"/>
    <w:rsid w:val="000F300D"/>
    <w:pPr>
      <w:numPr>
        <w:numId w:val="27"/>
      </w:numPr>
      <w:spacing w:before="0" w:after="120" w:line="276" w:lineRule="auto"/>
      <w:ind w:left="567" w:right="-45" w:hanging="567"/>
    </w:pPr>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3566">
      <w:bodyDiv w:val="1"/>
      <w:marLeft w:val="0"/>
      <w:marRight w:val="0"/>
      <w:marTop w:val="0"/>
      <w:marBottom w:val="0"/>
      <w:divBdr>
        <w:top w:val="none" w:sz="0" w:space="0" w:color="auto"/>
        <w:left w:val="none" w:sz="0" w:space="0" w:color="auto"/>
        <w:bottom w:val="none" w:sz="0" w:space="0" w:color="auto"/>
        <w:right w:val="none" w:sz="0" w:space="0" w:color="auto"/>
      </w:divBdr>
    </w:div>
    <w:div w:id="44761495">
      <w:bodyDiv w:val="1"/>
      <w:marLeft w:val="0"/>
      <w:marRight w:val="0"/>
      <w:marTop w:val="0"/>
      <w:marBottom w:val="0"/>
      <w:divBdr>
        <w:top w:val="none" w:sz="0" w:space="0" w:color="auto"/>
        <w:left w:val="none" w:sz="0" w:space="0" w:color="auto"/>
        <w:bottom w:val="none" w:sz="0" w:space="0" w:color="auto"/>
        <w:right w:val="none" w:sz="0" w:space="0" w:color="auto"/>
      </w:divBdr>
    </w:div>
    <w:div w:id="80682419">
      <w:bodyDiv w:val="1"/>
      <w:marLeft w:val="0"/>
      <w:marRight w:val="0"/>
      <w:marTop w:val="0"/>
      <w:marBottom w:val="0"/>
      <w:divBdr>
        <w:top w:val="none" w:sz="0" w:space="0" w:color="auto"/>
        <w:left w:val="none" w:sz="0" w:space="0" w:color="auto"/>
        <w:bottom w:val="none" w:sz="0" w:space="0" w:color="auto"/>
        <w:right w:val="none" w:sz="0" w:space="0" w:color="auto"/>
      </w:divBdr>
    </w:div>
    <w:div w:id="353387201">
      <w:bodyDiv w:val="1"/>
      <w:marLeft w:val="0"/>
      <w:marRight w:val="0"/>
      <w:marTop w:val="0"/>
      <w:marBottom w:val="0"/>
      <w:divBdr>
        <w:top w:val="none" w:sz="0" w:space="0" w:color="auto"/>
        <w:left w:val="none" w:sz="0" w:space="0" w:color="auto"/>
        <w:bottom w:val="none" w:sz="0" w:space="0" w:color="auto"/>
        <w:right w:val="none" w:sz="0" w:space="0" w:color="auto"/>
      </w:divBdr>
    </w:div>
    <w:div w:id="378287222">
      <w:bodyDiv w:val="1"/>
      <w:marLeft w:val="0"/>
      <w:marRight w:val="0"/>
      <w:marTop w:val="0"/>
      <w:marBottom w:val="0"/>
      <w:divBdr>
        <w:top w:val="none" w:sz="0" w:space="0" w:color="auto"/>
        <w:left w:val="none" w:sz="0" w:space="0" w:color="auto"/>
        <w:bottom w:val="none" w:sz="0" w:space="0" w:color="auto"/>
        <w:right w:val="none" w:sz="0" w:space="0" w:color="auto"/>
      </w:divBdr>
    </w:div>
    <w:div w:id="413749720">
      <w:bodyDiv w:val="1"/>
      <w:marLeft w:val="0"/>
      <w:marRight w:val="0"/>
      <w:marTop w:val="0"/>
      <w:marBottom w:val="0"/>
      <w:divBdr>
        <w:top w:val="none" w:sz="0" w:space="0" w:color="auto"/>
        <w:left w:val="none" w:sz="0" w:space="0" w:color="auto"/>
        <w:bottom w:val="none" w:sz="0" w:space="0" w:color="auto"/>
        <w:right w:val="none" w:sz="0" w:space="0" w:color="auto"/>
      </w:divBdr>
    </w:div>
    <w:div w:id="451359759">
      <w:bodyDiv w:val="1"/>
      <w:marLeft w:val="0"/>
      <w:marRight w:val="0"/>
      <w:marTop w:val="0"/>
      <w:marBottom w:val="0"/>
      <w:divBdr>
        <w:top w:val="none" w:sz="0" w:space="0" w:color="auto"/>
        <w:left w:val="none" w:sz="0" w:space="0" w:color="auto"/>
        <w:bottom w:val="none" w:sz="0" w:space="0" w:color="auto"/>
        <w:right w:val="none" w:sz="0" w:space="0" w:color="auto"/>
      </w:divBdr>
    </w:div>
    <w:div w:id="453252857">
      <w:bodyDiv w:val="1"/>
      <w:marLeft w:val="0"/>
      <w:marRight w:val="0"/>
      <w:marTop w:val="0"/>
      <w:marBottom w:val="0"/>
      <w:divBdr>
        <w:top w:val="none" w:sz="0" w:space="0" w:color="auto"/>
        <w:left w:val="none" w:sz="0" w:space="0" w:color="auto"/>
        <w:bottom w:val="none" w:sz="0" w:space="0" w:color="auto"/>
        <w:right w:val="none" w:sz="0" w:space="0" w:color="auto"/>
      </w:divBdr>
    </w:div>
    <w:div w:id="479882438">
      <w:bodyDiv w:val="1"/>
      <w:marLeft w:val="0"/>
      <w:marRight w:val="0"/>
      <w:marTop w:val="0"/>
      <w:marBottom w:val="0"/>
      <w:divBdr>
        <w:top w:val="none" w:sz="0" w:space="0" w:color="auto"/>
        <w:left w:val="none" w:sz="0" w:space="0" w:color="auto"/>
        <w:bottom w:val="none" w:sz="0" w:space="0" w:color="auto"/>
        <w:right w:val="none" w:sz="0" w:space="0" w:color="auto"/>
      </w:divBdr>
    </w:div>
    <w:div w:id="496581886">
      <w:bodyDiv w:val="1"/>
      <w:marLeft w:val="0"/>
      <w:marRight w:val="0"/>
      <w:marTop w:val="0"/>
      <w:marBottom w:val="0"/>
      <w:divBdr>
        <w:top w:val="none" w:sz="0" w:space="0" w:color="auto"/>
        <w:left w:val="none" w:sz="0" w:space="0" w:color="auto"/>
        <w:bottom w:val="none" w:sz="0" w:space="0" w:color="auto"/>
        <w:right w:val="none" w:sz="0" w:space="0" w:color="auto"/>
      </w:divBdr>
    </w:div>
    <w:div w:id="665597187">
      <w:bodyDiv w:val="1"/>
      <w:marLeft w:val="0"/>
      <w:marRight w:val="0"/>
      <w:marTop w:val="0"/>
      <w:marBottom w:val="0"/>
      <w:divBdr>
        <w:top w:val="none" w:sz="0" w:space="0" w:color="auto"/>
        <w:left w:val="none" w:sz="0" w:space="0" w:color="auto"/>
        <w:bottom w:val="none" w:sz="0" w:space="0" w:color="auto"/>
        <w:right w:val="none" w:sz="0" w:space="0" w:color="auto"/>
      </w:divBdr>
    </w:div>
    <w:div w:id="669332373">
      <w:bodyDiv w:val="1"/>
      <w:marLeft w:val="0"/>
      <w:marRight w:val="0"/>
      <w:marTop w:val="0"/>
      <w:marBottom w:val="0"/>
      <w:divBdr>
        <w:top w:val="none" w:sz="0" w:space="0" w:color="auto"/>
        <w:left w:val="none" w:sz="0" w:space="0" w:color="auto"/>
        <w:bottom w:val="none" w:sz="0" w:space="0" w:color="auto"/>
        <w:right w:val="none" w:sz="0" w:space="0" w:color="auto"/>
      </w:divBdr>
    </w:div>
    <w:div w:id="709569828">
      <w:bodyDiv w:val="1"/>
      <w:marLeft w:val="0"/>
      <w:marRight w:val="0"/>
      <w:marTop w:val="0"/>
      <w:marBottom w:val="0"/>
      <w:divBdr>
        <w:top w:val="none" w:sz="0" w:space="0" w:color="auto"/>
        <w:left w:val="none" w:sz="0" w:space="0" w:color="auto"/>
        <w:bottom w:val="none" w:sz="0" w:space="0" w:color="auto"/>
        <w:right w:val="none" w:sz="0" w:space="0" w:color="auto"/>
      </w:divBdr>
    </w:div>
    <w:div w:id="752706501">
      <w:bodyDiv w:val="1"/>
      <w:marLeft w:val="0"/>
      <w:marRight w:val="0"/>
      <w:marTop w:val="0"/>
      <w:marBottom w:val="0"/>
      <w:divBdr>
        <w:top w:val="none" w:sz="0" w:space="0" w:color="auto"/>
        <w:left w:val="none" w:sz="0" w:space="0" w:color="auto"/>
        <w:bottom w:val="none" w:sz="0" w:space="0" w:color="auto"/>
        <w:right w:val="none" w:sz="0" w:space="0" w:color="auto"/>
      </w:divBdr>
    </w:div>
    <w:div w:id="859782865">
      <w:bodyDiv w:val="1"/>
      <w:marLeft w:val="0"/>
      <w:marRight w:val="0"/>
      <w:marTop w:val="0"/>
      <w:marBottom w:val="0"/>
      <w:divBdr>
        <w:top w:val="none" w:sz="0" w:space="0" w:color="auto"/>
        <w:left w:val="none" w:sz="0" w:space="0" w:color="auto"/>
        <w:bottom w:val="none" w:sz="0" w:space="0" w:color="auto"/>
        <w:right w:val="none" w:sz="0" w:space="0" w:color="auto"/>
      </w:divBdr>
    </w:div>
    <w:div w:id="893808291">
      <w:bodyDiv w:val="1"/>
      <w:marLeft w:val="0"/>
      <w:marRight w:val="0"/>
      <w:marTop w:val="0"/>
      <w:marBottom w:val="0"/>
      <w:divBdr>
        <w:top w:val="none" w:sz="0" w:space="0" w:color="auto"/>
        <w:left w:val="none" w:sz="0" w:space="0" w:color="auto"/>
        <w:bottom w:val="none" w:sz="0" w:space="0" w:color="auto"/>
        <w:right w:val="none" w:sz="0" w:space="0" w:color="auto"/>
      </w:divBdr>
    </w:div>
    <w:div w:id="921261751">
      <w:bodyDiv w:val="1"/>
      <w:marLeft w:val="0"/>
      <w:marRight w:val="0"/>
      <w:marTop w:val="0"/>
      <w:marBottom w:val="0"/>
      <w:divBdr>
        <w:top w:val="none" w:sz="0" w:space="0" w:color="auto"/>
        <w:left w:val="none" w:sz="0" w:space="0" w:color="auto"/>
        <w:bottom w:val="none" w:sz="0" w:space="0" w:color="auto"/>
        <w:right w:val="none" w:sz="0" w:space="0" w:color="auto"/>
      </w:divBdr>
    </w:div>
    <w:div w:id="1040787363">
      <w:bodyDiv w:val="1"/>
      <w:marLeft w:val="0"/>
      <w:marRight w:val="0"/>
      <w:marTop w:val="0"/>
      <w:marBottom w:val="0"/>
      <w:divBdr>
        <w:top w:val="none" w:sz="0" w:space="0" w:color="auto"/>
        <w:left w:val="none" w:sz="0" w:space="0" w:color="auto"/>
        <w:bottom w:val="none" w:sz="0" w:space="0" w:color="auto"/>
        <w:right w:val="none" w:sz="0" w:space="0" w:color="auto"/>
      </w:divBdr>
    </w:div>
    <w:div w:id="1101681319">
      <w:bodyDiv w:val="1"/>
      <w:marLeft w:val="0"/>
      <w:marRight w:val="0"/>
      <w:marTop w:val="0"/>
      <w:marBottom w:val="0"/>
      <w:divBdr>
        <w:top w:val="none" w:sz="0" w:space="0" w:color="auto"/>
        <w:left w:val="none" w:sz="0" w:space="0" w:color="auto"/>
        <w:bottom w:val="none" w:sz="0" w:space="0" w:color="auto"/>
        <w:right w:val="none" w:sz="0" w:space="0" w:color="auto"/>
      </w:divBdr>
    </w:div>
    <w:div w:id="1140925372">
      <w:bodyDiv w:val="1"/>
      <w:marLeft w:val="0"/>
      <w:marRight w:val="0"/>
      <w:marTop w:val="0"/>
      <w:marBottom w:val="0"/>
      <w:divBdr>
        <w:top w:val="none" w:sz="0" w:space="0" w:color="auto"/>
        <w:left w:val="none" w:sz="0" w:space="0" w:color="auto"/>
        <w:bottom w:val="none" w:sz="0" w:space="0" w:color="auto"/>
        <w:right w:val="none" w:sz="0" w:space="0" w:color="auto"/>
      </w:divBdr>
    </w:div>
    <w:div w:id="1159611574">
      <w:bodyDiv w:val="1"/>
      <w:marLeft w:val="0"/>
      <w:marRight w:val="0"/>
      <w:marTop w:val="0"/>
      <w:marBottom w:val="0"/>
      <w:divBdr>
        <w:top w:val="none" w:sz="0" w:space="0" w:color="auto"/>
        <w:left w:val="none" w:sz="0" w:space="0" w:color="auto"/>
        <w:bottom w:val="none" w:sz="0" w:space="0" w:color="auto"/>
        <w:right w:val="none" w:sz="0" w:space="0" w:color="auto"/>
      </w:divBdr>
    </w:div>
    <w:div w:id="1221866825">
      <w:bodyDiv w:val="1"/>
      <w:marLeft w:val="0"/>
      <w:marRight w:val="0"/>
      <w:marTop w:val="0"/>
      <w:marBottom w:val="0"/>
      <w:divBdr>
        <w:top w:val="none" w:sz="0" w:space="0" w:color="auto"/>
        <w:left w:val="none" w:sz="0" w:space="0" w:color="auto"/>
        <w:bottom w:val="none" w:sz="0" w:space="0" w:color="auto"/>
        <w:right w:val="none" w:sz="0" w:space="0" w:color="auto"/>
      </w:divBdr>
    </w:div>
    <w:div w:id="1272972304">
      <w:bodyDiv w:val="1"/>
      <w:marLeft w:val="0"/>
      <w:marRight w:val="0"/>
      <w:marTop w:val="0"/>
      <w:marBottom w:val="0"/>
      <w:divBdr>
        <w:top w:val="none" w:sz="0" w:space="0" w:color="auto"/>
        <w:left w:val="none" w:sz="0" w:space="0" w:color="auto"/>
        <w:bottom w:val="none" w:sz="0" w:space="0" w:color="auto"/>
        <w:right w:val="none" w:sz="0" w:space="0" w:color="auto"/>
      </w:divBdr>
    </w:div>
    <w:div w:id="1288320872">
      <w:bodyDiv w:val="1"/>
      <w:marLeft w:val="0"/>
      <w:marRight w:val="0"/>
      <w:marTop w:val="0"/>
      <w:marBottom w:val="0"/>
      <w:divBdr>
        <w:top w:val="none" w:sz="0" w:space="0" w:color="auto"/>
        <w:left w:val="none" w:sz="0" w:space="0" w:color="auto"/>
        <w:bottom w:val="none" w:sz="0" w:space="0" w:color="auto"/>
        <w:right w:val="none" w:sz="0" w:space="0" w:color="auto"/>
      </w:divBdr>
    </w:div>
    <w:div w:id="1288389191">
      <w:bodyDiv w:val="1"/>
      <w:marLeft w:val="0"/>
      <w:marRight w:val="0"/>
      <w:marTop w:val="0"/>
      <w:marBottom w:val="0"/>
      <w:divBdr>
        <w:top w:val="none" w:sz="0" w:space="0" w:color="auto"/>
        <w:left w:val="none" w:sz="0" w:space="0" w:color="auto"/>
        <w:bottom w:val="none" w:sz="0" w:space="0" w:color="auto"/>
        <w:right w:val="none" w:sz="0" w:space="0" w:color="auto"/>
      </w:divBdr>
    </w:div>
    <w:div w:id="1297570248">
      <w:bodyDiv w:val="1"/>
      <w:marLeft w:val="0"/>
      <w:marRight w:val="0"/>
      <w:marTop w:val="0"/>
      <w:marBottom w:val="0"/>
      <w:divBdr>
        <w:top w:val="none" w:sz="0" w:space="0" w:color="auto"/>
        <w:left w:val="none" w:sz="0" w:space="0" w:color="auto"/>
        <w:bottom w:val="none" w:sz="0" w:space="0" w:color="auto"/>
        <w:right w:val="none" w:sz="0" w:space="0" w:color="auto"/>
      </w:divBdr>
    </w:div>
    <w:div w:id="1307322897">
      <w:bodyDiv w:val="1"/>
      <w:marLeft w:val="0"/>
      <w:marRight w:val="0"/>
      <w:marTop w:val="0"/>
      <w:marBottom w:val="0"/>
      <w:divBdr>
        <w:top w:val="none" w:sz="0" w:space="0" w:color="auto"/>
        <w:left w:val="none" w:sz="0" w:space="0" w:color="auto"/>
        <w:bottom w:val="none" w:sz="0" w:space="0" w:color="auto"/>
        <w:right w:val="none" w:sz="0" w:space="0" w:color="auto"/>
      </w:divBdr>
    </w:div>
    <w:div w:id="1311326864">
      <w:bodyDiv w:val="1"/>
      <w:marLeft w:val="0"/>
      <w:marRight w:val="0"/>
      <w:marTop w:val="0"/>
      <w:marBottom w:val="0"/>
      <w:divBdr>
        <w:top w:val="none" w:sz="0" w:space="0" w:color="auto"/>
        <w:left w:val="none" w:sz="0" w:space="0" w:color="auto"/>
        <w:bottom w:val="none" w:sz="0" w:space="0" w:color="auto"/>
        <w:right w:val="none" w:sz="0" w:space="0" w:color="auto"/>
      </w:divBdr>
    </w:div>
    <w:div w:id="1341810655">
      <w:bodyDiv w:val="1"/>
      <w:marLeft w:val="0"/>
      <w:marRight w:val="0"/>
      <w:marTop w:val="0"/>
      <w:marBottom w:val="0"/>
      <w:divBdr>
        <w:top w:val="none" w:sz="0" w:space="0" w:color="auto"/>
        <w:left w:val="none" w:sz="0" w:space="0" w:color="auto"/>
        <w:bottom w:val="none" w:sz="0" w:space="0" w:color="auto"/>
        <w:right w:val="none" w:sz="0" w:space="0" w:color="auto"/>
      </w:divBdr>
    </w:div>
    <w:div w:id="1405562978">
      <w:bodyDiv w:val="1"/>
      <w:marLeft w:val="0"/>
      <w:marRight w:val="0"/>
      <w:marTop w:val="0"/>
      <w:marBottom w:val="0"/>
      <w:divBdr>
        <w:top w:val="none" w:sz="0" w:space="0" w:color="auto"/>
        <w:left w:val="none" w:sz="0" w:space="0" w:color="auto"/>
        <w:bottom w:val="none" w:sz="0" w:space="0" w:color="auto"/>
        <w:right w:val="none" w:sz="0" w:space="0" w:color="auto"/>
      </w:divBdr>
    </w:div>
    <w:div w:id="1413235515">
      <w:bodyDiv w:val="1"/>
      <w:marLeft w:val="0"/>
      <w:marRight w:val="0"/>
      <w:marTop w:val="0"/>
      <w:marBottom w:val="0"/>
      <w:divBdr>
        <w:top w:val="none" w:sz="0" w:space="0" w:color="auto"/>
        <w:left w:val="none" w:sz="0" w:space="0" w:color="auto"/>
        <w:bottom w:val="none" w:sz="0" w:space="0" w:color="auto"/>
        <w:right w:val="none" w:sz="0" w:space="0" w:color="auto"/>
      </w:divBdr>
    </w:div>
    <w:div w:id="1449006435">
      <w:bodyDiv w:val="1"/>
      <w:marLeft w:val="0"/>
      <w:marRight w:val="0"/>
      <w:marTop w:val="0"/>
      <w:marBottom w:val="0"/>
      <w:divBdr>
        <w:top w:val="none" w:sz="0" w:space="0" w:color="auto"/>
        <w:left w:val="none" w:sz="0" w:space="0" w:color="auto"/>
        <w:bottom w:val="none" w:sz="0" w:space="0" w:color="auto"/>
        <w:right w:val="none" w:sz="0" w:space="0" w:color="auto"/>
      </w:divBdr>
    </w:div>
    <w:div w:id="1456174768">
      <w:bodyDiv w:val="1"/>
      <w:marLeft w:val="0"/>
      <w:marRight w:val="0"/>
      <w:marTop w:val="0"/>
      <w:marBottom w:val="0"/>
      <w:divBdr>
        <w:top w:val="none" w:sz="0" w:space="0" w:color="auto"/>
        <w:left w:val="none" w:sz="0" w:space="0" w:color="auto"/>
        <w:bottom w:val="none" w:sz="0" w:space="0" w:color="auto"/>
        <w:right w:val="none" w:sz="0" w:space="0" w:color="auto"/>
      </w:divBdr>
    </w:div>
    <w:div w:id="1484615299">
      <w:bodyDiv w:val="1"/>
      <w:marLeft w:val="0"/>
      <w:marRight w:val="0"/>
      <w:marTop w:val="0"/>
      <w:marBottom w:val="0"/>
      <w:divBdr>
        <w:top w:val="none" w:sz="0" w:space="0" w:color="auto"/>
        <w:left w:val="none" w:sz="0" w:space="0" w:color="auto"/>
        <w:bottom w:val="none" w:sz="0" w:space="0" w:color="auto"/>
        <w:right w:val="none" w:sz="0" w:space="0" w:color="auto"/>
      </w:divBdr>
    </w:div>
    <w:div w:id="1861891162">
      <w:bodyDiv w:val="1"/>
      <w:marLeft w:val="0"/>
      <w:marRight w:val="0"/>
      <w:marTop w:val="0"/>
      <w:marBottom w:val="0"/>
      <w:divBdr>
        <w:top w:val="none" w:sz="0" w:space="0" w:color="auto"/>
        <w:left w:val="none" w:sz="0" w:space="0" w:color="auto"/>
        <w:bottom w:val="none" w:sz="0" w:space="0" w:color="auto"/>
        <w:right w:val="none" w:sz="0" w:space="0" w:color="auto"/>
      </w:divBdr>
      <w:divsChild>
        <w:div w:id="85677447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9148265">
              <w:blockQuote w:val="1"/>
              <w:marLeft w:val="480"/>
              <w:marRight w:val="0"/>
              <w:marTop w:val="120"/>
              <w:marBottom w:val="120"/>
              <w:divBdr>
                <w:top w:val="none" w:sz="0" w:space="0" w:color="auto"/>
                <w:left w:val="none" w:sz="0" w:space="0" w:color="auto"/>
                <w:bottom w:val="none" w:sz="0" w:space="0" w:color="auto"/>
                <w:right w:val="none" w:sz="0" w:space="0" w:color="auto"/>
              </w:divBdr>
            </w:div>
            <w:div w:id="445807919">
              <w:blockQuote w:val="1"/>
              <w:marLeft w:val="480"/>
              <w:marRight w:val="0"/>
              <w:marTop w:val="120"/>
              <w:marBottom w:val="120"/>
              <w:divBdr>
                <w:top w:val="none" w:sz="0" w:space="0" w:color="auto"/>
                <w:left w:val="none" w:sz="0" w:space="0" w:color="auto"/>
                <w:bottom w:val="none" w:sz="0" w:space="0" w:color="auto"/>
                <w:right w:val="none" w:sz="0" w:space="0" w:color="auto"/>
              </w:divBdr>
            </w:div>
            <w:div w:id="455835139">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514419143">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652513648">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1783913921">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761950779">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 w:id="1941982867">
      <w:bodyDiv w:val="1"/>
      <w:marLeft w:val="0"/>
      <w:marRight w:val="0"/>
      <w:marTop w:val="0"/>
      <w:marBottom w:val="0"/>
      <w:divBdr>
        <w:top w:val="none" w:sz="0" w:space="0" w:color="auto"/>
        <w:left w:val="none" w:sz="0" w:space="0" w:color="auto"/>
        <w:bottom w:val="none" w:sz="0" w:space="0" w:color="auto"/>
        <w:right w:val="none" w:sz="0" w:space="0" w:color="auto"/>
      </w:divBdr>
    </w:div>
    <w:div w:id="2003269818">
      <w:bodyDiv w:val="1"/>
      <w:marLeft w:val="0"/>
      <w:marRight w:val="0"/>
      <w:marTop w:val="0"/>
      <w:marBottom w:val="0"/>
      <w:divBdr>
        <w:top w:val="none" w:sz="0" w:space="0" w:color="auto"/>
        <w:left w:val="none" w:sz="0" w:space="0" w:color="auto"/>
        <w:bottom w:val="none" w:sz="0" w:space="0" w:color="auto"/>
        <w:right w:val="none" w:sz="0" w:space="0" w:color="auto"/>
      </w:divBdr>
    </w:div>
    <w:div w:id="2004315815">
      <w:bodyDiv w:val="1"/>
      <w:marLeft w:val="0"/>
      <w:marRight w:val="0"/>
      <w:marTop w:val="0"/>
      <w:marBottom w:val="0"/>
      <w:divBdr>
        <w:top w:val="none" w:sz="0" w:space="0" w:color="auto"/>
        <w:left w:val="none" w:sz="0" w:space="0" w:color="auto"/>
        <w:bottom w:val="none" w:sz="0" w:space="0" w:color="auto"/>
        <w:right w:val="none" w:sz="0" w:space="0" w:color="auto"/>
      </w:divBdr>
    </w:div>
    <w:div w:id="20046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www.legislation.gov.au" TargetMode="External"/><Relationship Id="rId39" Type="http://schemas.openxmlformats.org/officeDocument/2006/relationships/hyperlink" Target="http://classic.austlii.edu.au/au/legis/act/consol_act/la2001133/s47.html" TargetMode="External"/><Relationship Id="rId3" Type="http://schemas.openxmlformats.org/officeDocument/2006/relationships/numbering" Target="numbering.xml"/><Relationship Id="rId21" Type="http://schemas.openxmlformats.org/officeDocument/2006/relationships/header" Target="header8.xml"/><Relationship Id="rId34" Type="http://schemas.openxmlformats.org/officeDocument/2006/relationships/hyperlink" Target="http://classic.austlii.edu.au/au/legis/act/consol_act/la2001133/s47.html" TargetMode="External"/><Relationship Id="rId42" Type="http://schemas.openxmlformats.org/officeDocument/2006/relationships/header" Target="header11.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www.parliament.act.gov.au/__data/assets/pdf_file/0007/434347/Subordinate-Legislation-Technical-and-Stylistic-Standards.pdf" TargetMode="External"/><Relationship Id="rId33" Type="http://schemas.openxmlformats.org/officeDocument/2006/relationships/hyperlink" Target="http://classic.austlii.edu.au/au/legis/act/consol_act/la2001133/s47.html" TargetMode="External"/><Relationship Id="rId38" Type="http://schemas.openxmlformats.org/officeDocument/2006/relationships/hyperlink" Target="http://classic.austlii.edu.au/au/legis/act/consol_act/la2001133/s47.html"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yperlink" Target="http://classic.austlii.edu.au/au/legis/act/consol_act/la2001133/s47.html" TargetMode="Externa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parliament.act.gov.au/__data/assets/pdf_file/0007/434347/Subordinate-Legislation-Technical-and-Stylistic-Standards.pdf" TargetMode="External"/><Relationship Id="rId32" Type="http://schemas.openxmlformats.org/officeDocument/2006/relationships/hyperlink" Target="http://classic.austlii.edu.au/au/legis/act/consol_act/la2001133/s47.html" TargetMode="External"/><Relationship Id="rId37" Type="http://schemas.openxmlformats.org/officeDocument/2006/relationships/hyperlink" Target="http://classic.austlii.edu.au/au/legis/act/consol_act/la2001133/s47.html" TargetMode="External"/><Relationship Id="rId40" Type="http://schemas.openxmlformats.org/officeDocument/2006/relationships/hyperlink" Target="https://www.parliament.act.gov.au/parliamentary-business/in-committees/committees/JCS_Scrutiny/responses-to-comments-on-bills" TargetMode="External"/><Relationship Id="rId45"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yperlink" Target="http://classic.austlii.edu.au/au/legis/act/consol_act/la2001133/s47.html" TargetMode="External"/><Relationship Id="rId36" Type="http://schemas.openxmlformats.org/officeDocument/2006/relationships/hyperlink" Target="http://classic.austlii.edu.au/au/legis/act/consol_act/la2001133/s47.html" TargetMode="Externa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http://classic.austlii.edu.au/au/legis/act/consol_act/la2001133/s47.html" TargetMode="External"/><Relationship Id="rId44" Type="http://schemas.openxmlformats.org/officeDocument/2006/relationships/footer" Target="foot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yperlink" Target="http://classic.austlii.edu.au/au/legis/act/consol_act/la2001133/s47.html" TargetMode="External"/><Relationship Id="rId30" Type="http://schemas.openxmlformats.org/officeDocument/2006/relationships/hyperlink" Target="http://classic.austlii.edu.au/au/legis/act/consol_act/la2001133/s47.html" TargetMode="External"/><Relationship Id="rId35" Type="http://schemas.openxmlformats.org/officeDocument/2006/relationships/hyperlink" Target="http://classic.austlii.edu.au/au/legis/act/consol_act/la2001133/s47.html" TargetMode="External"/><Relationship Id="rId43"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E5B0B-D405-4F95-84A1-A56830AF9D1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23CF177-4BB0-439E-B509-EFB6839D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28</Pages>
  <Words>10476</Words>
  <Characters>59714</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Scrutiny Report 45—30 June 2020</vt:lpstr>
    </vt:vector>
  </TitlesOfParts>
  <Company/>
  <LinksUpToDate>false</LinksUpToDate>
  <CharactersWithSpaces>70050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Scrutiny Report 3—14 April 2021</dc:title>
  <dc:creator>Anne Shannon</dc:creator>
  <cp:lastModifiedBy>Milne, Sophie</cp:lastModifiedBy>
  <cp:revision>84</cp:revision>
  <cp:lastPrinted>2021-04-14T00:17:00Z</cp:lastPrinted>
  <dcterms:created xsi:type="dcterms:W3CDTF">2021-04-07T23:14:00Z</dcterms:created>
  <dcterms:modified xsi:type="dcterms:W3CDTF">2021-06-09T00:17:00Z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b5416023-e907-4e5c-94a6-d4a6d91d63bb</vt:lpwstr>
  </property>
  <property fmtid="{D5CDD505-2E9C-101B-9397-08002B2CF9AE}" pid="3" name="bjSaver">
    <vt:lpwstr>ZwE+/ToLrPDfvyrx1nh9MyjXnSm5Wksu</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