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E9" w:rsidRPr="009E6DE9" w:rsidRDefault="009E6DE9" w:rsidP="009E6DE9">
      <w:pPr>
        <w:jc w:val="center"/>
        <w:rPr>
          <w:rFonts w:ascii="Times New Roman" w:hAnsi="Times New Roman"/>
          <w:b/>
          <w:bCs/>
          <w:lang w:val="en-AU"/>
        </w:rPr>
      </w:pPr>
      <w:r w:rsidRPr="009E6DE9">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9E6DE9" w:rsidRPr="009E6DE9" w:rsidRDefault="009E6DE9" w:rsidP="009E6DE9">
      <w:pPr>
        <w:keepNext/>
        <w:keepLines/>
        <w:spacing w:before="320"/>
        <w:jc w:val="center"/>
        <w:rPr>
          <w:rFonts w:ascii="Calibri" w:hAnsi="Calibri"/>
          <w:b/>
          <w:bCs/>
          <w:sz w:val="32"/>
          <w:szCs w:val="32"/>
          <w:lang w:val="en-AU"/>
        </w:rPr>
      </w:pPr>
      <w:r w:rsidRPr="009E6DE9">
        <w:rPr>
          <w:rFonts w:ascii="Calibri" w:hAnsi="Calibri"/>
          <w:b/>
          <w:bCs/>
          <w:sz w:val="32"/>
          <w:szCs w:val="32"/>
          <w:lang w:val="en-AU"/>
        </w:rPr>
        <w:t>LEGISLATIVE ASSEMBLY FOR THE</w:t>
      </w:r>
    </w:p>
    <w:p w:rsidR="009E6DE9" w:rsidRPr="009E6DE9" w:rsidRDefault="009E6DE9" w:rsidP="009E6DE9">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E6DE9">
            <w:rPr>
              <w:rFonts w:ascii="Calibri" w:hAnsi="Calibri"/>
              <w:b/>
              <w:bCs/>
              <w:sz w:val="32"/>
              <w:szCs w:val="32"/>
              <w:lang w:val="en-AU"/>
            </w:rPr>
            <w:t>AUSTRALIAN CAPITAL TERRITORY</w:t>
          </w:r>
        </w:smartTag>
      </w:smartTag>
    </w:p>
    <w:p w:rsidR="009E6DE9" w:rsidRPr="009E6DE9" w:rsidRDefault="009E6DE9" w:rsidP="009E6DE9">
      <w:pPr>
        <w:spacing w:before="360"/>
        <w:jc w:val="center"/>
        <w:rPr>
          <w:rFonts w:ascii="Calibri" w:hAnsi="Calibri"/>
          <w:b/>
          <w:sz w:val="28"/>
          <w:szCs w:val="28"/>
        </w:rPr>
      </w:pPr>
      <w:r w:rsidRPr="009E6DE9">
        <w:rPr>
          <w:rFonts w:ascii="Calibri" w:hAnsi="Calibri"/>
          <w:b/>
          <w:sz w:val="28"/>
          <w:szCs w:val="28"/>
        </w:rPr>
        <w:t>2020–2021</w:t>
      </w:r>
    </w:p>
    <w:p w:rsidR="009E6DE9" w:rsidRPr="009E6DE9" w:rsidRDefault="009E6DE9" w:rsidP="009E6DE9">
      <w:pPr>
        <w:keepNext/>
        <w:keepLines/>
        <w:spacing w:before="360"/>
        <w:jc w:val="center"/>
        <w:rPr>
          <w:rFonts w:ascii="Calibri" w:hAnsi="Calibri"/>
          <w:b/>
          <w:sz w:val="40"/>
          <w:szCs w:val="40"/>
          <w:lang w:val="en-AU"/>
        </w:rPr>
      </w:pPr>
      <w:r w:rsidRPr="009E6DE9">
        <w:rPr>
          <w:rFonts w:ascii="Calibri" w:hAnsi="Calibri"/>
          <w:b/>
          <w:sz w:val="40"/>
          <w:szCs w:val="40"/>
          <w:lang w:val="en-AU"/>
        </w:rPr>
        <w:t>MINUTES OF PROCEEDINGS</w:t>
      </w:r>
    </w:p>
    <w:p w:rsidR="009E6DE9" w:rsidRPr="009E6DE9" w:rsidRDefault="009E6DE9" w:rsidP="009E6DE9">
      <w:pPr>
        <w:spacing w:before="360"/>
        <w:jc w:val="center"/>
        <w:rPr>
          <w:rFonts w:ascii="Calibri" w:hAnsi="Calibri"/>
          <w:b/>
          <w:sz w:val="28"/>
          <w:szCs w:val="28"/>
        </w:rPr>
      </w:pPr>
      <w:r w:rsidRPr="009E6DE9">
        <w:rPr>
          <w:rFonts w:ascii="Calibri" w:hAnsi="Calibri"/>
          <w:b/>
          <w:sz w:val="28"/>
          <w:szCs w:val="28"/>
        </w:rPr>
        <w:t xml:space="preserve">No </w:t>
      </w:r>
      <w:r>
        <w:rPr>
          <w:rFonts w:ascii="Calibri" w:hAnsi="Calibri"/>
          <w:b/>
          <w:sz w:val="28"/>
          <w:szCs w:val="28"/>
        </w:rPr>
        <w:t>5</w:t>
      </w:r>
    </w:p>
    <w:p w:rsidR="009E6DE9" w:rsidRPr="009E6DE9" w:rsidRDefault="009E6DE9" w:rsidP="009E6DE9">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10 February 2021</w:t>
      </w:r>
    </w:p>
    <w:tbl>
      <w:tblPr>
        <w:tblW w:w="0" w:type="auto"/>
        <w:jc w:val="center"/>
        <w:tblLayout w:type="fixed"/>
        <w:tblLook w:val="0000" w:firstRow="0" w:lastRow="0" w:firstColumn="0" w:lastColumn="0" w:noHBand="0" w:noVBand="0"/>
      </w:tblPr>
      <w:tblGrid>
        <w:gridCol w:w="2452"/>
      </w:tblGrid>
      <w:tr w:rsidR="009E6DE9" w:rsidRPr="009E6DE9" w:rsidTr="00CA6AD3">
        <w:trPr>
          <w:trHeight w:hRule="exact" w:val="333"/>
          <w:jc w:val="center"/>
        </w:trPr>
        <w:tc>
          <w:tcPr>
            <w:tcW w:w="2452" w:type="dxa"/>
          </w:tcPr>
          <w:p w:rsidR="009E6DE9" w:rsidRPr="009E6DE9" w:rsidRDefault="009E6DE9" w:rsidP="009E6DE9">
            <w:pPr>
              <w:rPr>
                <w:rFonts w:ascii="Times New Roman" w:hAnsi="Times New Roman"/>
                <w:color w:val="008000"/>
                <w:sz w:val="16"/>
                <w:lang w:val="en-AU"/>
              </w:rPr>
            </w:pPr>
          </w:p>
        </w:tc>
      </w:tr>
      <w:tr w:rsidR="009E6DE9" w:rsidRPr="009E6DE9" w:rsidTr="00CA6AD3">
        <w:trPr>
          <w:trHeight w:hRule="exact" w:val="60"/>
          <w:jc w:val="center"/>
        </w:trPr>
        <w:tc>
          <w:tcPr>
            <w:tcW w:w="2452" w:type="dxa"/>
            <w:tcBorders>
              <w:top w:val="single" w:sz="8" w:space="0" w:color="000000"/>
              <w:bottom w:val="single" w:sz="4" w:space="0" w:color="000000"/>
            </w:tcBorders>
          </w:tcPr>
          <w:p w:rsidR="009E6DE9" w:rsidRPr="009E6DE9" w:rsidRDefault="009E6DE9" w:rsidP="009E6DE9">
            <w:pPr>
              <w:rPr>
                <w:rFonts w:ascii="Times New Roman" w:hAnsi="Times New Roman"/>
                <w:color w:val="008000"/>
                <w:sz w:val="16"/>
                <w:lang w:val="en-AU"/>
              </w:rPr>
            </w:pPr>
          </w:p>
        </w:tc>
      </w:tr>
    </w:tbl>
    <w:p w:rsidR="009E6DE9" w:rsidRPr="009E6DE9" w:rsidRDefault="009E6DE9" w:rsidP="009E6DE9">
      <w:pPr>
        <w:keepNext/>
        <w:keepLines/>
        <w:tabs>
          <w:tab w:val="right" w:pos="339"/>
          <w:tab w:val="left" w:pos="720"/>
        </w:tabs>
        <w:spacing w:before="240"/>
        <w:ind w:left="720" w:hanging="720"/>
        <w:jc w:val="both"/>
        <w:rPr>
          <w:rFonts w:ascii="Calibri" w:hAnsi="Calibri"/>
          <w:bCs/>
          <w:lang w:val="en-AU"/>
        </w:rPr>
      </w:pPr>
      <w:r w:rsidRPr="009E6DE9">
        <w:rPr>
          <w:rFonts w:ascii="Times New Roman" w:hAnsi="Times New Roman"/>
        </w:rPr>
        <w:tab/>
      </w:r>
      <w:r w:rsidR="00460C16" w:rsidRPr="00460C16">
        <w:rPr>
          <w:b/>
          <w:bCs/>
        </w:rPr>
        <w:fldChar w:fldCharType="begin"/>
      </w:r>
      <w:r w:rsidR="00460C16" w:rsidRPr="00460C16">
        <w:rPr>
          <w:b/>
          <w:bCs/>
        </w:rPr>
        <w:instrText xml:space="preserve"> SEQ A \* MERGEFORMAT </w:instrText>
      </w:r>
      <w:r w:rsidR="00460C16" w:rsidRPr="00460C16">
        <w:rPr>
          <w:b/>
          <w:bCs/>
        </w:rPr>
        <w:fldChar w:fldCharType="separate"/>
      </w:r>
      <w:r w:rsidR="00AF0868">
        <w:rPr>
          <w:b/>
          <w:bCs/>
          <w:noProof/>
        </w:rPr>
        <w:t>1</w:t>
      </w:r>
      <w:r w:rsidR="00460C16" w:rsidRPr="00460C16">
        <w:rPr>
          <w:b/>
          <w:bCs/>
        </w:rPr>
        <w:fldChar w:fldCharType="end"/>
      </w:r>
      <w:r w:rsidRPr="009E6DE9">
        <w:rPr>
          <w:rFonts w:ascii="Times New Roman" w:hAnsi="Times New Roman"/>
        </w:rPr>
        <w:tab/>
      </w:r>
      <w:r w:rsidRPr="009E6DE9">
        <w:rPr>
          <w:rFonts w:ascii="Calibri" w:hAnsi="Calibri"/>
          <w:bCs/>
          <w:lang w:val="en-AU"/>
        </w:rPr>
        <w:t xml:space="preserve">The Assembly met at 10 am, pursuant to adjournment.  The Speaker </w:t>
      </w:r>
      <w:r w:rsidRPr="009E6DE9">
        <w:rPr>
          <w:rFonts w:ascii="Calibri" w:hAnsi="Calibri"/>
          <w:bCs/>
        </w:rPr>
        <w:t>(</w:t>
      </w:r>
      <w:r>
        <w:rPr>
          <w:rFonts w:ascii="Calibri" w:hAnsi="Calibri"/>
          <w:bCs/>
        </w:rPr>
        <w:t>Ms Burch</w:t>
      </w:r>
      <w:r w:rsidRPr="009E6DE9">
        <w:rPr>
          <w:rFonts w:ascii="Calibri" w:hAnsi="Calibri"/>
          <w:bCs/>
        </w:rPr>
        <w:t>)</w:t>
      </w:r>
      <w:r w:rsidRPr="009E6DE9">
        <w:rPr>
          <w:rFonts w:ascii="Calibri" w:hAnsi="Calibri"/>
          <w:bCs/>
          <w:lang w:val="en-AU"/>
        </w:rPr>
        <w:t xml:space="preserve"> took the Chair and made the following acknowledgement of country in the Ngunnawal language:</w:t>
      </w:r>
    </w:p>
    <w:p w:rsidR="009E6DE9" w:rsidRPr="009E6DE9" w:rsidRDefault="009E6DE9" w:rsidP="009E6DE9">
      <w:pPr>
        <w:spacing w:before="120"/>
        <w:ind w:left="864"/>
        <w:jc w:val="both"/>
        <w:rPr>
          <w:rFonts w:ascii="Calibri" w:hAnsi="Calibri"/>
          <w:lang w:val="en-AU"/>
        </w:rPr>
      </w:pPr>
      <w:r w:rsidRPr="009E6DE9">
        <w:rPr>
          <w:rFonts w:ascii="Calibri" w:hAnsi="Calibri"/>
          <w:lang w:val="en-AU"/>
        </w:rPr>
        <w:t>Dhawura nguna, dhawura Ngunnawal.</w:t>
      </w:r>
    </w:p>
    <w:p w:rsidR="009E6DE9" w:rsidRPr="009E6DE9" w:rsidRDefault="009E6DE9" w:rsidP="009E6DE9">
      <w:pPr>
        <w:spacing w:before="40"/>
        <w:ind w:left="864"/>
        <w:jc w:val="both"/>
        <w:rPr>
          <w:rFonts w:ascii="Calibri" w:hAnsi="Calibri"/>
          <w:lang w:val="en-AU"/>
        </w:rPr>
      </w:pPr>
      <w:r w:rsidRPr="009E6DE9">
        <w:rPr>
          <w:rFonts w:ascii="Calibri" w:hAnsi="Calibri"/>
          <w:lang w:val="en-AU"/>
        </w:rPr>
        <w:t>Yanggu ngalawiri, dhunimanyin Ngunnawalwari dhawurawari.</w:t>
      </w:r>
    </w:p>
    <w:p w:rsidR="009E6DE9" w:rsidRPr="009E6DE9" w:rsidRDefault="009E6DE9" w:rsidP="009E6DE9">
      <w:pPr>
        <w:spacing w:before="40"/>
        <w:ind w:left="864"/>
        <w:jc w:val="both"/>
        <w:rPr>
          <w:rFonts w:ascii="Calibri" w:hAnsi="Calibri"/>
          <w:lang w:val="en-AU"/>
        </w:rPr>
      </w:pPr>
      <w:r w:rsidRPr="009E6DE9">
        <w:rPr>
          <w:rFonts w:ascii="Calibri" w:hAnsi="Calibri"/>
          <w:lang w:val="en-AU"/>
        </w:rPr>
        <w:t>Nginggada Dindi dhawura Ngunnaawalbun yindjumaralidjinyin.</w:t>
      </w:r>
    </w:p>
    <w:p w:rsidR="009E6DE9" w:rsidRPr="009E6DE9" w:rsidRDefault="009E6DE9" w:rsidP="009E6DE9">
      <w:pPr>
        <w:spacing w:before="120"/>
        <w:ind w:left="864"/>
        <w:jc w:val="both"/>
        <w:rPr>
          <w:rFonts w:ascii="Calibri" w:hAnsi="Calibri"/>
          <w:i/>
          <w:lang w:val="en-AU"/>
        </w:rPr>
      </w:pPr>
      <w:r w:rsidRPr="009E6DE9">
        <w:rPr>
          <w:rFonts w:ascii="Calibri" w:hAnsi="Calibri"/>
          <w:i/>
          <w:lang w:val="en-AU"/>
        </w:rPr>
        <w:t>This is Ngunnawal Country.</w:t>
      </w:r>
    </w:p>
    <w:p w:rsidR="009E6DE9" w:rsidRPr="009E6DE9" w:rsidRDefault="009E6DE9" w:rsidP="009E6DE9">
      <w:pPr>
        <w:spacing w:before="40"/>
        <w:ind w:left="864"/>
        <w:jc w:val="both"/>
        <w:rPr>
          <w:rFonts w:ascii="Calibri" w:hAnsi="Calibri"/>
          <w:i/>
          <w:lang w:val="en-AU"/>
        </w:rPr>
      </w:pPr>
      <w:r w:rsidRPr="009E6DE9">
        <w:rPr>
          <w:rFonts w:ascii="Calibri" w:hAnsi="Calibri"/>
          <w:i/>
          <w:lang w:val="en-AU"/>
        </w:rPr>
        <w:t>Today we are gathering on Ngunnawal country.</w:t>
      </w:r>
    </w:p>
    <w:p w:rsidR="009E6DE9" w:rsidRPr="009E6DE9" w:rsidRDefault="009E6DE9" w:rsidP="009E6DE9">
      <w:pPr>
        <w:spacing w:before="40"/>
        <w:ind w:left="864"/>
        <w:jc w:val="both"/>
        <w:rPr>
          <w:rFonts w:ascii="Calibri" w:hAnsi="Calibri"/>
          <w:i/>
          <w:lang w:val="en-AU"/>
        </w:rPr>
      </w:pPr>
      <w:r w:rsidRPr="009E6DE9">
        <w:rPr>
          <w:rFonts w:ascii="Calibri" w:hAnsi="Calibri"/>
          <w:i/>
          <w:lang w:val="en-AU"/>
        </w:rPr>
        <w:t>We always pay respect to Elders, female and male, and Ngunnawal country.</w:t>
      </w:r>
    </w:p>
    <w:p w:rsidR="009E6DE9" w:rsidRPr="009E6DE9" w:rsidRDefault="009E6DE9" w:rsidP="009E6DE9">
      <w:pPr>
        <w:spacing w:before="120"/>
        <w:ind w:left="720"/>
        <w:jc w:val="both"/>
        <w:rPr>
          <w:rFonts w:ascii="Calibri" w:hAnsi="Calibri"/>
          <w:lang w:val="en-AU"/>
        </w:rPr>
      </w:pPr>
      <w:r w:rsidRPr="009E6DE9">
        <w:rPr>
          <w:rFonts w:ascii="Calibri" w:hAnsi="Calibri"/>
          <w:lang w:val="en-AU"/>
        </w:rPr>
        <w:t>The Speaker asked Members to stand in silence and pray or reflect on their responsibilities to the people of the Australian Capital Territory.</w:t>
      </w:r>
    </w:p>
    <w:p w:rsidR="009E6DE9" w:rsidRPr="009E6DE9" w:rsidRDefault="009E6DE9" w:rsidP="009E6DE9">
      <w:pPr>
        <w:keepNext/>
        <w:keepLines/>
        <w:tabs>
          <w:tab w:val="right" w:pos="339"/>
          <w:tab w:val="left" w:pos="720"/>
        </w:tabs>
        <w:spacing w:before="240"/>
        <w:ind w:left="720" w:hanging="720"/>
        <w:jc w:val="both"/>
        <w:rPr>
          <w:rFonts w:ascii="Calibri" w:hAnsi="Calibri"/>
          <w:b/>
          <w:lang w:val="en-AU"/>
        </w:rPr>
      </w:pPr>
      <w:r w:rsidRPr="009E6DE9">
        <w:rPr>
          <w:rFonts w:ascii="Calibri" w:hAnsi="Calibri"/>
          <w:b/>
          <w:lang w:val="en-AU"/>
        </w:rPr>
        <w:tab/>
      </w:r>
      <w:r w:rsidR="00460C16">
        <w:rPr>
          <w:rFonts w:ascii="Calibri" w:hAnsi="Calibri"/>
          <w:b/>
          <w:bCs/>
          <w:lang w:val="en-AU"/>
        </w:rPr>
        <w:fldChar w:fldCharType="begin"/>
      </w:r>
      <w:r w:rsidR="00460C16">
        <w:rPr>
          <w:rFonts w:ascii="Calibri" w:hAnsi="Calibri"/>
          <w:b/>
          <w:bCs/>
          <w:lang w:val="en-AU"/>
        </w:rPr>
        <w:instrText xml:space="preserve"> SEQ A \* MERGEFORMAT </w:instrText>
      </w:r>
      <w:r w:rsidR="00460C16">
        <w:rPr>
          <w:rFonts w:ascii="Calibri" w:hAnsi="Calibri"/>
          <w:b/>
          <w:bCs/>
          <w:lang w:val="en-AU"/>
        </w:rPr>
        <w:fldChar w:fldCharType="separate"/>
      </w:r>
      <w:r w:rsidR="00AF0868">
        <w:rPr>
          <w:rFonts w:ascii="Calibri" w:hAnsi="Calibri"/>
          <w:b/>
          <w:bCs/>
          <w:noProof/>
          <w:lang w:val="en-AU"/>
        </w:rPr>
        <w:t>2</w:t>
      </w:r>
      <w:r w:rsidR="00460C16">
        <w:rPr>
          <w:rFonts w:ascii="Calibri" w:hAnsi="Calibri"/>
          <w:b/>
          <w:bCs/>
          <w:lang w:val="en-AU"/>
        </w:rPr>
        <w:fldChar w:fldCharType="end"/>
      </w:r>
      <w:r w:rsidRPr="009E6DE9">
        <w:rPr>
          <w:rFonts w:ascii="Calibri" w:hAnsi="Calibri"/>
          <w:b/>
          <w:lang w:val="en-AU"/>
        </w:rPr>
        <w:tab/>
        <w:t>PETITION—PETITION NOTED</w:t>
      </w:r>
    </w:p>
    <w:p w:rsidR="009E6DE9" w:rsidRPr="009E6DE9" w:rsidRDefault="009E6DE9" w:rsidP="009E6DE9">
      <w:pPr>
        <w:spacing w:before="120"/>
        <w:ind w:left="720"/>
        <w:jc w:val="both"/>
        <w:rPr>
          <w:rFonts w:ascii="Calibri" w:hAnsi="Calibri"/>
          <w:lang w:val="en-AU"/>
        </w:rPr>
      </w:pPr>
      <w:r w:rsidRPr="009E6DE9">
        <w:rPr>
          <w:rFonts w:ascii="Calibri" w:hAnsi="Calibri"/>
          <w:lang w:val="en-AU"/>
        </w:rPr>
        <w:t>The Clerk announced that the following Member had lodged a petition for presentation:</w:t>
      </w:r>
    </w:p>
    <w:p w:rsidR="006170BD" w:rsidRDefault="006170BD" w:rsidP="009E6DE9">
      <w:pPr>
        <w:spacing w:before="120"/>
        <w:ind w:left="720"/>
        <w:jc w:val="both"/>
        <w:rPr>
          <w:rFonts w:ascii="Calibri" w:hAnsi="Calibri"/>
          <w:lang w:val="en-AU"/>
        </w:rPr>
      </w:pPr>
      <w:r>
        <w:rPr>
          <w:rFonts w:ascii="Calibri" w:hAnsi="Calibri"/>
          <w:lang w:val="en-AU"/>
        </w:rPr>
        <w:t>Ms Orr, from 584</w:t>
      </w:r>
      <w:r w:rsidRPr="00C2295B">
        <w:rPr>
          <w:rFonts w:ascii="Calibri" w:hAnsi="Calibri"/>
          <w:lang w:val="en-AU"/>
        </w:rPr>
        <w:t xml:space="preserve"> resi</w:t>
      </w:r>
      <w:r>
        <w:rPr>
          <w:rFonts w:ascii="Calibri" w:hAnsi="Calibri"/>
          <w:lang w:val="en-AU"/>
        </w:rPr>
        <w:t>dents, requesting that the Assembly seek a full update from the developer of Giralang shops on any progress on delivering the shops</w:t>
      </w:r>
      <w:r w:rsidR="006C2392">
        <w:rPr>
          <w:rFonts w:ascii="Calibri" w:hAnsi="Calibri"/>
          <w:lang w:val="en-AU"/>
        </w:rPr>
        <w:t xml:space="preserve"> (</w:t>
      </w:r>
      <w:r>
        <w:rPr>
          <w:rFonts w:ascii="Calibri" w:hAnsi="Calibri"/>
          <w:lang w:val="en-AU"/>
        </w:rPr>
        <w:t>Pet 4-21</w:t>
      </w:r>
      <w:r w:rsidRPr="00C2295B">
        <w:rPr>
          <w:rFonts w:ascii="Calibri" w:hAnsi="Calibri"/>
          <w:lang w:val="en-AU"/>
        </w:rPr>
        <w:t>).</w:t>
      </w:r>
    </w:p>
    <w:p w:rsidR="009E6DE9" w:rsidRPr="009E6DE9" w:rsidRDefault="009E6DE9" w:rsidP="009E6DE9">
      <w:pPr>
        <w:spacing w:before="120"/>
        <w:ind w:left="720"/>
        <w:jc w:val="both"/>
        <w:rPr>
          <w:rFonts w:ascii="Calibri" w:hAnsi="Calibri"/>
          <w:color w:val="FF0000"/>
          <w:lang w:val="en-AU"/>
        </w:rPr>
      </w:pPr>
      <w:r w:rsidRPr="006170BD">
        <w:rPr>
          <w:rFonts w:ascii="Calibri" w:hAnsi="Calibri"/>
          <w:lang w:val="en-AU"/>
        </w:rPr>
        <w:t xml:space="preserve">Pursuant to standing order 99A, this petition stands referred to the Standing Committee on </w:t>
      </w:r>
      <w:r w:rsidR="006170BD" w:rsidRPr="006170BD">
        <w:rPr>
          <w:rFonts w:ascii="Calibri" w:hAnsi="Calibri"/>
          <w:lang w:val="en-AU"/>
        </w:rPr>
        <w:t>Planning, Transport and City Services.</w:t>
      </w:r>
    </w:p>
    <w:p w:rsidR="009E6DE9" w:rsidRPr="009E6DE9" w:rsidRDefault="009E6DE9" w:rsidP="009E6DE9">
      <w:pPr>
        <w:spacing w:before="120"/>
        <w:ind w:left="720"/>
        <w:jc w:val="center"/>
        <w:rPr>
          <w:rFonts w:ascii="Calibri" w:hAnsi="Calibri"/>
          <w:lang w:val="en-AU"/>
        </w:rPr>
      </w:pPr>
      <w:r w:rsidRPr="009E6DE9">
        <w:rPr>
          <w:rFonts w:ascii="Calibri" w:hAnsi="Calibri"/>
          <w:lang w:val="en-AU"/>
        </w:rPr>
        <w:t>____________________</w:t>
      </w:r>
    </w:p>
    <w:p w:rsidR="009E6DE9" w:rsidRPr="009E6DE9" w:rsidRDefault="009E6DE9" w:rsidP="009E6DE9">
      <w:pPr>
        <w:spacing w:before="120"/>
        <w:ind w:left="720"/>
        <w:jc w:val="both"/>
        <w:rPr>
          <w:rFonts w:ascii="Calibri" w:hAnsi="Calibri"/>
          <w:lang w:val="en-AU"/>
        </w:rPr>
      </w:pPr>
      <w:r w:rsidRPr="009E6DE9">
        <w:rPr>
          <w:rFonts w:ascii="Calibri" w:hAnsi="Calibri"/>
          <w:lang w:val="en-AU"/>
        </w:rPr>
        <w:t>The Speaker proposed—That the petition so lodged be noted.</w:t>
      </w:r>
    </w:p>
    <w:p w:rsidR="009E6DE9" w:rsidRPr="009E6DE9" w:rsidRDefault="009E6DE9" w:rsidP="009E6DE9">
      <w:pPr>
        <w:spacing w:before="120"/>
        <w:ind w:left="720"/>
        <w:jc w:val="both"/>
        <w:rPr>
          <w:rFonts w:ascii="Calibri" w:hAnsi="Calibri"/>
          <w:lang w:val="en-AU"/>
        </w:rPr>
      </w:pPr>
      <w:r w:rsidRPr="009E6DE9">
        <w:rPr>
          <w:rFonts w:ascii="Calibri" w:hAnsi="Calibri"/>
          <w:lang w:val="en-AU"/>
        </w:rPr>
        <w:t>Debate ensued.</w:t>
      </w:r>
    </w:p>
    <w:p w:rsidR="009E6DE9" w:rsidRPr="009E6DE9" w:rsidRDefault="009E6DE9" w:rsidP="009E6DE9">
      <w:pPr>
        <w:spacing w:before="120"/>
        <w:ind w:left="720"/>
        <w:jc w:val="both"/>
        <w:rPr>
          <w:rFonts w:ascii="Calibri" w:hAnsi="Calibri"/>
          <w:lang w:val="en-AU"/>
        </w:rPr>
      </w:pPr>
      <w:r w:rsidRPr="009E6DE9">
        <w:rPr>
          <w:rFonts w:ascii="Calibri" w:hAnsi="Calibri"/>
          <w:lang w:val="en-AU"/>
        </w:rPr>
        <w:t>Question—put and passed.</w:t>
      </w:r>
    </w:p>
    <w:p w:rsidR="00E46637" w:rsidRPr="00E46637" w:rsidRDefault="00E46637" w:rsidP="00E46637">
      <w:pPr>
        <w:keepNext/>
        <w:keepLines/>
        <w:tabs>
          <w:tab w:val="right" w:pos="339"/>
          <w:tab w:val="left" w:pos="720"/>
        </w:tabs>
        <w:spacing w:before="240"/>
        <w:ind w:left="720" w:hanging="720"/>
        <w:rPr>
          <w:rFonts w:ascii="Calibri" w:hAnsi="Calibri"/>
          <w:b/>
          <w:lang w:val="en-AU"/>
        </w:rPr>
      </w:pPr>
      <w:r w:rsidRPr="00E46637">
        <w:rPr>
          <w:rFonts w:ascii="Calibri" w:hAnsi="Calibri"/>
          <w:b/>
          <w:lang w:val="en-AU"/>
        </w:rPr>
        <w:tab/>
      </w:r>
      <w:r w:rsidR="00460C16">
        <w:rPr>
          <w:rFonts w:ascii="Calibri" w:hAnsi="Calibri"/>
          <w:b/>
          <w:bCs/>
          <w:lang w:val="en-AU"/>
        </w:rPr>
        <w:fldChar w:fldCharType="begin"/>
      </w:r>
      <w:r w:rsidR="00460C16">
        <w:rPr>
          <w:rFonts w:ascii="Calibri" w:hAnsi="Calibri"/>
          <w:b/>
          <w:bCs/>
          <w:lang w:val="en-AU"/>
        </w:rPr>
        <w:instrText xml:space="preserve"> SEQ A \* MERGEFORMAT </w:instrText>
      </w:r>
      <w:r w:rsidR="00460C16">
        <w:rPr>
          <w:rFonts w:ascii="Calibri" w:hAnsi="Calibri"/>
          <w:b/>
          <w:bCs/>
          <w:lang w:val="en-AU"/>
        </w:rPr>
        <w:fldChar w:fldCharType="separate"/>
      </w:r>
      <w:r w:rsidR="00AF0868">
        <w:rPr>
          <w:rFonts w:ascii="Calibri" w:hAnsi="Calibri"/>
          <w:b/>
          <w:bCs/>
          <w:noProof/>
          <w:lang w:val="en-AU"/>
        </w:rPr>
        <w:t>3</w:t>
      </w:r>
      <w:r w:rsidR="00460C16">
        <w:rPr>
          <w:rFonts w:ascii="Calibri" w:hAnsi="Calibri"/>
          <w:b/>
          <w:bCs/>
          <w:lang w:val="en-AU"/>
        </w:rPr>
        <w:fldChar w:fldCharType="end"/>
      </w:r>
      <w:r w:rsidRPr="00E46637">
        <w:rPr>
          <w:rFonts w:ascii="Calibri" w:hAnsi="Calibri"/>
          <w:b/>
          <w:lang w:val="en-AU"/>
        </w:rPr>
        <w:tab/>
      </w:r>
      <w:r>
        <w:rPr>
          <w:rFonts w:ascii="Calibri" w:hAnsi="Calibri"/>
          <w:b/>
          <w:caps/>
          <w:lang w:val="en-AU"/>
        </w:rPr>
        <w:t>A</w:t>
      </w:r>
      <w:r w:rsidR="008527DE">
        <w:rPr>
          <w:rFonts w:ascii="Calibri" w:hAnsi="Calibri"/>
          <w:b/>
          <w:caps/>
          <w:lang w:val="en-AU"/>
        </w:rPr>
        <w:t>.</w:t>
      </w:r>
      <w:r>
        <w:rPr>
          <w:rFonts w:ascii="Calibri" w:hAnsi="Calibri"/>
          <w:b/>
          <w:caps/>
          <w:lang w:val="en-AU"/>
        </w:rPr>
        <w:t>C</w:t>
      </w:r>
      <w:r w:rsidR="008527DE">
        <w:rPr>
          <w:rFonts w:ascii="Calibri" w:hAnsi="Calibri"/>
          <w:b/>
          <w:caps/>
          <w:lang w:val="en-AU"/>
        </w:rPr>
        <w:t>.</w:t>
      </w:r>
      <w:r>
        <w:rPr>
          <w:rFonts w:ascii="Calibri" w:hAnsi="Calibri"/>
          <w:b/>
          <w:caps/>
          <w:lang w:val="en-AU"/>
        </w:rPr>
        <w:t>T</w:t>
      </w:r>
      <w:r w:rsidR="008527DE">
        <w:rPr>
          <w:rFonts w:ascii="Calibri" w:hAnsi="Calibri"/>
          <w:b/>
          <w:caps/>
          <w:lang w:val="en-AU"/>
        </w:rPr>
        <w:t>.</w:t>
      </w:r>
      <w:r>
        <w:rPr>
          <w:rFonts w:ascii="Calibri" w:hAnsi="Calibri"/>
          <w:b/>
          <w:caps/>
          <w:lang w:val="en-AU"/>
        </w:rPr>
        <w:t xml:space="preserve"> Housing St</w:t>
      </w:r>
      <w:r w:rsidR="0069722D">
        <w:rPr>
          <w:rFonts w:ascii="Calibri" w:hAnsi="Calibri"/>
          <w:b/>
          <w:caps/>
          <w:lang w:val="en-AU"/>
        </w:rPr>
        <w:t>Rate</w:t>
      </w:r>
      <w:r>
        <w:rPr>
          <w:rFonts w:ascii="Calibri" w:hAnsi="Calibri"/>
          <w:b/>
          <w:caps/>
          <w:lang w:val="en-AU"/>
        </w:rPr>
        <w:t>gy—Year 2 Report Card</w:t>
      </w:r>
      <w:r w:rsidRPr="00E46637">
        <w:rPr>
          <w:rFonts w:ascii="Calibri" w:hAnsi="Calibri"/>
          <w:b/>
          <w:caps/>
          <w:lang w:val="en-AU"/>
        </w:rPr>
        <w:t>—MINISTERIAL STATEMENT—PAPER NOTED</w:t>
      </w:r>
    </w:p>
    <w:p w:rsidR="00E46637" w:rsidRDefault="00E46637" w:rsidP="00E46637">
      <w:pPr>
        <w:spacing w:before="120"/>
        <w:ind w:left="720"/>
        <w:rPr>
          <w:rFonts w:ascii="Calibri" w:hAnsi="Calibri"/>
          <w:lang w:val="en-AU"/>
        </w:rPr>
      </w:pPr>
      <w:r>
        <w:rPr>
          <w:rFonts w:ascii="Calibri" w:hAnsi="Calibri"/>
          <w:lang w:val="en-AU"/>
        </w:rPr>
        <w:t>Ms Berry (Minister for Housing and Suburban Development)</w:t>
      </w:r>
      <w:r w:rsidRPr="00E46637">
        <w:rPr>
          <w:rFonts w:ascii="Calibri" w:hAnsi="Calibri"/>
          <w:lang w:val="en-AU"/>
        </w:rPr>
        <w:t xml:space="preserve"> made a ministerial statement concerning </w:t>
      </w:r>
      <w:r w:rsidR="0069722D">
        <w:rPr>
          <w:rFonts w:ascii="Calibri" w:hAnsi="Calibri"/>
          <w:lang w:val="en-AU"/>
        </w:rPr>
        <w:t xml:space="preserve">the ACT Housing </w:t>
      </w:r>
      <w:r w:rsidR="005D6CB0">
        <w:rPr>
          <w:rFonts w:ascii="Calibri" w:hAnsi="Calibri"/>
          <w:lang w:val="en-AU"/>
        </w:rPr>
        <w:t xml:space="preserve">Strategy </w:t>
      </w:r>
      <w:r w:rsidRPr="00E46637">
        <w:rPr>
          <w:rFonts w:ascii="Calibri" w:hAnsi="Calibri"/>
          <w:lang w:val="en-AU"/>
        </w:rPr>
        <w:t>and presented the following paper</w:t>
      </w:r>
      <w:r w:rsidR="00940980">
        <w:rPr>
          <w:rFonts w:ascii="Calibri" w:hAnsi="Calibri"/>
          <w:lang w:val="en-AU"/>
        </w:rPr>
        <w:t>s</w:t>
      </w:r>
      <w:r w:rsidRPr="00E46637">
        <w:rPr>
          <w:rFonts w:ascii="Calibri" w:hAnsi="Calibri"/>
          <w:lang w:val="en-AU"/>
        </w:rPr>
        <w:t>:</w:t>
      </w:r>
    </w:p>
    <w:p w:rsidR="00E91CE2" w:rsidRDefault="00AD4E8B" w:rsidP="00AD4E8B">
      <w:pPr>
        <w:spacing w:before="120"/>
        <w:ind w:left="720"/>
        <w:rPr>
          <w:rFonts w:ascii="Calibri" w:hAnsi="Calibri"/>
          <w:lang w:val="en-AU"/>
        </w:rPr>
      </w:pPr>
      <w:r>
        <w:rPr>
          <w:rFonts w:ascii="Calibri" w:hAnsi="Calibri"/>
          <w:lang w:val="en-AU"/>
        </w:rPr>
        <w:t>ACT Housing Strategy—</w:t>
      </w:r>
    </w:p>
    <w:p w:rsidR="00AD4E8B" w:rsidRPr="00E46637" w:rsidRDefault="00AD4E8B" w:rsidP="00E91CE2">
      <w:pPr>
        <w:pStyle w:val="DPSEntryDetailIndentLev1"/>
      </w:pPr>
      <w:r>
        <w:t>Year 2 Report Card, dated November 2020.</w:t>
      </w:r>
    </w:p>
    <w:p w:rsidR="00E50E6B" w:rsidRPr="00E46637" w:rsidRDefault="009D55B8" w:rsidP="00E91CE2">
      <w:pPr>
        <w:pStyle w:val="DPSEntryDetailIndentLev2"/>
      </w:pPr>
      <w:r>
        <w:t>Ministerial statement,</w:t>
      </w:r>
      <w:r w:rsidR="00E50E6B">
        <w:t xml:space="preserve"> 10 February 2021.</w:t>
      </w:r>
    </w:p>
    <w:p w:rsidR="00E46637" w:rsidRPr="00E46637" w:rsidRDefault="00E46637" w:rsidP="00E46637">
      <w:pPr>
        <w:spacing w:before="120"/>
        <w:ind w:left="720"/>
        <w:rPr>
          <w:rFonts w:ascii="Calibri" w:hAnsi="Calibri"/>
          <w:lang w:val="en-AU"/>
        </w:rPr>
      </w:pPr>
      <w:r>
        <w:rPr>
          <w:rFonts w:ascii="Calibri" w:hAnsi="Calibri"/>
          <w:lang w:val="en-AU"/>
        </w:rPr>
        <w:t>Ms Berry</w:t>
      </w:r>
      <w:r w:rsidRPr="00E46637">
        <w:rPr>
          <w:rFonts w:ascii="Calibri" w:hAnsi="Calibri"/>
          <w:lang w:val="en-AU"/>
        </w:rPr>
        <w:t xml:space="preserve"> moved—That the</w:t>
      </w:r>
      <w:r w:rsidR="00A15DB3">
        <w:rPr>
          <w:rFonts w:ascii="Calibri" w:hAnsi="Calibri"/>
          <w:lang w:val="en-AU"/>
        </w:rPr>
        <w:t xml:space="preserve"> Assembly take note of the statement</w:t>
      </w:r>
      <w:r w:rsidRPr="00E46637">
        <w:rPr>
          <w:rFonts w:ascii="Calibri" w:hAnsi="Calibri"/>
          <w:lang w:val="en-AU"/>
        </w:rPr>
        <w:t>.</w:t>
      </w:r>
    </w:p>
    <w:p w:rsidR="00E46637" w:rsidRDefault="00E46637" w:rsidP="00E46637">
      <w:pPr>
        <w:spacing w:before="120"/>
        <w:ind w:left="720"/>
        <w:rPr>
          <w:rFonts w:ascii="Calibri" w:hAnsi="Calibri"/>
          <w:lang w:val="en-AU"/>
        </w:rPr>
      </w:pPr>
      <w:r w:rsidRPr="00E46637">
        <w:rPr>
          <w:rFonts w:ascii="Calibri" w:hAnsi="Calibri"/>
          <w:lang w:val="en-AU"/>
        </w:rPr>
        <w:t>Question—put and passed.</w:t>
      </w:r>
    </w:p>
    <w:p w:rsidR="00FE68E4" w:rsidRPr="00FE68E4" w:rsidRDefault="00FE68E4" w:rsidP="00FE68E4">
      <w:pPr>
        <w:keepNext/>
        <w:keepLines/>
        <w:tabs>
          <w:tab w:val="right" w:pos="339"/>
          <w:tab w:val="left" w:pos="720"/>
        </w:tabs>
        <w:spacing w:before="240"/>
        <w:ind w:left="720" w:hanging="720"/>
        <w:rPr>
          <w:rFonts w:ascii="Calibri" w:hAnsi="Calibri"/>
          <w:b/>
          <w:caps/>
          <w:lang w:val="en-AU"/>
        </w:rPr>
      </w:pPr>
      <w:r w:rsidRPr="00FE68E4">
        <w:rPr>
          <w:rFonts w:ascii="Calibri" w:hAnsi="Calibri"/>
          <w:b/>
          <w:caps/>
          <w:lang w:val="en-AU"/>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4</w:t>
      </w:r>
      <w:r w:rsidR="00460C16">
        <w:rPr>
          <w:rFonts w:ascii="Calibri" w:hAnsi="Calibri"/>
          <w:b/>
          <w:bCs/>
          <w:caps/>
          <w:lang w:val="en-AU"/>
        </w:rPr>
        <w:fldChar w:fldCharType="end"/>
      </w:r>
      <w:r w:rsidRPr="00FE68E4">
        <w:rPr>
          <w:rFonts w:ascii="Calibri" w:hAnsi="Calibri"/>
          <w:b/>
          <w:caps/>
          <w:lang w:val="en-AU"/>
        </w:rPr>
        <w:tab/>
      </w:r>
      <w:r>
        <w:rPr>
          <w:rFonts w:ascii="Calibri" w:hAnsi="Calibri"/>
          <w:b/>
          <w:caps/>
          <w:lang w:val="en-AU"/>
        </w:rPr>
        <w:t>Pl</w:t>
      </w:r>
      <w:r w:rsidR="00A5071A">
        <w:rPr>
          <w:rFonts w:ascii="Calibri" w:hAnsi="Calibri"/>
          <w:b/>
          <w:caps/>
          <w:lang w:val="en-AU"/>
        </w:rPr>
        <w:t>A</w:t>
      </w:r>
      <w:r>
        <w:rPr>
          <w:rFonts w:ascii="Calibri" w:hAnsi="Calibri"/>
          <w:b/>
          <w:caps/>
          <w:lang w:val="en-AU"/>
        </w:rPr>
        <w:t>nning and Development Amendment Bill 2021</w:t>
      </w:r>
    </w:p>
    <w:p w:rsidR="00FE68E4" w:rsidRPr="00FE68E4" w:rsidRDefault="00FE68E4" w:rsidP="00FE68E4">
      <w:pPr>
        <w:spacing w:before="120"/>
        <w:ind w:left="720"/>
        <w:rPr>
          <w:rFonts w:ascii="Calibri" w:hAnsi="Calibri"/>
          <w:lang w:val="en-AU"/>
        </w:rPr>
      </w:pPr>
      <w:r>
        <w:rPr>
          <w:rFonts w:ascii="Calibri" w:hAnsi="Calibri"/>
          <w:lang w:val="en-AU"/>
        </w:rPr>
        <w:t>Mr Gentleman (Minister for Planning and Land Management)</w:t>
      </w:r>
      <w:r w:rsidRPr="00FE68E4">
        <w:rPr>
          <w:rFonts w:ascii="Calibri" w:hAnsi="Calibri"/>
          <w:lang w:val="en-AU"/>
        </w:rPr>
        <w:t xml:space="preserve">, pursuant to notice, presented </w:t>
      </w:r>
      <w:r>
        <w:rPr>
          <w:rFonts w:ascii="Calibri" w:hAnsi="Calibri"/>
          <w:lang w:val="en-AU"/>
        </w:rPr>
        <w:t xml:space="preserve">a Bill for an Act to amend the </w:t>
      </w:r>
      <w:r w:rsidRPr="006B4B08">
        <w:rPr>
          <w:rFonts w:ascii="Calibri" w:hAnsi="Calibri"/>
          <w:i/>
          <w:lang w:val="en-AU"/>
        </w:rPr>
        <w:t>Planning and Development Act 2007</w:t>
      </w:r>
      <w:r w:rsidRPr="00FE68E4">
        <w:rPr>
          <w:rFonts w:ascii="Calibri" w:hAnsi="Calibri"/>
          <w:lang w:val="en-AU"/>
        </w:rPr>
        <w:t>.</w:t>
      </w:r>
    </w:p>
    <w:p w:rsidR="00FE68E4" w:rsidRPr="00FE68E4" w:rsidRDefault="00FE68E4" w:rsidP="00FE68E4">
      <w:pPr>
        <w:spacing w:before="120"/>
        <w:ind w:left="720"/>
        <w:rPr>
          <w:rFonts w:ascii="Calibri" w:hAnsi="Calibri"/>
          <w:lang w:val="en-AU"/>
        </w:rPr>
      </w:pPr>
      <w:r w:rsidRPr="00FE68E4">
        <w:rPr>
          <w:rFonts w:ascii="Calibri" w:hAnsi="Calibri"/>
          <w:i/>
          <w:lang w:val="en-AU"/>
        </w:rPr>
        <w:t>Paper:</w:t>
      </w:r>
      <w:r w:rsidRPr="00FE68E4">
        <w:rPr>
          <w:rFonts w:ascii="Calibri" w:hAnsi="Calibri"/>
          <w:lang w:val="en-AU"/>
        </w:rPr>
        <w:t xml:space="preserve">  </w:t>
      </w:r>
      <w:r>
        <w:rPr>
          <w:rFonts w:ascii="Calibri" w:hAnsi="Calibri"/>
          <w:lang w:val="en-AU"/>
        </w:rPr>
        <w:t>Mr Gentleman</w:t>
      </w:r>
      <w:r w:rsidRPr="00FE68E4">
        <w:rPr>
          <w:rFonts w:ascii="Calibri" w:hAnsi="Calibri"/>
          <w:lang w:val="en-AU"/>
        </w:rPr>
        <w:t xml:space="preserve"> presented the following paper:</w:t>
      </w:r>
    </w:p>
    <w:p w:rsidR="00FE68E4" w:rsidRPr="00FE68E4" w:rsidRDefault="00FE68E4" w:rsidP="00FE68E4">
      <w:pPr>
        <w:spacing w:before="120"/>
        <w:ind w:left="720"/>
        <w:rPr>
          <w:rFonts w:ascii="Calibri" w:hAnsi="Calibri"/>
          <w:lang w:val="en-AU"/>
        </w:rPr>
      </w:pPr>
      <w:r w:rsidRPr="00FE68E4">
        <w:rPr>
          <w:rFonts w:ascii="Calibri" w:hAnsi="Calibri"/>
          <w:lang w:val="en-AU"/>
        </w:rPr>
        <w:t xml:space="preserve">Explanatory statement to the Bill, incorporating a compatibility statement, pursuant to section 37 of the </w:t>
      </w:r>
      <w:r w:rsidRPr="00FE68E4">
        <w:rPr>
          <w:rFonts w:ascii="Calibri" w:hAnsi="Calibri"/>
          <w:i/>
          <w:lang w:val="en-AU"/>
        </w:rPr>
        <w:t>Human Rights Act 2004</w:t>
      </w:r>
      <w:r w:rsidRPr="00FE68E4">
        <w:rPr>
          <w:rFonts w:ascii="Calibri" w:hAnsi="Calibri"/>
          <w:lang w:val="en-AU"/>
        </w:rPr>
        <w:t>.</w:t>
      </w:r>
    </w:p>
    <w:p w:rsidR="00FE68E4" w:rsidRPr="00FE68E4" w:rsidRDefault="00FE68E4" w:rsidP="00FE68E4">
      <w:pPr>
        <w:spacing w:before="120"/>
        <w:ind w:left="720"/>
        <w:rPr>
          <w:rFonts w:ascii="Calibri" w:hAnsi="Calibri"/>
          <w:lang w:val="en-AU"/>
        </w:rPr>
      </w:pPr>
      <w:r w:rsidRPr="00FE68E4">
        <w:rPr>
          <w:rFonts w:ascii="Calibri" w:hAnsi="Calibri"/>
          <w:lang w:val="en-AU"/>
        </w:rPr>
        <w:t>Title read by Clerk.</w:t>
      </w:r>
    </w:p>
    <w:p w:rsidR="00FE68E4" w:rsidRPr="00FE68E4" w:rsidRDefault="00FE68E4" w:rsidP="00FE68E4">
      <w:pPr>
        <w:spacing w:before="120"/>
        <w:ind w:left="720"/>
        <w:rPr>
          <w:rFonts w:ascii="Calibri" w:hAnsi="Calibri"/>
          <w:lang w:val="en-AU"/>
        </w:rPr>
      </w:pPr>
      <w:r>
        <w:rPr>
          <w:rFonts w:ascii="Calibri" w:hAnsi="Calibri"/>
          <w:lang w:val="en-AU"/>
        </w:rPr>
        <w:t>Mr Gentleman</w:t>
      </w:r>
      <w:r w:rsidRPr="00FE68E4">
        <w:rPr>
          <w:rFonts w:ascii="Calibri" w:hAnsi="Calibri"/>
          <w:lang w:val="en-AU"/>
        </w:rPr>
        <w:t xml:space="preserve"> moved—That this Bill be agreed to in principle.</w:t>
      </w:r>
    </w:p>
    <w:p w:rsidR="00FE68E4" w:rsidRPr="00FE68E4" w:rsidRDefault="00FE68E4" w:rsidP="00FE68E4">
      <w:pPr>
        <w:spacing w:before="120"/>
        <w:ind w:left="720"/>
        <w:rPr>
          <w:rFonts w:ascii="Calibri" w:hAnsi="Calibri"/>
          <w:lang w:val="en-AU"/>
        </w:rPr>
      </w:pPr>
      <w:r w:rsidRPr="00FE68E4">
        <w:rPr>
          <w:rFonts w:ascii="Calibri" w:hAnsi="Calibri"/>
          <w:lang w:val="en-AU"/>
        </w:rPr>
        <w:t>Debate adjourned (</w:t>
      </w:r>
      <w:r w:rsidR="00E24E67">
        <w:rPr>
          <w:rFonts w:ascii="Calibri" w:hAnsi="Calibri"/>
          <w:lang w:val="en-AU"/>
        </w:rPr>
        <w:t>Mr Hanson</w:t>
      </w:r>
      <w:r w:rsidRPr="00FE68E4">
        <w:rPr>
          <w:rFonts w:ascii="Calibri" w:hAnsi="Calibri"/>
          <w:lang w:val="en-AU"/>
        </w:rPr>
        <w:t>) and the resumption of the debate made an order of the day for the next sitting.</w:t>
      </w:r>
    </w:p>
    <w:p w:rsidR="002E1147" w:rsidRPr="002E1147" w:rsidRDefault="002E1147" w:rsidP="002E1147">
      <w:pPr>
        <w:keepNext/>
        <w:keepLines/>
        <w:tabs>
          <w:tab w:val="right" w:pos="339"/>
          <w:tab w:val="left" w:pos="720"/>
        </w:tabs>
        <w:spacing w:before="240"/>
        <w:ind w:left="720" w:hanging="720"/>
        <w:rPr>
          <w:rFonts w:ascii="Calibri" w:hAnsi="Calibri"/>
          <w:b/>
          <w:caps/>
          <w:lang w:val="en-AU"/>
        </w:rPr>
      </w:pPr>
      <w:r w:rsidRPr="002E1147">
        <w:rPr>
          <w:rFonts w:ascii="Calibri" w:hAnsi="Calibri"/>
          <w:b/>
          <w:caps/>
          <w:lang w:val="en-AU"/>
        </w:rPr>
        <w:lastRenderedPageBreak/>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5</w:t>
      </w:r>
      <w:r w:rsidR="00460C16">
        <w:rPr>
          <w:rFonts w:ascii="Calibri" w:hAnsi="Calibri"/>
          <w:b/>
          <w:bCs/>
          <w:caps/>
          <w:lang w:val="en-AU"/>
        </w:rPr>
        <w:fldChar w:fldCharType="end"/>
      </w:r>
      <w:r w:rsidRPr="002E1147">
        <w:rPr>
          <w:rFonts w:ascii="Calibri" w:hAnsi="Calibri"/>
          <w:b/>
          <w:caps/>
          <w:lang w:val="en-AU"/>
        </w:rPr>
        <w:tab/>
      </w:r>
      <w:r w:rsidR="00AD20FA">
        <w:rPr>
          <w:rFonts w:ascii="Calibri" w:hAnsi="Calibri"/>
          <w:b/>
          <w:caps/>
          <w:lang w:val="en-AU"/>
        </w:rPr>
        <w:t>government Procurement Act</w:t>
      </w:r>
      <w:r w:rsidR="0037761B">
        <w:rPr>
          <w:rFonts w:ascii="Calibri" w:hAnsi="Calibri"/>
          <w:b/>
          <w:caps/>
          <w:lang w:val="en-AU"/>
        </w:rPr>
        <w:t>—Government Procurement (Secure Local Jobs) Code 2020—</w:t>
      </w:r>
      <w:r w:rsidR="00E7659D">
        <w:rPr>
          <w:rFonts w:ascii="Calibri" w:hAnsi="Calibri"/>
          <w:b/>
          <w:caps/>
          <w:lang w:val="en-AU"/>
        </w:rPr>
        <w:t xml:space="preserve">DISALLOWABLE INSTRUMENT </w:t>
      </w:r>
      <w:r w:rsidR="0037761B">
        <w:rPr>
          <w:rFonts w:ascii="Calibri" w:hAnsi="Calibri"/>
          <w:b/>
          <w:caps/>
          <w:lang w:val="en-AU"/>
        </w:rPr>
        <w:t>DI2020-278—Motion to disallow</w:t>
      </w:r>
    </w:p>
    <w:p w:rsidR="002E1147" w:rsidRPr="002E1147" w:rsidRDefault="002E1147" w:rsidP="002E1147">
      <w:pPr>
        <w:spacing w:before="120"/>
        <w:ind w:left="720"/>
        <w:rPr>
          <w:rFonts w:ascii="Calibri" w:hAnsi="Calibri"/>
          <w:color w:val="000000"/>
          <w:lang w:val="en-AU"/>
        </w:rPr>
      </w:pPr>
      <w:r>
        <w:rPr>
          <w:rFonts w:ascii="Calibri" w:hAnsi="Calibri"/>
          <w:color w:val="000000"/>
          <w:lang w:val="en-AU"/>
        </w:rPr>
        <w:t>Mr Cain</w:t>
      </w:r>
      <w:r w:rsidRPr="002E1147">
        <w:rPr>
          <w:rFonts w:ascii="Calibri" w:hAnsi="Calibri"/>
          <w:color w:val="000000"/>
          <w:lang w:val="en-AU"/>
        </w:rPr>
        <w:t xml:space="preserve">, pursuant to notice, moved—That </w:t>
      </w:r>
      <w:r w:rsidR="00EF4597">
        <w:rPr>
          <w:rFonts w:ascii="Calibri" w:hAnsi="Calibri"/>
          <w:color w:val="000000"/>
          <w:lang w:val="en-AU"/>
        </w:rPr>
        <w:t>Disallowable Instrument DI2020-278, being the Government Procurement (Secure Local Jobs) Code 2020, be disallowed.</w:t>
      </w:r>
    </w:p>
    <w:p w:rsidR="002E1147" w:rsidRDefault="002E1147" w:rsidP="002E1147">
      <w:pPr>
        <w:spacing w:before="120"/>
        <w:ind w:left="720" w:right="-35"/>
        <w:rPr>
          <w:rFonts w:ascii="Calibri" w:hAnsi="Calibri"/>
          <w:color w:val="000000"/>
          <w:lang w:val="en-AU"/>
        </w:rPr>
      </w:pPr>
      <w:r w:rsidRPr="002E1147">
        <w:rPr>
          <w:rFonts w:ascii="Calibri" w:hAnsi="Calibri"/>
          <w:color w:val="000000"/>
          <w:lang w:val="en-AU"/>
        </w:rPr>
        <w:t>Debate ensued.</w:t>
      </w:r>
    </w:p>
    <w:p w:rsidR="00517B20" w:rsidRDefault="00F74B01" w:rsidP="002E1147">
      <w:pPr>
        <w:spacing w:before="120"/>
        <w:ind w:left="720" w:right="-35"/>
        <w:rPr>
          <w:rFonts w:ascii="Calibri" w:hAnsi="Calibri"/>
          <w:color w:val="000000"/>
          <w:lang w:val="en-AU"/>
        </w:rPr>
      </w:pPr>
      <w:r>
        <w:rPr>
          <w:rFonts w:ascii="Calibri" w:hAnsi="Calibri"/>
          <w:color w:val="000000"/>
          <w:lang w:val="en-AU"/>
        </w:rPr>
        <w:t>Question—put</w:t>
      </w:r>
      <w:r w:rsidR="00517B20">
        <w:rPr>
          <w:rFonts w:ascii="Calibri" w:hAnsi="Calibri"/>
          <w:color w:val="000000"/>
          <w:lang w:val="en-AU"/>
        </w:rPr>
        <w:t>.</w:t>
      </w:r>
    </w:p>
    <w:p w:rsidR="00517B20" w:rsidRDefault="00517B20" w:rsidP="00517B20">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910" w:type="dxa"/>
        <w:tblLayout w:type="fixed"/>
        <w:tblCellMar>
          <w:left w:w="720" w:type="dxa"/>
          <w:right w:w="56" w:type="dxa"/>
        </w:tblCellMar>
        <w:tblLook w:val="0000" w:firstRow="0" w:lastRow="0" w:firstColumn="0" w:lastColumn="0" w:noHBand="0" w:noVBand="0"/>
      </w:tblPr>
      <w:tblGrid>
        <w:gridCol w:w="1998"/>
        <w:gridCol w:w="1242"/>
        <w:gridCol w:w="796"/>
        <w:gridCol w:w="2264"/>
        <w:gridCol w:w="2610"/>
      </w:tblGrid>
      <w:tr w:rsidR="00517B20" w:rsidTr="00517B20">
        <w:tc>
          <w:tcPr>
            <w:tcW w:w="3240" w:type="dxa"/>
            <w:gridSpan w:val="2"/>
            <w:shd w:val="clear" w:color="auto" w:fill="auto"/>
          </w:tcPr>
          <w:p w:rsidR="00517B20" w:rsidRDefault="00517B20" w:rsidP="00517B20">
            <w:pPr>
              <w:tabs>
                <w:tab w:val="center" w:pos="1620"/>
              </w:tabs>
              <w:spacing w:before="120"/>
              <w:ind w:right="-35"/>
              <w:rPr>
                <w:rFonts w:ascii="Calibri" w:hAnsi="Calibri"/>
                <w:color w:val="000000"/>
                <w:lang w:val="en-AU"/>
              </w:rPr>
            </w:pPr>
            <w:r>
              <w:rPr>
                <w:rFonts w:ascii="Calibri" w:hAnsi="Calibri"/>
                <w:color w:val="000000"/>
                <w:lang w:val="en-AU"/>
              </w:rPr>
              <w:tab/>
              <w:t>AYES, 8</w:t>
            </w: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4874" w:type="dxa"/>
            <w:gridSpan w:val="2"/>
            <w:shd w:val="clear" w:color="auto" w:fill="auto"/>
          </w:tcPr>
          <w:p w:rsidR="00517B20" w:rsidRDefault="00517B20" w:rsidP="00517B20">
            <w:pPr>
              <w:tabs>
                <w:tab w:val="center" w:pos="1994"/>
              </w:tabs>
              <w:spacing w:before="120"/>
              <w:ind w:right="-35"/>
              <w:rPr>
                <w:rFonts w:ascii="Calibri" w:hAnsi="Calibri"/>
                <w:color w:val="000000"/>
                <w:lang w:val="en-AU"/>
              </w:rPr>
            </w:pPr>
            <w:r>
              <w:rPr>
                <w:rFonts w:ascii="Calibri" w:hAnsi="Calibri"/>
                <w:color w:val="000000"/>
                <w:lang w:val="en-AU"/>
              </w:rPr>
              <w:tab/>
              <w:t>NOES, 15</w:t>
            </w:r>
          </w:p>
        </w:tc>
      </w:tr>
      <w:tr w:rsidR="00517B20" w:rsidTr="00517B20">
        <w:tc>
          <w:tcPr>
            <w:tcW w:w="3240" w:type="dxa"/>
            <w:gridSpan w:val="2"/>
            <w:shd w:val="clear" w:color="auto" w:fill="auto"/>
          </w:tcPr>
          <w:p w:rsidR="00517B20" w:rsidRDefault="00517B20" w:rsidP="00517B20">
            <w:pPr>
              <w:tabs>
                <w:tab w:val="center" w:pos="1644"/>
              </w:tabs>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4874" w:type="dxa"/>
            <w:gridSpan w:val="2"/>
            <w:shd w:val="clear" w:color="auto" w:fill="auto"/>
          </w:tcPr>
          <w:p w:rsidR="00517B20" w:rsidRDefault="00517B20" w:rsidP="00517B20">
            <w:pPr>
              <w:tabs>
                <w:tab w:val="center" w:pos="1644"/>
              </w:tabs>
              <w:spacing w:before="120"/>
              <w:ind w:right="-35"/>
              <w:rPr>
                <w:rFonts w:ascii="Calibri" w:hAnsi="Calibri"/>
                <w:color w:val="000000"/>
                <w:lang w:val="en-AU"/>
              </w:rPr>
            </w:pP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Cain</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Berry</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Orr</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Castley</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Braddock</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Dr Paterson</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Coe</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Burch</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Pettersson</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Hanson</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Cheyne</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Rattenbury</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Mrs Jones</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Clay</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Steel</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Mrs Kikkert</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Davidson</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Stephen-Smith</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Lawder</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Davis</w:t>
            </w:r>
          </w:p>
        </w:tc>
        <w:tc>
          <w:tcPr>
            <w:tcW w:w="2610"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Ms Vassarotti</w:t>
            </w:r>
          </w:p>
        </w:tc>
      </w:tr>
      <w:tr w:rsidR="00517B20" w:rsidTr="00517B20">
        <w:trPr>
          <w:trHeight w:hRule="exact" w:val="312"/>
        </w:trPr>
        <w:tc>
          <w:tcPr>
            <w:tcW w:w="1998"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Parton</w:t>
            </w:r>
          </w:p>
        </w:tc>
        <w:tc>
          <w:tcPr>
            <w:tcW w:w="1242" w:type="dxa"/>
            <w:shd w:val="clear" w:color="auto" w:fill="auto"/>
          </w:tcPr>
          <w:p w:rsidR="00517B20" w:rsidRDefault="00517B20" w:rsidP="00517B20">
            <w:pPr>
              <w:spacing w:before="120"/>
              <w:ind w:right="-35"/>
              <w:rPr>
                <w:rFonts w:ascii="Calibri" w:hAnsi="Calibri"/>
                <w:color w:val="000000"/>
                <w:lang w:val="en-AU"/>
              </w:rPr>
            </w:pPr>
          </w:p>
        </w:tc>
        <w:tc>
          <w:tcPr>
            <w:tcW w:w="796" w:type="dxa"/>
            <w:shd w:val="clear" w:color="auto" w:fill="auto"/>
          </w:tcPr>
          <w:p w:rsidR="00517B20" w:rsidRDefault="00517B20" w:rsidP="00517B20">
            <w:pPr>
              <w:spacing w:before="120"/>
              <w:ind w:right="-35"/>
              <w:rPr>
                <w:rFonts w:ascii="Calibri" w:hAnsi="Calibri"/>
                <w:color w:val="000000"/>
                <w:lang w:val="en-AU"/>
              </w:rPr>
            </w:pPr>
          </w:p>
        </w:tc>
        <w:tc>
          <w:tcPr>
            <w:tcW w:w="2264" w:type="dxa"/>
            <w:shd w:val="clear" w:color="auto" w:fill="auto"/>
          </w:tcPr>
          <w:p w:rsidR="00517B20" w:rsidRDefault="00517B20" w:rsidP="00517B20">
            <w:pPr>
              <w:ind w:right="-35"/>
              <w:rPr>
                <w:rFonts w:ascii="Calibri" w:hAnsi="Calibri"/>
                <w:color w:val="000000"/>
                <w:lang w:val="en-AU"/>
              </w:rPr>
            </w:pPr>
            <w:r>
              <w:rPr>
                <w:rFonts w:ascii="Calibri" w:hAnsi="Calibri"/>
                <w:color w:val="000000"/>
                <w:lang w:val="en-AU"/>
              </w:rPr>
              <w:t>Mr Gentleman</w:t>
            </w:r>
          </w:p>
        </w:tc>
        <w:tc>
          <w:tcPr>
            <w:tcW w:w="2610" w:type="dxa"/>
            <w:shd w:val="clear" w:color="auto" w:fill="auto"/>
          </w:tcPr>
          <w:p w:rsidR="00517B20" w:rsidRDefault="00517B20" w:rsidP="00517B20">
            <w:pPr>
              <w:spacing w:before="120"/>
              <w:ind w:right="-35"/>
              <w:rPr>
                <w:rFonts w:ascii="Calibri" w:hAnsi="Calibri"/>
                <w:color w:val="000000"/>
                <w:lang w:val="en-AU"/>
              </w:rPr>
            </w:pPr>
          </w:p>
        </w:tc>
      </w:tr>
    </w:tbl>
    <w:p w:rsidR="00517B20" w:rsidRDefault="00517B20" w:rsidP="00517B20">
      <w:pPr>
        <w:spacing w:before="120"/>
        <w:ind w:left="720" w:right="-35"/>
        <w:rPr>
          <w:rFonts w:ascii="Calibri" w:hAnsi="Calibri"/>
          <w:color w:val="000000"/>
          <w:lang w:val="en-AU"/>
        </w:rPr>
      </w:pPr>
      <w:r>
        <w:rPr>
          <w:rFonts w:ascii="Calibri" w:hAnsi="Calibri"/>
          <w:color w:val="000000"/>
          <w:lang w:val="en-AU"/>
        </w:rPr>
        <w:t>And so it was negatived.</w:t>
      </w:r>
    </w:p>
    <w:p w:rsidR="00707065" w:rsidRPr="002D0B8F" w:rsidRDefault="00707065" w:rsidP="00707065">
      <w:pPr>
        <w:keepNext/>
        <w:keepLines/>
        <w:tabs>
          <w:tab w:val="right" w:pos="339"/>
          <w:tab w:val="left" w:pos="720"/>
        </w:tabs>
        <w:spacing w:before="240"/>
        <w:ind w:left="720" w:hanging="720"/>
        <w:rPr>
          <w:rFonts w:ascii="Calibri" w:hAnsi="Calibri"/>
          <w:b/>
          <w:caps/>
        </w:rPr>
      </w:pPr>
      <w:r w:rsidRPr="002D0B8F">
        <w:rPr>
          <w:rFonts w:ascii="Calibri" w:hAnsi="Calibri"/>
          <w:b/>
          <w:caps/>
        </w:rPr>
        <w:tab/>
      </w:r>
      <w:r w:rsidR="00460C16">
        <w:rPr>
          <w:rFonts w:ascii="Calibri" w:hAnsi="Calibri"/>
          <w:b/>
          <w:bCs/>
          <w:caps/>
        </w:rPr>
        <w:fldChar w:fldCharType="begin"/>
      </w:r>
      <w:r w:rsidR="00460C16">
        <w:rPr>
          <w:rFonts w:ascii="Calibri" w:hAnsi="Calibri"/>
          <w:b/>
          <w:bCs/>
          <w:caps/>
        </w:rPr>
        <w:instrText xml:space="preserve"> SEQ A \* MERGEFORMAT </w:instrText>
      </w:r>
      <w:r w:rsidR="00460C16">
        <w:rPr>
          <w:rFonts w:ascii="Calibri" w:hAnsi="Calibri"/>
          <w:b/>
          <w:bCs/>
          <w:caps/>
        </w:rPr>
        <w:fldChar w:fldCharType="separate"/>
      </w:r>
      <w:r w:rsidR="00AF0868">
        <w:rPr>
          <w:rFonts w:ascii="Calibri" w:hAnsi="Calibri"/>
          <w:b/>
          <w:bCs/>
          <w:caps/>
          <w:noProof/>
        </w:rPr>
        <w:t>6</w:t>
      </w:r>
      <w:r w:rsidR="00460C16">
        <w:rPr>
          <w:rFonts w:ascii="Calibri" w:hAnsi="Calibri"/>
          <w:b/>
          <w:bCs/>
          <w:caps/>
        </w:rPr>
        <w:fldChar w:fldCharType="end"/>
      </w:r>
      <w:r w:rsidRPr="002D0B8F">
        <w:rPr>
          <w:rFonts w:ascii="Calibri" w:hAnsi="Calibri"/>
          <w:b/>
          <w:caps/>
        </w:rPr>
        <w:tab/>
      </w:r>
      <w:r>
        <w:rPr>
          <w:rFonts w:ascii="Calibri" w:hAnsi="Calibri"/>
          <w:b/>
          <w:caps/>
        </w:rPr>
        <w:t xml:space="preserve">Education and Community Inclusion—Standing Committee—INQUIRY—infrastructure management in </w:t>
      </w:r>
      <w:r>
        <w:rPr>
          <w:rFonts w:ascii="Calibri" w:hAnsi="Calibri"/>
          <w:b/>
        </w:rPr>
        <w:t>A.C.T. SCHOOLS</w:t>
      </w:r>
      <w:r w:rsidRPr="002D0B8F">
        <w:rPr>
          <w:rFonts w:ascii="Calibri" w:hAnsi="Calibri"/>
          <w:b/>
          <w:caps/>
        </w:rPr>
        <w:t>—STATEMENT BY CHAIR</w:t>
      </w:r>
    </w:p>
    <w:p w:rsidR="00707065" w:rsidRDefault="00707065" w:rsidP="00707065">
      <w:pPr>
        <w:tabs>
          <w:tab w:val="left" w:pos="1197"/>
          <w:tab w:val="left" w:pos="1767"/>
        </w:tabs>
        <w:spacing w:before="120"/>
        <w:ind w:left="720"/>
        <w:rPr>
          <w:rFonts w:ascii="Calibri" w:hAnsi="Calibri"/>
          <w:lang w:val="en-AU"/>
        </w:rPr>
      </w:pPr>
      <w:r>
        <w:rPr>
          <w:rFonts w:ascii="Calibri" w:hAnsi="Calibri"/>
          <w:lang w:val="en-AU"/>
        </w:rPr>
        <w:t>Mr Pettersson</w:t>
      </w:r>
      <w:r w:rsidRPr="002D0B8F">
        <w:rPr>
          <w:rFonts w:ascii="Calibri" w:hAnsi="Calibri"/>
          <w:lang w:val="en-AU"/>
        </w:rPr>
        <w:t xml:space="preserve"> (Chair), pursuant to standing order 246A, informed the Assembly that the</w:t>
      </w:r>
      <w:r>
        <w:rPr>
          <w:rFonts w:ascii="Calibri" w:hAnsi="Calibri"/>
          <w:lang w:val="en-AU"/>
        </w:rPr>
        <w:t xml:space="preserve"> Standing Committee on</w:t>
      </w:r>
      <w:r w:rsidRPr="002D0B8F">
        <w:rPr>
          <w:rFonts w:ascii="Calibri" w:hAnsi="Calibri"/>
          <w:lang w:val="en-AU"/>
        </w:rPr>
        <w:t xml:space="preserve"> </w:t>
      </w:r>
      <w:r>
        <w:rPr>
          <w:rFonts w:ascii="Calibri" w:hAnsi="Calibri"/>
          <w:szCs w:val="24"/>
          <w:lang w:val="en-AU" w:eastAsia="en-US"/>
        </w:rPr>
        <w:t>Education and Community Inclusion</w:t>
      </w:r>
      <w:r w:rsidRPr="002D0B8F">
        <w:rPr>
          <w:rFonts w:ascii="Calibri" w:hAnsi="Calibri"/>
          <w:lang w:val="en-AU"/>
        </w:rPr>
        <w:t xml:space="preserve"> had resolved to conduct an inquiry into and report on </w:t>
      </w:r>
      <w:r>
        <w:rPr>
          <w:rFonts w:ascii="Calibri" w:hAnsi="Calibri"/>
          <w:lang w:val="en-AU"/>
        </w:rPr>
        <w:t>infrastructure management in ACT schools.</w:t>
      </w:r>
    </w:p>
    <w:p w:rsidR="00EE66E0" w:rsidRPr="00EE66E0" w:rsidRDefault="00EE66E0" w:rsidP="00EE66E0">
      <w:pPr>
        <w:keepNext/>
        <w:keepLines/>
        <w:tabs>
          <w:tab w:val="right" w:pos="339"/>
          <w:tab w:val="left" w:pos="720"/>
        </w:tabs>
        <w:spacing w:before="240"/>
        <w:ind w:left="720" w:hanging="720"/>
        <w:rPr>
          <w:rFonts w:ascii="Calibri" w:hAnsi="Calibri"/>
          <w:b/>
          <w:caps/>
          <w:lang w:val="en-AU"/>
        </w:rPr>
      </w:pPr>
      <w:r w:rsidRPr="00EE66E0">
        <w:rPr>
          <w:rFonts w:ascii="Calibri" w:hAnsi="Calibri"/>
          <w:b/>
          <w:caps/>
          <w:lang w:val="en-AU"/>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7</w:t>
      </w:r>
      <w:r w:rsidR="00460C16">
        <w:rPr>
          <w:rFonts w:ascii="Calibri" w:hAnsi="Calibri"/>
          <w:b/>
          <w:bCs/>
          <w:caps/>
          <w:lang w:val="en-AU"/>
        </w:rPr>
        <w:fldChar w:fldCharType="end"/>
      </w:r>
      <w:r w:rsidRPr="00EE66E0">
        <w:rPr>
          <w:rFonts w:ascii="Calibri" w:hAnsi="Calibri"/>
          <w:b/>
          <w:caps/>
          <w:lang w:val="en-AU"/>
        </w:rPr>
        <w:tab/>
      </w:r>
      <w:r>
        <w:rPr>
          <w:rFonts w:ascii="Calibri" w:hAnsi="Calibri"/>
          <w:b/>
          <w:caps/>
          <w:lang w:val="en-AU"/>
        </w:rPr>
        <w:t>COVID-19 Emergency Response Legislation Amendment Bill 2020 (No 3)</w:t>
      </w:r>
    </w:p>
    <w:p w:rsidR="00EE66E0" w:rsidRPr="00EE66E0" w:rsidRDefault="00EE66E0" w:rsidP="00EE66E0">
      <w:pPr>
        <w:spacing w:before="120"/>
        <w:ind w:left="720"/>
        <w:rPr>
          <w:rFonts w:ascii="Calibri" w:hAnsi="Calibri"/>
          <w:lang w:val="en-AU"/>
        </w:rPr>
      </w:pPr>
      <w:r w:rsidRPr="00EE66E0">
        <w:rPr>
          <w:rFonts w:ascii="Calibri" w:hAnsi="Calibri"/>
          <w:lang w:val="en-AU"/>
        </w:rPr>
        <w:t>The order of the day having been read for the resumption of the debate on the question—That this Bill be agreed to in principle—</w:t>
      </w:r>
    </w:p>
    <w:p w:rsidR="00EE66E0" w:rsidRPr="00EE66E0" w:rsidRDefault="00EE66E0" w:rsidP="00EE66E0">
      <w:pPr>
        <w:spacing w:before="120"/>
        <w:ind w:left="720"/>
        <w:rPr>
          <w:rFonts w:ascii="Calibri" w:hAnsi="Calibri"/>
          <w:iCs/>
          <w:lang w:val="en-AU"/>
        </w:rPr>
      </w:pPr>
      <w:r w:rsidRPr="00EE66E0">
        <w:rPr>
          <w:rFonts w:ascii="Calibri" w:hAnsi="Calibri"/>
          <w:iCs/>
          <w:lang w:val="en-AU"/>
        </w:rPr>
        <w:t>Debate resumed.</w:t>
      </w:r>
    </w:p>
    <w:p w:rsidR="00EE66E0" w:rsidRPr="00EE66E0" w:rsidRDefault="00EE66E0" w:rsidP="00EE66E0">
      <w:pPr>
        <w:spacing w:before="120"/>
        <w:ind w:left="720"/>
        <w:rPr>
          <w:rFonts w:ascii="Calibri" w:hAnsi="Calibri"/>
          <w:iCs/>
          <w:lang w:val="en-AU"/>
        </w:rPr>
      </w:pPr>
      <w:r w:rsidRPr="00EE66E0">
        <w:rPr>
          <w:rFonts w:ascii="Calibri" w:hAnsi="Calibri"/>
          <w:iCs/>
          <w:lang w:val="en-AU"/>
        </w:rPr>
        <w:t>Question—That this Bill be agreed to in principle—put and passed.</w:t>
      </w:r>
    </w:p>
    <w:p w:rsidR="00EE66E0" w:rsidRPr="00EE66E0" w:rsidRDefault="00EE66E0" w:rsidP="00EE66E0">
      <w:pPr>
        <w:pBdr>
          <w:bottom w:val="thinThickLargeGap" w:sz="18" w:space="1" w:color="auto"/>
        </w:pBdr>
        <w:ind w:left="3427" w:right="3658"/>
        <w:jc w:val="center"/>
        <w:rPr>
          <w:rFonts w:ascii="Calibri" w:hAnsi="Calibri"/>
          <w:i/>
          <w:iCs/>
          <w:lang w:val="en-AU"/>
        </w:rPr>
      </w:pPr>
    </w:p>
    <w:p w:rsidR="00EE66E0" w:rsidRPr="00EE66E0" w:rsidRDefault="00EE66E0" w:rsidP="00EE66E0">
      <w:pPr>
        <w:tabs>
          <w:tab w:val="left" w:pos="1197"/>
          <w:tab w:val="left" w:pos="1767"/>
        </w:tabs>
        <w:spacing w:before="120"/>
        <w:jc w:val="center"/>
        <w:rPr>
          <w:rFonts w:ascii="Calibri" w:hAnsi="Calibri"/>
          <w:i/>
          <w:iCs/>
          <w:lang w:val="en-AU"/>
        </w:rPr>
      </w:pPr>
      <w:r w:rsidRPr="00EE66E0">
        <w:rPr>
          <w:rFonts w:ascii="Calibri" w:hAnsi="Calibri"/>
          <w:i/>
          <w:iCs/>
          <w:lang w:val="en-AU"/>
        </w:rPr>
        <w:t>Detail Stage</w:t>
      </w:r>
    </w:p>
    <w:p w:rsidR="00EE66E0" w:rsidRDefault="00EE66E0" w:rsidP="00EE66E0">
      <w:pPr>
        <w:spacing w:before="120"/>
        <w:ind w:left="720"/>
        <w:rPr>
          <w:rFonts w:ascii="Calibri" w:hAnsi="Calibri"/>
          <w:iCs/>
          <w:lang w:val="en-AU"/>
        </w:rPr>
      </w:pPr>
      <w:r w:rsidRPr="00EE66E0">
        <w:rPr>
          <w:rFonts w:ascii="Calibri" w:hAnsi="Calibri"/>
          <w:iCs/>
          <w:lang w:val="en-AU"/>
        </w:rPr>
        <w:t>Bill, by leave, taken as a whole—</w:t>
      </w:r>
    </w:p>
    <w:p w:rsidR="00A839DD" w:rsidRPr="00EE66E0" w:rsidRDefault="00A839DD" w:rsidP="00EE66E0">
      <w:pPr>
        <w:spacing w:before="120"/>
        <w:ind w:left="720"/>
        <w:rPr>
          <w:rFonts w:ascii="Calibri" w:hAnsi="Calibri"/>
          <w:iCs/>
          <w:lang w:val="en-AU"/>
        </w:rPr>
      </w:pPr>
      <w:r>
        <w:rPr>
          <w:rFonts w:ascii="Calibri" w:hAnsi="Calibri"/>
          <w:iCs/>
          <w:lang w:val="en-AU"/>
        </w:rPr>
        <w:t>Ms Lee</w:t>
      </w:r>
      <w:r w:rsidR="001A6A69">
        <w:rPr>
          <w:rFonts w:ascii="Calibri" w:hAnsi="Calibri"/>
          <w:iCs/>
          <w:lang w:val="en-AU"/>
        </w:rPr>
        <w:t>, by leave,</w:t>
      </w:r>
      <w:r>
        <w:rPr>
          <w:rFonts w:ascii="Calibri" w:hAnsi="Calibri"/>
          <w:iCs/>
          <w:lang w:val="en-AU"/>
        </w:rPr>
        <w:t xml:space="preserve"> moved her amendments </w:t>
      </w:r>
      <w:r w:rsidR="001A6A69">
        <w:rPr>
          <w:rFonts w:ascii="Calibri" w:hAnsi="Calibri"/>
          <w:iCs/>
          <w:lang w:val="en-AU"/>
        </w:rPr>
        <w:t xml:space="preserve">Nos </w:t>
      </w:r>
      <w:r>
        <w:rPr>
          <w:rFonts w:ascii="Calibri" w:hAnsi="Calibri"/>
          <w:iCs/>
          <w:lang w:val="en-AU"/>
        </w:rPr>
        <w:t>1 to 3</w:t>
      </w:r>
      <w:r w:rsidR="001A6A69">
        <w:rPr>
          <w:rFonts w:ascii="Calibri" w:hAnsi="Calibri"/>
          <w:iCs/>
          <w:lang w:val="en-AU"/>
        </w:rPr>
        <w:t xml:space="preserve"> (see </w:t>
      </w:r>
      <w:hyperlink w:anchor="Schedule1" w:history="1">
        <w:r w:rsidR="001A6A69" w:rsidRPr="001A6A69">
          <w:rPr>
            <w:rStyle w:val="Hyperlink"/>
            <w:rFonts w:ascii="Calibri" w:hAnsi="Calibri"/>
            <w:i/>
            <w:iCs/>
            <w:lang w:val="en-AU"/>
          </w:rPr>
          <w:t>Schedule 1</w:t>
        </w:r>
      </w:hyperlink>
      <w:r w:rsidR="001A6A69">
        <w:rPr>
          <w:rFonts w:ascii="Calibri" w:hAnsi="Calibri"/>
          <w:iCs/>
          <w:lang w:val="en-AU"/>
        </w:rPr>
        <w:t>) together</w:t>
      </w:r>
      <w:r>
        <w:rPr>
          <w:rFonts w:ascii="Calibri" w:hAnsi="Calibri"/>
          <w:iCs/>
          <w:lang w:val="en-AU"/>
        </w:rPr>
        <w:t>.</w:t>
      </w:r>
    </w:p>
    <w:p w:rsidR="00447502" w:rsidRDefault="003E0FF4" w:rsidP="00EE66E0">
      <w:pPr>
        <w:spacing w:before="120"/>
        <w:ind w:left="720"/>
        <w:rPr>
          <w:rFonts w:ascii="Calibri" w:hAnsi="Calibri"/>
          <w:iCs/>
          <w:lang w:val="en-AU"/>
        </w:rPr>
      </w:pPr>
      <w:r w:rsidRPr="00AB4E5A">
        <w:rPr>
          <w:rFonts w:ascii="Calibri" w:hAnsi="Calibri"/>
          <w:iCs/>
          <w:lang w:val="en-AU"/>
        </w:rPr>
        <w:t>Debate ensued</w:t>
      </w:r>
      <w:r w:rsidR="00AB4E5A" w:rsidRPr="00AB4E5A">
        <w:rPr>
          <w:rFonts w:ascii="Calibri" w:hAnsi="Calibri"/>
          <w:iCs/>
          <w:lang w:val="en-AU"/>
        </w:rPr>
        <w:t>.</w:t>
      </w:r>
    </w:p>
    <w:p w:rsidR="00CC3AB3" w:rsidRDefault="00CC3AB3" w:rsidP="00EE66E0">
      <w:pPr>
        <w:spacing w:before="120"/>
        <w:ind w:left="720"/>
        <w:rPr>
          <w:rFonts w:ascii="Calibri" w:hAnsi="Calibri"/>
          <w:iCs/>
          <w:lang w:val="en-AU"/>
        </w:rPr>
      </w:pPr>
      <w:r>
        <w:rPr>
          <w:rFonts w:ascii="Calibri" w:hAnsi="Calibri"/>
          <w:iCs/>
          <w:lang w:val="en-AU"/>
        </w:rPr>
        <w:t>Mr Barr tabled the following paper:</w:t>
      </w:r>
    </w:p>
    <w:p w:rsidR="00CC3AB3" w:rsidRPr="00004DD3" w:rsidRDefault="00004DD3" w:rsidP="00EE66E0">
      <w:pPr>
        <w:spacing w:before="120"/>
        <w:ind w:left="720"/>
        <w:rPr>
          <w:rFonts w:ascii="Calibri" w:hAnsi="Calibri"/>
          <w:iCs/>
          <w:lang w:val="en-AU"/>
        </w:rPr>
      </w:pPr>
      <w:r>
        <w:rPr>
          <w:rFonts w:ascii="Calibri" w:hAnsi="Calibri"/>
          <w:bCs/>
          <w:lang w:val="en-AU"/>
        </w:rPr>
        <w:t>Economy and Gender and Economic Equality—Standing Committee</w:t>
      </w:r>
      <w:r w:rsidRPr="005E31FE">
        <w:rPr>
          <w:rFonts w:ascii="Calibri" w:hAnsi="Calibri"/>
          <w:lang w:val="en-AU"/>
        </w:rPr>
        <w:t xml:space="preserve">—Report </w:t>
      </w:r>
      <w:r>
        <w:rPr>
          <w:rFonts w:ascii="Calibri" w:hAnsi="Calibri"/>
          <w:caps/>
          <w:lang w:val="en-AU"/>
        </w:rPr>
        <w:t>1</w:t>
      </w:r>
      <w:r w:rsidRPr="005E31FE">
        <w:rPr>
          <w:rFonts w:ascii="Calibri" w:hAnsi="Calibri"/>
          <w:lang w:val="en-AU"/>
        </w:rPr>
        <w:t>—</w:t>
      </w:r>
      <w:r>
        <w:rPr>
          <w:rFonts w:ascii="Calibri" w:hAnsi="Calibri"/>
          <w:i/>
          <w:iCs/>
          <w:lang w:val="en-AU"/>
        </w:rPr>
        <w:t>Inquiry into COVID-19 Emergency Response Legislation Amendment Bill 2020 (No</w:t>
      </w:r>
      <w:r w:rsidR="00AB4E5A">
        <w:rPr>
          <w:rFonts w:ascii="Calibri" w:hAnsi="Calibri"/>
          <w:i/>
          <w:iCs/>
          <w:lang w:val="en-AU"/>
        </w:rPr>
        <w:t> </w:t>
      </w:r>
      <w:r>
        <w:rPr>
          <w:rFonts w:ascii="Calibri" w:hAnsi="Calibri"/>
          <w:i/>
          <w:iCs/>
          <w:lang w:val="en-AU"/>
        </w:rPr>
        <w:t>3)—</w:t>
      </w:r>
      <w:r w:rsidRPr="00004DD3">
        <w:rPr>
          <w:rFonts w:ascii="Calibri" w:hAnsi="Calibri"/>
          <w:iCs/>
          <w:lang w:val="en-AU"/>
        </w:rPr>
        <w:t>Government response, dated</w:t>
      </w:r>
      <w:r>
        <w:rPr>
          <w:rFonts w:ascii="Calibri" w:hAnsi="Calibri"/>
          <w:i/>
          <w:iCs/>
          <w:lang w:val="en-AU"/>
        </w:rPr>
        <w:t xml:space="preserve"> </w:t>
      </w:r>
      <w:r>
        <w:rPr>
          <w:rFonts w:ascii="Calibri" w:hAnsi="Calibri"/>
          <w:iCs/>
          <w:lang w:val="en-AU"/>
        </w:rPr>
        <w:t>8 February 2021.</w:t>
      </w:r>
    </w:p>
    <w:p w:rsidR="00CC3AB3" w:rsidRDefault="00CC3AB3" w:rsidP="00EE66E0">
      <w:pPr>
        <w:spacing w:before="120"/>
        <w:ind w:left="720"/>
        <w:rPr>
          <w:rFonts w:ascii="Calibri" w:hAnsi="Calibri"/>
          <w:iCs/>
          <w:lang w:val="en-AU"/>
        </w:rPr>
      </w:pPr>
      <w:r>
        <w:rPr>
          <w:rFonts w:ascii="Calibri" w:hAnsi="Calibri"/>
          <w:iCs/>
          <w:lang w:val="en-AU"/>
        </w:rPr>
        <w:t xml:space="preserve">Debate </w:t>
      </w:r>
      <w:r w:rsidR="00595C9E">
        <w:rPr>
          <w:rFonts w:ascii="Calibri" w:hAnsi="Calibri"/>
          <w:iCs/>
          <w:lang w:val="en-AU"/>
        </w:rPr>
        <w:t>continued.</w:t>
      </w:r>
    </w:p>
    <w:p w:rsidR="006F7E15" w:rsidRDefault="006F7E15" w:rsidP="00EE66E0">
      <w:pPr>
        <w:spacing w:before="120"/>
        <w:ind w:left="720"/>
        <w:rPr>
          <w:rFonts w:ascii="Calibri" w:hAnsi="Calibri"/>
          <w:iCs/>
          <w:lang w:val="en-AU"/>
        </w:rPr>
      </w:pPr>
      <w:r>
        <w:rPr>
          <w:rFonts w:ascii="Calibri" w:hAnsi="Calibri"/>
          <w:iCs/>
          <w:lang w:val="en-AU"/>
        </w:rPr>
        <w:t>Question—</w:t>
      </w:r>
      <w:r w:rsidR="004A6DE0">
        <w:rPr>
          <w:rFonts w:ascii="Calibri" w:hAnsi="Calibri"/>
          <w:color w:val="000000"/>
          <w:lang w:val="en-AU"/>
        </w:rPr>
        <w:t>That the amendments be agreed to</w:t>
      </w:r>
      <w:r w:rsidR="004A6DE0">
        <w:rPr>
          <w:rFonts w:ascii="Calibri" w:hAnsi="Calibri"/>
          <w:iCs/>
          <w:lang w:val="en-AU"/>
        </w:rPr>
        <w:t>—</w:t>
      </w:r>
      <w:r>
        <w:rPr>
          <w:rFonts w:ascii="Calibri" w:hAnsi="Calibri"/>
          <w:iCs/>
          <w:lang w:val="en-AU"/>
        </w:rPr>
        <w:t>put.</w:t>
      </w:r>
    </w:p>
    <w:p w:rsidR="006F7E15" w:rsidRDefault="006F7E15" w:rsidP="006F7E15">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9986" w:type="dxa"/>
        <w:tblLayout w:type="fixed"/>
        <w:tblCellMar>
          <w:left w:w="720" w:type="dxa"/>
          <w:right w:w="56" w:type="dxa"/>
        </w:tblCellMar>
        <w:tblLook w:val="0000" w:firstRow="0" w:lastRow="0" w:firstColumn="0" w:lastColumn="0" w:noHBand="0" w:noVBand="0"/>
      </w:tblPr>
      <w:tblGrid>
        <w:gridCol w:w="1998"/>
        <w:gridCol w:w="1242"/>
        <w:gridCol w:w="796"/>
        <w:gridCol w:w="194"/>
        <w:gridCol w:w="796"/>
        <w:gridCol w:w="1364"/>
        <w:gridCol w:w="2700"/>
        <w:gridCol w:w="896"/>
      </w:tblGrid>
      <w:tr w:rsidR="006F7E15" w:rsidTr="00913319">
        <w:tc>
          <w:tcPr>
            <w:tcW w:w="4230" w:type="dxa"/>
            <w:gridSpan w:val="4"/>
            <w:shd w:val="clear" w:color="auto" w:fill="auto"/>
          </w:tcPr>
          <w:p w:rsidR="006F7E15" w:rsidRDefault="006F7E15" w:rsidP="006F7E15">
            <w:pPr>
              <w:tabs>
                <w:tab w:val="center" w:pos="1644"/>
              </w:tabs>
              <w:spacing w:before="120"/>
              <w:rPr>
                <w:rFonts w:ascii="Calibri" w:hAnsi="Calibri"/>
                <w:iCs/>
                <w:lang w:val="en-AU"/>
              </w:rPr>
            </w:pPr>
            <w:r>
              <w:rPr>
                <w:rFonts w:ascii="Calibri" w:hAnsi="Calibri"/>
                <w:iCs/>
                <w:lang w:val="en-AU"/>
              </w:rPr>
              <w:tab/>
              <w:t>AYES, 9</w:t>
            </w:r>
          </w:p>
        </w:tc>
        <w:tc>
          <w:tcPr>
            <w:tcW w:w="796" w:type="dxa"/>
            <w:shd w:val="clear" w:color="auto" w:fill="auto"/>
          </w:tcPr>
          <w:p w:rsidR="006F7E15" w:rsidRDefault="006F7E15" w:rsidP="006F7E15">
            <w:pPr>
              <w:spacing w:before="120"/>
              <w:rPr>
                <w:rFonts w:ascii="Calibri" w:hAnsi="Calibri"/>
                <w:iCs/>
                <w:lang w:val="en-AU"/>
              </w:rPr>
            </w:pPr>
          </w:p>
        </w:tc>
        <w:tc>
          <w:tcPr>
            <w:tcW w:w="4960" w:type="dxa"/>
            <w:gridSpan w:val="3"/>
            <w:shd w:val="clear" w:color="auto" w:fill="auto"/>
          </w:tcPr>
          <w:p w:rsidR="006F7E15" w:rsidRDefault="006F7E15" w:rsidP="006F7E15">
            <w:pPr>
              <w:tabs>
                <w:tab w:val="center" w:pos="1004"/>
              </w:tabs>
              <w:spacing w:before="120"/>
              <w:rPr>
                <w:rFonts w:ascii="Calibri" w:hAnsi="Calibri"/>
                <w:iCs/>
                <w:lang w:val="en-AU"/>
              </w:rPr>
            </w:pPr>
            <w:r>
              <w:rPr>
                <w:rFonts w:ascii="Calibri" w:hAnsi="Calibri"/>
                <w:iCs/>
                <w:lang w:val="en-AU"/>
              </w:rPr>
              <w:tab/>
              <w:t>NOES, 16</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 Cain</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Mr Barr</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Ms Orr</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Ms Castley</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Ms Berry</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Dr Paterson</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 Coe</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Mr Braddock</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Mr Pettersson</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 Hanson</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Ms Burch</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Mr Rattenbury</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Mrs Jones</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Ms Cheyne</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Mr Steel</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Mrs Kikkert</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Ms Clay</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Ms Stephen-Smith</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Ms Lawder</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Ms Davidson</w:t>
            </w:r>
          </w:p>
        </w:tc>
        <w:tc>
          <w:tcPr>
            <w:tcW w:w="2700" w:type="dxa"/>
            <w:shd w:val="clear" w:color="auto" w:fill="auto"/>
          </w:tcPr>
          <w:p w:rsidR="006F7E15" w:rsidRDefault="006F7E15" w:rsidP="006F7E15">
            <w:pPr>
              <w:rPr>
                <w:rFonts w:ascii="Calibri" w:hAnsi="Calibri"/>
                <w:iCs/>
                <w:lang w:val="en-AU"/>
              </w:rPr>
            </w:pPr>
            <w:r>
              <w:rPr>
                <w:rFonts w:ascii="Calibri" w:hAnsi="Calibri"/>
                <w:iCs/>
                <w:lang w:val="en-AU"/>
              </w:rPr>
              <w:t>Ms Vassarotti</w:t>
            </w: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Ms Lee</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Mr Davis</w:t>
            </w:r>
          </w:p>
        </w:tc>
        <w:tc>
          <w:tcPr>
            <w:tcW w:w="2700" w:type="dxa"/>
            <w:shd w:val="clear" w:color="auto" w:fill="auto"/>
          </w:tcPr>
          <w:p w:rsidR="006F7E15" w:rsidRDefault="006F7E15" w:rsidP="006F7E15">
            <w:pPr>
              <w:spacing w:before="120"/>
              <w:rPr>
                <w:rFonts w:ascii="Calibri" w:hAnsi="Calibri"/>
                <w:iCs/>
                <w:lang w:val="en-AU"/>
              </w:rPr>
            </w:pPr>
          </w:p>
        </w:tc>
      </w:tr>
      <w:tr w:rsidR="006F7E15" w:rsidTr="00913319">
        <w:trPr>
          <w:gridAfter w:val="1"/>
          <w:wAfter w:w="896" w:type="dxa"/>
          <w:trHeight w:hRule="exact" w:val="312"/>
        </w:trPr>
        <w:tc>
          <w:tcPr>
            <w:tcW w:w="1998" w:type="dxa"/>
            <w:shd w:val="clear" w:color="auto" w:fill="auto"/>
          </w:tcPr>
          <w:p w:rsidR="006F7E15" w:rsidRDefault="006F7E15" w:rsidP="006F7E15">
            <w:pPr>
              <w:rPr>
                <w:rFonts w:ascii="Calibri" w:hAnsi="Calibri"/>
                <w:iCs/>
                <w:lang w:val="en-AU"/>
              </w:rPr>
            </w:pPr>
            <w:r>
              <w:rPr>
                <w:rFonts w:ascii="Calibri" w:hAnsi="Calibri"/>
                <w:iCs/>
                <w:lang w:val="en-AU"/>
              </w:rPr>
              <w:t>Mr Parton</w:t>
            </w:r>
          </w:p>
        </w:tc>
        <w:tc>
          <w:tcPr>
            <w:tcW w:w="1242" w:type="dxa"/>
            <w:shd w:val="clear" w:color="auto" w:fill="auto"/>
          </w:tcPr>
          <w:p w:rsidR="006F7E15" w:rsidRDefault="006F7E15" w:rsidP="006F7E15">
            <w:pPr>
              <w:spacing w:before="120"/>
              <w:rPr>
                <w:rFonts w:ascii="Calibri" w:hAnsi="Calibri"/>
                <w:iCs/>
                <w:lang w:val="en-AU"/>
              </w:rPr>
            </w:pPr>
          </w:p>
        </w:tc>
        <w:tc>
          <w:tcPr>
            <w:tcW w:w="796" w:type="dxa"/>
            <w:shd w:val="clear" w:color="auto" w:fill="auto"/>
          </w:tcPr>
          <w:p w:rsidR="006F7E15" w:rsidRDefault="006F7E15" w:rsidP="006F7E15">
            <w:pPr>
              <w:spacing w:before="120"/>
              <w:rPr>
                <w:rFonts w:ascii="Calibri" w:hAnsi="Calibri"/>
                <w:iCs/>
                <w:lang w:val="en-AU"/>
              </w:rPr>
            </w:pPr>
          </w:p>
        </w:tc>
        <w:tc>
          <w:tcPr>
            <w:tcW w:w="2354" w:type="dxa"/>
            <w:gridSpan w:val="3"/>
            <w:shd w:val="clear" w:color="auto" w:fill="auto"/>
          </w:tcPr>
          <w:p w:rsidR="006F7E15" w:rsidRDefault="006F7E15" w:rsidP="006F7E15">
            <w:pPr>
              <w:rPr>
                <w:rFonts w:ascii="Calibri" w:hAnsi="Calibri"/>
                <w:iCs/>
                <w:lang w:val="en-AU"/>
              </w:rPr>
            </w:pPr>
            <w:r>
              <w:rPr>
                <w:rFonts w:ascii="Calibri" w:hAnsi="Calibri"/>
                <w:iCs/>
                <w:lang w:val="en-AU"/>
              </w:rPr>
              <w:t>Mr Gentleman</w:t>
            </w:r>
          </w:p>
        </w:tc>
        <w:tc>
          <w:tcPr>
            <w:tcW w:w="2700" w:type="dxa"/>
            <w:shd w:val="clear" w:color="auto" w:fill="auto"/>
          </w:tcPr>
          <w:p w:rsidR="006F7E15" w:rsidRDefault="006F7E15" w:rsidP="006F7E15">
            <w:pPr>
              <w:spacing w:before="120"/>
              <w:rPr>
                <w:rFonts w:ascii="Calibri" w:hAnsi="Calibri"/>
                <w:iCs/>
                <w:lang w:val="en-AU"/>
              </w:rPr>
            </w:pPr>
          </w:p>
        </w:tc>
      </w:tr>
    </w:tbl>
    <w:p w:rsidR="006F7E15" w:rsidRDefault="006F7E15" w:rsidP="006F7E15">
      <w:pPr>
        <w:spacing w:before="120"/>
        <w:ind w:left="720"/>
        <w:rPr>
          <w:rFonts w:ascii="Calibri" w:hAnsi="Calibri"/>
          <w:iCs/>
          <w:lang w:val="en-AU"/>
        </w:rPr>
      </w:pPr>
      <w:r>
        <w:rPr>
          <w:rFonts w:ascii="Calibri" w:hAnsi="Calibri"/>
          <w:iCs/>
          <w:lang w:val="en-AU"/>
        </w:rPr>
        <w:t>And so it was negatived.</w:t>
      </w:r>
    </w:p>
    <w:p w:rsidR="00EE66E0" w:rsidRPr="00EE66E0" w:rsidRDefault="008C0C3C" w:rsidP="00EE66E0">
      <w:pPr>
        <w:spacing w:before="120"/>
        <w:ind w:left="720"/>
        <w:rPr>
          <w:rFonts w:ascii="Calibri" w:hAnsi="Calibri"/>
          <w:lang w:val="en-AU"/>
        </w:rPr>
      </w:pPr>
      <w:r>
        <w:rPr>
          <w:rFonts w:ascii="Calibri" w:hAnsi="Calibri"/>
          <w:lang w:val="en-AU"/>
        </w:rPr>
        <w:t>Bill, as a whole, agreed to</w:t>
      </w:r>
      <w:r w:rsidR="001A5948">
        <w:rPr>
          <w:rFonts w:ascii="Calibri" w:hAnsi="Calibri"/>
          <w:lang w:val="en-AU"/>
        </w:rPr>
        <w:t>.</w:t>
      </w:r>
    </w:p>
    <w:p w:rsidR="00EE66E0" w:rsidRPr="00EE66E0" w:rsidRDefault="00EE66E0" w:rsidP="00EE66E0">
      <w:pPr>
        <w:pBdr>
          <w:top w:val="thickThinLargeGap" w:sz="18" w:space="1" w:color="auto"/>
        </w:pBdr>
        <w:spacing w:before="180"/>
        <w:ind w:left="3427" w:right="3658"/>
        <w:jc w:val="center"/>
        <w:rPr>
          <w:rFonts w:ascii="Calibri" w:hAnsi="Calibri"/>
          <w:lang w:val="en-AU"/>
        </w:rPr>
      </w:pPr>
    </w:p>
    <w:p w:rsidR="00EE66E0" w:rsidRPr="00EE66E0" w:rsidRDefault="00EE66E0" w:rsidP="00EE66E0">
      <w:pPr>
        <w:ind w:left="720"/>
        <w:rPr>
          <w:rFonts w:ascii="Calibri" w:hAnsi="Calibri"/>
          <w:lang w:val="en-AU"/>
        </w:rPr>
      </w:pPr>
      <w:r w:rsidRPr="00EE66E0">
        <w:rPr>
          <w:rFonts w:ascii="Calibri" w:hAnsi="Calibri"/>
          <w:lang w:val="en-AU"/>
        </w:rPr>
        <w:t>Question—That this Bill</w:t>
      </w:r>
      <w:r w:rsidR="008C0C3C">
        <w:rPr>
          <w:rFonts w:ascii="Calibri" w:hAnsi="Calibri"/>
          <w:lang w:val="en-AU"/>
        </w:rPr>
        <w:t xml:space="preserve"> </w:t>
      </w:r>
      <w:r w:rsidRPr="00EE66E0">
        <w:rPr>
          <w:rFonts w:ascii="Calibri" w:hAnsi="Calibri"/>
          <w:lang w:val="en-AU"/>
        </w:rPr>
        <w:t>be agreed to—put and passed.</w:t>
      </w:r>
    </w:p>
    <w:p w:rsidR="00F951D9" w:rsidRPr="00F951D9" w:rsidRDefault="00F951D9" w:rsidP="00F951D9">
      <w:pPr>
        <w:keepNext/>
        <w:keepLines/>
        <w:tabs>
          <w:tab w:val="right" w:pos="339"/>
          <w:tab w:val="left" w:pos="720"/>
        </w:tabs>
        <w:spacing w:before="240"/>
        <w:ind w:left="720" w:hanging="720"/>
        <w:rPr>
          <w:rFonts w:ascii="Calibri" w:hAnsi="Calibri"/>
          <w:b/>
          <w:caps/>
          <w:lang w:val="en-AU"/>
        </w:rPr>
      </w:pPr>
      <w:r w:rsidRPr="00F951D9">
        <w:rPr>
          <w:rFonts w:ascii="Calibri" w:hAnsi="Calibri"/>
          <w:b/>
          <w:caps/>
          <w:lang w:val="en-AU"/>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8</w:t>
      </w:r>
      <w:r w:rsidR="00460C16">
        <w:rPr>
          <w:rFonts w:ascii="Calibri" w:hAnsi="Calibri"/>
          <w:b/>
          <w:bCs/>
          <w:caps/>
          <w:lang w:val="en-AU"/>
        </w:rPr>
        <w:fldChar w:fldCharType="end"/>
      </w:r>
      <w:r w:rsidRPr="00F951D9">
        <w:rPr>
          <w:rFonts w:ascii="Calibri" w:hAnsi="Calibri"/>
          <w:b/>
          <w:caps/>
          <w:lang w:val="en-AU"/>
        </w:rPr>
        <w:tab/>
      </w:r>
      <w:r>
        <w:rPr>
          <w:rFonts w:ascii="Calibri" w:hAnsi="Calibri"/>
          <w:b/>
          <w:caps/>
          <w:lang w:val="en-AU"/>
        </w:rPr>
        <w:t>Gunghalin Town Centre—Development</w:t>
      </w:r>
    </w:p>
    <w:p w:rsidR="00F951D9" w:rsidRPr="00F951D9" w:rsidRDefault="00F951D9" w:rsidP="00F951D9">
      <w:pPr>
        <w:spacing w:before="120"/>
        <w:ind w:left="720"/>
        <w:rPr>
          <w:rFonts w:ascii="Calibri" w:hAnsi="Calibri"/>
          <w:color w:val="000000"/>
          <w:lang w:val="en-AU"/>
        </w:rPr>
      </w:pPr>
      <w:r>
        <w:rPr>
          <w:rFonts w:ascii="Calibri" w:hAnsi="Calibri"/>
          <w:color w:val="000000"/>
          <w:lang w:val="en-AU"/>
        </w:rPr>
        <w:t>Ms Orr</w:t>
      </w:r>
      <w:r w:rsidRPr="00F951D9">
        <w:rPr>
          <w:rFonts w:ascii="Calibri" w:hAnsi="Calibri"/>
          <w:color w:val="000000"/>
          <w:lang w:val="en-AU"/>
        </w:rPr>
        <w:t>, pursuant to notice, moved—That this Assembly:</w:t>
      </w:r>
    </w:p>
    <w:p w:rsidR="00345E7D" w:rsidRPr="001A1E8E" w:rsidRDefault="00345E7D" w:rsidP="00345E7D">
      <w:pPr>
        <w:pStyle w:val="DPSEntryIndents"/>
        <w:rPr>
          <w:lang w:eastAsia="en-US"/>
        </w:rPr>
      </w:pPr>
      <w:r w:rsidRPr="001A1E8E">
        <w:rPr>
          <w:lang w:eastAsia="en-US"/>
        </w:rPr>
        <w:t>notes that:</w:t>
      </w:r>
    </w:p>
    <w:p w:rsidR="00345E7D" w:rsidRPr="001A1E8E" w:rsidRDefault="00345E7D" w:rsidP="00345E7D">
      <w:pPr>
        <w:pStyle w:val="DPSEntryIndents"/>
        <w:numPr>
          <w:ilvl w:val="1"/>
          <w:numId w:val="3"/>
        </w:numPr>
        <w:rPr>
          <w:lang w:eastAsia="en-US"/>
        </w:rPr>
      </w:pPr>
      <w:r w:rsidRPr="001A1E8E">
        <w:rPr>
          <w:lang w:eastAsia="en-US"/>
        </w:rPr>
        <w:t>the development of Gungahlin Town Centre is a matter of note to the residents of Gungahlin;</w:t>
      </w:r>
    </w:p>
    <w:p w:rsidR="00345E7D" w:rsidRPr="001A1E8E" w:rsidRDefault="00345E7D" w:rsidP="00345E7D">
      <w:pPr>
        <w:pStyle w:val="DPSEntryIndents"/>
        <w:numPr>
          <w:ilvl w:val="1"/>
          <w:numId w:val="3"/>
        </w:numPr>
        <w:rPr>
          <w:lang w:eastAsia="en-US"/>
        </w:rPr>
      </w:pPr>
      <w:r w:rsidRPr="001A1E8E">
        <w:rPr>
          <w:lang w:eastAsia="en-US"/>
        </w:rPr>
        <w:t>unlike other more established town centres, Gungahlin is relatively young and has been developed from its earliest days with the ambition of being a genuine mixed-use precinct; and</w:t>
      </w:r>
    </w:p>
    <w:p w:rsidR="00345E7D" w:rsidRPr="001A1E8E" w:rsidRDefault="00345E7D" w:rsidP="00345E7D">
      <w:pPr>
        <w:pStyle w:val="DPSEntryIndents"/>
        <w:numPr>
          <w:ilvl w:val="1"/>
          <w:numId w:val="3"/>
        </w:numPr>
        <w:rPr>
          <w:lang w:eastAsia="en-US"/>
        </w:rPr>
      </w:pPr>
      <w:r w:rsidRPr="001A1E8E">
        <w:rPr>
          <w:lang w:eastAsia="en-US"/>
        </w:rPr>
        <w:t>there is great opportunity to guide the remaining development of the town centre to ensure more recent learnings from practice in the ACT and other jurisdictions are applied to future developments; and</w:t>
      </w:r>
    </w:p>
    <w:p w:rsidR="00345E7D" w:rsidRPr="001A1E8E" w:rsidRDefault="00345E7D" w:rsidP="00345E7D">
      <w:pPr>
        <w:pStyle w:val="DPSEntryIndents"/>
        <w:rPr>
          <w:lang w:eastAsia="en-US"/>
        </w:rPr>
      </w:pPr>
      <w:r w:rsidRPr="001A1E8E">
        <w:rPr>
          <w:lang w:eastAsia="en-US"/>
        </w:rPr>
        <w:t>calls on the ACT Government to support the further development of the Gungahlin region and town centre by:</w:t>
      </w:r>
    </w:p>
    <w:p w:rsidR="00345E7D" w:rsidRPr="001A1E8E" w:rsidRDefault="00345E7D" w:rsidP="00345E7D">
      <w:pPr>
        <w:pStyle w:val="DPSEntryIndents"/>
        <w:numPr>
          <w:ilvl w:val="1"/>
          <w:numId w:val="3"/>
        </w:numPr>
        <w:rPr>
          <w:lang w:eastAsia="en-US"/>
        </w:rPr>
      </w:pPr>
      <w:r w:rsidRPr="001A1E8E">
        <w:rPr>
          <w:lang w:eastAsia="en-US"/>
        </w:rPr>
        <w:t>implementing best practice mixed-use development through the planning framework, and allowing for:</w:t>
      </w:r>
    </w:p>
    <w:p w:rsidR="00345E7D" w:rsidRPr="001A1E8E" w:rsidRDefault="00345E7D" w:rsidP="00345E7D">
      <w:pPr>
        <w:pStyle w:val="DPSEntryIndents"/>
        <w:numPr>
          <w:ilvl w:val="2"/>
          <w:numId w:val="3"/>
        </w:numPr>
        <w:rPr>
          <w:lang w:eastAsia="en-US"/>
        </w:rPr>
      </w:pPr>
      <w:r w:rsidRPr="001A1E8E">
        <w:rPr>
          <w:lang w:eastAsia="en-US"/>
        </w:rPr>
        <w:t>specific requirements to achieve a balanced diversity of uses within mixed-use developments including community uses;</w:t>
      </w:r>
    </w:p>
    <w:p w:rsidR="00345E7D" w:rsidRPr="001A1E8E" w:rsidRDefault="00345E7D" w:rsidP="00345E7D">
      <w:pPr>
        <w:pStyle w:val="DPSEntryIndents"/>
        <w:numPr>
          <w:ilvl w:val="2"/>
          <w:numId w:val="3"/>
        </w:numPr>
        <w:rPr>
          <w:lang w:eastAsia="en-US"/>
        </w:rPr>
      </w:pPr>
      <w:r w:rsidRPr="001A1E8E">
        <w:rPr>
          <w:lang w:eastAsia="en-US"/>
        </w:rPr>
        <w:t>specific requirements to achieve a higher level of commercial and business uses and subsequent activity within mixed-use developments;</w:t>
      </w:r>
    </w:p>
    <w:p w:rsidR="00345E7D" w:rsidRPr="001A1E8E" w:rsidRDefault="00345E7D" w:rsidP="00345E7D">
      <w:pPr>
        <w:pStyle w:val="DPSEntryIndents"/>
        <w:numPr>
          <w:ilvl w:val="2"/>
          <w:numId w:val="3"/>
        </w:numPr>
        <w:rPr>
          <w:lang w:eastAsia="en-US"/>
        </w:rPr>
      </w:pPr>
      <w:r w:rsidRPr="001A1E8E">
        <w:rPr>
          <w:lang w:eastAsia="en-US"/>
        </w:rPr>
        <w:t>providing for requirements for commercial fitouts that enable the easy establishment of varied business and commercial activity without the need for significant modification or retrofitting;</w:t>
      </w:r>
    </w:p>
    <w:p w:rsidR="00345E7D" w:rsidRPr="001A1E8E" w:rsidRDefault="00345E7D" w:rsidP="00345E7D">
      <w:pPr>
        <w:pStyle w:val="DPSEntryIndents"/>
        <w:numPr>
          <w:ilvl w:val="2"/>
          <w:numId w:val="3"/>
        </w:numPr>
        <w:rPr>
          <w:lang w:eastAsia="en-US"/>
        </w:rPr>
      </w:pPr>
      <w:r w:rsidRPr="001A1E8E">
        <w:rPr>
          <w:lang w:eastAsia="en-US"/>
        </w:rPr>
        <w:t>clear design principles that link development activity with achieving active precincts and vibrant street level activity; and</w:t>
      </w:r>
    </w:p>
    <w:p w:rsidR="00345E7D" w:rsidRPr="001A1E8E" w:rsidRDefault="00345E7D" w:rsidP="00345E7D">
      <w:pPr>
        <w:pStyle w:val="DPSEntryIndents"/>
        <w:numPr>
          <w:ilvl w:val="2"/>
          <w:numId w:val="3"/>
        </w:numPr>
        <w:rPr>
          <w:lang w:eastAsia="en-US"/>
        </w:rPr>
      </w:pPr>
      <w:r w:rsidRPr="001A1E8E">
        <w:rPr>
          <w:lang w:eastAsia="en-US"/>
        </w:rPr>
        <w:t>traffic flow around the town centre;</w:t>
      </w:r>
    </w:p>
    <w:p w:rsidR="00345E7D" w:rsidRPr="001A1E8E" w:rsidRDefault="00345E7D" w:rsidP="00345E7D">
      <w:pPr>
        <w:pStyle w:val="DPSEntryIndents"/>
        <w:numPr>
          <w:ilvl w:val="1"/>
          <w:numId w:val="3"/>
        </w:numPr>
        <w:rPr>
          <w:lang w:eastAsia="en-US"/>
        </w:rPr>
      </w:pPr>
      <w:r w:rsidRPr="001A1E8E">
        <w:rPr>
          <w:lang w:eastAsia="en-US"/>
        </w:rPr>
        <w:t>ensuring current sales of development sites incorporate the requirements to support best practice mixed-use developments;</w:t>
      </w:r>
    </w:p>
    <w:p w:rsidR="00345E7D" w:rsidRPr="001A1E8E" w:rsidRDefault="00345E7D" w:rsidP="00345E7D">
      <w:pPr>
        <w:pStyle w:val="DPSEntryIndents"/>
        <w:numPr>
          <w:ilvl w:val="1"/>
          <w:numId w:val="3"/>
        </w:numPr>
        <w:rPr>
          <w:lang w:eastAsia="en-US"/>
        </w:rPr>
      </w:pPr>
      <w:r w:rsidRPr="001A1E8E">
        <w:rPr>
          <w:lang w:eastAsia="en-US"/>
        </w:rPr>
        <w:t>implementing best practice mixed-use developments processes and regulations that are used to inform Draft Variation 364 and the Territory Plan; and</w:t>
      </w:r>
    </w:p>
    <w:p w:rsidR="00F951D9" w:rsidRPr="008D46C0" w:rsidRDefault="00345E7D" w:rsidP="00345E7D">
      <w:pPr>
        <w:pStyle w:val="DPSEntryIndents"/>
        <w:numPr>
          <w:ilvl w:val="1"/>
          <w:numId w:val="3"/>
        </w:numPr>
        <w:rPr>
          <w:color w:val="000000"/>
        </w:rPr>
      </w:pPr>
      <w:r w:rsidRPr="001A1E8E">
        <w:rPr>
          <w:lang w:eastAsia="en-US"/>
        </w:rPr>
        <w:t>engage with the Gungahlin Town Centre community on mixed-use developments in their town centre.</w:t>
      </w:r>
    </w:p>
    <w:p w:rsidR="008D46C0" w:rsidRPr="00F951D9" w:rsidRDefault="008D46C0" w:rsidP="008D46C0">
      <w:pPr>
        <w:pStyle w:val="DPSEntryIndents"/>
        <w:numPr>
          <w:ilvl w:val="0"/>
          <w:numId w:val="0"/>
        </w:numPr>
        <w:ind w:left="1368" w:hanging="648"/>
        <w:rPr>
          <w:color w:val="000000"/>
        </w:rPr>
      </w:pPr>
      <w:r>
        <w:rPr>
          <w:lang w:eastAsia="en-US"/>
        </w:rPr>
        <w:lastRenderedPageBreak/>
        <w:t>Debate ensued.</w:t>
      </w:r>
    </w:p>
    <w:p w:rsidR="00E9120A" w:rsidRDefault="00E9120A" w:rsidP="00E9120A">
      <w:pPr>
        <w:spacing w:before="120"/>
        <w:ind w:left="720" w:right="-35"/>
        <w:rPr>
          <w:rFonts w:ascii="Calibri" w:hAnsi="Calibri"/>
          <w:color w:val="000000"/>
          <w:lang w:val="en-AU"/>
        </w:rPr>
      </w:pPr>
      <w:r>
        <w:rPr>
          <w:rFonts w:ascii="Calibri" w:hAnsi="Calibri"/>
          <w:color w:val="000000"/>
          <w:lang w:val="en-AU"/>
        </w:rPr>
        <w:t>Mr Braddock</w:t>
      </w:r>
      <w:r w:rsidR="00ED7CF5">
        <w:rPr>
          <w:rFonts w:ascii="Calibri" w:hAnsi="Calibri"/>
          <w:color w:val="000000"/>
          <w:lang w:val="en-AU"/>
        </w:rPr>
        <w:t>, by leave,</w:t>
      </w:r>
      <w:r w:rsidRPr="00E9120A">
        <w:rPr>
          <w:rFonts w:ascii="Calibri" w:hAnsi="Calibri"/>
          <w:color w:val="000000"/>
          <w:lang w:val="en-AU"/>
        </w:rPr>
        <w:t xml:space="preserve"> </w:t>
      </w:r>
      <w:r>
        <w:rPr>
          <w:rFonts w:ascii="Calibri" w:hAnsi="Calibri"/>
          <w:color w:val="000000"/>
          <w:lang w:val="en-AU"/>
        </w:rPr>
        <w:t>moved the following amendment</w:t>
      </w:r>
      <w:r w:rsidR="00266A8D">
        <w:rPr>
          <w:rFonts w:ascii="Calibri" w:hAnsi="Calibri"/>
          <w:color w:val="000000"/>
          <w:lang w:val="en-AU"/>
        </w:rPr>
        <w:t>s</w:t>
      </w:r>
      <w:r>
        <w:rPr>
          <w:rFonts w:ascii="Calibri" w:hAnsi="Calibri"/>
          <w:color w:val="000000"/>
          <w:lang w:val="en-AU"/>
        </w:rPr>
        <w:t>:</w:t>
      </w:r>
    </w:p>
    <w:p w:rsidR="00E9120A" w:rsidRPr="00E9120A" w:rsidRDefault="00E9120A" w:rsidP="00E9120A">
      <w:pPr>
        <w:spacing w:before="120"/>
        <w:ind w:left="720" w:right="-35"/>
        <w:rPr>
          <w:rFonts w:ascii="Calibri" w:hAnsi="Calibri"/>
          <w:color w:val="000000"/>
          <w:lang w:val="en-AU"/>
        </w:rPr>
      </w:pPr>
      <w:r w:rsidRPr="00E9120A">
        <w:rPr>
          <w:rFonts w:ascii="Calibri" w:hAnsi="Calibri"/>
          <w:color w:val="000000"/>
          <w:lang w:val="en-AU"/>
        </w:rPr>
        <w:t xml:space="preserve">Insert: </w:t>
      </w:r>
    </w:p>
    <w:p w:rsidR="00E9120A" w:rsidRPr="00F033A8" w:rsidRDefault="00E9120A" w:rsidP="00E9120A">
      <w:pPr>
        <w:pStyle w:val="DPSEntryIndentsLev1"/>
        <w:rPr>
          <w:sz w:val="22"/>
        </w:rPr>
      </w:pPr>
      <w:r w:rsidRPr="00AC7752">
        <w:rPr>
          <w:bCs/>
        </w:rPr>
        <w:t>New clause:</w:t>
      </w:r>
      <w:r w:rsidRPr="00F033A8">
        <w:rPr>
          <w:b/>
          <w:bCs/>
        </w:rPr>
        <w:t xml:space="preserve"> </w:t>
      </w:r>
      <w:r w:rsidR="00F12931">
        <w:rPr>
          <w:b/>
          <w:bCs/>
        </w:rPr>
        <w:t>“</w:t>
      </w:r>
      <w:r w:rsidRPr="00F033A8">
        <w:t xml:space="preserve">(1) (d) </w:t>
      </w:r>
      <w:r w:rsidR="003805EC">
        <w:t>a</w:t>
      </w:r>
      <w:r w:rsidRPr="00F033A8">
        <w:t xml:space="preserve">ll parties in the Assembly during the 2020 election campaign committed to build a large community centre in the Gungahlin Town </w:t>
      </w:r>
      <w:r w:rsidR="00A606B4">
        <w:t>Centre;</w:t>
      </w:r>
      <w:r w:rsidR="00F12931">
        <w:t>”</w:t>
      </w:r>
    </w:p>
    <w:p w:rsidR="00E9120A" w:rsidRPr="00F033A8" w:rsidRDefault="00E9120A" w:rsidP="00E9120A">
      <w:pPr>
        <w:pStyle w:val="DPSEntryIndentsLev1"/>
        <w:rPr>
          <w:sz w:val="22"/>
        </w:rPr>
      </w:pPr>
      <w:r w:rsidRPr="00AC7752">
        <w:rPr>
          <w:bCs/>
        </w:rPr>
        <w:t>New clause</w:t>
      </w:r>
      <w:r w:rsidR="0097638A" w:rsidRPr="00AC7752">
        <w:rPr>
          <w:bCs/>
        </w:rPr>
        <w:t>:</w:t>
      </w:r>
      <w:r w:rsidRPr="00F033A8">
        <w:t xml:space="preserve"> </w:t>
      </w:r>
      <w:r w:rsidR="00F12931">
        <w:t>“</w:t>
      </w:r>
      <w:r w:rsidRPr="00F033A8">
        <w:t xml:space="preserve">(2) (a) (vi) </w:t>
      </w:r>
      <w:r w:rsidR="003805EC">
        <w:t>t</w:t>
      </w:r>
      <w:r w:rsidRPr="00F033A8">
        <w:t>he creation of an entertainment precinct so as to enable a night time econ</w:t>
      </w:r>
      <w:r w:rsidR="00A606B4">
        <w:t>omy without impacting residents;</w:t>
      </w:r>
      <w:r w:rsidR="00F12931">
        <w:t>”</w:t>
      </w:r>
    </w:p>
    <w:p w:rsidR="00E9120A" w:rsidRDefault="00E9120A" w:rsidP="00E9120A">
      <w:pPr>
        <w:spacing w:before="120"/>
        <w:ind w:left="720" w:right="-35"/>
        <w:rPr>
          <w:rFonts w:ascii="Calibri" w:hAnsi="Calibri"/>
          <w:color w:val="000000"/>
          <w:lang w:val="en-AU"/>
        </w:rPr>
      </w:pPr>
      <w:r w:rsidRPr="00F951D9">
        <w:rPr>
          <w:rFonts w:ascii="Calibri" w:hAnsi="Calibri"/>
          <w:color w:val="000000"/>
          <w:lang w:val="en-AU"/>
        </w:rPr>
        <w:t xml:space="preserve">Debate </w:t>
      </w:r>
      <w:r w:rsidR="00DA552D">
        <w:rPr>
          <w:rFonts w:ascii="Calibri" w:hAnsi="Calibri"/>
          <w:color w:val="000000"/>
          <w:lang w:val="en-AU"/>
        </w:rPr>
        <w:t>continued.</w:t>
      </w:r>
    </w:p>
    <w:p w:rsidR="009D17C4" w:rsidRDefault="009D17C4" w:rsidP="00E9120A">
      <w:pPr>
        <w:spacing w:before="120"/>
        <w:ind w:left="720" w:right="-35"/>
        <w:rPr>
          <w:rFonts w:ascii="Calibri" w:hAnsi="Calibri"/>
          <w:color w:val="000000"/>
          <w:lang w:val="en-AU"/>
        </w:rPr>
      </w:pPr>
      <w:r>
        <w:rPr>
          <w:rFonts w:ascii="Calibri" w:hAnsi="Calibri"/>
          <w:color w:val="000000"/>
          <w:lang w:val="en-AU"/>
        </w:rPr>
        <w:t>Question—That the amendment</w:t>
      </w:r>
      <w:r w:rsidR="00266A8D">
        <w:rPr>
          <w:rFonts w:ascii="Calibri" w:hAnsi="Calibri"/>
          <w:color w:val="000000"/>
          <w:lang w:val="en-AU"/>
        </w:rPr>
        <w:t>s</w:t>
      </w:r>
      <w:r w:rsidR="00ED7CF5">
        <w:rPr>
          <w:rFonts w:ascii="Calibri" w:hAnsi="Calibri"/>
          <w:color w:val="000000"/>
          <w:lang w:val="en-AU"/>
        </w:rPr>
        <w:t xml:space="preserve"> be agreed to—put and passed</w:t>
      </w:r>
      <w:r>
        <w:rPr>
          <w:rFonts w:ascii="Calibri" w:hAnsi="Calibri"/>
          <w:color w:val="000000"/>
          <w:lang w:val="en-AU"/>
        </w:rPr>
        <w:t>.</w:t>
      </w:r>
    </w:p>
    <w:p w:rsidR="00ED7CF5" w:rsidRDefault="00ED7CF5" w:rsidP="00E9120A">
      <w:pPr>
        <w:spacing w:before="120"/>
        <w:ind w:left="720" w:right="-35"/>
        <w:rPr>
          <w:rFonts w:ascii="Calibri" w:hAnsi="Calibri"/>
          <w:color w:val="000000"/>
          <w:lang w:val="en-AU"/>
        </w:rPr>
      </w:pPr>
      <w:r w:rsidRPr="00F951D9">
        <w:rPr>
          <w:rFonts w:ascii="Calibri" w:hAnsi="Calibri"/>
          <w:color w:val="000000"/>
          <w:lang w:val="en-AU"/>
        </w:rPr>
        <w:t>Question—</w:t>
      </w:r>
      <w:r w:rsidR="00315194">
        <w:rPr>
          <w:rFonts w:ascii="Calibri" w:hAnsi="Calibri"/>
          <w:color w:val="000000"/>
          <w:lang w:val="en-AU"/>
        </w:rPr>
        <w:t>That the motion, as amended, be</w:t>
      </w:r>
      <w:r>
        <w:rPr>
          <w:rFonts w:ascii="Calibri" w:hAnsi="Calibri"/>
          <w:color w:val="000000"/>
          <w:lang w:val="en-AU"/>
        </w:rPr>
        <w:t xml:space="preserve"> agreed to—put.</w:t>
      </w:r>
    </w:p>
    <w:p w:rsidR="00266A8D" w:rsidRDefault="00266A8D" w:rsidP="00266A8D">
      <w:pPr>
        <w:spacing w:before="120"/>
        <w:ind w:left="720" w:right="-35"/>
        <w:rPr>
          <w:rFonts w:ascii="Calibri" w:hAnsi="Calibri"/>
          <w:color w:val="000000"/>
          <w:lang w:val="en-AU"/>
        </w:rPr>
      </w:pPr>
      <w:r>
        <w:rPr>
          <w:rFonts w:ascii="Calibri" w:hAnsi="Calibri"/>
          <w:color w:val="000000"/>
          <w:lang w:val="en-AU"/>
        </w:rPr>
        <w:t>Ms Castley</w:t>
      </w:r>
      <w:r w:rsidR="00F07869">
        <w:rPr>
          <w:rFonts w:ascii="Calibri" w:hAnsi="Calibri"/>
          <w:color w:val="000000"/>
          <w:lang w:val="en-AU"/>
        </w:rPr>
        <w:t>, by leave,</w:t>
      </w:r>
      <w:r w:rsidRPr="00E9120A">
        <w:rPr>
          <w:rFonts w:ascii="Calibri" w:hAnsi="Calibri"/>
          <w:color w:val="000000"/>
          <w:lang w:val="en-AU"/>
        </w:rPr>
        <w:t xml:space="preserve"> </w:t>
      </w:r>
      <w:r>
        <w:rPr>
          <w:rFonts w:ascii="Calibri" w:hAnsi="Calibri"/>
          <w:color w:val="000000"/>
          <w:lang w:val="en-AU"/>
        </w:rPr>
        <w:t>moved the following amendment:</w:t>
      </w:r>
    </w:p>
    <w:p w:rsidR="00266A8D" w:rsidRDefault="003805EC" w:rsidP="009D17C4">
      <w:pPr>
        <w:spacing w:before="120"/>
        <w:ind w:left="720"/>
        <w:rPr>
          <w:rFonts w:ascii="Calibri" w:hAnsi="Calibri"/>
          <w:color w:val="000000"/>
          <w:lang w:val="en-AU"/>
        </w:rPr>
      </w:pPr>
      <w:r>
        <w:rPr>
          <w:rFonts w:ascii="Calibri" w:hAnsi="Calibri"/>
          <w:color w:val="000000"/>
          <w:lang w:val="en-AU"/>
        </w:rPr>
        <w:t xml:space="preserve">After (2) </w:t>
      </w:r>
      <w:r w:rsidR="00AF0868">
        <w:rPr>
          <w:rFonts w:ascii="Calibri" w:hAnsi="Calibri"/>
          <w:color w:val="000000"/>
          <w:lang w:val="en-AU"/>
        </w:rPr>
        <w:t>“</w:t>
      </w:r>
      <w:r>
        <w:rPr>
          <w:rFonts w:ascii="Calibri" w:hAnsi="Calibri"/>
          <w:color w:val="000000"/>
          <w:lang w:val="en-AU"/>
        </w:rPr>
        <w:t>centre</w:t>
      </w:r>
      <w:r w:rsidR="00AF0868">
        <w:rPr>
          <w:rFonts w:ascii="Calibri" w:hAnsi="Calibri"/>
          <w:color w:val="000000"/>
          <w:lang w:val="en-AU"/>
        </w:rPr>
        <w:t>”</w:t>
      </w:r>
      <w:r w:rsidR="00DA552D">
        <w:rPr>
          <w:rFonts w:ascii="Calibri" w:hAnsi="Calibri"/>
          <w:color w:val="000000"/>
          <w:lang w:val="en-AU"/>
        </w:rPr>
        <w:t>, insert:</w:t>
      </w:r>
    </w:p>
    <w:p w:rsidR="003805EC" w:rsidRDefault="00AF0868" w:rsidP="00DA552D">
      <w:pPr>
        <w:spacing w:before="120"/>
        <w:ind w:left="720"/>
        <w:rPr>
          <w:rFonts w:ascii="Calibri" w:hAnsi="Calibri"/>
          <w:color w:val="000000"/>
          <w:lang w:val="en-AU"/>
        </w:rPr>
      </w:pPr>
      <w:r>
        <w:rPr>
          <w:rFonts w:ascii="Calibri" w:hAnsi="Calibri"/>
          <w:color w:val="000000"/>
          <w:lang w:val="en-AU"/>
        </w:rPr>
        <w:t>“</w:t>
      </w:r>
      <w:r w:rsidR="00A606B4">
        <w:rPr>
          <w:rFonts w:ascii="Calibri" w:hAnsi="Calibri"/>
          <w:color w:val="000000"/>
          <w:lang w:val="en-AU"/>
        </w:rPr>
        <w:t>e</w:t>
      </w:r>
      <w:r w:rsidR="003805EC">
        <w:rPr>
          <w:rFonts w:ascii="Calibri" w:hAnsi="Calibri"/>
          <w:color w:val="000000"/>
          <w:lang w:val="en-AU"/>
        </w:rPr>
        <w:t>nsuring that there are additional employment opportunities in Gungahlin by,</w:t>
      </w:r>
      <w:r>
        <w:rPr>
          <w:rFonts w:ascii="Calibri" w:hAnsi="Calibri"/>
          <w:color w:val="000000"/>
          <w:lang w:val="en-AU"/>
        </w:rPr>
        <w:t>”</w:t>
      </w:r>
    </w:p>
    <w:p w:rsidR="00266A8D" w:rsidRDefault="00266A8D" w:rsidP="00266A8D">
      <w:pPr>
        <w:spacing w:before="120"/>
        <w:ind w:left="720" w:right="-35"/>
        <w:rPr>
          <w:rFonts w:ascii="Calibri" w:hAnsi="Calibri"/>
          <w:color w:val="000000"/>
          <w:lang w:val="en-AU"/>
        </w:rPr>
      </w:pPr>
      <w:r>
        <w:rPr>
          <w:rFonts w:ascii="Calibri" w:hAnsi="Calibri"/>
          <w:color w:val="000000"/>
          <w:lang w:val="en-AU"/>
        </w:rPr>
        <w:t>Question—That the amendment</w:t>
      </w:r>
      <w:r w:rsidR="00ED7CF5">
        <w:rPr>
          <w:rFonts w:ascii="Calibri" w:hAnsi="Calibri"/>
          <w:color w:val="000000"/>
          <w:lang w:val="en-AU"/>
        </w:rPr>
        <w:t xml:space="preserve"> be agreed to—put and passed</w:t>
      </w:r>
      <w:r>
        <w:rPr>
          <w:rFonts w:ascii="Calibri" w:hAnsi="Calibri"/>
          <w:color w:val="000000"/>
          <w:lang w:val="en-AU"/>
        </w:rPr>
        <w:t>.</w:t>
      </w:r>
    </w:p>
    <w:p w:rsidR="00266A8D" w:rsidRDefault="00266A8D" w:rsidP="00266A8D">
      <w:pPr>
        <w:spacing w:before="120"/>
        <w:ind w:left="720" w:right="-35"/>
        <w:rPr>
          <w:rFonts w:ascii="Calibri" w:hAnsi="Calibri"/>
          <w:color w:val="000000"/>
          <w:lang w:val="en-AU"/>
        </w:rPr>
      </w:pPr>
      <w:r>
        <w:rPr>
          <w:rFonts w:ascii="Calibri" w:hAnsi="Calibri"/>
          <w:color w:val="000000"/>
          <w:lang w:val="en-AU"/>
        </w:rPr>
        <w:t>Debate continued.</w:t>
      </w:r>
    </w:p>
    <w:p w:rsidR="009D17C4" w:rsidRDefault="00F951D9" w:rsidP="009D17C4">
      <w:pPr>
        <w:spacing w:before="120"/>
        <w:ind w:left="720"/>
        <w:rPr>
          <w:rFonts w:ascii="Calibri" w:hAnsi="Calibri"/>
          <w:color w:val="000000"/>
          <w:lang w:val="en-AU"/>
        </w:rPr>
      </w:pPr>
      <w:r w:rsidRPr="00F951D9">
        <w:rPr>
          <w:rFonts w:ascii="Calibri" w:hAnsi="Calibri"/>
          <w:color w:val="000000"/>
          <w:lang w:val="en-AU"/>
        </w:rPr>
        <w:t>Question—</w:t>
      </w:r>
      <w:r w:rsidR="009D17C4">
        <w:rPr>
          <w:rFonts w:ascii="Calibri" w:hAnsi="Calibri"/>
          <w:color w:val="000000"/>
          <w:lang w:val="en-AU"/>
        </w:rPr>
        <w:t>That the motion, as amended, viz:</w:t>
      </w:r>
    </w:p>
    <w:p w:rsidR="006C620F" w:rsidRDefault="006C620F" w:rsidP="006C620F">
      <w:pPr>
        <w:spacing w:before="120"/>
        <w:rPr>
          <w:rFonts w:ascii="Calibri" w:hAnsi="Calibri"/>
          <w:color w:val="000000"/>
          <w:lang w:val="en-AU"/>
        </w:rPr>
      </w:pPr>
      <w:r>
        <w:rPr>
          <w:rFonts w:ascii="Calibri" w:hAnsi="Calibri"/>
          <w:color w:val="000000"/>
          <w:lang w:val="en-AU"/>
        </w:rPr>
        <w:tab/>
        <w:t>“That this Assembly:</w:t>
      </w:r>
    </w:p>
    <w:p w:rsidR="00A606B4" w:rsidRPr="001A1E8E" w:rsidRDefault="005D244E" w:rsidP="005D244E">
      <w:pPr>
        <w:pStyle w:val="DPSEntryIndents"/>
        <w:numPr>
          <w:ilvl w:val="0"/>
          <w:numId w:val="0"/>
        </w:numPr>
        <w:ind w:left="720"/>
        <w:rPr>
          <w:lang w:eastAsia="en-US"/>
        </w:rPr>
      </w:pPr>
      <w:r>
        <w:rPr>
          <w:lang w:eastAsia="en-US"/>
        </w:rPr>
        <w:t>(1)</w:t>
      </w:r>
      <w:r>
        <w:rPr>
          <w:lang w:eastAsia="en-US"/>
        </w:rPr>
        <w:tab/>
      </w:r>
      <w:r w:rsidR="00A606B4" w:rsidRPr="001A1E8E">
        <w:rPr>
          <w:lang w:eastAsia="en-US"/>
        </w:rPr>
        <w:t>notes that:</w:t>
      </w:r>
    </w:p>
    <w:p w:rsidR="00A606B4" w:rsidRPr="001A1E8E" w:rsidRDefault="00A606B4" w:rsidP="005D244E">
      <w:pPr>
        <w:pStyle w:val="DPSEntryIndents"/>
        <w:numPr>
          <w:ilvl w:val="1"/>
          <w:numId w:val="25"/>
        </w:numPr>
        <w:rPr>
          <w:lang w:eastAsia="en-US"/>
        </w:rPr>
      </w:pPr>
      <w:r w:rsidRPr="001A1E8E">
        <w:rPr>
          <w:lang w:eastAsia="en-US"/>
        </w:rPr>
        <w:t>the development of Gungahlin Town Centre is a matter of note to the residents of Gungahlin;</w:t>
      </w:r>
    </w:p>
    <w:p w:rsidR="00A606B4" w:rsidRPr="001A1E8E" w:rsidRDefault="00A606B4" w:rsidP="00A606B4">
      <w:pPr>
        <w:pStyle w:val="DPSEntryIndents"/>
        <w:numPr>
          <w:ilvl w:val="1"/>
          <w:numId w:val="3"/>
        </w:numPr>
        <w:rPr>
          <w:lang w:eastAsia="en-US"/>
        </w:rPr>
      </w:pPr>
      <w:r w:rsidRPr="001A1E8E">
        <w:rPr>
          <w:lang w:eastAsia="en-US"/>
        </w:rPr>
        <w:t>unlike other more established town centres, Gungahlin is relatively young and has been developed from its earliest days with the ambition of being a</w:t>
      </w:r>
      <w:r w:rsidR="00FA1C87">
        <w:rPr>
          <w:lang w:eastAsia="en-US"/>
        </w:rPr>
        <w:t xml:space="preserve"> genuine mixed-use precinct;</w:t>
      </w:r>
    </w:p>
    <w:p w:rsidR="00A606B4" w:rsidRDefault="00A606B4" w:rsidP="00A606B4">
      <w:pPr>
        <w:pStyle w:val="DPSEntryIndents"/>
        <w:numPr>
          <w:ilvl w:val="1"/>
          <w:numId w:val="3"/>
        </w:numPr>
        <w:rPr>
          <w:lang w:eastAsia="en-US"/>
        </w:rPr>
      </w:pPr>
      <w:r w:rsidRPr="001A1E8E">
        <w:rPr>
          <w:lang w:eastAsia="en-US"/>
        </w:rPr>
        <w:t>there is great opportunity to guide the remaining development of the town centre to ensure more recent learnings from practice in the ACT and other jurisdictions are applied to future developments; and</w:t>
      </w:r>
    </w:p>
    <w:p w:rsidR="00A606B4" w:rsidRPr="001A1E8E" w:rsidRDefault="00A606B4" w:rsidP="00A606B4">
      <w:pPr>
        <w:pStyle w:val="DPSEntryIndents"/>
        <w:numPr>
          <w:ilvl w:val="1"/>
          <w:numId w:val="3"/>
        </w:numPr>
        <w:rPr>
          <w:lang w:eastAsia="en-US"/>
        </w:rPr>
      </w:pPr>
      <w:r>
        <w:t>a</w:t>
      </w:r>
      <w:r w:rsidRPr="00F033A8">
        <w:t>ll parties in the Assembly during the 2020 election campaign committed to build a large community centre in the Gungahlin Town Centre</w:t>
      </w:r>
      <w:r>
        <w:t>;</w:t>
      </w:r>
      <w:r w:rsidR="00FA1C87">
        <w:t xml:space="preserve"> and</w:t>
      </w:r>
    </w:p>
    <w:p w:rsidR="00A606B4" w:rsidRPr="001A1E8E" w:rsidRDefault="00A606B4" w:rsidP="005D244E">
      <w:pPr>
        <w:pStyle w:val="DPSEntryIndents"/>
        <w:numPr>
          <w:ilvl w:val="0"/>
          <w:numId w:val="26"/>
        </w:numPr>
        <w:rPr>
          <w:lang w:eastAsia="en-US"/>
        </w:rPr>
      </w:pPr>
      <w:r w:rsidRPr="001A1E8E">
        <w:rPr>
          <w:lang w:eastAsia="en-US"/>
        </w:rPr>
        <w:t>calls on the ACT Government to support the further development of the Gungahlin region and town centre</w:t>
      </w:r>
      <w:r w:rsidR="00DD6AE8">
        <w:rPr>
          <w:lang w:eastAsia="en-US"/>
        </w:rPr>
        <w:t>,</w:t>
      </w:r>
      <w:r w:rsidRPr="005D244E">
        <w:rPr>
          <w:color w:val="000000"/>
        </w:rPr>
        <w:t xml:space="preserve"> ensuring that there are additional employment opportunities in Gungahlin</w:t>
      </w:r>
      <w:r w:rsidRPr="001A1E8E">
        <w:rPr>
          <w:lang w:eastAsia="en-US"/>
        </w:rPr>
        <w:t xml:space="preserve"> by:</w:t>
      </w:r>
    </w:p>
    <w:p w:rsidR="00A606B4" w:rsidRPr="001A1E8E" w:rsidRDefault="00A606B4" w:rsidP="00A606B4">
      <w:pPr>
        <w:pStyle w:val="DPSEntryIndents"/>
        <w:numPr>
          <w:ilvl w:val="1"/>
          <w:numId w:val="3"/>
        </w:numPr>
        <w:rPr>
          <w:lang w:eastAsia="en-US"/>
        </w:rPr>
      </w:pPr>
      <w:r w:rsidRPr="001A1E8E">
        <w:rPr>
          <w:lang w:eastAsia="en-US"/>
        </w:rPr>
        <w:t>implementing best practice mixed-use development through the planning framework, and allowing for:</w:t>
      </w:r>
    </w:p>
    <w:p w:rsidR="00A606B4" w:rsidRPr="001A1E8E" w:rsidRDefault="00A606B4" w:rsidP="00A606B4">
      <w:pPr>
        <w:pStyle w:val="DPSEntryIndents"/>
        <w:numPr>
          <w:ilvl w:val="2"/>
          <w:numId w:val="3"/>
        </w:numPr>
        <w:rPr>
          <w:lang w:eastAsia="en-US"/>
        </w:rPr>
      </w:pPr>
      <w:r w:rsidRPr="001A1E8E">
        <w:rPr>
          <w:lang w:eastAsia="en-US"/>
        </w:rPr>
        <w:t>specific requirements to achieve a balanced diversity of uses within mixed-use developments including community uses;</w:t>
      </w:r>
    </w:p>
    <w:p w:rsidR="00A606B4" w:rsidRPr="001A1E8E" w:rsidRDefault="00A606B4" w:rsidP="00A606B4">
      <w:pPr>
        <w:pStyle w:val="DPSEntryIndents"/>
        <w:numPr>
          <w:ilvl w:val="2"/>
          <w:numId w:val="3"/>
        </w:numPr>
        <w:rPr>
          <w:lang w:eastAsia="en-US"/>
        </w:rPr>
      </w:pPr>
      <w:r w:rsidRPr="001A1E8E">
        <w:rPr>
          <w:lang w:eastAsia="en-US"/>
        </w:rPr>
        <w:lastRenderedPageBreak/>
        <w:t>specific requirements to achieve a higher level of commercial and business uses and subsequent activity within mixed-use developments;</w:t>
      </w:r>
    </w:p>
    <w:p w:rsidR="00A606B4" w:rsidRPr="001A1E8E" w:rsidRDefault="00A606B4" w:rsidP="00A606B4">
      <w:pPr>
        <w:pStyle w:val="DPSEntryIndents"/>
        <w:numPr>
          <w:ilvl w:val="2"/>
          <w:numId w:val="3"/>
        </w:numPr>
        <w:rPr>
          <w:lang w:eastAsia="en-US"/>
        </w:rPr>
      </w:pPr>
      <w:r w:rsidRPr="001A1E8E">
        <w:rPr>
          <w:lang w:eastAsia="en-US"/>
        </w:rPr>
        <w:t>providing for requirements for commercial fitouts that enable the easy establishment of varied business and commercial activity without the need for significant modification or retrofitting;</w:t>
      </w:r>
    </w:p>
    <w:p w:rsidR="00A606B4" w:rsidRPr="001A1E8E" w:rsidRDefault="00A606B4" w:rsidP="00A606B4">
      <w:pPr>
        <w:pStyle w:val="DPSEntryIndents"/>
        <w:numPr>
          <w:ilvl w:val="2"/>
          <w:numId w:val="3"/>
        </w:numPr>
        <w:rPr>
          <w:lang w:eastAsia="en-US"/>
        </w:rPr>
      </w:pPr>
      <w:r w:rsidRPr="001A1E8E">
        <w:rPr>
          <w:lang w:eastAsia="en-US"/>
        </w:rPr>
        <w:t>clear design principles that link development activity with achieving active precincts and vibrant street level activity;</w:t>
      </w:r>
    </w:p>
    <w:p w:rsidR="00A606B4" w:rsidRDefault="00A606B4" w:rsidP="00A606B4">
      <w:pPr>
        <w:pStyle w:val="DPSEntryIndents"/>
        <w:numPr>
          <w:ilvl w:val="2"/>
          <w:numId w:val="3"/>
        </w:numPr>
        <w:rPr>
          <w:lang w:eastAsia="en-US"/>
        </w:rPr>
      </w:pPr>
      <w:r w:rsidRPr="001A1E8E">
        <w:rPr>
          <w:lang w:eastAsia="en-US"/>
        </w:rPr>
        <w:t>traffic flow around the town centre;</w:t>
      </w:r>
      <w:r w:rsidR="006F1671" w:rsidRPr="001A1E8E">
        <w:rPr>
          <w:lang w:eastAsia="en-US"/>
        </w:rPr>
        <w:t xml:space="preserve"> and</w:t>
      </w:r>
    </w:p>
    <w:p w:rsidR="00A606B4" w:rsidRPr="001A1E8E" w:rsidRDefault="00A606B4" w:rsidP="00A606B4">
      <w:pPr>
        <w:pStyle w:val="DPSEntryIndents"/>
        <w:numPr>
          <w:ilvl w:val="2"/>
          <w:numId w:val="3"/>
        </w:numPr>
        <w:rPr>
          <w:lang w:eastAsia="en-US"/>
        </w:rPr>
      </w:pPr>
      <w:r>
        <w:t>t</w:t>
      </w:r>
      <w:r w:rsidRPr="00F033A8">
        <w:t>he creation of an entertainment precinct so as to enable a night time economy without impacting residents</w:t>
      </w:r>
      <w:r>
        <w:t>;</w:t>
      </w:r>
    </w:p>
    <w:p w:rsidR="00A606B4" w:rsidRPr="001A1E8E" w:rsidRDefault="00A606B4" w:rsidP="00A606B4">
      <w:pPr>
        <w:pStyle w:val="DPSEntryIndents"/>
        <w:numPr>
          <w:ilvl w:val="1"/>
          <w:numId w:val="3"/>
        </w:numPr>
        <w:rPr>
          <w:lang w:eastAsia="en-US"/>
        </w:rPr>
      </w:pPr>
      <w:r w:rsidRPr="001A1E8E">
        <w:rPr>
          <w:lang w:eastAsia="en-US"/>
        </w:rPr>
        <w:t>ensuring current sales of development sites incorporate the requirements to support best practice mixed-use developments;</w:t>
      </w:r>
    </w:p>
    <w:p w:rsidR="00A606B4" w:rsidRPr="001A1E8E" w:rsidRDefault="00A606B4" w:rsidP="00A606B4">
      <w:pPr>
        <w:pStyle w:val="DPSEntryIndents"/>
        <w:numPr>
          <w:ilvl w:val="1"/>
          <w:numId w:val="3"/>
        </w:numPr>
        <w:rPr>
          <w:lang w:eastAsia="en-US"/>
        </w:rPr>
      </w:pPr>
      <w:r w:rsidRPr="001A1E8E">
        <w:rPr>
          <w:lang w:eastAsia="en-US"/>
        </w:rPr>
        <w:t>implementing best practice mixed-use developments processes and regulations that are used to inform Draft Variation 364 and the Territory Plan; and</w:t>
      </w:r>
    </w:p>
    <w:p w:rsidR="00A606B4" w:rsidRPr="00F951D9" w:rsidRDefault="00A606B4" w:rsidP="00A606B4">
      <w:pPr>
        <w:pStyle w:val="DPSEntryIndents"/>
        <w:numPr>
          <w:ilvl w:val="1"/>
          <w:numId w:val="3"/>
        </w:numPr>
        <w:rPr>
          <w:color w:val="000000"/>
        </w:rPr>
      </w:pPr>
      <w:r w:rsidRPr="001A1E8E">
        <w:rPr>
          <w:lang w:eastAsia="en-US"/>
        </w:rPr>
        <w:t>engage with the Gungahlin Town Centre community on mixed-use developments in their town centre.</w:t>
      </w:r>
      <w:r w:rsidR="00AF0868">
        <w:rPr>
          <w:lang w:eastAsia="en-US"/>
        </w:rPr>
        <w:t>”</w:t>
      </w:r>
      <w:r w:rsidR="005D244E">
        <w:rPr>
          <w:lang w:eastAsia="en-US"/>
        </w:rPr>
        <w:t>—</w:t>
      </w:r>
    </w:p>
    <w:p w:rsidR="00F951D9" w:rsidRPr="00F951D9" w:rsidRDefault="00F951D9" w:rsidP="009D17C4">
      <w:pPr>
        <w:spacing w:before="120"/>
        <w:ind w:left="720"/>
        <w:rPr>
          <w:rFonts w:ascii="Calibri" w:hAnsi="Calibri"/>
          <w:color w:val="000000"/>
          <w:lang w:val="en-AU"/>
        </w:rPr>
      </w:pPr>
      <w:r w:rsidRPr="00F951D9">
        <w:rPr>
          <w:rFonts w:ascii="Calibri" w:hAnsi="Calibri"/>
          <w:color w:val="000000"/>
          <w:lang w:val="en-AU"/>
        </w:rPr>
        <w:t>put and passed.</w:t>
      </w:r>
    </w:p>
    <w:p w:rsidR="00F73487" w:rsidRPr="00F73487" w:rsidRDefault="00F73487" w:rsidP="00F73487">
      <w:pPr>
        <w:keepNext/>
        <w:keepLines/>
        <w:tabs>
          <w:tab w:val="right" w:pos="339"/>
          <w:tab w:val="left" w:pos="720"/>
        </w:tabs>
        <w:spacing w:before="240"/>
        <w:ind w:left="720" w:hanging="720"/>
        <w:jc w:val="both"/>
        <w:rPr>
          <w:rFonts w:ascii="Calibri" w:hAnsi="Calibri"/>
          <w:b/>
          <w:caps/>
        </w:rPr>
      </w:pPr>
      <w:r w:rsidRPr="00F73487">
        <w:rPr>
          <w:rFonts w:ascii="Calibri" w:hAnsi="Calibri"/>
          <w:b/>
          <w:caps/>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9</w:t>
      </w:r>
      <w:r w:rsidR="00460C16">
        <w:rPr>
          <w:rFonts w:ascii="Calibri" w:hAnsi="Calibri"/>
          <w:b/>
          <w:bCs/>
          <w:caps/>
          <w:lang w:val="en-AU"/>
        </w:rPr>
        <w:fldChar w:fldCharType="end"/>
      </w:r>
      <w:r w:rsidRPr="00F73487">
        <w:rPr>
          <w:rFonts w:ascii="Calibri" w:hAnsi="Calibri"/>
          <w:b/>
          <w:caps/>
        </w:rPr>
        <w:tab/>
        <w:t>QUESTIONS</w:t>
      </w:r>
    </w:p>
    <w:p w:rsidR="00F73487" w:rsidRDefault="00F73487" w:rsidP="00F73487">
      <w:pPr>
        <w:spacing w:before="120"/>
        <w:ind w:left="720"/>
        <w:jc w:val="both"/>
        <w:rPr>
          <w:rFonts w:ascii="Calibri" w:hAnsi="Calibri"/>
          <w:lang w:val="en-AU"/>
        </w:rPr>
      </w:pPr>
      <w:r w:rsidRPr="00F73487">
        <w:rPr>
          <w:rFonts w:ascii="Calibri" w:hAnsi="Calibri"/>
          <w:lang w:val="en-AU"/>
        </w:rPr>
        <w:t>Questions without notice were asked.</w:t>
      </w:r>
    </w:p>
    <w:p w:rsidR="00180A56" w:rsidRPr="00180A56" w:rsidRDefault="00180A56" w:rsidP="00180A56">
      <w:pPr>
        <w:keepNext/>
        <w:keepLines/>
        <w:tabs>
          <w:tab w:val="right" w:pos="339"/>
          <w:tab w:val="left" w:pos="720"/>
        </w:tabs>
        <w:spacing w:before="240"/>
        <w:ind w:left="720" w:hanging="720"/>
        <w:jc w:val="both"/>
        <w:rPr>
          <w:rFonts w:ascii="Calibri" w:hAnsi="Calibri"/>
          <w:b/>
          <w:lang w:val="en-AU"/>
        </w:rPr>
      </w:pPr>
      <w:r w:rsidRPr="00180A56">
        <w:rPr>
          <w:rFonts w:ascii="Calibri" w:hAnsi="Calibri"/>
          <w:b/>
          <w:lang w:val="en-AU"/>
        </w:rPr>
        <w:tab/>
      </w:r>
      <w:r w:rsidR="00460C16">
        <w:rPr>
          <w:rFonts w:ascii="Calibri" w:hAnsi="Calibri"/>
          <w:b/>
          <w:bCs/>
          <w:lang w:val="en-AU"/>
        </w:rPr>
        <w:fldChar w:fldCharType="begin"/>
      </w:r>
      <w:r w:rsidR="00460C16">
        <w:rPr>
          <w:rFonts w:ascii="Calibri" w:hAnsi="Calibri"/>
          <w:b/>
          <w:bCs/>
          <w:lang w:val="en-AU"/>
        </w:rPr>
        <w:instrText xml:space="preserve"> SEQ A \* MERGEFORMAT </w:instrText>
      </w:r>
      <w:r w:rsidR="00460C16">
        <w:rPr>
          <w:rFonts w:ascii="Calibri" w:hAnsi="Calibri"/>
          <w:b/>
          <w:bCs/>
          <w:lang w:val="en-AU"/>
        </w:rPr>
        <w:fldChar w:fldCharType="separate"/>
      </w:r>
      <w:r w:rsidR="00AF0868">
        <w:rPr>
          <w:rFonts w:ascii="Calibri" w:hAnsi="Calibri"/>
          <w:b/>
          <w:bCs/>
          <w:noProof/>
          <w:lang w:val="en-AU"/>
        </w:rPr>
        <w:t>10</w:t>
      </w:r>
      <w:r w:rsidR="00460C16">
        <w:rPr>
          <w:rFonts w:ascii="Calibri" w:hAnsi="Calibri"/>
          <w:b/>
          <w:bCs/>
          <w:lang w:val="en-AU"/>
        </w:rPr>
        <w:fldChar w:fldCharType="end"/>
      </w:r>
      <w:r w:rsidRPr="00180A56">
        <w:rPr>
          <w:rFonts w:ascii="Calibri" w:hAnsi="Calibri"/>
          <w:b/>
          <w:lang w:val="en-AU"/>
        </w:rPr>
        <w:tab/>
        <w:t>PRESENTATION OF PAPER</w:t>
      </w:r>
    </w:p>
    <w:p w:rsidR="00180A56" w:rsidRPr="00180A56" w:rsidRDefault="00180A56" w:rsidP="00180A56">
      <w:pPr>
        <w:spacing w:before="120"/>
        <w:ind w:left="720"/>
        <w:jc w:val="both"/>
        <w:rPr>
          <w:rFonts w:ascii="Calibri" w:hAnsi="Calibri"/>
          <w:lang w:val="en-AU"/>
        </w:rPr>
      </w:pPr>
      <w:r>
        <w:rPr>
          <w:rFonts w:ascii="Calibri" w:hAnsi="Calibri"/>
          <w:lang w:val="en-AU"/>
        </w:rPr>
        <w:t>Ms Burch</w:t>
      </w:r>
      <w:r w:rsidRPr="00180A56">
        <w:rPr>
          <w:rFonts w:ascii="Calibri" w:hAnsi="Calibri"/>
          <w:lang w:val="en-AU"/>
        </w:rPr>
        <w:t xml:space="preserve"> (</w:t>
      </w:r>
      <w:r>
        <w:rPr>
          <w:rFonts w:ascii="Calibri" w:hAnsi="Calibri"/>
          <w:lang w:val="en-AU"/>
        </w:rPr>
        <w:t>Speaker</w:t>
      </w:r>
      <w:r w:rsidRPr="00180A56">
        <w:rPr>
          <w:rFonts w:ascii="Calibri" w:hAnsi="Calibri"/>
          <w:lang w:val="en-AU"/>
        </w:rPr>
        <w:t>) presented the following paper:</w:t>
      </w:r>
    </w:p>
    <w:p w:rsidR="00A80BD2" w:rsidRPr="00F73487" w:rsidRDefault="002360FF" w:rsidP="00F73487">
      <w:pPr>
        <w:spacing w:before="120"/>
        <w:ind w:left="720"/>
        <w:jc w:val="both"/>
        <w:rPr>
          <w:rFonts w:ascii="Calibri" w:hAnsi="Calibri"/>
          <w:lang w:val="en-AU"/>
        </w:rPr>
      </w:pPr>
      <w:r>
        <w:rPr>
          <w:rFonts w:ascii="Calibri" w:hAnsi="Calibri"/>
          <w:lang w:val="en-AU"/>
        </w:rPr>
        <w:t>Government Responses to Committees in the Ninth Assembly</w:t>
      </w:r>
      <w:r w:rsidR="00E81A56">
        <w:rPr>
          <w:rFonts w:ascii="Calibri" w:hAnsi="Calibri"/>
          <w:lang w:val="en-AU"/>
        </w:rPr>
        <w:t>—Schedule,</w:t>
      </w:r>
      <w:r w:rsidR="00180A56" w:rsidRPr="00180A56">
        <w:rPr>
          <w:rFonts w:ascii="Calibri" w:hAnsi="Calibri"/>
          <w:lang w:val="en-AU"/>
        </w:rPr>
        <w:t xml:space="preserve"> dated </w:t>
      </w:r>
      <w:r>
        <w:rPr>
          <w:rFonts w:ascii="Calibri" w:hAnsi="Calibri"/>
          <w:lang w:val="en-AU"/>
        </w:rPr>
        <w:t>8</w:t>
      </w:r>
      <w:r w:rsidR="006F1671">
        <w:rPr>
          <w:rFonts w:ascii="Calibri" w:hAnsi="Calibri"/>
          <w:lang w:val="en-AU"/>
        </w:rPr>
        <w:t> </w:t>
      </w:r>
      <w:r>
        <w:rPr>
          <w:rFonts w:ascii="Calibri" w:hAnsi="Calibri"/>
          <w:lang w:val="en-AU"/>
        </w:rPr>
        <w:t>February 2021</w:t>
      </w:r>
      <w:r w:rsidR="00180A56" w:rsidRPr="00180A56">
        <w:rPr>
          <w:rFonts w:ascii="Calibri" w:hAnsi="Calibri"/>
          <w:lang w:val="en-AU"/>
        </w:rPr>
        <w:t>.</w:t>
      </w:r>
    </w:p>
    <w:p w:rsidR="00F73487" w:rsidRPr="00F73487" w:rsidRDefault="00F73487" w:rsidP="00F73487">
      <w:pPr>
        <w:keepNext/>
        <w:keepLines/>
        <w:tabs>
          <w:tab w:val="right" w:pos="339"/>
          <w:tab w:val="left" w:pos="720"/>
        </w:tabs>
        <w:spacing w:before="240"/>
        <w:ind w:left="720" w:hanging="720"/>
        <w:rPr>
          <w:rFonts w:ascii="Calibri" w:hAnsi="Calibri"/>
          <w:b/>
          <w:caps/>
          <w:lang w:val="en-AU"/>
        </w:rPr>
      </w:pPr>
      <w:r w:rsidRPr="00F73487">
        <w:rPr>
          <w:rFonts w:ascii="Calibri" w:hAnsi="Calibri"/>
          <w:b/>
          <w:caps/>
          <w:lang w:val="en-AU"/>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11</w:t>
      </w:r>
      <w:r w:rsidR="00460C16">
        <w:rPr>
          <w:rFonts w:ascii="Calibri" w:hAnsi="Calibri"/>
          <w:b/>
          <w:bCs/>
          <w:caps/>
          <w:lang w:val="en-AU"/>
        </w:rPr>
        <w:fldChar w:fldCharType="end"/>
      </w:r>
      <w:r w:rsidRPr="00F73487">
        <w:rPr>
          <w:rFonts w:ascii="Calibri" w:hAnsi="Calibri"/>
          <w:b/>
          <w:caps/>
          <w:lang w:val="en-AU"/>
        </w:rPr>
        <w:tab/>
      </w:r>
      <w:r>
        <w:rPr>
          <w:rFonts w:ascii="Calibri" w:hAnsi="Calibri"/>
          <w:b/>
          <w:caps/>
          <w:lang w:val="en-AU"/>
        </w:rPr>
        <w:t>FInANCIAL LITERACY EDUCATION AND SCHOOL BANKING PROGRAMS</w:t>
      </w:r>
    </w:p>
    <w:p w:rsidR="00F73487" w:rsidRPr="00F73487" w:rsidRDefault="00F73487" w:rsidP="00F73487">
      <w:pPr>
        <w:spacing w:before="120"/>
        <w:ind w:left="720"/>
        <w:rPr>
          <w:rFonts w:ascii="Calibri" w:hAnsi="Calibri"/>
          <w:color w:val="000000"/>
          <w:lang w:val="en-AU"/>
        </w:rPr>
      </w:pPr>
      <w:r>
        <w:rPr>
          <w:rFonts w:ascii="Calibri" w:hAnsi="Calibri"/>
          <w:color w:val="000000"/>
          <w:lang w:val="en-AU"/>
        </w:rPr>
        <w:t>Mr Davis</w:t>
      </w:r>
      <w:r w:rsidRPr="00F73487">
        <w:rPr>
          <w:rFonts w:ascii="Calibri" w:hAnsi="Calibri"/>
          <w:color w:val="000000"/>
          <w:lang w:val="en-AU"/>
        </w:rPr>
        <w:t>, pursuant to notice, moved—That this Assembly:</w:t>
      </w:r>
    </w:p>
    <w:p w:rsidR="006168DF" w:rsidRPr="001A1E8E" w:rsidRDefault="006168DF" w:rsidP="006168DF">
      <w:pPr>
        <w:pStyle w:val="DPSEntryIndents"/>
        <w:numPr>
          <w:ilvl w:val="0"/>
          <w:numId w:val="21"/>
        </w:numPr>
        <w:rPr>
          <w:lang w:eastAsia="en-US"/>
        </w:rPr>
      </w:pPr>
      <w:r w:rsidRPr="001A1E8E">
        <w:rPr>
          <w:lang w:eastAsia="en-US"/>
        </w:rPr>
        <w:t>acknowledges that:</w:t>
      </w:r>
    </w:p>
    <w:p w:rsidR="006168DF" w:rsidRPr="001A1E8E" w:rsidRDefault="006168DF" w:rsidP="006168DF">
      <w:pPr>
        <w:pStyle w:val="DPSEntryIndents"/>
        <w:numPr>
          <w:ilvl w:val="1"/>
          <w:numId w:val="3"/>
        </w:numPr>
        <w:rPr>
          <w:lang w:eastAsia="en-US"/>
        </w:rPr>
      </w:pPr>
      <w:r w:rsidRPr="001A1E8E">
        <w:rPr>
          <w:lang w:eastAsia="en-US"/>
        </w:rPr>
        <w:t>the ACT Government has been consulting with students, the Australian Education Union, the ACT Council of Parents and Citizens Association, and the ACT Principals</w:t>
      </w:r>
      <w:r w:rsidR="00AF0868">
        <w:rPr>
          <w:lang w:eastAsia="en-US"/>
        </w:rPr>
        <w:t>’</w:t>
      </w:r>
      <w:r w:rsidRPr="001A1E8E">
        <w:rPr>
          <w:lang w:eastAsia="en-US"/>
        </w:rPr>
        <w:t xml:space="preserve"> Association on the provision of financial literacy education in public schools and the implications of the Financial Services Royal Commission and the Australian Securities and Investments Commission (ASIC) recent report on their review into school banking programs;</w:t>
      </w:r>
    </w:p>
    <w:p w:rsidR="006168DF" w:rsidRPr="001A1E8E" w:rsidRDefault="006168DF" w:rsidP="006168DF">
      <w:pPr>
        <w:pStyle w:val="DPSEntryIndents"/>
        <w:numPr>
          <w:ilvl w:val="1"/>
          <w:numId w:val="3"/>
        </w:numPr>
        <w:rPr>
          <w:lang w:eastAsia="en-US"/>
        </w:rPr>
      </w:pPr>
      <w:r w:rsidRPr="001A1E8E">
        <w:rPr>
          <w:lang w:eastAsia="en-US"/>
        </w:rPr>
        <w:lastRenderedPageBreak/>
        <w:t>ACT public schools already utilise ASIC</w:t>
      </w:r>
      <w:r w:rsidR="00AF0868">
        <w:rPr>
          <w:lang w:eastAsia="en-US"/>
        </w:rPr>
        <w:t>’</w:t>
      </w:r>
      <w:r w:rsidRPr="001A1E8E">
        <w:rPr>
          <w:lang w:eastAsia="en-US"/>
        </w:rPr>
        <w:t>s MoneySmart program, including curriculum resources, lesson plans and professional learning, which are highly valued by teachers; and</w:t>
      </w:r>
    </w:p>
    <w:p w:rsidR="006168DF" w:rsidRPr="001A1E8E" w:rsidRDefault="006168DF" w:rsidP="006168DF">
      <w:pPr>
        <w:pStyle w:val="DPSEntryIndents"/>
        <w:numPr>
          <w:ilvl w:val="1"/>
          <w:numId w:val="3"/>
        </w:numPr>
        <w:rPr>
          <w:lang w:eastAsia="en-US"/>
        </w:rPr>
      </w:pPr>
      <w:r w:rsidRPr="001A1E8E">
        <w:rPr>
          <w:lang w:eastAsia="en-US"/>
        </w:rPr>
        <w:t>the ACT Government has been collaborating with ASIC to ensure students have access to best-practice financial literacy education;</w:t>
      </w:r>
    </w:p>
    <w:p w:rsidR="006168DF" w:rsidRPr="001A1E8E" w:rsidRDefault="006168DF" w:rsidP="006168DF">
      <w:pPr>
        <w:pStyle w:val="DPSEntryIndents"/>
        <w:rPr>
          <w:lang w:eastAsia="en-US"/>
        </w:rPr>
      </w:pPr>
      <w:r w:rsidRPr="001A1E8E">
        <w:rPr>
          <w:lang w:eastAsia="en-US"/>
        </w:rPr>
        <w:t xml:space="preserve">notes the December 2020 release of </w:t>
      </w:r>
      <w:hyperlink r:id="rId10" w:history="1">
        <w:r w:rsidRPr="001A1E8E">
          <w:rPr>
            <w:lang w:eastAsia="en-US"/>
          </w:rPr>
          <w:t>the ASIC report</w:t>
        </w:r>
      </w:hyperlink>
      <w:r w:rsidRPr="001A1E8E">
        <w:rPr>
          <w:lang w:eastAsia="en-US"/>
        </w:rPr>
        <w:t xml:space="preserve"> on its review into school banking programs, finding that:</w:t>
      </w:r>
    </w:p>
    <w:p w:rsidR="006168DF" w:rsidRPr="001A1E8E" w:rsidRDefault="006168DF" w:rsidP="006168DF">
      <w:pPr>
        <w:pStyle w:val="DPSEntryIndents"/>
        <w:numPr>
          <w:ilvl w:val="1"/>
          <w:numId w:val="3"/>
        </w:numPr>
        <w:rPr>
          <w:lang w:eastAsia="en-US"/>
        </w:rPr>
      </w:pPr>
      <w:r w:rsidRPr="001A1E8E">
        <w:rPr>
          <w:lang w:eastAsia="en-US"/>
        </w:rPr>
        <w:t>school banking programs are used as a key strategic tool by banks and financial institutions to market their products to young children;</w:t>
      </w:r>
    </w:p>
    <w:p w:rsidR="006168DF" w:rsidRPr="001A1E8E" w:rsidRDefault="006168DF" w:rsidP="006168DF">
      <w:pPr>
        <w:pStyle w:val="DPSEntryIndents"/>
        <w:numPr>
          <w:ilvl w:val="1"/>
          <w:numId w:val="3"/>
        </w:numPr>
        <w:rPr>
          <w:lang w:eastAsia="en-US"/>
        </w:rPr>
      </w:pPr>
      <w:r w:rsidRPr="001A1E8E">
        <w:rPr>
          <w:lang w:eastAsia="en-US"/>
        </w:rPr>
        <w:t>there is no evidence that school banking programs improve the financial literacy or savings habits of children;</w:t>
      </w:r>
    </w:p>
    <w:p w:rsidR="006168DF" w:rsidRPr="001A1E8E" w:rsidRDefault="006168DF" w:rsidP="006168DF">
      <w:pPr>
        <w:pStyle w:val="DPSEntryIndents"/>
        <w:numPr>
          <w:ilvl w:val="1"/>
          <w:numId w:val="3"/>
        </w:numPr>
        <w:rPr>
          <w:lang w:eastAsia="en-US"/>
        </w:rPr>
      </w:pPr>
      <w:r w:rsidRPr="001A1E8E">
        <w:rPr>
          <w:lang w:eastAsia="en-US"/>
        </w:rPr>
        <w:t>banks and financial institutions use sophisticated marketing techniques through their school banking programs to target young children who are vulnerable consumers; and</w:t>
      </w:r>
    </w:p>
    <w:p w:rsidR="006168DF" w:rsidRPr="001A1E8E" w:rsidRDefault="006168DF" w:rsidP="006168DF">
      <w:pPr>
        <w:pStyle w:val="DPSEntryIndents"/>
        <w:numPr>
          <w:ilvl w:val="1"/>
          <w:numId w:val="3"/>
        </w:numPr>
        <w:rPr>
          <w:lang w:eastAsia="en-US"/>
        </w:rPr>
      </w:pPr>
      <w:r w:rsidRPr="001A1E8E">
        <w:rPr>
          <w:lang w:eastAsia="en-US"/>
        </w:rPr>
        <w:t>banks and financial institutions make payments to schools to encourage them to get students to participate in school banking programs and in return use school resources and volunteers to market their products to their students;</w:t>
      </w:r>
    </w:p>
    <w:p w:rsidR="006168DF" w:rsidRPr="001A1E8E" w:rsidRDefault="006168DF" w:rsidP="006168DF">
      <w:pPr>
        <w:pStyle w:val="DPSEntryIndents"/>
        <w:rPr>
          <w:lang w:eastAsia="en-US"/>
        </w:rPr>
      </w:pPr>
      <w:r w:rsidRPr="001A1E8E">
        <w:rPr>
          <w:lang w:eastAsia="en-US"/>
        </w:rPr>
        <w:t>further notes that:</w:t>
      </w:r>
    </w:p>
    <w:p w:rsidR="006168DF" w:rsidRPr="001A1E8E" w:rsidRDefault="006168DF" w:rsidP="006168DF">
      <w:pPr>
        <w:pStyle w:val="DPSEntryIndents"/>
        <w:numPr>
          <w:ilvl w:val="1"/>
          <w:numId w:val="3"/>
        </w:numPr>
        <w:rPr>
          <w:lang w:eastAsia="en-US"/>
        </w:rPr>
      </w:pPr>
      <w:r w:rsidRPr="001A1E8E">
        <w:rPr>
          <w:lang w:eastAsia="en-US"/>
        </w:rPr>
        <w:t>during the Future of Education consultations where the ACT Government heard from over 5</w:t>
      </w:r>
      <w:r w:rsidR="006C61F9">
        <w:rPr>
          <w:lang w:eastAsia="en-US"/>
        </w:rPr>
        <w:t xml:space="preserve"> </w:t>
      </w:r>
      <w:r w:rsidRPr="001A1E8E">
        <w:rPr>
          <w:lang w:eastAsia="en-US"/>
        </w:rPr>
        <w:t>000 community members, students said that they want to learn real life skills, including financial skills;</w:t>
      </w:r>
    </w:p>
    <w:p w:rsidR="006168DF" w:rsidRPr="001A1E8E" w:rsidRDefault="006168DF" w:rsidP="006168DF">
      <w:pPr>
        <w:pStyle w:val="DPSEntryIndents"/>
        <w:numPr>
          <w:ilvl w:val="1"/>
          <w:numId w:val="3"/>
        </w:numPr>
        <w:rPr>
          <w:lang w:eastAsia="en-US"/>
        </w:rPr>
      </w:pPr>
      <w:r w:rsidRPr="001A1E8E">
        <w:rPr>
          <w:lang w:eastAsia="en-US"/>
        </w:rPr>
        <w:t>building financial literacy from childhood is important for long-term social and economic stability and equality;</w:t>
      </w:r>
    </w:p>
    <w:p w:rsidR="006168DF" w:rsidRPr="001A1E8E" w:rsidRDefault="006168DF" w:rsidP="006168DF">
      <w:pPr>
        <w:pStyle w:val="DPSEntryIndents"/>
        <w:numPr>
          <w:ilvl w:val="1"/>
          <w:numId w:val="3"/>
        </w:numPr>
        <w:rPr>
          <w:lang w:eastAsia="en-US"/>
        </w:rPr>
      </w:pPr>
      <w:r w:rsidRPr="001A1E8E">
        <w:rPr>
          <w:lang w:eastAsia="en-US"/>
        </w:rPr>
        <w:t>the Foundation to Year 10 Australian Curriculum provides for financial literacy education; and</w:t>
      </w:r>
    </w:p>
    <w:p w:rsidR="006168DF" w:rsidRPr="001A1E8E" w:rsidRDefault="003E316B" w:rsidP="006168DF">
      <w:pPr>
        <w:pStyle w:val="DPSEntryIndents"/>
        <w:numPr>
          <w:ilvl w:val="1"/>
          <w:numId w:val="3"/>
        </w:numPr>
        <w:rPr>
          <w:lang w:eastAsia="en-US"/>
        </w:rPr>
      </w:pPr>
      <w:hyperlink r:id="rId11" w:history="1">
        <w:r w:rsidR="006168DF" w:rsidRPr="001A1E8E">
          <w:rPr>
            <w:lang w:eastAsia="en-US"/>
          </w:rPr>
          <w:t>MoneySmart</w:t>
        </w:r>
      </w:hyperlink>
      <w:r w:rsidR="006168DF" w:rsidRPr="001A1E8E">
        <w:rPr>
          <w:lang w:eastAsia="en-US"/>
        </w:rPr>
        <w:t xml:space="preserve"> and the </w:t>
      </w:r>
      <w:hyperlink r:id="rId12" w:history="1">
        <w:r w:rsidR="006168DF" w:rsidRPr="001A1E8E">
          <w:rPr>
            <w:lang w:eastAsia="en-US"/>
          </w:rPr>
          <w:t>Australian Curriculum, Assessment and Report Authority</w:t>
        </w:r>
      </w:hyperlink>
      <w:r w:rsidR="006168DF" w:rsidRPr="001A1E8E">
        <w:rPr>
          <w:lang w:eastAsia="en-US"/>
        </w:rPr>
        <w:t xml:space="preserve"> have both developed comprehensive financial education resources for teachers to implement the Australian Curriculum without the need for banking and financial institutions to run school banking; and</w:t>
      </w:r>
    </w:p>
    <w:p w:rsidR="006168DF" w:rsidRPr="001A1E8E" w:rsidRDefault="006168DF" w:rsidP="006168DF">
      <w:pPr>
        <w:pStyle w:val="DPSEntryIndents"/>
        <w:rPr>
          <w:lang w:eastAsia="en-US"/>
        </w:rPr>
      </w:pPr>
      <w:r w:rsidRPr="001A1E8E">
        <w:rPr>
          <w:lang w:eastAsia="en-US"/>
        </w:rPr>
        <w:t>calls on the ACT Government to:</w:t>
      </w:r>
    </w:p>
    <w:p w:rsidR="006168DF" w:rsidRPr="001A1E8E" w:rsidRDefault="006168DF" w:rsidP="006168DF">
      <w:pPr>
        <w:pStyle w:val="DPSEntryIndents"/>
        <w:numPr>
          <w:ilvl w:val="1"/>
          <w:numId w:val="3"/>
        </w:numPr>
        <w:rPr>
          <w:lang w:eastAsia="en-US"/>
        </w:rPr>
      </w:pPr>
      <w:r w:rsidRPr="001A1E8E">
        <w:rPr>
          <w:lang w:eastAsia="en-US"/>
        </w:rPr>
        <w:t>continue to work with students, the ACT Council of Parents and Citizens Association, the Australian Education Union ACT Branch, and the ACT Principals</w:t>
      </w:r>
      <w:r w:rsidR="00AF0868">
        <w:rPr>
          <w:lang w:eastAsia="en-US"/>
        </w:rPr>
        <w:t>’</w:t>
      </w:r>
      <w:r w:rsidRPr="001A1E8E">
        <w:rPr>
          <w:lang w:eastAsia="en-US"/>
        </w:rPr>
        <w:t xml:space="preserve"> Association to develop a plan to deliver quality financial literacy education in public schools; and</w:t>
      </w:r>
    </w:p>
    <w:p w:rsidR="00F73487" w:rsidRPr="00F73487" w:rsidRDefault="006168DF" w:rsidP="006168DF">
      <w:pPr>
        <w:pStyle w:val="DPSEntryIndents"/>
        <w:numPr>
          <w:ilvl w:val="1"/>
          <w:numId w:val="3"/>
        </w:numPr>
        <w:rPr>
          <w:color w:val="000000"/>
        </w:rPr>
      </w:pPr>
      <w:r w:rsidRPr="001A1E8E">
        <w:rPr>
          <w:lang w:eastAsia="en-US"/>
        </w:rPr>
        <w:t>transition away from banks and financial institutions delivering school banking programs in ACT Government schools by the end of the 2020</w:t>
      </w:r>
      <w:r w:rsidR="006C61F9">
        <w:rPr>
          <w:lang w:eastAsia="en-US"/>
        </w:rPr>
        <w:noBreakHyphen/>
      </w:r>
      <w:r w:rsidRPr="001A1E8E">
        <w:rPr>
          <w:lang w:eastAsia="en-US"/>
        </w:rPr>
        <w:t>2021 financial year.</w:t>
      </w:r>
    </w:p>
    <w:p w:rsidR="00F73487" w:rsidRDefault="00F73487" w:rsidP="00F73487">
      <w:pPr>
        <w:spacing w:before="120"/>
        <w:ind w:left="720" w:right="-35"/>
        <w:rPr>
          <w:rFonts w:ascii="Calibri" w:hAnsi="Calibri"/>
          <w:color w:val="000000"/>
          <w:lang w:val="en-AU"/>
        </w:rPr>
      </w:pPr>
      <w:r w:rsidRPr="00F73487">
        <w:rPr>
          <w:rFonts w:ascii="Calibri" w:hAnsi="Calibri"/>
          <w:color w:val="000000"/>
          <w:lang w:val="en-AU"/>
        </w:rPr>
        <w:t>Debate ensued.</w:t>
      </w:r>
    </w:p>
    <w:p w:rsidR="001C38E5" w:rsidRDefault="001C38E5" w:rsidP="00F73487">
      <w:pPr>
        <w:spacing w:before="120"/>
        <w:ind w:left="720" w:right="-35"/>
        <w:rPr>
          <w:rFonts w:ascii="Calibri" w:hAnsi="Calibri"/>
          <w:color w:val="000000"/>
          <w:lang w:val="en-AU"/>
        </w:rPr>
      </w:pPr>
      <w:r>
        <w:rPr>
          <w:rFonts w:ascii="Calibri" w:hAnsi="Calibri"/>
          <w:color w:val="000000"/>
          <w:lang w:val="en-AU"/>
        </w:rPr>
        <w:t>Mr Hanson moved the following amendment:</w:t>
      </w:r>
    </w:p>
    <w:p w:rsidR="001C38E5" w:rsidRDefault="004E25A9" w:rsidP="00F73487">
      <w:pPr>
        <w:spacing w:before="120"/>
        <w:ind w:left="720" w:right="-35"/>
        <w:rPr>
          <w:rFonts w:ascii="Calibri" w:hAnsi="Calibri"/>
          <w:color w:val="000000"/>
          <w:lang w:val="en-AU"/>
        </w:rPr>
      </w:pPr>
      <w:r>
        <w:rPr>
          <w:rFonts w:ascii="Calibri" w:hAnsi="Calibri"/>
          <w:color w:val="000000"/>
          <w:lang w:val="en-AU"/>
        </w:rPr>
        <w:lastRenderedPageBreak/>
        <w:t>Omit</w:t>
      </w:r>
      <w:r w:rsidR="003D71AA">
        <w:rPr>
          <w:rFonts w:ascii="Calibri" w:hAnsi="Calibri"/>
          <w:color w:val="000000"/>
          <w:lang w:val="en-AU"/>
        </w:rPr>
        <w:t xml:space="preserve"> everything after paragraph (4)</w:t>
      </w:r>
      <w:r w:rsidR="001A039F">
        <w:rPr>
          <w:rFonts w:ascii="Calibri" w:hAnsi="Calibri"/>
          <w:color w:val="000000"/>
          <w:lang w:val="en-AU"/>
        </w:rPr>
        <w:t>(a) and insert:</w:t>
      </w:r>
    </w:p>
    <w:p w:rsidR="001A039F" w:rsidRDefault="006C61F9" w:rsidP="006C61F9">
      <w:pPr>
        <w:pStyle w:val="DPSEntryIndentsLev2"/>
        <w:numPr>
          <w:ilvl w:val="0"/>
          <w:numId w:val="0"/>
        </w:numPr>
        <w:ind w:left="1915" w:hanging="655"/>
      </w:pPr>
      <w:r>
        <w:t>“</w:t>
      </w:r>
      <w:r w:rsidR="001A039F">
        <w:t>(b)</w:t>
      </w:r>
      <w:r w:rsidR="000A6740">
        <w:tab/>
      </w:r>
      <w:r w:rsidR="001A039F">
        <w:t>transition away from banks and financial institutions delivering school banking programs in ACT Government schools by the end of the 2022 school year; and</w:t>
      </w:r>
    </w:p>
    <w:p w:rsidR="001A039F" w:rsidRDefault="001A039F" w:rsidP="000A6740">
      <w:pPr>
        <w:pStyle w:val="DPSEntryIndentsLev2"/>
        <w:numPr>
          <w:ilvl w:val="0"/>
          <w:numId w:val="0"/>
        </w:numPr>
        <w:ind w:left="1915" w:hanging="547"/>
      </w:pPr>
      <w:r>
        <w:t>(c)</w:t>
      </w:r>
      <w:r w:rsidR="000A6740">
        <w:tab/>
      </w:r>
      <w:r>
        <w:t>provide financial or other in-kind support to Parents and Citizens Associations and schools for any external funding lost by a transition away from financial institutions providing school banking services.</w:t>
      </w:r>
      <w:r w:rsidR="006C61F9">
        <w:t>”</w:t>
      </w:r>
    </w:p>
    <w:p w:rsidR="001C38E5" w:rsidRDefault="001C38E5" w:rsidP="00F73487">
      <w:pPr>
        <w:spacing w:before="120"/>
        <w:ind w:left="720" w:right="-35"/>
        <w:rPr>
          <w:rFonts w:ascii="Calibri" w:hAnsi="Calibri"/>
          <w:color w:val="000000"/>
          <w:lang w:val="en-AU"/>
        </w:rPr>
      </w:pPr>
      <w:r>
        <w:rPr>
          <w:rFonts w:ascii="Calibri" w:hAnsi="Calibri"/>
          <w:color w:val="000000"/>
          <w:lang w:val="en-AU"/>
        </w:rPr>
        <w:t xml:space="preserve">Debate </w:t>
      </w:r>
      <w:r w:rsidR="00856CFC">
        <w:rPr>
          <w:rFonts w:ascii="Calibri" w:hAnsi="Calibri"/>
          <w:color w:val="000000"/>
          <w:lang w:val="en-AU"/>
        </w:rPr>
        <w:t>continued.</w:t>
      </w:r>
    </w:p>
    <w:p w:rsidR="001C38E5" w:rsidRDefault="001C38E5" w:rsidP="00F73487">
      <w:pPr>
        <w:spacing w:before="120"/>
        <w:ind w:left="720" w:right="-35"/>
        <w:rPr>
          <w:rFonts w:ascii="Calibri" w:hAnsi="Calibri"/>
          <w:color w:val="000000"/>
          <w:lang w:val="en-AU"/>
        </w:rPr>
      </w:pPr>
      <w:r>
        <w:rPr>
          <w:rFonts w:ascii="Calibri" w:hAnsi="Calibri"/>
          <w:color w:val="000000"/>
          <w:lang w:val="en-AU"/>
        </w:rPr>
        <w:t>Question—</w:t>
      </w:r>
      <w:r w:rsidR="004F1B5D">
        <w:rPr>
          <w:rFonts w:ascii="Calibri" w:hAnsi="Calibri"/>
          <w:color w:val="000000"/>
          <w:lang w:val="en-AU"/>
        </w:rPr>
        <w:t>T</w:t>
      </w:r>
      <w:r>
        <w:rPr>
          <w:rFonts w:ascii="Calibri" w:hAnsi="Calibri"/>
          <w:color w:val="000000"/>
          <w:lang w:val="en-AU"/>
        </w:rPr>
        <w:t>hat the amendment be agreed to—put.</w:t>
      </w:r>
    </w:p>
    <w:p w:rsidR="00535985" w:rsidRDefault="00535985" w:rsidP="00535985">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26" w:type="dxa"/>
        <w:tblLayout w:type="fixed"/>
        <w:tblCellMar>
          <w:left w:w="720" w:type="dxa"/>
          <w:right w:w="56" w:type="dxa"/>
        </w:tblCellMar>
        <w:tblLook w:val="0000" w:firstRow="0" w:lastRow="0" w:firstColumn="0" w:lastColumn="0" w:noHBand="0" w:noVBand="0"/>
      </w:tblPr>
      <w:tblGrid>
        <w:gridCol w:w="1998"/>
        <w:gridCol w:w="1872"/>
        <w:gridCol w:w="796"/>
        <w:gridCol w:w="2264"/>
        <w:gridCol w:w="1998"/>
        <w:gridCol w:w="698"/>
      </w:tblGrid>
      <w:tr w:rsidR="00535985" w:rsidRPr="00103204" w:rsidTr="00535985">
        <w:trPr>
          <w:gridAfter w:val="1"/>
          <w:wAfter w:w="698" w:type="dxa"/>
        </w:trPr>
        <w:tc>
          <w:tcPr>
            <w:tcW w:w="3870" w:type="dxa"/>
            <w:gridSpan w:val="2"/>
            <w:shd w:val="clear" w:color="auto" w:fill="auto"/>
          </w:tcPr>
          <w:p w:rsidR="00535985" w:rsidRPr="00535985" w:rsidRDefault="00535985" w:rsidP="004F1B5D">
            <w:pPr>
              <w:keepNext/>
              <w:tabs>
                <w:tab w:val="center" w:pos="1644"/>
              </w:tabs>
              <w:spacing w:before="120"/>
              <w:rPr>
                <w:rFonts w:ascii="Calibri" w:hAnsi="Calibri"/>
                <w:iCs/>
                <w:lang w:val="en-AU"/>
              </w:rPr>
            </w:pPr>
            <w:r w:rsidRPr="00535985">
              <w:rPr>
                <w:rFonts w:ascii="Calibri" w:hAnsi="Calibri"/>
                <w:iCs/>
                <w:lang w:val="en-AU"/>
              </w:rPr>
              <w:tab/>
              <w:t>AYES, 9</w:t>
            </w:r>
          </w:p>
        </w:tc>
        <w:tc>
          <w:tcPr>
            <w:tcW w:w="796" w:type="dxa"/>
            <w:shd w:val="clear" w:color="auto" w:fill="auto"/>
          </w:tcPr>
          <w:p w:rsidR="00535985" w:rsidRPr="00535985" w:rsidRDefault="00535985" w:rsidP="004F1B5D">
            <w:pPr>
              <w:keepNext/>
              <w:tabs>
                <w:tab w:val="center" w:pos="1644"/>
              </w:tabs>
              <w:spacing w:before="120"/>
              <w:rPr>
                <w:rFonts w:ascii="Calibri" w:hAnsi="Calibri"/>
                <w:iCs/>
                <w:lang w:val="en-AU"/>
              </w:rPr>
            </w:pPr>
          </w:p>
        </w:tc>
        <w:tc>
          <w:tcPr>
            <w:tcW w:w="4262" w:type="dxa"/>
            <w:gridSpan w:val="2"/>
            <w:shd w:val="clear" w:color="auto" w:fill="auto"/>
          </w:tcPr>
          <w:p w:rsidR="00535985" w:rsidRPr="00535985" w:rsidRDefault="00535985" w:rsidP="004F1B5D">
            <w:pPr>
              <w:keepNext/>
              <w:tabs>
                <w:tab w:val="center" w:pos="1644"/>
              </w:tabs>
              <w:spacing w:before="120"/>
              <w:rPr>
                <w:rFonts w:ascii="Calibri" w:hAnsi="Calibri"/>
                <w:iCs/>
                <w:lang w:val="en-AU"/>
              </w:rPr>
            </w:pPr>
            <w:r w:rsidRPr="00535985">
              <w:rPr>
                <w:rFonts w:ascii="Calibri" w:hAnsi="Calibri"/>
                <w:iCs/>
                <w:lang w:val="en-AU"/>
              </w:rPr>
              <w:tab/>
              <w:t>NOES, 15</w:t>
            </w:r>
          </w:p>
        </w:tc>
      </w:tr>
      <w:tr w:rsidR="00535985" w:rsidTr="00535985">
        <w:trPr>
          <w:trHeight w:hRule="exact" w:val="312"/>
        </w:trPr>
        <w:tc>
          <w:tcPr>
            <w:tcW w:w="1998" w:type="dxa"/>
            <w:shd w:val="clear" w:color="auto" w:fill="auto"/>
          </w:tcPr>
          <w:p w:rsidR="00535985" w:rsidRPr="00535985" w:rsidRDefault="00535985" w:rsidP="004F1B5D">
            <w:pPr>
              <w:keepNext/>
              <w:rPr>
                <w:rFonts w:ascii="Calibri" w:hAnsi="Calibri"/>
                <w:iCs/>
                <w:lang w:val="en-AU"/>
              </w:rPr>
            </w:pPr>
            <w:r w:rsidRPr="00535985">
              <w:rPr>
                <w:rFonts w:ascii="Calibri" w:hAnsi="Calibri"/>
                <w:iCs/>
                <w:lang w:val="en-AU"/>
              </w:rPr>
              <w:t>Mr Cain</w:t>
            </w:r>
          </w:p>
        </w:tc>
        <w:tc>
          <w:tcPr>
            <w:tcW w:w="1872" w:type="dxa"/>
            <w:shd w:val="clear" w:color="auto" w:fill="auto"/>
          </w:tcPr>
          <w:p w:rsidR="00535985" w:rsidRPr="00535985" w:rsidRDefault="00535985" w:rsidP="004F1B5D">
            <w:pPr>
              <w:keepNext/>
              <w:rPr>
                <w:rFonts w:ascii="Calibri" w:hAnsi="Calibri"/>
                <w:iCs/>
                <w:lang w:val="en-AU"/>
              </w:rPr>
            </w:pPr>
            <w:r w:rsidRPr="00535985">
              <w:rPr>
                <w:rFonts w:ascii="Calibri" w:hAnsi="Calibri"/>
                <w:iCs/>
                <w:lang w:val="en-AU"/>
              </w:rPr>
              <w:t>Mr Parton</w:t>
            </w:r>
          </w:p>
        </w:tc>
        <w:tc>
          <w:tcPr>
            <w:tcW w:w="796" w:type="dxa"/>
            <w:shd w:val="clear" w:color="auto" w:fill="auto"/>
          </w:tcPr>
          <w:p w:rsidR="00535985" w:rsidRPr="00535985" w:rsidRDefault="00535985" w:rsidP="004F1B5D">
            <w:pPr>
              <w:keepNext/>
              <w:spacing w:before="120"/>
              <w:rPr>
                <w:rFonts w:ascii="Calibri" w:hAnsi="Calibri"/>
                <w:iCs/>
                <w:lang w:val="en-AU"/>
              </w:rPr>
            </w:pPr>
          </w:p>
        </w:tc>
        <w:tc>
          <w:tcPr>
            <w:tcW w:w="2264" w:type="dxa"/>
            <w:shd w:val="clear" w:color="auto" w:fill="auto"/>
          </w:tcPr>
          <w:p w:rsidR="00535985" w:rsidRPr="00535985" w:rsidRDefault="00535985" w:rsidP="004F1B5D">
            <w:pPr>
              <w:keepNext/>
              <w:rPr>
                <w:rFonts w:ascii="Calibri" w:hAnsi="Calibri"/>
                <w:iCs/>
                <w:lang w:val="en-AU"/>
              </w:rPr>
            </w:pPr>
            <w:r w:rsidRPr="00535985">
              <w:rPr>
                <w:rFonts w:ascii="Calibri" w:hAnsi="Calibri"/>
                <w:iCs/>
                <w:lang w:val="en-AU"/>
              </w:rPr>
              <w:t>Ms Berry</w:t>
            </w:r>
          </w:p>
        </w:tc>
        <w:tc>
          <w:tcPr>
            <w:tcW w:w="2696" w:type="dxa"/>
            <w:gridSpan w:val="2"/>
            <w:shd w:val="clear" w:color="auto" w:fill="auto"/>
          </w:tcPr>
          <w:p w:rsidR="00535985" w:rsidRPr="00535985" w:rsidRDefault="00535985" w:rsidP="004F1B5D">
            <w:pPr>
              <w:keepNext/>
              <w:rPr>
                <w:rFonts w:ascii="Calibri" w:hAnsi="Calibri"/>
                <w:iCs/>
                <w:lang w:val="en-AU"/>
              </w:rPr>
            </w:pPr>
            <w:r w:rsidRPr="00535985">
              <w:rPr>
                <w:rFonts w:ascii="Calibri" w:hAnsi="Calibri"/>
                <w:iCs/>
                <w:lang w:val="en-AU"/>
              </w:rPr>
              <w:t>Ms Orr</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Castley</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Braddock</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Dr Paterson</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Coe</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Burch</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Pettersson</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Hanson</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Cheyne</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Rattenbury</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Mrs Jones</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Clay</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Steel</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Mrs Kikkert</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Davidson</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Stephen-Smith</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Lawder</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Davis</w:t>
            </w:r>
          </w:p>
        </w:tc>
        <w:tc>
          <w:tcPr>
            <w:tcW w:w="2696" w:type="dxa"/>
            <w:gridSpan w:val="2"/>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Vassarotti</w:t>
            </w:r>
          </w:p>
        </w:tc>
      </w:tr>
      <w:tr w:rsidR="00535985" w:rsidTr="00535985">
        <w:trPr>
          <w:trHeight w:hRule="exact" w:val="312"/>
        </w:trPr>
        <w:tc>
          <w:tcPr>
            <w:tcW w:w="1998"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Ms Lee</w:t>
            </w:r>
          </w:p>
        </w:tc>
        <w:tc>
          <w:tcPr>
            <w:tcW w:w="1872" w:type="dxa"/>
            <w:shd w:val="clear" w:color="auto" w:fill="auto"/>
          </w:tcPr>
          <w:p w:rsidR="00535985" w:rsidRPr="00535985" w:rsidRDefault="00535985" w:rsidP="00535985">
            <w:pPr>
              <w:spacing w:before="120"/>
              <w:rPr>
                <w:rFonts w:ascii="Calibri" w:hAnsi="Calibri"/>
                <w:iCs/>
                <w:lang w:val="en-AU"/>
              </w:rPr>
            </w:pPr>
          </w:p>
        </w:tc>
        <w:tc>
          <w:tcPr>
            <w:tcW w:w="796" w:type="dxa"/>
            <w:shd w:val="clear" w:color="auto" w:fill="auto"/>
          </w:tcPr>
          <w:p w:rsidR="00535985" w:rsidRPr="00535985" w:rsidRDefault="00535985" w:rsidP="00535985">
            <w:pPr>
              <w:spacing w:before="120"/>
              <w:rPr>
                <w:rFonts w:ascii="Calibri" w:hAnsi="Calibri"/>
                <w:iCs/>
                <w:lang w:val="en-AU"/>
              </w:rPr>
            </w:pPr>
          </w:p>
        </w:tc>
        <w:tc>
          <w:tcPr>
            <w:tcW w:w="2264" w:type="dxa"/>
            <w:shd w:val="clear" w:color="auto" w:fill="auto"/>
          </w:tcPr>
          <w:p w:rsidR="00535985" w:rsidRPr="00535985" w:rsidRDefault="00535985" w:rsidP="00535985">
            <w:pPr>
              <w:rPr>
                <w:rFonts w:ascii="Calibri" w:hAnsi="Calibri"/>
                <w:iCs/>
                <w:lang w:val="en-AU"/>
              </w:rPr>
            </w:pPr>
            <w:r w:rsidRPr="00535985">
              <w:rPr>
                <w:rFonts w:ascii="Calibri" w:hAnsi="Calibri"/>
                <w:iCs/>
                <w:lang w:val="en-AU"/>
              </w:rPr>
              <w:t>Mr Gentleman</w:t>
            </w:r>
          </w:p>
        </w:tc>
        <w:tc>
          <w:tcPr>
            <w:tcW w:w="2696" w:type="dxa"/>
            <w:gridSpan w:val="2"/>
            <w:shd w:val="clear" w:color="auto" w:fill="auto"/>
          </w:tcPr>
          <w:p w:rsidR="00535985" w:rsidRPr="00535985" w:rsidRDefault="00535985" w:rsidP="00535985">
            <w:pPr>
              <w:spacing w:before="120"/>
              <w:rPr>
                <w:rFonts w:ascii="Calibri" w:hAnsi="Calibri"/>
                <w:iCs/>
                <w:lang w:val="en-AU"/>
              </w:rPr>
            </w:pPr>
          </w:p>
        </w:tc>
      </w:tr>
    </w:tbl>
    <w:p w:rsidR="002B152B" w:rsidRPr="00F73487" w:rsidRDefault="003D1903" w:rsidP="003D1903">
      <w:pPr>
        <w:spacing w:before="120"/>
        <w:ind w:left="720" w:right="-35"/>
        <w:rPr>
          <w:rFonts w:ascii="Calibri" w:hAnsi="Calibri"/>
          <w:color w:val="000000"/>
          <w:lang w:val="en-AU"/>
        </w:rPr>
      </w:pPr>
      <w:r>
        <w:rPr>
          <w:rFonts w:ascii="Calibri" w:hAnsi="Calibri"/>
          <w:color w:val="000000"/>
          <w:lang w:val="en-AU"/>
        </w:rPr>
        <w:t>And so it was negatived.</w:t>
      </w:r>
    </w:p>
    <w:p w:rsidR="00F73487" w:rsidRPr="00F73487" w:rsidRDefault="00F73487" w:rsidP="00F73487">
      <w:pPr>
        <w:spacing w:before="120"/>
        <w:ind w:left="720"/>
        <w:rPr>
          <w:rFonts w:ascii="Calibri" w:hAnsi="Calibri"/>
          <w:color w:val="000000"/>
          <w:lang w:val="en-AU"/>
        </w:rPr>
      </w:pPr>
      <w:r w:rsidRPr="00F73487">
        <w:rPr>
          <w:rFonts w:ascii="Calibri" w:hAnsi="Calibri"/>
          <w:color w:val="000000"/>
          <w:lang w:val="en-AU"/>
        </w:rPr>
        <w:t>Question—</w:t>
      </w:r>
      <w:r w:rsidR="00BC04A2">
        <w:rPr>
          <w:rFonts w:ascii="Calibri" w:hAnsi="Calibri"/>
          <w:color w:val="000000"/>
          <w:lang w:val="en-AU"/>
        </w:rPr>
        <w:t>T</w:t>
      </w:r>
      <w:r w:rsidR="003D1903">
        <w:rPr>
          <w:rFonts w:ascii="Calibri" w:hAnsi="Calibri"/>
          <w:color w:val="000000"/>
          <w:lang w:val="en-AU"/>
        </w:rPr>
        <w:t>hat the motion be agreed to—</w:t>
      </w:r>
      <w:r w:rsidRPr="00F73487">
        <w:rPr>
          <w:rFonts w:ascii="Calibri" w:hAnsi="Calibri"/>
          <w:color w:val="000000"/>
          <w:lang w:val="en-AU"/>
        </w:rPr>
        <w:t>put and passed.</w:t>
      </w:r>
    </w:p>
    <w:p w:rsidR="00983EC5" w:rsidRPr="00983EC5" w:rsidRDefault="00983EC5" w:rsidP="00983EC5">
      <w:pPr>
        <w:keepNext/>
        <w:keepLines/>
        <w:tabs>
          <w:tab w:val="right" w:pos="339"/>
          <w:tab w:val="left" w:pos="720"/>
        </w:tabs>
        <w:spacing w:before="240"/>
        <w:ind w:left="720" w:hanging="720"/>
        <w:rPr>
          <w:rFonts w:ascii="Calibri" w:hAnsi="Calibri"/>
          <w:b/>
          <w:caps/>
          <w:lang w:val="en-AU"/>
        </w:rPr>
      </w:pPr>
      <w:r w:rsidRPr="00983EC5">
        <w:rPr>
          <w:rFonts w:ascii="Calibri" w:hAnsi="Calibri"/>
          <w:b/>
          <w:caps/>
          <w:lang w:val="en-AU"/>
        </w:rPr>
        <w:tab/>
      </w:r>
      <w:r w:rsidR="00460C16">
        <w:rPr>
          <w:rFonts w:ascii="Calibri" w:hAnsi="Calibri"/>
          <w:b/>
          <w:bCs/>
          <w:caps/>
          <w:lang w:val="en-AU"/>
        </w:rPr>
        <w:fldChar w:fldCharType="begin"/>
      </w:r>
      <w:r w:rsidR="00460C16">
        <w:rPr>
          <w:rFonts w:ascii="Calibri" w:hAnsi="Calibri"/>
          <w:b/>
          <w:bCs/>
          <w:caps/>
          <w:lang w:val="en-AU"/>
        </w:rPr>
        <w:instrText xml:space="preserve"> SEQ A \* MERGEFORMAT </w:instrText>
      </w:r>
      <w:r w:rsidR="00460C16">
        <w:rPr>
          <w:rFonts w:ascii="Calibri" w:hAnsi="Calibri"/>
          <w:b/>
          <w:bCs/>
          <w:caps/>
          <w:lang w:val="en-AU"/>
        </w:rPr>
        <w:fldChar w:fldCharType="separate"/>
      </w:r>
      <w:r w:rsidR="00AF0868">
        <w:rPr>
          <w:rFonts w:ascii="Calibri" w:hAnsi="Calibri"/>
          <w:b/>
          <w:bCs/>
          <w:caps/>
          <w:noProof/>
          <w:lang w:val="en-AU"/>
        </w:rPr>
        <w:t>12</w:t>
      </w:r>
      <w:r w:rsidR="00460C16">
        <w:rPr>
          <w:rFonts w:ascii="Calibri" w:hAnsi="Calibri"/>
          <w:b/>
          <w:bCs/>
          <w:caps/>
          <w:lang w:val="en-AU"/>
        </w:rPr>
        <w:fldChar w:fldCharType="end"/>
      </w:r>
      <w:r w:rsidRPr="00983EC5">
        <w:rPr>
          <w:rFonts w:ascii="Calibri" w:hAnsi="Calibri"/>
          <w:b/>
          <w:caps/>
          <w:lang w:val="en-AU"/>
        </w:rPr>
        <w:tab/>
      </w:r>
      <w:r>
        <w:rPr>
          <w:rFonts w:ascii="Calibri" w:hAnsi="Calibri"/>
          <w:b/>
          <w:caps/>
          <w:lang w:val="en-AU"/>
        </w:rPr>
        <w:t>Housing stress reduction</w:t>
      </w:r>
    </w:p>
    <w:p w:rsidR="00983EC5" w:rsidRPr="00983EC5" w:rsidRDefault="00983EC5" w:rsidP="00983EC5">
      <w:pPr>
        <w:spacing w:before="120"/>
        <w:ind w:left="720"/>
        <w:rPr>
          <w:rFonts w:ascii="Calibri" w:hAnsi="Calibri"/>
          <w:color w:val="000000"/>
          <w:lang w:val="en-AU"/>
        </w:rPr>
      </w:pPr>
      <w:r>
        <w:rPr>
          <w:rFonts w:ascii="Calibri" w:hAnsi="Calibri"/>
          <w:color w:val="000000"/>
          <w:lang w:val="en-AU"/>
        </w:rPr>
        <w:t>Mr Parton</w:t>
      </w:r>
      <w:r w:rsidRPr="00983EC5">
        <w:rPr>
          <w:rFonts w:ascii="Calibri" w:hAnsi="Calibri"/>
          <w:color w:val="000000"/>
          <w:lang w:val="en-AU"/>
        </w:rPr>
        <w:t>, pursuant to notice, moved—That this Assembly:</w:t>
      </w:r>
    </w:p>
    <w:p w:rsidR="003F516C" w:rsidRPr="001A1E8E" w:rsidRDefault="003F516C" w:rsidP="003F516C">
      <w:pPr>
        <w:pStyle w:val="DPSEntryIndents"/>
        <w:numPr>
          <w:ilvl w:val="0"/>
          <w:numId w:val="22"/>
        </w:numPr>
        <w:rPr>
          <w:lang w:eastAsia="en-US"/>
        </w:rPr>
      </w:pPr>
      <w:r w:rsidRPr="001A1E8E">
        <w:rPr>
          <w:lang w:eastAsia="en-US"/>
        </w:rPr>
        <w:t>notes:</w:t>
      </w:r>
    </w:p>
    <w:p w:rsidR="003F516C" w:rsidRPr="001A1E8E" w:rsidRDefault="003F516C" w:rsidP="003F516C">
      <w:pPr>
        <w:pStyle w:val="DPSEntryIndents"/>
        <w:numPr>
          <w:ilvl w:val="1"/>
          <w:numId w:val="3"/>
        </w:numPr>
        <w:rPr>
          <w:lang w:eastAsia="en-US"/>
        </w:rPr>
      </w:pPr>
      <w:r w:rsidRPr="001A1E8E">
        <w:rPr>
          <w:lang w:eastAsia="en-US"/>
        </w:rPr>
        <w:t>the ACT is Australia</w:t>
      </w:r>
      <w:r w:rsidR="00AF0868">
        <w:rPr>
          <w:lang w:eastAsia="en-US"/>
        </w:rPr>
        <w:t>’</w:t>
      </w:r>
      <w:r w:rsidRPr="001A1E8E">
        <w:rPr>
          <w:lang w:eastAsia="en-US"/>
        </w:rPr>
        <w:t>s most expensive rental market. As a result, an increasing number of residents are experiencing housing stress;</w:t>
      </w:r>
    </w:p>
    <w:p w:rsidR="003F516C" w:rsidRPr="001A1E8E" w:rsidRDefault="003F516C" w:rsidP="003F516C">
      <w:pPr>
        <w:pStyle w:val="DPSEntryIndents"/>
        <w:numPr>
          <w:ilvl w:val="1"/>
          <w:numId w:val="3"/>
        </w:numPr>
        <w:rPr>
          <w:lang w:eastAsia="en-US"/>
        </w:rPr>
      </w:pPr>
      <w:r w:rsidRPr="001A1E8E">
        <w:rPr>
          <w:lang w:eastAsia="en-US"/>
        </w:rPr>
        <w:t>data from CoreLogic shows the median weekly rent for houses in Canberra is $657, up 3.6 percent since 2019, while median weekly unit rents are $473;</w:t>
      </w:r>
    </w:p>
    <w:p w:rsidR="003F516C" w:rsidRPr="001A1E8E" w:rsidRDefault="003F516C" w:rsidP="003F516C">
      <w:pPr>
        <w:pStyle w:val="DPSEntryIndents"/>
        <w:numPr>
          <w:ilvl w:val="1"/>
          <w:numId w:val="3"/>
        </w:numPr>
        <w:rPr>
          <w:lang w:eastAsia="en-US"/>
        </w:rPr>
      </w:pPr>
      <w:r w:rsidRPr="001A1E8E">
        <w:rPr>
          <w:lang w:eastAsia="en-US"/>
        </w:rPr>
        <w:t>over 20 years the ACT Labor/Greens Government has driven housing and thereby rental costs up through increased rates, slow land release for new stock and the failure to deliver effective policy for affordable housing; and</w:t>
      </w:r>
    </w:p>
    <w:p w:rsidR="003F516C" w:rsidRPr="001A1E8E" w:rsidRDefault="003F516C" w:rsidP="003F516C">
      <w:pPr>
        <w:pStyle w:val="DPSEntryIndents"/>
        <w:numPr>
          <w:ilvl w:val="1"/>
          <w:numId w:val="3"/>
        </w:numPr>
        <w:rPr>
          <w:lang w:eastAsia="en-US"/>
        </w:rPr>
      </w:pPr>
      <w:r w:rsidRPr="001A1E8E">
        <w:rPr>
          <w:lang w:eastAsia="en-US"/>
        </w:rPr>
        <w:lastRenderedPageBreak/>
        <w:t>a number of Canberrans are being driven into homelessness as they struggle with increased living costs, in major part driven by increased housing costs; and</w:t>
      </w:r>
    </w:p>
    <w:p w:rsidR="003F516C" w:rsidRPr="001A1E8E" w:rsidRDefault="003F516C" w:rsidP="003F516C">
      <w:pPr>
        <w:pStyle w:val="DPSEntryIndents"/>
        <w:rPr>
          <w:lang w:eastAsia="en-US"/>
        </w:rPr>
      </w:pPr>
      <w:r w:rsidRPr="001A1E8E">
        <w:rPr>
          <w:lang w:eastAsia="en-US"/>
        </w:rPr>
        <w:t>calls on the Government to:</w:t>
      </w:r>
    </w:p>
    <w:p w:rsidR="003F516C" w:rsidRPr="001A1E8E" w:rsidRDefault="003F516C" w:rsidP="003F516C">
      <w:pPr>
        <w:pStyle w:val="DPSEntryIndents"/>
        <w:numPr>
          <w:ilvl w:val="1"/>
          <w:numId w:val="3"/>
        </w:numPr>
        <w:rPr>
          <w:lang w:eastAsia="en-US"/>
        </w:rPr>
      </w:pPr>
      <w:r w:rsidRPr="001A1E8E">
        <w:rPr>
          <w:lang w:eastAsia="en-US"/>
        </w:rPr>
        <w:t>investigate the effectiveness of a range of policy levers aimed at alleviating the extremely high cost of housing in the ACT, particularly for low to moderate income earners, including working more effectively with community housing providers (CHPs) to strengthen their ability to provide more affordable housing;</w:t>
      </w:r>
    </w:p>
    <w:p w:rsidR="003F516C" w:rsidRPr="001A1E8E" w:rsidRDefault="003F516C" w:rsidP="003F516C">
      <w:pPr>
        <w:pStyle w:val="DPSEntryIndents"/>
        <w:numPr>
          <w:ilvl w:val="1"/>
          <w:numId w:val="3"/>
        </w:numPr>
        <w:rPr>
          <w:lang w:eastAsia="en-US"/>
        </w:rPr>
      </w:pPr>
      <w:r w:rsidRPr="001A1E8E">
        <w:rPr>
          <w:lang w:eastAsia="en-US"/>
        </w:rPr>
        <w:t>investigate implementing shared equity arrangements, whereby the ACT Government provides land for CHPs to provide social housing, while maintaining an ownership stake;</w:t>
      </w:r>
    </w:p>
    <w:p w:rsidR="003F516C" w:rsidRPr="001A1E8E" w:rsidRDefault="003F516C" w:rsidP="003F516C">
      <w:pPr>
        <w:pStyle w:val="DPSEntryIndents"/>
        <w:numPr>
          <w:ilvl w:val="1"/>
          <w:numId w:val="3"/>
        </w:numPr>
        <w:rPr>
          <w:lang w:eastAsia="en-US"/>
        </w:rPr>
      </w:pPr>
      <w:r w:rsidRPr="001A1E8E">
        <w:rPr>
          <w:lang w:eastAsia="en-US"/>
        </w:rPr>
        <w:t xml:space="preserve">investigate the introduction of a rent supplementation lease arrangement whereby the ACT Government would undertake bulk auctions of long-term leases to CHPs, to provide affordable rentals, with the supplement serving as an incentive for institutional investors to partner with CHPs; </w:t>
      </w:r>
    </w:p>
    <w:p w:rsidR="003F516C" w:rsidRPr="001A1E8E" w:rsidRDefault="003F516C" w:rsidP="003F516C">
      <w:pPr>
        <w:pStyle w:val="DPSEntryIndents"/>
        <w:numPr>
          <w:ilvl w:val="1"/>
          <w:numId w:val="3"/>
        </w:numPr>
        <w:rPr>
          <w:lang w:eastAsia="en-US"/>
        </w:rPr>
      </w:pPr>
      <w:r w:rsidRPr="001A1E8E">
        <w:rPr>
          <w:lang w:eastAsia="en-US"/>
        </w:rPr>
        <w:t>immediately extend lease durations for public housing currently let out by Housing ACT to CHPs, thereby allowing long-term revenue certainty to allow providers to borrow and grow;</w:t>
      </w:r>
    </w:p>
    <w:p w:rsidR="003F516C" w:rsidRPr="001A1E8E" w:rsidRDefault="003F516C" w:rsidP="003F516C">
      <w:pPr>
        <w:pStyle w:val="DPSEntryIndents"/>
        <w:numPr>
          <w:ilvl w:val="1"/>
          <w:numId w:val="3"/>
        </w:numPr>
        <w:rPr>
          <w:lang w:eastAsia="en-US"/>
        </w:rPr>
      </w:pPr>
      <w:r w:rsidRPr="001A1E8E">
        <w:rPr>
          <w:lang w:eastAsia="en-US"/>
        </w:rPr>
        <w:t>consider providing more extensive land tax exemptions and rates rebates for landholders leasing to CHPs;</w:t>
      </w:r>
    </w:p>
    <w:p w:rsidR="003F516C" w:rsidRPr="001A1E8E" w:rsidRDefault="003F516C" w:rsidP="003F516C">
      <w:pPr>
        <w:pStyle w:val="DPSEntryIndents"/>
        <w:numPr>
          <w:ilvl w:val="1"/>
          <w:numId w:val="3"/>
        </w:numPr>
        <w:rPr>
          <w:lang w:eastAsia="en-US"/>
        </w:rPr>
      </w:pPr>
      <w:r w:rsidRPr="001A1E8E">
        <w:rPr>
          <w:lang w:eastAsia="en-US"/>
        </w:rPr>
        <w:t>investigate implementing a land tax threshold, where the tax is only paid on the value of land over a certain amount, similar to jurisdictions like NSW;</w:t>
      </w:r>
    </w:p>
    <w:p w:rsidR="003F516C" w:rsidRPr="001A1E8E" w:rsidRDefault="003F516C" w:rsidP="003F516C">
      <w:pPr>
        <w:pStyle w:val="DPSEntryIndents"/>
        <w:numPr>
          <w:ilvl w:val="1"/>
          <w:numId w:val="3"/>
        </w:numPr>
        <w:rPr>
          <w:lang w:eastAsia="en-US"/>
        </w:rPr>
      </w:pPr>
      <w:r w:rsidRPr="001A1E8E">
        <w:rPr>
          <w:lang w:eastAsia="en-US"/>
        </w:rPr>
        <w:t>reassess the current land release regime to determine whether supply is meeting demand; and</w:t>
      </w:r>
    </w:p>
    <w:p w:rsidR="00983EC5" w:rsidRPr="001A039F" w:rsidRDefault="003F516C" w:rsidP="003F516C">
      <w:pPr>
        <w:pStyle w:val="DPSEntryIndents"/>
        <w:numPr>
          <w:ilvl w:val="1"/>
          <w:numId w:val="3"/>
        </w:numPr>
        <w:rPr>
          <w:color w:val="000000"/>
        </w:rPr>
      </w:pPr>
      <w:r w:rsidRPr="001A1E8E">
        <w:rPr>
          <w:lang w:eastAsia="en-US"/>
        </w:rPr>
        <w:t>report back to the Legislative Assembly on the Government</w:t>
      </w:r>
      <w:r w:rsidR="00AF0868">
        <w:rPr>
          <w:lang w:eastAsia="en-US"/>
        </w:rPr>
        <w:t>’</w:t>
      </w:r>
      <w:r w:rsidRPr="001A1E8E">
        <w:rPr>
          <w:lang w:eastAsia="en-US"/>
        </w:rPr>
        <w:t>s progress in considering these proposals by the final sitting day in April 2021.</w:t>
      </w:r>
    </w:p>
    <w:p w:rsidR="001A039F" w:rsidRDefault="001A039F" w:rsidP="001A039F">
      <w:pPr>
        <w:pStyle w:val="DPSEntryIndents"/>
        <w:numPr>
          <w:ilvl w:val="0"/>
          <w:numId w:val="0"/>
        </w:numPr>
        <w:ind w:left="720"/>
        <w:rPr>
          <w:lang w:eastAsia="en-US"/>
        </w:rPr>
      </w:pPr>
      <w:r>
        <w:rPr>
          <w:lang w:eastAsia="en-US"/>
        </w:rPr>
        <w:t>Ms Berry, by leave, moved the following amendment:</w:t>
      </w:r>
    </w:p>
    <w:p w:rsidR="00797348" w:rsidRDefault="00D44D3F" w:rsidP="00D44D3F">
      <w:pPr>
        <w:pStyle w:val="DPSEntryIndents"/>
        <w:numPr>
          <w:ilvl w:val="0"/>
          <w:numId w:val="0"/>
        </w:numPr>
        <w:ind w:left="720"/>
        <w:rPr>
          <w:lang w:eastAsia="en-US"/>
        </w:rPr>
      </w:pPr>
      <w:r>
        <w:rPr>
          <w:lang w:eastAsia="en-US"/>
        </w:rPr>
        <w:t>Omit</w:t>
      </w:r>
      <w:r w:rsidR="00797348">
        <w:rPr>
          <w:lang w:eastAsia="en-US"/>
        </w:rPr>
        <w:t xml:space="preserve"> all </w:t>
      </w:r>
      <w:r w:rsidR="000C3F6D">
        <w:rPr>
          <w:lang w:eastAsia="en-US"/>
        </w:rPr>
        <w:t xml:space="preserve">words </w:t>
      </w:r>
      <w:r w:rsidR="00797348">
        <w:rPr>
          <w:lang w:eastAsia="en-US"/>
        </w:rPr>
        <w:t xml:space="preserve">after </w:t>
      </w:r>
      <w:r w:rsidR="00AF0868">
        <w:rPr>
          <w:lang w:eastAsia="en-US"/>
        </w:rPr>
        <w:t>“</w:t>
      </w:r>
      <w:r w:rsidR="00797348">
        <w:rPr>
          <w:lang w:eastAsia="en-US"/>
        </w:rPr>
        <w:t>(1)</w:t>
      </w:r>
      <w:r w:rsidR="00797348" w:rsidRPr="00797348">
        <w:rPr>
          <w:lang w:eastAsia="en-US"/>
        </w:rPr>
        <w:t xml:space="preserve"> Notes</w:t>
      </w:r>
      <w:r w:rsidR="00AF0868">
        <w:rPr>
          <w:lang w:eastAsia="en-US"/>
        </w:rPr>
        <w:t>”</w:t>
      </w:r>
      <w:r>
        <w:rPr>
          <w:lang w:eastAsia="en-US"/>
        </w:rPr>
        <w:t xml:space="preserve"> and substitute</w:t>
      </w:r>
      <w:r w:rsidR="00797348" w:rsidRPr="00797348">
        <w:rPr>
          <w:lang w:eastAsia="en-US"/>
        </w:rPr>
        <w:t>:</w:t>
      </w:r>
    </w:p>
    <w:p w:rsidR="00797348" w:rsidRPr="003D3EB5" w:rsidRDefault="00AC5F5D" w:rsidP="006E0B6B">
      <w:pPr>
        <w:pStyle w:val="DPSEntryIndentsLev2"/>
        <w:numPr>
          <w:ilvl w:val="0"/>
          <w:numId w:val="0"/>
        </w:numPr>
        <w:tabs>
          <w:tab w:val="left" w:pos="1980"/>
        </w:tabs>
        <w:ind w:left="1890" w:hanging="630"/>
      </w:pPr>
      <w:r>
        <w:t>“(a)</w:t>
      </w:r>
      <w:r>
        <w:tab/>
      </w:r>
      <w:r w:rsidR="00D44D3F">
        <w:t>t</w:t>
      </w:r>
      <w:r w:rsidR="00797348" w:rsidRPr="003D3EB5">
        <w:t>hat while the ACT is one of Australia</w:t>
      </w:r>
      <w:r w:rsidR="00AF0868">
        <w:t>’</w:t>
      </w:r>
      <w:r w:rsidR="00797348" w:rsidRPr="003D3EB5">
        <w:t>s most affordable jurisdictions to rent and buy a home on measures based on average incomes, these higher than average incomes hide the challenges lower-income families face in the private rental market;</w:t>
      </w:r>
      <w:r w:rsidR="002251DD">
        <w:t xml:space="preserve"> and</w:t>
      </w:r>
    </w:p>
    <w:p w:rsidR="00797348" w:rsidRPr="003D3EB5" w:rsidRDefault="00AC5F5D" w:rsidP="006E0B6B">
      <w:pPr>
        <w:pStyle w:val="DPSEntryIndentsLev2"/>
        <w:numPr>
          <w:ilvl w:val="0"/>
          <w:numId w:val="0"/>
        </w:numPr>
        <w:ind w:left="1890" w:hanging="540"/>
      </w:pPr>
      <w:r>
        <w:t>(b)</w:t>
      </w:r>
      <w:r>
        <w:tab/>
      </w:r>
      <w:r w:rsidR="00797348" w:rsidRPr="003D3EB5">
        <w:t>data from CoreLogic shows the median weekly rent for houses in Canberra is $657, up 3.6 percent since 2019, while median weekly unit rents are $473.</w:t>
      </w:r>
    </w:p>
    <w:p w:rsidR="00797348" w:rsidRPr="003D3EB5" w:rsidRDefault="00F24EE2" w:rsidP="00F24EE2">
      <w:pPr>
        <w:pStyle w:val="DPSEntryIndentsLev1"/>
        <w:numPr>
          <w:ilvl w:val="0"/>
          <w:numId w:val="0"/>
        </w:numPr>
        <w:ind w:left="720"/>
      </w:pPr>
      <w:r>
        <w:t>(2)</w:t>
      </w:r>
      <w:r>
        <w:tab/>
      </w:r>
      <w:r w:rsidR="006D5EE8">
        <w:t>f</w:t>
      </w:r>
      <w:r w:rsidR="00797348" w:rsidRPr="003D3EB5">
        <w:t>urther notes:</w:t>
      </w:r>
    </w:p>
    <w:p w:rsidR="00797348" w:rsidRPr="003D3EB5" w:rsidRDefault="00797348" w:rsidP="006E0B6B">
      <w:pPr>
        <w:pStyle w:val="DPSEntryIndentsLev2"/>
        <w:numPr>
          <w:ilvl w:val="0"/>
          <w:numId w:val="29"/>
        </w:numPr>
        <w:tabs>
          <w:tab w:val="clear" w:pos="1915"/>
          <w:tab w:val="left" w:pos="1890"/>
        </w:tabs>
        <w:ind w:left="1890" w:hanging="540"/>
      </w:pPr>
      <w:r w:rsidRPr="003D3EB5">
        <w:lastRenderedPageBreak/>
        <w:t>the ACT Housing Strategy released in 2018 is built on hundreds of community voices in a year-long consultation process and includes 74 short, medium and long-term actions to deliver;</w:t>
      </w:r>
    </w:p>
    <w:p w:rsidR="00797348" w:rsidRPr="003D3EB5" w:rsidRDefault="00797348" w:rsidP="003D71AA">
      <w:pPr>
        <w:pStyle w:val="DPSEntryIndentsLev2"/>
        <w:keepLines/>
      </w:pPr>
      <w:r w:rsidRPr="003D3EB5">
        <w:t>the Year 2 Report Card of the Housing Strategy was released today outlining the actions that have been taken over the last year, including actions to support the housing and homelessness sector throug</w:t>
      </w:r>
      <w:r w:rsidR="006D5EE8">
        <w:t>h the COVID-19 Health Emergency;</w:t>
      </w:r>
    </w:p>
    <w:p w:rsidR="00797348" w:rsidRPr="003D3EB5" w:rsidRDefault="00797348" w:rsidP="006E0B6B">
      <w:pPr>
        <w:pStyle w:val="DPSEntryIndentsLev2"/>
        <w:ind w:hanging="540"/>
      </w:pPr>
      <w:r w:rsidRPr="003D3EB5">
        <w:t xml:space="preserve">the important role of </w:t>
      </w:r>
      <w:r w:rsidR="006D5EE8">
        <w:t>c</w:t>
      </w:r>
      <w:r w:rsidRPr="003D3EB5">
        <w:t xml:space="preserve">ommunity </w:t>
      </w:r>
      <w:r w:rsidR="006D5EE8">
        <w:t>h</w:t>
      </w:r>
      <w:r w:rsidRPr="003D3EB5">
        <w:t xml:space="preserve">ousing </w:t>
      </w:r>
      <w:r w:rsidR="006D5EE8">
        <w:t>p</w:t>
      </w:r>
      <w:r w:rsidRPr="003D3EB5">
        <w:t xml:space="preserve">roviders in delivering affordable housing to Canberrans; </w:t>
      </w:r>
      <w:r w:rsidR="006D5EE8">
        <w:t>and</w:t>
      </w:r>
    </w:p>
    <w:p w:rsidR="00797348" w:rsidRPr="003D3EB5" w:rsidRDefault="00797348" w:rsidP="006E0B6B">
      <w:pPr>
        <w:pStyle w:val="DPSEntryIndentsLev2"/>
        <w:ind w:hanging="565"/>
      </w:pPr>
      <w:r w:rsidRPr="003D3EB5">
        <w:t>the 10</w:t>
      </w:r>
      <w:r w:rsidRPr="003D3EB5">
        <w:rPr>
          <w:vertAlign w:val="superscript"/>
        </w:rPr>
        <w:t>th</w:t>
      </w:r>
      <w:r w:rsidRPr="003D3EB5">
        <w:t xml:space="preserve"> Assembly Parliamentary and Governing Agreement outlines commitments to support housing affordability in Canberra including growing social and affordable rental housing</w:t>
      </w:r>
      <w:r w:rsidR="006D5EE8">
        <w:t>;</w:t>
      </w:r>
    </w:p>
    <w:p w:rsidR="00797348" w:rsidRPr="003D3EB5" w:rsidRDefault="006D5EE8" w:rsidP="00797348">
      <w:pPr>
        <w:pStyle w:val="DPSEntryIndentsLev1"/>
      </w:pPr>
      <w:r>
        <w:t>a</w:t>
      </w:r>
      <w:r w:rsidR="00797348" w:rsidRPr="003D3EB5">
        <w:t>cknowledges that:</w:t>
      </w:r>
    </w:p>
    <w:p w:rsidR="00797348" w:rsidRPr="003D3EB5" w:rsidRDefault="00797348" w:rsidP="00797348">
      <w:pPr>
        <w:pStyle w:val="DPSEntryIndentsLev2"/>
        <w:numPr>
          <w:ilvl w:val="0"/>
          <w:numId w:val="30"/>
        </w:numPr>
        <w:ind w:left="1890" w:hanging="540"/>
      </w:pPr>
      <w:r w:rsidRPr="003D3EB5">
        <w:t>the ACT has several shared equity arrangements between community housing providers and the ACT Government, where the ACT Government hold an interest in a community-owned property;</w:t>
      </w:r>
    </w:p>
    <w:p w:rsidR="00797348" w:rsidRPr="003D3EB5" w:rsidRDefault="00797348" w:rsidP="002E047E">
      <w:pPr>
        <w:pStyle w:val="DPSEntryIndentsLev2"/>
        <w:keepLines/>
      </w:pPr>
      <w:r w:rsidRPr="003D3EB5">
        <w:t>funding was announced last year to commence the policy design work for an expanded Land Rent scheme in an ACT context, investigate the feasibility of a broad-ranging shared equity scheme, and additional build-to-rent programs, under the ACT Housing Strategy;</w:t>
      </w:r>
    </w:p>
    <w:p w:rsidR="00797348" w:rsidRPr="003D3EB5" w:rsidRDefault="00797348" w:rsidP="00797348">
      <w:pPr>
        <w:pStyle w:val="DPSEntryIndentsLev2"/>
      </w:pPr>
      <w:r w:rsidRPr="003D3EB5">
        <w:t>the 2020-2021 Budget expands the Community Housing Land Tax Exemption scheme to provide for up to 250 properties to participate, an action under the Parliamentary and Governing Agreement;</w:t>
      </w:r>
    </w:p>
    <w:p w:rsidR="00797348" w:rsidRPr="003D3EB5" w:rsidRDefault="00797348" w:rsidP="00797348">
      <w:pPr>
        <w:pStyle w:val="DPSEntryIndentsLev2"/>
      </w:pPr>
      <w:r w:rsidRPr="003D3EB5">
        <w:t>the Federal Government</w:t>
      </w:r>
      <w:r w:rsidR="00AF0868">
        <w:t>’</w:t>
      </w:r>
      <w:r w:rsidRPr="003D3EB5">
        <w:t>s National Rental Affordability Scheme is ceasing and has provided a direct rental subsidy to community housing managed affordable rental properties;</w:t>
      </w:r>
    </w:p>
    <w:p w:rsidR="00797348" w:rsidRPr="003D3EB5" w:rsidRDefault="00F015DE" w:rsidP="00797348">
      <w:pPr>
        <w:pStyle w:val="DPSEntryIndentsLev2"/>
      </w:pPr>
      <w:r>
        <w:t>i</w:t>
      </w:r>
      <w:r w:rsidR="00797348" w:rsidRPr="003D3EB5">
        <w:t>n their 2020-21 Budget, NSW has proposed transitioning from stamp</w:t>
      </w:r>
      <w:r>
        <w:noBreakHyphen/>
      </w:r>
      <w:r w:rsidR="00797348" w:rsidRPr="003D3EB5">
        <w:t>duty and aggregated land tax charges to an annual property based tax similar to ACT</w:t>
      </w:r>
      <w:r w:rsidR="00AF0868">
        <w:t>’</w:t>
      </w:r>
      <w:r w:rsidR="00797348" w:rsidRPr="003D3EB5">
        <w:t>s general rates and land tax;</w:t>
      </w:r>
      <w:r>
        <w:t xml:space="preserve"> and</w:t>
      </w:r>
    </w:p>
    <w:p w:rsidR="00797348" w:rsidRPr="003D3EB5" w:rsidRDefault="001C264A" w:rsidP="00797348">
      <w:pPr>
        <w:pStyle w:val="DPSEntryIndentsLev2"/>
      </w:pPr>
      <w:r>
        <w:t>t</w:t>
      </w:r>
      <w:r w:rsidR="00797348" w:rsidRPr="003D3EB5">
        <w:t>he Indicative Land Release Program is continually reviewed to respond to market and economic conditions and ensures enough land is released to cater for Canberra</w:t>
      </w:r>
      <w:r w:rsidR="00AF0868">
        <w:t>’</w:t>
      </w:r>
      <w:r w:rsidR="00797348" w:rsidRPr="003D3EB5">
        <w:t>s populatio</w:t>
      </w:r>
      <w:r w:rsidR="00F015DE">
        <w:t>n growth and demand for housing; and</w:t>
      </w:r>
    </w:p>
    <w:p w:rsidR="00797348" w:rsidRPr="003D3EB5" w:rsidRDefault="00797348" w:rsidP="00797348">
      <w:pPr>
        <w:pStyle w:val="DPSEntryIndentsLev1"/>
      </w:pPr>
      <w:r w:rsidRPr="003D3EB5">
        <w:t>calls on the ACT Government to:</w:t>
      </w:r>
    </w:p>
    <w:p w:rsidR="00797348" w:rsidRPr="003D3EB5" w:rsidRDefault="00797348" w:rsidP="00F015DE">
      <w:pPr>
        <w:pStyle w:val="DPSEntryIndentsLev2"/>
        <w:numPr>
          <w:ilvl w:val="0"/>
          <w:numId w:val="31"/>
        </w:numPr>
        <w:ind w:left="1980" w:hanging="630"/>
      </w:pPr>
      <w:r w:rsidRPr="003D3EB5">
        <w:t>continue to implement the ACT Housing Strategy to support the growth of social, community and affordable housing;</w:t>
      </w:r>
    </w:p>
    <w:p w:rsidR="00797348" w:rsidRPr="003D3EB5" w:rsidRDefault="00797348" w:rsidP="00797348">
      <w:pPr>
        <w:pStyle w:val="DPSEntryIndentsLev2"/>
      </w:pPr>
      <w:r w:rsidRPr="003D3EB5">
        <w:t>continuing working with stakeholders, including community housing providers, on the implementation of the ACT Housing Strategy;</w:t>
      </w:r>
    </w:p>
    <w:p w:rsidR="00797348" w:rsidRPr="003D3EB5" w:rsidRDefault="00797348" w:rsidP="00797348">
      <w:pPr>
        <w:pStyle w:val="DPSEntryIndentsLev2"/>
      </w:pPr>
      <w:r w:rsidRPr="003D3EB5">
        <w:t>continue implementing the 10</w:t>
      </w:r>
      <w:r w:rsidRPr="003D3EB5">
        <w:rPr>
          <w:vertAlign w:val="superscript"/>
        </w:rPr>
        <w:t>th</w:t>
      </w:r>
      <w:r w:rsidRPr="003D3EB5">
        <w:t xml:space="preserve"> Assembly Parliamentary and Governing Agreement;</w:t>
      </w:r>
      <w:r w:rsidR="001C264A">
        <w:t xml:space="preserve"> and</w:t>
      </w:r>
    </w:p>
    <w:p w:rsidR="00797348" w:rsidRPr="003D3EB5" w:rsidRDefault="00797348" w:rsidP="00797348">
      <w:pPr>
        <w:pStyle w:val="DPSEntryIndentsLev2"/>
      </w:pPr>
      <w:r w:rsidRPr="003D3EB5">
        <w:t>continue to advocate for the continuation of the Federal Government</w:t>
      </w:r>
      <w:r w:rsidR="00AF0868">
        <w:t>’</w:t>
      </w:r>
      <w:r w:rsidRPr="003D3EB5">
        <w:t>s National Rental Affordability Scheme.</w:t>
      </w:r>
      <w:r w:rsidR="002D5320">
        <w:t>”</w:t>
      </w:r>
    </w:p>
    <w:p w:rsidR="00720167" w:rsidRDefault="00720167" w:rsidP="001A039F">
      <w:pPr>
        <w:pStyle w:val="DPSEntryIndents"/>
        <w:numPr>
          <w:ilvl w:val="0"/>
          <w:numId w:val="0"/>
        </w:numPr>
        <w:ind w:left="720"/>
        <w:rPr>
          <w:color w:val="000000"/>
        </w:rPr>
      </w:pPr>
      <w:r>
        <w:rPr>
          <w:color w:val="000000"/>
        </w:rPr>
        <w:lastRenderedPageBreak/>
        <w:t>Debate continued.</w:t>
      </w:r>
    </w:p>
    <w:p w:rsidR="00103204" w:rsidRDefault="00103204" w:rsidP="001A039F">
      <w:pPr>
        <w:pStyle w:val="DPSEntryIndents"/>
        <w:numPr>
          <w:ilvl w:val="0"/>
          <w:numId w:val="0"/>
        </w:numPr>
        <w:ind w:left="720"/>
        <w:rPr>
          <w:color w:val="000000"/>
        </w:rPr>
      </w:pPr>
      <w:r>
        <w:rPr>
          <w:color w:val="000000"/>
        </w:rPr>
        <w:t>Question—</w:t>
      </w:r>
      <w:r w:rsidR="002D5320">
        <w:rPr>
          <w:color w:val="000000"/>
        </w:rPr>
        <w:t>That the amendment be agreed to—</w:t>
      </w:r>
      <w:r>
        <w:rPr>
          <w:color w:val="000000"/>
        </w:rPr>
        <w:t>put.</w:t>
      </w:r>
    </w:p>
    <w:p w:rsidR="00103204" w:rsidRDefault="00103204" w:rsidP="00103204">
      <w:pPr>
        <w:pStyle w:val="DPSEntryIndents"/>
        <w:numPr>
          <w:ilvl w:val="0"/>
          <w:numId w:val="0"/>
        </w:numPr>
        <w:spacing w:after="120"/>
        <w:ind w:left="720"/>
        <w:rPr>
          <w:color w:val="000000"/>
        </w:rPr>
      </w:pPr>
      <w:r>
        <w:rPr>
          <w:color w:val="000000"/>
        </w:rPr>
        <w:t>The Assembly voted—</w:t>
      </w:r>
    </w:p>
    <w:tbl>
      <w:tblPr>
        <w:tblpPr w:rightFromText="180" w:vertAnchor="text" w:tblpY="1"/>
        <w:tblOverlap w:val="never"/>
        <w:tblW w:w="10368" w:type="dxa"/>
        <w:tblLayout w:type="fixed"/>
        <w:tblCellMar>
          <w:left w:w="720" w:type="dxa"/>
          <w:right w:w="56" w:type="dxa"/>
        </w:tblCellMar>
        <w:tblLook w:val="0000" w:firstRow="0" w:lastRow="0" w:firstColumn="0" w:lastColumn="0" w:noHBand="0" w:noVBand="0"/>
      </w:tblPr>
      <w:tblGrid>
        <w:gridCol w:w="2610"/>
        <w:gridCol w:w="2700"/>
        <w:gridCol w:w="796"/>
        <w:gridCol w:w="2264"/>
        <w:gridCol w:w="1998"/>
      </w:tblGrid>
      <w:tr w:rsidR="00103204" w:rsidTr="00103204">
        <w:tc>
          <w:tcPr>
            <w:tcW w:w="5310" w:type="dxa"/>
            <w:gridSpan w:val="2"/>
            <w:shd w:val="clear" w:color="auto" w:fill="auto"/>
          </w:tcPr>
          <w:p w:rsidR="00103204" w:rsidRDefault="00103204" w:rsidP="00103204">
            <w:pPr>
              <w:pStyle w:val="DPSEntryIndents"/>
              <w:numPr>
                <w:ilvl w:val="0"/>
                <w:numId w:val="0"/>
              </w:numPr>
              <w:tabs>
                <w:tab w:val="center" w:pos="1800"/>
              </w:tabs>
              <w:rPr>
                <w:color w:val="000000"/>
              </w:rPr>
            </w:pPr>
            <w:r>
              <w:rPr>
                <w:color w:val="000000"/>
              </w:rPr>
              <w:tab/>
              <w:t>AYES, 16</w:t>
            </w:r>
          </w:p>
        </w:tc>
        <w:tc>
          <w:tcPr>
            <w:tcW w:w="796" w:type="dxa"/>
            <w:shd w:val="clear" w:color="auto" w:fill="auto"/>
          </w:tcPr>
          <w:p w:rsidR="00103204" w:rsidRDefault="00103204" w:rsidP="00103204">
            <w:pPr>
              <w:pStyle w:val="DPSEntryIndents"/>
              <w:numPr>
                <w:ilvl w:val="0"/>
                <w:numId w:val="0"/>
              </w:numPr>
              <w:rPr>
                <w:color w:val="000000"/>
              </w:rPr>
            </w:pPr>
          </w:p>
        </w:tc>
        <w:tc>
          <w:tcPr>
            <w:tcW w:w="4262" w:type="dxa"/>
            <w:gridSpan w:val="2"/>
            <w:shd w:val="clear" w:color="auto" w:fill="auto"/>
          </w:tcPr>
          <w:p w:rsidR="00103204" w:rsidRDefault="00103204" w:rsidP="00103204">
            <w:pPr>
              <w:pStyle w:val="DPSEntryIndents"/>
              <w:numPr>
                <w:ilvl w:val="0"/>
                <w:numId w:val="0"/>
              </w:numPr>
              <w:tabs>
                <w:tab w:val="center" w:pos="1364"/>
              </w:tabs>
              <w:rPr>
                <w:color w:val="000000"/>
              </w:rPr>
            </w:pPr>
            <w:r>
              <w:rPr>
                <w:color w:val="000000"/>
              </w:rPr>
              <w:tab/>
              <w:t>NOES, 9</w:t>
            </w: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Mr Barr</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Ms Orr</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 Cain</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Ms Berry</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Dr Paterson</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Ms Castley</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Mr Braddock</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Mr Pettersson</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 Coe</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Ms Burch</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Mr Rattenbury</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 Hanson</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Ms Cheyne</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Mr Steel</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Mrs Jones</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Ms Clay</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Ms Stephen-Smith</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Mrs Kikkert</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Ms Davidson</w:t>
            </w:r>
          </w:p>
        </w:tc>
        <w:tc>
          <w:tcPr>
            <w:tcW w:w="2700" w:type="dxa"/>
            <w:shd w:val="clear" w:color="auto" w:fill="auto"/>
          </w:tcPr>
          <w:p w:rsidR="00103204" w:rsidRDefault="00103204" w:rsidP="00103204">
            <w:pPr>
              <w:pStyle w:val="DPSEntryIndents"/>
              <w:numPr>
                <w:ilvl w:val="0"/>
                <w:numId w:val="0"/>
              </w:numPr>
              <w:spacing w:before="0"/>
              <w:rPr>
                <w:color w:val="000000"/>
              </w:rPr>
            </w:pPr>
            <w:r>
              <w:rPr>
                <w:color w:val="000000"/>
              </w:rPr>
              <w:t>Ms Vassarotti</w:t>
            </w: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Ms Lawder</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Mr Davis</w:t>
            </w:r>
          </w:p>
        </w:tc>
        <w:tc>
          <w:tcPr>
            <w:tcW w:w="2700" w:type="dxa"/>
            <w:shd w:val="clear" w:color="auto" w:fill="auto"/>
          </w:tcPr>
          <w:p w:rsidR="00103204" w:rsidRDefault="00103204" w:rsidP="00103204">
            <w:pPr>
              <w:pStyle w:val="DPSEntryIndents"/>
              <w:numPr>
                <w:ilvl w:val="0"/>
                <w:numId w:val="0"/>
              </w:numPr>
              <w:rPr>
                <w:color w:val="000000"/>
              </w:rPr>
            </w:pP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Ms Lee</w:t>
            </w:r>
          </w:p>
        </w:tc>
        <w:tc>
          <w:tcPr>
            <w:tcW w:w="1998" w:type="dxa"/>
            <w:shd w:val="clear" w:color="auto" w:fill="auto"/>
          </w:tcPr>
          <w:p w:rsidR="00103204" w:rsidRDefault="00103204" w:rsidP="00103204">
            <w:pPr>
              <w:pStyle w:val="DPSEntryIndents"/>
              <w:numPr>
                <w:ilvl w:val="0"/>
                <w:numId w:val="0"/>
              </w:numPr>
              <w:rPr>
                <w:color w:val="000000"/>
              </w:rPr>
            </w:pPr>
          </w:p>
        </w:tc>
      </w:tr>
      <w:tr w:rsidR="00103204" w:rsidTr="00103204">
        <w:trPr>
          <w:trHeight w:hRule="exact" w:val="312"/>
        </w:trPr>
        <w:tc>
          <w:tcPr>
            <w:tcW w:w="2610" w:type="dxa"/>
            <w:shd w:val="clear" w:color="auto" w:fill="auto"/>
          </w:tcPr>
          <w:p w:rsidR="00103204" w:rsidRDefault="00103204" w:rsidP="00103204">
            <w:pPr>
              <w:pStyle w:val="DPSEntryIndents"/>
              <w:numPr>
                <w:ilvl w:val="0"/>
                <w:numId w:val="0"/>
              </w:numPr>
              <w:spacing w:before="0"/>
              <w:rPr>
                <w:color w:val="000000"/>
              </w:rPr>
            </w:pPr>
            <w:r>
              <w:rPr>
                <w:color w:val="000000"/>
              </w:rPr>
              <w:t>Mr Gentleman</w:t>
            </w:r>
          </w:p>
        </w:tc>
        <w:tc>
          <w:tcPr>
            <w:tcW w:w="2700" w:type="dxa"/>
            <w:shd w:val="clear" w:color="auto" w:fill="auto"/>
          </w:tcPr>
          <w:p w:rsidR="00103204" w:rsidRDefault="00103204" w:rsidP="00103204">
            <w:pPr>
              <w:pStyle w:val="DPSEntryIndents"/>
              <w:numPr>
                <w:ilvl w:val="0"/>
                <w:numId w:val="0"/>
              </w:numPr>
              <w:rPr>
                <w:color w:val="000000"/>
              </w:rPr>
            </w:pPr>
          </w:p>
        </w:tc>
        <w:tc>
          <w:tcPr>
            <w:tcW w:w="796" w:type="dxa"/>
            <w:shd w:val="clear" w:color="auto" w:fill="auto"/>
          </w:tcPr>
          <w:p w:rsidR="00103204" w:rsidRDefault="00103204" w:rsidP="00103204">
            <w:pPr>
              <w:pStyle w:val="DPSEntryIndents"/>
              <w:numPr>
                <w:ilvl w:val="0"/>
                <w:numId w:val="0"/>
              </w:numPr>
              <w:rPr>
                <w:color w:val="000000"/>
              </w:rPr>
            </w:pPr>
          </w:p>
        </w:tc>
        <w:tc>
          <w:tcPr>
            <w:tcW w:w="2264" w:type="dxa"/>
            <w:shd w:val="clear" w:color="auto" w:fill="auto"/>
          </w:tcPr>
          <w:p w:rsidR="00103204" w:rsidRDefault="00103204" w:rsidP="00103204">
            <w:pPr>
              <w:pStyle w:val="DPSEntryIndents"/>
              <w:numPr>
                <w:ilvl w:val="0"/>
                <w:numId w:val="0"/>
              </w:numPr>
              <w:spacing w:before="0"/>
              <w:rPr>
                <w:color w:val="000000"/>
              </w:rPr>
            </w:pPr>
            <w:r>
              <w:rPr>
                <w:color w:val="000000"/>
              </w:rPr>
              <w:t>Mr Parton</w:t>
            </w:r>
          </w:p>
        </w:tc>
        <w:tc>
          <w:tcPr>
            <w:tcW w:w="1998" w:type="dxa"/>
            <w:shd w:val="clear" w:color="auto" w:fill="auto"/>
          </w:tcPr>
          <w:p w:rsidR="00103204" w:rsidRDefault="00103204" w:rsidP="00103204">
            <w:pPr>
              <w:pStyle w:val="DPSEntryIndents"/>
              <w:numPr>
                <w:ilvl w:val="0"/>
                <w:numId w:val="0"/>
              </w:numPr>
              <w:rPr>
                <w:color w:val="000000"/>
              </w:rPr>
            </w:pPr>
          </w:p>
        </w:tc>
      </w:tr>
    </w:tbl>
    <w:p w:rsidR="00103204" w:rsidRDefault="00103204" w:rsidP="00103204">
      <w:pPr>
        <w:pStyle w:val="DPSEntryIndents"/>
        <w:numPr>
          <w:ilvl w:val="0"/>
          <w:numId w:val="0"/>
        </w:numPr>
        <w:ind w:left="720"/>
        <w:rPr>
          <w:color w:val="000000"/>
        </w:rPr>
      </w:pPr>
      <w:r>
        <w:rPr>
          <w:color w:val="000000"/>
        </w:rPr>
        <w:t>And so it was resolved in the affirmative.</w:t>
      </w:r>
    </w:p>
    <w:p w:rsidR="00DB06C4" w:rsidRDefault="00983EC5" w:rsidP="00983EC5">
      <w:pPr>
        <w:spacing w:before="120"/>
        <w:ind w:left="720"/>
        <w:rPr>
          <w:rFonts w:ascii="Calibri" w:hAnsi="Calibri"/>
          <w:color w:val="000000"/>
          <w:lang w:val="en-AU"/>
        </w:rPr>
      </w:pPr>
      <w:r w:rsidRPr="00983EC5">
        <w:rPr>
          <w:rFonts w:ascii="Calibri" w:hAnsi="Calibri"/>
          <w:color w:val="000000"/>
          <w:lang w:val="en-AU"/>
        </w:rPr>
        <w:t>Question</w:t>
      </w:r>
      <w:r w:rsidR="00DB06C4">
        <w:rPr>
          <w:rFonts w:ascii="Calibri" w:hAnsi="Calibri"/>
          <w:color w:val="000000"/>
          <w:lang w:val="en-AU"/>
        </w:rPr>
        <w:t>—That the motion, as amended, viz:</w:t>
      </w:r>
    </w:p>
    <w:p w:rsidR="00DB06C4" w:rsidRDefault="00AF0868" w:rsidP="00983EC5">
      <w:pPr>
        <w:spacing w:before="120"/>
        <w:ind w:left="720"/>
        <w:rPr>
          <w:rFonts w:ascii="Calibri" w:hAnsi="Calibri"/>
          <w:color w:val="000000"/>
          <w:lang w:val="en-AU"/>
        </w:rPr>
      </w:pPr>
      <w:r>
        <w:rPr>
          <w:rFonts w:ascii="Calibri" w:hAnsi="Calibri"/>
          <w:color w:val="000000"/>
          <w:lang w:val="en-AU"/>
        </w:rPr>
        <w:t>“</w:t>
      </w:r>
      <w:r w:rsidR="00CA6AD3">
        <w:rPr>
          <w:rFonts w:ascii="Calibri" w:hAnsi="Calibri"/>
          <w:color w:val="000000"/>
          <w:lang w:val="en-AU"/>
        </w:rPr>
        <w:t>That this Assembly</w:t>
      </w:r>
    </w:p>
    <w:p w:rsidR="00CA6AD3" w:rsidRDefault="00CA6AD3" w:rsidP="00983EC5">
      <w:pPr>
        <w:spacing w:before="120"/>
        <w:ind w:left="720"/>
        <w:rPr>
          <w:rFonts w:ascii="Calibri" w:hAnsi="Calibri"/>
          <w:color w:val="000000"/>
          <w:lang w:val="en-AU"/>
        </w:rPr>
      </w:pPr>
      <w:r>
        <w:rPr>
          <w:rFonts w:ascii="Calibri" w:hAnsi="Calibri"/>
          <w:color w:val="000000"/>
          <w:lang w:val="en-AU"/>
        </w:rPr>
        <w:t xml:space="preserve">(1) </w:t>
      </w:r>
      <w:r>
        <w:rPr>
          <w:rFonts w:ascii="Calibri" w:hAnsi="Calibri"/>
          <w:color w:val="000000"/>
          <w:lang w:val="en-AU"/>
        </w:rPr>
        <w:tab/>
        <w:t>notes:</w:t>
      </w:r>
    </w:p>
    <w:p w:rsidR="00CA6AD3" w:rsidRPr="003D3EB5" w:rsidRDefault="00CA6AD3" w:rsidP="00CA6AD3">
      <w:pPr>
        <w:pStyle w:val="DPSEntryIndentsLev2"/>
        <w:numPr>
          <w:ilvl w:val="0"/>
          <w:numId w:val="32"/>
        </w:numPr>
        <w:ind w:left="1980" w:hanging="630"/>
      </w:pPr>
      <w:r>
        <w:t>t</w:t>
      </w:r>
      <w:r w:rsidRPr="003D3EB5">
        <w:t>hat while the ACT is one of Australia</w:t>
      </w:r>
      <w:r w:rsidR="00AF0868">
        <w:t>’</w:t>
      </w:r>
      <w:r w:rsidRPr="003D3EB5">
        <w:t>s most affordable jurisdictions to rent and buy a home on measures based on average incomes, these higher than average incomes hide the challenges lower-income families face in the private rental market;</w:t>
      </w:r>
      <w:r>
        <w:t xml:space="preserve"> and</w:t>
      </w:r>
    </w:p>
    <w:p w:rsidR="00CA6AD3" w:rsidRPr="003D3EB5" w:rsidRDefault="00CA6AD3" w:rsidP="00CA6AD3">
      <w:pPr>
        <w:pStyle w:val="DPSEntryIndentsLev2"/>
      </w:pPr>
      <w:r w:rsidRPr="003D3EB5">
        <w:t>data from CoreLogic shows the median weekly rent for houses in Canberra is $657, up 3.6 percent since 2019, while median weekly unit rents are $473</w:t>
      </w:r>
      <w:r>
        <w:t>;</w:t>
      </w:r>
    </w:p>
    <w:p w:rsidR="00CA6AD3" w:rsidRPr="003D3EB5" w:rsidRDefault="00CA6AD3" w:rsidP="00CA6AD3">
      <w:pPr>
        <w:pStyle w:val="DPSEntryIndentsLev1"/>
        <w:numPr>
          <w:ilvl w:val="0"/>
          <w:numId w:val="0"/>
        </w:numPr>
        <w:ind w:left="720"/>
      </w:pPr>
      <w:r>
        <w:t>(2)</w:t>
      </w:r>
      <w:r>
        <w:tab/>
        <w:t>f</w:t>
      </w:r>
      <w:r w:rsidRPr="003D3EB5">
        <w:t>urther notes:</w:t>
      </w:r>
    </w:p>
    <w:p w:rsidR="00CA6AD3" w:rsidRPr="003D3EB5" w:rsidRDefault="00CA6AD3" w:rsidP="00CA6AD3">
      <w:pPr>
        <w:pStyle w:val="DPSEntryIndentsLev2"/>
        <w:numPr>
          <w:ilvl w:val="0"/>
          <w:numId w:val="33"/>
        </w:numPr>
        <w:ind w:left="1890" w:hanging="540"/>
      </w:pPr>
      <w:r w:rsidRPr="003D3EB5">
        <w:t>the ACT Housing Strategy released in 2018 is built on hundreds of community voices in a year-long consultation process and includes 74 short, medium and long-term actions to deliver;</w:t>
      </w:r>
    </w:p>
    <w:p w:rsidR="00CA6AD3" w:rsidRPr="003D3EB5" w:rsidRDefault="00CA6AD3" w:rsidP="00CA6AD3">
      <w:pPr>
        <w:pStyle w:val="DPSEntryIndentsLev2"/>
      </w:pPr>
      <w:r w:rsidRPr="003D3EB5">
        <w:t>the Year 2 Report Card of the Housing Strategy was released today outlining the actions that have been taken over the last year, including actions to support the housing and homelessness sector through the COVID-19 Health Emergency</w:t>
      </w:r>
      <w:r>
        <w:t>;</w:t>
      </w:r>
    </w:p>
    <w:p w:rsidR="00CA6AD3" w:rsidRPr="003D3EB5" w:rsidRDefault="00CA6AD3" w:rsidP="00CA6AD3">
      <w:pPr>
        <w:pStyle w:val="DPSEntryIndentsLev2"/>
      </w:pPr>
      <w:r w:rsidRPr="003D3EB5">
        <w:t xml:space="preserve">the important role of </w:t>
      </w:r>
      <w:r w:rsidR="006A71DC">
        <w:t>c</w:t>
      </w:r>
      <w:r w:rsidRPr="003D3EB5">
        <w:t xml:space="preserve">ommunity </w:t>
      </w:r>
      <w:r w:rsidR="006A71DC">
        <w:t>h</w:t>
      </w:r>
      <w:r w:rsidRPr="003D3EB5">
        <w:t xml:space="preserve">ousing </w:t>
      </w:r>
      <w:r w:rsidR="006A71DC">
        <w:t>p</w:t>
      </w:r>
      <w:r w:rsidRPr="003D3EB5">
        <w:t xml:space="preserve">roviders in delivering affordable housing to Canberrans; </w:t>
      </w:r>
      <w:r>
        <w:t>and</w:t>
      </w:r>
    </w:p>
    <w:p w:rsidR="00CA6AD3" w:rsidRPr="003D3EB5" w:rsidRDefault="00CA6AD3" w:rsidP="00CA6AD3">
      <w:pPr>
        <w:pStyle w:val="DPSEntryIndentsLev2"/>
      </w:pPr>
      <w:r w:rsidRPr="003D3EB5">
        <w:t>the 10</w:t>
      </w:r>
      <w:r w:rsidRPr="006A71DC">
        <w:rPr>
          <w:vertAlign w:val="superscript"/>
        </w:rPr>
        <w:t xml:space="preserve">th </w:t>
      </w:r>
      <w:r w:rsidRPr="003D3EB5">
        <w:t>Assembly Parliamentary and Governing Agreement outlines commitments to support housing affordability in Canberra including growing socia</w:t>
      </w:r>
      <w:r>
        <w:t>l and affordable rental housing;</w:t>
      </w:r>
    </w:p>
    <w:p w:rsidR="00CA6AD3" w:rsidRPr="003D3EB5" w:rsidRDefault="00CA6AD3" w:rsidP="00CA6AD3">
      <w:pPr>
        <w:pStyle w:val="DPSEntryIndentsLev1"/>
        <w:numPr>
          <w:ilvl w:val="0"/>
          <w:numId w:val="0"/>
        </w:numPr>
        <w:ind w:left="720"/>
      </w:pPr>
      <w:r>
        <w:t>(3)</w:t>
      </w:r>
      <w:r>
        <w:tab/>
        <w:t>a</w:t>
      </w:r>
      <w:r w:rsidRPr="003D3EB5">
        <w:t>cknowledges that:</w:t>
      </w:r>
    </w:p>
    <w:p w:rsidR="00CA6AD3" w:rsidRPr="003D3EB5" w:rsidRDefault="00CA6AD3" w:rsidP="00CA6AD3">
      <w:pPr>
        <w:pStyle w:val="DPSEntryIndentsLev2"/>
        <w:numPr>
          <w:ilvl w:val="0"/>
          <w:numId w:val="34"/>
        </w:numPr>
        <w:ind w:left="1980" w:hanging="630"/>
      </w:pPr>
      <w:r w:rsidRPr="003D3EB5">
        <w:lastRenderedPageBreak/>
        <w:t>the ACT has several shared equity arrangements between community housing providers and the ACT Government, where the ACT Government hold an interest in a community-owned property;</w:t>
      </w:r>
    </w:p>
    <w:p w:rsidR="00CA6AD3" w:rsidRPr="003D3EB5" w:rsidRDefault="00CA6AD3" w:rsidP="00CA6AD3">
      <w:pPr>
        <w:pStyle w:val="DPSEntryIndentsLev2"/>
      </w:pPr>
      <w:r w:rsidRPr="003D3EB5">
        <w:t>funding was announced last year to commence the policy design work for an expanded Land Rent scheme in an ACT context, investigate the feasibility of a broad-ranging shared equity scheme, and additional build-to-rent programs, under the ACT Housing Strategy;</w:t>
      </w:r>
    </w:p>
    <w:p w:rsidR="00CA6AD3" w:rsidRPr="003D3EB5" w:rsidRDefault="00CA6AD3" w:rsidP="00CA6AD3">
      <w:pPr>
        <w:pStyle w:val="DPSEntryIndentsLev2"/>
      </w:pPr>
      <w:r w:rsidRPr="003D3EB5">
        <w:t>the 2020-2021 Budget expands the Community Housing Land Tax Exemption scheme to provide for up to 250 properties to participate, an action under the Parliamentary and Governing Agreement;</w:t>
      </w:r>
    </w:p>
    <w:p w:rsidR="00CA6AD3" w:rsidRPr="003D3EB5" w:rsidRDefault="00CA6AD3" w:rsidP="00CA6AD3">
      <w:pPr>
        <w:pStyle w:val="DPSEntryIndentsLev2"/>
      </w:pPr>
      <w:r w:rsidRPr="003D3EB5">
        <w:t>the Federal Government</w:t>
      </w:r>
      <w:r w:rsidR="00AF0868">
        <w:t>’</w:t>
      </w:r>
      <w:r w:rsidRPr="003D3EB5">
        <w:t>s National Rental Affordability Scheme is ceasing and has provided a direct rental subsidy to community housing managed affordable rental properties;</w:t>
      </w:r>
    </w:p>
    <w:p w:rsidR="00CA6AD3" w:rsidRPr="003D3EB5" w:rsidRDefault="003C7570" w:rsidP="00CA6AD3">
      <w:pPr>
        <w:pStyle w:val="DPSEntryIndentsLev2"/>
      </w:pPr>
      <w:r>
        <w:t>i</w:t>
      </w:r>
      <w:r w:rsidR="00CA6AD3" w:rsidRPr="003D3EB5">
        <w:t>n their 2020-21 Budget, NSW has proposed transitioning from stamp</w:t>
      </w:r>
      <w:r w:rsidR="00E42FF5">
        <w:noBreakHyphen/>
      </w:r>
      <w:r w:rsidR="00CA6AD3" w:rsidRPr="003D3EB5">
        <w:t>duty and aggregated land tax charges to an annual property based tax similar to ACT</w:t>
      </w:r>
      <w:r w:rsidR="00AF0868">
        <w:t>’</w:t>
      </w:r>
      <w:r w:rsidR="00CA6AD3" w:rsidRPr="003D3EB5">
        <w:t>s general rates and land tax;</w:t>
      </w:r>
      <w:r w:rsidR="00291769">
        <w:t xml:space="preserve"> and</w:t>
      </w:r>
    </w:p>
    <w:p w:rsidR="00CA6AD3" w:rsidRPr="003D3EB5" w:rsidRDefault="00CA6AD3" w:rsidP="00CA6AD3">
      <w:pPr>
        <w:pStyle w:val="DPSEntryIndentsLev2"/>
      </w:pPr>
      <w:r w:rsidRPr="003D3EB5">
        <w:t>The Indicative Land Release Program is continually reviewed to respond to market and economic conditions and ensures enough land is released to cater for Canberra</w:t>
      </w:r>
      <w:r w:rsidR="00AF0868">
        <w:t>’</w:t>
      </w:r>
      <w:r w:rsidRPr="003D3EB5">
        <w:t>s population growth and demand for housi</w:t>
      </w:r>
      <w:r w:rsidR="00A176C3">
        <w:t>ng; and</w:t>
      </w:r>
    </w:p>
    <w:p w:rsidR="00CA6AD3" w:rsidRPr="003D3EB5" w:rsidRDefault="00A176C3" w:rsidP="00A176C3">
      <w:pPr>
        <w:pStyle w:val="DPSEntryIndentsLev1"/>
        <w:numPr>
          <w:ilvl w:val="0"/>
          <w:numId w:val="0"/>
        </w:numPr>
        <w:ind w:left="720"/>
      </w:pPr>
      <w:r>
        <w:t>(3)</w:t>
      </w:r>
      <w:r>
        <w:tab/>
      </w:r>
      <w:r w:rsidR="00CA6AD3" w:rsidRPr="003D3EB5">
        <w:t>calls on the ACT Government to:</w:t>
      </w:r>
    </w:p>
    <w:p w:rsidR="00CA6AD3" w:rsidRPr="00A176C3" w:rsidRDefault="00CA6AD3" w:rsidP="00A176C3">
      <w:pPr>
        <w:pStyle w:val="DPSEntryIndentsLev2"/>
        <w:numPr>
          <w:ilvl w:val="0"/>
          <w:numId w:val="37"/>
        </w:numPr>
        <w:ind w:left="1980" w:hanging="630"/>
      </w:pPr>
      <w:r w:rsidRPr="00A176C3">
        <w:t>continue to implement the ACT Housing Strategy to support the growth of social, community and affordable housing;</w:t>
      </w:r>
    </w:p>
    <w:p w:rsidR="00CA6AD3" w:rsidRPr="00A176C3" w:rsidRDefault="00CA6AD3" w:rsidP="00A176C3">
      <w:pPr>
        <w:pStyle w:val="DPSEntryIndentsLev2"/>
      </w:pPr>
      <w:r w:rsidRPr="00A176C3">
        <w:t>c</w:t>
      </w:r>
      <w:r w:rsidR="00A176C3" w:rsidRPr="00A176C3">
        <w:t>ontinue</w:t>
      </w:r>
      <w:r w:rsidRPr="00A176C3">
        <w:t xml:space="preserve"> working with stakeholders, including community housing providers, on the implementation of the ACT Housing Strategy;</w:t>
      </w:r>
    </w:p>
    <w:p w:rsidR="00CA6AD3" w:rsidRPr="00A176C3" w:rsidRDefault="00CA6AD3" w:rsidP="00A176C3">
      <w:pPr>
        <w:pStyle w:val="DPSEntryIndentsLev2"/>
      </w:pPr>
      <w:r w:rsidRPr="00A176C3">
        <w:t>continue implementing the 10</w:t>
      </w:r>
      <w:r w:rsidRPr="00132330">
        <w:rPr>
          <w:vertAlign w:val="superscript"/>
        </w:rPr>
        <w:t>th</w:t>
      </w:r>
      <w:r w:rsidRPr="00A176C3">
        <w:t xml:space="preserve"> Assembly Parliamentary and Governing Agreement;</w:t>
      </w:r>
      <w:r w:rsidR="00EE7108">
        <w:t xml:space="preserve"> and</w:t>
      </w:r>
    </w:p>
    <w:p w:rsidR="00CA6AD3" w:rsidRPr="00A176C3" w:rsidRDefault="00CA6AD3" w:rsidP="00A176C3">
      <w:pPr>
        <w:pStyle w:val="DPSEntryIndentsLev2"/>
      </w:pPr>
      <w:r w:rsidRPr="00A176C3">
        <w:t>continue to advocate for the continuation of the Federal Government</w:t>
      </w:r>
      <w:r w:rsidR="00AF0868">
        <w:t>’</w:t>
      </w:r>
      <w:r w:rsidRPr="00A176C3">
        <w:t>s National Rental Affordability Scheme.</w:t>
      </w:r>
      <w:r w:rsidR="00AF0868">
        <w:t>”</w:t>
      </w:r>
      <w:r w:rsidRPr="00A176C3">
        <w:t>—</w:t>
      </w:r>
    </w:p>
    <w:p w:rsidR="00983EC5" w:rsidRPr="00983EC5" w:rsidRDefault="00557E49" w:rsidP="00983EC5">
      <w:pPr>
        <w:spacing w:before="120"/>
        <w:ind w:left="720"/>
        <w:rPr>
          <w:rFonts w:ascii="Calibri" w:hAnsi="Calibri"/>
          <w:color w:val="000000"/>
          <w:lang w:val="en-AU"/>
        </w:rPr>
      </w:pPr>
      <w:r>
        <w:rPr>
          <w:rFonts w:ascii="Calibri" w:hAnsi="Calibri"/>
          <w:color w:val="000000"/>
          <w:lang w:val="en-AU"/>
        </w:rPr>
        <w:t>p</w:t>
      </w:r>
      <w:r w:rsidR="00983EC5" w:rsidRPr="00983EC5">
        <w:rPr>
          <w:rFonts w:ascii="Calibri" w:hAnsi="Calibri"/>
          <w:color w:val="000000"/>
          <w:lang w:val="en-AU"/>
        </w:rPr>
        <w:t>ut and passed.</w:t>
      </w:r>
    </w:p>
    <w:p w:rsidR="00DB06C4" w:rsidRPr="00DB06C4" w:rsidRDefault="00DB06C4" w:rsidP="00DB06C4">
      <w:pPr>
        <w:keepNext/>
        <w:keepLines/>
        <w:tabs>
          <w:tab w:val="right" w:pos="339"/>
          <w:tab w:val="left" w:pos="720"/>
        </w:tabs>
        <w:spacing w:before="240"/>
        <w:ind w:left="720" w:hanging="720"/>
        <w:rPr>
          <w:rFonts w:ascii="Calibri" w:hAnsi="Calibri"/>
          <w:b/>
          <w:caps/>
        </w:rPr>
      </w:pPr>
      <w:r w:rsidRPr="00DB06C4">
        <w:rPr>
          <w:rFonts w:ascii="Calibri" w:hAnsi="Calibri"/>
          <w:b/>
          <w:caps/>
        </w:rPr>
        <w:tab/>
      </w:r>
      <w:r w:rsidR="00AF0868">
        <w:rPr>
          <w:rFonts w:ascii="Calibri" w:hAnsi="Calibri"/>
          <w:b/>
          <w:bCs/>
          <w:caps/>
        </w:rPr>
        <w:fldChar w:fldCharType="begin"/>
      </w:r>
      <w:r w:rsidR="00AF0868">
        <w:rPr>
          <w:rFonts w:ascii="Calibri" w:hAnsi="Calibri"/>
          <w:b/>
          <w:bCs/>
          <w:caps/>
        </w:rPr>
        <w:instrText xml:space="preserve"> SEQ A \* MERGEFORMAT </w:instrText>
      </w:r>
      <w:r w:rsidR="00AF0868">
        <w:rPr>
          <w:rFonts w:ascii="Calibri" w:hAnsi="Calibri"/>
          <w:b/>
          <w:bCs/>
          <w:caps/>
        </w:rPr>
        <w:fldChar w:fldCharType="separate"/>
      </w:r>
      <w:r w:rsidR="00AF0868">
        <w:rPr>
          <w:rFonts w:ascii="Calibri" w:hAnsi="Calibri"/>
          <w:b/>
          <w:bCs/>
          <w:caps/>
          <w:noProof/>
        </w:rPr>
        <w:t>13</w:t>
      </w:r>
      <w:r w:rsidR="00AF0868">
        <w:rPr>
          <w:rFonts w:ascii="Calibri" w:hAnsi="Calibri"/>
          <w:b/>
          <w:bCs/>
          <w:caps/>
        </w:rPr>
        <w:fldChar w:fldCharType="end"/>
      </w:r>
      <w:r w:rsidRPr="00DB06C4">
        <w:rPr>
          <w:rFonts w:ascii="Calibri" w:hAnsi="Calibri"/>
          <w:b/>
          <w:caps/>
        </w:rPr>
        <w:tab/>
        <w:t>ADJOURNMENT</w:t>
      </w:r>
    </w:p>
    <w:p w:rsidR="00DB06C4" w:rsidRPr="00DB06C4" w:rsidRDefault="00DB06C4" w:rsidP="00DB06C4">
      <w:pPr>
        <w:tabs>
          <w:tab w:val="left" w:pos="1197"/>
          <w:tab w:val="left" w:pos="1767"/>
        </w:tabs>
        <w:spacing w:before="120"/>
        <w:ind w:left="720"/>
        <w:rPr>
          <w:rFonts w:ascii="Calibri" w:hAnsi="Calibri"/>
          <w:lang w:val="en-AU"/>
        </w:rPr>
      </w:pPr>
      <w:r>
        <w:rPr>
          <w:rFonts w:ascii="Calibri" w:hAnsi="Calibri"/>
          <w:lang w:val="en-AU"/>
        </w:rPr>
        <w:t>Mr Gentleman</w:t>
      </w:r>
      <w:r w:rsidRPr="00DB06C4">
        <w:rPr>
          <w:rFonts w:ascii="Calibri" w:hAnsi="Calibri"/>
          <w:lang w:val="en-AU"/>
        </w:rPr>
        <w:t xml:space="preserve"> (Manager of Government Business) moved—That the Assembly do now adjourn.</w:t>
      </w:r>
    </w:p>
    <w:p w:rsidR="00DB06C4" w:rsidRPr="00DB06C4" w:rsidRDefault="00DB06C4" w:rsidP="00DB06C4">
      <w:pPr>
        <w:tabs>
          <w:tab w:val="left" w:pos="1197"/>
          <w:tab w:val="left" w:pos="1767"/>
        </w:tabs>
        <w:spacing w:before="120"/>
        <w:ind w:left="720"/>
        <w:rPr>
          <w:rFonts w:ascii="Calibri" w:hAnsi="Calibri"/>
          <w:lang w:val="en-AU"/>
        </w:rPr>
      </w:pPr>
      <w:r w:rsidRPr="00DB06C4">
        <w:rPr>
          <w:rFonts w:ascii="Calibri" w:hAnsi="Calibri"/>
          <w:lang w:val="en-AU"/>
        </w:rPr>
        <w:t>Debate ensued.</w:t>
      </w:r>
    </w:p>
    <w:p w:rsidR="00DB06C4" w:rsidRPr="00DB06C4" w:rsidRDefault="00DB06C4" w:rsidP="00DB06C4">
      <w:pPr>
        <w:tabs>
          <w:tab w:val="left" w:pos="1197"/>
          <w:tab w:val="left" w:pos="1767"/>
        </w:tabs>
        <w:spacing w:before="120"/>
        <w:ind w:left="720"/>
        <w:rPr>
          <w:rFonts w:ascii="Calibri" w:hAnsi="Calibri"/>
          <w:lang w:val="en-AU"/>
        </w:rPr>
      </w:pPr>
      <w:r w:rsidRPr="00DB06C4">
        <w:rPr>
          <w:rFonts w:ascii="Calibri" w:hAnsi="Calibri"/>
          <w:lang w:val="en-AU"/>
        </w:rPr>
        <w:t>Question—put and passed.</w:t>
      </w:r>
    </w:p>
    <w:p w:rsidR="00DB06C4" w:rsidRPr="00DB06C4" w:rsidRDefault="00DB06C4" w:rsidP="00DB06C4">
      <w:pPr>
        <w:tabs>
          <w:tab w:val="left" w:pos="1197"/>
          <w:tab w:val="left" w:pos="1767"/>
        </w:tabs>
        <w:spacing w:before="120"/>
        <w:ind w:left="720"/>
        <w:rPr>
          <w:rFonts w:ascii="Calibri" w:hAnsi="Calibri"/>
          <w:lang w:val="en-AU"/>
        </w:rPr>
      </w:pPr>
      <w:bookmarkStart w:id="0" w:name="_GoBack"/>
      <w:bookmarkEnd w:id="0"/>
      <w:r w:rsidRPr="00DB06C4">
        <w:rPr>
          <w:rFonts w:ascii="Calibri" w:hAnsi="Calibri"/>
          <w:lang w:val="en-AU"/>
        </w:rPr>
        <w:t xml:space="preserve">And then the Assembly, at </w:t>
      </w:r>
      <w:r w:rsidR="00AB3D7B">
        <w:rPr>
          <w:rFonts w:ascii="Calibri" w:hAnsi="Calibri"/>
          <w:lang w:val="en-AU"/>
        </w:rPr>
        <w:t>4</w:t>
      </w:r>
      <w:r w:rsidR="00E86A7D">
        <w:rPr>
          <w:rFonts w:ascii="Calibri" w:hAnsi="Calibri"/>
          <w:lang w:val="en-AU"/>
        </w:rPr>
        <w:t>.</w:t>
      </w:r>
      <w:r w:rsidR="00AB3D7B">
        <w:rPr>
          <w:rFonts w:ascii="Calibri" w:hAnsi="Calibri"/>
          <w:lang w:val="en-AU"/>
        </w:rPr>
        <w:t>43</w:t>
      </w:r>
      <w:r w:rsidRPr="00DB06C4">
        <w:rPr>
          <w:rFonts w:ascii="Calibri" w:hAnsi="Calibri"/>
          <w:lang w:val="en-AU"/>
        </w:rPr>
        <w:t xml:space="preserve"> pm, adjourned until tomorrow at 10 am.</w:t>
      </w:r>
    </w:p>
    <w:p w:rsidR="00DB06C4" w:rsidRPr="00DB06C4" w:rsidRDefault="00DB06C4" w:rsidP="00DB06C4">
      <w:pPr>
        <w:pBdr>
          <w:bottom w:val="thinThickLargeGap" w:sz="18" w:space="1" w:color="auto"/>
        </w:pBdr>
        <w:ind w:left="3427" w:right="3658"/>
        <w:rPr>
          <w:rFonts w:ascii="Calibri" w:hAnsi="Calibri"/>
          <w:i/>
          <w:iCs/>
          <w:lang w:val="en-AU"/>
        </w:rPr>
      </w:pPr>
    </w:p>
    <w:p w:rsidR="00DB06C4" w:rsidRPr="00DB06C4" w:rsidRDefault="00DB06C4" w:rsidP="00DB06C4">
      <w:pPr>
        <w:keepNext/>
        <w:keepLines/>
        <w:spacing w:before="240" w:after="100" w:afterAutospacing="1"/>
        <w:ind w:left="180"/>
        <w:jc w:val="both"/>
        <w:rPr>
          <w:rFonts w:ascii="Calibri" w:hAnsi="Calibri"/>
          <w:bCs/>
        </w:rPr>
      </w:pPr>
      <w:r w:rsidRPr="00DB06C4">
        <w:rPr>
          <w:rFonts w:ascii="Calibri" w:hAnsi="Calibri"/>
          <w:b/>
          <w:caps/>
        </w:rPr>
        <w:lastRenderedPageBreak/>
        <w:t>MEMBERS</w:t>
      </w:r>
      <w:r w:rsidR="00AF0868">
        <w:rPr>
          <w:rFonts w:ascii="Calibri" w:hAnsi="Calibri"/>
          <w:b/>
          <w:caps/>
        </w:rPr>
        <w:t>’</w:t>
      </w:r>
      <w:r w:rsidRPr="00DB06C4">
        <w:rPr>
          <w:rFonts w:ascii="Calibri" w:hAnsi="Calibri"/>
          <w:b/>
          <w:caps/>
        </w:rPr>
        <w:t xml:space="preserve"> ATTENDANCE:  </w:t>
      </w:r>
      <w:r w:rsidRPr="00DB06C4">
        <w:rPr>
          <w:rFonts w:ascii="Calibri" w:hAnsi="Calibri"/>
        </w:rPr>
        <w:t>All Members were present at some time during the sitting</w:t>
      </w:r>
      <w:r w:rsidRPr="00DB06C4">
        <w:rPr>
          <w:rFonts w:ascii="Calibri" w:hAnsi="Calibri"/>
          <w:bCs/>
        </w:rPr>
        <w:t>.</w:t>
      </w:r>
    </w:p>
    <w:p w:rsidR="00DB06C4" w:rsidRPr="00DB06C4" w:rsidRDefault="00DB06C4" w:rsidP="00DB06C4">
      <w:pPr>
        <w:pBdr>
          <w:top w:val="thickThinLargeGap" w:sz="18" w:space="1" w:color="auto"/>
        </w:pBdr>
        <w:spacing w:before="180"/>
        <w:ind w:left="3427" w:right="3658"/>
        <w:jc w:val="center"/>
        <w:rPr>
          <w:rFonts w:ascii="Calibri" w:hAnsi="Calibri"/>
          <w:lang w:val="en-AU"/>
        </w:rPr>
      </w:pPr>
    </w:p>
    <w:p w:rsidR="00DB06C4" w:rsidRPr="00DB06C4" w:rsidRDefault="00DB06C4" w:rsidP="00DB06C4">
      <w:pPr>
        <w:keepNext/>
        <w:keepLines/>
        <w:spacing w:before="720"/>
        <w:ind w:left="5670" w:right="-33"/>
        <w:jc w:val="center"/>
        <w:rPr>
          <w:rFonts w:ascii="Calibri" w:hAnsi="Calibri"/>
          <w:b/>
          <w:bCs/>
          <w:lang w:val="en-AU"/>
        </w:rPr>
      </w:pPr>
      <w:r w:rsidRPr="00DB06C4">
        <w:rPr>
          <w:rFonts w:ascii="Calibri" w:hAnsi="Calibri"/>
          <w:b/>
          <w:bCs/>
          <w:lang w:val="en-AU"/>
        </w:rPr>
        <w:t>Tom Duncan</w:t>
      </w:r>
    </w:p>
    <w:p w:rsidR="00DB06C4" w:rsidRPr="00DB06C4" w:rsidRDefault="00DB06C4" w:rsidP="00DB06C4">
      <w:pPr>
        <w:keepLines/>
        <w:ind w:left="2160"/>
        <w:jc w:val="right"/>
        <w:rPr>
          <w:rFonts w:ascii="Calibri" w:hAnsi="Calibri"/>
          <w:lang w:val="en-AU"/>
        </w:rPr>
      </w:pPr>
      <w:r w:rsidRPr="00DB06C4">
        <w:rPr>
          <w:rFonts w:ascii="Calibri" w:hAnsi="Calibri"/>
          <w:szCs w:val="24"/>
          <w:lang w:val="en-AU"/>
        </w:rPr>
        <w:t>Clerk of the Legislative Assembly</w:t>
      </w:r>
    </w:p>
    <w:p w:rsidR="00FA21B7" w:rsidRDefault="00FA21B7" w:rsidP="008470DD">
      <w:pPr>
        <w:pStyle w:val="DPSEntryDetail"/>
      </w:pPr>
    </w:p>
    <w:p w:rsidR="003754CD" w:rsidRDefault="003754CD">
      <w:pPr>
        <w:spacing w:after="160" w:line="259" w:lineRule="auto"/>
        <w:rPr>
          <w:rFonts w:ascii="Calibri" w:hAnsi="Calibri"/>
          <w:lang w:val="en-AU"/>
        </w:rPr>
      </w:pPr>
      <w:r>
        <w:br w:type="page"/>
      </w:r>
    </w:p>
    <w:p w:rsidR="003754CD" w:rsidRDefault="003D71AA" w:rsidP="003754CD">
      <w:pPr>
        <w:keepNext/>
        <w:keepLines/>
        <w:tabs>
          <w:tab w:val="right" w:pos="339"/>
          <w:tab w:val="left" w:pos="720"/>
        </w:tabs>
        <w:spacing w:before="240"/>
        <w:ind w:left="720" w:hanging="720"/>
        <w:jc w:val="center"/>
        <w:rPr>
          <w:b/>
          <w:sz w:val="36"/>
          <w:szCs w:val="36"/>
        </w:rPr>
        <w:sectPr w:rsidR="003754CD" w:rsidSect="005D6CB0">
          <w:headerReference w:type="even" r:id="rId13"/>
          <w:headerReference w:type="default" r:id="rId14"/>
          <w:footerReference w:type="even" r:id="rId15"/>
          <w:footerReference w:type="default" r:id="rId16"/>
          <w:headerReference w:type="first" r:id="rId17"/>
          <w:footerReference w:type="first" r:id="rId18"/>
          <w:pgSz w:w="11906" w:h="16838" w:code="9"/>
          <w:pgMar w:top="1526" w:right="1440" w:bottom="1267" w:left="1440" w:header="634" w:footer="576" w:gutter="0"/>
          <w:paperSrc w:first="7" w:other="7"/>
          <w:pgNumType w:start="57"/>
          <w:cols w:space="708"/>
          <w:titlePg/>
          <w:docGrid w:linePitch="360"/>
        </w:sectPr>
      </w:pPr>
      <w:r>
        <w:rPr>
          <w:b/>
          <w:sz w:val="36"/>
          <w:szCs w:val="36"/>
        </w:rPr>
        <w:lastRenderedPageBreak/>
        <w:t>SCHEDULE</w:t>
      </w:r>
      <w:r w:rsidR="003754CD" w:rsidRPr="00F27F40">
        <w:rPr>
          <w:b/>
          <w:sz w:val="36"/>
          <w:szCs w:val="36"/>
        </w:rPr>
        <w:t xml:space="preserve"> OF AMENDMENTS</w:t>
      </w:r>
    </w:p>
    <w:p w:rsidR="003754CD" w:rsidRDefault="003754CD" w:rsidP="003754CD">
      <w:pPr>
        <w:keepNext/>
        <w:keepLines/>
        <w:tabs>
          <w:tab w:val="right" w:pos="339"/>
          <w:tab w:val="left" w:pos="720"/>
        </w:tabs>
        <w:spacing w:before="240"/>
        <w:ind w:left="720" w:hanging="720"/>
        <w:jc w:val="center"/>
        <w:rPr>
          <w:b/>
          <w:sz w:val="36"/>
          <w:szCs w:val="36"/>
        </w:rPr>
      </w:pPr>
    </w:p>
    <w:p w:rsidR="003754CD" w:rsidRDefault="003754CD" w:rsidP="003754CD">
      <w:pPr>
        <w:keepNext/>
        <w:keepLines/>
        <w:tabs>
          <w:tab w:val="right" w:pos="339"/>
          <w:tab w:val="left" w:pos="720"/>
        </w:tabs>
        <w:spacing w:before="240"/>
        <w:ind w:left="720" w:hanging="720"/>
        <w:rPr>
          <w:b/>
          <w:sz w:val="28"/>
          <w:szCs w:val="28"/>
          <w:u w:val="single"/>
        </w:rPr>
      </w:pPr>
      <w:bookmarkStart w:id="1" w:name="Schedule1"/>
      <w:r>
        <w:rPr>
          <w:b/>
          <w:sz w:val="28"/>
          <w:szCs w:val="28"/>
          <w:u w:val="single"/>
        </w:rPr>
        <w:t>Schedule 1</w:t>
      </w:r>
    </w:p>
    <w:bookmarkEnd w:id="1"/>
    <w:p w:rsidR="003754CD" w:rsidRDefault="003754CD" w:rsidP="003754CD">
      <w:pPr>
        <w:keepNext/>
        <w:keepLines/>
        <w:tabs>
          <w:tab w:val="right" w:pos="339"/>
          <w:tab w:val="left" w:pos="720"/>
        </w:tabs>
        <w:spacing w:before="240"/>
        <w:ind w:left="720" w:hanging="720"/>
        <w:rPr>
          <w:sz w:val="28"/>
          <w:szCs w:val="28"/>
          <w:u w:val="single"/>
        </w:rPr>
      </w:pPr>
    </w:p>
    <w:p w:rsidR="003754CD" w:rsidRPr="000B6A69" w:rsidRDefault="003754CD" w:rsidP="003754CD">
      <w:pPr>
        <w:pBdr>
          <w:bottom w:val="single" w:sz="4" w:space="1" w:color="auto"/>
        </w:pBdr>
        <w:tabs>
          <w:tab w:val="left" w:pos="1197"/>
          <w:tab w:val="left" w:pos="1767"/>
        </w:tabs>
        <w:spacing w:before="120" w:after="120"/>
        <w:rPr>
          <w:caps/>
          <w:spacing w:val="-2"/>
          <w:sz w:val="26"/>
          <w:szCs w:val="26"/>
          <w:lang w:val="en-AU"/>
        </w:rPr>
      </w:pPr>
      <w:r>
        <w:rPr>
          <w:b/>
          <w:sz w:val="26"/>
          <w:szCs w:val="26"/>
        </w:rPr>
        <w:t>COVID-19 EMERGENCY RESPONSE LEGISLATION AMENDMENT BILL 2020 (NO 3)</w:t>
      </w:r>
    </w:p>
    <w:p w:rsidR="003754CD" w:rsidRDefault="003754CD" w:rsidP="003754CD">
      <w:pPr>
        <w:tabs>
          <w:tab w:val="left" w:pos="1197"/>
          <w:tab w:val="left" w:pos="1767"/>
        </w:tabs>
        <w:spacing w:before="120"/>
        <w:rPr>
          <w:lang w:val="en-AU"/>
        </w:rPr>
      </w:pPr>
      <w:r>
        <w:rPr>
          <w:lang w:val="en-AU"/>
        </w:rPr>
        <w:t>Amendment</w:t>
      </w:r>
      <w:r w:rsidR="003B1F09">
        <w:rPr>
          <w:lang w:val="en-AU"/>
        </w:rPr>
        <w:t>s</w:t>
      </w:r>
      <w:r>
        <w:rPr>
          <w:lang w:val="en-AU"/>
        </w:rPr>
        <w:t xml:space="preserve"> circulated by Ms Lee</w:t>
      </w:r>
    </w:p>
    <w:p w:rsidR="003754CD" w:rsidRPr="00546F9A" w:rsidRDefault="003754CD" w:rsidP="003754CD">
      <w:pPr>
        <w:pStyle w:val="AH3sec"/>
        <w:tabs>
          <w:tab w:val="clear" w:pos="1500"/>
        </w:tabs>
      </w:pPr>
      <w:r w:rsidRPr="00546F9A">
        <w:br/>
      </w:r>
      <w:r>
        <w:t>Schedule 1, amendment 1.8</w:t>
      </w:r>
      <w:r w:rsidRPr="00546F9A">
        <w:br/>
        <w:t xml:space="preserve">Page </w:t>
      </w:r>
      <w:r>
        <w:t>5, line 3</w:t>
      </w:r>
      <w:r w:rsidRPr="00546F9A">
        <w:t>—</w:t>
      </w:r>
    </w:p>
    <w:p w:rsidR="003754CD" w:rsidRDefault="003754CD" w:rsidP="003754CD">
      <w:pPr>
        <w:pStyle w:val="direction"/>
        <w:keepNext w:val="0"/>
      </w:pPr>
      <w:r>
        <w:t>omit the amendment</w:t>
      </w:r>
    </w:p>
    <w:p w:rsidR="003754CD" w:rsidRDefault="003754CD" w:rsidP="003754CD">
      <w:pPr>
        <w:pStyle w:val="AH3sec"/>
        <w:tabs>
          <w:tab w:val="clear" w:pos="1500"/>
        </w:tabs>
      </w:pPr>
      <w:r>
        <w:br/>
        <w:t>Schedule 1, amendment 1.9</w:t>
      </w:r>
      <w:r>
        <w:br/>
        <w:t>Page 5, line 8—</w:t>
      </w:r>
    </w:p>
    <w:p w:rsidR="003754CD" w:rsidRDefault="003754CD" w:rsidP="003754CD">
      <w:pPr>
        <w:pStyle w:val="direction"/>
        <w:keepNext w:val="0"/>
      </w:pPr>
      <w:r>
        <w:t>omit the amendment</w:t>
      </w:r>
    </w:p>
    <w:p w:rsidR="003754CD" w:rsidRDefault="003754CD" w:rsidP="003754CD">
      <w:pPr>
        <w:pStyle w:val="AH3sec"/>
        <w:tabs>
          <w:tab w:val="clear" w:pos="1500"/>
        </w:tabs>
      </w:pPr>
      <w:r>
        <w:br/>
        <w:t>Schedule 1, amendment 1.10</w:t>
      </w:r>
      <w:r>
        <w:br/>
        <w:t>Page 5, line 12—</w:t>
      </w:r>
    </w:p>
    <w:p w:rsidR="003B1F09" w:rsidRDefault="003754CD" w:rsidP="003754CD">
      <w:pPr>
        <w:pStyle w:val="direction"/>
        <w:sectPr w:rsidR="003B1F09" w:rsidSect="003754CD">
          <w:type w:val="continuous"/>
          <w:pgSz w:w="11906" w:h="16838"/>
          <w:pgMar w:top="1526" w:right="1440" w:bottom="1267" w:left="1440" w:header="634" w:footer="575" w:gutter="0"/>
          <w:pgNumType w:start="1"/>
          <w:cols w:space="708"/>
          <w:titlePg/>
          <w:docGrid w:linePitch="360"/>
        </w:sectPr>
      </w:pPr>
      <w:r>
        <w:t>omit the amendment</w:t>
      </w:r>
    </w:p>
    <w:p w:rsidR="003B1F09" w:rsidRPr="003B1F09" w:rsidRDefault="003B1F09" w:rsidP="003B1F09">
      <w:pPr>
        <w:pBdr>
          <w:top w:val="single" w:sz="4" w:space="1" w:color="auto"/>
        </w:pBdr>
        <w:spacing w:before="140"/>
        <w:rPr>
          <w:lang w:val="en-AU" w:eastAsia="en-US"/>
        </w:rPr>
      </w:pPr>
    </w:p>
    <w:sectPr w:rsidR="003B1F09" w:rsidRPr="003B1F09" w:rsidSect="003754CD">
      <w:type w:val="continuous"/>
      <w:pgSz w:w="11906" w:h="16838"/>
      <w:pgMar w:top="1526" w:right="1440" w:bottom="1267" w:left="1440" w:header="634" w:footer="57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6B" w:rsidRDefault="003E316B" w:rsidP="000F3D35">
      <w:r>
        <w:separator/>
      </w:r>
    </w:p>
  </w:endnote>
  <w:endnote w:type="continuationSeparator" w:id="0">
    <w:p w:rsidR="003E316B" w:rsidRDefault="003E316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6B" w:rsidRDefault="003E3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6B" w:rsidRDefault="003E3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6B" w:rsidRDefault="003E316B" w:rsidP="00A9381B">
    <w:pPr>
      <w:pBdr>
        <w:top w:val="single" w:sz="4" w:space="0" w:color="auto"/>
      </w:pBdr>
      <w:jc w:val="center"/>
      <w:rPr>
        <w:b/>
        <w:sz w:val="20"/>
      </w:rPr>
    </w:pPr>
  </w:p>
  <w:p w:rsidR="003E316B" w:rsidRDefault="003E316B" w:rsidP="00A9381B">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6B" w:rsidRDefault="003E316B" w:rsidP="000F3D35">
      <w:r>
        <w:separator/>
      </w:r>
    </w:p>
  </w:footnote>
  <w:footnote w:type="continuationSeparator" w:id="0">
    <w:p w:rsidR="003E316B" w:rsidRDefault="003E316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6B" w:rsidRPr="000E4643" w:rsidRDefault="003E316B"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A59AE">
      <w:rPr>
        <w:noProof/>
        <w:sz w:val="22"/>
        <w:szCs w:val="22"/>
      </w:rPr>
      <w:t>68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5</w:t>
    </w:r>
    <w:r w:rsidRPr="000E4643">
      <w:rPr>
        <w:rFonts w:ascii="Arial" w:hAnsi="Arial" w:cs="Arial"/>
        <w:i/>
        <w:color w:val="222222"/>
        <w:sz w:val="22"/>
        <w:szCs w:val="22"/>
        <w:shd w:val="clear" w:color="auto" w:fill="FFFFFF"/>
      </w:rPr>
      <w:t>—</w:t>
    </w:r>
    <w:r>
      <w:rPr>
        <w:i/>
        <w:sz w:val="22"/>
        <w:szCs w:val="22"/>
      </w:rPr>
      <w:t>10 February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6B" w:rsidRPr="001B5139" w:rsidRDefault="003E316B"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5</w:t>
    </w:r>
    <w:r w:rsidRPr="001B5139">
      <w:rPr>
        <w:rFonts w:ascii="Arial" w:hAnsi="Arial" w:cs="Arial"/>
        <w:i/>
        <w:color w:val="222222"/>
        <w:sz w:val="22"/>
        <w:szCs w:val="22"/>
        <w:shd w:val="clear" w:color="auto" w:fill="FFFFFF"/>
      </w:rPr>
      <w:t>—</w:t>
    </w:r>
    <w:r>
      <w:rPr>
        <w:i/>
        <w:sz w:val="22"/>
        <w:szCs w:val="22"/>
      </w:rPr>
      <w:t>10 February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9A59AE">
      <w:rPr>
        <w:noProof/>
        <w:sz w:val="22"/>
        <w:szCs w:val="22"/>
      </w:rPr>
      <w:t>67</w:t>
    </w:r>
    <w:r w:rsidRPr="001B5139">
      <w:rPr>
        <w:noProof/>
        <w:sz w:val="22"/>
        <w:szCs w:val="22"/>
      </w:rPr>
      <w:fldChar w:fldCharType="end"/>
    </w:r>
  </w:p>
  <w:p w:rsidR="003E316B" w:rsidRPr="0075625A" w:rsidRDefault="003E316B" w:rsidP="00F4167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945809400"/>
      <w:docPartObj>
        <w:docPartGallery w:val="Page Numbers (Top of Page)"/>
        <w:docPartUnique/>
      </w:docPartObj>
    </w:sdtPr>
    <w:sdtEndPr>
      <w:rPr>
        <w:noProof/>
      </w:rPr>
    </w:sdtEndPr>
    <w:sdtContent>
      <w:p w:rsidR="003E316B" w:rsidRPr="000E4643" w:rsidRDefault="003E316B"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A59AE">
          <w:rPr>
            <w:noProof/>
            <w:sz w:val="22"/>
            <w:szCs w:val="22"/>
          </w:rPr>
          <w:t>57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A5C228A"/>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1425D"/>
    <w:multiLevelType w:val="hybridMultilevel"/>
    <w:tmpl w:val="676E78CA"/>
    <w:lvl w:ilvl="0" w:tplc="52C01FDA">
      <w:start w:val="1"/>
      <w:numFmt w:val="none"/>
      <w:pStyle w:val="DPSEntryDetailListLev4"/>
      <w:lvlText w:val="(A)"/>
      <w:lvlJc w:val="left"/>
      <w:pPr>
        <w:tabs>
          <w:tab w:val="num" w:pos="2880"/>
        </w:tabs>
        <w:ind w:left="2592" w:hanging="432"/>
      </w:pPr>
      <w:rPr>
        <w:rFonts w:hint="default"/>
      </w:rPr>
    </w:lvl>
    <w:lvl w:ilvl="1" w:tplc="04090019" w:tentative="1">
      <w:start w:val="1"/>
      <w:numFmt w:val="lowerLetter"/>
      <w:lvlText w:val="%2."/>
      <w:lvlJc w:val="left"/>
      <w:pPr>
        <w:tabs>
          <w:tab w:val="num" w:pos="4032"/>
        </w:tabs>
        <w:ind w:left="4032" w:hanging="360"/>
      </w:pPr>
    </w:lvl>
    <w:lvl w:ilvl="2" w:tplc="0409001B" w:tentative="1">
      <w:start w:val="1"/>
      <w:numFmt w:val="lowerRoman"/>
      <w:lvlText w:val="%3."/>
      <w:lvlJc w:val="right"/>
      <w:pPr>
        <w:tabs>
          <w:tab w:val="num" w:pos="4752"/>
        </w:tabs>
        <w:ind w:left="4752" w:hanging="180"/>
      </w:pPr>
    </w:lvl>
    <w:lvl w:ilvl="3" w:tplc="0409000F" w:tentative="1">
      <w:start w:val="1"/>
      <w:numFmt w:val="decimal"/>
      <w:lvlText w:val="%4."/>
      <w:lvlJc w:val="left"/>
      <w:pPr>
        <w:tabs>
          <w:tab w:val="num" w:pos="5472"/>
        </w:tabs>
        <w:ind w:left="5472" w:hanging="360"/>
      </w:pPr>
    </w:lvl>
    <w:lvl w:ilvl="4" w:tplc="04090019" w:tentative="1">
      <w:start w:val="1"/>
      <w:numFmt w:val="lowerLetter"/>
      <w:lvlText w:val="%5."/>
      <w:lvlJc w:val="left"/>
      <w:pPr>
        <w:tabs>
          <w:tab w:val="num" w:pos="6192"/>
        </w:tabs>
        <w:ind w:left="6192" w:hanging="360"/>
      </w:pPr>
    </w:lvl>
    <w:lvl w:ilvl="5" w:tplc="0409001B" w:tentative="1">
      <w:start w:val="1"/>
      <w:numFmt w:val="lowerRoman"/>
      <w:lvlText w:val="%6."/>
      <w:lvlJc w:val="right"/>
      <w:pPr>
        <w:tabs>
          <w:tab w:val="num" w:pos="6912"/>
        </w:tabs>
        <w:ind w:left="6912" w:hanging="180"/>
      </w:pPr>
    </w:lvl>
    <w:lvl w:ilvl="6" w:tplc="0409000F" w:tentative="1">
      <w:start w:val="1"/>
      <w:numFmt w:val="decimal"/>
      <w:lvlText w:val="%7."/>
      <w:lvlJc w:val="left"/>
      <w:pPr>
        <w:tabs>
          <w:tab w:val="num" w:pos="7632"/>
        </w:tabs>
        <w:ind w:left="7632" w:hanging="360"/>
      </w:pPr>
    </w:lvl>
    <w:lvl w:ilvl="7" w:tplc="04090019" w:tentative="1">
      <w:start w:val="1"/>
      <w:numFmt w:val="lowerLetter"/>
      <w:lvlText w:val="%8."/>
      <w:lvlJc w:val="left"/>
      <w:pPr>
        <w:tabs>
          <w:tab w:val="num" w:pos="8352"/>
        </w:tabs>
        <w:ind w:left="8352" w:hanging="360"/>
      </w:pPr>
    </w:lvl>
    <w:lvl w:ilvl="8" w:tplc="0409001B" w:tentative="1">
      <w:start w:val="1"/>
      <w:numFmt w:val="lowerRoman"/>
      <w:lvlText w:val="%9."/>
      <w:lvlJc w:val="right"/>
      <w:pPr>
        <w:tabs>
          <w:tab w:val="num" w:pos="9072"/>
        </w:tabs>
        <w:ind w:left="9072" w:hanging="180"/>
      </w:pPr>
    </w:lvl>
  </w:abstractNum>
  <w:abstractNum w:abstractNumId="10" w15:restartNumberingAfterBreak="0">
    <w:nsid w:val="2ECB70C0"/>
    <w:multiLevelType w:val="hybridMultilevel"/>
    <w:tmpl w:val="1D34DF12"/>
    <w:lvl w:ilvl="0" w:tplc="6F8E18EA">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5D6D6B3B"/>
    <w:multiLevelType w:val="hybridMultilevel"/>
    <w:tmpl w:val="F94097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6348B6"/>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67AD14D9"/>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07A77"/>
    <w:multiLevelType w:val="hybridMultilevel"/>
    <w:tmpl w:val="9B46571C"/>
    <w:lvl w:ilvl="0" w:tplc="16066D40">
      <w:start w:val="1"/>
      <w:numFmt w:val="decimal"/>
      <w:pStyle w:val="AH3sec"/>
      <w:lvlText w:val="%1"/>
      <w:lvlJc w:val="left"/>
      <w:pPr>
        <w:ind w:left="360" w:hanging="360"/>
      </w:pPr>
      <w:rPr>
        <w:rFonts w:hint="default"/>
        <w:b/>
        <w:i w:val="0"/>
      </w:rPr>
    </w:lvl>
    <w:lvl w:ilvl="1" w:tplc="A1F23674" w:tentative="1">
      <w:start w:val="1"/>
      <w:numFmt w:val="lowerLetter"/>
      <w:lvlText w:val="%2."/>
      <w:lvlJc w:val="left"/>
      <w:pPr>
        <w:ind w:left="1080" w:hanging="360"/>
      </w:pPr>
    </w:lvl>
    <w:lvl w:ilvl="2" w:tplc="864A4FC4" w:tentative="1">
      <w:start w:val="1"/>
      <w:numFmt w:val="lowerRoman"/>
      <w:lvlText w:val="%3."/>
      <w:lvlJc w:val="right"/>
      <w:pPr>
        <w:ind w:left="1800" w:hanging="180"/>
      </w:pPr>
    </w:lvl>
    <w:lvl w:ilvl="3" w:tplc="7AC0A260" w:tentative="1">
      <w:start w:val="1"/>
      <w:numFmt w:val="decimal"/>
      <w:lvlText w:val="%4."/>
      <w:lvlJc w:val="left"/>
      <w:pPr>
        <w:ind w:left="2520" w:hanging="360"/>
      </w:pPr>
    </w:lvl>
    <w:lvl w:ilvl="4" w:tplc="CFC656C6" w:tentative="1">
      <w:start w:val="1"/>
      <w:numFmt w:val="lowerLetter"/>
      <w:lvlText w:val="%5."/>
      <w:lvlJc w:val="left"/>
      <w:pPr>
        <w:ind w:left="3240" w:hanging="360"/>
      </w:pPr>
    </w:lvl>
    <w:lvl w:ilvl="5" w:tplc="5A747DDE" w:tentative="1">
      <w:start w:val="1"/>
      <w:numFmt w:val="lowerRoman"/>
      <w:lvlText w:val="%6."/>
      <w:lvlJc w:val="right"/>
      <w:pPr>
        <w:ind w:left="3960" w:hanging="180"/>
      </w:pPr>
    </w:lvl>
    <w:lvl w:ilvl="6" w:tplc="40764D42" w:tentative="1">
      <w:start w:val="1"/>
      <w:numFmt w:val="decimal"/>
      <w:lvlText w:val="%7."/>
      <w:lvlJc w:val="left"/>
      <w:pPr>
        <w:ind w:left="4680" w:hanging="360"/>
      </w:pPr>
    </w:lvl>
    <w:lvl w:ilvl="7" w:tplc="51FECF58" w:tentative="1">
      <w:start w:val="1"/>
      <w:numFmt w:val="lowerLetter"/>
      <w:lvlText w:val="%8."/>
      <w:lvlJc w:val="left"/>
      <w:pPr>
        <w:ind w:left="5400" w:hanging="360"/>
      </w:pPr>
    </w:lvl>
    <w:lvl w:ilvl="8" w:tplc="22A689B2" w:tentative="1">
      <w:start w:val="1"/>
      <w:numFmt w:val="lowerRoman"/>
      <w:lvlText w:val="%9."/>
      <w:lvlJc w:val="right"/>
      <w:pPr>
        <w:ind w:left="6120" w:hanging="180"/>
      </w:pPr>
    </w:lvl>
  </w:abstractNum>
  <w:abstractNum w:abstractNumId="20" w15:restartNumberingAfterBreak="0">
    <w:nsid w:val="7D6F4CEA"/>
    <w:multiLevelType w:val="multilevel"/>
    <w:tmpl w:val="3E48A3E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3"/>
  </w:num>
  <w:num w:numId="3">
    <w:abstractNumId w:val="20"/>
  </w:num>
  <w:num w:numId="4">
    <w:abstractNumId w:val="17"/>
  </w:num>
  <w:num w:numId="5">
    <w:abstractNumId w:val="7"/>
  </w:num>
  <w:num w:numId="6">
    <w:abstractNumId w:val="13"/>
  </w:num>
  <w:num w:numId="7">
    <w:abstractNumId w:val="8"/>
  </w:num>
  <w:num w:numId="8">
    <w:abstractNumId w:val="11"/>
  </w:num>
  <w:num w:numId="9">
    <w:abstractNumId w:val="4"/>
  </w:num>
  <w:num w:numId="10">
    <w:abstractNumId w:val="0"/>
  </w:num>
  <w:num w:numId="11">
    <w:abstractNumId w:val="12"/>
  </w:num>
  <w:num w:numId="12">
    <w:abstractNumId w:val="18"/>
  </w:num>
  <w:num w:numId="13">
    <w:abstractNumId w:val="6"/>
  </w:num>
  <w:num w:numId="14">
    <w:abstractNumId w:val="18"/>
  </w:num>
  <w:num w:numId="15">
    <w:abstractNumId w:val="18"/>
  </w:num>
  <w:num w:numId="16">
    <w:abstractNumId w:val="1"/>
  </w:num>
  <w:num w:numId="17">
    <w:abstractNumId w:val="19"/>
  </w:num>
  <w:num w:numId="18">
    <w:abstractNumId w:val="2"/>
  </w:num>
  <w:num w:numId="19">
    <w:abstractNumId w:val="16"/>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4"/>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06D0"/>
    <w:rsid w:val="00004DD3"/>
    <w:rsid w:val="00012638"/>
    <w:rsid w:val="000316BA"/>
    <w:rsid w:val="000411B4"/>
    <w:rsid w:val="00043734"/>
    <w:rsid w:val="000453A9"/>
    <w:rsid w:val="00056B48"/>
    <w:rsid w:val="00073DA4"/>
    <w:rsid w:val="00077A9A"/>
    <w:rsid w:val="00080B31"/>
    <w:rsid w:val="000A42CB"/>
    <w:rsid w:val="000A5BA3"/>
    <w:rsid w:val="000A6740"/>
    <w:rsid w:val="000C3F6D"/>
    <w:rsid w:val="000C40FA"/>
    <w:rsid w:val="000D1574"/>
    <w:rsid w:val="000E4643"/>
    <w:rsid w:val="000F3D35"/>
    <w:rsid w:val="000F72F3"/>
    <w:rsid w:val="00103204"/>
    <w:rsid w:val="00104ACA"/>
    <w:rsid w:val="001167CE"/>
    <w:rsid w:val="00117D25"/>
    <w:rsid w:val="00132330"/>
    <w:rsid w:val="001331C8"/>
    <w:rsid w:val="00137E0F"/>
    <w:rsid w:val="0015436A"/>
    <w:rsid w:val="00161009"/>
    <w:rsid w:val="00175CB1"/>
    <w:rsid w:val="00180A56"/>
    <w:rsid w:val="00181C27"/>
    <w:rsid w:val="001826BD"/>
    <w:rsid w:val="001A039F"/>
    <w:rsid w:val="001A5948"/>
    <w:rsid w:val="001A6A69"/>
    <w:rsid w:val="001B5139"/>
    <w:rsid w:val="001B6ECE"/>
    <w:rsid w:val="001C264A"/>
    <w:rsid w:val="001C38E5"/>
    <w:rsid w:val="001F33A2"/>
    <w:rsid w:val="002251DD"/>
    <w:rsid w:val="00232CD2"/>
    <w:rsid w:val="002360FF"/>
    <w:rsid w:val="00266A8D"/>
    <w:rsid w:val="00291769"/>
    <w:rsid w:val="002B152B"/>
    <w:rsid w:val="002B7FA9"/>
    <w:rsid w:val="002C1A82"/>
    <w:rsid w:val="002D5320"/>
    <w:rsid w:val="002E047E"/>
    <w:rsid w:val="002E1147"/>
    <w:rsid w:val="002E3F6B"/>
    <w:rsid w:val="002F5566"/>
    <w:rsid w:val="00306AF2"/>
    <w:rsid w:val="003149C4"/>
    <w:rsid w:val="00315194"/>
    <w:rsid w:val="00322C0A"/>
    <w:rsid w:val="00324019"/>
    <w:rsid w:val="00335A47"/>
    <w:rsid w:val="00345E7D"/>
    <w:rsid w:val="00352FBA"/>
    <w:rsid w:val="00363133"/>
    <w:rsid w:val="00364EB5"/>
    <w:rsid w:val="00374414"/>
    <w:rsid w:val="003754CD"/>
    <w:rsid w:val="0037761B"/>
    <w:rsid w:val="003805EC"/>
    <w:rsid w:val="003931BE"/>
    <w:rsid w:val="003A3341"/>
    <w:rsid w:val="003B1F09"/>
    <w:rsid w:val="003B7161"/>
    <w:rsid w:val="003C7570"/>
    <w:rsid w:val="003D12D4"/>
    <w:rsid w:val="003D1903"/>
    <w:rsid w:val="003D71AA"/>
    <w:rsid w:val="003E0FF4"/>
    <w:rsid w:val="003E316B"/>
    <w:rsid w:val="003F516C"/>
    <w:rsid w:val="004047F9"/>
    <w:rsid w:val="00410F42"/>
    <w:rsid w:val="0041459F"/>
    <w:rsid w:val="00432F9E"/>
    <w:rsid w:val="00434476"/>
    <w:rsid w:val="004419C3"/>
    <w:rsid w:val="00447502"/>
    <w:rsid w:val="00460C16"/>
    <w:rsid w:val="004706D9"/>
    <w:rsid w:val="00472D1D"/>
    <w:rsid w:val="00476347"/>
    <w:rsid w:val="00495C4D"/>
    <w:rsid w:val="004A473E"/>
    <w:rsid w:val="004A6CFB"/>
    <w:rsid w:val="004A6DE0"/>
    <w:rsid w:val="004D5F0C"/>
    <w:rsid w:val="004E25A9"/>
    <w:rsid w:val="004F1B5D"/>
    <w:rsid w:val="004F1D14"/>
    <w:rsid w:val="004F3AA0"/>
    <w:rsid w:val="00505EDF"/>
    <w:rsid w:val="00514CA9"/>
    <w:rsid w:val="00517B20"/>
    <w:rsid w:val="00525EF7"/>
    <w:rsid w:val="0053064A"/>
    <w:rsid w:val="00535985"/>
    <w:rsid w:val="005370E0"/>
    <w:rsid w:val="00551A57"/>
    <w:rsid w:val="00557E49"/>
    <w:rsid w:val="00561ED7"/>
    <w:rsid w:val="00595C9E"/>
    <w:rsid w:val="005A3E01"/>
    <w:rsid w:val="005D244E"/>
    <w:rsid w:val="005D6CB0"/>
    <w:rsid w:val="005F3AB0"/>
    <w:rsid w:val="006015EF"/>
    <w:rsid w:val="0060380C"/>
    <w:rsid w:val="006113B7"/>
    <w:rsid w:val="006168DF"/>
    <w:rsid w:val="006170BD"/>
    <w:rsid w:val="00622D21"/>
    <w:rsid w:val="00632A05"/>
    <w:rsid w:val="006628C0"/>
    <w:rsid w:val="0069722D"/>
    <w:rsid w:val="006A2D21"/>
    <w:rsid w:val="006A71DC"/>
    <w:rsid w:val="006A742A"/>
    <w:rsid w:val="006B3AB3"/>
    <w:rsid w:val="006B4B08"/>
    <w:rsid w:val="006B77D9"/>
    <w:rsid w:val="006C2392"/>
    <w:rsid w:val="006C61F9"/>
    <w:rsid w:val="006C620F"/>
    <w:rsid w:val="006D0D92"/>
    <w:rsid w:val="006D5EE8"/>
    <w:rsid w:val="006D7183"/>
    <w:rsid w:val="006E0398"/>
    <w:rsid w:val="006E0B6B"/>
    <w:rsid w:val="006E54FE"/>
    <w:rsid w:val="006F1671"/>
    <w:rsid w:val="006F6540"/>
    <w:rsid w:val="006F7E15"/>
    <w:rsid w:val="00701B32"/>
    <w:rsid w:val="00707065"/>
    <w:rsid w:val="00720167"/>
    <w:rsid w:val="0072484E"/>
    <w:rsid w:val="00730F9B"/>
    <w:rsid w:val="0075625A"/>
    <w:rsid w:val="007730C2"/>
    <w:rsid w:val="007754A9"/>
    <w:rsid w:val="0079181F"/>
    <w:rsid w:val="007948EA"/>
    <w:rsid w:val="00797348"/>
    <w:rsid w:val="007D05AB"/>
    <w:rsid w:val="007E763F"/>
    <w:rsid w:val="0081083C"/>
    <w:rsid w:val="00812CE0"/>
    <w:rsid w:val="008155CB"/>
    <w:rsid w:val="00826A1D"/>
    <w:rsid w:val="0083252E"/>
    <w:rsid w:val="00840850"/>
    <w:rsid w:val="0084580A"/>
    <w:rsid w:val="008470DD"/>
    <w:rsid w:val="008527DE"/>
    <w:rsid w:val="00856CFC"/>
    <w:rsid w:val="008639F4"/>
    <w:rsid w:val="00863EEC"/>
    <w:rsid w:val="008678F0"/>
    <w:rsid w:val="008907F9"/>
    <w:rsid w:val="008B5C98"/>
    <w:rsid w:val="008C0C3C"/>
    <w:rsid w:val="008D46C0"/>
    <w:rsid w:val="00913319"/>
    <w:rsid w:val="0091670C"/>
    <w:rsid w:val="00937657"/>
    <w:rsid w:val="00940980"/>
    <w:rsid w:val="00947600"/>
    <w:rsid w:val="00954431"/>
    <w:rsid w:val="00955648"/>
    <w:rsid w:val="00960707"/>
    <w:rsid w:val="009759DB"/>
    <w:rsid w:val="0097638A"/>
    <w:rsid w:val="00983EC5"/>
    <w:rsid w:val="00992CE7"/>
    <w:rsid w:val="009A2DEA"/>
    <w:rsid w:val="009A4AED"/>
    <w:rsid w:val="009A59AE"/>
    <w:rsid w:val="009C09B3"/>
    <w:rsid w:val="009C604C"/>
    <w:rsid w:val="009C679C"/>
    <w:rsid w:val="009D17C4"/>
    <w:rsid w:val="009D55B8"/>
    <w:rsid w:val="009D5B44"/>
    <w:rsid w:val="009E4530"/>
    <w:rsid w:val="009E6DE9"/>
    <w:rsid w:val="009F0F63"/>
    <w:rsid w:val="009F3898"/>
    <w:rsid w:val="00A15DB3"/>
    <w:rsid w:val="00A176C3"/>
    <w:rsid w:val="00A273E2"/>
    <w:rsid w:val="00A3120A"/>
    <w:rsid w:val="00A32342"/>
    <w:rsid w:val="00A47849"/>
    <w:rsid w:val="00A5071A"/>
    <w:rsid w:val="00A606B4"/>
    <w:rsid w:val="00A76A84"/>
    <w:rsid w:val="00A80BD2"/>
    <w:rsid w:val="00A839DD"/>
    <w:rsid w:val="00A85D5B"/>
    <w:rsid w:val="00A911EA"/>
    <w:rsid w:val="00A9381B"/>
    <w:rsid w:val="00AA2A14"/>
    <w:rsid w:val="00AB3D7B"/>
    <w:rsid w:val="00AB4E5A"/>
    <w:rsid w:val="00AC0FED"/>
    <w:rsid w:val="00AC5F5D"/>
    <w:rsid w:val="00AC7116"/>
    <w:rsid w:val="00AC7752"/>
    <w:rsid w:val="00AD20FA"/>
    <w:rsid w:val="00AD3DEE"/>
    <w:rsid w:val="00AD4E8B"/>
    <w:rsid w:val="00AF0868"/>
    <w:rsid w:val="00AF3C23"/>
    <w:rsid w:val="00B35E85"/>
    <w:rsid w:val="00B404D4"/>
    <w:rsid w:val="00B405A5"/>
    <w:rsid w:val="00B4182B"/>
    <w:rsid w:val="00B52E18"/>
    <w:rsid w:val="00B54777"/>
    <w:rsid w:val="00B766B9"/>
    <w:rsid w:val="00B944DA"/>
    <w:rsid w:val="00B9772E"/>
    <w:rsid w:val="00BA5A47"/>
    <w:rsid w:val="00BB08CF"/>
    <w:rsid w:val="00BB69BD"/>
    <w:rsid w:val="00BC04A2"/>
    <w:rsid w:val="00C07633"/>
    <w:rsid w:val="00C173D3"/>
    <w:rsid w:val="00C259EC"/>
    <w:rsid w:val="00C4417D"/>
    <w:rsid w:val="00CA6AD3"/>
    <w:rsid w:val="00CC3AB3"/>
    <w:rsid w:val="00CD1291"/>
    <w:rsid w:val="00CD416B"/>
    <w:rsid w:val="00CE458A"/>
    <w:rsid w:val="00CF718D"/>
    <w:rsid w:val="00D124CC"/>
    <w:rsid w:val="00D17B81"/>
    <w:rsid w:val="00D405A0"/>
    <w:rsid w:val="00D44D14"/>
    <w:rsid w:val="00D44D3F"/>
    <w:rsid w:val="00D55354"/>
    <w:rsid w:val="00D74B53"/>
    <w:rsid w:val="00D7660C"/>
    <w:rsid w:val="00D80B86"/>
    <w:rsid w:val="00D90BD9"/>
    <w:rsid w:val="00D974F0"/>
    <w:rsid w:val="00DA552D"/>
    <w:rsid w:val="00DB06C4"/>
    <w:rsid w:val="00DC12B3"/>
    <w:rsid w:val="00DC2A8B"/>
    <w:rsid w:val="00DC6821"/>
    <w:rsid w:val="00DD2520"/>
    <w:rsid w:val="00DD2646"/>
    <w:rsid w:val="00DD6AE8"/>
    <w:rsid w:val="00DF0003"/>
    <w:rsid w:val="00E2410B"/>
    <w:rsid w:val="00E24E67"/>
    <w:rsid w:val="00E25C94"/>
    <w:rsid w:val="00E42FF5"/>
    <w:rsid w:val="00E46637"/>
    <w:rsid w:val="00E50CFA"/>
    <w:rsid w:val="00E50E6B"/>
    <w:rsid w:val="00E60D62"/>
    <w:rsid w:val="00E722D4"/>
    <w:rsid w:val="00E758AC"/>
    <w:rsid w:val="00E7659D"/>
    <w:rsid w:val="00E81A56"/>
    <w:rsid w:val="00E86A7D"/>
    <w:rsid w:val="00E9120A"/>
    <w:rsid w:val="00E91CE2"/>
    <w:rsid w:val="00EC0D13"/>
    <w:rsid w:val="00ED7CF5"/>
    <w:rsid w:val="00EE66E0"/>
    <w:rsid w:val="00EE7108"/>
    <w:rsid w:val="00EF4597"/>
    <w:rsid w:val="00F015DE"/>
    <w:rsid w:val="00F07869"/>
    <w:rsid w:val="00F12931"/>
    <w:rsid w:val="00F22D95"/>
    <w:rsid w:val="00F24EE2"/>
    <w:rsid w:val="00F2626E"/>
    <w:rsid w:val="00F3263D"/>
    <w:rsid w:val="00F41679"/>
    <w:rsid w:val="00F451D6"/>
    <w:rsid w:val="00F62370"/>
    <w:rsid w:val="00F62CE8"/>
    <w:rsid w:val="00F64A40"/>
    <w:rsid w:val="00F65074"/>
    <w:rsid w:val="00F73487"/>
    <w:rsid w:val="00F74B01"/>
    <w:rsid w:val="00F77E66"/>
    <w:rsid w:val="00F951D9"/>
    <w:rsid w:val="00FA1C87"/>
    <w:rsid w:val="00FA21B7"/>
    <w:rsid w:val="00FC64FA"/>
    <w:rsid w:val="00FE6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AH3sec">
    <w:name w:val="A H3 sec"/>
    <w:basedOn w:val="Normal"/>
    <w:next w:val="Normal"/>
    <w:rsid w:val="003754CD"/>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direction">
    <w:name w:val="direction"/>
    <w:basedOn w:val="Normal"/>
    <w:next w:val="Normal"/>
    <w:rsid w:val="003754CD"/>
    <w:pPr>
      <w:keepNext/>
      <w:spacing w:before="140"/>
      <w:ind w:left="1100"/>
      <w:jc w:val="both"/>
    </w:pPr>
    <w:rPr>
      <w:rFonts w:ascii="Times New Roman" w:hAnsi="Times New Roman"/>
      <w:i/>
      <w:lang w:val="en-AU" w:eastAsia="en-US"/>
    </w:rPr>
  </w:style>
  <w:style w:type="character" w:customStyle="1" w:styleId="DPSNoticeIndent1Char">
    <w:name w:val="DPSNoticeIndent1 Char"/>
    <w:link w:val="DPSNoticeIndent1"/>
    <w:locked/>
    <w:rsid w:val="00E9120A"/>
    <w:rPr>
      <w:rFonts w:ascii="Calibri" w:eastAsia="Calibri" w:hAnsi="Calibri"/>
      <w:sz w:val="24"/>
      <w:szCs w:val="24"/>
    </w:rPr>
  </w:style>
  <w:style w:type="paragraph" w:customStyle="1" w:styleId="DPSNoticeIndent1">
    <w:name w:val="DPSNoticeIndent1"/>
    <w:basedOn w:val="Normal"/>
    <w:link w:val="DPSNoticeIndent1Char"/>
    <w:rsid w:val="00E9120A"/>
    <w:pPr>
      <w:spacing w:before="60" w:after="60"/>
      <w:ind w:left="1701" w:hanging="567"/>
    </w:pPr>
    <w:rPr>
      <w:rFonts w:ascii="Calibri" w:eastAsia="Calibri" w:hAnsi="Calibri" w:cstheme="minorBidi"/>
      <w:szCs w:val="24"/>
      <w:lang w:val="en-AU"/>
    </w:rPr>
  </w:style>
  <w:style w:type="paragraph" w:customStyle="1" w:styleId="DPSEntryDetailListLev4">
    <w:name w:val="DPSEntryDetailListLev4"/>
    <w:autoRedefine/>
    <w:rsid w:val="00DB06C4"/>
    <w:pPr>
      <w:numPr>
        <w:numId w:val="27"/>
      </w:numPr>
      <w:tabs>
        <w:tab w:val="left" w:pos="2700"/>
      </w:tabs>
      <w:spacing w:before="120"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ustraliancurriculum.edu.au/resources/curriculum-connections/portfolios/consumer-and-financial-liter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eysmart.gov.au/teaching-resour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wnload.asic.gov.au/media/5893493/rep676-published-15-december-20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6D1AD17-9331-40C6-B4FF-975249D6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13</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2021-02-10T06:00:00Z</cp:lastPrinted>
  <dcterms:created xsi:type="dcterms:W3CDTF">2021-07-15T23:03:00Z</dcterms:created>
  <dcterms:modified xsi:type="dcterms:W3CDTF">2021-07-15T23:03:00Z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