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9271" w14:textId="6BCE7A30" w:rsidR="00431F3D" w:rsidRDefault="005C099A" w:rsidP="00431F3D">
      <w:pPr>
        <w:pStyle w:val="Committeename"/>
      </w:pPr>
      <w:r>
        <w:t>Standing Committee on Legal Affairs</w:t>
      </w:r>
    </w:p>
    <w:p w14:paraId="64ADCDF5" w14:textId="77777777" w:rsidR="00CC3E02" w:rsidRDefault="00CC3E02" w:rsidP="00871621">
      <w:pPr>
        <w:pStyle w:val="Heading2"/>
        <w:jc w:val="center"/>
      </w:pPr>
      <w:r>
        <w:t>Media Release</w:t>
      </w:r>
    </w:p>
    <w:p w14:paraId="7A6CDE0D" w14:textId="5C4C1DF5" w:rsidR="003672C4" w:rsidRDefault="00E474FF" w:rsidP="00871621">
      <w:pPr>
        <w:pStyle w:val="Heading2"/>
        <w:jc w:val="center"/>
      </w:pPr>
      <w:r>
        <w:t xml:space="preserve">Public hearing for </w:t>
      </w:r>
      <w:r w:rsidR="006B7CF3">
        <w:t xml:space="preserve">Inquiry into </w:t>
      </w:r>
      <w:r w:rsidR="00E56F90">
        <w:t xml:space="preserve">the </w:t>
      </w:r>
      <w:r w:rsidR="00172327">
        <w:t>Family, Personal and Sexual Violence Legislation</w:t>
      </w:r>
      <w:r w:rsidR="006B7CF3">
        <w:t xml:space="preserve"> Amendment Bill 2025</w:t>
      </w:r>
    </w:p>
    <w:p w14:paraId="76124C4F" w14:textId="728E5D9A" w:rsidR="00E474FF" w:rsidRDefault="00326E14" w:rsidP="00326E14">
      <w:pPr>
        <w:rPr>
          <w:shd w:val="clear" w:color="auto" w:fill="FFFFFF"/>
        </w:rPr>
      </w:pPr>
      <w:r>
        <w:rPr>
          <w:shd w:val="clear" w:color="auto" w:fill="FFFFFF"/>
        </w:rPr>
        <w:t>The Legislative Assembly’s Standing Committee on Legal Affairs </w:t>
      </w:r>
      <w:r w:rsidR="009B688C">
        <w:rPr>
          <w:shd w:val="clear" w:color="auto" w:fill="FFFFFF"/>
        </w:rPr>
        <w:t xml:space="preserve">will hold a public hearing for its </w:t>
      </w:r>
      <w:r>
        <w:rPr>
          <w:shd w:val="clear" w:color="auto" w:fill="FFFFFF"/>
        </w:rPr>
        <w:t xml:space="preserve">inquiry into the </w:t>
      </w:r>
      <w:r w:rsidR="00172327">
        <w:rPr>
          <w:shd w:val="clear" w:color="auto" w:fill="FFFFFF"/>
        </w:rPr>
        <w:t>Family, Personal and Sexual Violence Legislation</w:t>
      </w:r>
      <w:r w:rsidR="004A188A" w:rsidRPr="00326E14">
        <w:rPr>
          <w:shd w:val="clear" w:color="auto" w:fill="FFFFFF"/>
        </w:rPr>
        <w:t xml:space="preserve"> Amendment Bill 2025</w:t>
      </w:r>
      <w:r w:rsidR="00E474FF">
        <w:rPr>
          <w:shd w:val="clear" w:color="auto" w:fill="FFFFFF"/>
        </w:rPr>
        <w:t xml:space="preserve"> </w:t>
      </w:r>
      <w:r w:rsidR="009B688C">
        <w:rPr>
          <w:shd w:val="clear" w:color="auto" w:fill="FFFFFF"/>
        </w:rPr>
        <w:t xml:space="preserve">on Friday </w:t>
      </w:r>
      <w:r w:rsidR="00172327">
        <w:rPr>
          <w:shd w:val="clear" w:color="auto" w:fill="FFFFFF"/>
        </w:rPr>
        <w:t>20 March</w:t>
      </w:r>
      <w:r w:rsidR="009B688C">
        <w:rPr>
          <w:shd w:val="clear" w:color="auto" w:fill="FFFFFF"/>
        </w:rPr>
        <w:t xml:space="preserve"> 202</w:t>
      </w:r>
      <w:r w:rsidR="00172327">
        <w:rPr>
          <w:shd w:val="clear" w:color="auto" w:fill="FFFFFF"/>
        </w:rPr>
        <w:t>6</w:t>
      </w:r>
      <w:r w:rsidR="009B688C">
        <w:rPr>
          <w:shd w:val="clear" w:color="auto" w:fill="FFFFFF"/>
        </w:rPr>
        <w:t>.</w:t>
      </w:r>
    </w:p>
    <w:p w14:paraId="3724C6B4" w14:textId="77777777" w:rsidR="00B946AE" w:rsidRDefault="00B946AE" w:rsidP="00B946AE">
      <w:pPr>
        <w:spacing w:before="0" w:after="160" w:line="278" w:lineRule="auto"/>
        <w:rPr>
          <w:shd w:val="clear" w:color="auto" w:fill="FFFFFF"/>
        </w:rPr>
      </w:pPr>
      <w:r w:rsidRPr="00B946AE">
        <w:rPr>
          <w:shd w:val="clear" w:color="auto" w:fill="FFFFFF"/>
        </w:rPr>
        <w:t>Visitors are welcome to observe the proceedings in the Prince Edward Island Room at the Legislative Assembly building on London Circuit.</w:t>
      </w:r>
    </w:p>
    <w:p w14:paraId="2667C894" w14:textId="00EBC783" w:rsidR="00016EDD" w:rsidRDefault="00016EDD" w:rsidP="00016EDD">
      <w:pPr>
        <w:rPr>
          <w:shd w:val="clear" w:color="auto" w:fill="FFFFFF"/>
        </w:rPr>
      </w:pPr>
      <w:r>
        <w:rPr>
          <w:shd w:val="clear" w:color="auto" w:fill="FFFFFF"/>
        </w:rPr>
        <w:t>The hearing schedule for the inquiry is available at</w:t>
      </w:r>
      <w:r w:rsidR="009B688C">
        <w:rPr>
          <w:shd w:val="clear" w:color="auto" w:fill="FFFFFF"/>
        </w:rPr>
        <w:t xml:space="preserve"> on the Assembly’s </w:t>
      </w:r>
      <w:hyperlink r:id="rId7" w:history="1">
        <w:r w:rsidR="009B688C" w:rsidRPr="009B688C">
          <w:rPr>
            <w:rStyle w:val="Hyperlink"/>
            <w:shd w:val="clear" w:color="auto" w:fill="FFFFFF"/>
          </w:rPr>
          <w:t>website</w:t>
        </w:r>
      </w:hyperlink>
      <w:r w:rsidR="009B688C">
        <w:rPr>
          <w:shd w:val="clear" w:color="auto" w:fill="FFFFFF"/>
        </w:rPr>
        <w:t>.</w:t>
      </w:r>
    </w:p>
    <w:p w14:paraId="18E7B46B" w14:textId="77777777" w:rsidR="00B946AE" w:rsidRPr="00B946AE" w:rsidRDefault="00B946AE" w:rsidP="00B946AE">
      <w:pPr>
        <w:spacing w:before="0" w:after="160" w:line="278" w:lineRule="auto"/>
        <w:rPr>
          <w:shd w:val="clear" w:color="auto" w:fill="FFFFFF"/>
        </w:rPr>
      </w:pPr>
      <w:r w:rsidRPr="00B946AE">
        <w:rPr>
          <w:shd w:val="clear" w:color="auto" w:fill="FFFFFF"/>
        </w:rPr>
        <w:t xml:space="preserve">Public hearings are also available on demand from the Legislative Assembly website at: </w:t>
      </w:r>
      <w:hyperlink r:id="rId8" w:history="1">
        <w:r w:rsidRPr="00B946AE">
          <w:rPr>
            <w:rStyle w:val="Hyperlink"/>
            <w:shd w:val="clear" w:color="auto" w:fill="FFFFFF"/>
          </w:rPr>
          <w:t>https://broadcast.parliament.act.gov.au/vod/index</w:t>
        </w:r>
      </w:hyperlink>
      <w:r w:rsidRPr="00B946AE">
        <w:rPr>
          <w:shd w:val="clear" w:color="auto" w:fill="FFFFFF"/>
        </w:rPr>
        <w:t xml:space="preserve"> </w:t>
      </w:r>
    </w:p>
    <w:p w14:paraId="43303B0D" w14:textId="3C2BAD22" w:rsidR="00661EB9" w:rsidRDefault="00B946AE" w:rsidP="00B946AE">
      <w:pPr>
        <w:spacing w:before="0" w:after="160" w:line="278" w:lineRule="auto"/>
        <w:rPr>
          <w:shd w:val="clear" w:color="auto" w:fill="FFFFFF"/>
        </w:rPr>
      </w:pPr>
      <w:r w:rsidRPr="00B946AE">
        <w:rPr>
          <w:shd w:val="clear" w:color="auto" w:fill="FFFFFF"/>
        </w:rPr>
        <w:t xml:space="preserve">The Inquiry’s Terms of Reference are </w:t>
      </w:r>
      <w:r w:rsidR="009B688C">
        <w:rPr>
          <w:shd w:val="clear" w:color="auto" w:fill="FFFFFF"/>
        </w:rPr>
        <w:t xml:space="preserve">also </w:t>
      </w:r>
      <w:r w:rsidRPr="00B946AE">
        <w:rPr>
          <w:shd w:val="clear" w:color="auto" w:fill="FFFFFF"/>
        </w:rPr>
        <w:t>available from</w:t>
      </w:r>
      <w:r w:rsidR="009B688C">
        <w:rPr>
          <w:shd w:val="clear" w:color="auto" w:fill="FFFFFF"/>
        </w:rPr>
        <w:t xml:space="preserve"> the Committee’s </w:t>
      </w:r>
      <w:hyperlink r:id="rId9" w:history="1">
        <w:r w:rsidR="009B688C" w:rsidRPr="00172327">
          <w:rPr>
            <w:rStyle w:val="Hyperlink"/>
            <w:shd w:val="clear" w:color="auto" w:fill="FFFFFF"/>
          </w:rPr>
          <w:t>webpage</w:t>
        </w:r>
      </w:hyperlink>
      <w:r w:rsidR="009B688C">
        <w:rPr>
          <w:shd w:val="clear" w:color="auto" w:fill="FFFFFF"/>
        </w:rPr>
        <w:t xml:space="preserve"> for the inquiry.</w:t>
      </w:r>
      <w:r w:rsidRPr="00B946AE">
        <w:rPr>
          <w:shd w:val="clear" w:color="auto" w:fill="FFFFFF"/>
        </w:rPr>
        <w:t xml:space="preserve"> </w:t>
      </w:r>
    </w:p>
    <w:p w14:paraId="6376C352" w14:textId="77777777" w:rsidR="001C6DE8" w:rsidRPr="00326E14" w:rsidRDefault="00B946AE" w:rsidP="001C6DE8">
      <w:pPr>
        <w:rPr>
          <w:shd w:val="clear" w:color="auto" w:fill="FFFFFF"/>
        </w:rPr>
      </w:pPr>
      <w:r w:rsidRPr="00B946AE">
        <w:rPr>
          <w:shd w:val="clear" w:color="auto" w:fill="FFFFFF"/>
        </w:rPr>
        <w:t xml:space="preserve"> </w:t>
      </w:r>
      <w:r w:rsidR="001C6DE8" w:rsidRPr="00326E14">
        <w:rPr>
          <w:shd w:val="clear" w:color="auto" w:fill="FFFFFF"/>
        </w:rPr>
        <w:t>Support for anyone affected by the issues raised in this inquiry is available from:</w:t>
      </w:r>
    </w:p>
    <w:p w14:paraId="75445BA9" w14:textId="07517A87" w:rsidR="00172327" w:rsidRPr="00326E14" w:rsidRDefault="00172327" w:rsidP="00172327">
      <w:pPr>
        <w:pStyle w:val="ListParagraph"/>
        <w:numPr>
          <w:ilvl w:val="0"/>
          <w:numId w:val="19"/>
        </w:numPr>
        <w:spacing w:before="0" w:after="0"/>
        <w:ind w:left="714" w:hanging="357"/>
        <w:rPr>
          <w:shd w:val="clear" w:color="auto" w:fill="FFFFFF"/>
        </w:rPr>
      </w:pPr>
      <w:r w:rsidRPr="00326E14">
        <w:rPr>
          <w:shd w:val="clear" w:color="auto" w:fill="FFFFFF"/>
        </w:rPr>
        <w:t>Lifeline, phone 131114</w:t>
      </w:r>
    </w:p>
    <w:p w14:paraId="5A7D5D0D" w14:textId="410D077D" w:rsidR="00172327" w:rsidRDefault="00172327" w:rsidP="00172327">
      <w:pPr>
        <w:pStyle w:val="ListParagraph"/>
        <w:numPr>
          <w:ilvl w:val="0"/>
          <w:numId w:val="19"/>
        </w:numPr>
        <w:spacing w:before="0" w:after="0"/>
        <w:ind w:left="714" w:hanging="357"/>
        <w:rPr>
          <w:shd w:val="clear" w:color="auto" w:fill="FFFFFF"/>
        </w:rPr>
      </w:pPr>
      <w:r w:rsidRPr="00326E14">
        <w:rPr>
          <w:shd w:val="clear" w:color="auto" w:fill="FFFFFF"/>
        </w:rPr>
        <w:t xml:space="preserve">1800RESPECT, </w:t>
      </w:r>
      <w:r>
        <w:rPr>
          <w:shd w:val="clear" w:color="auto" w:fill="FFFFFF"/>
        </w:rPr>
        <w:t xml:space="preserve">phone </w:t>
      </w:r>
      <w:r w:rsidRPr="00326E14">
        <w:rPr>
          <w:shd w:val="clear" w:color="auto" w:fill="FFFFFF"/>
        </w:rPr>
        <w:t>1800 737 732</w:t>
      </w:r>
    </w:p>
    <w:p w14:paraId="1667A2E7" w14:textId="77777777" w:rsidR="00172327" w:rsidRDefault="00172327" w:rsidP="00172327">
      <w:pPr>
        <w:pStyle w:val="ListParagraph"/>
        <w:numPr>
          <w:ilvl w:val="0"/>
          <w:numId w:val="19"/>
        </w:numPr>
        <w:spacing w:before="0" w:after="0"/>
        <w:ind w:left="714" w:hanging="357"/>
        <w:rPr>
          <w:shd w:val="clear" w:color="auto" w:fill="FFFFFF"/>
        </w:rPr>
      </w:pPr>
      <w:r>
        <w:rPr>
          <w:shd w:val="clear" w:color="auto" w:fill="FFFFFF"/>
        </w:rPr>
        <w:t>Bravehearts, phone 1800 272 831</w:t>
      </w:r>
    </w:p>
    <w:p w14:paraId="20E12FF7" w14:textId="77777777" w:rsidR="00172327" w:rsidRDefault="00172327" w:rsidP="00172327">
      <w:pPr>
        <w:pStyle w:val="ListParagraph"/>
        <w:numPr>
          <w:ilvl w:val="0"/>
          <w:numId w:val="19"/>
        </w:numPr>
        <w:spacing w:before="0" w:after="0"/>
        <w:ind w:left="714" w:hanging="357"/>
        <w:rPr>
          <w:shd w:val="clear" w:color="auto" w:fill="FFFFFF"/>
        </w:rPr>
      </w:pPr>
      <w:r>
        <w:rPr>
          <w:shd w:val="clear" w:color="auto" w:fill="FFFFFF"/>
        </w:rPr>
        <w:t xml:space="preserve">Kids Helpline, phone 1800 55 1800, </w:t>
      </w:r>
      <w:hyperlink r:id="rId10" w:history="1">
        <w:proofErr w:type="spellStart"/>
        <w:r w:rsidRPr="00326E14">
          <w:rPr>
            <w:rStyle w:val="Hyperlink"/>
            <w:shd w:val="clear" w:color="auto" w:fill="FFFFFF"/>
          </w:rPr>
          <w:t>WebChat</w:t>
        </w:r>
        <w:proofErr w:type="spellEnd"/>
      </w:hyperlink>
      <w:r w:rsidRPr="00326E14">
        <w:rPr>
          <w:shd w:val="clear" w:color="auto" w:fill="FFFFFF"/>
        </w:rPr>
        <w:t> </w:t>
      </w:r>
    </w:p>
    <w:p w14:paraId="79F9EB79" w14:textId="77777777" w:rsidR="00172327" w:rsidRPr="00326E14" w:rsidRDefault="00172327" w:rsidP="00172327">
      <w:pPr>
        <w:pStyle w:val="ListParagraph"/>
        <w:numPr>
          <w:ilvl w:val="0"/>
          <w:numId w:val="19"/>
        </w:numPr>
        <w:spacing w:before="0" w:after="0"/>
        <w:ind w:left="714" w:hanging="357"/>
        <w:rPr>
          <w:shd w:val="clear" w:color="auto" w:fill="FFFFFF"/>
        </w:rPr>
      </w:pPr>
      <w:r>
        <w:rPr>
          <w:shd w:val="clear" w:color="auto" w:fill="FFFFFF"/>
        </w:rPr>
        <w:t>13Yarn, phone 139276</w:t>
      </w:r>
    </w:p>
    <w:p w14:paraId="3FB4B8AB" w14:textId="621B4F86" w:rsidR="001C6DE8" w:rsidRPr="00326E14" w:rsidRDefault="001C6DE8" w:rsidP="001C6DE8">
      <w:pPr>
        <w:pStyle w:val="ListParagraph"/>
        <w:numPr>
          <w:ilvl w:val="0"/>
          <w:numId w:val="0"/>
        </w:numPr>
        <w:spacing w:before="0" w:after="0"/>
        <w:ind w:left="714"/>
        <w:rPr>
          <w:shd w:val="clear" w:color="auto" w:fill="FFFFFF"/>
        </w:rPr>
      </w:pPr>
    </w:p>
    <w:p w14:paraId="267017E6" w14:textId="2C9CCCF3" w:rsidR="00B946AE" w:rsidRPr="00B946AE" w:rsidRDefault="00172327" w:rsidP="00B946AE">
      <w:pPr>
        <w:spacing w:before="0" w:after="160" w:line="278" w:lineRule="auto"/>
        <w:rPr>
          <w:shd w:val="clear" w:color="auto" w:fill="FFFFFF"/>
        </w:rPr>
      </w:pPr>
      <w:r>
        <w:rPr>
          <w:shd w:val="clear" w:color="auto" w:fill="FFFFFF"/>
        </w:rPr>
        <w:t>19 March</w:t>
      </w:r>
      <w:r w:rsidR="00B946AE" w:rsidRPr="001C6DE8">
        <w:rPr>
          <w:shd w:val="clear" w:color="auto" w:fill="FFFFFF"/>
        </w:rPr>
        <w:t xml:space="preserve"> 202</w:t>
      </w:r>
      <w:r>
        <w:rPr>
          <w:shd w:val="clear" w:color="auto" w:fill="FFFFFF"/>
        </w:rPr>
        <w:t>6</w:t>
      </w:r>
    </w:p>
    <w:p w14:paraId="35518715" w14:textId="77777777" w:rsidR="00B946AE" w:rsidRDefault="00B946AE" w:rsidP="00B946AE">
      <w:pPr>
        <w:spacing w:before="0" w:after="160" w:line="278" w:lineRule="auto"/>
        <w:rPr>
          <w:shd w:val="clear" w:color="auto" w:fill="FFFFFF"/>
        </w:rPr>
      </w:pPr>
      <w:r w:rsidRPr="00B946AE">
        <w:rPr>
          <w:shd w:val="clear" w:color="auto" w:fill="FFFFFF"/>
        </w:rPr>
        <w:t>STATEMENT ENDS</w:t>
      </w:r>
    </w:p>
    <w:p w14:paraId="7E5C7A8A" w14:textId="77777777" w:rsidR="00B946AE" w:rsidRDefault="00B946AE" w:rsidP="00B946AE">
      <w:pPr>
        <w:spacing w:before="0" w:after="160" w:line="278" w:lineRule="auto"/>
        <w:rPr>
          <w:shd w:val="clear" w:color="auto" w:fill="FFFFFF"/>
        </w:rPr>
      </w:pP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B946AE" w:rsidRPr="00863546" w14:paraId="6B86B215" w14:textId="77777777" w:rsidTr="00B946AE">
        <w:trPr>
          <w:jc w:val="center"/>
        </w:trPr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7C3EA0D" w14:textId="77777777" w:rsidR="00B946AE" w:rsidRDefault="00B946AE" w:rsidP="00BA20EF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01F6ADAC" w14:textId="77777777" w:rsidR="00B946AE" w:rsidRPr="000513FB" w:rsidRDefault="00B946AE" w:rsidP="00BA20EF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Chiaka</w:t>
            </w:r>
            <w:proofErr w:type="spellEnd"/>
            <w:r>
              <w:rPr>
                <w:sz w:val="20"/>
                <w:szCs w:val="20"/>
              </w:rPr>
              <w:t xml:space="preserve"> Barry</w:t>
            </w:r>
            <w:r w:rsidRPr="000513FB">
              <w:rPr>
                <w:sz w:val="20"/>
                <w:szCs w:val="20"/>
              </w:rPr>
              <w:t xml:space="preserve"> MLA, chair – (02) 620 </w:t>
            </w:r>
            <w:r>
              <w:rPr>
                <w:sz w:val="20"/>
                <w:szCs w:val="20"/>
              </w:rPr>
              <w:t>54874</w:t>
            </w:r>
          </w:p>
          <w:p w14:paraId="6F716042" w14:textId="0D05AB27" w:rsidR="00B946AE" w:rsidRPr="00863546" w:rsidRDefault="009B688C" w:rsidP="00BA20EF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S</w:t>
            </w:r>
            <w:r w:rsidR="00B946AE" w:rsidRPr="007C1E31">
              <w:rPr>
                <w:sz w:val="20"/>
                <w:szCs w:val="20"/>
              </w:rPr>
              <w:t>ecretary – (02) 620 70524 or LAcommittee</w:t>
            </w:r>
            <w:r w:rsidR="00B946AE">
              <w:rPr>
                <w:sz w:val="20"/>
                <w:szCs w:val="20"/>
              </w:rPr>
              <w:t>Legal</w:t>
            </w:r>
            <w:r w:rsidR="00B946AE" w:rsidRPr="007C1E31">
              <w:rPr>
                <w:sz w:val="20"/>
                <w:szCs w:val="20"/>
              </w:rPr>
              <w:t>@parliament.act.gov.au</w:t>
            </w:r>
          </w:p>
        </w:tc>
      </w:tr>
    </w:tbl>
    <w:p w14:paraId="296AD0BB" w14:textId="77777777" w:rsidR="00B946AE" w:rsidRPr="00863546" w:rsidRDefault="00B946AE" w:rsidP="00B946AE">
      <w:pPr>
        <w:pStyle w:val="NoSpacing"/>
        <w:rPr>
          <w:shd w:val="clear" w:color="auto" w:fill="FFFFFF"/>
        </w:rPr>
      </w:pPr>
    </w:p>
    <w:p w14:paraId="03CA7DAD" w14:textId="31F7F113" w:rsidR="00B946AE" w:rsidRPr="00863546" w:rsidRDefault="00B946AE" w:rsidP="00B946AE">
      <w:pPr>
        <w:pStyle w:val="ListParagraph"/>
        <w:numPr>
          <w:ilvl w:val="0"/>
          <w:numId w:val="0"/>
        </w:numPr>
        <w:spacing w:before="60" w:after="120"/>
        <w:ind w:left="357"/>
      </w:pPr>
    </w:p>
    <w:p w14:paraId="3CFD09D9" w14:textId="77777777" w:rsidR="0085250D" w:rsidRDefault="0085250D" w:rsidP="00F64176">
      <w:pPr>
        <w:pStyle w:val="BodyText"/>
        <w:spacing w:before="240"/>
      </w:pPr>
    </w:p>
    <w:sectPr w:rsidR="0085250D" w:rsidSect="001E1EC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9721" w14:textId="77777777" w:rsidR="005C099A" w:rsidRDefault="005C099A" w:rsidP="003C03E9">
      <w:pPr>
        <w:spacing w:after="0" w:line="240" w:lineRule="auto"/>
      </w:pPr>
      <w:r>
        <w:separator/>
      </w:r>
    </w:p>
    <w:p w14:paraId="03F0A0FD" w14:textId="77777777" w:rsidR="005C099A" w:rsidRDefault="005C099A"/>
  </w:endnote>
  <w:endnote w:type="continuationSeparator" w:id="0">
    <w:p w14:paraId="1BA9C9DC" w14:textId="77777777" w:rsidR="005C099A" w:rsidRDefault="005C099A" w:rsidP="003C03E9">
      <w:pPr>
        <w:spacing w:after="0" w:line="240" w:lineRule="auto"/>
      </w:pPr>
      <w:r>
        <w:continuationSeparator/>
      </w:r>
    </w:p>
    <w:p w14:paraId="5BB1ADEC" w14:textId="77777777" w:rsidR="005C099A" w:rsidRDefault="005C0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5D30" w14:textId="77777777" w:rsidR="00FA2F7D" w:rsidRDefault="00FA2F7D" w:rsidP="00110D21">
    <w:pPr>
      <w:pStyle w:val="Footer"/>
    </w:pPr>
  </w:p>
  <w:p w14:paraId="10F0B52F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DC37" w14:textId="25A91382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1526B9">
      <w:rPr>
        <w:noProof/>
        <w:color w:val="1A234C"/>
        <w:sz w:val="16"/>
        <w:szCs w:val="16"/>
      </w:rPr>
      <w:t>Standing Committee on Legal Affairs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</w:t>
    </w:r>
    <w:r w:rsidR="005C099A">
      <w:rPr>
        <w:rFonts w:ascii="Segoe UI Symbol" w:hAnsi="Segoe UI Symbol" w:cs="Segoe UI Symbol"/>
        <w:color w:val="1A234C"/>
        <w:sz w:val="16"/>
        <w:szCs w:val="16"/>
      </w:rPr>
      <w:t xml:space="preserve"> 70524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5C099A" w:rsidRPr="005C099A">
        <w:rPr>
          <w:rStyle w:val="Hyperlink"/>
          <w:rFonts w:ascii="Segoe UI Symbol" w:hAnsi="Segoe UI Symbol" w:cs="Segoe UI Symbol"/>
          <w:sz w:val="16"/>
          <w:szCs w:val="16"/>
        </w:rPr>
        <w:t>LACommitteeLegal@parliament.act.gov.au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7852" w14:textId="77777777" w:rsidR="005C099A" w:rsidRDefault="005C099A" w:rsidP="00502117">
      <w:pPr>
        <w:spacing w:after="0" w:line="240" w:lineRule="auto"/>
      </w:pPr>
      <w:r>
        <w:separator/>
      </w:r>
    </w:p>
  </w:footnote>
  <w:footnote w:type="continuationSeparator" w:id="0">
    <w:p w14:paraId="09CAC864" w14:textId="77777777" w:rsidR="005C099A" w:rsidRDefault="005C099A" w:rsidP="003C03E9">
      <w:pPr>
        <w:spacing w:after="0" w:line="240" w:lineRule="auto"/>
      </w:pPr>
      <w:r>
        <w:continuationSeparator/>
      </w:r>
    </w:p>
    <w:p w14:paraId="43765149" w14:textId="77777777" w:rsidR="005C099A" w:rsidRDefault="005C09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B491" w14:textId="28CBD463" w:rsidR="00297F72" w:rsidRDefault="00297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98CB" w14:textId="3B222AAC" w:rsidR="00297F72" w:rsidRDefault="00297F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FAFE" w14:textId="21C5C4F8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9264" behindDoc="0" locked="0" layoutInCell="1" allowOverlap="1" wp14:anchorId="1E233776" wp14:editId="48136A4E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4287D4FD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E18BB"/>
    <w:multiLevelType w:val="hybridMultilevel"/>
    <w:tmpl w:val="EFB0B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74949"/>
    <w:multiLevelType w:val="hybridMultilevel"/>
    <w:tmpl w:val="7E6687B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86B678D"/>
    <w:multiLevelType w:val="hybridMultilevel"/>
    <w:tmpl w:val="D5607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439771">
    <w:abstractNumId w:val="17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4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5"/>
  </w:num>
  <w:num w:numId="14" w16cid:durableId="1640769313">
    <w:abstractNumId w:val="10"/>
  </w:num>
  <w:num w:numId="15" w16cid:durableId="1315064853">
    <w:abstractNumId w:val="12"/>
  </w:num>
  <w:num w:numId="16" w16cid:durableId="1986935595">
    <w:abstractNumId w:val="13"/>
  </w:num>
  <w:num w:numId="17" w16cid:durableId="2145847502">
    <w:abstractNumId w:val="16"/>
  </w:num>
  <w:num w:numId="18" w16cid:durableId="150685563">
    <w:abstractNumId w:val="11"/>
  </w:num>
  <w:num w:numId="19" w16cid:durableId="1454127557">
    <w:abstractNumId w:val="18"/>
  </w:num>
  <w:num w:numId="20" w16cid:durableId="21239147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9A"/>
    <w:rsid w:val="00016EDD"/>
    <w:rsid w:val="0002594D"/>
    <w:rsid w:val="00041A3A"/>
    <w:rsid w:val="00095173"/>
    <w:rsid w:val="000A1378"/>
    <w:rsid w:val="000B5591"/>
    <w:rsid w:val="000D3BB9"/>
    <w:rsid w:val="000E1A8E"/>
    <w:rsid w:val="000E3BE6"/>
    <w:rsid w:val="001058B2"/>
    <w:rsid w:val="00110734"/>
    <w:rsid w:val="00110D21"/>
    <w:rsid w:val="0014392D"/>
    <w:rsid w:val="001526B9"/>
    <w:rsid w:val="00154896"/>
    <w:rsid w:val="00166FCE"/>
    <w:rsid w:val="00172327"/>
    <w:rsid w:val="001A041A"/>
    <w:rsid w:val="001C0EC9"/>
    <w:rsid w:val="001C6DE8"/>
    <w:rsid w:val="001D38F4"/>
    <w:rsid w:val="001D6802"/>
    <w:rsid w:val="001E1EC0"/>
    <w:rsid w:val="001E7F1D"/>
    <w:rsid w:val="001F6AD4"/>
    <w:rsid w:val="0021253E"/>
    <w:rsid w:val="00221F14"/>
    <w:rsid w:val="0025077A"/>
    <w:rsid w:val="00273F61"/>
    <w:rsid w:val="0027673A"/>
    <w:rsid w:val="00297F72"/>
    <w:rsid w:val="002A3D25"/>
    <w:rsid w:val="002D1594"/>
    <w:rsid w:val="003004A0"/>
    <w:rsid w:val="00326E14"/>
    <w:rsid w:val="003533BD"/>
    <w:rsid w:val="003672C4"/>
    <w:rsid w:val="00376140"/>
    <w:rsid w:val="00396466"/>
    <w:rsid w:val="003C03E9"/>
    <w:rsid w:val="003E163A"/>
    <w:rsid w:val="00431F3D"/>
    <w:rsid w:val="0043280E"/>
    <w:rsid w:val="00443C68"/>
    <w:rsid w:val="004614F7"/>
    <w:rsid w:val="00497B05"/>
    <w:rsid w:val="004A188A"/>
    <w:rsid w:val="004B4B13"/>
    <w:rsid w:val="004B549C"/>
    <w:rsid w:val="004C3A6C"/>
    <w:rsid w:val="004D2C7E"/>
    <w:rsid w:val="004E439A"/>
    <w:rsid w:val="00502117"/>
    <w:rsid w:val="005552EA"/>
    <w:rsid w:val="00560E8A"/>
    <w:rsid w:val="00580677"/>
    <w:rsid w:val="00595740"/>
    <w:rsid w:val="005A1959"/>
    <w:rsid w:val="005A350A"/>
    <w:rsid w:val="005A4F0B"/>
    <w:rsid w:val="005B7986"/>
    <w:rsid w:val="005C099A"/>
    <w:rsid w:val="005D2D97"/>
    <w:rsid w:val="00630074"/>
    <w:rsid w:val="00661EB9"/>
    <w:rsid w:val="0068484E"/>
    <w:rsid w:val="006B7CF3"/>
    <w:rsid w:val="006D4A0A"/>
    <w:rsid w:val="006D6584"/>
    <w:rsid w:val="0070559C"/>
    <w:rsid w:val="007141D8"/>
    <w:rsid w:val="0073427B"/>
    <w:rsid w:val="007370AD"/>
    <w:rsid w:val="007756E0"/>
    <w:rsid w:val="00790B81"/>
    <w:rsid w:val="007D2175"/>
    <w:rsid w:val="0085250D"/>
    <w:rsid w:val="00871621"/>
    <w:rsid w:val="00872845"/>
    <w:rsid w:val="008800AE"/>
    <w:rsid w:val="00885CDA"/>
    <w:rsid w:val="008B567D"/>
    <w:rsid w:val="00900B0E"/>
    <w:rsid w:val="00913885"/>
    <w:rsid w:val="009153F0"/>
    <w:rsid w:val="00951FB5"/>
    <w:rsid w:val="00952036"/>
    <w:rsid w:val="00983C68"/>
    <w:rsid w:val="00983F2A"/>
    <w:rsid w:val="00986789"/>
    <w:rsid w:val="009B150A"/>
    <w:rsid w:val="009B15D1"/>
    <w:rsid w:val="009B15D6"/>
    <w:rsid w:val="009B688C"/>
    <w:rsid w:val="009E30E8"/>
    <w:rsid w:val="00A10508"/>
    <w:rsid w:val="00A425CB"/>
    <w:rsid w:val="00A55289"/>
    <w:rsid w:val="00A557C2"/>
    <w:rsid w:val="00A60016"/>
    <w:rsid w:val="00AB3B63"/>
    <w:rsid w:val="00AD41C4"/>
    <w:rsid w:val="00AE2724"/>
    <w:rsid w:val="00AE2E3B"/>
    <w:rsid w:val="00AF4939"/>
    <w:rsid w:val="00B719AD"/>
    <w:rsid w:val="00B90546"/>
    <w:rsid w:val="00B94047"/>
    <w:rsid w:val="00B946AE"/>
    <w:rsid w:val="00B96063"/>
    <w:rsid w:val="00BD680E"/>
    <w:rsid w:val="00BE79C7"/>
    <w:rsid w:val="00C108B4"/>
    <w:rsid w:val="00C253ED"/>
    <w:rsid w:val="00C43599"/>
    <w:rsid w:val="00C94F64"/>
    <w:rsid w:val="00CA1EB1"/>
    <w:rsid w:val="00CC1E1A"/>
    <w:rsid w:val="00CC3E02"/>
    <w:rsid w:val="00CE32F1"/>
    <w:rsid w:val="00D27851"/>
    <w:rsid w:val="00D46F14"/>
    <w:rsid w:val="00D603A4"/>
    <w:rsid w:val="00DA532A"/>
    <w:rsid w:val="00DB003D"/>
    <w:rsid w:val="00DB55DB"/>
    <w:rsid w:val="00DC109A"/>
    <w:rsid w:val="00DD185F"/>
    <w:rsid w:val="00DF40C0"/>
    <w:rsid w:val="00DF4B56"/>
    <w:rsid w:val="00E40A41"/>
    <w:rsid w:val="00E474FF"/>
    <w:rsid w:val="00E56F90"/>
    <w:rsid w:val="00EA767F"/>
    <w:rsid w:val="00EC3781"/>
    <w:rsid w:val="00ED4AB6"/>
    <w:rsid w:val="00EE3FBF"/>
    <w:rsid w:val="00EE6040"/>
    <w:rsid w:val="00EF60A1"/>
    <w:rsid w:val="00F53532"/>
    <w:rsid w:val="00F64176"/>
    <w:rsid w:val="00F70998"/>
    <w:rsid w:val="00F749DA"/>
    <w:rsid w:val="00F85DFF"/>
    <w:rsid w:val="00FA2F7D"/>
    <w:rsid w:val="00FA5E42"/>
    <w:rsid w:val="00FA7129"/>
    <w:rsid w:val="00FD02D2"/>
    <w:rsid w:val="00FE3A6F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BCFDD"/>
  <w15:chartTrackingRefBased/>
  <w15:docId w15:val="{46891EA1-4775-44EA-88CC-EA30A8BC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A2F7D"/>
    <w:pPr>
      <w:keepNext/>
      <w:keepLines/>
      <w:spacing w:before="240" w:after="240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F7D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paragraph" w:styleId="BodyText">
    <w:name w:val="Body Text"/>
    <w:basedOn w:val="Normal"/>
    <w:link w:val="BodyTextChar"/>
    <w:rsid w:val="00871621"/>
    <w:pPr>
      <w:spacing w:before="120" w:after="12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71621"/>
    <w:rPr>
      <w:rFonts w:ascii="Times New Roman" w:eastAsia="Times New Roman" w:hAnsi="Times New Roman" w:cs="Times New Roman"/>
      <w:sz w:val="24"/>
      <w:szCs w:val="20"/>
    </w:rPr>
  </w:style>
  <w:style w:type="paragraph" w:customStyle="1" w:styleId="rec">
    <w:name w:val="rec"/>
    <w:basedOn w:val="Normal"/>
    <w:rsid w:val="00871621"/>
    <w:pPr>
      <w:spacing w:before="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Revision">
    <w:name w:val="Revision"/>
    <w:hidden/>
    <w:uiPriority w:val="99"/>
    <w:semiHidden/>
    <w:rsid w:val="003672C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E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90B81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B946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adcast.parliament.act.gov.au/vod/inde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public-hearings-schedule?SQ_VARIATION_408698=0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kidshelpline.com.au/get-help/webchat-counsell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rliament.act.gov.au/parliamentary-business/in-committees/committees-11th-assembly/legal-affairs/inquiry-into-the-family,-personal-and-sexual-violence-legislation-amendment-bill-2025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Legal@parliament.act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 - Liquor Amendment Bill 2025 - Inquiring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subject/>
  <dc:creator>Sharma, Satyenx</dc:creator>
  <cp:keywords/>
  <dc:description/>
  <cp:lastModifiedBy>Sharma, Satyenx</cp:lastModifiedBy>
  <cp:revision>2</cp:revision>
  <cp:lastPrinted>2022-10-12T01:10:00Z</cp:lastPrinted>
  <dcterms:created xsi:type="dcterms:W3CDTF">2026-03-18T22:55:00Z</dcterms:created>
  <dcterms:modified xsi:type="dcterms:W3CDTF">2026-03-18T22:55:00Z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2025-06-26T00:58:08Z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46e664d3-8f78-4702-b8cb-f21f2fb38341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10, 0, 1, 1</vt:lpwstr>
  </property>
</Properties>
</file>