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B61" w14:textId="6FA722B5" w:rsidR="00431F3D" w:rsidRDefault="00C63346" w:rsidP="00431F3D">
      <w:pPr>
        <w:pStyle w:val="Committeename"/>
      </w:pPr>
      <w:r>
        <w:t>Standing Committee on Social Policy</w:t>
      </w:r>
    </w:p>
    <w:p w14:paraId="368A09E9" w14:textId="77777777" w:rsidR="006D4A0A" w:rsidRDefault="00863546" w:rsidP="008F184E">
      <w:pPr>
        <w:pStyle w:val="Heading1"/>
        <w:spacing w:before="600" w:after="480"/>
      </w:pPr>
      <w:r>
        <w:t>Media release</w:t>
      </w:r>
    </w:p>
    <w:p w14:paraId="68AB0908" w14:textId="7FE8E632" w:rsidR="00863546" w:rsidRPr="00863546" w:rsidRDefault="00073D59" w:rsidP="008F184E">
      <w:pPr>
        <w:pStyle w:val="Heading2"/>
        <w:spacing w:before="0" w:after="0"/>
        <w:jc w:val="center"/>
      </w:pPr>
      <w:r>
        <w:t>New inquiry into</w:t>
      </w:r>
      <w:r w:rsidR="008F1E0A">
        <w:t xml:space="preserve"> </w:t>
      </w:r>
      <w:r w:rsidR="00B55238">
        <w:t>E</w:t>
      </w:r>
      <w:r w:rsidR="001F7CE7">
        <w:t>-</w:t>
      </w:r>
      <w:r w:rsidR="00B55238">
        <w:t>Petition 077-25: A</w:t>
      </w:r>
      <w:r w:rsidR="008F1E0A">
        <w:t>ccess to</w:t>
      </w:r>
      <w:r>
        <w:t xml:space="preserve"> </w:t>
      </w:r>
      <w:r w:rsidR="008F1E0A">
        <w:t>11</w:t>
      </w:r>
      <w:r w:rsidR="00B55238">
        <w:t>–</w:t>
      </w:r>
      <w:r w:rsidR="008F1E0A">
        <w:t>12 ATAR language courses in 2026</w:t>
      </w:r>
      <w:r w:rsidR="008F184E">
        <w:br/>
      </w:r>
    </w:p>
    <w:p w14:paraId="29B9A624" w14:textId="674F15E8" w:rsidR="00EF2B58" w:rsidRDefault="00073D59" w:rsidP="00EF2B58">
      <w:pPr>
        <w:spacing w:before="0" w:after="0"/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412F23">
        <w:rPr>
          <w:shd w:val="clear" w:color="auto" w:fill="FFFFFF"/>
        </w:rPr>
        <w:t xml:space="preserve"> Standing Committee on Social Policy</w:t>
      </w:r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B55238">
        <w:rPr>
          <w:shd w:val="clear" w:color="auto" w:fill="FFFFFF"/>
        </w:rPr>
        <w:br/>
        <w:t>E-Petition 077-25: A</w:t>
      </w:r>
      <w:r w:rsidR="008F1E0A">
        <w:rPr>
          <w:shd w:val="clear" w:color="auto" w:fill="FFFFFF"/>
        </w:rPr>
        <w:t>ccess to 11</w:t>
      </w:r>
      <w:r w:rsidR="00B55238">
        <w:rPr>
          <w:shd w:val="clear" w:color="auto" w:fill="FFFFFF"/>
        </w:rPr>
        <w:t>–</w:t>
      </w:r>
      <w:r w:rsidR="008F1E0A">
        <w:rPr>
          <w:shd w:val="clear" w:color="auto" w:fill="FFFFFF"/>
        </w:rPr>
        <w:t>12 ATAR language courses in 2026.</w:t>
      </w:r>
    </w:p>
    <w:p w14:paraId="64BBAD89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50F430F4" w14:textId="12489023" w:rsidR="001F7CE7" w:rsidRDefault="007531E7" w:rsidP="00C726D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The Chair of the Committee, Mr Thomas Emerson MLA, said</w:t>
      </w:r>
      <w:r w:rsidR="003A5A6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A5A6E">
        <w:rPr>
          <w:shd w:val="clear" w:color="auto" w:fill="FFFFFF"/>
        </w:rPr>
        <w:t>‘</w:t>
      </w:r>
      <w:r w:rsidR="00B55238">
        <w:rPr>
          <w:shd w:val="clear" w:color="auto" w:fill="FFFFFF"/>
        </w:rPr>
        <w:t xml:space="preserve">A significant number of people signed this petition expressing concern </w:t>
      </w:r>
      <w:r w:rsidR="00E314B7">
        <w:rPr>
          <w:shd w:val="clear" w:color="auto" w:fill="FFFFFF"/>
        </w:rPr>
        <w:t>about</w:t>
      </w:r>
      <w:r w:rsidR="001F7CE7">
        <w:rPr>
          <w:shd w:val="clear" w:color="auto" w:fill="FFFFFF"/>
        </w:rPr>
        <w:t xml:space="preserve"> reduced pathways for students to continue their language studies into college.’</w:t>
      </w:r>
    </w:p>
    <w:p w14:paraId="6B56832E" w14:textId="2D21C358" w:rsidR="001F7CE7" w:rsidRDefault="001F7CE7" w:rsidP="00C726DC">
      <w:pPr>
        <w:spacing w:before="0" w:after="0"/>
        <w:rPr>
          <w:shd w:val="clear" w:color="auto" w:fill="FFFFFF"/>
        </w:rPr>
      </w:pPr>
    </w:p>
    <w:p w14:paraId="0FEEBECD" w14:textId="7402E1AB" w:rsidR="007531E7" w:rsidRDefault="001F7CE7" w:rsidP="00C726DC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‘</w:t>
      </w:r>
      <w:r w:rsidR="00C726DC">
        <w:rPr>
          <w:shd w:val="clear" w:color="auto" w:fill="FFFFFF"/>
        </w:rPr>
        <w:t xml:space="preserve">Through this inquiry, </w:t>
      </w:r>
      <w:r>
        <w:rPr>
          <w:shd w:val="clear" w:color="auto" w:fill="FFFFFF"/>
        </w:rPr>
        <w:t>the Committee is seeking to better</w:t>
      </w:r>
      <w:r w:rsidR="00C726DC">
        <w:rPr>
          <w:shd w:val="clear" w:color="auto" w:fill="FFFFFF"/>
        </w:rPr>
        <w:t xml:space="preserve"> understand the reasons behind the </w:t>
      </w:r>
      <w:r>
        <w:rPr>
          <w:shd w:val="clear" w:color="auto" w:fill="FFFFFF"/>
        </w:rPr>
        <w:t xml:space="preserve">ACT Government’s </w:t>
      </w:r>
      <w:r w:rsidR="00C726DC">
        <w:rPr>
          <w:shd w:val="clear" w:color="auto" w:fill="FFFFFF"/>
        </w:rPr>
        <w:t xml:space="preserve">decision </w:t>
      </w:r>
      <w:r w:rsidR="007A629D">
        <w:rPr>
          <w:shd w:val="clear" w:color="auto" w:fill="FFFFFF"/>
        </w:rPr>
        <w:t xml:space="preserve">not to </w:t>
      </w:r>
      <w:r w:rsidR="00E314B7">
        <w:rPr>
          <w:shd w:val="clear" w:color="auto" w:fill="FFFFFF"/>
        </w:rPr>
        <w:t xml:space="preserve">offer </w:t>
      </w:r>
      <w:r w:rsidR="007A629D">
        <w:rPr>
          <w:shd w:val="clear" w:color="auto" w:fill="FFFFFF"/>
        </w:rPr>
        <w:t xml:space="preserve">a centralised program for </w:t>
      </w:r>
      <w:r w:rsidR="00E314B7">
        <w:rPr>
          <w:shd w:val="clear" w:color="auto" w:fill="FFFFFF"/>
        </w:rPr>
        <w:t>Year 11 and 12 ATAR language courses</w:t>
      </w:r>
      <w:r w:rsidR="007A629D">
        <w:rPr>
          <w:shd w:val="clear" w:color="auto" w:fill="FFFFFF"/>
        </w:rPr>
        <w:t xml:space="preserve">, </w:t>
      </w:r>
      <w:r w:rsidR="00C726DC">
        <w:rPr>
          <w:shd w:val="clear" w:color="auto" w:fill="FFFFFF"/>
        </w:rPr>
        <w:t xml:space="preserve">and </w:t>
      </w:r>
      <w:r w:rsidR="007A629D">
        <w:rPr>
          <w:shd w:val="clear" w:color="auto" w:fill="FFFFFF"/>
        </w:rPr>
        <w:t>the sufficiency of other language</w:t>
      </w:r>
      <w:r w:rsidR="00C726DC">
        <w:rPr>
          <w:shd w:val="clear" w:color="auto" w:fill="FFFFFF"/>
        </w:rPr>
        <w:t xml:space="preserve"> study pathways</w:t>
      </w:r>
      <w:r>
        <w:rPr>
          <w:shd w:val="clear" w:color="auto" w:fill="FFFFFF"/>
        </w:rPr>
        <w:t xml:space="preserve"> </w:t>
      </w:r>
      <w:r w:rsidR="00E314B7">
        <w:rPr>
          <w:shd w:val="clear" w:color="auto" w:fill="FFFFFF"/>
        </w:rPr>
        <w:t>for college students</w:t>
      </w:r>
      <w:r w:rsidR="00C726DC">
        <w:rPr>
          <w:shd w:val="clear" w:color="auto" w:fill="FFFFFF"/>
        </w:rPr>
        <w:t>.</w:t>
      </w:r>
      <w:r w:rsidR="007531E7">
        <w:rPr>
          <w:shd w:val="clear" w:color="auto" w:fill="FFFFFF"/>
        </w:rPr>
        <w:t>’</w:t>
      </w:r>
    </w:p>
    <w:p w14:paraId="1A2DF3DB" w14:textId="77777777" w:rsidR="007531E7" w:rsidRDefault="007531E7" w:rsidP="007531E7">
      <w:pPr>
        <w:spacing w:before="0" w:after="0"/>
        <w:rPr>
          <w:shd w:val="clear" w:color="auto" w:fill="FFFFFF"/>
        </w:rPr>
      </w:pPr>
    </w:p>
    <w:p w14:paraId="0E5769CF" w14:textId="61884118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Terms of Reference for the inquiry are available on the </w:t>
      </w:r>
      <w:hyperlink r:id="rId10" w:history="1">
        <w:r w:rsidR="00C67825" w:rsidRPr="000F3036">
          <w:rPr>
            <w:rStyle w:val="Hyperlink"/>
            <w:shd w:val="clear" w:color="auto" w:fill="FFFFFF"/>
          </w:rPr>
          <w:t>ACT Legislative Assembly</w:t>
        </w:r>
      </w:hyperlink>
      <w:r w:rsidR="00C67825">
        <w:rPr>
          <w:shd w:val="clear" w:color="auto" w:fill="FFFFFF"/>
        </w:rPr>
        <w:t xml:space="preserve"> website.</w:t>
      </w:r>
    </w:p>
    <w:p w14:paraId="2267E424" w14:textId="77777777" w:rsidR="00866463" w:rsidRDefault="00866463" w:rsidP="00EF2B58">
      <w:pPr>
        <w:spacing w:before="0" w:after="0"/>
        <w:rPr>
          <w:shd w:val="clear" w:color="auto" w:fill="FFFFFF"/>
        </w:rPr>
      </w:pPr>
    </w:p>
    <w:p w14:paraId="1A8D3B5E" w14:textId="270FC0E5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Information about how to make a submission is available on the Assembly website</w:t>
      </w:r>
      <w:r w:rsidR="00866463">
        <w:rPr>
          <w:shd w:val="clear" w:color="auto" w:fill="FFFFFF"/>
        </w:rPr>
        <w:t xml:space="preserve">: </w:t>
      </w:r>
      <w:hyperlink r:id="rId11" w:history="1">
        <w:r w:rsidR="00866463" w:rsidRPr="00772DAE">
          <w:rPr>
            <w:rStyle w:val="Hyperlink"/>
            <w:shd w:val="clear" w:color="auto" w:fill="FFFFFF"/>
          </w:rPr>
          <w:t>https://www.parliament.act.gov.au/get-involved/guides/submissions</w:t>
        </w:r>
      </w:hyperlink>
      <w:r w:rsidR="00866463">
        <w:rPr>
          <w:shd w:val="clear" w:color="auto" w:fill="FFFFFF"/>
        </w:rPr>
        <w:t xml:space="preserve"> </w:t>
      </w:r>
    </w:p>
    <w:p w14:paraId="252E04FA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372B346E" w14:textId="26EC7F5A" w:rsidR="00073D59" w:rsidRDefault="00073D59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Submissions close on</w:t>
      </w:r>
      <w:r w:rsidR="008F184E">
        <w:rPr>
          <w:shd w:val="clear" w:color="auto" w:fill="FFFFFF"/>
        </w:rPr>
        <w:t xml:space="preserve"> </w:t>
      </w:r>
      <w:r w:rsidR="00B55238">
        <w:rPr>
          <w:shd w:val="clear" w:color="auto" w:fill="FFFFFF"/>
        </w:rPr>
        <w:t>2</w:t>
      </w:r>
      <w:r w:rsidR="00856F21">
        <w:rPr>
          <w:shd w:val="clear" w:color="auto" w:fill="FFFFFF"/>
        </w:rPr>
        <w:t xml:space="preserve"> April 2026.</w:t>
      </w:r>
    </w:p>
    <w:p w14:paraId="2CE834B0" w14:textId="77777777" w:rsidR="00EF2B58" w:rsidRDefault="00EF2B58" w:rsidP="00EF2B58">
      <w:pPr>
        <w:spacing w:before="0" w:after="0"/>
        <w:rPr>
          <w:shd w:val="clear" w:color="auto" w:fill="FFFFFF"/>
        </w:rPr>
      </w:pPr>
    </w:p>
    <w:p w14:paraId="0F872B0B" w14:textId="77777777" w:rsidR="00863546" w:rsidRDefault="00863546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F8AF89F" w14:textId="44AD5F2E" w:rsidR="00863546" w:rsidRDefault="00B55238" w:rsidP="00EF2B58">
      <w:pPr>
        <w:pStyle w:val="NoSpacing"/>
        <w:rPr>
          <w:shd w:val="clear" w:color="auto" w:fill="FFFFFF"/>
        </w:rPr>
      </w:pPr>
      <w:r w:rsidRPr="00C51F5A">
        <w:rPr>
          <w:shd w:val="clear" w:color="auto" w:fill="FFFFFF"/>
        </w:rPr>
        <w:t>5 March 2026</w:t>
      </w:r>
    </w:p>
    <w:p w14:paraId="5221EDDB" w14:textId="77AC0221" w:rsidR="003A5A6E" w:rsidRDefault="00863546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p w14:paraId="61B51D9B" w14:textId="77777777" w:rsidR="001F7CE7" w:rsidRDefault="001F7CE7" w:rsidP="00EF2B58">
      <w:pPr>
        <w:pStyle w:val="NoSpacing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B8D1EA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36CCA8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4563E5E" w14:textId="1A9A8E28" w:rsidR="00863546" w:rsidRPr="000513FB" w:rsidRDefault="00EF2B58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>hair – (02) 620</w:t>
            </w:r>
            <w:r w:rsidR="00ED6D44">
              <w:rPr>
                <w:sz w:val="20"/>
                <w:szCs w:val="20"/>
              </w:rPr>
              <w:t>5</w:t>
            </w:r>
            <w:r w:rsidR="00B67666">
              <w:rPr>
                <w:sz w:val="20"/>
                <w:szCs w:val="20"/>
              </w:rPr>
              <w:t xml:space="preserve"> </w:t>
            </w:r>
            <w:r w:rsidR="00ED6D44">
              <w:rPr>
                <w:sz w:val="20"/>
                <w:szCs w:val="20"/>
              </w:rPr>
              <w:t>1475</w:t>
            </w:r>
          </w:p>
          <w:p w14:paraId="2BA3875F" w14:textId="2AFA142B" w:rsidR="00863546" w:rsidRPr="00863546" w:rsidRDefault="00B55238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 w:rsidR="00EF2B58"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>
              <w:rPr>
                <w:sz w:val="20"/>
                <w:szCs w:val="20"/>
              </w:rPr>
              <w:t xml:space="preserve"> 75498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12" w:history="1">
              <w:r w:rsidR="003A5A6E" w:rsidRPr="001B7438"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  <w:r w:rsidR="003A5A6E">
              <w:rPr>
                <w:sz w:val="20"/>
                <w:szCs w:val="20"/>
              </w:rPr>
              <w:t xml:space="preserve"> </w:t>
            </w:r>
          </w:p>
        </w:tc>
      </w:tr>
    </w:tbl>
    <w:p w14:paraId="2FDDD006" w14:textId="3AD8FE10" w:rsidR="00863546" w:rsidRPr="00863546" w:rsidRDefault="00863546" w:rsidP="00C67825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650" w14:textId="77777777" w:rsidR="00E4211A" w:rsidRDefault="00E4211A" w:rsidP="003C03E9">
      <w:pPr>
        <w:spacing w:after="0" w:line="240" w:lineRule="auto"/>
      </w:pPr>
      <w:r>
        <w:separator/>
      </w:r>
    </w:p>
    <w:p w14:paraId="54730F4F" w14:textId="77777777" w:rsidR="00E4211A" w:rsidRDefault="00E4211A"/>
  </w:endnote>
  <w:endnote w:type="continuationSeparator" w:id="0">
    <w:p w14:paraId="1212CF3C" w14:textId="77777777" w:rsidR="00E4211A" w:rsidRDefault="00E4211A" w:rsidP="003C03E9">
      <w:pPr>
        <w:spacing w:after="0" w:line="240" w:lineRule="auto"/>
      </w:pPr>
      <w:r>
        <w:continuationSeparator/>
      </w:r>
    </w:p>
    <w:p w14:paraId="76A4E8C4" w14:textId="77777777" w:rsidR="00E4211A" w:rsidRDefault="00E4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ADEE" w14:textId="77777777" w:rsidR="00C22EB6" w:rsidRDefault="00C22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76D" w14:textId="77777777" w:rsidR="00FA2F7D" w:rsidRDefault="00FA2F7D" w:rsidP="00110D21">
    <w:pPr>
      <w:pStyle w:val="Footer"/>
    </w:pPr>
  </w:p>
  <w:p w14:paraId="2D56ECE0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0A1" w14:textId="7505D9B9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0F3036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</w:t>
    </w:r>
    <w:r w:rsidR="008F184E">
      <w:rPr>
        <w:rFonts w:ascii="Segoe UI Symbol" w:hAnsi="Segoe UI Symbol" w:cs="Segoe UI Symbol"/>
        <w:color w:val="1A234C"/>
        <w:sz w:val="16"/>
        <w:szCs w:val="16"/>
      </w:rPr>
      <w:t>07 5498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823B59">
      <w:rPr>
        <w:rFonts w:ascii="Segoe UI Symbol" w:hAnsi="Segoe UI Symbol" w:cs="Segoe UI Symbol"/>
        <w:color w:val="1A234C"/>
        <w:sz w:val="16"/>
        <w:szCs w:val="16"/>
      </w:rPr>
      <w:t xml:space="preserve">✉ </w:t>
    </w:r>
    <w:hyperlink r:id="rId1" w:history="1">
      <w:r w:rsidR="00823B59" w:rsidRPr="00823B59">
        <w:rPr>
          <w:rStyle w:val="Hyperlink"/>
          <w:rFonts w:ascii="Segoe UI Symbol" w:hAnsi="Segoe UI Symbol" w:cs="Segoe UI Symbol"/>
          <w:sz w:val="16"/>
          <w:szCs w:val="16"/>
        </w:rPr>
        <w:t xml:space="preserve">LACommitteeSP@parliament.act.gov.au 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10" w14:textId="77777777" w:rsidR="00E4211A" w:rsidRDefault="00E4211A" w:rsidP="00502117">
      <w:pPr>
        <w:spacing w:after="0" w:line="240" w:lineRule="auto"/>
      </w:pPr>
      <w:r>
        <w:separator/>
      </w:r>
    </w:p>
  </w:footnote>
  <w:footnote w:type="continuationSeparator" w:id="0">
    <w:p w14:paraId="7A4C84B1" w14:textId="77777777" w:rsidR="00E4211A" w:rsidRDefault="00E4211A" w:rsidP="003C03E9">
      <w:pPr>
        <w:spacing w:after="0" w:line="240" w:lineRule="auto"/>
      </w:pPr>
      <w:r>
        <w:continuationSeparator/>
      </w:r>
    </w:p>
    <w:p w14:paraId="648B6FF0" w14:textId="77777777" w:rsidR="00E4211A" w:rsidRDefault="00E4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FD6" w14:textId="56FC4EFC" w:rsidR="00ED6D44" w:rsidRDefault="00ED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13" w14:textId="5E6B572D" w:rsidR="00ED6D44" w:rsidRDefault="00ED6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09A" w14:textId="09B5DFF3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7ABF47E3" wp14:editId="1735B992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1E2EB1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05030"/>
    <w:multiLevelType w:val="hybridMultilevel"/>
    <w:tmpl w:val="E9EA7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3"/>
  </w:num>
  <w:num w:numId="17" w16cid:durableId="19150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A"/>
    <w:rsid w:val="00004116"/>
    <w:rsid w:val="00037FE5"/>
    <w:rsid w:val="0004433C"/>
    <w:rsid w:val="000513FB"/>
    <w:rsid w:val="00073D59"/>
    <w:rsid w:val="000754C4"/>
    <w:rsid w:val="000D3BB9"/>
    <w:rsid w:val="000E3BE6"/>
    <w:rsid w:val="000F3036"/>
    <w:rsid w:val="00110D21"/>
    <w:rsid w:val="00133F42"/>
    <w:rsid w:val="0014392D"/>
    <w:rsid w:val="00154C25"/>
    <w:rsid w:val="00156BF3"/>
    <w:rsid w:val="00166FCE"/>
    <w:rsid w:val="001A041A"/>
    <w:rsid w:val="001D38F4"/>
    <w:rsid w:val="001E1EC0"/>
    <w:rsid w:val="001E7DC6"/>
    <w:rsid w:val="001F5106"/>
    <w:rsid w:val="001F6AD4"/>
    <w:rsid w:val="001F7CE7"/>
    <w:rsid w:val="00201368"/>
    <w:rsid w:val="00210848"/>
    <w:rsid w:val="00221F14"/>
    <w:rsid w:val="00273F61"/>
    <w:rsid w:val="0027673A"/>
    <w:rsid w:val="002A3D25"/>
    <w:rsid w:val="002C22E5"/>
    <w:rsid w:val="003004A0"/>
    <w:rsid w:val="00333058"/>
    <w:rsid w:val="00347149"/>
    <w:rsid w:val="003533BD"/>
    <w:rsid w:val="00376140"/>
    <w:rsid w:val="003A5A6E"/>
    <w:rsid w:val="003C03E9"/>
    <w:rsid w:val="003E737E"/>
    <w:rsid w:val="00412F23"/>
    <w:rsid w:val="00431F3D"/>
    <w:rsid w:val="004614F7"/>
    <w:rsid w:val="00472832"/>
    <w:rsid w:val="004A0705"/>
    <w:rsid w:val="004C44E6"/>
    <w:rsid w:val="004D2C7E"/>
    <w:rsid w:val="00502117"/>
    <w:rsid w:val="0055350C"/>
    <w:rsid w:val="005552EA"/>
    <w:rsid w:val="00560E8A"/>
    <w:rsid w:val="005A4F0B"/>
    <w:rsid w:val="005A752C"/>
    <w:rsid w:val="005B7FC1"/>
    <w:rsid w:val="005D2D97"/>
    <w:rsid w:val="0062207C"/>
    <w:rsid w:val="006254EB"/>
    <w:rsid w:val="006D4A0A"/>
    <w:rsid w:val="006D6584"/>
    <w:rsid w:val="006E735F"/>
    <w:rsid w:val="007141D8"/>
    <w:rsid w:val="00725A99"/>
    <w:rsid w:val="007370AD"/>
    <w:rsid w:val="007531E7"/>
    <w:rsid w:val="00762BAB"/>
    <w:rsid w:val="007A629D"/>
    <w:rsid w:val="00823B59"/>
    <w:rsid w:val="008538BD"/>
    <w:rsid w:val="00856F21"/>
    <w:rsid w:val="00863546"/>
    <w:rsid w:val="00866463"/>
    <w:rsid w:val="00872845"/>
    <w:rsid w:val="008800AE"/>
    <w:rsid w:val="008B567D"/>
    <w:rsid w:val="008C3E70"/>
    <w:rsid w:val="008F184E"/>
    <w:rsid w:val="008F1E0A"/>
    <w:rsid w:val="00900B0E"/>
    <w:rsid w:val="00913885"/>
    <w:rsid w:val="009153F0"/>
    <w:rsid w:val="00926873"/>
    <w:rsid w:val="009727BF"/>
    <w:rsid w:val="00983C68"/>
    <w:rsid w:val="009A2A10"/>
    <w:rsid w:val="009B150A"/>
    <w:rsid w:val="009B15D6"/>
    <w:rsid w:val="009C593F"/>
    <w:rsid w:val="009E30E8"/>
    <w:rsid w:val="00A206ED"/>
    <w:rsid w:val="00A46180"/>
    <w:rsid w:val="00A83A61"/>
    <w:rsid w:val="00AD17E3"/>
    <w:rsid w:val="00AF4939"/>
    <w:rsid w:val="00B0422E"/>
    <w:rsid w:val="00B55238"/>
    <w:rsid w:val="00B66450"/>
    <w:rsid w:val="00B67666"/>
    <w:rsid w:val="00B8057A"/>
    <w:rsid w:val="00C108B4"/>
    <w:rsid w:val="00C22EB6"/>
    <w:rsid w:val="00C25AF5"/>
    <w:rsid w:val="00C36AC4"/>
    <w:rsid w:val="00C43599"/>
    <w:rsid w:val="00C51F5A"/>
    <w:rsid w:val="00C63346"/>
    <w:rsid w:val="00C67825"/>
    <w:rsid w:val="00C726DC"/>
    <w:rsid w:val="00CC6204"/>
    <w:rsid w:val="00D02920"/>
    <w:rsid w:val="00D074EA"/>
    <w:rsid w:val="00D2290B"/>
    <w:rsid w:val="00D27851"/>
    <w:rsid w:val="00D34BC3"/>
    <w:rsid w:val="00D46F14"/>
    <w:rsid w:val="00DA4FAA"/>
    <w:rsid w:val="00DB003D"/>
    <w:rsid w:val="00DC109A"/>
    <w:rsid w:val="00DD722C"/>
    <w:rsid w:val="00DF43D5"/>
    <w:rsid w:val="00DF4B56"/>
    <w:rsid w:val="00E314B7"/>
    <w:rsid w:val="00E4211A"/>
    <w:rsid w:val="00E56B4F"/>
    <w:rsid w:val="00EC2662"/>
    <w:rsid w:val="00EC3781"/>
    <w:rsid w:val="00ED4AB6"/>
    <w:rsid w:val="00ED6D44"/>
    <w:rsid w:val="00EE6040"/>
    <w:rsid w:val="00EF2B58"/>
    <w:rsid w:val="00F00227"/>
    <w:rsid w:val="00F53532"/>
    <w:rsid w:val="00FA2F7D"/>
    <w:rsid w:val="00FA5E42"/>
    <w:rsid w:val="00FA7129"/>
    <w:rsid w:val="00FC1125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2B90"/>
  <w15:chartTrackingRefBased/>
  <w15:docId w15:val="{7F8C0B2A-5D7A-4E69-9EC6-3E8184F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A75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4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B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committeeSP@parliament.act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iament.act.gov.au/get-involved/guides/submiss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-11th-assembly/social-policy/inquiry-into-e-pet-077-25-access-to-11-12-atar-language-courses-in-2026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D4EA2BCF7BE49B9D19F5B698202A0" ma:contentTypeVersion="13" ma:contentTypeDescription="Create a new document." ma:contentTypeScope="" ma:versionID="b978e523642dc15d25690b311213ea03">
  <xsd:schema xmlns:xsd="http://www.w3.org/2001/XMLSchema" xmlns:xs="http://www.w3.org/2001/XMLSchema" xmlns:p="http://schemas.microsoft.com/office/2006/metadata/properties" xmlns:ns2="9ebc89d2-2948-4874-8937-94940742359e" xmlns:ns3="24e412a8-eab6-470d-b367-d6469d83c481" targetNamespace="http://schemas.microsoft.com/office/2006/metadata/properties" ma:root="true" ma:fieldsID="f707e225dbcd49b049a5b4f66f72bcc5" ns2:_="" ns3:_="">
    <xsd:import namespace="9ebc89d2-2948-4874-8937-94940742359e"/>
    <xsd:import namespace="24e412a8-eab6-470d-b367-d6469d83c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89d2-2948-4874-8937-949407423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12a8-eab6-470d-b367-d6469d83c4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4ccb2-15fb-499c-baf4-c588d7d607e0}" ma:internalName="TaxCatchAll" ma:showField="CatchAllData" ma:web="24e412a8-eab6-470d-b367-d6469d83c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c89d2-2948-4874-8937-94940742359e">
      <Terms xmlns="http://schemas.microsoft.com/office/infopath/2007/PartnerControls"/>
    </lcf76f155ced4ddcb4097134ff3c332f>
    <TaxCatchAll xmlns="24e412a8-eab6-470d-b367-d6469d83c481" xsi:nil="true"/>
  </documentManagement>
</p:properties>
</file>

<file path=customXml/itemProps1.xml><?xml version="1.0" encoding="utf-8"?>
<ds:datastoreItem xmlns:ds="http://schemas.openxmlformats.org/officeDocument/2006/customXml" ds:itemID="{68D5F832-934C-48B7-99BB-03D0EFF70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c89d2-2948-4874-8937-94940742359e"/>
    <ds:schemaRef ds:uri="24e412a8-eab6-470d-b367-d6469d83c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54CEB-81C3-4ED9-8EC7-5A71A28A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ADDE7-11C3-4F8B-AB19-3DF2A65B3D65}">
  <ds:schemaRefs>
    <ds:schemaRef ds:uri="http://schemas.microsoft.com/office/2006/metadata/properties"/>
    <ds:schemaRef ds:uri="http://schemas.microsoft.com/office/infopath/2007/PartnerControls"/>
    <ds:schemaRef ds:uri="9ebc89d2-2948-4874-8937-94940742359e"/>
    <ds:schemaRef ds:uri="24e412a8-eab6-470d-b367-d6469d83c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Langham, Kathryn</dc:creator>
  <cp:keywords/>
  <dc:description/>
  <cp:lastModifiedBy>Patel, DikshesX</cp:lastModifiedBy>
  <cp:revision>6</cp:revision>
  <cp:lastPrinted>2022-10-12T01:10:00Z</cp:lastPrinted>
  <dcterms:created xsi:type="dcterms:W3CDTF">2026-03-03T23:54:00Z</dcterms:created>
  <dcterms:modified xsi:type="dcterms:W3CDTF">2026-03-05T02:22:00Z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0x010100158D4EA2BCF7BE49B9D19F5B698202A0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2026-03-05T01:45:40Z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dcfb79e4-29bf-4b64-ac3c-8b93016acef3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10, 0, 1, 1</vt:lpwstr>
  </property>
</Properties>
</file>