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2A7DA1D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6F6B59">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9BFA6BA" w:rsidR="00E90DF9" w:rsidRPr="006F6B59" w:rsidRDefault="006F6B59" w:rsidP="00E90DF9">
      <w:pPr>
        <w:spacing w:after="0"/>
        <w:jc w:val="center"/>
        <w:rPr>
          <w:rFonts w:ascii="Arial" w:hAnsi="Arial" w:cs="Arial"/>
          <w:b/>
          <w:bCs/>
          <w:color w:val="000000" w:themeColor="text1"/>
          <w:sz w:val="24"/>
          <w:szCs w:val="24"/>
        </w:rPr>
      </w:pPr>
      <w:r w:rsidRPr="006F6B59">
        <w:rPr>
          <w:rFonts w:ascii="Arial" w:hAnsi="Arial" w:cs="Arial"/>
          <w:b/>
          <w:bCs/>
          <w:color w:val="000000" w:themeColor="text1"/>
          <w:sz w:val="24"/>
          <w:szCs w:val="24"/>
        </w:rPr>
        <w:t>GAMING LEGISLATION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005CFBBD" w14:textId="77777777" w:rsidR="006F6B59" w:rsidRDefault="006F6B59" w:rsidP="00E90DF9">
      <w:pPr>
        <w:spacing w:after="0"/>
        <w:jc w:val="center"/>
        <w:rPr>
          <w:rFonts w:ascii="Arial" w:hAnsi="Arial" w:cs="Arial"/>
          <w:i/>
          <w:iCs/>
          <w:color w:val="FF0000"/>
          <w:sz w:val="24"/>
          <w:szCs w:val="24"/>
        </w:rPr>
      </w:pPr>
    </w:p>
    <w:p w14:paraId="68424CF2" w14:textId="77777777" w:rsidR="00E23F37" w:rsidRDefault="00E23F37" w:rsidP="00E23F37">
      <w:pPr>
        <w:spacing w:after="0"/>
        <w:jc w:val="center"/>
        <w:rPr>
          <w:rFonts w:ascii="Arial" w:hAnsi="Arial" w:cs="Arial"/>
          <w:b/>
          <w:bCs/>
          <w:sz w:val="24"/>
          <w:szCs w:val="24"/>
        </w:rPr>
      </w:pPr>
      <w:r>
        <w:rPr>
          <w:rFonts w:ascii="Arial" w:hAnsi="Arial" w:cs="Arial"/>
          <w:b/>
          <w:bCs/>
          <w:sz w:val="24"/>
          <w:szCs w:val="24"/>
        </w:rPr>
        <w:t xml:space="preserve">REVISED </w:t>
      </w:r>
      <w:r w:rsidRPr="00BB387E">
        <w:rPr>
          <w:rFonts w:ascii="Arial" w:hAnsi="Arial" w:cs="Arial"/>
          <w:b/>
          <w:bCs/>
          <w:sz w:val="24"/>
          <w:szCs w:val="24"/>
        </w:rPr>
        <w:t>EXPLANATORY STATEMENT</w:t>
      </w:r>
      <w:r>
        <w:rPr>
          <w:rFonts w:ascii="Arial" w:hAnsi="Arial" w:cs="Arial"/>
          <w:b/>
          <w:bCs/>
          <w:sz w:val="24"/>
          <w:szCs w:val="24"/>
        </w:rPr>
        <w:t xml:space="preserve"> </w:t>
      </w:r>
    </w:p>
    <w:p w14:paraId="664BEC68" w14:textId="1B81D4FE" w:rsidR="00E90DF9" w:rsidRDefault="00E90DF9" w:rsidP="00E23F37">
      <w:pPr>
        <w:spacing w:after="0"/>
        <w:jc w:val="center"/>
        <w:rPr>
          <w:rFonts w:ascii="Arial" w:hAnsi="Arial" w:cs="Arial"/>
          <w:b/>
          <w:bCs/>
          <w:sz w:val="24"/>
          <w:szCs w:val="24"/>
        </w:rPr>
      </w:pPr>
      <w:r>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7CE13DAE"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Dr Marisa Paterson</w:t>
      </w:r>
      <w:r w:rsidR="00E90DF9" w:rsidRPr="006F6B59">
        <w:rPr>
          <w:rFonts w:ascii="Arial" w:hAnsi="Arial" w:cs="Arial"/>
          <w:b/>
          <w:bCs/>
          <w:color w:val="000000" w:themeColor="text1"/>
          <w:sz w:val="24"/>
          <w:szCs w:val="24"/>
        </w:rPr>
        <w:t xml:space="preserve"> MLA</w:t>
      </w:r>
    </w:p>
    <w:p w14:paraId="2B65FA14" w14:textId="548C387B"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MINISTER FOR GAMING REFORM</w:t>
      </w:r>
    </w:p>
    <w:p w14:paraId="722CCE31" w14:textId="3E32AF6B"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APRIL</w:t>
      </w:r>
      <w:r w:rsidR="00E90DF9" w:rsidRPr="006F6B59">
        <w:rPr>
          <w:rFonts w:ascii="Arial" w:hAnsi="Arial" w:cs="Arial"/>
          <w:b/>
          <w:bCs/>
          <w:color w:val="000000" w:themeColor="text1"/>
          <w:sz w:val="24"/>
          <w:szCs w:val="24"/>
        </w:rPr>
        <w:t xml:space="preserve"> 202</w:t>
      </w:r>
      <w:r w:rsidRPr="006F6B59">
        <w:rPr>
          <w:rFonts w:ascii="Arial" w:hAnsi="Arial" w:cs="Arial"/>
          <w:b/>
          <w:bCs/>
          <w:color w:val="000000" w:themeColor="text1"/>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headerReference w:type="default" r:id="rId11"/>
          <w:footerReference w:type="default" r:id="rId12"/>
          <w:footerReference w:type="first" r:id="rId13"/>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69E27A2B" w:rsidR="00E90DF9" w:rsidRPr="00BB387E" w:rsidRDefault="006F6B59" w:rsidP="00E90DF9">
      <w:pPr>
        <w:pStyle w:val="Heading1"/>
        <w:jc w:val="center"/>
      </w:pPr>
      <w:r>
        <w:lastRenderedPageBreak/>
        <w:t>GAMING LEGISLATION AMENDMENT BILL 2025</w:t>
      </w:r>
    </w:p>
    <w:p w14:paraId="791A60D0" w14:textId="77777777" w:rsidR="00E90DF9" w:rsidRDefault="00E90DF9" w:rsidP="00E90DF9">
      <w:pPr>
        <w:spacing w:after="0"/>
        <w:contextualSpacing/>
        <w:rPr>
          <w:rFonts w:ascii="Arial" w:hAnsi="Arial" w:cs="Arial"/>
          <w:bCs/>
          <w:sz w:val="24"/>
          <w:szCs w:val="24"/>
        </w:rPr>
      </w:pPr>
    </w:p>
    <w:p w14:paraId="04010BFE" w14:textId="1DB95820"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6F6B59">
        <w:rPr>
          <w:rFonts w:ascii="Arial" w:hAnsi="Arial" w:cs="Arial"/>
          <w:b/>
          <w:sz w:val="24"/>
          <w:szCs w:val="24"/>
        </w:rPr>
        <w:t>is</w:t>
      </w:r>
      <w:r w:rsidRPr="006F6B59">
        <w:rPr>
          <w:rFonts w:ascii="Arial" w:hAnsi="Arial" w:cs="Arial"/>
          <w:bCs/>
          <w:sz w:val="24"/>
          <w:szCs w:val="24"/>
        </w:rPr>
        <w:t xml:space="preserve"> </w:t>
      </w:r>
      <w:r w:rsidRPr="006F6B59">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CFE4895" w14:textId="7407684B" w:rsidR="00445CA7" w:rsidRDefault="00445CA7" w:rsidP="00E90DF9">
      <w:pPr>
        <w:spacing w:after="120"/>
        <w:ind w:right="-45"/>
        <w:rPr>
          <w:rFonts w:ascii="Arial" w:hAnsi="Arial" w:cs="Arial"/>
          <w:iCs/>
          <w:color w:val="000000" w:themeColor="text1"/>
          <w:sz w:val="24"/>
          <w:szCs w:val="24"/>
        </w:rPr>
      </w:pPr>
      <w:r w:rsidRPr="00445CA7">
        <w:rPr>
          <w:rFonts w:ascii="Arial" w:hAnsi="Arial" w:cs="Arial"/>
          <w:iCs/>
          <w:color w:val="000000" w:themeColor="text1"/>
          <w:sz w:val="24"/>
          <w:szCs w:val="24"/>
        </w:rPr>
        <w:t xml:space="preserve">The Bill amends the </w:t>
      </w:r>
      <w:r w:rsidR="00DC270D">
        <w:rPr>
          <w:rFonts w:ascii="Arial" w:hAnsi="Arial" w:cs="Arial"/>
          <w:i/>
          <w:color w:val="000000" w:themeColor="text1"/>
          <w:sz w:val="24"/>
          <w:szCs w:val="24"/>
        </w:rPr>
        <w:t xml:space="preserve">Gambling and Racing Control Act </w:t>
      </w:r>
      <w:proofErr w:type="gramStart"/>
      <w:r w:rsidR="00DC270D">
        <w:rPr>
          <w:rFonts w:ascii="Arial" w:hAnsi="Arial" w:cs="Arial"/>
          <w:i/>
          <w:color w:val="000000" w:themeColor="text1"/>
          <w:sz w:val="24"/>
          <w:szCs w:val="24"/>
        </w:rPr>
        <w:t>1999</w:t>
      </w:r>
      <w:proofErr w:type="gramEnd"/>
      <w:r>
        <w:rPr>
          <w:rFonts w:ascii="Arial" w:hAnsi="Arial" w:cs="Arial"/>
          <w:iCs/>
          <w:color w:val="000000" w:themeColor="text1"/>
          <w:sz w:val="24"/>
          <w:szCs w:val="24"/>
        </w:rPr>
        <w:t xml:space="preserve"> and the</w:t>
      </w:r>
      <w:r w:rsidR="00DC270D" w:rsidRPr="00DC270D">
        <w:rPr>
          <w:rFonts w:ascii="Arial" w:hAnsi="Arial" w:cs="Arial"/>
          <w:i/>
          <w:color w:val="000000" w:themeColor="text1"/>
          <w:sz w:val="24"/>
          <w:szCs w:val="24"/>
        </w:rPr>
        <w:t xml:space="preserve"> </w:t>
      </w:r>
      <w:r w:rsidR="00DC270D" w:rsidRPr="00445CA7">
        <w:rPr>
          <w:rFonts w:ascii="Arial" w:hAnsi="Arial" w:cs="Arial"/>
          <w:i/>
          <w:color w:val="000000" w:themeColor="text1"/>
          <w:sz w:val="24"/>
          <w:szCs w:val="24"/>
        </w:rPr>
        <w:t>Gaming Machine Act 2004</w:t>
      </w:r>
      <w:r w:rsidR="0063639D">
        <w:rPr>
          <w:rFonts w:ascii="Arial" w:hAnsi="Arial" w:cs="Arial"/>
          <w:iCs/>
          <w:color w:val="000000" w:themeColor="text1"/>
          <w:sz w:val="24"/>
          <w:szCs w:val="24"/>
        </w:rPr>
        <w:t xml:space="preserve"> as follows.</w:t>
      </w:r>
      <w:r w:rsidR="00DC270D">
        <w:rPr>
          <w:rFonts w:ascii="Arial" w:hAnsi="Arial" w:cs="Arial"/>
          <w:iCs/>
          <w:color w:val="000000" w:themeColor="text1"/>
          <w:sz w:val="24"/>
          <w:szCs w:val="24"/>
        </w:rPr>
        <w:t xml:space="preserve"> </w:t>
      </w:r>
    </w:p>
    <w:p w14:paraId="74D28396" w14:textId="77777777" w:rsidR="00DC270D" w:rsidRDefault="00DC270D" w:rsidP="00DC270D">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Bill amends the Gambling and Racing Control Act to:</w:t>
      </w:r>
    </w:p>
    <w:p w14:paraId="4B0F1704" w14:textId="1615F9D4" w:rsidR="00DC270D" w:rsidRDefault="00DC270D" w:rsidP="00DC270D">
      <w:pPr>
        <w:pStyle w:val="ListParagraph"/>
        <w:numPr>
          <w:ilvl w:val="0"/>
          <w:numId w:val="2"/>
        </w:numPr>
        <w:spacing w:after="120"/>
        <w:ind w:right="-45"/>
        <w:rPr>
          <w:rFonts w:ascii="Arial" w:hAnsi="Arial" w:cs="Arial"/>
          <w:iCs/>
          <w:color w:val="000000" w:themeColor="text1"/>
          <w:sz w:val="24"/>
          <w:szCs w:val="24"/>
        </w:rPr>
      </w:pPr>
      <w:r>
        <w:rPr>
          <w:rFonts w:ascii="Arial" w:hAnsi="Arial" w:cs="Arial"/>
          <w:iCs/>
          <w:color w:val="000000" w:themeColor="text1"/>
          <w:sz w:val="24"/>
          <w:szCs w:val="24"/>
        </w:rPr>
        <w:t>authorise the release of information by the ACT Gambling and Racing Commission (the Commission)</w:t>
      </w:r>
      <w:r w:rsidR="00BA28E5">
        <w:rPr>
          <w:rFonts w:ascii="Arial" w:hAnsi="Arial" w:cs="Arial"/>
          <w:iCs/>
          <w:color w:val="000000" w:themeColor="text1"/>
          <w:sz w:val="24"/>
          <w:szCs w:val="24"/>
        </w:rPr>
        <w:t>, or an authorised officer,</w:t>
      </w:r>
      <w:r>
        <w:rPr>
          <w:rFonts w:ascii="Arial" w:hAnsi="Arial" w:cs="Arial"/>
          <w:iCs/>
          <w:color w:val="000000" w:themeColor="text1"/>
          <w:sz w:val="24"/>
          <w:szCs w:val="24"/>
        </w:rPr>
        <w:t xml:space="preserve"> for the purpose of keeping a complainant informed of the status of an investigation of a complaint that they had made; and</w:t>
      </w:r>
    </w:p>
    <w:p w14:paraId="1CF2C24E" w14:textId="13CCBD4F" w:rsidR="00DC270D" w:rsidRDefault="0064048E" w:rsidP="00DC270D">
      <w:pPr>
        <w:pStyle w:val="ListParagraph"/>
        <w:numPr>
          <w:ilvl w:val="0"/>
          <w:numId w:val="2"/>
        </w:numPr>
        <w:spacing w:after="120"/>
        <w:ind w:right="-45"/>
        <w:rPr>
          <w:rFonts w:ascii="Arial" w:hAnsi="Arial" w:cs="Arial"/>
          <w:iCs/>
          <w:color w:val="000000" w:themeColor="text1"/>
          <w:sz w:val="24"/>
          <w:szCs w:val="24"/>
        </w:rPr>
      </w:pPr>
      <w:bookmarkStart w:id="0" w:name="_Hlk193272491"/>
      <w:r w:rsidRPr="0064048E">
        <w:rPr>
          <w:rFonts w:ascii="Arial" w:hAnsi="Arial" w:cs="Arial"/>
          <w:iCs/>
          <w:color w:val="000000" w:themeColor="text1"/>
          <w:sz w:val="24"/>
          <w:szCs w:val="24"/>
        </w:rPr>
        <w:t>permit expanded uses of information (including the use of information in inter-agency engagement) for the purpose of advising other Ministers and the ACT Executive about policy matters or the operation of a gaming law</w:t>
      </w:r>
      <w:bookmarkEnd w:id="0"/>
      <w:r w:rsidR="00DC270D">
        <w:rPr>
          <w:rFonts w:ascii="Arial" w:hAnsi="Arial" w:cs="Arial"/>
          <w:iCs/>
          <w:color w:val="000000" w:themeColor="text1"/>
          <w:sz w:val="24"/>
          <w:szCs w:val="24"/>
        </w:rPr>
        <w:t>.</w:t>
      </w:r>
    </w:p>
    <w:p w14:paraId="04615AD2" w14:textId="547C93E3" w:rsidR="00E90DF9" w:rsidRDefault="00445CA7" w:rsidP="00E90DF9">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Bill amends the Gaming Machine Act</w:t>
      </w:r>
      <w:r w:rsidRPr="00445CA7">
        <w:rPr>
          <w:rFonts w:ascii="Arial" w:hAnsi="Arial" w:cs="Arial"/>
          <w:iCs/>
          <w:color w:val="000000" w:themeColor="text1"/>
          <w:sz w:val="24"/>
          <w:szCs w:val="24"/>
        </w:rPr>
        <w:t xml:space="preserve"> </w:t>
      </w:r>
      <w:r>
        <w:rPr>
          <w:rFonts w:ascii="Arial" w:hAnsi="Arial" w:cs="Arial"/>
          <w:iCs/>
          <w:color w:val="000000" w:themeColor="text1"/>
          <w:sz w:val="24"/>
          <w:szCs w:val="24"/>
        </w:rPr>
        <w:t xml:space="preserve">to implement a two-year pause on payments into and out of the Diversification and Sustainability Support Fund (DSSF) while the inquiry into the future of the ACT club industry </w:t>
      </w:r>
      <w:r w:rsidR="00585B1F">
        <w:rPr>
          <w:rFonts w:ascii="Arial" w:hAnsi="Arial" w:cs="Arial"/>
          <w:iCs/>
          <w:color w:val="000000" w:themeColor="text1"/>
          <w:sz w:val="24"/>
          <w:szCs w:val="24"/>
        </w:rPr>
        <w:t xml:space="preserve">(the Inquiry) </w:t>
      </w:r>
      <w:r>
        <w:rPr>
          <w:rFonts w:ascii="Arial" w:hAnsi="Arial" w:cs="Arial"/>
          <w:iCs/>
          <w:color w:val="000000" w:themeColor="text1"/>
          <w:sz w:val="24"/>
          <w:szCs w:val="24"/>
        </w:rPr>
        <w:t>takes place.</w:t>
      </w:r>
    </w:p>
    <w:p w14:paraId="7C6C5546" w14:textId="77777777" w:rsidR="0063639D" w:rsidRPr="00585B1F" w:rsidRDefault="0063639D" w:rsidP="00585B1F">
      <w:pPr>
        <w:spacing w:after="0"/>
        <w:rPr>
          <w:rFonts w:ascii="Arial" w:hAnsi="Arial" w:cs="Arial"/>
          <w:bCs/>
          <w:sz w:val="24"/>
          <w:szCs w:val="24"/>
          <w:highlight w:val="yellow"/>
        </w:rPr>
      </w:pPr>
    </w:p>
    <w:p w14:paraId="6BA2D581" w14:textId="223F15FF" w:rsidR="0063639D" w:rsidRPr="0063639D" w:rsidRDefault="00E90DF9" w:rsidP="00585B1F">
      <w:r w:rsidRPr="00AC59DF">
        <w:rPr>
          <w:rFonts w:ascii="Arial" w:hAnsi="Arial" w:cs="Arial"/>
          <w:b/>
          <w:sz w:val="24"/>
          <w:szCs w:val="24"/>
        </w:rPr>
        <w:t>CONSULTATION ON THE PROPOSED APPROACH</w:t>
      </w:r>
    </w:p>
    <w:p w14:paraId="7A1D7172" w14:textId="4CAAFDCF" w:rsidR="0063639D" w:rsidRPr="00585B1F" w:rsidRDefault="0063639D" w:rsidP="00585B1F">
      <w:pPr>
        <w:spacing w:after="120"/>
        <w:ind w:right="-45"/>
        <w:rPr>
          <w:rFonts w:ascii="Arial" w:hAnsi="Arial" w:cs="Arial"/>
          <w:iCs/>
          <w:color w:val="000000" w:themeColor="text1"/>
          <w:sz w:val="24"/>
          <w:szCs w:val="24"/>
        </w:rPr>
      </w:pPr>
      <w:r w:rsidRPr="00585B1F">
        <w:rPr>
          <w:rFonts w:ascii="Arial" w:hAnsi="Arial" w:cs="Arial"/>
          <w:iCs/>
          <w:color w:val="000000" w:themeColor="text1"/>
          <w:sz w:val="24"/>
          <w:szCs w:val="24"/>
        </w:rPr>
        <w:t xml:space="preserve">The ACT Gambling and Racing Commission </w:t>
      </w:r>
      <w:r w:rsidR="00585B1F" w:rsidRPr="00585B1F">
        <w:rPr>
          <w:rFonts w:ascii="Arial" w:hAnsi="Arial" w:cs="Arial"/>
          <w:iCs/>
          <w:color w:val="000000" w:themeColor="text1"/>
          <w:sz w:val="24"/>
          <w:szCs w:val="24"/>
        </w:rPr>
        <w:t xml:space="preserve">was </w:t>
      </w:r>
      <w:r w:rsidRPr="00585B1F">
        <w:rPr>
          <w:rFonts w:ascii="Arial" w:hAnsi="Arial" w:cs="Arial"/>
          <w:iCs/>
          <w:color w:val="000000" w:themeColor="text1"/>
          <w:sz w:val="24"/>
          <w:szCs w:val="24"/>
        </w:rPr>
        <w:t>consulted in the development of the Bill.</w:t>
      </w:r>
    </w:p>
    <w:p w14:paraId="1F19206B" w14:textId="77777777" w:rsidR="005A5FDA" w:rsidRPr="00585B1F" w:rsidRDefault="005A5FDA" w:rsidP="00585B1F">
      <w:pPr>
        <w:spacing w:after="0"/>
        <w:rPr>
          <w:rFonts w:ascii="Arial" w:hAnsi="Arial" w:cs="Arial"/>
          <w:bCs/>
          <w:sz w:val="24"/>
          <w:szCs w:val="24"/>
          <w:highlight w:val="yellow"/>
        </w:rPr>
      </w:pPr>
    </w:p>
    <w:p w14:paraId="23CB6687" w14:textId="0A304D98"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11596C6F" w:rsidR="00A53E70" w:rsidRDefault="00D74ADF" w:rsidP="00585B1F">
      <w:pPr>
        <w:spacing w:after="120"/>
        <w:ind w:right="-45"/>
        <w:rPr>
          <w:rFonts w:ascii="Arial" w:hAnsi="Arial" w:cs="Arial"/>
          <w:iCs/>
          <w:color w:val="000000" w:themeColor="text1"/>
          <w:sz w:val="24"/>
          <w:szCs w:val="24"/>
        </w:rPr>
      </w:pPr>
      <w:r w:rsidRPr="00D74ADF">
        <w:rPr>
          <w:rFonts w:ascii="Arial" w:hAnsi="Arial" w:cs="Arial"/>
          <w:iCs/>
          <w:color w:val="000000" w:themeColor="text1"/>
          <w:sz w:val="24"/>
          <w:szCs w:val="24"/>
        </w:rPr>
        <w:t>The Bill does not have any impact on climate change.</w:t>
      </w:r>
    </w:p>
    <w:p w14:paraId="126D35BF" w14:textId="77777777" w:rsidR="005A5FDA" w:rsidRPr="00585B1F" w:rsidRDefault="005A5FDA" w:rsidP="00585B1F">
      <w:pPr>
        <w:spacing w:after="0"/>
        <w:rPr>
          <w:rFonts w:ascii="Arial" w:hAnsi="Arial" w:cs="Arial"/>
          <w:bCs/>
          <w:sz w:val="24"/>
          <w:szCs w:val="24"/>
          <w:highlight w:val="yellow"/>
        </w:rPr>
      </w:pPr>
    </w:p>
    <w:p w14:paraId="3D031778" w14:textId="09C1BBDC" w:rsidR="00E90DF9" w:rsidRPr="00585B1F" w:rsidRDefault="00E90DF9" w:rsidP="00585B1F">
      <w:pPr>
        <w:rPr>
          <w:rFonts w:ascii="Arial" w:hAnsi="Arial" w:cs="Arial"/>
          <w:b/>
          <w:sz w:val="24"/>
          <w:szCs w:val="24"/>
        </w:rPr>
      </w:pPr>
      <w:r w:rsidRPr="00585B1F">
        <w:rPr>
          <w:rFonts w:ascii="Arial" w:hAnsi="Arial" w:cs="Arial"/>
          <w:b/>
          <w:sz w:val="24"/>
          <w:szCs w:val="24"/>
        </w:rPr>
        <w:t>CONSISTENCY WITH HUMAN RIGHTS</w:t>
      </w:r>
    </w:p>
    <w:p w14:paraId="7CA6E6AF" w14:textId="3111C986" w:rsidR="00D00857" w:rsidRDefault="005A5FDA" w:rsidP="009134F7">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Two</w:t>
      </w:r>
      <w:r w:rsidR="00DA2C64" w:rsidRPr="0063639D">
        <w:rPr>
          <w:rFonts w:ascii="Arial" w:hAnsi="Arial" w:cs="Arial"/>
          <w:iCs/>
          <w:color w:val="000000" w:themeColor="text1"/>
          <w:sz w:val="24"/>
          <w:szCs w:val="24"/>
        </w:rPr>
        <w:t xml:space="preserve"> measures </w:t>
      </w:r>
      <w:r>
        <w:rPr>
          <w:rFonts w:ascii="Arial" w:hAnsi="Arial" w:cs="Arial"/>
          <w:iCs/>
          <w:color w:val="000000" w:themeColor="text1"/>
          <w:sz w:val="24"/>
          <w:szCs w:val="24"/>
        </w:rPr>
        <w:t xml:space="preserve">in the Bill </w:t>
      </w:r>
      <w:r w:rsidR="0064048E" w:rsidRPr="0063639D">
        <w:rPr>
          <w:rFonts w:ascii="Arial" w:hAnsi="Arial" w:cs="Arial"/>
          <w:iCs/>
          <w:color w:val="000000" w:themeColor="text1"/>
          <w:sz w:val="24"/>
          <w:szCs w:val="24"/>
        </w:rPr>
        <w:t>engage and may limit the right to privacy and reputation at section 12 of the Human Rights Act.</w:t>
      </w:r>
      <w:r w:rsidR="003F4DAB" w:rsidRPr="0063639D">
        <w:rPr>
          <w:rFonts w:ascii="Arial" w:hAnsi="Arial" w:cs="Arial"/>
          <w:iCs/>
          <w:color w:val="000000" w:themeColor="text1"/>
          <w:sz w:val="24"/>
          <w:szCs w:val="24"/>
        </w:rPr>
        <w:t xml:space="preserve"> </w:t>
      </w:r>
      <w:r w:rsidR="00DA2C64" w:rsidRPr="0063639D">
        <w:rPr>
          <w:rFonts w:ascii="Arial" w:hAnsi="Arial" w:cs="Arial"/>
          <w:iCs/>
          <w:color w:val="000000" w:themeColor="text1"/>
          <w:sz w:val="24"/>
          <w:szCs w:val="24"/>
        </w:rPr>
        <w:t xml:space="preserve">Section 12 of the Human Rights Act </w:t>
      </w:r>
      <w:r w:rsidR="00D00857" w:rsidRPr="0063639D">
        <w:rPr>
          <w:rFonts w:ascii="Arial" w:hAnsi="Arial" w:cs="Arial"/>
          <w:iCs/>
          <w:color w:val="000000" w:themeColor="text1"/>
          <w:sz w:val="24"/>
          <w:szCs w:val="24"/>
        </w:rPr>
        <w:t xml:space="preserve">protects individuals from unlawful or arbitrary interference with privacy, family, home or correspondence. The right encompasses the idea that individuals should have a separate area of autonomous development, interaction and liberty, free from excessive government intervention and unsolicited intrusion by other individuals. Of relevance to the measures in the Bill, section 12 </w:t>
      </w:r>
      <w:r w:rsidR="00482ECE">
        <w:rPr>
          <w:rFonts w:ascii="Arial" w:hAnsi="Arial" w:cs="Arial"/>
          <w:iCs/>
          <w:color w:val="000000" w:themeColor="text1"/>
          <w:sz w:val="24"/>
          <w:szCs w:val="24"/>
        </w:rPr>
        <w:t xml:space="preserve">of the Human Rights Act </w:t>
      </w:r>
      <w:r w:rsidR="00D00857" w:rsidRPr="0063639D">
        <w:rPr>
          <w:rFonts w:ascii="Arial" w:hAnsi="Arial" w:cs="Arial"/>
          <w:iCs/>
          <w:color w:val="000000" w:themeColor="text1"/>
          <w:sz w:val="24"/>
          <w:szCs w:val="24"/>
        </w:rPr>
        <w:t xml:space="preserve">protects communication and information privacy by protecting personal, confidential information, or secure mail, phone and electronic communications from unlawful or </w:t>
      </w:r>
      <w:r w:rsidR="00D00857" w:rsidRPr="0063639D">
        <w:rPr>
          <w:rFonts w:ascii="Arial" w:hAnsi="Arial" w:cs="Arial"/>
          <w:iCs/>
          <w:color w:val="000000" w:themeColor="text1"/>
          <w:sz w:val="24"/>
          <w:szCs w:val="24"/>
        </w:rPr>
        <w:lastRenderedPageBreak/>
        <w:t xml:space="preserve">arbitrary interference. </w:t>
      </w:r>
      <w:r w:rsidR="003F4DAB">
        <w:rPr>
          <w:rFonts w:ascii="Arial" w:hAnsi="Arial" w:cs="Arial"/>
          <w:iCs/>
          <w:color w:val="000000" w:themeColor="text1"/>
          <w:sz w:val="24"/>
          <w:szCs w:val="24"/>
        </w:rPr>
        <w:t xml:space="preserve">This right is engaged and </w:t>
      </w:r>
      <w:r w:rsidR="009134F7">
        <w:rPr>
          <w:rFonts w:ascii="Arial" w:hAnsi="Arial" w:cs="Arial"/>
          <w:iCs/>
          <w:color w:val="000000" w:themeColor="text1"/>
          <w:sz w:val="24"/>
          <w:szCs w:val="24"/>
        </w:rPr>
        <w:t xml:space="preserve">may be </w:t>
      </w:r>
      <w:r w:rsidR="003F4DAB">
        <w:rPr>
          <w:rFonts w:ascii="Arial" w:hAnsi="Arial" w:cs="Arial"/>
          <w:iCs/>
          <w:color w:val="000000" w:themeColor="text1"/>
          <w:sz w:val="24"/>
          <w:szCs w:val="24"/>
        </w:rPr>
        <w:t xml:space="preserve">limited </w:t>
      </w:r>
      <w:r w:rsidR="00D00857">
        <w:rPr>
          <w:rFonts w:ascii="Arial" w:hAnsi="Arial" w:cs="Arial"/>
          <w:iCs/>
          <w:color w:val="000000" w:themeColor="text1"/>
          <w:sz w:val="24"/>
          <w:szCs w:val="24"/>
        </w:rPr>
        <w:t xml:space="preserve">by the measures in the Bill </w:t>
      </w:r>
      <w:r w:rsidR="003F4DAB">
        <w:rPr>
          <w:rFonts w:ascii="Arial" w:hAnsi="Arial" w:cs="Arial"/>
          <w:iCs/>
          <w:color w:val="000000" w:themeColor="text1"/>
          <w:sz w:val="24"/>
          <w:szCs w:val="24"/>
        </w:rPr>
        <w:t>because there is a possibility that personal information may be shared</w:t>
      </w:r>
      <w:r w:rsidR="003F7BD6">
        <w:rPr>
          <w:rFonts w:ascii="Arial" w:hAnsi="Arial" w:cs="Arial"/>
          <w:iCs/>
          <w:color w:val="000000" w:themeColor="text1"/>
          <w:sz w:val="24"/>
          <w:szCs w:val="24"/>
        </w:rPr>
        <w:t>.</w:t>
      </w:r>
      <w:r w:rsidR="00F040C1">
        <w:rPr>
          <w:rFonts w:ascii="Arial" w:hAnsi="Arial" w:cs="Arial"/>
          <w:iCs/>
          <w:color w:val="000000" w:themeColor="text1"/>
          <w:sz w:val="24"/>
          <w:szCs w:val="24"/>
        </w:rPr>
        <w:t xml:space="preserve"> </w:t>
      </w:r>
    </w:p>
    <w:p w14:paraId="278D20D4" w14:textId="77777777" w:rsidR="00585B1F" w:rsidRPr="00A82D33" w:rsidRDefault="00585B1F" w:rsidP="00A82D33">
      <w:pPr>
        <w:spacing w:after="0"/>
        <w:rPr>
          <w:rFonts w:ascii="Arial" w:hAnsi="Arial" w:cs="Arial"/>
          <w:bCs/>
          <w:sz w:val="24"/>
          <w:szCs w:val="24"/>
          <w:highlight w:val="yellow"/>
        </w:rPr>
      </w:pPr>
    </w:p>
    <w:p w14:paraId="1A756890" w14:textId="77777777" w:rsidR="000C7839" w:rsidRPr="000C7839" w:rsidRDefault="000C7839" w:rsidP="000C7839">
      <w:pPr>
        <w:rPr>
          <w:rFonts w:ascii="Arial" w:hAnsi="Arial" w:cs="Arial"/>
          <w:b/>
          <w:sz w:val="24"/>
          <w:szCs w:val="24"/>
        </w:rPr>
      </w:pPr>
      <w:r w:rsidRPr="000C7839">
        <w:rPr>
          <w:rFonts w:ascii="Arial" w:hAnsi="Arial" w:cs="Arial"/>
          <w:b/>
          <w:sz w:val="24"/>
          <w:szCs w:val="24"/>
        </w:rPr>
        <w:t>Disclosure of information in relation to an ongoing investigation</w:t>
      </w:r>
    </w:p>
    <w:p w14:paraId="337B74AA" w14:textId="126CEF67" w:rsidR="008E5501" w:rsidRPr="008E5501" w:rsidRDefault="008E5501" w:rsidP="008E5501">
      <w:pPr>
        <w:rPr>
          <w:rFonts w:ascii="Arial" w:hAnsi="Arial" w:cs="Arial"/>
          <w:iCs/>
          <w:color w:val="000000" w:themeColor="text1"/>
          <w:sz w:val="24"/>
          <w:szCs w:val="24"/>
        </w:rPr>
      </w:pPr>
      <w:r w:rsidRPr="008E5501">
        <w:rPr>
          <w:rFonts w:ascii="Arial" w:hAnsi="Arial" w:cs="Arial"/>
          <w:iCs/>
          <w:color w:val="000000" w:themeColor="text1"/>
          <w:sz w:val="24"/>
          <w:szCs w:val="24"/>
        </w:rPr>
        <w:t>According to section 6</w:t>
      </w:r>
      <w:r w:rsidR="009134F7">
        <w:rPr>
          <w:rFonts w:ascii="Arial" w:hAnsi="Arial" w:cs="Arial"/>
          <w:iCs/>
          <w:color w:val="000000" w:themeColor="text1"/>
          <w:sz w:val="24"/>
          <w:szCs w:val="24"/>
        </w:rPr>
        <w:t xml:space="preserve"> </w:t>
      </w:r>
      <w:r w:rsidRPr="008E5501">
        <w:rPr>
          <w:rFonts w:ascii="Arial" w:hAnsi="Arial" w:cs="Arial"/>
          <w:iCs/>
          <w:color w:val="000000" w:themeColor="text1"/>
          <w:sz w:val="24"/>
          <w:szCs w:val="24"/>
        </w:rPr>
        <w:t>(2)</w:t>
      </w:r>
      <w:r w:rsidR="009134F7">
        <w:rPr>
          <w:rFonts w:ascii="Arial" w:hAnsi="Arial" w:cs="Arial"/>
          <w:iCs/>
          <w:color w:val="000000" w:themeColor="text1"/>
          <w:sz w:val="24"/>
          <w:szCs w:val="24"/>
        </w:rPr>
        <w:t xml:space="preserve"> </w:t>
      </w:r>
      <w:r w:rsidRPr="008E5501">
        <w:rPr>
          <w:rFonts w:ascii="Arial" w:hAnsi="Arial" w:cs="Arial"/>
          <w:iCs/>
          <w:color w:val="000000" w:themeColor="text1"/>
          <w:sz w:val="24"/>
          <w:szCs w:val="24"/>
        </w:rPr>
        <w:t xml:space="preserve">(h) of the Gambling and Racing Control Act, one of the functions of the Commission is to investigate and conduct inquiries into issues related to gaming and racing, and activities of people in relation to gaming and racing, for the purpose of exercising functions under a gaming law. </w:t>
      </w:r>
      <w:r w:rsidRPr="000D3987">
        <w:rPr>
          <w:rFonts w:ascii="Arial" w:hAnsi="Arial" w:cs="Arial"/>
          <w:iCs/>
          <w:color w:val="000000" w:themeColor="text1"/>
          <w:sz w:val="24"/>
          <w:szCs w:val="24"/>
        </w:rPr>
        <w:t xml:space="preserve">The Commission </w:t>
      </w:r>
      <w:r>
        <w:rPr>
          <w:rFonts w:ascii="Arial" w:hAnsi="Arial" w:cs="Arial"/>
          <w:iCs/>
          <w:color w:val="000000" w:themeColor="text1"/>
          <w:sz w:val="24"/>
          <w:szCs w:val="24"/>
        </w:rPr>
        <w:t>does</w:t>
      </w:r>
      <w:r w:rsidRPr="000D3987">
        <w:rPr>
          <w:rFonts w:ascii="Arial" w:hAnsi="Arial" w:cs="Arial"/>
          <w:iCs/>
          <w:color w:val="000000" w:themeColor="text1"/>
          <w:sz w:val="24"/>
          <w:szCs w:val="24"/>
        </w:rPr>
        <w:t xml:space="preserve"> not investigate complaints that are in relation to customer service at gambling venues, behavioural (including disciplinary</w:t>
      </w:r>
      <w:r w:rsidR="00482ECE">
        <w:rPr>
          <w:rFonts w:ascii="Arial" w:hAnsi="Arial" w:cs="Arial"/>
          <w:iCs/>
          <w:color w:val="000000" w:themeColor="text1"/>
          <w:sz w:val="24"/>
          <w:szCs w:val="24"/>
        </w:rPr>
        <w:t>)</w:t>
      </w:r>
      <w:r w:rsidRPr="000D3987">
        <w:rPr>
          <w:rFonts w:ascii="Arial" w:hAnsi="Arial" w:cs="Arial"/>
          <w:iCs/>
          <w:color w:val="000000" w:themeColor="text1"/>
          <w:sz w:val="24"/>
          <w:szCs w:val="24"/>
        </w:rPr>
        <w:t xml:space="preserve"> matters that are decided under a Club's constitution</w:t>
      </w:r>
      <w:r>
        <w:rPr>
          <w:rFonts w:ascii="Arial" w:hAnsi="Arial" w:cs="Arial"/>
          <w:iCs/>
          <w:color w:val="000000" w:themeColor="text1"/>
          <w:sz w:val="24"/>
          <w:szCs w:val="24"/>
        </w:rPr>
        <w:t>,</w:t>
      </w:r>
      <w:r w:rsidRPr="000D3987">
        <w:rPr>
          <w:rFonts w:ascii="Arial" w:hAnsi="Arial" w:cs="Arial"/>
          <w:iCs/>
          <w:color w:val="000000" w:themeColor="text1"/>
          <w:sz w:val="24"/>
          <w:szCs w:val="24"/>
        </w:rPr>
        <w:t xml:space="preserve"> and patron access to a venue's security or surveillance systems</w:t>
      </w:r>
      <w:r>
        <w:rPr>
          <w:rFonts w:ascii="Arial" w:hAnsi="Arial" w:cs="Arial"/>
          <w:iCs/>
          <w:color w:val="000000" w:themeColor="text1"/>
          <w:sz w:val="24"/>
          <w:szCs w:val="24"/>
        </w:rPr>
        <w:t xml:space="preserve">. </w:t>
      </w:r>
    </w:p>
    <w:p w14:paraId="3ACD0A5C" w14:textId="7FCDBDCF" w:rsidR="00450776" w:rsidRDefault="000D3987" w:rsidP="00450776">
      <w:pPr>
        <w:rPr>
          <w:rFonts w:ascii="Arial" w:hAnsi="Arial" w:cs="Arial"/>
          <w:iCs/>
          <w:color w:val="000000" w:themeColor="text1"/>
          <w:sz w:val="24"/>
          <w:szCs w:val="24"/>
        </w:rPr>
      </w:pPr>
      <w:r w:rsidRPr="000D3987">
        <w:rPr>
          <w:rFonts w:ascii="Arial" w:hAnsi="Arial" w:cs="Arial"/>
          <w:iCs/>
          <w:color w:val="000000" w:themeColor="text1"/>
          <w:sz w:val="24"/>
          <w:szCs w:val="24"/>
        </w:rPr>
        <w:t>Under section 31 of the Gambling and Racing Control Act, a person may lodge a complaint with the Commission about compliance with a gaming law within the ACT.</w:t>
      </w:r>
      <w:r w:rsidR="008E5501">
        <w:rPr>
          <w:rFonts w:ascii="Arial" w:hAnsi="Arial" w:cs="Arial"/>
          <w:iCs/>
          <w:color w:val="000000" w:themeColor="text1"/>
          <w:sz w:val="24"/>
          <w:szCs w:val="24"/>
        </w:rPr>
        <w:t xml:space="preserve"> </w:t>
      </w:r>
      <w:r w:rsidR="00450776">
        <w:rPr>
          <w:rFonts w:ascii="Arial" w:hAnsi="Arial" w:cs="Arial"/>
          <w:iCs/>
          <w:color w:val="000000" w:themeColor="text1"/>
          <w:sz w:val="24"/>
          <w:szCs w:val="24"/>
        </w:rPr>
        <w:t>Th</w:t>
      </w:r>
      <w:r w:rsidR="008E5501">
        <w:rPr>
          <w:rFonts w:ascii="Arial" w:hAnsi="Arial" w:cs="Arial"/>
          <w:iCs/>
          <w:color w:val="000000" w:themeColor="text1"/>
          <w:sz w:val="24"/>
          <w:szCs w:val="24"/>
        </w:rPr>
        <w:t>e</w:t>
      </w:r>
      <w:r w:rsidR="00450776">
        <w:rPr>
          <w:rFonts w:ascii="Arial" w:hAnsi="Arial" w:cs="Arial"/>
          <w:iCs/>
          <w:color w:val="000000" w:themeColor="text1"/>
          <w:sz w:val="24"/>
          <w:szCs w:val="24"/>
        </w:rPr>
        <w:t xml:space="preserve"> amendment </w:t>
      </w:r>
      <w:r w:rsidR="008E5501">
        <w:rPr>
          <w:rFonts w:ascii="Arial" w:hAnsi="Arial" w:cs="Arial"/>
          <w:iCs/>
          <w:color w:val="000000" w:themeColor="text1"/>
          <w:sz w:val="24"/>
          <w:szCs w:val="24"/>
        </w:rPr>
        <w:t xml:space="preserve">to section 31 </w:t>
      </w:r>
      <w:r w:rsidR="00450776">
        <w:rPr>
          <w:rFonts w:ascii="Arial" w:hAnsi="Arial" w:cs="Arial"/>
          <w:iCs/>
          <w:color w:val="000000" w:themeColor="text1"/>
          <w:sz w:val="24"/>
          <w:szCs w:val="24"/>
        </w:rPr>
        <w:t>authorises the Commission</w:t>
      </w:r>
      <w:r w:rsidR="00482ECE">
        <w:rPr>
          <w:rFonts w:ascii="Arial" w:hAnsi="Arial" w:cs="Arial"/>
          <w:iCs/>
          <w:color w:val="000000" w:themeColor="text1"/>
          <w:sz w:val="24"/>
          <w:szCs w:val="24"/>
        </w:rPr>
        <w:t>, or authorised officer,</w:t>
      </w:r>
      <w:r w:rsidR="00450776">
        <w:rPr>
          <w:rFonts w:ascii="Arial" w:hAnsi="Arial" w:cs="Arial"/>
          <w:iCs/>
          <w:color w:val="000000" w:themeColor="text1"/>
          <w:sz w:val="24"/>
          <w:szCs w:val="24"/>
        </w:rPr>
        <w:t xml:space="preserve"> to release information to a complainant for the purpose of keeping the complainant informed of the status of an ongoing investigation of a complaint that they had made. It is anticipated that the type of information to be communicated to the complainant would largely involve procedural information about the investigation, such as where the investigation is up to and the next steps. As each complaint and investigation is different, the provision has been drafted to capture a variety of situations. The Commission</w:t>
      </w:r>
      <w:r w:rsidR="00482ECE">
        <w:rPr>
          <w:rFonts w:ascii="Arial" w:hAnsi="Arial" w:cs="Arial"/>
          <w:iCs/>
          <w:color w:val="000000" w:themeColor="text1"/>
          <w:sz w:val="24"/>
          <w:szCs w:val="24"/>
        </w:rPr>
        <w:t>, or authorised officer,</w:t>
      </w:r>
      <w:r w:rsidR="00450776">
        <w:rPr>
          <w:rFonts w:ascii="Arial" w:hAnsi="Arial" w:cs="Arial"/>
          <w:iCs/>
          <w:color w:val="000000" w:themeColor="text1"/>
          <w:sz w:val="24"/>
          <w:szCs w:val="24"/>
        </w:rPr>
        <w:t xml:space="preserve"> is given the discretion to decide what information is appropriate to disclose, </w:t>
      </w:r>
      <w:proofErr w:type="gramStart"/>
      <w:r w:rsidR="00450776">
        <w:rPr>
          <w:rFonts w:ascii="Arial" w:hAnsi="Arial" w:cs="Arial"/>
          <w:iCs/>
          <w:color w:val="000000" w:themeColor="text1"/>
          <w:sz w:val="24"/>
          <w:szCs w:val="24"/>
        </w:rPr>
        <w:t>as long as</w:t>
      </w:r>
      <w:proofErr w:type="gramEnd"/>
      <w:r w:rsidR="00450776">
        <w:rPr>
          <w:rFonts w:ascii="Arial" w:hAnsi="Arial" w:cs="Arial"/>
          <w:iCs/>
          <w:color w:val="000000" w:themeColor="text1"/>
          <w:sz w:val="24"/>
          <w:szCs w:val="24"/>
        </w:rPr>
        <w:t xml:space="preserve"> they comply with the safeguards legislated:</w:t>
      </w:r>
    </w:p>
    <w:p w14:paraId="67134D0D" w14:textId="77777777"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information must only be released to the complainant, if the complainant has a legitimate interest in the </w:t>
      </w:r>
      <w:proofErr w:type="gramStart"/>
      <w:r w:rsidRPr="00155138">
        <w:rPr>
          <w:rFonts w:ascii="Arial" w:hAnsi="Arial" w:cs="Arial"/>
          <w:iCs/>
          <w:color w:val="000000" w:themeColor="text1"/>
          <w:sz w:val="24"/>
          <w:szCs w:val="24"/>
        </w:rPr>
        <w:t>information;</w:t>
      </w:r>
      <w:proofErr w:type="gramEnd"/>
    </w:p>
    <w:p w14:paraId="6A7FDF8F" w14:textId="1EB112CF"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the type of information shared must not </w:t>
      </w:r>
      <w:r w:rsidR="003F7BD6">
        <w:rPr>
          <w:rFonts w:ascii="Arial" w:hAnsi="Arial" w:cs="Arial"/>
          <w:iCs/>
          <w:color w:val="000000" w:themeColor="text1"/>
          <w:sz w:val="24"/>
          <w:szCs w:val="24"/>
        </w:rPr>
        <w:t xml:space="preserve">unreasonably </w:t>
      </w:r>
      <w:r w:rsidRPr="00155138">
        <w:rPr>
          <w:rFonts w:ascii="Arial" w:hAnsi="Arial" w:cs="Arial"/>
          <w:iCs/>
          <w:color w:val="000000" w:themeColor="text1"/>
          <w:sz w:val="24"/>
          <w:szCs w:val="24"/>
        </w:rPr>
        <w:t>prejudice the privacy or other interests of another person</w:t>
      </w:r>
      <w:r w:rsidR="008E297A">
        <w:rPr>
          <w:rFonts w:ascii="Arial" w:hAnsi="Arial" w:cs="Arial"/>
          <w:iCs/>
          <w:color w:val="000000" w:themeColor="text1"/>
          <w:sz w:val="24"/>
          <w:szCs w:val="24"/>
        </w:rPr>
        <w:t xml:space="preserve"> (for example, interests of an individual’s family members</w:t>
      </w:r>
      <w:proofErr w:type="gramStart"/>
      <w:r w:rsidR="008E297A">
        <w:rPr>
          <w:rFonts w:ascii="Arial" w:hAnsi="Arial" w:cs="Arial"/>
          <w:iCs/>
          <w:color w:val="000000" w:themeColor="text1"/>
          <w:sz w:val="24"/>
          <w:szCs w:val="24"/>
        </w:rPr>
        <w:t>)</w:t>
      </w:r>
      <w:r w:rsidRPr="00155138">
        <w:rPr>
          <w:rFonts w:ascii="Arial" w:hAnsi="Arial" w:cs="Arial"/>
          <w:iCs/>
          <w:color w:val="000000" w:themeColor="text1"/>
          <w:sz w:val="24"/>
          <w:szCs w:val="24"/>
        </w:rPr>
        <w:t>;</w:t>
      </w:r>
      <w:proofErr w:type="gramEnd"/>
    </w:p>
    <w:p w14:paraId="46B06A1C" w14:textId="31A6D690"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the type of information shared must not prejudice the conduct of an investigation; and </w:t>
      </w:r>
    </w:p>
    <w:p w14:paraId="252DB2DC" w14:textId="6A8F64B6" w:rsidR="0063639D" w:rsidRPr="0063639D" w:rsidRDefault="00450776" w:rsidP="0063639D">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in giving the information, principles of procedural fairness must be complied with.</w:t>
      </w:r>
    </w:p>
    <w:p w14:paraId="678C8234" w14:textId="77777777" w:rsidR="00F17297" w:rsidRDefault="0063639D" w:rsidP="0063639D">
      <w:pPr>
        <w:rPr>
          <w:rFonts w:ascii="Arial" w:hAnsi="Arial" w:cs="Arial"/>
          <w:iCs/>
          <w:color w:val="000000" w:themeColor="text1"/>
          <w:sz w:val="24"/>
          <w:szCs w:val="24"/>
        </w:rPr>
      </w:pPr>
      <w:r w:rsidRPr="0063639D">
        <w:rPr>
          <w:rFonts w:ascii="Arial" w:hAnsi="Arial" w:cs="Arial"/>
          <w:iCs/>
          <w:color w:val="000000" w:themeColor="text1"/>
          <w:sz w:val="24"/>
          <w:szCs w:val="24"/>
        </w:rPr>
        <w:t xml:space="preserve">The objective of the amendment to section 31 of the Gambling and Racing Control Act is to address a concern that became evident by the Commission’s recent investigation into </w:t>
      </w:r>
      <w:r>
        <w:rPr>
          <w:rFonts w:ascii="Arial" w:hAnsi="Arial" w:cs="Arial"/>
          <w:iCs/>
          <w:color w:val="000000" w:themeColor="text1"/>
          <w:sz w:val="24"/>
          <w:szCs w:val="24"/>
        </w:rPr>
        <w:t>an ACT Club</w:t>
      </w:r>
      <w:r w:rsidRPr="0063639D">
        <w:rPr>
          <w:rFonts w:ascii="Arial" w:hAnsi="Arial" w:cs="Arial"/>
          <w:iCs/>
          <w:color w:val="000000" w:themeColor="text1"/>
          <w:sz w:val="24"/>
          <w:szCs w:val="24"/>
        </w:rPr>
        <w:t xml:space="preserve"> between 2020-2025. </w:t>
      </w:r>
      <w:r w:rsidR="005D2016">
        <w:rPr>
          <w:rFonts w:ascii="Arial" w:hAnsi="Arial" w:cs="Arial"/>
          <w:iCs/>
          <w:color w:val="000000" w:themeColor="text1"/>
          <w:sz w:val="24"/>
          <w:szCs w:val="24"/>
        </w:rPr>
        <w:t>While t</w:t>
      </w:r>
      <w:r w:rsidRPr="0063639D">
        <w:rPr>
          <w:rFonts w:ascii="Arial" w:hAnsi="Arial" w:cs="Arial"/>
          <w:iCs/>
          <w:color w:val="000000" w:themeColor="text1"/>
          <w:sz w:val="24"/>
          <w:szCs w:val="24"/>
        </w:rPr>
        <w:t xml:space="preserve">he current disclosure </w:t>
      </w:r>
      <w:r w:rsidR="005D2016" w:rsidRPr="0063639D">
        <w:rPr>
          <w:rFonts w:ascii="Arial" w:hAnsi="Arial" w:cs="Arial"/>
          <w:iCs/>
          <w:color w:val="000000" w:themeColor="text1"/>
          <w:sz w:val="24"/>
          <w:szCs w:val="24"/>
        </w:rPr>
        <w:t xml:space="preserve">in the Gambling and Racing Control Act </w:t>
      </w:r>
      <w:r w:rsidR="005D2016">
        <w:rPr>
          <w:rFonts w:ascii="Arial" w:hAnsi="Arial" w:cs="Arial"/>
          <w:iCs/>
          <w:color w:val="000000" w:themeColor="text1"/>
          <w:sz w:val="24"/>
          <w:szCs w:val="24"/>
        </w:rPr>
        <w:t>allows the Commission to inform the complainant</w:t>
      </w:r>
      <w:r w:rsidR="005D2016" w:rsidRPr="005D2016">
        <w:rPr>
          <w:rFonts w:ascii="Arial" w:hAnsi="Arial" w:cs="Arial"/>
          <w:iCs/>
          <w:color w:val="000000" w:themeColor="text1"/>
          <w:sz w:val="24"/>
          <w:szCs w:val="24"/>
        </w:rPr>
        <w:t xml:space="preserve"> about the results of the investigation</w:t>
      </w:r>
      <w:r w:rsidR="005D2016">
        <w:rPr>
          <w:rFonts w:ascii="Arial" w:hAnsi="Arial" w:cs="Arial"/>
          <w:iCs/>
          <w:color w:val="000000" w:themeColor="text1"/>
          <w:sz w:val="24"/>
          <w:szCs w:val="24"/>
        </w:rPr>
        <w:t>, it</w:t>
      </w:r>
      <w:r w:rsidRPr="0063639D">
        <w:rPr>
          <w:rFonts w:ascii="Arial" w:hAnsi="Arial" w:cs="Arial"/>
          <w:iCs/>
          <w:color w:val="000000" w:themeColor="text1"/>
          <w:sz w:val="24"/>
          <w:szCs w:val="24"/>
        </w:rPr>
        <w:t xml:space="preserve"> does not specify whether the Commission is allowed to disclose information in relation to an ongoing investigation for the purpose of keeping a complainant informed about the progress of the investigation. During its four-year investigation, the Commission was prohibited from providing updates to the complainant in relation to the investigation due to</w:t>
      </w:r>
      <w:r w:rsidR="005D2016">
        <w:rPr>
          <w:rFonts w:ascii="Arial" w:hAnsi="Arial" w:cs="Arial"/>
          <w:iCs/>
          <w:color w:val="000000" w:themeColor="text1"/>
          <w:sz w:val="24"/>
          <w:szCs w:val="24"/>
        </w:rPr>
        <w:t xml:space="preserve"> this</w:t>
      </w:r>
      <w:r w:rsidRPr="0063639D">
        <w:rPr>
          <w:rFonts w:ascii="Arial" w:hAnsi="Arial" w:cs="Arial"/>
          <w:iCs/>
          <w:color w:val="000000" w:themeColor="text1"/>
          <w:sz w:val="24"/>
          <w:szCs w:val="24"/>
        </w:rPr>
        <w:t xml:space="preserve"> legislative restriction. </w:t>
      </w:r>
    </w:p>
    <w:p w14:paraId="0111B12F" w14:textId="0784488E" w:rsidR="0063639D" w:rsidRDefault="00F17297" w:rsidP="0063639D">
      <w:pPr>
        <w:rPr>
          <w:rFonts w:ascii="Arial" w:hAnsi="Arial" w:cs="Arial"/>
          <w:iCs/>
          <w:color w:val="000000" w:themeColor="text1"/>
          <w:sz w:val="24"/>
          <w:szCs w:val="24"/>
        </w:rPr>
      </w:pPr>
      <w:r>
        <w:rPr>
          <w:rFonts w:ascii="Arial" w:hAnsi="Arial" w:cs="Arial"/>
          <w:iCs/>
          <w:color w:val="000000" w:themeColor="text1"/>
          <w:sz w:val="24"/>
          <w:szCs w:val="24"/>
        </w:rPr>
        <w:lastRenderedPageBreak/>
        <w:t>This measure in the Bill accordingly has a legitimate purpose of facilitating access to information by a complainant about the progress of government regulatory action. The safeguards in new section 31 (2) of the Bill ensure that any disclosure of personal information is proportionate, as it will occur only to the extent that it promotes the complainant’s legitimate interests and does not unreasonably prejudice the privacy of another person or their right to procedural fairness.</w:t>
      </w:r>
    </w:p>
    <w:p w14:paraId="209B4593" w14:textId="77777777" w:rsidR="00B05C85" w:rsidRPr="00A82D33" w:rsidRDefault="00B05C85" w:rsidP="00A82D33">
      <w:pPr>
        <w:spacing w:after="0"/>
        <w:rPr>
          <w:rFonts w:ascii="Arial" w:hAnsi="Arial" w:cs="Arial"/>
          <w:bCs/>
          <w:sz w:val="24"/>
          <w:szCs w:val="24"/>
          <w:highlight w:val="yellow"/>
        </w:rPr>
      </w:pPr>
    </w:p>
    <w:p w14:paraId="6E6CE595" w14:textId="71DC4405" w:rsidR="00C07D1F" w:rsidRPr="00E219AE" w:rsidRDefault="00C07D1F" w:rsidP="00DA2C64">
      <w:pPr>
        <w:rPr>
          <w:rFonts w:ascii="Arial" w:hAnsi="Arial" w:cs="Arial"/>
          <w:b/>
          <w:sz w:val="24"/>
          <w:szCs w:val="24"/>
        </w:rPr>
      </w:pPr>
      <w:r w:rsidRPr="00E219AE">
        <w:rPr>
          <w:rFonts w:ascii="Arial" w:hAnsi="Arial" w:cs="Arial"/>
          <w:b/>
          <w:sz w:val="24"/>
          <w:szCs w:val="24"/>
        </w:rPr>
        <w:t xml:space="preserve">Disclosure of information for the purpose of advising </w:t>
      </w:r>
      <w:r w:rsidR="005055F4" w:rsidRPr="00E219AE">
        <w:rPr>
          <w:rFonts w:ascii="Arial" w:hAnsi="Arial" w:cs="Arial"/>
          <w:b/>
          <w:sz w:val="24"/>
          <w:szCs w:val="24"/>
        </w:rPr>
        <w:t xml:space="preserve">or assisting </w:t>
      </w:r>
      <w:r w:rsidRPr="00E219AE">
        <w:rPr>
          <w:rFonts w:ascii="Arial" w:hAnsi="Arial" w:cs="Arial"/>
          <w:b/>
          <w:sz w:val="24"/>
          <w:szCs w:val="24"/>
        </w:rPr>
        <w:t xml:space="preserve">other Ministers and </w:t>
      </w:r>
      <w:r w:rsidR="005055F4" w:rsidRPr="00E219AE">
        <w:rPr>
          <w:rFonts w:ascii="Arial" w:hAnsi="Arial" w:cs="Arial"/>
          <w:b/>
          <w:sz w:val="24"/>
          <w:szCs w:val="24"/>
        </w:rPr>
        <w:t>ACT Government agencies</w:t>
      </w:r>
    </w:p>
    <w:p w14:paraId="6ACCBD28" w14:textId="77777777" w:rsidR="00AF7D59" w:rsidRPr="00E219AE" w:rsidRDefault="005055F4" w:rsidP="00042AC5">
      <w:pPr>
        <w:pStyle w:val="Paragraphtext"/>
        <w:spacing w:line="276" w:lineRule="auto"/>
        <w:rPr>
          <w:rFonts w:ascii="Arial" w:eastAsia="Times New Roman" w:hAnsi="Arial" w:cs="Arial"/>
          <w:iCs/>
          <w:szCs w:val="24"/>
        </w:rPr>
      </w:pPr>
      <w:r w:rsidRPr="00E219AE">
        <w:rPr>
          <w:rFonts w:ascii="Arial" w:eastAsia="Times New Roman" w:hAnsi="Arial" w:cs="Arial"/>
          <w:iCs/>
          <w:szCs w:val="24"/>
        </w:rPr>
        <w:t>The amendment to section 37 (d) (ii) of the Gambling and Racing Control Act will allow</w:t>
      </w:r>
      <w:r w:rsidR="008E297A" w:rsidRPr="00E219AE">
        <w:rPr>
          <w:rFonts w:ascii="Arial" w:eastAsia="Times New Roman" w:hAnsi="Arial" w:cs="Arial"/>
          <w:iCs/>
          <w:szCs w:val="24"/>
        </w:rPr>
        <w:t xml:space="preserve"> a gaming officer to disclose information to</w:t>
      </w:r>
      <w:r w:rsidRPr="00E219AE">
        <w:rPr>
          <w:rFonts w:ascii="Arial" w:eastAsia="Times New Roman" w:hAnsi="Arial" w:cs="Arial"/>
          <w:iCs/>
          <w:szCs w:val="24"/>
        </w:rPr>
        <w:t xml:space="preserve"> the administrative unit responsible for the Act, </w:t>
      </w:r>
      <w:r w:rsidR="005A5FDA" w:rsidRPr="00E219AE">
        <w:rPr>
          <w:rFonts w:ascii="Arial" w:eastAsia="Times New Roman" w:hAnsi="Arial" w:cs="Arial"/>
          <w:iCs/>
          <w:szCs w:val="24"/>
        </w:rPr>
        <w:t>the Commission or the Minister</w:t>
      </w:r>
      <w:r w:rsidR="00BE4842" w:rsidRPr="00E219AE">
        <w:rPr>
          <w:rFonts w:ascii="Arial" w:eastAsia="Times New Roman" w:hAnsi="Arial" w:cs="Arial"/>
          <w:iCs/>
          <w:szCs w:val="24"/>
        </w:rPr>
        <w:t xml:space="preserve"> (or to a person authorised to receive the information by those entities)</w:t>
      </w:r>
      <w:r w:rsidRPr="00E219AE">
        <w:rPr>
          <w:rFonts w:ascii="Arial" w:eastAsia="Times New Roman" w:hAnsi="Arial" w:cs="Arial"/>
          <w:iCs/>
          <w:szCs w:val="24"/>
        </w:rPr>
        <w:t xml:space="preserve">, </w:t>
      </w:r>
      <w:r w:rsidR="005A5FDA" w:rsidRPr="00E219AE">
        <w:rPr>
          <w:rFonts w:ascii="Arial" w:eastAsia="Times New Roman" w:hAnsi="Arial" w:cs="Arial"/>
          <w:iCs/>
          <w:szCs w:val="24"/>
        </w:rPr>
        <w:t>for the purpose of</w:t>
      </w:r>
      <w:r w:rsidRPr="00E219AE">
        <w:rPr>
          <w:rFonts w:ascii="Arial" w:eastAsia="Times New Roman" w:hAnsi="Arial" w:cs="Arial"/>
          <w:iCs/>
          <w:szCs w:val="24"/>
        </w:rPr>
        <w:t xml:space="preserve"> </w:t>
      </w:r>
      <w:r w:rsidR="005A5FDA" w:rsidRPr="00E219AE">
        <w:rPr>
          <w:rFonts w:ascii="Arial" w:eastAsia="Times New Roman" w:hAnsi="Arial" w:cs="Arial"/>
          <w:iCs/>
          <w:szCs w:val="24"/>
        </w:rPr>
        <w:t>advising or assisting an administrative unit, the Minister, or any other Minister</w:t>
      </w:r>
      <w:r w:rsidR="008E297A" w:rsidRPr="00E219AE">
        <w:rPr>
          <w:rFonts w:ascii="Arial" w:eastAsia="Times New Roman" w:hAnsi="Arial" w:cs="Arial"/>
          <w:iCs/>
          <w:szCs w:val="24"/>
        </w:rPr>
        <w:t>,</w:t>
      </w:r>
      <w:r w:rsidR="005A5FDA" w:rsidRPr="00E219AE">
        <w:rPr>
          <w:rFonts w:ascii="Arial" w:eastAsia="Times New Roman" w:hAnsi="Arial" w:cs="Arial"/>
          <w:iCs/>
          <w:szCs w:val="24"/>
        </w:rPr>
        <w:t xml:space="preserve"> </w:t>
      </w:r>
      <w:r w:rsidR="00042AC5" w:rsidRPr="00E219AE">
        <w:rPr>
          <w:rFonts w:ascii="Arial" w:eastAsia="Times New Roman" w:hAnsi="Arial" w:cs="Arial"/>
          <w:iCs/>
          <w:szCs w:val="24"/>
        </w:rPr>
        <w:t xml:space="preserve">about policy matters or the operation of a gaming law. </w:t>
      </w:r>
      <w:r w:rsidR="00BE4842" w:rsidRPr="00E219AE">
        <w:rPr>
          <w:rFonts w:ascii="Arial" w:eastAsia="Times New Roman" w:hAnsi="Arial" w:cs="Arial"/>
          <w:iCs/>
          <w:szCs w:val="24"/>
        </w:rPr>
        <w:t xml:space="preserve">This extends the ability to share information to the ACT Executive. </w:t>
      </w:r>
    </w:p>
    <w:p w14:paraId="446DD5B8" w14:textId="1732F165" w:rsidR="00E23F37" w:rsidRPr="00844F62" w:rsidRDefault="00E23F37" w:rsidP="00E23F37">
      <w:pPr>
        <w:rPr>
          <w:rFonts w:ascii="Arial" w:hAnsi="Arial" w:cs="Arial"/>
          <w:iCs/>
          <w:sz w:val="24"/>
          <w:szCs w:val="24"/>
        </w:rPr>
      </w:pPr>
      <w:r w:rsidRPr="00844F62">
        <w:rPr>
          <w:rFonts w:ascii="Arial" w:hAnsi="Arial" w:cs="Arial"/>
          <w:sz w:val="24"/>
          <w:szCs w:val="24"/>
        </w:rPr>
        <w:t>The intent of this amendment is</w:t>
      </w:r>
      <w:r w:rsidRPr="00844F62">
        <w:rPr>
          <w:rFonts w:ascii="Arial" w:hAnsi="Arial" w:cs="Arial"/>
          <w:iCs/>
          <w:sz w:val="24"/>
          <w:szCs w:val="24"/>
        </w:rPr>
        <w:t xml:space="preserve"> to enable effective engagement across government agencies, for the purpose of robust policy development and providing </w:t>
      </w:r>
      <w:r>
        <w:rPr>
          <w:rFonts w:ascii="Arial" w:hAnsi="Arial" w:cs="Arial"/>
          <w:iCs/>
          <w:sz w:val="24"/>
          <w:szCs w:val="24"/>
        </w:rPr>
        <w:t xml:space="preserve">considered </w:t>
      </w:r>
      <w:r w:rsidRPr="00844F62">
        <w:rPr>
          <w:rFonts w:ascii="Arial" w:hAnsi="Arial" w:cs="Arial"/>
          <w:iCs/>
          <w:sz w:val="24"/>
          <w:szCs w:val="24"/>
        </w:rPr>
        <w:t>advice to Ministers and the ACT Executive.</w:t>
      </w:r>
    </w:p>
    <w:p w14:paraId="44ACD660" w14:textId="2368C371"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The existing provision</w:t>
      </w:r>
      <w:r>
        <w:rPr>
          <w:rFonts w:ascii="Arial" w:eastAsia="Times New Roman" w:hAnsi="Arial" w:cs="Arial"/>
          <w:iCs/>
          <w:szCs w:val="24"/>
        </w:rPr>
        <w:t>s were made</w:t>
      </w:r>
      <w:r w:rsidRPr="00E219AE">
        <w:rPr>
          <w:rFonts w:ascii="Arial" w:eastAsia="Times New Roman" w:hAnsi="Arial" w:cs="Arial"/>
          <w:iCs/>
          <w:szCs w:val="24"/>
        </w:rPr>
        <w:t xml:space="preserve"> </w:t>
      </w:r>
      <w:r>
        <w:rPr>
          <w:rFonts w:ascii="Arial" w:eastAsia="Times New Roman" w:hAnsi="Arial" w:cs="Arial"/>
          <w:iCs/>
          <w:szCs w:val="24"/>
        </w:rPr>
        <w:t>before the public service became increasingly</w:t>
      </w:r>
      <w:r w:rsidRPr="00E219AE">
        <w:rPr>
          <w:rFonts w:ascii="Arial" w:eastAsia="Times New Roman" w:hAnsi="Arial" w:cs="Arial"/>
          <w:iCs/>
          <w:szCs w:val="24"/>
        </w:rPr>
        <w:t xml:space="preserve"> integrated</w:t>
      </w:r>
      <w:r>
        <w:rPr>
          <w:rFonts w:ascii="Arial" w:eastAsia="Times New Roman" w:hAnsi="Arial" w:cs="Arial"/>
          <w:iCs/>
          <w:szCs w:val="24"/>
        </w:rPr>
        <w:t xml:space="preserve"> and does not </w:t>
      </w:r>
      <w:r w:rsidRPr="00E219AE">
        <w:rPr>
          <w:rFonts w:ascii="Arial" w:eastAsia="Times New Roman" w:hAnsi="Arial" w:cs="Arial"/>
          <w:iCs/>
          <w:szCs w:val="24"/>
        </w:rPr>
        <w:t>reflect</w:t>
      </w:r>
      <w:r>
        <w:rPr>
          <w:rFonts w:ascii="Arial" w:eastAsia="Times New Roman" w:hAnsi="Arial" w:cs="Arial"/>
          <w:iCs/>
          <w:szCs w:val="24"/>
        </w:rPr>
        <w:t xml:space="preserve"> government and community expectations for the functioning of the public service as a single, harmonious entity. </w:t>
      </w:r>
      <w:r w:rsidRPr="00E219AE">
        <w:rPr>
          <w:rFonts w:ascii="Arial" w:eastAsia="Times New Roman" w:hAnsi="Arial" w:cs="Arial"/>
          <w:iCs/>
          <w:szCs w:val="24"/>
        </w:rPr>
        <w:t xml:space="preserve">This amendment is necessary </w:t>
      </w:r>
      <w:proofErr w:type="gramStart"/>
      <w:r w:rsidRPr="00E219AE">
        <w:rPr>
          <w:rFonts w:ascii="Arial" w:eastAsia="Times New Roman" w:hAnsi="Arial" w:cs="Arial"/>
          <w:iCs/>
          <w:szCs w:val="24"/>
        </w:rPr>
        <w:t>in order to</w:t>
      </w:r>
      <w:proofErr w:type="gramEnd"/>
      <w:r w:rsidRPr="00E219AE">
        <w:rPr>
          <w:rFonts w:ascii="Arial" w:eastAsia="Times New Roman" w:hAnsi="Arial" w:cs="Arial"/>
          <w:iCs/>
          <w:szCs w:val="24"/>
        </w:rPr>
        <w:t xml:space="preserve"> </w:t>
      </w:r>
      <w:r>
        <w:rPr>
          <w:rFonts w:ascii="Arial" w:eastAsia="Times New Roman" w:hAnsi="Arial" w:cs="Arial"/>
          <w:iCs/>
          <w:szCs w:val="24"/>
        </w:rPr>
        <w:t xml:space="preserve">enable cooperation across relevant government agencies in the </w:t>
      </w:r>
      <w:r w:rsidRPr="00E219AE">
        <w:rPr>
          <w:rFonts w:ascii="Arial" w:eastAsia="Times New Roman" w:hAnsi="Arial" w:cs="Arial"/>
          <w:iCs/>
          <w:szCs w:val="24"/>
        </w:rPr>
        <w:t>develop</w:t>
      </w:r>
      <w:r>
        <w:rPr>
          <w:rFonts w:ascii="Arial" w:eastAsia="Times New Roman" w:hAnsi="Arial" w:cs="Arial"/>
          <w:iCs/>
          <w:szCs w:val="24"/>
        </w:rPr>
        <w:t>ment</w:t>
      </w:r>
      <w:r w:rsidRPr="00E219AE">
        <w:rPr>
          <w:rFonts w:ascii="Arial" w:eastAsia="Times New Roman" w:hAnsi="Arial" w:cs="Arial"/>
          <w:iCs/>
          <w:szCs w:val="24"/>
        </w:rPr>
        <w:t xml:space="preserve"> </w:t>
      </w:r>
      <w:r>
        <w:rPr>
          <w:rFonts w:ascii="Arial" w:eastAsia="Times New Roman" w:hAnsi="Arial" w:cs="Arial"/>
          <w:iCs/>
          <w:szCs w:val="24"/>
        </w:rPr>
        <w:t xml:space="preserve">of robust </w:t>
      </w:r>
      <w:r w:rsidRPr="00E219AE">
        <w:rPr>
          <w:rFonts w:ascii="Arial" w:eastAsia="Times New Roman" w:hAnsi="Arial" w:cs="Arial"/>
          <w:iCs/>
          <w:szCs w:val="24"/>
        </w:rPr>
        <w:t>policy and advice to Ministers</w:t>
      </w:r>
      <w:r>
        <w:rPr>
          <w:rFonts w:ascii="Arial" w:eastAsia="Times New Roman" w:hAnsi="Arial" w:cs="Arial"/>
          <w:iCs/>
          <w:szCs w:val="24"/>
        </w:rPr>
        <w:t xml:space="preserve"> on policy matters or the operation of a gaming law</w:t>
      </w:r>
      <w:r w:rsidRPr="00E219AE">
        <w:rPr>
          <w:rFonts w:ascii="Arial" w:eastAsia="Times New Roman" w:hAnsi="Arial" w:cs="Arial"/>
          <w:iCs/>
          <w:szCs w:val="24"/>
        </w:rPr>
        <w:t>.</w:t>
      </w:r>
      <w:r>
        <w:rPr>
          <w:rFonts w:ascii="Arial" w:eastAsia="Times New Roman" w:hAnsi="Arial" w:cs="Arial"/>
          <w:iCs/>
          <w:szCs w:val="24"/>
        </w:rPr>
        <w:t xml:space="preserve"> </w:t>
      </w:r>
    </w:p>
    <w:p w14:paraId="35A8F53F" w14:textId="5469847C" w:rsidR="00E23F37" w:rsidRPr="00E219AE" w:rsidRDefault="00E23F37" w:rsidP="00E23F37">
      <w:pPr>
        <w:pStyle w:val="Paragraphtext"/>
        <w:spacing w:line="276" w:lineRule="auto"/>
        <w:rPr>
          <w:rFonts w:ascii="Arial" w:eastAsia="Times New Roman" w:hAnsi="Arial" w:cs="Arial"/>
          <w:iCs/>
          <w:szCs w:val="24"/>
        </w:rPr>
      </w:pPr>
      <w:r>
        <w:rPr>
          <w:rFonts w:ascii="Arial" w:eastAsia="Times New Roman" w:hAnsi="Arial" w:cs="Arial"/>
          <w:iCs/>
          <w:szCs w:val="24"/>
        </w:rPr>
        <w:t>Gaming policy is such that it has interests affecting a range of portfolios. T</w:t>
      </w:r>
      <w:r w:rsidRPr="00E219AE">
        <w:rPr>
          <w:rFonts w:ascii="Arial" w:eastAsia="Times New Roman" w:hAnsi="Arial" w:cs="Arial"/>
          <w:iCs/>
          <w:szCs w:val="24"/>
        </w:rPr>
        <w:t xml:space="preserve">he amendment is drafted </w:t>
      </w:r>
      <w:r>
        <w:rPr>
          <w:rFonts w:ascii="Arial" w:eastAsia="Times New Roman" w:hAnsi="Arial" w:cs="Arial"/>
          <w:iCs/>
          <w:szCs w:val="24"/>
        </w:rPr>
        <w:t>broadly</w:t>
      </w:r>
      <w:r w:rsidRPr="00E219AE">
        <w:rPr>
          <w:rFonts w:ascii="Arial" w:eastAsia="Times New Roman" w:hAnsi="Arial" w:cs="Arial"/>
          <w:iCs/>
          <w:szCs w:val="24"/>
        </w:rPr>
        <w:t xml:space="preserve"> to </w:t>
      </w:r>
      <w:r>
        <w:rPr>
          <w:rFonts w:ascii="Arial" w:eastAsia="Times New Roman" w:hAnsi="Arial" w:cs="Arial"/>
          <w:iCs/>
          <w:szCs w:val="24"/>
        </w:rPr>
        <w:t>accommodate that dynamic and authorise</w:t>
      </w:r>
      <w:r w:rsidRPr="00E219AE">
        <w:rPr>
          <w:rFonts w:ascii="Arial" w:eastAsia="Times New Roman" w:hAnsi="Arial" w:cs="Arial"/>
          <w:iCs/>
          <w:szCs w:val="24"/>
        </w:rPr>
        <w:t xml:space="preserve"> all the recipients that </w:t>
      </w:r>
      <w:r>
        <w:rPr>
          <w:rFonts w:ascii="Arial" w:eastAsia="Times New Roman" w:hAnsi="Arial" w:cs="Arial"/>
          <w:iCs/>
          <w:szCs w:val="24"/>
        </w:rPr>
        <w:t>might legitimately require information</w:t>
      </w:r>
      <w:r w:rsidRPr="00E219AE">
        <w:rPr>
          <w:rFonts w:ascii="Arial" w:eastAsia="Times New Roman" w:hAnsi="Arial" w:cs="Arial"/>
          <w:iCs/>
          <w:szCs w:val="24"/>
        </w:rPr>
        <w:t xml:space="preserve"> </w:t>
      </w:r>
      <w:r>
        <w:rPr>
          <w:rFonts w:ascii="Arial" w:eastAsia="Times New Roman" w:hAnsi="Arial" w:cs="Arial"/>
          <w:iCs/>
          <w:szCs w:val="24"/>
        </w:rPr>
        <w:t xml:space="preserve">to support </w:t>
      </w:r>
      <w:r w:rsidRPr="00E219AE">
        <w:rPr>
          <w:rFonts w:ascii="Arial" w:eastAsia="Times New Roman" w:hAnsi="Arial" w:cs="Arial"/>
          <w:iCs/>
          <w:szCs w:val="24"/>
        </w:rPr>
        <w:t xml:space="preserve">policy </w:t>
      </w:r>
      <w:r>
        <w:rPr>
          <w:rFonts w:ascii="Arial" w:eastAsia="Times New Roman" w:hAnsi="Arial" w:cs="Arial"/>
          <w:iCs/>
          <w:szCs w:val="24"/>
        </w:rPr>
        <w:t>work</w:t>
      </w:r>
      <w:r w:rsidRPr="00E219AE">
        <w:rPr>
          <w:rFonts w:ascii="Arial" w:eastAsia="Times New Roman" w:hAnsi="Arial" w:cs="Arial"/>
          <w:iCs/>
          <w:szCs w:val="24"/>
        </w:rPr>
        <w:t xml:space="preserve"> </w:t>
      </w:r>
      <w:r>
        <w:rPr>
          <w:rFonts w:ascii="Arial" w:eastAsia="Times New Roman" w:hAnsi="Arial" w:cs="Arial"/>
          <w:iCs/>
          <w:szCs w:val="24"/>
        </w:rPr>
        <w:t>and</w:t>
      </w:r>
      <w:r w:rsidRPr="00E219AE">
        <w:rPr>
          <w:rFonts w:ascii="Arial" w:eastAsia="Times New Roman" w:hAnsi="Arial" w:cs="Arial"/>
          <w:iCs/>
          <w:szCs w:val="24"/>
        </w:rPr>
        <w:t xml:space="preserve"> advice to Minister</w:t>
      </w:r>
      <w:r>
        <w:rPr>
          <w:rFonts w:ascii="Arial" w:eastAsia="Times New Roman" w:hAnsi="Arial" w:cs="Arial"/>
          <w:iCs/>
          <w:szCs w:val="24"/>
        </w:rPr>
        <w:t>s, which includes sharing information that is necessary to respond to and prevent serious harm to community that may arise from gambling.</w:t>
      </w:r>
    </w:p>
    <w:p w14:paraId="2DD53998" w14:textId="21FBD954"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For example, a gaming officer who has acquired information under a gaming law or </w:t>
      </w:r>
      <w:proofErr w:type="gramStart"/>
      <w:r w:rsidRPr="00E219AE">
        <w:rPr>
          <w:rFonts w:ascii="Arial" w:eastAsia="Times New Roman" w:hAnsi="Arial" w:cs="Arial"/>
          <w:iCs/>
          <w:szCs w:val="24"/>
        </w:rPr>
        <w:t>as a result of</w:t>
      </w:r>
      <w:proofErr w:type="gramEnd"/>
      <w:r w:rsidRPr="00E219AE">
        <w:rPr>
          <w:rFonts w:ascii="Arial" w:eastAsia="Times New Roman" w:hAnsi="Arial" w:cs="Arial"/>
          <w:iCs/>
          <w:szCs w:val="24"/>
        </w:rPr>
        <w:t xml:space="preserve"> exercising functions under or in relation to a gaming law, may need to inform the Minister of this information for the purpose of highlighting a policy or operational issue in relation to a gaming law. Depending on the nature of this information, consultation may need to occur with other ACT Government </w:t>
      </w:r>
      <w:r>
        <w:rPr>
          <w:rFonts w:ascii="Arial" w:eastAsia="Times New Roman" w:hAnsi="Arial" w:cs="Arial"/>
          <w:iCs/>
          <w:szCs w:val="24"/>
        </w:rPr>
        <w:t>d</w:t>
      </w:r>
      <w:r w:rsidRPr="00E219AE">
        <w:rPr>
          <w:rFonts w:ascii="Arial" w:eastAsia="Times New Roman" w:hAnsi="Arial" w:cs="Arial"/>
          <w:iCs/>
          <w:szCs w:val="24"/>
        </w:rPr>
        <w:t xml:space="preserve">irectorates and </w:t>
      </w:r>
      <w:r>
        <w:rPr>
          <w:rFonts w:ascii="Arial" w:eastAsia="Times New Roman" w:hAnsi="Arial" w:cs="Arial"/>
          <w:iCs/>
          <w:szCs w:val="24"/>
        </w:rPr>
        <w:t>m</w:t>
      </w:r>
      <w:r w:rsidRPr="00E219AE">
        <w:rPr>
          <w:rFonts w:ascii="Arial" w:eastAsia="Times New Roman" w:hAnsi="Arial" w:cs="Arial"/>
          <w:iCs/>
          <w:szCs w:val="24"/>
        </w:rPr>
        <w:t>inister</w:t>
      </w:r>
      <w:r>
        <w:rPr>
          <w:rFonts w:ascii="Arial" w:eastAsia="Times New Roman" w:hAnsi="Arial" w:cs="Arial"/>
          <w:iCs/>
          <w:szCs w:val="24"/>
        </w:rPr>
        <w:t>s</w:t>
      </w:r>
      <w:r w:rsidRPr="00E219AE">
        <w:rPr>
          <w:rFonts w:ascii="Arial" w:eastAsia="Times New Roman" w:hAnsi="Arial" w:cs="Arial"/>
          <w:iCs/>
          <w:szCs w:val="24"/>
        </w:rPr>
        <w:t xml:space="preserve"> responsible for different, but relevant, portfolio</w:t>
      </w:r>
      <w:r>
        <w:rPr>
          <w:rFonts w:ascii="Arial" w:eastAsia="Times New Roman" w:hAnsi="Arial" w:cs="Arial"/>
          <w:iCs/>
          <w:szCs w:val="24"/>
        </w:rPr>
        <w:t>s</w:t>
      </w:r>
      <w:r w:rsidRPr="00E219AE">
        <w:rPr>
          <w:rFonts w:ascii="Arial" w:eastAsia="Times New Roman" w:hAnsi="Arial" w:cs="Arial"/>
          <w:iCs/>
          <w:szCs w:val="24"/>
        </w:rPr>
        <w:t>. The</w:t>
      </w:r>
      <w:r>
        <w:rPr>
          <w:rFonts w:ascii="Arial" w:eastAsia="Times New Roman" w:hAnsi="Arial" w:cs="Arial"/>
          <w:iCs/>
          <w:szCs w:val="24"/>
        </w:rPr>
        <w:t>re is some uncertainty whether this type of consultation is within the scope of permissible disclosures under the</w:t>
      </w:r>
      <w:r w:rsidRPr="00E219AE">
        <w:rPr>
          <w:rFonts w:ascii="Arial" w:eastAsia="Times New Roman" w:hAnsi="Arial" w:cs="Arial"/>
          <w:iCs/>
          <w:szCs w:val="24"/>
        </w:rPr>
        <w:t xml:space="preserve"> existing provision, as </w:t>
      </w:r>
      <w:r>
        <w:rPr>
          <w:rFonts w:ascii="Arial" w:eastAsia="Times New Roman" w:hAnsi="Arial" w:cs="Arial"/>
          <w:iCs/>
          <w:szCs w:val="24"/>
        </w:rPr>
        <w:t>a</w:t>
      </w:r>
      <w:r w:rsidRPr="00E219AE">
        <w:rPr>
          <w:rFonts w:ascii="Arial" w:eastAsia="Times New Roman" w:hAnsi="Arial" w:cs="Arial"/>
          <w:iCs/>
          <w:szCs w:val="24"/>
        </w:rPr>
        <w:t xml:space="preserve"> gaming officer can only share information for the purpose of advising the Minister responsible for the Gambling and Racing Control Act about a policy or operational issue in relation to a gaming law.</w:t>
      </w:r>
    </w:p>
    <w:p w14:paraId="2E6B3A60" w14:textId="0B38A5AF"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lastRenderedPageBreak/>
        <w:t>For the most part, the types of information that will likely be disclosed would relate to non-natural persons. This may include, for example:</w:t>
      </w:r>
    </w:p>
    <w:p w14:paraId="62AB3529" w14:textId="07D65B6A" w:rsidR="00E23F37" w:rsidRPr="00E219AE" w:rsidRDefault="00E23F37" w:rsidP="00E23F37">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 xml:space="preserve">information about whether a corporation that applies for licence under a gaming law is an eligible </w:t>
      </w:r>
      <w:proofErr w:type="gramStart"/>
      <w:r w:rsidRPr="00E219AE">
        <w:rPr>
          <w:rFonts w:ascii="Arial" w:eastAsia="Times New Roman" w:hAnsi="Arial" w:cs="Arial"/>
          <w:iCs/>
          <w:szCs w:val="24"/>
        </w:rPr>
        <w:t>person;</w:t>
      </w:r>
      <w:proofErr w:type="gramEnd"/>
    </w:p>
    <w:p w14:paraId="5D236040" w14:textId="10F1FB33" w:rsidR="00E23F37" w:rsidRPr="00E219AE" w:rsidRDefault="00E23F37" w:rsidP="00E23F37">
      <w:pPr>
        <w:pStyle w:val="Paragraphtext"/>
        <w:numPr>
          <w:ilvl w:val="0"/>
          <w:numId w:val="14"/>
        </w:numPr>
        <w:spacing w:line="276" w:lineRule="auto"/>
        <w:rPr>
          <w:rFonts w:ascii="Arial" w:eastAsia="Times New Roman" w:hAnsi="Arial" w:cs="Arial"/>
          <w:iCs/>
          <w:szCs w:val="24"/>
        </w:rPr>
      </w:pPr>
      <w:r>
        <w:rPr>
          <w:rFonts w:ascii="Arial" w:eastAsia="Times New Roman" w:hAnsi="Arial" w:cs="Arial"/>
          <w:iCs/>
          <w:szCs w:val="24"/>
        </w:rPr>
        <w:t xml:space="preserve">information to process an application under the offset scheme in the Gaming Machine Act, such as </w:t>
      </w:r>
      <w:r w:rsidRPr="00E219AE">
        <w:rPr>
          <w:rFonts w:ascii="Arial" w:eastAsia="Times New Roman" w:hAnsi="Arial" w:cs="Arial"/>
          <w:iCs/>
          <w:szCs w:val="24"/>
        </w:rPr>
        <w:t>information</w:t>
      </w:r>
      <w:r>
        <w:rPr>
          <w:rFonts w:ascii="Arial" w:eastAsia="Times New Roman" w:hAnsi="Arial" w:cs="Arial"/>
          <w:iCs/>
          <w:szCs w:val="24"/>
        </w:rPr>
        <w:t xml:space="preserve"> that relates to</w:t>
      </w:r>
      <w:r w:rsidRPr="00E219AE">
        <w:rPr>
          <w:rFonts w:ascii="Arial" w:eastAsia="Times New Roman" w:hAnsi="Arial" w:cs="Arial"/>
          <w:iCs/>
          <w:szCs w:val="24"/>
        </w:rPr>
        <w:t xml:space="preserve"> the </w:t>
      </w:r>
      <w:r w:rsidRPr="00E219AE">
        <w:rPr>
          <w:rFonts w:ascii="Arial" w:eastAsia="Times New Roman" w:hAnsi="Arial" w:cs="Arial"/>
          <w:i/>
          <w:szCs w:val="24"/>
        </w:rPr>
        <w:t>Planning Act 2023</w:t>
      </w:r>
      <w:r w:rsidRPr="00E219AE">
        <w:rPr>
          <w:rFonts w:ascii="Arial" w:eastAsia="Times New Roman" w:hAnsi="Arial" w:cs="Arial"/>
          <w:iCs/>
          <w:szCs w:val="24"/>
        </w:rPr>
        <w:t xml:space="preserve"> </w:t>
      </w:r>
      <w:r>
        <w:rPr>
          <w:rFonts w:ascii="Arial" w:eastAsia="Times New Roman" w:hAnsi="Arial" w:cs="Arial"/>
          <w:iCs/>
          <w:szCs w:val="24"/>
        </w:rPr>
        <w:t xml:space="preserve">or </w:t>
      </w:r>
      <w:r>
        <w:rPr>
          <w:rFonts w:ascii="Arial" w:eastAsia="Times New Roman" w:hAnsi="Arial" w:cs="Arial"/>
          <w:i/>
          <w:szCs w:val="24"/>
        </w:rPr>
        <w:t xml:space="preserve">Duties Act </w:t>
      </w:r>
      <w:r w:rsidRPr="00EF14BA">
        <w:rPr>
          <w:rFonts w:ascii="Arial" w:eastAsia="Times New Roman" w:hAnsi="Arial" w:cs="Arial"/>
          <w:i/>
          <w:szCs w:val="24"/>
        </w:rPr>
        <w:t>1999</w:t>
      </w:r>
      <w:r>
        <w:rPr>
          <w:rFonts w:ascii="Arial" w:eastAsia="Times New Roman" w:hAnsi="Arial" w:cs="Arial"/>
          <w:iCs/>
          <w:szCs w:val="24"/>
        </w:rPr>
        <w:t xml:space="preserve">, </w:t>
      </w:r>
      <w:r w:rsidRPr="00EF14BA">
        <w:rPr>
          <w:rFonts w:ascii="Arial" w:eastAsia="Times New Roman" w:hAnsi="Arial" w:cs="Arial"/>
          <w:iCs/>
          <w:szCs w:val="24"/>
        </w:rPr>
        <w:t>which</w:t>
      </w:r>
      <w:r w:rsidRPr="00E219AE">
        <w:rPr>
          <w:rFonts w:ascii="Arial" w:eastAsia="Times New Roman" w:hAnsi="Arial" w:cs="Arial"/>
          <w:iCs/>
          <w:szCs w:val="24"/>
        </w:rPr>
        <w:t xml:space="preserve"> must be shared between directorates to process</w:t>
      </w:r>
      <w:r>
        <w:rPr>
          <w:rFonts w:ascii="Arial" w:eastAsia="Times New Roman" w:hAnsi="Arial" w:cs="Arial"/>
          <w:iCs/>
          <w:szCs w:val="24"/>
        </w:rPr>
        <w:t xml:space="preserve"> the</w:t>
      </w:r>
      <w:r w:rsidRPr="00E219AE">
        <w:rPr>
          <w:rFonts w:ascii="Arial" w:eastAsia="Times New Roman" w:hAnsi="Arial" w:cs="Arial"/>
          <w:iCs/>
          <w:szCs w:val="24"/>
        </w:rPr>
        <w:t xml:space="preserve"> </w:t>
      </w:r>
      <w:proofErr w:type="gramStart"/>
      <w:r w:rsidRPr="00E219AE">
        <w:rPr>
          <w:rFonts w:ascii="Arial" w:eastAsia="Times New Roman" w:hAnsi="Arial" w:cs="Arial"/>
          <w:iCs/>
          <w:szCs w:val="24"/>
        </w:rPr>
        <w:t>incentives</w:t>
      </w:r>
      <w:r>
        <w:rPr>
          <w:rFonts w:ascii="Arial" w:eastAsia="Times New Roman" w:hAnsi="Arial" w:cs="Arial"/>
          <w:iCs/>
          <w:szCs w:val="24"/>
        </w:rPr>
        <w:t>;</w:t>
      </w:r>
      <w:proofErr w:type="gramEnd"/>
    </w:p>
    <w:p w14:paraId="313068D8" w14:textId="77777777" w:rsidR="00E23F37" w:rsidRPr="00E219AE" w:rsidRDefault="00E23F37" w:rsidP="00E23F37">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in relation to licence applications, including information about whether a licensee meets the conditions to hold a licence under a gaming law (‘gaming law’ is defined in section 4 of the Gambling and Racing Control Act</w:t>
      </w:r>
      <w:proofErr w:type="gramStart"/>
      <w:r w:rsidRPr="00E219AE">
        <w:rPr>
          <w:rFonts w:ascii="Arial" w:eastAsia="Times New Roman" w:hAnsi="Arial" w:cs="Arial"/>
          <w:iCs/>
          <w:szCs w:val="24"/>
        </w:rPr>
        <w:t>);</w:t>
      </w:r>
      <w:proofErr w:type="gramEnd"/>
    </w:p>
    <w:p w14:paraId="2932E808" w14:textId="77777777" w:rsidR="00E23F37" w:rsidRPr="00E219AE" w:rsidRDefault="00E23F37" w:rsidP="00E23F37">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about a contravention of a gaming law; and</w:t>
      </w:r>
    </w:p>
    <w:p w14:paraId="20FC5246" w14:textId="77777777" w:rsidR="00E23F37" w:rsidRPr="00E219AE" w:rsidRDefault="00E23F37" w:rsidP="00AA6AD0">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about a disciplinary action undertaken under a gaming law.</w:t>
      </w:r>
    </w:p>
    <w:p w14:paraId="0AED1954" w14:textId="09127C0C" w:rsidR="00E23F37"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Where information to be disclosed includes information about natural </w:t>
      </w:r>
      <w:r>
        <w:rPr>
          <w:rFonts w:ascii="Arial" w:eastAsia="Times New Roman" w:hAnsi="Arial" w:cs="Arial"/>
          <w:iCs/>
          <w:szCs w:val="24"/>
        </w:rPr>
        <w:t>people</w:t>
      </w:r>
      <w:r w:rsidRPr="00E219AE">
        <w:rPr>
          <w:rFonts w:ascii="Arial" w:eastAsia="Times New Roman" w:hAnsi="Arial" w:cs="Arial"/>
          <w:iCs/>
          <w:szCs w:val="24"/>
        </w:rPr>
        <w:t xml:space="preserve"> (i.e. individuals), the information would typically be de-identified to prevent interference with the individual’s privacy.</w:t>
      </w:r>
      <w:r>
        <w:rPr>
          <w:rFonts w:ascii="Arial" w:eastAsia="Times New Roman" w:hAnsi="Arial" w:cs="Arial"/>
          <w:iCs/>
          <w:szCs w:val="24"/>
        </w:rPr>
        <w:t xml:space="preserve"> As is already authorised by the Gambling and Racing Control Act,</w:t>
      </w:r>
      <w:r w:rsidRPr="00E219AE">
        <w:rPr>
          <w:rFonts w:ascii="Arial" w:eastAsia="Times New Roman" w:hAnsi="Arial" w:cs="Arial"/>
          <w:iCs/>
          <w:szCs w:val="24"/>
        </w:rPr>
        <w:t xml:space="preserve"> </w:t>
      </w:r>
      <w:r>
        <w:rPr>
          <w:rFonts w:ascii="Arial" w:eastAsia="Times New Roman" w:hAnsi="Arial" w:cs="Arial"/>
          <w:iCs/>
          <w:szCs w:val="24"/>
        </w:rPr>
        <w:t>i</w:t>
      </w:r>
      <w:r w:rsidRPr="00E219AE">
        <w:rPr>
          <w:rFonts w:ascii="Arial" w:eastAsia="Times New Roman" w:hAnsi="Arial" w:cs="Arial"/>
          <w:iCs/>
          <w:szCs w:val="24"/>
        </w:rPr>
        <w:t xml:space="preserve">n </w:t>
      </w:r>
      <w:r>
        <w:rPr>
          <w:rFonts w:ascii="Arial" w:eastAsia="Times New Roman" w:hAnsi="Arial" w:cs="Arial"/>
          <w:iCs/>
          <w:szCs w:val="24"/>
        </w:rPr>
        <w:t>rare</w:t>
      </w:r>
      <w:r w:rsidRPr="00E219AE">
        <w:rPr>
          <w:rFonts w:ascii="Arial" w:eastAsia="Times New Roman" w:hAnsi="Arial" w:cs="Arial"/>
          <w:iCs/>
          <w:szCs w:val="24"/>
        </w:rPr>
        <w:t xml:space="preserve"> occasions it may be necessary to share information about natural </w:t>
      </w:r>
      <w:r>
        <w:rPr>
          <w:rFonts w:ascii="Arial" w:eastAsia="Times New Roman" w:hAnsi="Arial" w:cs="Arial"/>
          <w:iCs/>
          <w:szCs w:val="24"/>
        </w:rPr>
        <w:t>people</w:t>
      </w:r>
      <w:r w:rsidRPr="00E219AE">
        <w:rPr>
          <w:rFonts w:ascii="Arial" w:eastAsia="Times New Roman" w:hAnsi="Arial" w:cs="Arial"/>
          <w:iCs/>
          <w:szCs w:val="24"/>
        </w:rPr>
        <w:t xml:space="preserve"> that </w:t>
      </w:r>
      <w:r>
        <w:rPr>
          <w:rFonts w:ascii="Arial" w:eastAsia="Times New Roman" w:hAnsi="Arial" w:cs="Arial"/>
          <w:iCs/>
          <w:szCs w:val="24"/>
        </w:rPr>
        <w:t>might directly or indirectly identify an individual.</w:t>
      </w:r>
      <w:r w:rsidRPr="00E219AE">
        <w:rPr>
          <w:rFonts w:ascii="Arial" w:eastAsia="Times New Roman" w:hAnsi="Arial" w:cs="Arial"/>
          <w:iCs/>
          <w:szCs w:val="24"/>
        </w:rPr>
        <w:t xml:space="preserve"> </w:t>
      </w:r>
      <w:r>
        <w:rPr>
          <w:rFonts w:ascii="Arial" w:eastAsia="Times New Roman" w:hAnsi="Arial" w:cs="Arial"/>
          <w:iCs/>
          <w:szCs w:val="24"/>
        </w:rPr>
        <w:t>This is only authorised where the information is shared for the legitimate purposes allowed by the amended provision</w:t>
      </w:r>
      <w:r w:rsidRPr="00E219AE">
        <w:rPr>
          <w:rFonts w:ascii="Arial" w:eastAsia="Times New Roman" w:hAnsi="Arial" w:cs="Arial"/>
          <w:iCs/>
          <w:szCs w:val="24"/>
        </w:rPr>
        <w:t>.</w:t>
      </w:r>
    </w:p>
    <w:p w14:paraId="44F17372" w14:textId="0EC8875E"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For example, </w:t>
      </w:r>
      <w:r w:rsidRPr="00743549">
        <w:rPr>
          <w:rFonts w:ascii="Arial" w:eastAsia="Times New Roman" w:hAnsi="Arial" w:cs="Arial"/>
          <w:iCs/>
          <w:szCs w:val="24"/>
        </w:rPr>
        <w:t xml:space="preserve">there are some decisions made by the Minister under gaming laws that are informed by public service processes beyond Access Canberra and the ACT Gambling and Racing Commission. This is most clearly the case concerning the totalisator and casino licence where personal information is relevant to the eligibility of </w:t>
      </w:r>
      <w:r>
        <w:rPr>
          <w:rFonts w:ascii="Arial" w:eastAsia="Times New Roman" w:hAnsi="Arial" w:cs="Arial"/>
          <w:iCs/>
          <w:szCs w:val="24"/>
        </w:rPr>
        <w:t>a</w:t>
      </w:r>
      <w:r w:rsidRPr="00743549">
        <w:rPr>
          <w:rFonts w:ascii="Arial" w:eastAsia="Times New Roman" w:hAnsi="Arial" w:cs="Arial"/>
          <w:iCs/>
          <w:szCs w:val="24"/>
        </w:rPr>
        <w:t xml:space="preserve"> licence-holder. Another conceivable example might arise when developing a policy response to a gambling harm incident that unavoidably results in a person being directly or indirectly identifiable.</w:t>
      </w:r>
    </w:p>
    <w:p w14:paraId="19129475" w14:textId="77777777"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There are safeguards contained </w:t>
      </w:r>
      <w:r>
        <w:rPr>
          <w:rFonts w:ascii="Arial" w:eastAsia="Times New Roman" w:hAnsi="Arial" w:cs="Arial"/>
          <w:iCs/>
          <w:szCs w:val="24"/>
        </w:rPr>
        <w:t>with</w:t>
      </w:r>
      <w:r w:rsidRPr="00E219AE">
        <w:rPr>
          <w:rFonts w:ascii="Arial" w:eastAsia="Times New Roman" w:hAnsi="Arial" w:cs="Arial"/>
          <w:iCs/>
          <w:szCs w:val="24"/>
        </w:rPr>
        <w:t xml:space="preserve">in the secrecy framework of the Gambling and Racing Control Act, which will continue to apply alongside the amendment to section 37 (d) (ii). </w:t>
      </w:r>
      <w:r>
        <w:rPr>
          <w:rFonts w:ascii="Arial" w:eastAsia="Times New Roman" w:hAnsi="Arial" w:cs="Arial"/>
          <w:iCs/>
          <w:szCs w:val="24"/>
        </w:rPr>
        <w:t>A</w:t>
      </w:r>
      <w:r w:rsidRPr="00E219AE">
        <w:rPr>
          <w:rFonts w:ascii="Arial" w:eastAsia="Times New Roman" w:hAnsi="Arial" w:cs="Arial"/>
          <w:iCs/>
          <w:szCs w:val="24"/>
        </w:rPr>
        <w:t xml:space="preserve">s per the definition of ‘gaming officer’ in section 34 of the Gambling and Racing Control Act, anyone who receives information under section 37 becomes </w:t>
      </w:r>
      <w:r>
        <w:rPr>
          <w:rFonts w:ascii="Arial" w:eastAsia="Times New Roman" w:hAnsi="Arial" w:cs="Arial"/>
          <w:iCs/>
          <w:szCs w:val="24"/>
        </w:rPr>
        <w:t>‘</w:t>
      </w:r>
      <w:r w:rsidRPr="00E219AE">
        <w:rPr>
          <w:rFonts w:ascii="Arial" w:eastAsia="Times New Roman" w:hAnsi="Arial" w:cs="Arial"/>
          <w:iCs/>
          <w:szCs w:val="24"/>
        </w:rPr>
        <w:t>gaming officers</w:t>
      </w:r>
      <w:r>
        <w:rPr>
          <w:rFonts w:ascii="Arial" w:eastAsia="Times New Roman" w:hAnsi="Arial" w:cs="Arial"/>
          <w:iCs/>
          <w:szCs w:val="24"/>
        </w:rPr>
        <w:t>’</w:t>
      </w:r>
      <w:r w:rsidRPr="00E219AE">
        <w:rPr>
          <w:rFonts w:ascii="Arial" w:eastAsia="Times New Roman" w:hAnsi="Arial" w:cs="Arial"/>
          <w:iCs/>
          <w:szCs w:val="24"/>
        </w:rPr>
        <w:t>, and are thereby subject to the secrecy provisions in Division 4.4 of the Gambling and Racing Control Act. A person who is or has been a gaming officer is prohibited from:</w:t>
      </w:r>
    </w:p>
    <w:p w14:paraId="78D60E10" w14:textId="77777777" w:rsidR="00E23F37" w:rsidRPr="00E219AE" w:rsidRDefault="00E23F37" w:rsidP="00E23F37">
      <w:pPr>
        <w:pStyle w:val="Paragraphtext"/>
        <w:numPr>
          <w:ilvl w:val="0"/>
          <w:numId w:val="15"/>
        </w:numPr>
        <w:spacing w:line="276" w:lineRule="auto"/>
        <w:rPr>
          <w:rFonts w:ascii="Arial" w:eastAsia="Times New Roman" w:hAnsi="Arial" w:cs="Arial"/>
          <w:iCs/>
          <w:szCs w:val="24"/>
        </w:rPr>
      </w:pPr>
      <w:r w:rsidRPr="00E219AE">
        <w:rPr>
          <w:rFonts w:ascii="Arial" w:eastAsia="Times New Roman" w:hAnsi="Arial" w:cs="Arial"/>
          <w:iCs/>
          <w:szCs w:val="24"/>
        </w:rPr>
        <w:t>making a record of any confidential information about another person, except in the performance of their duties (section 35 (1)</w:t>
      </w:r>
      <w:proofErr w:type="gramStart"/>
      <w:r w:rsidRPr="00E219AE">
        <w:rPr>
          <w:rFonts w:ascii="Arial" w:eastAsia="Times New Roman" w:hAnsi="Arial" w:cs="Arial"/>
          <w:iCs/>
          <w:szCs w:val="24"/>
        </w:rPr>
        <w:t>);</w:t>
      </w:r>
      <w:proofErr w:type="gramEnd"/>
    </w:p>
    <w:p w14:paraId="46E6798B" w14:textId="77777777" w:rsidR="00E23F37" w:rsidRPr="00E219AE" w:rsidRDefault="00E23F37" w:rsidP="00E23F37">
      <w:pPr>
        <w:pStyle w:val="Paragraphtext"/>
        <w:numPr>
          <w:ilvl w:val="0"/>
          <w:numId w:val="15"/>
        </w:numPr>
        <w:spacing w:line="276" w:lineRule="auto"/>
        <w:rPr>
          <w:rFonts w:ascii="Arial" w:eastAsia="Times New Roman" w:hAnsi="Arial" w:cs="Arial"/>
          <w:iCs/>
          <w:szCs w:val="24"/>
        </w:rPr>
      </w:pPr>
      <w:r w:rsidRPr="00E219AE">
        <w:rPr>
          <w:rFonts w:ascii="Arial" w:eastAsia="Times New Roman" w:hAnsi="Arial" w:cs="Arial"/>
          <w:iCs/>
          <w:szCs w:val="24"/>
        </w:rPr>
        <w:t xml:space="preserve">disclosing any information obtained under or in relation to the administration of a gaming law, except as permitted in Part </w:t>
      </w:r>
      <w:proofErr w:type="gramStart"/>
      <w:r w:rsidRPr="00E219AE">
        <w:rPr>
          <w:rFonts w:ascii="Arial" w:eastAsia="Times New Roman" w:hAnsi="Arial" w:cs="Arial"/>
          <w:iCs/>
          <w:szCs w:val="24"/>
        </w:rPr>
        <w:t>4;</w:t>
      </w:r>
      <w:proofErr w:type="gramEnd"/>
    </w:p>
    <w:p w14:paraId="12D19B8C" w14:textId="77777777" w:rsidR="00E23F37" w:rsidRPr="00E219AE" w:rsidRDefault="00E23F37" w:rsidP="00E23F37">
      <w:pPr>
        <w:pStyle w:val="Paragraphtext"/>
        <w:numPr>
          <w:ilvl w:val="0"/>
          <w:numId w:val="15"/>
        </w:numPr>
        <w:spacing w:line="276" w:lineRule="auto"/>
        <w:rPr>
          <w:rFonts w:ascii="Arial" w:eastAsia="Times New Roman" w:hAnsi="Arial" w:cs="Arial"/>
          <w:iCs/>
          <w:szCs w:val="24"/>
        </w:rPr>
      </w:pPr>
      <w:r w:rsidRPr="00E219AE">
        <w:rPr>
          <w:rFonts w:ascii="Arial" w:eastAsia="Times New Roman" w:hAnsi="Arial" w:cs="Arial"/>
          <w:iCs/>
          <w:szCs w:val="24"/>
        </w:rPr>
        <w:lastRenderedPageBreak/>
        <w:t>producing or disclosing a confidential document in or to the court, unless the court considers that it is necessary to do so for the administration or execution of a gaming law (section 39).</w:t>
      </w:r>
    </w:p>
    <w:p w14:paraId="0E48F95E" w14:textId="77777777"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Additionally, a person must not disclose any information provided to them by a gaming officer in accordance with th</w:t>
      </w:r>
      <w:r>
        <w:rPr>
          <w:rFonts w:ascii="Arial" w:eastAsia="Times New Roman" w:hAnsi="Arial" w:cs="Arial"/>
          <w:iCs/>
          <w:szCs w:val="24"/>
        </w:rPr>
        <w:t>e Gambling and Racing Control</w:t>
      </w:r>
      <w:r w:rsidRPr="00E219AE">
        <w:rPr>
          <w:rFonts w:ascii="Arial" w:eastAsia="Times New Roman" w:hAnsi="Arial" w:cs="Arial"/>
          <w:iCs/>
          <w:szCs w:val="24"/>
        </w:rPr>
        <w:t xml:space="preserve"> Act unless the disclosure is made with the consent of the Commission or to enable the person to exercise a function given to them by law for the purpose of the enforcement of a law for protecting public revenue (section 38).</w:t>
      </w:r>
    </w:p>
    <w:p w14:paraId="209344C5" w14:textId="77777777"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The </w:t>
      </w:r>
      <w:r w:rsidRPr="00E219AE">
        <w:rPr>
          <w:rFonts w:ascii="Arial" w:eastAsia="Times New Roman" w:hAnsi="Arial" w:cs="Arial"/>
          <w:i/>
          <w:szCs w:val="24"/>
        </w:rPr>
        <w:t>Information Privacy Act 2014</w:t>
      </w:r>
      <w:r w:rsidRPr="00E219AE">
        <w:rPr>
          <w:rFonts w:ascii="Arial" w:eastAsia="Times New Roman" w:hAnsi="Arial" w:cs="Arial"/>
          <w:iCs/>
          <w:szCs w:val="24"/>
        </w:rPr>
        <w:t xml:space="preserve"> imposes further limits on the use and disclosure of personal information, which offer additional protections for the use and disclosure of information of natural persons.</w:t>
      </w:r>
    </w:p>
    <w:p w14:paraId="4A9AC388" w14:textId="4C80E54D"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These safeguards ensure that any sharing of personal information is proportionate to the legitimate purpose of enabling informed policy development and advice within government. The </w:t>
      </w:r>
      <w:r>
        <w:rPr>
          <w:rFonts w:ascii="Arial" w:eastAsia="Times New Roman" w:hAnsi="Arial" w:cs="Arial"/>
          <w:iCs/>
          <w:szCs w:val="24"/>
        </w:rPr>
        <w:t>disclosure of information</w:t>
      </w:r>
      <w:r w:rsidRPr="00E219AE">
        <w:rPr>
          <w:rFonts w:ascii="Arial" w:eastAsia="Times New Roman" w:hAnsi="Arial" w:cs="Arial"/>
          <w:iCs/>
          <w:szCs w:val="24"/>
        </w:rPr>
        <w:t xml:space="preserve"> must only occur in connection with the purpose for which the information was collected</w:t>
      </w:r>
      <w:r>
        <w:rPr>
          <w:rFonts w:ascii="Arial" w:eastAsia="Times New Roman" w:hAnsi="Arial" w:cs="Arial"/>
          <w:iCs/>
          <w:szCs w:val="24"/>
        </w:rPr>
        <w:t xml:space="preserve">. In this case, the information that is obtained under or in relation to the administration of a gaming law is for the purpose of advising or assisting with policy matters or the operation of a gaming law. </w:t>
      </w:r>
      <w:r w:rsidRPr="00E219AE">
        <w:rPr>
          <w:rFonts w:ascii="Arial" w:eastAsia="Times New Roman" w:hAnsi="Arial" w:cs="Arial"/>
          <w:iCs/>
          <w:szCs w:val="24"/>
        </w:rPr>
        <w:t>Consequently, there is an inherent limit in the authorised scope of information about a natural person that could be shared because any confidential information shared must be demonstrably connected to that purpose to fall within the section as amended.</w:t>
      </w:r>
    </w:p>
    <w:p w14:paraId="643D41A6" w14:textId="01B55DC8" w:rsidR="00F66006" w:rsidRDefault="00F66006" w:rsidP="00E23F37">
      <w:pPr>
        <w:pStyle w:val="Paragraphtext"/>
        <w:spacing w:line="276" w:lineRule="auto"/>
        <w:rPr>
          <w:rFonts w:ascii="Arial" w:eastAsia="Times New Roman" w:hAnsi="Arial" w:cs="Arial"/>
          <w:iCs/>
          <w:szCs w:val="24"/>
        </w:rPr>
      </w:pPr>
    </w:p>
    <w:p w14:paraId="5B15AA9A" w14:textId="693EB866" w:rsidR="00E23F37" w:rsidRDefault="00E23F37">
      <w:pPr>
        <w:spacing w:after="160" w:line="259" w:lineRule="auto"/>
        <w:rPr>
          <w:rFonts w:ascii="Arial" w:hAnsi="Arial" w:cs="Arial"/>
          <w:iCs/>
          <w:color w:val="000000" w:themeColor="text1"/>
          <w:sz w:val="24"/>
          <w:szCs w:val="24"/>
        </w:rPr>
      </w:pPr>
      <w:r>
        <w:rPr>
          <w:rFonts w:ascii="Arial" w:hAnsi="Arial" w:cs="Arial"/>
          <w:iCs/>
          <w:szCs w:val="24"/>
        </w:rPr>
        <w:br w:type="page"/>
      </w:r>
    </w:p>
    <w:p w14:paraId="09B8407D" w14:textId="77777777" w:rsidR="00D03342" w:rsidRDefault="00D03342" w:rsidP="00D03342">
      <w:pPr>
        <w:pStyle w:val="Heading2"/>
        <w:pageBreakBefore/>
        <w:spacing w:before="240" w:after="240"/>
      </w:pPr>
      <w:r w:rsidRPr="008C225D">
        <w:lastRenderedPageBreak/>
        <w:t>CLAUSE NOTES</w:t>
      </w:r>
    </w:p>
    <w:p w14:paraId="04242296" w14:textId="766A39F0" w:rsidR="00D14607" w:rsidRDefault="00D14607" w:rsidP="00D03342"/>
    <w:p w14:paraId="3C6AA2F5" w14:textId="08EDDBED" w:rsidR="00D14607" w:rsidRPr="00D14607" w:rsidRDefault="00D14607" w:rsidP="00D14607">
      <w:pPr>
        <w:pStyle w:val="Heading3"/>
        <w:rPr>
          <w:b w:val="0"/>
        </w:rPr>
      </w:pPr>
      <w:r>
        <w:t>Part</w:t>
      </w:r>
      <w:r w:rsidRPr="00ED3B77">
        <w:t xml:space="preserve"> 1</w:t>
      </w:r>
      <w:r w:rsidRPr="00ED3B77">
        <w:tab/>
      </w:r>
      <w:r>
        <w:tab/>
        <w:t>Preliminary</w:t>
      </w:r>
    </w:p>
    <w:p w14:paraId="21139D56" w14:textId="77777777" w:rsidR="00E90DF9" w:rsidRDefault="00E90DF9" w:rsidP="00E90DF9">
      <w:pPr>
        <w:pStyle w:val="Heading3"/>
      </w:pPr>
      <w:r w:rsidRPr="00ED3B77">
        <w:t>Clause 1</w:t>
      </w:r>
      <w:r w:rsidRPr="00ED3B77">
        <w:tab/>
        <w:t>Name of Act</w:t>
      </w:r>
    </w:p>
    <w:p w14:paraId="256650E8" w14:textId="32B97FC5" w:rsidR="00D14607" w:rsidRPr="00D14607" w:rsidRDefault="00D14607" w:rsidP="00D14607">
      <w:pPr>
        <w:rPr>
          <w:rFonts w:ascii="Arial" w:hAnsi="Arial" w:cs="Arial"/>
          <w:sz w:val="24"/>
          <w:szCs w:val="24"/>
        </w:rPr>
      </w:pPr>
      <w:r w:rsidRPr="00D14607">
        <w:rPr>
          <w:rFonts w:ascii="Arial" w:hAnsi="Arial" w:cs="Arial"/>
          <w:sz w:val="24"/>
          <w:szCs w:val="24"/>
        </w:rPr>
        <w:t>This clause names the short title of the Act</w:t>
      </w:r>
      <w:r w:rsidR="00994D57">
        <w:rPr>
          <w:rFonts w:ascii="Arial" w:hAnsi="Arial" w:cs="Arial"/>
          <w:sz w:val="24"/>
          <w:szCs w:val="24"/>
        </w:rPr>
        <w:t xml:space="preserve"> as t</w:t>
      </w:r>
      <w:r w:rsidRPr="00D14607">
        <w:rPr>
          <w:rFonts w:ascii="Arial" w:hAnsi="Arial" w:cs="Arial"/>
          <w:sz w:val="24"/>
          <w:szCs w:val="24"/>
        </w:rPr>
        <w:t xml:space="preserve">he </w:t>
      </w:r>
      <w:r w:rsidRPr="00D14607">
        <w:rPr>
          <w:rFonts w:ascii="Arial" w:hAnsi="Arial" w:cs="Arial"/>
          <w:i/>
          <w:iCs/>
          <w:sz w:val="24"/>
          <w:szCs w:val="24"/>
        </w:rPr>
        <w:t>Gaming Legislation Amendment Act 2025</w:t>
      </w:r>
      <w:r w:rsidRPr="00D14607">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70E81B15" w14:textId="260652D0" w:rsidR="00861F96" w:rsidRPr="00D14607" w:rsidRDefault="00D14607" w:rsidP="00203354">
      <w:pPr>
        <w:rPr>
          <w:rFonts w:ascii="Arial" w:hAnsi="Arial" w:cs="Arial"/>
          <w:sz w:val="24"/>
          <w:szCs w:val="24"/>
        </w:rPr>
      </w:pPr>
      <w:r w:rsidRPr="00D14607">
        <w:rPr>
          <w:rFonts w:ascii="Arial" w:hAnsi="Arial" w:cs="Arial"/>
          <w:sz w:val="24"/>
          <w:szCs w:val="24"/>
        </w:rPr>
        <w:t xml:space="preserve">This clause provides that </w:t>
      </w:r>
      <w:r w:rsidR="00861F96">
        <w:rPr>
          <w:rFonts w:ascii="Arial" w:hAnsi="Arial" w:cs="Arial"/>
          <w:sz w:val="24"/>
          <w:szCs w:val="24"/>
        </w:rPr>
        <w:t xml:space="preserve">the Act </w:t>
      </w:r>
      <w:r w:rsidR="00203354">
        <w:rPr>
          <w:rFonts w:ascii="Arial" w:hAnsi="Arial" w:cs="Arial"/>
          <w:sz w:val="24"/>
          <w:szCs w:val="24"/>
        </w:rPr>
        <w:t>commences by Ministerial notice</w:t>
      </w:r>
      <w:r w:rsidR="00861F96">
        <w:rPr>
          <w:rFonts w:ascii="Arial" w:hAnsi="Arial" w:cs="Arial"/>
          <w:sz w:val="24"/>
          <w:szCs w:val="24"/>
        </w:rPr>
        <w:t>. If a Ministerial notice has not been enacted within six months</w:t>
      </w:r>
      <w:r w:rsidR="00B05EBD">
        <w:rPr>
          <w:rFonts w:ascii="Arial" w:hAnsi="Arial" w:cs="Arial"/>
          <w:sz w:val="24"/>
          <w:szCs w:val="24"/>
        </w:rPr>
        <w:t xml:space="preserve"> of the Act being notified on the ACT Legislation Register</w:t>
      </w:r>
      <w:r w:rsidR="00861F96">
        <w:rPr>
          <w:rFonts w:ascii="Arial" w:hAnsi="Arial" w:cs="Arial"/>
          <w:sz w:val="24"/>
          <w:szCs w:val="24"/>
        </w:rPr>
        <w:t>, these provisions will automatically commence</w:t>
      </w:r>
      <w:r w:rsidR="008E6BCB">
        <w:rPr>
          <w:rFonts w:ascii="Arial" w:hAnsi="Arial" w:cs="Arial"/>
          <w:sz w:val="24"/>
          <w:szCs w:val="24"/>
        </w:rPr>
        <w:t xml:space="preserve"> on the first day after that period</w:t>
      </w:r>
      <w:r w:rsidR="00861F96">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0A4F64B0" w14:textId="3CF2BE7A" w:rsidR="00E90DF9" w:rsidRDefault="00D14607" w:rsidP="00E90DF9">
      <w:pPr>
        <w:rPr>
          <w:rFonts w:ascii="Arial" w:hAnsi="Arial" w:cs="Arial"/>
          <w:sz w:val="24"/>
          <w:szCs w:val="24"/>
        </w:rPr>
      </w:pPr>
      <w:r>
        <w:rPr>
          <w:rFonts w:ascii="Arial" w:hAnsi="Arial" w:cs="Arial"/>
          <w:sz w:val="24"/>
          <w:szCs w:val="24"/>
        </w:rPr>
        <w:t xml:space="preserve">This clause lists the legislation amended by the </w:t>
      </w:r>
      <w:r w:rsidR="00B05EBD">
        <w:rPr>
          <w:rFonts w:ascii="Arial" w:hAnsi="Arial" w:cs="Arial"/>
          <w:sz w:val="24"/>
          <w:szCs w:val="24"/>
        </w:rPr>
        <w:t>Act, which are the:</w:t>
      </w:r>
    </w:p>
    <w:p w14:paraId="6E7EF9D2" w14:textId="25FB4F41" w:rsidR="00D14607" w:rsidRPr="00D14607" w:rsidRDefault="00D14607" w:rsidP="00D14607">
      <w:pPr>
        <w:pStyle w:val="ListParagraph"/>
        <w:numPr>
          <w:ilvl w:val="0"/>
          <w:numId w:val="8"/>
        </w:numPr>
        <w:rPr>
          <w:rFonts w:ascii="Arial" w:hAnsi="Arial" w:cs="Arial"/>
          <w:sz w:val="24"/>
          <w:szCs w:val="24"/>
        </w:rPr>
      </w:pPr>
      <w:r>
        <w:rPr>
          <w:rFonts w:ascii="Arial" w:hAnsi="Arial" w:cs="Arial"/>
          <w:i/>
          <w:iCs/>
          <w:sz w:val="24"/>
          <w:szCs w:val="24"/>
        </w:rPr>
        <w:t>Gambling and Racing Control Act 1999</w:t>
      </w:r>
    </w:p>
    <w:p w14:paraId="168F9647" w14:textId="3C806D7E" w:rsidR="00D14607" w:rsidRPr="00D14607" w:rsidRDefault="00D14607" w:rsidP="00D14607">
      <w:pPr>
        <w:pStyle w:val="ListParagraph"/>
        <w:numPr>
          <w:ilvl w:val="0"/>
          <w:numId w:val="8"/>
        </w:numPr>
        <w:rPr>
          <w:rFonts w:ascii="Arial" w:hAnsi="Arial" w:cs="Arial"/>
          <w:sz w:val="24"/>
          <w:szCs w:val="24"/>
        </w:rPr>
      </w:pPr>
      <w:r>
        <w:rPr>
          <w:rFonts w:ascii="Arial" w:hAnsi="Arial" w:cs="Arial"/>
          <w:i/>
          <w:iCs/>
          <w:sz w:val="24"/>
          <w:szCs w:val="24"/>
        </w:rPr>
        <w:t>Gaming Machine Act 2004</w:t>
      </w:r>
    </w:p>
    <w:p w14:paraId="29219EDF" w14:textId="20C294EB" w:rsidR="00D14607" w:rsidRPr="00D14607" w:rsidRDefault="00D14607" w:rsidP="00D14607">
      <w:pPr>
        <w:pStyle w:val="Heading3"/>
        <w:rPr>
          <w:b w:val="0"/>
        </w:rPr>
      </w:pPr>
      <w:r>
        <w:t>Part</w:t>
      </w:r>
      <w:r w:rsidRPr="00ED3B77">
        <w:t xml:space="preserve"> </w:t>
      </w:r>
      <w:r>
        <w:t>2</w:t>
      </w:r>
      <w:r w:rsidRPr="00ED3B77">
        <w:tab/>
      </w:r>
      <w:r>
        <w:tab/>
        <w:t>Gambling and Racing Control Act 1999</w:t>
      </w:r>
    </w:p>
    <w:p w14:paraId="63F2E51B" w14:textId="77777777" w:rsidR="00B05EBD" w:rsidRDefault="00D14607" w:rsidP="00D14607">
      <w:pPr>
        <w:pStyle w:val="Heading3"/>
      </w:pPr>
      <w:r w:rsidRPr="00ED3B77">
        <w:t xml:space="preserve">Clause </w:t>
      </w:r>
      <w:r>
        <w:t>4</w:t>
      </w:r>
      <w:r w:rsidRPr="00ED3B77">
        <w:tab/>
      </w:r>
      <w:r>
        <w:t xml:space="preserve">Investigation of complaints </w:t>
      </w:r>
    </w:p>
    <w:p w14:paraId="0F77F63E" w14:textId="478211D5" w:rsidR="00D14607" w:rsidRDefault="00D14607" w:rsidP="00B05EBD">
      <w:pPr>
        <w:pStyle w:val="Heading3"/>
        <w:ind w:left="720" w:firstLine="720"/>
      </w:pPr>
      <w:r>
        <w:t>Section 31 (2)</w:t>
      </w:r>
    </w:p>
    <w:p w14:paraId="33519F6D" w14:textId="77777777" w:rsidR="00F026C3" w:rsidRDefault="00253872" w:rsidP="00D14607">
      <w:pPr>
        <w:rPr>
          <w:rFonts w:ascii="Arial" w:hAnsi="Arial" w:cs="Arial"/>
          <w:sz w:val="24"/>
          <w:szCs w:val="24"/>
        </w:rPr>
      </w:pPr>
      <w:r>
        <w:rPr>
          <w:rFonts w:ascii="Arial" w:hAnsi="Arial" w:cs="Arial"/>
          <w:sz w:val="24"/>
          <w:szCs w:val="24"/>
        </w:rPr>
        <w:t>Section 31 allows a person to lodge a complaint with the Commission about compliance with a gaming law</w:t>
      </w:r>
      <w:r w:rsidR="00F026C3">
        <w:rPr>
          <w:rFonts w:ascii="Arial" w:hAnsi="Arial" w:cs="Arial"/>
          <w:sz w:val="24"/>
          <w:szCs w:val="24"/>
        </w:rPr>
        <w:t>.</w:t>
      </w:r>
    </w:p>
    <w:p w14:paraId="61E8A644" w14:textId="7869BA48" w:rsidR="0041431A" w:rsidRDefault="006B33C5" w:rsidP="00D14607">
      <w:pPr>
        <w:rPr>
          <w:rFonts w:ascii="Arial" w:hAnsi="Arial" w:cs="Arial"/>
          <w:sz w:val="24"/>
          <w:szCs w:val="24"/>
        </w:rPr>
      </w:pPr>
      <w:r>
        <w:rPr>
          <w:rFonts w:ascii="Arial" w:hAnsi="Arial" w:cs="Arial"/>
          <w:sz w:val="24"/>
          <w:szCs w:val="24"/>
        </w:rPr>
        <w:t xml:space="preserve">This clause expands the current </w:t>
      </w:r>
      <w:r w:rsidR="00613259">
        <w:rPr>
          <w:rFonts w:ascii="Arial" w:hAnsi="Arial" w:cs="Arial"/>
          <w:sz w:val="24"/>
          <w:szCs w:val="24"/>
        </w:rPr>
        <w:t>section 31 (2)</w:t>
      </w:r>
      <w:r>
        <w:rPr>
          <w:rFonts w:ascii="Arial" w:hAnsi="Arial" w:cs="Arial"/>
          <w:sz w:val="24"/>
          <w:szCs w:val="24"/>
        </w:rPr>
        <w:t xml:space="preserve"> by allowing the Commission</w:t>
      </w:r>
      <w:r w:rsidR="001D3014">
        <w:rPr>
          <w:rFonts w:ascii="Arial" w:hAnsi="Arial" w:cs="Arial"/>
          <w:sz w:val="24"/>
          <w:szCs w:val="24"/>
        </w:rPr>
        <w:t>, or an authorised officer</w:t>
      </w:r>
      <w:r w:rsidR="00693F1C">
        <w:rPr>
          <w:rFonts w:ascii="Arial" w:hAnsi="Arial" w:cs="Arial"/>
          <w:sz w:val="24"/>
          <w:szCs w:val="24"/>
        </w:rPr>
        <w:t xml:space="preserve"> (as defined in section 20 of the Gambling and Racing Control Act)</w:t>
      </w:r>
      <w:r w:rsidR="001D3014">
        <w:rPr>
          <w:rFonts w:ascii="Arial" w:hAnsi="Arial" w:cs="Arial"/>
          <w:sz w:val="24"/>
          <w:szCs w:val="24"/>
        </w:rPr>
        <w:t>,</w:t>
      </w:r>
      <w:r>
        <w:rPr>
          <w:rFonts w:ascii="Arial" w:hAnsi="Arial" w:cs="Arial"/>
          <w:sz w:val="24"/>
          <w:szCs w:val="24"/>
        </w:rPr>
        <w:t xml:space="preserve"> to provide information to a complainant about the status </w:t>
      </w:r>
      <w:r w:rsidR="001D3014">
        <w:rPr>
          <w:rFonts w:ascii="Arial" w:hAnsi="Arial" w:cs="Arial"/>
          <w:sz w:val="24"/>
          <w:szCs w:val="24"/>
        </w:rPr>
        <w:t xml:space="preserve">or results </w:t>
      </w:r>
      <w:r>
        <w:rPr>
          <w:rFonts w:ascii="Arial" w:hAnsi="Arial" w:cs="Arial"/>
          <w:sz w:val="24"/>
          <w:szCs w:val="24"/>
        </w:rPr>
        <w:t xml:space="preserve">of the investigation </w:t>
      </w:r>
      <w:r w:rsidR="0041431A">
        <w:rPr>
          <w:rFonts w:ascii="Arial" w:hAnsi="Arial" w:cs="Arial"/>
          <w:sz w:val="24"/>
          <w:szCs w:val="24"/>
        </w:rPr>
        <w:t xml:space="preserve">of a complaint </w:t>
      </w:r>
      <w:r>
        <w:rPr>
          <w:rFonts w:ascii="Arial" w:hAnsi="Arial" w:cs="Arial"/>
          <w:sz w:val="24"/>
          <w:szCs w:val="24"/>
        </w:rPr>
        <w:t xml:space="preserve">that they had made. </w:t>
      </w:r>
      <w:r w:rsidR="0041431A">
        <w:rPr>
          <w:rFonts w:ascii="Arial" w:hAnsi="Arial" w:cs="Arial"/>
          <w:sz w:val="24"/>
          <w:szCs w:val="24"/>
        </w:rPr>
        <w:t>The Commission</w:t>
      </w:r>
      <w:r w:rsidR="001D3014">
        <w:rPr>
          <w:rFonts w:ascii="Arial" w:hAnsi="Arial" w:cs="Arial"/>
          <w:sz w:val="24"/>
          <w:szCs w:val="24"/>
        </w:rPr>
        <w:t>, or an authorised officer,</w:t>
      </w:r>
      <w:r w:rsidR="0041431A">
        <w:rPr>
          <w:rFonts w:ascii="Arial" w:hAnsi="Arial" w:cs="Arial"/>
          <w:sz w:val="24"/>
          <w:szCs w:val="24"/>
        </w:rPr>
        <w:t xml:space="preserve"> </w:t>
      </w:r>
      <w:r w:rsidR="001D3014">
        <w:rPr>
          <w:rFonts w:ascii="Arial" w:hAnsi="Arial" w:cs="Arial"/>
          <w:sz w:val="24"/>
          <w:szCs w:val="24"/>
        </w:rPr>
        <w:t xml:space="preserve">may </w:t>
      </w:r>
      <w:r w:rsidR="0041431A">
        <w:rPr>
          <w:rFonts w:ascii="Arial" w:hAnsi="Arial" w:cs="Arial"/>
          <w:sz w:val="24"/>
          <w:szCs w:val="24"/>
        </w:rPr>
        <w:t xml:space="preserve">only give information about complaints that </w:t>
      </w:r>
      <w:r w:rsidR="001D3014">
        <w:rPr>
          <w:rFonts w:ascii="Arial" w:hAnsi="Arial" w:cs="Arial"/>
          <w:sz w:val="24"/>
          <w:szCs w:val="24"/>
        </w:rPr>
        <w:t>the Commission is investigating or has investigated</w:t>
      </w:r>
      <w:r w:rsidR="0041431A">
        <w:rPr>
          <w:rFonts w:ascii="Arial" w:hAnsi="Arial" w:cs="Arial"/>
          <w:sz w:val="24"/>
          <w:szCs w:val="24"/>
        </w:rPr>
        <w:t>.</w:t>
      </w:r>
    </w:p>
    <w:p w14:paraId="2357D5EB" w14:textId="4B440F50" w:rsidR="0041431A" w:rsidRDefault="0041431A" w:rsidP="00D14607">
      <w:pPr>
        <w:rPr>
          <w:rFonts w:ascii="Arial" w:hAnsi="Arial" w:cs="Arial"/>
          <w:sz w:val="24"/>
          <w:szCs w:val="24"/>
        </w:rPr>
      </w:pPr>
      <w:r>
        <w:rPr>
          <w:rFonts w:ascii="Arial" w:hAnsi="Arial" w:cs="Arial"/>
          <w:sz w:val="24"/>
          <w:szCs w:val="24"/>
        </w:rPr>
        <w:t>This clause allows the Commission</w:t>
      </w:r>
      <w:r w:rsidR="00693F1C">
        <w:rPr>
          <w:rFonts w:ascii="Arial" w:hAnsi="Arial" w:cs="Arial"/>
          <w:sz w:val="24"/>
          <w:szCs w:val="24"/>
        </w:rPr>
        <w:t>,</w:t>
      </w:r>
      <w:r>
        <w:rPr>
          <w:rFonts w:ascii="Arial" w:hAnsi="Arial" w:cs="Arial"/>
          <w:sz w:val="24"/>
          <w:szCs w:val="24"/>
        </w:rPr>
        <w:t xml:space="preserve"> </w:t>
      </w:r>
      <w:r w:rsidR="00693F1C">
        <w:rPr>
          <w:rFonts w:ascii="Arial" w:hAnsi="Arial" w:cs="Arial"/>
          <w:sz w:val="24"/>
          <w:szCs w:val="24"/>
        </w:rPr>
        <w:t xml:space="preserve">or an authorised officer, </w:t>
      </w:r>
      <w:r>
        <w:rPr>
          <w:rFonts w:ascii="Arial" w:hAnsi="Arial" w:cs="Arial"/>
          <w:sz w:val="24"/>
          <w:szCs w:val="24"/>
        </w:rPr>
        <w:t xml:space="preserve">to provide a complainant with information about the status </w:t>
      </w:r>
      <w:r w:rsidR="001D3014">
        <w:rPr>
          <w:rFonts w:ascii="Arial" w:hAnsi="Arial" w:cs="Arial"/>
          <w:sz w:val="24"/>
          <w:szCs w:val="24"/>
        </w:rPr>
        <w:t xml:space="preserve">or results </w:t>
      </w:r>
      <w:r>
        <w:rPr>
          <w:rFonts w:ascii="Arial" w:hAnsi="Arial" w:cs="Arial"/>
          <w:sz w:val="24"/>
          <w:szCs w:val="24"/>
        </w:rPr>
        <w:t xml:space="preserve">of the investigation of a complaint that </w:t>
      </w:r>
      <w:r w:rsidRPr="00F10D72">
        <w:rPr>
          <w:rFonts w:ascii="Arial" w:hAnsi="Arial" w:cs="Arial"/>
          <w:sz w:val="24"/>
          <w:szCs w:val="24"/>
        </w:rPr>
        <w:t xml:space="preserve">they </w:t>
      </w:r>
      <w:r>
        <w:rPr>
          <w:rFonts w:ascii="Arial" w:hAnsi="Arial" w:cs="Arial"/>
          <w:sz w:val="24"/>
          <w:szCs w:val="24"/>
        </w:rPr>
        <w:t>had made if the information complies with the following safeguards:</w:t>
      </w:r>
    </w:p>
    <w:p w14:paraId="6DD4BFCD" w14:textId="0B1C4A01" w:rsidR="0041431A" w:rsidRDefault="0041431A" w:rsidP="0041431A">
      <w:pPr>
        <w:pStyle w:val="ListParagraph"/>
        <w:numPr>
          <w:ilvl w:val="0"/>
          <w:numId w:val="11"/>
        </w:numPr>
        <w:rPr>
          <w:rFonts w:ascii="Arial" w:hAnsi="Arial" w:cs="Arial"/>
          <w:sz w:val="24"/>
          <w:szCs w:val="24"/>
        </w:rPr>
      </w:pPr>
      <w:r>
        <w:rPr>
          <w:rFonts w:ascii="Arial" w:hAnsi="Arial" w:cs="Arial"/>
          <w:sz w:val="24"/>
          <w:szCs w:val="24"/>
        </w:rPr>
        <w:t>the complainant has a legitimate interest in the information</w:t>
      </w:r>
    </w:p>
    <w:p w14:paraId="1A588E20" w14:textId="2A8F65A4" w:rsidR="0041431A" w:rsidRDefault="0041431A" w:rsidP="0041431A">
      <w:pPr>
        <w:pStyle w:val="ListParagraph"/>
        <w:numPr>
          <w:ilvl w:val="0"/>
          <w:numId w:val="11"/>
        </w:numPr>
        <w:rPr>
          <w:rFonts w:ascii="Arial" w:hAnsi="Arial" w:cs="Arial"/>
          <w:sz w:val="24"/>
          <w:szCs w:val="24"/>
        </w:rPr>
      </w:pPr>
      <w:r>
        <w:rPr>
          <w:rFonts w:ascii="Arial" w:hAnsi="Arial" w:cs="Arial"/>
          <w:sz w:val="24"/>
          <w:szCs w:val="24"/>
        </w:rPr>
        <w:t xml:space="preserve">the information </w:t>
      </w:r>
      <w:r w:rsidR="00DE46BB">
        <w:rPr>
          <w:rFonts w:ascii="Arial" w:hAnsi="Arial" w:cs="Arial"/>
          <w:sz w:val="24"/>
          <w:szCs w:val="24"/>
        </w:rPr>
        <w:t xml:space="preserve">given </w:t>
      </w:r>
      <w:r>
        <w:rPr>
          <w:rFonts w:ascii="Arial" w:hAnsi="Arial" w:cs="Arial"/>
          <w:sz w:val="24"/>
          <w:szCs w:val="24"/>
        </w:rPr>
        <w:t>would not unreasonably prejudice another person’s privacy or other interests</w:t>
      </w:r>
    </w:p>
    <w:p w14:paraId="3AADD183" w14:textId="23CF3CD0" w:rsidR="00DE46BB" w:rsidRDefault="0041431A" w:rsidP="0041431A">
      <w:pPr>
        <w:pStyle w:val="ListParagraph"/>
        <w:numPr>
          <w:ilvl w:val="0"/>
          <w:numId w:val="11"/>
        </w:numPr>
        <w:rPr>
          <w:rFonts w:ascii="Arial" w:hAnsi="Arial" w:cs="Arial"/>
          <w:sz w:val="24"/>
          <w:szCs w:val="24"/>
        </w:rPr>
      </w:pPr>
      <w:r>
        <w:rPr>
          <w:rFonts w:ascii="Arial" w:hAnsi="Arial" w:cs="Arial"/>
          <w:sz w:val="24"/>
          <w:szCs w:val="24"/>
        </w:rPr>
        <w:t xml:space="preserve">the information </w:t>
      </w:r>
      <w:r w:rsidR="00DE46BB">
        <w:rPr>
          <w:rFonts w:ascii="Arial" w:hAnsi="Arial" w:cs="Arial"/>
          <w:sz w:val="24"/>
          <w:szCs w:val="24"/>
        </w:rPr>
        <w:t>given does not deny another person procedural fairness</w:t>
      </w:r>
    </w:p>
    <w:p w14:paraId="0353DC4A" w14:textId="605CACD6" w:rsidR="00DE46BB" w:rsidRDefault="00DE46BB" w:rsidP="0041431A">
      <w:pPr>
        <w:pStyle w:val="ListParagraph"/>
        <w:numPr>
          <w:ilvl w:val="0"/>
          <w:numId w:val="11"/>
        </w:numPr>
        <w:rPr>
          <w:rFonts w:ascii="Arial" w:hAnsi="Arial" w:cs="Arial"/>
          <w:sz w:val="24"/>
          <w:szCs w:val="24"/>
        </w:rPr>
      </w:pPr>
      <w:r>
        <w:rPr>
          <w:rFonts w:ascii="Arial" w:hAnsi="Arial" w:cs="Arial"/>
          <w:sz w:val="24"/>
          <w:szCs w:val="24"/>
        </w:rPr>
        <w:lastRenderedPageBreak/>
        <w:t>the information given does not adversely affect the conduct of the investigation.</w:t>
      </w:r>
    </w:p>
    <w:p w14:paraId="2D2C8F52" w14:textId="022C0370" w:rsidR="00D14607" w:rsidRPr="0041431A" w:rsidRDefault="00D14607" w:rsidP="00DE46BB">
      <w:pPr>
        <w:pStyle w:val="ListParagraph"/>
        <w:ind w:left="790"/>
        <w:rPr>
          <w:rFonts w:ascii="Arial" w:hAnsi="Arial" w:cs="Arial"/>
          <w:sz w:val="24"/>
          <w:szCs w:val="24"/>
        </w:rPr>
      </w:pPr>
    </w:p>
    <w:p w14:paraId="2C90336A" w14:textId="0DED271B" w:rsidR="00612A49" w:rsidRDefault="002917D9" w:rsidP="00612A49">
      <w:pPr>
        <w:rPr>
          <w:rFonts w:ascii="Arial" w:hAnsi="Arial" w:cs="Arial"/>
          <w:sz w:val="24"/>
          <w:szCs w:val="24"/>
        </w:rPr>
      </w:pPr>
      <w:r>
        <w:rPr>
          <w:rFonts w:ascii="Arial" w:hAnsi="Arial" w:cs="Arial"/>
          <w:sz w:val="24"/>
          <w:szCs w:val="24"/>
        </w:rPr>
        <w:t>Th</w:t>
      </w:r>
      <w:r w:rsidR="00DE46BB">
        <w:rPr>
          <w:rFonts w:ascii="Arial" w:hAnsi="Arial" w:cs="Arial"/>
          <w:sz w:val="24"/>
          <w:szCs w:val="24"/>
        </w:rPr>
        <w:t xml:space="preserve">is clause was drafted </w:t>
      </w:r>
      <w:r w:rsidR="00F10D72">
        <w:rPr>
          <w:rFonts w:ascii="Arial" w:hAnsi="Arial" w:cs="Arial"/>
          <w:sz w:val="24"/>
          <w:szCs w:val="24"/>
        </w:rPr>
        <w:t>specifically</w:t>
      </w:r>
      <w:r w:rsidR="00DE46BB">
        <w:rPr>
          <w:rFonts w:ascii="Arial" w:hAnsi="Arial" w:cs="Arial"/>
          <w:sz w:val="24"/>
          <w:szCs w:val="24"/>
        </w:rPr>
        <w:t xml:space="preserve"> to give the</w:t>
      </w:r>
      <w:r>
        <w:rPr>
          <w:rFonts w:ascii="Arial" w:hAnsi="Arial" w:cs="Arial"/>
          <w:sz w:val="24"/>
          <w:szCs w:val="24"/>
        </w:rPr>
        <w:t xml:space="preserve"> Commission</w:t>
      </w:r>
      <w:r w:rsidR="001D3014">
        <w:rPr>
          <w:rFonts w:ascii="Arial" w:hAnsi="Arial" w:cs="Arial"/>
          <w:sz w:val="24"/>
          <w:szCs w:val="24"/>
        </w:rPr>
        <w:t>, or authorised officer,</w:t>
      </w:r>
      <w:r>
        <w:rPr>
          <w:rFonts w:ascii="Arial" w:hAnsi="Arial" w:cs="Arial"/>
          <w:sz w:val="24"/>
          <w:szCs w:val="24"/>
        </w:rPr>
        <w:t xml:space="preserve"> discretion </w:t>
      </w:r>
      <w:r w:rsidR="00DE46BB">
        <w:rPr>
          <w:rFonts w:ascii="Arial" w:hAnsi="Arial" w:cs="Arial"/>
          <w:sz w:val="24"/>
          <w:szCs w:val="24"/>
        </w:rPr>
        <w:t xml:space="preserve">on </w:t>
      </w:r>
      <w:r w:rsidR="00F10D72">
        <w:rPr>
          <w:rFonts w:ascii="Arial" w:hAnsi="Arial" w:cs="Arial"/>
          <w:sz w:val="24"/>
          <w:szCs w:val="24"/>
        </w:rPr>
        <w:t>the</w:t>
      </w:r>
      <w:r w:rsidR="00DE46BB">
        <w:rPr>
          <w:rFonts w:ascii="Arial" w:hAnsi="Arial" w:cs="Arial"/>
          <w:sz w:val="24"/>
          <w:szCs w:val="24"/>
        </w:rPr>
        <w:t xml:space="preserve"> kind of information </w:t>
      </w:r>
      <w:r>
        <w:rPr>
          <w:rFonts w:ascii="Arial" w:hAnsi="Arial" w:cs="Arial"/>
          <w:sz w:val="24"/>
          <w:szCs w:val="24"/>
        </w:rPr>
        <w:t xml:space="preserve">to disclose </w:t>
      </w:r>
      <w:r w:rsidR="00612A49">
        <w:rPr>
          <w:rFonts w:ascii="Arial" w:hAnsi="Arial" w:cs="Arial"/>
          <w:sz w:val="24"/>
          <w:szCs w:val="24"/>
        </w:rPr>
        <w:t>to the complainant</w:t>
      </w:r>
      <w:r w:rsidR="00DE46BB">
        <w:rPr>
          <w:rFonts w:ascii="Arial" w:hAnsi="Arial" w:cs="Arial"/>
          <w:sz w:val="24"/>
          <w:szCs w:val="24"/>
        </w:rPr>
        <w:t xml:space="preserve">, </w:t>
      </w:r>
      <w:proofErr w:type="gramStart"/>
      <w:r w:rsidR="00DE46BB">
        <w:rPr>
          <w:rFonts w:ascii="Arial" w:hAnsi="Arial" w:cs="Arial"/>
          <w:sz w:val="24"/>
          <w:szCs w:val="24"/>
        </w:rPr>
        <w:t>provided that</w:t>
      </w:r>
      <w:proofErr w:type="gramEnd"/>
      <w:r>
        <w:rPr>
          <w:rFonts w:ascii="Arial" w:hAnsi="Arial" w:cs="Arial"/>
          <w:sz w:val="24"/>
          <w:szCs w:val="24"/>
        </w:rPr>
        <w:t xml:space="preserve"> </w:t>
      </w:r>
      <w:r w:rsidR="001D3014">
        <w:rPr>
          <w:rFonts w:ascii="Arial" w:hAnsi="Arial" w:cs="Arial"/>
          <w:sz w:val="24"/>
          <w:szCs w:val="24"/>
        </w:rPr>
        <w:t>they have</w:t>
      </w:r>
      <w:r w:rsidR="00612A49">
        <w:rPr>
          <w:rFonts w:ascii="Arial" w:hAnsi="Arial" w:cs="Arial"/>
          <w:sz w:val="24"/>
          <w:szCs w:val="24"/>
        </w:rPr>
        <w:t xml:space="preserve"> assessed </w:t>
      </w:r>
      <w:r w:rsidR="00DE46BB">
        <w:rPr>
          <w:rFonts w:ascii="Arial" w:hAnsi="Arial" w:cs="Arial"/>
          <w:sz w:val="24"/>
          <w:szCs w:val="24"/>
        </w:rPr>
        <w:t xml:space="preserve">the information </w:t>
      </w:r>
      <w:r w:rsidR="00612A49">
        <w:rPr>
          <w:rFonts w:ascii="Arial" w:hAnsi="Arial" w:cs="Arial"/>
          <w:sz w:val="24"/>
          <w:szCs w:val="24"/>
        </w:rPr>
        <w:t xml:space="preserve">as </w:t>
      </w:r>
      <w:r w:rsidR="00F10D72">
        <w:rPr>
          <w:rFonts w:ascii="Arial" w:hAnsi="Arial" w:cs="Arial"/>
          <w:sz w:val="24"/>
          <w:szCs w:val="24"/>
        </w:rPr>
        <w:t>suitable</w:t>
      </w:r>
      <w:r w:rsidR="004C5758">
        <w:rPr>
          <w:rFonts w:ascii="Arial" w:hAnsi="Arial" w:cs="Arial"/>
          <w:sz w:val="24"/>
          <w:szCs w:val="24"/>
        </w:rPr>
        <w:t xml:space="preserve"> to disclose according to the safeguards legislated.</w:t>
      </w:r>
    </w:p>
    <w:p w14:paraId="4518FFF6" w14:textId="0E1F37B1" w:rsidR="00612A49" w:rsidRPr="00612A49" w:rsidRDefault="00612A49" w:rsidP="00612A49">
      <w:pPr>
        <w:rPr>
          <w:rFonts w:ascii="Arial" w:hAnsi="Arial" w:cs="Arial"/>
          <w:sz w:val="24"/>
          <w:szCs w:val="24"/>
        </w:rPr>
      </w:pPr>
      <w:r>
        <w:rPr>
          <w:rFonts w:ascii="Arial" w:hAnsi="Arial" w:cs="Arial"/>
          <w:sz w:val="24"/>
          <w:szCs w:val="24"/>
        </w:rPr>
        <w:t xml:space="preserve">The intent of this amendment is to create a legislative avenue </w:t>
      </w:r>
      <w:r w:rsidR="008B7478">
        <w:rPr>
          <w:rFonts w:ascii="Arial" w:hAnsi="Arial" w:cs="Arial"/>
          <w:sz w:val="24"/>
          <w:szCs w:val="24"/>
        </w:rPr>
        <w:t>for</w:t>
      </w:r>
      <w:r>
        <w:rPr>
          <w:rFonts w:ascii="Arial" w:hAnsi="Arial" w:cs="Arial"/>
          <w:sz w:val="24"/>
          <w:szCs w:val="24"/>
        </w:rPr>
        <w:t xml:space="preserve"> </w:t>
      </w:r>
      <w:r w:rsidR="004C5758">
        <w:rPr>
          <w:rFonts w:ascii="Arial" w:hAnsi="Arial" w:cs="Arial"/>
          <w:sz w:val="24"/>
          <w:szCs w:val="24"/>
        </w:rPr>
        <w:t>the Commission</w:t>
      </w:r>
      <w:r w:rsidR="001D3014">
        <w:rPr>
          <w:rFonts w:ascii="Arial" w:hAnsi="Arial" w:cs="Arial"/>
          <w:sz w:val="24"/>
          <w:szCs w:val="24"/>
        </w:rPr>
        <w:t>, or authorised officer,</w:t>
      </w:r>
      <w:r w:rsidR="004C5758">
        <w:rPr>
          <w:rFonts w:ascii="Arial" w:hAnsi="Arial" w:cs="Arial"/>
          <w:sz w:val="24"/>
          <w:szCs w:val="24"/>
        </w:rPr>
        <w:t xml:space="preserve"> to provide the complainant with information </w:t>
      </w:r>
      <w:r>
        <w:rPr>
          <w:rFonts w:ascii="Arial" w:hAnsi="Arial" w:cs="Arial"/>
          <w:sz w:val="24"/>
          <w:szCs w:val="24"/>
        </w:rPr>
        <w:t>in relation to an ongoing investigation, for the purposes of keeping the complainant up to date on the status of the investigation, particularly if the investigation is taking several years to complete.</w:t>
      </w:r>
    </w:p>
    <w:p w14:paraId="2A899520" w14:textId="77777777" w:rsidR="008B7478" w:rsidRDefault="00612A49" w:rsidP="00612A49">
      <w:pPr>
        <w:pStyle w:val="Heading3"/>
      </w:pPr>
      <w:r w:rsidRPr="00ED3B77">
        <w:t xml:space="preserve">Clause </w:t>
      </w:r>
      <w:r w:rsidR="00092707">
        <w:t>5</w:t>
      </w:r>
      <w:r w:rsidRPr="00ED3B77">
        <w:tab/>
      </w:r>
      <w:r w:rsidR="00092707">
        <w:t xml:space="preserve">Permitted disclosures to particular people </w:t>
      </w:r>
    </w:p>
    <w:p w14:paraId="1D4A46D9" w14:textId="17BF8CCF" w:rsidR="00612A49" w:rsidRDefault="00092707" w:rsidP="008B7478">
      <w:pPr>
        <w:pStyle w:val="Heading3"/>
        <w:ind w:left="720" w:firstLine="720"/>
      </w:pPr>
      <w:r>
        <w:t>Section 37 (d) (ii)</w:t>
      </w:r>
    </w:p>
    <w:p w14:paraId="4DFA7C90" w14:textId="32E243E1" w:rsidR="00A01FF7" w:rsidRDefault="008B7478" w:rsidP="00092707">
      <w:pPr>
        <w:rPr>
          <w:rFonts w:ascii="Arial" w:hAnsi="Arial" w:cs="Arial"/>
          <w:sz w:val="24"/>
          <w:szCs w:val="24"/>
        </w:rPr>
      </w:pPr>
      <w:r>
        <w:rPr>
          <w:rFonts w:ascii="Arial" w:hAnsi="Arial" w:cs="Arial"/>
          <w:sz w:val="24"/>
          <w:szCs w:val="24"/>
        </w:rPr>
        <w:t xml:space="preserve">Section 37 permits a gaming officer </w:t>
      </w:r>
      <w:r w:rsidR="00A01FF7">
        <w:rPr>
          <w:rFonts w:ascii="Arial" w:hAnsi="Arial" w:cs="Arial"/>
          <w:sz w:val="24"/>
          <w:szCs w:val="24"/>
        </w:rPr>
        <w:t xml:space="preserve">(as defined in section 34 of the Gambling and Racing Control Act) </w:t>
      </w:r>
      <w:r>
        <w:rPr>
          <w:rFonts w:ascii="Arial" w:hAnsi="Arial" w:cs="Arial"/>
          <w:sz w:val="24"/>
          <w:szCs w:val="24"/>
        </w:rPr>
        <w:t xml:space="preserve">to disclose </w:t>
      </w:r>
      <w:r w:rsidR="00A01FF7">
        <w:rPr>
          <w:rFonts w:ascii="Arial" w:hAnsi="Arial" w:cs="Arial"/>
          <w:sz w:val="24"/>
          <w:szCs w:val="24"/>
        </w:rPr>
        <w:t>information that they have obtained under or in relation to the administration of a gaming law under the circumstances prescribed in the section.</w:t>
      </w:r>
    </w:p>
    <w:p w14:paraId="72CAB9E5" w14:textId="3DFBDFEE" w:rsidR="00092707" w:rsidRDefault="00092707" w:rsidP="00092707">
      <w:pPr>
        <w:rPr>
          <w:rFonts w:ascii="Arial" w:hAnsi="Arial" w:cs="Arial"/>
          <w:sz w:val="24"/>
          <w:szCs w:val="24"/>
        </w:rPr>
      </w:pPr>
      <w:r>
        <w:rPr>
          <w:rFonts w:ascii="Arial" w:hAnsi="Arial" w:cs="Arial"/>
          <w:sz w:val="24"/>
          <w:szCs w:val="24"/>
        </w:rPr>
        <w:t xml:space="preserve">This clause </w:t>
      </w:r>
      <w:r w:rsidR="00B24476">
        <w:rPr>
          <w:rFonts w:ascii="Arial" w:hAnsi="Arial" w:cs="Arial"/>
          <w:sz w:val="24"/>
          <w:szCs w:val="24"/>
        </w:rPr>
        <w:t>amends</w:t>
      </w:r>
      <w:r w:rsidR="00613259">
        <w:rPr>
          <w:rFonts w:ascii="Arial" w:hAnsi="Arial" w:cs="Arial"/>
          <w:sz w:val="24"/>
          <w:szCs w:val="24"/>
        </w:rPr>
        <w:t xml:space="preserve"> the current section 37 (d) (ii) by </w:t>
      </w:r>
      <w:r w:rsidR="00B24476">
        <w:rPr>
          <w:rFonts w:ascii="Arial" w:hAnsi="Arial" w:cs="Arial"/>
          <w:sz w:val="24"/>
          <w:szCs w:val="24"/>
        </w:rPr>
        <w:t>expanding the purpose for which</w:t>
      </w:r>
      <w:r w:rsidR="001D3014">
        <w:rPr>
          <w:rFonts w:ascii="Arial" w:hAnsi="Arial" w:cs="Arial"/>
          <w:sz w:val="24"/>
          <w:szCs w:val="24"/>
        </w:rPr>
        <w:t xml:space="preserve"> a gaming officer may </w:t>
      </w:r>
      <w:r w:rsidR="00B24476">
        <w:rPr>
          <w:rFonts w:ascii="Arial" w:hAnsi="Arial" w:cs="Arial"/>
          <w:sz w:val="24"/>
          <w:szCs w:val="24"/>
        </w:rPr>
        <w:t xml:space="preserve">use the information they obtained </w:t>
      </w:r>
      <w:r w:rsidR="001D3014">
        <w:rPr>
          <w:rFonts w:ascii="Arial" w:hAnsi="Arial" w:cs="Arial"/>
          <w:sz w:val="24"/>
          <w:szCs w:val="24"/>
        </w:rPr>
        <w:t>under administration of a gaming law</w:t>
      </w:r>
      <w:r w:rsidR="00B24476">
        <w:rPr>
          <w:rFonts w:ascii="Arial" w:hAnsi="Arial" w:cs="Arial"/>
          <w:sz w:val="24"/>
          <w:szCs w:val="24"/>
        </w:rPr>
        <w:t xml:space="preserve">. This clause allows for the information to be shared </w:t>
      </w:r>
      <w:r>
        <w:rPr>
          <w:rFonts w:ascii="Arial" w:hAnsi="Arial" w:cs="Arial"/>
          <w:sz w:val="24"/>
          <w:szCs w:val="24"/>
        </w:rPr>
        <w:t xml:space="preserve">for the purpose of advising </w:t>
      </w:r>
      <w:r w:rsidR="00613259">
        <w:rPr>
          <w:rFonts w:ascii="Arial" w:hAnsi="Arial" w:cs="Arial"/>
          <w:sz w:val="24"/>
          <w:szCs w:val="24"/>
        </w:rPr>
        <w:t xml:space="preserve">or assisting an administrative unit, the Minister or any other Minister about policy matters or the operation of a gaming law. </w:t>
      </w:r>
    </w:p>
    <w:p w14:paraId="0FCF549A" w14:textId="02CA8162" w:rsidR="00092707" w:rsidRDefault="00B24476" w:rsidP="00092707">
      <w:pPr>
        <w:rPr>
          <w:rFonts w:ascii="Arial" w:hAnsi="Arial" w:cs="Arial"/>
          <w:sz w:val="24"/>
          <w:szCs w:val="24"/>
        </w:rPr>
      </w:pPr>
      <w:r>
        <w:rPr>
          <w:rFonts w:ascii="Arial" w:hAnsi="Arial" w:cs="Arial"/>
          <w:sz w:val="24"/>
          <w:szCs w:val="24"/>
        </w:rPr>
        <w:t>Additionally, t</w:t>
      </w:r>
      <w:r w:rsidR="00372222">
        <w:rPr>
          <w:rFonts w:ascii="Arial" w:hAnsi="Arial" w:cs="Arial"/>
          <w:sz w:val="24"/>
          <w:szCs w:val="24"/>
        </w:rPr>
        <w:t xml:space="preserve">here is an authorisation power in section 37 (d), which operates by allowing the </w:t>
      </w:r>
      <w:r w:rsidR="00A67B4D">
        <w:rPr>
          <w:rFonts w:ascii="Arial" w:hAnsi="Arial" w:cs="Arial"/>
          <w:sz w:val="24"/>
          <w:szCs w:val="24"/>
        </w:rPr>
        <w:t xml:space="preserve">recipients of the information (that is, the </w:t>
      </w:r>
      <w:r w:rsidR="00372222">
        <w:rPr>
          <w:rFonts w:ascii="Arial" w:hAnsi="Arial" w:cs="Arial"/>
          <w:sz w:val="24"/>
          <w:szCs w:val="24"/>
        </w:rPr>
        <w:t>administrative unit responsible for the Gambling and Racing Control Act, the Commission or the Minister</w:t>
      </w:r>
      <w:r w:rsidR="00A67B4D">
        <w:rPr>
          <w:rFonts w:ascii="Arial" w:hAnsi="Arial" w:cs="Arial"/>
          <w:sz w:val="24"/>
          <w:szCs w:val="24"/>
        </w:rPr>
        <w:t>)</w:t>
      </w:r>
      <w:r w:rsidR="00372222">
        <w:rPr>
          <w:rFonts w:ascii="Arial" w:hAnsi="Arial" w:cs="Arial"/>
          <w:sz w:val="24"/>
          <w:szCs w:val="24"/>
        </w:rPr>
        <w:t xml:space="preserve"> to </w:t>
      </w:r>
      <w:r w:rsidR="00FB2AF8">
        <w:rPr>
          <w:rFonts w:ascii="Arial" w:hAnsi="Arial" w:cs="Arial"/>
          <w:sz w:val="24"/>
          <w:szCs w:val="24"/>
        </w:rPr>
        <w:t>decide on a case-by-case basis who</w:t>
      </w:r>
      <w:r w:rsidRPr="00B24476">
        <w:rPr>
          <w:rFonts w:ascii="Arial" w:hAnsi="Arial" w:cs="Arial"/>
          <w:sz w:val="24"/>
          <w:szCs w:val="24"/>
        </w:rPr>
        <w:t xml:space="preserve"> </w:t>
      </w:r>
      <w:r>
        <w:rPr>
          <w:rFonts w:ascii="Arial" w:hAnsi="Arial" w:cs="Arial"/>
          <w:sz w:val="24"/>
          <w:szCs w:val="24"/>
        </w:rPr>
        <w:t xml:space="preserve">is authorised to receive the abovementioned information, depending on the policy development requirements. This means that </w:t>
      </w:r>
      <w:r w:rsidR="00B25936">
        <w:rPr>
          <w:rFonts w:ascii="Arial" w:hAnsi="Arial" w:cs="Arial"/>
          <w:sz w:val="24"/>
          <w:szCs w:val="24"/>
        </w:rPr>
        <w:t xml:space="preserve">information can be shared with </w:t>
      </w:r>
      <w:r w:rsidR="001D3014">
        <w:rPr>
          <w:rFonts w:ascii="Arial" w:hAnsi="Arial" w:cs="Arial"/>
          <w:sz w:val="24"/>
          <w:szCs w:val="24"/>
        </w:rPr>
        <w:t xml:space="preserve">authorised </w:t>
      </w:r>
      <w:r>
        <w:rPr>
          <w:rFonts w:ascii="Arial" w:hAnsi="Arial" w:cs="Arial"/>
          <w:sz w:val="24"/>
          <w:szCs w:val="24"/>
        </w:rPr>
        <w:t>recipients</w:t>
      </w:r>
      <w:r w:rsidR="00B25936">
        <w:rPr>
          <w:rFonts w:ascii="Arial" w:hAnsi="Arial" w:cs="Arial"/>
          <w:sz w:val="24"/>
          <w:szCs w:val="24"/>
        </w:rPr>
        <w:t xml:space="preserve">, including </w:t>
      </w:r>
      <w:r w:rsidR="00F10D72">
        <w:rPr>
          <w:rFonts w:ascii="Arial" w:hAnsi="Arial" w:cs="Arial"/>
          <w:sz w:val="24"/>
          <w:szCs w:val="24"/>
        </w:rPr>
        <w:t xml:space="preserve">persons who are engaged by the administrative unit </w:t>
      </w:r>
      <w:r w:rsidR="001D3014">
        <w:rPr>
          <w:rFonts w:ascii="Arial" w:hAnsi="Arial" w:cs="Arial"/>
          <w:sz w:val="24"/>
          <w:szCs w:val="24"/>
        </w:rPr>
        <w:t xml:space="preserve">under </w:t>
      </w:r>
      <w:r w:rsidR="00F10D72">
        <w:rPr>
          <w:rFonts w:ascii="Arial" w:hAnsi="Arial" w:cs="Arial"/>
          <w:sz w:val="24"/>
          <w:szCs w:val="24"/>
        </w:rPr>
        <w:t>a contract</w:t>
      </w:r>
      <w:r w:rsidR="00493372">
        <w:rPr>
          <w:rFonts w:ascii="Arial" w:hAnsi="Arial" w:cs="Arial"/>
          <w:sz w:val="24"/>
          <w:szCs w:val="24"/>
        </w:rPr>
        <w:t xml:space="preserve">, for the </w:t>
      </w:r>
      <w:r w:rsidR="00A82D33">
        <w:rPr>
          <w:rFonts w:ascii="Arial" w:hAnsi="Arial" w:cs="Arial"/>
          <w:sz w:val="24"/>
          <w:szCs w:val="24"/>
        </w:rPr>
        <w:t xml:space="preserve">allowable </w:t>
      </w:r>
      <w:r w:rsidR="00493372">
        <w:rPr>
          <w:rFonts w:ascii="Arial" w:hAnsi="Arial" w:cs="Arial"/>
          <w:sz w:val="24"/>
          <w:szCs w:val="24"/>
        </w:rPr>
        <w:t xml:space="preserve">purpose </w:t>
      </w:r>
      <w:r w:rsidR="00A82D33">
        <w:rPr>
          <w:rFonts w:ascii="Arial" w:hAnsi="Arial" w:cs="Arial"/>
          <w:sz w:val="24"/>
          <w:szCs w:val="24"/>
        </w:rPr>
        <w:t>under section 37 (d) (ii)</w:t>
      </w:r>
      <w:r w:rsidR="00F10D72">
        <w:rPr>
          <w:rFonts w:ascii="Arial" w:hAnsi="Arial" w:cs="Arial"/>
          <w:sz w:val="24"/>
          <w:szCs w:val="24"/>
        </w:rPr>
        <w:t>.</w:t>
      </w:r>
    </w:p>
    <w:p w14:paraId="35174E41" w14:textId="2732FD2A" w:rsidR="00B10812" w:rsidRDefault="00361F71">
      <w:pPr>
        <w:rPr>
          <w:rFonts w:ascii="Arial" w:hAnsi="Arial" w:cs="Arial"/>
          <w:sz w:val="24"/>
          <w:szCs w:val="24"/>
        </w:rPr>
      </w:pPr>
      <w:r w:rsidRPr="00361F71">
        <w:rPr>
          <w:rFonts w:ascii="Arial" w:hAnsi="Arial" w:cs="Arial"/>
          <w:sz w:val="24"/>
          <w:szCs w:val="24"/>
        </w:rPr>
        <w:t>The intent of this amendment is to enable robust policy advice to government</w:t>
      </w:r>
      <w:r w:rsidR="009F3B9A">
        <w:rPr>
          <w:rFonts w:ascii="Arial" w:hAnsi="Arial" w:cs="Arial"/>
          <w:sz w:val="24"/>
          <w:szCs w:val="24"/>
        </w:rPr>
        <w:t xml:space="preserve"> by allowing information sharing between ACT Government policy areas, Ministers and </w:t>
      </w:r>
      <w:r w:rsidR="00AF0F6D">
        <w:rPr>
          <w:rFonts w:ascii="Arial" w:hAnsi="Arial" w:cs="Arial"/>
          <w:sz w:val="24"/>
          <w:szCs w:val="24"/>
        </w:rPr>
        <w:t xml:space="preserve">any other </w:t>
      </w:r>
      <w:r w:rsidR="001D3014">
        <w:rPr>
          <w:rFonts w:ascii="Arial" w:hAnsi="Arial" w:cs="Arial"/>
          <w:sz w:val="24"/>
          <w:szCs w:val="24"/>
        </w:rPr>
        <w:t xml:space="preserve">authorised </w:t>
      </w:r>
      <w:r w:rsidR="00AF0F6D">
        <w:rPr>
          <w:rFonts w:ascii="Arial" w:hAnsi="Arial" w:cs="Arial"/>
          <w:sz w:val="24"/>
          <w:szCs w:val="24"/>
        </w:rPr>
        <w:t xml:space="preserve">persons. </w:t>
      </w:r>
    </w:p>
    <w:p w14:paraId="1EF136ED" w14:textId="77777777" w:rsidR="00922397" w:rsidRDefault="00922397" w:rsidP="00922397">
      <w:pPr>
        <w:pStyle w:val="Heading3"/>
      </w:pPr>
      <w:r w:rsidRPr="00ED3B77">
        <w:t xml:space="preserve">Clause </w:t>
      </w:r>
      <w:r>
        <w:t>6</w:t>
      </w:r>
      <w:r w:rsidRPr="00ED3B77">
        <w:tab/>
      </w:r>
      <w:r>
        <w:t>Payments to diversification and sustainability support fund</w:t>
      </w:r>
    </w:p>
    <w:p w14:paraId="618062FF" w14:textId="77777777" w:rsidR="00922397" w:rsidRDefault="00922397" w:rsidP="00922397">
      <w:pPr>
        <w:pStyle w:val="Heading3"/>
      </w:pPr>
      <w:r>
        <w:tab/>
      </w:r>
      <w:r>
        <w:tab/>
        <w:t>New section 163H (4A) and (4B)</w:t>
      </w:r>
    </w:p>
    <w:p w14:paraId="2B8B6976" w14:textId="13C5CCE6" w:rsidR="00922397" w:rsidRDefault="00B802CB" w:rsidP="00B802CB">
      <w:pPr>
        <w:rPr>
          <w:rFonts w:ascii="Arial" w:hAnsi="Arial" w:cs="Arial"/>
          <w:sz w:val="24"/>
          <w:szCs w:val="24"/>
        </w:rPr>
      </w:pPr>
      <w:r>
        <w:rPr>
          <w:rFonts w:ascii="Arial" w:hAnsi="Arial" w:cs="Arial"/>
          <w:sz w:val="24"/>
          <w:szCs w:val="24"/>
        </w:rPr>
        <w:t xml:space="preserve">Section 163H requires club licensees to pay a ‘required amount’ (as defined in subsection (3)) to the Commission for </w:t>
      </w:r>
      <w:r w:rsidR="00272AD9">
        <w:rPr>
          <w:rFonts w:ascii="Arial" w:hAnsi="Arial" w:cs="Arial"/>
          <w:sz w:val="24"/>
          <w:szCs w:val="24"/>
        </w:rPr>
        <w:t xml:space="preserve">contribution to </w:t>
      </w:r>
      <w:r>
        <w:rPr>
          <w:rFonts w:ascii="Arial" w:hAnsi="Arial" w:cs="Arial"/>
          <w:sz w:val="24"/>
          <w:szCs w:val="24"/>
        </w:rPr>
        <w:t>the DSSF.</w:t>
      </w:r>
    </w:p>
    <w:p w14:paraId="31B136CA" w14:textId="2DD250DD" w:rsidR="00803DCB" w:rsidRDefault="00B802CB" w:rsidP="00B802CB">
      <w:pPr>
        <w:rPr>
          <w:rFonts w:ascii="Arial" w:hAnsi="Arial" w:cs="Arial"/>
          <w:sz w:val="24"/>
          <w:szCs w:val="24"/>
        </w:rPr>
      </w:pPr>
      <w:r>
        <w:rPr>
          <w:rFonts w:ascii="Arial" w:hAnsi="Arial" w:cs="Arial"/>
          <w:sz w:val="24"/>
          <w:szCs w:val="24"/>
        </w:rPr>
        <w:lastRenderedPageBreak/>
        <w:t xml:space="preserve">This clause </w:t>
      </w:r>
      <w:r w:rsidR="00803DCB">
        <w:rPr>
          <w:rFonts w:ascii="Arial" w:hAnsi="Arial" w:cs="Arial"/>
          <w:sz w:val="24"/>
          <w:szCs w:val="24"/>
        </w:rPr>
        <w:t xml:space="preserve">inserts new subsection (4A), which </w:t>
      </w:r>
      <w:r w:rsidR="00E255E2">
        <w:rPr>
          <w:rFonts w:ascii="Arial" w:hAnsi="Arial" w:cs="Arial"/>
          <w:sz w:val="24"/>
          <w:szCs w:val="24"/>
        </w:rPr>
        <w:t>will pause</w:t>
      </w:r>
      <w:r>
        <w:rPr>
          <w:rFonts w:ascii="Arial" w:hAnsi="Arial" w:cs="Arial"/>
          <w:sz w:val="24"/>
          <w:szCs w:val="24"/>
        </w:rPr>
        <w:t xml:space="preserve"> the mandatory payments</w:t>
      </w:r>
      <w:r w:rsidR="00272AD9">
        <w:rPr>
          <w:rFonts w:ascii="Arial" w:hAnsi="Arial" w:cs="Arial"/>
          <w:sz w:val="24"/>
          <w:szCs w:val="24"/>
        </w:rPr>
        <w:t xml:space="preserve"> that club licensees </w:t>
      </w:r>
      <w:r w:rsidR="001A0D4F">
        <w:rPr>
          <w:rFonts w:ascii="Arial" w:hAnsi="Arial" w:cs="Arial"/>
          <w:sz w:val="24"/>
          <w:szCs w:val="24"/>
        </w:rPr>
        <w:t>contribute to the DSSF</w:t>
      </w:r>
      <w:r w:rsidR="00E255E2">
        <w:rPr>
          <w:rFonts w:ascii="Arial" w:hAnsi="Arial" w:cs="Arial"/>
          <w:sz w:val="24"/>
          <w:szCs w:val="24"/>
        </w:rPr>
        <w:t>,</w:t>
      </w:r>
      <w:r w:rsidR="001A0D4F">
        <w:rPr>
          <w:rFonts w:ascii="Arial" w:hAnsi="Arial" w:cs="Arial"/>
          <w:sz w:val="24"/>
          <w:szCs w:val="24"/>
        </w:rPr>
        <w:t xml:space="preserve"> </w:t>
      </w:r>
      <w:r w:rsidR="00272AD9">
        <w:rPr>
          <w:rFonts w:ascii="Arial" w:hAnsi="Arial" w:cs="Arial"/>
          <w:sz w:val="24"/>
          <w:szCs w:val="24"/>
        </w:rPr>
        <w:t>for a two-year period.</w:t>
      </w:r>
      <w:r w:rsidR="00803DCB">
        <w:rPr>
          <w:rFonts w:ascii="Arial" w:hAnsi="Arial" w:cs="Arial"/>
          <w:sz w:val="24"/>
          <w:szCs w:val="24"/>
        </w:rPr>
        <w:t xml:space="preserve"> The two-year period will commence by Ministerial notice.</w:t>
      </w:r>
    </w:p>
    <w:p w14:paraId="6684973E" w14:textId="39C05F17" w:rsidR="00026B43" w:rsidRDefault="00803DCB" w:rsidP="00026B43">
      <w:pPr>
        <w:rPr>
          <w:rFonts w:ascii="Arial" w:hAnsi="Arial" w:cs="Arial"/>
          <w:sz w:val="24"/>
          <w:szCs w:val="24"/>
        </w:rPr>
      </w:pPr>
      <w:r>
        <w:rPr>
          <w:rFonts w:ascii="Arial" w:hAnsi="Arial" w:cs="Arial"/>
          <w:sz w:val="24"/>
          <w:szCs w:val="24"/>
        </w:rPr>
        <w:t xml:space="preserve">This clause also inserts new subsection </w:t>
      </w:r>
      <w:r w:rsidR="00E255E2">
        <w:rPr>
          <w:rFonts w:ascii="Arial" w:hAnsi="Arial" w:cs="Arial"/>
          <w:sz w:val="24"/>
          <w:szCs w:val="24"/>
        </w:rPr>
        <w:t>(4B), which repeals subsections (4A) and (4B) three years after their commencement, as</w:t>
      </w:r>
      <w:r w:rsidR="001A0D4F">
        <w:rPr>
          <w:rFonts w:ascii="Arial" w:hAnsi="Arial" w:cs="Arial"/>
          <w:sz w:val="24"/>
          <w:szCs w:val="24"/>
        </w:rPr>
        <w:t xml:space="preserve"> </w:t>
      </w:r>
      <w:r w:rsidR="00E255E2">
        <w:rPr>
          <w:rFonts w:ascii="Arial" w:hAnsi="Arial" w:cs="Arial"/>
          <w:sz w:val="24"/>
          <w:szCs w:val="24"/>
        </w:rPr>
        <w:t>the two-year pause is</w:t>
      </w:r>
      <w:r w:rsidR="001A0D4F">
        <w:rPr>
          <w:rFonts w:ascii="Arial" w:hAnsi="Arial" w:cs="Arial"/>
          <w:sz w:val="24"/>
          <w:szCs w:val="24"/>
        </w:rPr>
        <w:t xml:space="preserve"> </w:t>
      </w:r>
      <w:r>
        <w:rPr>
          <w:rFonts w:ascii="Arial" w:hAnsi="Arial" w:cs="Arial"/>
          <w:sz w:val="24"/>
          <w:szCs w:val="24"/>
        </w:rPr>
        <w:t xml:space="preserve">intended </w:t>
      </w:r>
      <w:r w:rsidR="00855581">
        <w:rPr>
          <w:rFonts w:ascii="Arial" w:hAnsi="Arial" w:cs="Arial"/>
          <w:sz w:val="24"/>
          <w:szCs w:val="24"/>
        </w:rPr>
        <w:t xml:space="preserve">to be </w:t>
      </w:r>
      <w:r w:rsidR="001A0D4F">
        <w:rPr>
          <w:rFonts w:ascii="Arial" w:hAnsi="Arial" w:cs="Arial"/>
          <w:sz w:val="24"/>
          <w:szCs w:val="24"/>
        </w:rPr>
        <w:t>temporary</w:t>
      </w:r>
      <w:r w:rsidR="00E255E2">
        <w:rPr>
          <w:rFonts w:ascii="Arial" w:hAnsi="Arial" w:cs="Arial"/>
          <w:sz w:val="24"/>
          <w:szCs w:val="24"/>
        </w:rPr>
        <w:t xml:space="preserve">. </w:t>
      </w:r>
      <w:r w:rsidR="00026B43">
        <w:rPr>
          <w:rFonts w:ascii="Arial" w:hAnsi="Arial" w:cs="Arial"/>
          <w:sz w:val="24"/>
          <w:szCs w:val="24"/>
        </w:rPr>
        <w:t xml:space="preserve">As per section 84 of the </w:t>
      </w:r>
      <w:r w:rsidR="00026B43" w:rsidRPr="00026B43">
        <w:rPr>
          <w:rFonts w:ascii="Arial" w:hAnsi="Arial" w:cs="Arial"/>
          <w:i/>
          <w:iCs/>
          <w:sz w:val="24"/>
          <w:szCs w:val="24"/>
        </w:rPr>
        <w:t>Legislation Act 2001</w:t>
      </w:r>
      <w:r w:rsidR="00026B43">
        <w:rPr>
          <w:rFonts w:ascii="Arial" w:hAnsi="Arial" w:cs="Arial"/>
          <w:sz w:val="24"/>
          <w:szCs w:val="24"/>
        </w:rPr>
        <w:t xml:space="preserve">, </w:t>
      </w:r>
      <w:r w:rsidR="00026B43" w:rsidRPr="00026B43">
        <w:rPr>
          <w:rFonts w:ascii="Arial" w:hAnsi="Arial" w:cs="Arial"/>
          <w:sz w:val="24"/>
          <w:szCs w:val="24"/>
        </w:rPr>
        <w:t>t</w:t>
      </w:r>
      <w:r w:rsidR="00F82C17" w:rsidRPr="00026B43">
        <w:rPr>
          <w:rFonts w:ascii="Arial" w:hAnsi="Arial" w:cs="Arial"/>
          <w:sz w:val="24"/>
          <w:szCs w:val="24"/>
        </w:rPr>
        <w:t>he repeal of a law does not</w:t>
      </w:r>
      <w:r w:rsidR="00026B43">
        <w:rPr>
          <w:rFonts w:ascii="Arial" w:hAnsi="Arial" w:cs="Arial"/>
          <w:sz w:val="24"/>
          <w:szCs w:val="24"/>
        </w:rPr>
        <w:t>:</w:t>
      </w:r>
    </w:p>
    <w:p w14:paraId="21DBAA36" w14:textId="240CC1B6" w:rsidR="00026B43" w:rsidRDefault="00F82C17" w:rsidP="00026B43">
      <w:pPr>
        <w:pStyle w:val="ListParagraph"/>
        <w:numPr>
          <w:ilvl w:val="0"/>
          <w:numId w:val="13"/>
        </w:numPr>
        <w:rPr>
          <w:rFonts w:ascii="Arial" w:hAnsi="Arial" w:cs="Arial"/>
          <w:sz w:val="24"/>
          <w:szCs w:val="24"/>
        </w:rPr>
      </w:pPr>
      <w:r w:rsidRPr="00026B43">
        <w:rPr>
          <w:rFonts w:ascii="Arial" w:hAnsi="Arial" w:cs="Arial"/>
          <w:sz w:val="24"/>
          <w:szCs w:val="24"/>
        </w:rPr>
        <w:t>revive</w:t>
      </w:r>
      <w:r w:rsidR="002F6959" w:rsidRPr="00026B43">
        <w:rPr>
          <w:rFonts w:ascii="Arial" w:hAnsi="Arial" w:cs="Arial"/>
          <w:sz w:val="24"/>
          <w:szCs w:val="24"/>
        </w:rPr>
        <w:t xml:space="preserve"> anything not in force </w:t>
      </w:r>
      <w:r w:rsidR="00026B43">
        <w:rPr>
          <w:rFonts w:ascii="Arial" w:hAnsi="Arial" w:cs="Arial"/>
          <w:sz w:val="24"/>
          <w:szCs w:val="24"/>
        </w:rPr>
        <w:t xml:space="preserve">or existing </w:t>
      </w:r>
      <w:r w:rsidR="002F6959" w:rsidRPr="00026B43">
        <w:rPr>
          <w:rFonts w:ascii="Arial" w:hAnsi="Arial" w:cs="Arial"/>
          <w:sz w:val="24"/>
          <w:szCs w:val="24"/>
        </w:rPr>
        <w:t>when the repeal takes effect</w:t>
      </w:r>
    </w:p>
    <w:p w14:paraId="5B2FC0C7" w14:textId="18701A1E" w:rsidR="00026B43" w:rsidRDefault="002F6959" w:rsidP="00026B43">
      <w:pPr>
        <w:pStyle w:val="ListParagraph"/>
        <w:numPr>
          <w:ilvl w:val="0"/>
          <w:numId w:val="13"/>
        </w:numPr>
        <w:rPr>
          <w:rFonts w:ascii="Arial" w:hAnsi="Arial" w:cs="Arial"/>
          <w:sz w:val="24"/>
          <w:szCs w:val="24"/>
        </w:rPr>
      </w:pPr>
      <w:r w:rsidRPr="00026B43">
        <w:rPr>
          <w:rFonts w:ascii="Arial" w:hAnsi="Arial" w:cs="Arial"/>
          <w:sz w:val="24"/>
          <w:szCs w:val="24"/>
        </w:rPr>
        <w:t xml:space="preserve">affect the previous operation of the law or </w:t>
      </w:r>
      <w:r w:rsidR="00026B43">
        <w:rPr>
          <w:rFonts w:ascii="Arial" w:hAnsi="Arial" w:cs="Arial"/>
          <w:sz w:val="24"/>
          <w:szCs w:val="24"/>
        </w:rPr>
        <w:t>anything done, begun or suffered under the law</w:t>
      </w:r>
    </w:p>
    <w:p w14:paraId="2196FE73" w14:textId="3D6661BE" w:rsidR="001A0D4F" w:rsidRPr="00026B43" w:rsidRDefault="002F6959" w:rsidP="000F1146">
      <w:pPr>
        <w:pStyle w:val="ListParagraph"/>
        <w:numPr>
          <w:ilvl w:val="0"/>
          <w:numId w:val="13"/>
        </w:numPr>
        <w:spacing w:after="200" w:line="276" w:lineRule="auto"/>
        <w:ind w:left="788" w:hanging="357"/>
        <w:rPr>
          <w:rFonts w:ascii="Arial" w:hAnsi="Arial" w:cs="Arial"/>
          <w:sz w:val="24"/>
          <w:szCs w:val="24"/>
        </w:rPr>
      </w:pPr>
      <w:r w:rsidRPr="00026B43">
        <w:rPr>
          <w:rFonts w:ascii="Arial" w:hAnsi="Arial" w:cs="Arial"/>
          <w:sz w:val="24"/>
          <w:szCs w:val="24"/>
        </w:rPr>
        <w:t xml:space="preserve">affect an existing right, privilege or liability </w:t>
      </w:r>
      <w:r w:rsidR="00B175AB">
        <w:rPr>
          <w:rFonts w:ascii="Arial" w:hAnsi="Arial" w:cs="Arial"/>
          <w:sz w:val="24"/>
          <w:szCs w:val="24"/>
        </w:rPr>
        <w:t xml:space="preserve">acquired, </w:t>
      </w:r>
      <w:r w:rsidRPr="00026B43">
        <w:rPr>
          <w:rFonts w:ascii="Arial" w:hAnsi="Arial" w:cs="Arial"/>
          <w:sz w:val="24"/>
          <w:szCs w:val="24"/>
        </w:rPr>
        <w:t xml:space="preserve">accrued </w:t>
      </w:r>
      <w:r w:rsidR="00B175AB">
        <w:rPr>
          <w:rFonts w:ascii="Arial" w:hAnsi="Arial" w:cs="Arial"/>
          <w:sz w:val="24"/>
          <w:szCs w:val="24"/>
        </w:rPr>
        <w:t xml:space="preserve">or incurred </w:t>
      </w:r>
      <w:r w:rsidRPr="00026B43">
        <w:rPr>
          <w:rFonts w:ascii="Arial" w:hAnsi="Arial" w:cs="Arial"/>
          <w:sz w:val="24"/>
          <w:szCs w:val="24"/>
        </w:rPr>
        <w:t>under the law.</w:t>
      </w:r>
    </w:p>
    <w:p w14:paraId="7F4D2852" w14:textId="76FE3E12" w:rsidR="001A0D4F" w:rsidRPr="00B802CB" w:rsidRDefault="001A0D4F" w:rsidP="00B802CB">
      <w:pPr>
        <w:rPr>
          <w:rFonts w:ascii="Arial" w:hAnsi="Arial" w:cs="Arial"/>
          <w:sz w:val="24"/>
          <w:szCs w:val="24"/>
        </w:rPr>
      </w:pPr>
      <w:r w:rsidRPr="001A0D4F">
        <w:rPr>
          <w:rFonts w:ascii="Arial" w:hAnsi="Arial" w:cs="Arial"/>
          <w:sz w:val="24"/>
          <w:szCs w:val="24"/>
        </w:rPr>
        <w:t xml:space="preserve">The intent of </w:t>
      </w:r>
      <w:r>
        <w:rPr>
          <w:rFonts w:ascii="Arial" w:hAnsi="Arial" w:cs="Arial"/>
          <w:sz w:val="24"/>
          <w:szCs w:val="24"/>
        </w:rPr>
        <w:t>this amendment</w:t>
      </w:r>
      <w:r w:rsidRPr="001A0D4F">
        <w:rPr>
          <w:rFonts w:ascii="Arial" w:hAnsi="Arial" w:cs="Arial"/>
          <w:sz w:val="24"/>
          <w:szCs w:val="24"/>
        </w:rPr>
        <w:t xml:space="preserve"> is to ensure that </w:t>
      </w:r>
      <w:r>
        <w:rPr>
          <w:rFonts w:ascii="Arial" w:hAnsi="Arial" w:cs="Arial"/>
          <w:sz w:val="24"/>
          <w:szCs w:val="24"/>
        </w:rPr>
        <w:t xml:space="preserve">club licensee </w:t>
      </w:r>
      <w:r w:rsidRPr="001A0D4F">
        <w:rPr>
          <w:rFonts w:ascii="Arial" w:hAnsi="Arial" w:cs="Arial"/>
          <w:sz w:val="24"/>
          <w:szCs w:val="24"/>
        </w:rPr>
        <w:t xml:space="preserve">payments </w:t>
      </w:r>
      <w:r>
        <w:rPr>
          <w:rFonts w:ascii="Arial" w:hAnsi="Arial" w:cs="Arial"/>
          <w:sz w:val="24"/>
          <w:szCs w:val="24"/>
        </w:rPr>
        <w:t xml:space="preserve">into </w:t>
      </w:r>
      <w:r w:rsidRPr="001A0D4F">
        <w:rPr>
          <w:rFonts w:ascii="Arial" w:hAnsi="Arial" w:cs="Arial"/>
          <w:sz w:val="24"/>
          <w:szCs w:val="24"/>
        </w:rPr>
        <w:t xml:space="preserve">the DSSF are paused while the Inquiry </w:t>
      </w:r>
      <w:r w:rsidR="00F82C17" w:rsidRPr="001A0D4F">
        <w:rPr>
          <w:rFonts w:ascii="Arial" w:hAnsi="Arial" w:cs="Arial"/>
          <w:sz w:val="24"/>
          <w:szCs w:val="24"/>
        </w:rPr>
        <w:t>consider</w:t>
      </w:r>
      <w:r w:rsidR="00F82C17">
        <w:rPr>
          <w:rFonts w:ascii="Arial" w:hAnsi="Arial" w:cs="Arial"/>
          <w:sz w:val="24"/>
          <w:szCs w:val="24"/>
        </w:rPr>
        <w:t>s</w:t>
      </w:r>
      <w:r w:rsidR="00F82C17" w:rsidRPr="001A0D4F">
        <w:rPr>
          <w:rFonts w:ascii="Arial" w:hAnsi="Arial" w:cs="Arial"/>
          <w:sz w:val="24"/>
          <w:szCs w:val="24"/>
        </w:rPr>
        <w:t xml:space="preserve"> the operation and effectiveness of the DSSF</w:t>
      </w:r>
      <w:r w:rsidR="00F82C17">
        <w:rPr>
          <w:rFonts w:ascii="Arial" w:hAnsi="Arial" w:cs="Arial"/>
          <w:sz w:val="24"/>
          <w:szCs w:val="24"/>
        </w:rPr>
        <w:t xml:space="preserve">. </w:t>
      </w:r>
      <w:r w:rsidRPr="001A0D4F">
        <w:rPr>
          <w:rFonts w:ascii="Arial" w:hAnsi="Arial" w:cs="Arial"/>
          <w:sz w:val="24"/>
          <w:szCs w:val="24"/>
        </w:rPr>
        <w:t xml:space="preserve">Additionally, it will allow for the ACT Government to consider the Inquiry </w:t>
      </w:r>
      <w:proofErr w:type="gramStart"/>
      <w:r w:rsidRPr="001A0D4F">
        <w:rPr>
          <w:rFonts w:ascii="Arial" w:hAnsi="Arial" w:cs="Arial"/>
          <w:sz w:val="24"/>
          <w:szCs w:val="24"/>
        </w:rPr>
        <w:t>report, and</w:t>
      </w:r>
      <w:proofErr w:type="gramEnd"/>
      <w:r w:rsidRPr="001A0D4F">
        <w:rPr>
          <w:rFonts w:ascii="Arial" w:hAnsi="Arial" w:cs="Arial"/>
          <w:sz w:val="24"/>
          <w:szCs w:val="24"/>
        </w:rPr>
        <w:t xml:space="preserve"> respond to and implement appropriate recommendations.</w:t>
      </w:r>
    </w:p>
    <w:p w14:paraId="73BB3C46" w14:textId="769A6F26" w:rsidR="00F82C17" w:rsidRDefault="00F82C17" w:rsidP="00F82C17">
      <w:pPr>
        <w:pStyle w:val="Heading3"/>
      </w:pPr>
      <w:r w:rsidRPr="00ED3B77">
        <w:t xml:space="preserve">Clause </w:t>
      </w:r>
      <w:r>
        <w:t>7</w:t>
      </w:r>
      <w:r w:rsidRPr="00ED3B77">
        <w:tab/>
      </w:r>
      <w:r>
        <w:t>Payments out of diversification and sustainability support fund</w:t>
      </w:r>
    </w:p>
    <w:p w14:paraId="282AD57F" w14:textId="779B2730" w:rsidR="00F82C17" w:rsidRPr="00F82C17" w:rsidRDefault="00F82C17" w:rsidP="00F82C17">
      <w:pPr>
        <w:pStyle w:val="Heading3"/>
      </w:pPr>
      <w:r>
        <w:tab/>
      </w:r>
      <w:r>
        <w:tab/>
        <w:t>New section 163I (3) and (4)</w:t>
      </w:r>
    </w:p>
    <w:p w14:paraId="1945F317" w14:textId="5E9AD2E0" w:rsidR="00922397" w:rsidRDefault="00F82C17">
      <w:pPr>
        <w:rPr>
          <w:rFonts w:ascii="Arial" w:hAnsi="Arial" w:cs="Arial"/>
          <w:sz w:val="24"/>
          <w:szCs w:val="24"/>
        </w:rPr>
      </w:pPr>
      <w:r>
        <w:rPr>
          <w:rFonts w:ascii="Arial" w:hAnsi="Arial" w:cs="Arial"/>
          <w:sz w:val="24"/>
          <w:szCs w:val="24"/>
        </w:rPr>
        <w:t xml:space="preserve">Section 163I authorises the director-general to make a payment out of the DSSF if an application for the payment has been made, </w:t>
      </w:r>
      <w:r w:rsidR="00246327">
        <w:rPr>
          <w:rFonts w:ascii="Arial" w:hAnsi="Arial" w:cs="Arial"/>
          <w:sz w:val="24"/>
          <w:szCs w:val="24"/>
        </w:rPr>
        <w:t>for a purpose mentioned in section 163F (2)</w:t>
      </w:r>
      <w:r w:rsidR="0094021F">
        <w:rPr>
          <w:rFonts w:ascii="Arial" w:hAnsi="Arial" w:cs="Arial"/>
          <w:sz w:val="24"/>
          <w:szCs w:val="24"/>
        </w:rPr>
        <w:t xml:space="preserve"> of the Gaming Machine Act</w:t>
      </w:r>
      <w:r>
        <w:rPr>
          <w:rFonts w:ascii="Arial" w:hAnsi="Arial" w:cs="Arial"/>
          <w:sz w:val="24"/>
          <w:szCs w:val="24"/>
        </w:rPr>
        <w:t>, and on Ministerial direction after the Minister has consulted with the DSSF Advisory Board in relation to the payment.</w:t>
      </w:r>
    </w:p>
    <w:p w14:paraId="2C4980A1" w14:textId="7510DA0E" w:rsidR="00246327" w:rsidRDefault="00246327" w:rsidP="00F82C17">
      <w:pPr>
        <w:rPr>
          <w:rFonts w:ascii="Arial" w:hAnsi="Arial" w:cs="Arial"/>
          <w:sz w:val="24"/>
          <w:szCs w:val="24"/>
        </w:rPr>
      </w:pPr>
      <w:r>
        <w:rPr>
          <w:rFonts w:ascii="Arial" w:hAnsi="Arial" w:cs="Arial"/>
          <w:sz w:val="24"/>
          <w:szCs w:val="24"/>
        </w:rPr>
        <w:t xml:space="preserve">This clause inserts new subsection (3), which prohibits the director-general from making a payment out of the DSSF for any applications made </w:t>
      </w:r>
      <w:r w:rsidR="005E4D6C">
        <w:rPr>
          <w:rFonts w:ascii="Arial" w:hAnsi="Arial" w:cs="Arial"/>
          <w:sz w:val="24"/>
          <w:szCs w:val="24"/>
        </w:rPr>
        <w:t>during</w:t>
      </w:r>
      <w:r>
        <w:rPr>
          <w:rFonts w:ascii="Arial" w:hAnsi="Arial" w:cs="Arial"/>
          <w:sz w:val="24"/>
          <w:szCs w:val="24"/>
        </w:rPr>
        <w:t xml:space="preserve"> a two-year period. The two-year period will commence by Ministerial notice</w:t>
      </w:r>
      <w:r w:rsidR="00855581">
        <w:rPr>
          <w:rFonts w:ascii="Arial" w:hAnsi="Arial" w:cs="Arial"/>
          <w:sz w:val="24"/>
          <w:szCs w:val="24"/>
        </w:rPr>
        <w:t xml:space="preserve"> and will align with the two-year period as under clause 6</w:t>
      </w:r>
      <w:r>
        <w:rPr>
          <w:rFonts w:ascii="Arial" w:hAnsi="Arial" w:cs="Arial"/>
          <w:sz w:val="24"/>
          <w:szCs w:val="24"/>
        </w:rPr>
        <w:t>.</w:t>
      </w:r>
    </w:p>
    <w:p w14:paraId="3AED5B30" w14:textId="1B7F6A85" w:rsidR="00F82C17" w:rsidRDefault="000059A6" w:rsidP="00F82C17">
      <w:pPr>
        <w:rPr>
          <w:rFonts w:ascii="Arial" w:hAnsi="Arial" w:cs="Arial"/>
          <w:sz w:val="24"/>
          <w:szCs w:val="24"/>
        </w:rPr>
      </w:pPr>
      <w:r>
        <w:rPr>
          <w:rFonts w:ascii="Arial" w:hAnsi="Arial" w:cs="Arial"/>
          <w:sz w:val="24"/>
          <w:szCs w:val="24"/>
        </w:rPr>
        <w:t xml:space="preserve">Applications </w:t>
      </w:r>
      <w:r w:rsidR="005E4D6C">
        <w:rPr>
          <w:rFonts w:ascii="Arial" w:hAnsi="Arial" w:cs="Arial"/>
          <w:sz w:val="24"/>
          <w:szCs w:val="24"/>
        </w:rPr>
        <w:t xml:space="preserve">made before the two-year </w:t>
      </w:r>
      <w:r w:rsidR="00855581">
        <w:rPr>
          <w:rFonts w:ascii="Arial" w:hAnsi="Arial" w:cs="Arial"/>
          <w:sz w:val="24"/>
          <w:szCs w:val="24"/>
        </w:rPr>
        <w:t xml:space="preserve">period </w:t>
      </w:r>
      <w:r w:rsidR="005E4D6C">
        <w:rPr>
          <w:rFonts w:ascii="Arial" w:hAnsi="Arial" w:cs="Arial"/>
          <w:sz w:val="24"/>
          <w:szCs w:val="24"/>
        </w:rPr>
        <w:t xml:space="preserve">commences </w:t>
      </w:r>
      <w:r>
        <w:rPr>
          <w:rFonts w:ascii="Arial" w:hAnsi="Arial" w:cs="Arial"/>
          <w:sz w:val="24"/>
          <w:szCs w:val="24"/>
        </w:rPr>
        <w:t>are still able to be considered</w:t>
      </w:r>
      <w:r w:rsidR="00855581">
        <w:rPr>
          <w:rFonts w:ascii="Arial" w:hAnsi="Arial" w:cs="Arial"/>
          <w:sz w:val="24"/>
          <w:szCs w:val="24"/>
        </w:rPr>
        <w:t xml:space="preserve"> by the DSSF Advisory Board</w:t>
      </w:r>
      <w:r w:rsidR="005E4D6C">
        <w:rPr>
          <w:rFonts w:ascii="Arial" w:hAnsi="Arial" w:cs="Arial"/>
          <w:sz w:val="24"/>
          <w:szCs w:val="24"/>
        </w:rPr>
        <w:t xml:space="preserve"> after the two-year </w:t>
      </w:r>
      <w:r w:rsidR="00855581">
        <w:rPr>
          <w:rFonts w:ascii="Arial" w:hAnsi="Arial" w:cs="Arial"/>
          <w:sz w:val="24"/>
          <w:szCs w:val="24"/>
        </w:rPr>
        <w:t xml:space="preserve">period </w:t>
      </w:r>
      <w:r w:rsidR="005E4D6C">
        <w:rPr>
          <w:rFonts w:ascii="Arial" w:hAnsi="Arial" w:cs="Arial"/>
          <w:sz w:val="24"/>
          <w:szCs w:val="24"/>
        </w:rPr>
        <w:t>commences</w:t>
      </w:r>
      <w:r>
        <w:rPr>
          <w:rFonts w:ascii="Arial" w:hAnsi="Arial" w:cs="Arial"/>
          <w:sz w:val="24"/>
          <w:szCs w:val="24"/>
        </w:rPr>
        <w:t xml:space="preserve">, and payments may be made if the application </w:t>
      </w:r>
      <w:r w:rsidR="00855581">
        <w:rPr>
          <w:rFonts w:ascii="Arial" w:hAnsi="Arial" w:cs="Arial"/>
          <w:sz w:val="24"/>
          <w:szCs w:val="24"/>
        </w:rPr>
        <w:t xml:space="preserve">is </w:t>
      </w:r>
      <w:proofErr w:type="gramStart"/>
      <w:r w:rsidR="005E4D6C">
        <w:rPr>
          <w:rFonts w:ascii="Arial" w:hAnsi="Arial" w:cs="Arial"/>
          <w:sz w:val="24"/>
          <w:szCs w:val="24"/>
        </w:rPr>
        <w:t>successful</w:t>
      </w:r>
      <w:proofErr w:type="gramEnd"/>
      <w:r w:rsidR="00855581">
        <w:rPr>
          <w:rFonts w:ascii="Arial" w:hAnsi="Arial" w:cs="Arial"/>
          <w:sz w:val="24"/>
          <w:szCs w:val="24"/>
        </w:rPr>
        <w:t xml:space="preserve"> and the Minister makes a direction under section 163I</w:t>
      </w:r>
      <w:r>
        <w:rPr>
          <w:rFonts w:ascii="Arial" w:hAnsi="Arial" w:cs="Arial"/>
          <w:sz w:val="24"/>
          <w:szCs w:val="24"/>
        </w:rPr>
        <w:t xml:space="preserve">. Applications submitted </w:t>
      </w:r>
      <w:r w:rsidR="00855581">
        <w:rPr>
          <w:rFonts w:ascii="Arial" w:hAnsi="Arial" w:cs="Arial"/>
          <w:sz w:val="24"/>
          <w:szCs w:val="24"/>
        </w:rPr>
        <w:t xml:space="preserve">during </w:t>
      </w:r>
      <w:r w:rsidR="005E4D6C">
        <w:rPr>
          <w:rFonts w:ascii="Arial" w:hAnsi="Arial" w:cs="Arial"/>
          <w:sz w:val="24"/>
          <w:szCs w:val="24"/>
        </w:rPr>
        <w:t>the</w:t>
      </w:r>
      <w:r>
        <w:rPr>
          <w:rFonts w:ascii="Arial" w:hAnsi="Arial" w:cs="Arial"/>
          <w:sz w:val="24"/>
          <w:szCs w:val="24"/>
        </w:rPr>
        <w:t xml:space="preserve"> two-year </w:t>
      </w:r>
      <w:r w:rsidR="00855581">
        <w:rPr>
          <w:rFonts w:ascii="Arial" w:hAnsi="Arial" w:cs="Arial"/>
          <w:sz w:val="24"/>
          <w:szCs w:val="24"/>
        </w:rPr>
        <w:t xml:space="preserve">period </w:t>
      </w:r>
      <w:r>
        <w:rPr>
          <w:rFonts w:ascii="Arial" w:hAnsi="Arial" w:cs="Arial"/>
          <w:sz w:val="24"/>
          <w:szCs w:val="24"/>
        </w:rPr>
        <w:t xml:space="preserve">cannot be considered and </w:t>
      </w:r>
      <w:r w:rsidR="005E4D6C">
        <w:rPr>
          <w:rFonts w:ascii="Arial" w:hAnsi="Arial" w:cs="Arial"/>
          <w:sz w:val="24"/>
          <w:szCs w:val="24"/>
        </w:rPr>
        <w:t>payments cannot be granted</w:t>
      </w:r>
      <w:r>
        <w:rPr>
          <w:rFonts w:ascii="Arial" w:hAnsi="Arial" w:cs="Arial"/>
          <w:sz w:val="24"/>
          <w:szCs w:val="24"/>
        </w:rPr>
        <w:t>.</w:t>
      </w:r>
    </w:p>
    <w:p w14:paraId="3B642E19" w14:textId="0226273E" w:rsidR="00246327" w:rsidRDefault="00246327" w:rsidP="00246327">
      <w:pPr>
        <w:rPr>
          <w:rFonts w:ascii="Arial" w:hAnsi="Arial" w:cs="Arial"/>
          <w:sz w:val="24"/>
          <w:szCs w:val="24"/>
        </w:rPr>
      </w:pPr>
      <w:r>
        <w:rPr>
          <w:rFonts w:ascii="Arial" w:hAnsi="Arial" w:cs="Arial"/>
          <w:sz w:val="24"/>
          <w:szCs w:val="24"/>
        </w:rPr>
        <w:t>This clause also inserts new subsection (4), which repeals subsections (</w:t>
      </w:r>
      <w:r w:rsidR="005E4D6C">
        <w:rPr>
          <w:rFonts w:ascii="Arial" w:hAnsi="Arial" w:cs="Arial"/>
          <w:sz w:val="24"/>
          <w:szCs w:val="24"/>
        </w:rPr>
        <w:t>3</w:t>
      </w:r>
      <w:r>
        <w:rPr>
          <w:rFonts w:ascii="Arial" w:hAnsi="Arial" w:cs="Arial"/>
          <w:sz w:val="24"/>
          <w:szCs w:val="24"/>
        </w:rPr>
        <w:t xml:space="preserve">) and (4) three years after their commencement, as the two-year pause is intended </w:t>
      </w:r>
      <w:r w:rsidR="00855581">
        <w:rPr>
          <w:rFonts w:ascii="Arial" w:hAnsi="Arial" w:cs="Arial"/>
          <w:sz w:val="24"/>
          <w:szCs w:val="24"/>
        </w:rPr>
        <w:t xml:space="preserve">to be </w:t>
      </w:r>
      <w:r>
        <w:rPr>
          <w:rFonts w:ascii="Arial" w:hAnsi="Arial" w:cs="Arial"/>
          <w:sz w:val="24"/>
          <w:szCs w:val="24"/>
        </w:rPr>
        <w:t xml:space="preserve">temporary. As per section 84 of the </w:t>
      </w:r>
      <w:r w:rsidRPr="00026B43">
        <w:rPr>
          <w:rFonts w:ascii="Arial" w:hAnsi="Arial" w:cs="Arial"/>
          <w:i/>
          <w:iCs/>
          <w:sz w:val="24"/>
          <w:szCs w:val="24"/>
        </w:rPr>
        <w:t>Legislation Act 2001</w:t>
      </w:r>
      <w:r>
        <w:rPr>
          <w:rFonts w:ascii="Arial" w:hAnsi="Arial" w:cs="Arial"/>
          <w:sz w:val="24"/>
          <w:szCs w:val="24"/>
        </w:rPr>
        <w:t xml:space="preserve">, </w:t>
      </w:r>
      <w:r w:rsidRPr="00026B43">
        <w:rPr>
          <w:rFonts w:ascii="Arial" w:hAnsi="Arial" w:cs="Arial"/>
          <w:sz w:val="24"/>
          <w:szCs w:val="24"/>
        </w:rPr>
        <w:t>the repeal of a law does not</w:t>
      </w:r>
      <w:r>
        <w:rPr>
          <w:rFonts w:ascii="Arial" w:hAnsi="Arial" w:cs="Arial"/>
          <w:sz w:val="24"/>
          <w:szCs w:val="24"/>
        </w:rPr>
        <w:t>:</w:t>
      </w:r>
    </w:p>
    <w:p w14:paraId="0D495824" w14:textId="0CBC2E79" w:rsidR="00246327" w:rsidRDefault="00246327" w:rsidP="00246327">
      <w:pPr>
        <w:pStyle w:val="ListParagraph"/>
        <w:numPr>
          <w:ilvl w:val="0"/>
          <w:numId w:val="13"/>
        </w:numPr>
        <w:rPr>
          <w:rFonts w:ascii="Arial" w:hAnsi="Arial" w:cs="Arial"/>
          <w:sz w:val="24"/>
          <w:szCs w:val="24"/>
        </w:rPr>
      </w:pPr>
      <w:r w:rsidRPr="00026B43">
        <w:rPr>
          <w:rFonts w:ascii="Arial" w:hAnsi="Arial" w:cs="Arial"/>
          <w:sz w:val="24"/>
          <w:szCs w:val="24"/>
        </w:rPr>
        <w:t xml:space="preserve">revive anything not in force </w:t>
      </w:r>
      <w:r>
        <w:rPr>
          <w:rFonts w:ascii="Arial" w:hAnsi="Arial" w:cs="Arial"/>
          <w:sz w:val="24"/>
          <w:szCs w:val="24"/>
        </w:rPr>
        <w:t xml:space="preserve">or existing </w:t>
      </w:r>
      <w:r w:rsidRPr="00026B43">
        <w:rPr>
          <w:rFonts w:ascii="Arial" w:hAnsi="Arial" w:cs="Arial"/>
          <w:sz w:val="24"/>
          <w:szCs w:val="24"/>
        </w:rPr>
        <w:t>when the repeal takes effect</w:t>
      </w:r>
    </w:p>
    <w:p w14:paraId="51C71580" w14:textId="2A4F8D3C" w:rsidR="00246327" w:rsidRDefault="00246327" w:rsidP="00246327">
      <w:pPr>
        <w:pStyle w:val="ListParagraph"/>
        <w:numPr>
          <w:ilvl w:val="0"/>
          <w:numId w:val="13"/>
        </w:numPr>
        <w:rPr>
          <w:rFonts w:ascii="Arial" w:hAnsi="Arial" w:cs="Arial"/>
          <w:sz w:val="24"/>
          <w:szCs w:val="24"/>
        </w:rPr>
      </w:pPr>
      <w:r w:rsidRPr="00026B43">
        <w:rPr>
          <w:rFonts w:ascii="Arial" w:hAnsi="Arial" w:cs="Arial"/>
          <w:sz w:val="24"/>
          <w:szCs w:val="24"/>
        </w:rPr>
        <w:t xml:space="preserve">affect the previous operation of the law or </w:t>
      </w:r>
      <w:r>
        <w:rPr>
          <w:rFonts w:ascii="Arial" w:hAnsi="Arial" w:cs="Arial"/>
          <w:sz w:val="24"/>
          <w:szCs w:val="24"/>
        </w:rPr>
        <w:t>anything done, begun or suffered under the law</w:t>
      </w:r>
    </w:p>
    <w:p w14:paraId="5D90A0B9" w14:textId="77777777" w:rsidR="00246327" w:rsidRPr="00026B43" w:rsidRDefault="00246327" w:rsidP="00246327">
      <w:pPr>
        <w:pStyle w:val="ListParagraph"/>
        <w:numPr>
          <w:ilvl w:val="0"/>
          <w:numId w:val="13"/>
        </w:numPr>
        <w:spacing w:after="200" w:line="276" w:lineRule="auto"/>
        <w:ind w:left="788" w:hanging="357"/>
        <w:rPr>
          <w:rFonts w:ascii="Arial" w:hAnsi="Arial" w:cs="Arial"/>
          <w:sz w:val="24"/>
          <w:szCs w:val="24"/>
        </w:rPr>
      </w:pPr>
      <w:r w:rsidRPr="00026B43">
        <w:rPr>
          <w:rFonts w:ascii="Arial" w:hAnsi="Arial" w:cs="Arial"/>
          <w:sz w:val="24"/>
          <w:szCs w:val="24"/>
        </w:rPr>
        <w:lastRenderedPageBreak/>
        <w:t xml:space="preserve">affect an existing right, privilege or liability </w:t>
      </w:r>
      <w:r>
        <w:rPr>
          <w:rFonts w:ascii="Arial" w:hAnsi="Arial" w:cs="Arial"/>
          <w:sz w:val="24"/>
          <w:szCs w:val="24"/>
        </w:rPr>
        <w:t xml:space="preserve">acquired, </w:t>
      </w:r>
      <w:r w:rsidRPr="00026B43">
        <w:rPr>
          <w:rFonts w:ascii="Arial" w:hAnsi="Arial" w:cs="Arial"/>
          <w:sz w:val="24"/>
          <w:szCs w:val="24"/>
        </w:rPr>
        <w:t xml:space="preserve">accrued </w:t>
      </w:r>
      <w:r>
        <w:rPr>
          <w:rFonts w:ascii="Arial" w:hAnsi="Arial" w:cs="Arial"/>
          <w:sz w:val="24"/>
          <w:szCs w:val="24"/>
        </w:rPr>
        <w:t xml:space="preserve">or incurred </w:t>
      </w:r>
      <w:r w:rsidRPr="00026B43">
        <w:rPr>
          <w:rFonts w:ascii="Arial" w:hAnsi="Arial" w:cs="Arial"/>
          <w:sz w:val="24"/>
          <w:szCs w:val="24"/>
        </w:rPr>
        <w:t>under the law.</w:t>
      </w:r>
    </w:p>
    <w:p w14:paraId="252AAACF" w14:textId="6EF6BCDA" w:rsidR="00F82C17" w:rsidRPr="00361F71" w:rsidRDefault="00246327" w:rsidP="00246327">
      <w:pPr>
        <w:rPr>
          <w:rFonts w:ascii="Arial" w:hAnsi="Arial" w:cs="Arial"/>
          <w:sz w:val="24"/>
          <w:szCs w:val="24"/>
        </w:rPr>
      </w:pPr>
      <w:r w:rsidRPr="001A0D4F">
        <w:rPr>
          <w:rFonts w:ascii="Arial" w:hAnsi="Arial" w:cs="Arial"/>
          <w:sz w:val="24"/>
          <w:szCs w:val="24"/>
        </w:rPr>
        <w:t xml:space="preserve">The intent of </w:t>
      </w:r>
      <w:r>
        <w:rPr>
          <w:rFonts w:ascii="Arial" w:hAnsi="Arial" w:cs="Arial"/>
          <w:sz w:val="24"/>
          <w:szCs w:val="24"/>
        </w:rPr>
        <w:t>this amendment</w:t>
      </w:r>
      <w:r w:rsidRPr="001A0D4F">
        <w:rPr>
          <w:rFonts w:ascii="Arial" w:hAnsi="Arial" w:cs="Arial"/>
          <w:sz w:val="24"/>
          <w:szCs w:val="24"/>
        </w:rPr>
        <w:t xml:space="preserve"> is to ensure that </w:t>
      </w:r>
      <w:r w:rsidR="00855581">
        <w:rPr>
          <w:rFonts w:ascii="Arial" w:hAnsi="Arial" w:cs="Arial"/>
          <w:sz w:val="24"/>
          <w:szCs w:val="24"/>
        </w:rPr>
        <w:t>payments out of</w:t>
      </w:r>
      <w:r>
        <w:rPr>
          <w:rFonts w:ascii="Arial" w:hAnsi="Arial" w:cs="Arial"/>
          <w:sz w:val="24"/>
          <w:szCs w:val="24"/>
        </w:rPr>
        <w:t xml:space="preserve"> </w:t>
      </w:r>
      <w:r w:rsidRPr="001A0D4F">
        <w:rPr>
          <w:rFonts w:ascii="Arial" w:hAnsi="Arial" w:cs="Arial"/>
          <w:sz w:val="24"/>
          <w:szCs w:val="24"/>
        </w:rPr>
        <w:t>the DSSF are paused while the Inquiry consider</w:t>
      </w:r>
      <w:r>
        <w:rPr>
          <w:rFonts w:ascii="Arial" w:hAnsi="Arial" w:cs="Arial"/>
          <w:sz w:val="24"/>
          <w:szCs w:val="24"/>
        </w:rPr>
        <w:t>s</w:t>
      </w:r>
      <w:r w:rsidRPr="001A0D4F">
        <w:rPr>
          <w:rFonts w:ascii="Arial" w:hAnsi="Arial" w:cs="Arial"/>
          <w:sz w:val="24"/>
          <w:szCs w:val="24"/>
        </w:rPr>
        <w:t xml:space="preserve"> the operation and effectiveness of the DSSF</w:t>
      </w:r>
      <w:r>
        <w:rPr>
          <w:rFonts w:ascii="Arial" w:hAnsi="Arial" w:cs="Arial"/>
          <w:sz w:val="24"/>
          <w:szCs w:val="24"/>
        </w:rPr>
        <w:t xml:space="preserve">. </w:t>
      </w:r>
      <w:r w:rsidRPr="001A0D4F">
        <w:rPr>
          <w:rFonts w:ascii="Arial" w:hAnsi="Arial" w:cs="Arial"/>
          <w:sz w:val="24"/>
          <w:szCs w:val="24"/>
        </w:rPr>
        <w:t xml:space="preserve">Additionally, it will allow for the ACT Government to consider the Inquiry </w:t>
      </w:r>
      <w:proofErr w:type="gramStart"/>
      <w:r w:rsidRPr="001A0D4F">
        <w:rPr>
          <w:rFonts w:ascii="Arial" w:hAnsi="Arial" w:cs="Arial"/>
          <w:sz w:val="24"/>
          <w:szCs w:val="24"/>
        </w:rPr>
        <w:t>report, and</w:t>
      </w:r>
      <w:proofErr w:type="gramEnd"/>
      <w:r w:rsidRPr="001A0D4F">
        <w:rPr>
          <w:rFonts w:ascii="Arial" w:hAnsi="Arial" w:cs="Arial"/>
          <w:sz w:val="24"/>
          <w:szCs w:val="24"/>
        </w:rPr>
        <w:t xml:space="preserve"> respond to and implement appropriate recommendations</w:t>
      </w:r>
      <w:r>
        <w:rPr>
          <w:rFonts w:ascii="Arial" w:hAnsi="Arial" w:cs="Arial"/>
          <w:sz w:val="24"/>
          <w:szCs w:val="24"/>
        </w:rPr>
        <w:t>.</w:t>
      </w:r>
    </w:p>
    <w:sectPr w:rsidR="00F82C17" w:rsidRPr="00361F71">
      <w:footerReference w:type="default" r:id="rId14"/>
      <w:footerReference w:type="first" r:id="rId15"/>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FF30" w14:textId="77777777" w:rsidR="00236C99" w:rsidRDefault="00236C99" w:rsidP="00E90DF9">
      <w:pPr>
        <w:spacing w:after="0" w:line="240" w:lineRule="auto"/>
      </w:pPr>
      <w:r>
        <w:separator/>
      </w:r>
    </w:p>
  </w:endnote>
  <w:endnote w:type="continuationSeparator" w:id="0">
    <w:p w14:paraId="5CFC3E9B" w14:textId="77777777" w:rsidR="00236C99" w:rsidRDefault="00236C99"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8834" w14:textId="77777777" w:rsidR="00A50DA6" w:rsidRDefault="00A50DA6" w:rsidP="00A50DA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C337EDD" w14:textId="77777777" w:rsidR="00A50DA6" w:rsidRDefault="00A50DA6">
    <w:pPr>
      <w:pStyle w:val="Footer"/>
      <w:spacing w:before="60" w:line="240" w:lineRule="auto"/>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4635E5D" w14:textId="77777777" w:rsidR="00A50DA6" w:rsidRDefault="00A50D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93E5" w14:textId="77777777" w:rsidR="00236C99" w:rsidRDefault="00236C99" w:rsidP="00E90DF9">
      <w:pPr>
        <w:spacing w:after="0" w:line="240" w:lineRule="auto"/>
      </w:pPr>
      <w:r>
        <w:separator/>
      </w:r>
    </w:p>
  </w:footnote>
  <w:footnote w:type="continuationSeparator" w:id="0">
    <w:p w14:paraId="4A85A60B" w14:textId="77777777" w:rsidR="00236C99" w:rsidRDefault="00236C99"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716" w14:textId="6F9277DC" w:rsidR="00A50DA6" w:rsidRPr="00A50DA6" w:rsidRDefault="00A50DA6" w:rsidP="00A50DA6">
    <w:pPr>
      <w:pStyle w:val="Header"/>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910875"/>
    <w:multiLevelType w:val="hybridMultilevel"/>
    <w:tmpl w:val="65946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45FE1"/>
    <w:multiLevelType w:val="hybridMultilevel"/>
    <w:tmpl w:val="265AA4C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 w15:restartNumberingAfterBreak="0">
    <w:nsid w:val="16EA548E"/>
    <w:multiLevelType w:val="hybridMultilevel"/>
    <w:tmpl w:val="1D222AF0"/>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 w15:restartNumberingAfterBreak="0">
    <w:nsid w:val="29247549"/>
    <w:multiLevelType w:val="hybridMultilevel"/>
    <w:tmpl w:val="9BAA654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30753781"/>
    <w:multiLevelType w:val="hybridMultilevel"/>
    <w:tmpl w:val="EEB4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A85668"/>
    <w:multiLevelType w:val="hybridMultilevel"/>
    <w:tmpl w:val="2C307E34"/>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73054C"/>
    <w:multiLevelType w:val="hybridMultilevel"/>
    <w:tmpl w:val="D78CD68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9" w15:restartNumberingAfterBreak="0">
    <w:nsid w:val="4C872CD1"/>
    <w:multiLevelType w:val="hybridMultilevel"/>
    <w:tmpl w:val="10088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DE2746"/>
    <w:multiLevelType w:val="hybridMultilevel"/>
    <w:tmpl w:val="BB6EF3E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1" w15:restartNumberingAfterBreak="0">
    <w:nsid w:val="5C851B95"/>
    <w:multiLevelType w:val="hybridMultilevel"/>
    <w:tmpl w:val="B5F063B0"/>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3B28CD"/>
    <w:multiLevelType w:val="hybridMultilevel"/>
    <w:tmpl w:val="E17AAF18"/>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B70648"/>
    <w:multiLevelType w:val="hybridMultilevel"/>
    <w:tmpl w:val="1D222A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815E75"/>
    <w:multiLevelType w:val="hybridMultilevel"/>
    <w:tmpl w:val="DBC24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836146392">
    <w:abstractNumId w:val="11"/>
  </w:num>
  <w:num w:numId="3" w16cid:durableId="248853826">
    <w:abstractNumId w:val="14"/>
  </w:num>
  <w:num w:numId="4" w16cid:durableId="866867613">
    <w:abstractNumId w:val="3"/>
  </w:num>
  <w:num w:numId="5" w16cid:durableId="894390244">
    <w:abstractNumId w:val="6"/>
  </w:num>
  <w:num w:numId="6" w16cid:durableId="1162351317">
    <w:abstractNumId w:val="4"/>
    <w:lvlOverride w:ilvl="0">
      <w:lvl w:ilvl="0">
        <w:start w:val="1"/>
        <w:numFmt w:val="decimal"/>
        <w:lvlText w:val="%1)"/>
        <w:lvlJc w:val="left"/>
        <w:pPr>
          <w:ind w:left="397" w:hanging="397"/>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7" w16cid:durableId="708801865">
    <w:abstractNumId w:val="13"/>
  </w:num>
  <w:num w:numId="8" w16cid:durableId="580650474">
    <w:abstractNumId w:val="1"/>
  </w:num>
  <w:num w:numId="9" w16cid:durableId="1595089610">
    <w:abstractNumId w:val="12"/>
  </w:num>
  <w:num w:numId="10" w16cid:durableId="188448303">
    <w:abstractNumId w:val="7"/>
  </w:num>
  <w:num w:numId="11" w16cid:durableId="1678455584">
    <w:abstractNumId w:val="2"/>
  </w:num>
  <w:num w:numId="12" w16cid:durableId="1775786355">
    <w:abstractNumId w:val="10"/>
  </w:num>
  <w:num w:numId="13" w16cid:durableId="1452431596">
    <w:abstractNumId w:val="5"/>
  </w:num>
  <w:num w:numId="14" w16cid:durableId="1582564824">
    <w:abstractNumId w:val="9"/>
  </w:num>
  <w:num w:numId="15" w16cid:durableId="56060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59A6"/>
    <w:rsid w:val="00007590"/>
    <w:rsid w:val="00011130"/>
    <w:rsid w:val="0002466E"/>
    <w:rsid w:val="00024795"/>
    <w:rsid w:val="00026B43"/>
    <w:rsid w:val="000313D5"/>
    <w:rsid w:val="00042AC5"/>
    <w:rsid w:val="00092707"/>
    <w:rsid w:val="0009390A"/>
    <w:rsid w:val="00096230"/>
    <w:rsid w:val="00096E8E"/>
    <w:rsid w:val="000B724C"/>
    <w:rsid w:val="000C15B2"/>
    <w:rsid w:val="000C7839"/>
    <w:rsid w:val="000D3987"/>
    <w:rsid w:val="000E109B"/>
    <w:rsid w:val="000F1146"/>
    <w:rsid w:val="001045E0"/>
    <w:rsid w:val="001129BD"/>
    <w:rsid w:val="00127FBB"/>
    <w:rsid w:val="00132635"/>
    <w:rsid w:val="001361F4"/>
    <w:rsid w:val="00146A77"/>
    <w:rsid w:val="00155138"/>
    <w:rsid w:val="00184DCD"/>
    <w:rsid w:val="00197830"/>
    <w:rsid w:val="001A0D4F"/>
    <w:rsid w:val="001A2736"/>
    <w:rsid w:val="001B3274"/>
    <w:rsid w:val="001C68DD"/>
    <w:rsid w:val="001D3014"/>
    <w:rsid w:val="001D56FA"/>
    <w:rsid w:val="001E725A"/>
    <w:rsid w:val="00203354"/>
    <w:rsid w:val="002162F4"/>
    <w:rsid w:val="002170DD"/>
    <w:rsid w:val="002273F9"/>
    <w:rsid w:val="00236C99"/>
    <w:rsid w:val="00246327"/>
    <w:rsid w:val="00251348"/>
    <w:rsid w:val="00253872"/>
    <w:rsid w:val="00265E84"/>
    <w:rsid w:val="00267E03"/>
    <w:rsid w:val="00272AD9"/>
    <w:rsid w:val="002917D9"/>
    <w:rsid w:val="002C2172"/>
    <w:rsid w:val="002E23F6"/>
    <w:rsid w:val="002E39CC"/>
    <w:rsid w:val="002F6959"/>
    <w:rsid w:val="00302B20"/>
    <w:rsid w:val="00305AB0"/>
    <w:rsid w:val="00305F5A"/>
    <w:rsid w:val="003527EC"/>
    <w:rsid w:val="00361F71"/>
    <w:rsid w:val="00370A21"/>
    <w:rsid w:val="00372222"/>
    <w:rsid w:val="003731AA"/>
    <w:rsid w:val="00376695"/>
    <w:rsid w:val="003812E1"/>
    <w:rsid w:val="003B00D6"/>
    <w:rsid w:val="003B1115"/>
    <w:rsid w:val="003B314A"/>
    <w:rsid w:val="003D5356"/>
    <w:rsid w:val="003F0006"/>
    <w:rsid w:val="003F4DAB"/>
    <w:rsid w:val="003F5901"/>
    <w:rsid w:val="003F7BD6"/>
    <w:rsid w:val="0040623F"/>
    <w:rsid w:val="00411B89"/>
    <w:rsid w:val="0041431A"/>
    <w:rsid w:val="004231BD"/>
    <w:rsid w:val="0042354B"/>
    <w:rsid w:val="004238DA"/>
    <w:rsid w:val="00426A50"/>
    <w:rsid w:val="00445CA7"/>
    <w:rsid w:val="00450776"/>
    <w:rsid w:val="00482ECE"/>
    <w:rsid w:val="00493372"/>
    <w:rsid w:val="004B043B"/>
    <w:rsid w:val="004C4E84"/>
    <w:rsid w:val="004C5758"/>
    <w:rsid w:val="004C5F77"/>
    <w:rsid w:val="004D39F6"/>
    <w:rsid w:val="004E556C"/>
    <w:rsid w:val="004F54C3"/>
    <w:rsid w:val="00500CA9"/>
    <w:rsid w:val="005055F4"/>
    <w:rsid w:val="005067D1"/>
    <w:rsid w:val="0051067E"/>
    <w:rsid w:val="00525C3C"/>
    <w:rsid w:val="00531C1D"/>
    <w:rsid w:val="0053399F"/>
    <w:rsid w:val="005441D7"/>
    <w:rsid w:val="00563116"/>
    <w:rsid w:val="005670DD"/>
    <w:rsid w:val="005706DC"/>
    <w:rsid w:val="00577EF4"/>
    <w:rsid w:val="00583B47"/>
    <w:rsid w:val="00584D96"/>
    <w:rsid w:val="00585B1F"/>
    <w:rsid w:val="0059747D"/>
    <w:rsid w:val="005A5FDA"/>
    <w:rsid w:val="005B047D"/>
    <w:rsid w:val="005B0897"/>
    <w:rsid w:val="005B11C4"/>
    <w:rsid w:val="005D2016"/>
    <w:rsid w:val="005E4D6C"/>
    <w:rsid w:val="005E74AF"/>
    <w:rsid w:val="005F0E90"/>
    <w:rsid w:val="00600E8B"/>
    <w:rsid w:val="00612A49"/>
    <w:rsid w:val="00613259"/>
    <w:rsid w:val="006274A4"/>
    <w:rsid w:val="0063639D"/>
    <w:rsid w:val="0064048E"/>
    <w:rsid w:val="006436FA"/>
    <w:rsid w:val="00664CEC"/>
    <w:rsid w:val="00672197"/>
    <w:rsid w:val="006916AB"/>
    <w:rsid w:val="00693F1C"/>
    <w:rsid w:val="00694DF0"/>
    <w:rsid w:val="006A47BB"/>
    <w:rsid w:val="006B33C5"/>
    <w:rsid w:val="006C0BD2"/>
    <w:rsid w:val="006C603A"/>
    <w:rsid w:val="006F6B59"/>
    <w:rsid w:val="006F770F"/>
    <w:rsid w:val="007242FD"/>
    <w:rsid w:val="007258C7"/>
    <w:rsid w:val="00743549"/>
    <w:rsid w:val="00771E00"/>
    <w:rsid w:val="007E7026"/>
    <w:rsid w:val="007E7C4F"/>
    <w:rsid w:val="007F4605"/>
    <w:rsid w:val="00802C8F"/>
    <w:rsid w:val="00803DCB"/>
    <w:rsid w:val="00810494"/>
    <w:rsid w:val="00844F62"/>
    <w:rsid w:val="008524DF"/>
    <w:rsid w:val="00855581"/>
    <w:rsid w:val="00860972"/>
    <w:rsid w:val="00861F96"/>
    <w:rsid w:val="00864F94"/>
    <w:rsid w:val="008B7478"/>
    <w:rsid w:val="008C648A"/>
    <w:rsid w:val="008D4A60"/>
    <w:rsid w:val="008D68A6"/>
    <w:rsid w:val="008E297A"/>
    <w:rsid w:val="008E5501"/>
    <w:rsid w:val="008E6BCB"/>
    <w:rsid w:val="009008DD"/>
    <w:rsid w:val="0090220B"/>
    <w:rsid w:val="009134F7"/>
    <w:rsid w:val="00917359"/>
    <w:rsid w:val="009209DF"/>
    <w:rsid w:val="00920B80"/>
    <w:rsid w:val="00922397"/>
    <w:rsid w:val="0094021F"/>
    <w:rsid w:val="00963468"/>
    <w:rsid w:val="00974925"/>
    <w:rsid w:val="00994D57"/>
    <w:rsid w:val="009C7983"/>
    <w:rsid w:val="009D4BC4"/>
    <w:rsid w:val="009E0822"/>
    <w:rsid w:val="009F3B9A"/>
    <w:rsid w:val="009F4EB7"/>
    <w:rsid w:val="00A01FF7"/>
    <w:rsid w:val="00A368BA"/>
    <w:rsid w:val="00A40907"/>
    <w:rsid w:val="00A41DAE"/>
    <w:rsid w:val="00A50DA6"/>
    <w:rsid w:val="00A53E70"/>
    <w:rsid w:val="00A578E5"/>
    <w:rsid w:val="00A67B4D"/>
    <w:rsid w:val="00A749B6"/>
    <w:rsid w:val="00A82D33"/>
    <w:rsid w:val="00AA6AD0"/>
    <w:rsid w:val="00AB2E56"/>
    <w:rsid w:val="00AC771F"/>
    <w:rsid w:val="00AD6477"/>
    <w:rsid w:val="00AD74F5"/>
    <w:rsid w:val="00AF0F6D"/>
    <w:rsid w:val="00AF3296"/>
    <w:rsid w:val="00AF50BF"/>
    <w:rsid w:val="00AF7D59"/>
    <w:rsid w:val="00B05C85"/>
    <w:rsid w:val="00B05EBD"/>
    <w:rsid w:val="00B10812"/>
    <w:rsid w:val="00B175AB"/>
    <w:rsid w:val="00B24476"/>
    <w:rsid w:val="00B25936"/>
    <w:rsid w:val="00B300AB"/>
    <w:rsid w:val="00B401C7"/>
    <w:rsid w:val="00B60F83"/>
    <w:rsid w:val="00B75837"/>
    <w:rsid w:val="00B802CB"/>
    <w:rsid w:val="00B80E8F"/>
    <w:rsid w:val="00BA0A16"/>
    <w:rsid w:val="00BA28E5"/>
    <w:rsid w:val="00BC428F"/>
    <w:rsid w:val="00BD53DF"/>
    <w:rsid w:val="00BE0B34"/>
    <w:rsid w:val="00BE1F26"/>
    <w:rsid w:val="00BE4842"/>
    <w:rsid w:val="00C03A74"/>
    <w:rsid w:val="00C04089"/>
    <w:rsid w:val="00C06344"/>
    <w:rsid w:val="00C07D1F"/>
    <w:rsid w:val="00C11EE5"/>
    <w:rsid w:val="00C25DFB"/>
    <w:rsid w:val="00C3465B"/>
    <w:rsid w:val="00C376CD"/>
    <w:rsid w:val="00C4053A"/>
    <w:rsid w:val="00C43F0A"/>
    <w:rsid w:val="00C520A9"/>
    <w:rsid w:val="00C53B08"/>
    <w:rsid w:val="00C62E31"/>
    <w:rsid w:val="00C831FA"/>
    <w:rsid w:val="00CD2D36"/>
    <w:rsid w:val="00CD4C95"/>
    <w:rsid w:val="00CE165A"/>
    <w:rsid w:val="00CE738A"/>
    <w:rsid w:val="00CF3704"/>
    <w:rsid w:val="00CF4FC6"/>
    <w:rsid w:val="00CF76B1"/>
    <w:rsid w:val="00D00857"/>
    <w:rsid w:val="00D03342"/>
    <w:rsid w:val="00D052F7"/>
    <w:rsid w:val="00D1008D"/>
    <w:rsid w:val="00D14607"/>
    <w:rsid w:val="00D4055E"/>
    <w:rsid w:val="00D63666"/>
    <w:rsid w:val="00D66E35"/>
    <w:rsid w:val="00D74ADF"/>
    <w:rsid w:val="00D87955"/>
    <w:rsid w:val="00DA2C64"/>
    <w:rsid w:val="00DA62D0"/>
    <w:rsid w:val="00DB4214"/>
    <w:rsid w:val="00DB5A6A"/>
    <w:rsid w:val="00DB7460"/>
    <w:rsid w:val="00DB781E"/>
    <w:rsid w:val="00DC252B"/>
    <w:rsid w:val="00DC270D"/>
    <w:rsid w:val="00DE46BB"/>
    <w:rsid w:val="00E07B57"/>
    <w:rsid w:val="00E12C1B"/>
    <w:rsid w:val="00E219AE"/>
    <w:rsid w:val="00E23F37"/>
    <w:rsid w:val="00E255E2"/>
    <w:rsid w:val="00E27EA4"/>
    <w:rsid w:val="00E34409"/>
    <w:rsid w:val="00E3617C"/>
    <w:rsid w:val="00E515B7"/>
    <w:rsid w:val="00E52D02"/>
    <w:rsid w:val="00E6674C"/>
    <w:rsid w:val="00E73967"/>
    <w:rsid w:val="00E75C08"/>
    <w:rsid w:val="00E85A46"/>
    <w:rsid w:val="00E90DF9"/>
    <w:rsid w:val="00E97FA7"/>
    <w:rsid w:val="00EA2458"/>
    <w:rsid w:val="00EA5C6B"/>
    <w:rsid w:val="00EB2027"/>
    <w:rsid w:val="00EB605A"/>
    <w:rsid w:val="00EF14BA"/>
    <w:rsid w:val="00F012CB"/>
    <w:rsid w:val="00F01FAF"/>
    <w:rsid w:val="00F026C3"/>
    <w:rsid w:val="00F040C1"/>
    <w:rsid w:val="00F043C6"/>
    <w:rsid w:val="00F10D72"/>
    <w:rsid w:val="00F17297"/>
    <w:rsid w:val="00F31BEE"/>
    <w:rsid w:val="00F33943"/>
    <w:rsid w:val="00F3593D"/>
    <w:rsid w:val="00F40FDA"/>
    <w:rsid w:val="00F444FB"/>
    <w:rsid w:val="00F66006"/>
    <w:rsid w:val="00F674AD"/>
    <w:rsid w:val="00F80429"/>
    <w:rsid w:val="00F82C17"/>
    <w:rsid w:val="00F82C81"/>
    <w:rsid w:val="00F85821"/>
    <w:rsid w:val="00F87FE6"/>
    <w:rsid w:val="00F92034"/>
    <w:rsid w:val="00FA3956"/>
    <w:rsid w:val="00FB2AF8"/>
    <w:rsid w:val="00FC7F04"/>
    <w:rsid w:val="00FF10F6"/>
    <w:rsid w:val="00FF5AA6"/>
    <w:rsid w:val="00FF6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A4645C88-AA3E-4B3F-A942-8E92880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character" w:styleId="CommentReference">
    <w:name w:val="annotation reference"/>
    <w:basedOn w:val="DefaultParagraphFont"/>
    <w:semiHidden/>
    <w:unhideWhenUsed/>
    <w:rsid w:val="0064048E"/>
    <w:rPr>
      <w:sz w:val="16"/>
      <w:szCs w:val="16"/>
    </w:rPr>
  </w:style>
  <w:style w:type="paragraph" w:styleId="CommentText">
    <w:name w:val="annotation text"/>
    <w:basedOn w:val="Normal"/>
    <w:link w:val="CommentTextChar"/>
    <w:unhideWhenUsed/>
    <w:rsid w:val="0064048E"/>
    <w:pPr>
      <w:spacing w:before="120" w:after="120" w:line="240" w:lineRule="auto"/>
    </w:pPr>
    <w:rPr>
      <w:rFonts w:eastAsia="Calibri"/>
      <w:sz w:val="20"/>
      <w:szCs w:val="20"/>
    </w:rPr>
  </w:style>
  <w:style w:type="character" w:customStyle="1" w:styleId="CommentTextChar">
    <w:name w:val="Comment Text Char"/>
    <w:basedOn w:val="DefaultParagraphFont"/>
    <w:link w:val="CommentText"/>
    <w:uiPriority w:val="99"/>
    <w:rsid w:val="0064048E"/>
    <w:rPr>
      <w:rFonts w:ascii="Calibri" w:eastAsia="Calibri" w:hAnsi="Calibri" w:cs="Times New Roman"/>
      <w:kern w:val="0"/>
      <w:sz w:val="20"/>
      <w:szCs w:val="20"/>
      <w14:ligatures w14:val="none"/>
    </w:rPr>
  </w:style>
  <w:style w:type="paragraph" w:customStyle="1" w:styleId="Sub-subheading20">
    <w:name w:val="Sub-sub heading 2.0"/>
    <w:basedOn w:val="Normal"/>
    <w:link w:val="Sub-subheading20Char"/>
    <w:qFormat/>
    <w:rsid w:val="003F4DAB"/>
    <w:pPr>
      <w:spacing w:before="120" w:after="120"/>
    </w:pPr>
    <w:rPr>
      <w:rFonts w:eastAsia="Calibri"/>
      <w:sz w:val="24"/>
      <w:u w:val="single"/>
    </w:rPr>
  </w:style>
  <w:style w:type="character" w:customStyle="1" w:styleId="Sub-subheading20Char">
    <w:name w:val="Sub-sub heading 2.0 Char"/>
    <w:basedOn w:val="DefaultParagraphFont"/>
    <w:link w:val="Sub-subheading20"/>
    <w:rsid w:val="003F4DAB"/>
    <w:rPr>
      <w:rFonts w:ascii="Calibri" w:eastAsia="Calibri" w:hAnsi="Calibri" w:cs="Times New Roman"/>
      <w:kern w:val="0"/>
      <w:sz w:val="24"/>
      <w:u w:val="single"/>
      <w14:ligatures w14:val="none"/>
    </w:rPr>
  </w:style>
  <w:style w:type="paragraph" w:customStyle="1" w:styleId="Paragraphtext">
    <w:name w:val="Paragraph text"/>
    <w:basedOn w:val="Normal"/>
    <w:link w:val="ParagraphtextChar"/>
    <w:qFormat/>
    <w:rsid w:val="00155138"/>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55138"/>
    <w:rPr>
      <w:rFonts w:ascii="Calibri" w:eastAsia="Calibri" w:hAnsi="Calibri" w:cs="Times New Roman"/>
      <w:color w:val="000000" w:themeColor="text1"/>
      <w:kern w:val="0"/>
      <w:sz w:val="24"/>
      <w14:ligatures w14:val="none"/>
    </w:rPr>
  </w:style>
  <w:style w:type="paragraph" w:styleId="CommentSubject">
    <w:name w:val="annotation subject"/>
    <w:basedOn w:val="CommentText"/>
    <w:next w:val="CommentText"/>
    <w:link w:val="CommentSubjectChar"/>
    <w:uiPriority w:val="99"/>
    <w:semiHidden/>
    <w:unhideWhenUsed/>
    <w:rsid w:val="0063639D"/>
    <w:pPr>
      <w:spacing w:before="0" w:after="200"/>
    </w:pPr>
    <w:rPr>
      <w:rFonts w:eastAsia="Times New Roman"/>
      <w:b/>
      <w:bCs/>
    </w:rPr>
  </w:style>
  <w:style w:type="character" w:customStyle="1" w:styleId="CommentSubjectChar">
    <w:name w:val="Comment Subject Char"/>
    <w:basedOn w:val="CommentTextChar"/>
    <w:link w:val="CommentSubject"/>
    <w:uiPriority w:val="99"/>
    <w:semiHidden/>
    <w:rsid w:val="0063639D"/>
    <w:rPr>
      <w:rFonts w:ascii="Calibri" w:eastAsia="Times New Roman" w:hAnsi="Calibri" w:cs="Times New Roman"/>
      <w:b/>
      <w:bCs/>
      <w:kern w:val="0"/>
      <w:sz w:val="20"/>
      <w:szCs w:val="20"/>
      <w14:ligatures w14:val="none"/>
    </w:rPr>
  </w:style>
  <w:style w:type="paragraph" w:styleId="Revision">
    <w:name w:val="Revision"/>
    <w:hidden/>
    <w:uiPriority w:val="99"/>
    <w:semiHidden/>
    <w:rsid w:val="00BA28E5"/>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A5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A6"/>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237">
      <w:bodyDiv w:val="1"/>
      <w:marLeft w:val="0"/>
      <w:marRight w:val="0"/>
      <w:marTop w:val="0"/>
      <w:marBottom w:val="0"/>
      <w:divBdr>
        <w:top w:val="none" w:sz="0" w:space="0" w:color="auto"/>
        <w:left w:val="none" w:sz="0" w:space="0" w:color="auto"/>
        <w:bottom w:val="none" w:sz="0" w:space="0" w:color="auto"/>
        <w:right w:val="none" w:sz="0" w:space="0" w:color="auto"/>
      </w:divBdr>
    </w:div>
    <w:div w:id="13386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C1B72889-954A-4700-8151-8E2CBC94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10</Pages>
  <Words>3017</Words>
  <Characters>16503</Characters>
  <Application>Microsoft Office Word</Application>
  <DocSecurity>0</DocSecurity>
  <Lines>500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Heidke, Kim</cp:lastModifiedBy>
  <cp:revision>35</cp:revision>
  <dcterms:created xsi:type="dcterms:W3CDTF">2025-03-25T20:23:00Z</dcterms:created>
  <dcterms:modified xsi:type="dcterms:W3CDTF">2025-05-19T06:25:00Z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