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20E12" w14:textId="05B5366A" w:rsidR="00026751" w:rsidRPr="00026751" w:rsidRDefault="00026751" w:rsidP="00026751">
      <w:pPr>
        <w:jc w:val="center"/>
        <w:rPr>
          <w:rFonts w:ascii="Times New Roman" w:hAnsi="Times New Roman"/>
          <w:b/>
          <w:bCs/>
          <w:lang w:val="en-AU"/>
        </w:rPr>
      </w:pPr>
      <w:r w:rsidRPr="00026751">
        <w:rPr>
          <w:rFonts w:ascii="Times New Roman" w:hAnsi="Times New Roman"/>
          <w:b/>
          <w:bCs/>
          <w:noProof/>
          <w:lang w:val="en-AU"/>
        </w:rPr>
        <w:drawing>
          <wp:inline distT="0" distB="0" distL="0" distR="0" wp14:anchorId="09732977" wp14:editId="191D9020">
            <wp:extent cx="753110" cy="753110"/>
            <wp:effectExtent l="0" t="0" r="8890" b="8890"/>
            <wp:docPr id="105648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7B52B6C1" w14:textId="77777777" w:rsidR="00026751" w:rsidRPr="00026751" w:rsidRDefault="00026751" w:rsidP="00026751">
      <w:pPr>
        <w:keepNext/>
        <w:keepLines/>
        <w:spacing w:before="320"/>
        <w:jc w:val="center"/>
        <w:rPr>
          <w:rFonts w:ascii="Calibri" w:hAnsi="Calibri"/>
          <w:b/>
          <w:bCs/>
          <w:sz w:val="32"/>
          <w:szCs w:val="32"/>
          <w:lang w:val="en-AU"/>
        </w:rPr>
      </w:pPr>
      <w:r w:rsidRPr="00026751">
        <w:rPr>
          <w:rFonts w:ascii="Calibri" w:hAnsi="Calibri"/>
          <w:b/>
          <w:bCs/>
          <w:sz w:val="32"/>
          <w:szCs w:val="32"/>
          <w:lang w:val="en-AU"/>
        </w:rPr>
        <w:t>LEGISLATIVE ASSEMBLY FOR THE</w:t>
      </w:r>
    </w:p>
    <w:p w14:paraId="2F3A11BC" w14:textId="77777777" w:rsidR="00026751" w:rsidRPr="00026751" w:rsidRDefault="00026751" w:rsidP="00026751">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026751">
            <w:rPr>
              <w:rFonts w:ascii="Calibri" w:hAnsi="Calibri"/>
              <w:b/>
              <w:bCs/>
              <w:sz w:val="32"/>
              <w:szCs w:val="32"/>
              <w:lang w:val="en-AU"/>
            </w:rPr>
            <w:t>AUSTRALIAN CAPITAL TERRITORY</w:t>
          </w:r>
        </w:smartTag>
      </w:smartTag>
    </w:p>
    <w:p w14:paraId="61C72A71" w14:textId="77777777" w:rsidR="00026751" w:rsidRPr="00026751" w:rsidRDefault="00026751" w:rsidP="0030375C">
      <w:pPr>
        <w:spacing w:before="240"/>
        <w:jc w:val="center"/>
        <w:rPr>
          <w:rFonts w:ascii="Calibri" w:hAnsi="Calibri"/>
          <w:b/>
          <w:sz w:val="28"/>
          <w:szCs w:val="28"/>
        </w:rPr>
      </w:pPr>
      <w:r w:rsidRPr="00026751">
        <w:rPr>
          <w:rFonts w:ascii="Calibri" w:hAnsi="Calibri"/>
          <w:b/>
          <w:sz w:val="28"/>
          <w:szCs w:val="28"/>
        </w:rPr>
        <w:t xml:space="preserve">2020–2021–2022–2023–2024 </w:t>
      </w:r>
    </w:p>
    <w:p w14:paraId="30B42664" w14:textId="77777777" w:rsidR="00026751" w:rsidRPr="00026751" w:rsidRDefault="00026751" w:rsidP="0030375C">
      <w:pPr>
        <w:keepNext/>
        <w:keepLines/>
        <w:spacing w:before="240"/>
        <w:jc w:val="center"/>
        <w:rPr>
          <w:rFonts w:ascii="Calibri" w:hAnsi="Calibri"/>
          <w:b/>
          <w:sz w:val="40"/>
          <w:szCs w:val="40"/>
          <w:lang w:val="en-AU"/>
        </w:rPr>
      </w:pPr>
      <w:r w:rsidRPr="00026751">
        <w:rPr>
          <w:rFonts w:ascii="Calibri" w:hAnsi="Calibri"/>
          <w:b/>
          <w:sz w:val="40"/>
          <w:szCs w:val="40"/>
          <w:lang w:val="en-AU"/>
        </w:rPr>
        <w:t>MINUTES OF PROCEEDINGS</w:t>
      </w:r>
    </w:p>
    <w:p w14:paraId="0A318F0A" w14:textId="3F683845" w:rsidR="00026751" w:rsidRPr="00026751" w:rsidRDefault="00026751" w:rsidP="001B41E4">
      <w:pPr>
        <w:spacing w:before="360"/>
        <w:jc w:val="center"/>
        <w:rPr>
          <w:rFonts w:ascii="Calibri" w:hAnsi="Calibri"/>
          <w:b/>
          <w:sz w:val="28"/>
          <w:szCs w:val="28"/>
        </w:rPr>
      </w:pPr>
      <w:r w:rsidRPr="00026751">
        <w:rPr>
          <w:rFonts w:ascii="Calibri" w:hAnsi="Calibri"/>
          <w:b/>
          <w:sz w:val="28"/>
          <w:szCs w:val="28"/>
        </w:rPr>
        <w:t xml:space="preserve">No </w:t>
      </w:r>
      <w:r>
        <w:rPr>
          <w:rFonts w:ascii="Calibri" w:hAnsi="Calibri"/>
          <w:b/>
          <w:sz w:val="28"/>
          <w:szCs w:val="28"/>
        </w:rPr>
        <w:t>131</w:t>
      </w:r>
    </w:p>
    <w:p w14:paraId="2A493BC4" w14:textId="65744B2D" w:rsidR="00026751" w:rsidRPr="00026751" w:rsidRDefault="00026751" w:rsidP="001B41E4">
      <w:pPr>
        <w:keepNext/>
        <w:keepLines/>
        <w:spacing w:before="360"/>
        <w:jc w:val="center"/>
        <w:rPr>
          <w:rFonts w:ascii="Calibri" w:hAnsi="Calibri"/>
          <w:b/>
          <w:bCs/>
          <w:caps/>
          <w:sz w:val="28"/>
          <w:szCs w:val="28"/>
          <w:lang w:val="en-AU"/>
        </w:rPr>
      </w:pPr>
      <w:r>
        <w:rPr>
          <w:rFonts w:ascii="Calibri" w:hAnsi="Calibri"/>
          <w:b/>
          <w:bCs/>
          <w:caps/>
          <w:sz w:val="28"/>
          <w:szCs w:val="28"/>
          <w:lang w:val="en-AU"/>
        </w:rPr>
        <w:t>Tuesday, 3 September 2024</w:t>
      </w:r>
    </w:p>
    <w:tbl>
      <w:tblPr>
        <w:tblW w:w="0" w:type="auto"/>
        <w:jc w:val="center"/>
        <w:tblLayout w:type="fixed"/>
        <w:tblLook w:val="0000" w:firstRow="0" w:lastRow="0" w:firstColumn="0" w:lastColumn="0" w:noHBand="0" w:noVBand="0"/>
      </w:tblPr>
      <w:tblGrid>
        <w:gridCol w:w="2452"/>
      </w:tblGrid>
      <w:tr w:rsidR="00026751" w:rsidRPr="00026751" w14:paraId="02C7AF44" w14:textId="77777777" w:rsidTr="008132D8">
        <w:trPr>
          <w:trHeight w:hRule="exact" w:val="333"/>
          <w:jc w:val="center"/>
        </w:trPr>
        <w:tc>
          <w:tcPr>
            <w:tcW w:w="2452" w:type="dxa"/>
          </w:tcPr>
          <w:p w14:paraId="56868C78" w14:textId="77777777" w:rsidR="00026751" w:rsidRPr="00026751" w:rsidRDefault="00026751" w:rsidP="00026751">
            <w:pPr>
              <w:rPr>
                <w:rFonts w:ascii="Times New Roman" w:hAnsi="Times New Roman"/>
                <w:color w:val="008000"/>
                <w:sz w:val="16"/>
                <w:lang w:val="en-AU"/>
              </w:rPr>
            </w:pPr>
          </w:p>
        </w:tc>
      </w:tr>
      <w:tr w:rsidR="00026751" w:rsidRPr="00026751" w14:paraId="0174D134" w14:textId="77777777" w:rsidTr="008132D8">
        <w:trPr>
          <w:trHeight w:hRule="exact" w:val="60"/>
          <w:jc w:val="center"/>
        </w:trPr>
        <w:tc>
          <w:tcPr>
            <w:tcW w:w="2452" w:type="dxa"/>
            <w:tcBorders>
              <w:top w:val="single" w:sz="8" w:space="0" w:color="000000"/>
              <w:bottom w:val="single" w:sz="4" w:space="0" w:color="000000"/>
            </w:tcBorders>
          </w:tcPr>
          <w:p w14:paraId="419B64BF" w14:textId="77777777" w:rsidR="00026751" w:rsidRPr="00026751" w:rsidRDefault="00026751" w:rsidP="00026751">
            <w:pPr>
              <w:rPr>
                <w:rFonts w:ascii="Times New Roman" w:hAnsi="Times New Roman"/>
                <w:color w:val="008000"/>
                <w:sz w:val="16"/>
                <w:lang w:val="en-AU"/>
              </w:rPr>
            </w:pPr>
          </w:p>
        </w:tc>
      </w:tr>
      <w:tr w:rsidR="00026751" w:rsidRPr="00026751" w14:paraId="4E59E5EA" w14:textId="77777777" w:rsidTr="008132D8">
        <w:trPr>
          <w:trHeight w:hRule="exact" w:val="200"/>
          <w:jc w:val="center"/>
        </w:trPr>
        <w:tc>
          <w:tcPr>
            <w:tcW w:w="2452" w:type="dxa"/>
          </w:tcPr>
          <w:p w14:paraId="798A6BE3" w14:textId="77777777" w:rsidR="00026751" w:rsidRPr="00026751" w:rsidRDefault="00026751" w:rsidP="00026751">
            <w:pPr>
              <w:rPr>
                <w:rFonts w:ascii="Times New Roman" w:hAnsi="Times New Roman"/>
                <w:color w:val="008000"/>
                <w:sz w:val="16"/>
                <w:lang w:val="en-AU"/>
              </w:rPr>
            </w:pPr>
          </w:p>
        </w:tc>
      </w:tr>
    </w:tbl>
    <w:p w14:paraId="4145B27F" w14:textId="08F13F11" w:rsidR="00026751" w:rsidRPr="00026751" w:rsidRDefault="00026751" w:rsidP="00346139">
      <w:pPr>
        <w:keepNext/>
        <w:keepLines/>
        <w:tabs>
          <w:tab w:val="right" w:pos="339"/>
          <w:tab w:val="left" w:pos="720"/>
        </w:tabs>
        <w:spacing w:before="120"/>
        <w:ind w:left="720" w:hanging="720"/>
        <w:jc w:val="both"/>
        <w:rPr>
          <w:rFonts w:ascii="Calibri" w:hAnsi="Calibri"/>
          <w:bCs/>
          <w:lang w:val="en-AU"/>
        </w:rPr>
      </w:pPr>
      <w:r w:rsidRPr="00026751">
        <w:rPr>
          <w:rFonts w:ascii="Calibri" w:hAnsi="Calibri"/>
        </w:rPr>
        <w:tab/>
      </w:r>
      <w:r w:rsidR="001855C1">
        <w:rPr>
          <w:rFonts w:ascii="Calibri" w:hAnsi="Calibri"/>
          <w:b/>
          <w:bCs/>
        </w:rPr>
        <w:fldChar w:fldCharType="begin"/>
      </w:r>
      <w:r w:rsidR="001855C1">
        <w:rPr>
          <w:rFonts w:ascii="Calibri" w:hAnsi="Calibri"/>
          <w:b/>
          <w:bCs/>
        </w:rPr>
        <w:instrText xml:space="preserve"> SEQ A \* MERGEFORMAT </w:instrText>
      </w:r>
      <w:r w:rsidR="001855C1">
        <w:rPr>
          <w:rFonts w:ascii="Calibri" w:hAnsi="Calibri"/>
          <w:b/>
          <w:bCs/>
        </w:rPr>
        <w:fldChar w:fldCharType="separate"/>
      </w:r>
      <w:r w:rsidR="00A64AFA">
        <w:rPr>
          <w:rFonts w:ascii="Calibri" w:hAnsi="Calibri"/>
          <w:b/>
          <w:bCs/>
          <w:noProof/>
        </w:rPr>
        <w:t>1</w:t>
      </w:r>
      <w:r w:rsidR="001855C1">
        <w:rPr>
          <w:rFonts w:ascii="Calibri" w:hAnsi="Calibri"/>
          <w:b/>
          <w:bCs/>
        </w:rPr>
        <w:fldChar w:fldCharType="end"/>
      </w:r>
      <w:r w:rsidRPr="00026751">
        <w:rPr>
          <w:rFonts w:ascii="Calibri" w:hAnsi="Calibri"/>
        </w:rPr>
        <w:tab/>
      </w:r>
      <w:r w:rsidRPr="00026751">
        <w:rPr>
          <w:rFonts w:ascii="Calibri" w:hAnsi="Calibri"/>
          <w:bCs/>
          <w:lang w:val="en-AU"/>
        </w:rPr>
        <w:t xml:space="preserve">The Assembly met at 10 am, pursuant to adjournment.  The Speaker </w:t>
      </w:r>
      <w:r w:rsidRPr="00026751">
        <w:rPr>
          <w:rFonts w:ascii="Calibri" w:hAnsi="Calibri"/>
          <w:bCs/>
        </w:rPr>
        <w:t>(</w:t>
      </w:r>
      <w:r>
        <w:rPr>
          <w:rFonts w:ascii="Calibri" w:hAnsi="Calibri"/>
          <w:bCs/>
        </w:rPr>
        <w:t>Ms Burch</w:t>
      </w:r>
      <w:r w:rsidRPr="00026751">
        <w:rPr>
          <w:rFonts w:ascii="Calibri" w:hAnsi="Calibri"/>
          <w:bCs/>
        </w:rPr>
        <w:t>)</w:t>
      </w:r>
      <w:r w:rsidRPr="00026751">
        <w:rPr>
          <w:rFonts w:ascii="Calibri" w:hAnsi="Calibri"/>
          <w:bCs/>
          <w:lang w:val="en-AU"/>
        </w:rPr>
        <w:t xml:space="preserve"> took the Chair and made the following acknowledgement of country in the Ngunnawal language:</w:t>
      </w:r>
    </w:p>
    <w:p w14:paraId="29DD7FEA" w14:textId="77777777" w:rsidR="00026751" w:rsidRPr="00026751" w:rsidRDefault="00026751" w:rsidP="0030375C">
      <w:pPr>
        <w:spacing w:before="80"/>
        <w:ind w:left="862"/>
        <w:jc w:val="both"/>
        <w:rPr>
          <w:rFonts w:ascii="Calibri" w:hAnsi="Calibri"/>
          <w:lang w:val="en-AU"/>
        </w:rPr>
      </w:pPr>
      <w:r w:rsidRPr="00026751">
        <w:rPr>
          <w:rFonts w:ascii="Calibri" w:hAnsi="Calibri"/>
          <w:lang w:val="en-AU"/>
        </w:rPr>
        <w:t>Dhawura nguna, dhawura Ngunnawal.</w:t>
      </w:r>
    </w:p>
    <w:p w14:paraId="3180FC51" w14:textId="77777777" w:rsidR="00026751" w:rsidRPr="00026751" w:rsidRDefault="00026751" w:rsidP="00026751">
      <w:pPr>
        <w:spacing w:before="40"/>
        <w:ind w:left="864"/>
        <w:jc w:val="both"/>
        <w:rPr>
          <w:rFonts w:ascii="Calibri" w:hAnsi="Calibri"/>
          <w:lang w:val="en-AU"/>
        </w:rPr>
      </w:pPr>
      <w:r w:rsidRPr="00026751">
        <w:rPr>
          <w:rFonts w:ascii="Calibri" w:hAnsi="Calibri"/>
          <w:lang w:val="en-AU"/>
        </w:rPr>
        <w:t>Yanggu ngalawiri, dhunimanyin Ngunnawalwari dhawurawari.</w:t>
      </w:r>
    </w:p>
    <w:p w14:paraId="3C5C6DC4" w14:textId="77777777" w:rsidR="00026751" w:rsidRPr="00026751" w:rsidRDefault="00026751" w:rsidP="00026751">
      <w:pPr>
        <w:spacing w:before="40"/>
        <w:ind w:left="864"/>
        <w:jc w:val="both"/>
        <w:rPr>
          <w:rFonts w:ascii="Calibri" w:hAnsi="Calibri"/>
          <w:lang w:val="en-AU"/>
        </w:rPr>
      </w:pPr>
      <w:r w:rsidRPr="00026751">
        <w:rPr>
          <w:rFonts w:ascii="Calibri" w:hAnsi="Calibri"/>
          <w:lang w:val="en-AU"/>
        </w:rPr>
        <w:t>Nginggada Dindi dhawura Ngunnaawalbun yindjumaralidjinyin.</w:t>
      </w:r>
    </w:p>
    <w:p w14:paraId="40EBD6D6" w14:textId="77777777" w:rsidR="00026751" w:rsidRPr="00026751" w:rsidRDefault="00026751" w:rsidP="0030375C">
      <w:pPr>
        <w:spacing w:before="80"/>
        <w:ind w:left="862"/>
        <w:jc w:val="both"/>
        <w:rPr>
          <w:rFonts w:ascii="Calibri" w:hAnsi="Calibri"/>
          <w:i/>
          <w:lang w:val="en-AU"/>
        </w:rPr>
      </w:pPr>
      <w:r w:rsidRPr="00026751">
        <w:rPr>
          <w:rFonts w:ascii="Calibri" w:hAnsi="Calibri"/>
          <w:i/>
          <w:lang w:val="en-AU"/>
        </w:rPr>
        <w:t>This is Ngunnawal Country.</w:t>
      </w:r>
    </w:p>
    <w:p w14:paraId="329DB964" w14:textId="77777777" w:rsidR="00026751" w:rsidRPr="00026751" w:rsidRDefault="00026751" w:rsidP="00026751">
      <w:pPr>
        <w:spacing w:before="40"/>
        <w:ind w:left="864"/>
        <w:jc w:val="both"/>
        <w:rPr>
          <w:rFonts w:ascii="Calibri" w:hAnsi="Calibri"/>
          <w:i/>
          <w:lang w:val="en-AU"/>
        </w:rPr>
      </w:pPr>
      <w:r w:rsidRPr="00026751">
        <w:rPr>
          <w:rFonts w:ascii="Calibri" w:hAnsi="Calibri"/>
          <w:i/>
          <w:lang w:val="en-AU"/>
        </w:rPr>
        <w:t>Today we are gathering on Ngunnawal country.</w:t>
      </w:r>
    </w:p>
    <w:p w14:paraId="67DE0F83" w14:textId="77777777" w:rsidR="00026751" w:rsidRPr="00026751" w:rsidRDefault="00026751" w:rsidP="00026751">
      <w:pPr>
        <w:spacing w:before="40"/>
        <w:ind w:left="864"/>
        <w:jc w:val="both"/>
        <w:rPr>
          <w:rFonts w:ascii="Calibri" w:hAnsi="Calibri"/>
          <w:i/>
          <w:lang w:val="en-AU"/>
        </w:rPr>
      </w:pPr>
      <w:r w:rsidRPr="00026751">
        <w:rPr>
          <w:rFonts w:ascii="Calibri" w:hAnsi="Calibri"/>
          <w:i/>
          <w:lang w:val="en-AU"/>
        </w:rPr>
        <w:t>We always pay respect to Elders, female and male, and Ngunnawal country.</w:t>
      </w:r>
    </w:p>
    <w:p w14:paraId="4D05FACB" w14:textId="77777777" w:rsidR="00026751" w:rsidRPr="00026751" w:rsidRDefault="00026751" w:rsidP="00026751">
      <w:pPr>
        <w:spacing w:before="120"/>
        <w:ind w:left="720"/>
        <w:jc w:val="both"/>
        <w:rPr>
          <w:rFonts w:ascii="Calibri" w:hAnsi="Calibri"/>
          <w:lang w:val="en-AU"/>
        </w:rPr>
      </w:pPr>
      <w:r w:rsidRPr="00026751">
        <w:rPr>
          <w:rFonts w:ascii="Calibri" w:hAnsi="Calibri"/>
          <w:lang w:val="en-AU"/>
        </w:rPr>
        <w:t xml:space="preserve">The Speaker asked Members to stand in silence and </w:t>
      </w:r>
      <w:r w:rsidRPr="00026751">
        <w:rPr>
          <w:rFonts w:ascii="Calibri" w:hAnsi="Calibri"/>
          <w:spacing w:val="-2"/>
          <w:lang w:val="en-AU"/>
        </w:rPr>
        <w:t>pray or reflect on their</w:t>
      </w:r>
      <w:r w:rsidRPr="00026751">
        <w:rPr>
          <w:rFonts w:ascii="Calibri" w:hAnsi="Calibri"/>
          <w:lang w:val="en-AU"/>
        </w:rPr>
        <w:t xml:space="preserve"> responsibilities to the people of the Australian Capital Territory.</w:t>
      </w:r>
    </w:p>
    <w:p w14:paraId="24B06AAA" w14:textId="5661620B" w:rsidR="0014155E" w:rsidRPr="0014155E" w:rsidRDefault="0014155E" w:rsidP="0014155E">
      <w:pPr>
        <w:keepNext/>
        <w:keepLines/>
        <w:tabs>
          <w:tab w:val="right" w:pos="339"/>
          <w:tab w:val="left" w:pos="720"/>
        </w:tabs>
        <w:spacing w:before="240"/>
        <w:ind w:left="720" w:hanging="720"/>
        <w:jc w:val="both"/>
        <w:rPr>
          <w:rFonts w:ascii="Calibri" w:hAnsi="Calibri"/>
          <w:b/>
          <w:caps/>
        </w:rPr>
      </w:pPr>
      <w:r w:rsidRPr="0014155E">
        <w:rPr>
          <w:rFonts w:ascii="Calibri" w:hAnsi="Calibri"/>
          <w:b/>
          <w:caps/>
          <w:lang w:val="en-AU"/>
        </w:rPr>
        <w:tab/>
      </w:r>
      <w:r w:rsidR="001855C1">
        <w:rPr>
          <w:rFonts w:ascii="Calibri" w:hAnsi="Calibri"/>
          <w:b/>
          <w:bCs/>
          <w:caps/>
        </w:rPr>
        <w:fldChar w:fldCharType="begin"/>
      </w:r>
      <w:r w:rsidR="001855C1">
        <w:rPr>
          <w:rFonts w:ascii="Calibri" w:hAnsi="Calibri"/>
          <w:b/>
          <w:bCs/>
          <w:caps/>
        </w:rPr>
        <w:instrText xml:space="preserve"> SEQ A \* MERGEFORMAT </w:instrText>
      </w:r>
      <w:r w:rsidR="001855C1">
        <w:rPr>
          <w:rFonts w:ascii="Calibri" w:hAnsi="Calibri"/>
          <w:b/>
          <w:bCs/>
          <w:caps/>
        </w:rPr>
        <w:fldChar w:fldCharType="separate"/>
      </w:r>
      <w:r w:rsidR="00A64AFA">
        <w:rPr>
          <w:rFonts w:ascii="Calibri" w:hAnsi="Calibri"/>
          <w:b/>
          <w:bCs/>
          <w:caps/>
          <w:noProof/>
        </w:rPr>
        <w:t>2</w:t>
      </w:r>
      <w:r w:rsidR="001855C1">
        <w:rPr>
          <w:rFonts w:ascii="Calibri" w:hAnsi="Calibri"/>
          <w:b/>
          <w:bCs/>
          <w:caps/>
        </w:rPr>
        <w:fldChar w:fldCharType="end"/>
      </w:r>
      <w:r w:rsidRPr="0014155E">
        <w:rPr>
          <w:rFonts w:ascii="Calibri" w:hAnsi="Calibri"/>
          <w:b/>
          <w:caps/>
        </w:rPr>
        <w:tab/>
      </w:r>
      <w:r>
        <w:rPr>
          <w:rFonts w:ascii="Calibri" w:hAnsi="Calibri"/>
          <w:b/>
          <w:caps/>
        </w:rPr>
        <w:t>Dissent from Speaker</w:t>
      </w:r>
      <w:r w:rsidR="00091C7D">
        <w:rPr>
          <w:rFonts w:ascii="Calibri" w:hAnsi="Calibri"/>
          <w:b/>
          <w:caps/>
        </w:rPr>
        <w:t>’</w:t>
      </w:r>
      <w:r>
        <w:rPr>
          <w:rFonts w:ascii="Calibri" w:hAnsi="Calibri"/>
          <w:b/>
          <w:caps/>
        </w:rPr>
        <w:t>s ruling</w:t>
      </w:r>
      <w:r w:rsidR="00802F5F">
        <w:rPr>
          <w:rFonts w:ascii="Calibri" w:hAnsi="Calibri"/>
          <w:b/>
          <w:caps/>
        </w:rPr>
        <w:t xml:space="preserve"> </w:t>
      </w:r>
      <w:r>
        <w:rPr>
          <w:rFonts w:ascii="Calibri" w:hAnsi="Calibri"/>
          <w:b/>
          <w:caps/>
        </w:rPr>
        <w:t>motion</w:t>
      </w:r>
      <w:r w:rsidRPr="0014155E">
        <w:rPr>
          <w:rFonts w:ascii="Calibri" w:hAnsi="Calibri"/>
          <w:b/>
          <w:caps/>
        </w:rPr>
        <w:t>—STATEMENT BY SPEAKER</w:t>
      </w:r>
    </w:p>
    <w:p w14:paraId="1EF8D0BB" w14:textId="512325A9" w:rsidR="0014155E" w:rsidRDefault="0014155E" w:rsidP="009833F4">
      <w:pPr>
        <w:tabs>
          <w:tab w:val="left" w:pos="1197"/>
          <w:tab w:val="left" w:pos="1767"/>
        </w:tabs>
        <w:spacing w:before="80"/>
        <w:ind w:left="720"/>
        <w:jc w:val="both"/>
        <w:rPr>
          <w:rFonts w:ascii="Calibri" w:hAnsi="Calibri"/>
          <w:lang w:val="en-AU"/>
        </w:rPr>
      </w:pPr>
      <w:r w:rsidRPr="00802F5F">
        <w:rPr>
          <w:rFonts w:ascii="Calibri" w:hAnsi="Calibri"/>
          <w:spacing w:val="-2"/>
          <w:lang w:val="en-AU"/>
        </w:rPr>
        <w:t>The Speaker made a</w:t>
      </w:r>
      <w:r w:rsidR="00FD72EE" w:rsidRPr="00802F5F">
        <w:rPr>
          <w:rFonts w:ascii="Calibri" w:hAnsi="Calibri"/>
          <w:spacing w:val="-2"/>
          <w:lang w:val="en-AU"/>
        </w:rPr>
        <w:t> </w:t>
      </w:r>
      <w:r w:rsidRPr="00802F5F">
        <w:rPr>
          <w:rFonts w:ascii="Calibri" w:hAnsi="Calibri"/>
          <w:spacing w:val="-2"/>
          <w:lang w:val="en-AU"/>
        </w:rPr>
        <w:t xml:space="preserve">statement concerning </w:t>
      </w:r>
      <w:r w:rsidR="00FD72EE" w:rsidRPr="00802F5F">
        <w:rPr>
          <w:rFonts w:ascii="Calibri" w:hAnsi="Calibri"/>
          <w:spacing w:val="-2"/>
          <w:lang w:val="en-AU"/>
        </w:rPr>
        <w:t>the dissent from Speaker</w:t>
      </w:r>
      <w:r w:rsidR="00091C7D">
        <w:rPr>
          <w:rFonts w:ascii="Calibri" w:hAnsi="Calibri"/>
          <w:spacing w:val="-2"/>
          <w:lang w:val="en-AU"/>
        </w:rPr>
        <w:t>’</w:t>
      </w:r>
      <w:r w:rsidR="00FD72EE" w:rsidRPr="00802F5F">
        <w:rPr>
          <w:rFonts w:ascii="Calibri" w:hAnsi="Calibri"/>
          <w:spacing w:val="-2"/>
          <w:lang w:val="en-AU"/>
        </w:rPr>
        <w:t xml:space="preserve">s ruling motion that appears on the </w:t>
      </w:r>
      <w:r w:rsidR="00FD72EE" w:rsidRPr="00802F5F">
        <w:rPr>
          <w:rFonts w:ascii="Calibri" w:hAnsi="Calibri"/>
          <w:i/>
          <w:iCs/>
          <w:spacing w:val="-2"/>
          <w:lang w:val="en-AU"/>
        </w:rPr>
        <w:t>Notice Paper</w:t>
      </w:r>
      <w:r w:rsidR="00FD72EE" w:rsidRPr="00802F5F">
        <w:rPr>
          <w:rFonts w:ascii="Calibri" w:hAnsi="Calibri"/>
          <w:spacing w:val="-2"/>
          <w:lang w:val="en-AU"/>
        </w:rPr>
        <w:t xml:space="preserve"> under Assembly Business</w:t>
      </w:r>
      <w:r w:rsidRPr="00802F5F">
        <w:rPr>
          <w:rFonts w:ascii="Calibri" w:hAnsi="Calibri"/>
          <w:spacing w:val="-2"/>
          <w:lang w:val="en-AU"/>
        </w:rPr>
        <w:t>.</w:t>
      </w:r>
      <w:r w:rsidR="00FD72EE" w:rsidRPr="00802F5F">
        <w:rPr>
          <w:rFonts w:ascii="Calibri" w:hAnsi="Calibri"/>
          <w:spacing w:val="-2"/>
          <w:lang w:val="en-AU"/>
        </w:rPr>
        <w:t xml:space="preserve"> She advised Members of the decision of the Standing Committee on </w:t>
      </w:r>
      <w:r w:rsidR="00C01826" w:rsidRPr="00802F5F">
        <w:rPr>
          <w:rFonts w:ascii="Calibri" w:hAnsi="Calibri"/>
          <w:spacing w:val="-2"/>
          <w:lang w:val="en-AU"/>
        </w:rPr>
        <w:t>A</w:t>
      </w:r>
      <w:r w:rsidR="00FD72EE" w:rsidRPr="00802F5F">
        <w:rPr>
          <w:rFonts w:ascii="Calibri" w:hAnsi="Calibri"/>
          <w:spacing w:val="-2"/>
          <w:lang w:val="en-AU"/>
        </w:rPr>
        <w:t xml:space="preserve">dministration and Procedure not to list the matter for this sitting week, and consequently the order of the day for the dissent motion would lapse at the end of the </w:t>
      </w:r>
      <w:r w:rsidR="00802F5F" w:rsidRPr="00802F5F">
        <w:rPr>
          <w:rFonts w:ascii="Calibri" w:hAnsi="Calibri"/>
          <w:spacing w:val="-2"/>
          <w:lang w:val="en-AU"/>
        </w:rPr>
        <w:t>Tenth</w:t>
      </w:r>
      <w:r w:rsidR="00FD72EE" w:rsidRPr="00802F5F">
        <w:rPr>
          <w:rFonts w:ascii="Calibri" w:hAnsi="Calibri"/>
          <w:spacing w:val="-2"/>
          <w:lang w:val="en-AU"/>
        </w:rPr>
        <w:t xml:space="preserve"> Assembly</w:t>
      </w:r>
      <w:r w:rsidR="00802F5F" w:rsidRPr="00802F5F">
        <w:rPr>
          <w:rFonts w:ascii="Calibri" w:hAnsi="Calibri"/>
          <w:spacing w:val="-2"/>
          <w:lang w:val="en-AU"/>
        </w:rPr>
        <w:t>,</w:t>
      </w:r>
      <w:r w:rsidR="00FD72EE" w:rsidRPr="00802F5F">
        <w:rPr>
          <w:rFonts w:ascii="Calibri" w:hAnsi="Calibri"/>
          <w:spacing w:val="-2"/>
          <w:lang w:val="en-AU"/>
        </w:rPr>
        <w:t xml:space="preserve"> unless the Assembly decide</w:t>
      </w:r>
      <w:r w:rsidR="00802F5F" w:rsidRPr="00802F5F">
        <w:rPr>
          <w:rFonts w:ascii="Calibri" w:hAnsi="Calibri"/>
          <w:spacing w:val="-2"/>
          <w:lang w:val="en-AU"/>
        </w:rPr>
        <w:t>d</w:t>
      </w:r>
      <w:r w:rsidR="00FD72EE" w:rsidRPr="00802F5F">
        <w:rPr>
          <w:rFonts w:ascii="Calibri" w:hAnsi="Calibri"/>
          <w:spacing w:val="-2"/>
          <w:lang w:val="en-AU"/>
        </w:rPr>
        <w:t xml:space="preserve"> otherwise. </w:t>
      </w:r>
    </w:p>
    <w:p w14:paraId="17177E4F" w14:textId="6EB5DA68" w:rsidR="00B73816" w:rsidRPr="00B73816" w:rsidRDefault="00B73816" w:rsidP="00B73816">
      <w:pPr>
        <w:keepNext/>
        <w:keepLines/>
        <w:tabs>
          <w:tab w:val="right" w:pos="339"/>
          <w:tab w:val="left" w:pos="720"/>
        </w:tabs>
        <w:spacing w:before="240"/>
        <w:ind w:left="720" w:hanging="720"/>
        <w:jc w:val="both"/>
        <w:rPr>
          <w:rFonts w:ascii="Calibri" w:hAnsi="Calibri"/>
          <w:b/>
          <w:caps/>
        </w:rPr>
      </w:pPr>
      <w:r w:rsidRPr="00B73816">
        <w:rPr>
          <w:rFonts w:ascii="Calibri" w:hAnsi="Calibri"/>
          <w:b/>
          <w:caps/>
          <w:lang w:val="en-AU"/>
        </w:rPr>
        <w:tab/>
      </w:r>
      <w:r w:rsidR="001855C1">
        <w:rPr>
          <w:rFonts w:ascii="Calibri" w:hAnsi="Calibri"/>
          <w:b/>
          <w:bCs/>
          <w:caps/>
        </w:rPr>
        <w:fldChar w:fldCharType="begin"/>
      </w:r>
      <w:r w:rsidR="001855C1">
        <w:rPr>
          <w:rFonts w:ascii="Calibri" w:hAnsi="Calibri"/>
          <w:b/>
          <w:bCs/>
          <w:caps/>
        </w:rPr>
        <w:instrText xml:space="preserve"> SEQ A \* MERGEFORMAT </w:instrText>
      </w:r>
      <w:r w:rsidR="001855C1">
        <w:rPr>
          <w:rFonts w:ascii="Calibri" w:hAnsi="Calibri"/>
          <w:b/>
          <w:bCs/>
          <w:caps/>
        </w:rPr>
        <w:fldChar w:fldCharType="separate"/>
      </w:r>
      <w:r w:rsidR="00A64AFA">
        <w:rPr>
          <w:rFonts w:ascii="Calibri" w:hAnsi="Calibri"/>
          <w:b/>
          <w:bCs/>
          <w:caps/>
          <w:noProof/>
        </w:rPr>
        <w:t>3</w:t>
      </w:r>
      <w:r w:rsidR="001855C1">
        <w:rPr>
          <w:rFonts w:ascii="Calibri" w:hAnsi="Calibri"/>
          <w:b/>
          <w:bCs/>
          <w:caps/>
        </w:rPr>
        <w:fldChar w:fldCharType="end"/>
      </w:r>
      <w:r w:rsidRPr="00B73816">
        <w:rPr>
          <w:rFonts w:ascii="Calibri" w:hAnsi="Calibri"/>
          <w:b/>
          <w:caps/>
        </w:rPr>
        <w:tab/>
      </w:r>
      <w:r>
        <w:rPr>
          <w:rFonts w:ascii="Calibri" w:hAnsi="Calibri"/>
          <w:b/>
          <w:caps/>
        </w:rPr>
        <w:t>Social media post</w:t>
      </w:r>
      <w:r w:rsidR="0030375C">
        <w:rPr>
          <w:rFonts w:ascii="Calibri" w:hAnsi="Calibri"/>
          <w:b/>
          <w:caps/>
        </w:rPr>
        <w:t xml:space="preserve"> by minister</w:t>
      </w:r>
      <w:r w:rsidRPr="00B73816">
        <w:rPr>
          <w:rFonts w:ascii="Calibri" w:hAnsi="Calibri"/>
          <w:b/>
          <w:caps/>
        </w:rPr>
        <w:t>—STATEMENT BY SPEAKER</w:t>
      </w:r>
      <w:r>
        <w:rPr>
          <w:rFonts w:ascii="Calibri" w:hAnsi="Calibri"/>
          <w:b/>
          <w:caps/>
        </w:rPr>
        <w:t>—Speaker</w:t>
      </w:r>
      <w:r w:rsidR="00091C7D">
        <w:rPr>
          <w:rFonts w:ascii="Calibri" w:hAnsi="Calibri"/>
          <w:b/>
          <w:caps/>
        </w:rPr>
        <w:t>’</w:t>
      </w:r>
      <w:r>
        <w:rPr>
          <w:rFonts w:ascii="Calibri" w:hAnsi="Calibri"/>
          <w:b/>
          <w:caps/>
        </w:rPr>
        <w:t>s ruling</w:t>
      </w:r>
    </w:p>
    <w:p w14:paraId="7EB793A3" w14:textId="657CAA9A" w:rsidR="0030375C" w:rsidRPr="009833F4" w:rsidRDefault="00B73816" w:rsidP="00346139">
      <w:pPr>
        <w:tabs>
          <w:tab w:val="left" w:pos="1197"/>
          <w:tab w:val="left" w:pos="1767"/>
        </w:tabs>
        <w:spacing w:before="80"/>
        <w:ind w:left="720"/>
        <w:jc w:val="both"/>
        <w:rPr>
          <w:rFonts w:ascii="Calibri" w:hAnsi="Calibri"/>
          <w:lang w:val="en-AU"/>
        </w:rPr>
      </w:pPr>
      <w:r w:rsidRPr="00B73816">
        <w:rPr>
          <w:rFonts w:ascii="Calibri" w:hAnsi="Calibri"/>
          <w:lang w:val="en-AU"/>
        </w:rPr>
        <w:t xml:space="preserve">The Speaker made a statement concerning </w:t>
      </w:r>
      <w:r w:rsidRPr="009833F4">
        <w:rPr>
          <w:rFonts w:ascii="Calibri" w:hAnsi="Calibri"/>
          <w:lang w:val="en-AU"/>
        </w:rPr>
        <w:t xml:space="preserve">a social media post made by a </w:t>
      </w:r>
      <w:r w:rsidR="00802F5F">
        <w:rPr>
          <w:rFonts w:ascii="Calibri" w:hAnsi="Calibri"/>
          <w:lang w:val="en-AU"/>
        </w:rPr>
        <w:t>M</w:t>
      </w:r>
      <w:r w:rsidRPr="009833F4">
        <w:rPr>
          <w:rFonts w:ascii="Calibri" w:hAnsi="Calibri"/>
          <w:lang w:val="en-AU"/>
        </w:rPr>
        <w:t>inister</w:t>
      </w:r>
      <w:r w:rsidR="0030375C" w:rsidRPr="009833F4">
        <w:rPr>
          <w:rFonts w:ascii="Calibri" w:hAnsi="Calibri"/>
          <w:lang w:val="en-AU"/>
        </w:rPr>
        <w:t xml:space="preserve"> </w:t>
      </w:r>
      <w:r w:rsidR="001B41E4">
        <w:rPr>
          <w:rFonts w:ascii="Calibri" w:hAnsi="Calibri"/>
          <w:lang w:val="en-AU"/>
        </w:rPr>
        <w:t xml:space="preserve">on 2 September 2024. Having considered the matter, the Speaker </w:t>
      </w:r>
      <w:r w:rsidRPr="009833F4">
        <w:rPr>
          <w:rFonts w:ascii="Calibri" w:hAnsi="Calibri"/>
          <w:lang w:val="en-AU"/>
        </w:rPr>
        <w:t xml:space="preserve">ruled that the post breached the </w:t>
      </w:r>
      <w:r w:rsidR="0030375C" w:rsidRPr="009833F4">
        <w:rPr>
          <w:rFonts w:ascii="Calibri" w:hAnsi="Calibri"/>
          <w:lang w:val="en-AU"/>
        </w:rPr>
        <w:t>b</w:t>
      </w:r>
      <w:r w:rsidRPr="009833F4">
        <w:rPr>
          <w:rFonts w:ascii="Calibri" w:hAnsi="Calibri"/>
          <w:lang w:val="en-AU"/>
        </w:rPr>
        <w:t xml:space="preserve">roadcasting </w:t>
      </w:r>
      <w:r w:rsidR="0030375C" w:rsidRPr="009833F4">
        <w:rPr>
          <w:rFonts w:ascii="Calibri" w:hAnsi="Calibri"/>
          <w:lang w:val="en-AU"/>
        </w:rPr>
        <w:t>g</w:t>
      </w:r>
      <w:r w:rsidRPr="009833F4">
        <w:rPr>
          <w:rFonts w:ascii="Calibri" w:hAnsi="Calibri"/>
          <w:lang w:val="en-AU"/>
        </w:rPr>
        <w:t>uidel</w:t>
      </w:r>
      <w:r w:rsidR="0030375C" w:rsidRPr="009833F4">
        <w:rPr>
          <w:rFonts w:ascii="Calibri" w:hAnsi="Calibri"/>
          <w:lang w:val="en-AU"/>
        </w:rPr>
        <w:t>in</w:t>
      </w:r>
      <w:r w:rsidRPr="009833F4">
        <w:rPr>
          <w:rFonts w:ascii="Calibri" w:hAnsi="Calibri"/>
          <w:lang w:val="en-AU"/>
        </w:rPr>
        <w:t>es</w:t>
      </w:r>
      <w:r w:rsidR="001B41E4">
        <w:rPr>
          <w:rFonts w:ascii="Calibri" w:hAnsi="Calibri"/>
          <w:lang w:val="en-AU"/>
        </w:rPr>
        <w:t xml:space="preserve">, </w:t>
      </w:r>
      <w:r w:rsidRPr="009833F4">
        <w:rPr>
          <w:rFonts w:ascii="Calibri" w:hAnsi="Calibri"/>
          <w:lang w:val="en-AU"/>
        </w:rPr>
        <w:t>standing order</w:t>
      </w:r>
      <w:r w:rsidR="001B41E4">
        <w:rPr>
          <w:rFonts w:ascii="Calibri" w:hAnsi="Calibri"/>
          <w:lang w:val="en-AU"/>
        </w:rPr>
        <w:t xml:space="preserve"> </w:t>
      </w:r>
      <w:r w:rsidRPr="009833F4">
        <w:rPr>
          <w:rFonts w:ascii="Calibri" w:hAnsi="Calibri"/>
          <w:lang w:val="en-AU"/>
        </w:rPr>
        <w:t>55</w:t>
      </w:r>
      <w:r w:rsidR="001B41E4">
        <w:rPr>
          <w:rFonts w:ascii="Calibri" w:hAnsi="Calibri"/>
          <w:lang w:val="en-AU"/>
        </w:rPr>
        <w:t xml:space="preserve"> and standing order 73. The Speaker </w:t>
      </w:r>
      <w:r w:rsidRPr="009833F4">
        <w:rPr>
          <w:rFonts w:ascii="Calibri" w:hAnsi="Calibri"/>
          <w:lang w:val="en-AU"/>
        </w:rPr>
        <w:t xml:space="preserve">asked the </w:t>
      </w:r>
      <w:r w:rsidR="00802F5F">
        <w:rPr>
          <w:rFonts w:ascii="Calibri" w:hAnsi="Calibri"/>
          <w:lang w:val="en-AU"/>
        </w:rPr>
        <w:t>M</w:t>
      </w:r>
      <w:r w:rsidRPr="009833F4">
        <w:rPr>
          <w:rFonts w:ascii="Calibri" w:hAnsi="Calibri"/>
          <w:lang w:val="en-AU"/>
        </w:rPr>
        <w:t xml:space="preserve">inister to apologise and delete all references on the </w:t>
      </w:r>
      <w:r w:rsidR="00802F5F">
        <w:rPr>
          <w:rFonts w:ascii="Calibri" w:hAnsi="Calibri"/>
          <w:lang w:val="en-AU"/>
        </w:rPr>
        <w:t>M</w:t>
      </w:r>
      <w:r w:rsidRPr="009833F4">
        <w:rPr>
          <w:rFonts w:ascii="Calibri" w:hAnsi="Calibri"/>
          <w:lang w:val="en-AU"/>
        </w:rPr>
        <w:t>inister</w:t>
      </w:r>
      <w:r w:rsidR="00091C7D">
        <w:rPr>
          <w:rFonts w:ascii="Calibri" w:hAnsi="Calibri"/>
          <w:lang w:val="en-AU"/>
        </w:rPr>
        <w:t>’</w:t>
      </w:r>
      <w:r w:rsidRPr="009833F4">
        <w:rPr>
          <w:rFonts w:ascii="Calibri" w:hAnsi="Calibri"/>
          <w:lang w:val="en-AU"/>
        </w:rPr>
        <w:t xml:space="preserve">s social media before the lunchtime adjournment today. </w:t>
      </w:r>
    </w:p>
    <w:p w14:paraId="4A40E86D" w14:textId="60524223" w:rsidR="00B73816" w:rsidRPr="00B73816" w:rsidRDefault="00B73816" w:rsidP="00B73816">
      <w:pPr>
        <w:tabs>
          <w:tab w:val="left" w:pos="1197"/>
          <w:tab w:val="left" w:pos="1767"/>
        </w:tabs>
        <w:spacing w:before="120"/>
        <w:ind w:left="720"/>
        <w:jc w:val="both"/>
        <w:rPr>
          <w:rFonts w:ascii="Calibri" w:hAnsi="Calibri"/>
          <w:lang w:val="en-AU"/>
        </w:rPr>
      </w:pPr>
      <w:r>
        <w:rPr>
          <w:rFonts w:ascii="Calibri" w:hAnsi="Calibri"/>
          <w:lang w:val="en-AU"/>
        </w:rPr>
        <w:t xml:space="preserve">The </w:t>
      </w:r>
      <w:r w:rsidR="00802F5F">
        <w:rPr>
          <w:rFonts w:ascii="Calibri" w:hAnsi="Calibri"/>
          <w:lang w:val="en-AU"/>
        </w:rPr>
        <w:t>M</w:t>
      </w:r>
      <w:r>
        <w:rPr>
          <w:rFonts w:ascii="Calibri" w:hAnsi="Calibri"/>
          <w:lang w:val="en-AU"/>
        </w:rPr>
        <w:t>inister apologised and informed the Assembly that she had deleted the post.</w:t>
      </w:r>
    </w:p>
    <w:p w14:paraId="1F766A65" w14:textId="07D45BA4" w:rsidR="00C01826" w:rsidRPr="00C01826" w:rsidRDefault="00C01826" w:rsidP="00C01826">
      <w:pPr>
        <w:keepNext/>
        <w:keepLines/>
        <w:tabs>
          <w:tab w:val="right" w:pos="339"/>
          <w:tab w:val="left" w:pos="720"/>
        </w:tabs>
        <w:spacing w:before="240"/>
        <w:ind w:left="720" w:hanging="720"/>
        <w:jc w:val="both"/>
        <w:rPr>
          <w:rFonts w:ascii="Calibri" w:hAnsi="Calibri"/>
          <w:b/>
          <w:caps/>
        </w:rPr>
      </w:pPr>
      <w:r w:rsidRPr="00C01826">
        <w:rPr>
          <w:rFonts w:ascii="Calibri" w:hAnsi="Calibri"/>
          <w:b/>
          <w:caps/>
        </w:rPr>
        <w:lastRenderedPageBreak/>
        <w:tab/>
      </w:r>
      <w:r w:rsidR="001855C1">
        <w:rPr>
          <w:rFonts w:ascii="Calibri" w:hAnsi="Calibri"/>
          <w:b/>
          <w:bCs/>
          <w:caps/>
        </w:rPr>
        <w:fldChar w:fldCharType="begin"/>
      </w:r>
      <w:r w:rsidR="001855C1">
        <w:rPr>
          <w:rFonts w:ascii="Calibri" w:hAnsi="Calibri"/>
          <w:b/>
          <w:bCs/>
          <w:caps/>
        </w:rPr>
        <w:instrText xml:space="preserve"> SEQ A \* MERGEFORMAT </w:instrText>
      </w:r>
      <w:r w:rsidR="001855C1">
        <w:rPr>
          <w:rFonts w:ascii="Calibri" w:hAnsi="Calibri"/>
          <w:b/>
          <w:bCs/>
          <w:caps/>
        </w:rPr>
        <w:fldChar w:fldCharType="separate"/>
      </w:r>
      <w:r w:rsidR="00A64AFA">
        <w:rPr>
          <w:rFonts w:ascii="Calibri" w:hAnsi="Calibri"/>
          <w:b/>
          <w:bCs/>
          <w:caps/>
          <w:noProof/>
        </w:rPr>
        <w:t>4</w:t>
      </w:r>
      <w:r w:rsidR="001855C1">
        <w:rPr>
          <w:rFonts w:ascii="Calibri" w:hAnsi="Calibri"/>
          <w:b/>
          <w:bCs/>
          <w:caps/>
        </w:rPr>
        <w:fldChar w:fldCharType="end"/>
      </w:r>
      <w:r w:rsidRPr="00C01826">
        <w:rPr>
          <w:rFonts w:ascii="Calibri" w:hAnsi="Calibri"/>
          <w:b/>
          <w:caps/>
        </w:rPr>
        <w:tab/>
        <w:t>PETITIONS AND MINISTERIAL RESPONSES—PETITIONS AND RESPONSES NOTED</w:t>
      </w:r>
    </w:p>
    <w:p w14:paraId="1CDC6F79" w14:textId="77777777" w:rsidR="00C01826" w:rsidRPr="00C01826" w:rsidRDefault="00C01826" w:rsidP="001855C1">
      <w:pPr>
        <w:tabs>
          <w:tab w:val="left" w:pos="1197"/>
          <w:tab w:val="left" w:pos="1767"/>
        </w:tabs>
        <w:spacing w:before="100"/>
        <w:ind w:left="720"/>
        <w:jc w:val="both"/>
        <w:rPr>
          <w:rFonts w:ascii="Calibri" w:hAnsi="Calibri"/>
          <w:b/>
          <w:color w:val="000000"/>
          <w:lang w:val="en-AU"/>
        </w:rPr>
      </w:pPr>
      <w:r w:rsidRPr="00C01826">
        <w:rPr>
          <w:rFonts w:ascii="Calibri" w:hAnsi="Calibri"/>
          <w:b/>
          <w:color w:val="000000"/>
          <w:lang w:val="en-AU"/>
        </w:rPr>
        <w:t>Petitions</w:t>
      </w:r>
    </w:p>
    <w:p w14:paraId="4FAD3312" w14:textId="77777777" w:rsidR="00C01826" w:rsidRPr="009833F4" w:rsidRDefault="00C01826" w:rsidP="001855C1">
      <w:pPr>
        <w:tabs>
          <w:tab w:val="left" w:pos="1197"/>
          <w:tab w:val="left" w:pos="1767"/>
        </w:tabs>
        <w:spacing w:before="100"/>
        <w:ind w:left="720"/>
        <w:rPr>
          <w:rFonts w:ascii="Calibri" w:hAnsi="Calibri"/>
          <w:spacing w:val="-2"/>
          <w:lang w:val="en-AU"/>
        </w:rPr>
      </w:pPr>
      <w:r w:rsidRPr="009833F4">
        <w:rPr>
          <w:rFonts w:ascii="Calibri" w:hAnsi="Calibri"/>
          <w:spacing w:val="-2"/>
          <w:lang w:val="en-AU"/>
        </w:rPr>
        <w:t>The Clerk announced that the following Members had lodged petitions for presentation:</w:t>
      </w:r>
    </w:p>
    <w:p w14:paraId="428D29A2" w14:textId="605583CE" w:rsidR="00C01826" w:rsidRPr="00C01826" w:rsidRDefault="009833F4" w:rsidP="001855C1">
      <w:pPr>
        <w:tabs>
          <w:tab w:val="left" w:pos="1197"/>
          <w:tab w:val="left" w:pos="1767"/>
        </w:tabs>
        <w:spacing w:before="100"/>
        <w:ind w:left="720"/>
        <w:rPr>
          <w:rFonts w:ascii="Calibri" w:hAnsi="Calibri"/>
          <w:lang w:val="en-AU"/>
        </w:rPr>
      </w:pPr>
      <w:r>
        <w:rPr>
          <w:rFonts w:ascii="Calibri" w:hAnsi="Calibri"/>
          <w:lang w:val="en-AU"/>
        </w:rPr>
        <w:t>Ms Lee</w:t>
      </w:r>
      <w:r w:rsidR="00C01826" w:rsidRPr="00C01826">
        <w:rPr>
          <w:rFonts w:ascii="Calibri" w:hAnsi="Calibri"/>
          <w:lang w:val="en-AU"/>
        </w:rPr>
        <w:t xml:space="preserve">, from </w:t>
      </w:r>
      <w:r>
        <w:rPr>
          <w:rFonts w:ascii="Calibri" w:hAnsi="Calibri"/>
          <w:lang w:val="en-AU"/>
        </w:rPr>
        <w:t>28</w:t>
      </w:r>
      <w:r w:rsidR="00C01826" w:rsidRPr="00C01826">
        <w:rPr>
          <w:rFonts w:ascii="Calibri" w:hAnsi="Calibri"/>
          <w:lang w:val="en-AU"/>
        </w:rPr>
        <w:t xml:space="preserve"> residents, requesting that </w:t>
      </w:r>
      <w:r w:rsidR="00E70E4A" w:rsidRPr="00E70E4A">
        <w:rPr>
          <w:rFonts w:ascii="Calibri" w:hAnsi="Calibri"/>
          <w:lang w:val="en-AU"/>
        </w:rPr>
        <w:t>the Assembly call on the ACT Government to install a safe pedestrian crossing at the intersection of Sturt Avenue and McMillan Crescent in Narrabundah</w:t>
      </w:r>
      <w:r w:rsidR="00C01826" w:rsidRPr="00C01826">
        <w:rPr>
          <w:rFonts w:ascii="Calibri" w:hAnsi="Calibri"/>
          <w:lang w:val="en-AU"/>
        </w:rPr>
        <w:t xml:space="preserve"> (</w:t>
      </w:r>
      <w:r w:rsidR="00E70E4A">
        <w:rPr>
          <w:rFonts w:ascii="Calibri" w:hAnsi="Calibri"/>
          <w:lang w:val="en-AU"/>
        </w:rPr>
        <w:t>e-</w:t>
      </w:r>
      <w:r w:rsidR="00C01826" w:rsidRPr="00C01826">
        <w:rPr>
          <w:rFonts w:ascii="Calibri" w:hAnsi="Calibri"/>
          <w:lang w:val="en-AU"/>
        </w:rPr>
        <w:t xml:space="preserve">Pet </w:t>
      </w:r>
      <w:r w:rsidR="00E70E4A">
        <w:rPr>
          <w:rFonts w:ascii="Calibri" w:hAnsi="Calibri"/>
          <w:lang w:val="en-AU"/>
        </w:rPr>
        <w:t>024-24</w:t>
      </w:r>
      <w:r w:rsidR="00C01826" w:rsidRPr="00C01826">
        <w:rPr>
          <w:rFonts w:ascii="Calibri" w:hAnsi="Calibri"/>
          <w:lang w:val="en-AU"/>
        </w:rPr>
        <w:t>).</w:t>
      </w:r>
    </w:p>
    <w:p w14:paraId="3C82FB80" w14:textId="78C076B0" w:rsidR="00C01826" w:rsidRPr="00C01826" w:rsidRDefault="009833F4" w:rsidP="001855C1">
      <w:pPr>
        <w:tabs>
          <w:tab w:val="left" w:pos="1197"/>
          <w:tab w:val="left" w:pos="1767"/>
        </w:tabs>
        <w:spacing w:before="100"/>
        <w:ind w:left="720"/>
        <w:rPr>
          <w:rFonts w:ascii="Calibri" w:hAnsi="Calibri"/>
          <w:lang w:val="en-AU"/>
        </w:rPr>
      </w:pPr>
      <w:r>
        <w:rPr>
          <w:rFonts w:ascii="Calibri" w:hAnsi="Calibri"/>
          <w:lang w:val="en-AU"/>
        </w:rPr>
        <w:t>Mr Cain</w:t>
      </w:r>
      <w:r w:rsidR="00C01826" w:rsidRPr="00C01826">
        <w:rPr>
          <w:rFonts w:ascii="Calibri" w:hAnsi="Calibri"/>
          <w:lang w:val="en-AU"/>
        </w:rPr>
        <w:t xml:space="preserve">, from </w:t>
      </w:r>
      <w:r>
        <w:rPr>
          <w:rFonts w:ascii="Calibri" w:hAnsi="Calibri"/>
          <w:lang w:val="en-AU"/>
        </w:rPr>
        <w:t>418 and 157</w:t>
      </w:r>
      <w:r w:rsidR="00C01826" w:rsidRPr="00C01826">
        <w:rPr>
          <w:rFonts w:ascii="Calibri" w:hAnsi="Calibri"/>
          <w:lang w:val="en-AU"/>
        </w:rPr>
        <w:t xml:space="preserve"> residents, requesting that </w:t>
      </w:r>
      <w:r w:rsidR="00E70E4A" w:rsidRPr="00E70E4A">
        <w:rPr>
          <w:rFonts w:ascii="Calibri" w:hAnsi="Calibri"/>
          <w:lang w:val="en-AU"/>
        </w:rPr>
        <w:t>the Assembly call on the ACT Government to provide support funding for the construction of an inclusive play space at the Charnwood-Dunlop School</w:t>
      </w:r>
      <w:r w:rsidR="00C01826" w:rsidRPr="00C01826">
        <w:rPr>
          <w:rFonts w:ascii="Calibri" w:hAnsi="Calibri"/>
          <w:lang w:val="en-AU"/>
        </w:rPr>
        <w:t xml:space="preserve"> (</w:t>
      </w:r>
      <w:r w:rsidR="00E70E4A">
        <w:rPr>
          <w:rFonts w:ascii="Calibri" w:hAnsi="Calibri"/>
          <w:lang w:val="en-AU"/>
        </w:rPr>
        <w:t>e-</w:t>
      </w:r>
      <w:r w:rsidR="00C01826" w:rsidRPr="00C01826">
        <w:rPr>
          <w:rFonts w:ascii="Calibri" w:hAnsi="Calibri"/>
          <w:lang w:val="en-AU"/>
        </w:rPr>
        <w:t xml:space="preserve">Pet </w:t>
      </w:r>
      <w:r w:rsidR="00E70E4A">
        <w:rPr>
          <w:rFonts w:ascii="Calibri" w:hAnsi="Calibri"/>
          <w:lang w:val="en-AU"/>
        </w:rPr>
        <w:t>028-24 and Pet 039-24</w:t>
      </w:r>
      <w:r w:rsidR="00C01826" w:rsidRPr="00C01826">
        <w:rPr>
          <w:rFonts w:ascii="Calibri" w:hAnsi="Calibri"/>
          <w:lang w:val="en-AU"/>
        </w:rPr>
        <w:t>).</w:t>
      </w:r>
    </w:p>
    <w:p w14:paraId="10AF9475" w14:textId="427E69F2" w:rsidR="006A1191" w:rsidRPr="00E70E4A" w:rsidRDefault="006A1191" w:rsidP="006A1191">
      <w:pPr>
        <w:tabs>
          <w:tab w:val="left" w:pos="1197"/>
          <w:tab w:val="left" w:pos="1767"/>
        </w:tabs>
        <w:spacing w:before="100"/>
        <w:ind w:left="720"/>
        <w:rPr>
          <w:rFonts w:ascii="Calibri" w:hAnsi="Calibri"/>
          <w:lang w:val="en-AU"/>
        </w:rPr>
      </w:pPr>
      <w:r w:rsidRPr="00E70E4A">
        <w:rPr>
          <w:rFonts w:ascii="Calibri" w:hAnsi="Calibri"/>
          <w:lang w:val="en-AU"/>
        </w:rPr>
        <w:t>Pursuant to standing order 99A, this petition stands referred to the Standing Committee on</w:t>
      </w:r>
      <w:r>
        <w:rPr>
          <w:rFonts w:ascii="Calibri" w:hAnsi="Calibri"/>
          <w:lang w:val="en-AU"/>
        </w:rPr>
        <w:t xml:space="preserve"> Education and Community Inclusion</w:t>
      </w:r>
      <w:r w:rsidRPr="00E70E4A">
        <w:rPr>
          <w:rFonts w:ascii="Calibri" w:hAnsi="Calibri"/>
          <w:lang w:val="en-AU"/>
        </w:rPr>
        <w:t>.</w:t>
      </w:r>
    </w:p>
    <w:p w14:paraId="2702362D" w14:textId="2320B9CD" w:rsidR="00C01826" w:rsidRPr="00C01826" w:rsidRDefault="009833F4" w:rsidP="001855C1">
      <w:pPr>
        <w:tabs>
          <w:tab w:val="left" w:pos="1197"/>
          <w:tab w:val="left" w:pos="1767"/>
        </w:tabs>
        <w:spacing w:before="100"/>
        <w:ind w:left="720"/>
        <w:rPr>
          <w:rFonts w:ascii="Calibri" w:hAnsi="Calibri"/>
          <w:lang w:val="en-AU"/>
        </w:rPr>
      </w:pPr>
      <w:r>
        <w:rPr>
          <w:rFonts w:ascii="Calibri" w:hAnsi="Calibri"/>
          <w:lang w:val="en-AU"/>
        </w:rPr>
        <w:t>Mr Pettersson</w:t>
      </w:r>
      <w:r w:rsidR="00C01826" w:rsidRPr="00C01826">
        <w:rPr>
          <w:rFonts w:ascii="Calibri" w:hAnsi="Calibri"/>
          <w:lang w:val="en-AU"/>
        </w:rPr>
        <w:t xml:space="preserve">, from </w:t>
      </w:r>
      <w:r>
        <w:rPr>
          <w:rFonts w:ascii="Calibri" w:hAnsi="Calibri"/>
          <w:lang w:val="en-AU"/>
        </w:rPr>
        <w:t>461</w:t>
      </w:r>
      <w:r w:rsidR="00C01826" w:rsidRPr="00C01826">
        <w:rPr>
          <w:rFonts w:ascii="Calibri" w:hAnsi="Calibri"/>
          <w:lang w:val="en-AU"/>
        </w:rPr>
        <w:t xml:space="preserve"> residents, requesting that </w:t>
      </w:r>
      <w:r w:rsidR="00E70E4A" w:rsidRPr="00E70E4A">
        <w:rPr>
          <w:rFonts w:ascii="Calibri" w:hAnsi="Calibri"/>
          <w:lang w:val="en-AU"/>
        </w:rPr>
        <w:t xml:space="preserve">the Assembly call on the ACT Government to implement </w:t>
      </w:r>
      <w:r w:rsidR="0032217D">
        <w:rPr>
          <w:rFonts w:ascii="Calibri" w:hAnsi="Calibri"/>
          <w:lang w:val="en-AU"/>
        </w:rPr>
        <w:t xml:space="preserve">a number of </w:t>
      </w:r>
      <w:r w:rsidR="00E70E4A" w:rsidRPr="00E70E4A">
        <w:rPr>
          <w:rFonts w:ascii="Calibri" w:hAnsi="Calibri"/>
          <w:lang w:val="en-AU"/>
        </w:rPr>
        <w:t>measures to address increasing crime in Giralang and Kaleen</w:t>
      </w:r>
      <w:r w:rsidR="00C01826" w:rsidRPr="00C01826">
        <w:rPr>
          <w:rFonts w:ascii="Calibri" w:hAnsi="Calibri"/>
          <w:lang w:val="en-AU"/>
        </w:rPr>
        <w:t xml:space="preserve"> (</w:t>
      </w:r>
      <w:r w:rsidR="00E70E4A">
        <w:rPr>
          <w:rFonts w:ascii="Calibri" w:hAnsi="Calibri"/>
          <w:lang w:val="en-AU"/>
        </w:rPr>
        <w:t>e-</w:t>
      </w:r>
      <w:r w:rsidR="00C01826" w:rsidRPr="00C01826">
        <w:rPr>
          <w:rFonts w:ascii="Calibri" w:hAnsi="Calibri"/>
          <w:lang w:val="en-AU"/>
        </w:rPr>
        <w:t xml:space="preserve">Pet </w:t>
      </w:r>
      <w:r w:rsidR="00E70E4A">
        <w:rPr>
          <w:rFonts w:ascii="Calibri" w:hAnsi="Calibri"/>
          <w:lang w:val="en-AU"/>
        </w:rPr>
        <w:t>032-24</w:t>
      </w:r>
      <w:r w:rsidR="00C01826" w:rsidRPr="00C01826">
        <w:rPr>
          <w:rFonts w:ascii="Calibri" w:hAnsi="Calibri"/>
          <w:lang w:val="en-AU"/>
        </w:rPr>
        <w:t>).</w:t>
      </w:r>
    </w:p>
    <w:p w14:paraId="1AE51273" w14:textId="3180EC0B" w:rsidR="00C01826" w:rsidRPr="00C01826" w:rsidRDefault="009833F4" w:rsidP="001855C1">
      <w:pPr>
        <w:tabs>
          <w:tab w:val="left" w:pos="1197"/>
          <w:tab w:val="left" w:pos="1767"/>
        </w:tabs>
        <w:spacing w:before="100"/>
        <w:ind w:left="720"/>
        <w:rPr>
          <w:rFonts w:ascii="Calibri" w:hAnsi="Calibri"/>
          <w:lang w:val="en-AU"/>
        </w:rPr>
      </w:pPr>
      <w:r>
        <w:rPr>
          <w:rFonts w:ascii="Calibri" w:hAnsi="Calibri"/>
          <w:lang w:val="en-AU"/>
        </w:rPr>
        <w:t>Miss Nuttall</w:t>
      </w:r>
      <w:r w:rsidR="00C01826" w:rsidRPr="00C01826">
        <w:rPr>
          <w:rFonts w:ascii="Calibri" w:hAnsi="Calibri"/>
          <w:lang w:val="en-AU"/>
        </w:rPr>
        <w:t xml:space="preserve">, from </w:t>
      </w:r>
      <w:r>
        <w:rPr>
          <w:rFonts w:ascii="Calibri" w:hAnsi="Calibri"/>
          <w:lang w:val="en-AU"/>
        </w:rPr>
        <w:t>107</w:t>
      </w:r>
      <w:r w:rsidR="00C01826" w:rsidRPr="00C01826">
        <w:rPr>
          <w:rFonts w:ascii="Calibri" w:hAnsi="Calibri"/>
          <w:lang w:val="en-AU"/>
        </w:rPr>
        <w:t xml:space="preserve"> residents, requesting that </w:t>
      </w:r>
      <w:r w:rsidR="00E70E4A" w:rsidRPr="00E70E4A">
        <w:rPr>
          <w:rFonts w:ascii="Calibri" w:hAnsi="Calibri"/>
          <w:lang w:val="en-AU"/>
        </w:rPr>
        <w:t>the Assembly call on the ACT Government to develop and maintain an online data base of sensory friendly venues</w:t>
      </w:r>
      <w:r w:rsidR="00C01826" w:rsidRPr="00C01826">
        <w:rPr>
          <w:rFonts w:ascii="Calibri" w:hAnsi="Calibri"/>
          <w:lang w:val="en-AU"/>
        </w:rPr>
        <w:t xml:space="preserve"> (</w:t>
      </w:r>
      <w:r w:rsidR="00E70E4A">
        <w:rPr>
          <w:rFonts w:ascii="Calibri" w:hAnsi="Calibri"/>
          <w:lang w:val="en-AU"/>
        </w:rPr>
        <w:t>e</w:t>
      </w:r>
      <w:r w:rsidR="00E70E4A">
        <w:rPr>
          <w:rFonts w:ascii="Calibri" w:hAnsi="Calibri"/>
          <w:lang w:val="en-AU"/>
        </w:rPr>
        <w:noBreakHyphen/>
      </w:r>
      <w:r w:rsidR="00C01826" w:rsidRPr="00C01826">
        <w:rPr>
          <w:rFonts w:ascii="Calibri" w:hAnsi="Calibri"/>
          <w:lang w:val="en-AU"/>
        </w:rPr>
        <w:t xml:space="preserve">Pet </w:t>
      </w:r>
      <w:r w:rsidR="00E70E4A">
        <w:rPr>
          <w:rFonts w:ascii="Calibri" w:hAnsi="Calibri"/>
          <w:lang w:val="en-AU"/>
        </w:rPr>
        <w:t>035-24</w:t>
      </w:r>
      <w:r w:rsidR="00C01826" w:rsidRPr="00C01826">
        <w:rPr>
          <w:rFonts w:ascii="Calibri" w:hAnsi="Calibri"/>
          <w:lang w:val="en-AU"/>
        </w:rPr>
        <w:t>).</w:t>
      </w:r>
    </w:p>
    <w:p w14:paraId="116A3AB8" w14:textId="3575C14A" w:rsidR="00C01826" w:rsidRPr="00C01826" w:rsidRDefault="009833F4" w:rsidP="001855C1">
      <w:pPr>
        <w:tabs>
          <w:tab w:val="left" w:pos="1197"/>
          <w:tab w:val="left" w:pos="1767"/>
        </w:tabs>
        <w:spacing w:before="100"/>
        <w:ind w:left="720"/>
        <w:rPr>
          <w:rFonts w:ascii="Calibri" w:hAnsi="Calibri"/>
          <w:lang w:val="en-AU"/>
        </w:rPr>
      </w:pPr>
      <w:r>
        <w:rPr>
          <w:rFonts w:ascii="Calibri" w:hAnsi="Calibri"/>
          <w:lang w:val="en-AU"/>
        </w:rPr>
        <w:t>Mrs Kikkert</w:t>
      </w:r>
      <w:r w:rsidR="00C01826" w:rsidRPr="00C01826">
        <w:rPr>
          <w:rFonts w:ascii="Calibri" w:hAnsi="Calibri"/>
          <w:lang w:val="en-AU"/>
        </w:rPr>
        <w:t xml:space="preserve">, from </w:t>
      </w:r>
      <w:r>
        <w:rPr>
          <w:rFonts w:ascii="Calibri" w:hAnsi="Calibri"/>
          <w:lang w:val="en-AU"/>
        </w:rPr>
        <w:t>13</w:t>
      </w:r>
      <w:r w:rsidR="00C01826" w:rsidRPr="00C01826">
        <w:rPr>
          <w:rFonts w:ascii="Calibri" w:hAnsi="Calibri"/>
          <w:lang w:val="en-AU"/>
        </w:rPr>
        <w:t xml:space="preserve"> residents, requesting that </w:t>
      </w:r>
      <w:r w:rsidR="00E70E4A" w:rsidRPr="00E70E4A">
        <w:rPr>
          <w:rFonts w:ascii="Calibri" w:hAnsi="Calibri"/>
          <w:lang w:val="en-AU"/>
        </w:rPr>
        <w:t>the Assembly call on the ACT Government to investigate matters relating to workers compensation for a workplace incident</w:t>
      </w:r>
      <w:r w:rsidR="00C01826" w:rsidRPr="00C01826">
        <w:rPr>
          <w:rFonts w:ascii="Calibri" w:hAnsi="Calibri"/>
          <w:lang w:val="en-AU"/>
        </w:rPr>
        <w:t xml:space="preserve"> (Pet </w:t>
      </w:r>
      <w:r w:rsidR="00E70E4A">
        <w:rPr>
          <w:rFonts w:ascii="Calibri" w:hAnsi="Calibri"/>
          <w:lang w:val="en-AU"/>
        </w:rPr>
        <w:t>040-24</w:t>
      </w:r>
      <w:r w:rsidR="00C01826" w:rsidRPr="00C01826">
        <w:rPr>
          <w:rFonts w:ascii="Calibri" w:hAnsi="Calibri"/>
          <w:lang w:val="en-AU"/>
        </w:rPr>
        <w:t>).</w:t>
      </w:r>
    </w:p>
    <w:p w14:paraId="328E70B8" w14:textId="77777777" w:rsidR="00C01826" w:rsidRPr="00C01826" w:rsidRDefault="00C01826" w:rsidP="001855C1">
      <w:pPr>
        <w:tabs>
          <w:tab w:val="left" w:pos="1197"/>
          <w:tab w:val="left" w:pos="1767"/>
        </w:tabs>
        <w:spacing w:before="100"/>
        <w:ind w:left="720"/>
        <w:rPr>
          <w:rFonts w:ascii="Calibri" w:hAnsi="Calibri"/>
          <w:b/>
          <w:lang w:val="en-AU"/>
        </w:rPr>
      </w:pPr>
      <w:r w:rsidRPr="00C01826">
        <w:rPr>
          <w:rFonts w:ascii="Calibri" w:hAnsi="Calibri"/>
          <w:b/>
          <w:lang w:val="en-AU"/>
        </w:rPr>
        <w:t>Ministerial responses</w:t>
      </w:r>
    </w:p>
    <w:p w14:paraId="1D87047C" w14:textId="77777777" w:rsidR="00C01826" w:rsidRPr="00C01826" w:rsidRDefault="00C01826" w:rsidP="001855C1">
      <w:pPr>
        <w:tabs>
          <w:tab w:val="left" w:pos="1197"/>
          <w:tab w:val="left" w:pos="1767"/>
        </w:tabs>
        <w:spacing w:before="100"/>
        <w:ind w:left="720"/>
        <w:rPr>
          <w:rFonts w:ascii="Calibri" w:hAnsi="Calibri"/>
          <w:lang w:val="en-AU"/>
        </w:rPr>
      </w:pPr>
      <w:r w:rsidRPr="00C01826">
        <w:rPr>
          <w:rFonts w:ascii="Calibri" w:hAnsi="Calibri"/>
          <w:lang w:val="en-AU"/>
        </w:rPr>
        <w:t>The Clerk announced that the following responses to petitions had been lodged:</w:t>
      </w:r>
    </w:p>
    <w:p w14:paraId="5FC3C104" w14:textId="0184F47A" w:rsidR="00C01826" w:rsidRPr="00C01826" w:rsidRDefault="009833F4" w:rsidP="001855C1">
      <w:pPr>
        <w:tabs>
          <w:tab w:val="left" w:pos="1197"/>
          <w:tab w:val="left" w:pos="1767"/>
        </w:tabs>
        <w:spacing w:before="100"/>
        <w:ind w:left="720"/>
        <w:rPr>
          <w:rFonts w:ascii="Calibri" w:hAnsi="Calibri"/>
          <w:lang w:val="en-AU"/>
        </w:rPr>
      </w:pPr>
      <w:r>
        <w:rPr>
          <w:rFonts w:ascii="Calibri" w:hAnsi="Calibri"/>
          <w:lang w:val="en-AU"/>
        </w:rPr>
        <w:t>Ms Cheyne (Minister for City Services)</w:t>
      </w:r>
      <w:r w:rsidR="00C01826" w:rsidRPr="00C01826">
        <w:rPr>
          <w:rFonts w:ascii="Calibri" w:hAnsi="Calibri"/>
          <w:lang w:val="en-AU"/>
        </w:rPr>
        <w:t xml:space="preserve">, dated </w:t>
      </w:r>
      <w:r>
        <w:rPr>
          <w:rFonts w:ascii="Calibri" w:hAnsi="Calibri"/>
          <w:lang w:val="en-AU"/>
        </w:rPr>
        <w:t>1 September 2024</w:t>
      </w:r>
      <w:r w:rsidR="00C01826" w:rsidRPr="00C01826">
        <w:rPr>
          <w:rFonts w:ascii="Calibri" w:hAnsi="Calibri"/>
          <w:lang w:val="en-AU"/>
        </w:rPr>
        <w:t xml:space="preserve">—Response to </w:t>
      </w:r>
      <w:r>
        <w:rPr>
          <w:rFonts w:ascii="Calibri" w:hAnsi="Calibri"/>
          <w:lang w:val="en-AU"/>
        </w:rPr>
        <w:t>e</w:t>
      </w:r>
      <w:r w:rsidR="00E70E4A">
        <w:rPr>
          <w:rFonts w:ascii="Calibri" w:hAnsi="Calibri"/>
          <w:lang w:val="en-AU"/>
        </w:rPr>
        <w:noBreakHyphen/>
      </w:r>
      <w:r w:rsidR="00C01826" w:rsidRPr="00C01826">
        <w:rPr>
          <w:rFonts w:ascii="Calibri" w:hAnsi="Calibri"/>
          <w:lang w:val="en-AU"/>
        </w:rPr>
        <w:t xml:space="preserve">petition No </w:t>
      </w:r>
      <w:r>
        <w:rPr>
          <w:rFonts w:ascii="Calibri" w:hAnsi="Calibri"/>
          <w:lang w:val="en-AU"/>
        </w:rPr>
        <w:t>011-24</w:t>
      </w:r>
      <w:r w:rsidR="00C01826" w:rsidRPr="00C01826">
        <w:rPr>
          <w:rFonts w:ascii="Calibri" w:hAnsi="Calibri"/>
          <w:lang w:val="en-AU"/>
        </w:rPr>
        <w:t xml:space="preserve">, lodged by </w:t>
      </w:r>
      <w:r>
        <w:rPr>
          <w:rFonts w:ascii="Calibri" w:hAnsi="Calibri"/>
          <w:lang w:val="en-AU"/>
        </w:rPr>
        <w:t>Mr Cocks</w:t>
      </w:r>
      <w:r w:rsidR="00C01826" w:rsidRPr="00C01826">
        <w:rPr>
          <w:rFonts w:ascii="Calibri" w:hAnsi="Calibri"/>
          <w:lang w:val="en-AU"/>
        </w:rPr>
        <w:t xml:space="preserve"> on </w:t>
      </w:r>
      <w:r>
        <w:rPr>
          <w:rFonts w:ascii="Calibri" w:hAnsi="Calibri"/>
          <w:lang w:val="en-AU"/>
        </w:rPr>
        <w:t>25 June 2024</w:t>
      </w:r>
      <w:r w:rsidR="00C01826" w:rsidRPr="00C01826">
        <w:rPr>
          <w:rFonts w:ascii="Calibri" w:hAnsi="Calibri"/>
          <w:lang w:val="en-AU"/>
        </w:rPr>
        <w:t xml:space="preserve">, concerning </w:t>
      </w:r>
      <w:r w:rsidR="00E70E4A" w:rsidRPr="00E70E4A">
        <w:rPr>
          <w:rFonts w:ascii="Calibri" w:hAnsi="Calibri"/>
          <w:lang w:val="en-AU"/>
        </w:rPr>
        <w:t>the duplication of Dalrymple Street</w:t>
      </w:r>
      <w:r w:rsidR="00E70E4A">
        <w:rPr>
          <w:rFonts w:ascii="Calibri" w:hAnsi="Calibri"/>
          <w:lang w:val="en-AU"/>
        </w:rPr>
        <w:t xml:space="preserve"> in</w:t>
      </w:r>
      <w:r w:rsidR="00E70E4A" w:rsidRPr="00E70E4A">
        <w:rPr>
          <w:rFonts w:ascii="Calibri" w:hAnsi="Calibri"/>
          <w:lang w:val="en-AU"/>
        </w:rPr>
        <w:t xml:space="preserve"> Red Hill</w:t>
      </w:r>
      <w:r w:rsidR="00C01826" w:rsidRPr="00C01826">
        <w:rPr>
          <w:rFonts w:ascii="Calibri" w:hAnsi="Calibri"/>
          <w:lang w:val="en-AU"/>
        </w:rPr>
        <w:t>.</w:t>
      </w:r>
    </w:p>
    <w:p w14:paraId="73D0AA97" w14:textId="64A38F76" w:rsidR="00C01826" w:rsidRPr="00C01826" w:rsidRDefault="009833F4" w:rsidP="0032217D">
      <w:pPr>
        <w:tabs>
          <w:tab w:val="left" w:pos="1197"/>
          <w:tab w:val="left" w:pos="1767"/>
        </w:tabs>
        <w:spacing w:before="100"/>
        <w:ind w:left="720"/>
        <w:rPr>
          <w:rFonts w:ascii="Calibri" w:hAnsi="Calibri"/>
          <w:lang w:val="en-AU"/>
        </w:rPr>
      </w:pPr>
      <w:r>
        <w:rPr>
          <w:rFonts w:ascii="Calibri" w:hAnsi="Calibri"/>
          <w:lang w:val="en-AU"/>
        </w:rPr>
        <w:t>Ms Cheyne (Minister for City Services)</w:t>
      </w:r>
      <w:r w:rsidR="00C01826" w:rsidRPr="00C01826">
        <w:rPr>
          <w:rFonts w:ascii="Calibri" w:hAnsi="Calibri"/>
          <w:lang w:val="en-AU"/>
        </w:rPr>
        <w:t xml:space="preserve">, </w:t>
      </w:r>
      <w:r w:rsidR="00E70E4A">
        <w:rPr>
          <w:rFonts w:ascii="Calibri" w:hAnsi="Calibri"/>
          <w:lang w:val="en-AU"/>
        </w:rPr>
        <w:t>undated</w:t>
      </w:r>
      <w:r w:rsidR="00C01826" w:rsidRPr="00C01826">
        <w:rPr>
          <w:rFonts w:ascii="Calibri" w:hAnsi="Calibri"/>
          <w:lang w:val="en-AU"/>
        </w:rPr>
        <w:t xml:space="preserve">—Response to </w:t>
      </w:r>
      <w:r w:rsidR="00E70E4A">
        <w:rPr>
          <w:rFonts w:ascii="Calibri" w:hAnsi="Calibri"/>
          <w:lang w:val="en-AU"/>
        </w:rPr>
        <w:t>e-</w:t>
      </w:r>
      <w:r w:rsidR="00C01826" w:rsidRPr="00C01826">
        <w:rPr>
          <w:rFonts w:ascii="Calibri" w:hAnsi="Calibri"/>
          <w:lang w:val="en-AU"/>
        </w:rPr>
        <w:t>petition No</w:t>
      </w:r>
      <w:r w:rsidR="00E70E4A">
        <w:rPr>
          <w:rFonts w:ascii="Calibri" w:hAnsi="Calibri"/>
          <w:lang w:val="en-AU"/>
        </w:rPr>
        <w:t> 009-24 and Pet 023-24</w:t>
      </w:r>
      <w:r w:rsidR="00C01826" w:rsidRPr="00C01826">
        <w:rPr>
          <w:rFonts w:ascii="Calibri" w:hAnsi="Calibri"/>
          <w:lang w:val="en-AU"/>
        </w:rPr>
        <w:t xml:space="preserve">, lodged by </w:t>
      </w:r>
      <w:r>
        <w:rPr>
          <w:rFonts w:ascii="Calibri" w:hAnsi="Calibri"/>
          <w:lang w:val="en-AU"/>
        </w:rPr>
        <w:t>Mr Cain</w:t>
      </w:r>
      <w:r w:rsidR="00C01826" w:rsidRPr="00C01826">
        <w:rPr>
          <w:rFonts w:ascii="Calibri" w:hAnsi="Calibri"/>
          <w:lang w:val="en-AU"/>
        </w:rPr>
        <w:t xml:space="preserve"> on </w:t>
      </w:r>
      <w:r>
        <w:rPr>
          <w:rFonts w:ascii="Calibri" w:hAnsi="Calibri"/>
          <w:lang w:val="en-AU"/>
        </w:rPr>
        <w:t>4 June 2024</w:t>
      </w:r>
      <w:r w:rsidR="00C01826" w:rsidRPr="00C01826">
        <w:rPr>
          <w:rFonts w:ascii="Calibri" w:hAnsi="Calibri"/>
          <w:lang w:val="en-AU"/>
        </w:rPr>
        <w:t>, concerning</w:t>
      </w:r>
      <w:r w:rsidR="00E70E4A" w:rsidRPr="00E70E4A">
        <w:t xml:space="preserve"> </w:t>
      </w:r>
      <w:r w:rsidR="00E70E4A" w:rsidRPr="00E70E4A">
        <w:rPr>
          <w:rFonts w:ascii="Calibri" w:hAnsi="Calibri"/>
          <w:lang w:val="en-AU"/>
        </w:rPr>
        <w:t>the long</w:t>
      </w:r>
      <w:r w:rsidR="00346139">
        <w:rPr>
          <w:rFonts w:ascii="Calibri" w:hAnsi="Calibri"/>
          <w:lang w:val="en-AU"/>
        </w:rPr>
        <w:t>-</w:t>
      </w:r>
      <w:r w:rsidR="00E70E4A" w:rsidRPr="00E70E4A">
        <w:rPr>
          <w:rFonts w:ascii="Calibri" w:hAnsi="Calibri"/>
          <w:lang w:val="en-AU"/>
        </w:rPr>
        <w:t>term car park at the Kippax Group Centre</w:t>
      </w:r>
      <w:r w:rsidR="00C01826" w:rsidRPr="00C01826">
        <w:rPr>
          <w:rFonts w:ascii="Calibri" w:hAnsi="Calibri"/>
          <w:lang w:val="en-AU"/>
        </w:rPr>
        <w:t>.</w:t>
      </w:r>
    </w:p>
    <w:p w14:paraId="109D6676" w14:textId="77777777" w:rsidR="00C01826" w:rsidRPr="0032217D" w:rsidRDefault="00C01826" w:rsidP="0032217D">
      <w:pPr>
        <w:jc w:val="center"/>
        <w:rPr>
          <w:rFonts w:ascii="Calibri" w:hAnsi="Calibri"/>
          <w:sz w:val="20"/>
          <w:lang w:val="en-AU"/>
        </w:rPr>
      </w:pPr>
      <w:r w:rsidRPr="0032217D">
        <w:rPr>
          <w:rFonts w:ascii="Calibri" w:hAnsi="Calibri"/>
          <w:sz w:val="20"/>
          <w:lang w:val="en-AU"/>
        </w:rPr>
        <w:t>____________________</w:t>
      </w:r>
    </w:p>
    <w:p w14:paraId="01707C1C" w14:textId="77777777" w:rsidR="00C01826" w:rsidRPr="00C01826" w:rsidRDefault="00C01826" w:rsidP="001855C1">
      <w:pPr>
        <w:tabs>
          <w:tab w:val="left" w:pos="1197"/>
          <w:tab w:val="left" w:pos="1767"/>
        </w:tabs>
        <w:spacing w:before="80"/>
        <w:ind w:left="720"/>
        <w:rPr>
          <w:rFonts w:ascii="Calibri" w:hAnsi="Calibri"/>
          <w:lang w:val="en-AU"/>
        </w:rPr>
      </w:pPr>
      <w:r w:rsidRPr="00C01826">
        <w:rPr>
          <w:rFonts w:ascii="Calibri" w:hAnsi="Calibri"/>
          <w:lang w:val="en-AU"/>
        </w:rPr>
        <w:t>The Speaker proposed—That the petitions and responses so lodged be noted.</w:t>
      </w:r>
    </w:p>
    <w:p w14:paraId="5355FD56" w14:textId="77777777" w:rsidR="00C01826" w:rsidRDefault="00C01826" w:rsidP="001855C1">
      <w:pPr>
        <w:tabs>
          <w:tab w:val="left" w:pos="1197"/>
          <w:tab w:val="left" w:pos="1767"/>
        </w:tabs>
        <w:spacing w:before="80"/>
        <w:ind w:left="720"/>
        <w:jc w:val="both"/>
        <w:rPr>
          <w:rFonts w:ascii="Calibri" w:hAnsi="Calibri"/>
          <w:lang w:val="en-AU"/>
        </w:rPr>
      </w:pPr>
      <w:r w:rsidRPr="00C01826">
        <w:rPr>
          <w:rFonts w:ascii="Calibri" w:hAnsi="Calibri"/>
          <w:lang w:val="en-AU"/>
        </w:rPr>
        <w:t>Debate ensued.</w:t>
      </w:r>
    </w:p>
    <w:p w14:paraId="221F6A43" w14:textId="74847F58" w:rsidR="00E70E4A" w:rsidRDefault="00E70E4A" w:rsidP="001855C1">
      <w:pPr>
        <w:spacing w:before="80"/>
        <w:ind w:left="720"/>
        <w:jc w:val="both"/>
        <w:rPr>
          <w:rFonts w:ascii="Calibri" w:hAnsi="Calibri"/>
        </w:rPr>
      </w:pPr>
      <w:r>
        <w:rPr>
          <w:rFonts w:ascii="Calibri" w:hAnsi="Calibri"/>
        </w:rPr>
        <w:t>Mrs Kikkert, by leave, was granted an extension of time.</w:t>
      </w:r>
    </w:p>
    <w:p w14:paraId="26312ADF" w14:textId="6E7F3E9E" w:rsidR="00E70E4A" w:rsidRPr="00C01826" w:rsidRDefault="00E70E4A" w:rsidP="001855C1">
      <w:pPr>
        <w:tabs>
          <w:tab w:val="left" w:pos="1197"/>
          <w:tab w:val="left" w:pos="1767"/>
        </w:tabs>
        <w:spacing w:before="80"/>
        <w:ind w:left="720"/>
        <w:jc w:val="both"/>
        <w:rPr>
          <w:rFonts w:ascii="Calibri" w:hAnsi="Calibri"/>
          <w:lang w:val="en-AU"/>
        </w:rPr>
      </w:pPr>
      <w:r>
        <w:rPr>
          <w:rFonts w:ascii="Calibri" w:hAnsi="Calibri"/>
          <w:lang w:val="en-AU"/>
        </w:rPr>
        <w:t>Debate continued.</w:t>
      </w:r>
    </w:p>
    <w:p w14:paraId="24E4AACE" w14:textId="1A163A99" w:rsidR="00C01826" w:rsidRPr="00C01826" w:rsidRDefault="00C01826" w:rsidP="001855C1">
      <w:pPr>
        <w:tabs>
          <w:tab w:val="left" w:pos="1197"/>
          <w:tab w:val="left" w:pos="1767"/>
        </w:tabs>
        <w:spacing w:before="80"/>
        <w:ind w:left="720"/>
        <w:rPr>
          <w:rFonts w:ascii="Calibri" w:hAnsi="Calibri"/>
          <w:lang w:val="en-AU"/>
        </w:rPr>
      </w:pPr>
      <w:r w:rsidRPr="00C01826">
        <w:rPr>
          <w:rFonts w:ascii="Calibri" w:hAnsi="Calibri"/>
          <w:lang w:val="en-AU"/>
        </w:rPr>
        <w:t>Question—put and passed.</w:t>
      </w:r>
    </w:p>
    <w:p w14:paraId="57169FB4" w14:textId="53CBB4B6" w:rsidR="00C01826" w:rsidRPr="00C01826" w:rsidRDefault="00C01826" w:rsidP="0032217D">
      <w:pPr>
        <w:keepNext/>
        <w:keepLines/>
        <w:tabs>
          <w:tab w:val="right" w:pos="339"/>
          <w:tab w:val="left" w:pos="720"/>
        </w:tabs>
        <w:spacing w:before="200"/>
        <w:ind w:left="720" w:hanging="720"/>
        <w:rPr>
          <w:rFonts w:ascii="Calibri" w:hAnsi="Calibri"/>
          <w:b/>
          <w:caps/>
          <w:lang w:val="en-AU"/>
        </w:rPr>
      </w:pPr>
      <w:r w:rsidRPr="00C01826">
        <w:rPr>
          <w:rFonts w:ascii="Calibri" w:hAnsi="Calibri"/>
          <w:b/>
          <w:caps/>
          <w:lang w:val="en-AU"/>
        </w:rPr>
        <w:tab/>
      </w:r>
      <w:r w:rsidR="001855C1">
        <w:rPr>
          <w:rFonts w:ascii="Calibri" w:hAnsi="Calibri"/>
          <w:b/>
          <w:bCs/>
          <w:caps/>
          <w:lang w:val="en-AU"/>
        </w:rPr>
        <w:fldChar w:fldCharType="begin"/>
      </w:r>
      <w:r w:rsidR="001855C1">
        <w:rPr>
          <w:rFonts w:ascii="Calibri" w:hAnsi="Calibri"/>
          <w:b/>
          <w:bCs/>
          <w:caps/>
          <w:lang w:val="en-AU"/>
        </w:rPr>
        <w:instrText xml:space="preserve"> SEQ A \* MERGEFORMAT </w:instrText>
      </w:r>
      <w:r w:rsidR="001855C1">
        <w:rPr>
          <w:rFonts w:ascii="Calibri" w:hAnsi="Calibri"/>
          <w:b/>
          <w:bCs/>
          <w:caps/>
          <w:lang w:val="en-AU"/>
        </w:rPr>
        <w:fldChar w:fldCharType="separate"/>
      </w:r>
      <w:r w:rsidR="00A64AFA">
        <w:rPr>
          <w:rFonts w:ascii="Calibri" w:hAnsi="Calibri"/>
          <w:b/>
          <w:bCs/>
          <w:caps/>
          <w:noProof/>
          <w:lang w:val="en-AU"/>
        </w:rPr>
        <w:t>5</w:t>
      </w:r>
      <w:r w:rsidR="001855C1">
        <w:rPr>
          <w:rFonts w:ascii="Calibri" w:hAnsi="Calibri"/>
          <w:b/>
          <w:bCs/>
          <w:caps/>
          <w:lang w:val="en-AU"/>
        </w:rPr>
        <w:fldChar w:fldCharType="end"/>
      </w:r>
      <w:r w:rsidRPr="00C01826">
        <w:rPr>
          <w:rFonts w:ascii="Calibri" w:hAnsi="Calibri"/>
          <w:b/>
          <w:caps/>
          <w:lang w:val="en-AU"/>
        </w:rPr>
        <w:tab/>
        <w:t xml:space="preserve">Justice and Community Safety—Standing Committee (Legislative Scrutiny Role)—SCRUTINY REPORT </w:t>
      </w:r>
      <w:r>
        <w:rPr>
          <w:rFonts w:ascii="Calibri" w:hAnsi="Calibri"/>
          <w:b/>
          <w:caps/>
          <w:lang w:val="en-AU"/>
        </w:rPr>
        <w:t>45</w:t>
      </w:r>
      <w:r w:rsidRPr="00C01826">
        <w:rPr>
          <w:rFonts w:ascii="Calibri" w:hAnsi="Calibri"/>
          <w:b/>
          <w:caps/>
          <w:lang w:val="en-AU"/>
        </w:rPr>
        <w:t>—STATEMENT BY CHAIR</w:t>
      </w:r>
    </w:p>
    <w:p w14:paraId="19F992C9" w14:textId="079469AE" w:rsidR="00C01826" w:rsidRPr="00C01826" w:rsidRDefault="00C01826" w:rsidP="00C01826">
      <w:pPr>
        <w:spacing w:before="120"/>
        <w:ind w:left="720"/>
        <w:rPr>
          <w:rFonts w:ascii="Calibri" w:hAnsi="Calibri"/>
          <w:lang w:val="en-AU"/>
        </w:rPr>
      </w:pPr>
      <w:r>
        <w:rPr>
          <w:rFonts w:ascii="Calibri" w:hAnsi="Calibri"/>
          <w:lang w:val="en-AU"/>
        </w:rPr>
        <w:t>Mr Cain</w:t>
      </w:r>
      <w:r w:rsidRPr="00C01826">
        <w:rPr>
          <w:rFonts w:ascii="Calibri" w:hAnsi="Calibri"/>
          <w:lang w:val="en-AU"/>
        </w:rPr>
        <w:t xml:space="preserve"> (Chair) presented the following report:</w:t>
      </w:r>
    </w:p>
    <w:p w14:paraId="1680ED0F" w14:textId="61D2BB26" w:rsidR="00C01826" w:rsidRPr="00C01826" w:rsidRDefault="00C01826" w:rsidP="0032217D">
      <w:pPr>
        <w:spacing w:before="80"/>
        <w:ind w:left="720"/>
        <w:rPr>
          <w:rFonts w:ascii="Calibri" w:hAnsi="Calibri"/>
          <w:iCs/>
          <w:lang w:val="en-AU"/>
        </w:rPr>
      </w:pPr>
      <w:r w:rsidRPr="00C01826">
        <w:rPr>
          <w:rFonts w:ascii="Calibri" w:hAnsi="Calibri"/>
          <w:lang w:val="en-AU"/>
        </w:rPr>
        <w:t xml:space="preserve">Justice and Community Safety—Standing Committee (Legislative Scrutiny Role)—Scrutiny Report </w:t>
      </w:r>
      <w:r>
        <w:rPr>
          <w:rFonts w:ascii="Calibri" w:hAnsi="Calibri"/>
          <w:caps/>
          <w:lang w:val="en-AU"/>
        </w:rPr>
        <w:t>45</w:t>
      </w:r>
      <w:r w:rsidRPr="00C01826">
        <w:rPr>
          <w:rFonts w:ascii="Calibri" w:hAnsi="Calibri"/>
          <w:i/>
          <w:iCs/>
          <w:lang w:val="en-AU"/>
        </w:rPr>
        <w:t>,</w:t>
      </w:r>
      <w:r w:rsidRPr="00C01826">
        <w:rPr>
          <w:rFonts w:ascii="Calibri" w:hAnsi="Calibri"/>
          <w:iCs/>
          <w:lang w:val="en-AU"/>
        </w:rPr>
        <w:t xml:space="preserve"> dated </w:t>
      </w:r>
      <w:r>
        <w:rPr>
          <w:rFonts w:ascii="Calibri" w:hAnsi="Calibri"/>
          <w:iCs/>
          <w:lang w:val="en-AU"/>
        </w:rPr>
        <w:t>2 September 2024</w:t>
      </w:r>
      <w:r w:rsidRPr="00C01826">
        <w:rPr>
          <w:rFonts w:ascii="Calibri" w:hAnsi="Calibri"/>
          <w:iCs/>
          <w:lang w:val="en-AU"/>
        </w:rPr>
        <w:t>, together with a copy of the extracts of the relevant minutes of proceedings—</w:t>
      </w:r>
    </w:p>
    <w:p w14:paraId="6B13093A" w14:textId="77777777" w:rsidR="00C01826" w:rsidRDefault="00C01826" w:rsidP="0032217D">
      <w:pPr>
        <w:spacing w:before="80"/>
        <w:ind w:left="720"/>
        <w:rPr>
          <w:rFonts w:ascii="Calibri" w:hAnsi="Calibri"/>
          <w:iCs/>
          <w:lang w:val="en-AU"/>
        </w:rPr>
      </w:pPr>
      <w:r w:rsidRPr="00C01826">
        <w:rPr>
          <w:rFonts w:ascii="Calibri" w:hAnsi="Calibri"/>
          <w:iCs/>
          <w:lang w:val="en-AU"/>
        </w:rPr>
        <w:t>and, by leave, made a statement in relation to the report.</w:t>
      </w:r>
    </w:p>
    <w:p w14:paraId="60EFAA30" w14:textId="6A27492C" w:rsidR="00C01826" w:rsidRPr="00C01826" w:rsidRDefault="00C01826" w:rsidP="00C01826">
      <w:pPr>
        <w:keepNext/>
        <w:keepLines/>
        <w:tabs>
          <w:tab w:val="right" w:pos="339"/>
          <w:tab w:val="left" w:pos="720"/>
        </w:tabs>
        <w:spacing w:before="240"/>
        <w:ind w:left="720" w:hanging="720"/>
        <w:rPr>
          <w:rFonts w:ascii="Calibri" w:hAnsi="Calibri"/>
          <w:b/>
          <w:caps/>
          <w:lang w:val="en-AU"/>
        </w:rPr>
      </w:pPr>
      <w:r w:rsidRPr="00C01826">
        <w:rPr>
          <w:rFonts w:ascii="Calibri" w:hAnsi="Calibri"/>
          <w:b/>
          <w:caps/>
          <w:lang w:val="en-AU"/>
        </w:rPr>
        <w:lastRenderedPageBreak/>
        <w:tab/>
      </w:r>
      <w:r w:rsidR="001855C1">
        <w:rPr>
          <w:rFonts w:ascii="Calibri" w:hAnsi="Calibri"/>
          <w:b/>
          <w:bCs/>
          <w:caps/>
          <w:lang w:val="en-AU"/>
        </w:rPr>
        <w:fldChar w:fldCharType="begin"/>
      </w:r>
      <w:r w:rsidR="001855C1">
        <w:rPr>
          <w:rFonts w:ascii="Calibri" w:hAnsi="Calibri"/>
          <w:b/>
          <w:bCs/>
          <w:caps/>
          <w:lang w:val="en-AU"/>
        </w:rPr>
        <w:instrText xml:space="preserve"> SEQ A \* MERGEFORMAT </w:instrText>
      </w:r>
      <w:r w:rsidR="001855C1">
        <w:rPr>
          <w:rFonts w:ascii="Calibri" w:hAnsi="Calibri"/>
          <w:b/>
          <w:bCs/>
          <w:caps/>
          <w:lang w:val="en-AU"/>
        </w:rPr>
        <w:fldChar w:fldCharType="separate"/>
      </w:r>
      <w:r w:rsidR="00A64AFA">
        <w:rPr>
          <w:rFonts w:ascii="Calibri" w:hAnsi="Calibri"/>
          <w:b/>
          <w:bCs/>
          <w:caps/>
          <w:noProof/>
          <w:lang w:val="en-AU"/>
        </w:rPr>
        <w:t>6</w:t>
      </w:r>
      <w:r w:rsidR="001855C1">
        <w:rPr>
          <w:rFonts w:ascii="Calibri" w:hAnsi="Calibri"/>
          <w:b/>
          <w:bCs/>
          <w:caps/>
          <w:lang w:val="en-AU"/>
        </w:rPr>
        <w:fldChar w:fldCharType="end"/>
      </w:r>
      <w:r w:rsidRPr="00C01826">
        <w:rPr>
          <w:rFonts w:ascii="Calibri" w:hAnsi="Calibri"/>
          <w:b/>
          <w:caps/>
          <w:lang w:val="en-AU"/>
        </w:rPr>
        <w:tab/>
      </w:r>
      <w:r>
        <w:rPr>
          <w:rFonts w:ascii="Calibri" w:hAnsi="Calibri"/>
          <w:b/>
          <w:caps/>
          <w:lang w:val="en-AU"/>
        </w:rPr>
        <w:t>Justice and Community Safety—Standing Committee</w:t>
      </w:r>
      <w:r w:rsidRPr="00C01826">
        <w:rPr>
          <w:rFonts w:ascii="Calibri" w:hAnsi="Calibri"/>
          <w:b/>
          <w:caps/>
          <w:lang w:val="en-AU"/>
        </w:rPr>
        <w:t xml:space="preserve">—REPORT </w:t>
      </w:r>
      <w:r>
        <w:rPr>
          <w:rFonts w:ascii="Calibri" w:hAnsi="Calibri"/>
          <w:b/>
          <w:caps/>
          <w:lang w:val="en-AU"/>
        </w:rPr>
        <w:t>30</w:t>
      </w:r>
      <w:r w:rsidRPr="00C01826">
        <w:rPr>
          <w:rFonts w:ascii="Calibri" w:hAnsi="Calibri"/>
          <w:b/>
          <w:caps/>
          <w:lang w:val="en-AU"/>
        </w:rPr>
        <w:t>—</w:t>
      </w:r>
      <w:r>
        <w:rPr>
          <w:rFonts w:ascii="Calibri" w:hAnsi="Calibri"/>
          <w:b/>
          <w:caps/>
          <w:lang w:val="en-AU"/>
        </w:rPr>
        <w:t>Inquiry into the administration of bail</w:t>
      </w:r>
      <w:r w:rsidRPr="00C01826">
        <w:rPr>
          <w:rFonts w:ascii="Calibri" w:hAnsi="Calibri"/>
          <w:b/>
          <w:caps/>
          <w:lang w:val="en-AU"/>
        </w:rPr>
        <w:t>—report noted</w:t>
      </w:r>
    </w:p>
    <w:p w14:paraId="6560D897" w14:textId="76E39B7E" w:rsidR="00C01826" w:rsidRPr="00C01826" w:rsidRDefault="00C01826" w:rsidP="00C01826">
      <w:pPr>
        <w:spacing w:before="120"/>
        <w:ind w:left="720"/>
        <w:rPr>
          <w:rFonts w:ascii="Calibri" w:hAnsi="Calibri"/>
          <w:lang w:val="en-AU"/>
        </w:rPr>
      </w:pPr>
      <w:r>
        <w:rPr>
          <w:rFonts w:ascii="Calibri" w:hAnsi="Calibri"/>
          <w:lang w:val="en-AU"/>
        </w:rPr>
        <w:t>Mr Cain</w:t>
      </w:r>
      <w:r w:rsidRPr="00C01826">
        <w:rPr>
          <w:rFonts w:ascii="Calibri" w:hAnsi="Calibri"/>
          <w:lang w:val="en-AU"/>
        </w:rPr>
        <w:t xml:space="preserve"> (Chair) presented the following report:</w:t>
      </w:r>
    </w:p>
    <w:p w14:paraId="4F61FAF0" w14:textId="6C628A27" w:rsidR="00C01826" w:rsidRPr="00C01826" w:rsidRDefault="00C01826" w:rsidP="00C01826">
      <w:pPr>
        <w:spacing w:before="120"/>
        <w:ind w:left="720"/>
        <w:rPr>
          <w:rFonts w:ascii="Calibri" w:hAnsi="Calibri"/>
          <w:iCs/>
          <w:lang w:val="en-AU"/>
        </w:rPr>
      </w:pPr>
      <w:r>
        <w:rPr>
          <w:rFonts w:ascii="Calibri" w:hAnsi="Calibri"/>
          <w:bCs/>
          <w:lang w:val="en-AU"/>
        </w:rPr>
        <w:t>Justice and Community Safety—Standing Committee</w:t>
      </w:r>
      <w:r w:rsidRPr="00C01826">
        <w:rPr>
          <w:rFonts w:ascii="Calibri" w:hAnsi="Calibri"/>
          <w:lang w:val="en-AU"/>
        </w:rPr>
        <w:t xml:space="preserve">—Report </w:t>
      </w:r>
      <w:r>
        <w:rPr>
          <w:rFonts w:ascii="Calibri" w:hAnsi="Calibri"/>
          <w:caps/>
          <w:lang w:val="en-AU"/>
        </w:rPr>
        <w:t>30</w:t>
      </w:r>
      <w:r w:rsidRPr="00C01826">
        <w:rPr>
          <w:rFonts w:ascii="Calibri" w:hAnsi="Calibri"/>
          <w:lang w:val="en-AU"/>
        </w:rPr>
        <w:t>—</w:t>
      </w:r>
      <w:r>
        <w:rPr>
          <w:rFonts w:ascii="Calibri" w:hAnsi="Calibri"/>
          <w:i/>
          <w:iCs/>
          <w:lang w:val="en-AU"/>
        </w:rPr>
        <w:t>Inquiry into the administration of bail</w:t>
      </w:r>
      <w:r w:rsidRPr="00C01826">
        <w:rPr>
          <w:rFonts w:ascii="Calibri" w:hAnsi="Calibri"/>
          <w:i/>
          <w:iCs/>
          <w:lang w:val="en-AU"/>
        </w:rPr>
        <w:t>,</w:t>
      </w:r>
      <w:r w:rsidRPr="00C01826">
        <w:rPr>
          <w:rFonts w:ascii="Calibri" w:hAnsi="Calibri"/>
          <w:iCs/>
          <w:lang w:val="en-AU"/>
        </w:rPr>
        <w:t xml:space="preserve"> dated </w:t>
      </w:r>
      <w:r w:rsidR="002018B9">
        <w:rPr>
          <w:rFonts w:ascii="Calibri" w:hAnsi="Calibri"/>
          <w:iCs/>
          <w:lang w:val="en-AU"/>
        </w:rPr>
        <w:t xml:space="preserve">21 </w:t>
      </w:r>
      <w:r>
        <w:rPr>
          <w:rFonts w:ascii="Calibri" w:hAnsi="Calibri"/>
          <w:iCs/>
          <w:lang w:val="en-AU"/>
        </w:rPr>
        <w:t>August 2024</w:t>
      </w:r>
      <w:r w:rsidRPr="00C01826">
        <w:rPr>
          <w:rFonts w:ascii="Calibri" w:hAnsi="Calibri"/>
          <w:iCs/>
          <w:lang w:val="en-AU"/>
        </w:rPr>
        <w:t xml:space="preserve">, </w:t>
      </w:r>
      <w:r w:rsidR="00346139">
        <w:rPr>
          <w:rFonts w:ascii="Calibri" w:hAnsi="Calibri"/>
          <w:iCs/>
          <w:lang w:val="en-AU"/>
        </w:rPr>
        <w:t xml:space="preserve">including a dissenting report </w:t>
      </w:r>
      <w:r w:rsidR="00346139">
        <w:rPr>
          <w:rFonts w:ascii="Calibri" w:hAnsi="Calibri"/>
          <w:i/>
          <w:lang w:val="en-AU"/>
        </w:rPr>
        <w:t>(Mr Cain)</w:t>
      </w:r>
      <w:r w:rsidR="00346139">
        <w:rPr>
          <w:rFonts w:ascii="Calibri" w:hAnsi="Calibri"/>
          <w:iCs/>
          <w:lang w:val="en-AU"/>
        </w:rPr>
        <w:t xml:space="preserve">, </w:t>
      </w:r>
      <w:r w:rsidRPr="00C01826">
        <w:rPr>
          <w:rFonts w:ascii="Calibri" w:hAnsi="Calibri"/>
          <w:iCs/>
          <w:lang w:val="en-AU"/>
        </w:rPr>
        <w:t>together with a copy of the extracts of the relevant minutes of proceedings—</w:t>
      </w:r>
    </w:p>
    <w:p w14:paraId="7CE49A1B" w14:textId="77777777" w:rsidR="00C01826" w:rsidRPr="00C01826" w:rsidRDefault="00C01826" w:rsidP="00C01826">
      <w:pPr>
        <w:spacing w:before="120"/>
        <w:ind w:left="720"/>
        <w:rPr>
          <w:rFonts w:ascii="Calibri" w:hAnsi="Calibri"/>
          <w:iCs/>
          <w:lang w:val="en-AU"/>
        </w:rPr>
      </w:pPr>
      <w:r w:rsidRPr="00C01826">
        <w:rPr>
          <w:rFonts w:ascii="Calibri" w:hAnsi="Calibri"/>
          <w:iCs/>
          <w:lang w:val="en-AU"/>
        </w:rPr>
        <w:t>and moved—That the report be noted.</w:t>
      </w:r>
    </w:p>
    <w:p w14:paraId="68F9049A" w14:textId="1B5AE2D8" w:rsidR="00C01826" w:rsidRDefault="00C01826" w:rsidP="00C01826">
      <w:pPr>
        <w:spacing w:before="120"/>
        <w:ind w:left="720"/>
        <w:rPr>
          <w:rFonts w:ascii="Calibri" w:hAnsi="Calibri"/>
          <w:iCs/>
          <w:lang w:val="en-AU"/>
        </w:rPr>
      </w:pPr>
      <w:r w:rsidRPr="00C01826">
        <w:rPr>
          <w:rFonts w:ascii="Calibri" w:hAnsi="Calibri"/>
          <w:iCs/>
          <w:lang w:val="en-AU"/>
        </w:rPr>
        <w:t>Question—put and passed.</w:t>
      </w:r>
    </w:p>
    <w:p w14:paraId="61C796A3" w14:textId="2674BAAB" w:rsidR="002018B9" w:rsidRPr="002018B9" w:rsidRDefault="002018B9" w:rsidP="002018B9">
      <w:pPr>
        <w:keepNext/>
        <w:keepLines/>
        <w:tabs>
          <w:tab w:val="right" w:pos="339"/>
          <w:tab w:val="left" w:pos="720"/>
        </w:tabs>
        <w:spacing w:before="240"/>
        <w:ind w:left="720" w:hanging="720"/>
        <w:rPr>
          <w:rFonts w:ascii="Calibri" w:hAnsi="Calibri"/>
          <w:b/>
          <w:caps/>
        </w:rPr>
      </w:pPr>
      <w:r w:rsidRPr="002018B9">
        <w:rPr>
          <w:rFonts w:ascii="Calibri" w:hAnsi="Calibri"/>
          <w:b/>
          <w:caps/>
        </w:rPr>
        <w:tab/>
      </w:r>
      <w:r w:rsidR="001855C1">
        <w:rPr>
          <w:rFonts w:ascii="Calibri" w:hAnsi="Calibri"/>
          <w:b/>
          <w:bCs/>
          <w:caps/>
        </w:rPr>
        <w:fldChar w:fldCharType="begin"/>
      </w:r>
      <w:r w:rsidR="001855C1">
        <w:rPr>
          <w:rFonts w:ascii="Calibri" w:hAnsi="Calibri"/>
          <w:b/>
          <w:bCs/>
          <w:caps/>
        </w:rPr>
        <w:instrText xml:space="preserve"> SEQ A \* MERGEFORMAT </w:instrText>
      </w:r>
      <w:r w:rsidR="001855C1">
        <w:rPr>
          <w:rFonts w:ascii="Calibri" w:hAnsi="Calibri"/>
          <w:b/>
          <w:bCs/>
          <w:caps/>
        </w:rPr>
        <w:fldChar w:fldCharType="separate"/>
      </w:r>
      <w:r w:rsidR="00A64AFA">
        <w:rPr>
          <w:rFonts w:ascii="Calibri" w:hAnsi="Calibri"/>
          <w:b/>
          <w:bCs/>
          <w:caps/>
          <w:noProof/>
        </w:rPr>
        <w:t>7</w:t>
      </w:r>
      <w:r w:rsidR="001855C1">
        <w:rPr>
          <w:rFonts w:ascii="Calibri" w:hAnsi="Calibri"/>
          <w:b/>
          <w:bCs/>
          <w:caps/>
        </w:rPr>
        <w:fldChar w:fldCharType="end"/>
      </w:r>
      <w:r w:rsidRPr="002018B9">
        <w:rPr>
          <w:rFonts w:ascii="Calibri" w:hAnsi="Calibri"/>
          <w:b/>
          <w:caps/>
        </w:rPr>
        <w:tab/>
      </w:r>
      <w:r w:rsidRPr="00514763">
        <w:rPr>
          <w:rFonts w:ascii="Calibri" w:hAnsi="Calibri"/>
          <w:b/>
          <w:caps/>
          <w:spacing w:val="-2"/>
        </w:rPr>
        <w:t>Justice and Community Safety—Standing Committee</w:t>
      </w:r>
      <w:r w:rsidRPr="002018B9">
        <w:rPr>
          <w:rFonts w:ascii="Calibri" w:hAnsi="Calibri"/>
          <w:b/>
          <w:caps/>
          <w:spacing w:val="-2"/>
        </w:rPr>
        <w:t>—</w:t>
      </w:r>
      <w:r w:rsidRPr="00514763">
        <w:rPr>
          <w:rFonts w:ascii="Calibri" w:hAnsi="Calibri"/>
          <w:b/>
          <w:caps/>
          <w:spacing w:val="-2"/>
        </w:rPr>
        <w:t>disclosure</w:t>
      </w:r>
      <w:r>
        <w:rPr>
          <w:rFonts w:ascii="Calibri" w:hAnsi="Calibri"/>
          <w:b/>
          <w:caps/>
        </w:rPr>
        <w:t xml:space="preserve"> of committee proceedings</w:t>
      </w:r>
      <w:r w:rsidRPr="002018B9">
        <w:rPr>
          <w:rFonts w:ascii="Calibri" w:hAnsi="Calibri"/>
          <w:b/>
          <w:caps/>
        </w:rPr>
        <w:t>—STATEMENT BY CHAIR</w:t>
      </w:r>
    </w:p>
    <w:p w14:paraId="40EACE1F" w14:textId="60A142AA" w:rsidR="002018B9" w:rsidRPr="002018B9" w:rsidRDefault="002018B9" w:rsidP="002018B9">
      <w:pPr>
        <w:tabs>
          <w:tab w:val="left" w:pos="1197"/>
          <w:tab w:val="left" w:pos="1767"/>
        </w:tabs>
        <w:spacing w:before="120"/>
        <w:ind w:left="720"/>
        <w:rPr>
          <w:rFonts w:ascii="Calibri" w:hAnsi="Calibri"/>
          <w:spacing w:val="-2"/>
          <w:lang w:val="en-AU"/>
        </w:rPr>
      </w:pPr>
      <w:r w:rsidRPr="00786683">
        <w:rPr>
          <w:rFonts w:ascii="Calibri" w:hAnsi="Calibri"/>
          <w:spacing w:val="-2"/>
          <w:lang w:val="en-AU"/>
        </w:rPr>
        <w:t>Mr Cain</w:t>
      </w:r>
      <w:r w:rsidRPr="002018B9">
        <w:rPr>
          <w:rFonts w:ascii="Calibri" w:hAnsi="Calibri"/>
          <w:spacing w:val="-2"/>
          <w:lang w:val="en-AU"/>
        </w:rPr>
        <w:t xml:space="preserve"> (Chair), pursuant to standing order 246A, informed the Assembly that the </w:t>
      </w:r>
      <w:r w:rsidRPr="00786683">
        <w:rPr>
          <w:rFonts w:ascii="Calibri" w:hAnsi="Calibri"/>
          <w:spacing w:val="-2"/>
          <w:szCs w:val="24"/>
          <w:lang w:val="en-AU" w:eastAsia="en-US"/>
        </w:rPr>
        <w:t>Standing Committee on Justice and Community Safety</w:t>
      </w:r>
      <w:r w:rsidRPr="002018B9">
        <w:rPr>
          <w:rFonts w:ascii="Calibri" w:hAnsi="Calibri"/>
          <w:spacing w:val="-2"/>
          <w:lang w:val="en-AU"/>
        </w:rPr>
        <w:t xml:space="preserve"> had resolved to </w:t>
      </w:r>
      <w:r w:rsidR="00346139" w:rsidRPr="00786683">
        <w:rPr>
          <w:rFonts w:ascii="Calibri" w:hAnsi="Calibri"/>
          <w:spacing w:val="-2"/>
          <w:lang w:val="en-AU"/>
        </w:rPr>
        <w:t>accept</w:t>
      </w:r>
      <w:r w:rsidRPr="002018B9">
        <w:rPr>
          <w:rFonts w:ascii="Calibri" w:hAnsi="Calibri"/>
          <w:spacing w:val="-2"/>
          <w:lang w:val="en-AU"/>
        </w:rPr>
        <w:t xml:space="preserve"> </w:t>
      </w:r>
      <w:r w:rsidR="00707A93" w:rsidRPr="00786683">
        <w:rPr>
          <w:rFonts w:ascii="Calibri" w:hAnsi="Calibri"/>
          <w:spacing w:val="-2"/>
          <w:lang w:val="en-AU"/>
        </w:rPr>
        <w:t xml:space="preserve">an apology from a Member for </w:t>
      </w:r>
      <w:r w:rsidR="00815ACB" w:rsidRPr="00786683">
        <w:rPr>
          <w:rFonts w:ascii="Calibri" w:hAnsi="Calibri"/>
          <w:spacing w:val="-2"/>
          <w:lang w:val="en-AU"/>
        </w:rPr>
        <w:t>making statements d</w:t>
      </w:r>
      <w:r w:rsidR="00707A93" w:rsidRPr="00786683">
        <w:rPr>
          <w:rFonts w:ascii="Calibri" w:hAnsi="Calibri"/>
          <w:spacing w:val="-2"/>
          <w:lang w:val="en-AU"/>
        </w:rPr>
        <w:t>uring a debate in the Assembly last week</w:t>
      </w:r>
      <w:r w:rsidR="00815ACB" w:rsidRPr="00786683">
        <w:rPr>
          <w:rFonts w:ascii="Calibri" w:hAnsi="Calibri"/>
          <w:spacing w:val="-2"/>
          <w:lang w:val="en-AU"/>
        </w:rPr>
        <w:t xml:space="preserve"> which were a disclosure of committee proceedings</w:t>
      </w:r>
      <w:r w:rsidR="00786683" w:rsidRPr="00786683">
        <w:rPr>
          <w:rFonts w:ascii="Calibri" w:hAnsi="Calibri"/>
          <w:spacing w:val="-2"/>
          <w:lang w:val="en-AU"/>
        </w:rPr>
        <w:t>, noting that the disclosure did not have a</w:t>
      </w:r>
      <w:r w:rsidR="001B41E4">
        <w:rPr>
          <w:rFonts w:ascii="Calibri" w:hAnsi="Calibri"/>
          <w:spacing w:val="-2"/>
          <w:lang w:val="en-AU"/>
        </w:rPr>
        <w:t> </w:t>
      </w:r>
      <w:r w:rsidR="00786683" w:rsidRPr="00786683">
        <w:rPr>
          <w:rFonts w:ascii="Calibri" w:hAnsi="Calibri"/>
          <w:spacing w:val="-2"/>
          <w:lang w:val="en-AU"/>
        </w:rPr>
        <w:t>tendency to substantially interfere with the work of the Committee</w:t>
      </w:r>
      <w:r w:rsidR="00707A93" w:rsidRPr="00786683">
        <w:rPr>
          <w:rFonts w:ascii="Calibri" w:hAnsi="Calibri"/>
          <w:spacing w:val="-2"/>
          <w:lang w:val="en-AU"/>
        </w:rPr>
        <w:t xml:space="preserve">. </w:t>
      </w:r>
    </w:p>
    <w:p w14:paraId="6A447B3C" w14:textId="512592ED" w:rsidR="006E0102" w:rsidRPr="006E0102" w:rsidRDefault="006E0102" w:rsidP="006E0102">
      <w:pPr>
        <w:keepNext/>
        <w:keepLines/>
        <w:tabs>
          <w:tab w:val="right" w:pos="339"/>
          <w:tab w:val="left" w:pos="720"/>
        </w:tabs>
        <w:spacing w:before="240"/>
        <w:ind w:left="720" w:hanging="720"/>
        <w:rPr>
          <w:rFonts w:ascii="Calibri" w:hAnsi="Calibri"/>
          <w:b/>
          <w:caps/>
          <w:lang w:val="en-AU"/>
        </w:rPr>
      </w:pPr>
      <w:bookmarkStart w:id="0" w:name="_Hlk175923378"/>
      <w:r w:rsidRPr="006E0102">
        <w:rPr>
          <w:rFonts w:ascii="Calibri" w:hAnsi="Calibri"/>
          <w:b/>
          <w:caps/>
          <w:lang w:val="en-AU"/>
        </w:rPr>
        <w:tab/>
      </w:r>
      <w:r w:rsidR="001855C1">
        <w:rPr>
          <w:rFonts w:ascii="Calibri" w:hAnsi="Calibri"/>
          <w:b/>
          <w:bCs/>
          <w:caps/>
          <w:lang w:val="en-AU"/>
        </w:rPr>
        <w:fldChar w:fldCharType="begin"/>
      </w:r>
      <w:r w:rsidR="001855C1">
        <w:rPr>
          <w:rFonts w:ascii="Calibri" w:hAnsi="Calibri"/>
          <w:b/>
          <w:bCs/>
          <w:caps/>
          <w:lang w:val="en-AU"/>
        </w:rPr>
        <w:instrText xml:space="preserve"> SEQ A \* MERGEFORMAT </w:instrText>
      </w:r>
      <w:r w:rsidR="001855C1">
        <w:rPr>
          <w:rFonts w:ascii="Calibri" w:hAnsi="Calibri"/>
          <w:b/>
          <w:bCs/>
          <w:caps/>
          <w:lang w:val="en-AU"/>
        </w:rPr>
        <w:fldChar w:fldCharType="separate"/>
      </w:r>
      <w:r w:rsidR="00A64AFA">
        <w:rPr>
          <w:rFonts w:ascii="Calibri" w:hAnsi="Calibri"/>
          <w:b/>
          <w:bCs/>
          <w:caps/>
          <w:noProof/>
          <w:lang w:val="en-AU"/>
        </w:rPr>
        <w:t>8</w:t>
      </w:r>
      <w:r w:rsidR="001855C1">
        <w:rPr>
          <w:rFonts w:ascii="Calibri" w:hAnsi="Calibri"/>
          <w:b/>
          <w:bCs/>
          <w:caps/>
          <w:lang w:val="en-AU"/>
        </w:rPr>
        <w:fldChar w:fldCharType="end"/>
      </w:r>
      <w:r w:rsidRPr="006E0102">
        <w:rPr>
          <w:rFonts w:ascii="Calibri" w:hAnsi="Calibri"/>
          <w:b/>
          <w:caps/>
          <w:lang w:val="en-AU"/>
        </w:rPr>
        <w:tab/>
      </w:r>
      <w:r>
        <w:rPr>
          <w:rFonts w:ascii="Calibri" w:hAnsi="Calibri"/>
          <w:b/>
          <w:caps/>
          <w:lang w:val="en-AU"/>
        </w:rPr>
        <w:t>Appropriation Bill 2024-2025</w:t>
      </w:r>
    </w:p>
    <w:p w14:paraId="60389399" w14:textId="55BB1598" w:rsidR="006E0102" w:rsidRPr="006E0102" w:rsidRDefault="006E0102" w:rsidP="006E0102">
      <w:pPr>
        <w:spacing w:before="120"/>
        <w:ind w:left="720"/>
        <w:rPr>
          <w:rFonts w:ascii="Calibri" w:hAnsi="Calibri"/>
          <w:lang w:val="en-AU"/>
        </w:rPr>
      </w:pPr>
      <w:r w:rsidRPr="006E0102">
        <w:rPr>
          <w:rFonts w:ascii="Calibri" w:hAnsi="Calibri"/>
          <w:lang w:val="en-AU"/>
        </w:rPr>
        <w:t xml:space="preserve">The Assembly, according to order, resumed </w:t>
      </w:r>
      <w:r w:rsidR="00BA6201">
        <w:rPr>
          <w:rFonts w:ascii="Calibri" w:hAnsi="Calibri"/>
          <w:lang w:val="en-AU"/>
        </w:rPr>
        <w:t xml:space="preserve">further </w:t>
      </w:r>
      <w:r w:rsidRPr="006E0102">
        <w:rPr>
          <w:rFonts w:ascii="Calibri" w:hAnsi="Calibri"/>
          <w:lang w:val="en-AU"/>
        </w:rPr>
        <w:t>consideration at the detail stage—</w:t>
      </w:r>
    </w:p>
    <w:p w14:paraId="75833683" w14:textId="77777777" w:rsidR="006E0102" w:rsidRPr="006E0102" w:rsidRDefault="006E0102" w:rsidP="006E0102">
      <w:pPr>
        <w:pBdr>
          <w:bottom w:val="thinThickLargeGap" w:sz="18" w:space="1" w:color="auto"/>
        </w:pBdr>
        <w:ind w:left="3427" w:right="3658"/>
        <w:jc w:val="center"/>
        <w:rPr>
          <w:rFonts w:ascii="Calibri" w:hAnsi="Calibri"/>
          <w:i/>
          <w:iCs/>
          <w:lang w:val="en-AU"/>
        </w:rPr>
      </w:pPr>
    </w:p>
    <w:p w14:paraId="45CF28F0" w14:textId="77777777" w:rsidR="006E0102" w:rsidRPr="006E0102" w:rsidRDefault="006E0102" w:rsidP="006E0102">
      <w:pPr>
        <w:tabs>
          <w:tab w:val="left" w:pos="1197"/>
          <w:tab w:val="left" w:pos="1767"/>
        </w:tabs>
        <w:spacing w:before="120"/>
        <w:jc w:val="center"/>
        <w:rPr>
          <w:rFonts w:ascii="Calibri" w:hAnsi="Calibri"/>
          <w:i/>
          <w:iCs/>
          <w:lang w:val="en-AU"/>
        </w:rPr>
      </w:pPr>
      <w:r w:rsidRPr="006E0102">
        <w:rPr>
          <w:rFonts w:ascii="Calibri" w:hAnsi="Calibri"/>
          <w:i/>
          <w:iCs/>
          <w:lang w:val="en-AU"/>
        </w:rPr>
        <w:t>Detail Stage</w:t>
      </w:r>
    </w:p>
    <w:p w14:paraId="75A85219" w14:textId="77777777" w:rsidR="006E0102" w:rsidRDefault="006E0102" w:rsidP="006E0102">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55627594" w14:textId="77777777" w:rsidR="006E0102" w:rsidRDefault="006E0102" w:rsidP="006E0102">
      <w:pPr>
        <w:pStyle w:val="DPSEntryDetailIndentLev1"/>
        <w:ind w:left="862"/>
      </w:pPr>
      <w:r w:rsidRPr="002647D6">
        <w:t>Consideration resumed on</w:t>
      </w:r>
      <w:r>
        <w:t xml:space="preserve"> Part 1.5—Chief Minister, Treasury and Economic Development Directorate—</w:t>
      </w:r>
    </w:p>
    <w:p w14:paraId="3D458934" w14:textId="77777777" w:rsidR="006E0102" w:rsidRDefault="006E0102" w:rsidP="006E0102">
      <w:pPr>
        <w:pStyle w:val="DPSEntryDetailIndentLev1"/>
        <w:ind w:left="862"/>
      </w:pPr>
      <w:r>
        <w:t>Debate continued.</w:t>
      </w:r>
    </w:p>
    <w:bookmarkEnd w:id="0"/>
    <w:p w14:paraId="13785D85" w14:textId="77777777" w:rsidR="00815ACB" w:rsidRDefault="00815ACB" w:rsidP="00815ACB">
      <w:pPr>
        <w:pStyle w:val="DPSEntryDetailIndentLev1"/>
      </w:pPr>
      <w:r w:rsidRPr="001D5020">
        <w:t>Proposed expenditure agreed to.</w:t>
      </w:r>
    </w:p>
    <w:p w14:paraId="568EA57F" w14:textId="4F27A470" w:rsidR="00815ACB" w:rsidRDefault="00815ACB" w:rsidP="00B16E09">
      <w:pPr>
        <w:pStyle w:val="DPSEntryDetailIndentLev1"/>
      </w:pPr>
      <w:r>
        <w:t>Part 1.6—Transport Canberra and City Services Directorate—</w:t>
      </w:r>
      <w:r w:rsidR="00BA6201">
        <w:t xml:space="preserve">debated and </w:t>
      </w:r>
      <w:r w:rsidR="00B16E09">
        <w:t>agreed to.</w:t>
      </w:r>
    </w:p>
    <w:p w14:paraId="046B92BC" w14:textId="1F110499" w:rsidR="00B16E09" w:rsidRDefault="00B16E09" w:rsidP="00B16E09">
      <w:pPr>
        <w:pStyle w:val="DPSEntryDetailIndentLev1"/>
      </w:pPr>
      <w:r>
        <w:t>Part 1.</w:t>
      </w:r>
      <w:r w:rsidR="00AE774E">
        <w:t>7</w:t>
      </w:r>
      <w:r>
        <w:t>—Justice and Community Safety Directorate—</w:t>
      </w:r>
    </w:p>
    <w:p w14:paraId="236411C1" w14:textId="053849B4" w:rsidR="00026751" w:rsidRDefault="00815ACB" w:rsidP="00815ACB">
      <w:pPr>
        <w:pStyle w:val="DPSEntryDetail"/>
      </w:pPr>
      <w:r>
        <w:t>Debate interrupted in accordance with standing order 74 and the resumption of the debate made an order of the day for a later hour this day.</w:t>
      </w:r>
    </w:p>
    <w:p w14:paraId="0DEB2FF2" w14:textId="1A65BCE0" w:rsidR="00786683" w:rsidRPr="00786683" w:rsidRDefault="00786683" w:rsidP="00786683">
      <w:pPr>
        <w:keepNext/>
        <w:keepLines/>
        <w:tabs>
          <w:tab w:val="right" w:pos="339"/>
          <w:tab w:val="left" w:pos="720"/>
        </w:tabs>
        <w:spacing w:before="240"/>
        <w:ind w:left="720" w:hanging="720"/>
        <w:rPr>
          <w:rFonts w:ascii="Calibri" w:hAnsi="Calibri"/>
          <w:b/>
          <w:caps/>
        </w:rPr>
      </w:pPr>
      <w:r w:rsidRPr="00786683">
        <w:rPr>
          <w:rFonts w:ascii="Calibri" w:hAnsi="Calibri"/>
          <w:b/>
          <w:caps/>
        </w:rPr>
        <w:tab/>
      </w:r>
      <w:r w:rsidR="00091C7D">
        <w:rPr>
          <w:rFonts w:ascii="Calibri" w:hAnsi="Calibri"/>
          <w:b/>
          <w:bCs/>
          <w:caps/>
        </w:rPr>
        <w:fldChar w:fldCharType="begin"/>
      </w:r>
      <w:r w:rsidR="00091C7D">
        <w:rPr>
          <w:rFonts w:ascii="Calibri" w:hAnsi="Calibri"/>
          <w:b/>
          <w:bCs/>
          <w:caps/>
        </w:rPr>
        <w:instrText xml:space="preserve"> SEQ A \* MERGEFORMAT </w:instrText>
      </w:r>
      <w:r w:rsidR="00091C7D">
        <w:rPr>
          <w:rFonts w:ascii="Calibri" w:hAnsi="Calibri"/>
          <w:b/>
          <w:bCs/>
          <w:caps/>
        </w:rPr>
        <w:fldChar w:fldCharType="separate"/>
      </w:r>
      <w:r w:rsidR="00A64AFA">
        <w:rPr>
          <w:rFonts w:ascii="Calibri" w:hAnsi="Calibri"/>
          <w:b/>
          <w:bCs/>
          <w:caps/>
          <w:noProof/>
        </w:rPr>
        <w:t>9</w:t>
      </w:r>
      <w:r w:rsidR="00091C7D">
        <w:rPr>
          <w:rFonts w:ascii="Calibri" w:hAnsi="Calibri"/>
          <w:b/>
          <w:bCs/>
          <w:caps/>
        </w:rPr>
        <w:fldChar w:fldCharType="end"/>
      </w:r>
      <w:r w:rsidRPr="00786683">
        <w:rPr>
          <w:rFonts w:ascii="Calibri" w:hAnsi="Calibri"/>
          <w:b/>
          <w:caps/>
        </w:rPr>
        <w:tab/>
        <w:t>MINISTERIAL ARRANGEMENTS</w:t>
      </w:r>
    </w:p>
    <w:p w14:paraId="129B1170" w14:textId="5B703DEE" w:rsidR="00786683" w:rsidRPr="00786683" w:rsidRDefault="00786683" w:rsidP="00786683">
      <w:pPr>
        <w:tabs>
          <w:tab w:val="left" w:pos="1197"/>
          <w:tab w:val="left" w:pos="1767"/>
        </w:tabs>
        <w:spacing w:before="120"/>
        <w:ind w:left="741"/>
        <w:rPr>
          <w:rFonts w:ascii="Calibri" w:hAnsi="Calibri"/>
          <w:lang w:val="en-AU"/>
        </w:rPr>
      </w:pPr>
      <w:r>
        <w:rPr>
          <w:rFonts w:ascii="Calibri" w:hAnsi="Calibri"/>
          <w:lang w:val="en-AU"/>
        </w:rPr>
        <w:t>Mr Barr (Chief Minister)</w:t>
      </w:r>
      <w:r w:rsidRPr="00786683">
        <w:rPr>
          <w:rFonts w:ascii="Calibri" w:hAnsi="Calibri"/>
          <w:lang w:val="en-AU"/>
        </w:rPr>
        <w:t xml:space="preserve"> informed the Assembly of the absence of Minister </w:t>
      </w:r>
      <w:r>
        <w:rPr>
          <w:rFonts w:ascii="Calibri" w:hAnsi="Calibri"/>
          <w:lang w:val="en-AU"/>
        </w:rPr>
        <w:t>Cheyne</w:t>
      </w:r>
      <w:r w:rsidRPr="00786683">
        <w:rPr>
          <w:rFonts w:ascii="Calibri" w:hAnsi="Calibri"/>
          <w:lang w:val="en-AU"/>
        </w:rPr>
        <w:t xml:space="preserve"> and advised the Assembly that questions without notice normally directed to </w:t>
      </w:r>
      <w:r>
        <w:rPr>
          <w:rFonts w:ascii="Calibri" w:hAnsi="Calibri"/>
          <w:lang w:val="en-AU"/>
        </w:rPr>
        <w:t xml:space="preserve">the </w:t>
      </w:r>
      <w:r w:rsidRPr="00786683">
        <w:rPr>
          <w:rFonts w:ascii="Calibri" w:hAnsi="Calibri"/>
          <w:lang w:val="en-AU"/>
        </w:rPr>
        <w:t xml:space="preserve">Minister </w:t>
      </w:r>
      <w:r>
        <w:rPr>
          <w:rFonts w:ascii="Calibri" w:hAnsi="Calibri"/>
          <w:lang w:val="en-AU"/>
        </w:rPr>
        <w:t>for City Services</w:t>
      </w:r>
      <w:r w:rsidRPr="00786683">
        <w:rPr>
          <w:rFonts w:ascii="Calibri" w:hAnsi="Calibri"/>
          <w:lang w:val="en-AU"/>
        </w:rPr>
        <w:t xml:space="preserve"> could be directed to </w:t>
      </w:r>
      <w:r>
        <w:rPr>
          <w:rFonts w:ascii="Calibri" w:hAnsi="Calibri"/>
          <w:lang w:val="en-AU"/>
        </w:rPr>
        <w:t>Mr Steel (Minister for Transport), while those normally directed to the Minister for the Arts, Culture and the Creative Economy, the Minister for Government Services and Regulatory Reform and the Minister for Human Rights could be directed to Mr Barr</w:t>
      </w:r>
      <w:r w:rsidRPr="00786683">
        <w:rPr>
          <w:rFonts w:ascii="Calibri" w:hAnsi="Calibri"/>
          <w:lang w:val="en-AU"/>
        </w:rPr>
        <w:t>.</w:t>
      </w:r>
    </w:p>
    <w:p w14:paraId="3D7780BE" w14:textId="75FCA79E" w:rsidR="00026751" w:rsidRPr="00026751" w:rsidRDefault="00026751" w:rsidP="00026751">
      <w:pPr>
        <w:keepNext/>
        <w:keepLines/>
        <w:tabs>
          <w:tab w:val="right" w:pos="339"/>
          <w:tab w:val="left" w:pos="720"/>
        </w:tabs>
        <w:spacing w:before="240"/>
        <w:ind w:left="720" w:hanging="720"/>
        <w:jc w:val="both"/>
        <w:rPr>
          <w:rFonts w:ascii="Calibri" w:hAnsi="Calibri"/>
          <w:b/>
          <w:caps/>
        </w:rPr>
      </w:pPr>
      <w:r w:rsidRPr="00026751">
        <w:rPr>
          <w:rFonts w:ascii="Calibri" w:hAnsi="Calibri"/>
          <w:b/>
          <w:caps/>
        </w:rPr>
        <w:tab/>
      </w:r>
      <w:r w:rsidR="001855C1">
        <w:rPr>
          <w:rFonts w:ascii="Calibri" w:hAnsi="Calibri"/>
          <w:b/>
          <w:bCs/>
          <w:caps/>
          <w:lang w:val="en-AU"/>
        </w:rPr>
        <w:fldChar w:fldCharType="begin"/>
      </w:r>
      <w:r w:rsidR="001855C1">
        <w:rPr>
          <w:rFonts w:ascii="Calibri" w:hAnsi="Calibri"/>
          <w:b/>
          <w:bCs/>
          <w:caps/>
          <w:lang w:val="en-AU"/>
        </w:rPr>
        <w:instrText xml:space="preserve"> SEQ A \* MERGEFORMAT </w:instrText>
      </w:r>
      <w:r w:rsidR="001855C1">
        <w:rPr>
          <w:rFonts w:ascii="Calibri" w:hAnsi="Calibri"/>
          <w:b/>
          <w:bCs/>
          <w:caps/>
          <w:lang w:val="en-AU"/>
        </w:rPr>
        <w:fldChar w:fldCharType="separate"/>
      </w:r>
      <w:r w:rsidR="00A64AFA">
        <w:rPr>
          <w:rFonts w:ascii="Calibri" w:hAnsi="Calibri"/>
          <w:b/>
          <w:bCs/>
          <w:caps/>
          <w:noProof/>
          <w:lang w:val="en-AU"/>
        </w:rPr>
        <w:t>10</w:t>
      </w:r>
      <w:r w:rsidR="001855C1">
        <w:rPr>
          <w:rFonts w:ascii="Calibri" w:hAnsi="Calibri"/>
          <w:b/>
          <w:bCs/>
          <w:caps/>
          <w:lang w:val="en-AU"/>
        </w:rPr>
        <w:fldChar w:fldCharType="end"/>
      </w:r>
      <w:r w:rsidRPr="00026751">
        <w:rPr>
          <w:rFonts w:ascii="Calibri" w:hAnsi="Calibri"/>
          <w:b/>
          <w:caps/>
        </w:rPr>
        <w:tab/>
        <w:t>QUESTIONS</w:t>
      </w:r>
    </w:p>
    <w:p w14:paraId="2C92C18E" w14:textId="77777777" w:rsidR="00026751" w:rsidRPr="00026751" w:rsidRDefault="00026751" w:rsidP="00026751">
      <w:pPr>
        <w:spacing w:before="120"/>
        <w:ind w:left="720"/>
        <w:jc w:val="both"/>
        <w:rPr>
          <w:rFonts w:ascii="Calibri" w:hAnsi="Calibri"/>
          <w:lang w:val="en-AU"/>
        </w:rPr>
      </w:pPr>
      <w:r w:rsidRPr="00026751">
        <w:rPr>
          <w:rFonts w:ascii="Calibri" w:hAnsi="Calibri"/>
          <w:lang w:val="en-AU"/>
        </w:rPr>
        <w:t>Questions without notice were asked.</w:t>
      </w:r>
    </w:p>
    <w:p w14:paraId="02CA3F37" w14:textId="2D199A55" w:rsidR="00026751" w:rsidRPr="00026751" w:rsidRDefault="00026751" w:rsidP="00026751">
      <w:pPr>
        <w:keepNext/>
        <w:keepLines/>
        <w:tabs>
          <w:tab w:val="right" w:pos="339"/>
          <w:tab w:val="left" w:pos="720"/>
        </w:tabs>
        <w:spacing w:before="240"/>
        <w:ind w:left="720" w:hanging="720"/>
        <w:jc w:val="both"/>
        <w:rPr>
          <w:rFonts w:ascii="Calibri" w:hAnsi="Calibri"/>
          <w:b/>
          <w:caps/>
        </w:rPr>
      </w:pPr>
      <w:r w:rsidRPr="00026751">
        <w:rPr>
          <w:rFonts w:ascii="Calibri" w:hAnsi="Calibri"/>
          <w:b/>
          <w:caps/>
        </w:rPr>
        <w:lastRenderedPageBreak/>
        <w:tab/>
      </w:r>
      <w:r w:rsidR="001855C1">
        <w:rPr>
          <w:rFonts w:ascii="Calibri" w:hAnsi="Calibri"/>
          <w:b/>
          <w:bCs/>
          <w:caps/>
        </w:rPr>
        <w:fldChar w:fldCharType="begin"/>
      </w:r>
      <w:r w:rsidR="001855C1">
        <w:rPr>
          <w:rFonts w:ascii="Calibri" w:hAnsi="Calibri"/>
          <w:b/>
          <w:bCs/>
          <w:caps/>
        </w:rPr>
        <w:instrText xml:space="preserve"> SEQ A \* MERGEFORMAT </w:instrText>
      </w:r>
      <w:r w:rsidR="001855C1">
        <w:rPr>
          <w:rFonts w:ascii="Calibri" w:hAnsi="Calibri"/>
          <w:b/>
          <w:bCs/>
          <w:caps/>
        </w:rPr>
        <w:fldChar w:fldCharType="separate"/>
      </w:r>
      <w:r w:rsidR="00A64AFA">
        <w:rPr>
          <w:rFonts w:ascii="Calibri" w:hAnsi="Calibri"/>
          <w:b/>
          <w:bCs/>
          <w:caps/>
          <w:noProof/>
        </w:rPr>
        <w:t>11</w:t>
      </w:r>
      <w:r w:rsidR="001855C1">
        <w:rPr>
          <w:rFonts w:ascii="Calibri" w:hAnsi="Calibri"/>
          <w:b/>
          <w:bCs/>
          <w:caps/>
        </w:rPr>
        <w:fldChar w:fldCharType="end"/>
      </w:r>
      <w:r w:rsidRPr="00026751">
        <w:rPr>
          <w:rFonts w:ascii="Calibri" w:hAnsi="Calibri"/>
          <w:b/>
          <w:caps/>
        </w:rPr>
        <w:tab/>
        <w:t>PRESENTATION OF PAPER</w:t>
      </w:r>
      <w:r w:rsidR="00BE3AD4">
        <w:rPr>
          <w:rFonts w:ascii="Calibri" w:hAnsi="Calibri"/>
          <w:b/>
          <w:caps/>
        </w:rPr>
        <w:t>S</w:t>
      </w:r>
    </w:p>
    <w:p w14:paraId="23E7C014" w14:textId="5258D2E9" w:rsidR="00026751" w:rsidRPr="00026751" w:rsidRDefault="00026751" w:rsidP="00BA6201">
      <w:pPr>
        <w:tabs>
          <w:tab w:val="left" w:pos="1197"/>
          <w:tab w:val="left" w:pos="1767"/>
        </w:tabs>
        <w:spacing w:before="80"/>
        <w:ind w:left="720"/>
        <w:jc w:val="both"/>
        <w:rPr>
          <w:rFonts w:ascii="Calibri" w:hAnsi="Calibri"/>
          <w:lang w:val="en-AU"/>
        </w:rPr>
      </w:pPr>
      <w:r w:rsidRPr="00026751">
        <w:rPr>
          <w:rFonts w:ascii="Calibri" w:hAnsi="Calibri"/>
          <w:lang w:val="en-AU"/>
        </w:rPr>
        <w:t>The Speaker presented the following paper</w:t>
      </w:r>
      <w:r w:rsidR="00BE3AD4">
        <w:rPr>
          <w:rFonts w:ascii="Calibri" w:hAnsi="Calibri"/>
          <w:lang w:val="en-AU"/>
        </w:rPr>
        <w:t>s</w:t>
      </w:r>
      <w:r w:rsidRPr="00026751">
        <w:rPr>
          <w:rFonts w:ascii="Calibri" w:hAnsi="Calibri"/>
          <w:lang w:val="en-AU"/>
        </w:rPr>
        <w:t>:</w:t>
      </w:r>
    </w:p>
    <w:p w14:paraId="576E27BF" w14:textId="77777777" w:rsidR="00BE3AD4" w:rsidRDefault="00BE3AD4" w:rsidP="00BA6201">
      <w:pPr>
        <w:tabs>
          <w:tab w:val="left" w:pos="1197"/>
          <w:tab w:val="left" w:pos="1767"/>
        </w:tabs>
        <w:spacing w:before="80"/>
        <w:ind w:left="720"/>
        <w:jc w:val="both"/>
        <w:rPr>
          <w:rFonts w:ascii="Calibri" w:hAnsi="Calibri"/>
          <w:lang w:val="en-AU"/>
        </w:rPr>
      </w:pPr>
      <w:r w:rsidRPr="00BE3AD4">
        <w:rPr>
          <w:rFonts w:ascii="Calibri" w:hAnsi="Calibri"/>
          <w:lang w:val="en-AU"/>
        </w:rPr>
        <w:t>Bills, referred to Committees, pursuant to standing order 174—Correspondence—</w:t>
      </w:r>
    </w:p>
    <w:p w14:paraId="5E43D3FE" w14:textId="0B18F4A5" w:rsidR="00BE3AD4" w:rsidRPr="00BE3AD4" w:rsidRDefault="00BE3AD4" w:rsidP="00BA6201">
      <w:pPr>
        <w:pStyle w:val="DPSEntryDetailIndentLev1"/>
        <w:spacing w:before="80"/>
      </w:pPr>
      <w:r w:rsidRPr="00BE3AD4">
        <w:t>Bills—Not inquired into—</w:t>
      </w:r>
    </w:p>
    <w:p w14:paraId="6B28A112" w14:textId="20DB6319" w:rsidR="00BE3AD4" w:rsidRPr="00BE3AD4" w:rsidRDefault="00BE3AD4" w:rsidP="00BA6201">
      <w:pPr>
        <w:pStyle w:val="DPSEntryDetailIndentLev2"/>
        <w:spacing w:before="80"/>
      </w:pPr>
      <w:r w:rsidRPr="00E42CC6">
        <w:rPr>
          <w:spacing w:val="-2"/>
        </w:rPr>
        <w:t>Crimes (Anti-Consorting) Amendment Bill 2024—Copy of letter to the Speaker from the Chair, Standing Committee on Justice and Community Safety, dated 2 September 2024</w:t>
      </w:r>
      <w:r w:rsidR="00F772A3">
        <w:t>.</w:t>
      </w:r>
    </w:p>
    <w:p w14:paraId="10B81BAA" w14:textId="1B757DDE" w:rsidR="00BE3AD4" w:rsidRPr="00BE3AD4" w:rsidRDefault="00BE3AD4" w:rsidP="00BA6201">
      <w:pPr>
        <w:pStyle w:val="DPSEntryDetailIndentLev2"/>
        <w:spacing w:before="80"/>
      </w:pPr>
      <w:r w:rsidRPr="00BE3AD4">
        <w:t>Evidence (Miscellaneous Provisions) Amendment Bill 2024—</w:t>
      </w:r>
      <w:r w:rsidR="00F772A3">
        <w:t xml:space="preserve">Copy of letter to the Speaker </w:t>
      </w:r>
      <w:r w:rsidR="00F772A3" w:rsidRPr="00BE3AD4">
        <w:t>from the</w:t>
      </w:r>
      <w:r w:rsidR="00F772A3">
        <w:t xml:space="preserve"> Chair,</w:t>
      </w:r>
      <w:r w:rsidRPr="00BE3AD4">
        <w:t xml:space="preserve"> the Standing Committee on Justice and Community Safety, dated 2 September 2024</w:t>
      </w:r>
      <w:r w:rsidR="00F772A3">
        <w:t>.</w:t>
      </w:r>
    </w:p>
    <w:p w14:paraId="61A207E5" w14:textId="77777777" w:rsidR="00BA6201" w:rsidRDefault="00227B49" w:rsidP="00BA6201">
      <w:pPr>
        <w:tabs>
          <w:tab w:val="left" w:pos="1197"/>
          <w:tab w:val="left" w:pos="1767"/>
        </w:tabs>
        <w:spacing w:before="80"/>
        <w:ind w:left="720"/>
        <w:jc w:val="both"/>
        <w:rPr>
          <w:rFonts w:ascii="Calibri" w:hAnsi="Calibri"/>
          <w:lang w:val="en-AU"/>
        </w:rPr>
      </w:pPr>
      <w:r w:rsidRPr="00227B49">
        <w:rPr>
          <w:rFonts w:ascii="Calibri" w:hAnsi="Calibri"/>
          <w:lang w:val="en-AU"/>
        </w:rPr>
        <w:t>Estimates 2024-2025—Select Committee</w:t>
      </w:r>
      <w:r w:rsidR="00BA6201">
        <w:rPr>
          <w:rFonts w:ascii="Calibri" w:hAnsi="Calibri"/>
          <w:lang w:val="en-AU"/>
        </w:rPr>
        <w:t>, pursuant to standing order 253A</w:t>
      </w:r>
      <w:r w:rsidRPr="00227B49">
        <w:rPr>
          <w:rFonts w:ascii="Calibri" w:hAnsi="Calibri"/>
          <w:lang w:val="en-AU"/>
        </w:rPr>
        <w:t>—</w:t>
      </w:r>
    </w:p>
    <w:p w14:paraId="1E2520DA" w14:textId="5DA01712" w:rsidR="00227B49" w:rsidRPr="00227B49" w:rsidRDefault="00227B49" w:rsidP="00BA6201">
      <w:pPr>
        <w:pStyle w:val="DPSEntryDetailIndentLev1"/>
        <w:spacing w:before="80"/>
      </w:pPr>
      <w:r w:rsidRPr="00227B49">
        <w:t>Answer</w:t>
      </w:r>
      <w:r w:rsidR="009B0B03">
        <w:t>s</w:t>
      </w:r>
      <w:r w:rsidRPr="00227B49">
        <w:t xml:space="preserve"> to Question</w:t>
      </w:r>
      <w:r w:rsidR="00BA6201">
        <w:t xml:space="preserve"> Taken </w:t>
      </w:r>
      <w:r w:rsidRPr="00227B49">
        <w:t>on Notice</w:t>
      </w:r>
      <w:r>
        <w:t>—</w:t>
      </w:r>
    </w:p>
    <w:p w14:paraId="5441E917" w14:textId="408735BB" w:rsidR="00227B49" w:rsidRPr="00227B49" w:rsidRDefault="00227B49" w:rsidP="00BA6201">
      <w:pPr>
        <w:pStyle w:val="DPSEntryDetailIndentLev2"/>
        <w:spacing w:before="80"/>
      </w:pPr>
      <w:r w:rsidRPr="00BA6201">
        <w:rPr>
          <w:spacing w:val="-2"/>
        </w:rPr>
        <w:t>No</w:t>
      </w:r>
      <w:r>
        <w:t xml:space="preserve"> </w:t>
      </w:r>
      <w:r w:rsidRPr="00227B49">
        <w:t>178, dated 28 August 2024</w:t>
      </w:r>
      <w:r>
        <w:t>.</w:t>
      </w:r>
    </w:p>
    <w:p w14:paraId="31A89742" w14:textId="2A2DE03A" w:rsidR="00227B49" w:rsidRDefault="00227B49" w:rsidP="00BA6201">
      <w:pPr>
        <w:pStyle w:val="DPSEntryDetailIndentLev2"/>
        <w:spacing w:before="80"/>
      </w:pPr>
      <w:r w:rsidRPr="00BA6201">
        <w:rPr>
          <w:spacing w:val="-2"/>
        </w:rPr>
        <w:t>No</w:t>
      </w:r>
      <w:r>
        <w:t xml:space="preserve"> </w:t>
      </w:r>
      <w:r w:rsidRPr="00227B49">
        <w:t>184, dated 30 August 2024</w:t>
      </w:r>
      <w:r>
        <w:t>.</w:t>
      </w:r>
    </w:p>
    <w:p w14:paraId="73BE4046" w14:textId="74B09F98" w:rsidR="00BA6201" w:rsidRDefault="00BA6201" w:rsidP="00BA6201">
      <w:pPr>
        <w:pStyle w:val="DPSEntryDetailIndentLev1"/>
        <w:spacing w:before="80"/>
      </w:pPr>
      <w:r>
        <w:t>Schedule of q</w:t>
      </w:r>
      <w:r w:rsidRPr="00BA6201">
        <w:t>uestions answered after the</w:t>
      </w:r>
      <w:r>
        <w:t xml:space="preserve"> </w:t>
      </w:r>
      <w:r w:rsidRPr="00BA6201">
        <w:t xml:space="preserve">dissolution of the </w:t>
      </w:r>
      <w:r w:rsidR="007B18F0">
        <w:t>Select C</w:t>
      </w:r>
      <w:r w:rsidRPr="00BA6201">
        <w:t>ommittee</w:t>
      </w:r>
      <w:r>
        <w:t xml:space="preserve"> </w:t>
      </w:r>
      <w:r w:rsidR="007B18F0">
        <w:t xml:space="preserve">on Estimates </w:t>
      </w:r>
      <w:r w:rsidRPr="00BA6201">
        <w:t>2024-2025</w:t>
      </w:r>
      <w:r>
        <w:t>, dated 3 September 2024.</w:t>
      </w:r>
    </w:p>
    <w:p w14:paraId="0CC0815C" w14:textId="793B51CE" w:rsidR="00026751" w:rsidRDefault="00BE3AD4" w:rsidP="00BA6201">
      <w:pPr>
        <w:tabs>
          <w:tab w:val="left" w:pos="1197"/>
          <w:tab w:val="left" w:pos="1767"/>
        </w:tabs>
        <w:spacing w:before="80"/>
        <w:ind w:left="720"/>
        <w:jc w:val="both"/>
        <w:rPr>
          <w:rFonts w:ascii="Calibri" w:hAnsi="Calibri"/>
          <w:lang w:val="en-AU"/>
        </w:rPr>
      </w:pPr>
      <w:r w:rsidRPr="00BE3AD4">
        <w:rPr>
          <w:rFonts w:ascii="Calibri" w:hAnsi="Calibri"/>
          <w:lang w:val="en-AU"/>
        </w:rPr>
        <w:t>Government Agencies (Campaign Advertising) Act</w:t>
      </w:r>
      <w:r>
        <w:rPr>
          <w:rFonts w:ascii="Calibri" w:hAnsi="Calibri"/>
          <w:lang w:val="en-AU"/>
        </w:rPr>
        <w:t>, p</w:t>
      </w:r>
      <w:r w:rsidRPr="00BE3AD4">
        <w:rPr>
          <w:rFonts w:ascii="Calibri" w:hAnsi="Calibri"/>
          <w:lang w:val="en-AU"/>
        </w:rPr>
        <w:t>ursuant to section 20—Independent Reviewer—Report</w:t>
      </w:r>
      <w:r>
        <w:rPr>
          <w:rFonts w:ascii="Calibri" w:hAnsi="Calibri"/>
          <w:lang w:val="en-AU"/>
        </w:rPr>
        <w:t xml:space="preserve"> f</w:t>
      </w:r>
      <w:r w:rsidRPr="00BE3AD4">
        <w:rPr>
          <w:rFonts w:ascii="Calibri" w:hAnsi="Calibri"/>
          <w:lang w:val="en-AU"/>
        </w:rPr>
        <w:t>or the period</w:t>
      </w:r>
      <w:r>
        <w:rPr>
          <w:rFonts w:ascii="Calibri" w:hAnsi="Calibri"/>
          <w:lang w:val="en-AU"/>
        </w:rPr>
        <w:t xml:space="preserve"> </w:t>
      </w:r>
      <w:r w:rsidRPr="00BE3AD4">
        <w:rPr>
          <w:rFonts w:ascii="Calibri" w:hAnsi="Calibri"/>
          <w:lang w:val="en-AU"/>
        </w:rPr>
        <w:t>1 January to 30 June 2024, dated 25 August 2024, prepared by Bill Campbell AO KC.</w:t>
      </w:r>
    </w:p>
    <w:p w14:paraId="4D358A73" w14:textId="71F1B5A3" w:rsidR="00026751" w:rsidRPr="00026751" w:rsidRDefault="00026751" w:rsidP="00026751">
      <w:pPr>
        <w:keepNext/>
        <w:keepLines/>
        <w:tabs>
          <w:tab w:val="right" w:pos="339"/>
          <w:tab w:val="left" w:pos="720"/>
        </w:tabs>
        <w:spacing w:before="240"/>
        <w:ind w:left="720" w:hanging="720"/>
        <w:rPr>
          <w:rFonts w:ascii="Calibri" w:hAnsi="Calibri"/>
          <w:b/>
          <w:lang w:val="en-AU"/>
        </w:rPr>
      </w:pPr>
      <w:r w:rsidRPr="00026751">
        <w:rPr>
          <w:rFonts w:ascii="Calibri" w:hAnsi="Calibri"/>
          <w:b/>
          <w:lang w:val="en-AU"/>
        </w:rPr>
        <w:tab/>
      </w:r>
      <w:r w:rsidR="001855C1">
        <w:rPr>
          <w:rFonts w:ascii="Calibri" w:hAnsi="Calibri"/>
          <w:b/>
          <w:bCs/>
          <w:lang w:val="en-AU"/>
        </w:rPr>
        <w:fldChar w:fldCharType="begin"/>
      </w:r>
      <w:r w:rsidR="001855C1">
        <w:rPr>
          <w:rFonts w:ascii="Calibri" w:hAnsi="Calibri"/>
          <w:b/>
          <w:bCs/>
          <w:lang w:val="en-AU"/>
        </w:rPr>
        <w:instrText xml:space="preserve"> SEQ A \* MERGEFORMAT </w:instrText>
      </w:r>
      <w:r w:rsidR="001855C1">
        <w:rPr>
          <w:rFonts w:ascii="Calibri" w:hAnsi="Calibri"/>
          <w:b/>
          <w:bCs/>
          <w:lang w:val="en-AU"/>
        </w:rPr>
        <w:fldChar w:fldCharType="separate"/>
      </w:r>
      <w:r w:rsidR="00A64AFA">
        <w:rPr>
          <w:rFonts w:ascii="Calibri" w:hAnsi="Calibri"/>
          <w:b/>
          <w:bCs/>
          <w:noProof/>
          <w:lang w:val="en-AU"/>
        </w:rPr>
        <w:t>12</w:t>
      </w:r>
      <w:r w:rsidR="001855C1">
        <w:rPr>
          <w:rFonts w:ascii="Calibri" w:hAnsi="Calibri"/>
          <w:b/>
          <w:bCs/>
          <w:lang w:val="en-AU"/>
        </w:rPr>
        <w:fldChar w:fldCharType="end"/>
      </w:r>
      <w:r w:rsidRPr="00026751">
        <w:rPr>
          <w:rFonts w:ascii="Calibri" w:hAnsi="Calibri"/>
          <w:b/>
          <w:lang w:val="en-AU"/>
        </w:rPr>
        <w:tab/>
        <w:t>PRESENTATION OF PAPERS</w:t>
      </w:r>
    </w:p>
    <w:p w14:paraId="1A0D3BE4" w14:textId="77777777" w:rsidR="00026751" w:rsidRDefault="00026751" w:rsidP="00303360">
      <w:pPr>
        <w:spacing w:before="120"/>
        <w:ind w:left="720"/>
        <w:rPr>
          <w:rFonts w:ascii="Calibri" w:hAnsi="Calibri"/>
          <w:lang w:val="en-AU"/>
        </w:rPr>
      </w:pPr>
      <w:r w:rsidRPr="00026751">
        <w:rPr>
          <w:rFonts w:ascii="Calibri" w:hAnsi="Calibri"/>
          <w:lang w:val="en-AU"/>
        </w:rPr>
        <w:t>Mr Gentleman (Manager of Government Business), pursuant to standing order 211, presented the following papers:</w:t>
      </w:r>
    </w:p>
    <w:p w14:paraId="6D92AE5C" w14:textId="3CFFDFAC" w:rsidR="00786683" w:rsidRPr="00026751" w:rsidRDefault="00786683" w:rsidP="00303360">
      <w:pPr>
        <w:spacing w:before="120"/>
        <w:ind w:left="720"/>
        <w:rPr>
          <w:rFonts w:ascii="Calibri" w:hAnsi="Calibri"/>
          <w:lang w:val="en-AU"/>
        </w:rPr>
      </w:pPr>
      <w:r w:rsidRPr="00062C28">
        <w:rPr>
          <w:rFonts w:ascii="Calibri" w:hAnsi="Calibri"/>
          <w:spacing w:val="-4"/>
          <w:lang w:val="en-AU"/>
        </w:rPr>
        <w:t>Public Sector Management Standards, pursuant to section 56—Engagements of Long-term Senior Executive Service Members—1 March to 31 August 2024, dated September 2024</w:t>
      </w:r>
      <w:r>
        <w:rPr>
          <w:rFonts w:ascii="Calibri" w:hAnsi="Calibri"/>
          <w:lang w:val="en-AU"/>
        </w:rPr>
        <w:t>.</w:t>
      </w:r>
    </w:p>
    <w:p w14:paraId="4A18E5FE" w14:textId="77777777" w:rsidR="00026751" w:rsidRPr="00026751" w:rsidRDefault="00026751" w:rsidP="00026751">
      <w:pPr>
        <w:spacing w:before="120"/>
        <w:ind w:left="720"/>
        <w:rPr>
          <w:rFonts w:ascii="Calibri" w:hAnsi="Calibri"/>
          <w:b/>
          <w:bCs/>
          <w:lang w:val="en-AU"/>
        </w:rPr>
      </w:pPr>
      <w:r w:rsidRPr="00026751">
        <w:rPr>
          <w:rFonts w:ascii="Calibri" w:hAnsi="Calibri"/>
          <w:b/>
          <w:bCs/>
          <w:lang w:val="en-AU"/>
        </w:rPr>
        <w:t>Subordinate legislation (including explanatory statements unless otherwise stated)</w:t>
      </w:r>
    </w:p>
    <w:p w14:paraId="383C1246" w14:textId="77777777" w:rsidR="00026751" w:rsidRPr="00026751" w:rsidRDefault="00026751" w:rsidP="00BA6201">
      <w:pPr>
        <w:spacing w:before="80"/>
        <w:ind w:left="720"/>
        <w:rPr>
          <w:rFonts w:ascii="Calibri" w:hAnsi="Calibri"/>
          <w:lang w:val="en-AU"/>
        </w:rPr>
      </w:pPr>
      <w:r w:rsidRPr="00026751">
        <w:rPr>
          <w:rFonts w:ascii="Calibri" w:hAnsi="Calibri"/>
          <w:lang w:val="en-AU"/>
        </w:rPr>
        <w:t>Legislation Act, pursuant to section 64—</w:t>
      </w:r>
    </w:p>
    <w:p w14:paraId="7D551F97" w14:textId="77777777" w:rsidR="0014155E" w:rsidRPr="0014155E" w:rsidRDefault="0014155E" w:rsidP="00BA6201">
      <w:pPr>
        <w:pStyle w:val="DPSEntryDetailIndentLev1"/>
        <w:spacing w:before="80"/>
      </w:pPr>
      <w:r w:rsidRPr="0014155E">
        <w:t>Cemeteries and Crematoria Act—</w:t>
      </w:r>
    </w:p>
    <w:p w14:paraId="45A9E256" w14:textId="77777777" w:rsidR="0014155E" w:rsidRPr="0014155E" w:rsidRDefault="0014155E" w:rsidP="00BA6201">
      <w:pPr>
        <w:pStyle w:val="DPSEntryDetailIndentLev2"/>
        <w:spacing w:before="80"/>
        <w:ind w:left="1009"/>
      </w:pPr>
      <w:r w:rsidRPr="0014155E">
        <w:t>Cemeteries and Crematoria (Governing Board) Appointment 2024 (No 1)—Disallowable Instrument DI2024-256 (LR, 19 August 2024).</w:t>
      </w:r>
    </w:p>
    <w:p w14:paraId="215CC819" w14:textId="77777777" w:rsidR="0014155E" w:rsidRPr="0014155E" w:rsidRDefault="0014155E" w:rsidP="00BA6201">
      <w:pPr>
        <w:pStyle w:val="DPSEntryDetailIndentLev2"/>
        <w:spacing w:before="80"/>
        <w:ind w:left="1009"/>
      </w:pPr>
      <w:r w:rsidRPr="0014155E">
        <w:t>Cemeteries and Crematoria (Governing Board) Appointment 2024 (No 2)—Disallowable Instrument DI2024-257 (LR, 19 August 2024).</w:t>
      </w:r>
    </w:p>
    <w:p w14:paraId="7F752C2A" w14:textId="77777777" w:rsidR="0014155E" w:rsidRPr="0014155E" w:rsidRDefault="0014155E" w:rsidP="00BA6201">
      <w:pPr>
        <w:pStyle w:val="DPSEntryDetailIndentLev2"/>
        <w:spacing w:before="80"/>
        <w:ind w:left="1009"/>
      </w:pPr>
      <w:r w:rsidRPr="0014155E">
        <w:t>Cemeteries and Crematoria (Governing Board) Appointment 2024 (No 3)—Disallowable Instrument DI2024-258 (LR, 19 August 2024).</w:t>
      </w:r>
    </w:p>
    <w:p w14:paraId="4D2C333B" w14:textId="77777777" w:rsidR="0014155E" w:rsidRPr="0014155E" w:rsidRDefault="0014155E" w:rsidP="00BA6201">
      <w:pPr>
        <w:pStyle w:val="DPSEntryDetailIndentLev2"/>
        <w:spacing w:before="80"/>
        <w:ind w:left="1009"/>
      </w:pPr>
      <w:r w:rsidRPr="0014155E">
        <w:t>Cemeteries and Crematoria (Governing Board) Appointment 2024 (No 4)—Disallowable Instrument DI2024-259 (LR, 19 August 2024).</w:t>
      </w:r>
    </w:p>
    <w:p w14:paraId="33B62E88" w14:textId="77777777" w:rsidR="0014155E" w:rsidRPr="0014155E" w:rsidRDefault="0014155E" w:rsidP="00BA6201">
      <w:pPr>
        <w:pStyle w:val="DPSEntryDetailIndentLev2"/>
        <w:spacing w:before="80"/>
        <w:ind w:left="1009"/>
      </w:pPr>
      <w:r w:rsidRPr="0014155E">
        <w:t>Cemeteries and Crematoria (Governing Board) Appointment 2024 (No 5)—Disallowable Instrument DI2024-260 (LR, 19 August 2024).</w:t>
      </w:r>
    </w:p>
    <w:p w14:paraId="6F23F7E9" w14:textId="77777777" w:rsidR="0014155E" w:rsidRPr="0014155E" w:rsidRDefault="0014155E" w:rsidP="00BA6201">
      <w:pPr>
        <w:pStyle w:val="DPSEntryDetailIndentLev2"/>
        <w:spacing w:before="80"/>
        <w:ind w:left="1009"/>
      </w:pPr>
      <w:r w:rsidRPr="0014155E">
        <w:t>Cemeteries and Crematoria (Governing Board) Appointment 2024 (No 6)—Disallowable Instrument DI2024-261 (LR, 19 August 2024).</w:t>
      </w:r>
    </w:p>
    <w:p w14:paraId="51EAA40C" w14:textId="77777777" w:rsidR="0014155E" w:rsidRPr="0014155E" w:rsidRDefault="0014155E" w:rsidP="00BA6201">
      <w:pPr>
        <w:pStyle w:val="DPSEntryDetailIndentLev2"/>
        <w:spacing w:before="80"/>
        <w:ind w:left="1009"/>
      </w:pPr>
      <w:r w:rsidRPr="0014155E">
        <w:t>Cemeteries and Crematoria (Governing Board) Appointment 2024 (No 7)—Disallowable Instrument DI2024-262 (LR, 19 August 2024).</w:t>
      </w:r>
    </w:p>
    <w:p w14:paraId="31A44AAF" w14:textId="77777777" w:rsidR="0014155E" w:rsidRPr="0014155E" w:rsidRDefault="0014155E" w:rsidP="00A10F86">
      <w:pPr>
        <w:pStyle w:val="DPSEntryDetailIndentLev2"/>
        <w:ind w:left="1009"/>
      </w:pPr>
      <w:r w:rsidRPr="0014155E">
        <w:lastRenderedPageBreak/>
        <w:t>Cemeteries and Crematoria (Governing Board) Appointment 2024 (No 8)—Disallowable Instrument DI2024-263 (LR, 19 August 2024).</w:t>
      </w:r>
    </w:p>
    <w:p w14:paraId="06D1EBC0" w14:textId="77777777" w:rsidR="0014155E" w:rsidRPr="0014155E" w:rsidRDefault="0014155E" w:rsidP="00A10F86">
      <w:pPr>
        <w:pStyle w:val="DPSEntryDetailIndentLev1"/>
        <w:keepNext/>
        <w:ind w:left="862"/>
      </w:pPr>
      <w:r w:rsidRPr="0014155E">
        <w:t>Crimes (Sentence Administration) Act—</w:t>
      </w:r>
    </w:p>
    <w:p w14:paraId="3E4DE5DD" w14:textId="77777777" w:rsidR="0014155E" w:rsidRPr="0014155E" w:rsidRDefault="0014155E" w:rsidP="00A10F86">
      <w:pPr>
        <w:pStyle w:val="DPSEntryDetailIndentLev2"/>
      </w:pPr>
      <w:r w:rsidRPr="0014155E">
        <w:t>Crimes (Sentence Administration) (Sentence Administration Board) Appointment 2024 (No 1)—Disallowable Instrument DI2024-265 (LR, 19 August 2024).</w:t>
      </w:r>
    </w:p>
    <w:p w14:paraId="4D782334" w14:textId="77777777" w:rsidR="0014155E" w:rsidRPr="0014155E" w:rsidRDefault="0014155E" w:rsidP="00A10F86">
      <w:pPr>
        <w:pStyle w:val="DPSEntryDetailIndentLev2"/>
      </w:pPr>
      <w:r w:rsidRPr="0014155E">
        <w:t>Crimes (Sentence Administration) (Sentence Administration Board) Appointment 2024 (No 2)—Disallowable Instrument DI2024-266 (LR, 19 August 2024).</w:t>
      </w:r>
    </w:p>
    <w:p w14:paraId="14EB6C84" w14:textId="77777777" w:rsidR="0014155E" w:rsidRPr="0014155E" w:rsidRDefault="0014155E" w:rsidP="00A10F86">
      <w:pPr>
        <w:pStyle w:val="DPSEntryDetailIndentLev1"/>
      </w:pPr>
      <w:r w:rsidRPr="0014155E">
        <w:t>Education Act—Education Amendment Regulation 2024 (No 2)—Subordinate Law SL2024-19 (LR, 26 August 2024).</w:t>
      </w:r>
    </w:p>
    <w:p w14:paraId="26AEC9A3" w14:textId="77777777" w:rsidR="0014155E" w:rsidRPr="0014155E" w:rsidRDefault="0014155E" w:rsidP="00A10F86">
      <w:pPr>
        <w:pStyle w:val="DPSEntryDetailIndentLev1"/>
      </w:pPr>
      <w:r w:rsidRPr="0014155E">
        <w:t>Emergencies Act—Emergencies (Multi-Hazard Advisory Council Members) Appointment 2024 (No 1)—Disallowable Instrument DI2024-264 (LR, 19 August 2024).</w:t>
      </w:r>
    </w:p>
    <w:p w14:paraId="1A7A4936" w14:textId="77777777" w:rsidR="0014155E" w:rsidRPr="0014155E" w:rsidRDefault="0014155E" w:rsidP="00A10F86">
      <w:pPr>
        <w:pStyle w:val="DPSEntryDetailIndentLev1"/>
      </w:pPr>
      <w:r w:rsidRPr="0014155E">
        <w:t>Magistrates Court Act—Magistrates Court (Professional Engineers Infringement Notices) Regulation 2024—Subordinate Law SL2024-18 (LR, 26 August 2024).</w:t>
      </w:r>
    </w:p>
    <w:p w14:paraId="60574BAC" w14:textId="77777777" w:rsidR="0014155E" w:rsidRPr="0014155E" w:rsidRDefault="0014155E" w:rsidP="00A10F86">
      <w:pPr>
        <w:pStyle w:val="DPSEntryDetailIndentLev1"/>
      </w:pPr>
      <w:r w:rsidRPr="0014155E">
        <w:t>Racing Act—Racing Appeals Tribunal Appointment 2024 (No 1)—Disallowable Instrument DI2024-252 (LR, 15 August 2024).</w:t>
      </w:r>
    </w:p>
    <w:p w14:paraId="0FFEE206" w14:textId="2BC655B2" w:rsidR="0014155E" w:rsidRPr="0014155E" w:rsidRDefault="0014155E" w:rsidP="00A10F86">
      <w:pPr>
        <w:pStyle w:val="DPSEntryDetailIndentLev1"/>
      </w:pPr>
      <w:r w:rsidRPr="0014155E">
        <w:t>Road Transport (General) Act—Road Transport (General) Vehicle Registration and Related Fees Determination 2024 (No 2)—Disallowable Instrument DI2024-251 (LR,</w:t>
      </w:r>
      <w:r>
        <w:t> </w:t>
      </w:r>
      <w:r w:rsidRPr="0014155E">
        <w:t>15</w:t>
      </w:r>
      <w:r>
        <w:t> </w:t>
      </w:r>
      <w:r w:rsidRPr="0014155E">
        <w:t>August 2024).</w:t>
      </w:r>
    </w:p>
    <w:p w14:paraId="4031C02B" w14:textId="77777777" w:rsidR="0014155E" w:rsidRPr="0014155E" w:rsidRDefault="0014155E" w:rsidP="00A10F86">
      <w:pPr>
        <w:pStyle w:val="DPSEntryDetailIndentLev1"/>
      </w:pPr>
      <w:r w:rsidRPr="0014155E">
        <w:t>University of Canberra Act—</w:t>
      </w:r>
    </w:p>
    <w:p w14:paraId="4FA6101B" w14:textId="77777777" w:rsidR="0014155E" w:rsidRPr="0014155E" w:rsidRDefault="0014155E" w:rsidP="00A10F86">
      <w:pPr>
        <w:pStyle w:val="DPSEntryDetailIndentLev2"/>
      </w:pPr>
      <w:r w:rsidRPr="0014155E">
        <w:t>University of Canberra Council Appointment 2024 (No 2)—Disallowable Instrument DI2024-253 (LR, 19 August 2024).</w:t>
      </w:r>
    </w:p>
    <w:p w14:paraId="30C4B786" w14:textId="77777777" w:rsidR="0014155E" w:rsidRPr="0014155E" w:rsidRDefault="0014155E" w:rsidP="00A10F86">
      <w:pPr>
        <w:pStyle w:val="DPSEntryDetailIndentLev2"/>
      </w:pPr>
      <w:r w:rsidRPr="0014155E">
        <w:t>University of Canberra Council Appointment 2024 (No 3)—Disallowable Instrument DI2024-254 (LR, 19 August 2024).</w:t>
      </w:r>
    </w:p>
    <w:p w14:paraId="7395C877" w14:textId="05C14FBF" w:rsidR="00026751" w:rsidRPr="00026751" w:rsidRDefault="0014155E" w:rsidP="00A10F86">
      <w:pPr>
        <w:pStyle w:val="DPSEntryDetailIndentLev2"/>
      </w:pPr>
      <w:r w:rsidRPr="0014155E">
        <w:t>University of Canberra Council Appointment 2024 (No 4)—Disallowable Instrument DI2024-255 (LR, 19 August 2024).</w:t>
      </w:r>
    </w:p>
    <w:p w14:paraId="5F1FD01C" w14:textId="7B2606C9" w:rsidR="00026751" w:rsidRPr="00026751" w:rsidRDefault="00026751" w:rsidP="00026751">
      <w:pPr>
        <w:keepNext/>
        <w:keepLines/>
        <w:tabs>
          <w:tab w:val="right" w:pos="339"/>
          <w:tab w:val="left" w:pos="720"/>
        </w:tabs>
        <w:spacing w:before="240"/>
        <w:ind w:left="720" w:hanging="720"/>
        <w:rPr>
          <w:rFonts w:ascii="Calibri" w:hAnsi="Calibri"/>
          <w:b/>
          <w:caps/>
          <w:lang w:val="en-AU"/>
        </w:rPr>
      </w:pPr>
      <w:r w:rsidRPr="00026751">
        <w:rPr>
          <w:rFonts w:ascii="Calibri" w:hAnsi="Calibri"/>
          <w:b/>
          <w:caps/>
          <w:lang w:val="en-AU"/>
        </w:rPr>
        <w:tab/>
      </w:r>
      <w:r w:rsidR="001855C1">
        <w:rPr>
          <w:rFonts w:ascii="Calibri" w:hAnsi="Calibri"/>
          <w:b/>
          <w:bCs/>
          <w:caps/>
          <w:lang w:val="en-AU"/>
        </w:rPr>
        <w:fldChar w:fldCharType="begin"/>
      </w:r>
      <w:r w:rsidR="001855C1">
        <w:rPr>
          <w:rFonts w:ascii="Calibri" w:hAnsi="Calibri"/>
          <w:b/>
          <w:bCs/>
          <w:caps/>
          <w:lang w:val="en-AU"/>
        </w:rPr>
        <w:instrText xml:space="preserve"> SEQ A \* MERGEFORMAT </w:instrText>
      </w:r>
      <w:r w:rsidR="001855C1">
        <w:rPr>
          <w:rFonts w:ascii="Calibri" w:hAnsi="Calibri"/>
          <w:b/>
          <w:bCs/>
          <w:caps/>
          <w:lang w:val="en-AU"/>
        </w:rPr>
        <w:fldChar w:fldCharType="separate"/>
      </w:r>
      <w:r w:rsidR="00A64AFA">
        <w:rPr>
          <w:rFonts w:ascii="Calibri" w:hAnsi="Calibri"/>
          <w:b/>
          <w:bCs/>
          <w:caps/>
          <w:noProof/>
          <w:lang w:val="en-AU"/>
        </w:rPr>
        <w:t>13</w:t>
      </w:r>
      <w:r w:rsidR="001855C1">
        <w:rPr>
          <w:rFonts w:ascii="Calibri" w:hAnsi="Calibri"/>
          <w:b/>
          <w:bCs/>
          <w:caps/>
          <w:lang w:val="en-AU"/>
        </w:rPr>
        <w:fldChar w:fldCharType="end"/>
      </w:r>
      <w:r w:rsidRPr="00026751">
        <w:rPr>
          <w:rFonts w:ascii="Calibri" w:hAnsi="Calibri"/>
          <w:b/>
          <w:caps/>
          <w:lang w:val="en-AU"/>
        </w:rPr>
        <w:tab/>
      </w:r>
      <w:bookmarkStart w:id="1" w:name="_Hlk176276272"/>
      <w:r w:rsidR="00E42CC6">
        <w:rPr>
          <w:rFonts w:ascii="Calibri" w:hAnsi="Calibri"/>
          <w:b/>
          <w:caps/>
          <w:lang w:val="en-AU"/>
        </w:rPr>
        <w:t>Gambling policy</w:t>
      </w:r>
      <w:r w:rsidR="00303360">
        <w:rPr>
          <w:rFonts w:ascii="Calibri" w:hAnsi="Calibri"/>
          <w:b/>
          <w:caps/>
          <w:lang w:val="en-AU"/>
        </w:rPr>
        <w:t>—</w:t>
      </w:r>
      <w:r w:rsidR="00823FD1">
        <w:rPr>
          <w:rFonts w:ascii="Calibri" w:hAnsi="Calibri"/>
          <w:b/>
          <w:caps/>
          <w:lang w:val="en-AU"/>
        </w:rPr>
        <w:t>Clubs</w:t>
      </w:r>
      <w:r w:rsidR="00B16E09">
        <w:rPr>
          <w:rFonts w:ascii="Calibri" w:hAnsi="Calibri"/>
          <w:b/>
          <w:caps/>
          <w:lang w:val="en-AU"/>
        </w:rPr>
        <w:t>ACT</w:t>
      </w:r>
      <w:r w:rsidR="00823FD1">
        <w:rPr>
          <w:rFonts w:ascii="Calibri" w:hAnsi="Calibri"/>
          <w:b/>
          <w:caps/>
          <w:lang w:val="en-AU"/>
        </w:rPr>
        <w:t>—</w:t>
      </w:r>
      <w:r w:rsidR="00E42CC6">
        <w:rPr>
          <w:rFonts w:ascii="Calibri" w:hAnsi="Calibri"/>
          <w:b/>
          <w:caps/>
          <w:lang w:val="en-AU"/>
        </w:rPr>
        <w:t xml:space="preserve">Reform </w:t>
      </w:r>
      <w:r w:rsidR="00303360">
        <w:rPr>
          <w:rFonts w:ascii="Calibri" w:hAnsi="Calibri"/>
          <w:b/>
          <w:caps/>
          <w:lang w:val="en-AU"/>
        </w:rPr>
        <w:t>and inquiry</w:t>
      </w:r>
      <w:bookmarkEnd w:id="1"/>
    </w:p>
    <w:p w14:paraId="627FB735" w14:textId="5AA73293" w:rsidR="00026751" w:rsidRPr="00026751" w:rsidRDefault="00E42CC6" w:rsidP="00A10F86">
      <w:pPr>
        <w:spacing w:before="120"/>
        <w:ind w:left="720"/>
        <w:rPr>
          <w:rFonts w:ascii="Calibri" w:hAnsi="Calibri"/>
          <w:color w:val="000000"/>
          <w:lang w:val="en-AU"/>
        </w:rPr>
      </w:pPr>
      <w:r>
        <w:rPr>
          <w:rFonts w:ascii="Calibri" w:hAnsi="Calibri"/>
          <w:color w:val="000000"/>
          <w:lang w:val="en-AU"/>
        </w:rPr>
        <w:t>Mr Braddock</w:t>
      </w:r>
      <w:r w:rsidR="00026751" w:rsidRPr="00026751">
        <w:rPr>
          <w:rFonts w:ascii="Calibri" w:hAnsi="Calibri"/>
          <w:color w:val="000000"/>
          <w:lang w:val="en-AU"/>
        </w:rPr>
        <w:t>, pursuant to notice, moved—That this Assembly:</w:t>
      </w:r>
    </w:p>
    <w:p w14:paraId="0DE7A693" w14:textId="76105546" w:rsidR="008D3158" w:rsidRPr="00D97477" w:rsidRDefault="008D3158" w:rsidP="00A10F86">
      <w:pPr>
        <w:pStyle w:val="DPSEntryIndents"/>
        <w:rPr>
          <w:lang w:eastAsia="en-US"/>
        </w:rPr>
      </w:pPr>
      <w:r w:rsidRPr="00D97477">
        <w:rPr>
          <w:lang w:eastAsia="en-US"/>
        </w:rPr>
        <w:t>notes:</w:t>
      </w:r>
    </w:p>
    <w:p w14:paraId="0AEE20B5" w14:textId="77777777" w:rsidR="008D3158" w:rsidRPr="00D97477" w:rsidRDefault="008D3158" w:rsidP="00A10F86">
      <w:pPr>
        <w:tabs>
          <w:tab w:val="left" w:pos="567"/>
        </w:tabs>
        <w:spacing w:before="120"/>
        <w:ind w:left="1910" w:hanging="544"/>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r>
      <w:r w:rsidRPr="00062C28">
        <w:rPr>
          <w:rFonts w:ascii="Calibri" w:hAnsi="Calibri"/>
          <w:spacing w:val="-2"/>
          <w:lang w:val="en-AU" w:eastAsia="en-US"/>
        </w:rPr>
        <w:t>the severe and debilitating effect that gambling has on the lives of its victims,</w:t>
      </w:r>
      <w:r w:rsidRPr="00062C28">
        <w:rPr>
          <w:rFonts w:ascii="Calibri" w:hAnsi="Calibri"/>
          <w:spacing w:val="-4"/>
          <w:lang w:val="en-AU" w:eastAsia="en-US"/>
        </w:rPr>
        <w:t xml:space="preserve"> particularly where derived from electronic gaming machines (poker machines);</w:t>
      </w:r>
    </w:p>
    <w:p w14:paraId="6C698848" w14:textId="77777777" w:rsidR="008D3158" w:rsidRPr="00D97477" w:rsidRDefault="008D3158" w:rsidP="00A10F86">
      <w:pPr>
        <w:tabs>
          <w:tab w:val="left" w:pos="567"/>
        </w:tabs>
        <w:spacing w:before="120"/>
        <w:ind w:left="1910" w:hanging="544"/>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that gambling reform is a wicked problem and a divisive issue for ACT politics, over which a significant amount of lobbying occurs;</w:t>
      </w:r>
    </w:p>
    <w:p w14:paraId="279E2BC4" w14:textId="77777777" w:rsidR="008D3158" w:rsidRPr="00D97477" w:rsidRDefault="008D3158" w:rsidP="00A10F86">
      <w:pPr>
        <w:tabs>
          <w:tab w:val="left" w:pos="567"/>
        </w:tabs>
        <w:spacing w:before="120"/>
        <w:ind w:left="1910" w:hanging="544"/>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the risks of new technologies involving big data and behavioural analytics, powered by artificial intelligence, which stand to exacerbate harm if left unregulated by the Government;</w:t>
      </w:r>
    </w:p>
    <w:p w14:paraId="7A01D08C" w14:textId="4CB879C8" w:rsidR="008D3158" w:rsidRPr="00D97477" w:rsidRDefault="008D3158" w:rsidP="00A10F86">
      <w:pPr>
        <w:tabs>
          <w:tab w:val="left" w:pos="567"/>
        </w:tabs>
        <w:spacing w:before="120"/>
        <w:ind w:left="1910" w:hanging="544"/>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 xml:space="preserve">the ACT Minister for Gaming recently said that </w:t>
      </w:r>
      <w:r w:rsidR="00091C7D">
        <w:rPr>
          <w:rFonts w:ascii="Calibri" w:hAnsi="Calibri"/>
          <w:lang w:val="en-AU" w:eastAsia="en-US"/>
        </w:rPr>
        <w:t>“</w:t>
      </w:r>
      <w:r w:rsidRPr="00D97477">
        <w:rPr>
          <w:rFonts w:ascii="Calibri" w:hAnsi="Calibri"/>
          <w:lang w:val="en-AU" w:eastAsia="en-US"/>
        </w:rPr>
        <w:t>the ACT Labor Party has avoided, delayed, and ultimately rejected the best-practice [pokies harm reduction] reforms</w:t>
      </w:r>
      <w:r w:rsidR="00091C7D">
        <w:rPr>
          <w:rFonts w:ascii="Calibri" w:hAnsi="Calibri"/>
          <w:lang w:val="en-AU" w:eastAsia="en-US"/>
        </w:rPr>
        <w:t>”</w:t>
      </w:r>
      <w:r w:rsidRPr="00D97477">
        <w:rPr>
          <w:rFonts w:ascii="Calibri" w:hAnsi="Calibri"/>
          <w:lang w:val="en-AU" w:eastAsia="en-US"/>
        </w:rPr>
        <w:t xml:space="preserve"> that were presented to it in Government;</w:t>
      </w:r>
    </w:p>
    <w:p w14:paraId="32AA7C9A" w14:textId="77777777" w:rsidR="008D3158" w:rsidRPr="00D97477" w:rsidRDefault="008D3158" w:rsidP="00303360">
      <w:pPr>
        <w:keepNext/>
        <w:tabs>
          <w:tab w:val="left" w:pos="567"/>
        </w:tabs>
        <w:spacing w:before="80"/>
        <w:ind w:left="1910" w:hanging="544"/>
        <w:rPr>
          <w:rFonts w:ascii="Calibri" w:hAnsi="Calibri"/>
          <w:lang w:val="en-AU" w:eastAsia="en-US"/>
        </w:rPr>
      </w:pPr>
      <w:r w:rsidRPr="00D97477">
        <w:rPr>
          <w:rFonts w:ascii="Calibri" w:hAnsi="Calibri"/>
          <w:lang w:val="en-AU" w:eastAsia="en-US"/>
        </w:rPr>
        <w:lastRenderedPageBreak/>
        <w:t>(e)</w:t>
      </w:r>
      <w:r w:rsidRPr="00D97477">
        <w:rPr>
          <w:rFonts w:ascii="Calibri" w:hAnsi="Calibri"/>
          <w:lang w:val="en-AU" w:eastAsia="en-US"/>
        </w:rPr>
        <w:tab/>
        <w:t>that the ACT Labor Party has a conflict of interest on gambling policy that is derived from its:</w:t>
      </w:r>
    </w:p>
    <w:p w14:paraId="517AEF98" w14:textId="77777777" w:rsidR="008D3158" w:rsidRPr="00D97477" w:rsidRDefault="008D3158" w:rsidP="00062C28">
      <w:pPr>
        <w:spacing w:before="80"/>
        <w:ind w:left="2477" w:hanging="544"/>
        <w:rPr>
          <w:rFonts w:ascii="Calibri" w:hAnsi="Calibri"/>
          <w:lang w:val="en-AU" w:eastAsia="en-US"/>
        </w:rPr>
      </w:pPr>
      <w:r w:rsidRPr="00D97477">
        <w:rPr>
          <w:rFonts w:ascii="Calibri" w:hAnsi="Calibri"/>
          <w:lang w:val="en-AU" w:eastAsia="en-US"/>
        </w:rPr>
        <w:t>(i)</w:t>
      </w:r>
      <w:r w:rsidRPr="00D97477">
        <w:rPr>
          <w:rFonts w:ascii="Calibri" w:hAnsi="Calibri"/>
          <w:lang w:val="en-AU" w:eastAsia="en-US"/>
        </w:rPr>
        <w:tab/>
        <w:t>associations with the Canberra Labor Club group, which operates for the express purpose of promoting the Australian Labor Party, and which operates 436 poker machines across four venues, representing 12 percent of all machines in the ACT;</w:t>
      </w:r>
    </w:p>
    <w:p w14:paraId="74467747" w14:textId="77777777" w:rsidR="008D3158" w:rsidRPr="00D97477" w:rsidRDefault="008D3158" w:rsidP="008D3158">
      <w:pPr>
        <w:spacing w:before="120"/>
        <w:ind w:left="2477" w:hanging="544"/>
        <w:rPr>
          <w:rFonts w:ascii="Calibri" w:hAnsi="Calibri"/>
          <w:lang w:val="en-AU" w:eastAsia="en-US"/>
        </w:rPr>
      </w:pPr>
      <w:r w:rsidRPr="00D97477">
        <w:rPr>
          <w:rFonts w:ascii="Calibri" w:hAnsi="Calibri"/>
          <w:lang w:val="en-AU" w:eastAsia="en-US"/>
        </w:rPr>
        <w:t>(ii)</w:t>
      </w:r>
      <w:r w:rsidRPr="00D97477">
        <w:rPr>
          <w:rFonts w:ascii="Calibri" w:hAnsi="Calibri"/>
          <w:lang w:val="en-AU" w:eastAsia="en-US"/>
        </w:rPr>
        <w:tab/>
        <w:t>historic financial arrangements whereby the profits from poker machine operations at the Canberra Labor Club were used to fund the operations of the ACT Labor Party;</w:t>
      </w:r>
    </w:p>
    <w:p w14:paraId="4E5ACF8F" w14:textId="3599D6ED" w:rsidR="008D3158" w:rsidRPr="00A10F86" w:rsidRDefault="008D3158" w:rsidP="008D3158">
      <w:pPr>
        <w:spacing w:before="120"/>
        <w:ind w:left="2477" w:hanging="544"/>
        <w:rPr>
          <w:rFonts w:ascii="Calibri" w:hAnsi="Calibri"/>
          <w:lang w:val="en-AU" w:eastAsia="en-US"/>
        </w:rPr>
      </w:pPr>
      <w:r w:rsidRPr="00D97477">
        <w:rPr>
          <w:rFonts w:ascii="Calibri" w:hAnsi="Calibri"/>
          <w:lang w:val="en-AU" w:eastAsia="en-US"/>
        </w:rPr>
        <w:t>(iii)</w:t>
      </w:r>
      <w:r w:rsidRPr="00D97477">
        <w:rPr>
          <w:rFonts w:ascii="Calibri" w:hAnsi="Calibri"/>
          <w:lang w:val="en-AU" w:eastAsia="en-US"/>
        </w:rPr>
        <w:tab/>
      </w:r>
      <w:r w:rsidRPr="00A10F86">
        <w:rPr>
          <w:rFonts w:ascii="Calibri" w:hAnsi="Calibri"/>
          <w:lang w:val="en-AU" w:eastAsia="en-US"/>
        </w:rPr>
        <w:t>current financial arrangements whereby the operations of the ACT Labor Party are funded from the investment returns of the 1973 Foundation, which according to disclosures to Elections ACT, was established using capital transfers from the Canberra Labor Club amounting to $3,600,000 in 2011-</w:t>
      </w:r>
      <w:r w:rsidR="003F41B5" w:rsidRPr="00A10F86">
        <w:rPr>
          <w:rFonts w:ascii="Calibri" w:hAnsi="Calibri"/>
          <w:lang w:val="en-AU" w:eastAsia="en-US"/>
        </w:rPr>
        <w:t>20</w:t>
      </w:r>
      <w:r w:rsidRPr="00A10F86">
        <w:rPr>
          <w:rFonts w:ascii="Calibri" w:hAnsi="Calibri"/>
          <w:lang w:val="en-AU" w:eastAsia="en-US"/>
        </w:rPr>
        <w:t>12 and $2,500,000 in 2013-</w:t>
      </w:r>
      <w:r w:rsidR="003F41B5" w:rsidRPr="00A10F86">
        <w:rPr>
          <w:rFonts w:ascii="Calibri" w:hAnsi="Calibri"/>
          <w:lang w:val="en-AU" w:eastAsia="en-US"/>
        </w:rPr>
        <w:t>20</w:t>
      </w:r>
      <w:r w:rsidRPr="00A10F86">
        <w:rPr>
          <w:rFonts w:ascii="Calibri" w:hAnsi="Calibri"/>
          <w:lang w:val="en-AU" w:eastAsia="en-US"/>
        </w:rPr>
        <w:t>14, totalling at least $6,100,000.</w:t>
      </w:r>
      <w:r w:rsidRPr="00A10F86" w:rsidDel="00CE394B">
        <w:rPr>
          <w:rFonts w:ascii="Calibri" w:hAnsi="Calibri"/>
          <w:lang w:val="en-AU" w:eastAsia="en-US"/>
        </w:rPr>
        <w:t xml:space="preserve"> </w:t>
      </w:r>
      <w:r w:rsidRPr="00A10F86">
        <w:rPr>
          <w:rFonts w:ascii="Calibri" w:hAnsi="Calibri"/>
          <w:lang w:val="en-AU" w:eastAsia="en-US"/>
        </w:rPr>
        <w:t>The ACT Labor Party have received over $4,400,000 in funding from this investment vehicle since 2011-</w:t>
      </w:r>
      <w:r w:rsidR="003F41B5" w:rsidRPr="00A10F86">
        <w:rPr>
          <w:rFonts w:ascii="Calibri" w:hAnsi="Calibri"/>
          <w:lang w:val="en-AU" w:eastAsia="en-US"/>
        </w:rPr>
        <w:t>20</w:t>
      </w:r>
      <w:r w:rsidRPr="00A10F86">
        <w:rPr>
          <w:rFonts w:ascii="Calibri" w:hAnsi="Calibri"/>
          <w:lang w:val="en-AU" w:eastAsia="en-US"/>
        </w:rPr>
        <w:t>12; and</w:t>
      </w:r>
    </w:p>
    <w:p w14:paraId="0CD98907" w14:textId="6EE9F9A3" w:rsidR="008D3158" w:rsidRPr="00D97477" w:rsidRDefault="008D3158" w:rsidP="008D3158">
      <w:pPr>
        <w:spacing w:before="120"/>
        <w:ind w:left="2477" w:hanging="544"/>
        <w:rPr>
          <w:rFonts w:ascii="Calibri" w:hAnsi="Calibri"/>
          <w:lang w:val="en-AU" w:eastAsia="en-US"/>
        </w:rPr>
      </w:pPr>
      <w:r w:rsidRPr="00D97477">
        <w:rPr>
          <w:rFonts w:ascii="Calibri" w:hAnsi="Calibri"/>
          <w:lang w:val="en-AU" w:eastAsia="en-US"/>
        </w:rPr>
        <w:t>(iv)</w:t>
      </w:r>
      <w:r w:rsidRPr="00D97477">
        <w:rPr>
          <w:rFonts w:ascii="Calibri" w:hAnsi="Calibri"/>
          <w:lang w:val="en-AU" w:eastAsia="en-US"/>
        </w:rPr>
        <w:tab/>
        <w:t>governance arrangements over the Canberra Labor Club which see it nominate a majority of the Club</w:t>
      </w:r>
      <w:r w:rsidR="00091C7D">
        <w:rPr>
          <w:rFonts w:ascii="Calibri" w:hAnsi="Calibri"/>
          <w:lang w:val="en-AU" w:eastAsia="en-US"/>
        </w:rPr>
        <w:t>’</w:t>
      </w:r>
      <w:r w:rsidRPr="00D97477">
        <w:rPr>
          <w:rFonts w:ascii="Calibri" w:hAnsi="Calibri"/>
          <w:lang w:val="en-AU" w:eastAsia="en-US"/>
        </w:rPr>
        <w:t>s board of directors;</w:t>
      </w:r>
    </w:p>
    <w:p w14:paraId="106A907C"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that this conflict of interest results in the ACT Labor Party being impossibly compromised on gambling policy; and</w:t>
      </w:r>
    </w:p>
    <w:p w14:paraId="6335AEB3"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(g)</w:t>
      </w:r>
      <w:r w:rsidRPr="00D97477">
        <w:rPr>
          <w:rFonts w:ascii="Calibri" w:hAnsi="Calibri"/>
          <w:lang w:val="en-AU" w:eastAsia="en-US"/>
        </w:rPr>
        <w:tab/>
        <w:t>that the Canberra Labor Club, despite being the beneficiary of ACT Government revenue diversification grants, has become a property developer that has built a block of apartments in Braddon and a hotel at its Belconnen site, but still operates the same number of poker machines as in 2019; and</w:t>
      </w:r>
    </w:p>
    <w:p w14:paraId="1D7BF813" w14:textId="6BA4587C" w:rsidR="008D3158" w:rsidRPr="00D97477" w:rsidRDefault="008D3158" w:rsidP="00141A2C">
      <w:pPr>
        <w:pStyle w:val="DPSEntryIndents"/>
        <w:ind w:left="1366" w:hanging="646"/>
        <w:rPr>
          <w:lang w:eastAsia="en-US"/>
        </w:rPr>
      </w:pPr>
      <w:r w:rsidRPr="00D97477">
        <w:rPr>
          <w:lang w:eastAsia="en-US"/>
        </w:rPr>
        <w:t>c</w:t>
      </w:r>
      <w:r w:rsidRPr="00D97477" w:rsidDel="00833079">
        <w:rPr>
          <w:lang w:eastAsia="en-US"/>
        </w:rPr>
        <w:t xml:space="preserve">alls </w:t>
      </w:r>
      <w:r w:rsidRPr="00D97477">
        <w:rPr>
          <w:lang w:eastAsia="en-US"/>
        </w:rPr>
        <w:t xml:space="preserve">on the ACT Labor Party </w:t>
      </w:r>
      <w:r w:rsidRPr="00D97477" w:rsidDel="00833079">
        <w:rPr>
          <w:lang w:eastAsia="en-US"/>
        </w:rPr>
        <w:t>to</w:t>
      </w:r>
      <w:r w:rsidRPr="00D97477">
        <w:rPr>
          <w:lang w:eastAsia="en-US"/>
        </w:rPr>
        <w:t>:</w:t>
      </w:r>
    </w:p>
    <w:p w14:paraId="60AD2798" w14:textId="77777777" w:rsidR="008D3158"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sever all of its connections to the Canberra Labor Club to eliminate its conflict of interest; and</w:t>
      </w:r>
    </w:p>
    <w:p w14:paraId="58A461D1" w14:textId="6D729AE5" w:rsidR="00026751" w:rsidRPr="008D3158"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donate $6,100,000 to the Alliance for Gambling Reform – an amount equivalent to that derived from poker machines to establish the 1973 Foundation.</w:t>
      </w:r>
    </w:p>
    <w:p w14:paraId="3549688A" w14:textId="77777777" w:rsidR="00026751" w:rsidRDefault="00026751" w:rsidP="00026751">
      <w:pPr>
        <w:spacing w:before="120"/>
        <w:ind w:left="720" w:right="-35"/>
        <w:rPr>
          <w:rFonts w:ascii="Calibri" w:hAnsi="Calibri"/>
          <w:color w:val="000000"/>
          <w:lang w:val="en-AU"/>
        </w:rPr>
      </w:pPr>
      <w:r w:rsidRPr="00026751">
        <w:rPr>
          <w:rFonts w:ascii="Calibri" w:hAnsi="Calibri"/>
          <w:color w:val="000000"/>
          <w:lang w:val="en-AU"/>
        </w:rPr>
        <w:t>Debate ensued.</w:t>
      </w:r>
    </w:p>
    <w:p w14:paraId="39E3E380" w14:textId="5C65CB1D" w:rsidR="0063650E" w:rsidRDefault="0063650E" w:rsidP="00026751">
      <w:pPr>
        <w:spacing w:before="120"/>
        <w:ind w:left="720" w:right="-35"/>
        <w:rPr>
          <w:rFonts w:ascii="Calibri" w:hAnsi="Calibri"/>
          <w:color w:val="000000"/>
          <w:lang w:val="en-AU"/>
        </w:rPr>
      </w:pPr>
      <w:r>
        <w:rPr>
          <w:rFonts w:ascii="Calibri" w:hAnsi="Calibri"/>
          <w:color w:val="000000"/>
          <w:lang w:val="en-AU"/>
        </w:rPr>
        <w:t>Mr Parton moved the following amendment: Omit all text after paragraph (1)(g), substitute:</w:t>
      </w:r>
    </w:p>
    <w:p w14:paraId="67D70946" w14:textId="09C407C9" w:rsidR="0063650E" w:rsidRPr="0063650E" w:rsidRDefault="00091C7D" w:rsidP="00141A2C">
      <w:pPr>
        <w:spacing w:before="120"/>
        <w:ind w:left="1910" w:hanging="634"/>
        <w:rPr>
          <w:rFonts w:ascii="Calibri" w:hAnsi="Calibri"/>
          <w:color w:val="000000"/>
          <w:lang w:val="en-AU"/>
        </w:rPr>
      </w:pPr>
      <w:r>
        <w:rPr>
          <w:rFonts w:ascii="Calibri" w:hAnsi="Calibri"/>
          <w:color w:val="000000"/>
          <w:lang w:val="en-AU"/>
        </w:rPr>
        <w:t>“</w:t>
      </w:r>
      <w:r w:rsidR="0063650E" w:rsidRPr="0063650E">
        <w:rPr>
          <w:rFonts w:ascii="Calibri" w:hAnsi="Calibri"/>
          <w:color w:val="000000"/>
          <w:lang w:val="en-AU"/>
        </w:rPr>
        <w:t>(h)</w:t>
      </w:r>
      <w:r w:rsidR="00141A2C">
        <w:rPr>
          <w:rFonts w:ascii="Calibri" w:hAnsi="Calibri"/>
          <w:color w:val="000000"/>
          <w:lang w:val="en-AU"/>
        </w:rPr>
        <w:tab/>
      </w:r>
      <w:r w:rsidR="0063650E" w:rsidRPr="00141A2C">
        <w:rPr>
          <w:rFonts w:ascii="Calibri" w:hAnsi="Calibri"/>
          <w:color w:val="000000"/>
          <w:spacing w:val="-2"/>
          <w:lang w:val="en-AU"/>
        </w:rPr>
        <w:t>the Greens want to implement a Central Monitoring System funded by clubs;</w:t>
      </w:r>
    </w:p>
    <w:p w14:paraId="3F8BB179" w14:textId="1E28234F" w:rsidR="0063650E" w:rsidRPr="0063650E" w:rsidRDefault="0063650E" w:rsidP="00141A2C">
      <w:pPr>
        <w:spacing w:before="120"/>
        <w:ind w:left="1910" w:hanging="544"/>
        <w:rPr>
          <w:rFonts w:ascii="Calibri" w:hAnsi="Calibri"/>
          <w:color w:val="000000"/>
          <w:lang w:val="en-AU"/>
        </w:rPr>
      </w:pPr>
      <w:r w:rsidRPr="0063650E">
        <w:rPr>
          <w:rFonts w:ascii="Calibri" w:hAnsi="Calibri"/>
          <w:color w:val="000000"/>
          <w:lang w:val="en-AU"/>
        </w:rPr>
        <w:t>(i)</w:t>
      </w:r>
      <w:r w:rsidRPr="0063650E">
        <w:rPr>
          <w:rFonts w:ascii="Calibri" w:hAnsi="Calibri"/>
          <w:color w:val="000000"/>
          <w:lang w:val="en-AU"/>
        </w:rPr>
        <w:tab/>
      </w:r>
      <w:r w:rsidRPr="00D17ACF">
        <w:rPr>
          <w:rFonts w:ascii="Calibri" w:hAnsi="Calibri"/>
          <w:color w:val="000000"/>
          <w:spacing w:val="-4"/>
          <w:lang w:val="en-AU"/>
        </w:rPr>
        <w:t>Labor</w:t>
      </w:r>
      <w:r w:rsidR="00091C7D">
        <w:rPr>
          <w:rFonts w:ascii="Calibri" w:hAnsi="Calibri"/>
          <w:color w:val="000000"/>
          <w:spacing w:val="-4"/>
          <w:lang w:val="en-AU"/>
        </w:rPr>
        <w:t>’</w:t>
      </w:r>
      <w:r w:rsidRPr="00D17ACF">
        <w:rPr>
          <w:rFonts w:ascii="Calibri" w:hAnsi="Calibri"/>
          <w:color w:val="000000"/>
          <w:spacing w:val="-4"/>
          <w:lang w:val="en-AU"/>
        </w:rPr>
        <w:t>s machine reduction amendments would severely impact the sector;</w:t>
      </w:r>
      <w:r w:rsidR="00141A2C" w:rsidRPr="00D17ACF">
        <w:rPr>
          <w:rFonts w:ascii="Calibri" w:hAnsi="Calibri"/>
          <w:color w:val="000000"/>
          <w:spacing w:val="-4"/>
          <w:lang w:val="en-AU"/>
        </w:rPr>
        <w:t xml:space="preserve"> and</w:t>
      </w:r>
    </w:p>
    <w:p w14:paraId="6D245023" w14:textId="77777777" w:rsidR="0063650E" w:rsidRPr="0063650E" w:rsidRDefault="0063650E" w:rsidP="00141A2C">
      <w:pPr>
        <w:spacing w:before="120"/>
        <w:ind w:left="1910" w:hanging="544"/>
        <w:rPr>
          <w:rFonts w:ascii="Calibri" w:hAnsi="Calibri"/>
          <w:color w:val="000000"/>
          <w:lang w:val="en-AU"/>
        </w:rPr>
      </w:pPr>
      <w:r w:rsidRPr="0063650E">
        <w:rPr>
          <w:rFonts w:ascii="Calibri" w:hAnsi="Calibri"/>
          <w:color w:val="000000"/>
          <w:lang w:val="en-AU"/>
        </w:rPr>
        <w:t>(j)</w:t>
      </w:r>
      <w:r w:rsidRPr="0063650E">
        <w:rPr>
          <w:rFonts w:ascii="Calibri" w:hAnsi="Calibri"/>
          <w:color w:val="000000"/>
          <w:lang w:val="en-AU"/>
        </w:rPr>
        <w:tab/>
        <w:t>the reaction from clubs is that either one of these policy proposals will lead to the entire collapse of the sector;</w:t>
      </w:r>
    </w:p>
    <w:p w14:paraId="25233F1C" w14:textId="10E08E71" w:rsidR="0063650E" w:rsidRPr="0063650E" w:rsidRDefault="0063650E" w:rsidP="00302878">
      <w:pPr>
        <w:keepNext/>
        <w:spacing w:before="120"/>
        <w:ind w:left="1366" w:hanging="646"/>
        <w:rPr>
          <w:rFonts w:ascii="Calibri" w:hAnsi="Calibri"/>
          <w:color w:val="000000"/>
          <w:lang w:val="en-AU"/>
        </w:rPr>
      </w:pPr>
      <w:r w:rsidRPr="0063650E">
        <w:rPr>
          <w:rFonts w:ascii="Calibri" w:hAnsi="Calibri"/>
          <w:color w:val="000000"/>
          <w:lang w:val="en-AU"/>
        </w:rPr>
        <w:lastRenderedPageBreak/>
        <w:t>(</w:t>
      </w:r>
      <w:r w:rsidR="00141A2C">
        <w:rPr>
          <w:rFonts w:ascii="Calibri" w:hAnsi="Calibri"/>
          <w:color w:val="000000"/>
          <w:lang w:val="en-AU"/>
        </w:rPr>
        <w:t>2</w:t>
      </w:r>
      <w:r w:rsidRPr="0063650E">
        <w:rPr>
          <w:rFonts w:ascii="Calibri" w:hAnsi="Calibri"/>
          <w:color w:val="000000"/>
          <w:lang w:val="en-AU"/>
        </w:rPr>
        <w:t>)</w:t>
      </w:r>
      <w:r w:rsidRPr="0063650E">
        <w:rPr>
          <w:rFonts w:ascii="Calibri" w:hAnsi="Calibri"/>
          <w:color w:val="000000"/>
          <w:lang w:val="en-AU"/>
        </w:rPr>
        <w:tab/>
        <w:t>further notes:</w:t>
      </w:r>
    </w:p>
    <w:p w14:paraId="5438DA54" w14:textId="50C6F94B"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(a)</w:t>
      </w:r>
      <w:r w:rsidR="0063650E" w:rsidRPr="0063650E">
        <w:rPr>
          <w:rFonts w:ascii="Calibri" w:hAnsi="Calibri"/>
          <w:color w:val="000000"/>
          <w:lang w:val="en-AU"/>
        </w:rPr>
        <w:tab/>
        <w:t>the Government has made many commitments regarding club diversification yet failed to achieve any of them;</w:t>
      </w:r>
    </w:p>
    <w:p w14:paraId="241CBB75" w14:textId="77603CBB"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(b)</w:t>
      </w:r>
      <w:r w:rsidR="0063650E" w:rsidRPr="0063650E">
        <w:rPr>
          <w:rFonts w:ascii="Calibri" w:hAnsi="Calibri"/>
          <w:color w:val="000000"/>
          <w:lang w:val="en-AU"/>
        </w:rPr>
        <w:tab/>
        <w:t>the community clubs sector in the ACT supports hundreds of community organisations</w:t>
      </w:r>
      <w:r>
        <w:rPr>
          <w:rFonts w:ascii="Calibri" w:hAnsi="Calibri"/>
          <w:color w:val="000000"/>
          <w:lang w:val="en-AU"/>
        </w:rPr>
        <w:t>;</w:t>
      </w:r>
    </w:p>
    <w:p w14:paraId="7D504367" w14:textId="4AFD42DD"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(c)</w:t>
      </w:r>
      <w:r w:rsidR="0063650E" w:rsidRPr="0063650E">
        <w:rPr>
          <w:rFonts w:ascii="Calibri" w:hAnsi="Calibri"/>
          <w:color w:val="000000"/>
          <w:lang w:val="en-AU"/>
        </w:rPr>
        <w:tab/>
        <w:t>there are 43 licensed clubs in the ACT employing over 1</w:t>
      </w:r>
      <w:r w:rsidR="003F41B5">
        <w:rPr>
          <w:rFonts w:ascii="Calibri" w:hAnsi="Calibri"/>
          <w:color w:val="000000"/>
          <w:lang w:val="en-AU"/>
        </w:rPr>
        <w:t>,</w:t>
      </w:r>
      <w:r w:rsidR="0063650E" w:rsidRPr="0063650E">
        <w:rPr>
          <w:rFonts w:ascii="Calibri" w:hAnsi="Calibri"/>
          <w:color w:val="000000"/>
          <w:lang w:val="en-AU"/>
        </w:rPr>
        <w:t>700 staff and supporting huge local supply chains in food and beverage</w:t>
      </w:r>
      <w:r>
        <w:rPr>
          <w:rFonts w:ascii="Calibri" w:hAnsi="Calibri"/>
          <w:color w:val="000000"/>
          <w:lang w:val="en-AU"/>
        </w:rPr>
        <w:t>;</w:t>
      </w:r>
    </w:p>
    <w:p w14:paraId="0B36C6B3" w14:textId="6A806D84"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(d)</w:t>
      </w:r>
      <w:r w:rsidR="0063650E" w:rsidRPr="0063650E">
        <w:rPr>
          <w:rFonts w:ascii="Calibri" w:hAnsi="Calibri"/>
          <w:color w:val="000000"/>
          <w:lang w:val="en-AU"/>
        </w:rPr>
        <w:tab/>
        <w:t>clubs manage and maintain much sporting infrastructure including 400 hectares of greenspace for community use and support nearly 400 sporting groups</w:t>
      </w:r>
      <w:r>
        <w:rPr>
          <w:rFonts w:ascii="Calibri" w:hAnsi="Calibri"/>
          <w:color w:val="000000"/>
          <w:lang w:val="en-AU"/>
        </w:rPr>
        <w:t>;</w:t>
      </w:r>
    </w:p>
    <w:p w14:paraId="4F71734E" w14:textId="4FDB5014"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(e)</w:t>
      </w:r>
      <w:r w:rsidR="0063650E" w:rsidRPr="0063650E">
        <w:rPr>
          <w:rFonts w:ascii="Calibri" w:hAnsi="Calibri"/>
          <w:color w:val="000000"/>
          <w:lang w:val="en-AU"/>
        </w:rPr>
        <w:tab/>
        <w:t>over the last decade clubs provided over $150 million in community contributions</w:t>
      </w:r>
      <w:r>
        <w:rPr>
          <w:rFonts w:ascii="Calibri" w:hAnsi="Calibri"/>
          <w:color w:val="000000"/>
          <w:lang w:val="en-AU"/>
        </w:rPr>
        <w:t>;</w:t>
      </w:r>
    </w:p>
    <w:p w14:paraId="4E614C9B" w14:textId="5609E848"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(f)</w:t>
      </w:r>
      <w:r w:rsidR="0063650E" w:rsidRPr="0063650E">
        <w:rPr>
          <w:rFonts w:ascii="Calibri" w:hAnsi="Calibri"/>
          <w:color w:val="000000"/>
          <w:lang w:val="en-AU"/>
        </w:rPr>
        <w:tab/>
      </w:r>
      <w:r w:rsidR="0063650E" w:rsidRPr="00141A2C">
        <w:rPr>
          <w:rFonts w:ascii="Calibri" w:hAnsi="Calibri"/>
          <w:color w:val="000000"/>
          <w:spacing w:val="-2"/>
          <w:lang w:val="en-AU"/>
        </w:rPr>
        <w:t>clubs contributed over $300 million in gaming taxes in that same period</w:t>
      </w:r>
      <w:r w:rsidRPr="00141A2C">
        <w:rPr>
          <w:rFonts w:ascii="Calibri" w:hAnsi="Calibri"/>
          <w:color w:val="000000"/>
          <w:spacing w:val="-2"/>
          <w:lang w:val="en-AU"/>
        </w:rPr>
        <w:t>; and</w:t>
      </w:r>
    </w:p>
    <w:p w14:paraId="2594A16B" w14:textId="68CEA5DD" w:rsidR="0063650E" w:rsidRDefault="00141A2C" w:rsidP="00302878">
      <w:pPr>
        <w:spacing w:before="120"/>
        <w:ind w:left="1910" w:hanging="544"/>
        <w:rPr>
          <w:rFonts w:ascii="Calibri" w:hAnsi="Calibri"/>
          <w:color w:val="000000"/>
          <w:lang w:val="en-AU"/>
        </w:rPr>
      </w:pPr>
      <w:r>
        <w:rPr>
          <w:rFonts w:ascii="Calibri" w:hAnsi="Calibri"/>
          <w:color w:val="000000"/>
          <w:lang w:val="en-AU"/>
        </w:rPr>
        <w:t>(g)</w:t>
      </w:r>
      <w:r w:rsidR="0063650E" w:rsidRPr="0063650E">
        <w:rPr>
          <w:rFonts w:ascii="Calibri" w:hAnsi="Calibri"/>
          <w:color w:val="000000"/>
          <w:lang w:val="en-AU"/>
        </w:rPr>
        <w:tab/>
        <w:t xml:space="preserve">during the Covid period, Canberrans flocked to Queanbeyan clubs during the 6-week period when ACT </w:t>
      </w:r>
      <w:r w:rsidR="00D17ACF">
        <w:rPr>
          <w:rFonts w:ascii="Calibri" w:hAnsi="Calibri"/>
          <w:color w:val="000000"/>
          <w:lang w:val="en-AU"/>
        </w:rPr>
        <w:t>c</w:t>
      </w:r>
      <w:r w:rsidR="0063650E" w:rsidRPr="0063650E">
        <w:rPr>
          <w:rFonts w:ascii="Calibri" w:hAnsi="Calibri"/>
          <w:color w:val="000000"/>
          <w:lang w:val="en-AU"/>
        </w:rPr>
        <w:t>lubs were closed</w:t>
      </w:r>
      <w:r>
        <w:rPr>
          <w:rFonts w:ascii="Calibri" w:hAnsi="Calibri"/>
          <w:color w:val="000000"/>
          <w:lang w:val="en-AU"/>
        </w:rPr>
        <w:t>;</w:t>
      </w:r>
    </w:p>
    <w:p w14:paraId="073C88EE" w14:textId="1EA5F77E" w:rsidR="0063650E" w:rsidRPr="0063650E" w:rsidRDefault="0063650E" w:rsidP="00302878">
      <w:pPr>
        <w:spacing w:before="120"/>
        <w:ind w:left="1366" w:hanging="646"/>
        <w:rPr>
          <w:rFonts w:ascii="Calibri" w:hAnsi="Calibri"/>
          <w:color w:val="000000"/>
          <w:lang w:val="en-AU"/>
        </w:rPr>
      </w:pPr>
      <w:r w:rsidRPr="0063650E">
        <w:rPr>
          <w:rFonts w:ascii="Calibri" w:hAnsi="Calibri"/>
          <w:color w:val="000000"/>
          <w:lang w:val="en-AU"/>
        </w:rPr>
        <w:t>(</w:t>
      </w:r>
      <w:r w:rsidR="00141A2C">
        <w:rPr>
          <w:rFonts w:ascii="Calibri" w:hAnsi="Calibri"/>
          <w:color w:val="000000"/>
          <w:lang w:val="en-AU"/>
        </w:rPr>
        <w:t>3</w:t>
      </w:r>
      <w:r w:rsidRPr="0063650E">
        <w:rPr>
          <w:rFonts w:ascii="Calibri" w:hAnsi="Calibri"/>
          <w:color w:val="000000"/>
          <w:lang w:val="en-AU"/>
        </w:rPr>
        <w:t>)</w:t>
      </w:r>
      <w:r w:rsidRPr="0063650E">
        <w:rPr>
          <w:rFonts w:ascii="Calibri" w:hAnsi="Calibri"/>
          <w:color w:val="000000"/>
          <w:lang w:val="en-AU"/>
        </w:rPr>
        <w:tab/>
        <w:t>calls on the ACT Labor Party to:</w:t>
      </w:r>
    </w:p>
    <w:p w14:paraId="385DD17A" w14:textId="77777777" w:rsidR="0063650E" w:rsidRPr="0063650E" w:rsidRDefault="0063650E" w:rsidP="00302878">
      <w:pPr>
        <w:spacing w:before="120"/>
        <w:ind w:left="1910" w:hanging="544"/>
        <w:rPr>
          <w:rFonts w:ascii="Calibri" w:hAnsi="Calibri"/>
          <w:color w:val="000000"/>
          <w:lang w:val="en-AU"/>
        </w:rPr>
      </w:pPr>
      <w:r w:rsidRPr="0063650E">
        <w:rPr>
          <w:rFonts w:ascii="Calibri" w:hAnsi="Calibri"/>
          <w:color w:val="000000"/>
          <w:lang w:val="en-AU"/>
        </w:rPr>
        <w:t>(a)</w:t>
      </w:r>
      <w:r w:rsidRPr="0063650E">
        <w:rPr>
          <w:rFonts w:ascii="Calibri" w:hAnsi="Calibri"/>
          <w:color w:val="000000"/>
          <w:lang w:val="en-AU"/>
        </w:rPr>
        <w:tab/>
        <w:t>sever all of its connections to the Canberra Labor Club to eliminate its conflict of interest; and</w:t>
      </w:r>
    </w:p>
    <w:p w14:paraId="023A05F2" w14:textId="5B53BFFA" w:rsidR="0063650E" w:rsidRPr="0063650E" w:rsidRDefault="0063650E" w:rsidP="00302878">
      <w:pPr>
        <w:spacing w:before="120"/>
        <w:ind w:left="1910" w:hanging="544"/>
        <w:rPr>
          <w:rFonts w:ascii="Calibri" w:hAnsi="Calibri"/>
          <w:color w:val="000000"/>
          <w:lang w:val="en-AU"/>
        </w:rPr>
      </w:pPr>
      <w:r w:rsidRPr="0063650E">
        <w:rPr>
          <w:rFonts w:ascii="Calibri" w:hAnsi="Calibri"/>
          <w:color w:val="000000"/>
          <w:lang w:val="en-AU"/>
        </w:rPr>
        <w:t>(b)</w:t>
      </w:r>
      <w:r w:rsidRPr="0063650E">
        <w:rPr>
          <w:rFonts w:ascii="Calibri" w:hAnsi="Calibri"/>
          <w:color w:val="000000"/>
          <w:lang w:val="en-AU"/>
        </w:rPr>
        <w:tab/>
        <w:t>donate $6,100,000 to the Alliance for Gambling Reform</w:t>
      </w:r>
      <w:r w:rsidR="00141A2C">
        <w:rPr>
          <w:rFonts w:ascii="Calibri" w:hAnsi="Calibri"/>
          <w:color w:val="000000"/>
          <w:lang w:val="en-AU"/>
        </w:rPr>
        <w:t xml:space="preserve"> </w:t>
      </w:r>
      <w:r w:rsidR="00141A2C" w:rsidRPr="00D97477">
        <w:rPr>
          <w:rFonts w:ascii="Calibri" w:hAnsi="Calibri"/>
          <w:lang w:val="en-AU" w:eastAsia="en-US"/>
        </w:rPr>
        <w:t>–</w:t>
      </w:r>
      <w:r w:rsidRPr="0063650E">
        <w:rPr>
          <w:rFonts w:ascii="Calibri" w:hAnsi="Calibri"/>
          <w:color w:val="000000"/>
          <w:lang w:val="en-AU"/>
        </w:rPr>
        <w:t xml:space="preserve"> an amount equivalent to that derived from poker machines to establish the 1973 Foundation;</w:t>
      </w:r>
      <w:r w:rsidR="00141A2C">
        <w:rPr>
          <w:rFonts w:ascii="Calibri" w:hAnsi="Calibri"/>
          <w:color w:val="000000"/>
          <w:lang w:val="en-AU"/>
        </w:rPr>
        <w:t xml:space="preserve"> and</w:t>
      </w:r>
    </w:p>
    <w:p w14:paraId="739ED01B" w14:textId="27F945E2" w:rsidR="0063650E" w:rsidRPr="0063650E" w:rsidRDefault="0063650E" w:rsidP="00302878">
      <w:pPr>
        <w:spacing w:before="120"/>
        <w:ind w:left="1366" w:hanging="646"/>
        <w:rPr>
          <w:rFonts w:ascii="Calibri" w:hAnsi="Calibri"/>
          <w:color w:val="000000"/>
          <w:lang w:val="en-AU"/>
        </w:rPr>
      </w:pPr>
      <w:r w:rsidRPr="0063650E">
        <w:rPr>
          <w:rFonts w:ascii="Calibri" w:hAnsi="Calibri"/>
          <w:color w:val="000000"/>
          <w:lang w:val="en-AU"/>
        </w:rPr>
        <w:t>(</w:t>
      </w:r>
      <w:r w:rsidR="00141A2C">
        <w:rPr>
          <w:rFonts w:ascii="Calibri" w:hAnsi="Calibri"/>
          <w:color w:val="000000"/>
          <w:lang w:val="en-AU"/>
        </w:rPr>
        <w:t>4</w:t>
      </w:r>
      <w:r w:rsidRPr="0063650E">
        <w:rPr>
          <w:rFonts w:ascii="Calibri" w:hAnsi="Calibri"/>
          <w:color w:val="000000"/>
          <w:lang w:val="en-AU"/>
        </w:rPr>
        <w:t>)</w:t>
      </w:r>
      <w:r w:rsidRPr="0063650E">
        <w:rPr>
          <w:rFonts w:ascii="Calibri" w:hAnsi="Calibri"/>
          <w:color w:val="000000"/>
          <w:lang w:val="en-AU"/>
        </w:rPr>
        <w:tab/>
        <w:t>further calls on the ACT Government to</w:t>
      </w:r>
      <w:r w:rsidR="00302878">
        <w:rPr>
          <w:rFonts w:ascii="Calibri" w:hAnsi="Calibri"/>
          <w:color w:val="000000"/>
          <w:lang w:val="en-AU"/>
        </w:rPr>
        <w:t xml:space="preserve"> </w:t>
      </w:r>
      <w:r w:rsidRPr="0063650E">
        <w:rPr>
          <w:rFonts w:ascii="Calibri" w:hAnsi="Calibri"/>
          <w:color w:val="000000"/>
          <w:lang w:val="en-AU"/>
        </w:rPr>
        <w:t xml:space="preserve">establish an independent inquiry into the future of the ACT </w:t>
      </w:r>
      <w:r w:rsidR="003F41B5">
        <w:rPr>
          <w:rFonts w:ascii="Calibri" w:hAnsi="Calibri"/>
          <w:color w:val="000000"/>
          <w:lang w:val="en-AU"/>
        </w:rPr>
        <w:t>c</w:t>
      </w:r>
      <w:r w:rsidRPr="0063650E">
        <w:rPr>
          <w:rFonts w:ascii="Calibri" w:hAnsi="Calibri"/>
          <w:color w:val="000000"/>
          <w:lang w:val="en-AU"/>
        </w:rPr>
        <w:t>lub industry</w:t>
      </w:r>
      <w:r w:rsidR="00302878">
        <w:rPr>
          <w:rFonts w:ascii="Calibri" w:hAnsi="Calibri"/>
          <w:color w:val="000000"/>
          <w:lang w:val="en-AU"/>
        </w:rPr>
        <w:t>. Th</w:t>
      </w:r>
      <w:r w:rsidRPr="0063650E">
        <w:rPr>
          <w:rFonts w:ascii="Calibri" w:hAnsi="Calibri"/>
          <w:color w:val="000000"/>
          <w:lang w:val="en-AU"/>
        </w:rPr>
        <w:t>is inquiry would examine and make recommendations in relation to:</w:t>
      </w:r>
    </w:p>
    <w:p w14:paraId="2EA27FA7" w14:textId="00DE5B66"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a</w:t>
      </w:r>
      <w:r>
        <w:rPr>
          <w:rFonts w:ascii="Calibri" w:hAnsi="Calibri"/>
          <w:color w:val="000000"/>
          <w:lang w:val="en-AU"/>
        </w:rPr>
        <w:t>)</w:t>
      </w:r>
      <w:r w:rsidR="0063650E" w:rsidRPr="0063650E">
        <w:rPr>
          <w:rFonts w:ascii="Calibri" w:hAnsi="Calibri"/>
          <w:color w:val="000000"/>
          <w:lang w:val="en-AU"/>
        </w:rPr>
        <w:tab/>
        <w:t>potential changes to taxes, charges and regulations which are inhibiting the sector</w:t>
      </w:r>
      <w:r w:rsidR="00091C7D">
        <w:rPr>
          <w:rFonts w:ascii="Calibri" w:hAnsi="Calibri"/>
          <w:color w:val="000000"/>
          <w:lang w:val="en-AU"/>
        </w:rPr>
        <w:t>’</w:t>
      </w:r>
      <w:r w:rsidR="0063650E" w:rsidRPr="0063650E">
        <w:rPr>
          <w:rFonts w:ascii="Calibri" w:hAnsi="Calibri"/>
          <w:color w:val="000000"/>
          <w:lang w:val="en-AU"/>
        </w:rPr>
        <w:t>s ability to diversify businesses;</w:t>
      </w:r>
    </w:p>
    <w:p w14:paraId="6AD5026B" w14:textId="14200D1A"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b</w:t>
      </w:r>
      <w:r>
        <w:rPr>
          <w:rFonts w:ascii="Calibri" w:hAnsi="Calibri"/>
          <w:color w:val="000000"/>
          <w:lang w:val="en-AU"/>
        </w:rPr>
        <w:t>)</w:t>
      </w:r>
      <w:r w:rsidR="0063650E" w:rsidRPr="0063650E">
        <w:rPr>
          <w:rFonts w:ascii="Calibri" w:hAnsi="Calibri"/>
          <w:color w:val="000000"/>
          <w:lang w:val="en-AU"/>
        </w:rPr>
        <w:tab/>
        <w:t>skills requirements and training, including specific training support programs for employees who may need to exit the</w:t>
      </w:r>
      <w:r>
        <w:rPr>
          <w:rFonts w:ascii="Calibri" w:hAnsi="Calibri"/>
          <w:color w:val="000000"/>
          <w:lang w:val="en-AU"/>
        </w:rPr>
        <w:t xml:space="preserve"> </w:t>
      </w:r>
      <w:r w:rsidR="0063650E" w:rsidRPr="0063650E">
        <w:rPr>
          <w:rFonts w:ascii="Calibri" w:hAnsi="Calibri"/>
          <w:color w:val="000000"/>
          <w:lang w:val="en-AU"/>
        </w:rPr>
        <w:t>industry through industry rationali</w:t>
      </w:r>
      <w:r>
        <w:rPr>
          <w:rFonts w:ascii="Calibri" w:hAnsi="Calibri"/>
          <w:color w:val="000000"/>
          <w:lang w:val="en-AU"/>
        </w:rPr>
        <w:t>s</w:t>
      </w:r>
      <w:r w:rsidR="0063650E" w:rsidRPr="0063650E">
        <w:rPr>
          <w:rFonts w:ascii="Calibri" w:hAnsi="Calibri"/>
          <w:color w:val="000000"/>
          <w:lang w:val="en-AU"/>
        </w:rPr>
        <w:t>ation;</w:t>
      </w:r>
    </w:p>
    <w:p w14:paraId="08CAA9C0" w14:textId="4673D333"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c</w:t>
      </w:r>
      <w:r>
        <w:rPr>
          <w:rFonts w:ascii="Calibri" w:hAnsi="Calibri"/>
          <w:color w:val="000000"/>
          <w:lang w:val="en-AU"/>
        </w:rPr>
        <w:t>)</w:t>
      </w:r>
      <w:r w:rsidR="0063650E" w:rsidRPr="0063650E">
        <w:rPr>
          <w:rFonts w:ascii="Calibri" w:hAnsi="Calibri"/>
          <w:color w:val="000000"/>
          <w:lang w:val="en-AU"/>
        </w:rPr>
        <w:tab/>
        <w:t xml:space="preserve">practical options, timelines, and assistance measures for helping the sector significantly reduce its reliance on </w:t>
      </w:r>
      <w:r w:rsidR="003F41B5">
        <w:rPr>
          <w:rFonts w:ascii="Calibri" w:hAnsi="Calibri"/>
          <w:color w:val="000000"/>
          <w:lang w:val="en-AU"/>
        </w:rPr>
        <w:t>electronic gambling machine (</w:t>
      </w:r>
      <w:r w:rsidR="0063650E" w:rsidRPr="0063650E">
        <w:rPr>
          <w:rFonts w:ascii="Calibri" w:hAnsi="Calibri"/>
          <w:color w:val="000000"/>
          <w:lang w:val="en-AU"/>
        </w:rPr>
        <w:t>EGM</w:t>
      </w:r>
      <w:r w:rsidR="003F41B5">
        <w:rPr>
          <w:rFonts w:ascii="Calibri" w:hAnsi="Calibri"/>
          <w:color w:val="000000"/>
          <w:lang w:val="en-AU"/>
        </w:rPr>
        <w:t>)</w:t>
      </w:r>
      <w:r w:rsidR="0063650E" w:rsidRPr="0063650E">
        <w:rPr>
          <w:rFonts w:ascii="Calibri" w:hAnsi="Calibri"/>
          <w:color w:val="000000"/>
          <w:lang w:val="en-AU"/>
        </w:rPr>
        <w:t xml:space="preserve"> revenue;</w:t>
      </w:r>
    </w:p>
    <w:p w14:paraId="61DEED5C" w14:textId="068992F4"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d</w:t>
      </w:r>
      <w:r>
        <w:rPr>
          <w:rFonts w:ascii="Calibri" w:hAnsi="Calibri"/>
          <w:color w:val="000000"/>
          <w:lang w:val="en-AU"/>
        </w:rPr>
        <w:t>)</w:t>
      </w:r>
      <w:r>
        <w:rPr>
          <w:rFonts w:ascii="Calibri" w:hAnsi="Calibri"/>
          <w:color w:val="000000"/>
          <w:lang w:val="en-AU"/>
        </w:rPr>
        <w:tab/>
      </w:r>
      <w:r w:rsidR="0063650E" w:rsidRPr="0063650E">
        <w:rPr>
          <w:rFonts w:ascii="Calibri" w:hAnsi="Calibri"/>
          <w:color w:val="000000"/>
          <w:lang w:val="en-AU"/>
        </w:rPr>
        <w:t>adoption of evidence based, evaluated harm minimisation initiatives that are scale appropriate in terms of technology options and financial implications;</w:t>
      </w:r>
    </w:p>
    <w:p w14:paraId="4044CE9E" w14:textId="6DF659E5"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e</w:t>
      </w:r>
      <w:r>
        <w:rPr>
          <w:rFonts w:ascii="Calibri" w:hAnsi="Calibri"/>
          <w:color w:val="000000"/>
          <w:lang w:val="en-AU"/>
        </w:rPr>
        <w:t>)</w:t>
      </w:r>
      <w:r w:rsidR="0063650E" w:rsidRPr="0063650E">
        <w:rPr>
          <w:rFonts w:ascii="Calibri" w:hAnsi="Calibri"/>
          <w:color w:val="000000"/>
          <w:lang w:val="en-AU"/>
        </w:rPr>
        <w:tab/>
        <w:t>the community contribution scheme and how its impact can be maximi</w:t>
      </w:r>
      <w:r w:rsidR="00A10F86">
        <w:rPr>
          <w:rFonts w:ascii="Calibri" w:hAnsi="Calibri"/>
          <w:color w:val="000000"/>
          <w:lang w:val="en-AU"/>
        </w:rPr>
        <w:t>s</w:t>
      </w:r>
      <w:r w:rsidR="0063650E" w:rsidRPr="0063650E">
        <w:rPr>
          <w:rFonts w:ascii="Calibri" w:hAnsi="Calibri"/>
          <w:color w:val="000000"/>
          <w:lang w:val="en-AU"/>
        </w:rPr>
        <w:t>ed;</w:t>
      </w:r>
    </w:p>
    <w:p w14:paraId="2AB76854" w14:textId="62DE7938"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f</w:t>
      </w:r>
      <w:r>
        <w:rPr>
          <w:rFonts w:ascii="Calibri" w:hAnsi="Calibri"/>
          <w:color w:val="000000"/>
          <w:lang w:val="en-AU"/>
        </w:rPr>
        <w:t>)</w:t>
      </w:r>
      <w:r w:rsidR="0063650E" w:rsidRPr="0063650E">
        <w:rPr>
          <w:rFonts w:ascii="Calibri" w:hAnsi="Calibri"/>
          <w:color w:val="000000"/>
          <w:lang w:val="en-AU"/>
        </w:rPr>
        <w:tab/>
        <w:t xml:space="preserve">mechanisms for establishing an ongoing transitional funding model to </w:t>
      </w:r>
      <w:r w:rsidR="0063650E" w:rsidRPr="00141A2C">
        <w:rPr>
          <w:rFonts w:ascii="Calibri" w:hAnsi="Calibri"/>
          <w:color w:val="000000"/>
          <w:spacing w:val="-4"/>
          <w:lang w:val="en-AU"/>
        </w:rPr>
        <w:t>support industry and related community activities over a 20-year period;</w:t>
      </w:r>
    </w:p>
    <w:p w14:paraId="2066DD1D" w14:textId="2BC07063" w:rsidR="0063650E" w:rsidRDefault="00141A2C" w:rsidP="00302878">
      <w:pPr>
        <w:spacing w:before="120"/>
        <w:ind w:left="1910" w:hanging="544"/>
        <w:rPr>
          <w:rFonts w:ascii="Calibri" w:hAnsi="Calibri"/>
          <w:color w:val="000000"/>
          <w:lang w:val="en-AU"/>
        </w:rPr>
      </w:pPr>
      <w:r>
        <w:rPr>
          <w:rFonts w:ascii="Calibri" w:hAnsi="Calibri"/>
          <w:color w:val="000000"/>
          <w:lang w:val="en-AU"/>
        </w:rPr>
        <w:lastRenderedPageBreak/>
        <w:t>(</w:t>
      </w:r>
      <w:r w:rsidR="00302878">
        <w:rPr>
          <w:rFonts w:ascii="Calibri" w:hAnsi="Calibri"/>
          <w:color w:val="000000"/>
          <w:lang w:val="en-AU"/>
        </w:rPr>
        <w:t>g</w:t>
      </w:r>
      <w:r>
        <w:rPr>
          <w:rFonts w:ascii="Calibri" w:hAnsi="Calibri"/>
          <w:color w:val="000000"/>
          <w:lang w:val="en-AU"/>
        </w:rPr>
        <w:t>)</w:t>
      </w:r>
      <w:r w:rsidR="0063650E" w:rsidRPr="0063650E">
        <w:rPr>
          <w:rFonts w:ascii="Calibri" w:hAnsi="Calibri"/>
          <w:color w:val="000000"/>
          <w:lang w:val="en-AU"/>
        </w:rPr>
        <w:tab/>
        <w:t xml:space="preserve">determining the real financial contribution the ACT </w:t>
      </w:r>
      <w:r w:rsidR="003F41B5" w:rsidRPr="0063650E">
        <w:rPr>
          <w:rFonts w:ascii="Calibri" w:hAnsi="Calibri"/>
          <w:color w:val="000000"/>
          <w:lang w:val="en-AU"/>
        </w:rPr>
        <w:t>licensed community club sector</w:t>
      </w:r>
      <w:r w:rsidR="0063650E" w:rsidRPr="0063650E">
        <w:rPr>
          <w:rFonts w:ascii="Calibri" w:hAnsi="Calibri"/>
          <w:color w:val="000000"/>
          <w:lang w:val="en-AU"/>
        </w:rPr>
        <w:t xml:space="preserve"> contributes to the ACT economy, Government, the </w:t>
      </w:r>
      <w:r w:rsidR="003F41B5">
        <w:rPr>
          <w:rFonts w:ascii="Calibri" w:hAnsi="Calibri"/>
          <w:color w:val="000000"/>
          <w:lang w:val="en-AU"/>
        </w:rPr>
        <w:t>c</w:t>
      </w:r>
      <w:r w:rsidR="0063650E" w:rsidRPr="0063650E">
        <w:rPr>
          <w:rFonts w:ascii="Calibri" w:hAnsi="Calibri"/>
          <w:color w:val="000000"/>
          <w:lang w:val="en-AU"/>
        </w:rPr>
        <w:t>ommunity, and sporting sectors, especially with respect to facilities management;</w:t>
      </w:r>
    </w:p>
    <w:p w14:paraId="363D9704" w14:textId="19E1BC64"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h</w:t>
      </w:r>
      <w:r>
        <w:rPr>
          <w:rFonts w:ascii="Calibri" w:hAnsi="Calibri"/>
          <w:color w:val="000000"/>
          <w:lang w:val="en-AU"/>
        </w:rPr>
        <w:t>)</w:t>
      </w:r>
      <w:r w:rsidR="0063650E" w:rsidRPr="0063650E">
        <w:rPr>
          <w:rFonts w:ascii="Calibri" w:hAnsi="Calibri"/>
          <w:color w:val="000000"/>
          <w:lang w:val="en-AU"/>
        </w:rPr>
        <w:tab/>
        <w:t xml:space="preserve">the cross border economic relationship between the ACT and NSW jurisdictions in terms of the revenue generated by the </w:t>
      </w:r>
      <w:r w:rsidR="003F41B5" w:rsidRPr="0063650E">
        <w:rPr>
          <w:rFonts w:ascii="Calibri" w:hAnsi="Calibri"/>
          <w:color w:val="000000"/>
          <w:lang w:val="en-AU"/>
        </w:rPr>
        <w:t>clubs sect</w:t>
      </w:r>
      <w:r w:rsidR="0063650E" w:rsidRPr="0063650E">
        <w:rPr>
          <w:rFonts w:ascii="Calibri" w:hAnsi="Calibri"/>
          <w:color w:val="000000"/>
          <w:lang w:val="en-AU"/>
        </w:rPr>
        <w:t xml:space="preserve">or and any negative impacts to the ACT economy to the benefit of the ACT adjacent communities in NSW should regulations inhibit the viability of </w:t>
      </w:r>
      <w:r w:rsidR="003F41B5">
        <w:rPr>
          <w:rFonts w:ascii="Calibri" w:hAnsi="Calibri"/>
          <w:color w:val="000000"/>
          <w:lang w:val="en-AU"/>
        </w:rPr>
        <w:t>c</w:t>
      </w:r>
      <w:r w:rsidR="0063650E" w:rsidRPr="0063650E">
        <w:rPr>
          <w:rFonts w:ascii="Calibri" w:hAnsi="Calibri"/>
          <w:color w:val="000000"/>
          <w:lang w:val="en-AU"/>
        </w:rPr>
        <w:t>lubs in the ACT;</w:t>
      </w:r>
    </w:p>
    <w:p w14:paraId="73D754A9" w14:textId="31672B58"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i</w:t>
      </w:r>
      <w:r>
        <w:rPr>
          <w:rFonts w:ascii="Calibri" w:hAnsi="Calibri"/>
          <w:color w:val="000000"/>
          <w:lang w:val="en-AU"/>
        </w:rPr>
        <w:t>)</w:t>
      </w:r>
      <w:r w:rsidR="0063650E" w:rsidRPr="0063650E">
        <w:rPr>
          <w:rFonts w:ascii="Calibri" w:hAnsi="Calibri"/>
          <w:color w:val="000000"/>
          <w:lang w:val="en-AU"/>
        </w:rPr>
        <w:tab/>
        <w:t xml:space="preserve">the value of harmonisation between NSW and ACT regulation on harm minimisation objectives and the role positive or otherwise the ACT </w:t>
      </w:r>
      <w:r w:rsidR="003F41B5">
        <w:rPr>
          <w:rFonts w:ascii="Calibri" w:hAnsi="Calibri"/>
          <w:color w:val="000000"/>
          <w:lang w:val="en-AU"/>
        </w:rPr>
        <w:t>c</w:t>
      </w:r>
      <w:r w:rsidR="0063650E" w:rsidRPr="0063650E">
        <w:rPr>
          <w:rFonts w:ascii="Calibri" w:hAnsi="Calibri"/>
          <w:color w:val="000000"/>
          <w:lang w:val="en-AU"/>
        </w:rPr>
        <w:t>lub industry plays in minimising gambling harm;</w:t>
      </w:r>
    </w:p>
    <w:p w14:paraId="26D7B9ED" w14:textId="59F087CB"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j</w:t>
      </w:r>
      <w:r>
        <w:rPr>
          <w:rFonts w:ascii="Calibri" w:hAnsi="Calibri"/>
          <w:color w:val="000000"/>
          <w:lang w:val="en-AU"/>
        </w:rPr>
        <w:t>)</w:t>
      </w:r>
      <w:r w:rsidR="0063650E" w:rsidRPr="0063650E">
        <w:rPr>
          <w:rFonts w:ascii="Calibri" w:hAnsi="Calibri"/>
          <w:color w:val="000000"/>
          <w:lang w:val="en-AU"/>
        </w:rPr>
        <w:tab/>
        <w:t>examining the extent to which the ACT Government needs to focus on online and other forms of gambling;</w:t>
      </w:r>
    </w:p>
    <w:p w14:paraId="3D048D8B" w14:textId="34A55C4F" w:rsidR="0063650E" w:rsidRPr="0063650E"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k</w:t>
      </w:r>
      <w:r>
        <w:rPr>
          <w:rFonts w:ascii="Calibri" w:hAnsi="Calibri"/>
          <w:color w:val="000000"/>
          <w:lang w:val="en-AU"/>
        </w:rPr>
        <w:t>)</w:t>
      </w:r>
      <w:r w:rsidR="0063650E" w:rsidRPr="0063650E">
        <w:rPr>
          <w:rFonts w:ascii="Calibri" w:hAnsi="Calibri"/>
          <w:color w:val="000000"/>
          <w:lang w:val="en-AU"/>
        </w:rPr>
        <w:tab/>
        <w:t>review the extent to which ACT Government EGM gambling harm initiatives encourage a move to other gambling types rather than reduce the incidence of gambling harm; and</w:t>
      </w:r>
    </w:p>
    <w:p w14:paraId="64F1B9DD" w14:textId="5B277DED" w:rsidR="0063650E" w:rsidRPr="00026751" w:rsidRDefault="00141A2C" w:rsidP="00302878">
      <w:pPr>
        <w:spacing w:before="120"/>
        <w:ind w:left="1910" w:hanging="544"/>
        <w:rPr>
          <w:rFonts w:ascii="Calibri" w:hAnsi="Calibri"/>
          <w:color w:val="000000"/>
          <w:lang w:val="en-AU"/>
        </w:rPr>
      </w:pPr>
      <w:r>
        <w:rPr>
          <w:rFonts w:ascii="Calibri" w:hAnsi="Calibri"/>
          <w:color w:val="000000"/>
          <w:lang w:val="en-AU"/>
        </w:rPr>
        <w:t>(</w:t>
      </w:r>
      <w:r w:rsidR="00302878">
        <w:rPr>
          <w:rFonts w:ascii="Calibri" w:hAnsi="Calibri"/>
          <w:color w:val="000000"/>
          <w:lang w:val="en-AU"/>
        </w:rPr>
        <w:t>l</w:t>
      </w:r>
      <w:r>
        <w:rPr>
          <w:rFonts w:ascii="Calibri" w:hAnsi="Calibri"/>
          <w:color w:val="000000"/>
          <w:lang w:val="en-AU"/>
        </w:rPr>
        <w:t>)</w:t>
      </w:r>
      <w:r w:rsidR="0063650E" w:rsidRPr="0063650E">
        <w:rPr>
          <w:rFonts w:ascii="Calibri" w:hAnsi="Calibri"/>
          <w:color w:val="000000"/>
          <w:lang w:val="en-AU"/>
        </w:rPr>
        <w:tab/>
      </w:r>
      <w:r w:rsidR="0063650E" w:rsidRPr="00141A2C">
        <w:rPr>
          <w:rFonts w:ascii="Calibri" w:hAnsi="Calibri"/>
          <w:color w:val="000000"/>
          <w:spacing w:val="-2"/>
          <w:lang w:val="en-AU"/>
        </w:rPr>
        <w:t>investigate any possible conflict of interest arising from the connection between the ACT Labor Party and the Labor Clubs in Canberra.</w:t>
      </w:r>
      <w:r w:rsidR="00091C7D">
        <w:rPr>
          <w:rFonts w:ascii="Calibri" w:hAnsi="Calibri"/>
          <w:color w:val="000000"/>
          <w:spacing w:val="-2"/>
          <w:lang w:val="en-AU"/>
        </w:rPr>
        <w:t>”</w:t>
      </w:r>
      <w:r w:rsidRPr="00141A2C">
        <w:rPr>
          <w:rFonts w:ascii="Calibri" w:hAnsi="Calibri"/>
          <w:color w:val="000000"/>
          <w:spacing w:val="-2"/>
          <w:lang w:val="en-AU"/>
        </w:rPr>
        <w:t>.</w:t>
      </w:r>
    </w:p>
    <w:p w14:paraId="43593004" w14:textId="3A6531F7" w:rsidR="00141A2C" w:rsidRDefault="00141A2C" w:rsidP="00026751">
      <w:pPr>
        <w:spacing w:before="120"/>
        <w:ind w:left="720"/>
        <w:rPr>
          <w:rFonts w:ascii="Calibri" w:hAnsi="Calibri"/>
          <w:color w:val="000000"/>
          <w:lang w:val="en-AU"/>
        </w:rPr>
      </w:pPr>
      <w:r>
        <w:rPr>
          <w:rFonts w:ascii="Calibri" w:hAnsi="Calibri"/>
          <w:color w:val="000000"/>
          <w:lang w:val="en-AU"/>
        </w:rPr>
        <w:t>Debate continued.</w:t>
      </w:r>
    </w:p>
    <w:p w14:paraId="3FF94631" w14:textId="09C1F12F" w:rsidR="00D17ACF" w:rsidRDefault="00D17ACF" w:rsidP="00026751">
      <w:pPr>
        <w:spacing w:before="120"/>
        <w:ind w:left="720"/>
        <w:rPr>
          <w:rFonts w:ascii="Calibri" w:hAnsi="Calibri"/>
          <w:color w:val="000000"/>
          <w:lang w:val="en-AU"/>
        </w:rPr>
      </w:pPr>
      <w:r>
        <w:rPr>
          <w:rFonts w:ascii="Calibri" w:hAnsi="Calibri"/>
          <w:color w:val="000000"/>
          <w:lang w:val="en-AU"/>
        </w:rPr>
        <w:t xml:space="preserve">Mr Braddock, by leave, moved the following amendments </w:t>
      </w:r>
      <w:r w:rsidR="008267A1">
        <w:rPr>
          <w:rFonts w:ascii="Calibri" w:hAnsi="Calibri"/>
          <w:color w:val="000000"/>
          <w:lang w:val="en-AU"/>
        </w:rPr>
        <w:t>to Mr Parton</w:t>
      </w:r>
      <w:r w:rsidR="00091C7D">
        <w:rPr>
          <w:rFonts w:ascii="Calibri" w:hAnsi="Calibri"/>
          <w:color w:val="000000"/>
          <w:lang w:val="en-AU"/>
        </w:rPr>
        <w:t>’</w:t>
      </w:r>
      <w:r w:rsidR="008267A1">
        <w:rPr>
          <w:rFonts w:ascii="Calibri" w:hAnsi="Calibri"/>
          <w:color w:val="000000"/>
          <w:lang w:val="en-AU"/>
        </w:rPr>
        <w:t xml:space="preserve">s </w:t>
      </w:r>
      <w:r w:rsidR="00384A74">
        <w:rPr>
          <w:rFonts w:ascii="Calibri" w:hAnsi="Calibri"/>
          <w:color w:val="000000"/>
          <w:lang w:val="en-AU"/>
        </w:rPr>
        <w:t xml:space="preserve">proposed </w:t>
      </w:r>
      <w:r w:rsidR="008267A1">
        <w:rPr>
          <w:rFonts w:ascii="Calibri" w:hAnsi="Calibri"/>
          <w:color w:val="000000"/>
          <w:lang w:val="en-AU"/>
        </w:rPr>
        <w:t>amendment</w:t>
      </w:r>
      <w:r w:rsidR="00CB3AC9">
        <w:rPr>
          <w:rFonts w:ascii="Calibri" w:hAnsi="Calibri"/>
          <w:color w:val="000000"/>
          <w:lang w:val="en-AU"/>
        </w:rPr>
        <w:t>,</w:t>
      </w:r>
      <w:r w:rsidR="008267A1">
        <w:rPr>
          <w:rFonts w:ascii="Calibri" w:hAnsi="Calibri"/>
          <w:color w:val="000000"/>
          <w:lang w:val="en-AU"/>
        </w:rPr>
        <w:t xml:space="preserve"> </w:t>
      </w:r>
      <w:r>
        <w:rPr>
          <w:rFonts w:ascii="Calibri" w:hAnsi="Calibri"/>
          <w:color w:val="000000"/>
          <w:lang w:val="en-AU"/>
        </w:rPr>
        <w:t xml:space="preserve">together: </w:t>
      </w:r>
    </w:p>
    <w:p w14:paraId="01D474E5" w14:textId="1A9C3298" w:rsidR="00D17ACF" w:rsidRDefault="00D17ACF" w:rsidP="00D17ACF">
      <w:pPr>
        <w:pStyle w:val="DPSEntryIndents"/>
        <w:numPr>
          <w:ilvl w:val="6"/>
          <w:numId w:val="14"/>
        </w:numPr>
        <w:tabs>
          <w:tab w:val="clear" w:pos="3240"/>
        </w:tabs>
        <w:ind w:left="1134" w:hanging="425"/>
      </w:pPr>
      <w:r>
        <w:t xml:space="preserve">Omit paragraph (1)(h), substitute: </w:t>
      </w:r>
      <w:r w:rsidR="00091C7D">
        <w:t>“</w:t>
      </w:r>
      <w:r>
        <w:t>the Greens want to implement a Central Monitoring System funded by the clubs in possible conjunction with the ACT Government;</w:t>
      </w:r>
      <w:r w:rsidR="00091C7D">
        <w:t>”</w:t>
      </w:r>
      <w:r>
        <w:t>.</w:t>
      </w:r>
    </w:p>
    <w:p w14:paraId="641A231A" w14:textId="4205764D" w:rsidR="00D17ACF" w:rsidRDefault="00D17ACF" w:rsidP="00D17ACF">
      <w:pPr>
        <w:pStyle w:val="DPSEntryIndents"/>
        <w:numPr>
          <w:ilvl w:val="6"/>
          <w:numId w:val="14"/>
        </w:numPr>
        <w:tabs>
          <w:tab w:val="clear" w:pos="3240"/>
        </w:tabs>
        <w:ind w:left="1134" w:hanging="425"/>
      </w:pPr>
      <w:r>
        <w:t xml:space="preserve">In paragraph (1)(j), omit </w:t>
      </w:r>
      <w:r w:rsidR="00091C7D">
        <w:t>“</w:t>
      </w:r>
      <w:r>
        <w:t>clubs</w:t>
      </w:r>
      <w:r w:rsidR="00091C7D">
        <w:t>”</w:t>
      </w:r>
      <w:r>
        <w:t xml:space="preserve">, substitute </w:t>
      </w:r>
      <w:r w:rsidR="00091C7D">
        <w:t>“</w:t>
      </w:r>
      <w:r>
        <w:t>ClubsACT</w:t>
      </w:r>
      <w:r w:rsidR="00091C7D">
        <w:t>”</w:t>
      </w:r>
      <w:r>
        <w:t>.</w:t>
      </w:r>
    </w:p>
    <w:p w14:paraId="60C015C7" w14:textId="7F603C60" w:rsidR="00D17ACF" w:rsidRDefault="00D17ACF" w:rsidP="00D17ACF">
      <w:pPr>
        <w:pStyle w:val="DPSEntryIndents"/>
        <w:numPr>
          <w:ilvl w:val="6"/>
          <w:numId w:val="14"/>
        </w:numPr>
        <w:tabs>
          <w:tab w:val="clear" w:pos="3240"/>
        </w:tabs>
        <w:ind w:left="1134" w:hanging="425"/>
      </w:pPr>
      <w:r>
        <w:t xml:space="preserve">In paragraph (2)(a), omit </w:t>
      </w:r>
      <w:r w:rsidR="00091C7D">
        <w:t>“</w:t>
      </w:r>
      <w:r>
        <w:t>any</w:t>
      </w:r>
      <w:r w:rsidR="00091C7D">
        <w:t>”</w:t>
      </w:r>
      <w:r>
        <w:t xml:space="preserve">, substitute </w:t>
      </w:r>
      <w:r w:rsidR="00091C7D">
        <w:t>“</w:t>
      </w:r>
      <w:r>
        <w:t>many</w:t>
      </w:r>
      <w:r w:rsidR="00091C7D">
        <w:t>”</w:t>
      </w:r>
      <w:r>
        <w:t>.</w:t>
      </w:r>
    </w:p>
    <w:p w14:paraId="68841AF5" w14:textId="6EC8DA6A" w:rsidR="00D17ACF" w:rsidRDefault="008267A1" w:rsidP="008267A1">
      <w:pPr>
        <w:pStyle w:val="DPSEntryIndents"/>
        <w:numPr>
          <w:ilvl w:val="0"/>
          <w:numId w:val="0"/>
        </w:numPr>
        <w:ind w:left="709"/>
      </w:pPr>
      <w:r>
        <w:t>Debate continued.</w:t>
      </w:r>
    </w:p>
    <w:p w14:paraId="286FE085" w14:textId="7A073AD8" w:rsidR="008267A1" w:rsidRDefault="008267A1" w:rsidP="008267A1">
      <w:pPr>
        <w:pStyle w:val="DPSEntryIndents"/>
        <w:numPr>
          <w:ilvl w:val="0"/>
          <w:numId w:val="0"/>
        </w:numPr>
        <w:ind w:left="709"/>
      </w:pPr>
      <w:r>
        <w:t>Question—That Mr Braddock</w:t>
      </w:r>
      <w:r w:rsidR="00091C7D">
        <w:t>’</w:t>
      </w:r>
      <w:r>
        <w:t>s amendments to Mr Parton</w:t>
      </w:r>
      <w:r w:rsidR="00091C7D">
        <w:t>’</w:t>
      </w:r>
      <w:r>
        <w:t>s proposed amendment be agreed to—put.</w:t>
      </w:r>
    </w:p>
    <w:p w14:paraId="3C496D16" w14:textId="77777777" w:rsidR="00384A74" w:rsidRDefault="00384A74" w:rsidP="00384A74">
      <w:pPr>
        <w:pStyle w:val="DPSEntryIndents"/>
        <w:numPr>
          <w:ilvl w:val="0"/>
          <w:numId w:val="0"/>
        </w:numPr>
        <w:spacing w:after="120"/>
        <w:ind w:left="709"/>
      </w:pPr>
      <w:r>
        <w:t>The Assembly voted—</w:t>
      </w:r>
    </w:p>
    <w:tbl>
      <w:tblPr>
        <w:tblW w:w="8806" w:type="dxa"/>
        <w:tblInd w:w="709" w:type="dxa"/>
        <w:tblLayout w:type="fixed"/>
        <w:tblCellMar>
          <w:left w:w="0" w:type="dxa"/>
        </w:tblCellMar>
        <w:tblLook w:val="0000" w:firstRow="0" w:lastRow="0" w:firstColumn="0" w:lastColumn="0" w:noHBand="0" w:noVBand="0"/>
      </w:tblPr>
      <w:tblGrid>
        <w:gridCol w:w="2126"/>
        <w:gridCol w:w="2043"/>
        <w:gridCol w:w="242"/>
        <w:gridCol w:w="2041"/>
        <w:gridCol w:w="2354"/>
      </w:tblGrid>
      <w:tr w:rsidR="00384A74" w14:paraId="2C607425" w14:textId="77777777" w:rsidTr="00384A74">
        <w:tc>
          <w:tcPr>
            <w:tcW w:w="4169" w:type="dxa"/>
            <w:gridSpan w:val="2"/>
            <w:shd w:val="clear" w:color="auto" w:fill="auto"/>
          </w:tcPr>
          <w:p w14:paraId="49BCCBF0" w14:textId="3F1B9D8E" w:rsidR="00384A74" w:rsidRDefault="00384A74" w:rsidP="00384A74">
            <w:pPr>
              <w:pStyle w:val="DPSEntryIndents"/>
              <w:numPr>
                <w:ilvl w:val="0"/>
                <w:numId w:val="0"/>
              </w:numPr>
              <w:tabs>
                <w:tab w:val="center" w:pos="1986"/>
              </w:tabs>
            </w:pPr>
            <w:r>
              <w:tab/>
              <w:t>AYES, 15</w:t>
            </w:r>
          </w:p>
        </w:tc>
        <w:tc>
          <w:tcPr>
            <w:tcW w:w="242" w:type="dxa"/>
            <w:shd w:val="clear" w:color="auto" w:fill="auto"/>
          </w:tcPr>
          <w:p w14:paraId="6AE88A54" w14:textId="77777777" w:rsidR="00384A74" w:rsidRDefault="00384A74" w:rsidP="00384A74">
            <w:pPr>
              <w:pStyle w:val="DPSEntryIndents"/>
              <w:numPr>
                <w:ilvl w:val="0"/>
                <w:numId w:val="0"/>
              </w:numPr>
            </w:pPr>
          </w:p>
        </w:tc>
        <w:tc>
          <w:tcPr>
            <w:tcW w:w="4395" w:type="dxa"/>
            <w:gridSpan w:val="2"/>
            <w:shd w:val="clear" w:color="auto" w:fill="auto"/>
          </w:tcPr>
          <w:p w14:paraId="54145DD4" w14:textId="21782CE6" w:rsidR="00384A74" w:rsidRDefault="00384A74" w:rsidP="00384A74">
            <w:pPr>
              <w:pStyle w:val="DPSEntryIndents"/>
              <w:numPr>
                <w:ilvl w:val="0"/>
                <w:numId w:val="0"/>
              </w:numPr>
              <w:tabs>
                <w:tab w:val="center" w:pos="1644"/>
              </w:tabs>
            </w:pPr>
            <w:r>
              <w:tab/>
              <w:t>NOES, 10</w:t>
            </w:r>
          </w:p>
        </w:tc>
      </w:tr>
      <w:tr w:rsidR="00384A74" w14:paraId="27B415D6" w14:textId="77777777" w:rsidTr="00384A74">
        <w:trPr>
          <w:trHeight w:hRule="exact" w:val="312"/>
        </w:trPr>
        <w:tc>
          <w:tcPr>
            <w:tcW w:w="2126" w:type="dxa"/>
            <w:shd w:val="clear" w:color="auto" w:fill="auto"/>
          </w:tcPr>
          <w:p w14:paraId="0B547906" w14:textId="1A5F4501" w:rsidR="00384A74" w:rsidRDefault="00384A74" w:rsidP="00384A74">
            <w:pPr>
              <w:pStyle w:val="DPSEntryIndents"/>
              <w:numPr>
                <w:ilvl w:val="0"/>
                <w:numId w:val="0"/>
              </w:numPr>
              <w:spacing w:before="0"/>
            </w:pPr>
            <w:r>
              <w:t>Andrew Braddock</w:t>
            </w:r>
          </w:p>
        </w:tc>
        <w:tc>
          <w:tcPr>
            <w:tcW w:w="2043" w:type="dxa"/>
            <w:shd w:val="clear" w:color="auto" w:fill="auto"/>
          </w:tcPr>
          <w:p w14:paraId="42B39CE4" w14:textId="444CF35E" w:rsidR="00384A74" w:rsidRDefault="00384A74" w:rsidP="00384A74">
            <w:pPr>
              <w:pStyle w:val="DPSEntryIndents"/>
              <w:numPr>
                <w:ilvl w:val="0"/>
                <w:numId w:val="0"/>
              </w:numPr>
              <w:spacing w:before="0"/>
            </w:pPr>
            <w:r>
              <w:t>Nicole Lawder</w:t>
            </w:r>
          </w:p>
        </w:tc>
        <w:tc>
          <w:tcPr>
            <w:tcW w:w="242" w:type="dxa"/>
            <w:shd w:val="clear" w:color="auto" w:fill="auto"/>
          </w:tcPr>
          <w:p w14:paraId="7F96BC21" w14:textId="77777777" w:rsidR="00384A74" w:rsidRDefault="00384A74" w:rsidP="00384A74">
            <w:pPr>
              <w:pStyle w:val="DPSEntryIndents"/>
              <w:numPr>
                <w:ilvl w:val="0"/>
                <w:numId w:val="0"/>
              </w:numPr>
            </w:pPr>
          </w:p>
        </w:tc>
        <w:tc>
          <w:tcPr>
            <w:tcW w:w="2041" w:type="dxa"/>
            <w:shd w:val="clear" w:color="auto" w:fill="auto"/>
          </w:tcPr>
          <w:p w14:paraId="54BC2E01" w14:textId="76588E1E" w:rsidR="00384A74" w:rsidRDefault="00384A74" w:rsidP="00384A74">
            <w:pPr>
              <w:pStyle w:val="DPSEntryIndents"/>
              <w:numPr>
                <w:ilvl w:val="0"/>
                <w:numId w:val="0"/>
              </w:numPr>
              <w:spacing w:before="0"/>
            </w:pPr>
            <w:r>
              <w:t>Andrew Barr</w:t>
            </w:r>
          </w:p>
        </w:tc>
        <w:tc>
          <w:tcPr>
            <w:tcW w:w="2354" w:type="dxa"/>
            <w:shd w:val="clear" w:color="auto" w:fill="auto"/>
          </w:tcPr>
          <w:p w14:paraId="523DCB7B" w14:textId="06AEF5F4" w:rsidR="00384A74" w:rsidRDefault="00384A74" w:rsidP="00384A74">
            <w:pPr>
              <w:pStyle w:val="DPSEntryIndents"/>
              <w:numPr>
                <w:ilvl w:val="0"/>
                <w:numId w:val="0"/>
              </w:numPr>
              <w:spacing w:before="0"/>
            </w:pPr>
            <w:r>
              <w:t>Chris Steel</w:t>
            </w:r>
          </w:p>
        </w:tc>
      </w:tr>
      <w:tr w:rsidR="00384A74" w14:paraId="45E46BB9" w14:textId="77777777" w:rsidTr="00384A74">
        <w:trPr>
          <w:trHeight w:hRule="exact" w:val="312"/>
        </w:trPr>
        <w:tc>
          <w:tcPr>
            <w:tcW w:w="2126" w:type="dxa"/>
            <w:shd w:val="clear" w:color="auto" w:fill="auto"/>
          </w:tcPr>
          <w:p w14:paraId="42B678A7" w14:textId="53E6FBD9" w:rsidR="00384A74" w:rsidRDefault="00384A74" w:rsidP="00384A74">
            <w:pPr>
              <w:pStyle w:val="DPSEntryIndents"/>
              <w:numPr>
                <w:ilvl w:val="0"/>
                <w:numId w:val="0"/>
              </w:numPr>
              <w:spacing w:before="0"/>
            </w:pPr>
            <w:r>
              <w:t>Peter Cain</w:t>
            </w:r>
          </w:p>
        </w:tc>
        <w:tc>
          <w:tcPr>
            <w:tcW w:w="2043" w:type="dxa"/>
            <w:shd w:val="clear" w:color="auto" w:fill="auto"/>
          </w:tcPr>
          <w:p w14:paraId="6D3F6433" w14:textId="5721423A" w:rsidR="00384A74" w:rsidRDefault="00384A74" w:rsidP="00384A74">
            <w:pPr>
              <w:pStyle w:val="DPSEntryIndents"/>
              <w:numPr>
                <w:ilvl w:val="0"/>
                <w:numId w:val="0"/>
              </w:numPr>
              <w:spacing w:before="0"/>
            </w:pPr>
            <w:r>
              <w:t>Elizabeth Lee</w:t>
            </w:r>
          </w:p>
        </w:tc>
        <w:tc>
          <w:tcPr>
            <w:tcW w:w="242" w:type="dxa"/>
            <w:shd w:val="clear" w:color="auto" w:fill="auto"/>
          </w:tcPr>
          <w:p w14:paraId="33F3E7F2" w14:textId="77777777" w:rsidR="00384A74" w:rsidRDefault="00384A74" w:rsidP="00384A74">
            <w:pPr>
              <w:pStyle w:val="DPSEntryIndents"/>
              <w:numPr>
                <w:ilvl w:val="0"/>
                <w:numId w:val="0"/>
              </w:numPr>
            </w:pPr>
          </w:p>
        </w:tc>
        <w:tc>
          <w:tcPr>
            <w:tcW w:w="2041" w:type="dxa"/>
            <w:shd w:val="clear" w:color="auto" w:fill="auto"/>
          </w:tcPr>
          <w:p w14:paraId="2F160CA7" w14:textId="3E5115B3" w:rsidR="00384A74" w:rsidRDefault="00384A74" w:rsidP="00384A74">
            <w:pPr>
              <w:pStyle w:val="DPSEntryIndents"/>
              <w:numPr>
                <w:ilvl w:val="0"/>
                <w:numId w:val="0"/>
              </w:numPr>
              <w:spacing w:before="0"/>
            </w:pPr>
            <w:r>
              <w:t>Yvette Berry</w:t>
            </w:r>
          </w:p>
        </w:tc>
        <w:tc>
          <w:tcPr>
            <w:tcW w:w="2354" w:type="dxa"/>
            <w:shd w:val="clear" w:color="auto" w:fill="auto"/>
          </w:tcPr>
          <w:p w14:paraId="7BF01F0F" w14:textId="011E3F20" w:rsidR="00384A74" w:rsidRDefault="00384A74" w:rsidP="00384A74">
            <w:pPr>
              <w:pStyle w:val="DPSEntryIndents"/>
              <w:numPr>
                <w:ilvl w:val="0"/>
                <w:numId w:val="0"/>
              </w:numPr>
              <w:spacing w:before="0"/>
            </w:pPr>
            <w:r>
              <w:t>Rachel Stephen-Smith</w:t>
            </w:r>
          </w:p>
        </w:tc>
      </w:tr>
      <w:tr w:rsidR="00384A74" w14:paraId="47A70E32" w14:textId="77777777" w:rsidTr="00384A74">
        <w:trPr>
          <w:trHeight w:hRule="exact" w:val="312"/>
        </w:trPr>
        <w:tc>
          <w:tcPr>
            <w:tcW w:w="2126" w:type="dxa"/>
            <w:shd w:val="clear" w:color="auto" w:fill="auto"/>
          </w:tcPr>
          <w:p w14:paraId="670579FD" w14:textId="5F588E6B" w:rsidR="00384A74" w:rsidRDefault="00384A74" w:rsidP="00384A74">
            <w:pPr>
              <w:pStyle w:val="DPSEntryIndents"/>
              <w:numPr>
                <w:ilvl w:val="0"/>
                <w:numId w:val="0"/>
              </w:numPr>
              <w:spacing w:before="0"/>
            </w:pPr>
            <w:r>
              <w:t>Leanne Castley</w:t>
            </w:r>
          </w:p>
        </w:tc>
        <w:tc>
          <w:tcPr>
            <w:tcW w:w="2043" w:type="dxa"/>
            <w:shd w:val="clear" w:color="auto" w:fill="auto"/>
          </w:tcPr>
          <w:p w14:paraId="5825BA52" w14:textId="31F6862F" w:rsidR="00384A74" w:rsidRDefault="00384A74" w:rsidP="00384A74">
            <w:pPr>
              <w:pStyle w:val="DPSEntryIndents"/>
              <w:numPr>
                <w:ilvl w:val="0"/>
                <w:numId w:val="0"/>
              </w:numPr>
              <w:spacing w:before="0"/>
            </w:pPr>
            <w:r>
              <w:t>James Milligan</w:t>
            </w:r>
          </w:p>
        </w:tc>
        <w:tc>
          <w:tcPr>
            <w:tcW w:w="242" w:type="dxa"/>
            <w:shd w:val="clear" w:color="auto" w:fill="auto"/>
          </w:tcPr>
          <w:p w14:paraId="3A69CCB5" w14:textId="77777777" w:rsidR="00384A74" w:rsidRDefault="00384A74" w:rsidP="00384A74">
            <w:pPr>
              <w:pStyle w:val="DPSEntryIndents"/>
              <w:numPr>
                <w:ilvl w:val="0"/>
                <w:numId w:val="0"/>
              </w:numPr>
            </w:pPr>
          </w:p>
        </w:tc>
        <w:tc>
          <w:tcPr>
            <w:tcW w:w="2041" w:type="dxa"/>
            <w:shd w:val="clear" w:color="auto" w:fill="auto"/>
          </w:tcPr>
          <w:p w14:paraId="07DF0B55" w14:textId="47BA5728" w:rsidR="00384A74" w:rsidRDefault="00384A74" w:rsidP="00384A74">
            <w:pPr>
              <w:pStyle w:val="DPSEntryIndents"/>
              <w:numPr>
                <w:ilvl w:val="0"/>
                <w:numId w:val="0"/>
              </w:numPr>
              <w:spacing w:before="0"/>
            </w:pPr>
            <w:r>
              <w:t>Joy Burch</w:t>
            </w:r>
          </w:p>
        </w:tc>
        <w:tc>
          <w:tcPr>
            <w:tcW w:w="2354" w:type="dxa"/>
            <w:shd w:val="clear" w:color="auto" w:fill="auto"/>
          </w:tcPr>
          <w:p w14:paraId="12C26B9C" w14:textId="77777777" w:rsidR="00384A74" w:rsidRDefault="00384A74" w:rsidP="00384A74">
            <w:pPr>
              <w:pStyle w:val="DPSEntryIndents"/>
              <w:numPr>
                <w:ilvl w:val="0"/>
                <w:numId w:val="0"/>
              </w:numPr>
            </w:pPr>
          </w:p>
        </w:tc>
      </w:tr>
      <w:tr w:rsidR="00384A74" w14:paraId="05BB7DEA" w14:textId="77777777" w:rsidTr="00384A74">
        <w:trPr>
          <w:trHeight w:hRule="exact" w:val="312"/>
        </w:trPr>
        <w:tc>
          <w:tcPr>
            <w:tcW w:w="2126" w:type="dxa"/>
            <w:shd w:val="clear" w:color="auto" w:fill="auto"/>
          </w:tcPr>
          <w:p w14:paraId="6ED87BCA" w14:textId="635C8FDC" w:rsidR="00384A74" w:rsidRDefault="00384A74" w:rsidP="00384A74">
            <w:pPr>
              <w:pStyle w:val="DPSEntryIndents"/>
              <w:numPr>
                <w:ilvl w:val="0"/>
                <w:numId w:val="0"/>
              </w:numPr>
              <w:spacing w:before="0"/>
            </w:pPr>
            <w:r>
              <w:t>Jo Clay</w:t>
            </w:r>
          </w:p>
        </w:tc>
        <w:tc>
          <w:tcPr>
            <w:tcW w:w="2043" w:type="dxa"/>
            <w:shd w:val="clear" w:color="auto" w:fill="auto"/>
          </w:tcPr>
          <w:p w14:paraId="0211D63E" w14:textId="59868E1E" w:rsidR="00384A74" w:rsidRDefault="00384A74" w:rsidP="00384A74">
            <w:pPr>
              <w:pStyle w:val="DPSEntryIndents"/>
              <w:numPr>
                <w:ilvl w:val="0"/>
                <w:numId w:val="0"/>
              </w:numPr>
              <w:spacing w:before="0"/>
            </w:pPr>
            <w:r>
              <w:t>Laura Nuttall</w:t>
            </w:r>
          </w:p>
        </w:tc>
        <w:tc>
          <w:tcPr>
            <w:tcW w:w="242" w:type="dxa"/>
            <w:shd w:val="clear" w:color="auto" w:fill="auto"/>
          </w:tcPr>
          <w:p w14:paraId="0154C4B2" w14:textId="77777777" w:rsidR="00384A74" w:rsidRDefault="00384A74" w:rsidP="00384A74">
            <w:pPr>
              <w:pStyle w:val="DPSEntryIndents"/>
              <w:numPr>
                <w:ilvl w:val="0"/>
                <w:numId w:val="0"/>
              </w:numPr>
            </w:pPr>
          </w:p>
        </w:tc>
        <w:tc>
          <w:tcPr>
            <w:tcW w:w="2041" w:type="dxa"/>
            <w:shd w:val="clear" w:color="auto" w:fill="auto"/>
          </w:tcPr>
          <w:p w14:paraId="2C0A8EAD" w14:textId="52AE7F48" w:rsidR="00384A74" w:rsidRDefault="00384A74" w:rsidP="00384A74">
            <w:pPr>
              <w:pStyle w:val="DPSEntryIndents"/>
              <w:numPr>
                <w:ilvl w:val="0"/>
                <w:numId w:val="0"/>
              </w:numPr>
              <w:spacing w:before="0"/>
            </w:pPr>
            <w:r>
              <w:t>Tara Cheyne</w:t>
            </w:r>
          </w:p>
        </w:tc>
        <w:tc>
          <w:tcPr>
            <w:tcW w:w="2354" w:type="dxa"/>
            <w:shd w:val="clear" w:color="auto" w:fill="auto"/>
          </w:tcPr>
          <w:p w14:paraId="2C103B30" w14:textId="77777777" w:rsidR="00384A74" w:rsidRDefault="00384A74" w:rsidP="00384A74">
            <w:pPr>
              <w:pStyle w:val="DPSEntryIndents"/>
              <w:numPr>
                <w:ilvl w:val="0"/>
                <w:numId w:val="0"/>
              </w:numPr>
            </w:pPr>
          </w:p>
        </w:tc>
      </w:tr>
      <w:tr w:rsidR="00384A74" w14:paraId="31F0459E" w14:textId="77777777" w:rsidTr="00384A74">
        <w:trPr>
          <w:trHeight w:hRule="exact" w:val="312"/>
        </w:trPr>
        <w:tc>
          <w:tcPr>
            <w:tcW w:w="2126" w:type="dxa"/>
            <w:shd w:val="clear" w:color="auto" w:fill="auto"/>
          </w:tcPr>
          <w:p w14:paraId="04DA3132" w14:textId="7107E7D3" w:rsidR="00384A74" w:rsidRDefault="00384A74" w:rsidP="00384A74">
            <w:pPr>
              <w:pStyle w:val="DPSEntryIndents"/>
              <w:numPr>
                <w:ilvl w:val="0"/>
                <w:numId w:val="0"/>
              </w:numPr>
              <w:spacing w:before="0"/>
            </w:pPr>
            <w:r>
              <w:t>Ed Cocks</w:t>
            </w:r>
          </w:p>
        </w:tc>
        <w:tc>
          <w:tcPr>
            <w:tcW w:w="2043" w:type="dxa"/>
            <w:shd w:val="clear" w:color="auto" w:fill="auto"/>
          </w:tcPr>
          <w:p w14:paraId="419E0951" w14:textId="1A06F4F6" w:rsidR="00384A74" w:rsidRDefault="00384A74" w:rsidP="00384A74">
            <w:pPr>
              <w:pStyle w:val="DPSEntryIndents"/>
              <w:numPr>
                <w:ilvl w:val="0"/>
                <w:numId w:val="0"/>
              </w:numPr>
              <w:spacing w:before="0"/>
            </w:pPr>
            <w:r>
              <w:t>Mark Parton</w:t>
            </w:r>
          </w:p>
        </w:tc>
        <w:tc>
          <w:tcPr>
            <w:tcW w:w="242" w:type="dxa"/>
            <w:shd w:val="clear" w:color="auto" w:fill="auto"/>
          </w:tcPr>
          <w:p w14:paraId="66D848D2" w14:textId="77777777" w:rsidR="00384A74" w:rsidRDefault="00384A74" w:rsidP="00384A74">
            <w:pPr>
              <w:pStyle w:val="DPSEntryIndents"/>
              <w:numPr>
                <w:ilvl w:val="0"/>
                <w:numId w:val="0"/>
              </w:numPr>
            </w:pPr>
          </w:p>
        </w:tc>
        <w:tc>
          <w:tcPr>
            <w:tcW w:w="2041" w:type="dxa"/>
            <w:shd w:val="clear" w:color="auto" w:fill="auto"/>
          </w:tcPr>
          <w:p w14:paraId="126E8119" w14:textId="0B55E0A0" w:rsidR="00384A74" w:rsidRDefault="00384A74" w:rsidP="00384A74">
            <w:pPr>
              <w:pStyle w:val="DPSEntryIndents"/>
              <w:numPr>
                <w:ilvl w:val="0"/>
                <w:numId w:val="0"/>
              </w:numPr>
              <w:spacing w:before="0"/>
            </w:pPr>
            <w:r>
              <w:t>Mick Gentleman</w:t>
            </w:r>
          </w:p>
        </w:tc>
        <w:tc>
          <w:tcPr>
            <w:tcW w:w="2354" w:type="dxa"/>
            <w:shd w:val="clear" w:color="auto" w:fill="auto"/>
          </w:tcPr>
          <w:p w14:paraId="345B69A2" w14:textId="77777777" w:rsidR="00384A74" w:rsidRDefault="00384A74" w:rsidP="00384A74">
            <w:pPr>
              <w:pStyle w:val="DPSEntryIndents"/>
              <w:numPr>
                <w:ilvl w:val="0"/>
                <w:numId w:val="0"/>
              </w:numPr>
            </w:pPr>
          </w:p>
        </w:tc>
      </w:tr>
      <w:tr w:rsidR="00384A74" w14:paraId="79105044" w14:textId="77777777" w:rsidTr="00384A74">
        <w:trPr>
          <w:trHeight w:hRule="exact" w:val="312"/>
        </w:trPr>
        <w:tc>
          <w:tcPr>
            <w:tcW w:w="2126" w:type="dxa"/>
            <w:shd w:val="clear" w:color="auto" w:fill="auto"/>
          </w:tcPr>
          <w:p w14:paraId="69AB891A" w14:textId="575581FC" w:rsidR="00384A74" w:rsidRDefault="00384A74" w:rsidP="00384A74">
            <w:pPr>
              <w:pStyle w:val="DPSEntryIndents"/>
              <w:numPr>
                <w:ilvl w:val="0"/>
                <w:numId w:val="0"/>
              </w:numPr>
              <w:spacing w:before="0"/>
            </w:pPr>
            <w:r>
              <w:t>Emma Davidson</w:t>
            </w:r>
          </w:p>
        </w:tc>
        <w:tc>
          <w:tcPr>
            <w:tcW w:w="2043" w:type="dxa"/>
            <w:shd w:val="clear" w:color="auto" w:fill="auto"/>
          </w:tcPr>
          <w:p w14:paraId="74B787F4" w14:textId="17F02F9A" w:rsidR="00384A74" w:rsidRDefault="00384A74" w:rsidP="00384A74">
            <w:pPr>
              <w:pStyle w:val="DPSEntryIndents"/>
              <w:numPr>
                <w:ilvl w:val="0"/>
                <w:numId w:val="0"/>
              </w:numPr>
              <w:spacing w:before="0"/>
            </w:pPr>
            <w:r>
              <w:t>Shane Rattenbury</w:t>
            </w:r>
          </w:p>
        </w:tc>
        <w:tc>
          <w:tcPr>
            <w:tcW w:w="242" w:type="dxa"/>
            <w:shd w:val="clear" w:color="auto" w:fill="auto"/>
          </w:tcPr>
          <w:p w14:paraId="3FE78FDB" w14:textId="77777777" w:rsidR="00384A74" w:rsidRDefault="00384A74" w:rsidP="00384A74">
            <w:pPr>
              <w:pStyle w:val="DPSEntryIndents"/>
              <w:numPr>
                <w:ilvl w:val="0"/>
                <w:numId w:val="0"/>
              </w:numPr>
            </w:pPr>
          </w:p>
        </w:tc>
        <w:tc>
          <w:tcPr>
            <w:tcW w:w="2041" w:type="dxa"/>
            <w:shd w:val="clear" w:color="auto" w:fill="auto"/>
          </w:tcPr>
          <w:p w14:paraId="318693E9" w14:textId="78970A13" w:rsidR="00384A74" w:rsidRDefault="00384A74" w:rsidP="00384A74">
            <w:pPr>
              <w:pStyle w:val="DPSEntryIndents"/>
              <w:numPr>
                <w:ilvl w:val="0"/>
                <w:numId w:val="0"/>
              </w:numPr>
              <w:spacing w:before="0"/>
            </w:pPr>
            <w:r>
              <w:t>Suzanne Orr</w:t>
            </w:r>
          </w:p>
        </w:tc>
        <w:tc>
          <w:tcPr>
            <w:tcW w:w="2354" w:type="dxa"/>
            <w:shd w:val="clear" w:color="auto" w:fill="auto"/>
          </w:tcPr>
          <w:p w14:paraId="12E512D6" w14:textId="77777777" w:rsidR="00384A74" w:rsidRDefault="00384A74" w:rsidP="00384A74">
            <w:pPr>
              <w:pStyle w:val="DPSEntryIndents"/>
              <w:numPr>
                <w:ilvl w:val="0"/>
                <w:numId w:val="0"/>
              </w:numPr>
            </w:pPr>
          </w:p>
        </w:tc>
      </w:tr>
      <w:tr w:rsidR="00384A74" w14:paraId="0073C351" w14:textId="77777777" w:rsidTr="00384A74">
        <w:trPr>
          <w:trHeight w:hRule="exact" w:val="312"/>
        </w:trPr>
        <w:tc>
          <w:tcPr>
            <w:tcW w:w="2126" w:type="dxa"/>
            <w:shd w:val="clear" w:color="auto" w:fill="auto"/>
          </w:tcPr>
          <w:p w14:paraId="01E42736" w14:textId="066895F7" w:rsidR="00384A74" w:rsidRDefault="00384A74" w:rsidP="00384A74">
            <w:pPr>
              <w:pStyle w:val="DPSEntryIndents"/>
              <w:numPr>
                <w:ilvl w:val="0"/>
                <w:numId w:val="0"/>
              </w:numPr>
              <w:spacing w:before="0"/>
            </w:pPr>
            <w:r>
              <w:t>Jeremy Hanson</w:t>
            </w:r>
          </w:p>
        </w:tc>
        <w:tc>
          <w:tcPr>
            <w:tcW w:w="2043" w:type="dxa"/>
            <w:shd w:val="clear" w:color="auto" w:fill="auto"/>
          </w:tcPr>
          <w:p w14:paraId="28C0E250" w14:textId="745EDD31" w:rsidR="00384A74" w:rsidRDefault="00384A74" w:rsidP="00384A74">
            <w:pPr>
              <w:pStyle w:val="DPSEntryIndents"/>
              <w:numPr>
                <w:ilvl w:val="0"/>
                <w:numId w:val="0"/>
              </w:numPr>
              <w:spacing w:before="0"/>
            </w:pPr>
            <w:r>
              <w:t>Rebecca Vassarotti</w:t>
            </w:r>
          </w:p>
        </w:tc>
        <w:tc>
          <w:tcPr>
            <w:tcW w:w="242" w:type="dxa"/>
            <w:shd w:val="clear" w:color="auto" w:fill="auto"/>
          </w:tcPr>
          <w:p w14:paraId="0AB6EA8A" w14:textId="77777777" w:rsidR="00384A74" w:rsidRDefault="00384A74" w:rsidP="00384A74">
            <w:pPr>
              <w:pStyle w:val="DPSEntryIndents"/>
              <w:numPr>
                <w:ilvl w:val="0"/>
                <w:numId w:val="0"/>
              </w:numPr>
            </w:pPr>
          </w:p>
        </w:tc>
        <w:tc>
          <w:tcPr>
            <w:tcW w:w="2041" w:type="dxa"/>
            <w:shd w:val="clear" w:color="auto" w:fill="auto"/>
          </w:tcPr>
          <w:p w14:paraId="26506196" w14:textId="556A84B2" w:rsidR="00384A74" w:rsidRDefault="00384A74" w:rsidP="00384A74">
            <w:pPr>
              <w:pStyle w:val="DPSEntryIndents"/>
              <w:numPr>
                <w:ilvl w:val="0"/>
                <w:numId w:val="0"/>
              </w:numPr>
              <w:spacing w:before="0"/>
            </w:pPr>
            <w:r>
              <w:t>Marisa Paterson</w:t>
            </w:r>
          </w:p>
        </w:tc>
        <w:tc>
          <w:tcPr>
            <w:tcW w:w="2354" w:type="dxa"/>
            <w:shd w:val="clear" w:color="auto" w:fill="auto"/>
          </w:tcPr>
          <w:p w14:paraId="74BC8CD5" w14:textId="77777777" w:rsidR="00384A74" w:rsidRDefault="00384A74" w:rsidP="00384A74">
            <w:pPr>
              <w:pStyle w:val="DPSEntryIndents"/>
              <w:numPr>
                <w:ilvl w:val="0"/>
                <w:numId w:val="0"/>
              </w:numPr>
            </w:pPr>
          </w:p>
        </w:tc>
      </w:tr>
      <w:tr w:rsidR="00384A74" w14:paraId="490FFBEC" w14:textId="77777777" w:rsidTr="00384A74">
        <w:trPr>
          <w:trHeight w:hRule="exact" w:val="312"/>
        </w:trPr>
        <w:tc>
          <w:tcPr>
            <w:tcW w:w="2126" w:type="dxa"/>
            <w:shd w:val="clear" w:color="auto" w:fill="auto"/>
          </w:tcPr>
          <w:p w14:paraId="74189852" w14:textId="754DCA0B" w:rsidR="00384A74" w:rsidRDefault="00384A74" w:rsidP="00384A74">
            <w:pPr>
              <w:pStyle w:val="DPSEntryIndents"/>
              <w:numPr>
                <w:ilvl w:val="0"/>
                <w:numId w:val="0"/>
              </w:numPr>
              <w:spacing w:before="0"/>
            </w:pPr>
            <w:r>
              <w:t>Elizabeth Kikkert</w:t>
            </w:r>
          </w:p>
        </w:tc>
        <w:tc>
          <w:tcPr>
            <w:tcW w:w="2043" w:type="dxa"/>
            <w:shd w:val="clear" w:color="auto" w:fill="auto"/>
          </w:tcPr>
          <w:p w14:paraId="6E986DD6" w14:textId="77777777" w:rsidR="00384A74" w:rsidRDefault="00384A74" w:rsidP="00384A74">
            <w:pPr>
              <w:pStyle w:val="DPSEntryIndents"/>
              <w:numPr>
                <w:ilvl w:val="0"/>
                <w:numId w:val="0"/>
              </w:numPr>
            </w:pPr>
          </w:p>
        </w:tc>
        <w:tc>
          <w:tcPr>
            <w:tcW w:w="242" w:type="dxa"/>
            <w:shd w:val="clear" w:color="auto" w:fill="auto"/>
          </w:tcPr>
          <w:p w14:paraId="68BA8D45" w14:textId="77777777" w:rsidR="00384A74" w:rsidRDefault="00384A74" w:rsidP="00384A74">
            <w:pPr>
              <w:pStyle w:val="DPSEntryIndents"/>
              <w:numPr>
                <w:ilvl w:val="0"/>
                <w:numId w:val="0"/>
              </w:numPr>
            </w:pPr>
          </w:p>
        </w:tc>
        <w:tc>
          <w:tcPr>
            <w:tcW w:w="2041" w:type="dxa"/>
            <w:shd w:val="clear" w:color="auto" w:fill="auto"/>
          </w:tcPr>
          <w:p w14:paraId="57CA8ADF" w14:textId="72717C00" w:rsidR="00384A74" w:rsidRDefault="00384A74" w:rsidP="00384A74">
            <w:pPr>
              <w:pStyle w:val="DPSEntryIndents"/>
              <w:numPr>
                <w:ilvl w:val="0"/>
                <w:numId w:val="0"/>
              </w:numPr>
              <w:spacing w:before="0"/>
            </w:pPr>
            <w:r>
              <w:t>Michael Pettersson</w:t>
            </w:r>
          </w:p>
        </w:tc>
        <w:tc>
          <w:tcPr>
            <w:tcW w:w="2354" w:type="dxa"/>
            <w:shd w:val="clear" w:color="auto" w:fill="auto"/>
          </w:tcPr>
          <w:p w14:paraId="103E820E" w14:textId="77777777" w:rsidR="00384A74" w:rsidRDefault="00384A74" w:rsidP="00384A74">
            <w:pPr>
              <w:pStyle w:val="DPSEntryIndents"/>
              <w:numPr>
                <w:ilvl w:val="0"/>
                <w:numId w:val="0"/>
              </w:numPr>
            </w:pPr>
          </w:p>
        </w:tc>
      </w:tr>
    </w:tbl>
    <w:p w14:paraId="68E5AC19" w14:textId="59A50077" w:rsidR="008267A1" w:rsidRDefault="00384A74" w:rsidP="00384A74">
      <w:pPr>
        <w:pStyle w:val="DPSEntryIndents"/>
        <w:numPr>
          <w:ilvl w:val="0"/>
          <w:numId w:val="0"/>
        </w:numPr>
        <w:ind w:left="709"/>
      </w:pPr>
      <w:r>
        <w:t>And so it was resolved in the affirmative.</w:t>
      </w:r>
    </w:p>
    <w:p w14:paraId="2C58B6E2" w14:textId="215690C5" w:rsidR="008267A1" w:rsidRDefault="008267A1" w:rsidP="008267A1">
      <w:pPr>
        <w:pStyle w:val="DPSEntryIndents"/>
        <w:numPr>
          <w:ilvl w:val="0"/>
          <w:numId w:val="0"/>
        </w:numPr>
        <w:ind w:left="709"/>
      </w:pPr>
      <w:r>
        <w:lastRenderedPageBreak/>
        <w:t>Question—That Mr Parton</w:t>
      </w:r>
      <w:r w:rsidR="00091C7D">
        <w:t>’</w:t>
      </w:r>
      <w:r>
        <w:t>s amendment, as amended, be agreed to—put.</w:t>
      </w:r>
    </w:p>
    <w:p w14:paraId="74C115B7" w14:textId="77777777" w:rsidR="00384A74" w:rsidRDefault="00384A74" w:rsidP="00303360">
      <w:pPr>
        <w:pStyle w:val="DPSEntryIndents"/>
        <w:keepNext/>
        <w:numPr>
          <w:ilvl w:val="0"/>
          <w:numId w:val="0"/>
        </w:numPr>
        <w:spacing w:after="120"/>
        <w:ind w:left="709"/>
      </w:pPr>
      <w:r>
        <w:t>The Assembly voted—</w:t>
      </w:r>
    </w:p>
    <w:tbl>
      <w:tblPr>
        <w:tblW w:w="8789" w:type="dxa"/>
        <w:tblInd w:w="709" w:type="dxa"/>
        <w:tblLayout w:type="fixed"/>
        <w:tblCellMar>
          <w:left w:w="0" w:type="dxa"/>
        </w:tblCellMar>
        <w:tblLook w:val="0000" w:firstRow="0" w:lastRow="0" w:firstColumn="0" w:lastColumn="0" w:noHBand="0" w:noVBand="0"/>
      </w:tblPr>
      <w:tblGrid>
        <w:gridCol w:w="2126"/>
        <w:gridCol w:w="2043"/>
        <w:gridCol w:w="242"/>
        <w:gridCol w:w="2041"/>
        <w:gridCol w:w="2337"/>
      </w:tblGrid>
      <w:tr w:rsidR="00384A74" w14:paraId="461D2249" w14:textId="77777777" w:rsidTr="00384A74">
        <w:tc>
          <w:tcPr>
            <w:tcW w:w="4169" w:type="dxa"/>
            <w:gridSpan w:val="2"/>
            <w:shd w:val="clear" w:color="auto" w:fill="auto"/>
          </w:tcPr>
          <w:p w14:paraId="4BF97145" w14:textId="6876AA06" w:rsidR="00384A74" w:rsidRDefault="00384A74" w:rsidP="00384A74">
            <w:pPr>
              <w:pStyle w:val="DPSEntryIndents"/>
              <w:numPr>
                <w:ilvl w:val="0"/>
                <w:numId w:val="0"/>
              </w:numPr>
              <w:tabs>
                <w:tab w:val="center" w:pos="1986"/>
              </w:tabs>
            </w:pPr>
            <w:r>
              <w:tab/>
              <w:t>AYES, 15</w:t>
            </w:r>
          </w:p>
        </w:tc>
        <w:tc>
          <w:tcPr>
            <w:tcW w:w="242" w:type="dxa"/>
            <w:shd w:val="clear" w:color="auto" w:fill="auto"/>
          </w:tcPr>
          <w:p w14:paraId="3B7B5164" w14:textId="77777777" w:rsidR="00384A74" w:rsidRDefault="00384A74" w:rsidP="00384A74">
            <w:pPr>
              <w:pStyle w:val="DPSEntryIndents"/>
              <w:numPr>
                <w:ilvl w:val="0"/>
                <w:numId w:val="0"/>
              </w:numPr>
            </w:pPr>
          </w:p>
        </w:tc>
        <w:tc>
          <w:tcPr>
            <w:tcW w:w="4378" w:type="dxa"/>
            <w:gridSpan w:val="2"/>
            <w:shd w:val="clear" w:color="auto" w:fill="auto"/>
          </w:tcPr>
          <w:p w14:paraId="415A73E6" w14:textId="2B6590A2" w:rsidR="00384A74" w:rsidRDefault="00384A74" w:rsidP="00384A74">
            <w:pPr>
              <w:pStyle w:val="DPSEntryIndents"/>
              <w:numPr>
                <w:ilvl w:val="0"/>
                <w:numId w:val="0"/>
              </w:numPr>
              <w:tabs>
                <w:tab w:val="center" w:pos="1680"/>
              </w:tabs>
            </w:pPr>
            <w:r>
              <w:tab/>
              <w:t>NOES, 10</w:t>
            </w:r>
          </w:p>
        </w:tc>
      </w:tr>
      <w:tr w:rsidR="00384A74" w14:paraId="47AB6E5E" w14:textId="77777777" w:rsidTr="00384A74">
        <w:trPr>
          <w:trHeight w:hRule="exact" w:val="312"/>
        </w:trPr>
        <w:tc>
          <w:tcPr>
            <w:tcW w:w="2126" w:type="dxa"/>
            <w:shd w:val="clear" w:color="auto" w:fill="auto"/>
          </w:tcPr>
          <w:p w14:paraId="66B91B4A" w14:textId="726A5244" w:rsidR="00384A74" w:rsidRDefault="00384A74" w:rsidP="00384A74">
            <w:pPr>
              <w:pStyle w:val="DPSEntryIndents"/>
              <w:numPr>
                <w:ilvl w:val="0"/>
                <w:numId w:val="0"/>
              </w:numPr>
              <w:spacing w:before="0"/>
            </w:pPr>
            <w:r>
              <w:t>Andrew Braddock</w:t>
            </w:r>
          </w:p>
        </w:tc>
        <w:tc>
          <w:tcPr>
            <w:tcW w:w="2043" w:type="dxa"/>
            <w:shd w:val="clear" w:color="auto" w:fill="auto"/>
          </w:tcPr>
          <w:p w14:paraId="6658DEBD" w14:textId="73ABCCBA" w:rsidR="00384A74" w:rsidRDefault="00384A74" w:rsidP="00384A74">
            <w:pPr>
              <w:pStyle w:val="DPSEntryIndents"/>
              <w:numPr>
                <w:ilvl w:val="0"/>
                <w:numId w:val="0"/>
              </w:numPr>
              <w:spacing w:before="0"/>
            </w:pPr>
            <w:r>
              <w:t>Nicole Lawder</w:t>
            </w:r>
          </w:p>
        </w:tc>
        <w:tc>
          <w:tcPr>
            <w:tcW w:w="242" w:type="dxa"/>
            <w:shd w:val="clear" w:color="auto" w:fill="auto"/>
          </w:tcPr>
          <w:p w14:paraId="7A65F856" w14:textId="77777777" w:rsidR="00384A74" w:rsidRDefault="00384A74" w:rsidP="00384A74">
            <w:pPr>
              <w:pStyle w:val="DPSEntryIndents"/>
              <w:numPr>
                <w:ilvl w:val="0"/>
                <w:numId w:val="0"/>
              </w:numPr>
            </w:pPr>
          </w:p>
        </w:tc>
        <w:tc>
          <w:tcPr>
            <w:tcW w:w="2041" w:type="dxa"/>
            <w:shd w:val="clear" w:color="auto" w:fill="auto"/>
          </w:tcPr>
          <w:p w14:paraId="34F4E8DD" w14:textId="4943671B" w:rsidR="00384A74" w:rsidRDefault="00384A74" w:rsidP="00384A74">
            <w:pPr>
              <w:pStyle w:val="DPSEntryIndents"/>
              <w:numPr>
                <w:ilvl w:val="0"/>
                <w:numId w:val="0"/>
              </w:numPr>
              <w:spacing w:before="0"/>
            </w:pPr>
            <w:r>
              <w:t>Andrew Barr</w:t>
            </w:r>
          </w:p>
        </w:tc>
        <w:tc>
          <w:tcPr>
            <w:tcW w:w="2337" w:type="dxa"/>
            <w:shd w:val="clear" w:color="auto" w:fill="auto"/>
          </w:tcPr>
          <w:p w14:paraId="3296363C" w14:textId="72AA4EFF" w:rsidR="00384A74" w:rsidRDefault="00384A74" w:rsidP="00384A74">
            <w:pPr>
              <w:pStyle w:val="DPSEntryIndents"/>
              <w:numPr>
                <w:ilvl w:val="0"/>
                <w:numId w:val="0"/>
              </w:numPr>
              <w:spacing w:before="0"/>
            </w:pPr>
            <w:r>
              <w:t>Chris Steel</w:t>
            </w:r>
          </w:p>
        </w:tc>
      </w:tr>
      <w:tr w:rsidR="00384A74" w14:paraId="59F8262E" w14:textId="77777777" w:rsidTr="00384A74">
        <w:trPr>
          <w:trHeight w:hRule="exact" w:val="312"/>
        </w:trPr>
        <w:tc>
          <w:tcPr>
            <w:tcW w:w="2126" w:type="dxa"/>
            <w:shd w:val="clear" w:color="auto" w:fill="auto"/>
          </w:tcPr>
          <w:p w14:paraId="16B5EC6F" w14:textId="73E2FC7A" w:rsidR="00384A74" w:rsidRDefault="00384A74" w:rsidP="00384A74">
            <w:pPr>
              <w:pStyle w:val="DPSEntryIndents"/>
              <w:numPr>
                <w:ilvl w:val="0"/>
                <w:numId w:val="0"/>
              </w:numPr>
              <w:spacing w:before="0"/>
            </w:pPr>
            <w:r>
              <w:t>Peter Cain</w:t>
            </w:r>
          </w:p>
        </w:tc>
        <w:tc>
          <w:tcPr>
            <w:tcW w:w="2043" w:type="dxa"/>
            <w:shd w:val="clear" w:color="auto" w:fill="auto"/>
          </w:tcPr>
          <w:p w14:paraId="5C3C2175" w14:textId="20D9EA3E" w:rsidR="00384A74" w:rsidRDefault="00384A74" w:rsidP="00384A74">
            <w:pPr>
              <w:pStyle w:val="DPSEntryIndents"/>
              <w:numPr>
                <w:ilvl w:val="0"/>
                <w:numId w:val="0"/>
              </w:numPr>
              <w:spacing w:before="0"/>
            </w:pPr>
            <w:r>
              <w:t>Elizabeth Lee</w:t>
            </w:r>
          </w:p>
        </w:tc>
        <w:tc>
          <w:tcPr>
            <w:tcW w:w="242" w:type="dxa"/>
            <w:shd w:val="clear" w:color="auto" w:fill="auto"/>
          </w:tcPr>
          <w:p w14:paraId="09DC7C1E" w14:textId="77777777" w:rsidR="00384A74" w:rsidRDefault="00384A74" w:rsidP="00384A74">
            <w:pPr>
              <w:pStyle w:val="DPSEntryIndents"/>
              <w:numPr>
                <w:ilvl w:val="0"/>
                <w:numId w:val="0"/>
              </w:numPr>
            </w:pPr>
          </w:p>
        </w:tc>
        <w:tc>
          <w:tcPr>
            <w:tcW w:w="2041" w:type="dxa"/>
            <w:shd w:val="clear" w:color="auto" w:fill="auto"/>
          </w:tcPr>
          <w:p w14:paraId="6A9252FA" w14:textId="39D758E4" w:rsidR="00384A74" w:rsidRDefault="00384A74" w:rsidP="00384A74">
            <w:pPr>
              <w:pStyle w:val="DPSEntryIndents"/>
              <w:numPr>
                <w:ilvl w:val="0"/>
                <w:numId w:val="0"/>
              </w:numPr>
              <w:spacing w:before="0"/>
            </w:pPr>
            <w:r>
              <w:t>Yvette Berry</w:t>
            </w:r>
          </w:p>
        </w:tc>
        <w:tc>
          <w:tcPr>
            <w:tcW w:w="2337" w:type="dxa"/>
            <w:shd w:val="clear" w:color="auto" w:fill="auto"/>
          </w:tcPr>
          <w:p w14:paraId="0A8636FC" w14:textId="0AA578D6" w:rsidR="00384A74" w:rsidRDefault="00384A74" w:rsidP="00384A74">
            <w:pPr>
              <w:pStyle w:val="DPSEntryIndents"/>
              <w:numPr>
                <w:ilvl w:val="0"/>
                <w:numId w:val="0"/>
              </w:numPr>
              <w:spacing w:before="0"/>
            </w:pPr>
            <w:r>
              <w:t>Rachel Stephen-Smith</w:t>
            </w:r>
          </w:p>
        </w:tc>
      </w:tr>
      <w:tr w:rsidR="00384A74" w14:paraId="53CFD934" w14:textId="77777777" w:rsidTr="00384A74">
        <w:trPr>
          <w:trHeight w:hRule="exact" w:val="312"/>
        </w:trPr>
        <w:tc>
          <w:tcPr>
            <w:tcW w:w="2126" w:type="dxa"/>
            <w:shd w:val="clear" w:color="auto" w:fill="auto"/>
          </w:tcPr>
          <w:p w14:paraId="1FDD9B3D" w14:textId="65FCC53C" w:rsidR="00384A74" w:rsidRDefault="00384A74" w:rsidP="00384A74">
            <w:pPr>
              <w:pStyle w:val="DPSEntryIndents"/>
              <w:numPr>
                <w:ilvl w:val="0"/>
                <w:numId w:val="0"/>
              </w:numPr>
              <w:spacing w:before="0"/>
            </w:pPr>
            <w:r>
              <w:t>Leanne Castley</w:t>
            </w:r>
          </w:p>
        </w:tc>
        <w:tc>
          <w:tcPr>
            <w:tcW w:w="2043" w:type="dxa"/>
            <w:shd w:val="clear" w:color="auto" w:fill="auto"/>
          </w:tcPr>
          <w:p w14:paraId="1399358D" w14:textId="62FC0AF0" w:rsidR="00384A74" w:rsidRDefault="00384A74" w:rsidP="00384A74">
            <w:pPr>
              <w:pStyle w:val="DPSEntryIndents"/>
              <w:numPr>
                <w:ilvl w:val="0"/>
                <w:numId w:val="0"/>
              </w:numPr>
              <w:spacing w:before="0"/>
            </w:pPr>
            <w:r>
              <w:t>James Milligan</w:t>
            </w:r>
          </w:p>
        </w:tc>
        <w:tc>
          <w:tcPr>
            <w:tcW w:w="242" w:type="dxa"/>
            <w:shd w:val="clear" w:color="auto" w:fill="auto"/>
          </w:tcPr>
          <w:p w14:paraId="77A81326" w14:textId="77777777" w:rsidR="00384A74" w:rsidRDefault="00384A74" w:rsidP="00384A74">
            <w:pPr>
              <w:pStyle w:val="DPSEntryIndents"/>
              <w:numPr>
                <w:ilvl w:val="0"/>
                <w:numId w:val="0"/>
              </w:numPr>
            </w:pPr>
          </w:p>
        </w:tc>
        <w:tc>
          <w:tcPr>
            <w:tcW w:w="2041" w:type="dxa"/>
            <w:shd w:val="clear" w:color="auto" w:fill="auto"/>
          </w:tcPr>
          <w:p w14:paraId="05F38A1A" w14:textId="1579F3C1" w:rsidR="00384A74" w:rsidRDefault="00384A74" w:rsidP="00384A74">
            <w:pPr>
              <w:pStyle w:val="DPSEntryIndents"/>
              <w:numPr>
                <w:ilvl w:val="0"/>
                <w:numId w:val="0"/>
              </w:numPr>
              <w:spacing w:before="0"/>
            </w:pPr>
            <w:r>
              <w:t>Joy Burch</w:t>
            </w:r>
          </w:p>
        </w:tc>
        <w:tc>
          <w:tcPr>
            <w:tcW w:w="2337" w:type="dxa"/>
            <w:shd w:val="clear" w:color="auto" w:fill="auto"/>
          </w:tcPr>
          <w:p w14:paraId="6B05AD22" w14:textId="77777777" w:rsidR="00384A74" w:rsidRDefault="00384A74" w:rsidP="00384A74">
            <w:pPr>
              <w:pStyle w:val="DPSEntryIndents"/>
              <w:numPr>
                <w:ilvl w:val="0"/>
                <w:numId w:val="0"/>
              </w:numPr>
            </w:pPr>
          </w:p>
        </w:tc>
      </w:tr>
      <w:tr w:rsidR="00384A74" w14:paraId="459F92BA" w14:textId="77777777" w:rsidTr="00384A74">
        <w:trPr>
          <w:trHeight w:hRule="exact" w:val="312"/>
        </w:trPr>
        <w:tc>
          <w:tcPr>
            <w:tcW w:w="2126" w:type="dxa"/>
            <w:shd w:val="clear" w:color="auto" w:fill="auto"/>
          </w:tcPr>
          <w:p w14:paraId="67CC7070" w14:textId="2D2784CF" w:rsidR="00384A74" w:rsidRDefault="00384A74" w:rsidP="00384A74">
            <w:pPr>
              <w:pStyle w:val="DPSEntryIndents"/>
              <w:numPr>
                <w:ilvl w:val="0"/>
                <w:numId w:val="0"/>
              </w:numPr>
              <w:spacing w:before="0"/>
            </w:pPr>
            <w:r>
              <w:t>Jo Clay</w:t>
            </w:r>
          </w:p>
        </w:tc>
        <w:tc>
          <w:tcPr>
            <w:tcW w:w="2043" w:type="dxa"/>
            <w:shd w:val="clear" w:color="auto" w:fill="auto"/>
          </w:tcPr>
          <w:p w14:paraId="29025CA5" w14:textId="7A3C7EC9" w:rsidR="00384A74" w:rsidRDefault="00384A74" w:rsidP="00384A74">
            <w:pPr>
              <w:pStyle w:val="DPSEntryIndents"/>
              <w:numPr>
                <w:ilvl w:val="0"/>
                <w:numId w:val="0"/>
              </w:numPr>
              <w:spacing w:before="0"/>
            </w:pPr>
            <w:r>
              <w:t>Laura Nuttall</w:t>
            </w:r>
          </w:p>
        </w:tc>
        <w:tc>
          <w:tcPr>
            <w:tcW w:w="242" w:type="dxa"/>
            <w:shd w:val="clear" w:color="auto" w:fill="auto"/>
          </w:tcPr>
          <w:p w14:paraId="5AA8E541" w14:textId="77777777" w:rsidR="00384A74" w:rsidRDefault="00384A74" w:rsidP="00384A74">
            <w:pPr>
              <w:pStyle w:val="DPSEntryIndents"/>
              <w:numPr>
                <w:ilvl w:val="0"/>
                <w:numId w:val="0"/>
              </w:numPr>
            </w:pPr>
          </w:p>
        </w:tc>
        <w:tc>
          <w:tcPr>
            <w:tcW w:w="2041" w:type="dxa"/>
            <w:shd w:val="clear" w:color="auto" w:fill="auto"/>
          </w:tcPr>
          <w:p w14:paraId="1C6FDB1D" w14:textId="0288ED30" w:rsidR="00384A74" w:rsidRDefault="00384A74" w:rsidP="00384A74">
            <w:pPr>
              <w:pStyle w:val="DPSEntryIndents"/>
              <w:numPr>
                <w:ilvl w:val="0"/>
                <w:numId w:val="0"/>
              </w:numPr>
              <w:spacing w:before="0"/>
            </w:pPr>
            <w:r>
              <w:t>Tara Cheyne</w:t>
            </w:r>
          </w:p>
        </w:tc>
        <w:tc>
          <w:tcPr>
            <w:tcW w:w="2337" w:type="dxa"/>
            <w:shd w:val="clear" w:color="auto" w:fill="auto"/>
          </w:tcPr>
          <w:p w14:paraId="0A359B9D" w14:textId="77777777" w:rsidR="00384A74" w:rsidRDefault="00384A74" w:rsidP="00384A74">
            <w:pPr>
              <w:pStyle w:val="DPSEntryIndents"/>
              <w:numPr>
                <w:ilvl w:val="0"/>
                <w:numId w:val="0"/>
              </w:numPr>
            </w:pPr>
          </w:p>
        </w:tc>
      </w:tr>
      <w:tr w:rsidR="00384A74" w14:paraId="7E6FA2ED" w14:textId="77777777" w:rsidTr="00384A74">
        <w:trPr>
          <w:trHeight w:hRule="exact" w:val="312"/>
        </w:trPr>
        <w:tc>
          <w:tcPr>
            <w:tcW w:w="2126" w:type="dxa"/>
            <w:shd w:val="clear" w:color="auto" w:fill="auto"/>
          </w:tcPr>
          <w:p w14:paraId="15CCC85C" w14:textId="601ED642" w:rsidR="00384A74" w:rsidRDefault="00384A74" w:rsidP="00384A74">
            <w:pPr>
              <w:pStyle w:val="DPSEntryIndents"/>
              <w:numPr>
                <w:ilvl w:val="0"/>
                <w:numId w:val="0"/>
              </w:numPr>
              <w:spacing w:before="0"/>
            </w:pPr>
            <w:r>
              <w:t>Ed Cocks</w:t>
            </w:r>
          </w:p>
        </w:tc>
        <w:tc>
          <w:tcPr>
            <w:tcW w:w="2043" w:type="dxa"/>
            <w:shd w:val="clear" w:color="auto" w:fill="auto"/>
          </w:tcPr>
          <w:p w14:paraId="6C2F1C47" w14:textId="7DD8F0E8" w:rsidR="00384A74" w:rsidRDefault="00384A74" w:rsidP="00384A74">
            <w:pPr>
              <w:pStyle w:val="DPSEntryIndents"/>
              <w:numPr>
                <w:ilvl w:val="0"/>
                <w:numId w:val="0"/>
              </w:numPr>
              <w:spacing w:before="0"/>
            </w:pPr>
            <w:r>
              <w:t>Mark Parton</w:t>
            </w:r>
          </w:p>
        </w:tc>
        <w:tc>
          <w:tcPr>
            <w:tcW w:w="242" w:type="dxa"/>
            <w:shd w:val="clear" w:color="auto" w:fill="auto"/>
          </w:tcPr>
          <w:p w14:paraId="665CCC19" w14:textId="77777777" w:rsidR="00384A74" w:rsidRDefault="00384A74" w:rsidP="00384A74">
            <w:pPr>
              <w:pStyle w:val="DPSEntryIndents"/>
              <w:numPr>
                <w:ilvl w:val="0"/>
                <w:numId w:val="0"/>
              </w:numPr>
            </w:pPr>
          </w:p>
        </w:tc>
        <w:tc>
          <w:tcPr>
            <w:tcW w:w="2041" w:type="dxa"/>
            <w:shd w:val="clear" w:color="auto" w:fill="auto"/>
          </w:tcPr>
          <w:p w14:paraId="110EC21D" w14:textId="59FFF525" w:rsidR="00384A74" w:rsidRDefault="00384A74" w:rsidP="00384A74">
            <w:pPr>
              <w:pStyle w:val="DPSEntryIndents"/>
              <w:numPr>
                <w:ilvl w:val="0"/>
                <w:numId w:val="0"/>
              </w:numPr>
              <w:spacing w:before="0"/>
            </w:pPr>
            <w:r>
              <w:t>Mick Gentleman</w:t>
            </w:r>
          </w:p>
        </w:tc>
        <w:tc>
          <w:tcPr>
            <w:tcW w:w="2337" w:type="dxa"/>
            <w:shd w:val="clear" w:color="auto" w:fill="auto"/>
          </w:tcPr>
          <w:p w14:paraId="7E397CA4" w14:textId="77777777" w:rsidR="00384A74" w:rsidRDefault="00384A74" w:rsidP="00384A74">
            <w:pPr>
              <w:pStyle w:val="DPSEntryIndents"/>
              <w:numPr>
                <w:ilvl w:val="0"/>
                <w:numId w:val="0"/>
              </w:numPr>
            </w:pPr>
          </w:p>
        </w:tc>
      </w:tr>
      <w:tr w:rsidR="00384A74" w14:paraId="19E2C38B" w14:textId="77777777" w:rsidTr="00384A74">
        <w:trPr>
          <w:trHeight w:hRule="exact" w:val="312"/>
        </w:trPr>
        <w:tc>
          <w:tcPr>
            <w:tcW w:w="2126" w:type="dxa"/>
            <w:shd w:val="clear" w:color="auto" w:fill="auto"/>
          </w:tcPr>
          <w:p w14:paraId="1BCA47F9" w14:textId="1A0E92BF" w:rsidR="00384A74" w:rsidRDefault="00384A74" w:rsidP="00384A74">
            <w:pPr>
              <w:pStyle w:val="DPSEntryIndents"/>
              <w:numPr>
                <w:ilvl w:val="0"/>
                <w:numId w:val="0"/>
              </w:numPr>
              <w:spacing w:before="0"/>
            </w:pPr>
            <w:r>
              <w:t>Emma Davidson</w:t>
            </w:r>
          </w:p>
        </w:tc>
        <w:tc>
          <w:tcPr>
            <w:tcW w:w="2043" w:type="dxa"/>
            <w:shd w:val="clear" w:color="auto" w:fill="auto"/>
          </w:tcPr>
          <w:p w14:paraId="3A37E842" w14:textId="069EF948" w:rsidR="00384A74" w:rsidRDefault="00384A74" w:rsidP="00384A74">
            <w:pPr>
              <w:pStyle w:val="DPSEntryIndents"/>
              <w:numPr>
                <w:ilvl w:val="0"/>
                <w:numId w:val="0"/>
              </w:numPr>
              <w:spacing w:before="0"/>
            </w:pPr>
            <w:r>
              <w:t>Shane Rattenbury</w:t>
            </w:r>
          </w:p>
        </w:tc>
        <w:tc>
          <w:tcPr>
            <w:tcW w:w="242" w:type="dxa"/>
            <w:shd w:val="clear" w:color="auto" w:fill="auto"/>
          </w:tcPr>
          <w:p w14:paraId="0DD60CCA" w14:textId="77777777" w:rsidR="00384A74" w:rsidRDefault="00384A74" w:rsidP="00384A74">
            <w:pPr>
              <w:pStyle w:val="DPSEntryIndents"/>
              <w:numPr>
                <w:ilvl w:val="0"/>
                <w:numId w:val="0"/>
              </w:numPr>
            </w:pPr>
          </w:p>
        </w:tc>
        <w:tc>
          <w:tcPr>
            <w:tcW w:w="2041" w:type="dxa"/>
            <w:shd w:val="clear" w:color="auto" w:fill="auto"/>
          </w:tcPr>
          <w:p w14:paraId="67B54891" w14:textId="4B6C7AD0" w:rsidR="00384A74" w:rsidRDefault="00384A74" w:rsidP="00384A74">
            <w:pPr>
              <w:pStyle w:val="DPSEntryIndents"/>
              <w:numPr>
                <w:ilvl w:val="0"/>
                <w:numId w:val="0"/>
              </w:numPr>
              <w:spacing w:before="0"/>
            </w:pPr>
            <w:r>
              <w:t>Suzanne Orr</w:t>
            </w:r>
          </w:p>
        </w:tc>
        <w:tc>
          <w:tcPr>
            <w:tcW w:w="2337" w:type="dxa"/>
            <w:shd w:val="clear" w:color="auto" w:fill="auto"/>
          </w:tcPr>
          <w:p w14:paraId="30ADE2CE" w14:textId="77777777" w:rsidR="00384A74" w:rsidRDefault="00384A74" w:rsidP="00384A74">
            <w:pPr>
              <w:pStyle w:val="DPSEntryIndents"/>
              <w:numPr>
                <w:ilvl w:val="0"/>
                <w:numId w:val="0"/>
              </w:numPr>
            </w:pPr>
          </w:p>
        </w:tc>
      </w:tr>
      <w:tr w:rsidR="00384A74" w14:paraId="2FA78BF1" w14:textId="77777777" w:rsidTr="00384A74">
        <w:trPr>
          <w:trHeight w:hRule="exact" w:val="312"/>
        </w:trPr>
        <w:tc>
          <w:tcPr>
            <w:tcW w:w="2126" w:type="dxa"/>
            <w:shd w:val="clear" w:color="auto" w:fill="auto"/>
          </w:tcPr>
          <w:p w14:paraId="2B7462A5" w14:textId="3C206B06" w:rsidR="00384A74" w:rsidRDefault="00384A74" w:rsidP="00384A74">
            <w:pPr>
              <w:pStyle w:val="DPSEntryIndents"/>
              <w:numPr>
                <w:ilvl w:val="0"/>
                <w:numId w:val="0"/>
              </w:numPr>
              <w:spacing w:before="0"/>
            </w:pPr>
            <w:r>
              <w:t>Jeremy Hanson</w:t>
            </w:r>
          </w:p>
        </w:tc>
        <w:tc>
          <w:tcPr>
            <w:tcW w:w="2043" w:type="dxa"/>
            <w:shd w:val="clear" w:color="auto" w:fill="auto"/>
          </w:tcPr>
          <w:p w14:paraId="2AF921CB" w14:textId="1BCE0285" w:rsidR="00384A74" w:rsidRDefault="00384A74" w:rsidP="00384A74">
            <w:pPr>
              <w:pStyle w:val="DPSEntryIndents"/>
              <w:numPr>
                <w:ilvl w:val="0"/>
                <w:numId w:val="0"/>
              </w:numPr>
              <w:spacing w:before="0"/>
            </w:pPr>
            <w:r>
              <w:t>Rebecca Vassarotti</w:t>
            </w:r>
          </w:p>
        </w:tc>
        <w:tc>
          <w:tcPr>
            <w:tcW w:w="242" w:type="dxa"/>
            <w:shd w:val="clear" w:color="auto" w:fill="auto"/>
          </w:tcPr>
          <w:p w14:paraId="32923805" w14:textId="77777777" w:rsidR="00384A74" w:rsidRDefault="00384A74" w:rsidP="00384A74">
            <w:pPr>
              <w:pStyle w:val="DPSEntryIndents"/>
              <w:numPr>
                <w:ilvl w:val="0"/>
                <w:numId w:val="0"/>
              </w:numPr>
            </w:pPr>
          </w:p>
        </w:tc>
        <w:tc>
          <w:tcPr>
            <w:tcW w:w="2041" w:type="dxa"/>
            <w:shd w:val="clear" w:color="auto" w:fill="auto"/>
          </w:tcPr>
          <w:p w14:paraId="2E7BF866" w14:textId="1BB05D66" w:rsidR="00384A74" w:rsidRDefault="00384A74" w:rsidP="00384A74">
            <w:pPr>
              <w:pStyle w:val="DPSEntryIndents"/>
              <w:numPr>
                <w:ilvl w:val="0"/>
                <w:numId w:val="0"/>
              </w:numPr>
              <w:spacing w:before="0"/>
            </w:pPr>
            <w:r>
              <w:t>Marisa Paterson</w:t>
            </w:r>
          </w:p>
        </w:tc>
        <w:tc>
          <w:tcPr>
            <w:tcW w:w="2337" w:type="dxa"/>
            <w:shd w:val="clear" w:color="auto" w:fill="auto"/>
          </w:tcPr>
          <w:p w14:paraId="64F54010" w14:textId="77777777" w:rsidR="00384A74" w:rsidRDefault="00384A74" w:rsidP="00384A74">
            <w:pPr>
              <w:pStyle w:val="DPSEntryIndents"/>
              <w:numPr>
                <w:ilvl w:val="0"/>
                <w:numId w:val="0"/>
              </w:numPr>
            </w:pPr>
          </w:p>
        </w:tc>
      </w:tr>
      <w:tr w:rsidR="00384A74" w14:paraId="29F448E3" w14:textId="77777777" w:rsidTr="00384A74">
        <w:trPr>
          <w:trHeight w:hRule="exact" w:val="312"/>
        </w:trPr>
        <w:tc>
          <w:tcPr>
            <w:tcW w:w="2126" w:type="dxa"/>
            <w:shd w:val="clear" w:color="auto" w:fill="auto"/>
          </w:tcPr>
          <w:p w14:paraId="49B06621" w14:textId="42B6A384" w:rsidR="00384A74" w:rsidRDefault="00384A74" w:rsidP="00384A74">
            <w:pPr>
              <w:pStyle w:val="DPSEntryIndents"/>
              <w:numPr>
                <w:ilvl w:val="0"/>
                <w:numId w:val="0"/>
              </w:numPr>
              <w:spacing w:before="0"/>
            </w:pPr>
            <w:r>
              <w:t>Elizabeth Kikkert</w:t>
            </w:r>
          </w:p>
        </w:tc>
        <w:tc>
          <w:tcPr>
            <w:tcW w:w="2043" w:type="dxa"/>
            <w:shd w:val="clear" w:color="auto" w:fill="auto"/>
          </w:tcPr>
          <w:p w14:paraId="0F4AE811" w14:textId="77777777" w:rsidR="00384A74" w:rsidRDefault="00384A74" w:rsidP="00384A74">
            <w:pPr>
              <w:pStyle w:val="DPSEntryIndents"/>
              <w:numPr>
                <w:ilvl w:val="0"/>
                <w:numId w:val="0"/>
              </w:numPr>
            </w:pPr>
          </w:p>
        </w:tc>
        <w:tc>
          <w:tcPr>
            <w:tcW w:w="242" w:type="dxa"/>
            <w:shd w:val="clear" w:color="auto" w:fill="auto"/>
          </w:tcPr>
          <w:p w14:paraId="47B5931E" w14:textId="77777777" w:rsidR="00384A74" w:rsidRDefault="00384A74" w:rsidP="00384A74">
            <w:pPr>
              <w:pStyle w:val="DPSEntryIndents"/>
              <w:numPr>
                <w:ilvl w:val="0"/>
                <w:numId w:val="0"/>
              </w:numPr>
            </w:pPr>
          </w:p>
        </w:tc>
        <w:tc>
          <w:tcPr>
            <w:tcW w:w="2041" w:type="dxa"/>
            <w:shd w:val="clear" w:color="auto" w:fill="auto"/>
          </w:tcPr>
          <w:p w14:paraId="1BD9AF8E" w14:textId="57FBD1BE" w:rsidR="00384A74" w:rsidRDefault="00384A74" w:rsidP="00384A74">
            <w:pPr>
              <w:pStyle w:val="DPSEntryIndents"/>
              <w:numPr>
                <w:ilvl w:val="0"/>
                <w:numId w:val="0"/>
              </w:numPr>
              <w:spacing w:before="0"/>
            </w:pPr>
            <w:r>
              <w:t>Michael Pettersson</w:t>
            </w:r>
          </w:p>
        </w:tc>
        <w:tc>
          <w:tcPr>
            <w:tcW w:w="2337" w:type="dxa"/>
            <w:shd w:val="clear" w:color="auto" w:fill="auto"/>
          </w:tcPr>
          <w:p w14:paraId="0930A345" w14:textId="77777777" w:rsidR="00384A74" w:rsidRDefault="00384A74" w:rsidP="00384A74">
            <w:pPr>
              <w:pStyle w:val="DPSEntryIndents"/>
              <w:numPr>
                <w:ilvl w:val="0"/>
                <w:numId w:val="0"/>
              </w:numPr>
            </w:pPr>
          </w:p>
        </w:tc>
      </w:tr>
    </w:tbl>
    <w:p w14:paraId="2EC36BE0" w14:textId="77777777" w:rsidR="00384A74" w:rsidRDefault="00384A74" w:rsidP="00384A74">
      <w:pPr>
        <w:pStyle w:val="DPSEntryIndents"/>
        <w:numPr>
          <w:ilvl w:val="0"/>
          <w:numId w:val="0"/>
        </w:numPr>
        <w:ind w:left="709"/>
      </w:pPr>
      <w:r>
        <w:t>And so it was resolved in the affirmative.</w:t>
      </w:r>
    </w:p>
    <w:p w14:paraId="61C9FDF1" w14:textId="77777777" w:rsidR="008267A1" w:rsidRDefault="00026751" w:rsidP="00026751">
      <w:pPr>
        <w:spacing w:before="120"/>
        <w:ind w:left="720"/>
        <w:rPr>
          <w:rFonts w:ascii="Calibri" w:hAnsi="Calibri"/>
          <w:color w:val="000000"/>
          <w:lang w:val="en-AU"/>
        </w:rPr>
      </w:pPr>
      <w:bookmarkStart w:id="2" w:name="_Hlk176275864"/>
      <w:r w:rsidRPr="00026751">
        <w:rPr>
          <w:rFonts w:ascii="Calibri" w:hAnsi="Calibri"/>
          <w:color w:val="000000"/>
          <w:lang w:val="en-AU"/>
        </w:rPr>
        <w:t>Question—</w:t>
      </w:r>
      <w:r w:rsidR="008267A1">
        <w:rPr>
          <w:rFonts w:ascii="Calibri" w:hAnsi="Calibri"/>
          <w:color w:val="000000"/>
          <w:lang w:val="en-AU"/>
        </w:rPr>
        <w:t>That the motion, as amended, viz:</w:t>
      </w:r>
    </w:p>
    <w:p w14:paraId="6C4BFE59" w14:textId="55AA19F1" w:rsidR="008267A1" w:rsidRDefault="00091C7D" w:rsidP="00026751">
      <w:pPr>
        <w:spacing w:before="120"/>
        <w:ind w:left="720"/>
        <w:rPr>
          <w:rFonts w:ascii="Calibri" w:hAnsi="Calibri"/>
          <w:color w:val="000000"/>
          <w:lang w:val="en-AU"/>
        </w:rPr>
      </w:pPr>
      <w:r>
        <w:rPr>
          <w:rFonts w:ascii="Calibri" w:hAnsi="Calibri"/>
          <w:color w:val="000000"/>
          <w:lang w:val="en-AU"/>
        </w:rPr>
        <w:t>“</w:t>
      </w:r>
      <w:r w:rsidR="00303360">
        <w:rPr>
          <w:rFonts w:ascii="Calibri" w:hAnsi="Calibri"/>
          <w:color w:val="000000"/>
          <w:lang w:val="en-AU"/>
        </w:rPr>
        <w:t>That this Assembly:</w:t>
      </w:r>
    </w:p>
    <w:p w14:paraId="71AA794F" w14:textId="77777777" w:rsidR="00303360" w:rsidRPr="00D97477" w:rsidRDefault="00303360" w:rsidP="00303360">
      <w:pPr>
        <w:pStyle w:val="DPSEntryIndents"/>
        <w:numPr>
          <w:ilvl w:val="0"/>
          <w:numId w:val="25"/>
        </w:numPr>
        <w:spacing w:before="80"/>
        <w:rPr>
          <w:lang w:eastAsia="en-US"/>
        </w:rPr>
      </w:pPr>
      <w:r w:rsidRPr="00D97477">
        <w:rPr>
          <w:lang w:eastAsia="en-US"/>
        </w:rPr>
        <w:t>notes:</w:t>
      </w:r>
    </w:p>
    <w:p w14:paraId="33FCC2C3" w14:textId="77777777" w:rsidR="00303360" w:rsidRPr="00D97477" w:rsidRDefault="00303360" w:rsidP="00303360">
      <w:pPr>
        <w:tabs>
          <w:tab w:val="left" w:pos="567"/>
        </w:tabs>
        <w:spacing w:before="80"/>
        <w:ind w:left="1910" w:hanging="544"/>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r>
      <w:r w:rsidRPr="00062C28">
        <w:rPr>
          <w:rFonts w:ascii="Calibri" w:hAnsi="Calibri"/>
          <w:spacing w:val="-2"/>
          <w:lang w:val="en-AU" w:eastAsia="en-US"/>
        </w:rPr>
        <w:t>the severe and debilitating effect that gambling has on the lives of its victims,</w:t>
      </w:r>
      <w:r w:rsidRPr="00062C28">
        <w:rPr>
          <w:rFonts w:ascii="Calibri" w:hAnsi="Calibri"/>
          <w:spacing w:val="-4"/>
          <w:lang w:val="en-AU" w:eastAsia="en-US"/>
        </w:rPr>
        <w:t xml:space="preserve"> particularly where derived from electronic gaming machines (poker machines);</w:t>
      </w:r>
    </w:p>
    <w:p w14:paraId="02C87E72" w14:textId="77777777" w:rsidR="00303360" w:rsidRPr="00D97477" w:rsidRDefault="00303360" w:rsidP="00303360">
      <w:pPr>
        <w:tabs>
          <w:tab w:val="left" w:pos="567"/>
        </w:tabs>
        <w:spacing w:before="80"/>
        <w:ind w:left="1910" w:hanging="544"/>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that gambling reform is a wicked problem and a divisive issue for ACT politics, over which a significant amount of lobbying occurs;</w:t>
      </w:r>
    </w:p>
    <w:p w14:paraId="60A79974" w14:textId="77777777" w:rsidR="00303360" w:rsidRPr="00D97477" w:rsidRDefault="00303360" w:rsidP="00303360">
      <w:pPr>
        <w:tabs>
          <w:tab w:val="left" w:pos="567"/>
        </w:tabs>
        <w:spacing w:before="80"/>
        <w:ind w:left="1910" w:hanging="544"/>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the risks of new technologies involving big data and behavioural analytics, powered by artificial intelligence, which stand to exacerbate harm if left unregulated by the Government;</w:t>
      </w:r>
    </w:p>
    <w:p w14:paraId="18B6E045" w14:textId="0CF99DF2" w:rsidR="00303360" w:rsidRPr="00D97477" w:rsidRDefault="00303360" w:rsidP="00303360">
      <w:pPr>
        <w:tabs>
          <w:tab w:val="left" w:pos="567"/>
        </w:tabs>
        <w:spacing w:before="80"/>
        <w:ind w:left="1910" w:hanging="544"/>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 xml:space="preserve">the ACT Minister for Gaming recently said that </w:t>
      </w:r>
      <w:r w:rsidR="00091C7D">
        <w:rPr>
          <w:rFonts w:ascii="Calibri" w:hAnsi="Calibri"/>
          <w:lang w:val="en-AU" w:eastAsia="en-US"/>
        </w:rPr>
        <w:t>“</w:t>
      </w:r>
      <w:r w:rsidRPr="00D97477">
        <w:rPr>
          <w:rFonts w:ascii="Calibri" w:hAnsi="Calibri"/>
          <w:lang w:val="en-AU" w:eastAsia="en-US"/>
        </w:rPr>
        <w:t>the ACT Labor Party has avoided, delayed, and ultimately rejected the best-practice [pokies harm reduction] reforms</w:t>
      </w:r>
      <w:r w:rsidR="00091C7D">
        <w:rPr>
          <w:rFonts w:ascii="Calibri" w:hAnsi="Calibri"/>
          <w:lang w:val="en-AU" w:eastAsia="en-US"/>
        </w:rPr>
        <w:t>”</w:t>
      </w:r>
      <w:r w:rsidRPr="00D97477">
        <w:rPr>
          <w:rFonts w:ascii="Calibri" w:hAnsi="Calibri"/>
          <w:lang w:val="en-AU" w:eastAsia="en-US"/>
        </w:rPr>
        <w:t xml:space="preserve"> that were presented to it in Government;</w:t>
      </w:r>
    </w:p>
    <w:p w14:paraId="3AC67B7A" w14:textId="77777777" w:rsidR="00303360" w:rsidRPr="00D97477" w:rsidRDefault="00303360" w:rsidP="00303360">
      <w:pPr>
        <w:keepNext/>
        <w:tabs>
          <w:tab w:val="left" w:pos="567"/>
        </w:tabs>
        <w:spacing w:before="80"/>
        <w:ind w:left="1910" w:hanging="544"/>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that the ACT Labor Party has a conflict of interest on gambling policy that is derived from its:</w:t>
      </w:r>
    </w:p>
    <w:p w14:paraId="6B7BCAF0" w14:textId="77777777" w:rsidR="00303360" w:rsidRPr="00D97477" w:rsidRDefault="00303360" w:rsidP="00303360">
      <w:pPr>
        <w:spacing w:before="80"/>
        <w:ind w:left="2477" w:hanging="544"/>
        <w:rPr>
          <w:rFonts w:ascii="Calibri" w:hAnsi="Calibri"/>
          <w:lang w:val="en-AU" w:eastAsia="en-US"/>
        </w:rPr>
      </w:pPr>
      <w:r w:rsidRPr="00D97477">
        <w:rPr>
          <w:rFonts w:ascii="Calibri" w:hAnsi="Calibri"/>
          <w:lang w:val="en-AU" w:eastAsia="en-US"/>
        </w:rPr>
        <w:t>(i)</w:t>
      </w:r>
      <w:r w:rsidRPr="00D97477">
        <w:rPr>
          <w:rFonts w:ascii="Calibri" w:hAnsi="Calibri"/>
          <w:lang w:val="en-AU" w:eastAsia="en-US"/>
        </w:rPr>
        <w:tab/>
        <w:t>associations with the Canberra Labor Club group, which operates for the express purpose of promoting the Australian Labor Party, and which operates 436 poker machines across four venues, representing 12 percent of all machines in the ACT;</w:t>
      </w:r>
    </w:p>
    <w:p w14:paraId="07254E4E" w14:textId="77777777" w:rsidR="00303360" w:rsidRPr="00D97477" w:rsidRDefault="00303360" w:rsidP="00303360">
      <w:pPr>
        <w:spacing w:before="120"/>
        <w:ind w:left="2477" w:hanging="544"/>
        <w:rPr>
          <w:rFonts w:ascii="Calibri" w:hAnsi="Calibri"/>
          <w:lang w:val="en-AU" w:eastAsia="en-US"/>
        </w:rPr>
      </w:pPr>
      <w:r w:rsidRPr="00D97477">
        <w:rPr>
          <w:rFonts w:ascii="Calibri" w:hAnsi="Calibri"/>
          <w:lang w:val="en-AU" w:eastAsia="en-US"/>
        </w:rPr>
        <w:t>(ii)</w:t>
      </w:r>
      <w:r w:rsidRPr="00D97477">
        <w:rPr>
          <w:rFonts w:ascii="Calibri" w:hAnsi="Calibri"/>
          <w:lang w:val="en-AU" w:eastAsia="en-US"/>
        </w:rPr>
        <w:tab/>
        <w:t>historic financial arrangements whereby the profits from poker machine operations at the Canberra Labor Club were used to fund the operations of the ACT Labor Party;</w:t>
      </w:r>
    </w:p>
    <w:p w14:paraId="3D39B637" w14:textId="4091074E" w:rsidR="00303360" w:rsidRPr="00D97477" w:rsidRDefault="00303360" w:rsidP="00303360">
      <w:pPr>
        <w:spacing w:before="120"/>
        <w:ind w:left="2477" w:hanging="544"/>
        <w:rPr>
          <w:rFonts w:ascii="Calibri" w:hAnsi="Calibri"/>
          <w:lang w:val="en-AU" w:eastAsia="en-US"/>
        </w:rPr>
      </w:pPr>
      <w:r w:rsidRPr="00D97477">
        <w:rPr>
          <w:rFonts w:ascii="Calibri" w:hAnsi="Calibri"/>
          <w:lang w:val="en-AU" w:eastAsia="en-US"/>
        </w:rPr>
        <w:t>(iii)</w:t>
      </w:r>
      <w:r w:rsidRPr="00D97477">
        <w:rPr>
          <w:rFonts w:ascii="Calibri" w:hAnsi="Calibri"/>
          <w:lang w:val="en-AU" w:eastAsia="en-US"/>
        </w:rPr>
        <w:tab/>
      </w:r>
      <w:r w:rsidRPr="008D3158">
        <w:rPr>
          <w:rFonts w:ascii="Calibri" w:hAnsi="Calibri"/>
          <w:spacing w:val="-2"/>
          <w:lang w:val="en-AU" w:eastAsia="en-US"/>
        </w:rPr>
        <w:t>current financial arrangements whereby the operations of the ACT Labor Party are funded from the investment returns of the 1973 Foundation, which according to disclosures to Elections ACT, was established using capital transfers from the Canberra Labor Club amounting to $3,600,000 in 2011-</w:t>
      </w:r>
      <w:r w:rsidR="003F41B5">
        <w:rPr>
          <w:rFonts w:ascii="Calibri" w:hAnsi="Calibri"/>
          <w:spacing w:val="-2"/>
          <w:lang w:val="en-AU" w:eastAsia="en-US"/>
        </w:rPr>
        <w:t>20</w:t>
      </w:r>
      <w:r w:rsidRPr="008D3158">
        <w:rPr>
          <w:rFonts w:ascii="Calibri" w:hAnsi="Calibri"/>
          <w:spacing w:val="-2"/>
          <w:lang w:val="en-AU" w:eastAsia="en-US"/>
        </w:rPr>
        <w:t>12 and $2,500,000 in 2013-</w:t>
      </w:r>
      <w:r w:rsidR="003F41B5">
        <w:rPr>
          <w:rFonts w:ascii="Calibri" w:hAnsi="Calibri"/>
          <w:spacing w:val="-2"/>
          <w:lang w:val="en-AU" w:eastAsia="en-US"/>
        </w:rPr>
        <w:t>20</w:t>
      </w:r>
      <w:r w:rsidRPr="008D3158">
        <w:rPr>
          <w:rFonts w:ascii="Calibri" w:hAnsi="Calibri"/>
          <w:spacing w:val="-2"/>
          <w:lang w:val="en-AU" w:eastAsia="en-US"/>
        </w:rPr>
        <w:t>14, totalling at least $6,100,000.</w:t>
      </w:r>
      <w:r w:rsidRPr="008D3158" w:rsidDel="00CE394B">
        <w:rPr>
          <w:rFonts w:ascii="Calibri" w:hAnsi="Calibri"/>
          <w:spacing w:val="-2"/>
          <w:lang w:val="en-AU" w:eastAsia="en-US"/>
        </w:rPr>
        <w:t xml:space="preserve"> </w:t>
      </w:r>
      <w:r w:rsidRPr="008D3158">
        <w:rPr>
          <w:rFonts w:ascii="Calibri" w:hAnsi="Calibri"/>
          <w:spacing w:val="-2"/>
          <w:lang w:val="en-AU" w:eastAsia="en-US"/>
        </w:rPr>
        <w:t>The ACT Labor Party have received over $4,400,000 in funding from this investment vehicle since 2011-</w:t>
      </w:r>
      <w:r w:rsidR="003F41B5">
        <w:rPr>
          <w:rFonts w:ascii="Calibri" w:hAnsi="Calibri"/>
          <w:spacing w:val="-2"/>
          <w:lang w:val="en-AU" w:eastAsia="en-US"/>
        </w:rPr>
        <w:t>20</w:t>
      </w:r>
      <w:r w:rsidRPr="008D3158">
        <w:rPr>
          <w:rFonts w:ascii="Calibri" w:hAnsi="Calibri"/>
          <w:spacing w:val="-2"/>
          <w:lang w:val="en-AU" w:eastAsia="en-US"/>
        </w:rPr>
        <w:t>12; and</w:t>
      </w:r>
    </w:p>
    <w:p w14:paraId="6A103871" w14:textId="44A0A278" w:rsidR="00303360" w:rsidRPr="00D97477" w:rsidRDefault="00303360" w:rsidP="00303360">
      <w:pPr>
        <w:spacing w:before="120"/>
        <w:ind w:left="2477" w:hanging="544"/>
        <w:rPr>
          <w:rFonts w:ascii="Calibri" w:hAnsi="Calibri"/>
          <w:lang w:val="en-AU" w:eastAsia="en-US"/>
        </w:rPr>
      </w:pPr>
      <w:r w:rsidRPr="00D97477">
        <w:rPr>
          <w:rFonts w:ascii="Calibri" w:hAnsi="Calibri"/>
          <w:lang w:val="en-AU" w:eastAsia="en-US"/>
        </w:rPr>
        <w:lastRenderedPageBreak/>
        <w:t>(iv)</w:t>
      </w:r>
      <w:r w:rsidRPr="00D97477">
        <w:rPr>
          <w:rFonts w:ascii="Calibri" w:hAnsi="Calibri"/>
          <w:lang w:val="en-AU" w:eastAsia="en-US"/>
        </w:rPr>
        <w:tab/>
        <w:t>governance arrangements over the Canberra Labor Club which see it nominate a majority of the Club</w:t>
      </w:r>
      <w:r w:rsidR="00091C7D">
        <w:rPr>
          <w:rFonts w:ascii="Calibri" w:hAnsi="Calibri"/>
          <w:lang w:val="en-AU" w:eastAsia="en-US"/>
        </w:rPr>
        <w:t>’</w:t>
      </w:r>
      <w:r w:rsidRPr="00D97477">
        <w:rPr>
          <w:rFonts w:ascii="Calibri" w:hAnsi="Calibri"/>
          <w:lang w:val="en-AU" w:eastAsia="en-US"/>
        </w:rPr>
        <w:t>s board of directors;</w:t>
      </w:r>
    </w:p>
    <w:p w14:paraId="0B522670" w14:textId="77777777" w:rsidR="00303360" w:rsidRPr="00D97477" w:rsidRDefault="00303360" w:rsidP="00303360">
      <w:pPr>
        <w:tabs>
          <w:tab w:val="left" w:pos="567"/>
        </w:tabs>
        <w:spacing w:before="100"/>
        <w:ind w:left="1910" w:hanging="544"/>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that this conflict of interest results in the ACT Labor Party being impossibly compromised on gambling policy; and</w:t>
      </w:r>
    </w:p>
    <w:p w14:paraId="699952ED" w14:textId="77777777" w:rsidR="00303360" w:rsidRPr="00D97477" w:rsidRDefault="00303360" w:rsidP="00303360">
      <w:pPr>
        <w:tabs>
          <w:tab w:val="left" w:pos="567"/>
        </w:tabs>
        <w:spacing w:before="100"/>
        <w:ind w:left="1910" w:hanging="544"/>
        <w:rPr>
          <w:rFonts w:ascii="Calibri" w:hAnsi="Calibri"/>
          <w:lang w:val="en-AU" w:eastAsia="en-US"/>
        </w:rPr>
      </w:pPr>
      <w:r w:rsidRPr="00D97477">
        <w:rPr>
          <w:rFonts w:ascii="Calibri" w:hAnsi="Calibri"/>
          <w:lang w:val="en-AU" w:eastAsia="en-US"/>
        </w:rPr>
        <w:t>(g)</w:t>
      </w:r>
      <w:r w:rsidRPr="00D97477">
        <w:rPr>
          <w:rFonts w:ascii="Calibri" w:hAnsi="Calibri"/>
          <w:lang w:val="en-AU" w:eastAsia="en-US"/>
        </w:rPr>
        <w:tab/>
        <w:t>that the Canberra Labor Club, despite being the beneficiary of ACT Government revenue diversification grants, has become a property developer that has built a block of apartments in Braddon and a hotel at its Belconnen site, but still operates the same number of poker machines as in 2019; and</w:t>
      </w:r>
    </w:p>
    <w:p w14:paraId="6E958F32" w14:textId="6B1C21B6" w:rsidR="00303360" w:rsidRPr="0063650E" w:rsidRDefault="00303360" w:rsidP="00823FD1">
      <w:pPr>
        <w:spacing w:before="100"/>
        <w:ind w:left="1910" w:hanging="544"/>
        <w:rPr>
          <w:rFonts w:ascii="Calibri" w:hAnsi="Calibri"/>
          <w:color w:val="000000"/>
          <w:lang w:val="en-AU"/>
        </w:rPr>
      </w:pPr>
      <w:r w:rsidRPr="0063650E">
        <w:rPr>
          <w:rFonts w:ascii="Calibri" w:hAnsi="Calibri"/>
          <w:color w:val="000000"/>
          <w:lang w:val="en-AU"/>
        </w:rPr>
        <w:t>(h)</w:t>
      </w:r>
      <w:r>
        <w:rPr>
          <w:rFonts w:ascii="Calibri" w:hAnsi="Calibri"/>
          <w:color w:val="000000"/>
          <w:lang w:val="en-AU"/>
        </w:rPr>
        <w:tab/>
      </w:r>
      <w:r w:rsidRPr="00141A2C">
        <w:rPr>
          <w:rFonts w:ascii="Calibri" w:hAnsi="Calibri"/>
          <w:color w:val="000000"/>
          <w:spacing w:val="-2"/>
          <w:lang w:val="en-AU"/>
        </w:rPr>
        <w:t xml:space="preserve">the Greens want to implement a Central Monitoring System funded by </w:t>
      </w:r>
      <w:r>
        <w:rPr>
          <w:rFonts w:ascii="Calibri" w:hAnsi="Calibri"/>
          <w:color w:val="000000"/>
          <w:spacing w:val="-2"/>
          <w:lang w:val="en-AU"/>
        </w:rPr>
        <w:t xml:space="preserve">the </w:t>
      </w:r>
      <w:r w:rsidRPr="00141A2C">
        <w:rPr>
          <w:rFonts w:ascii="Calibri" w:hAnsi="Calibri"/>
          <w:color w:val="000000"/>
          <w:spacing w:val="-2"/>
          <w:lang w:val="en-AU"/>
        </w:rPr>
        <w:t>clubs</w:t>
      </w:r>
      <w:r>
        <w:rPr>
          <w:rFonts w:ascii="Calibri" w:hAnsi="Calibri"/>
          <w:color w:val="000000"/>
          <w:spacing w:val="-2"/>
          <w:lang w:val="en-AU"/>
        </w:rPr>
        <w:t xml:space="preserve"> in possible conjunction with the ACT Government</w:t>
      </w:r>
      <w:r w:rsidRPr="00141A2C">
        <w:rPr>
          <w:rFonts w:ascii="Calibri" w:hAnsi="Calibri"/>
          <w:color w:val="000000"/>
          <w:spacing w:val="-2"/>
          <w:lang w:val="en-AU"/>
        </w:rPr>
        <w:t>;</w:t>
      </w:r>
    </w:p>
    <w:p w14:paraId="7AA3587D" w14:textId="63542837" w:rsidR="00303360" w:rsidRPr="0063650E" w:rsidRDefault="00303360" w:rsidP="00303360">
      <w:pPr>
        <w:spacing w:before="100"/>
        <w:ind w:left="1910" w:hanging="544"/>
        <w:rPr>
          <w:rFonts w:ascii="Calibri" w:hAnsi="Calibri"/>
          <w:color w:val="000000"/>
          <w:lang w:val="en-AU"/>
        </w:rPr>
      </w:pPr>
      <w:r w:rsidRPr="0063650E">
        <w:rPr>
          <w:rFonts w:ascii="Calibri" w:hAnsi="Calibri"/>
          <w:color w:val="000000"/>
          <w:lang w:val="en-AU"/>
        </w:rPr>
        <w:t>(i)</w:t>
      </w:r>
      <w:r w:rsidRPr="0063650E">
        <w:rPr>
          <w:rFonts w:ascii="Calibri" w:hAnsi="Calibri"/>
          <w:color w:val="000000"/>
          <w:lang w:val="en-AU"/>
        </w:rPr>
        <w:tab/>
      </w:r>
      <w:r w:rsidRPr="00D17ACF">
        <w:rPr>
          <w:rFonts w:ascii="Calibri" w:hAnsi="Calibri"/>
          <w:color w:val="000000"/>
          <w:spacing w:val="-4"/>
          <w:lang w:val="en-AU"/>
        </w:rPr>
        <w:t>Labor</w:t>
      </w:r>
      <w:r w:rsidR="00091C7D">
        <w:rPr>
          <w:rFonts w:ascii="Calibri" w:hAnsi="Calibri"/>
          <w:color w:val="000000"/>
          <w:spacing w:val="-4"/>
          <w:lang w:val="en-AU"/>
        </w:rPr>
        <w:t>’</w:t>
      </w:r>
      <w:r w:rsidRPr="00D17ACF">
        <w:rPr>
          <w:rFonts w:ascii="Calibri" w:hAnsi="Calibri"/>
          <w:color w:val="000000"/>
          <w:spacing w:val="-4"/>
          <w:lang w:val="en-AU"/>
        </w:rPr>
        <w:t>s machine reduction amendments would severely impact the sector; and</w:t>
      </w:r>
    </w:p>
    <w:p w14:paraId="67869FD4" w14:textId="66984136" w:rsidR="00303360" w:rsidRPr="0063650E" w:rsidRDefault="00303360" w:rsidP="00303360">
      <w:pPr>
        <w:spacing w:before="100"/>
        <w:ind w:left="1910" w:hanging="544"/>
        <w:rPr>
          <w:rFonts w:ascii="Calibri" w:hAnsi="Calibri"/>
          <w:color w:val="000000"/>
          <w:lang w:val="en-AU"/>
        </w:rPr>
      </w:pPr>
      <w:r w:rsidRPr="0063650E">
        <w:rPr>
          <w:rFonts w:ascii="Calibri" w:hAnsi="Calibri"/>
          <w:color w:val="000000"/>
          <w:lang w:val="en-AU"/>
        </w:rPr>
        <w:t>(j)</w:t>
      </w:r>
      <w:r w:rsidRPr="0063650E">
        <w:rPr>
          <w:rFonts w:ascii="Calibri" w:hAnsi="Calibri"/>
          <w:color w:val="000000"/>
          <w:lang w:val="en-AU"/>
        </w:rPr>
        <w:tab/>
        <w:t xml:space="preserve">the reaction from </w:t>
      </w:r>
      <w:r>
        <w:rPr>
          <w:rFonts w:ascii="Calibri" w:hAnsi="Calibri"/>
          <w:color w:val="000000"/>
          <w:lang w:val="en-AU"/>
        </w:rPr>
        <w:t>C</w:t>
      </w:r>
      <w:r w:rsidRPr="0063650E">
        <w:rPr>
          <w:rFonts w:ascii="Calibri" w:hAnsi="Calibri"/>
          <w:color w:val="000000"/>
          <w:lang w:val="en-AU"/>
        </w:rPr>
        <w:t>lubs</w:t>
      </w:r>
      <w:r>
        <w:rPr>
          <w:rFonts w:ascii="Calibri" w:hAnsi="Calibri"/>
          <w:color w:val="000000"/>
          <w:lang w:val="en-AU"/>
        </w:rPr>
        <w:t>ACT</w:t>
      </w:r>
      <w:r w:rsidRPr="0063650E">
        <w:rPr>
          <w:rFonts w:ascii="Calibri" w:hAnsi="Calibri"/>
          <w:color w:val="000000"/>
          <w:lang w:val="en-AU"/>
        </w:rPr>
        <w:t xml:space="preserve"> is that either one of these policy proposals will lead to the entire collapse of the sector;</w:t>
      </w:r>
    </w:p>
    <w:p w14:paraId="32AE81ED" w14:textId="77777777" w:rsidR="00303360" w:rsidRPr="0063650E" w:rsidRDefault="00303360" w:rsidP="00303360">
      <w:pPr>
        <w:spacing w:before="100"/>
        <w:ind w:left="1366" w:hanging="646"/>
        <w:rPr>
          <w:rFonts w:ascii="Calibri" w:hAnsi="Calibri"/>
          <w:color w:val="000000"/>
          <w:lang w:val="en-AU"/>
        </w:rPr>
      </w:pPr>
      <w:r w:rsidRPr="0063650E">
        <w:rPr>
          <w:rFonts w:ascii="Calibri" w:hAnsi="Calibri"/>
          <w:color w:val="000000"/>
          <w:lang w:val="en-AU"/>
        </w:rPr>
        <w:t>(</w:t>
      </w:r>
      <w:r>
        <w:rPr>
          <w:rFonts w:ascii="Calibri" w:hAnsi="Calibri"/>
          <w:color w:val="000000"/>
          <w:lang w:val="en-AU"/>
        </w:rPr>
        <w:t>2</w:t>
      </w:r>
      <w:r w:rsidRPr="0063650E">
        <w:rPr>
          <w:rFonts w:ascii="Calibri" w:hAnsi="Calibri"/>
          <w:color w:val="000000"/>
          <w:lang w:val="en-AU"/>
        </w:rPr>
        <w:t>)</w:t>
      </w:r>
      <w:r w:rsidRPr="0063650E">
        <w:rPr>
          <w:rFonts w:ascii="Calibri" w:hAnsi="Calibri"/>
          <w:color w:val="000000"/>
          <w:lang w:val="en-AU"/>
        </w:rPr>
        <w:tab/>
        <w:t>further notes:</w:t>
      </w:r>
    </w:p>
    <w:p w14:paraId="6BBB28E0" w14:textId="54356EE4" w:rsidR="00303360" w:rsidRPr="0063650E" w:rsidRDefault="00303360" w:rsidP="00303360">
      <w:pPr>
        <w:spacing w:before="100"/>
        <w:ind w:left="1910" w:hanging="544"/>
        <w:rPr>
          <w:rFonts w:ascii="Calibri" w:hAnsi="Calibri"/>
          <w:color w:val="000000"/>
          <w:lang w:val="en-AU"/>
        </w:rPr>
      </w:pPr>
      <w:r>
        <w:rPr>
          <w:rFonts w:ascii="Calibri" w:hAnsi="Calibri"/>
          <w:color w:val="000000"/>
          <w:lang w:val="en-AU"/>
        </w:rPr>
        <w:t>(a)</w:t>
      </w:r>
      <w:r w:rsidRPr="0063650E">
        <w:rPr>
          <w:rFonts w:ascii="Calibri" w:hAnsi="Calibri"/>
          <w:color w:val="000000"/>
          <w:lang w:val="en-AU"/>
        </w:rPr>
        <w:tab/>
        <w:t xml:space="preserve">the Government has made many commitments regarding club diversification yet failed to achieve </w:t>
      </w:r>
      <w:r>
        <w:rPr>
          <w:rFonts w:ascii="Calibri" w:hAnsi="Calibri"/>
          <w:color w:val="000000"/>
          <w:lang w:val="en-AU"/>
        </w:rPr>
        <w:t>m</w:t>
      </w:r>
      <w:r w:rsidRPr="0063650E">
        <w:rPr>
          <w:rFonts w:ascii="Calibri" w:hAnsi="Calibri"/>
          <w:color w:val="000000"/>
          <w:lang w:val="en-AU"/>
        </w:rPr>
        <w:t>any of them;</w:t>
      </w:r>
    </w:p>
    <w:p w14:paraId="061C1A08" w14:textId="77777777" w:rsidR="00303360" w:rsidRPr="0063650E" w:rsidRDefault="00303360" w:rsidP="00303360">
      <w:pPr>
        <w:spacing w:before="100"/>
        <w:ind w:left="1910" w:hanging="544"/>
        <w:rPr>
          <w:rFonts w:ascii="Calibri" w:hAnsi="Calibri"/>
          <w:color w:val="000000"/>
          <w:lang w:val="en-AU"/>
        </w:rPr>
      </w:pPr>
      <w:r>
        <w:rPr>
          <w:rFonts w:ascii="Calibri" w:hAnsi="Calibri"/>
          <w:color w:val="000000"/>
          <w:lang w:val="en-AU"/>
        </w:rPr>
        <w:t>(b)</w:t>
      </w:r>
      <w:r w:rsidRPr="0063650E">
        <w:rPr>
          <w:rFonts w:ascii="Calibri" w:hAnsi="Calibri"/>
          <w:color w:val="000000"/>
          <w:lang w:val="en-AU"/>
        </w:rPr>
        <w:tab/>
        <w:t>the community clubs sector in the ACT supports hundreds of community organisations</w:t>
      </w:r>
      <w:r>
        <w:rPr>
          <w:rFonts w:ascii="Calibri" w:hAnsi="Calibri"/>
          <w:color w:val="000000"/>
          <w:lang w:val="en-AU"/>
        </w:rPr>
        <w:t>;</w:t>
      </w:r>
    </w:p>
    <w:p w14:paraId="7F1F53BC" w14:textId="16D223CA" w:rsidR="00303360" w:rsidRPr="0063650E" w:rsidRDefault="00303360" w:rsidP="00303360">
      <w:pPr>
        <w:spacing w:before="100"/>
        <w:ind w:left="1910" w:hanging="544"/>
        <w:rPr>
          <w:rFonts w:ascii="Calibri" w:hAnsi="Calibri"/>
          <w:color w:val="000000"/>
          <w:lang w:val="en-AU"/>
        </w:rPr>
      </w:pPr>
      <w:r>
        <w:rPr>
          <w:rFonts w:ascii="Calibri" w:hAnsi="Calibri"/>
          <w:color w:val="000000"/>
          <w:lang w:val="en-AU"/>
        </w:rPr>
        <w:t>(c)</w:t>
      </w:r>
      <w:r w:rsidRPr="0063650E">
        <w:rPr>
          <w:rFonts w:ascii="Calibri" w:hAnsi="Calibri"/>
          <w:color w:val="000000"/>
          <w:lang w:val="en-AU"/>
        </w:rPr>
        <w:tab/>
        <w:t>there are 43 licensed clubs in the ACT employing over 1</w:t>
      </w:r>
      <w:r w:rsidR="003F41B5">
        <w:rPr>
          <w:rFonts w:ascii="Calibri" w:hAnsi="Calibri"/>
          <w:color w:val="000000"/>
          <w:lang w:val="en-AU"/>
        </w:rPr>
        <w:t>,</w:t>
      </w:r>
      <w:r w:rsidRPr="0063650E">
        <w:rPr>
          <w:rFonts w:ascii="Calibri" w:hAnsi="Calibri"/>
          <w:color w:val="000000"/>
          <w:lang w:val="en-AU"/>
        </w:rPr>
        <w:t>700 staff and supporting huge local supply chains in food and beverage</w:t>
      </w:r>
      <w:r>
        <w:rPr>
          <w:rFonts w:ascii="Calibri" w:hAnsi="Calibri"/>
          <w:color w:val="000000"/>
          <w:lang w:val="en-AU"/>
        </w:rPr>
        <w:t>;</w:t>
      </w:r>
    </w:p>
    <w:p w14:paraId="6FDC414A" w14:textId="77777777" w:rsidR="00303360" w:rsidRPr="0063650E" w:rsidRDefault="00303360" w:rsidP="00303360">
      <w:pPr>
        <w:spacing w:before="100"/>
        <w:ind w:left="1910" w:hanging="544"/>
        <w:rPr>
          <w:rFonts w:ascii="Calibri" w:hAnsi="Calibri"/>
          <w:color w:val="000000"/>
          <w:lang w:val="en-AU"/>
        </w:rPr>
      </w:pPr>
      <w:r>
        <w:rPr>
          <w:rFonts w:ascii="Calibri" w:hAnsi="Calibri"/>
          <w:color w:val="000000"/>
          <w:lang w:val="en-AU"/>
        </w:rPr>
        <w:t>(d)</w:t>
      </w:r>
      <w:r w:rsidRPr="0063650E">
        <w:rPr>
          <w:rFonts w:ascii="Calibri" w:hAnsi="Calibri"/>
          <w:color w:val="000000"/>
          <w:lang w:val="en-AU"/>
        </w:rPr>
        <w:tab/>
        <w:t>clubs manage and maintain much sporting infrastructure including 400 hectares of greenspace for community use and support nearly 400 sporting groups</w:t>
      </w:r>
      <w:r>
        <w:rPr>
          <w:rFonts w:ascii="Calibri" w:hAnsi="Calibri"/>
          <w:color w:val="000000"/>
          <w:lang w:val="en-AU"/>
        </w:rPr>
        <w:t>;</w:t>
      </w:r>
    </w:p>
    <w:p w14:paraId="6FC1A698" w14:textId="77777777" w:rsidR="00303360" w:rsidRPr="0063650E" w:rsidRDefault="00303360" w:rsidP="00303360">
      <w:pPr>
        <w:spacing w:before="100"/>
        <w:ind w:left="1910" w:hanging="544"/>
        <w:rPr>
          <w:rFonts w:ascii="Calibri" w:hAnsi="Calibri"/>
          <w:color w:val="000000"/>
          <w:lang w:val="en-AU"/>
        </w:rPr>
      </w:pPr>
      <w:r>
        <w:rPr>
          <w:rFonts w:ascii="Calibri" w:hAnsi="Calibri"/>
          <w:color w:val="000000"/>
          <w:lang w:val="en-AU"/>
        </w:rPr>
        <w:t>(e)</w:t>
      </w:r>
      <w:r w:rsidRPr="0063650E">
        <w:rPr>
          <w:rFonts w:ascii="Calibri" w:hAnsi="Calibri"/>
          <w:color w:val="000000"/>
          <w:lang w:val="en-AU"/>
        </w:rPr>
        <w:tab/>
        <w:t>over the last decade clubs provided over $150 million in community contributions</w:t>
      </w:r>
      <w:r>
        <w:rPr>
          <w:rFonts w:ascii="Calibri" w:hAnsi="Calibri"/>
          <w:color w:val="000000"/>
          <w:lang w:val="en-AU"/>
        </w:rPr>
        <w:t>;</w:t>
      </w:r>
    </w:p>
    <w:p w14:paraId="73211904" w14:textId="77777777" w:rsidR="00303360" w:rsidRPr="0063650E" w:rsidRDefault="00303360" w:rsidP="00303360">
      <w:pPr>
        <w:spacing w:before="100"/>
        <w:ind w:left="1910" w:hanging="544"/>
        <w:rPr>
          <w:rFonts w:ascii="Calibri" w:hAnsi="Calibri"/>
          <w:color w:val="000000"/>
          <w:lang w:val="en-AU"/>
        </w:rPr>
      </w:pPr>
      <w:r>
        <w:rPr>
          <w:rFonts w:ascii="Calibri" w:hAnsi="Calibri"/>
          <w:color w:val="000000"/>
          <w:lang w:val="en-AU"/>
        </w:rPr>
        <w:t>(f)</w:t>
      </w:r>
      <w:r w:rsidRPr="0063650E">
        <w:rPr>
          <w:rFonts w:ascii="Calibri" w:hAnsi="Calibri"/>
          <w:color w:val="000000"/>
          <w:lang w:val="en-AU"/>
        </w:rPr>
        <w:tab/>
      </w:r>
      <w:r w:rsidRPr="00141A2C">
        <w:rPr>
          <w:rFonts w:ascii="Calibri" w:hAnsi="Calibri"/>
          <w:color w:val="000000"/>
          <w:spacing w:val="-2"/>
          <w:lang w:val="en-AU"/>
        </w:rPr>
        <w:t>clubs contributed over $300 million in gaming taxes in that same period; and</w:t>
      </w:r>
    </w:p>
    <w:p w14:paraId="57C99BC6" w14:textId="77777777" w:rsidR="00303360" w:rsidRDefault="00303360" w:rsidP="00303360">
      <w:pPr>
        <w:spacing w:before="100"/>
        <w:ind w:left="1910" w:hanging="544"/>
        <w:rPr>
          <w:rFonts w:ascii="Calibri" w:hAnsi="Calibri"/>
          <w:color w:val="000000"/>
          <w:lang w:val="en-AU"/>
        </w:rPr>
      </w:pPr>
      <w:r>
        <w:rPr>
          <w:rFonts w:ascii="Calibri" w:hAnsi="Calibri"/>
          <w:color w:val="000000"/>
          <w:lang w:val="en-AU"/>
        </w:rPr>
        <w:t>(g)</w:t>
      </w:r>
      <w:r w:rsidRPr="0063650E">
        <w:rPr>
          <w:rFonts w:ascii="Calibri" w:hAnsi="Calibri"/>
          <w:color w:val="000000"/>
          <w:lang w:val="en-AU"/>
        </w:rPr>
        <w:tab/>
        <w:t xml:space="preserve">during the Covid period, Canberrans flocked to Queanbeyan clubs during the 6-week period when ACT </w:t>
      </w:r>
      <w:r>
        <w:rPr>
          <w:rFonts w:ascii="Calibri" w:hAnsi="Calibri"/>
          <w:color w:val="000000"/>
          <w:lang w:val="en-AU"/>
        </w:rPr>
        <w:t>c</w:t>
      </w:r>
      <w:r w:rsidRPr="0063650E">
        <w:rPr>
          <w:rFonts w:ascii="Calibri" w:hAnsi="Calibri"/>
          <w:color w:val="000000"/>
          <w:lang w:val="en-AU"/>
        </w:rPr>
        <w:t>lubs were closed</w:t>
      </w:r>
      <w:r>
        <w:rPr>
          <w:rFonts w:ascii="Calibri" w:hAnsi="Calibri"/>
          <w:color w:val="000000"/>
          <w:lang w:val="en-AU"/>
        </w:rPr>
        <w:t>;</w:t>
      </w:r>
    </w:p>
    <w:p w14:paraId="6C69D55E" w14:textId="77777777" w:rsidR="00303360" w:rsidRPr="0063650E" w:rsidRDefault="00303360" w:rsidP="00303360">
      <w:pPr>
        <w:spacing w:before="100"/>
        <w:ind w:left="1366" w:hanging="646"/>
        <w:rPr>
          <w:rFonts w:ascii="Calibri" w:hAnsi="Calibri"/>
          <w:color w:val="000000"/>
          <w:lang w:val="en-AU"/>
        </w:rPr>
      </w:pPr>
      <w:r w:rsidRPr="0063650E">
        <w:rPr>
          <w:rFonts w:ascii="Calibri" w:hAnsi="Calibri"/>
          <w:color w:val="000000"/>
          <w:lang w:val="en-AU"/>
        </w:rPr>
        <w:t>(</w:t>
      </w:r>
      <w:r>
        <w:rPr>
          <w:rFonts w:ascii="Calibri" w:hAnsi="Calibri"/>
          <w:color w:val="000000"/>
          <w:lang w:val="en-AU"/>
        </w:rPr>
        <w:t>3</w:t>
      </w:r>
      <w:r w:rsidRPr="0063650E">
        <w:rPr>
          <w:rFonts w:ascii="Calibri" w:hAnsi="Calibri"/>
          <w:color w:val="000000"/>
          <w:lang w:val="en-AU"/>
        </w:rPr>
        <w:t>)</w:t>
      </w:r>
      <w:r w:rsidRPr="0063650E">
        <w:rPr>
          <w:rFonts w:ascii="Calibri" w:hAnsi="Calibri"/>
          <w:color w:val="000000"/>
          <w:lang w:val="en-AU"/>
        </w:rPr>
        <w:tab/>
        <w:t>calls on the ACT Labor Party to:</w:t>
      </w:r>
    </w:p>
    <w:p w14:paraId="332B5A34" w14:textId="77777777" w:rsidR="00303360" w:rsidRPr="0063650E" w:rsidRDefault="00303360" w:rsidP="00303360">
      <w:pPr>
        <w:spacing w:before="100"/>
        <w:ind w:left="1910" w:hanging="544"/>
        <w:rPr>
          <w:rFonts w:ascii="Calibri" w:hAnsi="Calibri"/>
          <w:color w:val="000000"/>
          <w:lang w:val="en-AU"/>
        </w:rPr>
      </w:pPr>
      <w:r w:rsidRPr="0063650E">
        <w:rPr>
          <w:rFonts w:ascii="Calibri" w:hAnsi="Calibri"/>
          <w:color w:val="000000"/>
          <w:lang w:val="en-AU"/>
        </w:rPr>
        <w:t>(a)</w:t>
      </w:r>
      <w:r w:rsidRPr="0063650E">
        <w:rPr>
          <w:rFonts w:ascii="Calibri" w:hAnsi="Calibri"/>
          <w:color w:val="000000"/>
          <w:lang w:val="en-AU"/>
        </w:rPr>
        <w:tab/>
        <w:t>sever all of its connections to the Canberra Labor Club to eliminate its conflict of interest; and</w:t>
      </w:r>
    </w:p>
    <w:p w14:paraId="21305BD4" w14:textId="77777777" w:rsidR="00303360" w:rsidRPr="0063650E" w:rsidRDefault="00303360" w:rsidP="00303360">
      <w:pPr>
        <w:spacing w:before="100"/>
        <w:ind w:left="1910" w:hanging="544"/>
        <w:rPr>
          <w:rFonts w:ascii="Calibri" w:hAnsi="Calibri"/>
          <w:color w:val="000000"/>
          <w:lang w:val="en-AU"/>
        </w:rPr>
      </w:pPr>
      <w:r w:rsidRPr="0063650E">
        <w:rPr>
          <w:rFonts w:ascii="Calibri" w:hAnsi="Calibri"/>
          <w:color w:val="000000"/>
          <w:lang w:val="en-AU"/>
        </w:rPr>
        <w:t>(b)</w:t>
      </w:r>
      <w:r w:rsidRPr="0063650E">
        <w:rPr>
          <w:rFonts w:ascii="Calibri" w:hAnsi="Calibri"/>
          <w:color w:val="000000"/>
          <w:lang w:val="en-AU"/>
        </w:rPr>
        <w:tab/>
        <w:t>donate $6,100,000 to the Alliance for Gambling Reform</w:t>
      </w:r>
      <w:r>
        <w:rPr>
          <w:rFonts w:ascii="Calibri" w:hAnsi="Calibri"/>
          <w:color w:val="000000"/>
          <w:lang w:val="en-AU"/>
        </w:rPr>
        <w:t xml:space="preserve"> </w:t>
      </w:r>
      <w:r w:rsidRPr="00D97477">
        <w:rPr>
          <w:rFonts w:ascii="Calibri" w:hAnsi="Calibri"/>
          <w:lang w:val="en-AU" w:eastAsia="en-US"/>
        </w:rPr>
        <w:t>–</w:t>
      </w:r>
      <w:r w:rsidRPr="0063650E">
        <w:rPr>
          <w:rFonts w:ascii="Calibri" w:hAnsi="Calibri"/>
          <w:color w:val="000000"/>
          <w:lang w:val="en-AU"/>
        </w:rPr>
        <w:t xml:space="preserve"> an amount equivalent to that derived from poker machines to establish the 1973 Foundation;</w:t>
      </w:r>
      <w:r>
        <w:rPr>
          <w:rFonts w:ascii="Calibri" w:hAnsi="Calibri"/>
          <w:color w:val="000000"/>
          <w:lang w:val="en-AU"/>
        </w:rPr>
        <w:t xml:space="preserve"> and</w:t>
      </w:r>
    </w:p>
    <w:p w14:paraId="3FCD9EDA" w14:textId="77777777" w:rsidR="00302878" w:rsidRPr="0063650E" w:rsidRDefault="00302878" w:rsidP="00302878">
      <w:pPr>
        <w:spacing w:before="120"/>
        <w:ind w:left="1366" w:hanging="646"/>
        <w:rPr>
          <w:rFonts w:ascii="Calibri" w:hAnsi="Calibri"/>
          <w:color w:val="000000"/>
          <w:lang w:val="en-AU"/>
        </w:rPr>
      </w:pPr>
      <w:r w:rsidRPr="0063650E">
        <w:rPr>
          <w:rFonts w:ascii="Calibri" w:hAnsi="Calibri"/>
          <w:color w:val="000000"/>
          <w:lang w:val="en-AU"/>
        </w:rPr>
        <w:t>(</w:t>
      </w:r>
      <w:r>
        <w:rPr>
          <w:rFonts w:ascii="Calibri" w:hAnsi="Calibri"/>
          <w:color w:val="000000"/>
          <w:lang w:val="en-AU"/>
        </w:rPr>
        <w:t>4</w:t>
      </w:r>
      <w:r w:rsidRPr="0063650E">
        <w:rPr>
          <w:rFonts w:ascii="Calibri" w:hAnsi="Calibri"/>
          <w:color w:val="000000"/>
          <w:lang w:val="en-AU"/>
        </w:rPr>
        <w:t>)</w:t>
      </w:r>
      <w:r w:rsidRPr="0063650E">
        <w:rPr>
          <w:rFonts w:ascii="Calibri" w:hAnsi="Calibri"/>
          <w:color w:val="000000"/>
          <w:lang w:val="en-AU"/>
        </w:rPr>
        <w:tab/>
        <w:t>further calls on the ACT Government to</w:t>
      </w:r>
      <w:r>
        <w:rPr>
          <w:rFonts w:ascii="Calibri" w:hAnsi="Calibri"/>
          <w:color w:val="000000"/>
          <w:lang w:val="en-AU"/>
        </w:rPr>
        <w:t xml:space="preserve"> </w:t>
      </w:r>
      <w:r w:rsidRPr="0063650E">
        <w:rPr>
          <w:rFonts w:ascii="Calibri" w:hAnsi="Calibri"/>
          <w:color w:val="000000"/>
          <w:lang w:val="en-AU"/>
        </w:rPr>
        <w:t xml:space="preserve">establish an independent inquiry into the future of the ACT </w:t>
      </w:r>
      <w:r>
        <w:rPr>
          <w:rFonts w:ascii="Calibri" w:hAnsi="Calibri"/>
          <w:color w:val="000000"/>
          <w:lang w:val="en-AU"/>
        </w:rPr>
        <w:t>c</w:t>
      </w:r>
      <w:r w:rsidRPr="0063650E">
        <w:rPr>
          <w:rFonts w:ascii="Calibri" w:hAnsi="Calibri"/>
          <w:color w:val="000000"/>
          <w:lang w:val="en-AU"/>
        </w:rPr>
        <w:t>lub industry</w:t>
      </w:r>
      <w:r>
        <w:rPr>
          <w:rFonts w:ascii="Calibri" w:hAnsi="Calibri"/>
          <w:color w:val="000000"/>
          <w:lang w:val="en-AU"/>
        </w:rPr>
        <w:t>. Th</w:t>
      </w:r>
      <w:r w:rsidRPr="0063650E">
        <w:rPr>
          <w:rFonts w:ascii="Calibri" w:hAnsi="Calibri"/>
          <w:color w:val="000000"/>
          <w:lang w:val="en-AU"/>
        </w:rPr>
        <w:t>is inquiry would examine and make recommendations in relation to:</w:t>
      </w:r>
    </w:p>
    <w:p w14:paraId="4E53F227"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(a)</w:t>
      </w:r>
      <w:r w:rsidRPr="0063650E">
        <w:rPr>
          <w:rFonts w:ascii="Calibri" w:hAnsi="Calibri"/>
          <w:color w:val="000000"/>
          <w:lang w:val="en-AU"/>
        </w:rPr>
        <w:tab/>
        <w:t>potential changes to taxes, charges and regulations which are inhibiting the sector</w:t>
      </w:r>
      <w:r>
        <w:rPr>
          <w:rFonts w:ascii="Calibri" w:hAnsi="Calibri"/>
          <w:color w:val="000000"/>
          <w:lang w:val="en-AU"/>
        </w:rPr>
        <w:t>’</w:t>
      </w:r>
      <w:r w:rsidRPr="0063650E">
        <w:rPr>
          <w:rFonts w:ascii="Calibri" w:hAnsi="Calibri"/>
          <w:color w:val="000000"/>
          <w:lang w:val="en-AU"/>
        </w:rPr>
        <w:t>s ability to diversify businesses;</w:t>
      </w:r>
    </w:p>
    <w:p w14:paraId="057D9DA9"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lastRenderedPageBreak/>
        <w:t>(b)</w:t>
      </w:r>
      <w:r w:rsidRPr="0063650E">
        <w:rPr>
          <w:rFonts w:ascii="Calibri" w:hAnsi="Calibri"/>
          <w:color w:val="000000"/>
          <w:lang w:val="en-AU"/>
        </w:rPr>
        <w:tab/>
        <w:t>skills requirements and training, including specific training support programs for employees who may need to exit the</w:t>
      </w:r>
      <w:r>
        <w:rPr>
          <w:rFonts w:ascii="Calibri" w:hAnsi="Calibri"/>
          <w:color w:val="000000"/>
          <w:lang w:val="en-AU"/>
        </w:rPr>
        <w:t xml:space="preserve"> </w:t>
      </w:r>
      <w:r w:rsidRPr="0063650E">
        <w:rPr>
          <w:rFonts w:ascii="Calibri" w:hAnsi="Calibri"/>
          <w:color w:val="000000"/>
          <w:lang w:val="en-AU"/>
        </w:rPr>
        <w:t>industry through industry rationali</w:t>
      </w:r>
      <w:r>
        <w:rPr>
          <w:rFonts w:ascii="Calibri" w:hAnsi="Calibri"/>
          <w:color w:val="000000"/>
          <w:lang w:val="en-AU"/>
        </w:rPr>
        <w:t>s</w:t>
      </w:r>
      <w:r w:rsidRPr="0063650E">
        <w:rPr>
          <w:rFonts w:ascii="Calibri" w:hAnsi="Calibri"/>
          <w:color w:val="000000"/>
          <w:lang w:val="en-AU"/>
        </w:rPr>
        <w:t>ation;</w:t>
      </w:r>
    </w:p>
    <w:p w14:paraId="3F16078E"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(c)</w:t>
      </w:r>
      <w:r w:rsidRPr="0063650E">
        <w:rPr>
          <w:rFonts w:ascii="Calibri" w:hAnsi="Calibri"/>
          <w:color w:val="000000"/>
          <w:lang w:val="en-AU"/>
        </w:rPr>
        <w:tab/>
        <w:t xml:space="preserve">practical options, timelines, and assistance measures for helping the sector significantly reduce its reliance on </w:t>
      </w:r>
      <w:r>
        <w:rPr>
          <w:rFonts w:ascii="Calibri" w:hAnsi="Calibri"/>
          <w:color w:val="000000"/>
          <w:lang w:val="en-AU"/>
        </w:rPr>
        <w:t>electronic gambling machine (</w:t>
      </w:r>
      <w:r w:rsidRPr="0063650E">
        <w:rPr>
          <w:rFonts w:ascii="Calibri" w:hAnsi="Calibri"/>
          <w:color w:val="000000"/>
          <w:lang w:val="en-AU"/>
        </w:rPr>
        <w:t>EGM</w:t>
      </w:r>
      <w:r>
        <w:rPr>
          <w:rFonts w:ascii="Calibri" w:hAnsi="Calibri"/>
          <w:color w:val="000000"/>
          <w:lang w:val="en-AU"/>
        </w:rPr>
        <w:t>)</w:t>
      </w:r>
      <w:r w:rsidRPr="0063650E">
        <w:rPr>
          <w:rFonts w:ascii="Calibri" w:hAnsi="Calibri"/>
          <w:color w:val="000000"/>
          <w:lang w:val="en-AU"/>
        </w:rPr>
        <w:t xml:space="preserve"> revenue;</w:t>
      </w:r>
    </w:p>
    <w:p w14:paraId="4B2C9E0A"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(d)</w:t>
      </w:r>
      <w:r>
        <w:rPr>
          <w:rFonts w:ascii="Calibri" w:hAnsi="Calibri"/>
          <w:color w:val="000000"/>
          <w:lang w:val="en-AU"/>
        </w:rPr>
        <w:tab/>
      </w:r>
      <w:r w:rsidRPr="0063650E">
        <w:rPr>
          <w:rFonts w:ascii="Calibri" w:hAnsi="Calibri"/>
          <w:color w:val="000000"/>
          <w:lang w:val="en-AU"/>
        </w:rPr>
        <w:t>adoption of evidence based, evaluated harm minimisation initiatives that are scale appropriate in terms of technology options and financial implications;</w:t>
      </w:r>
    </w:p>
    <w:p w14:paraId="09B7BC1B"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(e)</w:t>
      </w:r>
      <w:r w:rsidRPr="0063650E">
        <w:rPr>
          <w:rFonts w:ascii="Calibri" w:hAnsi="Calibri"/>
          <w:color w:val="000000"/>
          <w:lang w:val="en-AU"/>
        </w:rPr>
        <w:tab/>
        <w:t>the community contribution scheme and how its impact can be maximi</w:t>
      </w:r>
      <w:r>
        <w:rPr>
          <w:rFonts w:ascii="Calibri" w:hAnsi="Calibri"/>
          <w:color w:val="000000"/>
          <w:lang w:val="en-AU"/>
        </w:rPr>
        <w:t>s</w:t>
      </w:r>
      <w:r w:rsidRPr="0063650E">
        <w:rPr>
          <w:rFonts w:ascii="Calibri" w:hAnsi="Calibri"/>
          <w:color w:val="000000"/>
          <w:lang w:val="en-AU"/>
        </w:rPr>
        <w:t>ed;</w:t>
      </w:r>
    </w:p>
    <w:p w14:paraId="68B7FC72"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(f)</w:t>
      </w:r>
      <w:r w:rsidRPr="0063650E">
        <w:rPr>
          <w:rFonts w:ascii="Calibri" w:hAnsi="Calibri"/>
          <w:color w:val="000000"/>
          <w:lang w:val="en-AU"/>
        </w:rPr>
        <w:tab/>
        <w:t xml:space="preserve">mechanisms for establishing an ongoing transitional funding model to </w:t>
      </w:r>
      <w:r w:rsidRPr="00141A2C">
        <w:rPr>
          <w:rFonts w:ascii="Calibri" w:hAnsi="Calibri"/>
          <w:color w:val="000000"/>
          <w:spacing w:val="-4"/>
          <w:lang w:val="en-AU"/>
        </w:rPr>
        <w:t>support industry and related community activities over a 20-year period;</w:t>
      </w:r>
    </w:p>
    <w:p w14:paraId="755C9ACC" w14:textId="77777777" w:rsidR="00302878" w:rsidRDefault="00302878" w:rsidP="00302878">
      <w:pPr>
        <w:spacing w:before="120"/>
        <w:ind w:left="1910" w:hanging="544"/>
        <w:rPr>
          <w:rFonts w:ascii="Calibri" w:hAnsi="Calibri"/>
          <w:color w:val="000000"/>
          <w:lang w:val="en-AU"/>
        </w:rPr>
      </w:pPr>
      <w:r>
        <w:rPr>
          <w:rFonts w:ascii="Calibri" w:hAnsi="Calibri"/>
          <w:color w:val="000000"/>
          <w:lang w:val="en-AU"/>
        </w:rPr>
        <w:t>(g)</w:t>
      </w:r>
      <w:r w:rsidRPr="0063650E">
        <w:rPr>
          <w:rFonts w:ascii="Calibri" w:hAnsi="Calibri"/>
          <w:color w:val="000000"/>
          <w:lang w:val="en-AU"/>
        </w:rPr>
        <w:tab/>
        <w:t xml:space="preserve">determining the real financial contribution the ACT licensed community club sector contributes to the ACT economy, Government, the </w:t>
      </w:r>
      <w:r>
        <w:rPr>
          <w:rFonts w:ascii="Calibri" w:hAnsi="Calibri"/>
          <w:color w:val="000000"/>
          <w:lang w:val="en-AU"/>
        </w:rPr>
        <w:t>c</w:t>
      </w:r>
      <w:r w:rsidRPr="0063650E">
        <w:rPr>
          <w:rFonts w:ascii="Calibri" w:hAnsi="Calibri"/>
          <w:color w:val="000000"/>
          <w:lang w:val="en-AU"/>
        </w:rPr>
        <w:t>ommunity, and sporting sectors, especially with respect to facilities management;</w:t>
      </w:r>
    </w:p>
    <w:p w14:paraId="7CAB67D6"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(h)</w:t>
      </w:r>
      <w:r w:rsidRPr="0063650E">
        <w:rPr>
          <w:rFonts w:ascii="Calibri" w:hAnsi="Calibri"/>
          <w:color w:val="000000"/>
          <w:lang w:val="en-AU"/>
        </w:rPr>
        <w:tab/>
        <w:t xml:space="preserve">the cross border economic relationship between the ACT and NSW jurisdictions in terms of the revenue generated by the clubs sector and any negative impacts to the ACT economy to the benefit of the ACT adjacent communities in NSW should regulations inhibit the viability of </w:t>
      </w:r>
      <w:r>
        <w:rPr>
          <w:rFonts w:ascii="Calibri" w:hAnsi="Calibri"/>
          <w:color w:val="000000"/>
          <w:lang w:val="en-AU"/>
        </w:rPr>
        <w:t>c</w:t>
      </w:r>
      <w:r w:rsidRPr="0063650E">
        <w:rPr>
          <w:rFonts w:ascii="Calibri" w:hAnsi="Calibri"/>
          <w:color w:val="000000"/>
          <w:lang w:val="en-AU"/>
        </w:rPr>
        <w:t>lubs in the ACT;</w:t>
      </w:r>
    </w:p>
    <w:p w14:paraId="56BB73F4"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(i)</w:t>
      </w:r>
      <w:r w:rsidRPr="0063650E">
        <w:rPr>
          <w:rFonts w:ascii="Calibri" w:hAnsi="Calibri"/>
          <w:color w:val="000000"/>
          <w:lang w:val="en-AU"/>
        </w:rPr>
        <w:tab/>
        <w:t xml:space="preserve">the value of harmonisation between NSW and ACT regulation on harm minimisation objectives and the role positive or otherwise the ACT </w:t>
      </w:r>
      <w:r>
        <w:rPr>
          <w:rFonts w:ascii="Calibri" w:hAnsi="Calibri"/>
          <w:color w:val="000000"/>
          <w:lang w:val="en-AU"/>
        </w:rPr>
        <w:t>c</w:t>
      </w:r>
      <w:r w:rsidRPr="0063650E">
        <w:rPr>
          <w:rFonts w:ascii="Calibri" w:hAnsi="Calibri"/>
          <w:color w:val="000000"/>
          <w:lang w:val="en-AU"/>
        </w:rPr>
        <w:t>lub industry plays in minimising gambling harm;</w:t>
      </w:r>
    </w:p>
    <w:p w14:paraId="705C312D"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(j)</w:t>
      </w:r>
      <w:r w:rsidRPr="0063650E">
        <w:rPr>
          <w:rFonts w:ascii="Calibri" w:hAnsi="Calibri"/>
          <w:color w:val="000000"/>
          <w:lang w:val="en-AU"/>
        </w:rPr>
        <w:tab/>
        <w:t>examining the extent to which the ACT Government needs to focus on online and other forms of gambling;</w:t>
      </w:r>
    </w:p>
    <w:p w14:paraId="1BD78DE0" w14:textId="77777777" w:rsidR="00302878" w:rsidRPr="0063650E" w:rsidRDefault="00302878" w:rsidP="00302878">
      <w:pPr>
        <w:spacing w:before="120"/>
        <w:ind w:left="1910" w:hanging="544"/>
        <w:rPr>
          <w:rFonts w:ascii="Calibri" w:hAnsi="Calibri"/>
          <w:color w:val="000000"/>
          <w:lang w:val="en-AU"/>
        </w:rPr>
      </w:pPr>
      <w:r>
        <w:rPr>
          <w:rFonts w:ascii="Calibri" w:hAnsi="Calibri"/>
          <w:color w:val="000000"/>
          <w:lang w:val="en-AU"/>
        </w:rPr>
        <w:t>(k)</w:t>
      </w:r>
      <w:r w:rsidRPr="0063650E">
        <w:rPr>
          <w:rFonts w:ascii="Calibri" w:hAnsi="Calibri"/>
          <w:color w:val="000000"/>
          <w:lang w:val="en-AU"/>
        </w:rPr>
        <w:tab/>
        <w:t>review the extent to which ACT Government EGM gambling harm initiatives encourage a move to other gambling types rather than reduce the incidence of gambling harm; and</w:t>
      </w:r>
    </w:p>
    <w:p w14:paraId="376A8E09" w14:textId="2A6AA76C" w:rsidR="00302878" w:rsidRPr="00026751" w:rsidRDefault="00302878" w:rsidP="00302878">
      <w:pPr>
        <w:spacing w:before="120"/>
        <w:ind w:left="1910" w:hanging="544"/>
        <w:rPr>
          <w:rFonts w:ascii="Calibri" w:hAnsi="Calibri"/>
          <w:color w:val="000000"/>
          <w:lang w:val="en-AU"/>
        </w:rPr>
      </w:pPr>
      <w:r>
        <w:rPr>
          <w:rFonts w:ascii="Calibri" w:hAnsi="Calibri"/>
          <w:color w:val="000000"/>
          <w:lang w:val="en-AU"/>
        </w:rPr>
        <w:t>(l)</w:t>
      </w:r>
      <w:r w:rsidRPr="0063650E">
        <w:rPr>
          <w:rFonts w:ascii="Calibri" w:hAnsi="Calibri"/>
          <w:color w:val="000000"/>
          <w:lang w:val="en-AU"/>
        </w:rPr>
        <w:tab/>
      </w:r>
      <w:r w:rsidRPr="00141A2C">
        <w:rPr>
          <w:rFonts w:ascii="Calibri" w:hAnsi="Calibri"/>
          <w:color w:val="000000"/>
          <w:spacing w:val="-2"/>
          <w:lang w:val="en-AU"/>
        </w:rPr>
        <w:t>investigate any possible conflict of interest arising from the connection between the ACT Labor Party and the Labor Clubs in Canberra.</w:t>
      </w:r>
      <w:r>
        <w:rPr>
          <w:rFonts w:ascii="Calibri" w:hAnsi="Calibri"/>
          <w:color w:val="000000"/>
          <w:spacing w:val="-2"/>
          <w:lang w:val="en-AU"/>
        </w:rPr>
        <w:t>”</w:t>
      </w:r>
      <w:r>
        <w:rPr>
          <w:rFonts w:ascii="Calibri" w:hAnsi="Calibri"/>
          <w:color w:val="000000"/>
          <w:spacing w:val="-2"/>
          <w:lang w:val="en-AU"/>
        </w:rPr>
        <w:t>—</w:t>
      </w:r>
    </w:p>
    <w:p w14:paraId="5C3C5943" w14:textId="58C43AEF" w:rsidR="00026751" w:rsidRPr="00026751" w:rsidRDefault="008267A1" w:rsidP="00026751">
      <w:pPr>
        <w:spacing w:before="120"/>
        <w:ind w:left="720"/>
        <w:rPr>
          <w:rFonts w:ascii="Calibri" w:hAnsi="Calibri"/>
          <w:color w:val="000000"/>
          <w:lang w:val="en-AU"/>
        </w:rPr>
      </w:pPr>
      <w:r>
        <w:rPr>
          <w:rFonts w:ascii="Calibri" w:hAnsi="Calibri"/>
          <w:color w:val="000000"/>
          <w:lang w:val="en-AU"/>
        </w:rPr>
        <w:t>be agreed to—</w:t>
      </w:r>
      <w:r w:rsidR="00026751" w:rsidRPr="00026751">
        <w:rPr>
          <w:rFonts w:ascii="Calibri" w:hAnsi="Calibri"/>
          <w:color w:val="000000"/>
          <w:lang w:val="en-AU"/>
        </w:rPr>
        <w:t>put and passed.</w:t>
      </w:r>
    </w:p>
    <w:bookmarkEnd w:id="2"/>
    <w:p w14:paraId="570CC328" w14:textId="1DAAF525" w:rsidR="00026751" w:rsidRPr="00026751" w:rsidRDefault="00026751" w:rsidP="00026751">
      <w:pPr>
        <w:keepNext/>
        <w:keepLines/>
        <w:tabs>
          <w:tab w:val="right" w:pos="339"/>
          <w:tab w:val="left" w:pos="720"/>
        </w:tabs>
        <w:spacing w:before="240"/>
        <w:ind w:left="720" w:hanging="720"/>
        <w:rPr>
          <w:rFonts w:ascii="Calibri" w:hAnsi="Calibri"/>
          <w:b/>
          <w:caps/>
          <w:lang w:val="en-AU"/>
        </w:rPr>
      </w:pPr>
      <w:r w:rsidRPr="00026751">
        <w:rPr>
          <w:rFonts w:ascii="Calibri" w:hAnsi="Calibri"/>
          <w:b/>
          <w:caps/>
          <w:lang w:val="en-AU"/>
        </w:rPr>
        <w:tab/>
      </w:r>
      <w:r w:rsidR="001855C1">
        <w:rPr>
          <w:rFonts w:ascii="Calibri" w:hAnsi="Calibri"/>
          <w:b/>
          <w:bCs/>
          <w:caps/>
          <w:lang w:val="en-AU"/>
        </w:rPr>
        <w:fldChar w:fldCharType="begin"/>
      </w:r>
      <w:r w:rsidR="001855C1">
        <w:rPr>
          <w:rFonts w:ascii="Calibri" w:hAnsi="Calibri"/>
          <w:b/>
          <w:bCs/>
          <w:caps/>
          <w:lang w:val="en-AU"/>
        </w:rPr>
        <w:instrText xml:space="preserve"> SEQ A \* MERGEFORMAT </w:instrText>
      </w:r>
      <w:r w:rsidR="001855C1">
        <w:rPr>
          <w:rFonts w:ascii="Calibri" w:hAnsi="Calibri"/>
          <w:b/>
          <w:bCs/>
          <w:caps/>
          <w:lang w:val="en-AU"/>
        </w:rPr>
        <w:fldChar w:fldCharType="separate"/>
      </w:r>
      <w:r w:rsidR="00A64AFA">
        <w:rPr>
          <w:rFonts w:ascii="Calibri" w:hAnsi="Calibri"/>
          <w:b/>
          <w:bCs/>
          <w:caps/>
          <w:noProof/>
          <w:lang w:val="en-AU"/>
        </w:rPr>
        <w:t>14</w:t>
      </w:r>
      <w:r w:rsidR="001855C1">
        <w:rPr>
          <w:rFonts w:ascii="Calibri" w:hAnsi="Calibri"/>
          <w:b/>
          <w:bCs/>
          <w:caps/>
          <w:lang w:val="en-AU"/>
        </w:rPr>
        <w:fldChar w:fldCharType="end"/>
      </w:r>
      <w:r w:rsidRPr="00026751">
        <w:rPr>
          <w:rFonts w:ascii="Calibri" w:hAnsi="Calibri"/>
          <w:b/>
          <w:caps/>
          <w:lang w:val="en-AU"/>
        </w:rPr>
        <w:tab/>
      </w:r>
      <w:r w:rsidR="00E42CC6">
        <w:rPr>
          <w:rFonts w:ascii="Calibri" w:hAnsi="Calibri"/>
          <w:b/>
          <w:caps/>
          <w:lang w:val="en-AU"/>
        </w:rPr>
        <w:t>Fuel prices in the territory</w:t>
      </w:r>
    </w:p>
    <w:p w14:paraId="1FA7A9E7" w14:textId="10EA8918" w:rsidR="00026751" w:rsidRPr="00026751" w:rsidRDefault="00E42CC6" w:rsidP="00026751">
      <w:pPr>
        <w:spacing w:before="120"/>
        <w:ind w:left="720"/>
        <w:rPr>
          <w:rFonts w:ascii="Calibri" w:hAnsi="Calibri"/>
          <w:color w:val="000000"/>
          <w:lang w:val="en-AU"/>
        </w:rPr>
      </w:pPr>
      <w:r>
        <w:rPr>
          <w:rFonts w:ascii="Calibri" w:hAnsi="Calibri"/>
          <w:color w:val="000000"/>
          <w:lang w:val="en-AU"/>
        </w:rPr>
        <w:t>Ms Lee</w:t>
      </w:r>
      <w:r w:rsidR="009E1218">
        <w:rPr>
          <w:rFonts w:ascii="Calibri" w:hAnsi="Calibri"/>
          <w:color w:val="000000"/>
          <w:lang w:val="en-AU"/>
        </w:rPr>
        <w:t xml:space="preserve"> (Leader of the Opposition)</w:t>
      </w:r>
      <w:r w:rsidR="00026751" w:rsidRPr="00026751">
        <w:rPr>
          <w:rFonts w:ascii="Calibri" w:hAnsi="Calibri"/>
          <w:color w:val="000000"/>
          <w:lang w:val="en-AU"/>
        </w:rPr>
        <w:t>, pursuant to notice, moved—That this Assembly:</w:t>
      </w:r>
    </w:p>
    <w:p w14:paraId="3AEE2AEF" w14:textId="403F33C6" w:rsidR="008D3158" w:rsidRPr="00D97477" w:rsidRDefault="008D3158" w:rsidP="008D3158">
      <w:pPr>
        <w:pStyle w:val="DPSEntryIndents"/>
        <w:numPr>
          <w:ilvl w:val="0"/>
          <w:numId w:val="24"/>
        </w:numPr>
        <w:rPr>
          <w:lang w:eastAsia="en-US"/>
        </w:rPr>
      </w:pPr>
      <w:r w:rsidRPr="00D97477">
        <w:rPr>
          <w:lang w:eastAsia="en-US"/>
        </w:rPr>
        <w:t>notes:</w:t>
      </w:r>
    </w:p>
    <w:p w14:paraId="5DF1E3AC" w14:textId="22C2D3B1"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Canberra is in a cost</w:t>
      </w:r>
      <w:r>
        <w:rPr>
          <w:rFonts w:ascii="Calibri" w:hAnsi="Calibri"/>
          <w:lang w:val="en-AU" w:eastAsia="en-US"/>
        </w:rPr>
        <w:t>-</w:t>
      </w:r>
      <w:r w:rsidRPr="00D97477">
        <w:rPr>
          <w:rFonts w:ascii="Calibri" w:hAnsi="Calibri"/>
          <w:lang w:val="en-AU" w:eastAsia="en-US"/>
        </w:rPr>
        <w:t>of</w:t>
      </w:r>
      <w:r>
        <w:rPr>
          <w:rFonts w:ascii="Calibri" w:hAnsi="Calibri"/>
          <w:lang w:val="en-AU" w:eastAsia="en-US"/>
        </w:rPr>
        <w:t>-</w:t>
      </w:r>
      <w:r w:rsidRPr="00D97477">
        <w:rPr>
          <w:rFonts w:ascii="Calibri" w:hAnsi="Calibri"/>
          <w:lang w:val="en-AU" w:eastAsia="en-US"/>
        </w:rPr>
        <w:t>living crisis, with the cost of basic goods and services, including petrol, becoming increasingly expensive;</w:t>
      </w:r>
    </w:p>
    <w:p w14:paraId="23B816F3"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the most recent Australian Competition and Consumer Commission report on the Australian petrol market, from March 2024, shows that Canberra had the highest average quarterly retail petrol price of any capital city in Australia;</w:t>
      </w:r>
    </w:p>
    <w:p w14:paraId="68553D78"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lastRenderedPageBreak/>
        <w:t>(c)</w:t>
      </w:r>
      <w:r w:rsidRPr="00D97477">
        <w:rPr>
          <w:rFonts w:ascii="Calibri" w:hAnsi="Calibri"/>
          <w:lang w:val="en-AU" w:eastAsia="en-US"/>
        </w:rPr>
        <w:tab/>
        <w:t>the report found that throughout 2023, Canberra had the highest average retail petrol price of any capital city in the country;</w:t>
      </w:r>
    </w:p>
    <w:p w14:paraId="29241297" w14:textId="5B63359D"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according to the FuelPrice Australia website, Canberra</w:t>
      </w:r>
      <w:r w:rsidR="00091C7D">
        <w:rPr>
          <w:rFonts w:ascii="Calibri" w:hAnsi="Calibri"/>
          <w:lang w:val="en-AU" w:eastAsia="en-US"/>
        </w:rPr>
        <w:t>’</w:t>
      </w:r>
      <w:r w:rsidRPr="00D97477">
        <w:rPr>
          <w:rFonts w:ascii="Calibri" w:hAnsi="Calibri"/>
          <w:lang w:val="en-AU" w:eastAsia="en-US"/>
        </w:rPr>
        <w:t>s retail petrol price, over the last week, is the highest out of all the capital cities in Australia; and</w:t>
      </w:r>
    </w:p>
    <w:p w14:paraId="67E9F735"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t>according to FuelCheck, petrol prices in Canberra are, on average, 13 cents per litre higher than in Queanbeyan;</w:t>
      </w:r>
    </w:p>
    <w:p w14:paraId="15BD899E" w14:textId="3C95FE05" w:rsidR="008D3158" w:rsidRPr="00D97477" w:rsidRDefault="008D3158" w:rsidP="00456C0B">
      <w:pPr>
        <w:pStyle w:val="DPSEntryIndents"/>
        <w:keepNext/>
        <w:ind w:left="1366" w:hanging="646"/>
        <w:rPr>
          <w:lang w:eastAsia="en-US"/>
        </w:rPr>
      </w:pPr>
      <w:r w:rsidRPr="00D97477">
        <w:rPr>
          <w:lang w:eastAsia="en-US"/>
        </w:rPr>
        <w:t>further notes:</w:t>
      </w:r>
    </w:p>
    <w:p w14:paraId="23553250"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(a)</w:t>
      </w:r>
      <w:r w:rsidRPr="00D97477">
        <w:rPr>
          <w:rFonts w:ascii="Calibri" w:hAnsi="Calibri"/>
          <w:lang w:val="en-AU" w:eastAsia="en-US"/>
        </w:rPr>
        <w:tab/>
        <w:t>on 14 February 2019, the Legislative Assembly established the Select Committee on Fuel Pricing which would, among other things, consider reasons for significant pricing discrepancies within the ACT when compared to other Australian communities and capital cities;</w:t>
      </w:r>
    </w:p>
    <w:p w14:paraId="1677FE95" w14:textId="6A84FF32"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(b)</w:t>
      </w:r>
      <w:r w:rsidRPr="00D97477">
        <w:rPr>
          <w:rFonts w:ascii="Calibri" w:hAnsi="Calibri"/>
          <w:lang w:val="en-AU" w:eastAsia="en-US"/>
        </w:rPr>
        <w:tab/>
        <w:t>the Select Committee</w:t>
      </w:r>
      <w:r w:rsidR="00091C7D">
        <w:rPr>
          <w:rFonts w:ascii="Calibri" w:hAnsi="Calibri"/>
          <w:lang w:val="en-AU" w:eastAsia="en-US"/>
        </w:rPr>
        <w:t>’</w:t>
      </w:r>
      <w:r w:rsidRPr="00D97477">
        <w:rPr>
          <w:rFonts w:ascii="Calibri" w:hAnsi="Calibri"/>
          <w:lang w:val="en-AU" w:eastAsia="en-US"/>
        </w:rPr>
        <w:t>s report, which was tabled in September 2019, found:</w:t>
      </w:r>
    </w:p>
    <w:p w14:paraId="146E539A" w14:textId="77777777" w:rsidR="008D3158" w:rsidRPr="00D97477" w:rsidRDefault="008D3158" w:rsidP="008D3158">
      <w:pPr>
        <w:spacing w:before="120"/>
        <w:ind w:left="2477" w:hanging="544"/>
        <w:rPr>
          <w:rFonts w:ascii="Calibri" w:hAnsi="Calibri"/>
          <w:lang w:val="en-AU" w:eastAsia="en-US"/>
        </w:rPr>
      </w:pPr>
      <w:r w:rsidRPr="00D97477">
        <w:rPr>
          <w:rFonts w:ascii="Calibri" w:hAnsi="Calibri"/>
          <w:lang w:val="en-AU" w:eastAsia="en-US"/>
        </w:rPr>
        <w:t>(i)</w:t>
      </w:r>
      <w:r w:rsidRPr="00D97477">
        <w:rPr>
          <w:rFonts w:ascii="Calibri" w:hAnsi="Calibri"/>
          <w:lang w:val="en-AU" w:eastAsia="en-US"/>
        </w:rPr>
        <w:tab/>
        <w:t>annual average petrol prices in Canberra were higher than prices in the five largest capital cities between 2012-13 and 2018-19;</w:t>
      </w:r>
    </w:p>
    <w:p w14:paraId="6789FAA2" w14:textId="77777777" w:rsidR="008D3158" w:rsidRPr="00D97477" w:rsidRDefault="008D3158" w:rsidP="008D3158">
      <w:pPr>
        <w:spacing w:before="120"/>
        <w:ind w:left="2477" w:hanging="544"/>
        <w:rPr>
          <w:rFonts w:ascii="Calibri" w:hAnsi="Calibri"/>
          <w:lang w:val="en-AU" w:eastAsia="en-US"/>
        </w:rPr>
      </w:pPr>
      <w:r w:rsidRPr="00D97477">
        <w:rPr>
          <w:rFonts w:ascii="Calibri" w:hAnsi="Calibri"/>
          <w:lang w:val="en-AU" w:eastAsia="en-US"/>
        </w:rPr>
        <w:t>(ii)</w:t>
      </w:r>
      <w:r w:rsidRPr="00D97477">
        <w:rPr>
          <w:rFonts w:ascii="Calibri" w:hAnsi="Calibri"/>
          <w:lang w:val="en-AU" w:eastAsia="en-US"/>
        </w:rPr>
        <w:tab/>
        <w:t>Canberra petrol prices were consistently higher than those in Sydney and in other surrounding towns between 2012-13 and 2018-19; and</w:t>
      </w:r>
    </w:p>
    <w:p w14:paraId="336101D4" w14:textId="77777777" w:rsidR="008D3158" w:rsidRPr="00D97477" w:rsidRDefault="008D3158" w:rsidP="008D3158">
      <w:pPr>
        <w:spacing w:before="120"/>
        <w:ind w:left="2477" w:hanging="544"/>
        <w:rPr>
          <w:rFonts w:ascii="Calibri" w:hAnsi="Calibri"/>
          <w:lang w:val="en-AU" w:eastAsia="en-US"/>
        </w:rPr>
      </w:pPr>
      <w:r w:rsidRPr="00D97477">
        <w:rPr>
          <w:rFonts w:ascii="Calibri" w:hAnsi="Calibri"/>
          <w:lang w:val="en-AU" w:eastAsia="en-US"/>
        </w:rPr>
        <w:t>(iii)</w:t>
      </w:r>
      <w:r w:rsidRPr="00D97477">
        <w:rPr>
          <w:rFonts w:ascii="Calibri" w:hAnsi="Calibri"/>
          <w:lang w:val="en-AU" w:eastAsia="en-US"/>
        </w:rPr>
        <w:tab/>
        <w:t>that it is apparent that the ACT fuel market is not meeting consumer expectations;</w:t>
      </w:r>
    </w:p>
    <w:p w14:paraId="2B8FE7DA"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(c)</w:t>
      </w:r>
      <w:r w:rsidRPr="00D97477">
        <w:rPr>
          <w:rFonts w:ascii="Calibri" w:hAnsi="Calibri"/>
          <w:lang w:val="en-AU" w:eastAsia="en-US"/>
        </w:rPr>
        <w:tab/>
        <w:t>the Select Committee recommended, inter alia, that the Assembly establish a standing committee to monitor fuel pricing and competition in the ACT;</w:t>
      </w:r>
    </w:p>
    <w:p w14:paraId="4ABE54C3" w14:textId="05F91D0B"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(d)</w:t>
      </w:r>
      <w:r w:rsidRPr="00D97477">
        <w:rPr>
          <w:rFonts w:ascii="Calibri" w:hAnsi="Calibri"/>
          <w:lang w:val="en-AU" w:eastAsia="en-US"/>
        </w:rPr>
        <w:tab/>
        <w:t xml:space="preserve">in its response to the Select Committee report, the ACT Government said </w:t>
      </w:r>
      <w:r w:rsidR="00091C7D">
        <w:rPr>
          <w:rFonts w:ascii="Calibri" w:hAnsi="Calibri"/>
          <w:lang w:val="en-AU" w:eastAsia="en-US"/>
        </w:rPr>
        <w:t>“</w:t>
      </w:r>
      <w:r w:rsidRPr="00D97477">
        <w:rPr>
          <w:rFonts w:ascii="Calibri" w:hAnsi="Calibri"/>
          <w:lang w:val="en-AU" w:eastAsia="en-US"/>
        </w:rPr>
        <w:t>the Government considers the Independent Competition and Regulatory Commission (ICRC) is the most appropriate body to undertake this role in the Territory</w:t>
      </w:r>
      <w:r w:rsidR="00091C7D">
        <w:rPr>
          <w:rFonts w:ascii="Calibri" w:hAnsi="Calibri"/>
          <w:lang w:val="en-AU" w:eastAsia="en-US"/>
        </w:rPr>
        <w:t>”</w:t>
      </w:r>
      <w:r w:rsidRPr="00D97477">
        <w:rPr>
          <w:rFonts w:ascii="Calibri" w:hAnsi="Calibri"/>
          <w:lang w:val="en-AU" w:eastAsia="en-US"/>
        </w:rPr>
        <w:t>;</w:t>
      </w:r>
    </w:p>
    <w:p w14:paraId="02C68A05"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(e)</w:t>
      </w:r>
      <w:r w:rsidRPr="00D97477">
        <w:rPr>
          <w:rFonts w:ascii="Calibri" w:hAnsi="Calibri"/>
          <w:lang w:val="en-AU" w:eastAsia="en-US"/>
        </w:rPr>
        <w:tab/>
      </w:r>
      <w:r w:rsidRPr="008D3158">
        <w:rPr>
          <w:rFonts w:ascii="Calibri" w:hAnsi="Calibri"/>
          <w:spacing w:val="-2"/>
          <w:lang w:val="en-AU" w:eastAsia="en-US"/>
        </w:rPr>
        <w:t>in February 2020, the Chief Minister announced the establishment of a fuel price watchdog which the ACT Government would commission to undertake ongoing analysis and reporting on the ACT fuel market to increase transparency and place a continuing eye on fuel prices in the Territory;</w:t>
      </w:r>
    </w:p>
    <w:p w14:paraId="15A998BE" w14:textId="77777777" w:rsidR="008D3158" w:rsidRPr="00D97477"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(f)</w:t>
      </w:r>
      <w:r w:rsidRPr="00D97477">
        <w:rPr>
          <w:rFonts w:ascii="Calibri" w:hAnsi="Calibri"/>
          <w:lang w:val="en-AU" w:eastAsia="en-US"/>
        </w:rPr>
        <w:tab/>
        <w:t>that the ACT Government failed to task the ICRC with the role of monitoring, reporting and analysis of the ACT fuel market;</w:t>
      </w:r>
    </w:p>
    <w:p w14:paraId="265569F9" w14:textId="77777777" w:rsidR="008D3158" w:rsidRPr="008D3158" w:rsidRDefault="008D3158" w:rsidP="008D3158">
      <w:pPr>
        <w:tabs>
          <w:tab w:val="left" w:pos="567"/>
        </w:tabs>
        <w:spacing w:before="120"/>
        <w:ind w:left="1910" w:hanging="544"/>
        <w:rPr>
          <w:rFonts w:ascii="Calibri" w:hAnsi="Calibri"/>
          <w:lang w:val="en-AU" w:eastAsia="en-US"/>
        </w:rPr>
      </w:pPr>
      <w:r w:rsidRPr="00D97477">
        <w:rPr>
          <w:rFonts w:ascii="Calibri" w:hAnsi="Calibri"/>
          <w:lang w:val="en-AU" w:eastAsia="en-US"/>
        </w:rPr>
        <w:t>(g)</w:t>
      </w:r>
      <w:r w:rsidRPr="00D97477">
        <w:rPr>
          <w:rFonts w:ascii="Calibri" w:hAnsi="Calibri"/>
          <w:lang w:val="en-AU" w:eastAsia="en-US"/>
        </w:rPr>
        <w:tab/>
        <w:t>t</w:t>
      </w:r>
      <w:r w:rsidRPr="008D3158">
        <w:rPr>
          <w:rFonts w:ascii="Calibri" w:hAnsi="Calibri"/>
          <w:lang w:val="en-AU" w:eastAsia="en-US"/>
        </w:rPr>
        <w:t>hat the ACT Government failed to establish a fuel price watchdog; and</w:t>
      </w:r>
    </w:p>
    <w:p w14:paraId="35CF41BC" w14:textId="77777777" w:rsidR="008D3158" w:rsidRPr="00D97477" w:rsidRDefault="008D3158" w:rsidP="008D3158">
      <w:pPr>
        <w:tabs>
          <w:tab w:val="left" w:pos="567"/>
        </w:tabs>
        <w:spacing w:before="120"/>
        <w:ind w:left="1910" w:hanging="544"/>
        <w:rPr>
          <w:rFonts w:ascii="Calibri" w:hAnsi="Calibri"/>
        </w:rPr>
      </w:pPr>
      <w:r w:rsidRPr="008D3158">
        <w:rPr>
          <w:rFonts w:ascii="Calibri" w:hAnsi="Calibri"/>
          <w:lang w:val="en-AU" w:eastAsia="en-US"/>
        </w:rPr>
        <w:t>(h)</w:t>
      </w:r>
      <w:r w:rsidRPr="008D3158">
        <w:rPr>
          <w:rFonts w:ascii="Calibri" w:hAnsi="Calibri"/>
          <w:lang w:val="en-AU" w:eastAsia="en-US"/>
        </w:rPr>
        <w:tab/>
        <w:t>as a result of its inaction, Canberrans continue to pay higher petrol prices than those of any other cap</w:t>
      </w:r>
      <w:r w:rsidRPr="00D97477">
        <w:rPr>
          <w:rFonts w:ascii="Calibri" w:hAnsi="Calibri"/>
        </w:rPr>
        <w:t>ital city in Australia; and</w:t>
      </w:r>
    </w:p>
    <w:p w14:paraId="6B199FB0" w14:textId="613ECD12" w:rsidR="008D3158" w:rsidRPr="00D97477" w:rsidRDefault="008D3158" w:rsidP="00456C0B">
      <w:pPr>
        <w:pStyle w:val="DPSEntryIndents"/>
        <w:ind w:left="1366" w:hanging="646"/>
        <w:rPr>
          <w:lang w:eastAsia="en-US"/>
        </w:rPr>
      </w:pPr>
      <w:r w:rsidRPr="00D97477">
        <w:rPr>
          <w:lang w:eastAsia="en-US"/>
        </w:rPr>
        <w:t>calls on the ACT Government to:</w:t>
      </w:r>
    </w:p>
    <w:p w14:paraId="51100D56" w14:textId="77777777" w:rsidR="008D3158" w:rsidRPr="008D3158" w:rsidRDefault="008D3158" w:rsidP="008D3158">
      <w:pPr>
        <w:tabs>
          <w:tab w:val="left" w:pos="567"/>
        </w:tabs>
        <w:spacing w:before="120"/>
        <w:ind w:left="1910" w:hanging="544"/>
        <w:rPr>
          <w:rFonts w:ascii="Calibri" w:hAnsi="Calibri"/>
          <w:lang w:val="en-AU" w:eastAsia="en-US"/>
        </w:rPr>
      </w:pPr>
      <w:r w:rsidRPr="008D3158">
        <w:rPr>
          <w:rFonts w:ascii="Calibri" w:hAnsi="Calibri"/>
          <w:lang w:val="en-AU" w:eastAsia="en-US"/>
        </w:rPr>
        <w:t>(a)</w:t>
      </w:r>
      <w:r w:rsidRPr="008D3158">
        <w:rPr>
          <w:rFonts w:ascii="Calibri" w:hAnsi="Calibri"/>
          <w:lang w:val="en-AU" w:eastAsia="en-US"/>
        </w:rPr>
        <w:tab/>
        <w:t>report back to the Assembly on 5 September 2024 on the progress of establishing a fuel price watchdog, and the commissioning of the ICRC to undertake ongoing monitoring, reporting and analysis of the ACT fuel market; and</w:t>
      </w:r>
    </w:p>
    <w:p w14:paraId="6FDC7362" w14:textId="4C8A1838" w:rsidR="008D3158" w:rsidRPr="00D97477" w:rsidRDefault="008D3158" w:rsidP="008D3158">
      <w:pPr>
        <w:tabs>
          <w:tab w:val="left" w:pos="567"/>
        </w:tabs>
        <w:spacing w:before="120"/>
        <w:ind w:left="1910" w:hanging="544"/>
        <w:rPr>
          <w:rFonts w:ascii="Calibri" w:hAnsi="Calibri"/>
          <w:lang w:val="en-AU" w:eastAsia="en-US"/>
        </w:rPr>
      </w:pPr>
      <w:r w:rsidRPr="008D3158">
        <w:rPr>
          <w:rFonts w:ascii="Calibri" w:hAnsi="Calibri"/>
          <w:lang w:val="en-AU" w:eastAsia="en-US"/>
        </w:rPr>
        <w:lastRenderedPageBreak/>
        <w:t>(b)</w:t>
      </w:r>
      <w:r w:rsidRPr="008D3158">
        <w:rPr>
          <w:rFonts w:ascii="Calibri" w:hAnsi="Calibri"/>
          <w:lang w:val="en-AU" w:eastAsia="en-US"/>
        </w:rPr>
        <w:tab/>
        <w:t>apologise to Canberrans for failing to implement measures in the Territory that would have likely led to lower petrol prices for Canberrans, partic</w:t>
      </w:r>
      <w:r w:rsidRPr="00D97477">
        <w:rPr>
          <w:rFonts w:ascii="Calibri" w:hAnsi="Calibri"/>
        </w:rPr>
        <w:t>ularly</w:t>
      </w:r>
      <w:r w:rsidR="00E42CC6">
        <w:rPr>
          <w:rFonts w:ascii="Calibri" w:hAnsi="Calibri"/>
        </w:rPr>
        <w:t xml:space="preserve"> </w:t>
      </w:r>
      <w:r w:rsidRPr="00D97477">
        <w:rPr>
          <w:rFonts w:ascii="Calibri" w:hAnsi="Calibri"/>
        </w:rPr>
        <w:t xml:space="preserve">during this worsening cost-of-living crisis. </w:t>
      </w:r>
    </w:p>
    <w:p w14:paraId="7E2DCA9F" w14:textId="140F4D2A" w:rsidR="00026751" w:rsidRDefault="00456C0B" w:rsidP="00026751">
      <w:pPr>
        <w:spacing w:before="120"/>
        <w:ind w:left="720" w:right="-35"/>
        <w:rPr>
          <w:rFonts w:ascii="Calibri" w:hAnsi="Calibri"/>
          <w:color w:val="000000"/>
          <w:lang w:val="en-AU"/>
        </w:rPr>
      </w:pPr>
      <w:r>
        <w:rPr>
          <w:rFonts w:ascii="Calibri" w:hAnsi="Calibri"/>
          <w:color w:val="000000"/>
          <w:lang w:val="en-AU"/>
        </w:rPr>
        <w:t xml:space="preserve">Mr Barr (Chief Minister) moved the following amendment: Omit all text after </w:t>
      </w:r>
      <w:r w:rsidR="00091C7D">
        <w:rPr>
          <w:rFonts w:ascii="Calibri" w:hAnsi="Calibri"/>
          <w:color w:val="000000"/>
          <w:lang w:val="en-AU"/>
        </w:rPr>
        <w:t>“</w:t>
      </w:r>
      <w:r>
        <w:rPr>
          <w:rFonts w:ascii="Calibri" w:hAnsi="Calibri"/>
          <w:color w:val="000000"/>
          <w:lang w:val="en-AU"/>
        </w:rPr>
        <w:t>That this Assembly</w:t>
      </w:r>
      <w:r w:rsidR="00091C7D">
        <w:rPr>
          <w:rFonts w:ascii="Calibri" w:hAnsi="Calibri"/>
          <w:color w:val="000000"/>
          <w:lang w:val="en-AU"/>
        </w:rPr>
        <w:t>”</w:t>
      </w:r>
      <w:r>
        <w:rPr>
          <w:rFonts w:ascii="Calibri" w:hAnsi="Calibri"/>
          <w:color w:val="000000"/>
          <w:lang w:val="en-AU"/>
        </w:rPr>
        <w:t>, substitute:</w:t>
      </w:r>
    </w:p>
    <w:p w14:paraId="76896ACF" w14:textId="44011D8D" w:rsidR="00456C0B" w:rsidRPr="00456C0B" w:rsidRDefault="00091C7D" w:rsidP="00456C0B">
      <w:pPr>
        <w:spacing w:before="120"/>
        <w:ind w:left="1366" w:hanging="646"/>
        <w:rPr>
          <w:rFonts w:ascii="Calibri" w:hAnsi="Calibri"/>
          <w:color w:val="000000"/>
          <w:lang w:val="en-AU"/>
        </w:rPr>
      </w:pPr>
      <w:r>
        <w:rPr>
          <w:rFonts w:ascii="Calibri" w:hAnsi="Calibri"/>
          <w:color w:val="000000"/>
          <w:lang w:val="en-AU"/>
        </w:rPr>
        <w:t>“</w:t>
      </w:r>
      <w:r w:rsidR="00456C0B" w:rsidRPr="00456C0B">
        <w:rPr>
          <w:rFonts w:ascii="Calibri" w:hAnsi="Calibri"/>
          <w:color w:val="000000"/>
          <w:lang w:val="en-AU"/>
        </w:rPr>
        <w:t>(1)</w:t>
      </w:r>
      <w:r w:rsidR="00456C0B" w:rsidRPr="00456C0B">
        <w:rPr>
          <w:rFonts w:ascii="Calibri" w:hAnsi="Calibri"/>
          <w:color w:val="000000"/>
          <w:lang w:val="en-AU"/>
        </w:rPr>
        <w:tab/>
        <w:t>notes:</w:t>
      </w:r>
    </w:p>
    <w:p w14:paraId="10D37FE9" w14:textId="77777777"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(a)</w:t>
      </w:r>
      <w:r w:rsidRPr="00456C0B">
        <w:rPr>
          <w:rFonts w:ascii="Calibri" w:hAnsi="Calibri"/>
          <w:color w:val="000000"/>
          <w:lang w:val="en-AU"/>
        </w:rPr>
        <w:tab/>
        <w:t>Australia is experiencing a cost-of-living crisis, with the cost of basic goods and services, including petrol, becoming more expensive;</w:t>
      </w:r>
    </w:p>
    <w:p w14:paraId="1CDED91A" w14:textId="77777777"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(b)</w:t>
      </w:r>
      <w:r w:rsidRPr="00456C0B">
        <w:rPr>
          <w:rFonts w:ascii="Calibri" w:hAnsi="Calibri"/>
          <w:color w:val="000000"/>
          <w:lang w:val="en-AU"/>
        </w:rPr>
        <w:tab/>
        <w:t>this is due to exogenous shocks and a period of high inflation;</w:t>
      </w:r>
    </w:p>
    <w:p w14:paraId="2C3B6A8D" w14:textId="53A4B39D"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(c)</w:t>
      </w:r>
      <w:r w:rsidRPr="00456C0B">
        <w:rPr>
          <w:rFonts w:ascii="Calibri" w:hAnsi="Calibri"/>
          <w:color w:val="000000"/>
          <w:lang w:val="en-AU"/>
        </w:rPr>
        <w:tab/>
        <w:t>the Australian Competition and Consumer Commission</w:t>
      </w:r>
      <w:r w:rsidR="00091C7D">
        <w:rPr>
          <w:rFonts w:ascii="Calibri" w:hAnsi="Calibri"/>
          <w:color w:val="000000"/>
          <w:lang w:val="en-AU"/>
        </w:rPr>
        <w:t>’</w:t>
      </w:r>
      <w:r w:rsidRPr="00456C0B">
        <w:rPr>
          <w:rFonts w:ascii="Calibri" w:hAnsi="Calibri"/>
          <w:color w:val="000000"/>
          <w:lang w:val="en-AU"/>
        </w:rPr>
        <w:t xml:space="preserve">s (ACCC) March quarter 2024 </w:t>
      </w:r>
      <w:r w:rsidRPr="00456C0B">
        <w:rPr>
          <w:rFonts w:ascii="Calibri" w:hAnsi="Calibri"/>
          <w:i/>
          <w:iCs/>
          <w:color w:val="000000"/>
          <w:lang w:val="en-AU"/>
        </w:rPr>
        <w:t>Report on the Australian petroleum market</w:t>
      </w:r>
      <w:r w:rsidRPr="00456C0B">
        <w:rPr>
          <w:rFonts w:ascii="Calibri" w:hAnsi="Calibri"/>
          <w:color w:val="000000"/>
          <w:lang w:val="en-AU"/>
        </w:rPr>
        <w:t xml:space="preserve"> found Canberra</w:t>
      </w:r>
      <w:r w:rsidR="00091C7D">
        <w:rPr>
          <w:rFonts w:ascii="Calibri" w:hAnsi="Calibri"/>
          <w:color w:val="000000"/>
          <w:lang w:val="en-AU"/>
        </w:rPr>
        <w:t>’</w:t>
      </w:r>
      <w:r w:rsidRPr="00456C0B">
        <w:rPr>
          <w:rFonts w:ascii="Calibri" w:hAnsi="Calibri"/>
          <w:color w:val="000000"/>
          <w:lang w:val="en-AU"/>
        </w:rPr>
        <w:t>s average retail petrol prices to be 202.0 cents per litre;</w:t>
      </w:r>
    </w:p>
    <w:p w14:paraId="7E736E39" w14:textId="77777777"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(d)</w:t>
      </w:r>
      <w:r w:rsidRPr="00456C0B">
        <w:rPr>
          <w:rFonts w:ascii="Calibri" w:hAnsi="Calibri"/>
          <w:color w:val="000000"/>
          <w:lang w:val="en-AU"/>
        </w:rPr>
        <w:tab/>
        <w:t>petrol prices increase and decrease in regular patterns in our largest capital cities due to pricing policies, not changes in the wholesale cost of fuel – this cycle does not occur in Canberra, Hobart or Darwin;</w:t>
      </w:r>
    </w:p>
    <w:p w14:paraId="2D587A18" w14:textId="5FAA99AB"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(e)</w:t>
      </w:r>
      <w:r w:rsidRPr="00456C0B">
        <w:rPr>
          <w:rFonts w:ascii="Calibri" w:hAnsi="Calibri"/>
          <w:color w:val="000000"/>
          <w:lang w:val="en-AU"/>
        </w:rPr>
        <w:tab/>
        <w:t>the Australian Institute of Petroleum</w:t>
      </w:r>
      <w:r w:rsidR="00091C7D">
        <w:rPr>
          <w:rFonts w:ascii="Calibri" w:hAnsi="Calibri"/>
          <w:color w:val="000000"/>
          <w:lang w:val="en-AU"/>
        </w:rPr>
        <w:t>’</w:t>
      </w:r>
      <w:r w:rsidRPr="00456C0B">
        <w:rPr>
          <w:rFonts w:ascii="Calibri" w:hAnsi="Calibri"/>
          <w:color w:val="000000"/>
          <w:lang w:val="en-AU"/>
        </w:rPr>
        <w:t>s Weekly Petrol Prices Report for the week ending 1 September highlights a Metropolitan Average Price of 189.2 cents per litre in Canberra – over 8 cents lower than Sydney</w:t>
      </w:r>
      <w:r w:rsidR="00091C7D">
        <w:rPr>
          <w:rFonts w:ascii="Calibri" w:hAnsi="Calibri"/>
          <w:color w:val="000000"/>
          <w:lang w:val="en-AU"/>
        </w:rPr>
        <w:t>’</w:t>
      </w:r>
      <w:r w:rsidRPr="00456C0B">
        <w:rPr>
          <w:rFonts w:ascii="Calibri" w:hAnsi="Calibri"/>
          <w:color w:val="000000"/>
          <w:lang w:val="en-AU"/>
        </w:rPr>
        <w:t>s at 197.3, and over 10 cents lower than Brisbane</w:t>
      </w:r>
      <w:r w:rsidR="00091C7D">
        <w:rPr>
          <w:rFonts w:ascii="Calibri" w:hAnsi="Calibri"/>
          <w:color w:val="000000"/>
          <w:lang w:val="en-AU"/>
        </w:rPr>
        <w:t>’</w:t>
      </w:r>
      <w:r w:rsidRPr="00456C0B">
        <w:rPr>
          <w:rFonts w:ascii="Calibri" w:hAnsi="Calibri"/>
          <w:color w:val="000000"/>
          <w:lang w:val="en-AU"/>
        </w:rPr>
        <w:t>s at 199.6; and</w:t>
      </w:r>
    </w:p>
    <w:p w14:paraId="3650A816" w14:textId="5FDF676A"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(f)</w:t>
      </w:r>
      <w:r w:rsidRPr="00456C0B">
        <w:rPr>
          <w:rFonts w:ascii="Calibri" w:hAnsi="Calibri"/>
          <w:color w:val="000000"/>
          <w:lang w:val="en-AU"/>
        </w:rPr>
        <w:tab/>
        <w:t>before the Government</w:t>
      </w:r>
      <w:r w:rsidR="00091C7D">
        <w:rPr>
          <w:rFonts w:ascii="Calibri" w:hAnsi="Calibri"/>
          <w:color w:val="000000"/>
          <w:lang w:val="en-AU"/>
        </w:rPr>
        <w:t>’</w:t>
      </w:r>
      <w:r w:rsidRPr="00456C0B">
        <w:rPr>
          <w:rFonts w:ascii="Calibri" w:hAnsi="Calibri"/>
          <w:color w:val="000000"/>
          <w:lang w:val="en-AU"/>
        </w:rPr>
        <w:t>s intervention, Canberrans were unfairly paying up to 25 cents per litre more than Sydney motorists;</w:t>
      </w:r>
    </w:p>
    <w:p w14:paraId="4F4D24C4" w14:textId="111C829F" w:rsidR="00456C0B" w:rsidRPr="00456C0B" w:rsidRDefault="00456C0B" w:rsidP="00456C0B">
      <w:pPr>
        <w:spacing w:before="120"/>
        <w:ind w:left="1366" w:hanging="646"/>
        <w:rPr>
          <w:rFonts w:ascii="Calibri" w:hAnsi="Calibri"/>
          <w:color w:val="000000"/>
          <w:lang w:val="en-AU"/>
        </w:rPr>
      </w:pPr>
      <w:r w:rsidRPr="00456C0B">
        <w:rPr>
          <w:rFonts w:ascii="Calibri" w:hAnsi="Calibri"/>
          <w:color w:val="000000"/>
          <w:lang w:val="en-AU"/>
        </w:rPr>
        <w:t>(2)</w:t>
      </w:r>
      <w:r w:rsidRPr="00456C0B">
        <w:rPr>
          <w:rFonts w:ascii="Calibri" w:hAnsi="Calibri"/>
          <w:color w:val="000000"/>
          <w:lang w:val="en-AU"/>
        </w:rPr>
        <w:tab/>
      </w:r>
      <w:r>
        <w:rPr>
          <w:rFonts w:ascii="Calibri" w:hAnsi="Calibri"/>
          <w:color w:val="000000"/>
          <w:lang w:val="en-AU"/>
        </w:rPr>
        <w:t>f</w:t>
      </w:r>
      <w:r w:rsidRPr="00456C0B">
        <w:rPr>
          <w:rFonts w:ascii="Calibri" w:hAnsi="Calibri"/>
          <w:color w:val="000000"/>
          <w:lang w:val="en-AU"/>
        </w:rPr>
        <w:t>urther notes:</w:t>
      </w:r>
    </w:p>
    <w:p w14:paraId="5D8845B3" w14:textId="77777777"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(a)</w:t>
      </w:r>
      <w:r w:rsidRPr="00456C0B">
        <w:rPr>
          <w:rFonts w:ascii="Calibri" w:hAnsi="Calibri"/>
          <w:color w:val="000000"/>
          <w:lang w:val="en-AU"/>
        </w:rPr>
        <w:tab/>
        <w:t>on 14 February 2019, the Assembly established the Select Committee on Fuel Pricing which considered reasons for significant pricing discrepancies within the ACT when compared to other capital cities;</w:t>
      </w:r>
    </w:p>
    <w:p w14:paraId="4FE6BD57" w14:textId="48D0DCE4"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(b)</w:t>
      </w:r>
      <w:r w:rsidRPr="00456C0B">
        <w:rPr>
          <w:rFonts w:ascii="Calibri" w:hAnsi="Calibri"/>
          <w:color w:val="000000"/>
          <w:lang w:val="en-AU"/>
        </w:rPr>
        <w:tab/>
        <w:t>the Select Committee</w:t>
      </w:r>
      <w:r w:rsidR="00091C7D">
        <w:rPr>
          <w:rFonts w:ascii="Calibri" w:hAnsi="Calibri"/>
          <w:color w:val="000000"/>
          <w:lang w:val="en-AU"/>
        </w:rPr>
        <w:t>’</w:t>
      </w:r>
      <w:r w:rsidRPr="00456C0B">
        <w:rPr>
          <w:rFonts w:ascii="Calibri" w:hAnsi="Calibri"/>
          <w:color w:val="000000"/>
          <w:lang w:val="en-AU"/>
        </w:rPr>
        <w:t>s report found:</w:t>
      </w:r>
    </w:p>
    <w:p w14:paraId="61FAA039" w14:textId="31601A56" w:rsidR="00456C0B" w:rsidRPr="00456C0B" w:rsidRDefault="00456C0B" w:rsidP="00456C0B">
      <w:pPr>
        <w:spacing w:before="120"/>
        <w:ind w:left="2477" w:hanging="544"/>
        <w:rPr>
          <w:rFonts w:ascii="Calibri" w:hAnsi="Calibri"/>
          <w:color w:val="000000"/>
          <w:lang w:val="en-AU"/>
        </w:rPr>
      </w:pPr>
      <w:r>
        <w:rPr>
          <w:rFonts w:ascii="Calibri" w:hAnsi="Calibri"/>
          <w:color w:val="000000"/>
          <w:lang w:val="en-AU"/>
        </w:rPr>
        <w:t>(i)</w:t>
      </w:r>
      <w:r w:rsidRPr="00456C0B">
        <w:rPr>
          <w:rFonts w:ascii="Calibri" w:hAnsi="Calibri"/>
          <w:color w:val="000000"/>
          <w:lang w:val="en-AU"/>
        </w:rPr>
        <w:tab/>
        <w:t>annual average petrol prices in Canberra were higher than prices in the five largest capital cities between 2012-2013 and 2018-2019;</w:t>
      </w:r>
    </w:p>
    <w:p w14:paraId="66E1A0F1" w14:textId="617C627B" w:rsidR="00456C0B" w:rsidRPr="00456C0B" w:rsidRDefault="00456C0B" w:rsidP="00456C0B">
      <w:pPr>
        <w:spacing w:before="120"/>
        <w:ind w:left="2477" w:hanging="544"/>
        <w:rPr>
          <w:rFonts w:ascii="Calibri" w:hAnsi="Calibri"/>
          <w:color w:val="000000"/>
          <w:lang w:val="en-AU"/>
        </w:rPr>
      </w:pPr>
      <w:r>
        <w:rPr>
          <w:rFonts w:ascii="Calibri" w:hAnsi="Calibri"/>
          <w:color w:val="000000"/>
          <w:lang w:val="en-AU"/>
        </w:rPr>
        <w:t>(</w:t>
      </w:r>
      <w:r w:rsidRPr="00456C0B">
        <w:rPr>
          <w:rFonts w:ascii="Calibri" w:hAnsi="Calibri"/>
          <w:color w:val="000000"/>
          <w:lang w:val="en-AU"/>
        </w:rPr>
        <w:t>ii</w:t>
      </w:r>
      <w:r>
        <w:rPr>
          <w:rFonts w:ascii="Calibri" w:hAnsi="Calibri"/>
          <w:color w:val="000000"/>
          <w:lang w:val="en-AU"/>
        </w:rPr>
        <w:t>)</w:t>
      </w:r>
      <w:r w:rsidRPr="00456C0B">
        <w:rPr>
          <w:rFonts w:ascii="Calibri" w:hAnsi="Calibri"/>
          <w:color w:val="000000"/>
          <w:lang w:val="en-AU"/>
        </w:rPr>
        <w:tab/>
        <w:t>Canberra petrol prices were consistently higher than those in Sydney and in other surrounding towns between 2012-2013;</w:t>
      </w:r>
    </w:p>
    <w:p w14:paraId="78E82F83" w14:textId="2DE49AC0" w:rsidR="00456C0B" w:rsidRPr="00456C0B" w:rsidRDefault="00456C0B" w:rsidP="00456C0B">
      <w:pPr>
        <w:spacing w:before="120"/>
        <w:ind w:left="2477" w:hanging="544"/>
        <w:rPr>
          <w:rFonts w:ascii="Calibri" w:hAnsi="Calibri"/>
          <w:color w:val="000000"/>
          <w:lang w:val="en-AU"/>
        </w:rPr>
      </w:pPr>
      <w:r>
        <w:rPr>
          <w:rFonts w:ascii="Calibri" w:hAnsi="Calibri"/>
          <w:color w:val="000000"/>
          <w:lang w:val="en-AU"/>
        </w:rPr>
        <w:t>(</w:t>
      </w:r>
      <w:r w:rsidRPr="00456C0B">
        <w:rPr>
          <w:rFonts w:ascii="Calibri" w:hAnsi="Calibri"/>
          <w:color w:val="000000"/>
          <w:lang w:val="en-AU"/>
        </w:rPr>
        <w:t>iii</w:t>
      </w:r>
      <w:r>
        <w:rPr>
          <w:rFonts w:ascii="Calibri" w:hAnsi="Calibri"/>
          <w:color w:val="000000"/>
          <w:lang w:val="en-AU"/>
        </w:rPr>
        <w:t>)</w:t>
      </w:r>
      <w:r w:rsidRPr="00456C0B">
        <w:rPr>
          <w:rFonts w:ascii="Calibri" w:hAnsi="Calibri"/>
          <w:color w:val="000000"/>
          <w:lang w:val="en-AU"/>
        </w:rPr>
        <w:tab/>
        <w:t>the ACT fuel market was not meeting consumer expectations;</w:t>
      </w:r>
    </w:p>
    <w:p w14:paraId="7E73BF5B" w14:textId="77777777"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(c)</w:t>
      </w:r>
      <w:r w:rsidRPr="00456C0B">
        <w:rPr>
          <w:rFonts w:ascii="Calibri" w:hAnsi="Calibri"/>
          <w:color w:val="000000"/>
          <w:lang w:val="en-AU"/>
        </w:rPr>
        <w:tab/>
        <w:t>on 22 February 2019 the Chief Minister made a referral to the Independent Competition and Regulatory Commission to undertake a factual analysis of petrol prices and competition in the ACT;</w:t>
      </w:r>
    </w:p>
    <w:p w14:paraId="3980EF2F" w14:textId="760B1B02"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(d)</w:t>
      </w:r>
      <w:r w:rsidRPr="00456C0B">
        <w:rPr>
          <w:rFonts w:ascii="Calibri" w:hAnsi="Calibri"/>
          <w:color w:val="000000"/>
          <w:lang w:val="en-AU"/>
        </w:rPr>
        <w:tab/>
        <w:t>prior to the Chief Minister</w:t>
      </w:r>
      <w:r w:rsidR="00091C7D">
        <w:rPr>
          <w:rFonts w:ascii="Calibri" w:hAnsi="Calibri"/>
          <w:color w:val="000000"/>
          <w:lang w:val="en-AU"/>
        </w:rPr>
        <w:t>’</w:t>
      </w:r>
      <w:r w:rsidRPr="00456C0B">
        <w:rPr>
          <w:rFonts w:ascii="Calibri" w:hAnsi="Calibri"/>
          <w:color w:val="000000"/>
          <w:lang w:val="en-AU"/>
        </w:rPr>
        <w:t xml:space="preserve">s intervention, the March quarter 2020 ACCC Report showed on average Canberrans were paying 14.2 cents per litre more than Sydney motorists; </w:t>
      </w:r>
    </w:p>
    <w:p w14:paraId="2264B1EC" w14:textId="77777777" w:rsidR="00456C0B" w:rsidRPr="00456C0B" w:rsidRDefault="00456C0B" w:rsidP="00456C0B">
      <w:pPr>
        <w:spacing w:before="120"/>
        <w:ind w:left="1910" w:hanging="544"/>
        <w:rPr>
          <w:rFonts w:ascii="Calibri" w:hAnsi="Calibri"/>
          <w:color w:val="000000"/>
          <w:lang w:val="en-AU"/>
        </w:rPr>
      </w:pPr>
      <w:r w:rsidRPr="00456C0B">
        <w:rPr>
          <w:rFonts w:ascii="Calibri" w:hAnsi="Calibri"/>
          <w:color w:val="000000"/>
          <w:lang w:val="en-AU"/>
        </w:rPr>
        <w:t>(e)</w:t>
      </w:r>
      <w:r w:rsidRPr="00456C0B">
        <w:rPr>
          <w:rFonts w:ascii="Calibri" w:hAnsi="Calibri"/>
          <w:color w:val="000000"/>
          <w:lang w:val="en-AU"/>
        </w:rPr>
        <w:tab/>
      </w:r>
      <w:r w:rsidRPr="003D4AE4">
        <w:rPr>
          <w:rFonts w:ascii="Calibri" w:hAnsi="Calibri"/>
          <w:color w:val="000000"/>
          <w:spacing w:val="-2"/>
          <w:lang w:val="en-AU"/>
        </w:rPr>
        <w:t>the Chief Minister wrote to major fuel operators on 20 April 2020 highlighting unnecessarily high retail margins and indicating the Government was willing to introduce price regulations if the issue was not addressed;</w:t>
      </w:r>
    </w:p>
    <w:p w14:paraId="0C0A6807" w14:textId="6E956F8C" w:rsidR="00456C0B" w:rsidRPr="00456C0B" w:rsidRDefault="00456C0B" w:rsidP="003D4AE4">
      <w:pPr>
        <w:spacing w:before="80"/>
        <w:ind w:left="1910" w:hanging="544"/>
        <w:rPr>
          <w:rFonts w:ascii="Calibri" w:hAnsi="Calibri"/>
          <w:color w:val="000000"/>
          <w:lang w:val="en-AU"/>
        </w:rPr>
      </w:pPr>
      <w:r w:rsidRPr="00456C0B">
        <w:rPr>
          <w:rFonts w:ascii="Calibri" w:hAnsi="Calibri"/>
          <w:color w:val="000000"/>
          <w:lang w:val="en-AU"/>
        </w:rPr>
        <w:lastRenderedPageBreak/>
        <w:t>(f)</w:t>
      </w:r>
      <w:r w:rsidRPr="00456C0B">
        <w:rPr>
          <w:rFonts w:ascii="Calibri" w:hAnsi="Calibri"/>
          <w:color w:val="000000"/>
          <w:lang w:val="en-AU"/>
        </w:rPr>
        <w:tab/>
        <w:t>the Chief Minister subsequently wrote to major fuel operators on several occasions to remind retailers of the Government</w:t>
      </w:r>
      <w:r w:rsidR="00091C7D">
        <w:rPr>
          <w:rFonts w:ascii="Calibri" w:hAnsi="Calibri"/>
          <w:color w:val="000000"/>
          <w:lang w:val="en-AU"/>
        </w:rPr>
        <w:t>’</w:t>
      </w:r>
      <w:r w:rsidRPr="00456C0B">
        <w:rPr>
          <w:rFonts w:ascii="Calibri" w:hAnsi="Calibri"/>
          <w:color w:val="000000"/>
          <w:lang w:val="en-AU"/>
        </w:rPr>
        <w:t>s position and their responsibility to bring pricing in line with other metropolitan centres; and</w:t>
      </w:r>
    </w:p>
    <w:p w14:paraId="06459E5A" w14:textId="6966F2BB" w:rsidR="00456C0B" w:rsidRPr="00456C0B" w:rsidRDefault="00456C0B" w:rsidP="003D4AE4">
      <w:pPr>
        <w:spacing w:before="80"/>
        <w:ind w:left="1910" w:hanging="544"/>
        <w:rPr>
          <w:rFonts w:ascii="Calibri" w:hAnsi="Calibri"/>
          <w:color w:val="000000"/>
          <w:lang w:val="en-AU"/>
        </w:rPr>
      </w:pPr>
      <w:r w:rsidRPr="00456C0B">
        <w:rPr>
          <w:rFonts w:ascii="Calibri" w:hAnsi="Calibri"/>
          <w:color w:val="000000"/>
          <w:lang w:val="en-AU"/>
        </w:rPr>
        <w:t>(g)</w:t>
      </w:r>
      <w:r w:rsidRPr="00456C0B">
        <w:rPr>
          <w:rFonts w:ascii="Calibri" w:hAnsi="Calibri"/>
          <w:color w:val="000000"/>
          <w:lang w:val="en-AU"/>
        </w:rPr>
        <w:tab/>
        <w:t>following the intervention, the June quarter 2022 ACCC report revealed that in 2021-</w:t>
      </w:r>
      <w:r w:rsidR="003F41B5">
        <w:rPr>
          <w:rFonts w:ascii="Calibri" w:hAnsi="Calibri"/>
          <w:color w:val="000000"/>
          <w:lang w:val="en-AU"/>
        </w:rPr>
        <w:t>20</w:t>
      </w:r>
      <w:r w:rsidRPr="00456C0B">
        <w:rPr>
          <w:rFonts w:ascii="Calibri" w:hAnsi="Calibri"/>
          <w:color w:val="000000"/>
          <w:lang w:val="en-AU"/>
        </w:rPr>
        <w:t>22 Canberrans were paying prices comparable to Sydney;</w:t>
      </w:r>
    </w:p>
    <w:p w14:paraId="37D892F3" w14:textId="5833E03F" w:rsidR="00456C0B" w:rsidRPr="00456C0B" w:rsidRDefault="00456C0B" w:rsidP="003D4AE4">
      <w:pPr>
        <w:keepNext/>
        <w:spacing w:before="80"/>
        <w:ind w:left="1366" w:hanging="646"/>
        <w:rPr>
          <w:rFonts w:ascii="Calibri" w:hAnsi="Calibri"/>
          <w:color w:val="000000"/>
          <w:lang w:val="en-AU"/>
        </w:rPr>
      </w:pPr>
      <w:r w:rsidRPr="00456C0B">
        <w:rPr>
          <w:rFonts w:ascii="Calibri" w:hAnsi="Calibri"/>
          <w:color w:val="000000"/>
          <w:lang w:val="en-AU"/>
        </w:rPr>
        <w:t>(3)</w:t>
      </w:r>
      <w:r w:rsidRPr="00456C0B">
        <w:rPr>
          <w:rFonts w:ascii="Calibri" w:hAnsi="Calibri"/>
          <w:color w:val="000000"/>
          <w:lang w:val="en-AU"/>
        </w:rPr>
        <w:tab/>
      </w:r>
      <w:r>
        <w:rPr>
          <w:rFonts w:ascii="Calibri" w:hAnsi="Calibri"/>
          <w:color w:val="000000"/>
          <w:lang w:val="en-AU"/>
        </w:rPr>
        <w:t>a</w:t>
      </w:r>
      <w:r w:rsidRPr="00456C0B">
        <w:rPr>
          <w:rFonts w:ascii="Calibri" w:hAnsi="Calibri"/>
          <w:color w:val="000000"/>
          <w:lang w:val="en-AU"/>
        </w:rPr>
        <w:t>cknowledges:</w:t>
      </w:r>
    </w:p>
    <w:p w14:paraId="0A8A4D39" w14:textId="77777777" w:rsidR="00456C0B" w:rsidRPr="00456C0B" w:rsidRDefault="00456C0B" w:rsidP="003D4AE4">
      <w:pPr>
        <w:spacing w:before="80"/>
        <w:ind w:left="1910" w:hanging="544"/>
        <w:rPr>
          <w:rFonts w:ascii="Calibri" w:hAnsi="Calibri"/>
          <w:color w:val="000000"/>
          <w:lang w:val="en-AU"/>
        </w:rPr>
      </w:pPr>
      <w:r w:rsidRPr="00456C0B">
        <w:rPr>
          <w:rFonts w:ascii="Calibri" w:hAnsi="Calibri"/>
          <w:color w:val="000000"/>
          <w:lang w:val="en-AU"/>
        </w:rPr>
        <w:t>(a)</w:t>
      </w:r>
      <w:r w:rsidRPr="00456C0B">
        <w:rPr>
          <w:rFonts w:ascii="Calibri" w:hAnsi="Calibri"/>
          <w:color w:val="000000"/>
          <w:lang w:val="en-AU"/>
        </w:rPr>
        <w:tab/>
        <w:t>on 4 November 2022, the Government announced the introduction of the FuelCheck scheme for a 6-month pilot, at no cost to the ACT;</w:t>
      </w:r>
    </w:p>
    <w:p w14:paraId="76C1281F" w14:textId="77777777" w:rsidR="00456C0B" w:rsidRPr="00456C0B" w:rsidRDefault="00456C0B" w:rsidP="003D4AE4">
      <w:pPr>
        <w:spacing w:before="80"/>
        <w:ind w:left="1910" w:hanging="544"/>
        <w:rPr>
          <w:rFonts w:ascii="Calibri" w:hAnsi="Calibri"/>
          <w:color w:val="000000"/>
          <w:lang w:val="en-AU"/>
        </w:rPr>
      </w:pPr>
      <w:r w:rsidRPr="00456C0B">
        <w:rPr>
          <w:rFonts w:ascii="Calibri" w:hAnsi="Calibri"/>
          <w:color w:val="000000"/>
          <w:lang w:val="en-AU"/>
        </w:rPr>
        <w:t>(b)</w:t>
      </w:r>
      <w:r w:rsidRPr="00456C0B">
        <w:rPr>
          <w:rFonts w:ascii="Calibri" w:hAnsi="Calibri"/>
          <w:color w:val="000000"/>
          <w:lang w:val="en-AU"/>
        </w:rPr>
        <w:tab/>
        <w:t>during the pilot, consumers enjoyed savings on average of 11 cents per litre on standard unleaded; and</w:t>
      </w:r>
    </w:p>
    <w:p w14:paraId="6B2D11BD" w14:textId="77777777" w:rsidR="00456C0B" w:rsidRPr="00456C0B" w:rsidRDefault="00456C0B" w:rsidP="003D4AE4">
      <w:pPr>
        <w:spacing w:before="80"/>
        <w:ind w:left="1910" w:hanging="544"/>
        <w:rPr>
          <w:rFonts w:ascii="Calibri" w:hAnsi="Calibri"/>
          <w:color w:val="000000"/>
          <w:lang w:val="en-AU"/>
        </w:rPr>
      </w:pPr>
      <w:r w:rsidRPr="00456C0B">
        <w:rPr>
          <w:rFonts w:ascii="Calibri" w:hAnsi="Calibri"/>
          <w:color w:val="000000"/>
          <w:lang w:val="en-AU"/>
        </w:rPr>
        <w:t>(c)</w:t>
      </w:r>
      <w:r w:rsidRPr="00456C0B">
        <w:rPr>
          <w:rFonts w:ascii="Calibri" w:hAnsi="Calibri"/>
          <w:color w:val="000000"/>
          <w:lang w:val="en-AU"/>
        </w:rPr>
        <w:tab/>
        <w:t>in October 2023 the Government committed to the continuation of the scheme, given the fuel price benefits accruing to ACT motorists; and</w:t>
      </w:r>
    </w:p>
    <w:p w14:paraId="3B0E6FD4" w14:textId="77777777" w:rsidR="00456C0B" w:rsidRPr="00456C0B" w:rsidRDefault="00456C0B" w:rsidP="003D4AE4">
      <w:pPr>
        <w:spacing w:before="80"/>
        <w:ind w:left="1366" w:hanging="646"/>
        <w:rPr>
          <w:rFonts w:ascii="Calibri" w:hAnsi="Calibri"/>
          <w:color w:val="000000"/>
          <w:lang w:val="en-AU"/>
        </w:rPr>
      </w:pPr>
      <w:r w:rsidRPr="00456C0B">
        <w:rPr>
          <w:rFonts w:ascii="Calibri" w:hAnsi="Calibri"/>
          <w:color w:val="000000"/>
          <w:lang w:val="en-AU"/>
        </w:rPr>
        <w:t>(4)</w:t>
      </w:r>
      <w:r w:rsidRPr="00456C0B">
        <w:rPr>
          <w:rFonts w:ascii="Calibri" w:hAnsi="Calibri"/>
          <w:color w:val="000000"/>
          <w:lang w:val="en-AU"/>
        </w:rPr>
        <w:tab/>
        <w:t>calls on the Government to:</w:t>
      </w:r>
    </w:p>
    <w:p w14:paraId="33E4EEB5" w14:textId="2D7AD17E" w:rsidR="00456C0B" w:rsidRPr="00456C0B" w:rsidRDefault="00456C0B" w:rsidP="003D4AE4">
      <w:pPr>
        <w:spacing w:before="80"/>
        <w:ind w:left="1910" w:hanging="544"/>
        <w:rPr>
          <w:rFonts w:ascii="Calibri" w:hAnsi="Calibri"/>
          <w:color w:val="000000"/>
          <w:lang w:val="en-AU"/>
        </w:rPr>
      </w:pPr>
      <w:r w:rsidRPr="00456C0B">
        <w:rPr>
          <w:rFonts w:ascii="Calibri" w:hAnsi="Calibri"/>
          <w:color w:val="000000"/>
          <w:lang w:val="en-AU"/>
        </w:rPr>
        <w:t>(a)</w:t>
      </w:r>
      <w:r w:rsidRPr="00456C0B">
        <w:rPr>
          <w:rFonts w:ascii="Calibri" w:hAnsi="Calibri"/>
          <w:color w:val="000000"/>
          <w:lang w:val="en-AU"/>
        </w:rPr>
        <w:tab/>
        <w:t>recommit to the continuation of the FuelCheck scheme at no cost to ACT taxpayers; and</w:t>
      </w:r>
    </w:p>
    <w:p w14:paraId="3E51D63F" w14:textId="5BC39548" w:rsidR="00456C0B" w:rsidRPr="00026751" w:rsidRDefault="00456C0B" w:rsidP="003D4AE4">
      <w:pPr>
        <w:spacing w:before="80"/>
        <w:ind w:left="1910" w:hanging="544"/>
        <w:rPr>
          <w:rFonts w:ascii="Calibri" w:hAnsi="Calibri"/>
          <w:color w:val="000000"/>
          <w:lang w:val="en-AU"/>
        </w:rPr>
      </w:pPr>
      <w:r w:rsidRPr="00456C0B">
        <w:rPr>
          <w:rFonts w:ascii="Calibri" w:hAnsi="Calibri"/>
          <w:color w:val="000000"/>
          <w:lang w:val="en-AU"/>
        </w:rPr>
        <w:t>(b)</w:t>
      </w:r>
      <w:r w:rsidRPr="00456C0B">
        <w:rPr>
          <w:rFonts w:ascii="Calibri" w:hAnsi="Calibri"/>
          <w:color w:val="000000"/>
          <w:lang w:val="en-AU"/>
        </w:rPr>
        <w:tab/>
        <w:t>continue to monitor petrol pricing to ensure retailers do not reinstate unnecessarily high retail margins.</w:t>
      </w:r>
      <w:r w:rsidR="00091C7D">
        <w:rPr>
          <w:rFonts w:ascii="Calibri" w:hAnsi="Calibri"/>
          <w:color w:val="000000"/>
          <w:lang w:val="en-AU"/>
        </w:rPr>
        <w:t>”</w:t>
      </w:r>
      <w:r>
        <w:rPr>
          <w:rFonts w:ascii="Calibri" w:hAnsi="Calibri"/>
          <w:color w:val="000000"/>
          <w:lang w:val="en-AU"/>
        </w:rPr>
        <w:t>.</w:t>
      </w:r>
    </w:p>
    <w:p w14:paraId="3DC32F72" w14:textId="728CDEB4" w:rsidR="00026751" w:rsidRPr="00026751" w:rsidRDefault="00026751" w:rsidP="003D4AE4">
      <w:pPr>
        <w:spacing w:before="80"/>
        <w:ind w:left="720" w:right="-35"/>
        <w:rPr>
          <w:rFonts w:ascii="Calibri" w:hAnsi="Calibri"/>
          <w:color w:val="000000"/>
          <w:lang w:val="en-AU"/>
        </w:rPr>
      </w:pPr>
      <w:r w:rsidRPr="00026751">
        <w:rPr>
          <w:rFonts w:ascii="Calibri" w:hAnsi="Calibri"/>
          <w:color w:val="000000"/>
          <w:lang w:val="en-AU"/>
        </w:rPr>
        <w:t xml:space="preserve">Debate </w:t>
      </w:r>
      <w:r w:rsidR="008267A1">
        <w:rPr>
          <w:rFonts w:ascii="Calibri" w:hAnsi="Calibri"/>
          <w:color w:val="000000"/>
          <w:lang w:val="en-AU"/>
        </w:rPr>
        <w:t>continued</w:t>
      </w:r>
      <w:r w:rsidRPr="00026751">
        <w:rPr>
          <w:rFonts w:ascii="Calibri" w:hAnsi="Calibri"/>
          <w:color w:val="000000"/>
          <w:lang w:val="en-AU"/>
        </w:rPr>
        <w:t>.</w:t>
      </w:r>
    </w:p>
    <w:p w14:paraId="2925C975" w14:textId="676FCE1E" w:rsidR="00371903" w:rsidRDefault="00371903" w:rsidP="003D4AE4">
      <w:pPr>
        <w:spacing w:before="80"/>
        <w:ind w:left="720"/>
        <w:rPr>
          <w:rFonts w:ascii="Calibri" w:hAnsi="Calibri"/>
          <w:color w:val="000000"/>
          <w:lang w:val="en-AU"/>
        </w:rPr>
      </w:pPr>
      <w:r>
        <w:rPr>
          <w:rFonts w:ascii="Calibri" w:hAnsi="Calibri"/>
          <w:color w:val="000000"/>
          <w:lang w:val="en-AU"/>
        </w:rPr>
        <w:t>Question—That the amendment be agreed to—put.</w:t>
      </w:r>
    </w:p>
    <w:p w14:paraId="22CAEC20" w14:textId="77777777" w:rsidR="00371903" w:rsidRDefault="00371903" w:rsidP="003D4AE4">
      <w:pPr>
        <w:spacing w:before="80"/>
        <w:ind w:left="720"/>
        <w:rPr>
          <w:rFonts w:ascii="Calibri" w:hAnsi="Calibri"/>
          <w:color w:val="000000"/>
          <w:lang w:val="en-AU"/>
        </w:rPr>
      </w:pPr>
      <w:r>
        <w:rPr>
          <w:rFonts w:ascii="Calibri" w:hAnsi="Calibri"/>
          <w:color w:val="000000"/>
          <w:lang w:val="en-AU"/>
        </w:rPr>
        <w:t>The Assembly voted—</w:t>
      </w:r>
    </w:p>
    <w:tbl>
      <w:tblPr>
        <w:tblW w:w="9391" w:type="dxa"/>
        <w:tblInd w:w="720" w:type="dxa"/>
        <w:tblLayout w:type="fixed"/>
        <w:tblCellMar>
          <w:left w:w="0" w:type="dxa"/>
        </w:tblCellMar>
        <w:tblLook w:val="0000" w:firstRow="0" w:lastRow="0" w:firstColumn="0" w:lastColumn="0" w:noHBand="0" w:noVBand="0"/>
      </w:tblPr>
      <w:tblGrid>
        <w:gridCol w:w="2257"/>
        <w:gridCol w:w="2343"/>
        <w:gridCol w:w="709"/>
        <w:gridCol w:w="2041"/>
        <w:gridCol w:w="2041"/>
      </w:tblGrid>
      <w:tr w:rsidR="00371903" w14:paraId="6B5BA641" w14:textId="77777777" w:rsidTr="00371903">
        <w:tc>
          <w:tcPr>
            <w:tcW w:w="4600" w:type="dxa"/>
            <w:gridSpan w:val="2"/>
            <w:shd w:val="clear" w:color="auto" w:fill="auto"/>
          </w:tcPr>
          <w:p w14:paraId="42F799F6" w14:textId="3E22CBB2" w:rsidR="00371903" w:rsidRDefault="00371903" w:rsidP="00371903">
            <w:pPr>
              <w:tabs>
                <w:tab w:val="center" w:pos="1974"/>
              </w:tabs>
              <w:spacing w:before="120"/>
              <w:rPr>
                <w:rFonts w:ascii="Calibri" w:hAnsi="Calibri"/>
                <w:color w:val="000000"/>
                <w:lang w:val="en-AU"/>
              </w:rPr>
            </w:pPr>
            <w:r>
              <w:rPr>
                <w:rFonts w:ascii="Calibri" w:hAnsi="Calibri"/>
                <w:color w:val="000000"/>
                <w:lang w:val="en-AU"/>
              </w:rPr>
              <w:tab/>
              <w:t>AYES, 16</w:t>
            </w:r>
          </w:p>
        </w:tc>
        <w:tc>
          <w:tcPr>
            <w:tcW w:w="709" w:type="dxa"/>
            <w:shd w:val="clear" w:color="auto" w:fill="auto"/>
          </w:tcPr>
          <w:p w14:paraId="2FDA3C8C" w14:textId="77777777" w:rsidR="00371903" w:rsidRDefault="00371903" w:rsidP="00371903">
            <w:pPr>
              <w:spacing w:before="120"/>
              <w:rPr>
                <w:rFonts w:ascii="Calibri" w:hAnsi="Calibri"/>
                <w:color w:val="000000"/>
                <w:lang w:val="en-AU"/>
              </w:rPr>
            </w:pPr>
          </w:p>
        </w:tc>
        <w:tc>
          <w:tcPr>
            <w:tcW w:w="4082" w:type="dxa"/>
            <w:gridSpan w:val="2"/>
            <w:shd w:val="clear" w:color="auto" w:fill="auto"/>
          </w:tcPr>
          <w:p w14:paraId="6F8C1056" w14:textId="57ED53F7" w:rsidR="00371903" w:rsidRDefault="00371903" w:rsidP="00371903">
            <w:pPr>
              <w:tabs>
                <w:tab w:val="center" w:pos="1931"/>
              </w:tabs>
              <w:spacing w:before="120"/>
              <w:rPr>
                <w:rFonts w:ascii="Calibri" w:hAnsi="Calibri"/>
                <w:color w:val="000000"/>
                <w:lang w:val="en-AU"/>
              </w:rPr>
            </w:pPr>
            <w:r>
              <w:rPr>
                <w:rFonts w:ascii="Calibri" w:hAnsi="Calibri"/>
                <w:color w:val="000000"/>
                <w:lang w:val="en-AU"/>
              </w:rPr>
              <w:tab/>
              <w:t>NOES, 9</w:t>
            </w:r>
          </w:p>
        </w:tc>
      </w:tr>
      <w:tr w:rsidR="00371903" w14:paraId="6C940D56" w14:textId="77777777" w:rsidTr="00371903">
        <w:trPr>
          <w:trHeight w:hRule="exact" w:val="312"/>
        </w:trPr>
        <w:tc>
          <w:tcPr>
            <w:tcW w:w="2257" w:type="dxa"/>
            <w:shd w:val="clear" w:color="auto" w:fill="auto"/>
          </w:tcPr>
          <w:p w14:paraId="360604EC" w14:textId="46BAFE93" w:rsidR="00371903" w:rsidRDefault="00371903" w:rsidP="00371903">
            <w:pPr>
              <w:rPr>
                <w:rFonts w:ascii="Calibri" w:hAnsi="Calibri"/>
                <w:color w:val="000000"/>
                <w:lang w:val="en-AU"/>
              </w:rPr>
            </w:pPr>
            <w:r>
              <w:rPr>
                <w:rFonts w:ascii="Calibri" w:hAnsi="Calibri"/>
                <w:color w:val="000000"/>
                <w:lang w:val="en-AU"/>
              </w:rPr>
              <w:t>Andrew Barr</w:t>
            </w:r>
          </w:p>
        </w:tc>
        <w:tc>
          <w:tcPr>
            <w:tcW w:w="2342" w:type="dxa"/>
            <w:shd w:val="clear" w:color="auto" w:fill="auto"/>
          </w:tcPr>
          <w:p w14:paraId="1FF7AE93" w14:textId="2F3C59EF" w:rsidR="00371903" w:rsidRDefault="00371903" w:rsidP="00371903">
            <w:pPr>
              <w:rPr>
                <w:rFonts w:ascii="Calibri" w:hAnsi="Calibri"/>
                <w:color w:val="000000"/>
                <w:lang w:val="en-AU"/>
              </w:rPr>
            </w:pPr>
            <w:r>
              <w:rPr>
                <w:rFonts w:ascii="Calibri" w:hAnsi="Calibri"/>
                <w:color w:val="000000"/>
                <w:lang w:val="en-AU"/>
              </w:rPr>
              <w:t>Suzanne Orr</w:t>
            </w:r>
          </w:p>
        </w:tc>
        <w:tc>
          <w:tcPr>
            <w:tcW w:w="709" w:type="dxa"/>
            <w:shd w:val="clear" w:color="auto" w:fill="auto"/>
          </w:tcPr>
          <w:p w14:paraId="7BF0F2E6" w14:textId="77777777" w:rsidR="00371903" w:rsidRDefault="00371903" w:rsidP="00371903">
            <w:pPr>
              <w:spacing w:before="120"/>
              <w:rPr>
                <w:rFonts w:ascii="Calibri" w:hAnsi="Calibri"/>
                <w:color w:val="000000"/>
                <w:lang w:val="en-AU"/>
              </w:rPr>
            </w:pPr>
          </w:p>
        </w:tc>
        <w:tc>
          <w:tcPr>
            <w:tcW w:w="2041" w:type="dxa"/>
            <w:shd w:val="clear" w:color="auto" w:fill="auto"/>
          </w:tcPr>
          <w:p w14:paraId="65A355EB" w14:textId="51D453CF" w:rsidR="00371903" w:rsidRDefault="00371903" w:rsidP="00371903">
            <w:pPr>
              <w:rPr>
                <w:rFonts w:ascii="Calibri" w:hAnsi="Calibri"/>
                <w:color w:val="000000"/>
                <w:lang w:val="en-AU"/>
              </w:rPr>
            </w:pPr>
            <w:r>
              <w:rPr>
                <w:rFonts w:ascii="Calibri" w:hAnsi="Calibri"/>
                <w:color w:val="000000"/>
                <w:lang w:val="en-AU"/>
              </w:rPr>
              <w:t>Peter Cain</w:t>
            </w:r>
          </w:p>
        </w:tc>
        <w:tc>
          <w:tcPr>
            <w:tcW w:w="2041" w:type="dxa"/>
            <w:shd w:val="clear" w:color="auto" w:fill="auto"/>
          </w:tcPr>
          <w:p w14:paraId="4623F5A8" w14:textId="77777777" w:rsidR="00371903" w:rsidRDefault="00371903" w:rsidP="00371903">
            <w:pPr>
              <w:spacing w:before="120"/>
              <w:rPr>
                <w:rFonts w:ascii="Calibri" w:hAnsi="Calibri"/>
                <w:color w:val="000000"/>
                <w:lang w:val="en-AU"/>
              </w:rPr>
            </w:pPr>
          </w:p>
        </w:tc>
      </w:tr>
      <w:tr w:rsidR="00371903" w14:paraId="77167F9C" w14:textId="77777777" w:rsidTr="00371903">
        <w:trPr>
          <w:trHeight w:hRule="exact" w:val="312"/>
        </w:trPr>
        <w:tc>
          <w:tcPr>
            <w:tcW w:w="2257" w:type="dxa"/>
            <w:shd w:val="clear" w:color="auto" w:fill="auto"/>
          </w:tcPr>
          <w:p w14:paraId="06D09E3F" w14:textId="0EC5310F" w:rsidR="00371903" w:rsidRDefault="00371903" w:rsidP="00371903">
            <w:pPr>
              <w:rPr>
                <w:rFonts w:ascii="Calibri" w:hAnsi="Calibri"/>
                <w:color w:val="000000"/>
                <w:lang w:val="en-AU"/>
              </w:rPr>
            </w:pPr>
            <w:r>
              <w:rPr>
                <w:rFonts w:ascii="Calibri" w:hAnsi="Calibri"/>
                <w:color w:val="000000"/>
                <w:lang w:val="en-AU"/>
              </w:rPr>
              <w:t>Yvette Berry</w:t>
            </w:r>
          </w:p>
        </w:tc>
        <w:tc>
          <w:tcPr>
            <w:tcW w:w="2342" w:type="dxa"/>
            <w:shd w:val="clear" w:color="auto" w:fill="auto"/>
          </w:tcPr>
          <w:p w14:paraId="0C53900F" w14:textId="3952F03B" w:rsidR="00371903" w:rsidRDefault="00371903" w:rsidP="00371903">
            <w:pPr>
              <w:rPr>
                <w:rFonts w:ascii="Calibri" w:hAnsi="Calibri"/>
                <w:color w:val="000000"/>
                <w:lang w:val="en-AU"/>
              </w:rPr>
            </w:pPr>
            <w:r>
              <w:rPr>
                <w:rFonts w:ascii="Calibri" w:hAnsi="Calibri"/>
                <w:color w:val="000000"/>
                <w:lang w:val="en-AU"/>
              </w:rPr>
              <w:t>Marisa Paterson</w:t>
            </w:r>
          </w:p>
        </w:tc>
        <w:tc>
          <w:tcPr>
            <w:tcW w:w="709" w:type="dxa"/>
            <w:shd w:val="clear" w:color="auto" w:fill="auto"/>
          </w:tcPr>
          <w:p w14:paraId="7CCA59A0" w14:textId="77777777" w:rsidR="00371903" w:rsidRDefault="00371903" w:rsidP="00371903">
            <w:pPr>
              <w:spacing w:before="120"/>
              <w:rPr>
                <w:rFonts w:ascii="Calibri" w:hAnsi="Calibri"/>
                <w:color w:val="000000"/>
                <w:lang w:val="en-AU"/>
              </w:rPr>
            </w:pPr>
          </w:p>
        </w:tc>
        <w:tc>
          <w:tcPr>
            <w:tcW w:w="2041" w:type="dxa"/>
            <w:shd w:val="clear" w:color="auto" w:fill="auto"/>
          </w:tcPr>
          <w:p w14:paraId="79DD4895" w14:textId="59A01699" w:rsidR="00371903" w:rsidRDefault="00371903" w:rsidP="00371903">
            <w:pPr>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393666E7" w14:textId="77777777" w:rsidR="00371903" w:rsidRDefault="00371903" w:rsidP="00371903">
            <w:pPr>
              <w:spacing w:before="120"/>
              <w:rPr>
                <w:rFonts w:ascii="Calibri" w:hAnsi="Calibri"/>
                <w:color w:val="000000"/>
                <w:lang w:val="en-AU"/>
              </w:rPr>
            </w:pPr>
          </w:p>
        </w:tc>
      </w:tr>
      <w:tr w:rsidR="00371903" w14:paraId="42D82B87" w14:textId="77777777" w:rsidTr="00371903">
        <w:trPr>
          <w:trHeight w:hRule="exact" w:val="312"/>
        </w:trPr>
        <w:tc>
          <w:tcPr>
            <w:tcW w:w="2257" w:type="dxa"/>
            <w:shd w:val="clear" w:color="auto" w:fill="auto"/>
          </w:tcPr>
          <w:p w14:paraId="352A7FC1" w14:textId="3DF7D641" w:rsidR="00371903" w:rsidRDefault="00371903" w:rsidP="00371903">
            <w:pPr>
              <w:rPr>
                <w:rFonts w:ascii="Calibri" w:hAnsi="Calibri"/>
                <w:color w:val="000000"/>
                <w:lang w:val="en-AU"/>
              </w:rPr>
            </w:pPr>
            <w:r>
              <w:rPr>
                <w:rFonts w:ascii="Calibri" w:hAnsi="Calibri"/>
                <w:color w:val="000000"/>
                <w:lang w:val="en-AU"/>
              </w:rPr>
              <w:t>Andrew Braddock</w:t>
            </w:r>
          </w:p>
        </w:tc>
        <w:tc>
          <w:tcPr>
            <w:tcW w:w="2342" w:type="dxa"/>
            <w:shd w:val="clear" w:color="auto" w:fill="auto"/>
          </w:tcPr>
          <w:p w14:paraId="3A73E129" w14:textId="3DD6C912" w:rsidR="00371903" w:rsidRDefault="00371903" w:rsidP="00371903">
            <w:pPr>
              <w:rPr>
                <w:rFonts w:ascii="Calibri" w:hAnsi="Calibri"/>
                <w:color w:val="000000"/>
                <w:lang w:val="en-AU"/>
              </w:rPr>
            </w:pPr>
            <w:r>
              <w:rPr>
                <w:rFonts w:ascii="Calibri" w:hAnsi="Calibri"/>
                <w:color w:val="000000"/>
                <w:lang w:val="en-AU"/>
              </w:rPr>
              <w:t>Michael Pettersson</w:t>
            </w:r>
          </w:p>
        </w:tc>
        <w:tc>
          <w:tcPr>
            <w:tcW w:w="709" w:type="dxa"/>
            <w:shd w:val="clear" w:color="auto" w:fill="auto"/>
          </w:tcPr>
          <w:p w14:paraId="0A91B7C4" w14:textId="77777777" w:rsidR="00371903" w:rsidRDefault="00371903" w:rsidP="00371903">
            <w:pPr>
              <w:spacing w:before="120"/>
              <w:rPr>
                <w:rFonts w:ascii="Calibri" w:hAnsi="Calibri"/>
                <w:color w:val="000000"/>
                <w:lang w:val="en-AU"/>
              </w:rPr>
            </w:pPr>
          </w:p>
        </w:tc>
        <w:tc>
          <w:tcPr>
            <w:tcW w:w="2041" w:type="dxa"/>
            <w:shd w:val="clear" w:color="auto" w:fill="auto"/>
          </w:tcPr>
          <w:p w14:paraId="134393D3" w14:textId="6D8FC2B9" w:rsidR="00371903" w:rsidRDefault="00371903" w:rsidP="00371903">
            <w:pPr>
              <w:rPr>
                <w:rFonts w:ascii="Calibri" w:hAnsi="Calibri"/>
                <w:color w:val="000000"/>
                <w:lang w:val="en-AU"/>
              </w:rPr>
            </w:pPr>
            <w:r>
              <w:rPr>
                <w:rFonts w:ascii="Calibri" w:hAnsi="Calibri"/>
                <w:color w:val="000000"/>
                <w:lang w:val="en-AU"/>
              </w:rPr>
              <w:t>Ed Cocks</w:t>
            </w:r>
          </w:p>
        </w:tc>
        <w:tc>
          <w:tcPr>
            <w:tcW w:w="2041" w:type="dxa"/>
            <w:shd w:val="clear" w:color="auto" w:fill="auto"/>
          </w:tcPr>
          <w:p w14:paraId="228AD348" w14:textId="77777777" w:rsidR="00371903" w:rsidRDefault="00371903" w:rsidP="00371903">
            <w:pPr>
              <w:spacing w:before="120"/>
              <w:rPr>
                <w:rFonts w:ascii="Calibri" w:hAnsi="Calibri"/>
                <w:color w:val="000000"/>
                <w:lang w:val="en-AU"/>
              </w:rPr>
            </w:pPr>
          </w:p>
        </w:tc>
      </w:tr>
      <w:tr w:rsidR="00371903" w14:paraId="2F9D9A7B" w14:textId="77777777" w:rsidTr="00371903">
        <w:trPr>
          <w:trHeight w:hRule="exact" w:val="312"/>
        </w:trPr>
        <w:tc>
          <w:tcPr>
            <w:tcW w:w="2257" w:type="dxa"/>
            <w:shd w:val="clear" w:color="auto" w:fill="auto"/>
          </w:tcPr>
          <w:p w14:paraId="7A0AA09F" w14:textId="67E3523A" w:rsidR="00371903" w:rsidRDefault="00371903" w:rsidP="00371903">
            <w:pPr>
              <w:rPr>
                <w:rFonts w:ascii="Calibri" w:hAnsi="Calibri"/>
                <w:color w:val="000000"/>
                <w:lang w:val="en-AU"/>
              </w:rPr>
            </w:pPr>
            <w:r>
              <w:rPr>
                <w:rFonts w:ascii="Calibri" w:hAnsi="Calibri"/>
                <w:color w:val="000000"/>
                <w:lang w:val="en-AU"/>
              </w:rPr>
              <w:t>Joy Burch</w:t>
            </w:r>
          </w:p>
        </w:tc>
        <w:tc>
          <w:tcPr>
            <w:tcW w:w="2342" w:type="dxa"/>
            <w:shd w:val="clear" w:color="auto" w:fill="auto"/>
          </w:tcPr>
          <w:p w14:paraId="04C0F804" w14:textId="73EC95DF" w:rsidR="00371903" w:rsidRDefault="00371903" w:rsidP="00371903">
            <w:pPr>
              <w:rPr>
                <w:rFonts w:ascii="Calibri" w:hAnsi="Calibri"/>
                <w:color w:val="000000"/>
                <w:lang w:val="en-AU"/>
              </w:rPr>
            </w:pPr>
            <w:r>
              <w:rPr>
                <w:rFonts w:ascii="Calibri" w:hAnsi="Calibri"/>
                <w:color w:val="000000"/>
                <w:lang w:val="en-AU"/>
              </w:rPr>
              <w:t>Shane Rattenbury</w:t>
            </w:r>
          </w:p>
        </w:tc>
        <w:tc>
          <w:tcPr>
            <w:tcW w:w="709" w:type="dxa"/>
            <w:shd w:val="clear" w:color="auto" w:fill="auto"/>
          </w:tcPr>
          <w:p w14:paraId="79F7557E" w14:textId="77777777" w:rsidR="00371903" w:rsidRDefault="00371903" w:rsidP="00371903">
            <w:pPr>
              <w:spacing w:before="120"/>
              <w:rPr>
                <w:rFonts w:ascii="Calibri" w:hAnsi="Calibri"/>
                <w:color w:val="000000"/>
                <w:lang w:val="en-AU"/>
              </w:rPr>
            </w:pPr>
          </w:p>
        </w:tc>
        <w:tc>
          <w:tcPr>
            <w:tcW w:w="2041" w:type="dxa"/>
            <w:shd w:val="clear" w:color="auto" w:fill="auto"/>
          </w:tcPr>
          <w:p w14:paraId="2097AAC7" w14:textId="3F2E1690" w:rsidR="00371903" w:rsidRDefault="00371903" w:rsidP="00371903">
            <w:pPr>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757F4C43" w14:textId="77777777" w:rsidR="00371903" w:rsidRDefault="00371903" w:rsidP="00371903">
            <w:pPr>
              <w:spacing w:before="120"/>
              <w:rPr>
                <w:rFonts w:ascii="Calibri" w:hAnsi="Calibri"/>
                <w:color w:val="000000"/>
                <w:lang w:val="en-AU"/>
              </w:rPr>
            </w:pPr>
          </w:p>
        </w:tc>
      </w:tr>
      <w:tr w:rsidR="00371903" w14:paraId="5C7FF43A" w14:textId="77777777" w:rsidTr="00371903">
        <w:trPr>
          <w:trHeight w:hRule="exact" w:val="312"/>
        </w:trPr>
        <w:tc>
          <w:tcPr>
            <w:tcW w:w="2257" w:type="dxa"/>
            <w:shd w:val="clear" w:color="auto" w:fill="auto"/>
          </w:tcPr>
          <w:p w14:paraId="4C3C2924" w14:textId="16D67A60" w:rsidR="00371903" w:rsidRDefault="00371903" w:rsidP="00371903">
            <w:pPr>
              <w:rPr>
                <w:rFonts w:ascii="Calibri" w:hAnsi="Calibri"/>
                <w:color w:val="000000"/>
                <w:lang w:val="en-AU"/>
              </w:rPr>
            </w:pPr>
            <w:r>
              <w:rPr>
                <w:rFonts w:ascii="Calibri" w:hAnsi="Calibri"/>
                <w:color w:val="000000"/>
                <w:lang w:val="en-AU"/>
              </w:rPr>
              <w:t>Tara Cheyne</w:t>
            </w:r>
          </w:p>
        </w:tc>
        <w:tc>
          <w:tcPr>
            <w:tcW w:w="2342" w:type="dxa"/>
            <w:shd w:val="clear" w:color="auto" w:fill="auto"/>
          </w:tcPr>
          <w:p w14:paraId="3B03165B" w14:textId="563E8026" w:rsidR="00371903" w:rsidRDefault="00371903" w:rsidP="00371903">
            <w:pPr>
              <w:rPr>
                <w:rFonts w:ascii="Calibri" w:hAnsi="Calibri"/>
                <w:color w:val="000000"/>
                <w:lang w:val="en-AU"/>
              </w:rPr>
            </w:pPr>
            <w:r>
              <w:rPr>
                <w:rFonts w:ascii="Calibri" w:hAnsi="Calibri"/>
                <w:color w:val="000000"/>
                <w:lang w:val="en-AU"/>
              </w:rPr>
              <w:t>Chris Steel</w:t>
            </w:r>
          </w:p>
        </w:tc>
        <w:tc>
          <w:tcPr>
            <w:tcW w:w="709" w:type="dxa"/>
            <w:shd w:val="clear" w:color="auto" w:fill="auto"/>
          </w:tcPr>
          <w:p w14:paraId="007D7775" w14:textId="77777777" w:rsidR="00371903" w:rsidRDefault="00371903" w:rsidP="00371903">
            <w:pPr>
              <w:spacing w:before="120"/>
              <w:rPr>
                <w:rFonts w:ascii="Calibri" w:hAnsi="Calibri"/>
                <w:color w:val="000000"/>
                <w:lang w:val="en-AU"/>
              </w:rPr>
            </w:pPr>
          </w:p>
        </w:tc>
        <w:tc>
          <w:tcPr>
            <w:tcW w:w="2041" w:type="dxa"/>
            <w:shd w:val="clear" w:color="auto" w:fill="auto"/>
          </w:tcPr>
          <w:p w14:paraId="685C612C" w14:textId="662466C1" w:rsidR="00371903" w:rsidRDefault="00371903" w:rsidP="00371903">
            <w:pPr>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3B08D27E" w14:textId="77777777" w:rsidR="00371903" w:rsidRDefault="00371903" w:rsidP="00371903">
            <w:pPr>
              <w:spacing w:before="120"/>
              <w:rPr>
                <w:rFonts w:ascii="Calibri" w:hAnsi="Calibri"/>
                <w:color w:val="000000"/>
                <w:lang w:val="en-AU"/>
              </w:rPr>
            </w:pPr>
          </w:p>
        </w:tc>
      </w:tr>
      <w:tr w:rsidR="00371903" w14:paraId="34A600BF" w14:textId="77777777" w:rsidTr="00371903">
        <w:trPr>
          <w:trHeight w:hRule="exact" w:val="312"/>
        </w:trPr>
        <w:tc>
          <w:tcPr>
            <w:tcW w:w="2257" w:type="dxa"/>
            <w:shd w:val="clear" w:color="auto" w:fill="auto"/>
          </w:tcPr>
          <w:p w14:paraId="33C947B6" w14:textId="3D217FA7" w:rsidR="00371903" w:rsidRDefault="00371903" w:rsidP="00371903">
            <w:pPr>
              <w:rPr>
                <w:rFonts w:ascii="Calibri" w:hAnsi="Calibri"/>
                <w:color w:val="000000"/>
                <w:lang w:val="en-AU"/>
              </w:rPr>
            </w:pPr>
            <w:r>
              <w:rPr>
                <w:rFonts w:ascii="Calibri" w:hAnsi="Calibri"/>
                <w:color w:val="000000"/>
                <w:lang w:val="en-AU"/>
              </w:rPr>
              <w:t>Jo Clay</w:t>
            </w:r>
          </w:p>
        </w:tc>
        <w:tc>
          <w:tcPr>
            <w:tcW w:w="2342" w:type="dxa"/>
            <w:shd w:val="clear" w:color="auto" w:fill="auto"/>
          </w:tcPr>
          <w:p w14:paraId="4BD0E782" w14:textId="36C720A0" w:rsidR="00371903" w:rsidRDefault="00371903" w:rsidP="00371903">
            <w:pPr>
              <w:rPr>
                <w:rFonts w:ascii="Calibri" w:hAnsi="Calibri"/>
                <w:color w:val="000000"/>
                <w:lang w:val="en-AU"/>
              </w:rPr>
            </w:pPr>
            <w:r>
              <w:rPr>
                <w:rFonts w:ascii="Calibri" w:hAnsi="Calibri"/>
                <w:color w:val="000000"/>
                <w:lang w:val="en-AU"/>
              </w:rPr>
              <w:t>Rachel Stephen-Smith</w:t>
            </w:r>
          </w:p>
        </w:tc>
        <w:tc>
          <w:tcPr>
            <w:tcW w:w="709" w:type="dxa"/>
            <w:shd w:val="clear" w:color="auto" w:fill="auto"/>
          </w:tcPr>
          <w:p w14:paraId="284E50A0" w14:textId="77777777" w:rsidR="00371903" w:rsidRDefault="00371903" w:rsidP="00371903">
            <w:pPr>
              <w:spacing w:before="120"/>
              <w:rPr>
                <w:rFonts w:ascii="Calibri" w:hAnsi="Calibri"/>
                <w:color w:val="000000"/>
                <w:lang w:val="en-AU"/>
              </w:rPr>
            </w:pPr>
          </w:p>
        </w:tc>
        <w:tc>
          <w:tcPr>
            <w:tcW w:w="2041" w:type="dxa"/>
            <w:shd w:val="clear" w:color="auto" w:fill="auto"/>
          </w:tcPr>
          <w:p w14:paraId="5F77E144" w14:textId="1D86EF27" w:rsidR="00371903" w:rsidRDefault="00371903" w:rsidP="00371903">
            <w:pPr>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1509D110" w14:textId="77777777" w:rsidR="00371903" w:rsidRDefault="00371903" w:rsidP="00371903">
            <w:pPr>
              <w:spacing w:before="120"/>
              <w:rPr>
                <w:rFonts w:ascii="Calibri" w:hAnsi="Calibri"/>
                <w:color w:val="000000"/>
                <w:lang w:val="en-AU"/>
              </w:rPr>
            </w:pPr>
          </w:p>
        </w:tc>
      </w:tr>
      <w:tr w:rsidR="00371903" w14:paraId="610AB256" w14:textId="77777777" w:rsidTr="00371903">
        <w:trPr>
          <w:trHeight w:hRule="exact" w:val="312"/>
        </w:trPr>
        <w:tc>
          <w:tcPr>
            <w:tcW w:w="2257" w:type="dxa"/>
            <w:shd w:val="clear" w:color="auto" w:fill="auto"/>
          </w:tcPr>
          <w:p w14:paraId="5F776020" w14:textId="492B0E26" w:rsidR="00371903" w:rsidRDefault="00371903" w:rsidP="00371903">
            <w:pPr>
              <w:rPr>
                <w:rFonts w:ascii="Calibri" w:hAnsi="Calibri"/>
                <w:color w:val="000000"/>
                <w:lang w:val="en-AU"/>
              </w:rPr>
            </w:pPr>
            <w:r>
              <w:rPr>
                <w:rFonts w:ascii="Calibri" w:hAnsi="Calibri"/>
                <w:color w:val="000000"/>
                <w:lang w:val="en-AU"/>
              </w:rPr>
              <w:t>Emma Davidson</w:t>
            </w:r>
          </w:p>
        </w:tc>
        <w:tc>
          <w:tcPr>
            <w:tcW w:w="2342" w:type="dxa"/>
            <w:shd w:val="clear" w:color="auto" w:fill="auto"/>
          </w:tcPr>
          <w:p w14:paraId="01AF8312" w14:textId="103B6668" w:rsidR="00371903" w:rsidRDefault="00371903" w:rsidP="00371903">
            <w:pPr>
              <w:rPr>
                <w:rFonts w:ascii="Calibri" w:hAnsi="Calibri"/>
                <w:color w:val="000000"/>
                <w:lang w:val="en-AU"/>
              </w:rPr>
            </w:pPr>
            <w:r>
              <w:rPr>
                <w:rFonts w:ascii="Calibri" w:hAnsi="Calibri"/>
                <w:color w:val="000000"/>
                <w:lang w:val="en-AU"/>
              </w:rPr>
              <w:t>Rebecca Vassarotti</w:t>
            </w:r>
          </w:p>
        </w:tc>
        <w:tc>
          <w:tcPr>
            <w:tcW w:w="709" w:type="dxa"/>
            <w:shd w:val="clear" w:color="auto" w:fill="auto"/>
          </w:tcPr>
          <w:p w14:paraId="4543FC0A" w14:textId="77777777" w:rsidR="00371903" w:rsidRDefault="00371903" w:rsidP="00371903">
            <w:pPr>
              <w:spacing w:before="120"/>
              <w:rPr>
                <w:rFonts w:ascii="Calibri" w:hAnsi="Calibri"/>
                <w:color w:val="000000"/>
                <w:lang w:val="en-AU"/>
              </w:rPr>
            </w:pPr>
          </w:p>
        </w:tc>
        <w:tc>
          <w:tcPr>
            <w:tcW w:w="2041" w:type="dxa"/>
            <w:shd w:val="clear" w:color="auto" w:fill="auto"/>
          </w:tcPr>
          <w:p w14:paraId="5C28F5CF" w14:textId="5C917A5E" w:rsidR="00371903" w:rsidRDefault="00371903" w:rsidP="00371903">
            <w:pPr>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2A6ADF71" w14:textId="77777777" w:rsidR="00371903" w:rsidRDefault="00371903" w:rsidP="00371903">
            <w:pPr>
              <w:spacing w:before="120"/>
              <w:rPr>
                <w:rFonts w:ascii="Calibri" w:hAnsi="Calibri"/>
                <w:color w:val="000000"/>
                <w:lang w:val="en-AU"/>
              </w:rPr>
            </w:pPr>
          </w:p>
        </w:tc>
      </w:tr>
      <w:tr w:rsidR="00371903" w14:paraId="165A53D9" w14:textId="77777777" w:rsidTr="00371903">
        <w:trPr>
          <w:trHeight w:hRule="exact" w:val="312"/>
        </w:trPr>
        <w:tc>
          <w:tcPr>
            <w:tcW w:w="2257" w:type="dxa"/>
            <w:shd w:val="clear" w:color="auto" w:fill="auto"/>
          </w:tcPr>
          <w:p w14:paraId="72688799" w14:textId="13CA918A" w:rsidR="00371903" w:rsidRDefault="00371903" w:rsidP="00371903">
            <w:pPr>
              <w:rPr>
                <w:rFonts w:ascii="Calibri" w:hAnsi="Calibri"/>
                <w:color w:val="000000"/>
                <w:lang w:val="en-AU"/>
              </w:rPr>
            </w:pPr>
            <w:r>
              <w:rPr>
                <w:rFonts w:ascii="Calibri" w:hAnsi="Calibri"/>
                <w:color w:val="000000"/>
                <w:lang w:val="en-AU"/>
              </w:rPr>
              <w:t>Mick Gentleman</w:t>
            </w:r>
          </w:p>
        </w:tc>
        <w:tc>
          <w:tcPr>
            <w:tcW w:w="2342" w:type="dxa"/>
            <w:shd w:val="clear" w:color="auto" w:fill="auto"/>
          </w:tcPr>
          <w:p w14:paraId="2F26EA2D" w14:textId="77777777" w:rsidR="00371903" w:rsidRDefault="00371903" w:rsidP="00371903">
            <w:pPr>
              <w:spacing w:before="120"/>
              <w:rPr>
                <w:rFonts w:ascii="Calibri" w:hAnsi="Calibri"/>
                <w:color w:val="000000"/>
                <w:lang w:val="en-AU"/>
              </w:rPr>
            </w:pPr>
          </w:p>
        </w:tc>
        <w:tc>
          <w:tcPr>
            <w:tcW w:w="709" w:type="dxa"/>
            <w:shd w:val="clear" w:color="auto" w:fill="auto"/>
          </w:tcPr>
          <w:p w14:paraId="02F281EA" w14:textId="77777777" w:rsidR="00371903" w:rsidRDefault="00371903" w:rsidP="00371903">
            <w:pPr>
              <w:spacing w:before="120"/>
              <w:rPr>
                <w:rFonts w:ascii="Calibri" w:hAnsi="Calibri"/>
                <w:color w:val="000000"/>
                <w:lang w:val="en-AU"/>
              </w:rPr>
            </w:pPr>
          </w:p>
        </w:tc>
        <w:tc>
          <w:tcPr>
            <w:tcW w:w="2041" w:type="dxa"/>
            <w:shd w:val="clear" w:color="auto" w:fill="auto"/>
          </w:tcPr>
          <w:p w14:paraId="2C6E9F03" w14:textId="541041C3" w:rsidR="00371903" w:rsidRDefault="00371903" w:rsidP="00371903">
            <w:pPr>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2AD707FE" w14:textId="77777777" w:rsidR="00371903" w:rsidRDefault="00371903" w:rsidP="00371903">
            <w:pPr>
              <w:spacing w:before="120"/>
              <w:rPr>
                <w:rFonts w:ascii="Calibri" w:hAnsi="Calibri"/>
                <w:color w:val="000000"/>
                <w:lang w:val="en-AU"/>
              </w:rPr>
            </w:pPr>
          </w:p>
        </w:tc>
      </w:tr>
      <w:tr w:rsidR="00371903" w14:paraId="55E3C37F" w14:textId="77777777" w:rsidTr="00371903">
        <w:trPr>
          <w:trHeight w:hRule="exact" w:val="312"/>
        </w:trPr>
        <w:tc>
          <w:tcPr>
            <w:tcW w:w="2257" w:type="dxa"/>
            <w:shd w:val="clear" w:color="auto" w:fill="auto"/>
          </w:tcPr>
          <w:p w14:paraId="224F64A1" w14:textId="5D3E046B" w:rsidR="00371903" w:rsidRDefault="00371903" w:rsidP="00371903">
            <w:pPr>
              <w:rPr>
                <w:rFonts w:ascii="Calibri" w:hAnsi="Calibri"/>
                <w:color w:val="000000"/>
                <w:lang w:val="en-AU"/>
              </w:rPr>
            </w:pPr>
            <w:r>
              <w:rPr>
                <w:rFonts w:ascii="Calibri" w:hAnsi="Calibri"/>
                <w:color w:val="000000"/>
                <w:lang w:val="en-AU"/>
              </w:rPr>
              <w:t>Laura Nuttall</w:t>
            </w:r>
          </w:p>
        </w:tc>
        <w:tc>
          <w:tcPr>
            <w:tcW w:w="2342" w:type="dxa"/>
            <w:shd w:val="clear" w:color="auto" w:fill="auto"/>
          </w:tcPr>
          <w:p w14:paraId="5AD44230" w14:textId="77777777" w:rsidR="00371903" w:rsidRDefault="00371903" w:rsidP="00371903">
            <w:pPr>
              <w:spacing w:before="120"/>
              <w:rPr>
                <w:rFonts w:ascii="Calibri" w:hAnsi="Calibri"/>
                <w:color w:val="000000"/>
                <w:lang w:val="en-AU"/>
              </w:rPr>
            </w:pPr>
          </w:p>
        </w:tc>
        <w:tc>
          <w:tcPr>
            <w:tcW w:w="709" w:type="dxa"/>
            <w:shd w:val="clear" w:color="auto" w:fill="auto"/>
          </w:tcPr>
          <w:p w14:paraId="1BFC1324" w14:textId="77777777" w:rsidR="00371903" w:rsidRDefault="00371903" w:rsidP="00371903">
            <w:pPr>
              <w:spacing w:before="120"/>
              <w:rPr>
                <w:rFonts w:ascii="Calibri" w:hAnsi="Calibri"/>
                <w:color w:val="000000"/>
                <w:lang w:val="en-AU"/>
              </w:rPr>
            </w:pPr>
          </w:p>
        </w:tc>
        <w:tc>
          <w:tcPr>
            <w:tcW w:w="2041" w:type="dxa"/>
            <w:shd w:val="clear" w:color="auto" w:fill="auto"/>
          </w:tcPr>
          <w:p w14:paraId="30770E8A" w14:textId="0EB7B8F9" w:rsidR="00371903" w:rsidRDefault="00371903" w:rsidP="00371903">
            <w:pPr>
              <w:rPr>
                <w:rFonts w:ascii="Calibri" w:hAnsi="Calibri"/>
                <w:color w:val="000000"/>
                <w:lang w:val="en-AU"/>
              </w:rPr>
            </w:pPr>
            <w:r>
              <w:rPr>
                <w:rFonts w:ascii="Calibri" w:hAnsi="Calibri"/>
                <w:color w:val="000000"/>
                <w:lang w:val="en-AU"/>
              </w:rPr>
              <w:t>Mark Parton</w:t>
            </w:r>
          </w:p>
        </w:tc>
        <w:tc>
          <w:tcPr>
            <w:tcW w:w="2041" w:type="dxa"/>
            <w:shd w:val="clear" w:color="auto" w:fill="auto"/>
          </w:tcPr>
          <w:p w14:paraId="6275A264" w14:textId="77777777" w:rsidR="00371903" w:rsidRDefault="00371903" w:rsidP="00371903">
            <w:pPr>
              <w:spacing w:before="120"/>
              <w:rPr>
                <w:rFonts w:ascii="Calibri" w:hAnsi="Calibri"/>
                <w:color w:val="000000"/>
                <w:lang w:val="en-AU"/>
              </w:rPr>
            </w:pPr>
          </w:p>
        </w:tc>
      </w:tr>
    </w:tbl>
    <w:p w14:paraId="63AE3CEE" w14:textId="77777777" w:rsidR="00371903" w:rsidRDefault="00371903" w:rsidP="00371903">
      <w:pPr>
        <w:spacing w:before="120"/>
        <w:ind w:left="720"/>
        <w:rPr>
          <w:rFonts w:ascii="Calibri" w:hAnsi="Calibri"/>
          <w:color w:val="000000"/>
          <w:lang w:val="en-AU"/>
        </w:rPr>
      </w:pPr>
      <w:r>
        <w:rPr>
          <w:rFonts w:ascii="Calibri" w:hAnsi="Calibri"/>
          <w:color w:val="000000"/>
          <w:lang w:val="en-AU"/>
        </w:rPr>
        <w:t>And so it was resolved in the affirmative.</w:t>
      </w:r>
    </w:p>
    <w:p w14:paraId="6535DADC" w14:textId="6DCA88C3" w:rsidR="00371903" w:rsidRDefault="00F31384" w:rsidP="00371903">
      <w:pPr>
        <w:spacing w:before="120"/>
        <w:ind w:left="720"/>
        <w:rPr>
          <w:rFonts w:ascii="Calibri" w:hAnsi="Calibri"/>
          <w:color w:val="000000"/>
          <w:lang w:val="en-AU"/>
        </w:rPr>
      </w:pPr>
      <w:r>
        <w:rPr>
          <w:rFonts w:ascii="Calibri" w:hAnsi="Calibri"/>
          <w:color w:val="000000"/>
          <w:lang w:val="en-AU"/>
        </w:rPr>
        <w:t>Question—That the motion, as amended, viz:</w:t>
      </w:r>
    </w:p>
    <w:p w14:paraId="6F705E5D" w14:textId="1A89C638" w:rsidR="00F31384" w:rsidRDefault="00091C7D" w:rsidP="00371903">
      <w:pPr>
        <w:spacing w:before="120"/>
        <w:ind w:left="720"/>
        <w:rPr>
          <w:rFonts w:ascii="Calibri" w:hAnsi="Calibri"/>
          <w:color w:val="000000"/>
          <w:lang w:val="en-AU"/>
        </w:rPr>
      </w:pPr>
      <w:r>
        <w:rPr>
          <w:rFonts w:ascii="Calibri" w:hAnsi="Calibri"/>
          <w:color w:val="000000"/>
          <w:lang w:val="en-AU"/>
        </w:rPr>
        <w:t>“</w:t>
      </w:r>
      <w:r w:rsidR="00F31384">
        <w:rPr>
          <w:rFonts w:ascii="Calibri" w:hAnsi="Calibri"/>
          <w:color w:val="000000"/>
          <w:lang w:val="en-AU"/>
        </w:rPr>
        <w:t>That this Assembly:</w:t>
      </w:r>
    </w:p>
    <w:p w14:paraId="523FE15C" w14:textId="5C9FB483" w:rsidR="00AE774E" w:rsidRPr="00456C0B" w:rsidRDefault="00AE774E" w:rsidP="00AE774E">
      <w:pPr>
        <w:spacing w:before="120"/>
        <w:ind w:left="1366" w:hanging="646"/>
        <w:rPr>
          <w:rFonts w:ascii="Calibri" w:hAnsi="Calibri"/>
          <w:color w:val="000000"/>
          <w:lang w:val="en-AU"/>
        </w:rPr>
      </w:pPr>
      <w:r w:rsidRPr="00456C0B">
        <w:rPr>
          <w:rFonts w:ascii="Calibri" w:hAnsi="Calibri"/>
          <w:color w:val="000000"/>
          <w:lang w:val="en-AU"/>
        </w:rPr>
        <w:t>(1)</w:t>
      </w:r>
      <w:r w:rsidRPr="00456C0B">
        <w:rPr>
          <w:rFonts w:ascii="Calibri" w:hAnsi="Calibri"/>
          <w:color w:val="000000"/>
          <w:lang w:val="en-AU"/>
        </w:rPr>
        <w:tab/>
        <w:t>notes:</w:t>
      </w:r>
    </w:p>
    <w:p w14:paraId="77B55B9D"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(a)</w:t>
      </w:r>
      <w:r w:rsidRPr="00456C0B">
        <w:rPr>
          <w:rFonts w:ascii="Calibri" w:hAnsi="Calibri"/>
          <w:color w:val="000000"/>
          <w:lang w:val="en-AU"/>
        </w:rPr>
        <w:tab/>
        <w:t>Australia is experiencing a cost-of-living crisis, with the cost of basic goods and services, including petrol, becoming more expensive;</w:t>
      </w:r>
    </w:p>
    <w:p w14:paraId="03888409"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(b)</w:t>
      </w:r>
      <w:r w:rsidRPr="00456C0B">
        <w:rPr>
          <w:rFonts w:ascii="Calibri" w:hAnsi="Calibri"/>
          <w:color w:val="000000"/>
          <w:lang w:val="en-AU"/>
        </w:rPr>
        <w:tab/>
        <w:t>this is due to exogenous shocks and a period of high inflation;</w:t>
      </w:r>
    </w:p>
    <w:p w14:paraId="273DF343" w14:textId="0D975AE5"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(c)</w:t>
      </w:r>
      <w:r w:rsidRPr="00456C0B">
        <w:rPr>
          <w:rFonts w:ascii="Calibri" w:hAnsi="Calibri"/>
          <w:color w:val="000000"/>
          <w:lang w:val="en-AU"/>
        </w:rPr>
        <w:tab/>
        <w:t>the Australian Competition and Consumer Commission</w:t>
      </w:r>
      <w:r w:rsidR="00091C7D">
        <w:rPr>
          <w:rFonts w:ascii="Calibri" w:hAnsi="Calibri"/>
          <w:color w:val="000000"/>
          <w:lang w:val="en-AU"/>
        </w:rPr>
        <w:t>’</w:t>
      </w:r>
      <w:r w:rsidRPr="00456C0B">
        <w:rPr>
          <w:rFonts w:ascii="Calibri" w:hAnsi="Calibri"/>
          <w:color w:val="000000"/>
          <w:lang w:val="en-AU"/>
        </w:rPr>
        <w:t xml:space="preserve">s (ACCC) March quarter 2024 </w:t>
      </w:r>
      <w:r w:rsidRPr="00456C0B">
        <w:rPr>
          <w:rFonts w:ascii="Calibri" w:hAnsi="Calibri"/>
          <w:i/>
          <w:iCs/>
          <w:color w:val="000000"/>
          <w:lang w:val="en-AU"/>
        </w:rPr>
        <w:t>Report on the Australian petroleum market</w:t>
      </w:r>
      <w:r w:rsidRPr="00456C0B">
        <w:rPr>
          <w:rFonts w:ascii="Calibri" w:hAnsi="Calibri"/>
          <w:color w:val="000000"/>
          <w:lang w:val="en-AU"/>
        </w:rPr>
        <w:t xml:space="preserve"> found Canberra</w:t>
      </w:r>
      <w:r w:rsidR="00091C7D">
        <w:rPr>
          <w:rFonts w:ascii="Calibri" w:hAnsi="Calibri"/>
          <w:color w:val="000000"/>
          <w:lang w:val="en-AU"/>
        </w:rPr>
        <w:t>’</w:t>
      </w:r>
      <w:r w:rsidRPr="00456C0B">
        <w:rPr>
          <w:rFonts w:ascii="Calibri" w:hAnsi="Calibri"/>
          <w:color w:val="000000"/>
          <w:lang w:val="en-AU"/>
        </w:rPr>
        <w:t>s average retail petrol prices to be 202.0 cents per litre;</w:t>
      </w:r>
    </w:p>
    <w:p w14:paraId="0EAA0857"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lastRenderedPageBreak/>
        <w:t>(d)</w:t>
      </w:r>
      <w:r w:rsidRPr="00456C0B">
        <w:rPr>
          <w:rFonts w:ascii="Calibri" w:hAnsi="Calibri"/>
          <w:color w:val="000000"/>
          <w:lang w:val="en-AU"/>
        </w:rPr>
        <w:tab/>
        <w:t>petrol prices increase and decrease in regular patterns in our largest capital cities due to pricing policies, not changes in the wholesale cost of fuel – this cycle does not occur in Canberra, Hobart or Darwin;</w:t>
      </w:r>
    </w:p>
    <w:p w14:paraId="2C0EB185" w14:textId="72E6DA6C"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(e)</w:t>
      </w:r>
      <w:r w:rsidRPr="00456C0B">
        <w:rPr>
          <w:rFonts w:ascii="Calibri" w:hAnsi="Calibri"/>
          <w:color w:val="000000"/>
          <w:lang w:val="en-AU"/>
        </w:rPr>
        <w:tab/>
        <w:t>the Australian Institute of Petroleum</w:t>
      </w:r>
      <w:r w:rsidR="00091C7D">
        <w:rPr>
          <w:rFonts w:ascii="Calibri" w:hAnsi="Calibri"/>
          <w:color w:val="000000"/>
          <w:lang w:val="en-AU"/>
        </w:rPr>
        <w:t>’</w:t>
      </w:r>
      <w:r w:rsidRPr="00456C0B">
        <w:rPr>
          <w:rFonts w:ascii="Calibri" w:hAnsi="Calibri"/>
          <w:color w:val="000000"/>
          <w:lang w:val="en-AU"/>
        </w:rPr>
        <w:t>s Weekly Petrol Prices Report for the week ending 1 September highlights a Metropolitan Average Price of 189.2 cents per litre in Canberra – over 8 cents lower than Sydney</w:t>
      </w:r>
      <w:r w:rsidR="00091C7D">
        <w:rPr>
          <w:rFonts w:ascii="Calibri" w:hAnsi="Calibri"/>
          <w:color w:val="000000"/>
          <w:lang w:val="en-AU"/>
        </w:rPr>
        <w:t>’</w:t>
      </w:r>
      <w:r w:rsidRPr="00456C0B">
        <w:rPr>
          <w:rFonts w:ascii="Calibri" w:hAnsi="Calibri"/>
          <w:color w:val="000000"/>
          <w:lang w:val="en-AU"/>
        </w:rPr>
        <w:t>s at 197.3, and over 10 cents lower than Brisbane</w:t>
      </w:r>
      <w:r w:rsidR="00091C7D">
        <w:rPr>
          <w:rFonts w:ascii="Calibri" w:hAnsi="Calibri"/>
          <w:color w:val="000000"/>
          <w:lang w:val="en-AU"/>
        </w:rPr>
        <w:t>’</w:t>
      </w:r>
      <w:r w:rsidRPr="00456C0B">
        <w:rPr>
          <w:rFonts w:ascii="Calibri" w:hAnsi="Calibri"/>
          <w:color w:val="000000"/>
          <w:lang w:val="en-AU"/>
        </w:rPr>
        <w:t>s at 199.6; and</w:t>
      </w:r>
    </w:p>
    <w:p w14:paraId="4ABD12D5" w14:textId="1D4DB43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(f)</w:t>
      </w:r>
      <w:r w:rsidRPr="00456C0B">
        <w:rPr>
          <w:rFonts w:ascii="Calibri" w:hAnsi="Calibri"/>
          <w:color w:val="000000"/>
          <w:lang w:val="en-AU"/>
        </w:rPr>
        <w:tab/>
        <w:t>before the Government</w:t>
      </w:r>
      <w:r w:rsidR="00091C7D">
        <w:rPr>
          <w:rFonts w:ascii="Calibri" w:hAnsi="Calibri"/>
          <w:color w:val="000000"/>
          <w:lang w:val="en-AU"/>
        </w:rPr>
        <w:t>’</w:t>
      </w:r>
      <w:r w:rsidRPr="00456C0B">
        <w:rPr>
          <w:rFonts w:ascii="Calibri" w:hAnsi="Calibri"/>
          <w:color w:val="000000"/>
          <w:lang w:val="en-AU"/>
        </w:rPr>
        <w:t>s intervention, Canberrans were unfairly paying up to 25 cents per litre more than Sydney motorists;</w:t>
      </w:r>
    </w:p>
    <w:p w14:paraId="52885536" w14:textId="77777777" w:rsidR="00AE774E" w:rsidRPr="00456C0B" w:rsidRDefault="00AE774E" w:rsidP="00AE774E">
      <w:pPr>
        <w:spacing w:before="120"/>
        <w:ind w:left="1366" w:hanging="646"/>
        <w:rPr>
          <w:rFonts w:ascii="Calibri" w:hAnsi="Calibri"/>
          <w:color w:val="000000"/>
          <w:lang w:val="en-AU"/>
        </w:rPr>
      </w:pPr>
      <w:r w:rsidRPr="00456C0B">
        <w:rPr>
          <w:rFonts w:ascii="Calibri" w:hAnsi="Calibri"/>
          <w:color w:val="000000"/>
          <w:lang w:val="en-AU"/>
        </w:rPr>
        <w:t>(2)</w:t>
      </w:r>
      <w:r w:rsidRPr="00456C0B">
        <w:rPr>
          <w:rFonts w:ascii="Calibri" w:hAnsi="Calibri"/>
          <w:color w:val="000000"/>
          <w:lang w:val="en-AU"/>
        </w:rPr>
        <w:tab/>
      </w:r>
      <w:r>
        <w:rPr>
          <w:rFonts w:ascii="Calibri" w:hAnsi="Calibri"/>
          <w:color w:val="000000"/>
          <w:lang w:val="en-AU"/>
        </w:rPr>
        <w:t>f</w:t>
      </w:r>
      <w:r w:rsidRPr="00456C0B">
        <w:rPr>
          <w:rFonts w:ascii="Calibri" w:hAnsi="Calibri"/>
          <w:color w:val="000000"/>
          <w:lang w:val="en-AU"/>
        </w:rPr>
        <w:t>urther notes:</w:t>
      </w:r>
    </w:p>
    <w:p w14:paraId="5339DEAB"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(a)</w:t>
      </w:r>
      <w:r w:rsidRPr="00456C0B">
        <w:rPr>
          <w:rFonts w:ascii="Calibri" w:hAnsi="Calibri"/>
          <w:color w:val="000000"/>
          <w:lang w:val="en-AU"/>
        </w:rPr>
        <w:tab/>
        <w:t>on 14 February 2019, the Assembly established the Select Committee on Fuel Pricing which considered reasons for significant pricing discrepancies within the ACT when compared to other capital cities;</w:t>
      </w:r>
    </w:p>
    <w:p w14:paraId="6E202F18" w14:textId="3A9CAD36"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(b)</w:t>
      </w:r>
      <w:r w:rsidRPr="00456C0B">
        <w:rPr>
          <w:rFonts w:ascii="Calibri" w:hAnsi="Calibri"/>
          <w:color w:val="000000"/>
          <w:lang w:val="en-AU"/>
        </w:rPr>
        <w:tab/>
        <w:t>the Select Committee</w:t>
      </w:r>
      <w:r w:rsidR="00091C7D">
        <w:rPr>
          <w:rFonts w:ascii="Calibri" w:hAnsi="Calibri"/>
          <w:color w:val="000000"/>
          <w:lang w:val="en-AU"/>
        </w:rPr>
        <w:t>’</w:t>
      </w:r>
      <w:r w:rsidRPr="00456C0B">
        <w:rPr>
          <w:rFonts w:ascii="Calibri" w:hAnsi="Calibri"/>
          <w:color w:val="000000"/>
          <w:lang w:val="en-AU"/>
        </w:rPr>
        <w:t>s report found:</w:t>
      </w:r>
    </w:p>
    <w:p w14:paraId="63BB97EA" w14:textId="77777777" w:rsidR="00AE774E" w:rsidRPr="00456C0B" w:rsidRDefault="00AE774E" w:rsidP="00AE774E">
      <w:pPr>
        <w:spacing w:before="120"/>
        <w:ind w:left="2477" w:hanging="544"/>
        <w:rPr>
          <w:rFonts w:ascii="Calibri" w:hAnsi="Calibri"/>
          <w:color w:val="000000"/>
          <w:lang w:val="en-AU"/>
        </w:rPr>
      </w:pPr>
      <w:r>
        <w:rPr>
          <w:rFonts w:ascii="Calibri" w:hAnsi="Calibri"/>
          <w:color w:val="000000"/>
          <w:lang w:val="en-AU"/>
        </w:rPr>
        <w:t>(i)</w:t>
      </w:r>
      <w:r w:rsidRPr="00456C0B">
        <w:rPr>
          <w:rFonts w:ascii="Calibri" w:hAnsi="Calibri"/>
          <w:color w:val="000000"/>
          <w:lang w:val="en-AU"/>
        </w:rPr>
        <w:tab/>
        <w:t>annual average petrol prices in Canberra were higher than prices in the five largest capital cities between 2012-2013 and 2018-2019;</w:t>
      </w:r>
    </w:p>
    <w:p w14:paraId="2EBFD0F0" w14:textId="77777777" w:rsidR="00AE774E" w:rsidRPr="00456C0B" w:rsidRDefault="00AE774E" w:rsidP="00AE774E">
      <w:pPr>
        <w:spacing w:before="120"/>
        <w:ind w:left="2477" w:hanging="544"/>
        <w:rPr>
          <w:rFonts w:ascii="Calibri" w:hAnsi="Calibri"/>
          <w:color w:val="000000"/>
          <w:lang w:val="en-AU"/>
        </w:rPr>
      </w:pPr>
      <w:r>
        <w:rPr>
          <w:rFonts w:ascii="Calibri" w:hAnsi="Calibri"/>
          <w:color w:val="000000"/>
          <w:lang w:val="en-AU"/>
        </w:rPr>
        <w:t>(</w:t>
      </w:r>
      <w:r w:rsidRPr="00456C0B">
        <w:rPr>
          <w:rFonts w:ascii="Calibri" w:hAnsi="Calibri"/>
          <w:color w:val="000000"/>
          <w:lang w:val="en-AU"/>
        </w:rPr>
        <w:t>ii</w:t>
      </w:r>
      <w:r>
        <w:rPr>
          <w:rFonts w:ascii="Calibri" w:hAnsi="Calibri"/>
          <w:color w:val="000000"/>
          <w:lang w:val="en-AU"/>
        </w:rPr>
        <w:t>)</w:t>
      </w:r>
      <w:r w:rsidRPr="00456C0B">
        <w:rPr>
          <w:rFonts w:ascii="Calibri" w:hAnsi="Calibri"/>
          <w:color w:val="000000"/>
          <w:lang w:val="en-AU"/>
        </w:rPr>
        <w:tab/>
        <w:t>Canberra petrol prices were consistently higher than those in Sydney and in other surrounding towns between 2012-2013;</w:t>
      </w:r>
    </w:p>
    <w:p w14:paraId="0FBF545E" w14:textId="77777777" w:rsidR="00AE774E" w:rsidRPr="00456C0B" w:rsidRDefault="00AE774E" w:rsidP="00AE774E">
      <w:pPr>
        <w:spacing w:before="120"/>
        <w:ind w:left="2477" w:hanging="544"/>
        <w:rPr>
          <w:rFonts w:ascii="Calibri" w:hAnsi="Calibri"/>
          <w:color w:val="000000"/>
          <w:lang w:val="en-AU"/>
        </w:rPr>
      </w:pPr>
      <w:r>
        <w:rPr>
          <w:rFonts w:ascii="Calibri" w:hAnsi="Calibri"/>
          <w:color w:val="000000"/>
          <w:lang w:val="en-AU"/>
        </w:rPr>
        <w:t>(</w:t>
      </w:r>
      <w:r w:rsidRPr="00456C0B">
        <w:rPr>
          <w:rFonts w:ascii="Calibri" w:hAnsi="Calibri"/>
          <w:color w:val="000000"/>
          <w:lang w:val="en-AU"/>
        </w:rPr>
        <w:t>iii</w:t>
      </w:r>
      <w:r>
        <w:rPr>
          <w:rFonts w:ascii="Calibri" w:hAnsi="Calibri"/>
          <w:color w:val="000000"/>
          <w:lang w:val="en-AU"/>
        </w:rPr>
        <w:t>)</w:t>
      </w:r>
      <w:r w:rsidRPr="00456C0B">
        <w:rPr>
          <w:rFonts w:ascii="Calibri" w:hAnsi="Calibri"/>
          <w:color w:val="000000"/>
          <w:lang w:val="en-AU"/>
        </w:rPr>
        <w:tab/>
        <w:t>the ACT fuel market was not meeting consumer expectations;</w:t>
      </w:r>
    </w:p>
    <w:p w14:paraId="3A145112"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(c)</w:t>
      </w:r>
      <w:r w:rsidRPr="00456C0B">
        <w:rPr>
          <w:rFonts w:ascii="Calibri" w:hAnsi="Calibri"/>
          <w:color w:val="000000"/>
          <w:lang w:val="en-AU"/>
        </w:rPr>
        <w:tab/>
        <w:t>on 22 February 2019 the Chief Minister made a referral to the Independent Competition and Regulatory Commission to undertake a factual analysis of petrol prices and competition in the ACT;</w:t>
      </w:r>
    </w:p>
    <w:p w14:paraId="3876FED9" w14:textId="4DB624C9"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(d)</w:t>
      </w:r>
      <w:r w:rsidRPr="00456C0B">
        <w:rPr>
          <w:rFonts w:ascii="Calibri" w:hAnsi="Calibri"/>
          <w:color w:val="000000"/>
          <w:lang w:val="en-AU"/>
        </w:rPr>
        <w:tab/>
        <w:t>prior to the Chief Minister</w:t>
      </w:r>
      <w:r w:rsidR="00091C7D">
        <w:rPr>
          <w:rFonts w:ascii="Calibri" w:hAnsi="Calibri"/>
          <w:color w:val="000000"/>
          <w:lang w:val="en-AU"/>
        </w:rPr>
        <w:t>’</w:t>
      </w:r>
      <w:r w:rsidRPr="00456C0B">
        <w:rPr>
          <w:rFonts w:ascii="Calibri" w:hAnsi="Calibri"/>
          <w:color w:val="000000"/>
          <w:lang w:val="en-AU"/>
        </w:rPr>
        <w:t xml:space="preserve">s intervention, the March quarter 2020 ACCC Report showed on average Canberrans were paying 14.2 cents per litre more than Sydney motorists; </w:t>
      </w:r>
    </w:p>
    <w:p w14:paraId="481BA678"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(e)</w:t>
      </w:r>
      <w:r w:rsidRPr="00456C0B">
        <w:rPr>
          <w:rFonts w:ascii="Calibri" w:hAnsi="Calibri"/>
          <w:color w:val="000000"/>
          <w:lang w:val="en-AU"/>
        </w:rPr>
        <w:tab/>
      </w:r>
      <w:r w:rsidRPr="003D4AE4">
        <w:rPr>
          <w:rFonts w:ascii="Calibri" w:hAnsi="Calibri"/>
          <w:color w:val="000000"/>
          <w:spacing w:val="-2"/>
          <w:lang w:val="en-AU"/>
        </w:rPr>
        <w:t>the Chief Minister wrote to major fuel operators on 20 April 2020 highlighting unnecessarily high retail margins and indicating the Government was willing to introduce price regulations if the issue was not addressed;</w:t>
      </w:r>
    </w:p>
    <w:p w14:paraId="67CE290D" w14:textId="31923838"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(f)</w:t>
      </w:r>
      <w:r w:rsidRPr="00456C0B">
        <w:rPr>
          <w:rFonts w:ascii="Calibri" w:hAnsi="Calibri"/>
          <w:color w:val="000000"/>
          <w:lang w:val="en-AU"/>
        </w:rPr>
        <w:tab/>
        <w:t>the Chief Minister subsequently wrote to major fuel operators on several occasions to remind retailers of the Government</w:t>
      </w:r>
      <w:r w:rsidR="00091C7D">
        <w:rPr>
          <w:rFonts w:ascii="Calibri" w:hAnsi="Calibri"/>
          <w:color w:val="000000"/>
          <w:lang w:val="en-AU"/>
        </w:rPr>
        <w:t>’</w:t>
      </w:r>
      <w:r w:rsidRPr="00456C0B">
        <w:rPr>
          <w:rFonts w:ascii="Calibri" w:hAnsi="Calibri"/>
          <w:color w:val="000000"/>
          <w:lang w:val="en-AU"/>
        </w:rPr>
        <w:t>s position and their responsibility to bring pricing in line with other metropolitan centres; and</w:t>
      </w:r>
    </w:p>
    <w:p w14:paraId="6B09C14B" w14:textId="39EE7DD0"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(g)</w:t>
      </w:r>
      <w:r w:rsidRPr="00456C0B">
        <w:rPr>
          <w:rFonts w:ascii="Calibri" w:hAnsi="Calibri"/>
          <w:color w:val="000000"/>
          <w:lang w:val="en-AU"/>
        </w:rPr>
        <w:tab/>
        <w:t>following the intervention, the June quarter 2022 ACCC report revealed that in 2021-</w:t>
      </w:r>
      <w:r w:rsidR="003E48E6">
        <w:rPr>
          <w:rFonts w:ascii="Calibri" w:hAnsi="Calibri"/>
          <w:color w:val="000000"/>
          <w:lang w:val="en-AU"/>
        </w:rPr>
        <w:t>20</w:t>
      </w:r>
      <w:r w:rsidRPr="00456C0B">
        <w:rPr>
          <w:rFonts w:ascii="Calibri" w:hAnsi="Calibri"/>
          <w:color w:val="000000"/>
          <w:lang w:val="en-AU"/>
        </w:rPr>
        <w:t>22 Canberrans were paying prices comparable to Sydney;</w:t>
      </w:r>
    </w:p>
    <w:p w14:paraId="704957D3" w14:textId="77777777" w:rsidR="00AE774E" w:rsidRPr="00456C0B" w:rsidRDefault="00AE774E" w:rsidP="00AE774E">
      <w:pPr>
        <w:keepNext/>
        <w:spacing w:before="120"/>
        <w:ind w:left="1366" w:hanging="646"/>
        <w:rPr>
          <w:rFonts w:ascii="Calibri" w:hAnsi="Calibri"/>
          <w:color w:val="000000"/>
          <w:lang w:val="en-AU"/>
        </w:rPr>
      </w:pPr>
      <w:r w:rsidRPr="00456C0B">
        <w:rPr>
          <w:rFonts w:ascii="Calibri" w:hAnsi="Calibri"/>
          <w:color w:val="000000"/>
          <w:lang w:val="en-AU"/>
        </w:rPr>
        <w:t>(3)</w:t>
      </w:r>
      <w:r w:rsidRPr="00456C0B">
        <w:rPr>
          <w:rFonts w:ascii="Calibri" w:hAnsi="Calibri"/>
          <w:color w:val="000000"/>
          <w:lang w:val="en-AU"/>
        </w:rPr>
        <w:tab/>
      </w:r>
      <w:r>
        <w:rPr>
          <w:rFonts w:ascii="Calibri" w:hAnsi="Calibri"/>
          <w:color w:val="000000"/>
          <w:lang w:val="en-AU"/>
        </w:rPr>
        <w:t>a</w:t>
      </w:r>
      <w:r w:rsidRPr="00456C0B">
        <w:rPr>
          <w:rFonts w:ascii="Calibri" w:hAnsi="Calibri"/>
          <w:color w:val="000000"/>
          <w:lang w:val="en-AU"/>
        </w:rPr>
        <w:t>cknowledges:</w:t>
      </w:r>
    </w:p>
    <w:p w14:paraId="48BB23FA"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(a)</w:t>
      </w:r>
      <w:r w:rsidRPr="00456C0B">
        <w:rPr>
          <w:rFonts w:ascii="Calibri" w:hAnsi="Calibri"/>
          <w:color w:val="000000"/>
          <w:lang w:val="en-AU"/>
        </w:rPr>
        <w:tab/>
        <w:t>on 4 November 2022, the Government announced the introduction of the FuelCheck scheme for a 6-month pilot, at no cost to the ACT;</w:t>
      </w:r>
    </w:p>
    <w:p w14:paraId="4E5FFE11"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(b)</w:t>
      </w:r>
      <w:r w:rsidRPr="00456C0B">
        <w:rPr>
          <w:rFonts w:ascii="Calibri" w:hAnsi="Calibri"/>
          <w:color w:val="000000"/>
          <w:lang w:val="en-AU"/>
        </w:rPr>
        <w:tab/>
        <w:t>during the pilot, consumers enjoyed savings on average of 11 cents per litre on standard unleaded; and</w:t>
      </w:r>
    </w:p>
    <w:p w14:paraId="53A2C09F" w14:textId="77777777" w:rsidR="00AE774E" w:rsidRPr="00456C0B" w:rsidRDefault="00AE774E" w:rsidP="00AE774E">
      <w:pPr>
        <w:spacing w:before="120"/>
        <w:ind w:left="1910" w:hanging="544"/>
        <w:rPr>
          <w:rFonts w:ascii="Calibri" w:hAnsi="Calibri"/>
          <w:color w:val="000000"/>
          <w:lang w:val="en-AU"/>
        </w:rPr>
      </w:pPr>
      <w:r w:rsidRPr="00456C0B">
        <w:rPr>
          <w:rFonts w:ascii="Calibri" w:hAnsi="Calibri"/>
          <w:color w:val="000000"/>
          <w:lang w:val="en-AU"/>
        </w:rPr>
        <w:t>(c)</w:t>
      </w:r>
      <w:r w:rsidRPr="00456C0B">
        <w:rPr>
          <w:rFonts w:ascii="Calibri" w:hAnsi="Calibri"/>
          <w:color w:val="000000"/>
          <w:lang w:val="en-AU"/>
        </w:rPr>
        <w:tab/>
        <w:t>in October 2023 the Government committed to the continuation of the scheme, given the fuel price benefits accruing to ACT motorists; and</w:t>
      </w:r>
    </w:p>
    <w:p w14:paraId="25C46390" w14:textId="77777777" w:rsidR="00AE774E" w:rsidRPr="00456C0B" w:rsidRDefault="00AE774E" w:rsidP="00F14915">
      <w:pPr>
        <w:spacing w:before="80"/>
        <w:ind w:left="1366" w:hanging="646"/>
        <w:rPr>
          <w:rFonts w:ascii="Calibri" w:hAnsi="Calibri"/>
          <w:color w:val="000000"/>
          <w:lang w:val="en-AU"/>
        </w:rPr>
      </w:pPr>
      <w:r w:rsidRPr="00456C0B">
        <w:rPr>
          <w:rFonts w:ascii="Calibri" w:hAnsi="Calibri"/>
          <w:color w:val="000000"/>
          <w:lang w:val="en-AU"/>
        </w:rPr>
        <w:lastRenderedPageBreak/>
        <w:t>(4)</w:t>
      </w:r>
      <w:r w:rsidRPr="00456C0B">
        <w:rPr>
          <w:rFonts w:ascii="Calibri" w:hAnsi="Calibri"/>
          <w:color w:val="000000"/>
          <w:lang w:val="en-AU"/>
        </w:rPr>
        <w:tab/>
        <w:t>calls on the Government to:</w:t>
      </w:r>
    </w:p>
    <w:p w14:paraId="7A2C4FF2" w14:textId="0D5D7273" w:rsidR="00AE774E" w:rsidRPr="00456C0B" w:rsidRDefault="00AE774E" w:rsidP="00F14915">
      <w:pPr>
        <w:spacing w:before="80"/>
        <w:ind w:left="1910" w:hanging="544"/>
        <w:rPr>
          <w:rFonts w:ascii="Calibri" w:hAnsi="Calibri"/>
          <w:color w:val="000000"/>
          <w:lang w:val="en-AU"/>
        </w:rPr>
      </w:pPr>
      <w:r w:rsidRPr="00456C0B">
        <w:rPr>
          <w:rFonts w:ascii="Calibri" w:hAnsi="Calibri"/>
          <w:color w:val="000000"/>
          <w:lang w:val="en-AU"/>
        </w:rPr>
        <w:t>(a)</w:t>
      </w:r>
      <w:r w:rsidRPr="00456C0B">
        <w:rPr>
          <w:rFonts w:ascii="Calibri" w:hAnsi="Calibri"/>
          <w:color w:val="000000"/>
          <w:lang w:val="en-AU"/>
        </w:rPr>
        <w:tab/>
        <w:t>recommit to the continuation of the FuelCheck scheme at no cost to ACT taxpayers; and</w:t>
      </w:r>
    </w:p>
    <w:p w14:paraId="1103DF71" w14:textId="54FC701B" w:rsidR="00AE774E" w:rsidRPr="00026751" w:rsidRDefault="00AE774E" w:rsidP="00F14915">
      <w:pPr>
        <w:spacing w:before="80"/>
        <w:ind w:left="1910" w:hanging="544"/>
        <w:rPr>
          <w:rFonts w:ascii="Calibri" w:hAnsi="Calibri"/>
          <w:color w:val="000000"/>
          <w:lang w:val="en-AU"/>
        </w:rPr>
      </w:pPr>
      <w:r w:rsidRPr="00456C0B">
        <w:rPr>
          <w:rFonts w:ascii="Calibri" w:hAnsi="Calibri"/>
          <w:color w:val="000000"/>
          <w:lang w:val="en-AU"/>
        </w:rPr>
        <w:t>(b)</w:t>
      </w:r>
      <w:r w:rsidRPr="00456C0B">
        <w:rPr>
          <w:rFonts w:ascii="Calibri" w:hAnsi="Calibri"/>
          <w:color w:val="000000"/>
          <w:lang w:val="en-AU"/>
        </w:rPr>
        <w:tab/>
        <w:t>continue to monitor petrol pricing to ensure retailers do not reinstate unnecessarily high retail margins.</w:t>
      </w:r>
      <w:r w:rsidR="00091C7D">
        <w:rPr>
          <w:rFonts w:ascii="Calibri" w:hAnsi="Calibri"/>
          <w:color w:val="000000"/>
          <w:lang w:val="en-AU"/>
        </w:rPr>
        <w:t>”</w:t>
      </w:r>
      <w:r>
        <w:rPr>
          <w:rFonts w:ascii="Calibri" w:hAnsi="Calibri"/>
          <w:color w:val="000000"/>
          <w:lang w:val="en-AU"/>
        </w:rPr>
        <w:t>—</w:t>
      </w:r>
    </w:p>
    <w:p w14:paraId="040001A8" w14:textId="46E30772" w:rsidR="00026751" w:rsidRPr="00026751" w:rsidRDefault="00AE774E" w:rsidP="00F14915">
      <w:pPr>
        <w:spacing w:before="80"/>
        <w:ind w:left="720"/>
        <w:rPr>
          <w:rFonts w:ascii="Calibri" w:hAnsi="Calibri"/>
          <w:color w:val="000000"/>
          <w:lang w:val="en-AU"/>
        </w:rPr>
      </w:pPr>
      <w:r>
        <w:rPr>
          <w:rFonts w:ascii="Calibri" w:hAnsi="Calibri"/>
          <w:color w:val="000000"/>
          <w:lang w:val="en-AU"/>
        </w:rPr>
        <w:t>be agreed to</w:t>
      </w:r>
      <w:r w:rsidR="00026751" w:rsidRPr="00026751">
        <w:rPr>
          <w:rFonts w:ascii="Calibri" w:hAnsi="Calibri"/>
          <w:color w:val="000000"/>
          <w:lang w:val="en-AU"/>
        </w:rPr>
        <w:t>—put and passed.</w:t>
      </w:r>
    </w:p>
    <w:p w14:paraId="4722A29C" w14:textId="734DE9F9" w:rsidR="00026751" w:rsidRPr="00026751" w:rsidRDefault="00026751" w:rsidP="00026751">
      <w:pPr>
        <w:keepNext/>
        <w:keepLines/>
        <w:tabs>
          <w:tab w:val="right" w:pos="339"/>
          <w:tab w:val="left" w:pos="720"/>
        </w:tabs>
        <w:spacing w:before="240"/>
        <w:ind w:left="720" w:hanging="720"/>
        <w:rPr>
          <w:rFonts w:ascii="Calibri" w:hAnsi="Calibri"/>
          <w:b/>
          <w:caps/>
          <w:lang w:val="en-AU"/>
        </w:rPr>
      </w:pPr>
      <w:r w:rsidRPr="00026751">
        <w:rPr>
          <w:rFonts w:ascii="Calibri" w:hAnsi="Calibri"/>
          <w:b/>
          <w:lang w:val="en-AU"/>
        </w:rPr>
        <w:tab/>
      </w:r>
      <w:r w:rsidR="001855C1">
        <w:rPr>
          <w:rFonts w:ascii="Calibri" w:hAnsi="Calibri"/>
          <w:b/>
          <w:bCs/>
          <w:lang w:val="en-AU"/>
        </w:rPr>
        <w:fldChar w:fldCharType="begin"/>
      </w:r>
      <w:r w:rsidR="001855C1">
        <w:rPr>
          <w:rFonts w:ascii="Calibri" w:hAnsi="Calibri"/>
          <w:b/>
          <w:bCs/>
          <w:lang w:val="en-AU"/>
        </w:rPr>
        <w:instrText xml:space="preserve"> SEQ A \* MERGEFORMAT </w:instrText>
      </w:r>
      <w:r w:rsidR="001855C1">
        <w:rPr>
          <w:rFonts w:ascii="Calibri" w:hAnsi="Calibri"/>
          <w:b/>
          <w:bCs/>
          <w:lang w:val="en-AU"/>
        </w:rPr>
        <w:fldChar w:fldCharType="separate"/>
      </w:r>
      <w:r w:rsidR="00A64AFA">
        <w:rPr>
          <w:rFonts w:ascii="Calibri" w:hAnsi="Calibri"/>
          <w:b/>
          <w:bCs/>
          <w:noProof/>
          <w:lang w:val="en-AU"/>
        </w:rPr>
        <w:t>15</w:t>
      </w:r>
      <w:r w:rsidR="001855C1">
        <w:rPr>
          <w:rFonts w:ascii="Calibri" w:hAnsi="Calibri"/>
          <w:b/>
          <w:bCs/>
          <w:lang w:val="en-AU"/>
        </w:rPr>
        <w:fldChar w:fldCharType="end"/>
      </w:r>
      <w:r w:rsidRPr="00026751">
        <w:rPr>
          <w:rFonts w:ascii="Calibri" w:hAnsi="Calibri"/>
          <w:b/>
          <w:lang w:val="en-AU"/>
        </w:rPr>
        <w:tab/>
      </w:r>
      <w:r w:rsidRPr="00026751">
        <w:rPr>
          <w:rFonts w:ascii="Calibri" w:hAnsi="Calibri"/>
          <w:b/>
          <w:caps/>
          <w:lang w:val="en-AU"/>
        </w:rPr>
        <w:t xml:space="preserve">PAPERS PRESENTED ON </w:t>
      </w:r>
      <w:r w:rsidR="008D3158">
        <w:rPr>
          <w:rFonts w:ascii="Calibri" w:hAnsi="Calibri"/>
          <w:b/>
          <w:caps/>
          <w:lang w:val="en-AU"/>
        </w:rPr>
        <w:t>3 September 2024</w:t>
      </w:r>
      <w:r w:rsidRPr="00026751">
        <w:rPr>
          <w:rFonts w:ascii="Calibri" w:hAnsi="Calibri"/>
          <w:b/>
          <w:caps/>
          <w:lang w:val="en-AU"/>
        </w:rPr>
        <w:t>—PAPERS NOTED</w:t>
      </w:r>
    </w:p>
    <w:p w14:paraId="16C52273" w14:textId="109A0F40" w:rsidR="00026751" w:rsidRPr="00026751" w:rsidRDefault="00026751" w:rsidP="00026751">
      <w:pPr>
        <w:spacing w:before="120"/>
        <w:ind w:left="720"/>
        <w:rPr>
          <w:rFonts w:ascii="Calibri" w:hAnsi="Calibri"/>
          <w:lang w:val="en-AU"/>
        </w:rPr>
      </w:pPr>
      <w:r w:rsidRPr="00026751">
        <w:rPr>
          <w:rFonts w:ascii="Calibri" w:hAnsi="Calibri"/>
          <w:lang w:val="en-AU"/>
        </w:rPr>
        <w:t>The Speaker, pursuant to standing order 211A, proposed—That the papers presented under standing order 211 during the presentation of papers in the routine of business today be noted.</w:t>
      </w:r>
    </w:p>
    <w:p w14:paraId="329C4E65" w14:textId="77777777" w:rsidR="00026751" w:rsidRDefault="00026751" w:rsidP="00026751">
      <w:pPr>
        <w:spacing w:before="120"/>
        <w:ind w:left="720"/>
        <w:rPr>
          <w:rFonts w:ascii="Calibri" w:hAnsi="Calibri"/>
          <w:lang w:val="en-AU"/>
        </w:rPr>
      </w:pPr>
      <w:r w:rsidRPr="00026751">
        <w:rPr>
          <w:rFonts w:ascii="Calibri" w:hAnsi="Calibri"/>
          <w:lang w:val="en-AU"/>
        </w:rPr>
        <w:t>Question—put and passed.</w:t>
      </w:r>
    </w:p>
    <w:p w14:paraId="0723EA02" w14:textId="544B1682" w:rsidR="006E0102" w:rsidRPr="006E0102" w:rsidRDefault="006E0102" w:rsidP="006E0102">
      <w:pPr>
        <w:keepNext/>
        <w:keepLines/>
        <w:tabs>
          <w:tab w:val="right" w:pos="339"/>
          <w:tab w:val="left" w:pos="720"/>
        </w:tabs>
        <w:spacing w:before="240"/>
        <w:ind w:left="720" w:hanging="720"/>
        <w:rPr>
          <w:rFonts w:ascii="Calibri" w:hAnsi="Calibri"/>
          <w:b/>
          <w:caps/>
          <w:lang w:val="en-AU"/>
        </w:rPr>
      </w:pPr>
      <w:r w:rsidRPr="006E0102">
        <w:rPr>
          <w:rFonts w:ascii="Calibri" w:hAnsi="Calibri"/>
          <w:b/>
          <w:caps/>
          <w:lang w:val="en-AU"/>
        </w:rPr>
        <w:tab/>
      </w:r>
      <w:r w:rsidR="001855C1">
        <w:rPr>
          <w:rFonts w:ascii="Calibri" w:hAnsi="Calibri"/>
          <w:b/>
          <w:bCs/>
          <w:caps/>
          <w:lang w:val="en-AU"/>
        </w:rPr>
        <w:fldChar w:fldCharType="begin"/>
      </w:r>
      <w:r w:rsidR="001855C1">
        <w:rPr>
          <w:rFonts w:ascii="Calibri" w:hAnsi="Calibri"/>
          <w:b/>
          <w:bCs/>
          <w:caps/>
          <w:lang w:val="en-AU"/>
        </w:rPr>
        <w:instrText xml:space="preserve"> SEQ A \* MERGEFORMAT </w:instrText>
      </w:r>
      <w:r w:rsidR="001855C1">
        <w:rPr>
          <w:rFonts w:ascii="Calibri" w:hAnsi="Calibri"/>
          <w:b/>
          <w:bCs/>
          <w:caps/>
          <w:lang w:val="en-AU"/>
        </w:rPr>
        <w:fldChar w:fldCharType="separate"/>
      </w:r>
      <w:r w:rsidR="00A64AFA">
        <w:rPr>
          <w:rFonts w:ascii="Calibri" w:hAnsi="Calibri"/>
          <w:b/>
          <w:bCs/>
          <w:caps/>
          <w:noProof/>
          <w:lang w:val="en-AU"/>
        </w:rPr>
        <w:t>16</w:t>
      </w:r>
      <w:r w:rsidR="001855C1">
        <w:rPr>
          <w:rFonts w:ascii="Calibri" w:hAnsi="Calibri"/>
          <w:b/>
          <w:bCs/>
          <w:caps/>
          <w:lang w:val="en-AU"/>
        </w:rPr>
        <w:fldChar w:fldCharType="end"/>
      </w:r>
      <w:r w:rsidRPr="006E0102">
        <w:rPr>
          <w:rFonts w:ascii="Calibri" w:hAnsi="Calibri"/>
          <w:b/>
          <w:caps/>
          <w:lang w:val="en-AU"/>
        </w:rPr>
        <w:tab/>
      </w:r>
      <w:r>
        <w:rPr>
          <w:rFonts w:ascii="Calibri" w:hAnsi="Calibri"/>
          <w:b/>
          <w:caps/>
          <w:lang w:val="en-AU"/>
        </w:rPr>
        <w:t>Appropriation Bill 2024-2025</w:t>
      </w:r>
    </w:p>
    <w:p w14:paraId="07D4FACA" w14:textId="38A535FA" w:rsidR="006E0102" w:rsidRPr="006E0102" w:rsidRDefault="006E0102" w:rsidP="006E0102">
      <w:pPr>
        <w:spacing w:before="120"/>
        <w:ind w:left="720"/>
        <w:rPr>
          <w:rFonts w:ascii="Calibri" w:hAnsi="Calibri"/>
          <w:lang w:val="en-AU"/>
        </w:rPr>
      </w:pPr>
      <w:r w:rsidRPr="006E0102">
        <w:rPr>
          <w:rFonts w:ascii="Calibri" w:hAnsi="Calibri"/>
          <w:lang w:val="en-AU"/>
        </w:rPr>
        <w:t xml:space="preserve">The Assembly, according to order, resumed </w:t>
      </w:r>
      <w:r w:rsidR="00302878">
        <w:rPr>
          <w:rFonts w:ascii="Calibri" w:hAnsi="Calibri"/>
          <w:lang w:val="en-AU"/>
        </w:rPr>
        <w:t xml:space="preserve">further </w:t>
      </w:r>
      <w:r w:rsidRPr="006E0102">
        <w:rPr>
          <w:rFonts w:ascii="Calibri" w:hAnsi="Calibri"/>
          <w:lang w:val="en-AU"/>
        </w:rPr>
        <w:t>consideration at the detail stage—</w:t>
      </w:r>
    </w:p>
    <w:p w14:paraId="10A5C35E" w14:textId="77777777" w:rsidR="006E0102" w:rsidRPr="006E0102" w:rsidRDefault="006E0102" w:rsidP="006E0102">
      <w:pPr>
        <w:pBdr>
          <w:bottom w:val="thinThickLargeGap" w:sz="18" w:space="1" w:color="auto"/>
        </w:pBdr>
        <w:ind w:left="3427" w:right="3658"/>
        <w:jc w:val="center"/>
        <w:rPr>
          <w:rFonts w:ascii="Calibri" w:hAnsi="Calibri"/>
          <w:i/>
          <w:iCs/>
          <w:lang w:val="en-AU"/>
        </w:rPr>
      </w:pPr>
    </w:p>
    <w:p w14:paraId="4244B887" w14:textId="77777777" w:rsidR="006E0102" w:rsidRPr="006E0102" w:rsidRDefault="006E0102" w:rsidP="006E0102">
      <w:pPr>
        <w:tabs>
          <w:tab w:val="left" w:pos="1197"/>
          <w:tab w:val="left" w:pos="1767"/>
        </w:tabs>
        <w:spacing w:before="120"/>
        <w:jc w:val="center"/>
        <w:rPr>
          <w:rFonts w:ascii="Calibri" w:hAnsi="Calibri"/>
          <w:i/>
          <w:iCs/>
          <w:lang w:val="en-AU"/>
        </w:rPr>
      </w:pPr>
      <w:r w:rsidRPr="006E0102">
        <w:rPr>
          <w:rFonts w:ascii="Calibri" w:hAnsi="Calibri"/>
          <w:i/>
          <w:iCs/>
          <w:lang w:val="en-AU"/>
        </w:rPr>
        <w:t>Detail Stage</w:t>
      </w:r>
    </w:p>
    <w:p w14:paraId="6167E28A" w14:textId="77777777" w:rsidR="006E0102" w:rsidRDefault="006E0102" w:rsidP="00F14915">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696ABD9E" w14:textId="0EA1765C" w:rsidR="006E0102" w:rsidRDefault="006E0102" w:rsidP="00F14915">
      <w:pPr>
        <w:pStyle w:val="DPSEntryDetailIndentLev1"/>
        <w:spacing w:before="80"/>
        <w:ind w:left="862"/>
      </w:pPr>
      <w:r w:rsidRPr="002647D6">
        <w:t>Consideration resumed on</w:t>
      </w:r>
      <w:r>
        <w:t xml:space="preserve"> Part 1</w:t>
      </w:r>
      <w:r w:rsidR="000C555C">
        <w:t>.7</w:t>
      </w:r>
      <w:r>
        <w:t>—</w:t>
      </w:r>
      <w:r w:rsidR="000C555C">
        <w:t>Justice and Community Safety Directorate</w:t>
      </w:r>
      <w:r w:rsidR="00AE774E">
        <w:t>—</w:t>
      </w:r>
    </w:p>
    <w:p w14:paraId="3EF94F68" w14:textId="77777777" w:rsidR="006E0102" w:rsidRDefault="006E0102" w:rsidP="00F14915">
      <w:pPr>
        <w:pStyle w:val="DPSEntryDetailIndentLev1"/>
        <w:spacing w:before="80"/>
        <w:ind w:left="862"/>
      </w:pPr>
      <w:r>
        <w:t>Debate continued.</w:t>
      </w:r>
    </w:p>
    <w:p w14:paraId="7A8D81E0" w14:textId="4BCFDA9B" w:rsidR="00A368EC" w:rsidRDefault="00A368EC" w:rsidP="00F14915">
      <w:pPr>
        <w:pStyle w:val="DPSEntryDetailIndentLev1"/>
        <w:spacing w:before="80"/>
        <w:ind w:left="862"/>
      </w:pPr>
      <w:r>
        <w:t>Ms Clay moved her amendment No 2 (</w:t>
      </w:r>
      <w:r>
        <w:rPr>
          <w:i/>
          <w:iCs/>
        </w:rPr>
        <w:t xml:space="preserve">see </w:t>
      </w:r>
      <w:hyperlink w:anchor="Schedule1" w:history="1">
        <w:r w:rsidRPr="002E1488">
          <w:rPr>
            <w:rStyle w:val="Hyperlink"/>
          </w:rPr>
          <w:t>Schedule 1</w:t>
        </w:r>
      </w:hyperlink>
      <w:r>
        <w:t>).</w:t>
      </w:r>
    </w:p>
    <w:p w14:paraId="704FE5E4" w14:textId="1088538D" w:rsidR="003D4AE4" w:rsidRPr="003D4AE4" w:rsidRDefault="003D4AE4" w:rsidP="00F14915">
      <w:pPr>
        <w:pStyle w:val="DPSEntryDetailIndentLev1"/>
        <w:spacing w:before="80"/>
        <w:ind w:left="862"/>
      </w:pPr>
      <w:r>
        <w:t>Debate continued.</w:t>
      </w:r>
    </w:p>
    <w:p w14:paraId="52BEF39A" w14:textId="77777777" w:rsidR="00276DAC" w:rsidRDefault="00276DAC" w:rsidP="00F14915">
      <w:pPr>
        <w:pStyle w:val="DPSEntryDetailIndentLev1"/>
        <w:spacing w:before="80"/>
      </w:pPr>
      <w:r>
        <w:t>Question—put.</w:t>
      </w:r>
    </w:p>
    <w:p w14:paraId="0A01DCF9" w14:textId="77777777" w:rsidR="00276DAC" w:rsidRDefault="00276DAC" w:rsidP="00F14915">
      <w:pPr>
        <w:pStyle w:val="DPSEntryDetailIndentLev1"/>
        <w:spacing w:before="80"/>
      </w:pPr>
      <w:r>
        <w:t>The Assembly voted—</w:t>
      </w:r>
    </w:p>
    <w:tbl>
      <w:tblPr>
        <w:tblW w:w="8238" w:type="dxa"/>
        <w:tblInd w:w="864" w:type="dxa"/>
        <w:tblLayout w:type="fixed"/>
        <w:tblCellMar>
          <w:left w:w="0" w:type="dxa"/>
        </w:tblCellMar>
        <w:tblLook w:val="0000" w:firstRow="0" w:lastRow="0" w:firstColumn="0" w:lastColumn="0" w:noHBand="0" w:noVBand="0"/>
      </w:tblPr>
      <w:tblGrid>
        <w:gridCol w:w="2041"/>
        <w:gridCol w:w="1206"/>
        <w:gridCol w:w="425"/>
        <w:gridCol w:w="2127"/>
        <w:gridCol w:w="2439"/>
      </w:tblGrid>
      <w:tr w:rsidR="00276DAC" w14:paraId="6A15EC70" w14:textId="77777777" w:rsidTr="00276DAC">
        <w:tc>
          <w:tcPr>
            <w:tcW w:w="3247" w:type="dxa"/>
            <w:gridSpan w:val="2"/>
            <w:shd w:val="clear" w:color="auto" w:fill="auto"/>
          </w:tcPr>
          <w:p w14:paraId="2D7019B7" w14:textId="4D590DD5" w:rsidR="00276DAC" w:rsidRDefault="00276DAC" w:rsidP="00276DAC">
            <w:pPr>
              <w:pStyle w:val="DPSEntryDetailIndentLev1"/>
              <w:tabs>
                <w:tab w:val="clear" w:pos="1350"/>
                <w:tab w:val="left" w:pos="1688"/>
              </w:tabs>
              <w:ind w:left="0"/>
            </w:pPr>
            <w:r>
              <w:tab/>
              <w:t>AYES, 6</w:t>
            </w:r>
          </w:p>
        </w:tc>
        <w:tc>
          <w:tcPr>
            <w:tcW w:w="425" w:type="dxa"/>
            <w:shd w:val="clear" w:color="auto" w:fill="auto"/>
          </w:tcPr>
          <w:p w14:paraId="409746B7" w14:textId="77777777" w:rsidR="00276DAC" w:rsidRDefault="00276DAC" w:rsidP="00276DAC">
            <w:pPr>
              <w:pStyle w:val="DPSEntryDetailIndentLev1"/>
              <w:ind w:left="0"/>
            </w:pPr>
          </w:p>
        </w:tc>
        <w:tc>
          <w:tcPr>
            <w:tcW w:w="4566" w:type="dxa"/>
            <w:gridSpan w:val="2"/>
            <w:shd w:val="clear" w:color="auto" w:fill="auto"/>
          </w:tcPr>
          <w:p w14:paraId="11A10A54" w14:textId="6C747AC5" w:rsidR="00276DAC" w:rsidRDefault="00276DAC" w:rsidP="00276DAC">
            <w:pPr>
              <w:pStyle w:val="DPSEntryDetailIndentLev1"/>
              <w:tabs>
                <w:tab w:val="center" w:pos="1644"/>
              </w:tabs>
              <w:ind w:left="0"/>
            </w:pPr>
            <w:r>
              <w:tab/>
              <w:t>NOES, 19</w:t>
            </w:r>
          </w:p>
        </w:tc>
      </w:tr>
      <w:tr w:rsidR="00276DAC" w14:paraId="19B4C8C3" w14:textId="77777777" w:rsidTr="00276DAC">
        <w:trPr>
          <w:trHeight w:hRule="exact" w:val="312"/>
        </w:trPr>
        <w:tc>
          <w:tcPr>
            <w:tcW w:w="2041" w:type="dxa"/>
            <w:shd w:val="clear" w:color="auto" w:fill="auto"/>
          </w:tcPr>
          <w:p w14:paraId="661C802B" w14:textId="4B96C1F7" w:rsidR="00276DAC" w:rsidRDefault="00276DAC" w:rsidP="00276DAC">
            <w:pPr>
              <w:pStyle w:val="DPSEntryDetailIndentLev1"/>
              <w:spacing w:before="0"/>
              <w:ind w:left="0"/>
            </w:pPr>
            <w:r>
              <w:t>Andrew Braddock</w:t>
            </w:r>
          </w:p>
        </w:tc>
        <w:tc>
          <w:tcPr>
            <w:tcW w:w="1206" w:type="dxa"/>
            <w:shd w:val="clear" w:color="auto" w:fill="auto"/>
          </w:tcPr>
          <w:p w14:paraId="6E6DD8A5" w14:textId="77777777" w:rsidR="00276DAC" w:rsidRDefault="00276DAC" w:rsidP="00276DAC">
            <w:pPr>
              <w:pStyle w:val="DPSEntryDetailIndentLev1"/>
              <w:ind w:left="0"/>
            </w:pPr>
          </w:p>
        </w:tc>
        <w:tc>
          <w:tcPr>
            <w:tcW w:w="425" w:type="dxa"/>
            <w:shd w:val="clear" w:color="auto" w:fill="auto"/>
          </w:tcPr>
          <w:p w14:paraId="071D28C8" w14:textId="77777777" w:rsidR="00276DAC" w:rsidRDefault="00276DAC" w:rsidP="00276DAC">
            <w:pPr>
              <w:pStyle w:val="DPSEntryDetailIndentLev1"/>
              <w:ind w:left="0"/>
            </w:pPr>
          </w:p>
        </w:tc>
        <w:tc>
          <w:tcPr>
            <w:tcW w:w="2127" w:type="dxa"/>
            <w:shd w:val="clear" w:color="auto" w:fill="auto"/>
          </w:tcPr>
          <w:p w14:paraId="04B2376F" w14:textId="503F1DAF" w:rsidR="00276DAC" w:rsidRDefault="00276DAC" w:rsidP="00276DAC">
            <w:pPr>
              <w:pStyle w:val="DPSEntryDetailIndentLev1"/>
              <w:spacing w:before="0"/>
              <w:ind w:left="0"/>
            </w:pPr>
            <w:r>
              <w:t>Andrew Barr</w:t>
            </w:r>
          </w:p>
        </w:tc>
        <w:tc>
          <w:tcPr>
            <w:tcW w:w="2438" w:type="dxa"/>
            <w:shd w:val="clear" w:color="auto" w:fill="auto"/>
          </w:tcPr>
          <w:p w14:paraId="44054855" w14:textId="5265E326" w:rsidR="00276DAC" w:rsidRDefault="00276DAC" w:rsidP="00276DAC">
            <w:pPr>
              <w:pStyle w:val="DPSEntryDetailIndentLev1"/>
              <w:spacing w:before="0"/>
              <w:ind w:left="0"/>
            </w:pPr>
            <w:r>
              <w:t>Nicole Lawder</w:t>
            </w:r>
          </w:p>
        </w:tc>
      </w:tr>
      <w:tr w:rsidR="00276DAC" w14:paraId="2BE3BCEA" w14:textId="77777777" w:rsidTr="00276DAC">
        <w:trPr>
          <w:trHeight w:hRule="exact" w:val="312"/>
        </w:trPr>
        <w:tc>
          <w:tcPr>
            <w:tcW w:w="2041" w:type="dxa"/>
            <w:shd w:val="clear" w:color="auto" w:fill="auto"/>
          </w:tcPr>
          <w:p w14:paraId="47869930" w14:textId="719BF7DF" w:rsidR="00276DAC" w:rsidRDefault="00276DAC" w:rsidP="00276DAC">
            <w:pPr>
              <w:pStyle w:val="DPSEntryDetailIndentLev1"/>
              <w:spacing w:before="0"/>
              <w:ind w:left="0"/>
            </w:pPr>
            <w:r>
              <w:t>Jo Clay</w:t>
            </w:r>
          </w:p>
        </w:tc>
        <w:tc>
          <w:tcPr>
            <w:tcW w:w="1206" w:type="dxa"/>
            <w:shd w:val="clear" w:color="auto" w:fill="auto"/>
          </w:tcPr>
          <w:p w14:paraId="11AF90B2" w14:textId="77777777" w:rsidR="00276DAC" w:rsidRDefault="00276DAC" w:rsidP="00276DAC">
            <w:pPr>
              <w:pStyle w:val="DPSEntryDetailIndentLev1"/>
              <w:ind w:left="0"/>
            </w:pPr>
          </w:p>
        </w:tc>
        <w:tc>
          <w:tcPr>
            <w:tcW w:w="425" w:type="dxa"/>
            <w:shd w:val="clear" w:color="auto" w:fill="auto"/>
          </w:tcPr>
          <w:p w14:paraId="174EB05E" w14:textId="77777777" w:rsidR="00276DAC" w:rsidRDefault="00276DAC" w:rsidP="00276DAC">
            <w:pPr>
              <w:pStyle w:val="DPSEntryDetailIndentLev1"/>
              <w:ind w:left="0"/>
            </w:pPr>
          </w:p>
        </w:tc>
        <w:tc>
          <w:tcPr>
            <w:tcW w:w="2127" w:type="dxa"/>
            <w:shd w:val="clear" w:color="auto" w:fill="auto"/>
          </w:tcPr>
          <w:p w14:paraId="40D0C65D" w14:textId="20629D77" w:rsidR="00276DAC" w:rsidRDefault="00276DAC" w:rsidP="00276DAC">
            <w:pPr>
              <w:pStyle w:val="DPSEntryDetailIndentLev1"/>
              <w:spacing w:before="0"/>
              <w:ind w:left="0"/>
            </w:pPr>
            <w:r>
              <w:t>Yvette Berry</w:t>
            </w:r>
          </w:p>
        </w:tc>
        <w:tc>
          <w:tcPr>
            <w:tcW w:w="2438" w:type="dxa"/>
            <w:shd w:val="clear" w:color="auto" w:fill="auto"/>
          </w:tcPr>
          <w:p w14:paraId="2456AAD0" w14:textId="29C7FE4D" w:rsidR="00276DAC" w:rsidRDefault="00276DAC" w:rsidP="00276DAC">
            <w:pPr>
              <w:pStyle w:val="DPSEntryDetailIndentLev1"/>
              <w:spacing w:before="0"/>
              <w:ind w:left="0"/>
            </w:pPr>
            <w:r>
              <w:t>Elizabeth Lee</w:t>
            </w:r>
          </w:p>
        </w:tc>
      </w:tr>
      <w:tr w:rsidR="00276DAC" w14:paraId="643F1BAE" w14:textId="77777777" w:rsidTr="00276DAC">
        <w:trPr>
          <w:trHeight w:hRule="exact" w:val="312"/>
        </w:trPr>
        <w:tc>
          <w:tcPr>
            <w:tcW w:w="2041" w:type="dxa"/>
            <w:shd w:val="clear" w:color="auto" w:fill="auto"/>
          </w:tcPr>
          <w:p w14:paraId="5AD31E32" w14:textId="0781095F" w:rsidR="00276DAC" w:rsidRDefault="00276DAC" w:rsidP="00276DAC">
            <w:pPr>
              <w:pStyle w:val="DPSEntryDetailIndentLev1"/>
              <w:spacing w:before="0"/>
              <w:ind w:left="0"/>
            </w:pPr>
            <w:r>
              <w:t>Emma Davidson</w:t>
            </w:r>
          </w:p>
        </w:tc>
        <w:tc>
          <w:tcPr>
            <w:tcW w:w="1206" w:type="dxa"/>
            <w:shd w:val="clear" w:color="auto" w:fill="auto"/>
          </w:tcPr>
          <w:p w14:paraId="703A3F0D" w14:textId="77777777" w:rsidR="00276DAC" w:rsidRDefault="00276DAC" w:rsidP="00276DAC">
            <w:pPr>
              <w:pStyle w:val="DPSEntryDetailIndentLev1"/>
              <w:ind w:left="0"/>
            </w:pPr>
          </w:p>
        </w:tc>
        <w:tc>
          <w:tcPr>
            <w:tcW w:w="425" w:type="dxa"/>
            <w:shd w:val="clear" w:color="auto" w:fill="auto"/>
          </w:tcPr>
          <w:p w14:paraId="0591BC3A" w14:textId="77777777" w:rsidR="00276DAC" w:rsidRDefault="00276DAC" w:rsidP="00276DAC">
            <w:pPr>
              <w:pStyle w:val="DPSEntryDetailIndentLev1"/>
              <w:ind w:left="0"/>
            </w:pPr>
          </w:p>
        </w:tc>
        <w:tc>
          <w:tcPr>
            <w:tcW w:w="2127" w:type="dxa"/>
            <w:shd w:val="clear" w:color="auto" w:fill="auto"/>
          </w:tcPr>
          <w:p w14:paraId="42EEC321" w14:textId="023F9E60" w:rsidR="00276DAC" w:rsidRDefault="00276DAC" w:rsidP="00276DAC">
            <w:pPr>
              <w:pStyle w:val="DPSEntryDetailIndentLev1"/>
              <w:spacing w:before="0"/>
              <w:ind w:left="0"/>
            </w:pPr>
            <w:r>
              <w:t>Joy Burch</w:t>
            </w:r>
          </w:p>
        </w:tc>
        <w:tc>
          <w:tcPr>
            <w:tcW w:w="2438" w:type="dxa"/>
            <w:shd w:val="clear" w:color="auto" w:fill="auto"/>
          </w:tcPr>
          <w:p w14:paraId="5CC09C75" w14:textId="78738D1C" w:rsidR="00276DAC" w:rsidRDefault="00276DAC" w:rsidP="00276DAC">
            <w:pPr>
              <w:pStyle w:val="DPSEntryDetailIndentLev1"/>
              <w:spacing w:before="0"/>
              <w:ind w:left="0"/>
            </w:pPr>
            <w:r>
              <w:t>James Milligan</w:t>
            </w:r>
          </w:p>
        </w:tc>
      </w:tr>
      <w:tr w:rsidR="00276DAC" w14:paraId="59C88A55" w14:textId="77777777" w:rsidTr="00276DAC">
        <w:trPr>
          <w:trHeight w:hRule="exact" w:val="312"/>
        </w:trPr>
        <w:tc>
          <w:tcPr>
            <w:tcW w:w="2041" w:type="dxa"/>
            <w:shd w:val="clear" w:color="auto" w:fill="auto"/>
          </w:tcPr>
          <w:p w14:paraId="6415C09E" w14:textId="7C512F97" w:rsidR="00276DAC" w:rsidRDefault="00276DAC" w:rsidP="00276DAC">
            <w:pPr>
              <w:pStyle w:val="DPSEntryDetailIndentLev1"/>
              <w:spacing w:before="0"/>
              <w:ind w:left="0"/>
            </w:pPr>
            <w:r>
              <w:t>Laura Nuttall</w:t>
            </w:r>
          </w:p>
        </w:tc>
        <w:tc>
          <w:tcPr>
            <w:tcW w:w="1206" w:type="dxa"/>
            <w:shd w:val="clear" w:color="auto" w:fill="auto"/>
          </w:tcPr>
          <w:p w14:paraId="318B6882" w14:textId="77777777" w:rsidR="00276DAC" w:rsidRDefault="00276DAC" w:rsidP="00276DAC">
            <w:pPr>
              <w:pStyle w:val="DPSEntryDetailIndentLev1"/>
              <w:ind w:left="0"/>
            </w:pPr>
          </w:p>
        </w:tc>
        <w:tc>
          <w:tcPr>
            <w:tcW w:w="425" w:type="dxa"/>
            <w:shd w:val="clear" w:color="auto" w:fill="auto"/>
          </w:tcPr>
          <w:p w14:paraId="4C350769" w14:textId="77777777" w:rsidR="00276DAC" w:rsidRDefault="00276DAC" w:rsidP="00276DAC">
            <w:pPr>
              <w:pStyle w:val="DPSEntryDetailIndentLev1"/>
              <w:ind w:left="0"/>
            </w:pPr>
          </w:p>
        </w:tc>
        <w:tc>
          <w:tcPr>
            <w:tcW w:w="2127" w:type="dxa"/>
            <w:shd w:val="clear" w:color="auto" w:fill="auto"/>
          </w:tcPr>
          <w:p w14:paraId="296A2C39" w14:textId="5DAB6891" w:rsidR="00276DAC" w:rsidRDefault="00276DAC" w:rsidP="00276DAC">
            <w:pPr>
              <w:pStyle w:val="DPSEntryDetailIndentLev1"/>
              <w:spacing w:before="0"/>
              <w:ind w:left="0"/>
            </w:pPr>
            <w:r>
              <w:t>Peter Cain</w:t>
            </w:r>
          </w:p>
        </w:tc>
        <w:tc>
          <w:tcPr>
            <w:tcW w:w="2438" w:type="dxa"/>
            <w:shd w:val="clear" w:color="auto" w:fill="auto"/>
          </w:tcPr>
          <w:p w14:paraId="692F61D1" w14:textId="03F973C5" w:rsidR="00276DAC" w:rsidRDefault="00276DAC" w:rsidP="00276DAC">
            <w:pPr>
              <w:pStyle w:val="DPSEntryDetailIndentLev1"/>
              <w:spacing w:before="0"/>
              <w:ind w:left="0"/>
            </w:pPr>
            <w:r>
              <w:t>Suzanne Orr</w:t>
            </w:r>
          </w:p>
        </w:tc>
      </w:tr>
      <w:tr w:rsidR="00276DAC" w14:paraId="4AF518CA" w14:textId="77777777" w:rsidTr="00276DAC">
        <w:trPr>
          <w:trHeight w:hRule="exact" w:val="312"/>
        </w:trPr>
        <w:tc>
          <w:tcPr>
            <w:tcW w:w="2041" w:type="dxa"/>
            <w:shd w:val="clear" w:color="auto" w:fill="auto"/>
          </w:tcPr>
          <w:p w14:paraId="7D6FBEEF" w14:textId="519BA8E5" w:rsidR="00276DAC" w:rsidRDefault="00276DAC" w:rsidP="00276DAC">
            <w:pPr>
              <w:pStyle w:val="DPSEntryDetailIndentLev1"/>
              <w:spacing w:before="0"/>
              <w:ind w:left="0"/>
            </w:pPr>
            <w:r>
              <w:t>Shane Rattenbury</w:t>
            </w:r>
          </w:p>
        </w:tc>
        <w:tc>
          <w:tcPr>
            <w:tcW w:w="1206" w:type="dxa"/>
            <w:shd w:val="clear" w:color="auto" w:fill="auto"/>
          </w:tcPr>
          <w:p w14:paraId="42FCD1C8" w14:textId="77777777" w:rsidR="00276DAC" w:rsidRDefault="00276DAC" w:rsidP="00276DAC">
            <w:pPr>
              <w:pStyle w:val="DPSEntryDetailIndentLev1"/>
              <w:ind w:left="0"/>
            </w:pPr>
          </w:p>
        </w:tc>
        <w:tc>
          <w:tcPr>
            <w:tcW w:w="425" w:type="dxa"/>
            <w:shd w:val="clear" w:color="auto" w:fill="auto"/>
          </w:tcPr>
          <w:p w14:paraId="7808C257" w14:textId="77777777" w:rsidR="00276DAC" w:rsidRDefault="00276DAC" w:rsidP="00276DAC">
            <w:pPr>
              <w:pStyle w:val="DPSEntryDetailIndentLev1"/>
              <w:ind w:left="0"/>
            </w:pPr>
          </w:p>
        </w:tc>
        <w:tc>
          <w:tcPr>
            <w:tcW w:w="2127" w:type="dxa"/>
            <w:shd w:val="clear" w:color="auto" w:fill="auto"/>
          </w:tcPr>
          <w:p w14:paraId="031477E6" w14:textId="13D77C84" w:rsidR="00276DAC" w:rsidRDefault="00276DAC" w:rsidP="00276DAC">
            <w:pPr>
              <w:pStyle w:val="DPSEntryDetailIndentLev1"/>
              <w:spacing w:before="0"/>
              <w:ind w:left="0"/>
            </w:pPr>
            <w:r>
              <w:t>Leanne Castley</w:t>
            </w:r>
          </w:p>
        </w:tc>
        <w:tc>
          <w:tcPr>
            <w:tcW w:w="2438" w:type="dxa"/>
            <w:shd w:val="clear" w:color="auto" w:fill="auto"/>
          </w:tcPr>
          <w:p w14:paraId="4348626F" w14:textId="13DB0524" w:rsidR="00276DAC" w:rsidRDefault="00276DAC" w:rsidP="00276DAC">
            <w:pPr>
              <w:pStyle w:val="DPSEntryDetailIndentLev1"/>
              <w:spacing w:before="0"/>
              <w:ind w:left="0"/>
            </w:pPr>
            <w:r>
              <w:t>Mark Parton</w:t>
            </w:r>
          </w:p>
        </w:tc>
      </w:tr>
      <w:tr w:rsidR="00276DAC" w14:paraId="420ED408" w14:textId="77777777" w:rsidTr="00276DAC">
        <w:trPr>
          <w:trHeight w:hRule="exact" w:val="312"/>
        </w:trPr>
        <w:tc>
          <w:tcPr>
            <w:tcW w:w="2041" w:type="dxa"/>
            <w:shd w:val="clear" w:color="auto" w:fill="auto"/>
          </w:tcPr>
          <w:p w14:paraId="37C4CD68" w14:textId="5BAB288A" w:rsidR="00276DAC" w:rsidRDefault="00276DAC" w:rsidP="00276DAC">
            <w:pPr>
              <w:pStyle w:val="DPSEntryDetailIndentLev1"/>
              <w:spacing w:before="0"/>
              <w:ind w:left="0"/>
            </w:pPr>
            <w:r>
              <w:t>Rebecca Vassarotti</w:t>
            </w:r>
          </w:p>
        </w:tc>
        <w:tc>
          <w:tcPr>
            <w:tcW w:w="1206" w:type="dxa"/>
            <w:shd w:val="clear" w:color="auto" w:fill="auto"/>
          </w:tcPr>
          <w:p w14:paraId="1408E853" w14:textId="77777777" w:rsidR="00276DAC" w:rsidRDefault="00276DAC" w:rsidP="00276DAC">
            <w:pPr>
              <w:pStyle w:val="DPSEntryDetailIndentLev1"/>
              <w:ind w:left="0"/>
            </w:pPr>
          </w:p>
        </w:tc>
        <w:tc>
          <w:tcPr>
            <w:tcW w:w="425" w:type="dxa"/>
            <w:shd w:val="clear" w:color="auto" w:fill="auto"/>
          </w:tcPr>
          <w:p w14:paraId="34C56DF4" w14:textId="77777777" w:rsidR="00276DAC" w:rsidRDefault="00276DAC" w:rsidP="00276DAC">
            <w:pPr>
              <w:pStyle w:val="DPSEntryDetailIndentLev1"/>
              <w:ind w:left="0"/>
            </w:pPr>
          </w:p>
        </w:tc>
        <w:tc>
          <w:tcPr>
            <w:tcW w:w="2127" w:type="dxa"/>
            <w:shd w:val="clear" w:color="auto" w:fill="auto"/>
          </w:tcPr>
          <w:p w14:paraId="1517ED27" w14:textId="4CD08568" w:rsidR="00276DAC" w:rsidRDefault="00276DAC" w:rsidP="00276DAC">
            <w:pPr>
              <w:pStyle w:val="DPSEntryDetailIndentLev1"/>
              <w:spacing w:before="0"/>
              <w:ind w:left="0"/>
            </w:pPr>
            <w:r>
              <w:t>Tara Cheyne</w:t>
            </w:r>
          </w:p>
        </w:tc>
        <w:tc>
          <w:tcPr>
            <w:tcW w:w="2438" w:type="dxa"/>
            <w:shd w:val="clear" w:color="auto" w:fill="auto"/>
          </w:tcPr>
          <w:p w14:paraId="51F1BDE5" w14:textId="5460EEDF" w:rsidR="00276DAC" w:rsidRDefault="00276DAC" w:rsidP="00276DAC">
            <w:pPr>
              <w:pStyle w:val="DPSEntryDetailIndentLev1"/>
              <w:spacing w:before="0"/>
              <w:ind w:left="0"/>
            </w:pPr>
            <w:r>
              <w:t>Marisa Paterson</w:t>
            </w:r>
          </w:p>
        </w:tc>
      </w:tr>
      <w:tr w:rsidR="00276DAC" w14:paraId="33B43D07" w14:textId="77777777" w:rsidTr="00276DAC">
        <w:trPr>
          <w:trHeight w:hRule="exact" w:val="312"/>
        </w:trPr>
        <w:tc>
          <w:tcPr>
            <w:tcW w:w="2041" w:type="dxa"/>
            <w:shd w:val="clear" w:color="auto" w:fill="auto"/>
          </w:tcPr>
          <w:p w14:paraId="4DE90894" w14:textId="77777777" w:rsidR="00276DAC" w:rsidRDefault="00276DAC" w:rsidP="00276DAC">
            <w:pPr>
              <w:pStyle w:val="DPSEntryDetailIndentLev1"/>
              <w:ind w:left="0"/>
            </w:pPr>
          </w:p>
        </w:tc>
        <w:tc>
          <w:tcPr>
            <w:tcW w:w="1206" w:type="dxa"/>
            <w:shd w:val="clear" w:color="auto" w:fill="auto"/>
          </w:tcPr>
          <w:p w14:paraId="7FFAEF27" w14:textId="77777777" w:rsidR="00276DAC" w:rsidRDefault="00276DAC" w:rsidP="00276DAC">
            <w:pPr>
              <w:pStyle w:val="DPSEntryDetailIndentLev1"/>
              <w:ind w:left="0"/>
            </w:pPr>
          </w:p>
        </w:tc>
        <w:tc>
          <w:tcPr>
            <w:tcW w:w="425" w:type="dxa"/>
            <w:shd w:val="clear" w:color="auto" w:fill="auto"/>
          </w:tcPr>
          <w:p w14:paraId="58B59FC1" w14:textId="77777777" w:rsidR="00276DAC" w:rsidRDefault="00276DAC" w:rsidP="00276DAC">
            <w:pPr>
              <w:pStyle w:val="DPSEntryDetailIndentLev1"/>
              <w:ind w:left="0"/>
            </w:pPr>
          </w:p>
        </w:tc>
        <w:tc>
          <w:tcPr>
            <w:tcW w:w="2127" w:type="dxa"/>
            <w:shd w:val="clear" w:color="auto" w:fill="auto"/>
          </w:tcPr>
          <w:p w14:paraId="4ABEA13B" w14:textId="769ABC1F" w:rsidR="00276DAC" w:rsidRDefault="00276DAC" w:rsidP="00276DAC">
            <w:pPr>
              <w:pStyle w:val="DPSEntryDetailIndentLev1"/>
              <w:spacing w:before="0"/>
              <w:ind w:left="0"/>
            </w:pPr>
            <w:r>
              <w:t>Ed Cocks</w:t>
            </w:r>
          </w:p>
        </w:tc>
        <w:tc>
          <w:tcPr>
            <w:tcW w:w="2438" w:type="dxa"/>
            <w:shd w:val="clear" w:color="auto" w:fill="auto"/>
          </w:tcPr>
          <w:p w14:paraId="0E3C206A" w14:textId="25B8D514" w:rsidR="00276DAC" w:rsidRDefault="00276DAC" w:rsidP="00276DAC">
            <w:pPr>
              <w:pStyle w:val="DPSEntryDetailIndentLev1"/>
              <w:spacing w:before="0"/>
              <w:ind w:left="0"/>
            </w:pPr>
            <w:r>
              <w:t>Michael Pettersson</w:t>
            </w:r>
          </w:p>
        </w:tc>
      </w:tr>
      <w:tr w:rsidR="00276DAC" w14:paraId="31D39C60" w14:textId="77777777" w:rsidTr="00276DAC">
        <w:trPr>
          <w:trHeight w:hRule="exact" w:val="312"/>
        </w:trPr>
        <w:tc>
          <w:tcPr>
            <w:tcW w:w="2041" w:type="dxa"/>
            <w:shd w:val="clear" w:color="auto" w:fill="auto"/>
          </w:tcPr>
          <w:p w14:paraId="24960A10" w14:textId="77777777" w:rsidR="00276DAC" w:rsidRDefault="00276DAC" w:rsidP="00276DAC">
            <w:pPr>
              <w:pStyle w:val="DPSEntryDetailIndentLev1"/>
              <w:ind w:left="0"/>
            </w:pPr>
          </w:p>
        </w:tc>
        <w:tc>
          <w:tcPr>
            <w:tcW w:w="1206" w:type="dxa"/>
            <w:shd w:val="clear" w:color="auto" w:fill="auto"/>
          </w:tcPr>
          <w:p w14:paraId="2B0CDD75" w14:textId="77777777" w:rsidR="00276DAC" w:rsidRDefault="00276DAC" w:rsidP="00276DAC">
            <w:pPr>
              <w:pStyle w:val="DPSEntryDetailIndentLev1"/>
              <w:ind w:left="0"/>
            </w:pPr>
          </w:p>
        </w:tc>
        <w:tc>
          <w:tcPr>
            <w:tcW w:w="425" w:type="dxa"/>
            <w:shd w:val="clear" w:color="auto" w:fill="auto"/>
          </w:tcPr>
          <w:p w14:paraId="27989C95" w14:textId="77777777" w:rsidR="00276DAC" w:rsidRDefault="00276DAC" w:rsidP="00276DAC">
            <w:pPr>
              <w:pStyle w:val="DPSEntryDetailIndentLev1"/>
              <w:ind w:left="0"/>
            </w:pPr>
          </w:p>
        </w:tc>
        <w:tc>
          <w:tcPr>
            <w:tcW w:w="2127" w:type="dxa"/>
            <w:shd w:val="clear" w:color="auto" w:fill="auto"/>
          </w:tcPr>
          <w:p w14:paraId="24BBDA1F" w14:textId="292FED32" w:rsidR="00276DAC" w:rsidRDefault="00276DAC" w:rsidP="00276DAC">
            <w:pPr>
              <w:pStyle w:val="DPSEntryDetailIndentLev1"/>
              <w:spacing w:before="0"/>
              <w:ind w:left="0"/>
            </w:pPr>
            <w:r>
              <w:t>Mick Gentleman</w:t>
            </w:r>
          </w:p>
        </w:tc>
        <w:tc>
          <w:tcPr>
            <w:tcW w:w="2438" w:type="dxa"/>
            <w:shd w:val="clear" w:color="auto" w:fill="auto"/>
          </w:tcPr>
          <w:p w14:paraId="55AB9082" w14:textId="3ED3219A" w:rsidR="00276DAC" w:rsidRDefault="00276DAC" w:rsidP="00276DAC">
            <w:pPr>
              <w:pStyle w:val="DPSEntryDetailIndentLev1"/>
              <w:spacing w:before="0"/>
              <w:ind w:left="0"/>
            </w:pPr>
            <w:r>
              <w:t>Chris Steel</w:t>
            </w:r>
          </w:p>
        </w:tc>
      </w:tr>
      <w:tr w:rsidR="00276DAC" w14:paraId="0809FBFF" w14:textId="77777777" w:rsidTr="00276DAC">
        <w:trPr>
          <w:trHeight w:hRule="exact" w:val="312"/>
        </w:trPr>
        <w:tc>
          <w:tcPr>
            <w:tcW w:w="2041" w:type="dxa"/>
            <w:shd w:val="clear" w:color="auto" w:fill="auto"/>
          </w:tcPr>
          <w:p w14:paraId="1E22DDDA" w14:textId="77777777" w:rsidR="00276DAC" w:rsidRDefault="00276DAC" w:rsidP="00276DAC">
            <w:pPr>
              <w:pStyle w:val="DPSEntryDetailIndentLev1"/>
              <w:ind w:left="0"/>
            </w:pPr>
          </w:p>
        </w:tc>
        <w:tc>
          <w:tcPr>
            <w:tcW w:w="1206" w:type="dxa"/>
            <w:shd w:val="clear" w:color="auto" w:fill="auto"/>
          </w:tcPr>
          <w:p w14:paraId="3AA5B8E8" w14:textId="77777777" w:rsidR="00276DAC" w:rsidRDefault="00276DAC" w:rsidP="00276DAC">
            <w:pPr>
              <w:pStyle w:val="DPSEntryDetailIndentLev1"/>
              <w:ind w:left="0"/>
            </w:pPr>
          </w:p>
        </w:tc>
        <w:tc>
          <w:tcPr>
            <w:tcW w:w="425" w:type="dxa"/>
            <w:shd w:val="clear" w:color="auto" w:fill="auto"/>
          </w:tcPr>
          <w:p w14:paraId="02B3656A" w14:textId="77777777" w:rsidR="00276DAC" w:rsidRDefault="00276DAC" w:rsidP="00276DAC">
            <w:pPr>
              <w:pStyle w:val="DPSEntryDetailIndentLev1"/>
              <w:ind w:left="0"/>
            </w:pPr>
          </w:p>
        </w:tc>
        <w:tc>
          <w:tcPr>
            <w:tcW w:w="2127" w:type="dxa"/>
            <w:shd w:val="clear" w:color="auto" w:fill="auto"/>
          </w:tcPr>
          <w:p w14:paraId="374651C6" w14:textId="2EAB5B6D" w:rsidR="00276DAC" w:rsidRDefault="00276DAC" w:rsidP="00276DAC">
            <w:pPr>
              <w:pStyle w:val="DPSEntryDetailIndentLev1"/>
              <w:spacing w:before="0"/>
              <w:ind w:left="0"/>
            </w:pPr>
            <w:r>
              <w:t>Jeremy Hanson</w:t>
            </w:r>
          </w:p>
        </w:tc>
        <w:tc>
          <w:tcPr>
            <w:tcW w:w="2438" w:type="dxa"/>
            <w:shd w:val="clear" w:color="auto" w:fill="auto"/>
          </w:tcPr>
          <w:p w14:paraId="1FBBF09A" w14:textId="44BCF9C5" w:rsidR="00276DAC" w:rsidRDefault="00276DAC" w:rsidP="00276DAC">
            <w:pPr>
              <w:pStyle w:val="DPSEntryDetailIndentLev1"/>
              <w:spacing w:before="0"/>
              <w:ind w:left="0"/>
            </w:pPr>
            <w:r>
              <w:t>Rachel Stephen-Smith</w:t>
            </w:r>
          </w:p>
        </w:tc>
      </w:tr>
      <w:tr w:rsidR="00276DAC" w14:paraId="3B52B7A6" w14:textId="77777777" w:rsidTr="00276DAC">
        <w:trPr>
          <w:trHeight w:hRule="exact" w:val="312"/>
        </w:trPr>
        <w:tc>
          <w:tcPr>
            <w:tcW w:w="2041" w:type="dxa"/>
            <w:shd w:val="clear" w:color="auto" w:fill="auto"/>
          </w:tcPr>
          <w:p w14:paraId="02151405" w14:textId="77777777" w:rsidR="00276DAC" w:rsidRDefault="00276DAC" w:rsidP="00276DAC">
            <w:pPr>
              <w:pStyle w:val="DPSEntryDetailIndentLev1"/>
              <w:ind w:left="0"/>
            </w:pPr>
          </w:p>
        </w:tc>
        <w:tc>
          <w:tcPr>
            <w:tcW w:w="1206" w:type="dxa"/>
            <w:shd w:val="clear" w:color="auto" w:fill="auto"/>
          </w:tcPr>
          <w:p w14:paraId="7DADC7FF" w14:textId="77777777" w:rsidR="00276DAC" w:rsidRDefault="00276DAC" w:rsidP="00276DAC">
            <w:pPr>
              <w:pStyle w:val="DPSEntryDetailIndentLev1"/>
              <w:ind w:left="0"/>
            </w:pPr>
          </w:p>
        </w:tc>
        <w:tc>
          <w:tcPr>
            <w:tcW w:w="425" w:type="dxa"/>
            <w:shd w:val="clear" w:color="auto" w:fill="auto"/>
          </w:tcPr>
          <w:p w14:paraId="0EDE8D15" w14:textId="77777777" w:rsidR="00276DAC" w:rsidRDefault="00276DAC" w:rsidP="00276DAC">
            <w:pPr>
              <w:pStyle w:val="DPSEntryDetailIndentLev1"/>
              <w:ind w:left="0"/>
            </w:pPr>
          </w:p>
        </w:tc>
        <w:tc>
          <w:tcPr>
            <w:tcW w:w="2127" w:type="dxa"/>
            <w:shd w:val="clear" w:color="auto" w:fill="auto"/>
          </w:tcPr>
          <w:p w14:paraId="0AD72A63" w14:textId="7EDF2A47" w:rsidR="00276DAC" w:rsidRDefault="00276DAC" w:rsidP="00276DAC">
            <w:pPr>
              <w:pStyle w:val="DPSEntryDetailIndentLev1"/>
              <w:spacing w:before="0"/>
              <w:ind w:left="0"/>
            </w:pPr>
            <w:r>
              <w:t>Elizabeth Kikkert</w:t>
            </w:r>
          </w:p>
        </w:tc>
        <w:tc>
          <w:tcPr>
            <w:tcW w:w="2438" w:type="dxa"/>
            <w:shd w:val="clear" w:color="auto" w:fill="auto"/>
          </w:tcPr>
          <w:p w14:paraId="7B81BD93" w14:textId="77777777" w:rsidR="00276DAC" w:rsidRDefault="00276DAC" w:rsidP="00276DAC">
            <w:pPr>
              <w:pStyle w:val="DPSEntryDetailIndentLev1"/>
              <w:ind w:left="0"/>
            </w:pPr>
          </w:p>
        </w:tc>
      </w:tr>
    </w:tbl>
    <w:p w14:paraId="51922843" w14:textId="0AFA24C8" w:rsidR="00870A3C" w:rsidRDefault="00870A3C" w:rsidP="00F14915">
      <w:pPr>
        <w:pStyle w:val="DPSEntryDetailIndentLev1"/>
        <w:spacing w:before="80"/>
      </w:pPr>
      <w:r>
        <w:t>And so it was negatived.</w:t>
      </w:r>
    </w:p>
    <w:p w14:paraId="52D0881C" w14:textId="77777777" w:rsidR="00320599" w:rsidRDefault="00320599" w:rsidP="00F14915">
      <w:pPr>
        <w:pStyle w:val="DPSEntryDetailIndentLev1"/>
        <w:spacing w:before="80"/>
      </w:pPr>
      <w:r>
        <w:t>Debate continued.</w:t>
      </w:r>
    </w:p>
    <w:p w14:paraId="276702A3" w14:textId="77777777" w:rsidR="00320599" w:rsidRDefault="00320599" w:rsidP="00F14915">
      <w:pPr>
        <w:pStyle w:val="DPSEntryDetailIndentLev1"/>
        <w:spacing w:before="80"/>
      </w:pPr>
      <w:r>
        <w:t>Proposed expenditure agreed to.</w:t>
      </w:r>
    </w:p>
    <w:p w14:paraId="16F971C0" w14:textId="621A5620" w:rsidR="00A368EC" w:rsidRDefault="00320599" w:rsidP="00F14915">
      <w:pPr>
        <w:pStyle w:val="DPSEntryDetailIndentLev1"/>
        <w:spacing w:before="80"/>
      </w:pPr>
      <w:r>
        <w:t>Part 1.8—Community Services Directorate—</w:t>
      </w:r>
    </w:p>
    <w:p w14:paraId="261C805F" w14:textId="5E1DFC9E" w:rsidR="006E0102" w:rsidRPr="00026751" w:rsidRDefault="006E0102" w:rsidP="00F14915">
      <w:pPr>
        <w:spacing w:before="80"/>
        <w:ind w:left="720"/>
        <w:rPr>
          <w:rFonts w:ascii="Calibri" w:hAnsi="Calibri"/>
          <w:lang w:val="en-AU"/>
        </w:rPr>
      </w:pPr>
      <w:r w:rsidRPr="006E0102">
        <w:rPr>
          <w:rFonts w:ascii="Calibri" w:hAnsi="Calibri"/>
          <w:lang w:val="en-AU"/>
        </w:rPr>
        <w:t>Debate adjourned (</w:t>
      </w:r>
      <w:r w:rsidR="00320599">
        <w:rPr>
          <w:rFonts w:ascii="Calibri" w:hAnsi="Calibri"/>
          <w:lang w:val="en-AU"/>
        </w:rPr>
        <w:t>Ms Orr</w:t>
      </w:r>
      <w:r w:rsidRPr="006E0102">
        <w:rPr>
          <w:rFonts w:ascii="Calibri" w:hAnsi="Calibri"/>
          <w:lang w:val="en-AU"/>
        </w:rPr>
        <w:t>) and the resumption of the debate made an order of the day for the next sitting.</w:t>
      </w:r>
    </w:p>
    <w:p w14:paraId="7C59CF19" w14:textId="4C9B4DF5" w:rsidR="00026751" w:rsidRPr="00026751" w:rsidRDefault="00026751" w:rsidP="00026751">
      <w:pPr>
        <w:keepNext/>
        <w:keepLines/>
        <w:tabs>
          <w:tab w:val="right" w:pos="339"/>
          <w:tab w:val="left" w:pos="720"/>
        </w:tabs>
        <w:spacing w:before="240"/>
        <w:ind w:left="720" w:hanging="720"/>
        <w:jc w:val="both"/>
        <w:rPr>
          <w:rFonts w:ascii="Calibri" w:hAnsi="Calibri"/>
          <w:b/>
          <w:caps/>
        </w:rPr>
      </w:pPr>
      <w:r w:rsidRPr="00026751">
        <w:rPr>
          <w:rFonts w:ascii="Calibri" w:hAnsi="Calibri"/>
          <w:b/>
          <w:caps/>
        </w:rPr>
        <w:lastRenderedPageBreak/>
        <w:tab/>
      </w:r>
      <w:r w:rsidR="001855C1">
        <w:rPr>
          <w:rFonts w:ascii="Calibri" w:hAnsi="Calibri"/>
          <w:b/>
          <w:bCs/>
          <w:caps/>
        </w:rPr>
        <w:fldChar w:fldCharType="begin"/>
      </w:r>
      <w:r w:rsidR="001855C1">
        <w:rPr>
          <w:rFonts w:ascii="Calibri" w:hAnsi="Calibri"/>
          <w:b/>
          <w:bCs/>
          <w:caps/>
        </w:rPr>
        <w:instrText xml:space="preserve"> SEQ A \* MERGEFORMAT </w:instrText>
      </w:r>
      <w:r w:rsidR="001855C1">
        <w:rPr>
          <w:rFonts w:ascii="Calibri" w:hAnsi="Calibri"/>
          <w:b/>
          <w:bCs/>
          <w:caps/>
        </w:rPr>
        <w:fldChar w:fldCharType="separate"/>
      </w:r>
      <w:r w:rsidR="00A64AFA">
        <w:rPr>
          <w:rFonts w:ascii="Calibri" w:hAnsi="Calibri"/>
          <w:b/>
          <w:bCs/>
          <w:caps/>
          <w:noProof/>
        </w:rPr>
        <w:t>17</w:t>
      </w:r>
      <w:r w:rsidR="001855C1">
        <w:rPr>
          <w:rFonts w:ascii="Calibri" w:hAnsi="Calibri"/>
          <w:b/>
          <w:bCs/>
          <w:caps/>
        </w:rPr>
        <w:fldChar w:fldCharType="end"/>
      </w:r>
      <w:r w:rsidRPr="00026751">
        <w:rPr>
          <w:rFonts w:ascii="Calibri" w:hAnsi="Calibri"/>
          <w:b/>
          <w:caps/>
        </w:rPr>
        <w:tab/>
        <w:t>MEMBERS</w:t>
      </w:r>
      <w:r w:rsidR="00091C7D">
        <w:rPr>
          <w:rFonts w:ascii="Calibri" w:hAnsi="Calibri"/>
          <w:b/>
          <w:caps/>
        </w:rPr>
        <w:t>’</w:t>
      </w:r>
      <w:r w:rsidRPr="00026751">
        <w:rPr>
          <w:rFonts w:ascii="Calibri" w:hAnsi="Calibri"/>
          <w:b/>
          <w:caps/>
        </w:rPr>
        <w:t xml:space="preserve"> STATEMENTS</w:t>
      </w:r>
    </w:p>
    <w:p w14:paraId="1C6AF642" w14:textId="35147C4F" w:rsidR="00026751" w:rsidRPr="00026751" w:rsidRDefault="00026751" w:rsidP="00026751">
      <w:pPr>
        <w:tabs>
          <w:tab w:val="left" w:pos="1197"/>
          <w:tab w:val="left" w:pos="1767"/>
        </w:tabs>
        <w:spacing w:before="120"/>
        <w:ind w:left="720"/>
        <w:jc w:val="both"/>
        <w:rPr>
          <w:rFonts w:ascii="Calibri" w:hAnsi="Calibri"/>
          <w:lang w:val="en-AU"/>
        </w:rPr>
      </w:pPr>
      <w:r w:rsidRPr="00026751">
        <w:rPr>
          <w:rFonts w:ascii="Calibri" w:hAnsi="Calibri"/>
          <w:lang w:val="en-AU"/>
        </w:rPr>
        <w:t>Members</w:t>
      </w:r>
      <w:r w:rsidR="00091C7D">
        <w:rPr>
          <w:rFonts w:ascii="Calibri" w:hAnsi="Calibri"/>
          <w:lang w:val="en-AU"/>
        </w:rPr>
        <w:t>’</w:t>
      </w:r>
      <w:r w:rsidRPr="00026751">
        <w:rPr>
          <w:rFonts w:ascii="Calibri" w:hAnsi="Calibri"/>
          <w:lang w:val="en-AU"/>
        </w:rPr>
        <w:t xml:space="preserve"> statements were made.</w:t>
      </w:r>
    </w:p>
    <w:p w14:paraId="745CE473" w14:textId="183196D3" w:rsidR="00026751" w:rsidRPr="00026751" w:rsidRDefault="00026751" w:rsidP="00026751">
      <w:pPr>
        <w:keepNext/>
        <w:keepLines/>
        <w:tabs>
          <w:tab w:val="right" w:pos="339"/>
          <w:tab w:val="left" w:pos="720"/>
        </w:tabs>
        <w:spacing w:before="240"/>
        <w:ind w:left="720" w:hanging="720"/>
        <w:rPr>
          <w:rFonts w:ascii="Calibri" w:hAnsi="Calibri"/>
          <w:b/>
          <w:lang w:val="en-AU"/>
        </w:rPr>
      </w:pPr>
      <w:r w:rsidRPr="00026751">
        <w:rPr>
          <w:rFonts w:ascii="Calibri" w:hAnsi="Calibri"/>
          <w:b/>
          <w:lang w:val="en-AU"/>
        </w:rPr>
        <w:tab/>
      </w:r>
      <w:r w:rsidR="001855C1">
        <w:rPr>
          <w:rFonts w:ascii="Calibri" w:hAnsi="Calibri"/>
          <w:b/>
          <w:bCs/>
          <w:lang w:val="en-AU"/>
        </w:rPr>
        <w:fldChar w:fldCharType="begin"/>
      </w:r>
      <w:r w:rsidR="001855C1">
        <w:rPr>
          <w:rFonts w:ascii="Calibri" w:hAnsi="Calibri"/>
          <w:b/>
          <w:bCs/>
          <w:lang w:val="en-AU"/>
        </w:rPr>
        <w:instrText xml:space="preserve"> SEQ A \* MERGEFORMAT </w:instrText>
      </w:r>
      <w:r w:rsidR="001855C1">
        <w:rPr>
          <w:rFonts w:ascii="Calibri" w:hAnsi="Calibri"/>
          <w:b/>
          <w:bCs/>
          <w:lang w:val="en-AU"/>
        </w:rPr>
        <w:fldChar w:fldCharType="separate"/>
      </w:r>
      <w:r w:rsidR="00A64AFA">
        <w:rPr>
          <w:rFonts w:ascii="Calibri" w:hAnsi="Calibri"/>
          <w:b/>
          <w:bCs/>
          <w:noProof/>
          <w:lang w:val="en-AU"/>
        </w:rPr>
        <w:t>18</w:t>
      </w:r>
      <w:r w:rsidR="001855C1">
        <w:rPr>
          <w:rFonts w:ascii="Calibri" w:hAnsi="Calibri"/>
          <w:b/>
          <w:bCs/>
          <w:lang w:val="en-AU"/>
        </w:rPr>
        <w:fldChar w:fldCharType="end"/>
      </w:r>
      <w:r w:rsidRPr="00026751">
        <w:rPr>
          <w:rFonts w:ascii="Calibri" w:hAnsi="Calibri"/>
          <w:b/>
          <w:lang w:val="en-AU"/>
        </w:rPr>
        <w:tab/>
        <w:t>ADJOURNMENT</w:t>
      </w:r>
    </w:p>
    <w:p w14:paraId="2AB4FFDF" w14:textId="76C112D2" w:rsidR="00026751" w:rsidRPr="00026751" w:rsidRDefault="00320599" w:rsidP="00026751">
      <w:pPr>
        <w:spacing w:before="120"/>
        <w:ind w:left="720"/>
        <w:rPr>
          <w:rFonts w:ascii="Calibri" w:hAnsi="Calibri"/>
          <w:lang w:val="en-AU"/>
        </w:rPr>
      </w:pPr>
      <w:r>
        <w:rPr>
          <w:rFonts w:ascii="Calibri" w:hAnsi="Calibri"/>
          <w:lang w:val="en-AU"/>
        </w:rPr>
        <w:t>Mr Gentleman</w:t>
      </w:r>
      <w:r w:rsidR="00026751" w:rsidRPr="00026751">
        <w:rPr>
          <w:rFonts w:ascii="Calibri" w:hAnsi="Calibri"/>
          <w:lang w:val="en-AU"/>
        </w:rPr>
        <w:t xml:space="preserve"> (Manager of Government Business) moved—That the Assembly do now adjourn.</w:t>
      </w:r>
    </w:p>
    <w:p w14:paraId="7CC8DDA8" w14:textId="6DF1A263" w:rsidR="00026751" w:rsidRDefault="00026751" w:rsidP="00026751">
      <w:pPr>
        <w:spacing w:before="120"/>
        <w:ind w:left="720"/>
        <w:rPr>
          <w:rFonts w:ascii="Calibri" w:hAnsi="Calibri"/>
          <w:lang w:val="en-AU"/>
        </w:rPr>
      </w:pPr>
      <w:r w:rsidRPr="00026751">
        <w:rPr>
          <w:rFonts w:ascii="Calibri" w:hAnsi="Calibri"/>
          <w:lang w:val="en-AU"/>
        </w:rPr>
        <w:t>Debate ensued.</w:t>
      </w:r>
    </w:p>
    <w:p w14:paraId="546F25A2" w14:textId="27CB1B76" w:rsidR="00870A3C" w:rsidRDefault="00870A3C" w:rsidP="00AB5F98">
      <w:pPr>
        <w:spacing w:before="120"/>
        <w:ind w:left="720"/>
        <w:jc w:val="both"/>
        <w:rPr>
          <w:rFonts w:ascii="Calibri" w:hAnsi="Calibri"/>
        </w:rPr>
      </w:pPr>
      <w:r>
        <w:rPr>
          <w:rFonts w:ascii="Calibri" w:hAnsi="Calibri"/>
          <w:lang w:val="en-AU"/>
        </w:rPr>
        <w:t>Ms Cheyne (Minister for Human Rights)</w:t>
      </w:r>
      <w:r>
        <w:rPr>
          <w:rFonts w:ascii="Calibri" w:hAnsi="Calibri"/>
        </w:rPr>
        <w:t>, by leave, was granted an extension of time.</w:t>
      </w:r>
    </w:p>
    <w:p w14:paraId="40EC7975" w14:textId="77777777" w:rsidR="00026751" w:rsidRPr="00026751" w:rsidRDefault="00026751" w:rsidP="00026751">
      <w:pPr>
        <w:spacing w:before="120"/>
        <w:ind w:left="720"/>
        <w:rPr>
          <w:rFonts w:ascii="Calibri" w:hAnsi="Calibri"/>
          <w:lang w:val="en-AU"/>
        </w:rPr>
      </w:pPr>
      <w:r w:rsidRPr="00026751">
        <w:rPr>
          <w:rFonts w:ascii="Calibri" w:hAnsi="Calibri"/>
          <w:lang w:val="en-AU"/>
        </w:rPr>
        <w:t>Question—put and passed.</w:t>
      </w:r>
    </w:p>
    <w:p w14:paraId="4AFC480F" w14:textId="35E94367" w:rsidR="00026751" w:rsidRPr="00026751" w:rsidRDefault="00026751" w:rsidP="00026751">
      <w:pPr>
        <w:spacing w:before="120"/>
        <w:ind w:left="720"/>
        <w:rPr>
          <w:rFonts w:ascii="Calibri" w:hAnsi="Calibri"/>
          <w:lang w:val="en-AU"/>
        </w:rPr>
      </w:pPr>
      <w:r w:rsidRPr="00026751">
        <w:rPr>
          <w:rFonts w:ascii="Calibri" w:hAnsi="Calibri"/>
          <w:lang w:val="en-AU"/>
        </w:rPr>
        <w:t xml:space="preserve">And then the Assembly, at </w:t>
      </w:r>
      <w:r w:rsidR="00320599">
        <w:rPr>
          <w:rFonts w:ascii="Calibri" w:hAnsi="Calibri"/>
          <w:lang w:val="en-AU"/>
        </w:rPr>
        <w:t>6.30 pm</w:t>
      </w:r>
      <w:r w:rsidRPr="00026751">
        <w:rPr>
          <w:rFonts w:ascii="Calibri" w:hAnsi="Calibri"/>
          <w:lang w:val="en-AU"/>
        </w:rPr>
        <w:t>, adjourned until tomorrow at 10 am.</w:t>
      </w:r>
    </w:p>
    <w:p w14:paraId="4B653706" w14:textId="77777777" w:rsidR="00026751" w:rsidRPr="00026751" w:rsidRDefault="00026751" w:rsidP="00026751">
      <w:pPr>
        <w:pBdr>
          <w:bottom w:val="thinThickLargeGap" w:sz="18" w:space="1" w:color="auto"/>
        </w:pBdr>
        <w:ind w:left="3427" w:right="3658"/>
        <w:jc w:val="center"/>
        <w:rPr>
          <w:rFonts w:ascii="Calibri" w:hAnsi="Calibri"/>
          <w:i/>
          <w:iCs/>
          <w:lang w:val="en-AU"/>
        </w:rPr>
      </w:pPr>
    </w:p>
    <w:p w14:paraId="04FCB747" w14:textId="408E37A4" w:rsidR="00026751" w:rsidRPr="00026751" w:rsidRDefault="00026751" w:rsidP="00026751">
      <w:pPr>
        <w:keepNext/>
        <w:keepLines/>
        <w:spacing w:before="240" w:after="100" w:afterAutospacing="1"/>
        <w:ind w:left="180"/>
        <w:jc w:val="both"/>
        <w:rPr>
          <w:rFonts w:ascii="Calibri" w:hAnsi="Calibri"/>
          <w:bCs/>
        </w:rPr>
      </w:pPr>
      <w:r w:rsidRPr="00026751">
        <w:rPr>
          <w:rFonts w:ascii="Calibri" w:hAnsi="Calibri"/>
          <w:b/>
          <w:caps/>
        </w:rPr>
        <w:t>MEMBERS</w:t>
      </w:r>
      <w:r w:rsidR="00091C7D">
        <w:rPr>
          <w:rFonts w:ascii="Calibri" w:hAnsi="Calibri"/>
          <w:b/>
          <w:caps/>
        </w:rPr>
        <w:t>’</w:t>
      </w:r>
      <w:r w:rsidRPr="00026751">
        <w:rPr>
          <w:rFonts w:ascii="Calibri" w:hAnsi="Calibri"/>
          <w:b/>
          <w:caps/>
        </w:rPr>
        <w:t xml:space="preserve"> ATTENDANCE:  </w:t>
      </w:r>
      <w:r w:rsidRPr="00026751">
        <w:rPr>
          <w:rFonts w:ascii="Calibri" w:hAnsi="Calibri"/>
        </w:rPr>
        <w:t>All Members were present at some time during the sitting</w:t>
      </w:r>
      <w:r w:rsidRPr="00026751">
        <w:rPr>
          <w:rFonts w:ascii="Calibri" w:hAnsi="Calibri"/>
          <w:bCs/>
        </w:rPr>
        <w:t>.</w:t>
      </w:r>
    </w:p>
    <w:p w14:paraId="6E0FC6F4" w14:textId="77777777" w:rsidR="00026751" w:rsidRPr="00026751" w:rsidRDefault="00026751" w:rsidP="00026751">
      <w:pPr>
        <w:pBdr>
          <w:top w:val="thickThinLargeGap" w:sz="18" w:space="1" w:color="auto"/>
        </w:pBdr>
        <w:spacing w:before="180"/>
        <w:ind w:left="3427" w:right="3658"/>
        <w:jc w:val="center"/>
        <w:rPr>
          <w:rFonts w:ascii="Calibri" w:hAnsi="Calibri"/>
          <w:lang w:val="en-AU"/>
        </w:rPr>
      </w:pPr>
    </w:p>
    <w:p w14:paraId="6E506644" w14:textId="77777777" w:rsidR="00026751" w:rsidRPr="00026751" w:rsidRDefault="00026751" w:rsidP="00026751">
      <w:pPr>
        <w:keepNext/>
        <w:keepLines/>
        <w:spacing w:before="720"/>
        <w:ind w:left="5670" w:right="-33"/>
        <w:jc w:val="center"/>
        <w:rPr>
          <w:rFonts w:ascii="Calibri" w:hAnsi="Calibri"/>
          <w:b/>
          <w:bCs/>
          <w:lang w:val="en-AU"/>
        </w:rPr>
      </w:pPr>
      <w:r w:rsidRPr="00026751">
        <w:rPr>
          <w:rFonts w:ascii="Calibri" w:hAnsi="Calibri"/>
          <w:b/>
          <w:bCs/>
          <w:lang w:val="en-AU"/>
        </w:rPr>
        <w:t>Tom Duncan</w:t>
      </w:r>
    </w:p>
    <w:p w14:paraId="02A6AFC0" w14:textId="4E8D26CB" w:rsidR="009A662F" w:rsidRDefault="00026751" w:rsidP="009A662F">
      <w:pPr>
        <w:ind w:left="5850"/>
        <w:rPr>
          <w:rFonts w:ascii="Calibri" w:hAnsi="Calibri"/>
          <w:szCs w:val="24"/>
        </w:rPr>
      </w:pPr>
      <w:r w:rsidRPr="00026751">
        <w:rPr>
          <w:rFonts w:ascii="Calibri" w:hAnsi="Calibri"/>
          <w:szCs w:val="24"/>
        </w:rPr>
        <w:t>Clerk of the Legislative Assembly</w:t>
      </w:r>
    </w:p>
    <w:p w14:paraId="18162AAA" w14:textId="77777777" w:rsidR="009A662F" w:rsidRDefault="009A662F">
      <w:pPr>
        <w:spacing w:after="160" w:line="259" w:lineRule="auto"/>
        <w:rPr>
          <w:rFonts w:ascii="Calibri" w:hAnsi="Calibri"/>
          <w:szCs w:val="24"/>
        </w:rPr>
      </w:pPr>
      <w:r>
        <w:rPr>
          <w:rFonts w:ascii="Calibri" w:hAnsi="Calibri"/>
          <w:szCs w:val="24"/>
        </w:rPr>
        <w:br w:type="page"/>
      </w:r>
    </w:p>
    <w:p w14:paraId="5AEDC242" w14:textId="2346587D" w:rsidR="009A662F" w:rsidRDefault="009A662F" w:rsidP="009A662F">
      <w:pPr>
        <w:jc w:val="center"/>
        <w:rPr>
          <w:rFonts w:ascii="Calibri" w:hAnsi="Calibri"/>
          <w:b/>
          <w:bCs/>
          <w:sz w:val="36"/>
          <w:szCs w:val="36"/>
          <w:u w:val="single"/>
        </w:rPr>
        <w:sectPr w:rsidR="009A662F" w:rsidSect="00B07E53">
          <w:headerReference w:type="even" r:id="rId10"/>
          <w:headerReference w:type="default" r:id="rId11"/>
          <w:headerReference w:type="first" r:id="rId12"/>
          <w:footerReference w:type="first" r:id="rId13"/>
          <w:pgSz w:w="11906" w:h="16838" w:code="9"/>
          <w:pgMar w:top="1525" w:right="1440" w:bottom="1264" w:left="1140" w:header="635" w:footer="578" w:gutter="0"/>
          <w:pgNumType w:start="2057"/>
          <w:cols w:space="708"/>
          <w:titlePg/>
          <w:docGrid w:linePitch="360"/>
        </w:sectPr>
      </w:pPr>
      <w:r>
        <w:rPr>
          <w:rFonts w:ascii="Calibri" w:hAnsi="Calibri"/>
          <w:b/>
          <w:bCs/>
          <w:sz w:val="36"/>
          <w:szCs w:val="36"/>
        </w:rPr>
        <w:lastRenderedPageBreak/>
        <w:t xml:space="preserve">    </w:t>
      </w:r>
      <w:r w:rsidRPr="009A662F">
        <w:rPr>
          <w:rFonts w:ascii="Calibri" w:hAnsi="Calibri"/>
          <w:b/>
          <w:bCs/>
          <w:sz w:val="36"/>
          <w:szCs w:val="36"/>
          <w:u w:val="single"/>
        </w:rPr>
        <w:t>SCHEDULE OF AMENDMENTS</w:t>
      </w:r>
    </w:p>
    <w:p w14:paraId="6ED3CDDA" w14:textId="63DBBBE8" w:rsidR="00026751" w:rsidRDefault="00026751" w:rsidP="009A662F">
      <w:pPr>
        <w:jc w:val="center"/>
        <w:rPr>
          <w:rFonts w:ascii="Calibri" w:hAnsi="Calibri"/>
          <w:b/>
          <w:bCs/>
          <w:sz w:val="36"/>
          <w:szCs w:val="36"/>
          <w:u w:val="single"/>
        </w:rPr>
      </w:pPr>
    </w:p>
    <w:p w14:paraId="32BCEC0E" w14:textId="77777777" w:rsidR="009A662F" w:rsidRDefault="009A662F" w:rsidP="009A662F">
      <w:pPr>
        <w:jc w:val="center"/>
        <w:rPr>
          <w:rFonts w:ascii="Calibri" w:hAnsi="Calibri"/>
          <w:b/>
          <w:bCs/>
          <w:sz w:val="36"/>
          <w:szCs w:val="36"/>
          <w:u w:val="single"/>
        </w:rPr>
      </w:pPr>
    </w:p>
    <w:p w14:paraId="4EF295A4" w14:textId="682FD070" w:rsidR="009A662F" w:rsidRDefault="009A662F" w:rsidP="009A662F">
      <w:pPr>
        <w:rPr>
          <w:rFonts w:ascii="Calibri" w:hAnsi="Calibri"/>
          <w:b/>
          <w:bCs/>
          <w:sz w:val="28"/>
          <w:szCs w:val="28"/>
          <w:u w:val="single"/>
        </w:rPr>
      </w:pPr>
      <w:bookmarkStart w:id="3" w:name="Schedule1"/>
      <w:r>
        <w:rPr>
          <w:rFonts w:ascii="Calibri" w:hAnsi="Calibri"/>
          <w:b/>
          <w:bCs/>
          <w:sz w:val="28"/>
          <w:szCs w:val="28"/>
          <w:u w:val="single"/>
        </w:rPr>
        <w:t>Schedule 1</w:t>
      </w:r>
      <w:bookmarkEnd w:id="3"/>
    </w:p>
    <w:p w14:paraId="1575B6CD" w14:textId="77777777" w:rsidR="009A662F" w:rsidRDefault="009A662F" w:rsidP="009A662F">
      <w:pPr>
        <w:rPr>
          <w:rFonts w:ascii="Calibri" w:hAnsi="Calibri"/>
          <w:b/>
          <w:bCs/>
          <w:sz w:val="26"/>
          <w:szCs w:val="26"/>
          <w:u w:val="single"/>
        </w:rPr>
      </w:pPr>
    </w:p>
    <w:p w14:paraId="4198F6DB" w14:textId="54C5A426" w:rsidR="009A662F" w:rsidRDefault="009A662F" w:rsidP="009A662F">
      <w:pPr>
        <w:rPr>
          <w:rFonts w:ascii="Calibri" w:hAnsi="Calibri"/>
          <w:b/>
          <w:bCs/>
          <w:sz w:val="26"/>
          <w:szCs w:val="26"/>
          <w:u w:val="single"/>
        </w:rPr>
      </w:pPr>
      <w:r>
        <w:rPr>
          <w:rFonts w:ascii="Calibri" w:hAnsi="Calibri"/>
          <w:b/>
          <w:bCs/>
          <w:sz w:val="26"/>
          <w:szCs w:val="26"/>
          <w:u w:val="single"/>
        </w:rPr>
        <w:t>APPROPRIATION BILL 2024-2025</w:t>
      </w:r>
    </w:p>
    <w:p w14:paraId="06FF4C08" w14:textId="7CACF310" w:rsidR="009A662F" w:rsidRDefault="009A662F" w:rsidP="009A662F">
      <w:pPr>
        <w:spacing w:before="120"/>
        <w:rPr>
          <w:rFonts w:ascii="Calibri" w:hAnsi="Calibri"/>
          <w:szCs w:val="24"/>
        </w:rPr>
      </w:pPr>
      <w:r w:rsidRPr="009A662F">
        <w:rPr>
          <w:rFonts w:ascii="Calibri" w:hAnsi="Calibri"/>
          <w:szCs w:val="24"/>
        </w:rPr>
        <w:t>Amendments circulated by Ms Clay</w:t>
      </w:r>
    </w:p>
    <w:p w14:paraId="0004EF3B" w14:textId="77777777" w:rsidR="009A662F" w:rsidRPr="00667C8C" w:rsidRDefault="009A662F" w:rsidP="009A662F">
      <w:pPr>
        <w:pStyle w:val="AH3sec"/>
      </w:pPr>
      <w:r w:rsidRPr="00667C8C">
        <w:br/>
        <w:t>Clause 6 heading</w:t>
      </w:r>
      <w:r w:rsidRPr="00667C8C">
        <w:br/>
        <w:t>Page 2, line 15—</w:t>
      </w:r>
    </w:p>
    <w:p w14:paraId="585A5943" w14:textId="77777777" w:rsidR="009A662F" w:rsidRPr="00667C8C" w:rsidRDefault="009A662F" w:rsidP="009A662F">
      <w:pPr>
        <w:pStyle w:val="direction"/>
      </w:pPr>
      <w:r w:rsidRPr="00667C8C">
        <w:t>omit the heading, substitute</w:t>
      </w:r>
    </w:p>
    <w:p w14:paraId="1D1F4D57" w14:textId="77777777" w:rsidR="009A662F" w:rsidRPr="00667C8C" w:rsidRDefault="009A662F" w:rsidP="009A662F">
      <w:pPr>
        <w:pStyle w:val="IH5Sec"/>
        <w:keepNext w:val="0"/>
      </w:pPr>
      <w:r w:rsidRPr="00667C8C">
        <w:t>6</w:t>
      </w:r>
      <w:r w:rsidRPr="00667C8C">
        <w:tab/>
        <w:t>Appropriations of $8 249 048 256</w:t>
      </w:r>
    </w:p>
    <w:p w14:paraId="54E6B674" w14:textId="77777777" w:rsidR="009A662F" w:rsidRPr="00667C8C" w:rsidRDefault="009A662F" w:rsidP="009A662F">
      <w:pPr>
        <w:pStyle w:val="AH3sec"/>
        <w:tabs>
          <w:tab w:val="clear" w:pos="284"/>
          <w:tab w:val="num" w:pos="360"/>
        </w:tabs>
      </w:pPr>
      <w:r w:rsidRPr="00667C8C">
        <w:br/>
        <w:t>Schedule 1, part 1.7</w:t>
      </w:r>
      <w:r w:rsidRPr="00667C8C">
        <w:br/>
        <w:t>Page 5—</w:t>
      </w:r>
    </w:p>
    <w:p w14:paraId="31F274A8" w14:textId="77777777" w:rsidR="009A662F" w:rsidRPr="00667C8C" w:rsidRDefault="009A662F" w:rsidP="009A662F">
      <w:pPr>
        <w:pStyle w:val="direction"/>
        <w:spacing w:after="120"/>
      </w:pPr>
      <w:r w:rsidRPr="00667C8C">
        <w:t>omit part 1.7, substitute</w:t>
      </w:r>
    </w:p>
    <w:tbl>
      <w:tblPr>
        <w:tblW w:w="7795" w:type="dxa"/>
        <w:tblBorders>
          <w:top w:val="single" w:sz="4" w:space="0" w:color="auto"/>
          <w:bottom w:val="single" w:sz="4" w:space="0" w:color="auto"/>
        </w:tblBorders>
        <w:tblLayout w:type="fixed"/>
        <w:tblLook w:val="0000" w:firstRow="0" w:lastRow="0" w:firstColumn="0" w:lastColumn="0" w:noHBand="0" w:noVBand="0"/>
      </w:tblPr>
      <w:tblGrid>
        <w:gridCol w:w="1559"/>
        <w:gridCol w:w="1559"/>
        <w:gridCol w:w="1559"/>
        <w:gridCol w:w="1559"/>
        <w:gridCol w:w="1559"/>
      </w:tblGrid>
      <w:tr w:rsidR="009A662F" w:rsidRPr="00667C8C" w14:paraId="61DBF8BE" w14:textId="77777777" w:rsidTr="00442BF4">
        <w:tc>
          <w:tcPr>
            <w:tcW w:w="1559" w:type="dxa"/>
          </w:tcPr>
          <w:p w14:paraId="3D7215D1" w14:textId="77777777" w:rsidR="009A662F" w:rsidRPr="00667C8C" w:rsidRDefault="009A662F" w:rsidP="00442BF4">
            <w:pPr>
              <w:pStyle w:val="TableText10"/>
              <w:rPr>
                <w:sz w:val="16"/>
                <w:szCs w:val="16"/>
              </w:rPr>
            </w:pPr>
            <w:r w:rsidRPr="00667C8C">
              <w:rPr>
                <w:b/>
                <w:bCs/>
                <w:sz w:val="16"/>
                <w:szCs w:val="16"/>
              </w:rPr>
              <w:t>Part 1.7</w:t>
            </w:r>
            <w:r w:rsidRPr="00667C8C">
              <w:rPr>
                <w:sz w:val="16"/>
                <w:szCs w:val="16"/>
              </w:rPr>
              <w:br/>
              <w:t>Justice and Community Safety Directorate</w:t>
            </w:r>
          </w:p>
        </w:tc>
        <w:tc>
          <w:tcPr>
            <w:tcW w:w="1559" w:type="dxa"/>
          </w:tcPr>
          <w:p w14:paraId="5CBBC306" w14:textId="77777777" w:rsidR="009A662F" w:rsidRPr="00667C8C" w:rsidRDefault="009A662F" w:rsidP="00442BF4">
            <w:pPr>
              <w:pStyle w:val="TableText10"/>
              <w:jc w:val="right"/>
              <w:rPr>
                <w:sz w:val="16"/>
                <w:szCs w:val="16"/>
              </w:rPr>
            </w:pPr>
            <w:r w:rsidRPr="00667C8C">
              <w:rPr>
                <w:sz w:val="16"/>
                <w:szCs w:val="16"/>
              </w:rPr>
              <w:t>461 465 000</w:t>
            </w:r>
          </w:p>
        </w:tc>
        <w:tc>
          <w:tcPr>
            <w:tcW w:w="1559" w:type="dxa"/>
          </w:tcPr>
          <w:p w14:paraId="2A359DB0" w14:textId="77777777" w:rsidR="009A662F" w:rsidRPr="00667C8C" w:rsidRDefault="009A662F" w:rsidP="00442BF4">
            <w:pPr>
              <w:pStyle w:val="TableText10"/>
              <w:jc w:val="right"/>
              <w:rPr>
                <w:sz w:val="16"/>
                <w:szCs w:val="16"/>
              </w:rPr>
            </w:pPr>
            <w:r w:rsidRPr="00667C8C">
              <w:rPr>
                <w:sz w:val="16"/>
                <w:szCs w:val="16"/>
              </w:rPr>
              <w:t>51 867 000</w:t>
            </w:r>
          </w:p>
        </w:tc>
        <w:tc>
          <w:tcPr>
            <w:tcW w:w="1559" w:type="dxa"/>
          </w:tcPr>
          <w:p w14:paraId="65EF40FA" w14:textId="77777777" w:rsidR="009A662F" w:rsidRPr="00667C8C" w:rsidRDefault="009A662F" w:rsidP="00442BF4">
            <w:pPr>
              <w:pStyle w:val="TableText10"/>
              <w:jc w:val="right"/>
              <w:rPr>
                <w:sz w:val="16"/>
                <w:szCs w:val="16"/>
              </w:rPr>
            </w:pPr>
            <w:r w:rsidRPr="00667C8C">
              <w:rPr>
                <w:sz w:val="16"/>
                <w:szCs w:val="16"/>
              </w:rPr>
              <w:t>266 384 256</w:t>
            </w:r>
          </w:p>
        </w:tc>
        <w:tc>
          <w:tcPr>
            <w:tcW w:w="1559" w:type="dxa"/>
          </w:tcPr>
          <w:p w14:paraId="269CA112" w14:textId="77777777" w:rsidR="009A662F" w:rsidRPr="00667C8C" w:rsidRDefault="009A662F" w:rsidP="00442BF4">
            <w:pPr>
              <w:pStyle w:val="TableText10"/>
              <w:jc w:val="right"/>
              <w:rPr>
                <w:sz w:val="16"/>
                <w:szCs w:val="16"/>
              </w:rPr>
            </w:pPr>
            <w:r w:rsidRPr="00667C8C">
              <w:rPr>
                <w:sz w:val="16"/>
                <w:szCs w:val="16"/>
              </w:rPr>
              <w:t>779 716 256</w:t>
            </w:r>
          </w:p>
        </w:tc>
      </w:tr>
    </w:tbl>
    <w:p w14:paraId="4EE27C9F" w14:textId="77777777" w:rsidR="009A662F" w:rsidRPr="00667C8C" w:rsidRDefault="009A662F" w:rsidP="00320599">
      <w:pPr>
        <w:pStyle w:val="AH3sec"/>
        <w:tabs>
          <w:tab w:val="clear" w:pos="284"/>
          <w:tab w:val="num" w:pos="360"/>
        </w:tabs>
        <w:ind w:right="-142"/>
      </w:pPr>
      <w:r w:rsidRPr="00667C8C">
        <w:br/>
        <w:t>Schedule 1</w:t>
      </w:r>
      <w:r w:rsidRPr="00667C8C">
        <w:br/>
        <w:t>Page 7—</w:t>
      </w:r>
    </w:p>
    <w:p w14:paraId="61D3B34E" w14:textId="77777777" w:rsidR="009A662F" w:rsidRPr="00667C8C" w:rsidRDefault="009A662F" w:rsidP="009A662F">
      <w:pPr>
        <w:pStyle w:val="direction"/>
        <w:spacing w:after="120"/>
      </w:pPr>
      <w:r w:rsidRPr="00667C8C">
        <w:t>omit</w:t>
      </w:r>
    </w:p>
    <w:tbl>
      <w:tblPr>
        <w:tblW w:w="7795" w:type="dxa"/>
        <w:tblBorders>
          <w:top w:val="single" w:sz="4" w:space="0" w:color="auto"/>
          <w:bottom w:val="single" w:sz="4" w:space="0" w:color="auto"/>
        </w:tblBorders>
        <w:tblLayout w:type="fixed"/>
        <w:tblLook w:val="0000" w:firstRow="0" w:lastRow="0" w:firstColumn="0" w:lastColumn="0" w:noHBand="0" w:noVBand="0"/>
      </w:tblPr>
      <w:tblGrid>
        <w:gridCol w:w="1559"/>
        <w:gridCol w:w="1559"/>
        <w:gridCol w:w="1559"/>
        <w:gridCol w:w="1559"/>
        <w:gridCol w:w="1559"/>
      </w:tblGrid>
      <w:tr w:rsidR="009A662F" w:rsidRPr="00667C8C" w14:paraId="02803B77" w14:textId="77777777" w:rsidTr="00442BF4">
        <w:trPr>
          <w:cantSplit/>
        </w:trPr>
        <w:tc>
          <w:tcPr>
            <w:tcW w:w="1559" w:type="dxa"/>
          </w:tcPr>
          <w:p w14:paraId="1192A57C" w14:textId="77777777" w:rsidR="009A662F" w:rsidRPr="00667C8C" w:rsidRDefault="009A662F" w:rsidP="00442BF4">
            <w:pPr>
              <w:pStyle w:val="TableText10"/>
              <w:rPr>
                <w:b/>
                <w:sz w:val="16"/>
                <w:szCs w:val="16"/>
              </w:rPr>
            </w:pPr>
            <w:r w:rsidRPr="00667C8C">
              <w:rPr>
                <w:rStyle w:val="charItals"/>
                <w:sz w:val="16"/>
                <w:szCs w:val="16"/>
              </w:rPr>
              <w:t>Total appropriated to territory entities</w:t>
            </w:r>
          </w:p>
        </w:tc>
        <w:tc>
          <w:tcPr>
            <w:tcW w:w="1559" w:type="dxa"/>
            <w:vAlign w:val="center"/>
          </w:tcPr>
          <w:p w14:paraId="41E339F9" w14:textId="77777777" w:rsidR="009A662F" w:rsidRPr="00667C8C" w:rsidRDefault="009A662F" w:rsidP="00442BF4">
            <w:pPr>
              <w:pStyle w:val="TableText10"/>
              <w:jc w:val="right"/>
              <w:rPr>
                <w:sz w:val="16"/>
                <w:szCs w:val="16"/>
              </w:rPr>
            </w:pPr>
            <w:r w:rsidRPr="00667C8C">
              <w:rPr>
                <w:sz w:val="16"/>
                <w:szCs w:val="16"/>
              </w:rPr>
              <w:t>4 926 133 000</w:t>
            </w:r>
          </w:p>
        </w:tc>
        <w:tc>
          <w:tcPr>
            <w:tcW w:w="1559" w:type="dxa"/>
            <w:vAlign w:val="center"/>
          </w:tcPr>
          <w:p w14:paraId="4533DA93" w14:textId="77777777" w:rsidR="009A662F" w:rsidRPr="00667C8C" w:rsidRDefault="009A662F" w:rsidP="00442BF4">
            <w:pPr>
              <w:pStyle w:val="TableText10"/>
              <w:jc w:val="right"/>
              <w:rPr>
                <w:sz w:val="16"/>
                <w:szCs w:val="16"/>
              </w:rPr>
            </w:pPr>
            <w:r w:rsidRPr="00667C8C">
              <w:rPr>
                <w:sz w:val="16"/>
                <w:szCs w:val="16"/>
              </w:rPr>
              <w:t>1 939 265 000</w:t>
            </w:r>
          </w:p>
        </w:tc>
        <w:tc>
          <w:tcPr>
            <w:tcW w:w="1559" w:type="dxa"/>
            <w:vAlign w:val="center"/>
          </w:tcPr>
          <w:p w14:paraId="7155206D" w14:textId="77777777" w:rsidR="009A662F" w:rsidRPr="00667C8C" w:rsidRDefault="009A662F" w:rsidP="00442BF4">
            <w:pPr>
              <w:pStyle w:val="TableText10"/>
              <w:jc w:val="right"/>
              <w:rPr>
                <w:sz w:val="16"/>
                <w:szCs w:val="16"/>
              </w:rPr>
            </w:pPr>
            <w:r w:rsidRPr="00667C8C">
              <w:rPr>
                <w:sz w:val="16"/>
                <w:szCs w:val="16"/>
              </w:rPr>
              <w:t>1 024 273 000</w:t>
            </w:r>
          </w:p>
        </w:tc>
        <w:tc>
          <w:tcPr>
            <w:tcW w:w="1559" w:type="dxa"/>
            <w:vAlign w:val="center"/>
          </w:tcPr>
          <w:p w14:paraId="69C9EC6F" w14:textId="77777777" w:rsidR="009A662F" w:rsidRPr="00667C8C" w:rsidRDefault="009A662F" w:rsidP="00442BF4">
            <w:pPr>
              <w:pStyle w:val="TableText10"/>
              <w:jc w:val="right"/>
              <w:rPr>
                <w:sz w:val="16"/>
                <w:szCs w:val="16"/>
              </w:rPr>
            </w:pPr>
            <w:r w:rsidRPr="00667C8C">
              <w:rPr>
                <w:sz w:val="16"/>
                <w:szCs w:val="16"/>
              </w:rPr>
              <w:t>7 889 671 000</w:t>
            </w:r>
          </w:p>
        </w:tc>
      </w:tr>
    </w:tbl>
    <w:p w14:paraId="0C75EF3E" w14:textId="77777777" w:rsidR="009A662F" w:rsidRPr="00667C8C" w:rsidRDefault="009A662F" w:rsidP="009A662F">
      <w:pPr>
        <w:pStyle w:val="direction"/>
        <w:spacing w:after="120"/>
      </w:pPr>
      <w:r w:rsidRPr="00667C8C">
        <w:t>substitute</w:t>
      </w:r>
    </w:p>
    <w:tbl>
      <w:tblPr>
        <w:tblW w:w="7795" w:type="dxa"/>
        <w:tblBorders>
          <w:top w:val="single" w:sz="4" w:space="0" w:color="auto"/>
          <w:bottom w:val="single" w:sz="4" w:space="0" w:color="auto"/>
        </w:tblBorders>
        <w:tblLayout w:type="fixed"/>
        <w:tblLook w:val="0000" w:firstRow="0" w:lastRow="0" w:firstColumn="0" w:lastColumn="0" w:noHBand="0" w:noVBand="0"/>
      </w:tblPr>
      <w:tblGrid>
        <w:gridCol w:w="1559"/>
        <w:gridCol w:w="1559"/>
        <w:gridCol w:w="1559"/>
        <w:gridCol w:w="1559"/>
        <w:gridCol w:w="1559"/>
      </w:tblGrid>
      <w:tr w:rsidR="009A662F" w:rsidRPr="00667C8C" w14:paraId="6F1661CC" w14:textId="77777777" w:rsidTr="00442BF4">
        <w:trPr>
          <w:cantSplit/>
        </w:trPr>
        <w:tc>
          <w:tcPr>
            <w:tcW w:w="1559" w:type="dxa"/>
          </w:tcPr>
          <w:p w14:paraId="2367DB0B" w14:textId="77777777" w:rsidR="009A662F" w:rsidRPr="00667C8C" w:rsidRDefault="009A662F" w:rsidP="00442BF4">
            <w:pPr>
              <w:pStyle w:val="TableText10"/>
              <w:rPr>
                <w:b/>
                <w:sz w:val="16"/>
                <w:szCs w:val="16"/>
              </w:rPr>
            </w:pPr>
            <w:bookmarkStart w:id="4" w:name="_Hlk171957281"/>
            <w:r w:rsidRPr="00667C8C">
              <w:rPr>
                <w:rStyle w:val="charItals"/>
                <w:sz w:val="16"/>
                <w:szCs w:val="16"/>
              </w:rPr>
              <w:t>Total appropriated to territory entities</w:t>
            </w:r>
          </w:p>
        </w:tc>
        <w:tc>
          <w:tcPr>
            <w:tcW w:w="1559" w:type="dxa"/>
            <w:vAlign w:val="center"/>
          </w:tcPr>
          <w:p w14:paraId="624B0456" w14:textId="77777777" w:rsidR="009A662F" w:rsidRPr="00667C8C" w:rsidRDefault="009A662F" w:rsidP="00442BF4">
            <w:pPr>
              <w:pStyle w:val="TableText10"/>
              <w:jc w:val="right"/>
              <w:rPr>
                <w:sz w:val="16"/>
                <w:szCs w:val="16"/>
              </w:rPr>
            </w:pPr>
            <w:r w:rsidRPr="00667C8C">
              <w:rPr>
                <w:sz w:val="16"/>
                <w:szCs w:val="16"/>
              </w:rPr>
              <w:t>4 926 133 000</w:t>
            </w:r>
          </w:p>
        </w:tc>
        <w:tc>
          <w:tcPr>
            <w:tcW w:w="1559" w:type="dxa"/>
            <w:vAlign w:val="center"/>
          </w:tcPr>
          <w:p w14:paraId="72F22F8B" w14:textId="77777777" w:rsidR="009A662F" w:rsidRPr="00667C8C" w:rsidRDefault="009A662F" w:rsidP="00442BF4">
            <w:pPr>
              <w:pStyle w:val="TableText10"/>
              <w:jc w:val="right"/>
              <w:rPr>
                <w:sz w:val="16"/>
                <w:szCs w:val="16"/>
              </w:rPr>
            </w:pPr>
            <w:r w:rsidRPr="00667C8C">
              <w:rPr>
                <w:sz w:val="16"/>
                <w:szCs w:val="16"/>
              </w:rPr>
              <w:t>1 939 265 000</w:t>
            </w:r>
          </w:p>
        </w:tc>
        <w:tc>
          <w:tcPr>
            <w:tcW w:w="1559" w:type="dxa"/>
            <w:vAlign w:val="center"/>
          </w:tcPr>
          <w:p w14:paraId="5016D6FD" w14:textId="77777777" w:rsidR="009A662F" w:rsidRPr="00667C8C" w:rsidRDefault="009A662F" w:rsidP="00442BF4">
            <w:pPr>
              <w:pStyle w:val="TableText10"/>
              <w:jc w:val="right"/>
              <w:rPr>
                <w:sz w:val="16"/>
                <w:szCs w:val="16"/>
              </w:rPr>
            </w:pPr>
            <w:r w:rsidRPr="00667C8C">
              <w:rPr>
                <w:sz w:val="16"/>
                <w:szCs w:val="16"/>
              </w:rPr>
              <w:t>1 019 264 256</w:t>
            </w:r>
          </w:p>
        </w:tc>
        <w:tc>
          <w:tcPr>
            <w:tcW w:w="1559" w:type="dxa"/>
            <w:vAlign w:val="center"/>
          </w:tcPr>
          <w:p w14:paraId="17428C8B" w14:textId="77777777" w:rsidR="009A662F" w:rsidRPr="00667C8C" w:rsidRDefault="009A662F" w:rsidP="00442BF4">
            <w:pPr>
              <w:pStyle w:val="TableText10"/>
              <w:jc w:val="right"/>
              <w:rPr>
                <w:sz w:val="16"/>
                <w:szCs w:val="16"/>
              </w:rPr>
            </w:pPr>
            <w:r w:rsidRPr="00667C8C">
              <w:rPr>
                <w:sz w:val="16"/>
                <w:szCs w:val="16"/>
              </w:rPr>
              <w:t>7 884 662 256</w:t>
            </w:r>
          </w:p>
        </w:tc>
      </w:tr>
    </w:tbl>
    <w:bookmarkEnd w:id="4"/>
    <w:p w14:paraId="48B2BCE1" w14:textId="77777777" w:rsidR="009A662F" w:rsidRPr="00667C8C" w:rsidRDefault="009A662F" w:rsidP="00320599">
      <w:pPr>
        <w:pStyle w:val="AH3sec"/>
        <w:tabs>
          <w:tab w:val="clear" w:pos="284"/>
          <w:tab w:val="num" w:pos="360"/>
        </w:tabs>
        <w:ind w:right="-142"/>
      </w:pPr>
      <w:r w:rsidRPr="00667C8C">
        <w:br/>
        <w:t>Schedule 1</w:t>
      </w:r>
      <w:r w:rsidRPr="00667C8C">
        <w:br/>
        <w:t>Page 7—</w:t>
      </w:r>
    </w:p>
    <w:p w14:paraId="0C04E1A0" w14:textId="77777777" w:rsidR="009A662F" w:rsidRPr="00667C8C" w:rsidRDefault="009A662F" w:rsidP="009A662F">
      <w:pPr>
        <w:pStyle w:val="direction"/>
        <w:spacing w:after="120"/>
      </w:pPr>
      <w:r w:rsidRPr="00667C8C">
        <w:t>omit</w:t>
      </w:r>
    </w:p>
    <w:tbl>
      <w:tblPr>
        <w:tblW w:w="7795" w:type="dxa"/>
        <w:tblLayout w:type="fixed"/>
        <w:tblLook w:val="0000" w:firstRow="0" w:lastRow="0" w:firstColumn="0" w:lastColumn="0" w:noHBand="0" w:noVBand="0"/>
      </w:tblPr>
      <w:tblGrid>
        <w:gridCol w:w="1559"/>
        <w:gridCol w:w="1559"/>
        <w:gridCol w:w="1559"/>
        <w:gridCol w:w="1559"/>
        <w:gridCol w:w="1559"/>
      </w:tblGrid>
      <w:tr w:rsidR="009A662F" w:rsidRPr="00667C8C" w14:paraId="5099740A" w14:textId="77777777" w:rsidTr="00442BF4">
        <w:trPr>
          <w:cantSplit/>
        </w:trPr>
        <w:tc>
          <w:tcPr>
            <w:tcW w:w="1559" w:type="dxa"/>
            <w:tcBorders>
              <w:top w:val="single" w:sz="4" w:space="0" w:color="auto"/>
              <w:left w:val="nil"/>
              <w:bottom w:val="single" w:sz="4" w:space="0" w:color="auto"/>
              <w:right w:val="nil"/>
            </w:tcBorders>
            <w:vAlign w:val="center"/>
          </w:tcPr>
          <w:p w14:paraId="32508174" w14:textId="77777777" w:rsidR="009A662F" w:rsidRPr="00667C8C" w:rsidRDefault="009A662F" w:rsidP="00442BF4">
            <w:pPr>
              <w:pStyle w:val="TableText10"/>
              <w:rPr>
                <w:sz w:val="16"/>
                <w:szCs w:val="16"/>
              </w:rPr>
            </w:pPr>
            <w:r w:rsidRPr="00667C8C">
              <w:rPr>
                <w:rStyle w:val="charItals"/>
                <w:sz w:val="16"/>
                <w:szCs w:val="16"/>
              </w:rPr>
              <w:t>Total appropriations</w:t>
            </w:r>
          </w:p>
        </w:tc>
        <w:tc>
          <w:tcPr>
            <w:tcW w:w="1559" w:type="dxa"/>
            <w:tcBorders>
              <w:top w:val="single" w:sz="4" w:space="0" w:color="auto"/>
              <w:left w:val="nil"/>
              <w:bottom w:val="single" w:sz="4" w:space="0" w:color="auto"/>
              <w:right w:val="nil"/>
            </w:tcBorders>
            <w:vAlign w:val="center"/>
          </w:tcPr>
          <w:p w14:paraId="5583202C" w14:textId="77777777" w:rsidR="009A662F" w:rsidRPr="00667C8C" w:rsidRDefault="009A662F" w:rsidP="00442BF4">
            <w:pPr>
              <w:pStyle w:val="TableText10"/>
              <w:jc w:val="right"/>
              <w:rPr>
                <w:sz w:val="16"/>
                <w:szCs w:val="16"/>
              </w:rPr>
            </w:pPr>
            <w:r w:rsidRPr="00667C8C">
              <w:rPr>
                <w:sz w:val="16"/>
                <w:szCs w:val="16"/>
              </w:rPr>
              <w:t>4 926 133 000</w:t>
            </w:r>
          </w:p>
        </w:tc>
        <w:tc>
          <w:tcPr>
            <w:tcW w:w="1559" w:type="dxa"/>
            <w:tcBorders>
              <w:top w:val="single" w:sz="4" w:space="0" w:color="auto"/>
              <w:left w:val="nil"/>
              <w:bottom w:val="single" w:sz="4" w:space="0" w:color="auto"/>
              <w:right w:val="nil"/>
            </w:tcBorders>
            <w:vAlign w:val="center"/>
          </w:tcPr>
          <w:p w14:paraId="22761A71" w14:textId="77777777" w:rsidR="009A662F" w:rsidRPr="00667C8C" w:rsidRDefault="009A662F" w:rsidP="00442BF4">
            <w:pPr>
              <w:pStyle w:val="TableText10"/>
              <w:jc w:val="right"/>
              <w:rPr>
                <w:sz w:val="16"/>
                <w:szCs w:val="16"/>
              </w:rPr>
            </w:pPr>
            <w:r w:rsidRPr="00667C8C">
              <w:rPr>
                <w:sz w:val="16"/>
                <w:szCs w:val="16"/>
              </w:rPr>
              <w:t>2 224 265 000</w:t>
            </w:r>
          </w:p>
        </w:tc>
        <w:tc>
          <w:tcPr>
            <w:tcW w:w="1559" w:type="dxa"/>
            <w:tcBorders>
              <w:top w:val="single" w:sz="4" w:space="0" w:color="auto"/>
              <w:left w:val="nil"/>
              <w:bottom w:val="single" w:sz="4" w:space="0" w:color="auto"/>
              <w:right w:val="nil"/>
            </w:tcBorders>
            <w:vAlign w:val="center"/>
          </w:tcPr>
          <w:p w14:paraId="27E12E74" w14:textId="77777777" w:rsidR="009A662F" w:rsidRPr="00667C8C" w:rsidRDefault="009A662F" w:rsidP="00442BF4">
            <w:pPr>
              <w:pStyle w:val="TableText10"/>
              <w:jc w:val="right"/>
              <w:rPr>
                <w:sz w:val="16"/>
                <w:szCs w:val="16"/>
              </w:rPr>
            </w:pPr>
            <w:r w:rsidRPr="00667C8C">
              <w:rPr>
                <w:sz w:val="16"/>
                <w:szCs w:val="16"/>
              </w:rPr>
              <w:t>1 024 273 000</w:t>
            </w:r>
          </w:p>
        </w:tc>
        <w:tc>
          <w:tcPr>
            <w:tcW w:w="1559" w:type="dxa"/>
            <w:tcBorders>
              <w:top w:val="single" w:sz="4" w:space="0" w:color="auto"/>
              <w:left w:val="nil"/>
              <w:bottom w:val="single" w:sz="4" w:space="0" w:color="auto"/>
              <w:right w:val="nil"/>
            </w:tcBorders>
            <w:vAlign w:val="center"/>
          </w:tcPr>
          <w:p w14:paraId="04BFE3F9" w14:textId="77777777" w:rsidR="009A662F" w:rsidRPr="00667C8C" w:rsidRDefault="009A662F" w:rsidP="00442BF4">
            <w:pPr>
              <w:pStyle w:val="TableText10"/>
              <w:jc w:val="right"/>
              <w:rPr>
                <w:sz w:val="16"/>
                <w:szCs w:val="16"/>
              </w:rPr>
            </w:pPr>
            <w:r w:rsidRPr="00667C8C">
              <w:rPr>
                <w:sz w:val="16"/>
                <w:szCs w:val="16"/>
              </w:rPr>
              <w:t>8 254 057 000</w:t>
            </w:r>
          </w:p>
        </w:tc>
      </w:tr>
    </w:tbl>
    <w:p w14:paraId="2A058065" w14:textId="77777777" w:rsidR="009A662F" w:rsidRPr="00667C8C" w:rsidRDefault="009A662F" w:rsidP="009A662F">
      <w:pPr>
        <w:pStyle w:val="direction"/>
        <w:spacing w:after="120"/>
      </w:pPr>
      <w:r w:rsidRPr="00667C8C">
        <w:t>substitute</w:t>
      </w:r>
    </w:p>
    <w:tbl>
      <w:tblPr>
        <w:tblW w:w="7795" w:type="dxa"/>
        <w:tblLayout w:type="fixed"/>
        <w:tblLook w:val="0000" w:firstRow="0" w:lastRow="0" w:firstColumn="0" w:lastColumn="0" w:noHBand="0" w:noVBand="0"/>
      </w:tblPr>
      <w:tblGrid>
        <w:gridCol w:w="1559"/>
        <w:gridCol w:w="1559"/>
        <w:gridCol w:w="1559"/>
        <w:gridCol w:w="1559"/>
        <w:gridCol w:w="1559"/>
      </w:tblGrid>
      <w:tr w:rsidR="009A662F" w:rsidRPr="00674A53" w14:paraId="1854DF17" w14:textId="77777777" w:rsidTr="00442BF4">
        <w:trPr>
          <w:cantSplit/>
        </w:trPr>
        <w:tc>
          <w:tcPr>
            <w:tcW w:w="1559" w:type="dxa"/>
            <w:tcBorders>
              <w:top w:val="single" w:sz="4" w:space="0" w:color="auto"/>
              <w:left w:val="nil"/>
              <w:bottom w:val="single" w:sz="4" w:space="0" w:color="auto"/>
              <w:right w:val="nil"/>
            </w:tcBorders>
            <w:vAlign w:val="center"/>
          </w:tcPr>
          <w:p w14:paraId="301B7796" w14:textId="77777777" w:rsidR="009A662F" w:rsidRPr="00667C8C" w:rsidRDefault="009A662F" w:rsidP="00442BF4">
            <w:pPr>
              <w:pStyle w:val="TableText10"/>
              <w:rPr>
                <w:sz w:val="16"/>
                <w:szCs w:val="16"/>
              </w:rPr>
            </w:pPr>
            <w:r w:rsidRPr="00667C8C">
              <w:rPr>
                <w:rStyle w:val="charItals"/>
                <w:sz w:val="16"/>
                <w:szCs w:val="16"/>
              </w:rPr>
              <w:t>Total appropriations</w:t>
            </w:r>
          </w:p>
        </w:tc>
        <w:tc>
          <w:tcPr>
            <w:tcW w:w="1559" w:type="dxa"/>
            <w:tcBorders>
              <w:top w:val="single" w:sz="4" w:space="0" w:color="auto"/>
              <w:left w:val="nil"/>
              <w:bottom w:val="single" w:sz="4" w:space="0" w:color="auto"/>
              <w:right w:val="nil"/>
            </w:tcBorders>
            <w:vAlign w:val="center"/>
          </w:tcPr>
          <w:p w14:paraId="28C7879E" w14:textId="77777777" w:rsidR="009A662F" w:rsidRPr="00667C8C" w:rsidRDefault="009A662F" w:rsidP="00442BF4">
            <w:pPr>
              <w:pStyle w:val="TableText10"/>
              <w:jc w:val="right"/>
              <w:rPr>
                <w:sz w:val="16"/>
                <w:szCs w:val="16"/>
              </w:rPr>
            </w:pPr>
            <w:r w:rsidRPr="00667C8C">
              <w:rPr>
                <w:sz w:val="16"/>
                <w:szCs w:val="16"/>
              </w:rPr>
              <w:t>4 926 133 000</w:t>
            </w:r>
          </w:p>
        </w:tc>
        <w:tc>
          <w:tcPr>
            <w:tcW w:w="1559" w:type="dxa"/>
            <w:tcBorders>
              <w:top w:val="single" w:sz="4" w:space="0" w:color="auto"/>
              <w:left w:val="nil"/>
              <w:bottom w:val="single" w:sz="4" w:space="0" w:color="auto"/>
              <w:right w:val="nil"/>
            </w:tcBorders>
            <w:vAlign w:val="center"/>
          </w:tcPr>
          <w:p w14:paraId="09AA6EE0" w14:textId="77777777" w:rsidR="009A662F" w:rsidRPr="00667C8C" w:rsidRDefault="009A662F" w:rsidP="00442BF4">
            <w:pPr>
              <w:pStyle w:val="TableText10"/>
              <w:jc w:val="right"/>
              <w:rPr>
                <w:sz w:val="16"/>
                <w:szCs w:val="16"/>
              </w:rPr>
            </w:pPr>
            <w:r w:rsidRPr="00667C8C">
              <w:rPr>
                <w:sz w:val="16"/>
                <w:szCs w:val="16"/>
              </w:rPr>
              <w:t>2 224 265 000</w:t>
            </w:r>
          </w:p>
        </w:tc>
        <w:tc>
          <w:tcPr>
            <w:tcW w:w="1559" w:type="dxa"/>
            <w:tcBorders>
              <w:top w:val="single" w:sz="4" w:space="0" w:color="auto"/>
              <w:left w:val="nil"/>
              <w:bottom w:val="single" w:sz="4" w:space="0" w:color="auto"/>
              <w:right w:val="nil"/>
            </w:tcBorders>
            <w:vAlign w:val="center"/>
          </w:tcPr>
          <w:p w14:paraId="6A6C3CDF" w14:textId="77777777" w:rsidR="009A662F" w:rsidRPr="00667C8C" w:rsidRDefault="009A662F" w:rsidP="00442BF4">
            <w:pPr>
              <w:pStyle w:val="TableText10"/>
              <w:jc w:val="right"/>
              <w:rPr>
                <w:sz w:val="16"/>
                <w:szCs w:val="16"/>
              </w:rPr>
            </w:pPr>
            <w:r w:rsidRPr="00667C8C">
              <w:rPr>
                <w:sz w:val="16"/>
                <w:szCs w:val="16"/>
              </w:rPr>
              <w:t>1 019 264 256</w:t>
            </w:r>
          </w:p>
        </w:tc>
        <w:tc>
          <w:tcPr>
            <w:tcW w:w="1559" w:type="dxa"/>
            <w:tcBorders>
              <w:top w:val="single" w:sz="4" w:space="0" w:color="auto"/>
              <w:left w:val="nil"/>
              <w:bottom w:val="single" w:sz="4" w:space="0" w:color="auto"/>
              <w:right w:val="nil"/>
            </w:tcBorders>
            <w:vAlign w:val="center"/>
          </w:tcPr>
          <w:p w14:paraId="55682B60" w14:textId="77777777" w:rsidR="009A662F" w:rsidRPr="00674A53" w:rsidRDefault="009A662F" w:rsidP="00442BF4">
            <w:pPr>
              <w:pStyle w:val="TableText10"/>
              <w:jc w:val="right"/>
              <w:rPr>
                <w:sz w:val="16"/>
                <w:szCs w:val="16"/>
              </w:rPr>
            </w:pPr>
            <w:r w:rsidRPr="00674A53">
              <w:rPr>
                <w:sz w:val="16"/>
                <w:szCs w:val="16"/>
              </w:rPr>
              <w:t xml:space="preserve">8 249 048 </w:t>
            </w:r>
            <w:r>
              <w:rPr>
                <w:sz w:val="16"/>
                <w:szCs w:val="16"/>
              </w:rPr>
              <w:t>2</w:t>
            </w:r>
            <w:r w:rsidRPr="00674A53">
              <w:rPr>
                <w:sz w:val="16"/>
                <w:szCs w:val="16"/>
              </w:rPr>
              <w:t>56</w:t>
            </w:r>
          </w:p>
        </w:tc>
      </w:tr>
    </w:tbl>
    <w:p w14:paraId="0AFF2756" w14:textId="77777777" w:rsidR="009A662F" w:rsidRPr="00667C8C" w:rsidRDefault="009A662F" w:rsidP="009A662F">
      <w:pPr>
        <w:pStyle w:val="N-line1"/>
      </w:pPr>
    </w:p>
    <w:p w14:paraId="449B4160" w14:textId="77777777" w:rsidR="009A662F" w:rsidRPr="009A662F" w:rsidRDefault="009A662F" w:rsidP="009A662F">
      <w:pPr>
        <w:spacing w:before="120"/>
        <w:rPr>
          <w:rFonts w:ascii="Calibri" w:hAnsi="Calibri"/>
          <w:szCs w:val="24"/>
        </w:rPr>
      </w:pPr>
    </w:p>
    <w:sectPr w:rsidR="009A662F" w:rsidRPr="009A662F" w:rsidSect="009A662F">
      <w:type w:val="continuous"/>
      <w:pgSz w:w="11906" w:h="16838" w:code="9"/>
      <w:pgMar w:top="1525" w:right="1983" w:bottom="1264" w:left="2268" w:header="635" w:footer="578" w:gutter="0"/>
      <w:pgNumType w:start="20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3D39" w14:textId="77777777" w:rsidR="00026751" w:rsidRDefault="00026751" w:rsidP="000F3D35">
      <w:r>
        <w:separator/>
      </w:r>
    </w:p>
  </w:endnote>
  <w:endnote w:type="continuationSeparator" w:id="0">
    <w:p w14:paraId="08FC9DF8" w14:textId="77777777" w:rsidR="00026751" w:rsidRDefault="0002675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29FD" w14:textId="77777777" w:rsidR="00BA1B06" w:rsidRDefault="00BA1B06" w:rsidP="00BA1B06">
    <w:pPr>
      <w:pBdr>
        <w:top w:val="single" w:sz="4" w:space="0" w:color="auto"/>
      </w:pBdr>
      <w:jc w:val="center"/>
      <w:rPr>
        <w:b/>
        <w:sz w:val="20"/>
      </w:rPr>
    </w:pPr>
  </w:p>
  <w:p w14:paraId="62AD9A96" w14:textId="77777777" w:rsidR="00BA1B06" w:rsidRDefault="00A64AFA"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1AA1" w14:textId="77777777" w:rsidR="00026751" w:rsidRDefault="00026751" w:rsidP="000F3D35">
      <w:r>
        <w:separator/>
      </w:r>
    </w:p>
  </w:footnote>
  <w:footnote w:type="continuationSeparator" w:id="0">
    <w:p w14:paraId="4089CA78" w14:textId="77777777" w:rsidR="00026751" w:rsidRDefault="00026751"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1958" w14:textId="26A83A16" w:rsidR="00D35926" w:rsidRPr="000E4643" w:rsidRDefault="00D35926" w:rsidP="00091C7D">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026751">
      <w:rPr>
        <w:i/>
        <w:sz w:val="22"/>
        <w:szCs w:val="22"/>
      </w:rPr>
      <w:t>131</w:t>
    </w:r>
    <w:r w:rsidRPr="000E4643">
      <w:rPr>
        <w:rFonts w:ascii="Arial" w:hAnsi="Arial" w:cs="Arial"/>
        <w:i/>
        <w:color w:val="222222"/>
        <w:sz w:val="22"/>
        <w:szCs w:val="22"/>
        <w:shd w:val="clear" w:color="auto" w:fill="FFFFFF"/>
      </w:rPr>
      <w:t>—</w:t>
    </w:r>
    <w:r w:rsidR="001855C1">
      <w:rPr>
        <w:i/>
        <w:sz w:val="22"/>
        <w:szCs w:val="22"/>
      </w:rPr>
      <w:t>3 September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A803" w14:textId="268CCDC8" w:rsidR="00D35926" w:rsidRPr="001B5139" w:rsidRDefault="00D35926" w:rsidP="00091C7D">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026751">
      <w:rPr>
        <w:i/>
        <w:sz w:val="22"/>
        <w:szCs w:val="22"/>
      </w:rPr>
      <w:t>131</w:t>
    </w:r>
    <w:r w:rsidRPr="001B5139">
      <w:rPr>
        <w:rFonts w:ascii="Arial" w:hAnsi="Arial" w:cs="Arial"/>
        <w:i/>
        <w:color w:val="222222"/>
        <w:sz w:val="22"/>
        <w:szCs w:val="22"/>
        <w:shd w:val="clear" w:color="auto" w:fill="FFFFFF"/>
      </w:rPr>
      <w:t>—</w:t>
    </w:r>
    <w:r w:rsidR="001855C1">
      <w:rPr>
        <w:i/>
        <w:sz w:val="22"/>
        <w:szCs w:val="22"/>
      </w:rPr>
      <w:t>3 September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6CE14411" w14:textId="18CBB3F7"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32914482">
    <w:abstractNumId w:val="4"/>
  </w:num>
  <w:num w:numId="20" w16cid:durableId="980038440">
    <w:abstractNumId w:val="7"/>
  </w:num>
  <w:num w:numId="21" w16cid:durableId="2127038613">
    <w:abstractNumId w:val="7"/>
  </w:num>
  <w:num w:numId="22" w16cid:durableId="690110871">
    <w:abstractNumId w:val="7"/>
  </w:num>
  <w:num w:numId="23" w16cid:durableId="1726903474">
    <w:abstractNumId w:val="7"/>
  </w:num>
  <w:num w:numId="24" w16cid:durableId="11894875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9558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4151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51"/>
    <w:rsid w:val="00026751"/>
    <w:rsid w:val="000453A9"/>
    <w:rsid w:val="00062C28"/>
    <w:rsid w:val="00072392"/>
    <w:rsid w:val="00091C7D"/>
    <w:rsid w:val="000A5BA3"/>
    <w:rsid w:val="000C555C"/>
    <w:rsid w:val="000F3D35"/>
    <w:rsid w:val="0014155E"/>
    <w:rsid w:val="00141A2C"/>
    <w:rsid w:val="001826BD"/>
    <w:rsid w:val="001855C1"/>
    <w:rsid w:val="001B41E4"/>
    <w:rsid w:val="002018B9"/>
    <w:rsid w:val="00227B49"/>
    <w:rsid w:val="00276DAC"/>
    <w:rsid w:val="002E1488"/>
    <w:rsid w:val="00302878"/>
    <w:rsid w:val="00303360"/>
    <w:rsid w:val="0030375C"/>
    <w:rsid w:val="00320599"/>
    <w:rsid w:val="0032217D"/>
    <w:rsid w:val="00346139"/>
    <w:rsid w:val="00352FBA"/>
    <w:rsid w:val="00371903"/>
    <w:rsid w:val="00384A74"/>
    <w:rsid w:val="003D4AE4"/>
    <w:rsid w:val="003E48E6"/>
    <w:rsid w:val="003E619B"/>
    <w:rsid w:val="003F41B5"/>
    <w:rsid w:val="00432F9E"/>
    <w:rsid w:val="00456C0B"/>
    <w:rsid w:val="004644D9"/>
    <w:rsid w:val="00476347"/>
    <w:rsid w:val="004B2418"/>
    <w:rsid w:val="004C6236"/>
    <w:rsid w:val="004E1770"/>
    <w:rsid w:val="004F1D14"/>
    <w:rsid w:val="00514763"/>
    <w:rsid w:val="00525EF7"/>
    <w:rsid w:val="005C1288"/>
    <w:rsid w:val="005E030A"/>
    <w:rsid w:val="0060380C"/>
    <w:rsid w:val="00622D21"/>
    <w:rsid w:val="0063650E"/>
    <w:rsid w:val="006628C0"/>
    <w:rsid w:val="006A1191"/>
    <w:rsid w:val="006D7183"/>
    <w:rsid w:val="006E0102"/>
    <w:rsid w:val="006E0BA9"/>
    <w:rsid w:val="00707A93"/>
    <w:rsid w:val="0074294E"/>
    <w:rsid w:val="0075625A"/>
    <w:rsid w:val="00786683"/>
    <w:rsid w:val="007B18F0"/>
    <w:rsid w:val="007E3A8A"/>
    <w:rsid w:val="00802F5F"/>
    <w:rsid w:val="0081083C"/>
    <w:rsid w:val="00815ACB"/>
    <w:rsid w:val="00823FD1"/>
    <w:rsid w:val="008267A1"/>
    <w:rsid w:val="00870A3C"/>
    <w:rsid w:val="008D3158"/>
    <w:rsid w:val="0091670C"/>
    <w:rsid w:val="009833F4"/>
    <w:rsid w:val="009A662F"/>
    <w:rsid w:val="009B0B03"/>
    <w:rsid w:val="009E1218"/>
    <w:rsid w:val="00A10F86"/>
    <w:rsid w:val="00A273E2"/>
    <w:rsid w:val="00A368EC"/>
    <w:rsid w:val="00A64AFA"/>
    <w:rsid w:val="00AB7633"/>
    <w:rsid w:val="00AE31A8"/>
    <w:rsid w:val="00AE774E"/>
    <w:rsid w:val="00AF3C23"/>
    <w:rsid w:val="00B07E53"/>
    <w:rsid w:val="00B11D42"/>
    <w:rsid w:val="00B16E09"/>
    <w:rsid w:val="00B73816"/>
    <w:rsid w:val="00B766B9"/>
    <w:rsid w:val="00B93EC2"/>
    <w:rsid w:val="00B97505"/>
    <w:rsid w:val="00B97C48"/>
    <w:rsid w:val="00BA1B06"/>
    <w:rsid w:val="00BA6201"/>
    <w:rsid w:val="00BE3AD4"/>
    <w:rsid w:val="00C01826"/>
    <w:rsid w:val="00C173D3"/>
    <w:rsid w:val="00C721B6"/>
    <w:rsid w:val="00C74281"/>
    <w:rsid w:val="00CB3AC9"/>
    <w:rsid w:val="00CE4F71"/>
    <w:rsid w:val="00D17ACF"/>
    <w:rsid w:val="00D35926"/>
    <w:rsid w:val="00D74B53"/>
    <w:rsid w:val="00DD4F9F"/>
    <w:rsid w:val="00E221CB"/>
    <w:rsid w:val="00E42CC6"/>
    <w:rsid w:val="00E45481"/>
    <w:rsid w:val="00E50CFA"/>
    <w:rsid w:val="00E70E4A"/>
    <w:rsid w:val="00F14915"/>
    <w:rsid w:val="00F31384"/>
    <w:rsid w:val="00F61DAA"/>
    <w:rsid w:val="00F61EDA"/>
    <w:rsid w:val="00F62370"/>
    <w:rsid w:val="00F6765F"/>
    <w:rsid w:val="00F772A3"/>
    <w:rsid w:val="00FB3AE4"/>
    <w:rsid w:val="00FD72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24152B6"/>
  <w15:chartTrackingRefBased/>
  <w15:docId w15:val="{0835096E-0FD6-4F10-A262-A81BDB7E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6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6E0102"/>
    <w:rPr>
      <w:rFonts w:ascii="Calibri" w:eastAsia="Times New Roman" w:hAnsi="Calibri" w:cs="Times New Roman"/>
      <w:sz w:val="24"/>
      <w:szCs w:val="20"/>
    </w:rPr>
  </w:style>
  <w:style w:type="paragraph" w:customStyle="1" w:styleId="DPSEntryDetailIndentLev2">
    <w:name w:val="DPSEntryDetailIndentLev2"/>
    <w:rsid w:val="0014155E"/>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character" w:customStyle="1" w:styleId="DPSEntryDetailChar">
    <w:name w:val="DPSEntryDetail Char"/>
    <w:basedOn w:val="DefaultParagraphFont"/>
    <w:link w:val="DPSEntryDetail"/>
    <w:rsid w:val="00815ACB"/>
    <w:rPr>
      <w:rFonts w:ascii="Calibri" w:eastAsia="Times New Roman" w:hAnsi="Calibri" w:cs="Times New Roman"/>
      <w:sz w:val="24"/>
      <w:szCs w:val="20"/>
    </w:rPr>
  </w:style>
  <w:style w:type="paragraph" w:styleId="ListParagraph">
    <w:name w:val="List Paragraph"/>
    <w:basedOn w:val="Normal"/>
    <w:uiPriority w:val="34"/>
    <w:qFormat/>
    <w:rsid w:val="00D17ACF"/>
    <w:pPr>
      <w:ind w:left="720"/>
      <w:contextualSpacing/>
    </w:pPr>
  </w:style>
  <w:style w:type="paragraph" w:customStyle="1" w:styleId="direction">
    <w:name w:val="direction"/>
    <w:basedOn w:val="Normal"/>
    <w:next w:val="Normal"/>
    <w:rsid w:val="009A662F"/>
    <w:pPr>
      <w:keepNext/>
      <w:spacing w:before="140"/>
      <w:ind w:left="1100"/>
      <w:jc w:val="both"/>
    </w:pPr>
    <w:rPr>
      <w:rFonts w:ascii="Times New Roman" w:hAnsi="Times New Roman"/>
      <w:i/>
      <w:lang w:val="en-AU" w:eastAsia="en-US"/>
    </w:rPr>
  </w:style>
  <w:style w:type="paragraph" w:customStyle="1" w:styleId="IH5Sec">
    <w:name w:val="I H5 Sec"/>
    <w:basedOn w:val="Normal"/>
    <w:next w:val="Normal"/>
    <w:rsid w:val="009A662F"/>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9A662F"/>
    <w:pPr>
      <w:pBdr>
        <w:bottom w:val="single" w:sz="4" w:space="0" w:color="auto"/>
      </w:pBdr>
      <w:spacing w:before="100"/>
      <w:ind w:left="2980" w:right="3020"/>
      <w:jc w:val="center"/>
    </w:pPr>
    <w:rPr>
      <w:rFonts w:ascii="Times New Roman" w:hAnsi="Times New Roman"/>
      <w:lang w:val="en-AU" w:eastAsia="en-US"/>
    </w:rPr>
  </w:style>
  <w:style w:type="character" w:customStyle="1" w:styleId="charItals">
    <w:name w:val="charItals"/>
    <w:basedOn w:val="DefaultParagraphFont"/>
    <w:rsid w:val="009A662F"/>
    <w:rPr>
      <w:i/>
    </w:rPr>
  </w:style>
  <w:style w:type="paragraph" w:customStyle="1" w:styleId="AH3sec">
    <w:name w:val="A H3 sec"/>
    <w:basedOn w:val="Normal"/>
    <w:next w:val="direction"/>
    <w:rsid w:val="009A662F"/>
    <w:pPr>
      <w:keepNext/>
      <w:keepLines/>
      <w:numPr>
        <w:numId w:val="26"/>
      </w:numPr>
      <w:pBdr>
        <w:top w:val="single" w:sz="4" w:space="1" w:color="auto"/>
      </w:pBdr>
      <w:tabs>
        <w:tab w:val="left" w:pos="284"/>
      </w:tabs>
      <w:spacing w:before="240"/>
      <w:ind w:left="0" w:firstLine="0"/>
    </w:pPr>
    <w:rPr>
      <w:rFonts w:ascii="Arial" w:hAnsi="Arial"/>
      <w:b/>
      <w:sz w:val="22"/>
      <w:lang w:val="en-AU" w:eastAsia="en-US"/>
    </w:rPr>
  </w:style>
  <w:style w:type="paragraph" w:customStyle="1" w:styleId="TableText10">
    <w:name w:val="TableText10"/>
    <w:basedOn w:val="Normal"/>
    <w:rsid w:val="009A662F"/>
    <w:pPr>
      <w:spacing w:before="60" w:after="60"/>
    </w:pPr>
    <w:rPr>
      <w:rFonts w:ascii="Times New Roman" w:hAnsi="Times New Roman"/>
      <w:sz w:val="20"/>
      <w:lang w:val="en-AU" w:eastAsia="en-US"/>
    </w:rPr>
  </w:style>
  <w:style w:type="character" w:styleId="UnresolvedMention">
    <w:name w:val="Unresolved Mention"/>
    <w:basedOn w:val="DefaultParagraphFont"/>
    <w:uiPriority w:val="99"/>
    <w:semiHidden/>
    <w:unhideWhenUsed/>
    <w:rsid w:val="002E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1</TotalTime>
  <Pages>18</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2024-09-19T04:56:00Z</cp:lastPrinted>
  <dcterms:created xsi:type="dcterms:W3CDTF">2024-09-19T04:57:00Z</dcterms:created>
  <dcterms:modified xsi:type="dcterms:W3CDTF">2024-09-19T04:57:00Z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