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6F2035B9" w:rsidR="00A23A3E" w:rsidRDefault="00FE46F2" w:rsidP="00C8358A">
      <w:pPr>
        <w:pStyle w:val="Title"/>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5004BB">
        <w:t>4</w:t>
      </w:r>
      <w:r w:rsidR="000150AA">
        <w:t>4</w:t>
      </w:r>
    </w:p>
    <w:p w14:paraId="348D1164" w14:textId="2A8AD5BC" w:rsidR="00A23A3E" w:rsidRDefault="00123781" w:rsidP="009F5A83">
      <w:pPr>
        <w:pStyle w:val="Heading1nonumber"/>
      </w:pPr>
      <w:bookmarkStart w:id="1" w:name="_Toc174548876"/>
      <w:r>
        <w:lastRenderedPageBreak/>
        <w:t>About the</w:t>
      </w:r>
      <w:r w:rsidR="00A23A3E">
        <w:t xml:space="preserve"> committee</w:t>
      </w:r>
      <w:bookmarkEnd w:id="1"/>
    </w:p>
    <w:p w14:paraId="5F0FD841" w14:textId="4E43C4A1" w:rsidR="00123781" w:rsidRDefault="00D23E3A" w:rsidP="00FC2277">
      <w:pPr>
        <w:pStyle w:val="Heading20"/>
      </w:pPr>
      <w:bookmarkStart w:id="2" w:name="_Toc174548877"/>
      <w:r>
        <w:t>Establishing resolution</w:t>
      </w:r>
      <w:bookmarkEnd w:id="2"/>
    </w:p>
    <w:p w14:paraId="12BE434B" w14:textId="43AA5661" w:rsidR="00024F1A" w:rsidRDefault="00123781" w:rsidP="00123781">
      <w:r>
        <w:t xml:space="preserve">The Assembly established </w:t>
      </w:r>
      <w:r w:rsidR="00024F1A">
        <w:t>the</w:t>
      </w:r>
      <w:r>
        <w:t xml:space="preserve"> </w:t>
      </w:r>
      <w:r w:rsidR="00936602">
        <w:fldChar w:fldCharType="begin"/>
      </w:r>
      <w:r w:rsidR="00936602">
        <w:instrText xml:space="preserve"> STYLEREF  "Cover - Committee name"  \* MERGEFORMAT </w:instrText>
      </w:r>
      <w:r w:rsidR="00936602">
        <w:fldChar w:fldCharType="separate"/>
      </w:r>
      <w:r w:rsidR="00523235">
        <w:rPr>
          <w:noProof/>
        </w:rPr>
        <w:t>Standing Committee on Justice and Community Safety (Legislative Scrutiny Role)</w:t>
      </w:r>
      <w:r w:rsidR="00936602">
        <w:rPr>
          <w:noProof/>
        </w:rPr>
        <w:fldChar w:fldCharType="end"/>
      </w:r>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0F5099D9" w:rsidR="00FB72F9" w:rsidRPr="00697120" w:rsidRDefault="00013602"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(10)</w:t>
      </w:r>
      <w:r w:rsidR="00FB72F9" w:rsidRPr="00697120">
        <w:rPr>
          <w:rFonts w:ascii="Calibri" w:hAnsi="Calibri"/>
        </w:rPr>
        <w:tab/>
        <w:t>the Standing Committee on Justice and Community Safety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unduly trespass on personal rights and </w:t>
      </w:r>
      <w:proofErr w:type="gramStart"/>
      <w:r w:rsidRPr="00697120">
        <w:rPr>
          <w:rFonts w:ascii="Calibri" w:hAnsi="Calibri"/>
        </w:rPr>
        <w:t>liberties;</w:t>
      </w:r>
      <w:proofErr w:type="gramEnd"/>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make rights, liberties and/or obligations unduly dependent upon insufficiently defined administrative </w:t>
      </w:r>
      <w:proofErr w:type="gramStart"/>
      <w:r w:rsidRPr="00697120">
        <w:rPr>
          <w:rFonts w:ascii="Calibri" w:hAnsi="Calibri"/>
        </w:rPr>
        <w:t>powers;</w:t>
      </w:r>
      <w:proofErr w:type="gramEnd"/>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 xml:space="preserve">make rights, liberties and/or obligations unduly dependent upon non-reviewable </w:t>
      </w:r>
      <w:proofErr w:type="gramStart"/>
      <w:r w:rsidRPr="00697120">
        <w:rPr>
          <w:rFonts w:ascii="Calibri" w:hAnsi="Calibri"/>
        </w:rPr>
        <w:t>decisions;</w:t>
      </w:r>
      <w:proofErr w:type="gramEnd"/>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 xml:space="preserve">consider whether any explanatory statement associated with legislation meets the technical or stylistic standards expected by the </w:t>
      </w:r>
      <w:proofErr w:type="gramStart"/>
      <w:r w:rsidRPr="00697120">
        <w:rPr>
          <w:rFonts w:ascii="Calibri" w:hAnsi="Calibri"/>
        </w:rPr>
        <w:t>Assembly;</w:t>
      </w:r>
      <w:proofErr w:type="gramEnd"/>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 xml:space="preserve">Human Rights Act </w:t>
      </w:r>
      <w:proofErr w:type="gramStart"/>
      <w:r w:rsidRPr="00697120">
        <w:rPr>
          <w:rFonts w:ascii="Calibri" w:hAnsi="Calibri"/>
          <w:i/>
        </w:rPr>
        <w:t>2004</w:t>
      </w:r>
      <w:r w:rsidRPr="00697120">
        <w:rPr>
          <w:rFonts w:ascii="Calibri" w:hAnsi="Calibri"/>
        </w:rPr>
        <w:t>;</w:t>
      </w:r>
      <w:proofErr w:type="gramEnd"/>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 xml:space="preserve">regulation, </w:t>
      </w:r>
      <w:proofErr w:type="gramStart"/>
      <w:r w:rsidRPr="00697120">
        <w:rPr>
          <w:rFonts w:ascii="Calibri" w:hAnsi="Calibri"/>
        </w:rPr>
        <w:t>rule</w:t>
      </w:r>
      <w:proofErr w:type="gramEnd"/>
      <w:r w:rsidRPr="00697120">
        <w:rPr>
          <w:rFonts w:ascii="Calibri" w:hAnsi="Calibri"/>
        </w:rPr>
        <w:t xml:space="preserv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is in accord with the general objects of the Act under which it is </w:t>
      </w:r>
      <w:proofErr w:type="gramStart"/>
      <w:r w:rsidRPr="00697120">
        <w:rPr>
          <w:rFonts w:ascii="Calibri" w:hAnsi="Calibri"/>
        </w:rPr>
        <w:t>made;</w:t>
      </w:r>
      <w:proofErr w:type="gramEnd"/>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unduly trespasses on rights previously established by </w:t>
      </w:r>
      <w:proofErr w:type="gramStart"/>
      <w:r w:rsidRPr="00697120">
        <w:rPr>
          <w:rFonts w:ascii="Calibri" w:hAnsi="Calibri"/>
        </w:rPr>
        <w:t>law;</w:t>
      </w:r>
      <w:proofErr w:type="gramEnd"/>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62579BBC"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013602">
        <w:rPr>
          <w:rFonts w:ascii="Calibri" w:hAnsi="Calibri"/>
        </w:rPr>
        <w:t>”</w:t>
      </w:r>
      <w:r w:rsidR="00C65340">
        <w:rPr>
          <w:rFonts w:ascii="Calibri" w:hAnsi="Calibri"/>
        </w:rPr>
        <w:t>.</w:t>
      </w:r>
    </w:p>
    <w:p w14:paraId="459E064D" w14:textId="76DAE11D" w:rsidR="007A7A8B" w:rsidRDefault="007A7A8B" w:rsidP="007A7A8B">
      <w:pPr>
        <w:spacing w:before="120"/>
        <w:rPr>
          <w:rStyle w:val="Hyperlink"/>
        </w:rPr>
      </w:pPr>
      <w:r>
        <w:t xml:space="preserve">You can read the full establishing resolution </w:t>
      </w:r>
      <w:hyperlink r:id="rId12" w:history="1">
        <w:r w:rsidRPr="006718E3">
          <w:rPr>
            <w:rStyle w:val="Hyperlink"/>
          </w:rPr>
          <w:t>on our website.</w:t>
        </w:r>
      </w:hyperlink>
    </w:p>
    <w:p w14:paraId="1C963F62" w14:textId="77777777" w:rsidR="00716E75" w:rsidRDefault="00716E75" w:rsidP="007A7A8B">
      <w:pPr>
        <w:spacing w:before="120"/>
        <w:rPr>
          <w:rStyle w:val="Hyperlink"/>
        </w:rPr>
      </w:pPr>
    </w:p>
    <w:p w14:paraId="54A26CAB" w14:textId="77777777" w:rsidR="00716E75" w:rsidRDefault="00716E75" w:rsidP="007A7A8B">
      <w:pPr>
        <w:spacing w:before="120"/>
        <w:rPr>
          <w:rStyle w:val="Hyperlink"/>
        </w:rPr>
      </w:pPr>
    </w:p>
    <w:p w14:paraId="15D66793" w14:textId="77777777" w:rsidR="008D102D" w:rsidRDefault="008D102D" w:rsidP="00FC2277">
      <w:pPr>
        <w:pStyle w:val="Heading20"/>
      </w:pPr>
      <w:bookmarkStart w:id="3" w:name="_Toc148444489"/>
      <w:bookmarkStart w:id="4" w:name="_Toc174548878"/>
      <w:r>
        <w:lastRenderedPageBreak/>
        <w:t>Committee members</w:t>
      </w:r>
      <w:bookmarkEnd w:id="3"/>
      <w:bookmarkEnd w:id="4"/>
    </w:p>
    <w:p w14:paraId="5D504293" w14:textId="77777777" w:rsidR="008D102D" w:rsidRDefault="008D102D" w:rsidP="008D102D">
      <w:pPr>
        <w:pStyle w:val="List"/>
        <w:keepNext/>
      </w:pPr>
      <w:r>
        <w:t>Peter Cain MLA, Chair</w:t>
      </w:r>
    </w:p>
    <w:p w14:paraId="6B16E8E0" w14:textId="77777777" w:rsidR="008D102D" w:rsidRDefault="008D102D" w:rsidP="008D102D">
      <w:pPr>
        <w:pStyle w:val="List"/>
      </w:pPr>
      <w:r>
        <w:t>Marisa Paterson MLA, Deputy Chair</w:t>
      </w:r>
    </w:p>
    <w:p w14:paraId="68F0D3A8" w14:textId="77777777" w:rsidR="008D102D" w:rsidRDefault="008D102D" w:rsidP="008D102D">
      <w:pPr>
        <w:pStyle w:val="List"/>
      </w:pPr>
      <w:r>
        <w:t>Andrew Braddock MLA</w:t>
      </w:r>
    </w:p>
    <w:p w14:paraId="79F4BEA7" w14:textId="77777777" w:rsidR="008D102D" w:rsidRDefault="008D102D" w:rsidP="00FC2277">
      <w:pPr>
        <w:pStyle w:val="Heading20"/>
      </w:pPr>
      <w:bookmarkStart w:id="5" w:name="_Toc148444490"/>
      <w:bookmarkStart w:id="6" w:name="_Toc174548879"/>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766767ED"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5FB44131" w14:textId="77777777" w:rsidR="008D102D" w:rsidRDefault="008D102D" w:rsidP="008D102D">
      <w:pPr>
        <w:pStyle w:val="List"/>
      </w:pPr>
      <w:r>
        <w:t>Daniel Stewart, Legal Adviser (Bills)</w:t>
      </w:r>
    </w:p>
    <w:p w14:paraId="2135DBE8" w14:textId="77777777" w:rsidR="008D102D" w:rsidRDefault="008D102D" w:rsidP="008D102D">
      <w:pPr>
        <w:pStyle w:val="List"/>
      </w:pPr>
      <w:r>
        <w:t>Stephen Argument, Legal Adviser (Subordinate Legislation)</w:t>
      </w:r>
    </w:p>
    <w:p w14:paraId="2A42045C" w14:textId="77777777" w:rsidR="008D102D" w:rsidRDefault="008D102D" w:rsidP="00FC2277">
      <w:pPr>
        <w:pStyle w:val="Heading20"/>
      </w:pPr>
      <w:bookmarkStart w:id="7" w:name="_Toc148444491"/>
      <w:bookmarkStart w:id="8" w:name="_Toc174548880"/>
      <w:r>
        <w:t xml:space="preserve">Contact </w:t>
      </w:r>
      <w:proofErr w:type="gramStart"/>
      <w:r>
        <w:t>us</w:t>
      </w:r>
      <w:bookmarkEnd w:id="7"/>
      <w:bookmarkEnd w:id="8"/>
      <w:proofErr w:type="gramEnd"/>
    </w:p>
    <w:p w14:paraId="41AE1649" w14:textId="10357659" w:rsidR="008D102D" w:rsidRDefault="008D102D" w:rsidP="008D102D">
      <w:pPr>
        <w:ind w:left="1134" w:hanging="1134"/>
      </w:pPr>
      <w:r>
        <w:rPr>
          <w:b/>
          <w:bCs/>
        </w:rPr>
        <w:t>Mail</w:t>
      </w:r>
      <w:r>
        <w:tab/>
      </w:r>
      <w:fldSimple w:instr=" STYLEREF  &quot;Cover - Committee name&quot;  \* MERGEFORMAT ">
        <w:r w:rsidR="00523235">
          <w:rPr>
            <w:noProof/>
          </w:rPr>
          <w:t>Standing Committee on Justice and Community Safety (Legislative Scrutiny Role)</w:t>
        </w:r>
      </w:fldSimple>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FC2277">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174548881"/>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5A43EC86" w14:textId="6E698A3E" w:rsidR="00417021" w:rsidRDefault="00B02BB7">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"1-4" \h \z \u </w:instrText>
          </w:r>
          <w:r>
            <w:fldChar w:fldCharType="separate"/>
          </w:r>
          <w:hyperlink w:anchor="_Toc174548876" w:history="1">
            <w:r w:rsidR="00417021" w:rsidRPr="00F55E7C">
              <w:rPr>
                <w:rStyle w:val="Hyperlink"/>
              </w:rPr>
              <w:t>About the committee</w:t>
            </w:r>
            <w:r w:rsidR="00417021">
              <w:rPr>
                <w:webHidden/>
              </w:rPr>
              <w:tab/>
            </w:r>
            <w:r w:rsidR="00417021">
              <w:rPr>
                <w:webHidden/>
              </w:rPr>
              <w:fldChar w:fldCharType="begin"/>
            </w:r>
            <w:r w:rsidR="00417021">
              <w:rPr>
                <w:webHidden/>
              </w:rPr>
              <w:instrText xml:space="preserve"> PAGEREF _Toc174548876 \h </w:instrText>
            </w:r>
            <w:r w:rsidR="00417021">
              <w:rPr>
                <w:webHidden/>
              </w:rPr>
            </w:r>
            <w:r w:rsidR="00417021">
              <w:rPr>
                <w:webHidden/>
              </w:rPr>
              <w:fldChar w:fldCharType="separate"/>
            </w:r>
            <w:r w:rsidR="00984AD0">
              <w:rPr>
                <w:webHidden/>
              </w:rPr>
              <w:t>i</w:t>
            </w:r>
            <w:r w:rsidR="00417021">
              <w:rPr>
                <w:webHidden/>
              </w:rPr>
              <w:fldChar w:fldCharType="end"/>
            </w:r>
          </w:hyperlink>
        </w:p>
        <w:p w14:paraId="7AD5B66E" w14:textId="3E0AEE00" w:rsidR="00417021" w:rsidRDefault="00936602">
          <w:pPr>
            <w:pStyle w:val="TOC2"/>
            <w:rPr>
              <w:rFonts w:eastAsiaTheme="minorEastAsia"/>
              <w:kern w:val="2"/>
              <w:lang w:eastAsia="en-AU"/>
              <w14:ligatures w14:val="standardContextual"/>
            </w:rPr>
          </w:pPr>
          <w:hyperlink w:anchor="_Toc174548877" w:history="1">
            <w:r w:rsidR="00417021" w:rsidRPr="00F55E7C">
              <w:rPr>
                <w:rStyle w:val="Hyperlink"/>
              </w:rPr>
              <w:t>Establishing resolution</w:t>
            </w:r>
            <w:r w:rsidR="00417021">
              <w:rPr>
                <w:webHidden/>
              </w:rPr>
              <w:tab/>
            </w:r>
            <w:r w:rsidR="00417021">
              <w:rPr>
                <w:webHidden/>
              </w:rPr>
              <w:fldChar w:fldCharType="begin"/>
            </w:r>
            <w:r w:rsidR="00417021">
              <w:rPr>
                <w:webHidden/>
              </w:rPr>
              <w:instrText xml:space="preserve"> PAGEREF _Toc174548877 \h </w:instrText>
            </w:r>
            <w:r w:rsidR="00417021">
              <w:rPr>
                <w:webHidden/>
              </w:rPr>
            </w:r>
            <w:r w:rsidR="00417021">
              <w:rPr>
                <w:webHidden/>
              </w:rPr>
              <w:fldChar w:fldCharType="separate"/>
            </w:r>
            <w:r w:rsidR="00984AD0">
              <w:rPr>
                <w:webHidden/>
              </w:rPr>
              <w:t>i</w:t>
            </w:r>
            <w:r w:rsidR="00417021">
              <w:rPr>
                <w:webHidden/>
              </w:rPr>
              <w:fldChar w:fldCharType="end"/>
            </w:r>
          </w:hyperlink>
        </w:p>
        <w:p w14:paraId="73C48D6C" w14:textId="107E9E5C" w:rsidR="00417021" w:rsidRDefault="00936602">
          <w:pPr>
            <w:pStyle w:val="TOC2"/>
            <w:rPr>
              <w:rFonts w:eastAsiaTheme="minorEastAsia"/>
              <w:kern w:val="2"/>
              <w:lang w:eastAsia="en-AU"/>
              <w14:ligatures w14:val="standardContextual"/>
            </w:rPr>
          </w:pPr>
          <w:hyperlink w:anchor="_Toc174548878" w:history="1">
            <w:r w:rsidR="00417021" w:rsidRPr="00F55E7C">
              <w:rPr>
                <w:rStyle w:val="Hyperlink"/>
              </w:rPr>
              <w:t>Committee members</w:t>
            </w:r>
            <w:r w:rsidR="00417021">
              <w:rPr>
                <w:webHidden/>
              </w:rPr>
              <w:tab/>
            </w:r>
            <w:r w:rsidR="00417021">
              <w:rPr>
                <w:webHidden/>
              </w:rPr>
              <w:fldChar w:fldCharType="begin"/>
            </w:r>
            <w:r w:rsidR="00417021">
              <w:rPr>
                <w:webHidden/>
              </w:rPr>
              <w:instrText xml:space="preserve"> PAGEREF _Toc174548878 \h </w:instrText>
            </w:r>
            <w:r w:rsidR="00417021">
              <w:rPr>
                <w:webHidden/>
              </w:rPr>
            </w:r>
            <w:r w:rsidR="00417021">
              <w:rPr>
                <w:webHidden/>
              </w:rPr>
              <w:fldChar w:fldCharType="separate"/>
            </w:r>
            <w:r w:rsidR="00984AD0">
              <w:rPr>
                <w:webHidden/>
              </w:rPr>
              <w:t>ii</w:t>
            </w:r>
            <w:r w:rsidR="00417021">
              <w:rPr>
                <w:webHidden/>
              </w:rPr>
              <w:fldChar w:fldCharType="end"/>
            </w:r>
          </w:hyperlink>
        </w:p>
        <w:p w14:paraId="567264FD" w14:textId="15E493AA" w:rsidR="00417021" w:rsidRDefault="00936602">
          <w:pPr>
            <w:pStyle w:val="TOC2"/>
            <w:rPr>
              <w:rFonts w:eastAsiaTheme="minorEastAsia"/>
              <w:kern w:val="2"/>
              <w:lang w:eastAsia="en-AU"/>
              <w14:ligatures w14:val="standardContextual"/>
            </w:rPr>
          </w:pPr>
          <w:hyperlink w:anchor="_Toc174548879" w:history="1">
            <w:r w:rsidR="00417021" w:rsidRPr="00F55E7C">
              <w:rPr>
                <w:rStyle w:val="Hyperlink"/>
              </w:rPr>
              <w:t>Secretariat</w:t>
            </w:r>
            <w:r w:rsidR="00417021">
              <w:rPr>
                <w:webHidden/>
              </w:rPr>
              <w:tab/>
            </w:r>
            <w:r w:rsidR="00417021">
              <w:rPr>
                <w:webHidden/>
              </w:rPr>
              <w:fldChar w:fldCharType="begin"/>
            </w:r>
            <w:r w:rsidR="00417021">
              <w:rPr>
                <w:webHidden/>
              </w:rPr>
              <w:instrText xml:space="preserve"> PAGEREF _Toc174548879 \h </w:instrText>
            </w:r>
            <w:r w:rsidR="00417021">
              <w:rPr>
                <w:webHidden/>
              </w:rPr>
            </w:r>
            <w:r w:rsidR="00417021">
              <w:rPr>
                <w:webHidden/>
              </w:rPr>
              <w:fldChar w:fldCharType="separate"/>
            </w:r>
            <w:r w:rsidR="00984AD0">
              <w:rPr>
                <w:webHidden/>
              </w:rPr>
              <w:t>ii</w:t>
            </w:r>
            <w:r w:rsidR="00417021">
              <w:rPr>
                <w:webHidden/>
              </w:rPr>
              <w:fldChar w:fldCharType="end"/>
            </w:r>
          </w:hyperlink>
        </w:p>
        <w:p w14:paraId="7D992861" w14:textId="47291D61" w:rsidR="00417021" w:rsidRDefault="00936602">
          <w:pPr>
            <w:pStyle w:val="TOC2"/>
            <w:rPr>
              <w:rFonts w:eastAsiaTheme="minorEastAsia"/>
              <w:kern w:val="2"/>
              <w:lang w:eastAsia="en-AU"/>
              <w14:ligatures w14:val="standardContextual"/>
            </w:rPr>
          </w:pPr>
          <w:hyperlink w:anchor="_Toc174548880" w:history="1">
            <w:r w:rsidR="00417021" w:rsidRPr="00F55E7C">
              <w:rPr>
                <w:rStyle w:val="Hyperlink"/>
              </w:rPr>
              <w:t>Contact us</w:t>
            </w:r>
            <w:r w:rsidR="00417021">
              <w:rPr>
                <w:webHidden/>
              </w:rPr>
              <w:tab/>
            </w:r>
            <w:r w:rsidR="00417021">
              <w:rPr>
                <w:webHidden/>
              </w:rPr>
              <w:fldChar w:fldCharType="begin"/>
            </w:r>
            <w:r w:rsidR="00417021">
              <w:rPr>
                <w:webHidden/>
              </w:rPr>
              <w:instrText xml:space="preserve"> PAGEREF _Toc174548880 \h </w:instrText>
            </w:r>
            <w:r w:rsidR="00417021">
              <w:rPr>
                <w:webHidden/>
              </w:rPr>
            </w:r>
            <w:r w:rsidR="00417021">
              <w:rPr>
                <w:webHidden/>
              </w:rPr>
              <w:fldChar w:fldCharType="separate"/>
            </w:r>
            <w:r w:rsidR="00984AD0">
              <w:rPr>
                <w:webHidden/>
              </w:rPr>
              <w:t>ii</w:t>
            </w:r>
            <w:r w:rsidR="00417021">
              <w:rPr>
                <w:webHidden/>
              </w:rPr>
              <w:fldChar w:fldCharType="end"/>
            </w:r>
          </w:hyperlink>
        </w:p>
        <w:p w14:paraId="77AF15B5" w14:textId="45FD91F2" w:rsidR="00417021" w:rsidRDefault="00936602">
          <w:pPr>
            <w:pStyle w:val="TOC2"/>
            <w:rPr>
              <w:rFonts w:eastAsiaTheme="minorEastAsia"/>
              <w:kern w:val="2"/>
              <w:lang w:eastAsia="en-AU"/>
              <w14:ligatures w14:val="standardContextual"/>
            </w:rPr>
          </w:pPr>
          <w:hyperlink w:anchor="_Toc174548881" w:history="1">
            <w:r w:rsidR="00417021" w:rsidRPr="00F55E7C">
              <w:rPr>
                <w:rStyle w:val="Hyperlink"/>
              </w:rPr>
              <w:t>Role of Committee</w:t>
            </w:r>
            <w:r w:rsidR="00417021">
              <w:rPr>
                <w:webHidden/>
              </w:rPr>
              <w:tab/>
            </w:r>
            <w:r w:rsidR="00417021">
              <w:rPr>
                <w:webHidden/>
              </w:rPr>
              <w:fldChar w:fldCharType="begin"/>
            </w:r>
            <w:r w:rsidR="00417021">
              <w:rPr>
                <w:webHidden/>
              </w:rPr>
              <w:instrText xml:space="preserve"> PAGEREF _Toc174548881 \h </w:instrText>
            </w:r>
            <w:r w:rsidR="00417021">
              <w:rPr>
                <w:webHidden/>
              </w:rPr>
            </w:r>
            <w:r w:rsidR="00417021">
              <w:rPr>
                <w:webHidden/>
              </w:rPr>
              <w:fldChar w:fldCharType="separate"/>
            </w:r>
            <w:r w:rsidR="00984AD0">
              <w:rPr>
                <w:webHidden/>
              </w:rPr>
              <w:t>ii</w:t>
            </w:r>
            <w:r w:rsidR="00417021">
              <w:rPr>
                <w:webHidden/>
              </w:rPr>
              <w:fldChar w:fldCharType="end"/>
            </w:r>
          </w:hyperlink>
        </w:p>
        <w:p w14:paraId="12E0C65B" w14:textId="52EC2D34" w:rsidR="00417021" w:rsidRDefault="00936602">
          <w:pPr>
            <w:pStyle w:val="TOC1"/>
            <w:rPr>
              <w:rFonts w:asciiTheme="minorHAnsi" w:eastAsiaTheme="minorEastAsia" w:hAnsiTheme="minorHAnsi"/>
              <w:b w:val="0"/>
              <w:bCs w:val="0"/>
              <w:color w:val="auto"/>
              <w:w w:val="100"/>
              <w:kern w:val="2"/>
              <w:sz w:val="22"/>
              <w:lang w:eastAsia="en-AU"/>
              <w14:ligatures w14:val="standardContextual"/>
            </w:rPr>
          </w:pPr>
          <w:hyperlink w:anchor="_Toc174548882" w:history="1">
            <w:r w:rsidR="00417021" w:rsidRPr="00F55E7C">
              <w:rPr>
                <w:rStyle w:val="Hyperlink"/>
              </w:rPr>
              <w:t>1.</w:t>
            </w:r>
            <w:r w:rsidR="00417021">
              <w:rPr>
                <w:rFonts w:asciiTheme="minorHAnsi" w:eastAsiaTheme="minorEastAsia" w:hAnsiTheme="minorHAnsi"/>
                <w:b w:val="0"/>
                <w:bCs w:val="0"/>
                <w:color w:val="auto"/>
                <w:w w:val="100"/>
                <w:kern w:val="2"/>
                <w:sz w:val="22"/>
                <w:lang w:eastAsia="en-AU"/>
                <w14:ligatures w14:val="standardContextual"/>
              </w:rPr>
              <w:tab/>
            </w:r>
            <w:r w:rsidR="00417021" w:rsidRPr="00F55E7C">
              <w:rPr>
                <w:rStyle w:val="Hyperlink"/>
              </w:rPr>
              <w:t>Bills</w:t>
            </w:r>
            <w:r w:rsidR="00417021">
              <w:rPr>
                <w:webHidden/>
              </w:rPr>
              <w:tab/>
            </w:r>
            <w:r w:rsidR="00417021">
              <w:rPr>
                <w:webHidden/>
              </w:rPr>
              <w:fldChar w:fldCharType="begin"/>
            </w:r>
            <w:r w:rsidR="00417021">
              <w:rPr>
                <w:webHidden/>
              </w:rPr>
              <w:instrText xml:space="preserve"> PAGEREF _Toc174548882 \h </w:instrText>
            </w:r>
            <w:r w:rsidR="00417021">
              <w:rPr>
                <w:webHidden/>
              </w:rPr>
            </w:r>
            <w:r w:rsidR="00417021">
              <w:rPr>
                <w:webHidden/>
              </w:rPr>
              <w:fldChar w:fldCharType="separate"/>
            </w:r>
            <w:r w:rsidR="00984AD0">
              <w:rPr>
                <w:webHidden/>
              </w:rPr>
              <w:t>1</w:t>
            </w:r>
            <w:r w:rsidR="00417021">
              <w:rPr>
                <w:webHidden/>
              </w:rPr>
              <w:fldChar w:fldCharType="end"/>
            </w:r>
          </w:hyperlink>
        </w:p>
        <w:p w14:paraId="54263F70" w14:textId="4EC9D6DA" w:rsidR="00417021" w:rsidRDefault="00936602">
          <w:pPr>
            <w:pStyle w:val="TOC2"/>
            <w:rPr>
              <w:rFonts w:eastAsiaTheme="minorEastAsia"/>
              <w:kern w:val="2"/>
              <w:lang w:eastAsia="en-AU"/>
              <w14:ligatures w14:val="standardContextual"/>
            </w:rPr>
          </w:pPr>
          <w:hyperlink w:anchor="_Toc174548883" w:history="1">
            <w:r w:rsidR="00417021" w:rsidRPr="00F55E7C">
              <w:rPr>
                <w:rStyle w:val="Hyperlink"/>
              </w:rPr>
              <w:t>Bills—No comment</w:t>
            </w:r>
            <w:r w:rsidR="00417021">
              <w:rPr>
                <w:webHidden/>
              </w:rPr>
              <w:tab/>
            </w:r>
            <w:r w:rsidR="00417021">
              <w:rPr>
                <w:webHidden/>
              </w:rPr>
              <w:fldChar w:fldCharType="begin"/>
            </w:r>
            <w:r w:rsidR="00417021">
              <w:rPr>
                <w:webHidden/>
              </w:rPr>
              <w:instrText xml:space="preserve"> PAGEREF _Toc174548883 \h </w:instrText>
            </w:r>
            <w:r w:rsidR="00417021">
              <w:rPr>
                <w:webHidden/>
              </w:rPr>
            </w:r>
            <w:r w:rsidR="00417021">
              <w:rPr>
                <w:webHidden/>
              </w:rPr>
              <w:fldChar w:fldCharType="separate"/>
            </w:r>
            <w:r w:rsidR="00984AD0">
              <w:rPr>
                <w:webHidden/>
              </w:rPr>
              <w:t>1</w:t>
            </w:r>
            <w:r w:rsidR="00417021">
              <w:rPr>
                <w:webHidden/>
              </w:rPr>
              <w:fldChar w:fldCharType="end"/>
            </w:r>
          </w:hyperlink>
        </w:p>
        <w:p w14:paraId="5A5C963C" w14:textId="6FE05535" w:rsidR="00417021" w:rsidRDefault="00936602">
          <w:pPr>
            <w:pStyle w:val="TOC3"/>
            <w:rPr>
              <w:rFonts w:eastAsiaTheme="minorEastAsia"/>
              <w:kern w:val="2"/>
              <w:lang w:eastAsia="en-AU"/>
              <w14:ligatures w14:val="standardContextual"/>
            </w:rPr>
          </w:pPr>
          <w:hyperlink w:anchor="_Toc174548884" w:history="1">
            <w:r w:rsidR="00417021" w:rsidRPr="00F55E7C">
              <w:rPr>
                <w:rStyle w:val="Hyperlink"/>
              </w:rPr>
              <w:t>Appropriation Bill 2024-2025</w:t>
            </w:r>
            <w:r w:rsidR="00417021">
              <w:rPr>
                <w:webHidden/>
              </w:rPr>
              <w:tab/>
            </w:r>
            <w:r w:rsidR="00417021">
              <w:rPr>
                <w:webHidden/>
              </w:rPr>
              <w:fldChar w:fldCharType="begin"/>
            </w:r>
            <w:r w:rsidR="00417021">
              <w:rPr>
                <w:webHidden/>
              </w:rPr>
              <w:instrText xml:space="preserve"> PAGEREF _Toc174548884 \h </w:instrText>
            </w:r>
            <w:r w:rsidR="00417021">
              <w:rPr>
                <w:webHidden/>
              </w:rPr>
            </w:r>
            <w:r w:rsidR="00417021">
              <w:rPr>
                <w:webHidden/>
              </w:rPr>
              <w:fldChar w:fldCharType="separate"/>
            </w:r>
            <w:r w:rsidR="00984AD0">
              <w:rPr>
                <w:webHidden/>
              </w:rPr>
              <w:t>1</w:t>
            </w:r>
            <w:r w:rsidR="00417021">
              <w:rPr>
                <w:webHidden/>
              </w:rPr>
              <w:fldChar w:fldCharType="end"/>
            </w:r>
          </w:hyperlink>
        </w:p>
        <w:p w14:paraId="2CFC60E0" w14:textId="48BBF943" w:rsidR="00417021" w:rsidRDefault="00936602">
          <w:pPr>
            <w:pStyle w:val="TOC3"/>
            <w:rPr>
              <w:rFonts w:eastAsiaTheme="minorEastAsia"/>
              <w:kern w:val="2"/>
              <w:lang w:eastAsia="en-AU"/>
              <w14:ligatures w14:val="standardContextual"/>
            </w:rPr>
          </w:pPr>
          <w:hyperlink w:anchor="_Toc174548885" w:history="1">
            <w:r w:rsidR="00417021" w:rsidRPr="00F55E7C">
              <w:rPr>
                <w:rStyle w:val="Hyperlink"/>
              </w:rPr>
              <w:t>Appropriation (Office of the Legislative Assembly) Bill 2024-2025</w:t>
            </w:r>
            <w:r w:rsidR="00417021">
              <w:rPr>
                <w:webHidden/>
              </w:rPr>
              <w:tab/>
            </w:r>
            <w:r w:rsidR="00417021">
              <w:rPr>
                <w:webHidden/>
              </w:rPr>
              <w:fldChar w:fldCharType="begin"/>
            </w:r>
            <w:r w:rsidR="00417021">
              <w:rPr>
                <w:webHidden/>
              </w:rPr>
              <w:instrText xml:space="preserve"> PAGEREF _Toc174548885 \h </w:instrText>
            </w:r>
            <w:r w:rsidR="00417021">
              <w:rPr>
                <w:webHidden/>
              </w:rPr>
            </w:r>
            <w:r w:rsidR="00417021">
              <w:rPr>
                <w:webHidden/>
              </w:rPr>
              <w:fldChar w:fldCharType="separate"/>
            </w:r>
            <w:r w:rsidR="00984AD0">
              <w:rPr>
                <w:webHidden/>
              </w:rPr>
              <w:t>1</w:t>
            </w:r>
            <w:r w:rsidR="00417021">
              <w:rPr>
                <w:webHidden/>
              </w:rPr>
              <w:fldChar w:fldCharType="end"/>
            </w:r>
          </w:hyperlink>
        </w:p>
        <w:p w14:paraId="691D4C7C" w14:textId="5B1FBD39" w:rsidR="00417021" w:rsidRDefault="00936602">
          <w:pPr>
            <w:pStyle w:val="TOC2"/>
            <w:rPr>
              <w:rFonts w:eastAsiaTheme="minorEastAsia"/>
              <w:kern w:val="2"/>
              <w:lang w:eastAsia="en-AU"/>
              <w14:ligatures w14:val="standardContextual"/>
            </w:rPr>
          </w:pPr>
          <w:hyperlink w:anchor="_Toc174548886" w:history="1">
            <w:r w:rsidR="00417021" w:rsidRPr="00F55E7C">
              <w:rPr>
                <w:rStyle w:val="Hyperlink"/>
              </w:rPr>
              <w:t>Bills—Comment</w:t>
            </w:r>
            <w:r w:rsidR="00417021">
              <w:rPr>
                <w:webHidden/>
              </w:rPr>
              <w:tab/>
            </w:r>
            <w:r w:rsidR="00417021">
              <w:rPr>
                <w:webHidden/>
              </w:rPr>
              <w:fldChar w:fldCharType="begin"/>
            </w:r>
            <w:r w:rsidR="00417021">
              <w:rPr>
                <w:webHidden/>
              </w:rPr>
              <w:instrText xml:space="preserve"> PAGEREF _Toc174548886 \h </w:instrText>
            </w:r>
            <w:r w:rsidR="00417021">
              <w:rPr>
                <w:webHidden/>
              </w:rPr>
            </w:r>
            <w:r w:rsidR="00417021">
              <w:rPr>
                <w:webHidden/>
              </w:rPr>
              <w:fldChar w:fldCharType="separate"/>
            </w:r>
            <w:r w:rsidR="00984AD0">
              <w:rPr>
                <w:webHidden/>
              </w:rPr>
              <w:t>1</w:t>
            </w:r>
            <w:r w:rsidR="00417021">
              <w:rPr>
                <w:webHidden/>
              </w:rPr>
              <w:fldChar w:fldCharType="end"/>
            </w:r>
          </w:hyperlink>
        </w:p>
        <w:p w14:paraId="240C2C75" w14:textId="50A1D6BE" w:rsidR="00417021" w:rsidRDefault="00936602">
          <w:pPr>
            <w:pStyle w:val="TOC3"/>
            <w:rPr>
              <w:rFonts w:eastAsiaTheme="minorEastAsia"/>
              <w:kern w:val="2"/>
              <w:lang w:eastAsia="en-AU"/>
              <w14:ligatures w14:val="standardContextual"/>
            </w:rPr>
          </w:pPr>
          <w:hyperlink w:anchor="_Toc174548887" w:history="1">
            <w:r w:rsidR="00417021" w:rsidRPr="00F55E7C">
              <w:rPr>
                <w:rStyle w:val="Hyperlink"/>
              </w:rPr>
              <w:t>Controlled Sports Amendment Bill 2024</w:t>
            </w:r>
            <w:r w:rsidR="00417021">
              <w:rPr>
                <w:webHidden/>
              </w:rPr>
              <w:tab/>
            </w:r>
            <w:r w:rsidR="00417021">
              <w:rPr>
                <w:webHidden/>
              </w:rPr>
              <w:fldChar w:fldCharType="begin"/>
            </w:r>
            <w:r w:rsidR="00417021">
              <w:rPr>
                <w:webHidden/>
              </w:rPr>
              <w:instrText xml:space="preserve"> PAGEREF _Toc174548887 \h </w:instrText>
            </w:r>
            <w:r w:rsidR="00417021">
              <w:rPr>
                <w:webHidden/>
              </w:rPr>
            </w:r>
            <w:r w:rsidR="00417021">
              <w:rPr>
                <w:webHidden/>
              </w:rPr>
              <w:fldChar w:fldCharType="separate"/>
            </w:r>
            <w:r w:rsidR="00984AD0">
              <w:rPr>
                <w:webHidden/>
              </w:rPr>
              <w:t>1</w:t>
            </w:r>
            <w:r w:rsidR="00417021">
              <w:rPr>
                <w:webHidden/>
              </w:rPr>
              <w:fldChar w:fldCharType="end"/>
            </w:r>
          </w:hyperlink>
        </w:p>
        <w:p w14:paraId="559024E0" w14:textId="1F83388C" w:rsidR="00417021" w:rsidRDefault="00936602">
          <w:pPr>
            <w:pStyle w:val="TOC3"/>
            <w:rPr>
              <w:rFonts w:eastAsiaTheme="minorEastAsia"/>
              <w:kern w:val="2"/>
              <w:lang w:eastAsia="en-AU"/>
              <w14:ligatures w14:val="standardContextual"/>
            </w:rPr>
          </w:pPr>
          <w:hyperlink w:anchor="_Toc174548890" w:history="1">
            <w:r w:rsidR="00417021" w:rsidRPr="00F55E7C">
              <w:rPr>
                <w:rStyle w:val="Hyperlink"/>
              </w:rPr>
              <w:t>Crimes (Coercive Control) Amendment Bill 2024</w:t>
            </w:r>
            <w:r w:rsidR="00417021">
              <w:rPr>
                <w:webHidden/>
              </w:rPr>
              <w:tab/>
            </w:r>
            <w:r w:rsidR="00417021">
              <w:rPr>
                <w:webHidden/>
              </w:rPr>
              <w:fldChar w:fldCharType="begin"/>
            </w:r>
            <w:r w:rsidR="00417021">
              <w:rPr>
                <w:webHidden/>
              </w:rPr>
              <w:instrText xml:space="preserve"> PAGEREF _Toc174548890 \h </w:instrText>
            </w:r>
            <w:r w:rsidR="00417021">
              <w:rPr>
                <w:webHidden/>
              </w:rPr>
            </w:r>
            <w:r w:rsidR="00417021">
              <w:rPr>
                <w:webHidden/>
              </w:rPr>
              <w:fldChar w:fldCharType="separate"/>
            </w:r>
            <w:r w:rsidR="00984AD0">
              <w:rPr>
                <w:webHidden/>
              </w:rPr>
              <w:t>2</w:t>
            </w:r>
            <w:r w:rsidR="00417021">
              <w:rPr>
                <w:webHidden/>
              </w:rPr>
              <w:fldChar w:fldCharType="end"/>
            </w:r>
          </w:hyperlink>
        </w:p>
        <w:p w14:paraId="2888CA0C" w14:textId="35226FBE" w:rsidR="00417021" w:rsidRDefault="00936602">
          <w:pPr>
            <w:pStyle w:val="TOC3"/>
            <w:rPr>
              <w:rFonts w:eastAsiaTheme="minorEastAsia"/>
              <w:kern w:val="2"/>
              <w:lang w:eastAsia="en-AU"/>
              <w14:ligatures w14:val="standardContextual"/>
            </w:rPr>
          </w:pPr>
          <w:hyperlink w:anchor="_Toc174548893" w:history="1">
            <w:r w:rsidR="00417021" w:rsidRPr="00F55E7C">
              <w:rPr>
                <w:rStyle w:val="Hyperlink"/>
              </w:rPr>
              <w:t>Integrity Legislation Amendment Bill 2024</w:t>
            </w:r>
            <w:r w:rsidR="00417021">
              <w:rPr>
                <w:webHidden/>
              </w:rPr>
              <w:tab/>
            </w:r>
            <w:r w:rsidR="00417021">
              <w:rPr>
                <w:webHidden/>
              </w:rPr>
              <w:fldChar w:fldCharType="begin"/>
            </w:r>
            <w:r w:rsidR="00417021">
              <w:rPr>
                <w:webHidden/>
              </w:rPr>
              <w:instrText xml:space="preserve"> PAGEREF _Toc174548893 \h </w:instrText>
            </w:r>
            <w:r w:rsidR="00417021">
              <w:rPr>
                <w:webHidden/>
              </w:rPr>
            </w:r>
            <w:r w:rsidR="00417021">
              <w:rPr>
                <w:webHidden/>
              </w:rPr>
              <w:fldChar w:fldCharType="separate"/>
            </w:r>
            <w:r w:rsidR="00984AD0">
              <w:rPr>
                <w:webHidden/>
              </w:rPr>
              <w:t>4</w:t>
            </w:r>
            <w:r w:rsidR="00417021">
              <w:rPr>
                <w:webHidden/>
              </w:rPr>
              <w:fldChar w:fldCharType="end"/>
            </w:r>
          </w:hyperlink>
        </w:p>
        <w:p w14:paraId="2EBF7EC7" w14:textId="5D9F18C4" w:rsidR="00417021" w:rsidRDefault="00936602">
          <w:pPr>
            <w:pStyle w:val="TOC2"/>
            <w:rPr>
              <w:rFonts w:eastAsiaTheme="minorEastAsia"/>
              <w:kern w:val="2"/>
              <w:lang w:eastAsia="en-AU"/>
              <w14:ligatures w14:val="standardContextual"/>
            </w:rPr>
          </w:pPr>
          <w:hyperlink w:anchor="_Toc174548896" w:history="1">
            <w:r w:rsidR="00417021" w:rsidRPr="00F55E7C">
              <w:rPr>
                <w:rStyle w:val="Hyperlink"/>
              </w:rPr>
              <w:t>Proposed Amendments—Comment</w:t>
            </w:r>
            <w:r w:rsidR="00417021">
              <w:rPr>
                <w:webHidden/>
              </w:rPr>
              <w:tab/>
            </w:r>
            <w:r w:rsidR="00417021">
              <w:rPr>
                <w:webHidden/>
              </w:rPr>
              <w:fldChar w:fldCharType="begin"/>
            </w:r>
            <w:r w:rsidR="00417021">
              <w:rPr>
                <w:webHidden/>
              </w:rPr>
              <w:instrText xml:space="preserve"> PAGEREF _Toc174548896 \h </w:instrText>
            </w:r>
            <w:r w:rsidR="00417021">
              <w:rPr>
                <w:webHidden/>
              </w:rPr>
            </w:r>
            <w:r w:rsidR="00417021">
              <w:rPr>
                <w:webHidden/>
              </w:rPr>
              <w:fldChar w:fldCharType="separate"/>
            </w:r>
            <w:r w:rsidR="00984AD0">
              <w:rPr>
                <w:webHidden/>
              </w:rPr>
              <w:t>6</w:t>
            </w:r>
            <w:r w:rsidR="00417021">
              <w:rPr>
                <w:webHidden/>
              </w:rPr>
              <w:fldChar w:fldCharType="end"/>
            </w:r>
          </w:hyperlink>
        </w:p>
        <w:p w14:paraId="036F6D1E" w14:textId="302EDD2B" w:rsidR="00417021" w:rsidRDefault="00936602">
          <w:pPr>
            <w:pStyle w:val="TOC3"/>
            <w:rPr>
              <w:rFonts w:eastAsiaTheme="minorEastAsia"/>
              <w:kern w:val="2"/>
              <w:lang w:eastAsia="en-AU"/>
              <w14:ligatures w14:val="standardContextual"/>
            </w:rPr>
          </w:pPr>
          <w:hyperlink w:anchor="_Toc174548897" w:history="1">
            <w:r w:rsidR="00417021" w:rsidRPr="00F55E7C">
              <w:rPr>
                <w:rStyle w:val="Hyperlink"/>
              </w:rPr>
              <w:t>Gaming Machine (Compulsory Surrender) Amendment Bill 2024</w:t>
            </w:r>
            <w:r w:rsidR="00417021">
              <w:rPr>
                <w:webHidden/>
              </w:rPr>
              <w:tab/>
            </w:r>
            <w:r w:rsidR="00417021">
              <w:rPr>
                <w:webHidden/>
              </w:rPr>
              <w:fldChar w:fldCharType="begin"/>
            </w:r>
            <w:r w:rsidR="00417021">
              <w:rPr>
                <w:webHidden/>
              </w:rPr>
              <w:instrText xml:space="preserve"> PAGEREF _Toc174548897 \h </w:instrText>
            </w:r>
            <w:r w:rsidR="00417021">
              <w:rPr>
                <w:webHidden/>
              </w:rPr>
            </w:r>
            <w:r w:rsidR="00417021">
              <w:rPr>
                <w:webHidden/>
              </w:rPr>
              <w:fldChar w:fldCharType="separate"/>
            </w:r>
            <w:r w:rsidR="00984AD0">
              <w:rPr>
                <w:webHidden/>
              </w:rPr>
              <w:t>6</w:t>
            </w:r>
            <w:r w:rsidR="00417021">
              <w:rPr>
                <w:webHidden/>
              </w:rPr>
              <w:fldChar w:fldCharType="end"/>
            </w:r>
          </w:hyperlink>
        </w:p>
        <w:p w14:paraId="25B213C0" w14:textId="53485851" w:rsidR="00417021" w:rsidRDefault="00936602">
          <w:pPr>
            <w:pStyle w:val="TOC3"/>
            <w:rPr>
              <w:rFonts w:eastAsiaTheme="minorEastAsia"/>
              <w:kern w:val="2"/>
              <w:lang w:eastAsia="en-AU"/>
              <w14:ligatures w14:val="standardContextual"/>
            </w:rPr>
          </w:pPr>
          <w:hyperlink w:anchor="_Toc174548902" w:history="1">
            <w:r w:rsidR="00417021" w:rsidRPr="00F55E7C">
              <w:rPr>
                <w:rStyle w:val="Hyperlink"/>
              </w:rPr>
              <w:t>Property Developers Bill 2024</w:t>
            </w:r>
            <w:r w:rsidR="00417021">
              <w:rPr>
                <w:webHidden/>
              </w:rPr>
              <w:tab/>
            </w:r>
            <w:r w:rsidR="00417021">
              <w:rPr>
                <w:webHidden/>
              </w:rPr>
              <w:fldChar w:fldCharType="begin"/>
            </w:r>
            <w:r w:rsidR="00417021">
              <w:rPr>
                <w:webHidden/>
              </w:rPr>
              <w:instrText xml:space="preserve"> PAGEREF _Toc174548902 \h </w:instrText>
            </w:r>
            <w:r w:rsidR="00417021">
              <w:rPr>
                <w:webHidden/>
              </w:rPr>
            </w:r>
            <w:r w:rsidR="00417021">
              <w:rPr>
                <w:webHidden/>
              </w:rPr>
              <w:fldChar w:fldCharType="separate"/>
            </w:r>
            <w:r w:rsidR="00984AD0">
              <w:rPr>
                <w:webHidden/>
              </w:rPr>
              <w:t>10</w:t>
            </w:r>
            <w:r w:rsidR="00417021">
              <w:rPr>
                <w:webHidden/>
              </w:rPr>
              <w:fldChar w:fldCharType="end"/>
            </w:r>
          </w:hyperlink>
        </w:p>
        <w:p w14:paraId="0AF0175B" w14:textId="0F5BEEED" w:rsidR="00417021" w:rsidRDefault="00936602">
          <w:pPr>
            <w:pStyle w:val="TOC2"/>
            <w:rPr>
              <w:rFonts w:eastAsiaTheme="minorEastAsia"/>
              <w:kern w:val="2"/>
              <w:lang w:eastAsia="en-AU"/>
              <w14:ligatures w14:val="standardContextual"/>
            </w:rPr>
          </w:pPr>
          <w:hyperlink w:anchor="_Toc174548905" w:history="1">
            <w:r w:rsidR="00417021" w:rsidRPr="00F55E7C">
              <w:rPr>
                <w:rStyle w:val="Hyperlink"/>
              </w:rPr>
              <w:t>Proposed Amendments</w:t>
            </w:r>
            <w:r w:rsidR="00417021" w:rsidRPr="00F55E7C">
              <w:rPr>
                <w:rStyle w:val="Hyperlink"/>
                <w:rFonts w:ascii="Times New Roman" w:hAnsi="Times New Roman" w:cs="Times New Roman"/>
              </w:rPr>
              <w:t>—</w:t>
            </w:r>
            <w:r w:rsidR="00417021" w:rsidRPr="00F55E7C">
              <w:rPr>
                <w:rStyle w:val="Hyperlink"/>
              </w:rPr>
              <w:t>No comment</w:t>
            </w:r>
            <w:r w:rsidR="00417021">
              <w:rPr>
                <w:webHidden/>
              </w:rPr>
              <w:tab/>
            </w:r>
            <w:r w:rsidR="00417021">
              <w:rPr>
                <w:webHidden/>
              </w:rPr>
              <w:fldChar w:fldCharType="begin"/>
            </w:r>
            <w:r w:rsidR="00417021">
              <w:rPr>
                <w:webHidden/>
              </w:rPr>
              <w:instrText xml:space="preserve"> PAGEREF _Toc174548905 \h </w:instrText>
            </w:r>
            <w:r w:rsidR="00417021">
              <w:rPr>
                <w:webHidden/>
              </w:rPr>
            </w:r>
            <w:r w:rsidR="00417021">
              <w:rPr>
                <w:webHidden/>
              </w:rPr>
              <w:fldChar w:fldCharType="separate"/>
            </w:r>
            <w:r w:rsidR="00984AD0">
              <w:rPr>
                <w:webHidden/>
              </w:rPr>
              <w:t>11</w:t>
            </w:r>
            <w:r w:rsidR="00417021">
              <w:rPr>
                <w:webHidden/>
              </w:rPr>
              <w:fldChar w:fldCharType="end"/>
            </w:r>
          </w:hyperlink>
        </w:p>
        <w:p w14:paraId="37BCBB6D" w14:textId="5FEF744D" w:rsidR="00417021" w:rsidRDefault="00936602">
          <w:pPr>
            <w:pStyle w:val="TOC3"/>
            <w:rPr>
              <w:rFonts w:eastAsiaTheme="minorEastAsia"/>
              <w:kern w:val="2"/>
              <w:lang w:eastAsia="en-AU"/>
              <w14:ligatures w14:val="standardContextual"/>
            </w:rPr>
          </w:pPr>
          <w:hyperlink w:anchor="_Toc174548906" w:history="1">
            <w:r w:rsidR="00417021" w:rsidRPr="00F55E7C">
              <w:rPr>
                <w:rStyle w:val="Hyperlink"/>
              </w:rPr>
              <w:t>Appropriation Bill 2024-2025</w:t>
            </w:r>
            <w:r w:rsidR="00417021">
              <w:rPr>
                <w:webHidden/>
              </w:rPr>
              <w:tab/>
            </w:r>
            <w:r w:rsidR="00417021">
              <w:rPr>
                <w:webHidden/>
              </w:rPr>
              <w:fldChar w:fldCharType="begin"/>
            </w:r>
            <w:r w:rsidR="00417021">
              <w:rPr>
                <w:webHidden/>
              </w:rPr>
              <w:instrText xml:space="preserve"> PAGEREF _Toc174548906 \h </w:instrText>
            </w:r>
            <w:r w:rsidR="00417021">
              <w:rPr>
                <w:webHidden/>
              </w:rPr>
            </w:r>
            <w:r w:rsidR="00417021">
              <w:rPr>
                <w:webHidden/>
              </w:rPr>
              <w:fldChar w:fldCharType="separate"/>
            </w:r>
            <w:r w:rsidR="00984AD0">
              <w:rPr>
                <w:webHidden/>
              </w:rPr>
              <w:t>11</w:t>
            </w:r>
            <w:r w:rsidR="00417021">
              <w:rPr>
                <w:webHidden/>
              </w:rPr>
              <w:fldChar w:fldCharType="end"/>
            </w:r>
          </w:hyperlink>
        </w:p>
        <w:p w14:paraId="5E6F155E" w14:textId="388A7AC8" w:rsidR="00417021" w:rsidRDefault="00936602">
          <w:pPr>
            <w:pStyle w:val="TOC3"/>
            <w:rPr>
              <w:rFonts w:eastAsiaTheme="minorEastAsia"/>
              <w:kern w:val="2"/>
              <w:lang w:eastAsia="en-AU"/>
              <w14:ligatures w14:val="standardContextual"/>
            </w:rPr>
          </w:pPr>
          <w:hyperlink w:anchor="_Toc174548907" w:history="1">
            <w:r w:rsidR="00417021" w:rsidRPr="00F55E7C">
              <w:rPr>
                <w:rStyle w:val="Hyperlink"/>
              </w:rPr>
              <w:t>Heritage Amendment Bill 2024</w:t>
            </w:r>
            <w:r w:rsidR="00417021">
              <w:rPr>
                <w:webHidden/>
              </w:rPr>
              <w:tab/>
            </w:r>
            <w:r w:rsidR="00417021">
              <w:rPr>
                <w:webHidden/>
              </w:rPr>
              <w:fldChar w:fldCharType="begin"/>
            </w:r>
            <w:r w:rsidR="00417021">
              <w:rPr>
                <w:webHidden/>
              </w:rPr>
              <w:instrText xml:space="preserve"> PAGEREF _Toc174548907 \h </w:instrText>
            </w:r>
            <w:r w:rsidR="00417021">
              <w:rPr>
                <w:webHidden/>
              </w:rPr>
            </w:r>
            <w:r w:rsidR="00417021">
              <w:rPr>
                <w:webHidden/>
              </w:rPr>
              <w:fldChar w:fldCharType="separate"/>
            </w:r>
            <w:r w:rsidR="00984AD0">
              <w:rPr>
                <w:webHidden/>
              </w:rPr>
              <w:t>11</w:t>
            </w:r>
            <w:r w:rsidR="00417021">
              <w:rPr>
                <w:webHidden/>
              </w:rPr>
              <w:fldChar w:fldCharType="end"/>
            </w:r>
          </w:hyperlink>
        </w:p>
        <w:p w14:paraId="6693B001" w14:textId="10C774B4" w:rsidR="00417021" w:rsidRDefault="00936602">
          <w:pPr>
            <w:pStyle w:val="TOC3"/>
            <w:rPr>
              <w:rFonts w:eastAsiaTheme="minorEastAsia"/>
              <w:kern w:val="2"/>
              <w:lang w:eastAsia="en-AU"/>
              <w14:ligatures w14:val="standardContextual"/>
            </w:rPr>
          </w:pPr>
          <w:hyperlink w:anchor="_Toc174548908" w:history="1">
            <w:r w:rsidR="00417021" w:rsidRPr="00F55E7C">
              <w:rPr>
                <w:rStyle w:val="Hyperlink"/>
              </w:rPr>
              <w:t>Disability Inclusion Bill 2024</w:t>
            </w:r>
            <w:r w:rsidR="00417021">
              <w:rPr>
                <w:webHidden/>
              </w:rPr>
              <w:tab/>
            </w:r>
            <w:r w:rsidR="00417021">
              <w:rPr>
                <w:webHidden/>
              </w:rPr>
              <w:fldChar w:fldCharType="begin"/>
            </w:r>
            <w:r w:rsidR="00417021">
              <w:rPr>
                <w:webHidden/>
              </w:rPr>
              <w:instrText xml:space="preserve"> PAGEREF _Toc174548908 \h </w:instrText>
            </w:r>
            <w:r w:rsidR="00417021">
              <w:rPr>
                <w:webHidden/>
              </w:rPr>
            </w:r>
            <w:r w:rsidR="00417021">
              <w:rPr>
                <w:webHidden/>
              </w:rPr>
              <w:fldChar w:fldCharType="separate"/>
            </w:r>
            <w:r w:rsidR="00984AD0">
              <w:rPr>
                <w:webHidden/>
              </w:rPr>
              <w:t>11</w:t>
            </w:r>
            <w:r w:rsidR="00417021">
              <w:rPr>
                <w:webHidden/>
              </w:rPr>
              <w:fldChar w:fldCharType="end"/>
            </w:r>
          </w:hyperlink>
        </w:p>
        <w:p w14:paraId="4AD4160A" w14:textId="77BF5431" w:rsidR="00417021" w:rsidRDefault="00936602">
          <w:pPr>
            <w:pStyle w:val="TOC3"/>
            <w:rPr>
              <w:rFonts w:eastAsiaTheme="minorEastAsia"/>
              <w:kern w:val="2"/>
              <w:lang w:eastAsia="en-AU"/>
              <w14:ligatures w14:val="standardContextual"/>
            </w:rPr>
          </w:pPr>
          <w:hyperlink w:anchor="_Toc174548909" w:history="1">
            <w:r w:rsidR="00417021" w:rsidRPr="00F55E7C">
              <w:rPr>
                <w:rStyle w:val="Hyperlink"/>
                <w:spacing w:val="-6"/>
              </w:rPr>
              <w:t>Sexual, Family and Personal Violence Legislation Amendment Bill 2023</w:t>
            </w:r>
            <w:r w:rsidR="00417021">
              <w:rPr>
                <w:webHidden/>
              </w:rPr>
              <w:tab/>
            </w:r>
            <w:r w:rsidR="00417021">
              <w:rPr>
                <w:webHidden/>
              </w:rPr>
              <w:fldChar w:fldCharType="begin"/>
            </w:r>
            <w:r w:rsidR="00417021">
              <w:rPr>
                <w:webHidden/>
              </w:rPr>
              <w:instrText xml:space="preserve"> PAGEREF _Toc174548909 \h </w:instrText>
            </w:r>
            <w:r w:rsidR="00417021">
              <w:rPr>
                <w:webHidden/>
              </w:rPr>
            </w:r>
            <w:r w:rsidR="00417021">
              <w:rPr>
                <w:webHidden/>
              </w:rPr>
              <w:fldChar w:fldCharType="separate"/>
            </w:r>
            <w:r w:rsidR="00984AD0">
              <w:rPr>
                <w:webHidden/>
              </w:rPr>
              <w:t>11</w:t>
            </w:r>
            <w:r w:rsidR="00417021">
              <w:rPr>
                <w:webHidden/>
              </w:rPr>
              <w:fldChar w:fldCharType="end"/>
            </w:r>
          </w:hyperlink>
        </w:p>
        <w:p w14:paraId="455E6B41" w14:textId="23231802" w:rsidR="00417021" w:rsidRPr="00417021" w:rsidRDefault="00936602">
          <w:pPr>
            <w:pStyle w:val="TOC2"/>
            <w:rPr>
              <w:rStyle w:val="Hyperlink"/>
            </w:rPr>
          </w:pPr>
          <w:hyperlink w:anchor="_Toc174548910" w:history="1">
            <w:r w:rsidR="00417021" w:rsidRPr="00417021">
              <w:rPr>
                <w:rStyle w:val="Hyperlink"/>
              </w:rPr>
              <w:t>Government response—No comment</w:t>
            </w:r>
            <w:r w:rsidR="00417021" w:rsidRPr="00417021">
              <w:rPr>
                <w:rStyle w:val="Hyperlink"/>
                <w:webHidden/>
              </w:rPr>
              <w:tab/>
            </w:r>
            <w:r w:rsidR="00417021" w:rsidRPr="00417021">
              <w:rPr>
                <w:rStyle w:val="Hyperlink"/>
                <w:webHidden/>
              </w:rPr>
              <w:fldChar w:fldCharType="begin"/>
            </w:r>
            <w:r w:rsidR="00417021" w:rsidRPr="00417021">
              <w:rPr>
                <w:rStyle w:val="Hyperlink"/>
                <w:webHidden/>
              </w:rPr>
              <w:instrText xml:space="preserve"> PAGEREF _Toc174548910 \h </w:instrText>
            </w:r>
            <w:r w:rsidR="00417021" w:rsidRPr="00417021">
              <w:rPr>
                <w:rStyle w:val="Hyperlink"/>
                <w:webHidden/>
              </w:rPr>
            </w:r>
            <w:r w:rsidR="00417021" w:rsidRPr="00417021">
              <w:rPr>
                <w:rStyle w:val="Hyperlink"/>
                <w:webHidden/>
              </w:rPr>
              <w:fldChar w:fldCharType="separate"/>
            </w:r>
            <w:r w:rsidR="00984AD0">
              <w:rPr>
                <w:rStyle w:val="Hyperlink"/>
                <w:webHidden/>
              </w:rPr>
              <w:t>11</w:t>
            </w:r>
            <w:r w:rsidR="00417021" w:rsidRPr="00417021">
              <w:rPr>
                <w:rStyle w:val="Hyperlink"/>
                <w:webHidden/>
              </w:rPr>
              <w:fldChar w:fldCharType="end"/>
            </w:r>
          </w:hyperlink>
        </w:p>
        <w:p w14:paraId="52456C7C" w14:textId="221ACF62" w:rsidR="00417021" w:rsidRDefault="00936602">
          <w:pPr>
            <w:pStyle w:val="TOC1"/>
            <w:rPr>
              <w:rFonts w:asciiTheme="minorHAnsi" w:eastAsiaTheme="minorEastAsia" w:hAnsiTheme="minorHAnsi"/>
              <w:b w:val="0"/>
              <w:bCs w:val="0"/>
              <w:color w:val="auto"/>
              <w:w w:val="100"/>
              <w:kern w:val="2"/>
              <w:sz w:val="22"/>
              <w:lang w:eastAsia="en-AU"/>
              <w14:ligatures w14:val="standardContextual"/>
            </w:rPr>
          </w:pPr>
          <w:hyperlink w:anchor="_Toc174548911" w:history="1">
            <w:r w:rsidR="00417021" w:rsidRPr="00F55E7C">
              <w:rPr>
                <w:rStyle w:val="Hyperlink"/>
              </w:rPr>
              <w:t>2.</w:t>
            </w:r>
            <w:r w:rsidR="00417021">
              <w:rPr>
                <w:rFonts w:asciiTheme="minorHAnsi" w:eastAsiaTheme="minorEastAsia" w:hAnsiTheme="minorHAnsi"/>
                <w:b w:val="0"/>
                <w:bCs w:val="0"/>
                <w:color w:val="auto"/>
                <w:w w:val="100"/>
                <w:kern w:val="2"/>
                <w:sz w:val="22"/>
                <w:lang w:eastAsia="en-AU"/>
                <w14:ligatures w14:val="standardContextual"/>
              </w:rPr>
              <w:tab/>
            </w:r>
            <w:r w:rsidR="00417021" w:rsidRPr="00F55E7C">
              <w:rPr>
                <w:rStyle w:val="Hyperlink"/>
              </w:rPr>
              <w:t>Subordinate Legislation</w:t>
            </w:r>
            <w:r w:rsidR="00417021">
              <w:rPr>
                <w:webHidden/>
              </w:rPr>
              <w:tab/>
            </w:r>
            <w:r w:rsidR="00417021">
              <w:rPr>
                <w:webHidden/>
              </w:rPr>
              <w:fldChar w:fldCharType="begin"/>
            </w:r>
            <w:r w:rsidR="00417021">
              <w:rPr>
                <w:webHidden/>
              </w:rPr>
              <w:instrText xml:space="preserve"> PAGEREF _Toc174548911 \h </w:instrText>
            </w:r>
            <w:r w:rsidR="00417021">
              <w:rPr>
                <w:webHidden/>
              </w:rPr>
            </w:r>
            <w:r w:rsidR="00417021">
              <w:rPr>
                <w:webHidden/>
              </w:rPr>
              <w:fldChar w:fldCharType="separate"/>
            </w:r>
            <w:r w:rsidR="00984AD0">
              <w:rPr>
                <w:webHidden/>
              </w:rPr>
              <w:t>12</w:t>
            </w:r>
            <w:r w:rsidR="00417021">
              <w:rPr>
                <w:webHidden/>
              </w:rPr>
              <w:fldChar w:fldCharType="end"/>
            </w:r>
          </w:hyperlink>
        </w:p>
        <w:p w14:paraId="4C5FC303" w14:textId="447E3F43" w:rsidR="00417021" w:rsidRDefault="00936602">
          <w:pPr>
            <w:pStyle w:val="TOC2"/>
            <w:rPr>
              <w:rFonts w:eastAsiaTheme="minorEastAsia"/>
              <w:kern w:val="2"/>
              <w:lang w:eastAsia="en-AU"/>
              <w14:ligatures w14:val="standardContextual"/>
            </w:rPr>
          </w:pPr>
          <w:hyperlink w:anchor="_Toc174548912" w:history="1">
            <w:r w:rsidR="00417021" w:rsidRPr="00F55E7C">
              <w:rPr>
                <w:rStyle w:val="Hyperlink"/>
              </w:rPr>
              <w:t>Disallowable Instruments—No comment</w:t>
            </w:r>
            <w:r w:rsidR="00417021">
              <w:rPr>
                <w:webHidden/>
              </w:rPr>
              <w:tab/>
            </w:r>
            <w:r w:rsidR="00417021">
              <w:rPr>
                <w:webHidden/>
              </w:rPr>
              <w:fldChar w:fldCharType="begin"/>
            </w:r>
            <w:r w:rsidR="00417021">
              <w:rPr>
                <w:webHidden/>
              </w:rPr>
              <w:instrText xml:space="preserve"> PAGEREF _Toc174548912 \h </w:instrText>
            </w:r>
            <w:r w:rsidR="00417021">
              <w:rPr>
                <w:webHidden/>
              </w:rPr>
            </w:r>
            <w:r w:rsidR="00417021">
              <w:rPr>
                <w:webHidden/>
              </w:rPr>
              <w:fldChar w:fldCharType="separate"/>
            </w:r>
            <w:r w:rsidR="00984AD0">
              <w:rPr>
                <w:webHidden/>
              </w:rPr>
              <w:t>12</w:t>
            </w:r>
            <w:r w:rsidR="00417021">
              <w:rPr>
                <w:webHidden/>
              </w:rPr>
              <w:fldChar w:fldCharType="end"/>
            </w:r>
          </w:hyperlink>
        </w:p>
        <w:p w14:paraId="10C92E7F" w14:textId="463D828F" w:rsidR="00417021" w:rsidRDefault="00936602">
          <w:pPr>
            <w:pStyle w:val="TOC2"/>
            <w:rPr>
              <w:rFonts w:eastAsiaTheme="minorEastAsia"/>
              <w:kern w:val="2"/>
              <w:lang w:eastAsia="en-AU"/>
              <w14:ligatures w14:val="standardContextual"/>
            </w:rPr>
          </w:pPr>
          <w:hyperlink w:anchor="_Toc174548913" w:history="1">
            <w:r w:rsidR="00417021" w:rsidRPr="00F55E7C">
              <w:rPr>
                <w:rStyle w:val="Hyperlink"/>
              </w:rPr>
              <w:t>Disallowable Instruments—Comment</w:t>
            </w:r>
            <w:r w:rsidR="00417021">
              <w:rPr>
                <w:webHidden/>
              </w:rPr>
              <w:tab/>
            </w:r>
            <w:r w:rsidR="00417021">
              <w:rPr>
                <w:webHidden/>
              </w:rPr>
              <w:fldChar w:fldCharType="begin"/>
            </w:r>
            <w:r w:rsidR="00417021">
              <w:rPr>
                <w:webHidden/>
              </w:rPr>
              <w:instrText xml:space="preserve"> PAGEREF _Toc174548913 \h </w:instrText>
            </w:r>
            <w:r w:rsidR="00417021">
              <w:rPr>
                <w:webHidden/>
              </w:rPr>
            </w:r>
            <w:r w:rsidR="00417021">
              <w:rPr>
                <w:webHidden/>
              </w:rPr>
              <w:fldChar w:fldCharType="separate"/>
            </w:r>
            <w:r w:rsidR="00984AD0">
              <w:rPr>
                <w:webHidden/>
              </w:rPr>
              <w:t>13</w:t>
            </w:r>
            <w:r w:rsidR="00417021">
              <w:rPr>
                <w:webHidden/>
              </w:rPr>
              <w:fldChar w:fldCharType="end"/>
            </w:r>
          </w:hyperlink>
        </w:p>
        <w:p w14:paraId="3928D016" w14:textId="278A34F4" w:rsidR="00417021" w:rsidRDefault="00936602">
          <w:pPr>
            <w:pStyle w:val="TOC2"/>
            <w:rPr>
              <w:rFonts w:eastAsiaTheme="minorEastAsia"/>
              <w:kern w:val="2"/>
              <w:lang w:eastAsia="en-AU"/>
              <w14:ligatures w14:val="standardContextual"/>
            </w:rPr>
          </w:pPr>
          <w:hyperlink w:anchor="_Toc174548920" w:history="1">
            <w:r w:rsidR="00417021" w:rsidRPr="00F55E7C">
              <w:rPr>
                <w:rStyle w:val="Hyperlink"/>
              </w:rPr>
              <w:t>Government response—No comment</w:t>
            </w:r>
            <w:r w:rsidR="00417021">
              <w:rPr>
                <w:webHidden/>
              </w:rPr>
              <w:tab/>
            </w:r>
            <w:r w:rsidR="00417021">
              <w:rPr>
                <w:webHidden/>
              </w:rPr>
              <w:fldChar w:fldCharType="begin"/>
            </w:r>
            <w:r w:rsidR="00417021">
              <w:rPr>
                <w:webHidden/>
              </w:rPr>
              <w:instrText xml:space="preserve"> PAGEREF _Toc174548920 \h </w:instrText>
            </w:r>
            <w:r w:rsidR="00417021">
              <w:rPr>
                <w:webHidden/>
              </w:rPr>
            </w:r>
            <w:r w:rsidR="00417021">
              <w:rPr>
                <w:webHidden/>
              </w:rPr>
              <w:fldChar w:fldCharType="separate"/>
            </w:r>
            <w:r w:rsidR="00984AD0">
              <w:rPr>
                <w:webHidden/>
              </w:rPr>
              <w:t>22</w:t>
            </w:r>
            <w:r w:rsidR="00417021">
              <w:rPr>
                <w:webHidden/>
              </w:rPr>
              <w:fldChar w:fldCharType="end"/>
            </w:r>
          </w:hyperlink>
        </w:p>
        <w:p w14:paraId="6DC3BE98" w14:textId="416582D3" w:rsidR="00417021" w:rsidRDefault="00936602">
          <w:pPr>
            <w:pStyle w:val="TOC1"/>
            <w:rPr>
              <w:rFonts w:asciiTheme="minorHAnsi" w:eastAsiaTheme="minorEastAsia" w:hAnsiTheme="minorHAnsi"/>
              <w:b w:val="0"/>
              <w:bCs w:val="0"/>
              <w:color w:val="auto"/>
              <w:w w:val="100"/>
              <w:kern w:val="2"/>
              <w:sz w:val="22"/>
              <w:lang w:eastAsia="en-AU"/>
              <w14:ligatures w14:val="standardContextual"/>
            </w:rPr>
          </w:pPr>
          <w:hyperlink w:anchor="_Toc174548921" w:history="1">
            <w:r w:rsidR="00417021" w:rsidRPr="00F55E7C">
              <w:rPr>
                <w:rStyle w:val="Hyperlink"/>
                <w:rFonts w:eastAsiaTheme="majorEastAsia" w:cstheme="majorBidi"/>
              </w:rPr>
              <w:t>Outstanding responses</w:t>
            </w:r>
            <w:r w:rsidR="00417021">
              <w:rPr>
                <w:webHidden/>
              </w:rPr>
              <w:tab/>
            </w:r>
            <w:r w:rsidR="00417021">
              <w:rPr>
                <w:webHidden/>
              </w:rPr>
              <w:fldChar w:fldCharType="begin"/>
            </w:r>
            <w:r w:rsidR="00417021">
              <w:rPr>
                <w:webHidden/>
              </w:rPr>
              <w:instrText xml:space="preserve"> PAGEREF _Toc174548921 \h </w:instrText>
            </w:r>
            <w:r w:rsidR="00417021">
              <w:rPr>
                <w:webHidden/>
              </w:rPr>
            </w:r>
            <w:r w:rsidR="00417021">
              <w:rPr>
                <w:webHidden/>
              </w:rPr>
              <w:fldChar w:fldCharType="separate"/>
            </w:r>
            <w:r w:rsidR="00984AD0">
              <w:rPr>
                <w:webHidden/>
              </w:rPr>
              <w:t>23</w:t>
            </w:r>
            <w:r w:rsidR="00417021">
              <w:rPr>
                <w:webHidden/>
              </w:rPr>
              <w:fldChar w:fldCharType="end"/>
            </w:r>
          </w:hyperlink>
        </w:p>
        <w:p w14:paraId="0973CEEC" w14:textId="23E0162F" w:rsidR="00417021" w:rsidRDefault="00936602">
          <w:pPr>
            <w:pStyle w:val="TOC2"/>
            <w:rPr>
              <w:rFonts w:eastAsiaTheme="minorEastAsia"/>
              <w:kern w:val="2"/>
              <w:lang w:eastAsia="en-AU"/>
              <w14:ligatures w14:val="standardContextual"/>
            </w:rPr>
          </w:pPr>
          <w:hyperlink w:anchor="_Toc174548922" w:history="1">
            <w:r w:rsidR="00417021" w:rsidRPr="00F55E7C">
              <w:rPr>
                <w:rStyle w:val="Hyperlink"/>
              </w:rPr>
              <w:t>Bills/Subordinate Legislation</w:t>
            </w:r>
            <w:r w:rsidR="00417021">
              <w:rPr>
                <w:webHidden/>
              </w:rPr>
              <w:tab/>
            </w:r>
            <w:r w:rsidR="00417021">
              <w:rPr>
                <w:webHidden/>
              </w:rPr>
              <w:fldChar w:fldCharType="begin"/>
            </w:r>
            <w:r w:rsidR="00417021">
              <w:rPr>
                <w:webHidden/>
              </w:rPr>
              <w:instrText xml:space="preserve"> PAGEREF _Toc174548922 \h </w:instrText>
            </w:r>
            <w:r w:rsidR="00417021">
              <w:rPr>
                <w:webHidden/>
              </w:rPr>
            </w:r>
            <w:r w:rsidR="00417021">
              <w:rPr>
                <w:webHidden/>
              </w:rPr>
              <w:fldChar w:fldCharType="separate"/>
            </w:r>
            <w:r w:rsidR="00984AD0">
              <w:rPr>
                <w:webHidden/>
              </w:rPr>
              <w:t>23</w:t>
            </w:r>
            <w:r w:rsidR="00417021">
              <w:rPr>
                <w:webHidden/>
              </w:rPr>
              <w:fldChar w:fldCharType="end"/>
            </w:r>
          </w:hyperlink>
        </w:p>
        <w:p w14:paraId="3AD5F765" w14:textId="123B88A9" w:rsidR="00417021" w:rsidRDefault="00936602">
          <w:pPr>
            <w:pStyle w:val="TOC3"/>
            <w:rPr>
              <w:rFonts w:eastAsiaTheme="minorEastAsia"/>
              <w:kern w:val="2"/>
              <w:lang w:eastAsia="en-AU"/>
              <w14:ligatures w14:val="standardContextual"/>
            </w:rPr>
          </w:pPr>
          <w:hyperlink w:anchor="_Toc174548923" w:history="1">
            <w:r w:rsidR="00417021" w:rsidRPr="00F55E7C">
              <w:rPr>
                <w:rStyle w:val="Hyperlink"/>
              </w:rPr>
              <w:t>Report 28, dated 3 May 2023</w:t>
            </w:r>
            <w:r w:rsidR="00417021">
              <w:rPr>
                <w:webHidden/>
              </w:rPr>
              <w:tab/>
            </w:r>
            <w:r w:rsidR="00417021">
              <w:rPr>
                <w:webHidden/>
              </w:rPr>
              <w:fldChar w:fldCharType="begin"/>
            </w:r>
            <w:r w:rsidR="00417021">
              <w:rPr>
                <w:webHidden/>
              </w:rPr>
              <w:instrText xml:space="preserve"> PAGEREF _Toc174548923 \h </w:instrText>
            </w:r>
            <w:r w:rsidR="00417021">
              <w:rPr>
                <w:webHidden/>
              </w:rPr>
            </w:r>
            <w:r w:rsidR="00417021">
              <w:rPr>
                <w:webHidden/>
              </w:rPr>
              <w:fldChar w:fldCharType="separate"/>
            </w:r>
            <w:r w:rsidR="00984AD0">
              <w:rPr>
                <w:webHidden/>
              </w:rPr>
              <w:t>23</w:t>
            </w:r>
            <w:r w:rsidR="00417021">
              <w:rPr>
                <w:webHidden/>
              </w:rPr>
              <w:fldChar w:fldCharType="end"/>
            </w:r>
          </w:hyperlink>
        </w:p>
        <w:p w14:paraId="0E2D4CA9" w14:textId="0F167584" w:rsidR="00417021" w:rsidRDefault="00936602">
          <w:pPr>
            <w:pStyle w:val="TOC3"/>
            <w:rPr>
              <w:rFonts w:eastAsiaTheme="minorEastAsia"/>
              <w:kern w:val="2"/>
              <w:lang w:eastAsia="en-AU"/>
              <w14:ligatures w14:val="standardContextual"/>
            </w:rPr>
          </w:pPr>
          <w:hyperlink w:anchor="_Toc174548925" w:history="1">
            <w:r w:rsidR="00417021" w:rsidRPr="00F55E7C">
              <w:rPr>
                <w:rStyle w:val="Hyperlink"/>
              </w:rPr>
              <w:t>Report 39, dated 12 March 2024</w:t>
            </w:r>
            <w:r w:rsidR="00417021">
              <w:rPr>
                <w:webHidden/>
              </w:rPr>
              <w:tab/>
            </w:r>
            <w:r w:rsidR="00417021">
              <w:rPr>
                <w:webHidden/>
              </w:rPr>
              <w:fldChar w:fldCharType="begin"/>
            </w:r>
            <w:r w:rsidR="00417021">
              <w:rPr>
                <w:webHidden/>
              </w:rPr>
              <w:instrText xml:space="preserve"> PAGEREF _Toc174548925 \h </w:instrText>
            </w:r>
            <w:r w:rsidR="00417021">
              <w:rPr>
                <w:webHidden/>
              </w:rPr>
            </w:r>
            <w:r w:rsidR="00417021">
              <w:rPr>
                <w:webHidden/>
              </w:rPr>
              <w:fldChar w:fldCharType="separate"/>
            </w:r>
            <w:r w:rsidR="00984AD0">
              <w:rPr>
                <w:webHidden/>
              </w:rPr>
              <w:t>23</w:t>
            </w:r>
            <w:r w:rsidR="00417021">
              <w:rPr>
                <w:webHidden/>
              </w:rPr>
              <w:fldChar w:fldCharType="end"/>
            </w:r>
          </w:hyperlink>
        </w:p>
        <w:p w14:paraId="6272837C" w14:textId="47A52BA2" w:rsidR="00417021" w:rsidRDefault="00936602">
          <w:pPr>
            <w:pStyle w:val="TOC3"/>
            <w:rPr>
              <w:rFonts w:eastAsiaTheme="minorEastAsia"/>
              <w:kern w:val="2"/>
              <w:lang w:eastAsia="en-AU"/>
              <w14:ligatures w14:val="standardContextual"/>
            </w:rPr>
          </w:pPr>
          <w:hyperlink w:anchor="_Toc174548927" w:history="1">
            <w:r w:rsidR="00417021" w:rsidRPr="00F55E7C">
              <w:rPr>
                <w:rStyle w:val="Hyperlink"/>
              </w:rPr>
              <w:t>Report 43, dated 19 June 2024</w:t>
            </w:r>
            <w:r w:rsidR="00417021">
              <w:rPr>
                <w:webHidden/>
              </w:rPr>
              <w:tab/>
            </w:r>
            <w:r w:rsidR="00417021">
              <w:rPr>
                <w:webHidden/>
              </w:rPr>
              <w:fldChar w:fldCharType="begin"/>
            </w:r>
            <w:r w:rsidR="00417021">
              <w:rPr>
                <w:webHidden/>
              </w:rPr>
              <w:instrText xml:space="preserve"> PAGEREF _Toc174548927 \h </w:instrText>
            </w:r>
            <w:r w:rsidR="00417021">
              <w:rPr>
                <w:webHidden/>
              </w:rPr>
            </w:r>
            <w:r w:rsidR="00417021">
              <w:rPr>
                <w:webHidden/>
              </w:rPr>
              <w:fldChar w:fldCharType="separate"/>
            </w:r>
            <w:r w:rsidR="00984AD0">
              <w:rPr>
                <w:webHidden/>
              </w:rPr>
              <w:t>23</w:t>
            </w:r>
            <w:r w:rsidR="00417021">
              <w:rPr>
                <w:webHidden/>
              </w:rPr>
              <w:fldChar w:fldCharType="end"/>
            </w:r>
          </w:hyperlink>
        </w:p>
        <w:p w14:paraId="3D31C645" w14:textId="37257DC1"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Toc79133347" w:displacedByCustomXml="prev"/>
    <w:bookmarkStart w:id="98" w:name="_Hlk79475490" w:displacedByCustomXml="prev"/>
    <w:p w14:paraId="344C4F63" w14:textId="5C49D60C" w:rsidR="00B7541C" w:rsidRPr="00B7541C" w:rsidRDefault="00B7541C" w:rsidP="00B7541C">
      <w:pPr>
        <w:sectPr w:rsidR="00B7541C" w:rsidRPr="00B7541C" w:rsidSect="003C3E0B">
          <w:footerReference w:type="default" r:id="rId15"/>
          <w:pgSz w:w="11906" w:h="16838"/>
          <w:pgMar w:top="1288" w:right="1440" w:bottom="1440" w:left="1440" w:header="708" w:footer="708" w:gutter="0"/>
          <w:pgNumType w:fmt="lowerRoman" w:start="1"/>
          <w:cols w:space="708"/>
          <w:docGrid w:linePitch="360"/>
        </w:sectPr>
      </w:pPr>
    </w:p>
    <w:p w14:paraId="53852A67" w14:textId="7ACE7FB4" w:rsidR="0036775A" w:rsidRDefault="00BF3890" w:rsidP="00FC2277">
      <w:pPr>
        <w:pStyle w:val="Heading1"/>
        <w:numPr>
          <w:ilvl w:val="0"/>
          <w:numId w:val="26"/>
        </w:numPr>
        <w:ind w:left="851" w:hanging="851"/>
      </w:pPr>
      <w:bookmarkStart w:id="99" w:name="_Toc174548882"/>
      <w:bookmarkEnd w:id="97"/>
      <w:r>
        <w:t>Bills</w:t>
      </w:r>
      <w:bookmarkEnd w:id="99"/>
    </w:p>
    <w:p w14:paraId="29F26F99" w14:textId="37AC6B40" w:rsidR="0088239E" w:rsidRDefault="0088239E" w:rsidP="0088239E">
      <w:pPr>
        <w:pStyle w:val="Heading20"/>
      </w:pPr>
      <w:bookmarkStart w:id="100" w:name="_Toc108788085"/>
      <w:bookmarkStart w:id="101" w:name="_Toc174548883"/>
      <w:bookmarkStart w:id="102" w:name="_Hlk79571513"/>
      <w:bookmarkStart w:id="103" w:name="_Toc157516915"/>
      <w:r>
        <w:t>Bills—</w:t>
      </w:r>
      <w:bookmarkEnd w:id="100"/>
      <w:r>
        <w:t xml:space="preserve">No </w:t>
      </w:r>
      <w:r w:rsidR="00013602">
        <w:t>c</w:t>
      </w:r>
      <w:r>
        <w:t>omment</w:t>
      </w:r>
      <w:bookmarkEnd w:id="101"/>
    </w:p>
    <w:p w14:paraId="54B01074" w14:textId="77777777" w:rsidR="0088239E" w:rsidRDefault="0088239E" w:rsidP="0088239E">
      <w:pPr>
        <w:pStyle w:val="Heading3"/>
      </w:pPr>
      <w:bookmarkStart w:id="104" w:name="_Toc108788086"/>
      <w:bookmarkStart w:id="105" w:name="_Toc174548884"/>
      <w:r>
        <w:t>Appropriation Bill 2024-2025</w:t>
      </w:r>
      <w:bookmarkEnd w:id="104"/>
      <w:bookmarkEnd w:id="105"/>
    </w:p>
    <w:p w14:paraId="0174241C" w14:textId="77777777" w:rsidR="0088239E" w:rsidRDefault="0088239E" w:rsidP="0048298C">
      <w:pPr>
        <w:pStyle w:val="ListNumber2"/>
        <w:numPr>
          <w:ilvl w:val="1"/>
          <w:numId w:val="26"/>
        </w:numPr>
        <w:ind w:hanging="720"/>
      </w:pPr>
      <w:r>
        <w:t>This Bill will appropriate money for the purposes of the Territory for the financial year beginning on 1 July 2024.</w:t>
      </w:r>
    </w:p>
    <w:p w14:paraId="5F9A0436" w14:textId="77777777" w:rsidR="0088239E" w:rsidRDefault="0088239E" w:rsidP="0088239E">
      <w:pPr>
        <w:pStyle w:val="Heading3"/>
      </w:pPr>
      <w:bookmarkStart w:id="106" w:name="_Toc174548885"/>
      <w:r>
        <w:t>Appropriation (Office of the Legislative Assembly) Bill 2024-2025</w:t>
      </w:r>
      <w:bookmarkEnd w:id="106"/>
    </w:p>
    <w:p w14:paraId="32A074BE" w14:textId="08F3AB2B" w:rsidR="0088239E" w:rsidRDefault="0088239E" w:rsidP="0048298C">
      <w:pPr>
        <w:pStyle w:val="ListNumber2"/>
        <w:numPr>
          <w:ilvl w:val="1"/>
          <w:numId w:val="26"/>
        </w:numPr>
        <w:ind w:hanging="720"/>
      </w:pPr>
      <w:r>
        <w:t xml:space="preserve">This Bill will appropriate money for expenditure in relation to the Office of the Legislative Assembly and the </w:t>
      </w:r>
      <w:r w:rsidR="00FB732D">
        <w:t>A</w:t>
      </w:r>
      <w:r>
        <w:t>uditor-</w:t>
      </w:r>
      <w:r w:rsidR="00FB732D">
        <w:t>G</w:t>
      </w:r>
      <w:r>
        <w:t xml:space="preserve">eneral, </w:t>
      </w:r>
      <w:r w:rsidR="00FB732D">
        <w:t>E</w:t>
      </w:r>
      <w:r>
        <w:t xml:space="preserve">lectoral </w:t>
      </w:r>
      <w:r w:rsidR="00FB732D">
        <w:t>C</w:t>
      </w:r>
      <w:r>
        <w:t xml:space="preserve">ommissioner and </w:t>
      </w:r>
      <w:r w:rsidR="00FB732D">
        <w:t>I</w:t>
      </w:r>
      <w:r>
        <w:t xml:space="preserve">ntegrity </w:t>
      </w:r>
      <w:r w:rsidR="00FB732D">
        <w:t>C</w:t>
      </w:r>
      <w:r>
        <w:t>ommissioner for the financial year beginning on 1 July 2024.</w:t>
      </w:r>
    </w:p>
    <w:p w14:paraId="50AB7C42" w14:textId="77777777" w:rsidR="0088239E" w:rsidRDefault="0088239E" w:rsidP="0088239E">
      <w:pPr>
        <w:pStyle w:val="Heading20"/>
      </w:pPr>
      <w:bookmarkStart w:id="107" w:name="_Toc174548886"/>
      <w:r>
        <w:t>Bills—Comment</w:t>
      </w:r>
      <w:bookmarkEnd w:id="107"/>
    </w:p>
    <w:p w14:paraId="5DCAC4A5" w14:textId="77777777" w:rsidR="0088239E" w:rsidRDefault="0088239E" w:rsidP="0088239E">
      <w:pPr>
        <w:pStyle w:val="Heading3"/>
      </w:pPr>
      <w:bookmarkStart w:id="108" w:name="_Toc174548887"/>
      <w:r>
        <w:t>Controlled Sports Amendment Bill 2024</w:t>
      </w:r>
      <w:bookmarkEnd w:id="108"/>
    </w:p>
    <w:p w14:paraId="46E6D185" w14:textId="77777777" w:rsidR="0088239E" w:rsidRDefault="0088239E" w:rsidP="0048298C">
      <w:pPr>
        <w:pStyle w:val="ListNumber2"/>
        <w:numPr>
          <w:ilvl w:val="1"/>
          <w:numId w:val="26"/>
        </w:numPr>
        <w:ind w:hanging="720"/>
      </w:pPr>
      <w:r>
        <w:t xml:space="preserve">This Bill amends the </w:t>
      </w:r>
      <w:r>
        <w:rPr>
          <w:i/>
          <w:iCs/>
        </w:rPr>
        <w:t>Controlled Sports Act 2019</w:t>
      </w:r>
      <w:r>
        <w:t xml:space="preserve"> to provide for the controlled sports registrar to be appointed by the director-general, and to enable a controlled sports official or participant to apply to add a capacity or controlled sport to their registration. </w:t>
      </w:r>
    </w:p>
    <w:p w14:paraId="2000C485" w14:textId="525C6C7B" w:rsidR="0088239E" w:rsidRDefault="0088239E" w:rsidP="0088239E">
      <w:pPr>
        <w:pStyle w:val="Heading4"/>
        <w:rPr>
          <w:rFonts w:eastAsia="Calibri"/>
          <w:lang w:eastAsia="en-AU"/>
        </w:rPr>
      </w:pPr>
      <w:bookmarkStart w:id="109" w:name="_Toc174548888"/>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lang w:val="en-US"/>
        </w:rPr>
        <w:t>Committee Resolution of Appointment paragraph (10)(a)(</w:t>
      </w:r>
      <w:proofErr w:type="spellStart"/>
      <w:r>
        <w:rPr>
          <w:lang w:val="en-US"/>
        </w:rPr>
        <w:t>i</w:t>
      </w:r>
      <w:proofErr w:type="spellEnd"/>
      <w:r>
        <w:rPr>
          <w:lang w:val="en-US"/>
        </w:rPr>
        <w:t>)</w:t>
      </w:r>
      <w:bookmarkEnd w:id="109"/>
      <w:r>
        <w:rPr>
          <w:lang w:val="en-US"/>
        </w:rPr>
        <w:t xml:space="preserve">  </w:t>
      </w:r>
    </w:p>
    <w:p w14:paraId="587FD6B1" w14:textId="77777777" w:rsidR="0088239E" w:rsidRDefault="0088239E" w:rsidP="0088239E">
      <w:pPr>
        <w:pStyle w:val="Heading4"/>
        <w:rPr>
          <w:rFonts w:eastAsia="Calibri"/>
          <w:i/>
          <w:lang w:eastAsia="en-AU"/>
        </w:rPr>
      </w:pPr>
      <w:bookmarkStart w:id="110" w:name="_Toc174548889"/>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10"/>
    </w:p>
    <w:p w14:paraId="3B5C1CDE" w14:textId="77777777" w:rsidR="0088239E" w:rsidRDefault="0088239E" w:rsidP="0088239E">
      <w:pPr>
        <w:pStyle w:val="Heading5"/>
      </w:pPr>
      <w:r>
        <w:t xml:space="preserve">Right to privacy and reputation (section 12 HRA) </w:t>
      </w:r>
    </w:p>
    <w:p w14:paraId="57CC3EF3" w14:textId="77777777" w:rsidR="0088239E" w:rsidRDefault="0088239E" w:rsidP="0048298C">
      <w:pPr>
        <w:pStyle w:val="ListNumber2"/>
        <w:numPr>
          <w:ilvl w:val="1"/>
          <w:numId w:val="26"/>
        </w:numPr>
        <w:ind w:hanging="720"/>
      </w:pPr>
      <w:r>
        <w:t xml:space="preserve">The Bill will enable a controlled sports official to apply to have their registration amended to add a capacity or additional controlled sport. The registrar may, in writing, require the official to provide additional information or documents that the registrar reasonably needs to decide the application. This may include whether the individual has suitable qualifications and whether it is in the public interest to amend the registration. </w:t>
      </w:r>
    </w:p>
    <w:p w14:paraId="5197C2FF" w14:textId="350885BB" w:rsidR="0088239E" w:rsidRDefault="0088239E" w:rsidP="0048298C">
      <w:pPr>
        <w:pStyle w:val="ListNumber2"/>
        <w:numPr>
          <w:ilvl w:val="1"/>
          <w:numId w:val="26"/>
        </w:numPr>
        <w:ind w:hanging="720"/>
      </w:pPr>
      <w:r>
        <w:t>The Bill will also enable a controlled sports contestant to amend their registration to add a</w:t>
      </w:r>
      <w:r w:rsidR="00013602">
        <w:t> </w:t>
      </w:r>
      <w:r>
        <w:t xml:space="preserve">controlled sport. The registrar may, in writing, require the contestant to provide additional information or documents that the registrar reasonably needs to decide the application. This may include information on whether the contestant has suitable training and experience, the applicant’s physical or mental health, and whether it is in the public interest to amend the registration. </w:t>
      </w:r>
    </w:p>
    <w:p w14:paraId="46209EDB" w14:textId="77777777" w:rsidR="0088239E" w:rsidRDefault="0088239E" w:rsidP="0048298C">
      <w:pPr>
        <w:pStyle w:val="ListNumber2"/>
        <w:numPr>
          <w:ilvl w:val="1"/>
          <w:numId w:val="26"/>
        </w:numPr>
        <w:ind w:hanging="720"/>
      </w:pPr>
      <w:r>
        <w:t>By requiring additional information to be provided which may include personal information the Bill may limit the protection of privacy and reputation provided by section 12 of the HRA. The explanatory statement accompanying the Bill recognises these potential limitations and provides for why they should be considered reasonable using the framework in section 28 of the HRA. The Committee refers that statement to the Assembly.</w:t>
      </w:r>
    </w:p>
    <w:p w14:paraId="6C7B18D0" w14:textId="69884BC0" w:rsidR="0088239E" w:rsidRDefault="0088239E" w:rsidP="0048298C">
      <w:pPr>
        <w:pStyle w:val="ListNumber2"/>
        <w:numPr>
          <w:ilvl w:val="1"/>
          <w:numId w:val="26"/>
        </w:numPr>
        <w:ind w:hanging="720"/>
      </w:pPr>
      <w:r>
        <w:rPr>
          <w:b/>
        </w:rPr>
        <w:t xml:space="preserve">The Committee draws this matter to the attention of the </w:t>
      </w:r>
      <w:proofErr w:type="gramStart"/>
      <w:r>
        <w:rPr>
          <w:b/>
        </w:rPr>
        <w:t>Assembly, but</w:t>
      </w:r>
      <w:proofErr w:type="gramEnd"/>
      <w:r>
        <w:rPr>
          <w:b/>
        </w:rPr>
        <w:t xml:space="preserve"> does not require a</w:t>
      </w:r>
      <w:r w:rsidR="00013602">
        <w:rPr>
          <w:b/>
        </w:rPr>
        <w:t> </w:t>
      </w:r>
      <w:r>
        <w:rPr>
          <w:b/>
        </w:rPr>
        <w:t>response from the Minister.</w:t>
      </w:r>
    </w:p>
    <w:p w14:paraId="4973DAEC" w14:textId="77777777" w:rsidR="0088239E" w:rsidRDefault="0088239E" w:rsidP="0088239E">
      <w:pPr>
        <w:pStyle w:val="Heading3"/>
      </w:pPr>
      <w:bookmarkStart w:id="111" w:name="_Toc174548890"/>
      <w:r>
        <w:t>Crimes (Coercive Control) Amendment Bill 2024</w:t>
      </w:r>
      <w:bookmarkEnd w:id="111"/>
    </w:p>
    <w:p w14:paraId="7CA27735" w14:textId="57162B48" w:rsidR="0088239E" w:rsidRDefault="0088239E" w:rsidP="0048298C">
      <w:pPr>
        <w:pStyle w:val="ListNumber2"/>
        <w:numPr>
          <w:ilvl w:val="1"/>
          <w:numId w:val="26"/>
        </w:numPr>
        <w:ind w:hanging="720"/>
      </w:pPr>
      <w:r>
        <w:t>This Private Member</w:t>
      </w:r>
      <w:r w:rsidR="00013602">
        <w:t>’</w:t>
      </w:r>
      <w:r>
        <w:t xml:space="preserve">s Bill will amend the </w:t>
      </w:r>
      <w:r>
        <w:rPr>
          <w:i/>
          <w:iCs/>
        </w:rPr>
        <w:t>Crimes Act 1900</w:t>
      </w:r>
      <w:r>
        <w:t xml:space="preserve"> to insert a new offence of coercive control of a partner or former partner. The Bill will amend the </w:t>
      </w:r>
      <w:r>
        <w:rPr>
          <w:i/>
          <w:iCs/>
        </w:rPr>
        <w:t>Bail Act 1992</w:t>
      </w:r>
      <w:r>
        <w:t xml:space="preserve"> to remove the presumption of bail for a person charged with this new offence. The Bill will also amend the </w:t>
      </w:r>
      <w:r>
        <w:rPr>
          <w:i/>
          <w:iCs/>
        </w:rPr>
        <w:t>Working with Vulnerable People (Background Checking) Act 2011</w:t>
      </w:r>
      <w:r>
        <w:t xml:space="preserve"> to prevent a</w:t>
      </w:r>
      <w:r w:rsidR="00013602">
        <w:t> </w:t>
      </w:r>
      <w:r>
        <w:t>person convicted of the new offence from obtaining a working with vulnerable people registration if the offence was committed against a vulnerable person, and otherwise allow only a conditional working with vulnerable people registration to be obtained.</w:t>
      </w:r>
    </w:p>
    <w:p w14:paraId="7FC42689" w14:textId="5BF3129E" w:rsidR="0088239E" w:rsidRDefault="0088239E" w:rsidP="00013602">
      <w:pPr>
        <w:pStyle w:val="Heading4"/>
        <w:spacing w:before="160"/>
        <w:rPr>
          <w:rFonts w:eastAsia="Calibri"/>
          <w:lang w:eastAsia="en-AU"/>
        </w:rPr>
      </w:pPr>
      <w:bookmarkStart w:id="112" w:name="_Toc174548891"/>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lang w:val="en-US"/>
        </w:rPr>
        <w:t>Committee Resolution of Appointment paragraph (10)(a)(</w:t>
      </w:r>
      <w:proofErr w:type="spellStart"/>
      <w:r>
        <w:rPr>
          <w:lang w:val="en-US"/>
        </w:rPr>
        <w:t>i</w:t>
      </w:r>
      <w:proofErr w:type="spellEnd"/>
      <w:r>
        <w:rPr>
          <w:lang w:val="en-US"/>
        </w:rPr>
        <w:t>)</w:t>
      </w:r>
      <w:bookmarkEnd w:id="112"/>
      <w:r>
        <w:rPr>
          <w:lang w:val="en-US"/>
        </w:rPr>
        <w:t xml:space="preserve">  </w:t>
      </w:r>
    </w:p>
    <w:p w14:paraId="23074065" w14:textId="77777777" w:rsidR="0088239E" w:rsidRDefault="0088239E" w:rsidP="00013602">
      <w:pPr>
        <w:pStyle w:val="Heading4"/>
        <w:spacing w:before="160"/>
        <w:rPr>
          <w:rFonts w:eastAsia="Calibri"/>
          <w:i/>
          <w:lang w:eastAsia="en-AU"/>
        </w:rPr>
      </w:pPr>
      <w:bookmarkStart w:id="113" w:name="_Toc174548892"/>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13"/>
    </w:p>
    <w:p w14:paraId="683E2873" w14:textId="77777777" w:rsidR="0088239E" w:rsidRDefault="0088239E" w:rsidP="00013602">
      <w:pPr>
        <w:pStyle w:val="Heading5"/>
        <w:spacing w:before="160"/>
      </w:pPr>
      <w:r>
        <w:t>Right to liberty and security of person (section 18 HRA)</w:t>
      </w:r>
    </w:p>
    <w:p w14:paraId="33A2A1BD" w14:textId="77777777" w:rsidR="0088239E" w:rsidRDefault="0088239E" w:rsidP="00013602">
      <w:pPr>
        <w:pStyle w:val="Heading5"/>
        <w:spacing w:before="160"/>
      </w:pPr>
      <w:r>
        <w:t>Rights in criminal proceedings (section 22 HRA)</w:t>
      </w:r>
    </w:p>
    <w:p w14:paraId="0123A0F6" w14:textId="77777777" w:rsidR="0088239E" w:rsidRDefault="0088239E" w:rsidP="00013602">
      <w:pPr>
        <w:pStyle w:val="Heading5"/>
        <w:spacing w:before="160"/>
      </w:pPr>
      <w:r>
        <w:t xml:space="preserve">Right to work and other work-related rights (section 27B) </w:t>
      </w:r>
    </w:p>
    <w:p w14:paraId="4EE2B3EA" w14:textId="34C01172" w:rsidR="0088239E" w:rsidRDefault="0088239E" w:rsidP="0048298C">
      <w:pPr>
        <w:pStyle w:val="ListNumber2"/>
        <w:numPr>
          <w:ilvl w:val="1"/>
          <w:numId w:val="26"/>
        </w:numPr>
        <w:ind w:hanging="720"/>
      </w:pPr>
      <w:r>
        <w:t>The new offence inserted by the Bill will be committed where the person engages in a</w:t>
      </w:r>
      <w:r w:rsidR="00013602">
        <w:t> </w:t>
      </w:r>
      <w:r>
        <w:t>course of abusive conduct with the intention of coercing or controlling their partner or former partner. The course of conduct must be reasonably considered likely to result in the fear that violence will be used against the partner or former partner</w:t>
      </w:r>
      <w:r w:rsidR="00013602">
        <w:t>,</w:t>
      </w:r>
      <w:r>
        <w:t xml:space="preserve"> or seriously adversely affect their capacity to engage in ordinary day-to-day activities. The offence provides for a</w:t>
      </w:r>
      <w:r w:rsidR="00013602">
        <w:t> </w:t>
      </w:r>
      <w:r>
        <w:t>maximum penalty of imprisonment for 7 years.</w:t>
      </w:r>
    </w:p>
    <w:p w14:paraId="6A1CFAD6" w14:textId="2B06DA43" w:rsidR="0088239E" w:rsidRPr="00013602" w:rsidRDefault="0088239E" w:rsidP="0048298C">
      <w:pPr>
        <w:pStyle w:val="ListNumber2"/>
        <w:numPr>
          <w:ilvl w:val="1"/>
          <w:numId w:val="26"/>
        </w:numPr>
        <w:ind w:hanging="720"/>
        <w:rPr>
          <w:spacing w:val="-4"/>
        </w:rPr>
      </w:pPr>
      <w:r w:rsidRPr="00013602">
        <w:rPr>
          <w:spacing w:val="-4"/>
        </w:rPr>
        <w:t>The Bill provides that strict liability applies to whether the course of conduct reasonably gives rise to a fear of violence or affects the partner</w:t>
      </w:r>
      <w:r w:rsidR="00013602" w:rsidRPr="00013602">
        <w:rPr>
          <w:spacing w:val="-4"/>
        </w:rPr>
        <w:t>’</w:t>
      </w:r>
      <w:r w:rsidRPr="00013602">
        <w:rPr>
          <w:spacing w:val="-4"/>
        </w:rPr>
        <w:t xml:space="preserve">s capacity to engage in day-to-day activities. It is </w:t>
      </w:r>
      <w:r w:rsidRPr="00013602">
        <w:t xml:space="preserve">also an exception to the offence where the course of conduct was reasonable in all the circumstances. A course of conduct is constituted by a combination of incidents of abusive conduct, considered in their totality. Each incident does not need to be established as they would if charged as a separate offence, and members of the jury may disagree about which </w:t>
      </w:r>
      <w:r w:rsidRPr="00013602">
        <w:rPr>
          <w:spacing w:val="-4"/>
        </w:rPr>
        <w:t>incidents have been established. It is also not necessary to prove that the defendant intended each incident of abusive conduct to be coercive or controlling, and there is no need to establish that the defendant</w:t>
      </w:r>
      <w:r w:rsidR="00013602" w:rsidRPr="00013602">
        <w:rPr>
          <w:spacing w:val="-4"/>
        </w:rPr>
        <w:t>’</w:t>
      </w:r>
      <w:r w:rsidRPr="00013602">
        <w:rPr>
          <w:spacing w:val="-4"/>
        </w:rPr>
        <w:t xml:space="preserve">s partner </w:t>
      </w:r>
      <w:proofErr w:type="gramStart"/>
      <w:r w:rsidRPr="00013602">
        <w:rPr>
          <w:spacing w:val="-4"/>
        </w:rPr>
        <w:t>actually feared</w:t>
      </w:r>
      <w:proofErr w:type="gramEnd"/>
      <w:r w:rsidRPr="00013602">
        <w:rPr>
          <w:spacing w:val="-4"/>
        </w:rPr>
        <w:t xml:space="preserve"> violence or had their capacity adversely affected. </w:t>
      </w:r>
    </w:p>
    <w:p w14:paraId="74CFDF72" w14:textId="7CDC52B6" w:rsidR="0088239E" w:rsidRDefault="0088239E" w:rsidP="0048298C">
      <w:pPr>
        <w:pStyle w:val="ListNumber2"/>
        <w:numPr>
          <w:ilvl w:val="1"/>
          <w:numId w:val="26"/>
        </w:numPr>
        <w:ind w:hanging="720"/>
      </w:pPr>
      <w:r>
        <w:t>The Bill will also add the new offence to the list of disqualifying offences in the Working with Vulnerable People (Background Checking) Act. Where the offence is committed against a</w:t>
      </w:r>
      <w:r w:rsidR="00013602">
        <w:t> </w:t>
      </w:r>
      <w:r>
        <w:t xml:space="preserve">vulnerable person, the offender will be disqualified from gaining registration under that Act to engage in registered activities involving children or NDIS activities. Where the new offence is not committed against a vulnerable person, any registration is generally conditional on the offender not engaging in those activities. </w:t>
      </w:r>
    </w:p>
    <w:p w14:paraId="65BC1458" w14:textId="0DD188E5" w:rsidR="0088239E" w:rsidRDefault="0088239E" w:rsidP="0048298C">
      <w:pPr>
        <w:pStyle w:val="ListNumber2"/>
        <w:numPr>
          <w:ilvl w:val="1"/>
          <w:numId w:val="26"/>
        </w:numPr>
        <w:ind w:hanging="720"/>
      </w:pPr>
      <w:r>
        <w:t xml:space="preserve">By providing for a penalty of imprisonment, the Bill may limit the right to liberty in section 18 of the HRA. By imposing strict liability on an element of the </w:t>
      </w:r>
      <w:proofErr w:type="gramStart"/>
      <w:r>
        <w:t>offence, and</w:t>
      </w:r>
      <w:proofErr w:type="gramEnd"/>
      <w:r>
        <w:t xml:space="preserve"> placing an evidential burden on the defendant to establish an exception to the offence, the Bill may limit the presumption of innocence which is protected as a right in criminal proceeding in section 22 of the HRA. By restricting or conditioning working with vulnerable people registration which may be a requirement for employment or engagement in a range of activities, the Bil</w:t>
      </w:r>
      <w:r w:rsidR="00013602">
        <w:t>l</w:t>
      </w:r>
      <w:r>
        <w:t xml:space="preserve"> may limit the right to work in section 27B of the HRA. </w:t>
      </w:r>
    </w:p>
    <w:p w14:paraId="7B655E97" w14:textId="77777777" w:rsidR="0088239E" w:rsidRPr="00013602" w:rsidRDefault="0088239E" w:rsidP="0048298C">
      <w:pPr>
        <w:pStyle w:val="ListNumber2"/>
        <w:numPr>
          <w:ilvl w:val="1"/>
          <w:numId w:val="26"/>
        </w:numPr>
        <w:ind w:hanging="720"/>
        <w:rPr>
          <w:spacing w:val="-2"/>
        </w:rPr>
      </w:pPr>
      <w:r w:rsidRPr="00013602">
        <w:rPr>
          <w:spacing w:val="-2"/>
        </w:rPr>
        <w:t xml:space="preserve">The explanatory statement accompanying the Bill does not recognise these potential limitations of the HRA. </w:t>
      </w:r>
      <w:r w:rsidRPr="00013602">
        <w:rPr>
          <w:b/>
          <w:bCs w:val="0"/>
          <w:spacing w:val="-2"/>
        </w:rPr>
        <w:t>The Committee therefore requests that the Member provide the committee with a statement setting out why the limitations should be considered reasonable using the framework set out in section 28 of the HRA, and that this statement be included in a revised explanatory statement prior to the Bill being debated in the Assembly.</w:t>
      </w:r>
      <w:r w:rsidRPr="00013602">
        <w:rPr>
          <w:spacing w:val="-2"/>
        </w:rPr>
        <w:t xml:space="preserve"> </w:t>
      </w:r>
    </w:p>
    <w:tbl>
      <w:tblPr>
        <w:tblStyle w:val="Recommendationbox"/>
        <w:tblW w:w="7921" w:type="dxa"/>
        <w:tblInd w:w="1117" w:type="dxa"/>
        <w:tblLook w:val="0600" w:firstRow="0" w:lastRow="0" w:firstColumn="0" w:lastColumn="0" w:noHBand="1" w:noVBand="1"/>
      </w:tblPr>
      <w:tblGrid>
        <w:gridCol w:w="7921"/>
      </w:tblGrid>
      <w:tr w:rsidR="0088239E" w14:paraId="18DE1F10" w14:textId="77777777" w:rsidTr="00417021">
        <w:trPr>
          <w:trHeight w:val="1286"/>
        </w:trPr>
        <w:tc>
          <w:tcPr>
            <w:tcW w:w="7637" w:type="dxa"/>
            <w:hideMark/>
          </w:tcPr>
          <w:p w14:paraId="7AEAB2E6" w14:textId="77777777" w:rsidR="0088239E" w:rsidRDefault="0088239E">
            <w:pPr>
              <w:pStyle w:val="ListNumber2"/>
            </w:pPr>
            <w:r>
              <w:t>The Committee draws this matter to the attention of the Assembly and asks the Member to respond with sufficient time to allow the Committee to consider the response prior to the Bill being debated.</w:t>
            </w:r>
          </w:p>
        </w:tc>
      </w:tr>
    </w:tbl>
    <w:p w14:paraId="1C5A65E2" w14:textId="77777777" w:rsidR="0088239E" w:rsidRDefault="0088239E" w:rsidP="0088239E">
      <w:pPr>
        <w:pStyle w:val="Heading5"/>
      </w:pPr>
      <w:r>
        <w:t>Right to freedom of movement (section 13 HRA)</w:t>
      </w:r>
    </w:p>
    <w:p w14:paraId="53034400" w14:textId="77777777" w:rsidR="0088239E" w:rsidRDefault="0088239E" w:rsidP="0088239E">
      <w:pPr>
        <w:pStyle w:val="Heading5"/>
      </w:pPr>
      <w:r>
        <w:t>Right to liberty and security of person (section 18 HRA)</w:t>
      </w:r>
    </w:p>
    <w:p w14:paraId="3F5496FB" w14:textId="49B748E4" w:rsidR="0088239E" w:rsidRDefault="0088239E" w:rsidP="0048298C">
      <w:pPr>
        <w:pStyle w:val="ListNumber2"/>
        <w:numPr>
          <w:ilvl w:val="1"/>
          <w:numId w:val="26"/>
        </w:numPr>
        <w:ind w:hanging="720"/>
      </w:pPr>
      <w:r>
        <w:t xml:space="preserve">The Bill will amend </w:t>
      </w:r>
      <w:r w:rsidR="00FB732D">
        <w:t xml:space="preserve">the </w:t>
      </w:r>
      <w:r>
        <w:t xml:space="preserve">Bail Act to add the new offence to the list of offences for </w:t>
      </w:r>
      <w:r w:rsidR="00FB732D">
        <w:t xml:space="preserve">which </w:t>
      </w:r>
      <w:r>
        <w:t xml:space="preserve">the presumption of bail does not apply. By removing the presumption of bail, the Bill may limit the rights to freedom of movement and liberty in sections 13 and 18 of the HRA. </w:t>
      </w:r>
    </w:p>
    <w:p w14:paraId="2B30F300" w14:textId="77777777" w:rsidR="0088239E" w:rsidRDefault="0088239E" w:rsidP="0048298C">
      <w:pPr>
        <w:pStyle w:val="ListNumber2"/>
        <w:numPr>
          <w:ilvl w:val="1"/>
          <w:numId w:val="26"/>
        </w:numPr>
        <w:ind w:hanging="720"/>
      </w:pPr>
      <w:r>
        <w:t>The explanatory statement accompanying the Bill recognises that the right to freedom of movement may be limited by the Bill. It states:</w:t>
      </w:r>
    </w:p>
    <w:p w14:paraId="0FE71C59" w14:textId="17DB658E" w:rsidR="0088239E" w:rsidRDefault="0088239E" w:rsidP="0088239E">
      <w:pPr>
        <w:pStyle w:val="Quote"/>
      </w:pPr>
      <w:r>
        <w:t>This Bill may proportionally and justifiably limit the right to freedom of movement as an increased likelihood of being refused bail would restrict an accused’s freedom of movement where they are refused bail and remanded in custody while awaiting trial</w:t>
      </w:r>
      <w:r w:rsidR="00013602">
        <w:t>.</w:t>
      </w:r>
    </w:p>
    <w:p w14:paraId="3037318A" w14:textId="77777777" w:rsidR="0088239E" w:rsidRDefault="0088239E" w:rsidP="0048298C">
      <w:pPr>
        <w:pStyle w:val="ListNumber2"/>
        <w:numPr>
          <w:ilvl w:val="1"/>
          <w:numId w:val="26"/>
        </w:numPr>
        <w:ind w:hanging="720"/>
      </w:pPr>
      <w:r>
        <w:t>This statement does not provide why any limitation is proportionate or justified or otherwise should be considered reasonable using the framework set out in section 28 of the HRA. There is no recognition that remanding someone in custody may also limit their right to liberty under section 18 of the HRA.</w:t>
      </w:r>
    </w:p>
    <w:p w14:paraId="50743F3E" w14:textId="55839216" w:rsidR="0088239E" w:rsidRDefault="0088239E" w:rsidP="00013602">
      <w:pPr>
        <w:pStyle w:val="ListNumber2"/>
        <w:numPr>
          <w:ilvl w:val="1"/>
          <w:numId w:val="26"/>
        </w:numPr>
        <w:spacing w:after="0"/>
        <w:ind w:hanging="720"/>
      </w:pPr>
      <w:r>
        <w:rPr>
          <w:b/>
          <w:bCs w:val="0"/>
        </w:rPr>
        <w:t>The Committee therefore requests that the Member provide the committee with a</w:t>
      </w:r>
      <w:r w:rsidR="00013602">
        <w:rPr>
          <w:b/>
          <w:bCs w:val="0"/>
        </w:rPr>
        <w:t> </w:t>
      </w:r>
      <w:r>
        <w:rPr>
          <w:b/>
          <w:bCs w:val="0"/>
        </w:rPr>
        <w:t>statement setting out why any limitations of the rights to freedom of movement and liberty in sections 13 and 18 of the HRA should be considered reasonable using the framework set out in section 28 of the HRA, and that this statement be included in a</w:t>
      </w:r>
      <w:r w:rsidR="00013602">
        <w:rPr>
          <w:b/>
          <w:bCs w:val="0"/>
        </w:rPr>
        <w:t> </w:t>
      </w:r>
      <w:r>
        <w:rPr>
          <w:b/>
          <w:bCs w:val="0"/>
        </w:rPr>
        <w:t>revised explanatory statement prior to the Bill being debated in the Assembly.</w:t>
      </w:r>
      <w:r>
        <w:t xml:space="preserve"> </w:t>
      </w:r>
    </w:p>
    <w:tbl>
      <w:tblPr>
        <w:tblStyle w:val="Recommendationbox"/>
        <w:tblW w:w="7861" w:type="dxa"/>
        <w:tblInd w:w="1177" w:type="dxa"/>
        <w:tblLook w:val="0600" w:firstRow="0" w:lastRow="0" w:firstColumn="0" w:lastColumn="0" w:noHBand="1" w:noVBand="1"/>
      </w:tblPr>
      <w:tblGrid>
        <w:gridCol w:w="7861"/>
      </w:tblGrid>
      <w:tr w:rsidR="0088239E" w14:paraId="3AEA2516" w14:textId="77777777" w:rsidTr="00417021">
        <w:trPr>
          <w:trHeight w:val="879"/>
        </w:trPr>
        <w:tc>
          <w:tcPr>
            <w:tcW w:w="7577" w:type="dxa"/>
            <w:hideMark/>
          </w:tcPr>
          <w:p w14:paraId="16AB0BA3" w14:textId="77777777" w:rsidR="0088239E" w:rsidRDefault="0088239E" w:rsidP="00013602">
            <w:pPr>
              <w:pStyle w:val="ListNumber2"/>
              <w:spacing w:before="0" w:after="0"/>
            </w:pPr>
            <w:r>
              <w:t>The Committee draws this matter to the attention of the Assembly and asks the Member to respond with sufficient time to allow the Committee to consider the response prior to the Bill being debated.</w:t>
            </w:r>
          </w:p>
        </w:tc>
      </w:tr>
    </w:tbl>
    <w:p w14:paraId="439D91A9" w14:textId="77777777" w:rsidR="0088239E" w:rsidRDefault="0088239E" w:rsidP="00013602">
      <w:pPr>
        <w:pStyle w:val="Heading5"/>
        <w:spacing w:before="120"/>
      </w:pPr>
      <w:r>
        <w:t>Right not to be tried and punished more than once (section 24 HRA)</w:t>
      </w:r>
    </w:p>
    <w:p w14:paraId="0EE9E3FA" w14:textId="77777777" w:rsidR="0088239E" w:rsidRDefault="0088239E" w:rsidP="00013602">
      <w:pPr>
        <w:pStyle w:val="Heading5"/>
        <w:spacing w:before="120"/>
      </w:pPr>
      <w:r>
        <w:t>Retrospective Criminal Laws (section 25 HRA)</w:t>
      </w:r>
    </w:p>
    <w:p w14:paraId="3DDBB0A8" w14:textId="77777777" w:rsidR="0088239E" w:rsidRDefault="0088239E" w:rsidP="0048298C">
      <w:pPr>
        <w:pStyle w:val="ListNumber2"/>
        <w:numPr>
          <w:ilvl w:val="1"/>
          <w:numId w:val="26"/>
        </w:numPr>
        <w:ind w:hanging="720"/>
      </w:pPr>
      <w:r>
        <w:t>The explanatory statement accompanying the Bill states that:</w:t>
      </w:r>
    </w:p>
    <w:p w14:paraId="3014F7C5" w14:textId="77777777" w:rsidR="0088239E" w:rsidRDefault="0088239E" w:rsidP="00013602">
      <w:pPr>
        <w:pStyle w:val="Quote"/>
        <w:spacing w:before="120"/>
      </w:pPr>
      <w:r>
        <w:t>Section 24 of the HR Act provides that: no-one may be tried or punished again for an offence for which they have already been finally convicted or acquitted in accordance with law. This Bill may proportionally and justifiably limit this right as forms of abusive conduct, which are already criminalised such as stalking or assault may be considered as part of a coercive control course of conduct.</w:t>
      </w:r>
    </w:p>
    <w:p w14:paraId="2F721922" w14:textId="77777777" w:rsidR="0088239E" w:rsidRDefault="0088239E" w:rsidP="0048298C">
      <w:pPr>
        <w:pStyle w:val="ListNumber2"/>
        <w:numPr>
          <w:ilvl w:val="1"/>
          <w:numId w:val="26"/>
        </w:numPr>
        <w:ind w:hanging="720"/>
      </w:pPr>
      <w:r>
        <w:t xml:space="preserve">It is not clear to the Committee whether the Bill will have this effect. The right not to be tried and punished more than once does not necessarily extend to circumstances in which the same conduct may give rise to more than one offence. The elements of the new offence also suggest that establishing the elements of other offences is neither necessary nor sufficient to establish the new offence. </w:t>
      </w:r>
    </w:p>
    <w:p w14:paraId="473AFBA7" w14:textId="77777777" w:rsidR="0088239E" w:rsidRDefault="0088239E" w:rsidP="0048298C">
      <w:pPr>
        <w:pStyle w:val="ListNumber2"/>
        <w:numPr>
          <w:ilvl w:val="1"/>
          <w:numId w:val="26"/>
        </w:numPr>
        <w:ind w:hanging="720"/>
      </w:pPr>
      <w:r>
        <w:t xml:space="preserve">The extent to which the Bill will enable </w:t>
      </w:r>
      <w:proofErr w:type="gramStart"/>
      <w:r>
        <w:t>particular conduct</w:t>
      </w:r>
      <w:proofErr w:type="gramEnd"/>
      <w:r>
        <w:t xml:space="preserve"> to be subject to multiple trials and punishments in breach of the right in section 24 of the HRA therefore needs to be made clear, and a justification provided for any limitation. </w:t>
      </w:r>
    </w:p>
    <w:p w14:paraId="3CD50864" w14:textId="77777777" w:rsidR="0088239E" w:rsidRDefault="0088239E" w:rsidP="0048298C">
      <w:pPr>
        <w:pStyle w:val="ListNumber2"/>
        <w:numPr>
          <w:ilvl w:val="1"/>
          <w:numId w:val="26"/>
        </w:numPr>
        <w:ind w:hanging="720"/>
      </w:pPr>
      <w:r>
        <w:t>The explanatory statement also states:</w:t>
      </w:r>
    </w:p>
    <w:p w14:paraId="53AFAC2F" w14:textId="77777777" w:rsidR="0088239E" w:rsidRDefault="0088239E" w:rsidP="0088239E">
      <w:pPr>
        <w:pStyle w:val="Quote"/>
      </w:pPr>
      <w:r>
        <w:t>Section 25 of the HR Act provides that: no-one may be held guilty of a criminal offence because of conduct that was not a criminal offence under Territory law when it was engaged in. This Bill may proportionally and justifiably limit this right as forms of abusive conduct considered in a coercive control course of conduct may have occurred prior to the commencement of the criminal offence.</w:t>
      </w:r>
    </w:p>
    <w:p w14:paraId="156D6856" w14:textId="77777777" w:rsidR="0088239E" w:rsidRDefault="0088239E" w:rsidP="0048298C">
      <w:pPr>
        <w:pStyle w:val="ListNumber2"/>
        <w:numPr>
          <w:ilvl w:val="1"/>
          <w:numId w:val="26"/>
        </w:numPr>
        <w:ind w:hanging="720"/>
      </w:pPr>
      <w:r>
        <w:t xml:space="preserve">It is not clear to the Committee why the Bill will have this effect given the presumption that a criminal offence does not have retrospective operation. The extent to which the Bill will breach the right against retrospective operation needs to be made clear, and a justification provided for any limitation.  </w:t>
      </w:r>
    </w:p>
    <w:p w14:paraId="214855E1" w14:textId="0E2F4962" w:rsidR="0088239E" w:rsidRDefault="0088239E" w:rsidP="0048298C">
      <w:pPr>
        <w:pStyle w:val="ListNumber2"/>
        <w:numPr>
          <w:ilvl w:val="1"/>
          <w:numId w:val="26"/>
        </w:numPr>
        <w:ind w:hanging="720"/>
      </w:pPr>
      <w:r>
        <w:rPr>
          <w:b/>
          <w:bCs w:val="0"/>
        </w:rPr>
        <w:t>The Committee therefore requests that the Member provide the committee with a</w:t>
      </w:r>
      <w:r w:rsidR="00013602">
        <w:rPr>
          <w:b/>
          <w:bCs w:val="0"/>
        </w:rPr>
        <w:t> </w:t>
      </w:r>
      <w:r>
        <w:rPr>
          <w:b/>
          <w:bCs w:val="0"/>
        </w:rPr>
        <w:t>statement setting out why the Bill may limit the rights in sections 24 and 25 of the HRA and why any limitations should be considered reasonable using the framework set out in section 28 of the HRA. This statement</w:t>
      </w:r>
      <w:r w:rsidR="00FB732D">
        <w:rPr>
          <w:b/>
          <w:bCs w:val="0"/>
        </w:rPr>
        <w:t xml:space="preserve"> is to </w:t>
      </w:r>
      <w:r>
        <w:rPr>
          <w:b/>
          <w:bCs w:val="0"/>
        </w:rPr>
        <w:t>be included in a revised explanatory statement prior to the Bill being debated in the Assembly.</w:t>
      </w:r>
      <w:r>
        <w:t xml:space="preserve"> </w:t>
      </w:r>
    </w:p>
    <w:tbl>
      <w:tblPr>
        <w:tblStyle w:val="Recommendationbox"/>
        <w:tblW w:w="0" w:type="auto"/>
        <w:tblLook w:val="0600" w:firstRow="0" w:lastRow="0" w:firstColumn="0" w:lastColumn="0" w:noHBand="1" w:noVBand="1"/>
      </w:tblPr>
      <w:tblGrid>
        <w:gridCol w:w="8175"/>
      </w:tblGrid>
      <w:tr w:rsidR="0088239E" w14:paraId="5467F43E" w14:textId="77777777" w:rsidTr="0088239E">
        <w:tc>
          <w:tcPr>
            <w:tcW w:w="7891" w:type="dxa"/>
            <w:hideMark/>
          </w:tcPr>
          <w:p w14:paraId="6F1359C6" w14:textId="77777777" w:rsidR="0088239E" w:rsidRDefault="0088239E">
            <w:pPr>
              <w:pStyle w:val="ListNumber2"/>
            </w:pPr>
            <w:r>
              <w:t>The Committee draws this matter to the attention of the Assembly and asks the Member to respond with sufficient time to allow the Committee to consider the response prior to the Bill being debated.</w:t>
            </w:r>
          </w:p>
        </w:tc>
      </w:tr>
    </w:tbl>
    <w:p w14:paraId="3311DD58" w14:textId="77777777" w:rsidR="0088239E" w:rsidRDefault="0088239E" w:rsidP="0088239E">
      <w:pPr>
        <w:pStyle w:val="Heading3"/>
      </w:pPr>
      <w:bookmarkStart w:id="114" w:name="_Toc174548893"/>
      <w:r>
        <w:t>Integrity Legislation Amendment Bill 2024</w:t>
      </w:r>
      <w:bookmarkEnd w:id="114"/>
    </w:p>
    <w:p w14:paraId="4F65453F" w14:textId="77777777" w:rsidR="0088239E" w:rsidRDefault="0088239E" w:rsidP="0048298C">
      <w:pPr>
        <w:pStyle w:val="ListNumber2"/>
        <w:numPr>
          <w:ilvl w:val="1"/>
          <w:numId w:val="26"/>
        </w:numPr>
        <w:ind w:hanging="720"/>
      </w:pPr>
      <w:r>
        <w:t xml:space="preserve">This Bill is intended to implement the intent of 18 recommendations of a review of the </w:t>
      </w:r>
      <w:r w:rsidRPr="00013602">
        <w:rPr>
          <w:i/>
          <w:iCs/>
        </w:rPr>
        <w:t>Integrity Commission Act 2018</w:t>
      </w:r>
      <w:r>
        <w:t>, including:</w:t>
      </w:r>
    </w:p>
    <w:p w14:paraId="7B1E5847" w14:textId="39C7C6CD" w:rsidR="0088239E" w:rsidRDefault="00013602" w:rsidP="00805618">
      <w:pPr>
        <w:pStyle w:val="ListNumber2"/>
        <w:numPr>
          <w:ilvl w:val="0"/>
          <w:numId w:val="35"/>
        </w:numPr>
        <w:ind w:left="1276" w:hanging="567"/>
      </w:pPr>
      <w:r>
        <w:t>p</w:t>
      </w:r>
      <w:r w:rsidR="0088239E">
        <w:t xml:space="preserve">roviding an exception to mandatory reporting requirements where a person believes a second person has already reported the same </w:t>
      </w:r>
      <w:proofErr w:type="gramStart"/>
      <w:r w:rsidR="0088239E">
        <w:t>content;</w:t>
      </w:r>
      <w:proofErr w:type="gramEnd"/>
    </w:p>
    <w:p w14:paraId="562D8631" w14:textId="09FB2D4E" w:rsidR="0088239E" w:rsidRDefault="00013602" w:rsidP="00805618">
      <w:pPr>
        <w:pStyle w:val="ListNumber3"/>
        <w:numPr>
          <w:ilvl w:val="0"/>
          <w:numId w:val="35"/>
        </w:numPr>
        <w:ind w:left="1276" w:hanging="567"/>
      </w:pPr>
      <w:r>
        <w:t>a</w:t>
      </w:r>
      <w:r w:rsidR="0088239E">
        <w:t xml:space="preserve">mending requirements relating to employing staff with public service backgrounds while restricting employment of Members of the Assembly and their </w:t>
      </w:r>
      <w:proofErr w:type="gramStart"/>
      <w:r w:rsidR="0088239E">
        <w:t>staff;</w:t>
      </w:r>
      <w:proofErr w:type="gramEnd"/>
    </w:p>
    <w:p w14:paraId="2B81DCF2" w14:textId="2294D83C" w:rsidR="0088239E" w:rsidRDefault="00013602" w:rsidP="00805618">
      <w:pPr>
        <w:pStyle w:val="ListNumber3"/>
        <w:numPr>
          <w:ilvl w:val="0"/>
          <w:numId w:val="35"/>
        </w:numPr>
        <w:ind w:left="1276" w:hanging="567"/>
      </w:pPr>
      <w:r>
        <w:t>r</w:t>
      </w:r>
      <w:r w:rsidR="0088239E">
        <w:t xml:space="preserve">emoving the primacy of judges of superior courts in appointing Commissioners and amending the process for appointment and requirements for acting </w:t>
      </w:r>
      <w:proofErr w:type="gramStart"/>
      <w:r w:rsidR="0088239E">
        <w:t>Commissioners;</w:t>
      </w:r>
      <w:proofErr w:type="gramEnd"/>
    </w:p>
    <w:p w14:paraId="3005ECE8" w14:textId="467AE0EB" w:rsidR="0088239E" w:rsidRDefault="00013602" w:rsidP="00805618">
      <w:pPr>
        <w:pStyle w:val="ListNumber3"/>
        <w:numPr>
          <w:ilvl w:val="0"/>
          <w:numId w:val="35"/>
        </w:numPr>
        <w:ind w:left="1276" w:hanging="567"/>
      </w:pPr>
      <w:r>
        <w:t>e</w:t>
      </w:r>
      <w:r w:rsidR="0088239E">
        <w:t xml:space="preserve">xtending protections to heads of a public sector entity and their assistants when providing information to the </w:t>
      </w:r>
      <w:proofErr w:type="gramStart"/>
      <w:r w:rsidR="0088239E">
        <w:t>Commission;</w:t>
      </w:r>
      <w:proofErr w:type="gramEnd"/>
    </w:p>
    <w:p w14:paraId="6E5E5493" w14:textId="286F8683" w:rsidR="0088239E" w:rsidRDefault="00013602" w:rsidP="00805618">
      <w:pPr>
        <w:pStyle w:val="ListNumber3"/>
        <w:numPr>
          <w:ilvl w:val="0"/>
          <w:numId w:val="35"/>
        </w:numPr>
        <w:ind w:left="1276" w:hanging="567"/>
      </w:pPr>
      <w:r>
        <w:t>a</w:t>
      </w:r>
      <w:r w:rsidR="0088239E">
        <w:t xml:space="preserve">llowing a production or examination notice to be issued where information is suspected of being necessary and reasonable to do </w:t>
      </w:r>
      <w:proofErr w:type="gramStart"/>
      <w:r w:rsidR="0088239E">
        <w:t>so;</w:t>
      </w:r>
      <w:proofErr w:type="gramEnd"/>
    </w:p>
    <w:p w14:paraId="33DF7281" w14:textId="22D5C959" w:rsidR="0088239E" w:rsidRDefault="00013602" w:rsidP="00805618">
      <w:pPr>
        <w:pStyle w:val="ListNumber3"/>
        <w:numPr>
          <w:ilvl w:val="0"/>
          <w:numId w:val="35"/>
        </w:numPr>
        <w:ind w:left="1276" w:hanging="567"/>
      </w:pPr>
      <w:r>
        <w:t>a</w:t>
      </w:r>
      <w:r w:rsidR="0088239E">
        <w:t xml:space="preserve">llowing required documents or things to be provided by nominated </w:t>
      </w:r>
      <w:proofErr w:type="gramStart"/>
      <w:r w:rsidR="0088239E">
        <w:t>persons;</w:t>
      </w:r>
      <w:proofErr w:type="gramEnd"/>
    </w:p>
    <w:p w14:paraId="1E38964F" w14:textId="58D101A8" w:rsidR="0088239E" w:rsidRDefault="00013602" w:rsidP="00805618">
      <w:pPr>
        <w:pStyle w:val="ListNumber3"/>
        <w:numPr>
          <w:ilvl w:val="0"/>
          <w:numId w:val="35"/>
        </w:numPr>
        <w:ind w:left="1276" w:hanging="567"/>
      </w:pPr>
      <w:r>
        <w:t>e</w:t>
      </w:r>
      <w:r w:rsidR="0088239E">
        <w:t xml:space="preserve">xtending permitted disclosures to health professionals and counsellors, the ACT insurance Authority for the purposes of a workers compensation claim, to persons assisting with responding to a proposed report, and to prevent physical safety or wellbeing being at </w:t>
      </w:r>
      <w:proofErr w:type="gramStart"/>
      <w:r w:rsidR="0088239E">
        <w:t>risk;</w:t>
      </w:r>
      <w:proofErr w:type="gramEnd"/>
    </w:p>
    <w:p w14:paraId="7BEB0733" w14:textId="2FAB6D89" w:rsidR="0088239E" w:rsidRDefault="00013602" w:rsidP="00805618">
      <w:pPr>
        <w:pStyle w:val="ListNumber3"/>
        <w:numPr>
          <w:ilvl w:val="0"/>
          <w:numId w:val="35"/>
        </w:numPr>
        <w:ind w:left="1276" w:hanging="567"/>
      </w:pPr>
      <w:r>
        <w:t>r</w:t>
      </w:r>
      <w:r w:rsidR="0088239E">
        <w:t>equiring the inspector be notified of the Commissioner’s intention to conduct public hearings and reasons prior to the examination notices being issued; and</w:t>
      </w:r>
    </w:p>
    <w:p w14:paraId="028019B4" w14:textId="2D18F5BA" w:rsidR="0088239E" w:rsidRDefault="00013602" w:rsidP="00805618">
      <w:pPr>
        <w:pStyle w:val="ListNumber3"/>
        <w:numPr>
          <w:ilvl w:val="0"/>
          <w:numId w:val="35"/>
        </w:numPr>
        <w:ind w:left="1276" w:hanging="567"/>
      </w:pPr>
      <w:r>
        <w:t>e</w:t>
      </w:r>
      <w:r w:rsidR="0088239E">
        <w:t>xtending restrictions on publication of information that may jeopardise any investigation or reveal concealed identity of witnesses.</w:t>
      </w:r>
    </w:p>
    <w:p w14:paraId="0766D0B5" w14:textId="1CF3A0F1" w:rsidR="0088239E" w:rsidRDefault="0088239E" w:rsidP="0088239E">
      <w:pPr>
        <w:pStyle w:val="Heading4"/>
        <w:rPr>
          <w:rFonts w:eastAsia="Calibri"/>
          <w:lang w:eastAsia="en-AU"/>
        </w:rPr>
      </w:pPr>
      <w:bookmarkStart w:id="115" w:name="_Toc174548894"/>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lang w:val="en-US"/>
        </w:rPr>
        <w:t>Committee Resolution of Appointment paragraph (10)(a)(</w:t>
      </w:r>
      <w:proofErr w:type="spellStart"/>
      <w:r>
        <w:rPr>
          <w:lang w:val="en-US"/>
        </w:rPr>
        <w:t>i</w:t>
      </w:r>
      <w:proofErr w:type="spellEnd"/>
      <w:r>
        <w:rPr>
          <w:lang w:val="en-US"/>
        </w:rPr>
        <w:t>)</w:t>
      </w:r>
      <w:bookmarkEnd w:id="115"/>
      <w:r>
        <w:rPr>
          <w:lang w:val="en-US"/>
        </w:rPr>
        <w:t xml:space="preserve">  </w:t>
      </w:r>
    </w:p>
    <w:p w14:paraId="0E6159B8" w14:textId="77777777" w:rsidR="0088239E" w:rsidRDefault="0088239E" w:rsidP="0088239E">
      <w:pPr>
        <w:pStyle w:val="Heading4"/>
        <w:rPr>
          <w:rFonts w:eastAsia="Calibri"/>
          <w:i/>
          <w:lang w:eastAsia="en-AU"/>
        </w:rPr>
      </w:pPr>
      <w:bookmarkStart w:id="116" w:name="_Toc174548895"/>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16"/>
    </w:p>
    <w:p w14:paraId="47BBA786" w14:textId="77777777" w:rsidR="0088239E" w:rsidRDefault="0088239E" w:rsidP="0088239E">
      <w:pPr>
        <w:pStyle w:val="Heading5"/>
      </w:pPr>
      <w:r>
        <w:t xml:space="preserve">Right to privacy and reputation (section 12 HRA) </w:t>
      </w:r>
    </w:p>
    <w:p w14:paraId="05169969" w14:textId="77777777" w:rsidR="0088239E" w:rsidRDefault="0088239E" w:rsidP="0088239E">
      <w:pPr>
        <w:pStyle w:val="Heading5"/>
      </w:pPr>
      <w:r>
        <w:t>Freedom of expression (section 16 HRA)</w:t>
      </w:r>
    </w:p>
    <w:p w14:paraId="4F080525" w14:textId="77777777" w:rsidR="0088239E" w:rsidRDefault="0088239E" w:rsidP="0088239E">
      <w:pPr>
        <w:pStyle w:val="Heading5"/>
      </w:pPr>
      <w:r>
        <w:t>Taking part in public life (section 17 HRA)</w:t>
      </w:r>
    </w:p>
    <w:p w14:paraId="01BA3888" w14:textId="77777777" w:rsidR="0088239E" w:rsidRDefault="0088239E" w:rsidP="0088239E">
      <w:pPr>
        <w:pStyle w:val="Heading5"/>
      </w:pPr>
      <w:r>
        <w:t xml:space="preserve">Right to a fair trial (section 21 HRA) </w:t>
      </w:r>
    </w:p>
    <w:p w14:paraId="601775F2" w14:textId="77777777" w:rsidR="0088239E" w:rsidRDefault="0088239E" w:rsidP="0088239E">
      <w:pPr>
        <w:pStyle w:val="Heading5"/>
      </w:pPr>
      <w:r>
        <w:t xml:space="preserve">Right to work and other work-related rights (section 27B) </w:t>
      </w:r>
    </w:p>
    <w:p w14:paraId="7F14BC20" w14:textId="77777777" w:rsidR="0088239E" w:rsidRDefault="0088239E" w:rsidP="0048298C">
      <w:pPr>
        <w:pStyle w:val="ListNumber2"/>
        <w:numPr>
          <w:ilvl w:val="1"/>
          <w:numId w:val="26"/>
        </w:numPr>
        <w:ind w:hanging="720"/>
      </w:pPr>
      <w:r>
        <w:t>The Bill may limit the protection of privacy provided by section 12 of the HRA by:</w:t>
      </w:r>
    </w:p>
    <w:p w14:paraId="59820817" w14:textId="53278723" w:rsidR="0088239E" w:rsidRDefault="00805618" w:rsidP="00805618">
      <w:pPr>
        <w:pStyle w:val="ListNumber2"/>
        <w:numPr>
          <w:ilvl w:val="0"/>
          <w:numId w:val="36"/>
        </w:numPr>
        <w:ind w:left="1276" w:hanging="567"/>
      </w:pPr>
      <w:r>
        <w:t>r</w:t>
      </w:r>
      <w:r w:rsidR="0088239E">
        <w:t xml:space="preserve">equiring the Commissioner and staff of the Commission to disclose to the inspector personal information about potential conflicts they may have in performing their functions under the </w:t>
      </w:r>
      <w:proofErr w:type="gramStart"/>
      <w:r w:rsidR="0088239E">
        <w:t>Act;</w:t>
      </w:r>
      <w:proofErr w:type="gramEnd"/>
    </w:p>
    <w:p w14:paraId="6C7D4CEB" w14:textId="093159D1" w:rsidR="0088239E" w:rsidRDefault="00805618" w:rsidP="00805618">
      <w:pPr>
        <w:pStyle w:val="ListNumber2"/>
        <w:numPr>
          <w:ilvl w:val="0"/>
          <w:numId w:val="36"/>
        </w:numPr>
        <w:ind w:left="1276" w:hanging="567"/>
      </w:pPr>
      <w:r>
        <w:t>a</w:t>
      </w:r>
      <w:r w:rsidR="0088239E">
        <w:t xml:space="preserve">llowing individuals subject to a confidentiality notice to disclose otherwise unauthorised disclosures to a doctor or psychologist in seeking assistance, or an insurer for the purposes of a </w:t>
      </w:r>
      <w:proofErr w:type="gramStart"/>
      <w:r w:rsidR="0088239E">
        <w:t>workers</w:t>
      </w:r>
      <w:proofErr w:type="gramEnd"/>
      <w:r w:rsidR="0088239E">
        <w:t xml:space="preserve"> compensation claim;</w:t>
      </w:r>
    </w:p>
    <w:p w14:paraId="1DFCC929" w14:textId="35A552A5" w:rsidR="0088239E" w:rsidRDefault="00805618" w:rsidP="00805618">
      <w:pPr>
        <w:pStyle w:val="ListNumber2"/>
        <w:numPr>
          <w:ilvl w:val="0"/>
          <w:numId w:val="36"/>
        </w:numPr>
        <w:ind w:left="1276" w:hanging="567"/>
      </w:pPr>
      <w:r>
        <w:t>a</w:t>
      </w:r>
      <w:r w:rsidR="0088239E">
        <w:t>llowing persons to nominate someone to assist them in preparing a response to proposed reports, subject to non-disclosure notices; and</w:t>
      </w:r>
    </w:p>
    <w:p w14:paraId="05BDF20E" w14:textId="6BD0B1C2" w:rsidR="0088239E" w:rsidRDefault="00805618" w:rsidP="00805618">
      <w:pPr>
        <w:pStyle w:val="ListNumber2"/>
        <w:numPr>
          <w:ilvl w:val="0"/>
          <w:numId w:val="36"/>
        </w:numPr>
        <w:ind w:left="1276" w:hanging="567"/>
      </w:pPr>
      <w:r>
        <w:t>a</w:t>
      </w:r>
      <w:r w:rsidR="0088239E">
        <w:t xml:space="preserve">llowing protected information to be divulged where it is the only reasonable way to deal with an </w:t>
      </w:r>
      <w:proofErr w:type="gramStart"/>
      <w:r w:rsidR="0088239E">
        <w:t>emergency;</w:t>
      </w:r>
      <w:proofErr w:type="gramEnd"/>
    </w:p>
    <w:p w14:paraId="62FBB37D" w14:textId="77777777" w:rsidR="0088239E" w:rsidRDefault="0088239E" w:rsidP="0048298C">
      <w:pPr>
        <w:pStyle w:val="ListNumber2"/>
        <w:numPr>
          <w:ilvl w:val="1"/>
          <w:numId w:val="26"/>
        </w:numPr>
        <w:ind w:hanging="720"/>
      </w:pPr>
      <w:r>
        <w:t>The Bill may limit the right to freedom of expression in section 16 of the HRA by:</w:t>
      </w:r>
    </w:p>
    <w:p w14:paraId="6D21A949" w14:textId="79F1E4D1" w:rsidR="0088239E" w:rsidRDefault="00805618" w:rsidP="00805618">
      <w:pPr>
        <w:pStyle w:val="ListNumber2"/>
        <w:numPr>
          <w:ilvl w:val="0"/>
          <w:numId w:val="37"/>
        </w:numPr>
        <w:ind w:left="1276" w:hanging="567"/>
      </w:pPr>
      <w:r>
        <w:t>r</w:t>
      </w:r>
      <w:r w:rsidR="0088239E">
        <w:t>estricting information in special and annual reports where they may compromise an investigation; and</w:t>
      </w:r>
    </w:p>
    <w:p w14:paraId="3F683E6B" w14:textId="3B0EC0BA" w:rsidR="0088239E" w:rsidRDefault="00805618" w:rsidP="00805618">
      <w:pPr>
        <w:pStyle w:val="ListNumber2"/>
        <w:numPr>
          <w:ilvl w:val="0"/>
          <w:numId w:val="37"/>
        </w:numPr>
        <w:ind w:left="1276" w:hanging="567"/>
      </w:pPr>
      <w:r>
        <w:t>a</w:t>
      </w:r>
      <w:r w:rsidR="0088239E">
        <w:t xml:space="preserve">mending the </w:t>
      </w:r>
      <w:r w:rsidR="0088239E" w:rsidRPr="00805618">
        <w:rPr>
          <w:i/>
          <w:iCs/>
        </w:rPr>
        <w:t>Freedom of Information Act 2016</w:t>
      </w:r>
      <w:r w:rsidR="0088239E">
        <w:t xml:space="preserve"> to exempt from release information relating to integrity commission matters, including information that could be expected to identify a person who has provided information to the Commissioner or Inspector, adversely affect an inquiry or method or procedure used by the Commission, or endanger life or physical safety.  </w:t>
      </w:r>
    </w:p>
    <w:p w14:paraId="1D2F741A" w14:textId="77777777" w:rsidR="0088239E" w:rsidRDefault="0088239E" w:rsidP="0048298C">
      <w:pPr>
        <w:pStyle w:val="ListNumber2"/>
        <w:numPr>
          <w:ilvl w:val="1"/>
          <w:numId w:val="26"/>
        </w:numPr>
        <w:ind w:hanging="720"/>
      </w:pPr>
      <w:r>
        <w:t>The Bill may limit the right to a fair trial in section 21 of the HRA by reducing the threshold before the Commission can issue a preliminary inquiry notice or examination summons. Currently the Commission must be satisfied that the notice or summons is necessary for it to decide to take certain further actions. The Bill will lower this to where the Commission suspects that it may be necessary, and it is reasonable to issue the notice or summons.</w:t>
      </w:r>
    </w:p>
    <w:p w14:paraId="4085CC22" w14:textId="77777777" w:rsidR="0088239E" w:rsidRDefault="0088239E" w:rsidP="0048298C">
      <w:pPr>
        <w:pStyle w:val="ListNumber2"/>
        <w:numPr>
          <w:ilvl w:val="1"/>
          <w:numId w:val="26"/>
        </w:numPr>
        <w:ind w:hanging="720"/>
      </w:pPr>
      <w:r>
        <w:t>The Bill may also limit the right to take part in public life in section 17 of the HRA and the right to work in section 27B of the HRA by restricting Members of the Assembly and their staff from being appointed as staff of the Commission for two years.</w:t>
      </w:r>
    </w:p>
    <w:p w14:paraId="67F50127" w14:textId="754EA4C7" w:rsidR="0088239E" w:rsidRDefault="0088239E" w:rsidP="0048298C">
      <w:pPr>
        <w:pStyle w:val="ListNumber2"/>
        <w:numPr>
          <w:ilvl w:val="1"/>
          <w:numId w:val="26"/>
        </w:numPr>
        <w:ind w:hanging="720"/>
      </w:pPr>
      <w:r>
        <w:t xml:space="preserve">The explanatory statement accompanying the Bill recognises these potential limitations and provides for why they should be considered reasonable using the framework set out in section 28 of the HRA. The Committee refers that statement to the Assembly. </w:t>
      </w:r>
    </w:p>
    <w:p w14:paraId="3D3A15FA" w14:textId="0FD82B96" w:rsidR="0088239E" w:rsidRDefault="0088239E" w:rsidP="0048298C">
      <w:pPr>
        <w:pStyle w:val="ListNumber2"/>
        <w:numPr>
          <w:ilvl w:val="1"/>
          <w:numId w:val="26"/>
        </w:numPr>
        <w:ind w:hanging="720"/>
      </w:pPr>
      <w:r>
        <w:rPr>
          <w:b/>
        </w:rPr>
        <w:t xml:space="preserve">The Committee draws this matter to the attention of the </w:t>
      </w:r>
      <w:proofErr w:type="gramStart"/>
      <w:r>
        <w:rPr>
          <w:b/>
        </w:rPr>
        <w:t>Assembly, but</w:t>
      </w:r>
      <w:proofErr w:type="gramEnd"/>
      <w:r>
        <w:rPr>
          <w:b/>
        </w:rPr>
        <w:t xml:space="preserve"> does not require a</w:t>
      </w:r>
      <w:r w:rsidR="00805618">
        <w:rPr>
          <w:b/>
        </w:rPr>
        <w:t> </w:t>
      </w:r>
      <w:r>
        <w:rPr>
          <w:b/>
        </w:rPr>
        <w:t>response from the Minister.</w:t>
      </w:r>
    </w:p>
    <w:p w14:paraId="7869E55E" w14:textId="24C1C987" w:rsidR="0088239E" w:rsidRDefault="0088239E" w:rsidP="0088239E">
      <w:pPr>
        <w:pStyle w:val="Heading20"/>
      </w:pPr>
      <w:bookmarkStart w:id="117" w:name="_Toc174548896"/>
      <w:r>
        <w:t>Proposed Amendments</w:t>
      </w:r>
      <w:r w:rsidR="00805618">
        <w:t>—</w:t>
      </w:r>
      <w:r>
        <w:t>Comment</w:t>
      </w:r>
      <w:bookmarkEnd w:id="117"/>
    </w:p>
    <w:p w14:paraId="11914747" w14:textId="77777777" w:rsidR="0088239E" w:rsidRDefault="0088239E" w:rsidP="0088239E">
      <w:pPr>
        <w:pStyle w:val="Heading3"/>
      </w:pPr>
      <w:bookmarkStart w:id="118" w:name="_Toc174548897"/>
      <w:r>
        <w:t>Gaming Machine (Compulsory Surrender) Amendment Bill 2024</w:t>
      </w:r>
      <w:bookmarkEnd w:id="118"/>
    </w:p>
    <w:p w14:paraId="0D6839A6" w14:textId="77777777" w:rsidR="0088239E" w:rsidRDefault="0088239E" w:rsidP="0048298C">
      <w:pPr>
        <w:pStyle w:val="ListNumber2"/>
        <w:numPr>
          <w:ilvl w:val="1"/>
          <w:numId w:val="26"/>
        </w:numPr>
        <w:ind w:hanging="720"/>
      </w:pPr>
      <w:r>
        <w:t xml:space="preserve">On 12 August 2024, the Committee received two sets of proposed amendments to the Gaming Machine (Compulsory Surrender) Amendment Bill 2024 from Mr Braddock MLA. </w:t>
      </w:r>
    </w:p>
    <w:p w14:paraId="72785A63" w14:textId="77777777" w:rsidR="0088239E" w:rsidRDefault="0088239E" w:rsidP="0048298C">
      <w:pPr>
        <w:pStyle w:val="ListNumber2"/>
        <w:numPr>
          <w:ilvl w:val="1"/>
          <w:numId w:val="26"/>
        </w:numPr>
        <w:ind w:hanging="720"/>
      </w:pPr>
      <w:r>
        <w:t xml:space="preserve">The first proposed amendments will only permit individuals to operate an electronic gaming machine (EGM) if they have an ACT player card, have not been excluded under relevant gambling legislation, have not reached limits on the net </w:t>
      </w:r>
      <w:proofErr w:type="gramStart"/>
      <w:r>
        <w:t>loss</w:t>
      </w:r>
      <w:proofErr w:type="gramEnd"/>
      <w:r>
        <w:t xml:space="preserve"> and playing period, and have taken required breaks.</w:t>
      </w:r>
    </w:p>
    <w:p w14:paraId="0E3073F1" w14:textId="77777777" w:rsidR="0088239E" w:rsidRDefault="0088239E" w:rsidP="0088239E">
      <w:pPr>
        <w:pStyle w:val="Heading4"/>
        <w:rPr>
          <w:rFonts w:eastAsia="Calibri"/>
          <w:lang w:eastAsia="en-AU"/>
        </w:rPr>
      </w:pPr>
      <w:bookmarkStart w:id="119" w:name="_Toc174548898"/>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rFonts w:eastAsia="Calibri"/>
          <w:lang w:eastAsia="en-AU"/>
        </w:rPr>
        <w:t xml:space="preserve"> </w:t>
      </w:r>
      <w:r>
        <w:rPr>
          <w:lang w:val="en-US"/>
        </w:rPr>
        <w:t>Committee Resolution of Appointment paragraph (10)(a)(</w:t>
      </w:r>
      <w:proofErr w:type="spellStart"/>
      <w:r>
        <w:rPr>
          <w:lang w:val="en-US"/>
        </w:rPr>
        <w:t>i</w:t>
      </w:r>
      <w:proofErr w:type="spellEnd"/>
      <w:r>
        <w:rPr>
          <w:lang w:val="en-US"/>
        </w:rPr>
        <w:t>)</w:t>
      </w:r>
      <w:bookmarkEnd w:id="119"/>
      <w:r>
        <w:rPr>
          <w:lang w:val="en-US"/>
        </w:rPr>
        <w:t xml:space="preserve">  </w:t>
      </w:r>
    </w:p>
    <w:p w14:paraId="73DC8E48" w14:textId="77777777" w:rsidR="0088239E" w:rsidRDefault="0088239E" w:rsidP="0088239E">
      <w:pPr>
        <w:pStyle w:val="Heading4"/>
        <w:rPr>
          <w:rFonts w:eastAsia="Calibri"/>
          <w:i/>
          <w:lang w:eastAsia="en-AU"/>
        </w:rPr>
      </w:pPr>
      <w:bookmarkStart w:id="120" w:name="_Toc174548899"/>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20"/>
    </w:p>
    <w:p w14:paraId="6F4B6706" w14:textId="77777777" w:rsidR="0088239E" w:rsidRDefault="0088239E" w:rsidP="0088239E">
      <w:pPr>
        <w:pStyle w:val="Heading5"/>
      </w:pPr>
      <w:r>
        <w:t xml:space="preserve">Right to privacy and reputation (section 12 HRA) </w:t>
      </w:r>
    </w:p>
    <w:p w14:paraId="3ABC4F96" w14:textId="77777777" w:rsidR="0088239E" w:rsidRDefault="0088239E" w:rsidP="0048298C">
      <w:pPr>
        <w:pStyle w:val="ListNumber2"/>
        <w:numPr>
          <w:ilvl w:val="1"/>
          <w:numId w:val="26"/>
        </w:numPr>
        <w:ind w:hanging="720"/>
      </w:pPr>
      <w:r>
        <w:t xml:space="preserve">The first proposed amendments will require all individuals who want to operate an EGM to have an ACT player card. That card will record the funds available on the card which can be used to operate an EGM or redeemed by the card holder. It will have a security measure known only to the person issued with the card. The proposed amendments do not provide for who will be responsible for issuing an ACT player card and the conditions on which it will be issued. </w:t>
      </w:r>
    </w:p>
    <w:p w14:paraId="6545F173" w14:textId="6C251C3F" w:rsidR="0088239E" w:rsidRDefault="0088239E" w:rsidP="0048298C">
      <w:pPr>
        <w:pStyle w:val="ListNumber2"/>
        <w:numPr>
          <w:ilvl w:val="1"/>
          <w:numId w:val="26"/>
        </w:numPr>
        <w:ind w:hanging="720"/>
      </w:pPr>
      <w:r>
        <w:t xml:space="preserve">The proposed amendments will also require anyone operating an EGM to use a pre-commitment system which identifies the person intending to operate the </w:t>
      </w:r>
      <w:proofErr w:type="gramStart"/>
      <w:r>
        <w:t>machine</w:t>
      </w:r>
      <w:r w:rsidR="00805618">
        <w:t>,</w:t>
      </w:r>
      <w:r>
        <w:t xml:space="preserve"> and</w:t>
      </w:r>
      <w:proofErr w:type="gramEnd"/>
      <w:r>
        <w:t xml:space="preserve"> requires them to set a playing period and maximum net loss amount which must be less than periods and amounts prescribed by legislation. The centralised monitoring system (CMS) for EGMs will be connected to the pre-commitment system to prevent a person from operating an EGM if they have exceeded their net loss amount and playing period. The CMS will also prevent persons from operating an EGM during prescribed breaks, or if they are on the exclusion register as provided under Gambling and Racing Control (Code of Practice) Regulation 2002, section 20.</w:t>
      </w:r>
    </w:p>
    <w:p w14:paraId="474CBF50" w14:textId="77777777" w:rsidR="0088239E" w:rsidRDefault="0088239E" w:rsidP="0048298C">
      <w:pPr>
        <w:pStyle w:val="ListNumber2"/>
        <w:numPr>
          <w:ilvl w:val="1"/>
          <w:numId w:val="26"/>
        </w:numPr>
        <w:ind w:hanging="720"/>
      </w:pPr>
      <w:r>
        <w:t>The draft explanatory statement accompanying the first proposed amendments outlines the intention of these amendments to limit the harms associated with gambling, including financial, health and relationship problems:</w:t>
      </w:r>
    </w:p>
    <w:p w14:paraId="66544789" w14:textId="07905340" w:rsidR="0088239E" w:rsidRDefault="0088239E" w:rsidP="0088239E">
      <w:pPr>
        <w:pStyle w:val="Quote"/>
      </w:pPr>
      <w:r>
        <w:t xml:space="preserve">The account-based gambling, loss limits and time limits, will be achieved through adoption of a cashless </w:t>
      </w:r>
      <w:r w:rsidR="00013602">
        <w:t>“</w:t>
      </w:r>
      <w:r>
        <w:t>player card</w:t>
      </w:r>
      <w:r w:rsidR="00013602">
        <w:t>”</w:t>
      </w:r>
      <w:r>
        <w:t xml:space="preserve"> required for any EGM gambling and linked to a player’s account. The account and protections will operate across all ACT EGMs, linked by the CMS. This ensures people can’t </w:t>
      </w:r>
      <w:r w:rsidR="00013602">
        <w:t>“</w:t>
      </w:r>
      <w:r>
        <w:t>venue hop</w:t>
      </w:r>
      <w:r w:rsidR="00013602">
        <w:t>”</w:t>
      </w:r>
      <w:r>
        <w:t xml:space="preserve"> within the ACT to continue gambling and to exceed the predetermined loss limits. </w:t>
      </w:r>
    </w:p>
    <w:p w14:paraId="4A494D0D" w14:textId="77777777" w:rsidR="0088239E" w:rsidRDefault="0088239E" w:rsidP="0048298C">
      <w:pPr>
        <w:pStyle w:val="ListNumber2"/>
        <w:numPr>
          <w:ilvl w:val="1"/>
          <w:numId w:val="26"/>
        </w:numPr>
        <w:ind w:hanging="720"/>
      </w:pPr>
      <w:r>
        <w:t xml:space="preserve">The operation of the proposed amendments will therefore depend on preventing individuals from obtaining more than one ACT player card or being able to operate EGMs throughout the Territory beyond the set net loss and time limits. The proposed amendments do not provide for how these objectives will be achieved, other than providing for any CMS and pre-commitment system to be approved by the commission by notifiable instrument. </w:t>
      </w:r>
    </w:p>
    <w:p w14:paraId="791DD658" w14:textId="77777777" w:rsidR="0088239E" w:rsidRDefault="0088239E" w:rsidP="0048298C">
      <w:pPr>
        <w:pStyle w:val="ListNumber2"/>
        <w:numPr>
          <w:ilvl w:val="1"/>
          <w:numId w:val="26"/>
        </w:numPr>
        <w:ind w:hanging="720"/>
      </w:pPr>
      <w:r>
        <w:t>The draft explanatory statement states that the first proposed amendments do not engage with human rights as they do not regulate government behaviour. The statement goes on, however, to state:</w:t>
      </w:r>
    </w:p>
    <w:p w14:paraId="08B4DA05" w14:textId="77777777" w:rsidR="0088239E" w:rsidRDefault="0088239E" w:rsidP="0088239E">
      <w:pPr>
        <w:pStyle w:val="Quote"/>
      </w:pPr>
      <w:r>
        <w:t xml:space="preserve">The requirement for an account to gamble also requires the collection of personal data, which engage the right to privacy. Gambling on EGMs is a personal choice and people can choose to participate in the system, and hence to submit personal data. Both the loss limits and the collection of personal data are targeted to a specific purpose. The loss limits to ensure people, especially those susceptible to gambling addiction, cannot lose an unlimited amount of money; and the player account to make the system efficacious, so that people cannot use multiple accounts or trade accounts </w:t>
      </w:r>
      <w:proofErr w:type="gramStart"/>
      <w:r>
        <w:t>in order to</w:t>
      </w:r>
      <w:proofErr w:type="gramEnd"/>
      <w:r>
        <w:t xml:space="preserve"> circumvent the loss limits. It is also relevant that the amendments requiring loss limit and player accounts are intended to protect the well-being of those vulnerable to predatory behaviour by the gambling industry, and to protect them from the greater harms wrought by a loss of financial means.</w:t>
      </w:r>
    </w:p>
    <w:p w14:paraId="1D1CA299" w14:textId="77777777" w:rsidR="0088239E" w:rsidRDefault="0088239E" w:rsidP="0048298C">
      <w:pPr>
        <w:pStyle w:val="ListNumber2"/>
        <w:numPr>
          <w:ilvl w:val="1"/>
          <w:numId w:val="26"/>
        </w:numPr>
        <w:ind w:hanging="720"/>
      </w:pPr>
      <w:r>
        <w:t xml:space="preserve">The Committee is concerned that the first proposed amendments may limit the protection of privacy provided by section 12 of the HRA. The proposed amendments will require information on individuals, including unique identification information, to be stored and shared, potentially with </w:t>
      </w:r>
      <w:proofErr w:type="gramStart"/>
      <w:r>
        <w:t>a large number of</w:t>
      </w:r>
      <w:proofErr w:type="gramEnd"/>
      <w:r>
        <w:t xml:space="preserve"> licensees and associated organisations and available to the commission and other government officials as part of the audit process. Any protections of privacy that might be incorporated in the pre-commitment system and CMS are limited to approval by the commission through a notifiable instrument that is not subject to scrutiny by this Committee or the Assembly. The proposed amendments also do not provide for any protections of privacy related to the issue of the ACT player card. The justification provided in the draft explanatory statement does not adequately set out why any limitation of privacy should be considered reasonable. </w:t>
      </w:r>
    </w:p>
    <w:p w14:paraId="6E968492" w14:textId="77777777" w:rsidR="0088239E" w:rsidRDefault="0088239E" w:rsidP="0048298C">
      <w:pPr>
        <w:pStyle w:val="ListNumber2"/>
        <w:numPr>
          <w:ilvl w:val="1"/>
          <w:numId w:val="26"/>
        </w:numPr>
        <w:ind w:hanging="720"/>
      </w:pPr>
      <w:r>
        <w:rPr>
          <w:b/>
          <w:bCs w:val="0"/>
        </w:rPr>
        <w:t>The Committee therefore requests further information from the member on how the proposed amendments will impact on the privacy of individuals and why any limitation of privacy should be considered reasonable using the framework set out in section 28 of the HRA. Consideration should be given to amending the draft explanatory statement to include this information</w:t>
      </w:r>
      <w:r>
        <w:t xml:space="preserve">. </w:t>
      </w:r>
    </w:p>
    <w:tbl>
      <w:tblPr>
        <w:tblStyle w:val="Recommendationbox"/>
        <w:tblW w:w="0" w:type="auto"/>
        <w:tblLook w:val="0600" w:firstRow="0" w:lastRow="0" w:firstColumn="0" w:lastColumn="0" w:noHBand="1" w:noVBand="1"/>
      </w:tblPr>
      <w:tblGrid>
        <w:gridCol w:w="8175"/>
      </w:tblGrid>
      <w:tr w:rsidR="0088239E" w14:paraId="12F4C6D8" w14:textId="77777777" w:rsidTr="0088239E">
        <w:tc>
          <w:tcPr>
            <w:tcW w:w="7891" w:type="dxa"/>
            <w:hideMark/>
          </w:tcPr>
          <w:p w14:paraId="1F68CFB3" w14:textId="77777777" w:rsidR="0088239E" w:rsidRDefault="0088239E">
            <w:pPr>
              <w:pStyle w:val="ListNumber2"/>
            </w:pPr>
            <w:bookmarkStart w:id="121" w:name="_Hlk174454827"/>
            <w:r>
              <w:t>The Committee draws this matter to the attention of the Assembly and asks the Member to respond with sufficient time to allow the Committee to consider the response prior to the Bill being debated.</w:t>
            </w:r>
          </w:p>
        </w:tc>
      </w:tr>
    </w:tbl>
    <w:bookmarkEnd w:id="121"/>
    <w:p w14:paraId="537D0484" w14:textId="77777777" w:rsidR="0088239E" w:rsidRDefault="0088239E" w:rsidP="0048298C">
      <w:pPr>
        <w:pStyle w:val="ListNumber2"/>
        <w:numPr>
          <w:ilvl w:val="1"/>
          <w:numId w:val="26"/>
        </w:numPr>
        <w:ind w:hanging="720"/>
      </w:pPr>
      <w:r>
        <w:t>The second proposed amendments provided by Mr Braddock will prevent a club from being eligible to be granted a licence to operate gaming machines if one of its objects is to promote only one political grouping or associated entity.</w:t>
      </w:r>
    </w:p>
    <w:p w14:paraId="7E2310B2" w14:textId="21D0B112" w:rsidR="0088239E" w:rsidRDefault="0088239E" w:rsidP="0088239E">
      <w:pPr>
        <w:pStyle w:val="Heading4"/>
        <w:rPr>
          <w:rFonts w:eastAsia="Calibri"/>
          <w:lang w:eastAsia="en-AU"/>
        </w:rPr>
      </w:pPr>
      <w:bookmarkStart w:id="122" w:name="_Toc174548900"/>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lang w:val="en-US"/>
        </w:rPr>
        <w:t>Committee Resolution of Appointment paragraph (10)(a)(</w:t>
      </w:r>
      <w:proofErr w:type="spellStart"/>
      <w:r>
        <w:rPr>
          <w:lang w:val="en-US"/>
        </w:rPr>
        <w:t>i</w:t>
      </w:r>
      <w:proofErr w:type="spellEnd"/>
      <w:r>
        <w:rPr>
          <w:lang w:val="en-US"/>
        </w:rPr>
        <w:t>)</w:t>
      </w:r>
      <w:bookmarkEnd w:id="122"/>
      <w:r>
        <w:rPr>
          <w:lang w:val="en-US"/>
        </w:rPr>
        <w:t xml:space="preserve">  </w:t>
      </w:r>
    </w:p>
    <w:p w14:paraId="22446737" w14:textId="77777777" w:rsidR="0088239E" w:rsidRDefault="0088239E" w:rsidP="0088239E">
      <w:pPr>
        <w:pStyle w:val="Heading4"/>
        <w:rPr>
          <w:rFonts w:eastAsia="Calibri"/>
          <w:i/>
          <w:lang w:eastAsia="en-AU"/>
        </w:rPr>
      </w:pPr>
      <w:bookmarkStart w:id="123" w:name="_Toc174548901"/>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23"/>
    </w:p>
    <w:p w14:paraId="353867D9" w14:textId="77777777" w:rsidR="0088239E" w:rsidRDefault="0088239E" w:rsidP="0088239E">
      <w:pPr>
        <w:pStyle w:val="Heading5"/>
      </w:pPr>
      <w:r>
        <w:t>Right to peaceful expression and freedom of association (section 15 HRA)</w:t>
      </w:r>
    </w:p>
    <w:p w14:paraId="4FF4B284" w14:textId="77777777" w:rsidR="0088239E" w:rsidRDefault="0088239E" w:rsidP="0088239E">
      <w:pPr>
        <w:pStyle w:val="Heading5"/>
      </w:pPr>
      <w:r>
        <w:t xml:space="preserve">Right to freedom of expression (section 16 HRA) </w:t>
      </w:r>
    </w:p>
    <w:p w14:paraId="7971651D" w14:textId="77777777" w:rsidR="0088239E" w:rsidRDefault="0088239E" w:rsidP="0048298C">
      <w:pPr>
        <w:pStyle w:val="ListNumber2"/>
        <w:numPr>
          <w:ilvl w:val="1"/>
          <w:numId w:val="26"/>
        </w:numPr>
        <w:ind w:hanging="720"/>
      </w:pPr>
      <w:r>
        <w:t xml:space="preserve">The </w:t>
      </w:r>
      <w:r>
        <w:rPr>
          <w:i/>
          <w:iCs/>
        </w:rPr>
        <w:t xml:space="preserve">Gaming Machine Act 2004 </w:t>
      </w:r>
      <w:r>
        <w:t>restricts when a club (defined as a corporation or incorporated association established for the benefit of members to achieve eligible objects) is eligible for a licence to operate gaming machines. The club must be conducted mainly to achieve eligible objects and have eligible objects as the main part of its statement of objects. Eligible objects include to further and promote political purposes.</w:t>
      </w:r>
    </w:p>
    <w:p w14:paraId="0E4110B6" w14:textId="4A979AC4" w:rsidR="0088239E" w:rsidRDefault="0088239E" w:rsidP="0048298C">
      <w:pPr>
        <w:pStyle w:val="ListNumber2"/>
        <w:numPr>
          <w:ilvl w:val="1"/>
          <w:numId w:val="26"/>
        </w:numPr>
        <w:ind w:hanging="720"/>
      </w:pPr>
      <w:r>
        <w:t>The second proposed amendments will exclude from the list of eligible objects an object of a</w:t>
      </w:r>
      <w:r w:rsidR="00805618">
        <w:t> </w:t>
      </w:r>
      <w:r>
        <w:t xml:space="preserve">club that, expressly or in substance, furthers or promotes only one party grouping or associated entity. A party grouping is defined in the </w:t>
      </w:r>
      <w:r>
        <w:rPr>
          <w:i/>
          <w:iCs/>
        </w:rPr>
        <w:t>Electoral Act 1992</w:t>
      </w:r>
      <w:r>
        <w:t xml:space="preserve"> to mean a registered party and its MLAs, </w:t>
      </w:r>
      <w:proofErr w:type="gramStart"/>
      <w:r>
        <w:t>candidates</w:t>
      </w:r>
      <w:proofErr w:type="gramEnd"/>
      <w:r>
        <w:t xml:space="preserve"> and prospective candidates. Associated entities are entities controlled by political parties or MLAs or which significantly operate for their benefit. Eligible clubs cannot have the excluded object as one of their stated objects. Eligible clubs and their associated organisations will not be able to be conducted to achieve the excluded object. </w:t>
      </w:r>
    </w:p>
    <w:p w14:paraId="712ABD4D" w14:textId="3D005C10" w:rsidR="0088239E" w:rsidRDefault="0088239E" w:rsidP="0048298C">
      <w:pPr>
        <w:pStyle w:val="ListNumber2"/>
        <w:numPr>
          <w:ilvl w:val="1"/>
          <w:numId w:val="26"/>
        </w:numPr>
        <w:ind w:hanging="720"/>
      </w:pPr>
      <w:r>
        <w:t xml:space="preserve">The draft explanatory statement accompanying the second proposed amendments suggests they </w:t>
      </w:r>
      <w:r w:rsidR="00013602">
        <w:t>“</w:t>
      </w:r>
      <w:r>
        <w:t>would effectively require clubs that wish to be an eligible club to hold a gaming licence to reform their articles of incorporation, amending their objectives to sever their ties to a</w:t>
      </w:r>
      <w:r w:rsidR="00805618">
        <w:t> </w:t>
      </w:r>
      <w:r>
        <w:t>party grouping</w:t>
      </w:r>
      <w:r w:rsidR="00013602">
        <w:t>”</w:t>
      </w:r>
      <w:r>
        <w:t>. The statement describes the human rights compatibility of the Bill in this way:</w:t>
      </w:r>
    </w:p>
    <w:p w14:paraId="0FAD331A" w14:textId="77777777" w:rsidR="0088239E" w:rsidRDefault="0088239E" w:rsidP="0088239E">
      <w:pPr>
        <w:pStyle w:val="Quote"/>
      </w:pPr>
      <w:r>
        <w:t>These amendments do not have a direct bearing on human rights. Human rights apply to people, not organisations. The right to peaceful assembly and freedom of association (Human Rights Act 2004, section 15) is preserved as a person’s ability to choose to join a club of any kind is not affected by these amendments. The freedom of expression (Human Rights Act 2004, section 16) is preserved as a person who is a member of a club is not restricted from any form of political communication or activity.</w:t>
      </w:r>
    </w:p>
    <w:p w14:paraId="028E374E" w14:textId="0CF598B0" w:rsidR="0088239E" w:rsidRDefault="0088239E" w:rsidP="00805618">
      <w:pPr>
        <w:pStyle w:val="ListNumber2"/>
        <w:keepNext/>
        <w:numPr>
          <w:ilvl w:val="1"/>
          <w:numId w:val="26"/>
        </w:numPr>
        <w:ind w:hanging="720"/>
      </w:pPr>
      <w:r>
        <w:t xml:space="preserve">The draft explanatory statement recognises that the proposed amendment may restrict </w:t>
      </w:r>
      <w:r w:rsidR="000F17AD">
        <w:t>t</w:t>
      </w:r>
      <w:r>
        <w:t xml:space="preserve">he implied freedom of political communication as described in the High Court case of </w:t>
      </w:r>
      <w:r>
        <w:rPr>
          <w:i/>
          <w:iCs/>
        </w:rPr>
        <w:t>McCloy v New South Wales</w:t>
      </w:r>
      <w:r>
        <w:rPr>
          <w:rStyle w:val="FootnoteReference"/>
          <w:i/>
          <w:iCs/>
        </w:rPr>
        <w:footnoteReference w:id="1"/>
      </w:r>
      <w:r>
        <w:rPr>
          <w:i/>
          <w:iCs/>
        </w:rPr>
        <w:t>.</w:t>
      </w:r>
      <w:r>
        <w:t xml:space="preserve"> However, the statement concludes that:</w:t>
      </w:r>
    </w:p>
    <w:p w14:paraId="24EC4A0F" w14:textId="77777777" w:rsidR="0088239E" w:rsidRDefault="0088239E" w:rsidP="00805618">
      <w:pPr>
        <w:pStyle w:val="Quote"/>
        <w:spacing w:before="120" w:after="120"/>
      </w:pPr>
      <w:r>
        <w:t>restricting the conflict of interest of gambling entities being directly associated with political parties is [a] … suitable objective, is necessary by virtue of not being possible to resolve through other means which would not impact the implied freedom, and adequate in its balance in that it burdens the implied freedom no more than is necessary to achieve the legitimate objective.</w:t>
      </w:r>
    </w:p>
    <w:p w14:paraId="17E1E710" w14:textId="6272FB48" w:rsidR="0088239E" w:rsidRDefault="0088239E" w:rsidP="0048298C">
      <w:pPr>
        <w:pStyle w:val="ListNumber2"/>
        <w:numPr>
          <w:ilvl w:val="1"/>
          <w:numId w:val="26"/>
        </w:numPr>
        <w:ind w:hanging="720"/>
      </w:pPr>
      <w:r>
        <w:t xml:space="preserve">The Committee is concerned that the draft explanatory statement fails to recognise the potential human rights limitations of the proposed amendments. The proposed amendments are intended to prevent a conflict of interest between political parties receiving substantial donations raised from operating gambling machines and their willingness to pursue reform of gambling machine regulation. The proposed amendments therefore are intended to remove a substantial stream of donations which would, at least indirectly, affect the ability of MLAs, </w:t>
      </w:r>
      <w:proofErr w:type="gramStart"/>
      <w:r>
        <w:t>candidates</w:t>
      </w:r>
      <w:proofErr w:type="gramEnd"/>
      <w:r>
        <w:t xml:space="preserve"> and potential candidates from engaging in political expression. In addition, the amendments may limit the expression of support reflected in being a member of a club whose objects and conduct include support for a</w:t>
      </w:r>
      <w:r w:rsidR="00805618">
        <w:t> </w:t>
      </w:r>
      <w:r>
        <w:t>political party.</w:t>
      </w:r>
    </w:p>
    <w:p w14:paraId="506A117A" w14:textId="0E6BE586" w:rsidR="0088239E" w:rsidRDefault="0088239E" w:rsidP="0048298C">
      <w:pPr>
        <w:pStyle w:val="ListNumber2"/>
        <w:numPr>
          <w:ilvl w:val="1"/>
          <w:numId w:val="26"/>
        </w:numPr>
        <w:ind w:hanging="720"/>
      </w:pPr>
      <w:r>
        <w:t xml:space="preserve">The proposed amendments will also affect the basis on which individuals may choose to assemble. Clubs wishing to promote one party or associated entity will be restricted in how they raise revenue. Promotion is not limited to making monetary donations. Other forms of promotion, at least when substantially limited to one party or political association, will also be restricted. Members of clubs with a machine licence will be restricted in what activities they can conduct through their club. Individuals will be restricted from joining or forming clubs for an excluded purpose if they also wish to obtain a gaming machine licence. </w:t>
      </w:r>
    </w:p>
    <w:p w14:paraId="102D45CC" w14:textId="0BF2DC79" w:rsidR="0088239E" w:rsidRDefault="0088239E" w:rsidP="0048298C">
      <w:pPr>
        <w:pStyle w:val="ListNumber2"/>
        <w:numPr>
          <w:ilvl w:val="1"/>
          <w:numId w:val="26"/>
        </w:numPr>
        <w:ind w:hanging="720"/>
      </w:pPr>
      <w:r>
        <w:t>The Committee is also concerned that the proposed amendments are not suitable or the least restrictive means available to achieve their objectives. The Committee acknowledges the legitimate purposes of reducing the potential conflict between donations from gaming machine revenue and gambling reform. However, the proposed amendments do not affect political donations from gaming machine licensees generally. They do not prevent a club from donating or otherwise promoting more than one party grouping which might similarly influence the perceived potential for law reform in this area. The excluded object may also only be a minor part of the club’s activities: a club can’t include the excluded object on its statement of objects even if not included in the main part of the club’s objects, and a</w:t>
      </w:r>
      <w:r w:rsidR="00805618">
        <w:t> </w:t>
      </w:r>
      <w:r>
        <w:t xml:space="preserve">licensee or its associated organisations cannot be conducted to achieve an excluded object, no matter how relatively significant the conduct might be. </w:t>
      </w:r>
    </w:p>
    <w:p w14:paraId="33DB59BC" w14:textId="2DBFE221" w:rsidR="0088239E" w:rsidRDefault="0088239E" w:rsidP="0048298C">
      <w:pPr>
        <w:pStyle w:val="ListNumber2"/>
        <w:numPr>
          <w:ilvl w:val="1"/>
          <w:numId w:val="26"/>
        </w:numPr>
        <w:ind w:hanging="720"/>
      </w:pPr>
      <w:r>
        <w:rPr>
          <w:b/>
          <w:bCs w:val="0"/>
        </w:rPr>
        <w:t>The Committee therefore requests further information from the Member on how the second proposed amendments may affect the rights protected under sections 15 and 1</w:t>
      </w:r>
      <w:r w:rsidR="00936602">
        <w:rPr>
          <w:b/>
          <w:bCs w:val="0"/>
        </w:rPr>
        <w:t>6</w:t>
      </w:r>
      <w:r>
        <w:rPr>
          <w:b/>
          <w:bCs w:val="0"/>
        </w:rPr>
        <w:t xml:space="preserve"> of the HRA and why any limitations should be considered reasonable using the framework in section 28 of the HRA. Consideration should be given to amending the draft explanatory statement to include this information. The Committee also requests further information on why the proposed amendments should be considered compatible with the implied freedom of political communication given the concerns raised above</w:t>
      </w:r>
      <w:r>
        <w:t xml:space="preserve">. </w:t>
      </w:r>
    </w:p>
    <w:tbl>
      <w:tblPr>
        <w:tblStyle w:val="Recommendationbox"/>
        <w:tblW w:w="0" w:type="auto"/>
        <w:tblLook w:val="0600" w:firstRow="0" w:lastRow="0" w:firstColumn="0" w:lastColumn="0" w:noHBand="1" w:noVBand="1"/>
      </w:tblPr>
      <w:tblGrid>
        <w:gridCol w:w="8175"/>
      </w:tblGrid>
      <w:tr w:rsidR="0088239E" w14:paraId="1B6FA60F" w14:textId="77777777" w:rsidTr="0088239E">
        <w:tc>
          <w:tcPr>
            <w:tcW w:w="7891" w:type="dxa"/>
            <w:hideMark/>
          </w:tcPr>
          <w:p w14:paraId="010E44BD" w14:textId="77777777" w:rsidR="0088239E" w:rsidRDefault="0088239E">
            <w:pPr>
              <w:pStyle w:val="ListNumber2"/>
            </w:pPr>
            <w:r>
              <w:t>The Committee draws this matter to the attention of the Assembly and asks the Member to respond with sufficient time to allow the Committee to consider the response prior to the Bill being debated.</w:t>
            </w:r>
          </w:p>
        </w:tc>
      </w:tr>
    </w:tbl>
    <w:p w14:paraId="2542450D" w14:textId="77777777" w:rsidR="0088239E" w:rsidRDefault="0088239E" w:rsidP="0088239E">
      <w:pPr>
        <w:pStyle w:val="Heading3"/>
      </w:pPr>
      <w:bookmarkStart w:id="124" w:name="_Toc174548902"/>
      <w:r>
        <w:t>Property Developers Bill 2024</w:t>
      </w:r>
      <w:bookmarkEnd w:id="124"/>
    </w:p>
    <w:p w14:paraId="7A5FBA28" w14:textId="77777777" w:rsidR="0088239E" w:rsidRDefault="0088239E" w:rsidP="0048298C">
      <w:pPr>
        <w:pStyle w:val="ListNumber2"/>
        <w:numPr>
          <w:ilvl w:val="1"/>
          <w:numId w:val="26"/>
        </w:numPr>
        <w:ind w:hanging="720"/>
      </w:pPr>
      <w:r>
        <w:t>On 26 June 2024, the Committee received proposed government amendments to the Property Developers Bill 2024. The Committee notes that the proposed amendments were provided to the Committee with insufficient time to comment prior to the Bill being debated and passed by the Assembly on 27 June 2024.</w:t>
      </w:r>
    </w:p>
    <w:p w14:paraId="45757C17" w14:textId="77777777" w:rsidR="0088239E" w:rsidRDefault="0088239E" w:rsidP="0048298C">
      <w:pPr>
        <w:pStyle w:val="ListNumber2"/>
        <w:numPr>
          <w:ilvl w:val="1"/>
          <w:numId w:val="26"/>
        </w:numPr>
        <w:ind w:hanging="720"/>
      </w:pPr>
      <w:r>
        <w:t>The proposed amendments include:</w:t>
      </w:r>
    </w:p>
    <w:p w14:paraId="472661A3" w14:textId="77777777" w:rsidR="0088239E" w:rsidRDefault="0088239E" w:rsidP="00805618">
      <w:pPr>
        <w:pStyle w:val="ListNumber2"/>
        <w:numPr>
          <w:ilvl w:val="0"/>
          <w:numId w:val="38"/>
        </w:numPr>
        <w:ind w:left="1276" w:hanging="567"/>
      </w:pPr>
      <w:r>
        <w:t xml:space="preserve">limiting the application of Part 6 of the Bill, which applies to rectification orders, stop work orders and undertakings, to work which has been issued with a development approval after commencement of the relevant </w:t>
      </w:r>
      <w:proofErr w:type="gramStart"/>
      <w:r>
        <w:t>provisions;</w:t>
      </w:r>
      <w:proofErr w:type="gramEnd"/>
    </w:p>
    <w:p w14:paraId="267C778B" w14:textId="77777777" w:rsidR="0088239E" w:rsidRDefault="0088239E" w:rsidP="00805618">
      <w:pPr>
        <w:pStyle w:val="ListNumber2"/>
        <w:numPr>
          <w:ilvl w:val="0"/>
          <w:numId w:val="38"/>
        </w:numPr>
        <w:ind w:left="1276" w:hanging="567"/>
      </w:pPr>
      <w:r>
        <w:t xml:space="preserve">generally limiting the scope of the Bill to regulated residential buildings which are part of a project involving the construction of 3 or more </w:t>
      </w:r>
      <w:proofErr w:type="gramStart"/>
      <w:r>
        <w:t>dwellings;</w:t>
      </w:r>
      <w:proofErr w:type="gramEnd"/>
    </w:p>
    <w:p w14:paraId="1002D45C" w14:textId="77777777" w:rsidR="0088239E" w:rsidRDefault="0088239E" w:rsidP="00805618">
      <w:pPr>
        <w:pStyle w:val="ListNumber2"/>
        <w:numPr>
          <w:ilvl w:val="0"/>
          <w:numId w:val="38"/>
        </w:numPr>
        <w:ind w:left="1276" w:hanging="567"/>
      </w:pPr>
      <w:r>
        <w:t>adding rectification orders, stop work orders and compliance cost notices as decisions which can be reviewed by the ACT Civil and Administrative Review Tribunal; and</w:t>
      </w:r>
    </w:p>
    <w:p w14:paraId="57997E20" w14:textId="77777777" w:rsidR="0088239E" w:rsidRDefault="0088239E" w:rsidP="00805618">
      <w:pPr>
        <w:pStyle w:val="ListNumber2"/>
        <w:numPr>
          <w:ilvl w:val="0"/>
          <w:numId w:val="38"/>
        </w:numPr>
        <w:ind w:left="1276" w:hanging="567"/>
      </w:pPr>
      <w:r>
        <w:t>other minor and technical amendments.</w:t>
      </w:r>
    </w:p>
    <w:p w14:paraId="36886E03" w14:textId="77777777" w:rsidR="0088239E" w:rsidRDefault="0088239E" w:rsidP="0088239E">
      <w:pPr>
        <w:pStyle w:val="Heading4"/>
        <w:rPr>
          <w:rFonts w:eastAsia="Calibri"/>
          <w:lang w:eastAsia="en-AU"/>
        </w:rPr>
      </w:pPr>
      <w:bookmarkStart w:id="125" w:name="_Toc174548903"/>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rFonts w:eastAsia="Calibri"/>
          <w:lang w:eastAsia="en-AU"/>
        </w:rPr>
        <w:t xml:space="preserve"> </w:t>
      </w:r>
      <w:r>
        <w:rPr>
          <w:lang w:val="en-US"/>
        </w:rPr>
        <w:t>Committee Resolution of Appointment paragraph (10)(a)(</w:t>
      </w:r>
      <w:proofErr w:type="spellStart"/>
      <w:r>
        <w:rPr>
          <w:lang w:val="en-US"/>
        </w:rPr>
        <w:t>i</w:t>
      </w:r>
      <w:proofErr w:type="spellEnd"/>
      <w:r>
        <w:rPr>
          <w:lang w:val="en-US"/>
        </w:rPr>
        <w:t>)</w:t>
      </w:r>
      <w:bookmarkEnd w:id="125"/>
      <w:r>
        <w:rPr>
          <w:lang w:val="en-US"/>
        </w:rPr>
        <w:t xml:space="preserve">  </w:t>
      </w:r>
    </w:p>
    <w:p w14:paraId="2AF14182" w14:textId="77777777" w:rsidR="0088239E" w:rsidRDefault="0088239E" w:rsidP="0088239E">
      <w:pPr>
        <w:pStyle w:val="Heading4"/>
        <w:rPr>
          <w:rFonts w:eastAsia="Calibri"/>
          <w:i/>
          <w:lang w:eastAsia="en-AU"/>
        </w:rPr>
      </w:pPr>
      <w:bookmarkStart w:id="126" w:name="_Toc174548904"/>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26"/>
    </w:p>
    <w:p w14:paraId="046AD898" w14:textId="77777777" w:rsidR="0088239E" w:rsidRDefault="0088239E" w:rsidP="0088239E">
      <w:pPr>
        <w:pStyle w:val="Heading5"/>
      </w:pPr>
      <w:r>
        <w:t xml:space="preserve">Right to privacy and reputation (section 12 HRA) </w:t>
      </w:r>
    </w:p>
    <w:p w14:paraId="1203F3D2" w14:textId="77777777" w:rsidR="0088239E" w:rsidRDefault="0088239E" w:rsidP="0048298C">
      <w:pPr>
        <w:pStyle w:val="ListNumber2"/>
        <w:numPr>
          <w:ilvl w:val="1"/>
          <w:numId w:val="26"/>
        </w:numPr>
        <w:ind w:hanging="720"/>
      </w:pPr>
      <w:r>
        <w:t>The proposed amendments include various additional possible limitations of the protection of privacy provided by section 12 of the HRA. These include:</w:t>
      </w:r>
    </w:p>
    <w:p w14:paraId="3CAD8666" w14:textId="77777777" w:rsidR="0088239E" w:rsidRDefault="0088239E" w:rsidP="00805618">
      <w:pPr>
        <w:pStyle w:val="ListNumber2"/>
        <w:numPr>
          <w:ilvl w:val="0"/>
          <w:numId w:val="38"/>
        </w:numPr>
        <w:ind w:left="1276" w:hanging="567"/>
      </w:pPr>
      <w:r>
        <w:t xml:space="preserve">an applicant for a property </w:t>
      </w:r>
      <w:proofErr w:type="gramStart"/>
      <w:r>
        <w:t>developers</w:t>
      </w:r>
      <w:proofErr w:type="gramEnd"/>
      <w:r>
        <w:t xml:space="preserve"> licence may be required by the registrar to provide additional reports prescribed by regulation;</w:t>
      </w:r>
    </w:p>
    <w:p w14:paraId="6809B8FD" w14:textId="77777777" w:rsidR="0088239E" w:rsidRDefault="0088239E" w:rsidP="00805618">
      <w:pPr>
        <w:pStyle w:val="ListNumber2"/>
        <w:numPr>
          <w:ilvl w:val="0"/>
          <w:numId w:val="38"/>
        </w:numPr>
        <w:ind w:left="1276" w:hanging="567"/>
      </w:pPr>
      <w:r>
        <w:t>requiring a licensee to notify the registrar about entering into an off-the-plan contract before a Development Application or Building Approval is applied; and</w:t>
      </w:r>
    </w:p>
    <w:p w14:paraId="580ABC1E" w14:textId="77777777" w:rsidR="0088239E" w:rsidRDefault="0088239E" w:rsidP="00805618">
      <w:pPr>
        <w:pStyle w:val="ListNumber2"/>
        <w:numPr>
          <w:ilvl w:val="0"/>
          <w:numId w:val="38"/>
        </w:numPr>
        <w:ind w:left="1276" w:hanging="567"/>
      </w:pPr>
      <w:r>
        <w:t xml:space="preserve"> allowing the registrar to require a rating report be provided before they consider an application to vary a licence.</w:t>
      </w:r>
    </w:p>
    <w:p w14:paraId="2EDFAE8E" w14:textId="77777777" w:rsidR="0088239E" w:rsidRDefault="0088239E" w:rsidP="0048298C">
      <w:pPr>
        <w:pStyle w:val="ListNumber2"/>
        <w:numPr>
          <w:ilvl w:val="1"/>
          <w:numId w:val="26"/>
        </w:numPr>
        <w:ind w:hanging="720"/>
      </w:pPr>
      <w:r>
        <w:t>These possible limitations to the right to privacy are recognised in the supplementary explanatory statement provided with the proposed amendments. The Committee refers that statement to the Assembly and makes no further comment.</w:t>
      </w:r>
    </w:p>
    <w:p w14:paraId="56384764" w14:textId="0BE412D6" w:rsidR="0088239E" w:rsidRDefault="0088239E" w:rsidP="0048298C">
      <w:pPr>
        <w:pStyle w:val="ListNumber2"/>
        <w:numPr>
          <w:ilvl w:val="1"/>
          <w:numId w:val="26"/>
        </w:numPr>
        <w:ind w:hanging="720"/>
      </w:pPr>
      <w:r>
        <w:rPr>
          <w:b/>
        </w:rPr>
        <w:t xml:space="preserve">The Committee draws this matter to the attention of the </w:t>
      </w:r>
      <w:proofErr w:type="gramStart"/>
      <w:r>
        <w:rPr>
          <w:b/>
        </w:rPr>
        <w:t>Assembly, but</w:t>
      </w:r>
      <w:proofErr w:type="gramEnd"/>
      <w:r>
        <w:rPr>
          <w:b/>
        </w:rPr>
        <w:t xml:space="preserve"> does not require a</w:t>
      </w:r>
      <w:r w:rsidR="0047494A">
        <w:rPr>
          <w:b/>
        </w:rPr>
        <w:t> </w:t>
      </w:r>
      <w:r>
        <w:rPr>
          <w:b/>
        </w:rPr>
        <w:t>response from the Minister.</w:t>
      </w:r>
    </w:p>
    <w:p w14:paraId="48179DF2" w14:textId="29F88C68" w:rsidR="0088239E" w:rsidRDefault="0088239E" w:rsidP="0088239E">
      <w:pPr>
        <w:pStyle w:val="Heading20"/>
      </w:pPr>
      <w:bookmarkStart w:id="127" w:name="_Toc174548905"/>
      <w:r>
        <w:t>Proposed Amendments</w:t>
      </w:r>
      <w:r w:rsidR="0047494A">
        <w:rPr>
          <w:rFonts w:ascii="Times New Roman" w:hAnsi="Times New Roman" w:cs="Times New Roman"/>
        </w:rPr>
        <w:t>—</w:t>
      </w:r>
      <w:r>
        <w:t xml:space="preserve">No </w:t>
      </w:r>
      <w:r w:rsidR="0047494A">
        <w:t>c</w:t>
      </w:r>
      <w:r>
        <w:t>omment</w:t>
      </w:r>
      <w:bookmarkEnd w:id="127"/>
    </w:p>
    <w:p w14:paraId="4D1325DA" w14:textId="77777777" w:rsidR="0088239E" w:rsidRDefault="0088239E" w:rsidP="0047494A">
      <w:pPr>
        <w:pStyle w:val="Heading3"/>
        <w:spacing w:before="200"/>
      </w:pPr>
      <w:bookmarkStart w:id="128" w:name="_Toc174548906"/>
      <w:r>
        <w:t>Appropriation Bill 2024-2025</w:t>
      </w:r>
      <w:bookmarkEnd w:id="128"/>
    </w:p>
    <w:p w14:paraId="72A00D56" w14:textId="6F6ED073" w:rsidR="0088239E" w:rsidRDefault="0088239E" w:rsidP="0048298C">
      <w:pPr>
        <w:pStyle w:val="ListNumber2"/>
        <w:numPr>
          <w:ilvl w:val="1"/>
          <w:numId w:val="26"/>
        </w:numPr>
        <w:ind w:hanging="720"/>
      </w:pPr>
      <w:r>
        <w:t>On 12 August 2024 the Committee received proposed amendments to the Appropriation Bill 2024-2025 from Ms Clay MLA. The proposed amendments will reduce the amount appropriated for payments on behalf of the Territory allocated to the Justice and Community Safety Directorate by $5,008,744.</w:t>
      </w:r>
    </w:p>
    <w:p w14:paraId="012C80BA" w14:textId="77777777" w:rsidR="0088239E" w:rsidRDefault="0088239E" w:rsidP="0047494A">
      <w:pPr>
        <w:pStyle w:val="Heading3"/>
        <w:spacing w:before="200"/>
      </w:pPr>
      <w:bookmarkStart w:id="129" w:name="_Toc174548907"/>
      <w:r>
        <w:t>Heritage Amendment Bill 2024</w:t>
      </w:r>
      <w:bookmarkEnd w:id="129"/>
    </w:p>
    <w:p w14:paraId="23530303" w14:textId="77777777" w:rsidR="0088239E" w:rsidRDefault="0088239E" w:rsidP="0048298C">
      <w:pPr>
        <w:pStyle w:val="ListNumber2"/>
        <w:numPr>
          <w:ilvl w:val="1"/>
          <w:numId w:val="26"/>
        </w:numPr>
        <w:ind w:hanging="720"/>
      </w:pPr>
      <w:r>
        <w:t xml:space="preserve">On 20 June 2024, the Committee received proposed amendments from Ms Lawder MLA to the Heritage Amendment Bill 2024. The proposed amendment will make clear that amendments in the Bill will not apply to applications nominating properties for heritage listing lodged prior to commencement of the relevant provisions of the Bill. The Committee notes that the Heritage Amendment Bill 2024 was passed by the Assembly on 25 June 2024. </w:t>
      </w:r>
    </w:p>
    <w:p w14:paraId="42A760B5" w14:textId="77777777" w:rsidR="0088239E" w:rsidRDefault="0088239E" w:rsidP="0047494A">
      <w:pPr>
        <w:pStyle w:val="Heading3"/>
        <w:spacing w:before="200"/>
      </w:pPr>
      <w:bookmarkStart w:id="130" w:name="_Toc174548908"/>
      <w:r>
        <w:t>Disability Inclusion Bill 2024</w:t>
      </w:r>
      <w:bookmarkEnd w:id="130"/>
    </w:p>
    <w:p w14:paraId="2A35E432" w14:textId="77777777" w:rsidR="0088239E" w:rsidRDefault="0088239E" w:rsidP="0048298C">
      <w:pPr>
        <w:pStyle w:val="ListNumber2"/>
        <w:numPr>
          <w:ilvl w:val="1"/>
          <w:numId w:val="26"/>
        </w:numPr>
        <w:ind w:hanging="720"/>
      </w:pPr>
      <w:r>
        <w:t>On 19 July 2024, the Committee received proposed amendments from Ms Orr MLA to the Disability Inclusion Bill 2024. The proposed amendments include defining the meaning of disability inclusion strategy, allowing specified existing disability strategies to be adopted under the Bill, and other minor amendments.</w:t>
      </w:r>
    </w:p>
    <w:p w14:paraId="70802BA0" w14:textId="77777777" w:rsidR="0088239E" w:rsidRPr="0047494A" w:rsidRDefault="0088239E" w:rsidP="0047494A">
      <w:pPr>
        <w:pStyle w:val="Heading3"/>
        <w:spacing w:before="160"/>
        <w:rPr>
          <w:spacing w:val="-6"/>
        </w:rPr>
      </w:pPr>
      <w:bookmarkStart w:id="131" w:name="_Toc174548909"/>
      <w:r w:rsidRPr="0047494A">
        <w:rPr>
          <w:spacing w:val="-6"/>
        </w:rPr>
        <w:t>Sexual, Family and Personal Violence Legislation Amendment Bill 2023</w:t>
      </w:r>
      <w:bookmarkEnd w:id="131"/>
    </w:p>
    <w:p w14:paraId="001694B0" w14:textId="77777777" w:rsidR="0088239E" w:rsidRDefault="0088239E" w:rsidP="0048298C">
      <w:pPr>
        <w:pStyle w:val="ListNumber2"/>
        <w:numPr>
          <w:ilvl w:val="1"/>
          <w:numId w:val="26"/>
        </w:numPr>
        <w:ind w:hanging="720"/>
      </w:pPr>
      <w:r w:rsidRPr="0047494A">
        <w:rPr>
          <w:spacing w:val="-2"/>
        </w:rPr>
        <w:t xml:space="preserve">On 23 July 2024, the Committee received proposed government amendments to the Sexual, Family and Personal Violence Legislation Amendment Bill 2023. The proposed amendments respond to the recommendations of the Inquiry into Sexual, Family and Personal Violence Legislation Amendment Bill 2023 in </w:t>
      </w:r>
      <w:r w:rsidRPr="0047494A">
        <w:rPr>
          <w:i/>
          <w:iCs/>
          <w:spacing w:val="-2"/>
        </w:rPr>
        <w:t>Report No. 25 Inquiry into Sexual, Family and Personal Violence Legislation Amendment Bill 2023</w:t>
      </w:r>
      <w:r w:rsidRPr="0047494A">
        <w:rPr>
          <w:spacing w:val="-2"/>
        </w:rPr>
        <w:t xml:space="preserve">. They include allowing a registrar’s refusal to impose a condition on interim orders under the </w:t>
      </w:r>
      <w:r w:rsidRPr="0047494A">
        <w:rPr>
          <w:i/>
          <w:iCs/>
          <w:spacing w:val="-2"/>
        </w:rPr>
        <w:t>Family Violence Act 2016</w:t>
      </w:r>
      <w:r w:rsidRPr="0047494A">
        <w:rPr>
          <w:spacing w:val="-2"/>
        </w:rPr>
        <w:t xml:space="preserve"> or </w:t>
      </w:r>
      <w:r w:rsidRPr="0047494A">
        <w:rPr>
          <w:i/>
          <w:iCs/>
          <w:spacing w:val="-2"/>
        </w:rPr>
        <w:t>Personal Violence Act 2016</w:t>
      </w:r>
      <w:r w:rsidRPr="0047494A">
        <w:rPr>
          <w:spacing w:val="-2"/>
        </w:rPr>
        <w:t xml:space="preserve"> to be reviewed by a Magistrate, with requests for review being made orally or in writing</w:t>
      </w:r>
      <w:r>
        <w:t xml:space="preserve">. </w:t>
      </w:r>
    </w:p>
    <w:p w14:paraId="373C44DF" w14:textId="17B74DE7" w:rsidR="0072770D" w:rsidRPr="0072770D" w:rsidRDefault="0088239E" w:rsidP="0047494A">
      <w:pPr>
        <w:keepNext/>
        <w:keepLines/>
        <w:spacing w:before="160" w:after="120" w:line="259" w:lineRule="auto"/>
        <w:outlineLvl w:val="1"/>
        <w:rPr>
          <w:rFonts w:ascii="Montserrat" w:eastAsiaTheme="majorEastAsia" w:hAnsi="Montserrat" w:cstheme="majorBidi"/>
          <w:b/>
          <w:color w:val="2F5496"/>
          <w:w w:val="90"/>
          <w:kern w:val="2"/>
          <w:sz w:val="32"/>
          <w:szCs w:val="26"/>
        </w:rPr>
      </w:pPr>
      <w:bookmarkStart w:id="132" w:name="_Toc174548910"/>
      <w:r>
        <w:rPr>
          <w:rFonts w:ascii="Montserrat" w:eastAsiaTheme="majorEastAsia" w:hAnsi="Montserrat" w:cstheme="majorBidi"/>
          <w:b/>
          <w:color w:val="2F5496"/>
          <w:w w:val="90"/>
          <w:kern w:val="2"/>
          <w:sz w:val="32"/>
          <w:szCs w:val="26"/>
        </w:rPr>
        <w:t>Government r</w:t>
      </w:r>
      <w:r w:rsidR="0072770D" w:rsidRPr="0072770D">
        <w:rPr>
          <w:rFonts w:ascii="Montserrat" w:eastAsiaTheme="majorEastAsia" w:hAnsi="Montserrat" w:cstheme="majorBidi"/>
          <w:b/>
          <w:color w:val="2F5496"/>
          <w:w w:val="90"/>
          <w:kern w:val="2"/>
          <w:sz w:val="32"/>
          <w:szCs w:val="26"/>
        </w:rPr>
        <w:t>esponse</w:t>
      </w:r>
      <w:r w:rsidR="00A26828">
        <w:rPr>
          <w:rFonts w:ascii="Montserrat" w:eastAsiaTheme="majorEastAsia" w:hAnsi="Montserrat" w:cstheme="majorBidi"/>
          <w:b/>
          <w:color w:val="2F5496"/>
          <w:w w:val="90"/>
          <w:kern w:val="2"/>
          <w:sz w:val="32"/>
          <w:szCs w:val="26"/>
        </w:rPr>
        <w:t>—</w:t>
      </w:r>
      <w:r w:rsidR="0072770D" w:rsidRPr="0072770D">
        <w:rPr>
          <w:rFonts w:ascii="Montserrat" w:eastAsiaTheme="majorEastAsia" w:hAnsi="Montserrat" w:cstheme="majorBidi"/>
          <w:b/>
          <w:color w:val="2F5496"/>
          <w:w w:val="90"/>
          <w:kern w:val="2"/>
          <w:sz w:val="32"/>
          <w:szCs w:val="26"/>
        </w:rPr>
        <w:t xml:space="preserve">No </w:t>
      </w:r>
      <w:r w:rsidR="00A26828">
        <w:rPr>
          <w:rFonts w:ascii="Montserrat" w:eastAsiaTheme="majorEastAsia" w:hAnsi="Montserrat" w:cstheme="majorBidi"/>
          <w:b/>
          <w:color w:val="2F5496"/>
          <w:w w:val="90"/>
          <w:kern w:val="2"/>
          <w:sz w:val="32"/>
          <w:szCs w:val="26"/>
        </w:rPr>
        <w:t>c</w:t>
      </w:r>
      <w:r w:rsidR="0072770D" w:rsidRPr="0072770D">
        <w:rPr>
          <w:rFonts w:ascii="Montserrat" w:eastAsiaTheme="majorEastAsia" w:hAnsi="Montserrat" w:cstheme="majorBidi"/>
          <w:b/>
          <w:color w:val="2F5496"/>
          <w:w w:val="90"/>
          <w:kern w:val="2"/>
          <w:sz w:val="32"/>
          <w:szCs w:val="26"/>
        </w:rPr>
        <w:t>omment</w:t>
      </w:r>
      <w:bookmarkEnd w:id="132"/>
    </w:p>
    <w:p w14:paraId="1E2AEAFE" w14:textId="67DEFE0C" w:rsidR="0072770D" w:rsidRPr="0072770D" w:rsidRDefault="0072770D" w:rsidP="0048298C">
      <w:pPr>
        <w:pStyle w:val="ListNumber2"/>
        <w:numPr>
          <w:ilvl w:val="1"/>
          <w:numId w:val="26"/>
        </w:numPr>
        <w:ind w:hanging="720"/>
      </w:pPr>
      <w:r w:rsidRPr="0072770D">
        <w:t>The Committee received response</w:t>
      </w:r>
      <w:r w:rsidR="0048298C">
        <w:t>s</w:t>
      </w:r>
      <w:r w:rsidRPr="0072770D">
        <w:t xml:space="preserve"> to the Committee’s comment on the following </w:t>
      </w:r>
      <w:r w:rsidR="0088239E">
        <w:t>Bills</w:t>
      </w:r>
      <w:r w:rsidRPr="0072770D">
        <w:t xml:space="preserve"> and has no further comment</w:t>
      </w:r>
      <w:r w:rsidR="0048298C">
        <w:t>s</w:t>
      </w:r>
      <w:r w:rsidRPr="0072770D">
        <w:t>:</w:t>
      </w:r>
    </w:p>
    <w:p w14:paraId="7DEF8E6C" w14:textId="6E8BF429" w:rsidR="0088239E" w:rsidRDefault="0088239E" w:rsidP="0047494A">
      <w:pPr>
        <w:pStyle w:val="ListNumber3"/>
        <w:numPr>
          <w:ilvl w:val="0"/>
          <w:numId w:val="33"/>
        </w:numPr>
        <w:spacing w:before="120" w:after="0" w:line="240" w:lineRule="auto"/>
        <w:ind w:left="1570" w:hanging="578"/>
        <w:rPr>
          <w:i/>
          <w:iCs/>
        </w:rPr>
      </w:pPr>
      <w:r>
        <w:rPr>
          <w:i/>
          <w:iCs/>
        </w:rPr>
        <w:t>Children and Young People Amendment Bill 2024 (No 2</w:t>
      </w:r>
      <w:proofErr w:type="gramStart"/>
      <w:r>
        <w:rPr>
          <w:i/>
          <w:iCs/>
        </w:rPr>
        <w:t>)</w:t>
      </w:r>
      <w:r w:rsidR="00570A7F">
        <w:rPr>
          <w:i/>
          <w:iCs/>
        </w:rPr>
        <w:t>;</w:t>
      </w:r>
      <w:proofErr w:type="gramEnd"/>
    </w:p>
    <w:p w14:paraId="6A37C7AF" w14:textId="406615C6" w:rsidR="0088239E" w:rsidRDefault="0088239E" w:rsidP="0047494A">
      <w:pPr>
        <w:pStyle w:val="ListNumber3"/>
        <w:numPr>
          <w:ilvl w:val="0"/>
          <w:numId w:val="33"/>
        </w:numPr>
        <w:spacing w:before="120" w:after="0" w:line="240" w:lineRule="auto"/>
        <w:ind w:left="1570" w:hanging="578"/>
        <w:rPr>
          <w:i/>
          <w:iCs/>
        </w:rPr>
      </w:pPr>
      <w:r>
        <w:rPr>
          <w:i/>
          <w:iCs/>
        </w:rPr>
        <w:t xml:space="preserve">Education Amendment Bill </w:t>
      </w:r>
      <w:proofErr w:type="gramStart"/>
      <w:r>
        <w:rPr>
          <w:i/>
          <w:iCs/>
        </w:rPr>
        <w:t>2024</w:t>
      </w:r>
      <w:r w:rsidR="00570A7F">
        <w:rPr>
          <w:i/>
          <w:iCs/>
        </w:rPr>
        <w:t>;</w:t>
      </w:r>
      <w:proofErr w:type="gramEnd"/>
    </w:p>
    <w:p w14:paraId="78F4678D" w14:textId="644C35A9" w:rsidR="0088239E" w:rsidRDefault="0088239E" w:rsidP="0047494A">
      <w:pPr>
        <w:pStyle w:val="ListNumber3"/>
        <w:numPr>
          <w:ilvl w:val="0"/>
          <w:numId w:val="33"/>
        </w:numPr>
        <w:spacing w:before="120" w:after="0" w:line="240" w:lineRule="auto"/>
        <w:ind w:left="1570" w:hanging="578"/>
        <w:rPr>
          <w:i/>
          <w:iCs/>
        </w:rPr>
      </w:pPr>
      <w:r>
        <w:rPr>
          <w:i/>
          <w:iCs/>
        </w:rPr>
        <w:t xml:space="preserve">Environment Protection Legislation Amendment Bill </w:t>
      </w:r>
      <w:proofErr w:type="gramStart"/>
      <w:r>
        <w:rPr>
          <w:i/>
          <w:iCs/>
        </w:rPr>
        <w:t>2024</w:t>
      </w:r>
      <w:r w:rsidR="00570A7F">
        <w:rPr>
          <w:i/>
          <w:iCs/>
        </w:rPr>
        <w:t>;</w:t>
      </w:r>
      <w:proofErr w:type="gramEnd"/>
    </w:p>
    <w:p w14:paraId="53358A67" w14:textId="59281EFF" w:rsidR="0088239E" w:rsidRDefault="0088239E" w:rsidP="0047494A">
      <w:pPr>
        <w:pStyle w:val="ListNumber3"/>
        <w:numPr>
          <w:ilvl w:val="0"/>
          <w:numId w:val="33"/>
        </w:numPr>
        <w:spacing w:before="120" w:after="0" w:line="240" w:lineRule="auto"/>
        <w:ind w:left="1570" w:hanging="578"/>
        <w:rPr>
          <w:i/>
          <w:iCs/>
        </w:rPr>
      </w:pPr>
      <w:r>
        <w:rPr>
          <w:i/>
          <w:iCs/>
        </w:rPr>
        <w:t xml:space="preserve">Monitoring of Places of Detention Amendment Bill </w:t>
      </w:r>
      <w:proofErr w:type="gramStart"/>
      <w:r>
        <w:rPr>
          <w:i/>
          <w:iCs/>
        </w:rPr>
        <w:t>2024</w:t>
      </w:r>
      <w:r w:rsidR="00570A7F">
        <w:rPr>
          <w:i/>
          <w:iCs/>
        </w:rPr>
        <w:t>;</w:t>
      </w:r>
      <w:proofErr w:type="gramEnd"/>
    </w:p>
    <w:p w14:paraId="480B66C3" w14:textId="6C2F6550" w:rsidR="0088239E" w:rsidRDefault="0088239E" w:rsidP="0047494A">
      <w:pPr>
        <w:pStyle w:val="ListNumber3"/>
        <w:numPr>
          <w:ilvl w:val="0"/>
          <w:numId w:val="33"/>
        </w:numPr>
        <w:spacing w:before="120" w:after="0" w:line="240" w:lineRule="auto"/>
        <w:ind w:left="1570" w:hanging="578"/>
        <w:rPr>
          <w:i/>
          <w:iCs/>
        </w:rPr>
      </w:pPr>
      <w:r>
        <w:rPr>
          <w:i/>
          <w:iCs/>
        </w:rPr>
        <w:t>Nature Conservation Amendment Bill 2024</w:t>
      </w:r>
      <w:r w:rsidR="00570A7F">
        <w:rPr>
          <w:i/>
          <w:iCs/>
        </w:rPr>
        <w:t>; and</w:t>
      </w:r>
    </w:p>
    <w:p w14:paraId="78721C68" w14:textId="41F39FCB" w:rsidR="0088239E" w:rsidRDefault="0088239E" w:rsidP="0047494A">
      <w:pPr>
        <w:pStyle w:val="ListNumber3"/>
        <w:numPr>
          <w:ilvl w:val="0"/>
          <w:numId w:val="33"/>
        </w:numPr>
        <w:spacing w:before="120" w:line="240" w:lineRule="auto"/>
        <w:ind w:left="1570" w:hanging="578"/>
        <w:rPr>
          <w:i/>
          <w:iCs/>
        </w:rPr>
      </w:pPr>
      <w:r>
        <w:rPr>
          <w:i/>
          <w:iCs/>
        </w:rPr>
        <w:t>Property Developers Bill 2024</w:t>
      </w:r>
      <w:r w:rsidR="00570A7F">
        <w:rPr>
          <w:i/>
          <w:iCs/>
        </w:rPr>
        <w:t>.</w:t>
      </w:r>
    </w:p>
    <w:p w14:paraId="22991F82" w14:textId="3F73408E" w:rsidR="0072770D" w:rsidRDefault="0072770D" w:rsidP="0047494A">
      <w:pPr>
        <w:pStyle w:val="ListNumber2"/>
        <w:numPr>
          <w:ilvl w:val="1"/>
          <w:numId w:val="26"/>
        </w:numPr>
        <w:ind w:hanging="720"/>
      </w:pPr>
      <w:r w:rsidRPr="0072770D">
        <w:t>Th</w:t>
      </w:r>
      <w:r w:rsidR="00570A7F">
        <w:t>ese</w:t>
      </w:r>
      <w:r w:rsidRPr="0072770D">
        <w:t xml:space="preserve"> response</w:t>
      </w:r>
      <w:r w:rsidR="00570A7F">
        <w:t>s</w:t>
      </w:r>
      <w:r w:rsidRPr="0072770D">
        <w:t xml:space="preserve"> can be viewed </w:t>
      </w:r>
      <w:hyperlink r:id="rId16" w:history="1">
        <w:r w:rsidR="002D13CB" w:rsidRPr="00E0054C">
          <w:rPr>
            <w:rStyle w:val="Hyperlink"/>
          </w:rPr>
          <w:t>online</w:t>
        </w:r>
      </w:hyperlink>
      <w:r w:rsidR="002D13CB" w:rsidRPr="00E0054C">
        <w:rPr>
          <w:rStyle w:val="FootnoteReference"/>
        </w:rPr>
        <w:footnoteReference w:id="2"/>
      </w:r>
      <w:r w:rsidR="002D13CB" w:rsidRPr="00E0054C">
        <w:t>.</w:t>
      </w:r>
      <w:bookmarkEnd w:id="102"/>
    </w:p>
    <w:p w14:paraId="1F88F98C" w14:textId="6EBD7A06" w:rsidR="00CE02FD" w:rsidRDefault="002D13CB" w:rsidP="0048298C">
      <w:pPr>
        <w:pStyle w:val="ListNumber2"/>
        <w:numPr>
          <w:ilvl w:val="1"/>
          <w:numId w:val="26"/>
        </w:numPr>
        <w:ind w:hanging="720"/>
      </w:pPr>
      <w:r>
        <w:t xml:space="preserve">The Committee wishes to thank the </w:t>
      </w:r>
      <w:r w:rsidR="0072770D">
        <w:t>M</w:t>
      </w:r>
      <w:r w:rsidR="00570A7F">
        <w:t>inisters</w:t>
      </w:r>
      <w:r>
        <w:t xml:space="preserve"> for </w:t>
      </w:r>
      <w:r w:rsidR="00570A7F">
        <w:t>their</w:t>
      </w:r>
      <w:r>
        <w:t xml:space="preserve"> helpful responses.</w:t>
      </w:r>
    </w:p>
    <w:p w14:paraId="4E27F9C1" w14:textId="7644E313" w:rsidR="007E2BE2" w:rsidRDefault="007E2BE2" w:rsidP="00FC2277">
      <w:pPr>
        <w:pStyle w:val="Heading1"/>
        <w:numPr>
          <w:ilvl w:val="0"/>
          <w:numId w:val="26"/>
        </w:numPr>
        <w:ind w:left="851" w:hanging="851"/>
      </w:pPr>
      <w:bookmarkStart w:id="133" w:name="_Toc174548911"/>
      <w:bookmarkEnd w:id="103"/>
      <w:bookmarkEnd w:id="98"/>
      <w:r>
        <w:t>Subordinate Legislation</w:t>
      </w:r>
      <w:bookmarkEnd w:id="133"/>
      <w:r>
        <w:t xml:space="preserve"> </w:t>
      </w:r>
    </w:p>
    <w:p w14:paraId="1D5CE20A" w14:textId="7D61360A" w:rsidR="00946033" w:rsidRDefault="00946033" w:rsidP="00FC2277">
      <w:pPr>
        <w:pStyle w:val="Heading20"/>
      </w:pPr>
      <w:bookmarkStart w:id="134" w:name="_Toc174548912"/>
      <w:bookmarkStart w:id="135" w:name="_Hlk150688924"/>
      <w:r>
        <w:t>Disallowable Instruments</w:t>
      </w:r>
      <w:r w:rsidR="0072770D">
        <w:t>—</w:t>
      </w:r>
      <w:r>
        <w:t>No comment</w:t>
      </w:r>
      <w:bookmarkEnd w:id="134"/>
    </w:p>
    <w:p w14:paraId="0F5864A4" w14:textId="530AAE7D" w:rsidR="00946033" w:rsidRDefault="00946033" w:rsidP="00FC2277">
      <w:pPr>
        <w:pStyle w:val="ListNumber2"/>
        <w:numPr>
          <w:ilvl w:val="1"/>
          <w:numId w:val="26"/>
        </w:numPr>
        <w:ind w:hanging="720"/>
      </w:pPr>
      <w:r>
        <w:t>The Committee has examined the following disallowable instruments and has no comments on them:</w:t>
      </w:r>
    </w:p>
    <w:p w14:paraId="1CDF9318"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DI2024-95 being the City Renewal Authority and Suburban Land Agency (Authority Board Chair) Appointment 2024 made under section 15 of the </w:t>
      </w:r>
      <w:r>
        <w:rPr>
          <w:i/>
        </w:rPr>
        <w:t>City Renewal Authority and Suburban Land Agency Act 2017</w:t>
      </w:r>
      <w:r>
        <w:rPr>
          <w:b/>
        </w:rPr>
        <w:t xml:space="preserve"> revokes DI2023-134 and appoints a specified person as Chair of the City Renewal Authority Board. </w:t>
      </w:r>
    </w:p>
    <w:p w14:paraId="20364FAD" w14:textId="77777777" w:rsidR="005660BC" w:rsidRPr="0047494A" w:rsidRDefault="005660BC" w:rsidP="005660BC">
      <w:pPr>
        <w:pStyle w:val="Bodycopy"/>
        <w:keepLines/>
        <w:numPr>
          <w:ilvl w:val="0"/>
          <w:numId w:val="19"/>
        </w:numPr>
        <w:spacing w:before="120" w:after="0" w:line="283" w:lineRule="auto"/>
        <w:ind w:left="1208" w:hanging="357"/>
        <w:rPr>
          <w:b/>
          <w:spacing w:val="-2"/>
        </w:rPr>
      </w:pPr>
      <w:r w:rsidRPr="0047494A">
        <w:rPr>
          <w:b/>
          <w:spacing w:val="-2"/>
        </w:rPr>
        <w:t xml:space="preserve">Disallowable Instrument DI2024-97 being the City Renewal Authority and Suburban Land Agency (Authority Board Deputy Chair) Appointment 2024 </w:t>
      </w:r>
      <w:bookmarkStart w:id="136" w:name="_Hlk173667312"/>
      <w:r w:rsidRPr="0047494A">
        <w:rPr>
          <w:b/>
          <w:spacing w:val="-2"/>
        </w:rPr>
        <w:t xml:space="preserve">made under section 15 of the </w:t>
      </w:r>
      <w:r w:rsidRPr="0047494A">
        <w:rPr>
          <w:i/>
          <w:spacing w:val="-2"/>
        </w:rPr>
        <w:t>City Renewal Authority and Suburban Land Agency Act 201</w:t>
      </w:r>
      <w:bookmarkEnd w:id="136"/>
      <w:r w:rsidRPr="0047494A">
        <w:rPr>
          <w:i/>
          <w:spacing w:val="-2"/>
        </w:rPr>
        <w:t>7</w:t>
      </w:r>
      <w:r w:rsidRPr="0047494A">
        <w:rPr>
          <w:b/>
          <w:spacing w:val="-2"/>
        </w:rPr>
        <w:t xml:space="preserve"> revokes DI2022-243 and appoints a specified person as Deputy Chair of the City Renewal Authority Board. </w:t>
      </w:r>
    </w:p>
    <w:p w14:paraId="10D4AD53"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DI2024-98 being the City Renewal Authority and Suburban Land Agency (Authority Board Member) Appointment 2024 (No 2) made under section 15 of the </w:t>
      </w:r>
      <w:r>
        <w:rPr>
          <w:i/>
        </w:rPr>
        <w:t>City Renewal Authority and Suburban Land Agency Act 2017</w:t>
      </w:r>
      <w:r>
        <w:rPr>
          <w:b/>
        </w:rPr>
        <w:t xml:space="preserve"> appoints a specified person as an expert member of the City Renewal Authority Board. </w:t>
      </w:r>
    </w:p>
    <w:p w14:paraId="4A0A0565"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DI2024-99 being the City Renewal Authority and Suburban Land Agency (Authority Board Member) Appointment 2024 (No 3) made under section 15 of the </w:t>
      </w:r>
      <w:r>
        <w:rPr>
          <w:i/>
        </w:rPr>
        <w:t>City Renewal Authority and Suburban Land Agency Act 2017</w:t>
      </w:r>
      <w:r>
        <w:rPr>
          <w:b/>
        </w:rPr>
        <w:t xml:space="preserve"> appoints a specified person as an expert member of the City Renewal Authority Board. </w:t>
      </w:r>
    </w:p>
    <w:p w14:paraId="7D7DCF07" w14:textId="77777777" w:rsidR="005660BC" w:rsidRPr="0047494A" w:rsidRDefault="005660BC" w:rsidP="005660BC">
      <w:pPr>
        <w:pStyle w:val="Bodycopy"/>
        <w:keepLines/>
        <w:numPr>
          <w:ilvl w:val="0"/>
          <w:numId w:val="19"/>
        </w:numPr>
        <w:spacing w:before="120" w:after="0" w:line="283" w:lineRule="auto"/>
        <w:ind w:left="1208" w:hanging="357"/>
        <w:rPr>
          <w:b/>
          <w:spacing w:val="-2"/>
        </w:rPr>
      </w:pPr>
      <w:r w:rsidRPr="0047494A">
        <w:rPr>
          <w:b/>
          <w:spacing w:val="-2"/>
        </w:rPr>
        <w:t xml:space="preserve">Disallowable Instrument DI2024-100 being the Nature Conservation (Scientific Committee) Appointment 2024 made under sections 36 and 37 of the </w:t>
      </w:r>
      <w:r w:rsidRPr="0047494A">
        <w:rPr>
          <w:i/>
          <w:spacing w:val="-2"/>
        </w:rPr>
        <w:t>Nature Conservation Act 2014</w:t>
      </w:r>
      <w:r w:rsidRPr="0047494A">
        <w:rPr>
          <w:b/>
          <w:spacing w:val="-2"/>
        </w:rPr>
        <w:t xml:space="preserve"> revokes DI2022-8 and appoints various specified persons as members and 2 specified persons as chair and deputy chair of the Scientific Committee. </w:t>
      </w:r>
    </w:p>
    <w:p w14:paraId="5E7C297D" w14:textId="77777777" w:rsidR="005660BC" w:rsidRDefault="005660BC" w:rsidP="005660BC">
      <w:pPr>
        <w:pStyle w:val="Bodycopy"/>
        <w:keepLines/>
        <w:numPr>
          <w:ilvl w:val="0"/>
          <w:numId w:val="19"/>
        </w:numPr>
        <w:spacing w:before="120" w:after="0" w:line="283" w:lineRule="auto"/>
        <w:ind w:left="1208" w:hanging="357"/>
        <w:rPr>
          <w:i/>
        </w:rPr>
      </w:pPr>
      <w:r>
        <w:rPr>
          <w:b/>
        </w:rPr>
        <w:t xml:space="preserve">Disallowable Instrument DI2024-119 being the Canberra Institute of Technology (CIT Board Member) Appointment 2024 (No 1) made under section 9 of the </w:t>
      </w:r>
      <w:r>
        <w:rPr>
          <w:i/>
        </w:rPr>
        <w:t xml:space="preserve">Canberra Institute of Technology Act 1987 </w:t>
      </w:r>
      <w:r>
        <w:rPr>
          <w:b/>
        </w:rPr>
        <w:t xml:space="preserve">and section 78 of the </w:t>
      </w:r>
      <w:r>
        <w:rPr>
          <w:i/>
        </w:rPr>
        <w:t>Financial Management Act 1996</w:t>
      </w:r>
      <w:r>
        <w:rPr>
          <w:b/>
        </w:rPr>
        <w:t xml:space="preserve"> appoints a specified person to be a Member of the CIT Board. </w:t>
      </w:r>
    </w:p>
    <w:p w14:paraId="5C509A9E"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DI2024-120 being the Canberra Institute of Technology (CIT Board Member) Appointment 2024 (No 2) made under section 9 of the </w:t>
      </w:r>
      <w:r>
        <w:rPr>
          <w:i/>
        </w:rPr>
        <w:t xml:space="preserve">Canberra Institute of Technology Act 1987 </w:t>
      </w:r>
      <w:r>
        <w:rPr>
          <w:b/>
        </w:rPr>
        <w:t xml:space="preserve">and section 78 of the </w:t>
      </w:r>
      <w:r>
        <w:rPr>
          <w:i/>
        </w:rPr>
        <w:t>Financial Management Act 1996</w:t>
      </w:r>
      <w:r>
        <w:rPr>
          <w:b/>
        </w:rPr>
        <w:t xml:space="preserve"> appoints a specified person to be a Member of the CIT Board. </w:t>
      </w:r>
    </w:p>
    <w:p w14:paraId="1B48830E"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DI2024-121 being the Canberra Institute of Technology (CIT Board Member) Appointment 2024 (No 3) made under section 9 of the </w:t>
      </w:r>
      <w:r>
        <w:rPr>
          <w:i/>
        </w:rPr>
        <w:t xml:space="preserve">Canberra Institute of Technology Act 1987 </w:t>
      </w:r>
      <w:r>
        <w:rPr>
          <w:b/>
        </w:rPr>
        <w:t>and section 78 of the</w:t>
      </w:r>
      <w:r>
        <w:rPr>
          <w:i/>
        </w:rPr>
        <w:t xml:space="preserve"> Financial Management Act 1996</w:t>
      </w:r>
      <w:r>
        <w:rPr>
          <w:b/>
        </w:rPr>
        <w:t xml:space="preserve"> appoints a specified person to be a Member of the CIT Board. </w:t>
      </w:r>
    </w:p>
    <w:p w14:paraId="3D31F88D" w14:textId="353F2DC4" w:rsidR="00946033" w:rsidRDefault="00946033" w:rsidP="00FC2277">
      <w:pPr>
        <w:pStyle w:val="Heading20"/>
      </w:pPr>
      <w:bookmarkStart w:id="137" w:name="_Toc174548913"/>
      <w:r>
        <w:t>Disallowable Instruments</w:t>
      </w:r>
      <w:r w:rsidR="0072770D">
        <w:t>—</w:t>
      </w:r>
      <w:r>
        <w:t>Comment</w:t>
      </w:r>
      <w:bookmarkEnd w:id="137"/>
    </w:p>
    <w:p w14:paraId="393933A8" w14:textId="5650087B" w:rsidR="004B531D" w:rsidRDefault="00FC2277" w:rsidP="00F557CD">
      <w:pPr>
        <w:keepNext/>
        <w:keepLines/>
        <w:spacing w:before="120" w:after="0"/>
        <w:ind w:left="720" w:hanging="720"/>
        <w:outlineLvl w:val="2"/>
        <w:rPr>
          <w:rFonts w:cstheme="minorHAnsi"/>
          <w:bCs/>
          <w:color w:val="000000" w:themeColor="text1"/>
          <w:szCs w:val="20"/>
        </w:rPr>
      </w:pPr>
      <w:bookmarkStart w:id="138" w:name="_Toc169174833"/>
      <w:bookmarkStart w:id="139" w:name="_Toc174548914"/>
      <w:bookmarkStart w:id="140" w:name="_Toc130810355"/>
      <w:r>
        <w:rPr>
          <w:rFonts w:cstheme="minorHAnsi"/>
          <w:bCs/>
          <w:color w:val="000000" w:themeColor="text1"/>
          <w:szCs w:val="20"/>
        </w:rPr>
        <w:t>2</w:t>
      </w:r>
      <w:r w:rsidR="00840604">
        <w:rPr>
          <w:rFonts w:cstheme="minorHAnsi"/>
          <w:bCs/>
          <w:color w:val="000000" w:themeColor="text1"/>
          <w:szCs w:val="20"/>
        </w:rPr>
        <w:t>.2</w:t>
      </w:r>
      <w:r w:rsidR="004B531D" w:rsidRPr="004B531D">
        <w:rPr>
          <w:rFonts w:cstheme="minorHAnsi"/>
          <w:bCs/>
          <w:color w:val="000000" w:themeColor="text1"/>
          <w:szCs w:val="20"/>
        </w:rPr>
        <w:tab/>
        <w:t>The Committee has examined the following disallowable instruments and offers these comments on them:</w:t>
      </w:r>
      <w:bookmarkEnd w:id="138"/>
      <w:bookmarkEnd w:id="139"/>
    </w:p>
    <w:p w14:paraId="7080E03A" w14:textId="77777777" w:rsidR="005660BC" w:rsidRDefault="005660BC" w:rsidP="005660BC">
      <w:pPr>
        <w:keepNext/>
        <w:keepLines/>
        <w:spacing w:before="120" w:after="200"/>
        <w:outlineLvl w:val="2"/>
        <w:rPr>
          <w:rFonts w:ascii="Montserrat" w:eastAsia="Times New Roman" w:hAnsi="Montserrat" w:cs="Times New Roman"/>
          <w:b/>
          <w:color w:val="7492CD"/>
          <w:w w:val="90"/>
          <w:kern w:val="2"/>
          <w:sz w:val="28"/>
          <w:szCs w:val="24"/>
        </w:rPr>
      </w:pPr>
      <w:bookmarkStart w:id="141" w:name="_Toc174548915"/>
      <w:r>
        <w:rPr>
          <w:rFonts w:ascii="Montserrat" w:eastAsia="Times New Roman" w:hAnsi="Montserrat" w:cs="Times New Roman"/>
          <w:b/>
          <w:color w:val="7492CD"/>
          <w:w w:val="90"/>
          <w:kern w:val="2"/>
          <w:sz w:val="28"/>
          <w:szCs w:val="24"/>
        </w:rPr>
        <w:t>Fees determinations / Human Rights Issues</w:t>
      </w:r>
      <w:bookmarkEnd w:id="141"/>
    </w:p>
    <w:p w14:paraId="405AE127"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DI2024-101 being the Stock (Fees) Determination 2024 made under section 68 of the </w:t>
      </w:r>
      <w:r>
        <w:rPr>
          <w:i/>
        </w:rPr>
        <w:t>Stock Act 2005</w:t>
      </w:r>
      <w:r>
        <w:rPr>
          <w:b/>
        </w:rPr>
        <w:t xml:space="preserve"> revokes DI2023-140 and determines fees payable for the purposes of the Act. </w:t>
      </w:r>
    </w:p>
    <w:p w14:paraId="797C7167"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DI2024-102 being the Stock (Levy) Determination 2024 made under section 6 of the </w:t>
      </w:r>
      <w:r>
        <w:rPr>
          <w:i/>
        </w:rPr>
        <w:t>Stock Act 2005</w:t>
      </w:r>
      <w:r>
        <w:rPr>
          <w:b/>
        </w:rPr>
        <w:t xml:space="preserve"> revokes DI2023-141 and determines the levy amount per stock unit and the number of animals making up a stock unit. </w:t>
      </w:r>
    </w:p>
    <w:p w14:paraId="36176D43"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DI2024-103 being the Stock (Minimum Stock Levy) Determination 2024 made under section 7A of the </w:t>
      </w:r>
      <w:r>
        <w:rPr>
          <w:i/>
        </w:rPr>
        <w:t>Stock Act 2005</w:t>
      </w:r>
      <w:r>
        <w:rPr>
          <w:b/>
        </w:rPr>
        <w:t xml:space="preserve"> revokes DI2023-143 and sets the minimum stock levy. </w:t>
      </w:r>
    </w:p>
    <w:p w14:paraId="3BC76C19"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DI2024-104 being the Community Title (Fees) Determination 2024 made under section 96 of the </w:t>
      </w:r>
      <w:r>
        <w:rPr>
          <w:i/>
        </w:rPr>
        <w:t>Community Title Act 2001</w:t>
      </w:r>
      <w:r>
        <w:rPr>
          <w:b/>
        </w:rPr>
        <w:t xml:space="preserve"> revokes DI2023-138 and determines fees payable for goods and services for the purposes of the Act. </w:t>
      </w:r>
    </w:p>
    <w:p w14:paraId="6C8ABCDE"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DI2024-106 being the Unit Titles (Fees) Determination 2024 made under section 179 of the </w:t>
      </w:r>
      <w:r>
        <w:rPr>
          <w:i/>
        </w:rPr>
        <w:t>Unit Titles Act 2001</w:t>
      </w:r>
      <w:r>
        <w:rPr>
          <w:b/>
        </w:rPr>
        <w:t xml:space="preserve"> revokes DI2023-144 and determines fees payable for the purposes of the Act. </w:t>
      </w:r>
    </w:p>
    <w:p w14:paraId="217C7CEC"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DI2024-107 being the Planning (Fees) Determination 2024 made under section 522 of the </w:t>
      </w:r>
      <w:r>
        <w:rPr>
          <w:i/>
        </w:rPr>
        <w:t>Planning Act 2023</w:t>
      </w:r>
      <w:r>
        <w:rPr>
          <w:b/>
        </w:rPr>
        <w:t xml:space="preserve"> revokes DI2023-292 and determines fees payable for the purposes of the Act. </w:t>
      </w:r>
    </w:p>
    <w:p w14:paraId="3FD12F58"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DI2024-108 being the Surveyors (Fees) Determination 2024 made under section 80 of the </w:t>
      </w:r>
      <w:r>
        <w:rPr>
          <w:i/>
        </w:rPr>
        <w:t>Surveyors Act 2007</w:t>
      </w:r>
      <w:r>
        <w:rPr>
          <w:b/>
        </w:rPr>
        <w:t xml:space="preserve"> revokes DI2023-142 and determines fees payable for the purposes of the Act. </w:t>
      </w:r>
    </w:p>
    <w:p w14:paraId="571212FE"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DI2024-110 being the Architects (Fees) Determination 2024 made under section 91 of the </w:t>
      </w:r>
      <w:r>
        <w:rPr>
          <w:i/>
        </w:rPr>
        <w:t>Architects Act 2004</w:t>
      </w:r>
      <w:r>
        <w:rPr>
          <w:b/>
        </w:rPr>
        <w:t xml:space="preserve"> revokes DI2023-127 and determines fees payable for the purposes of the Act. </w:t>
      </w:r>
    </w:p>
    <w:p w14:paraId="6B6F73CF"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DI2024-111 being the </w:t>
      </w:r>
      <w:proofErr w:type="gramStart"/>
      <w:r>
        <w:rPr>
          <w:b/>
        </w:rPr>
        <w:t>Building</w:t>
      </w:r>
      <w:proofErr w:type="gramEnd"/>
      <w:r>
        <w:rPr>
          <w:b/>
        </w:rPr>
        <w:t xml:space="preserve"> (Fees) Determination 2024 (No 2) made under section 150 of the </w:t>
      </w:r>
      <w:r>
        <w:rPr>
          <w:i/>
        </w:rPr>
        <w:t>Building Act 2004</w:t>
      </w:r>
      <w:r>
        <w:rPr>
          <w:b/>
        </w:rPr>
        <w:t xml:space="preserve"> revokes DI2024-81 and determines fees for the purposes of the Act. </w:t>
      </w:r>
    </w:p>
    <w:p w14:paraId="2DBACEBA"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DI2024-112 being the Construction Occupations (Licensing) (Fees) Determination 2024 (No 2) made under section 127 of the </w:t>
      </w:r>
      <w:r>
        <w:rPr>
          <w:i/>
        </w:rPr>
        <w:t>Construction Occupations (Licensing) Act 2004</w:t>
      </w:r>
      <w:r>
        <w:rPr>
          <w:b/>
        </w:rPr>
        <w:t xml:space="preserve"> revokes DI2024-36 and determines fees payable for the purposes of the Act. </w:t>
      </w:r>
    </w:p>
    <w:p w14:paraId="7299793A"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DI2024-113 being the Electricity Safety (Fees) Determination 2024 made under section 64 of the </w:t>
      </w:r>
      <w:r>
        <w:rPr>
          <w:i/>
        </w:rPr>
        <w:t>Electricity Safety Act 1971</w:t>
      </w:r>
      <w:r>
        <w:rPr>
          <w:b/>
        </w:rPr>
        <w:t xml:space="preserve"> revokes DI2023-124 and determines fees payable under the Act. </w:t>
      </w:r>
    </w:p>
    <w:p w14:paraId="04CCA71A"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DI2024-114 being the Environment Protection (Fees) Determination 2023 made under section 165 of the </w:t>
      </w:r>
      <w:r>
        <w:rPr>
          <w:i/>
        </w:rPr>
        <w:t>Environment Protection Act 1997</w:t>
      </w:r>
      <w:r>
        <w:rPr>
          <w:b/>
        </w:rPr>
        <w:t xml:space="preserve"> revokes DI2023-125 and determines fees payable for the purposes of the Act. </w:t>
      </w:r>
    </w:p>
    <w:p w14:paraId="3A333BD4"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DI2024-115 being the Gas Safety (Fees) Determination 2024 made under section 67 of the </w:t>
      </w:r>
      <w:r>
        <w:rPr>
          <w:i/>
        </w:rPr>
        <w:t>Gas Safety Act 2000</w:t>
      </w:r>
      <w:r>
        <w:rPr>
          <w:b/>
        </w:rPr>
        <w:t xml:space="preserve"> revokes DI2023-122 and determines fees payable for the purposes of the Act. </w:t>
      </w:r>
    </w:p>
    <w:p w14:paraId="5A8B145F"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DI2024-116 being the Heritage (Fees) Determination 2024 made under section 120 of the </w:t>
      </w:r>
      <w:r>
        <w:rPr>
          <w:i/>
        </w:rPr>
        <w:t>Heritage Act 2004</w:t>
      </w:r>
      <w:r>
        <w:rPr>
          <w:b/>
        </w:rPr>
        <w:t xml:space="preserve"> revokes DI2023-121 and determines fees payable for the purposes of the Act. </w:t>
      </w:r>
    </w:p>
    <w:p w14:paraId="249970FB"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DI2024-117 being the Nature Conservation (Fees) Determination 2024 made under section 368 of the </w:t>
      </w:r>
      <w:r>
        <w:rPr>
          <w:i/>
        </w:rPr>
        <w:t>Nature Conservation Act 2014</w:t>
      </w:r>
      <w:r>
        <w:rPr>
          <w:b/>
        </w:rPr>
        <w:t xml:space="preserve"> revokes DI2023-216 and determines fees payable for the purposes of the Act. </w:t>
      </w:r>
    </w:p>
    <w:p w14:paraId="2D901950"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DI2024-118 being the Water and Sewerage (Fees) Determination 2024 made under section 45 of the </w:t>
      </w:r>
      <w:r>
        <w:rPr>
          <w:i/>
        </w:rPr>
        <w:t>Water and Sewerage Act 2000</w:t>
      </w:r>
      <w:r>
        <w:rPr>
          <w:b/>
        </w:rPr>
        <w:t xml:space="preserve"> revokes DI2023-119 and determines fees payable for the purposes of the Act. </w:t>
      </w:r>
    </w:p>
    <w:p w14:paraId="0C27DA86"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DI2024-123 being the Fisheries (Fees) Determination 2024 made under section 114 of the </w:t>
      </w:r>
      <w:r>
        <w:rPr>
          <w:i/>
        </w:rPr>
        <w:t>Fisheries Act 2000</w:t>
      </w:r>
      <w:r>
        <w:rPr>
          <w:b/>
        </w:rPr>
        <w:t xml:space="preserve"> revokes DI2023-129 and determines fees payable for the purpose of the Act. </w:t>
      </w:r>
    </w:p>
    <w:p w14:paraId="6FF6EC97"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DI2024-124 being the Water Resources (Fees) Determination 2024 (No 2) made under section 107 of the </w:t>
      </w:r>
      <w:r>
        <w:rPr>
          <w:i/>
        </w:rPr>
        <w:t>Water Resources Act 2007</w:t>
      </w:r>
      <w:r>
        <w:rPr>
          <w:b/>
        </w:rPr>
        <w:t xml:space="preserve"> revokes DI2024-9 and determine fee exemption to facilitate meeting commitments under the Basin Plan 2012 (Cwlth). </w:t>
      </w:r>
    </w:p>
    <w:p w14:paraId="6EDF599C"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DI2024-127 being the Utilities (Technical Regulation) (Operating Certificate Fees) Determination 2024 made under section 110 of the </w:t>
      </w:r>
      <w:r>
        <w:rPr>
          <w:i/>
        </w:rPr>
        <w:t>Utilities (Technical Regulation) Act 2014</w:t>
      </w:r>
      <w:r>
        <w:rPr>
          <w:b/>
        </w:rPr>
        <w:t xml:space="preserve"> revokes DI2023-111 and determine the fees payable for applying for the grant of an operating certificate to an unlicensed regulated utility and ongoing audit and compliance fees. </w:t>
      </w:r>
    </w:p>
    <w:p w14:paraId="097DA026" w14:textId="77777777" w:rsidR="005660BC" w:rsidRPr="002712A3" w:rsidRDefault="005660BC" w:rsidP="005660BC">
      <w:pPr>
        <w:pStyle w:val="Bodycopy"/>
        <w:keepLines/>
        <w:numPr>
          <w:ilvl w:val="0"/>
          <w:numId w:val="19"/>
        </w:numPr>
        <w:spacing w:before="120" w:after="0" w:line="283" w:lineRule="auto"/>
        <w:ind w:left="1208" w:hanging="357"/>
        <w:rPr>
          <w:b/>
          <w:spacing w:val="-4"/>
        </w:rPr>
      </w:pPr>
      <w:r w:rsidRPr="002712A3">
        <w:rPr>
          <w:b/>
          <w:spacing w:val="-4"/>
        </w:rPr>
        <w:t xml:space="preserve">Disallowable Instrument DI2024-128 being the Animal Welfare (Fees) Determination 2024 (No 1) made under section 110 of the </w:t>
      </w:r>
      <w:r w:rsidRPr="002712A3">
        <w:rPr>
          <w:i/>
          <w:spacing w:val="-4"/>
        </w:rPr>
        <w:t>Animal Welfare Act 1992</w:t>
      </w:r>
      <w:r w:rsidRPr="002712A3">
        <w:rPr>
          <w:b/>
          <w:spacing w:val="-4"/>
        </w:rPr>
        <w:t xml:space="preserve"> revokes DI2023-101 and sets application fees for licences and permits that may be granted under the Act. </w:t>
      </w:r>
    </w:p>
    <w:p w14:paraId="337589A1"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DI2024-129 being the Clinical Waste (Fees) Determination 2024 (No 1) made under section 40 of the </w:t>
      </w:r>
      <w:r>
        <w:rPr>
          <w:i/>
        </w:rPr>
        <w:t>Clinical Waste Act 1990</w:t>
      </w:r>
      <w:r>
        <w:rPr>
          <w:b/>
        </w:rPr>
        <w:t xml:space="preserve"> revokes DI2023-102 and determines fees for the Act. </w:t>
      </w:r>
    </w:p>
    <w:p w14:paraId="3F2DA554"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DI2024-130 being the Domestic Animals (Fees) Determination 2024 (No 1) made under section 144 of the </w:t>
      </w:r>
      <w:r>
        <w:rPr>
          <w:i/>
        </w:rPr>
        <w:t>Domestic Animals Act 2000</w:t>
      </w:r>
      <w:r>
        <w:rPr>
          <w:b/>
        </w:rPr>
        <w:t xml:space="preserve"> revokes DI2023-103 and sets application fees for licences and permits that may be granted under the Act. </w:t>
      </w:r>
    </w:p>
    <w:p w14:paraId="552C5810"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DI2024-131 being the Public Unleased Land (Fees) Determination 2024 (No 1) made under section 130 of the </w:t>
      </w:r>
      <w:r>
        <w:rPr>
          <w:i/>
        </w:rPr>
        <w:t>Public Unleased Land Act 2013</w:t>
      </w:r>
      <w:r>
        <w:rPr>
          <w:b/>
        </w:rPr>
        <w:t xml:space="preserve"> revokes DI2023-104 and determines fees payable for the purpose of the Act. </w:t>
      </w:r>
    </w:p>
    <w:p w14:paraId="213B41C5"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DI2024-132 being the Urban Forest (Fees) Determination 2024 (No 1) made under section 143 of the </w:t>
      </w:r>
      <w:r>
        <w:rPr>
          <w:i/>
        </w:rPr>
        <w:t>Urban Forest Act 2023</w:t>
      </w:r>
      <w:r>
        <w:rPr>
          <w:b/>
        </w:rPr>
        <w:t xml:space="preserve"> revokes DI2023-306 and determines the fees payable for the purposes of the Act. </w:t>
      </w:r>
    </w:p>
    <w:p w14:paraId="7956E1E1"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DI2024-133 being the Working with Vulnerable People Background Checking (Fees) Determination 2024 made under section 68 of the </w:t>
      </w:r>
      <w:r>
        <w:rPr>
          <w:i/>
        </w:rPr>
        <w:t>Working with Vulnerable People (Background Checking) Act 2011</w:t>
      </w:r>
      <w:r>
        <w:rPr>
          <w:b/>
        </w:rPr>
        <w:t xml:space="preserve"> revokes DI2023-108 and determines fees payable for the purpose of the Act. </w:t>
      </w:r>
    </w:p>
    <w:p w14:paraId="1524613D" w14:textId="77777777" w:rsidR="005660BC" w:rsidRDefault="005660BC" w:rsidP="005660BC">
      <w:pPr>
        <w:pStyle w:val="Bodycopy"/>
        <w:keepLines/>
        <w:numPr>
          <w:ilvl w:val="0"/>
          <w:numId w:val="19"/>
        </w:numPr>
        <w:spacing w:before="120" w:after="0" w:line="283" w:lineRule="auto"/>
        <w:ind w:left="1208" w:hanging="357"/>
        <w:rPr>
          <w:b/>
        </w:rPr>
      </w:pPr>
      <w:r>
        <w:rPr>
          <w:b/>
        </w:rPr>
        <w:t xml:space="preserve">Disallowable Instrument DI2024-134 being the Electoral (Fees) Determination 2024 made under section 340B of the </w:t>
      </w:r>
      <w:r>
        <w:rPr>
          <w:i/>
        </w:rPr>
        <w:t>Electoral Act 1992</w:t>
      </w:r>
      <w:r>
        <w:rPr>
          <w:b/>
        </w:rPr>
        <w:t xml:space="preserve"> revokes DI2023-109 and determines fees payable by a persons or organisations receiving goods and/ or services for the purpose of the Act. </w:t>
      </w:r>
    </w:p>
    <w:p w14:paraId="3BC808A4" w14:textId="77777777" w:rsidR="00E34587" w:rsidRPr="00E34587" w:rsidRDefault="00E34587" w:rsidP="00E34587">
      <w:pPr>
        <w:pStyle w:val="ListNumber2"/>
        <w:numPr>
          <w:ilvl w:val="1"/>
          <w:numId w:val="29"/>
        </w:numPr>
        <w:ind w:left="851" w:hanging="851"/>
        <w:rPr>
          <w:rFonts w:ascii="Calibri" w:eastAsia="Calibri" w:hAnsi="Calibri" w:cs="Calibri"/>
          <w:color w:val="000000"/>
        </w:rPr>
      </w:pPr>
      <w:r w:rsidRPr="00E34587">
        <w:rPr>
          <w:rFonts w:ascii="Calibri" w:eastAsia="Calibri" w:hAnsi="Calibri" w:cs="Calibri"/>
          <w:color w:val="000000"/>
        </w:rPr>
        <w:t xml:space="preserve">Each of the 25 instruments mentioned above determines fees, for various Acts.  As the Committee noted (most recently) in </w:t>
      </w:r>
      <w:r w:rsidRPr="00936602">
        <w:rPr>
          <w:rFonts w:ascii="Calibri" w:eastAsia="Calibri" w:hAnsi="Calibri" w:cs="Calibri"/>
          <w:i/>
          <w:iCs/>
          <w:color w:val="000000"/>
        </w:rPr>
        <w:t>Scrutiny Report 32</w:t>
      </w:r>
      <w:r w:rsidRPr="00E34587">
        <w:rPr>
          <w:rFonts w:ascii="Calibri" w:eastAsia="Calibri" w:hAnsi="Calibri" w:cs="Calibri"/>
          <w:color w:val="000000"/>
        </w:rPr>
        <w:t xml:space="preserve"> of the 10</w:t>
      </w:r>
      <w:r w:rsidRPr="00936602">
        <w:rPr>
          <w:rFonts w:ascii="Calibri" w:eastAsia="Calibri" w:hAnsi="Calibri" w:cs="Calibri"/>
          <w:color w:val="000000"/>
          <w:vertAlign w:val="superscript"/>
        </w:rPr>
        <w:t>th</w:t>
      </w:r>
      <w:r w:rsidRPr="00E34587">
        <w:rPr>
          <w:rFonts w:ascii="Calibri" w:eastAsia="Calibri" w:hAnsi="Calibri" w:cs="Calibri"/>
          <w:color w:val="000000"/>
        </w:rPr>
        <w:t xml:space="preserve"> Assembly (22 August 2023), the Committee expects to consider </w:t>
      </w:r>
      <w:proofErr w:type="gramStart"/>
      <w:r w:rsidRPr="00E34587">
        <w:rPr>
          <w:rFonts w:ascii="Calibri" w:eastAsia="Calibri" w:hAnsi="Calibri" w:cs="Calibri"/>
          <w:color w:val="000000"/>
        </w:rPr>
        <w:t>in excess of</w:t>
      </w:r>
      <w:proofErr w:type="gramEnd"/>
      <w:r w:rsidRPr="00E34587">
        <w:rPr>
          <w:rFonts w:ascii="Calibri" w:eastAsia="Calibri" w:hAnsi="Calibri" w:cs="Calibri"/>
          <w:color w:val="000000"/>
        </w:rPr>
        <w:t xml:space="preserve"> 100 such instruments at this time of the year, as new fees, etc. are determined for the new financial year.</w:t>
      </w:r>
    </w:p>
    <w:p w14:paraId="4C3ED504" w14:textId="473F5389" w:rsidR="00E34587" w:rsidRPr="00E34587" w:rsidRDefault="00E34587" w:rsidP="00E34587">
      <w:pPr>
        <w:pStyle w:val="ListNumber2"/>
        <w:numPr>
          <w:ilvl w:val="1"/>
          <w:numId w:val="29"/>
        </w:numPr>
        <w:ind w:left="851" w:hanging="851"/>
        <w:rPr>
          <w:rFonts w:ascii="Calibri" w:eastAsia="Calibri" w:hAnsi="Calibri" w:cs="Calibri"/>
          <w:bCs w:val="0"/>
          <w:color w:val="000000"/>
          <w:lang w:eastAsia="en-AU"/>
        </w:rPr>
      </w:pPr>
      <w:r w:rsidRPr="00E34587">
        <w:rPr>
          <w:rFonts w:ascii="Calibri" w:eastAsia="Calibri" w:hAnsi="Calibri" w:cs="Calibri"/>
          <w:color w:val="000000"/>
        </w:rPr>
        <w:t xml:space="preserve">As the Committee also stated in </w:t>
      </w:r>
      <w:r w:rsidRPr="00936602">
        <w:rPr>
          <w:rFonts w:ascii="Calibri" w:eastAsia="Calibri" w:hAnsi="Calibri" w:cs="Calibri"/>
          <w:i/>
          <w:iCs/>
          <w:color w:val="000000"/>
        </w:rPr>
        <w:t>Scrutiny Report 32</w:t>
      </w:r>
      <w:r w:rsidRPr="00E34587">
        <w:rPr>
          <w:rFonts w:ascii="Calibri" w:eastAsia="Calibri" w:hAnsi="Calibri" w:cs="Calibri"/>
          <w:color w:val="000000"/>
        </w:rPr>
        <w:t xml:space="preserve">, in recent years, the Committee has been pleased to observe that the standard of fees determinations (and their explanatory statements) is much improved (in terms of them meeting the Committee’s long-held views about fees </w:t>
      </w:r>
      <w:proofErr w:type="gramStart"/>
      <w:r w:rsidRPr="00E34587">
        <w:rPr>
          <w:rFonts w:ascii="Calibri" w:eastAsia="Calibri" w:hAnsi="Calibri" w:cs="Calibri"/>
          <w:color w:val="000000"/>
        </w:rPr>
        <w:t>determinations )</w:t>
      </w:r>
      <w:proofErr w:type="gramEnd"/>
      <w:r w:rsidRPr="00E34587">
        <w:rPr>
          <w:rFonts w:ascii="Calibri" w:eastAsia="Calibri" w:hAnsi="Calibri" w:cs="Calibri"/>
          <w:color w:val="000000"/>
        </w:rPr>
        <w:t xml:space="preserve"> from, say, ten years ago. This improvement is again evident in this batch of instruments. The Committee notes that the requirement in relation to setting out the </w:t>
      </w:r>
      <w:r w:rsidR="00013602">
        <w:rPr>
          <w:rFonts w:ascii="Calibri" w:eastAsia="Calibri" w:hAnsi="Calibri" w:cs="Calibri"/>
          <w:color w:val="000000"/>
        </w:rPr>
        <w:t>“</w:t>
      </w:r>
      <w:r w:rsidRPr="00E34587">
        <w:rPr>
          <w:rFonts w:ascii="Calibri" w:eastAsia="Calibri" w:hAnsi="Calibri" w:cs="Calibri"/>
          <w:color w:val="000000"/>
        </w:rPr>
        <w:t>old</w:t>
      </w:r>
      <w:r w:rsidR="00013602">
        <w:rPr>
          <w:rFonts w:ascii="Calibri" w:eastAsia="Calibri" w:hAnsi="Calibri" w:cs="Calibri"/>
          <w:color w:val="000000"/>
        </w:rPr>
        <w:t>”</w:t>
      </w:r>
      <w:r w:rsidRPr="00E34587">
        <w:rPr>
          <w:rFonts w:ascii="Calibri" w:eastAsia="Calibri" w:hAnsi="Calibri" w:cs="Calibri"/>
          <w:color w:val="000000"/>
        </w:rPr>
        <w:t xml:space="preserve"> and </w:t>
      </w:r>
      <w:r w:rsidR="00013602">
        <w:rPr>
          <w:rFonts w:ascii="Calibri" w:eastAsia="Calibri" w:hAnsi="Calibri" w:cs="Calibri"/>
          <w:color w:val="000000"/>
        </w:rPr>
        <w:t>“</w:t>
      </w:r>
      <w:r w:rsidRPr="00E34587">
        <w:rPr>
          <w:rFonts w:ascii="Calibri" w:eastAsia="Calibri" w:hAnsi="Calibri" w:cs="Calibri"/>
          <w:color w:val="000000"/>
        </w:rPr>
        <w:t>new</w:t>
      </w:r>
      <w:r w:rsidR="00013602">
        <w:rPr>
          <w:rFonts w:ascii="Calibri" w:eastAsia="Calibri" w:hAnsi="Calibri" w:cs="Calibri"/>
          <w:color w:val="000000"/>
        </w:rPr>
        <w:t>”</w:t>
      </w:r>
      <w:r w:rsidRPr="00E34587">
        <w:rPr>
          <w:rFonts w:ascii="Calibri" w:eastAsia="Calibri" w:hAnsi="Calibri" w:cs="Calibri"/>
          <w:color w:val="000000"/>
        </w:rPr>
        <w:t xml:space="preserve"> fees has been consistently met. The Committee also notes that, in the batch of instruments mentioned above, there is a high degree of consistency in the explanations provided for the various fees increases. In addition, there are some instruments that provide for different increases/explanations, in the circumstances of </w:t>
      </w:r>
      <w:proofErr w:type="gramStart"/>
      <w:r w:rsidRPr="00E34587">
        <w:rPr>
          <w:rFonts w:ascii="Calibri" w:eastAsia="Calibri" w:hAnsi="Calibri" w:cs="Calibri"/>
          <w:color w:val="000000"/>
        </w:rPr>
        <w:t>particular Acts</w:t>
      </w:r>
      <w:proofErr w:type="gramEnd"/>
      <w:r w:rsidRPr="00E34587">
        <w:rPr>
          <w:rFonts w:ascii="Calibri" w:eastAsia="Calibri" w:hAnsi="Calibri" w:cs="Calibri"/>
          <w:color w:val="000000"/>
        </w:rPr>
        <w:t>. These issues are discussed below.</w:t>
      </w:r>
    </w:p>
    <w:p w14:paraId="4690EE03" w14:textId="77777777" w:rsidR="00E34587" w:rsidRPr="00E34587" w:rsidRDefault="00E34587" w:rsidP="0047494A">
      <w:pPr>
        <w:pStyle w:val="Heading5"/>
        <w:rPr>
          <w:rFonts w:eastAsia="Times New Roman"/>
          <w:smallCaps/>
        </w:rPr>
      </w:pPr>
      <w:r w:rsidRPr="00E34587">
        <w:rPr>
          <w:rFonts w:eastAsia="Times New Roman"/>
        </w:rPr>
        <w:t>Consistency in explanations for fee increases</w:t>
      </w:r>
    </w:p>
    <w:p w14:paraId="4107D12A" w14:textId="77777777" w:rsidR="00E34587" w:rsidRPr="00E34587" w:rsidRDefault="00E34587" w:rsidP="00A958C8">
      <w:pPr>
        <w:pStyle w:val="ListNumber2"/>
        <w:numPr>
          <w:ilvl w:val="1"/>
          <w:numId w:val="29"/>
        </w:numPr>
        <w:ind w:left="851" w:hanging="851"/>
        <w:rPr>
          <w:rFonts w:ascii="Calibri" w:eastAsia="Calibri" w:hAnsi="Calibri" w:cs="Calibri"/>
          <w:color w:val="000000"/>
        </w:rPr>
      </w:pPr>
      <w:r w:rsidRPr="00E34587">
        <w:rPr>
          <w:rFonts w:ascii="Calibri" w:eastAsia="Calibri" w:hAnsi="Calibri" w:cs="Calibri"/>
          <w:color w:val="000000"/>
        </w:rPr>
        <w:t xml:space="preserve">The Committee notes that the explanatory statement for the first instrument mentioned above (DI2024-101), which determines fees for section 68 of the </w:t>
      </w:r>
      <w:r w:rsidRPr="00E34587">
        <w:rPr>
          <w:rFonts w:ascii="Calibri" w:eastAsia="Calibri" w:hAnsi="Calibri" w:cs="Calibri"/>
          <w:i/>
          <w:iCs/>
          <w:color w:val="000000"/>
        </w:rPr>
        <w:t>Stock Act 2005</w:t>
      </w:r>
      <w:r w:rsidRPr="00E34587">
        <w:rPr>
          <w:rFonts w:ascii="Calibri" w:eastAsia="Calibri" w:hAnsi="Calibri" w:cs="Calibri"/>
          <w:color w:val="000000"/>
        </w:rPr>
        <w:t>, states:</w:t>
      </w:r>
    </w:p>
    <w:p w14:paraId="63F01D8F" w14:textId="77777777" w:rsidR="00E34587" w:rsidRPr="0047494A" w:rsidRDefault="00E34587" w:rsidP="0047494A">
      <w:pPr>
        <w:pStyle w:val="Quote"/>
      </w:pPr>
      <w:r w:rsidRPr="0047494A">
        <w:t xml:space="preserve">The purpose of this instrument is to determine the fees for goods and services under the Act for the 2024-25 financial year. </w:t>
      </w:r>
    </w:p>
    <w:p w14:paraId="0DAAE6F8" w14:textId="77777777" w:rsidR="00E34587" w:rsidRPr="0047494A" w:rsidRDefault="00E34587" w:rsidP="0047494A">
      <w:pPr>
        <w:pStyle w:val="Quote"/>
      </w:pPr>
      <w:r w:rsidRPr="0047494A">
        <w:t>The regulatory fees in the determination which applied in the 2023-24 financial year, have been increased by 3.85% for the 2024-25 financial year based on the wage price index (WPI) as per Government policy, plus an additional 0.35% as per the decision in the 2023-24 Budget.</w:t>
      </w:r>
    </w:p>
    <w:p w14:paraId="706B80C6" w14:textId="77777777" w:rsidR="00E34587" w:rsidRPr="0047494A" w:rsidRDefault="00E34587" w:rsidP="0047494A">
      <w:pPr>
        <w:pStyle w:val="Quote"/>
      </w:pPr>
      <w:r w:rsidRPr="0047494A">
        <w:t>All other fees in the determination which applied in the 2023-24 financial year, have been increased by 3.50% for the 2024-25 financial year based on the wage price index (WPI) as per Government policy.</w:t>
      </w:r>
    </w:p>
    <w:p w14:paraId="7FD254BC" w14:textId="77777777" w:rsidR="00A958C8" w:rsidRPr="001C590F" w:rsidRDefault="00A958C8" w:rsidP="002712A3">
      <w:pPr>
        <w:pStyle w:val="ListNumber2"/>
        <w:keepNext/>
        <w:numPr>
          <w:ilvl w:val="1"/>
          <w:numId w:val="29"/>
        </w:numPr>
        <w:ind w:left="851" w:hanging="851"/>
        <w:rPr>
          <w:rFonts w:ascii="Calibri" w:eastAsia="Times New Roman" w:hAnsi="Calibri" w:cs="Calibri"/>
          <w:bCs w:val="0"/>
          <w:color w:val="000000"/>
        </w:rPr>
      </w:pPr>
      <w:r w:rsidRPr="001C590F">
        <w:rPr>
          <w:rFonts w:ascii="Calibri" w:eastAsia="Calibri" w:hAnsi="Calibri" w:cs="Calibri"/>
          <w:color w:val="000000"/>
        </w:rPr>
        <w:t>A s</w:t>
      </w:r>
      <w:r>
        <w:rPr>
          <w:rFonts w:ascii="Calibri" w:eastAsia="Calibri" w:hAnsi="Calibri" w:cs="Calibri"/>
          <w:color w:val="000000"/>
        </w:rPr>
        <w:t xml:space="preserve">horter, simpler </w:t>
      </w:r>
      <w:r w:rsidRPr="001C590F">
        <w:rPr>
          <w:rFonts w:ascii="Calibri" w:eastAsia="Calibri" w:hAnsi="Calibri" w:cs="Calibri"/>
          <w:color w:val="000000"/>
        </w:rPr>
        <w:t>variation</w:t>
      </w:r>
      <w:r>
        <w:rPr>
          <w:rFonts w:ascii="Calibri" w:eastAsia="Calibri" w:hAnsi="Calibri" w:cs="Calibri"/>
          <w:color w:val="000000"/>
        </w:rPr>
        <w:t xml:space="preserve"> on this explanation, that appears in a handful of explanatory statements, </w:t>
      </w:r>
      <w:r w:rsidRPr="001C590F">
        <w:rPr>
          <w:rFonts w:ascii="Calibri" w:eastAsia="Calibri" w:hAnsi="Calibri" w:cs="Calibri"/>
          <w:color w:val="000000"/>
        </w:rPr>
        <w:t xml:space="preserve">is set out in the explanatory statement for </w:t>
      </w:r>
      <w:r>
        <w:rPr>
          <w:rFonts w:ascii="Calibri" w:eastAsia="Calibri" w:hAnsi="Calibri" w:cs="Calibri"/>
          <w:color w:val="000000"/>
        </w:rPr>
        <w:t>DI2024-1</w:t>
      </w:r>
      <w:bookmarkStart w:id="142" w:name="_Hlk144029403"/>
      <w:r>
        <w:rPr>
          <w:rFonts w:ascii="Calibri" w:eastAsia="Calibri" w:hAnsi="Calibri" w:cs="Calibri"/>
          <w:color w:val="000000"/>
        </w:rPr>
        <w:t>30</w:t>
      </w:r>
      <w:r w:rsidRPr="001C590F">
        <w:rPr>
          <w:rFonts w:ascii="Calibri" w:eastAsia="Calibri" w:hAnsi="Calibri" w:cs="Calibri"/>
          <w:color w:val="000000"/>
        </w:rPr>
        <w:t xml:space="preserve">, </w:t>
      </w:r>
      <w:bookmarkEnd w:id="142"/>
      <w:r w:rsidRPr="001C590F">
        <w:rPr>
          <w:rFonts w:ascii="Calibri" w:eastAsia="Calibri" w:hAnsi="Calibri" w:cs="Calibri"/>
          <w:color w:val="000000"/>
        </w:rPr>
        <w:t xml:space="preserve">which determines fees for </w:t>
      </w:r>
      <w:r>
        <w:rPr>
          <w:rFonts w:ascii="Calibri" w:eastAsia="Calibri" w:hAnsi="Calibri" w:cs="Calibri"/>
          <w:color w:val="000000"/>
        </w:rPr>
        <w:t xml:space="preserve">section 144 of </w:t>
      </w:r>
      <w:r w:rsidRPr="001C590F">
        <w:rPr>
          <w:rFonts w:ascii="Calibri" w:eastAsia="Calibri" w:hAnsi="Calibri" w:cs="Calibri"/>
          <w:color w:val="000000"/>
        </w:rPr>
        <w:t xml:space="preserve">the </w:t>
      </w:r>
      <w:r>
        <w:rPr>
          <w:rFonts w:ascii="Calibri" w:eastAsia="Calibri" w:hAnsi="Calibri" w:cs="Calibri"/>
          <w:i/>
          <w:iCs/>
          <w:color w:val="000000"/>
        </w:rPr>
        <w:t>Domestic Animals Act 2000</w:t>
      </w:r>
      <w:r w:rsidRPr="001C590F">
        <w:rPr>
          <w:rFonts w:ascii="Calibri" w:eastAsia="Calibri" w:hAnsi="Calibri" w:cs="Calibri"/>
          <w:color w:val="000000"/>
        </w:rPr>
        <w:t>:</w:t>
      </w:r>
    </w:p>
    <w:p w14:paraId="43099A05" w14:textId="66302B9C" w:rsidR="00A958C8" w:rsidRPr="00C66171" w:rsidRDefault="00A958C8" w:rsidP="002712A3">
      <w:pPr>
        <w:pStyle w:val="Quote"/>
        <w:keepNext/>
        <w:spacing w:before="120" w:after="120"/>
        <w:rPr>
          <w:rFonts w:eastAsia="Calibri"/>
          <w:b/>
          <w:i/>
          <w:iCs/>
          <w:color w:val="7F7F7F"/>
        </w:rPr>
      </w:pPr>
      <w:r w:rsidRPr="00C66171">
        <w:rPr>
          <w:rFonts w:eastAsia="Calibri"/>
          <w:b/>
          <w:i/>
          <w:iCs/>
          <w:color w:val="7F7F7F"/>
        </w:rPr>
        <w:t>Indexed Fees</w:t>
      </w:r>
    </w:p>
    <w:p w14:paraId="6266970B" w14:textId="77777777" w:rsidR="00A958C8" w:rsidRPr="0047494A" w:rsidRDefault="00A958C8" w:rsidP="0047494A">
      <w:pPr>
        <w:pStyle w:val="Quote"/>
      </w:pPr>
      <w:r w:rsidRPr="0047494A">
        <w:t xml:space="preserve">This determination increases fees contained in DI2023-103 by a Wage Price index (WPI) of 3.85% as per </w:t>
      </w:r>
      <w:bookmarkStart w:id="143" w:name="_Hlk100040741"/>
      <w:r w:rsidRPr="0047494A">
        <w:t>advice from ACT Treasury</w:t>
      </w:r>
      <w:bookmarkEnd w:id="143"/>
      <w:r w:rsidRPr="0047494A">
        <w:t xml:space="preserve">, rounded for cash handling and other purposes. </w:t>
      </w:r>
    </w:p>
    <w:p w14:paraId="419A1B29" w14:textId="77777777" w:rsidR="00A958C8" w:rsidRPr="001C590F" w:rsidRDefault="00A958C8" w:rsidP="00A958C8">
      <w:pPr>
        <w:pStyle w:val="ListNumber2"/>
        <w:numPr>
          <w:ilvl w:val="1"/>
          <w:numId w:val="29"/>
        </w:numPr>
        <w:ind w:left="851" w:hanging="851"/>
        <w:rPr>
          <w:rFonts w:ascii="Calibri" w:eastAsia="Times New Roman" w:hAnsi="Calibri" w:cs="Calibri"/>
          <w:bCs w:val="0"/>
          <w:color w:val="000000"/>
        </w:rPr>
      </w:pPr>
      <w:r w:rsidRPr="001C590F">
        <w:rPr>
          <w:rFonts w:ascii="Calibri" w:eastAsia="Calibri" w:hAnsi="Calibri" w:cs="Calibri"/>
          <w:color w:val="000000"/>
        </w:rPr>
        <w:t xml:space="preserve">The Committee notes that the explanatory statements for </w:t>
      </w:r>
      <w:proofErr w:type="gramStart"/>
      <w:r w:rsidRPr="001C590F">
        <w:rPr>
          <w:rFonts w:ascii="Calibri" w:eastAsia="Calibri" w:hAnsi="Calibri" w:cs="Calibri"/>
          <w:color w:val="000000"/>
        </w:rPr>
        <w:t>the majority of</w:t>
      </w:r>
      <w:proofErr w:type="gramEnd"/>
      <w:r w:rsidRPr="001C590F">
        <w:rPr>
          <w:rFonts w:ascii="Calibri" w:eastAsia="Calibri" w:hAnsi="Calibri" w:cs="Calibri"/>
          <w:color w:val="000000"/>
        </w:rPr>
        <w:t xml:space="preserve"> the instruments mentioned above use one of the examples identified above.  Some wider variations on that explanation, for </w:t>
      </w:r>
      <w:proofErr w:type="gramStart"/>
      <w:r w:rsidRPr="001C590F">
        <w:rPr>
          <w:rFonts w:ascii="Calibri" w:eastAsia="Calibri" w:hAnsi="Calibri" w:cs="Calibri"/>
          <w:color w:val="000000"/>
        </w:rPr>
        <w:t>particular Acts</w:t>
      </w:r>
      <w:proofErr w:type="gramEnd"/>
      <w:r w:rsidRPr="001C590F">
        <w:rPr>
          <w:rFonts w:ascii="Calibri" w:eastAsia="Calibri" w:hAnsi="Calibri" w:cs="Calibri"/>
          <w:color w:val="000000"/>
        </w:rPr>
        <w:t xml:space="preserve">, are discussed below.  </w:t>
      </w:r>
    </w:p>
    <w:p w14:paraId="353AD3FB" w14:textId="77777777" w:rsidR="00A958C8" w:rsidRPr="002712A3" w:rsidRDefault="00A958C8" w:rsidP="00A958C8">
      <w:pPr>
        <w:pStyle w:val="ListNumber2"/>
        <w:numPr>
          <w:ilvl w:val="1"/>
          <w:numId w:val="29"/>
        </w:numPr>
        <w:ind w:left="851" w:hanging="851"/>
        <w:rPr>
          <w:rFonts w:ascii="Calibri" w:eastAsia="Calibri" w:hAnsi="Calibri" w:cs="Calibri"/>
          <w:color w:val="000000"/>
          <w:spacing w:val="-4"/>
        </w:rPr>
      </w:pPr>
      <w:r w:rsidRPr="002712A3">
        <w:rPr>
          <w:rFonts w:ascii="Calibri" w:eastAsia="Calibri" w:hAnsi="Calibri" w:cs="Calibri"/>
          <w:color w:val="000000"/>
          <w:spacing w:val="-4"/>
        </w:rPr>
        <w:t xml:space="preserve">In relation to the methodology behind fees increases, the Committee notes the following explanation, provided by the Minister for Transport and City Services, in response to comments made by the Committee in </w:t>
      </w:r>
      <w:r w:rsidRPr="002712A3">
        <w:rPr>
          <w:rFonts w:ascii="Calibri" w:eastAsia="Calibri" w:hAnsi="Calibri" w:cs="Calibri"/>
          <w:i/>
          <w:iCs/>
          <w:color w:val="000000"/>
          <w:spacing w:val="-4"/>
        </w:rPr>
        <w:t>Scrutiny Report 26</w:t>
      </w:r>
      <w:r w:rsidRPr="002712A3">
        <w:rPr>
          <w:rFonts w:ascii="Calibri" w:eastAsia="Calibri" w:hAnsi="Calibri" w:cs="Calibri"/>
          <w:color w:val="000000"/>
          <w:spacing w:val="-4"/>
        </w:rPr>
        <w:t xml:space="preserve"> of the 10</w:t>
      </w:r>
      <w:r w:rsidRPr="002712A3">
        <w:rPr>
          <w:rFonts w:ascii="Calibri" w:eastAsia="Calibri" w:hAnsi="Calibri" w:cs="Calibri"/>
          <w:color w:val="000000"/>
          <w:spacing w:val="-4"/>
          <w:vertAlign w:val="superscript"/>
        </w:rPr>
        <w:t>th</w:t>
      </w:r>
      <w:r w:rsidRPr="002712A3">
        <w:rPr>
          <w:rFonts w:ascii="Calibri" w:eastAsia="Calibri" w:hAnsi="Calibri" w:cs="Calibri"/>
          <w:color w:val="000000"/>
          <w:spacing w:val="-4"/>
        </w:rPr>
        <w:t xml:space="preserve"> Assembly (14 March 2023):</w:t>
      </w:r>
    </w:p>
    <w:p w14:paraId="2CE318C7" w14:textId="77777777" w:rsidR="00A958C8" w:rsidRPr="0047494A" w:rsidRDefault="00A958C8" w:rsidP="0047494A">
      <w:pPr>
        <w:pStyle w:val="Quote"/>
      </w:pPr>
      <w:r w:rsidRPr="0047494A">
        <w:t>Changes to fees and charges, levies and taxes by annual decisions or different indexation arrangements are driven by a range of policy considerations. Indexation is largely linked to growth in wages to cover the cost of Government employees providing services to the community, while ensuring the indexation does not create undue cost of living pressures. Where a different indexation is used, it usually reflects the changes in prices of goods and services acquired by households (i.e., the Consumer Price Index), or seeks to align with the intended policy objectives of the fees and charges.</w:t>
      </w:r>
      <w:r w:rsidRPr="0047494A">
        <w:rPr>
          <w:vertAlign w:val="superscript"/>
        </w:rPr>
        <w:footnoteReference w:id="3"/>
      </w:r>
    </w:p>
    <w:p w14:paraId="453CC071" w14:textId="6374805D" w:rsidR="00A958C8" w:rsidRPr="001C590F" w:rsidRDefault="00A958C8" w:rsidP="0095480B">
      <w:pPr>
        <w:pStyle w:val="Heading5"/>
        <w:rPr>
          <w:rFonts w:eastAsia="Times New Roman"/>
          <w:smallCaps/>
        </w:rPr>
      </w:pPr>
      <w:bookmarkStart w:id="144" w:name="_Toc174548916"/>
      <w:r w:rsidRPr="001C590F">
        <w:rPr>
          <w:rFonts w:eastAsia="Times New Roman"/>
        </w:rPr>
        <w:t>Act-specific explanations for increases</w:t>
      </w:r>
      <w:bookmarkEnd w:id="144"/>
      <w:r w:rsidR="000F17AD">
        <w:rPr>
          <w:rFonts w:eastAsia="Times New Roman"/>
        </w:rPr>
        <w:t xml:space="preserve"> in </w:t>
      </w:r>
      <w:proofErr w:type="gramStart"/>
      <w:r w:rsidR="000F17AD">
        <w:rPr>
          <w:rFonts w:eastAsia="Times New Roman"/>
        </w:rPr>
        <w:t>fees</w:t>
      </w:r>
      <w:proofErr w:type="gramEnd"/>
    </w:p>
    <w:p w14:paraId="46AF9A93" w14:textId="77777777" w:rsidR="00A958C8" w:rsidRDefault="00A958C8" w:rsidP="00A958C8">
      <w:pPr>
        <w:pStyle w:val="ListNumber2"/>
        <w:numPr>
          <w:ilvl w:val="1"/>
          <w:numId w:val="29"/>
        </w:numPr>
        <w:ind w:left="851" w:hanging="851"/>
        <w:rPr>
          <w:rFonts w:ascii="Calibri" w:eastAsia="Calibri" w:hAnsi="Calibri" w:cs="Calibri"/>
          <w:bCs w:val="0"/>
          <w:color w:val="000000"/>
        </w:rPr>
      </w:pPr>
      <w:r w:rsidRPr="001C590F">
        <w:rPr>
          <w:rFonts w:ascii="Calibri" w:eastAsia="Calibri" w:hAnsi="Calibri" w:cs="Calibri"/>
          <w:color w:val="000000"/>
        </w:rPr>
        <w:t xml:space="preserve">The explanatory statements for the following determinations indicate that the relevant fees are determined in relation to the </w:t>
      </w:r>
      <w:proofErr w:type="gramStart"/>
      <w:r w:rsidRPr="001C590F">
        <w:rPr>
          <w:rFonts w:ascii="Calibri" w:eastAsia="Calibri" w:hAnsi="Calibri" w:cs="Calibri"/>
          <w:color w:val="000000"/>
        </w:rPr>
        <w:t>particular circumstances</w:t>
      </w:r>
      <w:proofErr w:type="gramEnd"/>
      <w:r w:rsidRPr="001C590F">
        <w:rPr>
          <w:rFonts w:ascii="Calibri" w:eastAsia="Calibri" w:hAnsi="Calibri" w:cs="Calibri"/>
          <w:color w:val="000000"/>
        </w:rPr>
        <w:t xml:space="preserve"> of the relevant Act:</w:t>
      </w:r>
    </w:p>
    <w:p w14:paraId="59C9C5FA" w14:textId="77777777" w:rsidR="00A958C8" w:rsidRPr="00984AD0" w:rsidRDefault="00A958C8" w:rsidP="00A958C8">
      <w:pPr>
        <w:pStyle w:val="Quote"/>
        <w:spacing w:before="120" w:after="120"/>
        <w:rPr>
          <w:u w:val="single"/>
        </w:rPr>
      </w:pPr>
      <w:r w:rsidRPr="00984AD0">
        <w:rPr>
          <w:u w:val="single"/>
        </w:rPr>
        <w:t>Water Resources (Fees) Determination 2024 (No 2) (DI2024-124)</w:t>
      </w:r>
    </w:p>
    <w:p w14:paraId="2CBCFA16" w14:textId="77777777" w:rsidR="00A958C8" w:rsidRPr="0047494A" w:rsidRDefault="00A958C8" w:rsidP="0047494A">
      <w:pPr>
        <w:pStyle w:val="Quote"/>
      </w:pPr>
      <w:r w:rsidRPr="0047494A">
        <w:t xml:space="preserve">The purpose of this instrument is to determine the fees for goods and services under the Act for the 2024-25 financial year and to provide a fee exemption to facilitate meeting commitments under the </w:t>
      </w:r>
      <w:r w:rsidRPr="0047494A">
        <w:rPr>
          <w:i/>
          <w:iCs/>
        </w:rPr>
        <w:t>Basin Plan 2012</w:t>
      </w:r>
      <w:r w:rsidRPr="0047494A">
        <w:t xml:space="preserve"> (Cwlth) (the Basin Plan).</w:t>
      </w:r>
    </w:p>
    <w:p w14:paraId="68D2F7E7" w14:textId="77777777" w:rsidR="00A958C8" w:rsidRPr="0047494A" w:rsidRDefault="00A958C8" w:rsidP="0047494A">
      <w:pPr>
        <w:pStyle w:val="Quote"/>
      </w:pPr>
      <w:r w:rsidRPr="0047494A">
        <w:t>The Water Abstraction Charge (WAC) which applied in the 2023-24 financial year have been increased by 3.00% for the 2024-25 financial year, as per the decision in the 2016-17 Budget.</w:t>
      </w:r>
    </w:p>
    <w:p w14:paraId="007D57ED" w14:textId="77777777" w:rsidR="00A958C8" w:rsidRPr="0047494A" w:rsidRDefault="00A958C8" w:rsidP="0047494A">
      <w:pPr>
        <w:pStyle w:val="Quote"/>
      </w:pPr>
      <w:r w:rsidRPr="0047494A">
        <w:t>The regulatory fees in the determination which applied in the 2023-24 financial year, have been increased by 3.85% for the 2024-25 financial year based on the wage price index (WPI) as per Government policy, plus an additional 0.35% as per the decision in the 2023-24 Budget.</w:t>
      </w:r>
    </w:p>
    <w:p w14:paraId="63A2CE00" w14:textId="77777777" w:rsidR="00A958C8" w:rsidRPr="0047494A" w:rsidRDefault="00A958C8" w:rsidP="0047494A">
      <w:pPr>
        <w:pStyle w:val="Quote"/>
        <w:spacing w:before="160" w:after="0"/>
      </w:pPr>
      <w:r w:rsidRPr="0047494A">
        <w:t xml:space="preserve">All other fees in the determination which applied in the 2023-24 financial year, have been increased by 3.50% for the 2024-25 financial year based on the wage price index (WPI) as per Government policy. </w:t>
      </w:r>
    </w:p>
    <w:p w14:paraId="77C5CAF6" w14:textId="77777777" w:rsidR="00A958C8" w:rsidRPr="0047494A" w:rsidRDefault="00A958C8" w:rsidP="0047494A">
      <w:pPr>
        <w:pStyle w:val="Quote"/>
        <w:spacing w:before="160" w:after="0"/>
      </w:pPr>
      <w:r w:rsidRPr="0047494A">
        <w:t>The instrument includes an exemption from the payment of the Grant of Water Access Entitlement (WAE) fee where the intended use of the water involves the Territory complying with commitments under the Basin Plan.</w:t>
      </w:r>
    </w:p>
    <w:p w14:paraId="7A08396C" w14:textId="77777777" w:rsidR="00A958C8" w:rsidRPr="0047494A" w:rsidRDefault="00A958C8" w:rsidP="0047494A">
      <w:pPr>
        <w:pStyle w:val="Quote"/>
        <w:spacing w:before="160" w:after="0"/>
      </w:pPr>
      <w:r w:rsidRPr="0047494A">
        <w:t xml:space="preserve">This exemption relates to the Grant of WAE fee where the entitlement would be granted (a) to provide the shared reduction amount for the southern Basin Australian Capital Territory zone and/or (b) to facilitate the Territory’s participation in the Murray-Darling Basin Water Efficiency Program – ACT Led Efficiency Project. </w:t>
      </w:r>
    </w:p>
    <w:p w14:paraId="30418734" w14:textId="77777777" w:rsidR="00A958C8" w:rsidRPr="00984AD0" w:rsidRDefault="00A958C8" w:rsidP="0047494A">
      <w:pPr>
        <w:pStyle w:val="Quote"/>
        <w:spacing w:before="160" w:after="0"/>
        <w:rPr>
          <w:u w:val="single"/>
        </w:rPr>
      </w:pPr>
      <w:r w:rsidRPr="00984AD0">
        <w:rPr>
          <w:u w:val="single"/>
        </w:rPr>
        <w:t>Utilities (Technical Regulation) (Operating Certificate Fees) Determination 2024 (DI2024-127)</w:t>
      </w:r>
    </w:p>
    <w:p w14:paraId="5CECA071" w14:textId="77777777" w:rsidR="00A958C8" w:rsidRPr="0047494A" w:rsidRDefault="00A958C8" w:rsidP="0047494A">
      <w:pPr>
        <w:pStyle w:val="Quote"/>
        <w:spacing w:before="160" w:after="0"/>
      </w:pPr>
      <w:r w:rsidRPr="0047494A">
        <w:t>Outline of the fees</w:t>
      </w:r>
    </w:p>
    <w:p w14:paraId="7CD404FC" w14:textId="77777777" w:rsidR="00A958C8" w:rsidRPr="0047494A" w:rsidRDefault="00A958C8" w:rsidP="0047494A">
      <w:pPr>
        <w:pStyle w:val="Quote"/>
        <w:spacing w:before="160" w:after="0"/>
      </w:pPr>
      <w:r w:rsidRPr="0047494A">
        <w:t xml:space="preserve">Schedule 1 of the instrument applies to an unlicensed regulated utility requiring an operating certificate other than solar installations that are 200 kilowatts (kW) to 1 megawatt (MW). The fees in items 1 and 3 are based on the hourly cost for granting a certificate and for administration and regulation of the operating certificate. Item 2 is an annual fee for the review of annual reports submitted in compliance with conditions of operating certificates. This fee structure is intended to represent full cost recovery for the ACT Government for each unlicensed regulated utility that provides a regulated utility service and that is assessed and regulated. The annual increase of 3.85% is imposed to fee for 2024-25 year which is the standard increase of Wage Price Index (WPI) for this year, plus an additional 0.35% as per the decision in the 2023-24 Budget. For 2025-26 and 2026-27, the rate of increase is based on WPI, plus an additional 0.35% of 3.85%, and 3.60% respectively. </w:t>
      </w:r>
    </w:p>
    <w:p w14:paraId="6CD03400" w14:textId="77777777" w:rsidR="00A958C8" w:rsidRPr="0047494A" w:rsidRDefault="00A958C8" w:rsidP="0047494A">
      <w:pPr>
        <w:pStyle w:val="Quote"/>
        <w:spacing w:before="160" w:after="0"/>
      </w:pPr>
      <w:r w:rsidRPr="0047494A">
        <w:t xml:space="preserve">Schedule 2 applies to all solar installations 200kW-1MW (200kW and above but less than 1MW) to reflect costs for granting a certificate, cost for inspections by licensed electrical inspectors, and cost for administration and regulation of the operating certificate. To issue operating certificates, all solar installations below 1MW require inspections by licensed electrical inspectors. Solar installations of 1MW and above require engagement with independent certifiers for the inspections and payment of the fees shown in schedule 1. The annual increase of 3.85% is imposed to fee for 2024-25 year which is the standard increase of Wage Price Index (WPI), plus an additional 0.35% as per the decision in the 2023-24 Budget for this year. For 2025-26 and 2026-27, the rate of increase is based on WPI, plus an additional 0.35% of 3.85%, and 3.60% respectively. </w:t>
      </w:r>
    </w:p>
    <w:p w14:paraId="0A67D8F7" w14:textId="77777777" w:rsidR="00A958C8" w:rsidRPr="00984AD0" w:rsidRDefault="00A958C8" w:rsidP="0047494A">
      <w:pPr>
        <w:pStyle w:val="Quote"/>
        <w:spacing w:before="160" w:after="0"/>
        <w:rPr>
          <w:u w:val="single"/>
        </w:rPr>
      </w:pPr>
      <w:bookmarkStart w:id="145" w:name="_Hlk144045450"/>
      <w:r w:rsidRPr="00984AD0">
        <w:rPr>
          <w:u w:val="single"/>
        </w:rPr>
        <w:t>Working with Vulnerable People Background Checking (Fees) Determination 2024 (DI2024-133)</w:t>
      </w:r>
    </w:p>
    <w:bookmarkEnd w:id="145"/>
    <w:p w14:paraId="4CFB4409" w14:textId="51D35BD2" w:rsidR="00A958C8" w:rsidRPr="0047494A" w:rsidRDefault="00A958C8" w:rsidP="0047494A">
      <w:pPr>
        <w:pStyle w:val="Quote"/>
        <w:spacing w:before="160" w:after="0"/>
      </w:pPr>
      <w:r w:rsidRPr="0047494A">
        <w:t>Fees are charged in respect of applications for registration for the purposes of the [Working with Vulnerable People (Background Checking) Act 2011]. The Instrument repeals the previous fees instrument (DI2WWVP Act for a person who will be in paid employment, for renewal of registrations and for the issuing of a</w:t>
      </w:r>
      <w:r w:rsidR="0047494A">
        <w:t> </w:t>
      </w:r>
      <w:r w:rsidRPr="0047494A">
        <w:t xml:space="preserve">duplicate registration card. </w:t>
      </w:r>
    </w:p>
    <w:p w14:paraId="5E6DF1F9" w14:textId="77777777" w:rsidR="00A958C8" w:rsidRPr="0047494A" w:rsidRDefault="00A958C8" w:rsidP="0047494A">
      <w:pPr>
        <w:pStyle w:val="Quote"/>
      </w:pPr>
      <w:r w:rsidRPr="0047494A">
        <w:t xml:space="preserve">No fee is charged for the purposes of the WWVP Act for a person who volunteers their time for no payment. </w:t>
      </w:r>
    </w:p>
    <w:p w14:paraId="3AE8BC18" w14:textId="77777777" w:rsidR="00A958C8" w:rsidRPr="0047494A" w:rsidRDefault="00A958C8" w:rsidP="0095480B">
      <w:pPr>
        <w:pStyle w:val="Quote"/>
        <w:spacing w:before="120" w:after="0"/>
      </w:pPr>
      <w:bookmarkStart w:id="146" w:name="_Hlk11939812"/>
      <w:r w:rsidRPr="0047494A">
        <w:t>Fees for registration and renewal will increase by 3.85 per cent in 2024-25, in line with the forecast for the Wage Price Index (WPI) in the Federal Budget 2024</w:t>
      </w:r>
      <w:r w:rsidRPr="0047494A">
        <w:noBreakHyphen/>
        <w:t xml:space="preserve">25 and advice in the ACT Government Budget Memo 2024/14. </w:t>
      </w:r>
    </w:p>
    <w:p w14:paraId="0D84A802" w14:textId="77777777" w:rsidR="00A958C8" w:rsidRPr="0047494A" w:rsidRDefault="00A958C8" w:rsidP="0095480B">
      <w:pPr>
        <w:pStyle w:val="Quote"/>
        <w:spacing w:before="120" w:after="0"/>
      </w:pPr>
      <w:r w:rsidRPr="0047494A">
        <w:t>Fees for registrations and renewal for paid employment will be $151.60 for 2024-25. Fees charged for the issue of a duplicate card remain at $22.</w:t>
      </w:r>
    </w:p>
    <w:p w14:paraId="352E0C8D" w14:textId="77777777" w:rsidR="00A958C8" w:rsidRPr="0047494A" w:rsidRDefault="00A958C8" w:rsidP="0095480B">
      <w:pPr>
        <w:pStyle w:val="Quote"/>
        <w:spacing w:before="120" w:after="0"/>
      </w:pPr>
      <w:bookmarkStart w:id="147" w:name="_Hlk12005218"/>
      <w:r w:rsidRPr="0047494A">
        <w:t xml:space="preserve">The fee for workers engaged in NDIS regulated activities will also be $151.60 for 2024-25.  </w:t>
      </w:r>
    </w:p>
    <w:bookmarkEnd w:id="146"/>
    <w:bookmarkEnd w:id="147"/>
    <w:p w14:paraId="42A43D10" w14:textId="77777777" w:rsidR="00A958C8" w:rsidRPr="00984AD0" w:rsidRDefault="00A958C8" w:rsidP="0095480B">
      <w:pPr>
        <w:pStyle w:val="Quote"/>
        <w:spacing w:before="120" w:after="0"/>
        <w:rPr>
          <w:u w:val="single"/>
        </w:rPr>
      </w:pPr>
      <w:r w:rsidRPr="00984AD0">
        <w:rPr>
          <w:u w:val="single"/>
        </w:rPr>
        <w:t>Electoral (Fees) Determination 2024 (DI2024-134)</w:t>
      </w:r>
    </w:p>
    <w:p w14:paraId="31C75F5D" w14:textId="77777777" w:rsidR="00A958C8" w:rsidRPr="0047494A" w:rsidRDefault="00A958C8" w:rsidP="0095480B">
      <w:pPr>
        <w:pStyle w:val="Quote"/>
        <w:spacing w:before="120" w:after="0"/>
      </w:pPr>
      <w:r w:rsidRPr="0047494A">
        <w:t>Revenue received by the Electoral Commission is a function of client demand for services and fluctuates from year to year.</w:t>
      </w:r>
    </w:p>
    <w:p w14:paraId="48A23060" w14:textId="77777777" w:rsidR="00A958C8" w:rsidRPr="0047494A" w:rsidRDefault="00A958C8" w:rsidP="0095480B">
      <w:pPr>
        <w:pStyle w:val="Quote"/>
        <w:spacing w:before="120" w:after="0"/>
      </w:pPr>
      <w:r w:rsidRPr="0047494A">
        <w:t>The updated fees for 2024/2025 financial year are determined by increasing the 2023/2024 fees, determined by DI2023-109, by the Wage Price Index (WPI) of 3.5%, rounded down to the nearest $0.05.</w:t>
      </w:r>
    </w:p>
    <w:p w14:paraId="1126B88E" w14:textId="77777777" w:rsidR="00A958C8" w:rsidRPr="0047494A" w:rsidRDefault="00A958C8" w:rsidP="0095480B">
      <w:pPr>
        <w:pStyle w:val="Quote"/>
        <w:spacing w:before="120" w:after="0"/>
      </w:pPr>
      <w:r w:rsidRPr="0047494A">
        <w:t>This determination of fees revokes and replaces the determination of electoral fees made under DI2023-109.</w:t>
      </w:r>
    </w:p>
    <w:p w14:paraId="1582E5B9" w14:textId="77777777" w:rsidR="00A958C8" w:rsidRPr="00936602" w:rsidRDefault="00A958C8" w:rsidP="0095480B">
      <w:pPr>
        <w:pStyle w:val="Quote"/>
        <w:spacing w:before="120" w:after="0"/>
        <w:rPr>
          <w:b/>
          <w:bCs/>
        </w:rPr>
      </w:pPr>
      <w:r w:rsidRPr="00936602">
        <w:rPr>
          <w:b/>
          <w:bCs/>
        </w:rPr>
        <w:t>Electoral Officer Services – salary component</w:t>
      </w:r>
    </w:p>
    <w:p w14:paraId="59B39E48" w14:textId="77777777" w:rsidR="00A958C8" w:rsidRPr="0047494A" w:rsidRDefault="00A958C8" w:rsidP="0095480B">
      <w:pPr>
        <w:pStyle w:val="Quote"/>
        <w:spacing w:before="120" w:after="0"/>
      </w:pPr>
      <w:r w:rsidRPr="0047494A">
        <w:t>Paragraph 7(1)(g) of the Electoral Act empowers the Electoral Commission to provide services to persons or organisations for a determined fee. The provision of services includes assisting bodies such as universities and government agencies to conduct elections. The Commission is empowered to determine fees for these services under section 340B of the Electoral Act.</w:t>
      </w:r>
    </w:p>
    <w:p w14:paraId="5ACC1336" w14:textId="77777777" w:rsidR="00A958C8" w:rsidRPr="0047494A" w:rsidRDefault="00A958C8" w:rsidP="0095480B">
      <w:pPr>
        <w:pStyle w:val="Quote"/>
        <w:spacing w:before="120" w:after="0"/>
      </w:pPr>
      <w:r w:rsidRPr="0047494A">
        <w:t>This instrument determines hourly fees for services provided by 4 categories of electoral officers:</w:t>
      </w:r>
    </w:p>
    <w:p w14:paraId="6209DD66" w14:textId="77777777" w:rsidR="00A958C8" w:rsidRPr="0047494A" w:rsidRDefault="00A958C8" w:rsidP="0095480B">
      <w:pPr>
        <w:pStyle w:val="Quote"/>
        <w:numPr>
          <w:ilvl w:val="0"/>
          <w:numId w:val="39"/>
        </w:numPr>
        <w:spacing w:before="60" w:after="0"/>
        <w:ind w:left="1491" w:hanging="357"/>
      </w:pPr>
      <w:r w:rsidRPr="0047494A">
        <w:t>Electoral Officer (equivalent to Administrative Service Officer Class 5 employed under the Public Sector Management Act 1994)</w:t>
      </w:r>
    </w:p>
    <w:p w14:paraId="2F7F89A4" w14:textId="77777777" w:rsidR="00A958C8" w:rsidRPr="0047494A" w:rsidRDefault="00A958C8" w:rsidP="0095480B">
      <w:pPr>
        <w:pStyle w:val="Quote"/>
        <w:numPr>
          <w:ilvl w:val="0"/>
          <w:numId w:val="39"/>
        </w:numPr>
        <w:spacing w:before="60" w:after="0"/>
        <w:ind w:left="1491" w:hanging="357"/>
      </w:pPr>
      <w:r w:rsidRPr="0047494A">
        <w:t>Senior Electoral Officer (equivalent to Senior Officer Grade C employed under the Public Sector Management Act)</w:t>
      </w:r>
    </w:p>
    <w:p w14:paraId="4AD02E85" w14:textId="77777777" w:rsidR="00A958C8" w:rsidRPr="0047494A" w:rsidRDefault="00A958C8" w:rsidP="0095480B">
      <w:pPr>
        <w:pStyle w:val="Quote"/>
        <w:numPr>
          <w:ilvl w:val="0"/>
          <w:numId w:val="39"/>
        </w:numPr>
        <w:spacing w:before="60" w:after="0"/>
        <w:ind w:left="1491" w:hanging="357"/>
      </w:pPr>
      <w:r w:rsidRPr="0047494A">
        <w:t>Electoral Casual Officer (equivalent to a casual officer employed under the Electoral Act)</w:t>
      </w:r>
    </w:p>
    <w:p w14:paraId="2F958B45" w14:textId="77777777" w:rsidR="00A958C8" w:rsidRPr="0047494A" w:rsidRDefault="00A958C8" w:rsidP="0095480B">
      <w:pPr>
        <w:pStyle w:val="Quote"/>
        <w:numPr>
          <w:ilvl w:val="0"/>
          <w:numId w:val="39"/>
        </w:numPr>
        <w:spacing w:before="60" w:after="0"/>
        <w:ind w:left="1491" w:hanging="357"/>
      </w:pPr>
      <w:r w:rsidRPr="0047494A">
        <w:t>Senior Electoral Casual Officer (equivalent to a casual officer in charge employed under the Electoral Act)</w:t>
      </w:r>
    </w:p>
    <w:p w14:paraId="170C9F93" w14:textId="77777777" w:rsidR="00A958C8" w:rsidRPr="0047494A" w:rsidRDefault="00A958C8" w:rsidP="0095480B">
      <w:pPr>
        <w:pStyle w:val="Quote"/>
        <w:spacing w:before="120" w:after="0"/>
      </w:pPr>
      <w:r w:rsidRPr="0047494A">
        <w:t xml:space="preserve">The fees include different hourly rates for the above 4 categories of officers depending on the time of the provision of services and reflect the various applicable standard and overtime rates applying to officers employed to assist the Electoral Commissioner under the Public Sector Management Act and the Electoral Act. The hourly fees incorporate overhead costs and salary costs. </w:t>
      </w:r>
    </w:p>
    <w:p w14:paraId="5A528525" w14:textId="77777777" w:rsidR="00A958C8" w:rsidRPr="00521364" w:rsidRDefault="00A958C8" w:rsidP="0095480B">
      <w:pPr>
        <w:pStyle w:val="Quote"/>
        <w:spacing w:before="120" w:after="0"/>
        <w:rPr>
          <w:rFonts w:eastAsia="Calibri"/>
          <w:b/>
          <w:color w:val="7F7F7F"/>
        </w:rPr>
      </w:pPr>
      <w:r w:rsidRPr="00521364">
        <w:rPr>
          <w:rFonts w:eastAsia="Calibri"/>
          <w:b/>
          <w:color w:val="7F7F7F"/>
        </w:rPr>
        <w:t>Electoral goods and services</w:t>
      </w:r>
    </w:p>
    <w:p w14:paraId="2ACAC5DE" w14:textId="77777777" w:rsidR="00A958C8" w:rsidRPr="0047494A" w:rsidRDefault="00A958C8" w:rsidP="0095480B">
      <w:pPr>
        <w:pStyle w:val="Quote"/>
        <w:spacing w:before="120" w:after="0"/>
      </w:pPr>
      <w:r w:rsidRPr="0047494A">
        <w:t>The instrument also determines a fee for goods purchased by the Electoral Commission for the purposes of providing goods to persons or organisations under paragraph 7(1)(g) of the Electoral Act. This fee simply allows the Commission to be reimbursed for any costs incurred by the Commission in providing goods such as printing ballot papers for an election. These costs could also include postage and mailing house costs, for example.</w:t>
      </w:r>
    </w:p>
    <w:p w14:paraId="40159EEE" w14:textId="77777777" w:rsidR="00A958C8" w:rsidRPr="0047494A" w:rsidRDefault="00A958C8" w:rsidP="0095480B">
      <w:pPr>
        <w:pStyle w:val="Quote"/>
        <w:spacing w:before="120" w:after="0" w:line="276" w:lineRule="auto"/>
      </w:pPr>
      <w:r w:rsidRPr="0047494A">
        <w:t>In addition, this instrument determines a fee for the provision of electronic voting services to organisations under paragraph 7(1)(g) of the Electoral Act. This fee allows for the development and maintenance cost of electronic voting services software incurred by the Electoral Commission to be passed on to purchasers of services.</w:t>
      </w:r>
    </w:p>
    <w:p w14:paraId="187EDCAA" w14:textId="77777777" w:rsidR="00A958C8" w:rsidRPr="00521364" w:rsidRDefault="00A958C8" w:rsidP="0095480B">
      <w:pPr>
        <w:pStyle w:val="Quote"/>
        <w:spacing w:before="120" w:after="0" w:line="276" w:lineRule="auto"/>
        <w:rPr>
          <w:rFonts w:eastAsia="Calibri"/>
          <w:b/>
          <w:color w:val="7F7F7F"/>
        </w:rPr>
      </w:pPr>
      <w:r w:rsidRPr="00521364">
        <w:rPr>
          <w:rFonts w:eastAsia="Calibri"/>
          <w:b/>
          <w:color w:val="7F7F7F"/>
        </w:rPr>
        <w:t>Provision of copies of documents</w:t>
      </w:r>
    </w:p>
    <w:p w14:paraId="55E4352E" w14:textId="77777777" w:rsidR="00A958C8" w:rsidRPr="0047494A" w:rsidRDefault="00A958C8" w:rsidP="0095480B">
      <w:pPr>
        <w:pStyle w:val="Quote"/>
        <w:spacing w:before="120" w:after="0" w:line="276" w:lineRule="auto"/>
      </w:pPr>
      <w:r w:rsidRPr="0047494A">
        <w:t xml:space="preserve">This instrument sets fees for obtaining copies of the specified categories of documents.  </w:t>
      </w:r>
    </w:p>
    <w:p w14:paraId="2ED9143B" w14:textId="77777777" w:rsidR="00A958C8" w:rsidRPr="0047494A" w:rsidRDefault="00A958C8" w:rsidP="0095480B">
      <w:pPr>
        <w:pStyle w:val="Quote"/>
        <w:spacing w:before="120" w:after="0" w:line="276" w:lineRule="auto"/>
      </w:pPr>
      <w:r w:rsidRPr="0047494A">
        <w:t xml:space="preserve">Subsection 243(4) of the Electoral Act provides that a person is entitled, on payment of a determined fee, to obtain a copy of a return referred to in subsection 243(1). These returns include returns showing disclosure of donations, returns showing disclosure of electoral expenditure and annual returns submitted by registered political parties, MLAs, associated </w:t>
      </w:r>
      <w:proofErr w:type="gramStart"/>
      <w:r w:rsidRPr="0047494A">
        <w:t>entities</w:t>
      </w:r>
      <w:proofErr w:type="gramEnd"/>
      <w:r w:rsidRPr="0047494A">
        <w:t xml:space="preserve"> and donors.</w:t>
      </w:r>
    </w:p>
    <w:p w14:paraId="58E9F233" w14:textId="77777777" w:rsidR="00A958C8" w:rsidRPr="0047494A" w:rsidRDefault="00A958C8" w:rsidP="0095480B">
      <w:pPr>
        <w:pStyle w:val="Quote"/>
        <w:spacing w:before="120" w:after="0" w:line="276" w:lineRule="auto"/>
      </w:pPr>
      <w:r w:rsidRPr="0047494A">
        <w:t xml:space="preserve">Sections 88 and 91 of the Electoral Act provide that various documents related to registration of political parties are required to be made available for public inspection. From </w:t>
      </w:r>
      <w:proofErr w:type="gramStart"/>
      <w:r w:rsidRPr="0047494A">
        <w:t>time to time</w:t>
      </w:r>
      <w:proofErr w:type="gramEnd"/>
      <w:r w:rsidRPr="0047494A">
        <w:t xml:space="preserve"> members of the public have asked for copies of these documents. To cover the costs of providing such copies, this instrument provides that the Electoral Commission may provide persons with copies of these documents for the determined fee.</w:t>
      </w:r>
    </w:p>
    <w:p w14:paraId="21FD7568" w14:textId="77777777" w:rsidR="00A958C8" w:rsidRPr="0047494A" w:rsidRDefault="00A958C8" w:rsidP="0095480B">
      <w:pPr>
        <w:pStyle w:val="Quote"/>
        <w:spacing w:before="120" w:after="0" w:line="276" w:lineRule="auto"/>
      </w:pPr>
      <w:r w:rsidRPr="0047494A">
        <w:t>Section 333 of the Electoral Act states that voting statistics shall be published and that a person may obtain copies of the statistics in electronic form for a fee.</w:t>
      </w:r>
    </w:p>
    <w:p w14:paraId="6CF9DB98" w14:textId="77777777" w:rsidR="00A958C8" w:rsidRPr="001C590F" w:rsidRDefault="00A958C8" w:rsidP="0047494A">
      <w:pPr>
        <w:pStyle w:val="Heading5"/>
        <w:rPr>
          <w:rFonts w:eastAsia="Times New Roman"/>
          <w:smallCaps/>
        </w:rPr>
      </w:pPr>
      <w:r w:rsidRPr="001C590F">
        <w:rPr>
          <w:rFonts w:eastAsia="Times New Roman"/>
        </w:rPr>
        <w:t>Human rights issues</w:t>
      </w:r>
    </w:p>
    <w:p w14:paraId="486A3617" w14:textId="77777777" w:rsidR="00A958C8" w:rsidRPr="001C590F" w:rsidRDefault="00A958C8" w:rsidP="00970C24">
      <w:pPr>
        <w:pStyle w:val="ListNumber2"/>
        <w:numPr>
          <w:ilvl w:val="1"/>
          <w:numId w:val="29"/>
        </w:numPr>
        <w:ind w:left="851" w:hanging="851"/>
        <w:rPr>
          <w:rFonts w:ascii="Calibri" w:eastAsia="Calibri" w:hAnsi="Calibri" w:cs="Calibri"/>
          <w:bCs w:val="0"/>
          <w:color w:val="000000"/>
        </w:rPr>
      </w:pPr>
      <w:r w:rsidRPr="001C590F">
        <w:rPr>
          <w:rFonts w:ascii="Calibri" w:eastAsia="Calibri" w:hAnsi="Calibri" w:cs="Calibri"/>
          <w:color w:val="000000"/>
        </w:rPr>
        <w:t xml:space="preserve">The Committee notes that the explanatory statement for the </w:t>
      </w:r>
      <w:r>
        <w:rPr>
          <w:rFonts w:ascii="Calibri" w:eastAsia="Calibri" w:hAnsi="Calibri" w:cs="Calibri"/>
          <w:color w:val="000000"/>
        </w:rPr>
        <w:t>first instrument mentioned above</w:t>
      </w:r>
      <w:r w:rsidRPr="001C590F">
        <w:rPr>
          <w:rFonts w:ascii="Calibri" w:eastAsia="Calibri" w:hAnsi="Calibri" w:cs="Calibri"/>
          <w:color w:val="000000"/>
        </w:rPr>
        <w:t xml:space="preserve"> (DI202</w:t>
      </w:r>
      <w:r>
        <w:rPr>
          <w:rFonts w:ascii="Calibri" w:eastAsia="Calibri" w:hAnsi="Calibri" w:cs="Calibri"/>
          <w:color w:val="000000"/>
        </w:rPr>
        <w:t>4</w:t>
      </w:r>
      <w:r w:rsidRPr="001C590F">
        <w:rPr>
          <w:rFonts w:ascii="Calibri" w:eastAsia="Calibri" w:hAnsi="Calibri" w:cs="Calibri"/>
          <w:color w:val="000000"/>
        </w:rPr>
        <w:t>-1</w:t>
      </w:r>
      <w:r>
        <w:rPr>
          <w:rFonts w:ascii="Calibri" w:eastAsia="Calibri" w:hAnsi="Calibri" w:cs="Calibri"/>
          <w:color w:val="000000"/>
        </w:rPr>
        <w:t>0</w:t>
      </w:r>
      <w:r w:rsidRPr="001C590F">
        <w:rPr>
          <w:rFonts w:ascii="Calibri" w:eastAsia="Calibri" w:hAnsi="Calibri" w:cs="Calibri"/>
          <w:color w:val="000000"/>
        </w:rPr>
        <w:t>1) states:</w:t>
      </w:r>
    </w:p>
    <w:p w14:paraId="2DA9E6C0" w14:textId="77777777" w:rsidR="00A958C8" w:rsidRPr="0047494A" w:rsidRDefault="00A958C8" w:rsidP="0095480B">
      <w:pPr>
        <w:pStyle w:val="Quote"/>
        <w:spacing w:before="120" w:after="120" w:line="276" w:lineRule="auto"/>
        <w:rPr>
          <w:b/>
          <w:bCs/>
          <w:u w:val="single"/>
        </w:rPr>
      </w:pPr>
      <w:r w:rsidRPr="0047494A">
        <w:rPr>
          <w:b/>
          <w:bCs/>
          <w:u w:val="single"/>
        </w:rPr>
        <w:t>Human Rights</w:t>
      </w:r>
    </w:p>
    <w:p w14:paraId="6A0617C8" w14:textId="77777777" w:rsidR="00A958C8" w:rsidRPr="0047494A" w:rsidRDefault="00A958C8" w:rsidP="0095480B">
      <w:pPr>
        <w:pStyle w:val="Quote"/>
        <w:spacing w:before="120" w:after="120" w:line="276" w:lineRule="auto"/>
      </w:pPr>
      <w:r w:rsidRPr="0047494A">
        <w:t>The Standing Committee on Justice and Community Safety (Legislative Scrutiny Role) terms of reference require consideration of human rights impacts, among other matters. In this case, no human rights are impacted.</w:t>
      </w:r>
    </w:p>
    <w:p w14:paraId="06CB512A" w14:textId="77777777" w:rsidR="00A958C8" w:rsidRDefault="00A958C8" w:rsidP="00970C24">
      <w:pPr>
        <w:pStyle w:val="ListNumber2"/>
        <w:numPr>
          <w:ilvl w:val="1"/>
          <w:numId w:val="29"/>
        </w:numPr>
        <w:ind w:left="851" w:hanging="851"/>
        <w:rPr>
          <w:rFonts w:ascii="Calibri" w:eastAsia="Calibri" w:hAnsi="Calibri" w:cs="Calibri"/>
          <w:bCs w:val="0"/>
          <w:color w:val="000000"/>
        </w:rPr>
      </w:pPr>
      <w:r w:rsidRPr="001C590F">
        <w:rPr>
          <w:rFonts w:ascii="Calibri" w:eastAsia="Calibri" w:hAnsi="Calibri" w:cs="Calibri"/>
          <w:color w:val="000000"/>
        </w:rPr>
        <w:t xml:space="preserve">Similar statements appear in </w:t>
      </w:r>
      <w:proofErr w:type="gramStart"/>
      <w:r>
        <w:rPr>
          <w:rFonts w:ascii="Calibri" w:eastAsia="Calibri" w:hAnsi="Calibri" w:cs="Calibri"/>
          <w:color w:val="000000"/>
        </w:rPr>
        <w:t>all of</w:t>
      </w:r>
      <w:proofErr w:type="gramEnd"/>
      <w:r>
        <w:rPr>
          <w:rFonts w:ascii="Calibri" w:eastAsia="Calibri" w:hAnsi="Calibri" w:cs="Calibri"/>
          <w:color w:val="000000"/>
        </w:rPr>
        <w:t xml:space="preserve"> t</w:t>
      </w:r>
      <w:r w:rsidRPr="001C590F">
        <w:rPr>
          <w:rFonts w:ascii="Calibri" w:eastAsia="Calibri" w:hAnsi="Calibri" w:cs="Calibri"/>
          <w:color w:val="000000"/>
        </w:rPr>
        <w:t xml:space="preserve">he </w:t>
      </w:r>
      <w:r>
        <w:rPr>
          <w:rFonts w:ascii="Calibri" w:eastAsia="Calibri" w:hAnsi="Calibri" w:cs="Calibri"/>
          <w:color w:val="000000"/>
        </w:rPr>
        <w:t xml:space="preserve">other </w:t>
      </w:r>
      <w:r w:rsidRPr="001C590F">
        <w:rPr>
          <w:rFonts w:ascii="Calibri" w:eastAsia="Calibri" w:hAnsi="Calibri" w:cs="Calibri"/>
          <w:color w:val="000000"/>
        </w:rPr>
        <w:t>explanatory statements</w:t>
      </w:r>
      <w:r>
        <w:rPr>
          <w:rFonts w:ascii="Calibri" w:eastAsia="Calibri" w:hAnsi="Calibri" w:cs="Calibri"/>
          <w:color w:val="000000"/>
        </w:rPr>
        <w:t xml:space="preserve"> mentioned above, other than the explanatory statements for</w:t>
      </w:r>
      <w:r w:rsidRPr="001C590F">
        <w:rPr>
          <w:rFonts w:ascii="Calibri" w:eastAsia="Calibri" w:hAnsi="Calibri" w:cs="Calibri"/>
          <w:color w:val="000000"/>
        </w:rPr>
        <w:t xml:space="preserve"> DI202</w:t>
      </w:r>
      <w:r>
        <w:rPr>
          <w:rFonts w:ascii="Calibri" w:eastAsia="Calibri" w:hAnsi="Calibri" w:cs="Calibri"/>
          <w:color w:val="000000"/>
        </w:rPr>
        <w:t>4</w:t>
      </w:r>
      <w:r w:rsidRPr="001C590F">
        <w:rPr>
          <w:rFonts w:ascii="Calibri" w:eastAsia="Calibri" w:hAnsi="Calibri" w:cs="Calibri"/>
          <w:color w:val="000000"/>
        </w:rPr>
        <w:t>-12</w:t>
      </w:r>
      <w:r>
        <w:rPr>
          <w:rFonts w:ascii="Calibri" w:eastAsia="Calibri" w:hAnsi="Calibri" w:cs="Calibri"/>
          <w:color w:val="000000"/>
        </w:rPr>
        <w:t>8 to</w:t>
      </w:r>
      <w:r w:rsidRPr="001C590F">
        <w:rPr>
          <w:rFonts w:ascii="Calibri" w:eastAsia="Calibri" w:hAnsi="Calibri" w:cs="Calibri"/>
          <w:color w:val="000000"/>
        </w:rPr>
        <w:t xml:space="preserve"> DI202</w:t>
      </w:r>
      <w:r>
        <w:rPr>
          <w:rFonts w:ascii="Calibri" w:eastAsia="Calibri" w:hAnsi="Calibri" w:cs="Calibri"/>
          <w:color w:val="000000"/>
        </w:rPr>
        <w:t>4</w:t>
      </w:r>
      <w:r w:rsidRPr="001C590F">
        <w:rPr>
          <w:rFonts w:ascii="Calibri" w:eastAsia="Calibri" w:hAnsi="Calibri" w:cs="Calibri"/>
          <w:color w:val="000000"/>
        </w:rPr>
        <w:t>-1</w:t>
      </w:r>
      <w:r>
        <w:rPr>
          <w:rFonts w:ascii="Calibri" w:eastAsia="Calibri" w:hAnsi="Calibri" w:cs="Calibri"/>
          <w:color w:val="000000"/>
        </w:rPr>
        <w:t>34 (inclusive).</w:t>
      </w:r>
    </w:p>
    <w:p w14:paraId="40F57540" w14:textId="77777777" w:rsidR="00A958C8" w:rsidRPr="001C590F" w:rsidRDefault="00A958C8" w:rsidP="00970C24">
      <w:pPr>
        <w:pStyle w:val="ListNumber2"/>
        <w:numPr>
          <w:ilvl w:val="1"/>
          <w:numId w:val="29"/>
        </w:numPr>
        <w:ind w:left="851" w:hanging="851"/>
        <w:rPr>
          <w:rFonts w:ascii="Calibri" w:eastAsia="Calibri" w:hAnsi="Calibri" w:cs="Calibri"/>
          <w:b/>
          <w:color w:val="000000"/>
        </w:rPr>
      </w:pPr>
      <w:bookmarkStart w:id="148" w:name="_Hlk173678998"/>
      <w:r w:rsidRPr="001C590F">
        <w:rPr>
          <w:rFonts w:ascii="Calibri" w:eastAsia="Calibri" w:hAnsi="Calibri" w:cs="Calibri"/>
          <w:b/>
          <w:color w:val="000000"/>
        </w:rPr>
        <w:t>The Committee draws the attention of the Legislative Assembly to the discussion of human rights issues in the explanatory statements for the instruments mentioned immediately above.</w:t>
      </w:r>
    </w:p>
    <w:p w14:paraId="239FEC8C" w14:textId="77777777" w:rsidR="00A958C8" w:rsidRPr="001C590F" w:rsidRDefault="00A958C8" w:rsidP="00970C24">
      <w:pPr>
        <w:pStyle w:val="ListNumber2"/>
        <w:numPr>
          <w:ilvl w:val="1"/>
          <w:numId w:val="29"/>
        </w:numPr>
        <w:ind w:left="851" w:hanging="851"/>
        <w:rPr>
          <w:rFonts w:ascii="Calibri" w:eastAsia="Calibri" w:hAnsi="Calibri" w:cs="Calibri"/>
          <w:b/>
          <w:color w:val="000000"/>
        </w:rPr>
      </w:pPr>
      <w:r w:rsidRPr="001C590F">
        <w:rPr>
          <w:rFonts w:ascii="Calibri" w:eastAsia="Calibri" w:hAnsi="Calibri" w:cs="Calibri"/>
          <w:b/>
          <w:color w:val="000000"/>
        </w:rPr>
        <w:t>This comment (and the comments above) does not require a response from the relevant Ministers.</w:t>
      </w:r>
    </w:p>
    <w:p w14:paraId="3294F7A0" w14:textId="77777777" w:rsidR="00970C24" w:rsidRPr="00970C24" w:rsidRDefault="00970C24" w:rsidP="00970C24">
      <w:pPr>
        <w:pStyle w:val="Heading3"/>
        <w:spacing w:before="120"/>
        <w:rPr>
          <w:rFonts w:eastAsia="Times New Roman" w:cs="Times New Roman"/>
        </w:rPr>
      </w:pPr>
      <w:bookmarkStart w:id="149" w:name="_Toc174548917"/>
      <w:bookmarkEnd w:id="148"/>
      <w:r w:rsidRPr="00970C24">
        <w:rPr>
          <w:rFonts w:eastAsia="Times New Roman" w:cs="Times New Roman"/>
        </w:rPr>
        <w:t>Human Rights Issues</w:t>
      </w:r>
      <w:bookmarkEnd w:id="149"/>
    </w:p>
    <w:p w14:paraId="17EC92F0" w14:textId="77777777" w:rsidR="00970C24" w:rsidRPr="00970C24" w:rsidRDefault="00970C24" w:rsidP="00970C24">
      <w:pPr>
        <w:pStyle w:val="Bodycopy"/>
        <w:keepLines/>
        <w:numPr>
          <w:ilvl w:val="0"/>
          <w:numId w:val="19"/>
        </w:numPr>
        <w:spacing w:before="120" w:after="0" w:line="283" w:lineRule="auto"/>
        <w:ind w:left="1208" w:hanging="357"/>
        <w:rPr>
          <w:b/>
        </w:rPr>
      </w:pPr>
      <w:r w:rsidRPr="00970C24">
        <w:rPr>
          <w:b/>
        </w:rPr>
        <w:t xml:space="preserve">Disallowable Instrument DI2024-109 being the Medicines, Poisons and Therapeutic Goods (Vaccinations by Pharmacists) Direction 2024 (No 1) made under section 352 and section 37 (1)(b) of the </w:t>
      </w:r>
      <w:r w:rsidRPr="00970C24">
        <w:rPr>
          <w:i/>
        </w:rPr>
        <w:t>Medicines, Poisons and Therapeutic Goods Regulation 2008</w:t>
      </w:r>
      <w:r w:rsidRPr="00970C24">
        <w:rPr>
          <w:b/>
        </w:rPr>
        <w:t xml:space="preserve"> revokes DI2023-294 and provides that a pharmacist or intern pharmacist may administer vaccines without prescription if they comply with the Pharmacist Vaccination Standards imposed by the </w:t>
      </w:r>
      <w:proofErr w:type="gramStart"/>
      <w:r w:rsidRPr="00970C24">
        <w:rPr>
          <w:b/>
        </w:rPr>
        <w:t>Chief</w:t>
      </w:r>
      <w:proofErr w:type="gramEnd"/>
      <w:r w:rsidRPr="00970C24">
        <w:rPr>
          <w:b/>
        </w:rPr>
        <w:t xml:space="preserve"> Health Officer. </w:t>
      </w:r>
    </w:p>
    <w:p w14:paraId="69CDC48C" w14:textId="77777777" w:rsidR="00970C24" w:rsidRPr="005265C9" w:rsidRDefault="00970C24" w:rsidP="00970C24">
      <w:pPr>
        <w:pStyle w:val="ListNumber2"/>
        <w:numPr>
          <w:ilvl w:val="1"/>
          <w:numId w:val="29"/>
        </w:numPr>
        <w:ind w:left="851" w:hanging="851"/>
        <w:rPr>
          <w:szCs w:val="22"/>
        </w:rPr>
      </w:pPr>
      <w:r>
        <w:rPr>
          <w:szCs w:val="22"/>
        </w:rPr>
        <w:t>This instrument is made under s</w:t>
      </w:r>
      <w:r w:rsidRPr="005265C9">
        <w:rPr>
          <w:szCs w:val="22"/>
        </w:rPr>
        <w:t xml:space="preserve">ection 352 of the </w:t>
      </w:r>
      <w:r w:rsidRPr="005265C9">
        <w:rPr>
          <w:i/>
          <w:iCs/>
          <w:szCs w:val="22"/>
        </w:rPr>
        <w:t>Medicines, Poisons and Therapeutic Goods Regulation</w:t>
      </w:r>
      <w:r>
        <w:rPr>
          <w:i/>
          <w:iCs/>
          <w:szCs w:val="22"/>
        </w:rPr>
        <w:t xml:space="preserve"> </w:t>
      </w:r>
      <w:r w:rsidRPr="005265C9">
        <w:rPr>
          <w:i/>
          <w:iCs/>
          <w:szCs w:val="22"/>
        </w:rPr>
        <w:t>2008</w:t>
      </w:r>
      <w:r>
        <w:rPr>
          <w:szCs w:val="22"/>
        </w:rPr>
        <w:t xml:space="preserve">, </w:t>
      </w:r>
      <w:r w:rsidRPr="005265C9">
        <w:rPr>
          <w:szCs w:val="22"/>
        </w:rPr>
        <w:t>which</w:t>
      </w:r>
      <w:r>
        <w:rPr>
          <w:szCs w:val="22"/>
        </w:rPr>
        <w:t xml:space="preserve"> allows the </w:t>
      </w:r>
      <w:proofErr w:type="gramStart"/>
      <w:r w:rsidRPr="005265C9">
        <w:rPr>
          <w:szCs w:val="22"/>
        </w:rPr>
        <w:t>Chief</w:t>
      </w:r>
      <w:proofErr w:type="gramEnd"/>
      <w:r w:rsidRPr="005265C9">
        <w:rPr>
          <w:szCs w:val="22"/>
        </w:rPr>
        <w:t xml:space="preserve"> Health Officer </w:t>
      </w:r>
      <w:r w:rsidRPr="0047494A">
        <w:rPr>
          <w:szCs w:val="22"/>
        </w:rPr>
        <w:t>(CHO)</w:t>
      </w:r>
      <w:r>
        <w:rPr>
          <w:szCs w:val="22"/>
        </w:rPr>
        <w:t>, by</w:t>
      </w:r>
      <w:r w:rsidRPr="005265C9">
        <w:rPr>
          <w:szCs w:val="22"/>
        </w:rPr>
        <w:t xml:space="preserve"> disallowable instrument, </w:t>
      </w:r>
      <w:r>
        <w:rPr>
          <w:szCs w:val="22"/>
        </w:rPr>
        <w:t xml:space="preserve">to </w:t>
      </w:r>
      <w:r w:rsidRPr="005265C9">
        <w:rPr>
          <w:szCs w:val="22"/>
        </w:rPr>
        <w:t xml:space="preserve">give directions for the administration of a vaccine to a person without prescription by a pharmacist (or intern pharmacist). </w:t>
      </w:r>
    </w:p>
    <w:p w14:paraId="15FA1404" w14:textId="77777777" w:rsidR="00970C24" w:rsidRDefault="00970C24" w:rsidP="00970C24">
      <w:pPr>
        <w:pStyle w:val="ListNumber2"/>
        <w:numPr>
          <w:ilvl w:val="1"/>
          <w:numId w:val="29"/>
        </w:numPr>
        <w:ind w:left="851" w:hanging="851"/>
        <w:rPr>
          <w:szCs w:val="22"/>
        </w:rPr>
      </w:pPr>
      <w:r w:rsidRPr="005265C9">
        <w:rPr>
          <w:szCs w:val="22"/>
        </w:rPr>
        <w:t xml:space="preserve">This instrument </w:t>
      </w:r>
      <w:r>
        <w:rPr>
          <w:szCs w:val="22"/>
        </w:rPr>
        <w:t xml:space="preserve">provides that </w:t>
      </w:r>
      <w:r w:rsidRPr="005265C9">
        <w:rPr>
          <w:szCs w:val="22"/>
        </w:rPr>
        <w:t xml:space="preserve">a pharmacist or intern pharmacist may administer a vaccine without prescription if they comply with the Pharmacist Vaccination Standards (Vaccination Standards) imposed by the CHO at Schedule 1 of this instrument. </w:t>
      </w:r>
    </w:p>
    <w:p w14:paraId="35DE992C" w14:textId="1E7FDE3D" w:rsidR="00970C24" w:rsidRDefault="00970C24" w:rsidP="00970C24">
      <w:pPr>
        <w:pStyle w:val="ListNumber2"/>
        <w:numPr>
          <w:ilvl w:val="1"/>
          <w:numId w:val="29"/>
        </w:numPr>
        <w:ind w:left="851" w:hanging="851"/>
        <w:rPr>
          <w:szCs w:val="22"/>
        </w:rPr>
      </w:pPr>
      <w:r>
        <w:rPr>
          <w:szCs w:val="22"/>
        </w:rPr>
        <w:t xml:space="preserve">The explanatory statement for the instrument discusses human rights issues arising from the instrument, by reference to the right to life and the right to privacy and reputation, protected by sections 9 and 12 of the </w:t>
      </w:r>
      <w:r>
        <w:rPr>
          <w:i/>
          <w:iCs/>
          <w:szCs w:val="22"/>
        </w:rPr>
        <w:t>Human Rights Act 2004</w:t>
      </w:r>
      <w:r>
        <w:rPr>
          <w:szCs w:val="22"/>
        </w:rPr>
        <w:t>, respectively:</w:t>
      </w:r>
    </w:p>
    <w:p w14:paraId="0C4BE48E" w14:textId="77777777" w:rsidR="00970C24" w:rsidRPr="005265C9" w:rsidRDefault="00970C24" w:rsidP="002712A3">
      <w:pPr>
        <w:pStyle w:val="Quote"/>
        <w:spacing w:before="120" w:after="0"/>
        <w:rPr>
          <w:rFonts w:ascii="Calibri" w:eastAsia="Calibri" w:hAnsi="Calibri" w:cs="Calibri"/>
          <w:b/>
          <w:color w:val="7F7F7F"/>
          <w:szCs w:val="20"/>
        </w:rPr>
      </w:pPr>
      <w:r w:rsidRPr="005265C9">
        <w:rPr>
          <w:rFonts w:ascii="Calibri" w:eastAsia="Calibri" w:hAnsi="Calibri" w:cs="Calibri"/>
          <w:b/>
          <w:color w:val="7F7F7F"/>
          <w:szCs w:val="20"/>
        </w:rPr>
        <w:t>Human rights considerations</w:t>
      </w:r>
    </w:p>
    <w:p w14:paraId="568BD37B" w14:textId="77777777" w:rsidR="00970C24" w:rsidRPr="005265C9" w:rsidRDefault="00970C24" w:rsidP="002712A3">
      <w:pPr>
        <w:pStyle w:val="Quote"/>
        <w:spacing w:before="120" w:after="0"/>
        <w:rPr>
          <w:rFonts w:ascii="Calibri" w:eastAsia="Calibri" w:hAnsi="Calibri" w:cs="Calibri"/>
          <w:bCs/>
          <w:color w:val="7F7F7F"/>
          <w:szCs w:val="20"/>
        </w:rPr>
      </w:pPr>
      <w:r w:rsidRPr="005265C9">
        <w:rPr>
          <w:rFonts w:ascii="Calibri" w:eastAsia="Calibri" w:hAnsi="Calibri" w:cs="Calibri"/>
          <w:bCs/>
          <w:color w:val="7F7F7F"/>
          <w:szCs w:val="20"/>
        </w:rPr>
        <w:t>During the development of the Vaccination Standards, due regard was given to its compatibility with the</w:t>
      </w:r>
      <w:r w:rsidRPr="0047494A">
        <w:rPr>
          <w:rFonts w:ascii="Calibri" w:eastAsia="Calibri" w:hAnsi="Calibri" w:cs="Calibri"/>
          <w:bCs/>
          <w:i/>
          <w:iCs/>
          <w:color w:val="7F7F7F"/>
          <w:szCs w:val="20"/>
        </w:rPr>
        <w:t xml:space="preserve"> Human Rights Act 2004</w:t>
      </w:r>
      <w:r w:rsidRPr="005265C9">
        <w:rPr>
          <w:rFonts w:ascii="Calibri" w:eastAsia="Calibri" w:hAnsi="Calibri" w:cs="Calibri"/>
          <w:bCs/>
          <w:color w:val="7F7F7F"/>
          <w:szCs w:val="20"/>
        </w:rPr>
        <w:t xml:space="preserve"> (HR Act).</w:t>
      </w:r>
    </w:p>
    <w:p w14:paraId="4D3D02DB" w14:textId="77777777" w:rsidR="00970C24" w:rsidRPr="005265C9" w:rsidRDefault="00970C24" w:rsidP="002712A3">
      <w:pPr>
        <w:pStyle w:val="Quote"/>
        <w:spacing w:before="120" w:after="0"/>
        <w:rPr>
          <w:rFonts w:ascii="Calibri" w:eastAsia="Calibri" w:hAnsi="Calibri" w:cs="Calibri"/>
          <w:bCs/>
          <w:color w:val="7F7F7F"/>
          <w:szCs w:val="20"/>
        </w:rPr>
      </w:pPr>
      <w:r w:rsidRPr="005265C9">
        <w:rPr>
          <w:rFonts w:ascii="Calibri" w:eastAsia="Calibri" w:hAnsi="Calibri" w:cs="Calibri"/>
          <w:bCs/>
          <w:color w:val="7F7F7F"/>
          <w:szCs w:val="20"/>
        </w:rPr>
        <w:t xml:space="preserve">The Vaccination Standards are considered to engage the following HR Act rights: </w:t>
      </w:r>
    </w:p>
    <w:p w14:paraId="38A357FC" w14:textId="77777777" w:rsidR="00970C24" w:rsidRPr="005265C9" w:rsidRDefault="00970C24" w:rsidP="002712A3">
      <w:pPr>
        <w:pStyle w:val="ListParagraph"/>
        <w:numPr>
          <w:ilvl w:val="0"/>
          <w:numId w:val="32"/>
        </w:numPr>
        <w:spacing w:after="0"/>
        <w:ind w:left="1570" w:hanging="357"/>
        <w:contextualSpacing w:val="0"/>
        <w:rPr>
          <w:rFonts w:ascii="Calibri" w:eastAsia="Calibri" w:hAnsi="Calibri" w:cs="Calibri"/>
          <w:bCs/>
          <w:color w:val="7F7F7F"/>
          <w:szCs w:val="20"/>
        </w:rPr>
      </w:pPr>
      <w:r w:rsidRPr="005265C9">
        <w:rPr>
          <w:rFonts w:ascii="Calibri" w:eastAsia="Calibri" w:hAnsi="Calibri" w:cs="Calibri"/>
          <w:bCs/>
          <w:color w:val="7F7F7F"/>
          <w:szCs w:val="20"/>
        </w:rPr>
        <w:t>Section 9 – Right to life</w:t>
      </w:r>
    </w:p>
    <w:p w14:paraId="6D7342E0" w14:textId="77777777" w:rsidR="00970C24" w:rsidRPr="005265C9" w:rsidRDefault="00970C24" w:rsidP="002712A3">
      <w:pPr>
        <w:pStyle w:val="ListParagraph"/>
        <w:numPr>
          <w:ilvl w:val="0"/>
          <w:numId w:val="32"/>
        </w:numPr>
        <w:spacing w:after="0"/>
        <w:ind w:left="1570" w:hanging="357"/>
        <w:contextualSpacing w:val="0"/>
        <w:rPr>
          <w:rFonts w:ascii="Calibri" w:eastAsia="Calibri" w:hAnsi="Calibri" w:cs="Calibri"/>
          <w:bCs/>
          <w:color w:val="7F7F7F"/>
          <w:szCs w:val="20"/>
        </w:rPr>
      </w:pPr>
      <w:r w:rsidRPr="005265C9">
        <w:rPr>
          <w:rFonts w:ascii="Calibri" w:eastAsia="Calibri" w:hAnsi="Calibri" w:cs="Calibri"/>
          <w:bCs/>
          <w:color w:val="7F7F7F"/>
          <w:szCs w:val="20"/>
        </w:rPr>
        <w:t>Section 12 - Right to Privacy</w:t>
      </w:r>
    </w:p>
    <w:p w14:paraId="79D96D87" w14:textId="77777777" w:rsidR="00970C24" w:rsidRPr="0047494A" w:rsidRDefault="00970C24" w:rsidP="002712A3">
      <w:pPr>
        <w:pStyle w:val="Quote"/>
        <w:spacing w:before="120" w:after="0"/>
        <w:rPr>
          <w:rFonts w:ascii="Calibri" w:eastAsia="Calibri" w:hAnsi="Calibri" w:cs="Calibri"/>
          <w:b/>
          <w:color w:val="7F7F7F"/>
          <w:szCs w:val="20"/>
          <w:u w:val="single"/>
        </w:rPr>
      </w:pPr>
      <w:r w:rsidRPr="0047494A">
        <w:rPr>
          <w:rFonts w:ascii="Calibri" w:eastAsia="Calibri" w:hAnsi="Calibri" w:cs="Calibri"/>
          <w:b/>
          <w:color w:val="7F7F7F"/>
          <w:szCs w:val="20"/>
          <w:u w:val="single"/>
        </w:rPr>
        <w:t>Right to Life</w:t>
      </w:r>
    </w:p>
    <w:p w14:paraId="254BD273" w14:textId="77777777" w:rsidR="00970C24" w:rsidRPr="005265C9" w:rsidRDefault="00970C24" w:rsidP="002712A3">
      <w:pPr>
        <w:pStyle w:val="Quote"/>
        <w:spacing w:before="120" w:after="0"/>
        <w:rPr>
          <w:rFonts w:ascii="Calibri" w:eastAsia="Calibri" w:hAnsi="Calibri" w:cs="Calibri"/>
          <w:bCs/>
          <w:color w:val="7F7F7F"/>
          <w:szCs w:val="20"/>
        </w:rPr>
      </w:pPr>
      <w:r w:rsidRPr="005265C9">
        <w:rPr>
          <w:rFonts w:ascii="Calibri" w:eastAsia="Calibri" w:hAnsi="Calibri" w:cs="Calibri"/>
          <w:bCs/>
          <w:color w:val="7F7F7F"/>
          <w:szCs w:val="20"/>
        </w:rPr>
        <w:t xml:space="preserve">The right to life is concerned with preventing the arbitrary deprivation of life and is relevant to the delivery of medical treatment, including immunisation services. As this instrument improves consumer access to vaccination services, this instrument is considered to engage and promote the right to life under the HR Act. Improved access is particularly important for the groups most affected by severe RSV and RSV-related complications, people over the age of 60. The Vaccination Standards are not considered to impose any new limitations on an individual’s right to life as described by the HR Act. </w:t>
      </w:r>
    </w:p>
    <w:p w14:paraId="68D549BC" w14:textId="77777777" w:rsidR="00970C24" w:rsidRPr="0047494A" w:rsidRDefault="00970C24" w:rsidP="002712A3">
      <w:pPr>
        <w:pStyle w:val="Quote"/>
        <w:spacing w:before="120" w:after="0"/>
        <w:rPr>
          <w:rFonts w:ascii="Calibri" w:eastAsia="Calibri" w:hAnsi="Calibri" w:cs="Calibri"/>
          <w:b/>
          <w:color w:val="7F7F7F"/>
          <w:szCs w:val="20"/>
          <w:u w:val="single"/>
        </w:rPr>
      </w:pPr>
      <w:r w:rsidRPr="0047494A">
        <w:rPr>
          <w:rFonts w:ascii="Calibri" w:eastAsia="Calibri" w:hAnsi="Calibri" w:cs="Calibri"/>
          <w:b/>
          <w:color w:val="7F7F7F"/>
          <w:szCs w:val="20"/>
          <w:u w:val="single"/>
        </w:rPr>
        <w:t>Right to Privacy</w:t>
      </w:r>
    </w:p>
    <w:p w14:paraId="597AA7D5" w14:textId="77777777" w:rsidR="00970C24" w:rsidRPr="005265C9" w:rsidRDefault="00970C24" w:rsidP="002712A3">
      <w:pPr>
        <w:pStyle w:val="Quote"/>
        <w:spacing w:before="120" w:after="0"/>
        <w:rPr>
          <w:rFonts w:ascii="Calibri" w:eastAsia="Calibri" w:hAnsi="Calibri" w:cs="Calibri"/>
          <w:bCs/>
          <w:color w:val="7F7F7F"/>
          <w:szCs w:val="20"/>
        </w:rPr>
      </w:pPr>
      <w:r w:rsidRPr="005265C9">
        <w:rPr>
          <w:rFonts w:ascii="Calibri" w:eastAsia="Calibri" w:hAnsi="Calibri" w:cs="Calibri"/>
          <w:bCs/>
          <w:color w:val="7F7F7F"/>
          <w:szCs w:val="20"/>
        </w:rPr>
        <w:t>The right to privacy and reputation protects against unlawful or arbitrary interference with personal information.</w:t>
      </w:r>
    </w:p>
    <w:p w14:paraId="74BE6EFD" w14:textId="77777777" w:rsidR="002712A3" w:rsidRDefault="00970C24" w:rsidP="002712A3">
      <w:pPr>
        <w:pStyle w:val="Quote"/>
        <w:spacing w:before="120" w:after="0"/>
        <w:rPr>
          <w:rFonts w:ascii="Calibri" w:eastAsia="Calibri" w:hAnsi="Calibri" w:cs="Calibri"/>
          <w:bCs/>
          <w:color w:val="7F7F7F"/>
          <w:szCs w:val="20"/>
        </w:rPr>
      </w:pPr>
      <w:r w:rsidRPr="005265C9">
        <w:rPr>
          <w:rFonts w:ascii="Calibri" w:eastAsia="Calibri" w:hAnsi="Calibri" w:cs="Calibri"/>
          <w:bCs/>
          <w:color w:val="7F7F7F"/>
          <w:szCs w:val="20"/>
        </w:rPr>
        <w:t xml:space="preserve">Part C of the Vaccination Standards require immunising pharmacists to collect and maintain up to date records and patient information regarding administered vaccines and report information about administered vaccines to the AIR. The collection, storage, and use of sensitive personal health information, such as vaccine history, medical conditions, and contact details engages the right to privacy. Any engagement with the right to privacy as it relates to health records is already limited by the </w:t>
      </w:r>
      <w:r w:rsidRPr="0047494A">
        <w:rPr>
          <w:rFonts w:ascii="Calibri" w:eastAsia="Calibri" w:hAnsi="Calibri" w:cs="Calibri"/>
          <w:bCs/>
          <w:i/>
          <w:iCs/>
          <w:color w:val="7F7F7F"/>
          <w:szCs w:val="20"/>
        </w:rPr>
        <w:t>Health Records (Privacy and Access) Act 1997</w:t>
      </w:r>
      <w:r w:rsidRPr="005265C9">
        <w:rPr>
          <w:rFonts w:ascii="Calibri" w:eastAsia="Calibri" w:hAnsi="Calibri" w:cs="Calibri"/>
          <w:bCs/>
          <w:color w:val="7F7F7F"/>
          <w:szCs w:val="20"/>
        </w:rPr>
        <w:t xml:space="preserve">, </w:t>
      </w:r>
      <w:r w:rsidRPr="0047494A">
        <w:rPr>
          <w:rFonts w:ascii="Calibri" w:eastAsia="Calibri" w:hAnsi="Calibri" w:cs="Calibri"/>
          <w:bCs/>
          <w:i/>
          <w:iCs/>
          <w:color w:val="7F7F7F"/>
          <w:szCs w:val="20"/>
        </w:rPr>
        <w:t>Information Privacy Act 2014</w:t>
      </w:r>
      <w:r w:rsidRPr="005265C9">
        <w:rPr>
          <w:rFonts w:ascii="Calibri" w:eastAsia="Calibri" w:hAnsi="Calibri" w:cs="Calibri"/>
          <w:bCs/>
          <w:color w:val="7F7F7F"/>
          <w:szCs w:val="20"/>
        </w:rPr>
        <w:t xml:space="preserve">, and </w:t>
      </w:r>
      <w:r w:rsidRPr="0047494A">
        <w:rPr>
          <w:rFonts w:ascii="Calibri" w:eastAsia="Calibri" w:hAnsi="Calibri" w:cs="Calibri"/>
          <w:bCs/>
          <w:i/>
          <w:iCs/>
          <w:color w:val="7F7F7F"/>
          <w:szCs w:val="20"/>
        </w:rPr>
        <w:t>Australian Immunisation Register Act 2015 (Cwlth)</w:t>
      </w:r>
      <w:r w:rsidRPr="005265C9">
        <w:rPr>
          <w:rFonts w:ascii="Calibri" w:eastAsia="Calibri" w:hAnsi="Calibri" w:cs="Calibri"/>
          <w:bCs/>
          <w:color w:val="7F7F7F"/>
          <w:szCs w:val="20"/>
        </w:rPr>
        <w:t xml:space="preserve"> which establish clear rules and limitations on the collection, use and disclosure of personal information, including how a person can access their personal information stored by an immunisation service provider.</w:t>
      </w:r>
      <w:r w:rsidR="002712A3">
        <w:rPr>
          <w:rFonts w:ascii="Calibri" w:eastAsia="Calibri" w:hAnsi="Calibri" w:cs="Calibri"/>
          <w:bCs/>
          <w:color w:val="7F7F7F"/>
          <w:szCs w:val="20"/>
        </w:rPr>
        <w:t xml:space="preserve"> </w:t>
      </w:r>
    </w:p>
    <w:p w14:paraId="51857DDB" w14:textId="5CEC6A7F" w:rsidR="00970C24" w:rsidRPr="005265C9" w:rsidRDefault="00970C24" w:rsidP="002712A3">
      <w:pPr>
        <w:pStyle w:val="Quote"/>
        <w:spacing w:before="120" w:after="0"/>
        <w:rPr>
          <w:rFonts w:ascii="Calibri" w:eastAsia="Calibri" w:hAnsi="Calibri" w:cs="Calibri"/>
          <w:bCs/>
          <w:color w:val="7F7F7F"/>
          <w:szCs w:val="20"/>
        </w:rPr>
      </w:pPr>
      <w:r w:rsidRPr="005265C9">
        <w:rPr>
          <w:rFonts w:ascii="Calibri" w:eastAsia="Calibri" w:hAnsi="Calibri" w:cs="Calibri"/>
          <w:bCs/>
          <w:color w:val="7F7F7F"/>
          <w:szCs w:val="20"/>
        </w:rPr>
        <w:t xml:space="preserve">Health consumers are also reasonably made aware of their human rights </w:t>
      </w:r>
      <w:proofErr w:type="gramStart"/>
      <w:r w:rsidRPr="005265C9">
        <w:rPr>
          <w:rFonts w:ascii="Calibri" w:eastAsia="Calibri" w:hAnsi="Calibri" w:cs="Calibri"/>
          <w:bCs/>
          <w:color w:val="7F7F7F"/>
          <w:szCs w:val="20"/>
        </w:rPr>
        <w:t>with regard to</w:t>
      </w:r>
      <w:proofErr w:type="gramEnd"/>
      <w:r w:rsidRPr="005265C9">
        <w:rPr>
          <w:rFonts w:ascii="Calibri" w:eastAsia="Calibri" w:hAnsi="Calibri" w:cs="Calibri"/>
          <w:bCs/>
          <w:color w:val="7F7F7F"/>
          <w:szCs w:val="20"/>
        </w:rPr>
        <w:t xml:space="preserve"> pharmacy services. In accordance with section 95 of the </w:t>
      </w:r>
      <w:r w:rsidRPr="0047494A">
        <w:rPr>
          <w:rFonts w:ascii="Calibri" w:eastAsia="Calibri" w:hAnsi="Calibri" w:cs="Calibri"/>
          <w:bCs/>
          <w:i/>
          <w:iCs/>
          <w:color w:val="7F7F7F"/>
          <w:szCs w:val="20"/>
        </w:rPr>
        <w:t>Human Rights Commission Act 2005</w:t>
      </w:r>
      <w:r w:rsidRPr="005265C9">
        <w:rPr>
          <w:rFonts w:ascii="Calibri" w:eastAsia="Calibri" w:hAnsi="Calibri" w:cs="Calibri"/>
          <w:bCs/>
          <w:color w:val="7F7F7F"/>
          <w:szCs w:val="20"/>
        </w:rPr>
        <w:t>, all health service providers are required to prominently display information about how complaints may be made to the ACT Human Rights Commission or appropriate regulatory agency.</w:t>
      </w:r>
    </w:p>
    <w:p w14:paraId="093A0E7B" w14:textId="77777777" w:rsidR="00970C24" w:rsidRPr="005265C9" w:rsidRDefault="00970C24" w:rsidP="00970C24">
      <w:pPr>
        <w:pStyle w:val="Quote"/>
        <w:spacing w:before="120" w:after="120"/>
        <w:rPr>
          <w:rFonts w:ascii="Calibri" w:eastAsia="Calibri" w:hAnsi="Calibri" w:cs="Calibri"/>
          <w:bCs/>
          <w:color w:val="7F7F7F"/>
          <w:szCs w:val="20"/>
        </w:rPr>
      </w:pPr>
      <w:r w:rsidRPr="005265C9">
        <w:rPr>
          <w:rFonts w:ascii="Calibri" w:eastAsia="Calibri" w:hAnsi="Calibri" w:cs="Calibri"/>
          <w:bCs/>
          <w:color w:val="7F7F7F"/>
          <w:szCs w:val="20"/>
        </w:rPr>
        <w:t xml:space="preserve">The Vaccination Standards are therefore considered to engage with the right to privacy under the HRA, but do not operate as to </w:t>
      </w:r>
      <w:proofErr w:type="gramStart"/>
      <w:r w:rsidRPr="005265C9">
        <w:rPr>
          <w:rFonts w:ascii="Calibri" w:eastAsia="Calibri" w:hAnsi="Calibri" w:cs="Calibri"/>
          <w:bCs/>
          <w:color w:val="7F7F7F"/>
          <w:szCs w:val="20"/>
        </w:rPr>
        <w:t>arbitrarily or unlawfully interfere with</w:t>
      </w:r>
      <w:proofErr w:type="gramEnd"/>
      <w:r w:rsidRPr="005265C9">
        <w:rPr>
          <w:rFonts w:ascii="Calibri" w:eastAsia="Calibri" w:hAnsi="Calibri" w:cs="Calibri"/>
          <w:bCs/>
          <w:color w:val="7F7F7F"/>
          <w:szCs w:val="20"/>
        </w:rPr>
        <w:t xml:space="preserve"> or otherwise limit an individual’s right to privacy or reputation as described by the HR Act.</w:t>
      </w:r>
    </w:p>
    <w:p w14:paraId="134A48F2" w14:textId="77777777" w:rsidR="00970C24" w:rsidRPr="001C590F" w:rsidRDefault="00970C24" w:rsidP="00970C24">
      <w:pPr>
        <w:pStyle w:val="ListNumber2"/>
        <w:numPr>
          <w:ilvl w:val="1"/>
          <w:numId w:val="29"/>
        </w:numPr>
        <w:ind w:left="851" w:hanging="851"/>
        <w:rPr>
          <w:rFonts w:ascii="Calibri" w:eastAsia="Calibri" w:hAnsi="Calibri" w:cs="Calibri"/>
          <w:b/>
          <w:color w:val="000000"/>
        </w:rPr>
      </w:pPr>
      <w:r w:rsidRPr="001C590F">
        <w:rPr>
          <w:rFonts w:ascii="Calibri" w:eastAsia="Calibri" w:hAnsi="Calibri" w:cs="Calibri"/>
          <w:b/>
          <w:color w:val="000000"/>
        </w:rPr>
        <w:t>The Committee draws the attention of the Legislative Assembly to the discussion of human rights issues in the explanatory statement for th</w:t>
      </w:r>
      <w:r>
        <w:rPr>
          <w:rFonts w:ascii="Calibri" w:eastAsia="Calibri" w:hAnsi="Calibri" w:cs="Calibri"/>
          <w:b/>
          <w:color w:val="000000"/>
        </w:rPr>
        <w:t>is</w:t>
      </w:r>
      <w:r w:rsidRPr="001C590F">
        <w:rPr>
          <w:rFonts w:ascii="Calibri" w:eastAsia="Calibri" w:hAnsi="Calibri" w:cs="Calibri"/>
          <w:b/>
          <w:color w:val="000000"/>
        </w:rPr>
        <w:t xml:space="preserve"> instrument.</w:t>
      </w:r>
    </w:p>
    <w:p w14:paraId="23DD3199" w14:textId="77777777" w:rsidR="00970C24" w:rsidRPr="001C590F" w:rsidRDefault="00970C24" w:rsidP="00970C24">
      <w:pPr>
        <w:pStyle w:val="ListNumber2"/>
        <w:numPr>
          <w:ilvl w:val="1"/>
          <w:numId w:val="29"/>
        </w:numPr>
        <w:ind w:left="851" w:hanging="851"/>
        <w:rPr>
          <w:rFonts w:ascii="Calibri" w:eastAsia="Calibri" w:hAnsi="Calibri" w:cs="Calibri"/>
          <w:b/>
          <w:color w:val="000000"/>
        </w:rPr>
      </w:pPr>
      <w:r w:rsidRPr="001C590F">
        <w:rPr>
          <w:rFonts w:ascii="Calibri" w:eastAsia="Calibri" w:hAnsi="Calibri" w:cs="Calibri"/>
          <w:b/>
          <w:color w:val="000000"/>
        </w:rPr>
        <w:t>This comment does not require a response from the Minister.</w:t>
      </w:r>
    </w:p>
    <w:p w14:paraId="575B6C35" w14:textId="77777777" w:rsidR="00970C24" w:rsidRPr="00970C24" w:rsidRDefault="00970C24" w:rsidP="00970C24">
      <w:pPr>
        <w:pStyle w:val="Heading3"/>
        <w:spacing w:before="120"/>
        <w:rPr>
          <w:rFonts w:eastAsia="Times New Roman" w:cs="Times New Roman"/>
        </w:rPr>
      </w:pPr>
      <w:bookmarkStart w:id="150" w:name="_Toc174548918"/>
      <w:r w:rsidRPr="00970C24">
        <w:rPr>
          <w:rFonts w:eastAsia="Times New Roman" w:cs="Times New Roman"/>
        </w:rPr>
        <w:t>Human Rights Issues</w:t>
      </w:r>
      <w:bookmarkEnd w:id="150"/>
    </w:p>
    <w:p w14:paraId="695304FE" w14:textId="77777777" w:rsidR="00970C24" w:rsidRPr="00970C24" w:rsidRDefault="00970C24" w:rsidP="00970C24">
      <w:pPr>
        <w:pStyle w:val="Bodycopy"/>
        <w:keepLines/>
        <w:numPr>
          <w:ilvl w:val="0"/>
          <w:numId w:val="19"/>
        </w:numPr>
        <w:spacing w:before="120" w:after="0" w:line="283" w:lineRule="auto"/>
        <w:ind w:left="1208" w:hanging="357"/>
        <w:rPr>
          <w:b/>
        </w:rPr>
      </w:pPr>
      <w:r w:rsidRPr="00970C24">
        <w:rPr>
          <w:b/>
        </w:rPr>
        <w:t xml:space="preserve">Disallowable Instrument DI2024-122 being the Public Place Names (Denman Prospect) Determination 2024 (No 2) made under section 3 of the </w:t>
      </w:r>
      <w:r w:rsidRPr="00970C24">
        <w:rPr>
          <w:i/>
        </w:rPr>
        <w:t>Public Place Names Act 1989</w:t>
      </w:r>
      <w:r w:rsidRPr="00970C24">
        <w:rPr>
          <w:b/>
        </w:rPr>
        <w:t xml:space="preserve"> determines the names of four roads in the Division of Denman Prospect. </w:t>
      </w:r>
    </w:p>
    <w:p w14:paraId="30F37903" w14:textId="77777777" w:rsidR="00970C24" w:rsidRPr="00970C24" w:rsidRDefault="00970C24" w:rsidP="00970C24">
      <w:pPr>
        <w:pStyle w:val="ListNumber2"/>
        <w:numPr>
          <w:ilvl w:val="1"/>
          <w:numId w:val="29"/>
        </w:numPr>
        <w:ind w:left="851" w:hanging="851"/>
        <w:rPr>
          <w:rFonts w:ascii="Calibri" w:eastAsia="Calibri" w:hAnsi="Calibri" w:cs="Calibri"/>
          <w:color w:val="000000"/>
        </w:rPr>
      </w:pPr>
      <w:r w:rsidRPr="00970C24">
        <w:rPr>
          <w:rFonts w:ascii="Calibri" w:eastAsia="Calibri" w:hAnsi="Calibri" w:cs="Calibri"/>
          <w:color w:val="000000"/>
        </w:rPr>
        <w:t xml:space="preserve">This instrument, made under section 3 of the </w:t>
      </w:r>
      <w:r w:rsidRPr="00970C24">
        <w:rPr>
          <w:rFonts w:ascii="Calibri" w:eastAsia="Calibri" w:hAnsi="Calibri" w:cs="Calibri"/>
          <w:i/>
          <w:iCs/>
          <w:color w:val="000000"/>
        </w:rPr>
        <w:t>Place Names Act 1989</w:t>
      </w:r>
      <w:r w:rsidRPr="00970C24">
        <w:rPr>
          <w:rFonts w:ascii="Calibri" w:eastAsia="Calibri" w:hAnsi="Calibri" w:cs="Calibri"/>
          <w:color w:val="000000"/>
        </w:rPr>
        <w:t xml:space="preserve">, names 4 roads in Denman Prospect.  The Committee notes that, </w:t>
      </w:r>
      <w:proofErr w:type="gramStart"/>
      <w:r w:rsidRPr="00970C24">
        <w:rPr>
          <w:rFonts w:ascii="Calibri" w:eastAsia="Calibri" w:hAnsi="Calibri" w:cs="Calibri"/>
          <w:color w:val="000000"/>
        </w:rPr>
        <w:t>similar to</w:t>
      </w:r>
      <w:proofErr w:type="gramEnd"/>
      <w:r w:rsidRPr="00970C24">
        <w:rPr>
          <w:rFonts w:ascii="Calibri" w:eastAsia="Calibri" w:hAnsi="Calibri" w:cs="Calibri"/>
          <w:color w:val="000000"/>
        </w:rPr>
        <w:t xml:space="preserve"> explanatory statements for similar instruments, the explanatory statement for the instrument discusses potential human rights implications for the instrument.  The </w:t>
      </w:r>
      <w:proofErr w:type="gramStart"/>
      <w:r w:rsidRPr="00970C24">
        <w:rPr>
          <w:rFonts w:ascii="Calibri" w:eastAsia="Calibri" w:hAnsi="Calibri" w:cs="Calibri"/>
          <w:color w:val="000000"/>
        </w:rPr>
        <w:t>particular human</w:t>
      </w:r>
      <w:proofErr w:type="gramEnd"/>
      <w:r w:rsidRPr="00970C24">
        <w:rPr>
          <w:rFonts w:ascii="Calibri" w:eastAsia="Calibri" w:hAnsi="Calibri" w:cs="Calibri"/>
          <w:color w:val="000000"/>
        </w:rPr>
        <w:t xml:space="preserve"> right identified is the right to privacy and reputation, set out in section 12 of the </w:t>
      </w:r>
      <w:r w:rsidRPr="00970C24">
        <w:rPr>
          <w:rFonts w:ascii="Calibri" w:eastAsia="Calibri" w:hAnsi="Calibri" w:cs="Calibri"/>
          <w:i/>
          <w:iCs/>
          <w:color w:val="000000"/>
        </w:rPr>
        <w:t>Human Rights Act 2004</w:t>
      </w:r>
      <w:r w:rsidRPr="00970C24">
        <w:rPr>
          <w:rFonts w:ascii="Calibri" w:eastAsia="Calibri" w:hAnsi="Calibri" w:cs="Calibri"/>
          <w:color w:val="000000"/>
        </w:rPr>
        <w:t>.  The explanatory statement states:</w:t>
      </w:r>
    </w:p>
    <w:p w14:paraId="077641C8" w14:textId="77777777" w:rsidR="00970C24" w:rsidRPr="0047494A" w:rsidRDefault="00970C24" w:rsidP="0047494A">
      <w:pPr>
        <w:pStyle w:val="Quote"/>
        <w:rPr>
          <w:u w:val="single"/>
        </w:rPr>
      </w:pPr>
      <w:r w:rsidRPr="0047494A">
        <w:rPr>
          <w:u w:val="single"/>
        </w:rPr>
        <w:t>Human Rights</w:t>
      </w:r>
    </w:p>
    <w:p w14:paraId="5EC65964" w14:textId="77777777" w:rsidR="00970C24" w:rsidRPr="0047494A" w:rsidRDefault="00970C24" w:rsidP="0047494A">
      <w:pPr>
        <w:pStyle w:val="Quote"/>
      </w:pPr>
      <w:r w:rsidRPr="0047494A">
        <w:t xml:space="preserve">Section 12 of the </w:t>
      </w:r>
      <w:r w:rsidRPr="0047494A">
        <w:rPr>
          <w:i/>
          <w:iCs/>
        </w:rPr>
        <w:t>Human Rights Act 2004</w:t>
      </w:r>
      <w:r w:rsidRPr="0047494A">
        <w:t xml:space="preserve"> creates a right to privacy and reputation. </w:t>
      </w:r>
    </w:p>
    <w:p w14:paraId="7A6032F5" w14:textId="77777777" w:rsidR="00970C24" w:rsidRPr="0047494A" w:rsidRDefault="00970C24" w:rsidP="0047494A">
      <w:pPr>
        <w:pStyle w:val="Quote"/>
      </w:pPr>
      <w:r w:rsidRPr="0047494A">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persons are determined.</w:t>
      </w:r>
    </w:p>
    <w:p w14:paraId="578FD4D8" w14:textId="77777777" w:rsidR="00970C24" w:rsidRPr="00970C24" w:rsidRDefault="00970C24" w:rsidP="00970C24">
      <w:pPr>
        <w:pStyle w:val="ListNumber2"/>
        <w:numPr>
          <w:ilvl w:val="1"/>
          <w:numId w:val="29"/>
        </w:numPr>
        <w:ind w:left="851" w:hanging="851"/>
        <w:rPr>
          <w:rFonts w:ascii="Calibri" w:eastAsia="Calibri" w:hAnsi="Calibri" w:cs="Calibri"/>
          <w:b/>
          <w:color w:val="000000"/>
        </w:rPr>
      </w:pPr>
      <w:r w:rsidRPr="00970C24">
        <w:rPr>
          <w:rFonts w:ascii="Calibri" w:eastAsia="Calibri" w:hAnsi="Calibri" w:cs="Calibri"/>
          <w:b/>
          <w:color w:val="000000"/>
        </w:rPr>
        <w:t>The Committee draws the attention of the Legislative Assembly to the discussion of human rights issues in the explanatory statement for this instrument.</w:t>
      </w:r>
    </w:p>
    <w:p w14:paraId="4DAF1E84" w14:textId="44A2E6EF" w:rsidR="00FC2277" w:rsidRPr="00970C24" w:rsidRDefault="00970C24" w:rsidP="00970C24">
      <w:pPr>
        <w:pStyle w:val="ListNumber2"/>
        <w:numPr>
          <w:ilvl w:val="1"/>
          <w:numId w:val="29"/>
        </w:numPr>
        <w:ind w:left="851" w:hanging="851"/>
        <w:rPr>
          <w:rFonts w:ascii="Calibri" w:eastAsia="Calibri" w:hAnsi="Calibri" w:cs="Calibri"/>
          <w:b/>
          <w:color w:val="000000"/>
        </w:rPr>
      </w:pPr>
      <w:r w:rsidRPr="00970C24">
        <w:rPr>
          <w:rFonts w:ascii="Calibri" w:eastAsia="Calibri" w:hAnsi="Calibri" w:cs="Calibri"/>
          <w:b/>
          <w:color w:val="000000"/>
        </w:rPr>
        <w:t>This comment does not require a response from the Minister.</w:t>
      </w:r>
    </w:p>
    <w:p w14:paraId="5827807A" w14:textId="5F5DC411" w:rsidR="00946033" w:rsidRDefault="00946033" w:rsidP="00FC2277">
      <w:pPr>
        <w:keepNext/>
        <w:keepLines/>
        <w:spacing w:before="240" w:after="200"/>
        <w:outlineLvl w:val="2"/>
        <w:rPr>
          <w:rFonts w:ascii="Montserrat" w:eastAsia="Times New Roman" w:hAnsi="Montserrat" w:cs="Times New Roman"/>
          <w:b/>
          <w:color w:val="7492CD"/>
          <w:w w:val="90"/>
          <w:kern w:val="2"/>
          <w:sz w:val="28"/>
          <w:szCs w:val="24"/>
        </w:rPr>
      </w:pPr>
      <w:bookmarkStart w:id="151" w:name="_Toc169174835"/>
      <w:bookmarkStart w:id="152" w:name="_Toc174548919"/>
      <w:r>
        <w:rPr>
          <w:rFonts w:ascii="Montserrat" w:eastAsia="Times New Roman" w:hAnsi="Montserrat" w:cs="Times New Roman"/>
          <w:b/>
          <w:color w:val="7492CD"/>
          <w:w w:val="90"/>
          <w:kern w:val="2"/>
          <w:sz w:val="28"/>
          <w:szCs w:val="24"/>
        </w:rPr>
        <w:t>No Human Rights Issues</w:t>
      </w:r>
      <w:bookmarkEnd w:id="151"/>
      <w:bookmarkEnd w:id="152"/>
    </w:p>
    <w:p w14:paraId="22CD0A46" w14:textId="77777777" w:rsidR="00970C24" w:rsidRPr="00842199" w:rsidRDefault="00970C24" w:rsidP="00970C24">
      <w:pPr>
        <w:pStyle w:val="Bodycopy"/>
        <w:keepLines/>
        <w:numPr>
          <w:ilvl w:val="0"/>
          <w:numId w:val="19"/>
        </w:numPr>
        <w:spacing w:before="120" w:after="0" w:line="283" w:lineRule="auto"/>
        <w:ind w:left="1208" w:hanging="357"/>
        <w:rPr>
          <w:b/>
        </w:rPr>
      </w:pPr>
      <w:r>
        <w:rPr>
          <w:b/>
        </w:rPr>
        <w:t>Disallowable Instrument</w:t>
      </w:r>
      <w:r w:rsidRPr="00451C85">
        <w:rPr>
          <w:b/>
        </w:rPr>
        <w:t xml:space="preserve"> </w:t>
      </w:r>
      <w:r>
        <w:rPr>
          <w:b/>
        </w:rPr>
        <w:t>DI2024-125</w:t>
      </w:r>
      <w:r w:rsidRPr="00451C85">
        <w:rPr>
          <w:b/>
        </w:rPr>
        <w:t xml:space="preserve"> being the </w:t>
      </w:r>
      <w:r>
        <w:rPr>
          <w:b/>
        </w:rPr>
        <w:t xml:space="preserve">Utilities (Technical Regulation) (Water and Sewerage Code) Approval 2024 made under section 14 of the </w:t>
      </w:r>
      <w:r>
        <w:rPr>
          <w:i/>
        </w:rPr>
        <w:t>Utilities (Technical Regulation) Act 2014</w:t>
      </w:r>
      <w:r w:rsidRPr="00236BDD">
        <w:rPr>
          <w:b/>
        </w:rPr>
        <w:t xml:space="preserve"> </w:t>
      </w:r>
      <w:r>
        <w:rPr>
          <w:b/>
        </w:rPr>
        <w:t xml:space="preserve">revokes DI2000-369 and DI2018-62 and approves the making of the Water and Sewerage Code 2024. </w:t>
      </w:r>
    </w:p>
    <w:p w14:paraId="2F0FE0D8" w14:textId="77777777" w:rsidR="00970C24" w:rsidRPr="004E687B" w:rsidRDefault="00970C24" w:rsidP="00970C24">
      <w:pPr>
        <w:pStyle w:val="Bodycopy"/>
        <w:keepLines/>
        <w:numPr>
          <w:ilvl w:val="0"/>
          <w:numId w:val="19"/>
        </w:numPr>
        <w:spacing w:before="120" w:after="0" w:line="283" w:lineRule="auto"/>
        <w:ind w:left="1208" w:hanging="357"/>
        <w:rPr>
          <w:b/>
        </w:rPr>
      </w:pPr>
      <w:r>
        <w:rPr>
          <w:b/>
        </w:rPr>
        <w:t>Disallowable Instrument</w:t>
      </w:r>
      <w:r w:rsidRPr="00451C85">
        <w:rPr>
          <w:b/>
        </w:rPr>
        <w:t xml:space="preserve"> </w:t>
      </w:r>
      <w:r>
        <w:rPr>
          <w:b/>
        </w:rPr>
        <w:t>DI2024-126</w:t>
      </w:r>
      <w:r w:rsidRPr="00451C85">
        <w:rPr>
          <w:b/>
        </w:rPr>
        <w:t xml:space="preserve"> being the </w:t>
      </w:r>
      <w:r>
        <w:rPr>
          <w:b/>
        </w:rPr>
        <w:t xml:space="preserve">Utilities (Technical Regulation) (Non-drinking Water Supply Code) Approval 2024 made under section 14 of the </w:t>
      </w:r>
      <w:bookmarkStart w:id="153" w:name="_Hlk173672211"/>
      <w:r>
        <w:rPr>
          <w:i/>
        </w:rPr>
        <w:t>Utilities (Technical Regulation) Act 2014</w:t>
      </w:r>
      <w:bookmarkEnd w:id="153"/>
      <w:r w:rsidRPr="00236BDD">
        <w:rPr>
          <w:b/>
        </w:rPr>
        <w:t xml:space="preserve"> </w:t>
      </w:r>
      <w:r>
        <w:rPr>
          <w:b/>
        </w:rPr>
        <w:t>revokes DI2014-293 and approves the making of the Non</w:t>
      </w:r>
      <w:r w:rsidRPr="004E687B">
        <w:rPr>
          <w:b/>
        </w:rPr>
        <w:t xml:space="preserve">-drinking Water Supply Code. </w:t>
      </w:r>
    </w:p>
    <w:p w14:paraId="0F3187E7" w14:textId="77777777" w:rsidR="00970C24" w:rsidRDefault="00970C24" w:rsidP="00970C24">
      <w:pPr>
        <w:pStyle w:val="ListNumber2"/>
        <w:numPr>
          <w:ilvl w:val="1"/>
          <w:numId w:val="29"/>
        </w:numPr>
        <w:ind w:left="851" w:hanging="851"/>
        <w:rPr>
          <w:rFonts w:ascii="Calibri" w:eastAsia="Calibri" w:hAnsi="Calibri" w:cs="Calibri"/>
          <w:bCs w:val="0"/>
          <w:color w:val="000000"/>
        </w:rPr>
      </w:pPr>
      <w:r w:rsidRPr="004E687B">
        <w:rPr>
          <w:rFonts w:ascii="Calibri" w:eastAsia="Calibri" w:hAnsi="Calibri" w:cs="Calibri"/>
          <w:color w:val="000000"/>
        </w:rPr>
        <w:t>The instruments mentioned above instrument, made under section</w:t>
      </w:r>
      <w:r>
        <w:rPr>
          <w:rFonts w:ascii="Calibri" w:eastAsia="Calibri" w:hAnsi="Calibri" w:cs="Calibri"/>
          <w:color w:val="000000"/>
        </w:rPr>
        <w:t xml:space="preserve"> 14 of the </w:t>
      </w:r>
      <w:r w:rsidRPr="004E687B">
        <w:rPr>
          <w:rFonts w:ascii="Calibri" w:eastAsia="Calibri" w:hAnsi="Calibri" w:cs="Calibri"/>
          <w:i/>
          <w:iCs/>
          <w:color w:val="000000"/>
        </w:rPr>
        <w:t>Utilities (Technical Regulation) Act 2014</w:t>
      </w:r>
      <w:r>
        <w:rPr>
          <w:rFonts w:ascii="Calibri" w:eastAsia="Calibri" w:hAnsi="Calibri" w:cs="Calibri"/>
          <w:color w:val="000000"/>
        </w:rPr>
        <w:t xml:space="preserve">, </w:t>
      </w:r>
      <w:r w:rsidRPr="00513D89">
        <w:rPr>
          <w:rFonts w:ascii="Calibri" w:eastAsia="Calibri" w:hAnsi="Calibri" w:cs="Calibri"/>
          <w:color w:val="000000"/>
        </w:rPr>
        <w:t>determine</w:t>
      </w:r>
      <w:r>
        <w:rPr>
          <w:rFonts w:ascii="Calibri" w:eastAsia="Calibri" w:hAnsi="Calibri" w:cs="Calibri"/>
          <w:color w:val="000000"/>
        </w:rPr>
        <w:t xml:space="preserve"> a Water and Sewerage Code 2024 and a Non-drinking Water Supply Code, respectively</w:t>
      </w:r>
      <w:r w:rsidRPr="00513D89">
        <w:rPr>
          <w:rFonts w:ascii="Calibri" w:eastAsia="Calibri" w:hAnsi="Calibri" w:cs="Calibri"/>
          <w:color w:val="000000"/>
        </w:rPr>
        <w:t>.</w:t>
      </w:r>
    </w:p>
    <w:p w14:paraId="7A375CB1" w14:textId="1DBAE4F7" w:rsidR="00970C24" w:rsidRPr="00241311" w:rsidRDefault="00970C24" w:rsidP="0047494A">
      <w:pPr>
        <w:pStyle w:val="ListNumber2"/>
        <w:numPr>
          <w:ilvl w:val="1"/>
          <w:numId w:val="29"/>
        </w:numPr>
        <w:ind w:left="851" w:hanging="851"/>
        <w:rPr>
          <w:rFonts w:ascii="Calibri" w:eastAsia="Calibri" w:hAnsi="Calibri" w:cs="Calibri"/>
          <w:bCs w:val="0"/>
          <w:color w:val="000000"/>
        </w:rPr>
      </w:pPr>
      <w:r>
        <w:rPr>
          <w:rFonts w:ascii="Calibri" w:eastAsia="Calibri" w:hAnsi="Calibri" w:cs="Calibri"/>
          <w:color w:val="000000"/>
        </w:rPr>
        <w:t>The Committee notes that the explanatory statement for each instrument contains a</w:t>
      </w:r>
      <w:r w:rsidR="0047494A">
        <w:rPr>
          <w:rFonts w:ascii="Calibri" w:eastAsia="Calibri" w:hAnsi="Calibri" w:cs="Calibri"/>
          <w:color w:val="000000"/>
        </w:rPr>
        <w:t> </w:t>
      </w:r>
      <w:r>
        <w:rPr>
          <w:rFonts w:ascii="Calibri" w:eastAsia="Calibri" w:hAnsi="Calibri" w:cs="Calibri"/>
          <w:color w:val="000000"/>
        </w:rPr>
        <w:t>statement (referencing the Committee’s terms of reference) to the effect that no human rights are engaged by the instrument.</w:t>
      </w:r>
    </w:p>
    <w:p w14:paraId="38EBDFD9" w14:textId="77777777" w:rsidR="00970C24" w:rsidRPr="0048639A" w:rsidRDefault="00970C24" w:rsidP="00970C24">
      <w:pPr>
        <w:pStyle w:val="ListNumber2"/>
        <w:numPr>
          <w:ilvl w:val="1"/>
          <w:numId w:val="29"/>
        </w:numPr>
        <w:ind w:left="851" w:hanging="851"/>
        <w:rPr>
          <w:rFonts w:ascii="Calibri" w:eastAsia="Calibri" w:hAnsi="Calibri" w:cs="Calibri"/>
          <w:b/>
          <w:color w:val="000000"/>
        </w:rPr>
      </w:pPr>
      <w:r w:rsidRPr="0048639A">
        <w:rPr>
          <w:rFonts w:ascii="Calibri" w:eastAsia="Calibri" w:hAnsi="Calibri" w:cs="Calibri"/>
          <w:b/>
          <w:color w:val="000000"/>
        </w:rPr>
        <w:t>The Committee draws the attention of the Legislative Assembly to the discussion of human rights issues in the explanatory statement</w:t>
      </w:r>
      <w:r>
        <w:rPr>
          <w:rFonts w:ascii="Calibri" w:eastAsia="Calibri" w:hAnsi="Calibri" w:cs="Calibri"/>
          <w:b/>
          <w:color w:val="000000"/>
        </w:rPr>
        <w:t>s</w:t>
      </w:r>
      <w:r w:rsidRPr="0048639A">
        <w:rPr>
          <w:rFonts w:ascii="Calibri" w:eastAsia="Calibri" w:hAnsi="Calibri" w:cs="Calibri"/>
          <w:b/>
          <w:color w:val="000000"/>
        </w:rPr>
        <w:t xml:space="preserve"> for</w:t>
      </w:r>
      <w:r>
        <w:rPr>
          <w:rFonts w:ascii="Calibri" w:eastAsia="Calibri" w:hAnsi="Calibri" w:cs="Calibri"/>
          <w:b/>
          <w:color w:val="000000"/>
        </w:rPr>
        <w:t xml:space="preserve"> </w:t>
      </w:r>
      <w:r w:rsidRPr="0048639A">
        <w:rPr>
          <w:rFonts w:ascii="Calibri" w:eastAsia="Calibri" w:hAnsi="Calibri" w:cs="Calibri"/>
          <w:b/>
          <w:color w:val="000000"/>
        </w:rPr>
        <w:t>th</w:t>
      </w:r>
      <w:r>
        <w:rPr>
          <w:rFonts w:ascii="Calibri" w:eastAsia="Calibri" w:hAnsi="Calibri" w:cs="Calibri"/>
          <w:b/>
          <w:color w:val="000000"/>
        </w:rPr>
        <w:t>ese instruments</w:t>
      </w:r>
      <w:r w:rsidRPr="0048639A">
        <w:rPr>
          <w:rFonts w:ascii="Calibri" w:eastAsia="Calibri" w:hAnsi="Calibri" w:cs="Calibri"/>
          <w:b/>
          <w:color w:val="000000"/>
        </w:rPr>
        <w:t>.</w:t>
      </w:r>
    </w:p>
    <w:p w14:paraId="4BF750E3" w14:textId="77777777" w:rsidR="00970C24" w:rsidRPr="0048639A" w:rsidRDefault="00970C24" w:rsidP="00970C24">
      <w:pPr>
        <w:pStyle w:val="ListNumber2"/>
        <w:numPr>
          <w:ilvl w:val="1"/>
          <w:numId w:val="29"/>
        </w:numPr>
        <w:ind w:left="851" w:hanging="851"/>
        <w:rPr>
          <w:rFonts w:ascii="Calibri" w:eastAsia="Calibri" w:hAnsi="Calibri" w:cs="Calibri"/>
          <w:b/>
          <w:color w:val="000000"/>
        </w:rPr>
      </w:pPr>
      <w:r w:rsidRPr="0048639A">
        <w:rPr>
          <w:rFonts w:ascii="Calibri" w:eastAsia="Calibri" w:hAnsi="Calibri" w:cs="Calibri"/>
          <w:b/>
          <w:color w:val="000000"/>
        </w:rPr>
        <w:t>This comment does not require a response from the Minister.</w:t>
      </w:r>
    </w:p>
    <w:p w14:paraId="5D788071" w14:textId="27DE0BB6" w:rsidR="00375B9D" w:rsidRDefault="00311CC5" w:rsidP="00FC2277">
      <w:pPr>
        <w:pStyle w:val="Heading20"/>
      </w:pPr>
      <w:bookmarkStart w:id="154" w:name="_Toc165552883"/>
      <w:bookmarkStart w:id="155" w:name="_Toc174548920"/>
      <w:r>
        <w:t>Government r</w:t>
      </w:r>
      <w:r w:rsidR="00375B9D">
        <w:t>esponse—No comment</w:t>
      </w:r>
      <w:bookmarkEnd w:id="154"/>
      <w:bookmarkEnd w:id="155"/>
    </w:p>
    <w:p w14:paraId="72E44F08" w14:textId="491872B2" w:rsidR="00375B9D" w:rsidRDefault="00375B9D" w:rsidP="0047494A">
      <w:pPr>
        <w:pStyle w:val="ListParagraph"/>
        <w:keepLines/>
        <w:widowControl w:val="0"/>
        <w:numPr>
          <w:ilvl w:val="1"/>
          <w:numId w:val="29"/>
        </w:numPr>
        <w:tabs>
          <w:tab w:val="left" w:pos="709"/>
        </w:tabs>
        <w:spacing w:before="120" w:after="0"/>
        <w:ind w:left="709" w:hanging="709"/>
        <w:contextualSpacing w:val="0"/>
      </w:pPr>
      <w:r>
        <w:t xml:space="preserve">The </w:t>
      </w:r>
      <w:r w:rsidRPr="00375B9D">
        <w:rPr>
          <w:rFonts w:ascii="Calibri" w:eastAsia="Calibri" w:hAnsi="Calibri" w:cs="Calibri"/>
          <w:color w:val="000000"/>
        </w:rPr>
        <w:t>Committee</w:t>
      </w:r>
      <w:r>
        <w:t xml:space="preserve"> received </w:t>
      </w:r>
      <w:r w:rsidR="00311CC5">
        <w:t xml:space="preserve">Government </w:t>
      </w:r>
      <w:r>
        <w:t>response to the Committee’s comments on the following subordinate legislation and has no further comments:</w:t>
      </w:r>
    </w:p>
    <w:p w14:paraId="489A7DF1" w14:textId="409CB03B" w:rsidR="004B3159" w:rsidRPr="00DE6C11" w:rsidRDefault="004B3159" w:rsidP="0047494A">
      <w:pPr>
        <w:pStyle w:val="ListParagraph"/>
        <w:numPr>
          <w:ilvl w:val="0"/>
          <w:numId w:val="30"/>
        </w:numPr>
        <w:spacing w:before="160" w:after="120"/>
        <w:ind w:left="1077" w:hanging="357"/>
        <w:contextualSpacing w:val="0"/>
        <w:rPr>
          <w:rFonts w:eastAsia="Times New Roman" w:cs="Times New Roman"/>
          <w:szCs w:val="24"/>
        </w:rPr>
      </w:pPr>
      <w:r w:rsidRPr="00DE6C11">
        <w:rPr>
          <w:rFonts w:eastAsia="Times New Roman" w:cs="Times New Roman"/>
          <w:szCs w:val="24"/>
        </w:rPr>
        <w:t>Disallowable Instrument DI2024-</w:t>
      </w:r>
      <w:r w:rsidR="00066CB4">
        <w:rPr>
          <w:rFonts w:eastAsia="Times New Roman" w:cs="Times New Roman"/>
          <w:szCs w:val="24"/>
        </w:rPr>
        <w:t>91</w:t>
      </w:r>
      <w:r w:rsidRPr="00DE6C11">
        <w:rPr>
          <w:rFonts w:eastAsia="Times New Roman" w:cs="Times New Roman"/>
          <w:szCs w:val="24"/>
        </w:rPr>
        <w:t xml:space="preserve"> being the </w:t>
      </w:r>
      <w:r w:rsidR="00066CB4">
        <w:rPr>
          <w:rFonts w:eastAsia="Times New Roman" w:cs="Times New Roman"/>
          <w:szCs w:val="24"/>
        </w:rPr>
        <w:t>Commissioner for Sustainability and the Environment (State of the Environment Report—Reporting Period and Reporting Day) Determination 2024.</w:t>
      </w:r>
    </w:p>
    <w:p w14:paraId="3A2DE7E1" w14:textId="3D870B4E" w:rsidR="00375B9D" w:rsidRDefault="00375B9D" w:rsidP="00FC2277">
      <w:pPr>
        <w:pStyle w:val="ListParagraph"/>
        <w:keepNext/>
        <w:keepLines/>
        <w:widowControl w:val="0"/>
        <w:numPr>
          <w:ilvl w:val="1"/>
          <w:numId w:val="29"/>
        </w:numPr>
        <w:tabs>
          <w:tab w:val="left" w:pos="709"/>
        </w:tabs>
        <w:spacing w:before="240" w:after="120" w:line="280" w:lineRule="exact"/>
        <w:ind w:left="709" w:hanging="709"/>
        <w:contextualSpacing w:val="0"/>
      </w:pPr>
      <w:r>
        <w:t>Th</w:t>
      </w:r>
      <w:r w:rsidR="0047494A">
        <w:t>is</w:t>
      </w:r>
      <w:r>
        <w:t xml:space="preserve"> </w:t>
      </w:r>
      <w:r w:rsidRPr="004B3159">
        <w:rPr>
          <w:rFonts w:ascii="Calibri" w:eastAsia="Calibri" w:hAnsi="Calibri" w:cs="Calibri"/>
          <w:color w:val="000000"/>
        </w:rPr>
        <w:t>response</w:t>
      </w:r>
      <w:r>
        <w:t xml:space="preserve"> can be viewed </w:t>
      </w:r>
      <w:hyperlink r:id="rId17" w:history="1">
        <w:r w:rsidRPr="00E0054C">
          <w:rPr>
            <w:rStyle w:val="Hyperlink"/>
          </w:rPr>
          <w:t>online</w:t>
        </w:r>
      </w:hyperlink>
      <w:r w:rsidRPr="00E0054C">
        <w:rPr>
          <w:rStyle w:val="FootnoteReference"/>
        </w:rPr>
        <w:footnoteReference w:id="4"/>
      </w:r>
      <w:r w:rsidRPr="00E0054C">
        <w:t>.</w:t>
      </w:r>
    </w:p>
    <w:p w14:paraId="0E25771C" w14:textId="54CDF886" w:rsidR="00375B9D" w:rsidRDefault="00375B9D" w:rsidP="00FC2277">
      <w:pPr>
        <w:pStyle w:val="ListParagraph"/>
        <w:keepLines/>
        <w:widowControl w:val="0"/>
        <w:numPr>
          <w:ilvl w:val="1"/>
          <w:numId w:val="29"/>
        </w:numPr>
        <w:tabs>
          <w:tab w:val="left" w:pos="709"/>
        </w:tabs>
        <w:spacing w:before="160" w:after="0" w:line="280" w:lineRule="exact"/>
        <w:ind w:left="709" w:hanging="709"/>
        <w:contextualSpacing w:val="0"/>
      </w:pPr>
      <w:r>
        <w:t xml:space="preserve">The </w:t>
      </w:r>
      <w:r w:rsidRPr="004B3159">
        <w:rPr>
          <w:rFonts w:ascii="Calibri" w:eastAsia="Calibri" w:hAnsi="Calibri" w:cs="Calibri"/>
          <w:color w:val="000000"/>
        </w:rPr>
        <w:t>Committee</w:t>
      </w:r>
      <w:r>
        <w:t xml:space="preserve"> wishes to thank the Minister for </w:t>
      </w:r>
      <w:r w:rsidR="0047494A">
        <w:t>her</w:t>
      </w:r>
      <w:r>
        <w:t xml:space="preserve"> helpful response.</w:t>
      </w:r>
    </w:p>
    <w:bookmarkEnd w:id="140"/>
    <w:p w14:paraId="4E0B2DFC" w14:textId="65723120" w:rsidR="00354391" w:rsidRDefault="00354391" w:rsidP="0095480B">
      <w:pPr>
        <w:pStyle w:val="Paper"/>
        <w:spacing w:before="2880" w:after="0" w:line="233" w:lineRule="auto"/>
        <w:rPr>
          <w:rFonts w:ascii="Calibri" w:hAnsi="Calibri" w:cs="Calibri"/>
          <w:sz w:val="22"/>
          <w:szCs w:val="22"/>
          <w:lang w:eastAsia="en-AU"/>
        </w:rPr>
      </w:pPr>
      <w:r>
        <w:rPr>
          <w:rFonts w:ascii="Calibri" w:hAnsi="Calibri" w:cs="Calibri"/>
          <w:sz w:val="22"/>
          <w:szCs w:val="22"/>
          <w:lang w:eastAsia="en-AU"/>
        </w:rPr>
        <w:t>Peter Cain MLA</w:t>
      </w:r>
    </w:p>
    <w:p w14:paraId="1DEFFB7C" w14:textId="77777777" w:rsidR="00354391" w:rsidRDefault="00354391" w:rsidP="00354391">
      <w:pPr>
        <w:pStyle w:val="Paper"/>
        <w:spacing w:before="60" w:line="233" w:lineRule="auto"/>
        <w:rPr>
          <w:rFonts w:ascii="Calibri" w:hAnsi="Calibri" w:cs="Calibri"/>
          <w:sz w:val="22"/>
          <w:szCs w:val="22"/>
          <w:lang w:eastAsia="en-AU"/>
        </w:rPr>
      </w:pPr>
      <w:r>
        <w:rPr>
          <w:rFonts w:ascii="Calibri" w:hAnsi="Calibri" w:cs="Calibri"/>
          <w:sz w:val="22"/>
          <w:szCs w:val="22"/>
          <w:lang w:eastAsia="en-AU"/>
        </w:rPr>
        <w:t>Chair</w:t>
      </w:r>
    </w:p>
    <w:p w14:paraId="1A8F7CD8" w14:textId="6A713A5E" w:rsidR="00354391" w:rsidRDefault="00354391" w:rsidP="00354391">
      <w:pPr>
        <w:pStyle w:val="Paper"/>
        <w:spacing w:before="200" w:line="233" w:lineRule="auto"/>
        <w:rPr>
          <w:rFonts w:ascii="Montserrat" w:eastAsiaTheme="majorEastAsia" w:hAnsi="Montserrat" w:cstheme="majorBidi"/>
          <w:b/>
          <w:color w:val="1A234C"/>
          <w:w w:val="90"/>
          <w:sz w:val="36"/>
          <w:szCs w:val="32"/>
        </w:rPr>
      </w:pPr>
      <w:r>
        <w:rPr>
          <w:rFonts w:ascii="Calibri" w:hAnsi="Calibri" w:cs="Calibri"/>
          <w:sz w:val="22"/>
          <w:szCs w:val="22"/>
          <w:lang w:eastAsia="en-AU"/>
        </w:rPr>
        <w:t xml:space="preserve">  </w:t>
      </w:r>
      <w:r w:rsidR="000150AA">
        <w:rPr>
          <w:rFonts w:ascii="Calibri" w:hAnsi="Calibri" w:cs="Calibri"/>
          <w:sz w:val="22"/>
          <w:szCs w:val="22"/>
          <w:lang w:eastAsia="en-AU"/>
        </w:rPr>
        <w:t>August</w:t>
      </w:r>
      <w:r>
        <w:rPr>
          <w:rFonts w:ascii="Calibri" w:hAnsi="Calibri" w:cs="Calibri"/>
          <w:sz w:val="22"/>
          <w:szCs w:val="22"/>
          <w:lang w:eastAsia="en-AU"/>
        </w:rPr>
        <w:t xml:space="preserve"> 202</w:t>
      </w:r>
      <w:bookmarkStart w:id="156" w:name="_Toc145944788"/>
      <w:bookmarkStart w:id="157" w:name="_Toc148444512"/>
      <w:bookmarkEnd w:id="135"/>
      <w:r>
        <w:rPr>
          <w:rFonts w:ascii="Calibri" w:hAnsi="Calibri" w:cs="Calibri"/>
          <w:sz w:val="22"/>
          <w:szCs w:val="22"/>
          <w:lang w:eastAsia="en-AU"/>
        </w:rPr>
        <w:t>4</w:t>
      </w:r>
      <w:r>
        <w:rPr>
          <w:rFonts w:ascii="Montserrat" w:eastAsiaTheme="majorEastAsia" w:hAnsi="Montserrat" w:cstheme="majorBidi"/>
          <w:b/>
          <w:color w:val="1A234C"/>
          <w:w w:val="90"/>
          <w:sz w:val="36"/>
          <w:szCs w:val="32"/>
        </w:rPr>
        <w:br w:type="page"/>
      </w:r>
    </w:p>
    <w:p w14:paraId="0DB5382C" w14:textId="77777777" w:rsidR="00354391" w:rsidRPr="00C618BF" w:rsidRDefault="00354391" w:rsidP="00354391">
      <w:pPr>
        <w:keepNext/>
        <w:keepLines/>
        <w:spacing w:before="240" w:after="240"/>
        <w:ind w:left="851" w:hanging="851"/>
        <w:outlineLvl w:val="0"/>
        <w:rPr>
          <w:rFonts w:ascii="Montserrat" w:eastAsiaTheme="majorEastAsia" w:hAnsi="Montserrat" w:cstheme="majorBidi"/>
          <w:b/>
          <w:color w:val="1A234C"/>
          <w:w w:val="90"/>
          <w:sz w:val="36"/>
          <w:szCs w:val="32"/>
        </w:rPr>
      </w:pPr>
      <w:bookmarkStart w:id="158" w:name="_Toc174548921"/>
      <w:r w:rsidRPr="00C618BF">
        <w:rPr>
          <w:rFonts w:ascii="Montserrat" w:eastAsiaTheme="majorEastAsia" w:hAnsi="Montserrat" w:cstheme="majorBidi"/>
          <w:b/>
          <w:color w:val="1A234C"/>
          <w:w w:val="90"/>
          <w:sz w:val="36"/>
          <w:szCs w:val="32"/>
        </w:rPr>
        <w:t>Outstanding responses</w:t>
      </w:r>
      <w:bookmarkEnd w:id="156"/>
      <w:bookmarkEnd w:id="157"/>
      <w:bookmarkEnd w:id="158"/>
    </w:p>
    <w:p w14:paraId="7C38B152" w14:textId="77777777" w:rsidR="00354391" w:rsidRDefault="00354391" w:rsidP="00FC2277">
      <w:pPr>
        <w:pStyle w:val="Heading20"/>
      </w:pPr>
      <w:bookmarkStart w:id="159" w:name="_Toc174548922"/>
      <w:bookmarkStart w:id="160" w:name="_Toc145944790"/>
      <w:bookmarkStart w:id="161" w:name="_Toc148444514"/>
      <w:r>
        <w:t>Bills/Subordinate Legislation</w:t>
      </w:r>
      <w:bookmarkEnd w:id="159"/>
    </w:p>
    <w:p w14:paraId="25F77F9E" w14:textId="77777777" w:rsidR="00354391" w:rsidRPr="00BC5EBB" w:rsidRDefault="00354391" w:rsidP="00FC2277">
      <w:pPr>
        <w:pStyle w:val="Heading3"/>
      </w:pPr>
      <w:bookmarkStart w:id="162" w:name="_Toc160699165"/>
      <w:bookmarkStart w:id="163" w:name="_Toc161141760"/>
      <w:bookmarkStart w:id="164" w:name="_Toc174548923"/>
      <w:r>
        <w:t>Report 28, dated 3 May 2023</w:t>
      </w:r>
      <w:bookmarkEnd w:id="162"/>
      <w:bookmarkEnd w:id="163"/>
      <w:bookmarkEnd w:id="164"/>
    </w:p>
    <w:p w14:paraId="22E7885F"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65" w:name="_Toc160699166"/>
      <w:bookmarkStart w:id="166" w:name="_Toc161141761"/>
      <w:bookmarkStart w:id="167" w:name="_Toc162463782"/>
      <w:bookmarkStart w:id="168" w:name="_Toc165377065"/>
      <w:bookmarkStart w:id="169" w:name="_Toc165454971"/>
      <w:bookmarkStart w:id="170" w:name="_Toc165552887"/>
      <w:bookmarkStart w:id="171" w:name="_Toc167305552"/>
      <w:bookmarkStart w:id="172" w:name="_Toc169174839"/>
      <w:bookmarkStart w:id="173" w:name="_Toc174548924"/>
      <w:bookmarkEnd w:id="160"/>
      <w:bookmarkEnd w:id="161"/>
      <w:r w:rsidRPr="00C618BF">
        <w:rPr>
          <w:rFonts w:ascii="Montserrat SemiBold" w:eastAsiaTheme="majorEastAsia" w:hAnsi="Montserrat SemiBold" w:cstheme="majorBidi"/>
          <w:iCs/>
          <w:color w:val="2F5496"/>
          <w:w w:val="90"/>
          <w:sz w:val="24"/>
          <w:szCs w:val="24"/>
        </w:rPr>
        <w:t>Bill</w:t>
      </w:r>
      <w:bookmarkEnd w:id="165"/>
      <w:bookmarkEnd w:id="166"/>
      <w:bookmarkEnd w:id="167"/>
      <w:bookmarkEnd w:id="168"/>
      <w:bookmarkEnd w:id="169"/>
      <w:bookmarkEnd w:id="170"/>
      <w:bookmarkEnd w:id="171"/>
      <w:bookmarkEnd w:id="172"/>
      <w:bookmarkEnd w:id="173"/>
    </w:p>
    <w:p w14:paraId="2767724A" w14:textId="77777777" w:rsidR="00354391" w:rsidRDefault="00354391" w:rsidP="009D04DC">
      <w:pPr>
        <w:numPr>
          <w:ilvl w:val="0"/>
          <w:numId w:val="5"/>
        </w:numPr>
        <w:spacing w:before="120" w:after="120" w:line="280" w:lineRule="auto"/>
      </w:pPr>
      <w:r w:rsidRPr="00C618BF">
        <w:t>Modern Slavery Legislation Amendment Bill 2023</w:t>
      </w:r>
    </w:p>
    <w:p w14:paraId="2B2741E6" w14:textId="1F55F0E4" w:rsidR="00354391" w:rsidRDefault="00354391" w:rsidP="00FC2277">
      <w:pPr>
        <w:pStyle w:val="Heading3"/>
      </w:pPr>
      <w:bookmarkStart w:id="174" w:name="_Toc174548925"/>
      <w:r>
        <w:t>Report 39, dated 12 March 2024</w:t>
      </w:r>
      <w:bookmarkEnd w:id="174"/>
    </w:p>
    <w:p w14:paraId="1C17DD3D"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75" w:name="_Toc162463786"/>
      <w:bookmarkStart w:id="176" w:name="_Toc165377069"/>
      <w:bookmarkStart w:id="177" w:name="_Toc165454975"/>
      <w:bookmarkStart w:id="178" w:name="_Toc165552891"/>
      <w:bookmarkStart w:id="179" w:name="_Toc167305556"/>
      <w:bookmarkStart w:id="180" w:name="_Toc169174843"/>
      <w:bookmarkStart w:id="181" w:name="_Toc174548926"/>
      <w:r w:rsidRPr="00C618BF">
        <w:rPr>
          <w:rFonts w:ascii="Montserrat SemiBold" w:eastAsiaTheme="majorEastAsia" w:hAnsi="Montserrat SemiBold" w:cstheme="majorBidi"/>
          <w:iCs/>
          <w:color w:val="2F5496"/>
          <w:w w:val="90"/>
          <w:sz w:val="24"/>
          <w:szCs w:val="24"/>
        </w:rPr>
        <w:t>Bill</w:t>
      </w:r>
      <w:bookmarkEnd w:id="175"/>
      <w:bookmarkEnd w:id="176"/>
      <w:bookmarkEnd w:id="177"/>
      <w:bookmarkEnd w:id="178"/>
      <w:bookmarkEnd w:id="179"/>
      <w:bookmarkEnd w:id="180"/>
      <w:bookmarkEnd w:id="181"/>
    </w:p>
    <w:p w14:paraId="68C6EE69" w14:textId="6A0B27EB" w:rsidR="006F678C" w:rsidRDefault="006F678C" w:rsidP="009D04DC">
      <w:pPr>
        <w:pStyle w:val="ListParagraph"/>
        <w:numPr>
          <w:ilvl w:val="0"/>
          <w:numId w:val="6"/>
        </w:numPr>
        <w:spacing w:before="120" w:after="120" w:line="281" w:lineRule="auto"/>
        <w:ind w:left="714" w:hanging="357"/>
        <w:contextualSpacing w:val="0"/>
      </w:pPr>
      <w:r>
        <w:t>Environment Protection (Fossil Fuel Company Advertising) Amendment Bill 2024</w:t>
      </w:r>
    </w:p>
    <w:p w14:paraId="1A70806B" w14:textId="5C3DFC80" w:rsidR="00946033" w:rsidRDefault="00946033" w:rsidP="00FC2277">
      <w:pPr>
        <w:pStyle w:val="Heading3"/>
      </w:pPr>
      <w:bookmarkStart w:id="182" w:name="_Toc174548927"/>
      <w:r>
        <w:t>Report 4</w:t>
      </w:r>
      <w:r w:rsidR="009F2823">
        <w:t>3</w:t>
      </w:r>
      <w:r>
        <w:t xml:space="preserve">, dated </w:t>
      </w:r>
      <w:r w:rsidR="009F2823">
        <w:t>19 June</w:t>
      </w:r>
      <w:r>
        <w:t xml:space="preserve"> 2024</w:t>
      </w:r>
      <w:bookmarkEnd w:id="182"/>
    </w:p>
    <w:p w14:paraId="6F4624FD" w14:textId="654BFA1E" w:rsidR="00946033" w:rsidRPr="008A2DE9" w:rsidRDefault="008A2DE9" w:rsidP="008A2DE9">
      <w:pPr>
        <w:keepNext/>
        <w:keepLines/>
        <w:spacing w:before="120" w:after="120"/>
        <w:outlineLvl w:val="3"/>
        <w:rPr>
          <w:rFonts w:ascii="Montserrat SemiBold" w:eastAsiaTheme="majorEastAsia" w:hAnsi="Montserrat SemiBold" w:cstheme="majorBidi"/>
          <w:iCs/>
          <w:color w:val="2F5496"/>
          <w:w w:val="90"/>
          <w:sz w:val="24"/>
          <w:szCs w:val="24"/>
        </w:rPr>
      </w:pPr>
      <w:bookmarkStart w:id="183" w:name="_Toc169174847"/>
      <w:bookmarkStart w:id="184" w:name="_Toc174548928"/>
      <w:r w:rsidRPr="00C618BF">
        <w:rPr>
          <w:rFonts w:ascii="Montserrat SemiBold" w:eastAsiaTheme="majorEastAsia" w:hAnsi="Montserrat SemiBold" w:cstheme="majorBidi"/>
          <w:iCs/>
          <w:color w:val="2F5496"/>
          <w:w w:val="90"/>
          <w:sz w:val="24"/>
          <w:szCs w:val="24"/>
        </w:rPr>
        <w:t>Bill</w:t>
      </w:r>
      <w:bookmarkEnd w:id="183"/>
      <w:bookmarkEnd w:id="184"/>
    </w:p>
    <w:p w14:paraId="4DB7F19D" w14:textId="31B34F26" w:rsidR="009F2823" w:rsidRDefault="009F2823" w:rsidP="002C5C1C">
      <w:pPr>
        <w:pStyle w:val="ListParagraph"/>
        <w:numPr>
          <w:ilvl w:val="0"/>
          <w:numId w:val="18"/>
        </w:numPr>
        <w:spacing w:before="120" w:after="120" w:line="281" w:lineRule="auto"/>
      </w:pPr>
      <w:r>
        <w:t xml:space="preserve">Health </w:t>
      </w:r>
      <w:r w:rsidR="009C1CB1" w:rsidRPr="009C1CB1">
        <w:t>Legislation Amendment Bill 2024</w:t>
      </w:r>
    </w:p>
    <w:sectPr w:rsidR="009F2823" w:rsidSect="00CE02FD">
      <w:footerReference w:type="even" r:id="rId18"/>
      <w:footerReference w:type="default" r:id="rId19"/>
      <w:pgSz w:w="11906" w:h="16838"/>
      <w:pgMar w:top="1134"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19C1" w14:textId="77777777" w:rsidR="00ED2558" w:rsidRDefault="00ED2558" w:rsidP="00D376C4">
      <w:pPr>
        <w:spacing w:after="0" w:line="240" w:lineRule="auto"/>
      </w:pPr>
      <w:r>
        <w:separator/>
      </w:r>
    </w:p>
  </w:endnote>
  <w:endnote w:type="continuationSeparator" w:id="0">
    <w:p w14:paraId="383A381F" w14:textId="77777777" w:rsidR="00ED2558" w:rsidRDefault="00ED2558"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1F7440-9EAD-414A-9D60-ED9978EC804F}"/>
    <w:embedBold r:id="rId2" w:fontKey="{716AAC8E-1236-44DF-9396-42E6C20A0D8C}"/>
    <w:embedItalic r:id="rId3" w:fontKey="{9E158554-C60A-4233-8734-003E0E28ADF4}"/>
    <w:embedBoldItalic r:id="rId4" w:fontKey="{709539B7-E093-4A65-878E-5BD9C11D1B9D}"/>
  </w:font>
  <w:font w:name="Montserrat">
    <w:altName w:val="﷽﷽﷽﷽﷽﷽﷽﷽at"/>
    <w:panose1 w:val="00000500000000000000"/>
    <w:charset w:val="00"/>
    <w:family w:val="auto"/>
    <w:pitch w:val="variable"/>
    <w:sig w:usb0="2000020F" w:usb1="00000003" w:usb2="00000000" w:usb3="00000000" w:csb0="00000197" w:csb1="00000000"/>
    <w:embedRegular r:id="rId5" w:fontKey="{0F479DEE-141A-4B5E-A6F2-A872FC906971}"/>
    <w:embedBold r:id="rId6" w:fontKey="{3B1D6090-E9F3-4BD9-8233-C0F8A8E4A540}"/>
  </w:font>
  <w:font w:name="Montserrat SemiBold">
    <w:panose1 w:val="00000700000000000000"/>
    <w:charset w:val="00"/>
    <w:family w:val="auto"/>
    <w:pitch w:val="variable"/>
    <w:sig w:usb0="2000020F" w:usb1="00000003" w:usb2="00000000" w:usb3="00000000" w:csb0="00000197" w:csb1="00000000"/>
    <w:embedRegular r:id="rId7" w:fontKey="{16AE6A69-1B0E-47CE-9705-8072E6726EE9}"/>
    <w:embedItalic r:id="rId8" w:fontKey="{B34BEC75-3394-43AA-816C-5C5F678B50D4}"/>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A7C391E0-6B1C-4758-B54E-903D8201DFA3}"/>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29A8791B"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936602">
      <w:rPr>
        <w:rFonts w:ascii="Montserrat SemiBold" w:hAnsi="Montserrat SemiBold" w:cstheme="majorHAnsi"/>
        <w:noProof/>
        <w:color w:val="2F5496"/>
        <w:w w:val="90"/>
        <w:sz w:val="18"/>
        <w:szCs w:val="18"/>
      </w:rPr>
      <w:t>Scrutiny Report 44</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5B4AE974"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523235">
      <w:rPr>
        <w:rFonts w:ascii="Montserrat SemiBold" w:hAnsi="Montserrat SemiBold" w:cstheme="majorHAnsi"/>
        <w:noProof/>
        <w:color w:val="2F5496"/>
        <w:w w:val="90"/>
        <w:sz w:val="18"/>
        <w:szCs w:val="18"/>
      </w:rPr>
      <w:t>Scrutiny Report 43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763CEDB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936602">
      <w:rPr>
        <w:rFonts w:cstheme="minorHAnsi"/>
        <w:noProof/>
        <w:color w:val="404040" w:themeColor="text1" w:themeTint="BF"/>
      </w:rPr>
      <w:t>Standing Committee on Justice and Community Safety (Legislative Scrutiny Role)</w:t>
    </w:r>
    <w:r w:rsidR="00936602">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8DD40C7" w:rsidR="00836FFE" w:rsidRPr="00C8358A" w:rsidRDefault="00382631"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47AD121"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936602">
      <w:rPr>
        <w:rFonts w:cstheme="minorHAnsi"/>
        <w:noProof/>
        <w:color w:val="404040" w:themeColor="text1" w:themeTint="BF"/>
      </w:rPr>
      <w:t>August 2024</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33EAEE75"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36602">
      <w:rPr>
        <w:rFonts w:ascii="Montserrat SemiBold" w:hAnsi="Montserrat SemiBold" w:cstheme="majorHAnsi"/>
        <w:noProof/>
        <w:color w:val="2F5496"/>
        <w:w w:val="90"/>
        <w:sz w:val="18"/>
        <w:szCs w:val="18"/>
      </w:rPr>
      <w:t>Scrutiny Report 44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3583F6AF"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936602">
      <w:rPr>
        <w:rFonts w:ascii="Montserrat SemiBold" w:hAnsi="Montserrat SemiBold" w:cstheme="majorHAnsi"/>
        <w:noProof/>
        <w:color w:val="2F5496"/>
        <w:w w:val="90"/>
        <w:sz w:val="18"/>
        <w:szCs w:val="18"/>
      </w:rPr>
      <w:t>Scrutiny Report 44</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4317A0F3"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36602">
      <w:rPr>
        <w:rFonts w:ascii="Montserrat SemiBold" w:hAnsi="Montserrat SemiBold" w:cstheme="majorHAnsi"/>
        <w:noProof/>
        <w:color w:val="2F5496"/>
        <w:w w:val="90"/>
        <w:sz w:val="18"/>
        <w:szCs w:val="18"/>
      </w:rPr>
      <w:t>Scrutiny Report 44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6816" w14:textId="77777777" w:rsidR="00ED2558" w:rsidRDefault="00ED2558" w:rsidP="00D376C4">
      <w:pPr>
        <w:spacing w:after="0" w:line="240" w:lineRule="auto"/>
      </w:pPr>
      <w:r>
        <w:separator/>
      </w:r>
    </w:p>
  </w:footnote>
  <w:footnote w:type="continuationSeparator" w:id="0">
    <w:p w14:paraId="248F1F9F" w14:textId="77777777" w:rsidR="00ED2558" w:rsidRDefault="00ED2558" w:rsidP="00D376C4">
      <w:pPr>
        <w:spacing w:after="0" w:line="240" w:lineRule="auto"/>
      </w:pPr>
      <w:r>
        <w:continuationSeparator/>
      </w:r>
    </w:p>
  </w:footnote>
  <w:footnote w:id="1">
    <w:p w14:paraId="7D52C547" w14:textId="77777777" w:rsidR="0088239E" w:rsidRDefault="0088239E" w:rsidP="0088239E">
      <w:pPr>
        <w:pStyle w:val="FootnoteText"/>
      </w:pPr>
      <w:r>
        <w:rPr>
          <w:rStyle w:val="FootnoteReference"/>
        </w:rPr>
        <w:footnoteRef/>
      </w:r>
      <w:r>
        <w:t xml:space="preserve"> [2015] HCA 34; 257 CLR 178.</w:t>
      </w:r>
    </w:p>
  </w:footnote>
  <w:footnote w:id="2">
    <w:p w14:paraId="3E8059E8" w14:textId="675C0A20" w:rsidR="002D13CB" w:rsidRPr="002D13CB" w:rsidRDefault="002D13CB" w:rsidP="00E0054C">
      <w:pPr>
        <w:pStyle w:val="FootnoteText"/>
        <w:rPr>
          <w:lang w:val="en-US"/>
        </w:rPr>
      </w:pPr>
      <w:r>
        <w:rPr>
          <w:rStyle w:val="FootnoteReference"/>
        </w:rPr>
        <w:footnoteRef/>
      </w:r>
      <w:r>
        <w:t xml:space="preserve"> </w:t>
      </w:r>
      <w:r w:rsidR="00E0054C" w:rsidRPr="006B2534">
        <w:rPr>
          <w:sz w:val="19"/>
          <w:szCs w:val="19"/>
          <w:lang w:val="en-US"/>
        </w:rPr>
        <w:t xml:space="preserve">Available at </w:t>
      </w:r>
      <w:hyperlink r:id="rId1" w:history="1">
        <w:r w:rsidR="00E0054C" w:rsidRPr="006B2534">
          <w:rPr>
            <w:rStyle w:val="Hyperlink"/>
            <w:sz w:val="19"/>
            <w:szCs w:val="19"/>
          </w:rPr>
          <w:t>https://www.parliament.act.gov.au/parliamentary-business/in-committees/committees/JCS_Scrutiny/responses-to-comments-on-bills</w:t>
        </w:r>
      </w:hyperlink>
      <w:r w:rsidR="00E0054C" w:rsidRPr="006B2534">
        <w:rPr>
          <w:sz w:val="19"/>
          <w:szCs w:val="19"/>
          <w:lang w:val="en-US"/>
        </w:rPr>
        <w:t xml:space="preserve">. </w:t>
      </w:r>
    </w:p>
  </w:footnote>
  <w:footnote w:id="3">
    <w:p w14:paraId="1F3A66E8" w14:textId="77777777" w:rsidR="00A958C8" w:rsidRDefault="00A958C8" w:rsidP="00A958C8">
      <w:pPr>
        <w:pStyle w:val="FootnoteText"/>
      </w:pPr>
      <w:r>
        <w:rPr>
          <w:rStyle w:val="FootnoteReference"/>
        </w:rPr>
        <w:footnoteRef/>
      </w:r>
      <w:r>
        <w:t xml:space="preserve"> Available at </w:t>
      </w:r>
      <w:hyperlink r:id="rId2" w:history="1">
        <w:r>
          <w:rPr>
            <w:rStyle w:val="Hyperlink"/>
          </w:rPr>
          <w:t>https://www.parliament.act.gov.au/__data/assets/pdf_file/0009/2199015/Road-TransportPublic-Passenger-Services-Maximum-Fares-for-taxi_Redacted.pdf</w:t>
        </w:r>
      </w:hyperlink>
      <w:r>
        <w:t>.</w:t>
      </w:r>
    </w:p>
  </w:footnote>
  <w:footnote w:id="4">
    <w:p w14:paraId="4E5734E1" w14:textId="77777777" w:rsidR="00375B9D" w:rsidRPr="002D13CB" w:rsidRDefault="00375B9D" w:rsidP="00375B9D">
      <w:pPr>
        <w:pStyle w:val="FootnoteText"/>
        <w:rPr>
          <w:lang w:val="en-US"/>
        </w:rPr>
      </w:pPr>
      <w:r>
        <w:rPr>
          <w:rStyle w:val="FootnoteReference"/>
        </w:rPr>
        <w:footnoteRef/>
      </w:r>
      <w:r>
        <w:t xml:space="preserve"> </w:t>
      </w:r>
      <w:r w:rsidRPr="006B2534">
        <w:rPr>
          <w:sz w:val="19"/>
          <w:szCs w:val="19"/>
          <w:lang w:val="en-US"/>
        </w:rPr>
        <w:t xml:space="preserve">Available at </w:t>
      </w:r>
      <w:hyperlink r:id="rId3" w:history="1">
        <w:r>
          <w:rPr>
            <w:rStyle w:val="Hyperlink"/>
            <w:sz w:val="19"/>
            <w:szCs w:val="19"/>
          </w:rPr>
          <w:t>https://www.parliament.act.gov.au/parliamentary-business/in-committees/committees/JCS_Scrutiny/response-to-comments-on-subordinate-legislation</w:t>
        </w:r>
      </w:hyperlink>
      <w:r w:rsidRPr="006B2534">
        <w:rPr>
          <w:sz w:val="19"/>
          <w:szCs w:val="19"/>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3451"/>
    <w:multiLevelType w:val="hybridMultilevel"/>
    <w:tmpl w:val="DDB298BE"/>
    <w:lvl w:ilvl="0" w:tplc="0C090001">
      <w:start w:val="1"/>
      <w:numFmt w:val="bullet"/>
      <w:lvlText w:val=""/>
      <w:lvlJc w:val="left"/>
      <w:pPr>
        <w:ind w:left="1996" w:hanging="360"/>
      </w:pPr>
      <w:rPr>
        <w:rFonts w:ascii="Symbol" w:hAnsi="Symbol" w:hint="default"/>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1" w15:restartNumberingAfterBreak="0">
    <w:nsid w:val="03905FCE"/>
    <w:multiLevelType w:val="multilevel"/>
    <w:tmpl w:val="23A4A112"/>
    <w:lvl w:ilvl="0">
      <w:start w:val="1"/>
      <w:numFmt w:val="decimal"/>
      <w:lvlText w:val="%1."/>
      <w:lvlJc w:val="left"/>
      <w:pPr>
        <w:ind w:left="851" w:hanging="851"/>
      </w:pPr>
      <w:rPr>
        <w:rFonts w:hint="default"/>
      </w:rPr>
    </w:lvl>
    <w:lvl w:ilvl="1">
      <w:start w:val="1"/>
      <w:numFmt w:val="decimal"/>
      <w:lvlText w:val="%1.%2."/>
      <w:lvlJc w:val="left"/>
      <w:pPr>
        <w:ind w:left="993" w:hanging="851"/>
      </w:pPr>
      <w:rPr>
        <w:rFonts w:asciiTheme="minorHAnsi" w:hAnsiTheme="minorHAnsi" w:hint="default"/>
        <w:b w:val="0"/>
        <w:bCs w:val="0"/>
        <w:i w:val="0"/>
        <w:iCs w:val="0"/>
        <w:sz w:val="22"/>
      </w:rPr>
    </w:lvl>
    <w:lvl w:ilvl="2">
      <w:start w:val="1"/>
      <w:numFmt w:val="lowerLetter"/>
      <w:lvlText w:val="%3)"/>
      <w:lvlJc w:val="left"/>
      <w:pPr>
        <w:ind w:left="1418" w:hanging="567"/>
      </w:pPr>
      <w:rPr>
        <w:rFonts w:hint="default"/>
        <w:i w:val="0"/>
        <w:iCs w:val="0"/>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8054B3C"/>
    <w:multiLevelType w:val="hybridMultilevel"/>
    <w:tmpl w:val="692C18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80F60F3"/>
    <w:multiLevelType w:val="hybridMultilevel"/>
    <w:tmpl w:val="D5BE586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B13057"/>
    <w:multiLevelType w:val="hybridMultilevel"/>
    <w:tmpl w:val="4CFA90C8"/>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0C415269"/>
    <w:multiLevelType w:val="multilevel"/>
    <w:tmpl w:val="715A1416"/>
    <w:lvl w:ilvl="0">
      <w:start w:val="1"/>
      <w:numFmt w:val="lowerLetter"/>
      <w:lvlText w:val="%1)"/>
      <w:lvlJc w:val="left"/>
      <w:pPr>
        <w:ind w:left="1571" w:hanging="851"/>
      </w:pPr>
      <w:rPr>
        <w:rFonts w:hint="default"/>
      </w:rPr>
    </w:lvl>
    <w:lvl w:ilvl="1">
      <w:start w:val="1"/>
      <w:numFmt w:val="decimal"/>
      <w:lvlText w:val="%1.%2."/>
      <w:lvlJc w:val="left"/>
      <w:pPr>
        <w:ind w:left="1713" w:hanging="851"/>
      </w:pPr>
      <w:rPr>
        <w:rFonts w:asciiTheme="minorHAnsi" w:hAnsiTheme="minorHAnsi" w:hint="default"/>
        <w:b w:val="0"/>
        <w:bCs w:val="0"/>
        <w:i w:val="0"/>
        <w:iCs w:val="0"/>
        <w:sz w:val="22"/>
      </w:rPr>
    </w:lvl>
    <w:lvl w:ilvl="2">
      <w:start w:val="1"/>
      <w:numFmt w:val="lowerLetter"/>
      <w:lvlText w:val="%3)"/>
      <w:lvlJc w:val="left"/>
      <w:pPr>
        <w:ind w:left="2138" w:hanging="567"/>
      </w:pPr>
      <w:rPr>
        <w:rFonts w:hint="default"/>
        <w:i w:val="0"/>
        <w:iCs w:val="0"/>
      </w:rPr>
    </w:lvl>
    <w:lvl w:ilvl="3">
      <w:start w:val="1"/>
      <w:numFmt w:val="lowerRoman"/>
      <w:lvlText w:val="%4)"/>
      <w:lvlJc w:val="left"/>
      <w:pPr>
        <w:ind w:left="2705" w:hanging="567"/>
      </w:pPr>
      <w:rPr>
        <w:rFonts w:hint="default"/>
      </w:rPr>
    </w:lvl>
    <w:lvl w:ilvl="4">
      <w:start w:val="1"/>
      <w:numFmt w:val="decimal"/>
      <w:lvlText w:val="%5)"/>
      <w:lvlJc w:val="left"/>
      <w:pPr>
        <w:ind w:left="3272" w:hanging="567"/>
      </w:pPr>
      <w:rPr>
        <w:rFonts w:hint="default"/>
      </w:rPr>
    </w:lvl>
    <w:lvl w:ilvl="5">
      <w:start w:val="1"/>
      <w:numFmt w:val="upperLetter"/>
      <w:lvlText w:val="%6)"/>
      <w:lvlJc w:val="left"/>
      <w:pPr>
        <w:ind w:left="3839" w:hanging="567"/>
      </w:pPr>
      <w:rPr>
        <w:rFonts w:hint="default"/>
      </w:rPr>
    </w:lvl>
    <w:lvl w:ilvl="6">
      <w:start w:val="1"/>
      <w:numFmt w:val="upperRoman"/>
      <w:lvlText w:val="%7)"/>
      <w:lvlJc w:val="left"/>
      <w:pPr>
        <w:ind w:left="4406" w:hanging="567"/>
      </w:pPr>
      <w:rPr>
        <w:rFonts w:hint="default"/>
      </w:rPr>
    </w:lvl>
    <w:lvl w:ilvl="7">
      <w:start w:val="1"/>
      <w:numFmt w:val="none"/>
      <w:lvlText w:val=""/>
      <w:lvlJc w:val="left"/>
      <w:pPr>
        <w:ind w:left="2421" w:hanging="1701"/>
      </w:pPr>
      <w:rPr>
        <w:rFonts w:hint="default"/>
      </w:rPr>
    </w:lvl>
    <w:lvl w:ilvl="8">
      <w:start w:val="1"/>
      <w:numFmt w:val="none"/>
      <w:lvlText w:val=""/>
      <w:lvlJc w:val="left"/>
      <w:pPr>
        <w:ind w:left="2421" w:hanging="1701"/>
      </w:pPr>
      <w:rPr>
        <w:rFonts w:hint="default"/>
      </w:rPr>
    </w:lvl>
  </w:abstractNum>
  <w:abstractNum w:abstractNumId="6"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E64B8E"/>
    <w:multiLevelType w:val="hybridMultilevel"/>
    <w:tmpl w:val="F29C0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AF229C"/>
    <w:multiLevelType w:val="hybridMultilevel"/>
    <w:tmpl w:val="CE902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26C50B9"/>
    <w:multiLevelType w:val="hybridMultilevel"/>
    <w:tmpl w:val="E88498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742A03"/>
    <w:multiLevelType w:val="hybridMultilevel"/>
    <w:tmpl w:val="F636FE0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F84EE2"/>
    <w:multiLevelType w:val="hybridMultilevel"/>
    <w:tmpl w:val="032ABD6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3" w15:restartNumberingAfterBreak="0">
    <w:nsid w:val="2ADE4609"/>
    <w:multiLevelType w:val="multilevel"/>
    <w:tmpl w:val="A030EE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B286384"/>
    <w:multiLevelType w:val="multilevel"/>
    <w:tmpl w:val="BFD0404C"/>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B743807"/>
    <w:multiLevelType w:val="hybridMultilevel"/>
    <w:tmpl w:val="4D70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825C36"/>
    <w:multiLevelType w:val="hybridMultilevel"/>
    <w:tmpl w:val="B3B4873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594546"/>
    <w:multiLevelType w:val="hybridMultilevel"/>
    <w:tmpl w:val="E88498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1F7CCF"/>
    <w:multiLevelType w:val="hybridMultilevel"/>
    <w:tmpl w:val="BF5A8E52"/>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 w15:restartNumberingAfterBreak="0">
    <w:nsid w:val="3D693860"/>
    <w:multiLevelType w:val="hybridMultilevel"/>
    <w:tmpl w:val="360CD700"/>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3E2F53CF"/>
    <w:multiLevelType w:val="hybridMultilevel"/>
    <w:tmpl w:val="E13699D8"/>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3" w15:restartNumberingAfterBreak="0">
    <w:nsid w:val="420E508F"/>
    <w:multiLevelType w:val="hybridMultilevel"/>
    <w:tmpl w:val="C04823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31B221D"/>
    <w:multiLevelType w:val="multilevel"/>
    <w:tmpl w:val="D1A0A664"/>
    <w:lvl w:ilvl="0">
      <w:start w:val="1"/>
      <w:numFmt w:val="decimal"/>
      <w:lvlText w:val="%1."/>
      <w:lvlJc w:val="left"/>
      <w:pPr>
        <w:ind w:left="851" w:hanging="851"/>
      </w:pPr>
      <w:rPr>
        <w:rFonts w:hint="default"/>
      </w:rPr>
    </w:lvl>
    <w:lvl w:ilvl="1">
      <w:start w:val="2"/>
      <w:numFmt w:val="decimal"/>
      <w:lvlText w:val="%1.%2."/>
      <w:lvlJc w:val="left"/>
      <w:pPr>
        <w:ind w:left="993" w:hanging="851"/>
      </w:pPr>
      <w:rPr>
        <w:rFonts w:asciiTheme="minorHAnsi" w:hAnsiTheme="minorHAnsi" w:hint="default"/>
        <w:b w:val="0"/>
        <w:bCs w:val="0"/>
        <w:i w:val="0"/>
        <w:iCs w:val="0"/>
        <w:sz w:val="22"/>
      </w:rPr>
    </w:lvl>
    <w:lvl w:ilvl="2">
      <w:start w:val="1"/>
      <w:numFmt w:val="lowerLetter"/>
      <w:lvlText w:val="%3)"/>
      <w:lvlJc w:val="left"/>
      <w:pPr>
        <w:ind w:left="1418" w:hanging="567"/>
      </w:pPr>
      <w:rPr>
        <w:rFonts w:hint="default"/>
        <w:i w:val="0"/>
        <w:iCs w:val="0"/>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5" w15:restartNumberingAfterBreak="0">
    <w:nsid w:val="4B1F2525"/>
    <w:multiLevelType w:val="hybridMultilevel"/>
    <w:tmpl w:val="DCFE7AC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8C30C3A"/>
    <w:multiLevelType w:val="hybridMultilevel"/>
    <w:tmpl w:val="A3987EBA"/>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7" w15:restartNumberingAfterBreak="0">
    <w:nsid w:val="594A2F5A"/>
    <w:multiLevelType w:val="hybridMultilevel"/>
    <w:tmpl w:val="7FD0D43C"/>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8" w15:restartNumberingAfterBreak="0">
    <w:nsid w:val="5CB269A5"/>
    <w:multiLevelType w:val="multilevel"/>
    <w:tmpl w:val="5E9AC280"/>
    <w:lvl w:ilvl="0">
      <w:start w:val="1"/>
      <w:numFmt w:val="decimal"/>
      <w:lvlText w:val="%1."/>
      <w:lvlJc w:val="left"/>
      <w:pPr>
        <w:ind w:left="851" w:hanging="851"/>
      </w:pPr>
      <w:rPr>
        <w:rFonts w:hint="default"/>
      </w:rPr>
    </w:lvl>
    <w:lvl w:ilvl="1">
      <w:start w:val="1"/>
      <w:numFmt w:val="decimal"/>
      <w:lvlText w:val="%1.%2."/>
      <w:lvlJc w:val="left"/>
      <w:pPr>
        <w:ind w:left="993" w:hanging="851"/>
      </w:pPr>
      <w:rPr>
        <w:rFonts w:asciiTheme="minorHAnsi" w:hAnsiTheme="minorHAnsi" w:hint="default"/>
        <w:b w:val="0"/>
        <w:bCs w:val="0"/>
        <w:i w:val="0"/>
        <w:iCs w:val="0"/>
        <w:sz w:val="22"/>
      </w:rPr>
    </w:lvl>
    <w:lvl w:ilvl="2">
      <w:start w:val="1"/>
      <w:numFmt w:val="lowerLetter"/>
      <w:lvlText w:val="%3)"/>
      <w:lvlJc w:val="left"/>
      <w:pPr>
        <w:ind w:left="1418" w:hanging="567"/>
      </w:pPr>
      <w:rPr>
        <w:rFonts w:hint="default"/>
        <w:i w:val="0"/>
        <w:iCs w:val="0"/>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9"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1" w15:restartNumberingAfterBreak="0">
    <w:nsid w:val="65972F82"/>
    <w:multiLevelType w:val="hybridMultilevel"/>
    <w:tmpl w:val="98A0E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4C4E69"/>
    <w:multiLevelType w:val="hybridMultilevel"/>
    <w:tmpl w:val="9DCC0CFE"/>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3" w15:restartNumberingAfterBreak="0">
    <w:nsid w:val="672A7AF4"/>
    <w:multiLevelType w:val="hybridMultilevel"/>
    <w:tmpl w:val="7068CA1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4" w15:restartNumberingAfterBreak="0">
    <w:nsid w:val="68490CA6"/>
    <w:multiLevelType w:val="hybridMultilevel"/>
    <w:tmpl w:val="E88498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C3155F"/>
    <w:multiLevelType w:val="hybridMultilevel"/>
    <w:tmpl w:val="1E96A53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AC6731"/>
    <w:multiLevelType w:val="hybridMultilevel"/>
    <w:tmpl w:val="E88498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4F7B5F"/>
    <w:multiLevelType w:val="hybridMultilevel"/>
    <w:tmpl w:val="91A038BA"/>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8" w15:restartNumberingAfterBreak="0">
    <w:nsid w:val="7A8049B1"/>
    <w:multiLevelType w:val="hybridMultilevel"/>
    <w:tmpl w:val="905CAD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F7A4DDC"/>
    <w:multiLevelType w:val="hybridMultilevel"/>
    <w:tmpl w:val="A1DC01AA"/>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975600845">
    <w:abstractNumId w:val="1"/>
  </w:num>
  <w:num w:numId="2" w16cid:durableId="1348370003">
    <w:abstractNumId w:val="17"/>
  </w:num>
  <w:num w:numId="3" w16cid:durableId="734426583">
    <w:abstractNumId w:val="19"/>
  </w:num>
  <w:num w:numId="4" w16cid:durableId="164395069">
    <w:abstractNumId w:val="30"/>
  </w:num>
  <w:num w:numId="5" w16cid:durableId="1813056974">
    <w:abstractNumId w:val="11"/>
  </w:num>
  <w:num w:numId="6" w16cid:durableId="1057509707">
    <w:abstractNumId w:val="15"/>
  </w:num>
  <w:num w:numId="7" w16cid:durableId="816413423">
    <w:abstractNumId w:val="2"/>
  </w:num>
  <w:num w:numId="8" w16cid:durableId="672032529">
    <w:abstractNumId w:val="23"/>
  </w:num>
  <w:num w:numId="9" w16cid:durableId="206112101">
    <w:abstractNumId w:val="21"/>
  </w:num>
  <w:num w:numId="10" w16cid:durableId="1221020792">
    <w:abstractNumId w:val="39"/>
  </w:num>
  <w:num w:numId="11" w16cid:durableId="1360160511">
    <w:abstractNumId w:val="8"/>
  </w:num>
  <w:num w:numId="12" w16cid:durableId="1432164493">
    <w:abstractNumId w:val="7"/>
  </w:num>
  <w:num w:numId="13" w16cid:durableId="738794214">
    <w:abstractNumId w:val="12"/>
  </w:num>
  <w:num w:numId="14" w16cid:durableId="634137975">
    <w:abstractNumId w:val="37"/>
  </w:num>
  <w:num w:numId="15" w16cid:durableId="998265656">
    <w:abstractNumId w:val="16"/>
  </w:num>
  <w:num w:numId="16" w16cid:durableId="838734204">
    <w:abstractNumId w:val="25"/>
  </w:num>
  <w:num w:numId="17" w16cid:durableId="889879085">
    <w:abstractNumId w:val="27"/>
  </w:num>
  <w:num w:numId="18" w16cid:durableId="1623460433">
    <w:abstractNumId w:val="31"/>
  </w:num>
  <w:num w:numId="19" w16cid:durableId="1954510491">
    <w:abstractNumId w:val="32"/>
  </w:num>
  <w:num w:numId="20" w16cid:durableId="128279654">
    <w:abstractNumId w:val="38"/>
  </w:num>
  <w:num w:numId="21" w16cid:durableId="1255015318">
    <w:abstractNumId w:val="1"/>
  </w:num>
  <w:num w:numId="22" w16cid:durableId="2112504712">
    <w:abstractNumId w:val="4"/>
  </w:num>
  <w:num w:numId="23" w16cid:durableId="349336051">
    <w:abstractNumId w:val="22"/>
  </w:num>
  <w:num w:numId="24" w16cid:durableId="1548028409">
    <w:abstractNumId w:val="26"/>
  </w:num>
  <w:num w:numId="25" w16cid:durableId="307326237">
    <w:abstractNumId w:val="3"/>
  </w:num>
  <w:num w:numId="26" w16cid:durableId="996037779">
    <w:abstractNumId w:val="13"/>
  </w:num>
  <w:num w:numId="27" w16cid:durableId="1662736778">
    <w:abstractNumId w:val="24"/>
  </w:num>
  <w:num w:numId="28" w16cid:durableId="494760662">
    <w:abstractNumId w:val="28"/>
  </w:num>
  <w:num w:numId="29" w16cid:durableId="117794857">
    <w:abstractNumId w:val="14"/>
  </w:num>
  <w:num w:numId="30" w16cid:durableId="1603876211">
    <w:abstractNumId w:val="10"/>
  </w:num>
  <w:num w:numId="31" w16cid:durableId="1208100255">
    <w:abstractNumId w:val="0"/>
  </w:num>
  <w:num w:numId="32" w16cid:durableId="441538654">
    <w:abstractNumId w:val="33"/>
  </w:num>
  <w:num w:numId="33" w16cid:durableId="1236743722">
    <w:abstractNumId w:val="5"/>
  </w:num>
  <w:num w:numId="34" w16cid:durableId="1782533411">
    <w:abstractNumId w:val="35"/>
  </w:num>
  <w:num w:numId="35" w16cid:durableId="1179857245">
    <w:abstractNumId w:val="34"/>
  </w:num>
  <w:num w:numId="36" w16cid:durableId="569274334">
    <w:abstractNumId w:val="36"/>
  </w:num>
  <w:num w:numId="37" w16cid:durableId="1054038979">
    <w:abstractNumId w:val="18"/>
  </w:num>
  <w:num w:numId="38" w16cid:durableId="212353217">
    <w:abstractNumId w:val="9"/>
  </w:num>
  <w:num w:numId="39" w16cid:durableId="42682574">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1082A"/>
    <w:rsid w:val="00013602"/>
    <w:rsid w:val="000150AA"/>
    <w:rsid w:val="00024F1A"/>
    <w:rsid w:val="000257F7"/>
    <w:rsid w:val="00026854"/>
    <w:rsid w:val="00030FBC"/>
    <w:rsid w:val="00032D3D"/>
    <w:rsid w:val="00034056"/>
    <w:rsid w:val="00047DD3"/>
    <w:rsid w:val="00051C47"/>
    <w:rsid w:val="000523B7"/>
    <w:rsid w:val="00056797"/>
    <w:rsid w:val="00064DFF"/>
    <w:rsid w:val="00066CB4"/>
    <w:rsid w:val="00066FEB"/>
    <w:rsid w:val="0006752F"/>
    <w:rsid w:val="00070E76"/>
    <w:rsid w:val="00082D9E"/>
    <w:rsid w:val="000A3713"/>
    <w:rsid w:val="000A556E"/>
    <w:rsid w:val="000C328F"/>
    <w:rsid w:val="000D032A"/>
    <w:rsid w:val="000D5BCA"/>
    <w:rsid w:val="000D70A2"/>
    <w:rsid w:val="000E556C"/>
    <w:rsid w:val="000E5592"/>
    <w:rsid w:val="000F17AD"/>
    <w:rsid w:val="000F42DF"/>
    <w:rsid w:val="001028F2"/>
    <w:rsid w:val="00107165"/>
    <w:rsid w:val="00122290"/>
    <w:rsid w:val="00122931"/>
    <w:rsid w:val="00123781"/>
    <w:rsid w:val="0013051B"/>
    <w:rsid w:val="00136FD6"/>
    <w:rsid w:val="00137AEE"/>
    <w:rsid w:val="00146BB2"/>
    <w:rsid w:val="0014714E"/>
    <w:rsid w:val="00156E52"/>
    <w:rsid w:val="00161D96"/>
    <w:rsid w:val="001738A0"/>
    <w:rsid w:val="0018105F"/>
    <w:rsid w:val="00181A84"/>
    <w:rsid w:val="001825E5"/>
    <w:rsid w:val="00182F50"/>
    <w:rsid w:val="00186961"/>
    <w:rsid w:val="0019545D"/>
    <w:rsid w:val="001A1AF9"/>
    <w:rsid w:val="001A2EDD"/>
    <w:rsid w:val="001B13A0"/>
    <w:rsid w:val="001B2622"/>
    <w:rsid w:val="001B3C02"/>
    <w:rsid w:val="001B401C"/>
    <w:rsid w:val="001B692B"/>
    <w:rsid w:val="001C7708"/>
    <w:rsid w:val="001D10CD"/>
    <w:rsid w:val="001D2063"/>
    <w:rsid w:val="001D22FC"/>
    <w:rsid w:val="001D3A47"/>
    <w:rsid w:val="001E6AA1"/>
    <w:rsid w:val="001F30D0"/>
    <w:rsid w:val="001F3EC3"/>
    <w:rsid w:val="00205761"/>
    <w:rsid w:val="002101BE"/>
    <w:rsid w:val="00214315"/>
    <w:rsid w:val="00216BB7"/>
    <w:rsid w:val="00232882"/>
    <w:rsid w:val="00246DE0"/>
    <w:rsid w:val="00250DD6"/>
    <w:rsid w:val="002712A3"/>
    <w:rsid w:val="002754BA"/>
    <w:rsid w:val="002A04C9"/>
    <w:rsid w:val="002A11C6"/>
    <w:rsid w:val="002A33D1"/>
    <w:rsid w:val="002B04B1"/>
    <w:rsid w:val="002B1016"/>
    <w:rsid w:val="002C0BBA"/>
    <w:rsid w:val="002C12B6"/>
    <w:rsid w:val="002C2F3D"/>
    <w:rsid w:val="002C5C1C"/>
    <w:rsid w:val="002C7107"/>
    <w:rsid w:val="002D13CB"/>
    <w:rsid w:val="002E3FE4"/>
    <w:rsid w:val="002E40C7"/>
    <w:rsid w:val="00311CC5"/>
    <w:rsid w:val="003173D4"/>
    <w:rsid w:val="00320782"/>
    <w:rsid w:val="00321063"/>
    <w:rsid w:val="003360D8"/>
    <w:rsid w:val="003374C0"/>
    <w:rsid w:val="00341B54"/>
    <w:rsid w:val="00343EFF"/>
    <w:rsid w:val="00344DF6"/>
    <w:rsid w:val="00346249"/>
    <w:rsid w:val="00346C40"/>
    <w:rsid w:val="00354391"/>
    <w:rsid w:val="00362801"/>
    <w:rsid w:val="0036775A"/>
    <w:rsid w:val="00375B9D"/>
    <w:rsid w:val="00382631"/>
    <w:rsid w:val="00384662"/>
    <w:rsid w:val="003871FB"/>
    <w:rsid w:val="00387938"/>
    <w:rsid w:val="0039584B"/>
    <w:rsid w:val="003B5AA8"/>
    <w:rsid w:val="003C3CF9"/>
    <w:rsid w:val="003C3E0B"/>
    <w:rsid w:val="003E2C7C"/>
    <w:rsid w:val="003F0BCC"/>
    <w:rsid w:val="00402758"/>
    <w:rsid w:val="00412E82"/>
    <w:rsid w:val="00417021"/>
    <w:rsid w:val="00421A2C"/>
    <w:rsid w:val="00440E90"/>
    <w:rsid w:val="004508F1"/>
    <w:rsid w:val="00456DCF"/>
    <w:rsid w:val="0045759B"/>
    <w:rsid w:val="004608D6"/>
    <w:rsid w:val="0046189E"/>
    <w:rsid w:val="0046269C"/>
    <w:rsid w:val="00471E8B"/>
    <w:rsid w:val="0047494A"/>
    <w:rsid w:val="00480A55"/>
    <w:rsid w:val="0048298C"/>
    <w:rsid w:val="00483210"/>
    <w:rsid w:val="004A298E"/>
    <w:rsid w:val="004B2147"/>
    <w:rsid w:val="004B3159"/>
    <w:rsid w:val="004B531D"/>
    <w:rsid w:val="004D4EBD"/>
    <w:rsid w:val="004D6EB4"/>
    <w:rsid w:val="004E5149"/>
    <w:rsid w:val="004F44AC"/>
    <w:rsid w:val="004F6610"/>
    <w:rsid w:val="005004BB"/>
    <w:rsid w:val="0050715F"/>
    <w:rsid w:val="00510D89"/>
    <w:rsid w:val="00511818"/>
    <w:rsid w:val="005141C3"/>
    <w:rsid w:val="0051686C"/>
    <w:rsid w:val="005204E8"/>
    <w:rsid w:val="0052148B"/>
    <w:rsid w:val="00523235"/>
    <w:rsid w:val="005254DB"/>
    <w:rsid w:val="00525ED8"/>
    <w:rsid w:val="005269B6"/>
    <w:rsid w:val="00526CC9"/>
    <w:rsid w:val="00534B48"/>
    <w:rsid w:val="005430F9"/>
    <w:rsid w:val="0054639F"/>
    <w:rsid w:val="00552B10"/>
    <w:rsid w:val="005660BC"/>
    <w:rsid w:val="005676FF"/>
    <w:rsid w:val="00570A7F"/>
    <w:rsid w:val="0057740E"/>
    <w:rsid w:val="00581218"/>
    <w:rsid w:val="00584DCB"/>
    <w:rsid w:val="00585320"/>
    <w:rsid w:val="0059268F"/>
    <w:rsid w:val="00595B29"/>
    <w:rsid w:val="005B2F75"/>
    <w:rsid w:val="005C706E"/>
    <w:rsid w:val="005D0971"/>
    <w:rsid w:val="005D1067"/>
    <w:rsid w:val="005D5548"/>
    <w:rsid w:val="005E778F"/>
    <w:rsid w:val="005F21CC"/>
    <w:rsid w:val="00603039"/>
    <w:rsid w:val="00603367"/>
    <w:rsid w:val="006043AE"/>
    <w:rsid w:val="00611D9C"/>
    <w:rsid w:val="006225F0"/>
    <w:rsid w:val="00623507"/>
    <w:rsid w:val="00624316"/>
    <w:rsid w:val="006243AA"/>
    <w:rsid w:val="006323F8"/>
    <w:rsid w:val="00633B89"/>
    <w:rsid w:val="006472C8"/>
    <w:rsid w:val="00647E8B"/>
    <w:rsid w:val="006531D6"/>
    <w:rsid w:val="006718E3"/>
    <w:rsid w:val="0068014A"/>
    <w:rsid w:val="00696168"/>
    <w:rsid w:val="006A7A61"/>
    <w:rsid w:val="006A7E35"/>
    <w:rsid w:val="006B2132"/>
    <w:rsid w:val="006B2534"/>
    <w:rsid w:val="006B28A8"/>
    <w:rsid w:val="006B48BE"/>
    <w:rsid w:val="006C15B9"/>
    <w:rsid w:val="006C194B"/>
    <w:rsid w:val="006D1243"/>
    <w:rsid w:val="006D363A"/>
    <w:rsid w:val="006E1CF3"/>
    <w:rsid w:val="006E54B5"/>
    <w:rsid w:val="006E7A95"/>
    <w:rsid w:val="006F04A2"/>
    <w:rsid w:val="006F1A93"/>
    <w:rsid w:val="006F678C"/>
    <w:rsid w:val="006F7562"/>
    <w:rsid w:val="00700A3A"/>
    <w:rsid w:val="00706FF2"/>
    <w:rsid w:val="00707154"/>
    <w:rsid w:val="00713B50"/>
    <w:rsid w:val="00714F6B"/>
    <w:rsid w:val="0071654A"/>
    <w:rsid w:val="00716E75"/>
    <w:rsid w:val="00724E68"/>
    <w:rsid w:val="00724EC9"/>
    <w:rsid w:val="0072770D"/>
    <w:rsid w:val="0072783D"/>
    <w:rsid w:val="00727B8C"/>
    <w:rsid w:val="00731CE4"/>
    <w:rsid w:val="0074595F"/>
    <w:rsid w:val="007469DE"/>
    <w:rsid w:val="00754C91"/>
    <w:rsid w:val="00757C24"/>
    <w:rsid w:val="007661BA"/>
    <w:rsid w:val="00770A26"/>
    <w:rsid w:val="00777CC8"/>
    <w:rsid w:val="0078151A"/>
    <w:rsid w:val="00783B5C"/>
    <w:rsid w:val="00786912"/>
    <w:rsid w:val="00792238"/>
    <w:rsid w:val="00792CC2"/>
    <w:rsid w:val="007959F7"/>
    <w:rsid w:val="007A00D9"/>
    <w:rsid w:val="007A6EB9"/>
    <w:rsid w:val="007A7A8B"/>
    <w:rsid w:val="007B3124"/>
    <w:rsid w:val="007B4BD7"/>
    <w:rsid w:val="007C1747"/>
    <w:rsid w:val="007C1D03"/>
    <w:rsid w:val="007C371D"/>
    <w:rsid w:val="007C3F24"/>
    <w:rsid w:val="007D613E"/>
    <w:rsid w:val="007E2BE2"/>
    <w:rsid w:val="007F4C62"/>
    <w:rsid w:val="00804756"/>
    <w:rsid w:val="00805618"/>
    <w:rsid w:val="008068F5"/>
    <w:rsid w:val="00821ABD"/>
    <w:rsid w:val="00824ED1"/>
    <w:rsid w:val="008319F6"/>
    <w:rsid w:val="008361AC"/>
    <w:rsid w:val="00836FFE"/>
    <w:rsid w:val="008379EB"/>
    <w:rsid w:val="00840604"/>
    <w:rsid w:val="00847624"/>
    <w:rsid w:val="00853E99"/>
    <w:rsid w:val="00867574"/>
    <w:rsid w:val="00877A94"/>
    <w:rsid w:val="0088239E"/>
    <w:rsid w:val="008842EB"/>
    <w:rsid w:val="008942F3"/>
    <w:rsid w:val="008A2C56"/>
    <w:rsid w:val="008A2DE9"/>
    <w:rsid w:val="008A4E88"/>
    <w:rsid w:val="008A4F44"/>
    <w:rsid w:val="008A5C65"/>
    <w:rsid w:val="008A6130"/>
    <w:rsid w:val="008B350E"/>
    <w:rsid w:val="008C491C"/>
    <w:rsid w:val="008C7C7C"/>
    <w:rsid w:val="008D102D"/>
    <w:rsid w:val="008D2249"/>
    <w:rsid w:val="008D331F"/>
    <w:rsid w:val="008D63A1"/>
    <w:rsid w:val="008D72C9"/>
    <w:rsid w:val="008E3B22"/>
    <w:rsid w:val="008E750D"/>
    <w:rsid w:val="008F2EA9"/>
    <w:rsid w:val="008F546F"/>
    <w:rsid w:val="00917B49"/>
    <w:rsid w:val="00925CD6"/>
    <w:rsid w:val="009267E9"/>
    <w:rsid w:val="009276CD"/>
    <w:rsid w:val="00936602"/>
    <w:rsid w:val="00946033"/>
    <w:rsid w:val="009503FE"/>
    <w:rsid w:val="0095480B"/>
    <w:rsid w:val="009613DB"/>
    <w:rsid w:val="00965E05"/>
    <w:rsid w:val="009661FD"/>
    <w:rsid w:val="00970C24"/>
    <w:rsid w:val="00976637"/>
    <w:rsid w:val="0098200A"/>
    <w:rsid w:val="00984AD0"/>
    <w:rsid w:val="009950A0"/>
    <w:rsid w:val="009A15B5"/>
    <w:rsid w:val="009A2EDC"/>
    <w:rsid w:val="009B4EFF"/>
    <w:rsid w:val="009C1CB1"/>
    <w:rsid w:val="009C2830"/>
    <w:rsid w:val="009C6B01"/>
    <w:rsid w:val="009D04DC"/>
    <w:rsid w:val="009D251E"/>
    <w:rsid w:val="009D331A"/>
    <w:rsid w:val="009E088A"/>
    <w:rsid w:val="009E08A7"/>
    <w:rsid w:val="009E19D2"/>
    <w:rsid w:val="009E4DCF"/>
    <w:rsid w:val="009F1080"/>
    <w:rsid w:val="009F2823"/>
    <w:rsid w:val="009F40CC"/>
    <w:rsid w:val="009F5A83"/>
    <w:rsid w:val="00A070D4"/>
    <w:rsid w:val="00A120B4"/>
    <w:rsid w:val="00A146A0"/>
    <w:rsid w:val="00A1687B"/>
    <w:rsid w:val="00A16C6D"/>
    <w:rsid w:val="00A22811"/>
    <w:rsid w:val="00A23A3E"/>
    <w:rsid w:val="00A24DA1"/>
    <w:rsid w:val="00A26828"/>
    <w:rsid w:val="00A53703"/>
    <w:rsid w:val="00A61515"/>
    <w:rsid w:val="00A6597B"/>
    <w:rsid w:val="00A67677"/>
    <w:rsid w:val="00A71946"/>
    <w:rsid w:val="00A71EFF"/>
    <w:rsid w:val="00A850DA"/>
    <w:rsid w:val="00A958C8"/>
    <w:rsid w:val="00AA3491"/>
    <w:rsid w:val="00AA719E"/>
    <w:rsid w:val="00AC5875"/>
    <w:rsid w:val="00AC7253"/>
    <w:rsid w:val="00AD3CDA"/>
    <w:rsid w:val="00AE1E06"/>
    <w:rsid w:val="00AE6E38"/>
    <w:rsid w:val="00AF3CB4"/>
    <w:rsid w:val="00AF7746"/>
    <w:rsid w:val="00B0149E"/>
    <w:rsid w:val="00B02BB7"/>
    <w:rsid w:val="00B053AB"/>
    <w:rsid w:val="00B05B71"/>
    <w:rsid w:val="00B129AA"/>
    <w:rsid w:val="00B12EE6"/>
    <w:rsid w:val="00B13310"/>
    <w:rsid w:val="00B15292"/>
    <w:rsid w:val="00B21A37"/>
    <w:rsid w:val="00B36C0F"/>
    <w:rsid w:val="00B4025E"/>
    <w:rsid w:val="00B449C4"/>
    <w:rsid w:val="00B46BE9"/>
    <w:rsid w:val="00B63516"/>
    <w:rsid w:val="00B64D4D"/>
    <w:rsid w:val="00B73DA7"/>
    <w:rsid w:val="00B7515B"/>
    <w:rsid w:val="00B7541C"/>
    <w:rsid w:val="00B806BF"/>
    <w:rsid w:val="00B949D1"/>
    <w:rsid w:val="00B97AC7"/>
    <w:rsid w:val="00BA082C"/>
    <w:rsid w:val="00BA15C5"/>
    <w:rsid w:val="00BA2287"/>
    <w:rsid w:val="00BC0651"/>
    <w:rsid w:val="00BC0F7F"/>
    <w:rsid w:val="00BC35B6"/>
    <w:rsid w:val="00BC3626"/>
    <w:rsid w:val="00BC5EBB"/>
    <w:rsid w:val="00BE0AB2"/>
    <w:rsid w:val="00BE5EF8"/>
    <w:rsid w:val="00BF0851"/>
    <w:rsid w:val="00BF3890"/>
    <w:rsid w:val="00BF72B9"/>
    <w:rsid w:val="00C02510"/>
    <w:rsid w:val="00C034BE"/>
    <w:rsid w:val="00C1016B"/>
    <w:rsid w:val="00C16DCB"/>
    <w:rsid w:val="00C21E49"/>
    <w:rsid w:val="00C24037"/>
    <w:rsid w:val="00C31994"/>
    <w:rsid w:val="00C50818"/>
    <w:rsid w:val="00C53DB8"/>
    <w:rsid w:val="00C57B76"/>
    <w:rsid w:val="00C65340"/>
    <w:rsid w:val="00C75344"/>
    <w:rsid w:val="00C75735"/>
    <w:rsid w:val="00C8358A"/>
    <w:rsid w:val="00C837A0"/>
    <w:rsid w:val="00C849F6"/>
    <w:rsid w:val="00C924CE"/>
    <w:rsid w:val="00C967A5"/>
    <w:rsid w:val="00CA41EF"/>
    <w:rsid w:val="00CC463F"/>
    <w:rsid w:val="00CC4BE7"/>
    <w:rsid w:val="00CC5715"/>
    <w:rsid w:val="00CD73BC"/>
    <w:rsid w:val="00CD7AFC"/>
    <w:rsid w:val="00CE02FD"/>
    <w:rsid w:val="00D039DD"/>
    <w:rsid w:val="00D1197C"/>
    <w:rsid w:val="00D23E3A"/>
    <w:rsid w:val="00D279F3"/>
    <w:rsid w:val="00D35642"/>
    <w:rsid w:val="00D376C4"/>
    <w:rsid w:val="00D556BF"/>
    <w:rsid w:val="00D66DD2"/>
    <w:rsid w:val="00D7092E"/>
    <w:rsid w:val="00D7159D"/>
    <w:rsid w:val="00D776BD"/>
    <w:rsid w:val="00D86F7E"/>
    <w:rsid w:val="00D90E56"/>
    <w:rsid w:val="00D9519E"/>
    <w:rsid w:val="00D97152"/>
    <w:rsid w:val="00DA4C95"/>
    <w:rsid w:val="00DA7289"/>
    <w:rsid w:val="00DC3D7F"/>
    <w:rsid w:val="00DD0188"/>
    <w:rsid w:val="00DD1B5F"/>
    <w:rsid w:val="00DE56A4"/>
    <w:rsid w:val="00DF5370"/>
    <w:rsid w:val="00E0054C"/>
    <w:rsid w:val="00E12092"/>
    <w:rsid w:val="00E12E39"/>
    <w:rsid w:val="00E20929"/>
    <w:rsid w:val="00E232A1"/>
    <w:rsid w:val="00E26635"/>
    <w:rsid w:val="00E30B82"/>
    <w:rsid w:val="00E34587"/>
    <w:rsid w:val="00E34A48"/>
    <w:rsid w:val="00E36BD9"/>
    <w:rsid w:val="00E463C3"/>
    <w:rsid w:val="00E4679F"/>
    <w:rsid w:val="00E479EA"/>
    <w:rsid w:val="00E53E60"/>
    <w:rsid w:val="00E64B9D"/>
    <w:rsid w:val="00E71138"/>
    <w:rsid w:val="00E84638"/>
    <w:rsid w:val="00E8595B"/>
    <w:rsid w:val="00E879B9"/>
    <w:rsid w:val="00E917D2"/>
    <w:rsid w:val="00E93618"/>
    <w:rsid w:val="00E94962"/>
    <w:rsid w:val="00EB00DE"/>
    <w:rsid w:val="00EB179D"/>
    <w:rsid w:val="00EB223E"/>
    <w:rsid w:val="00EB3179"/>
    <w:rsid w:val="00EC5581"/>
    <w:rsid w:val="00ED2558"/>
    <w:rsid w:val="00ED2984"/>
    <w:rsid w:val="00ED3906"/>
    <w:rsid w:val="00EE5AEE"/>
    <w:rsid w:val="00EE5B62"/>
    <w:rsid w:val="00EF13C6"/>
    <w:rsid w:val="00EF64D1"/>
    <w:rsid w:val="00F101AB"/>
    <w:rsid w:val="00F1796D"/>
    <w:rsid w:val="00F335D1"/>
    <w:rsid w:val="00F335D3"/>
    <w:rsid w:val="00F3495E"/>
    <w:rsid w:val="00F4296C"/>
    <w:rsid w:val="00F4391C"/>
    <w:rsid w:val="00F4685A"/>
    <w:rsid w:val="00F557CD"/>
    <w:rsid w:val="00F55EC1"/>
    <w:rsid w:val="00F64542"/>
    <w:rsid w:val="00F7135D"/>
    <w:rsid w:val="00F746ED"/>
    <w:rsid w:val="00F7656C"/>
    <w:rsid w:val="00F82F18"/>
    <w:rsid w:val="00F873F4"/>
    <w:rsid w:val="00F9280D"/>
    <w:rsid w:val="00FA78F1"/>
    <w:rsid w:val="00FB72F9"/>
    <w:rsid w:val="00FB732D"/>
    <w:rsid w:val="00FC2277"/>
    <w:rsid w:val="00FD6464"/>
    <w:rsid w:val="00FE0009"/>
    <w:rsid w:val="00FE3043"/>
    <w:rsid w:val="00FE3FA6"/>
    <w:rsid w:val="00FE46F2"/>
    <w:rsid w:val="00FF1465"/>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8A2DE9"/>
    <w:pPr>
      <w:spacing w:line="283" w:lineRule="auto"/>
    </w:pPr>
  </w:style>
  <w:style w:type="paragraph" w:styleId="Heading1">
    <w:name w:val="heading 1"/>
    <w:next w:val="ListNumber2"/>
    <w:link w:val="Heading1Char"/>
    <w:uiPriority w:val="9"/>
    <w:qFormat/>
    <w:rsid w:val="009F5A83"/>
    <w:pPr>
      <w:keepNext/>
      <w:keepLines/>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FC2277"/>
    <w:pPr>
      <w:spacing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FC2277"/>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3039"/>
    <w:pPr>
      <w:tabs>
        <w:tab w:val="right" w:pos="9016"/>
      </w:tabs>
      <w:spacing w:before="60" w:after="60"/>
      <w:ind w:left="426"/>
    </w:pPr>
    <w:rPr>
      <w:noProof/>
    </w:rPr>
  </w:style>
  <w:style w:type="paragraph" w:styleId="TOC3">
    <w:name w:val="toc 3"/>
    <w:basedOn w:val="Normal0"/>
    <w:next w:val="Normal0"/>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0"/>
    <w:uiPriority w:val="99"/>
    <w:unhideWhenUsed/>
    <w:qFormat/>
    <w:rsid w:val="00DE56A4"/>
    <w:p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rsid w:val="00B7541C"/>
  </w:style>
  <w:style w:type="paragraph" w:customStyle="1" w:styleId="FrontmatterRecommendationlistbody">
    <w:name w:val="Front matter (Recommendation list body)"/>
    <w:basedOn w:val="Normal0"/>
    <w:rsid w:val="00976637"/>
    <w:pPr>
      <w:spacing w:before="120" w:after="120" w:line="252" w:lineRule="auto"/>
    </w:pPr>
    <w:rPr>
      <w:color w:val="000000" w:themeColor="text1"/>
    </w:rPr>
  </w:style>
  <w:style w:type="paragraph" w:customStyle="1" w:styleId="Recommendationbody">
    <w:name w:val="Recommendation body"/>
    <w:basedOn w:val="Normal0"/>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rsid w:val="00552B10"/>
    <w:pPr>
      <w:numPr>
        <w:numId w:val="2"/>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qFormat/>
    <w:rsid w:val="00552B10"/>
    <w:pPr>
      <w:keepLines w:val="0"/>
      <w:numPr>
        <w:numId w:val="3"/>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qFormat/>
    <w:rsid w:val="00552B10"/>
    <w:pPr>
      <w:numPr>
        <w:numId w:val="4"/>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rsid w:val="00552B10"/>
    <w:pPr>
      <w:outlineLvl w:val="9"/>
    </w:pPr>
  </w:style>
  <w:style w:type="paragraph" w:customStyle="1" w:styleId="Amainreturn">
    <w:name w:val="A main return"/>
    <w:basedOn w:val="Normal0"/>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 w:type="paragraph" w:styleId="Revision">
    <w:name w:val="Revision"/>
    <w:hidden/>
    <w:uiPriority w:val="99"/>
    <w:semiHidden/>
    <w:rsid w:val="00FB73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77144808">
      <w:bodyDiv w:val="1"/>
      <w:marLeft w:val="0"/>
      <w:marRight w:val="0"/>
      <w:marTop w:val="0"/>
      <w:marBottom w:val="0"/>
      <w:divBdr>
        <w:top w:val="none" w:sz="0" w:space="0" w:color="auto"/>
        <w:left w:val="none" w:sz="0" w:space="0" w:color="auto"/>
        <w:bottom w:val="none" w:sz="0" w:space="0" w:color="auto"/>
        <w:right w:val="none" w:sz="0" w:space="0" w:color="auto"/>
      </w:divBdr>
    </w:div>
    <w:div w:id="446001442">
      <w:bodyDiv w:val="1"/>
      <w:marLeft w:val="0"/>
      <w:marRight w:val="0"/>
      <w:marTop w:val="0"/>
      <w:marBottom w:val="0"/>
      <w:divBdr>
        <w:top w:val="none" w:sz="0" w:space="0" w:color="auto"/>
        <w:left w:val="none" w:sz="0" w:space="0" w:color="auto"/>
        <w:bottom w:val="none" w:sz="0" w:space="0" w:color="auto"/>
        <w:right w:val="none" w:sz="0" w:space="0" w:color="auto"/>
      </w:divBdr>
    </w:div>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462068488">
      <w:bodyDiv w:val="1"/>
      <w:marLeft w:val="0"/>
      <w:marRight w:val="0"/>
      <w:marTop w:val="0"/>
      <w:marBottom w:val="0"/>
      <w:divBdr>
        <w:top w:val="none" w:sz="0" w:space="0" w:color="auto"/>
        <w:left w:val="none" w:sz="0" w:space="0" w:color="auto"/>
        <w:bottom w:val="none" w:sz="0" w:space="0" w:color="auto"/>
        <w:right w:val="none" w:sz="0" w:space="0" w:color="auto"/>
      </w:divBdr>
    </w:div>
    <w:div w:id="1494103853">
      <w:bodyDiv w:val="1"/>
      <w:marLeft w:val="0"/>
      <w:marRight w:val="0"/>
      <w:marTop w:val="0"/>
      <w:marBottom w:val="0"/>
      <w:divBdr>
        <w:top w:val="none" w:sz="0" w:space="0" w:color="auto"/>
        <w:left w:val="none" w:sz="0" w:space="0" w:color="auto"/>
        <w:bottom w:val="none" w:sz="0" w:space="0" w:color="auto"/>
        <w:right w:val="none" w:sz="0" w:space="0" w:color="auto"/>
      </w:divBdr>
    </w:div>
    <w:div w:id="1596747978">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7358666">
      <w:bodyDiv w:val="1"/>
      <w:marLeft w:val="0"/>
      <w:marRight w:val="0"/>
      <w:marTop w:val="0"/>
      <w:marBottom w:val="0"/>
      <w:divBdr>
        <w:top w:val="none" w:sz="0" w:space="0" w:color="auto"/>
        <w:left w:val="none" w:sz="0" w:space="0" w:color="auto"/>
        <w:bottom w:val="none" w:sz="0" w:space="0" w:color="auto"/>
        <w:right w:val="none" w:sz="0" w:space="0" w:color="auto"/>
      </w:divBdr>
    </w:div>
    <w:div w:id="1991790990">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resolution-for-committees/resolution-establishing-committees-of-the-tenth-assembly" TargetMode="External"/><Relationship Id="rId17" Type="http://schemas.openxmlformats.org/officeDocument/2006/relationships/hyperlink" Target="https://www.parliament.act.gov.au/parliamentary-business/in-committees/committees/JCS_Scrutiny/response-to-comments-on-subordinate-legislation" TargetMode="External"/><Relationship Id="rId2" Type="http://schemas.openxmlformats.org/officeDocument/2006/relationships/numbering" Target="numbering.xml"/><Relationship Id="rId16" Type="http://schemas.openxmlformats.org/officeDocument/2006/relationships/hyperlink" Target="http://www.parliament.act.gov.au/parliamentary-business/in-committees/committees/JCS_Scrutiny/responses-to-comments-on-bill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act.gov.au/parliamentary-business/in-committees/committees/JCS_Scrutiny/response-to-comments-on-subordinate-legislation" TargetMode="External"/><Relationship Id="rId2" Type="http://schemas.openxmlformats.org/officeDocument/2006/relationships/hyperlink" Target="https://www.parliament.act.gov.au/__data/assets/pdf_file/0009/2199015/Road-TransportPublic-Passenger-Services-Maximum-Fares-for-taxi_Redacted.pdf" TargetMode="External"/><Relationship Id="rId1" Type="http://schemas.openxmlformats.org/officeDocument/2006/relationships/hyperlink" Target="https://www.parliament.act.gov.au/parliamentary-business/in-committees/committees/JCS_Scrutiny/responses-to-comments-on-b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666B8"/>
    <w:rsid w:val="00136AD7"/>
    <w:rsid w:val="001C6AE0"/>
    <w:rsid w:val="00243009"/>
    <w:rsid w:val="002E0418"/>
    <w:rsid w:val="003C3B8F"/>
    <w:rsid w:val="003D5F1D"/>
    <w:rsid w:val="00407E18"/>
    <w:rsid w:val="00465034"/>
    <w:rsid w:val="0047394C"/>
    <w:rsid w:val="005A1920"/>
    <w:rsid w:val="005F0866"/>
    <w:rsid w:val="00695922"/>
    <w:rsid w:val="006D2E2B"/>
    <w:rsid w:val="007376EF"/>
    <w:rsid w:val="0077148B"/>
    <w:rsid w:val="00782EDE"/>
    <w:rsid w:val="008170C4"/>
    <w:rsid w:val="0083543A"/>
    <w:rsid w:val="00876FDA"/>
    <w:rsid w:val="008927B5"/>
    <w:rsid w:val="008A2010"/>
    <w:rsid w:val="008F75D9"/>
    <w:rsid w:val="0093479E"/>
    <w:rsid w:val="00970294"/>
    <w:rsid w:val="00994AFF"/>
    <w:rsid w:val="009F6D59"/>
    <w:rsid w:val="00B551B6"/>
    <w:rsid w:val="00C83312"/>
    <w:rsid w:val="00C8550A"/>
    <w:rsid w:val="00CE7815"/>
    <w:rsid w:val="00DC17BA"/>
    <w:rsid w:val="00ED5EF4"/>
    <w:rsid w:val="00F4175F"/>
    <w:rsid w:val="00F52AD3"/>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29</Pages>
  <Words>10143</Words>
  <Characters>57820</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67828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4</cp:revision>
  <cp:lastPrinted>2024-06-19T03:42:00Z</cp:lastPrinted>
  <dcterms:created xsi:type="dcterms:W3CDTF">2024-08-15T01:49:00Z</dcterms:created>
  <dcterms:modified xsi:type="dcterms:W3CDTF">2024-08-20T02:01:00Z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